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color w:val="auto"/>
          <w:szCs w:val="21"/>
          <w:highlight w:val="none"/>
        </w:rPr>
      </w:pPr>
      <w:r>
        <w:rPr>
          <w:rFonts w:hint="eastAsia" w:ascii="方正小标宋简体" w:hAnsi="方正小标宋简体" w:eastAsia="方正小标宋简体" w:cs="方正小标宋简体"/>
          <w:b/>
          <w:bCs w:val="0"/>
          <w:color w:val="auto"/>
          <w:highlight w:val="none"/>
        </w:rPr>
        <w:t>利州区民政局行政</w:t>
      </w:r>
      <w:r>
        <w:rPr>
          <w:rFonts w:hint="eastAsia" w:ascii="方正小标宋简体" w:hAnsi="方正小标宋简体" w:eastAsia="方正小标宋简体" w:cs="方正小标宋简体"/>
          <w:b/>
          <w:bCs w:val="0"/>
          <w:color w:val="auto"/>
          <w:highlight w:val="none"/>
          <w:lang w:val="en-US" w:eastAsia="zh-CN"/>
        </w:rPr>
        <w:t>权力</w:t>
      </w:r>
      <w:r>
        <w:rPr>
          <w:rFonts w:hint="eastAsia" w:ascii="方正小标宋简体" w:hAnsi="方正小标宋简体" w:eastAsia="方正小标宋简体" w:cs="方正小标宋简体"/>
          <w:b/>
          <w:bCs w:val="0"/>
          <w:color w:val="auto"/>
          <w:highlight w:val="none"/>
        </w:rPr>
        <w:t>责任清单</w:t>
      </w:r>
    </w:p>
    <w:p>
      <w:pPr>
        <w:pStyle w:val="4"/>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一、行政许可（</w:t>
      </w:r>
      <w:r>
        <w:rPr>
          <w:rFonts w:hint="eastAsia" w:ascii="方正小标宋简体" w:hAnsi="方正小标宋简体" w:eastAsia="方正小标宋简体" w:cs="方正小标宋简体"/>
          <w:color w:val="auto"/>
          <w:sz w:val="36"/>
          <w:szCs w:val="36"/>
          <w:highlight w:val="none"/>
          <w:lang w:val="en-US" w:eastAsia="zh-CN"/>
        </w:rPr>
        <w:t>5项</w:t>
      </w:r>
      <w:r>
        <w:rPr>
          <w:rFonts w:hint="eastAsia" w:ascii="方正小标宋简体" w:hAnsi="方正小标宋简体" w:eastAsia="方正小标宋简体" w:cs="方正小标宋简体"/>
          <w:color w:val="auto"/>
          <w:sz w:val="36"/>
          <w:szCs w:val="36"/>
          <w:highlight w:val="none"/>
          <w:lang w:eastAsia="zh-CN"/>
        </w:rPr>
        <w:t>）</w:t>
      </w:r>
    </w:p>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表1-1</w:t>
      </w:r>
    </w:p>
    <w:tbl>
      <w:tblPr>
        <w:tblStyle w:val="8"/>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0"/>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680"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36"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36"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行政</w:t>
            </w:r>
            <w:r>
              <w:rPr>
                <w:rFonts w:hint="eastAsia" w:ascii="宋体" w:hAnsi="宋体" w:cs="宋体"/>
                <w:color w:val="auto"/>
                <w:szCs w:val="21"/>
                <w:highlight w:val="none"/>
                <w:lang w:eastAsia="zh-CN"/>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36"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 w:val="20"/>
                <w:szCs w:val="20"/>
                <w:highlight w:val="none"/>
              </w:rPr>
            </w:pPr>
            <w:r>
              <w:rPr>
                <w:rFonts w:hint="eastAsia" w:ascii="宋体" w:hAnsi="宋体"/>
                <w:color w:val="auto"/>
                <w:sz w:val="20"/>
                <w:szCs w:val="20"/>
                <w:highlight w:val="none"/>
                <w:lang w:bidi="ar"/>
              </w:rPr>
              <w:t>社会团体成立、变更、注销登记及修改章程核准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80"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36" w:type="dxa"/>
            <w:shd w:val="clear" w:color="auto" w:fill="auto"/>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rPr>
            </w:pPr>
            <w:r>
              <w:rPr>
                <w:rFonts w:hint="eastAsia" w:ascii="宋体" w:cs="宋体"/>
                <w:color w:val="auto"/>
                <w:sz w:val="20"/>
                <w:szCs w:val="20"/>
                <w:highlight w:val="none"/>
              </w:rPr>
              <w:t>《社会团体登记管理条例》</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rPr>
              <w:t>第六条</w:t>
            </w:r>
            <w:r>
              <w:rPr>
                <w:rFonts w:hint="eastAsia" w:ascii="宋体" w:cs="宋体"/>
                <w:color w:val="auto"/>
                <w:sz w:val="20"/>
                <w:szCs w:val="20"/>
                <w:highlight w:val="none"/>
                <w:lang w:val="en-US" w:eastAsia="zh-CN"/>
              </w:rPr>
              <w:t xml:space="preserve"> 国务院民政部门和县级以上地方各级人民政府民政部门是本级人民政府的社会团体登记管理机关（以下简称登记管理机关）。</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国务院有关部门和县级以上地方各级人民政府有关部门、国务院或者县级以上地方各级人民政府授权的组织，是有关行业、学科或者业务范围内社会团体的业务主管单位（以下简称业务主管单位）。</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kern w:val="0"/>
                <w:sz w:val="22"/>
                <w:szCs w:val="22"/>
                <w:highlight w:val="none"/>
                <w:lang w:val="en-US" w:eastAsia="zh-CN"/>
              </w:rPr>
            </w:pPr>
            <w:r>
              <w:rPr>
                <w:rFonts w:hint="eastAsia" w:ascii="宋体" w:cs="宋体"/>
                <w:color w:val="auto"/>
                <w:sz w:val="20"/>
                <w:szCs w:val="20"/>
                <w:highlight w:val="none"/>
                <w:lang w:val="en-US" w:eastAsia="zh-CN"/>
              </w:rPr>
              <w:t>法律、行政法规对社会团体的监督管理另有规定的，依照有关法律、行政法规的规定执行。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36"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 w:val="20"/>
                <w:szCs w:val="20"/>
                <w:highlight w:val="none"/>
                <w:lang w:val="en-US" w:eastAsia="zh-CN"/>
              </w:rPr>
            </w:pPr>
            <w:r>
              <w:rPr>
                <w:rFonts w:hint="eastAsia" w:ascii="宋体" w:hAnsi="宋体"/>
                <w:color w:val="auto"/>
                <w:sz w:val="20"/>
                <w:szCs w:val="20"/>
                <w:highlight w:val="none"/>
                <w:lang w:val="en-US"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1680"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36" w:type="dxa"/>
            <w:shd w:val="clear" w:color="auto" w:fill="auto"/>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rPr>
            </w:pPr>
            <w:r>
              <w:rPr>
                <w:rFonts w:hint="eastAsia" w:ascii="宋体" w:cs="宋体"/>
                <w:color w:val="auto"/>
                <w:sz w:val="20"/>
                <w:szCs w:val="20"/>
                <w:highlight w:val="none"/>
                <w:lang w:val="en-US" w:eastAsia="zh-CN"/>
              </w:rPr>
              <w:t>1</w:t>
            </w:r>
            <w:r>
              <w:rPr>
                <w:rFonts w:hint="eastAsia" w:ascii="宋体" w:cs="宋体"/>
                <w:color w:val="auto"/>
                <w:sz w:val="20"/>
                <w:szCs w:val="20"/>
                <w:highlight w:val="none"/>
              </w:rPr>
              <w:t>.受理责任：公示应当提交的材料，一次性告知补正材料，依法受理或不予受理（不予受理应当告知理由）。</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rPr>
            </w:pPr>
            <w:r>
              <w:rPr>
                <w:rFonts w:hint="eastAsia" w:ascii="宋体" w:cs="宋体"/>
                <w:color w:val="auto"/>
                <w:sz w:val="20"/>
                <w:szCs w:val="20"/>
                <w:highlight w:val="none"/>
              </w:rPr>
              <w:t>2.审查责任：按照国务院《社会团体登记管理条例》，对书面申请材料进行审查，提出是否许可的审核意见，必要时可组织现场查验。</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rPr>
            </w:pPr>
            <w:r>
              <w:rPr>
                <w:rFonts w:hint="eastAsia" w:ascii="宋体" w:cs="宋体"/>
                <w:color w:val="auto"/>
                <w:sz w:val="20"/>
                <w:szCs w:val="20"/>
                <w:highlight w:val="none"/>
              </w:rPr>
              <w:t>3.决定责任：作出行政许可或者不予行政许可决定，法定告知（不予许可的，应当告知理由）。</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rPr>
            </w:pPr>
            <w:r>
              <w:rPr>
                <w:rFonts w:hint="eastAsia" w:ascii="宋体" w:cs="宋体"/>
                <w:color w:val="auto"/>
                <w:sz w:val="20"/>
                <w:szCs w:val="20"/>
                <w:highlight w:val="none"/>
              </w:rPr>
              <w:t>4.事后监管责任：建立实施监督检查的运行机制和管理制度，开展定期和不定期检查，依法采取相关处置措施。</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 w:val="20"/>
                <w:szCs w:val="20"/>
                <w:highlight w:val="none"/>
              </w:rPr>
            </w:pPr>
            <w:r>
              <w:rPr>
                <w:rFonts w:hint="eastAsia" w:ascii="宋体" w:cs="宋体"/>
                <w:color w:val="auto"/>
                <w:sz w:val="20"/>
                <w:szCs w:val="20"/>
                <w:highlight w:val="none"/>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80"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36" w:type="dxa"/>
            <w:shd w:val="clear" w:color="auto" w:fill="auto"/>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 w:val="20"/>
                <w:szCs w:val="20"/>
                <w:highlight w:val="none"/>
              </w:rPr>
            </w:pPr>
            <w:r>
              <w:rPr>
                <w:rFonts w:hint="eastAsia" w:ascii="宋体" w:hAnsi="宋体" w:cs="宋体"/>
                <w:color w:val="auto"/>
                <w:sz w:val="20"/>
                <w:szCs w:val="20"/>
                <w:highlight w:val="none"/>
              </w:rPr>
              <w:t>追责情形：《中华人民共和国行政许可法》第七十二条至第七十五条、《社会团体登记管理条例》第三十四条以及其他依法应当追究的情形。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 w:val="20"/>
                <w:szCs w:val="20"/>
                <w:highlight w:val="none"/>
              </w:rPr>
            </w:pPr>
            <w:r>
              <w:rPr>
                <w:rFonts w:hint="eastAsia" w:ascii="宋体" w:hAnsi="宋体" w:cs="宋体"/>
                <w:color w:val="auto"/>
                <w:sz w:val="20"/>
                <w:szCs w:val="20"/>
                <w:highlight w:val="none"/>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36"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rPr>
              <w:t>0839-</w:t>
            </w:r>
            <w:r>
              <w:rPr>
                <w:rFonts w:hint="eastAsia" w:ascii="宋体" w:hAnsi="宋体" w:cs="宋体"/>
                <w:color w:val="auto"/>
                <w:sz w:val="20"/>
                <w:szCs w:val="20"/>
                <w:highlight w:val="none"/>
                <w:lang w:val="en-US" w:eastAsia="zh-CN"/>
              </w:rPr>
              <w:t>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表1-2</w:t>
      </w:r>
    </w:p>
    <w:tbl>
      <w:tblPr>
        <w:tblStyle w:val="8"/>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行政</w:t>
            </w:r>
            <w:r>
              <w:rPr>
                <w:rFonts w:hint="eastAsia" w:ascii="宋体" w:hAnsi="宋体" w:cs="宋体"/>
                <w:color w:val="auto"/>
                <w:szCs w:val="21"/>
                <w:highlight w:val="none"/>
                <w:lang w:eastAsia="zh-CN"/>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olor w:val="auto"/>
                <w:szCs w:val="21"/>
                <w:highlight w:val="none"/>
                <w:lang w:bidi="ar"/>
              </w:rPr>
              <w:t>民办非企业单位成立、变更、注销登记及修改章程核准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3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rPr>
            </w:pPr>
            <w:r>
              <w:rPr>
                <w:rFonts w:hint="eastAsia" w:ascii="宋体" w:cs="宋体"/>
                <w:color w:val="auto"/>
                <w:sz w:val="20"/>
                <w:szCs w:val="20"/>
                <w:highlight w:val="none"/>
              </w:rPr>
              <w:t>《民办非企业单位登记管理暂行条例》</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rPr>
              <w:t>第五条</w:t>
            </w:r>
            <w:r>
              <w:rPr>
                <w:rFonts w:hint="eastAsia" w:ascii="宋体" w:cs="宋体"/>
                <w:color w:val="auto"/>
                <w:sz w:val="20"/>
                <w:szCs w:val="20"/>
                <w:highlight w:val="none"/>
                <w:lang w:val="en-US" w:eastAsia="zh-CN"/>
              </w:rPr>
              <w:t xml:space="preserve"> 国务院民政部门和县级以上地方各级人民政府民政部门是本级人民政府的民办非企业单位登记管理机关（以下简称登记管理机关）。</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国务院有关部门和县级以上地方各级人民政府的有关部门、国务院或者县级以上地方各级人民政府授权的组织，是有关行业、业务范围内民办非企业单位的业务主管单位（以下简称业务主管单位）。</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法律、行政法规对民办非企业单位的监督管理另有规定的，依照有关法律、行政法规的规定执行。</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kern w:val="0"/>
                <w:sz w:val="23"/>
                <w:szCs w:val="23"/>
                <w:highlight w:val="none"/>
                <w:lang w:val="en-US" w:eastAsia="zh-CN"/>
              </w:rPr>
            </w:pPr>
            <w:r>
              <w:rPr>
                <w:rFonts w:hint="eastAsia" w:ascii="宋体" w:cs="宋体"/>
                <w:color w:val="auto"/>
                <w:sz w:val="20"/>
                <w:szCs w:val="20"/>
                <w:highlight w:val="none"/>
              </w:rPr>
              <w:t>第六条</w:t>
            </w:r>
            <w:r>
              <w:rPr>
                <w:rFonts w:hint="eastAsia" w:ascii="宋体" w:cs="宋体"/>
                <w:color w:val="auto"/>
                <w:sz w:val="20"/>
                <w:szCs w:val="20"/>
                <w:highlight w:val="none"/>
                <w:lang w:val="en-US" w:eastAsia="zh-CN"/>
              </w:rPr>
              <w:t xml:space="preserve"> 登记管理机关负责同级业务主管单位审查同意的民办非企业单位的登记管理。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3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1.受理责任：公示应当提交的材料，一次性告知补正材料，依法受理或不予受理（不予受理应当告知理由）。</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2.审查责任：按照国务院《民办非企业单位登记管理暂行条例》，对书面申请材料进行审查，提出是否许可的审核意见，必要时可组织现场查验。</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3.决定责任：作出行政许可或者不予行政许可决定，法定告知（不予许可的，应当告知理由）。</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4.事后监管责任：建立实施监督检查的运行机制和管理制度，开展定期和不定期检查，依法采取相关处置措施。</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cs="宋体"/>
                <w:color w:val="auto"/>
                <w:sz w:val="20"/>
                <w:szCs w:val="20"/>
                <w:highlight w:val="none"/>
                <w:lang w:val="en-US" w:eastAsia="zh-C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3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rPr>
            </w:pPr>
            <w:r>
              <w:rPr>
                <w:rFonts w:hint="eastAsia" w:ascii="宋体" w:cs="宋体"/>
                <w:color w:val="auto"/>
                <w:sz w:val="20"/>
                <w:szCs w:val="20"/>
                <w:highlight w:val="none"/>
              </w:rPr>
              <w:t>追责情形：《中华人民共和国行政许可法》第七十二条至第七十五条、《民办非企业单位登记管理暂行条例》第</w:t>
            </w:r>
            <w:r>
              <w:rPr>
                <w:rFonts w:hint="eastAsia" w:ascii="宋体" w:cs="宋体"/>
                <w:color w:val="auto"/>
                <w:sz w:val="20"/>
                <w:szCs w:val="20"/>
                <w:highlight w:val="none"/>
                <w:lang w:eastAsia="zh-CN"/>
              </w:rPr>
              <w:t>三十四</w:t>
            </w:r>
            <w:r>
              <w:rPr>
                <w:rFonts w:hint="eastAsia" w:ascii="宋体" w:cs="宋体"/>
                <w:color w:val="auto"/>
                <w:sz w:val="20"/>
                <w:szCs w:val="20"/>
                <w:highlight w:val="none"/>
              </w:rPr>
              <w:t>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cs="宋体"/>
                <w:color w:val="auto"/>
                <w:sz w:val="20"/>
                <w:szCs w:val="20"/>
                <w:highlight w:val="none"/>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0839-</w:t>
            </w:r>
            <w:r>
              <w:rPr>
                <w:rFonts w:hint="eastAsia" w:ascii="宋体" w:hAnsi="宋体" w:cs="宋体"/>
                <w:color w:val="auto"/>
                <w:szCs w:val="21"/>
                <w:highlight w:val="none"/>
                <w:lang w:val="en-US" w:eastAsia="zh-CN"/>
              </w:rPr>
              <w:t>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表1-3</w:t>
      </w:r>
    </w:p>
    <w:tbl>
      <w:tblPr>
        <w:tblStyle w:val="8"/>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行政</w:t>
            </w:r>
            <w:r>
              <w:rPr>
                <w:rFonts w:hint="eastAsia" w:ascii="宋体" w:hAnsi="宋体" w:cs="宋体"/>
                <w:color w:val="auto"/>
                <w:szCs w:val="21"/>
                <w:highlight w:val="none"/>
                <w:lang w:eastAsia="zh-CN"/>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慈善组织公开募捐资格审批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3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rPr>
            </w:pPr>
            <w:r>
              <w:rPr>
                <w:rFonts w:hint="eastAsia" w:ascii="宋体" w:cs="宋体"/>
                <w:color w:val="auto"/>
                <w:sz w:val="20"/>
                <w:szCs w:val="20"/>
                <w:highlight w:val="none"/>
              </w:rPr>
              <w:t>《中华人民共和国慈善法》</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eastAsia" w:ascii="宋体" w:cs="宋体"/>
                <w:color w:val="auto"/>
                <w:sz w:val="20"/>
                <w:szCs w:val="20"/>
                <w:highlight w:val="none"/>
                <w:lang w:val="en-US" w:eastAsia="zh-CN"/>
              </w:rPr>
              <w:t>第二十二条  慈善组织开展公开募捐，应当取得公开募捐资格。依法登记满一年的慈善组织，可以向办理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其他法律、行政法规规定可以公开募捐的非营利性组织，由县级以上人民政府民政部门直接发给公开募捐资格证书。</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《慈善组织公开募捐管理办法》</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kern w:val="0"/>
                <w:sz w:val="23"/>
                <w:szCs w:val="23"/>
                <w:highlight w:val="none"/>
                <w:lang w:val="en-US" w:eastAsia="zh-CN"/>
              </w:rPr>
            </w:pPr>
            <w:r>
              <w:rPr>
                <w:rFonts w:hint="eastAsia" w:ascii="宋体" w:cs="宋体"/>
                <w:color w:val="auto"/>
                <w:sz w:val="20"/>
                <w:szCs w:val="20"/>
                <w:highlight w:val="none"/>
                <w:lang w:val="en-US" w:eastAsia="zh-CN"/>
              </w:rPr>
              <w:t>第四条  县级以上人民政府民政部门依法对其登记或者认定的慈善组织公开募捐资格和公开募捐活动进行监督管理，并对本行政区域内涉及公开募捐的有关活动进行监督管理。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olor w:val="auto"/>
                <w:szCs w:val="21"/>
                <w:highlight w:val="none"/>
                <w:lang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3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1.受理责任：公示应当提交的材料，一次性告知补正材料，依法受理或不予受理（不予受理应当告知理由）。</w:t>
            </w:r>
            <w:r>
              <w:rPr>
                <w:rFonts w:hint="eastAsia" w:ascii="宋体" w:cs="宋体"/>
                <w:color w:val="auto"/>
                <w:sz w:val="20"/>
                <w:szCs w:val="20"/>
                <w:highlight w:val="none"/>
                <w:lang w:val="en-US" w:eastAsia="zh-CN"/>
              </w:rPr>
              <w:br w:type="textWrapping"/>
            </w:r>
            <w:r>
              <w:rPr>
                <w:rFonts w:hint="eastAsia" w:ascii="宋体" w:cs="宋体"/>
                <w:color w:val="auto"/>
                <w:sz w:val="20"/>
                <w:szCs w:val="20"/>
                <w:highlight w:val="none"/>
                <w:lang w:val="en-US" w:eastAsia="zh-CN"/>
              </w:rPr>
              <w:t>2.审查责任：按照国务院《中华人民共和国慈善法》《慈善组织公开募捐管理办法》，对书面申请材料进行审查，提出审核意见，必要时可组织现场查验。</w:t>
            </w:r>
            <w:r>
              <w:rPr>
                <w:rFonts w:hint="eastAsia" w:ascii="宋体" w:cs="宋体"/>
                <w:color w:val="auto"/>
                <w:sz w:val="20"/>
                <w:szCs w:val="20"/>
                <w:highlight w:val="none"/>
                <w:lang w:val="en-US" w:eastAsia="zh-CN"/>
              </w:rPr>
              <w:br w:type="textWrapping"/>
            </w:r>
            <w:r>
              <w:rPr>
                <w:rFonts w:hint="eastAsia" w:ascii="宋体" w:cs="宋体"/>
                <w:color w:val="auto"/>
                <w:sz w:val="20"/>
                <w:szCs w:val="20"/>
                <w:highlight w:val="none"/>
                <w:lang w:val="en-US" w:eastAsia="zh-CN"/>
              </w:rPr>
              <w:t>3.决定责任：作出行政许可或者不予行政许可决定，法定告知（不予许可的，应当告知理由）。</w:t>
            </w:r>
            <w:r>
              <w:rPr>
                <w:rFonts w:hint="eastAsia" w:ascii="宋体" w:cs="宋体"/>
                <w:color w:val="auto"/>
                <w:sz w:val="20"/>
                <w:szCs w:val="20"/>
                <w:highlight w:val="none"/>
                <w:lang w:val="en-US" w:eastAsia="zh-CN"/>
              </w:rPr>
              <w:br w:type="textWrapping"/>
            </w:r>
            <w:r>
              <w:rPr>
                <w:rFonts w:hint="eastAsia" w:ascii="宋体" w:cs="宋体"/>
                <w:color w:val="auto"/>
                <w:sz w:val="20"/>
                <w:szCs w:val="20"/>
                <w:highlight w:val="none"/>
                <w:lang w:val="en-US" w:eastAsia="zh-CN"/>
              </w:rPr>
              <w:t>4.事后监管责任：建立实施监督检查的运行机制和管理制度，开展定期和不定期检查，依法采取相关处置措施。</w:t>
            </w:r>
            <w:r>
              <w:rPr>
                <w:rFonts w:hint="eastAsia" w:ascii="宋体" w:cs="宋体"/>
                <w:color w:val="auto"/>
                <w:sz w:val="20"/>
                <w:szCs w:val="20"/>
                <w:highlight w:val="none"/>
                <w:lang w:val="en-US" w:eastAsia="zh-CN"/>
              </w:rPr>
              <w:br w:type="textWrapping"/>
            </w:r>
            <w:r>
              <w:rPr>
                <w:rFonts w:hint="eastAsia" w:ascii="宋体" w:cs="宋体"/>
                <w:color w:val="auto"/>
                <w:sz w:val="20"/>
                <w:szCs w:val="20"/>
                <w:highlight w:val="none"/>
                <w:lang w:val="en-US" w:eastAsia="zh-C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3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追责情形：《中华人民共和国行政许可法》第七十二条至第七十五条、《中华人民共和国慈善法》第一百零八条以及其他依法应当追究的情形。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表1-4</w:t>
      </w:r>
    </w:p>
    <w:tbl>
      <w:tblPr>
        <w:tblStyle w:val="8"/>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行政</w:t>
            </w:r>
            <w:r>
              <w:rPr>
                <w:rFonts w:hint="eastAsia" w:ascii="宋体" w:hAnsi="宋体" w:cs="宋体"/>
                <w:color w:val="auto"/>
                <w:szCs w:val="21"/>
                <w:highlight w:val="none"/>
                <w:lang w:eastAsia="zh-CN"/>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olor w:val="auto"/>
                <w:szCs w:val="21"/>
                <w:highlight w:val="none"/>
                <w:lang w:bidi="ar"/>
              </w:rPr>
              <w:t>宗教活动场所法人成立、变更、注销登记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3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《宗教事务条例》</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第二十二条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第二十三条 宗教活动场所符合法人条件的，经所在地宗教团体同意，并报县级人民政府宗教事务部门审查同意后，可以到民政部门办理法人登记。</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kern w:val="0"/>
                <w:sz w:val="23"/>
                <w:szCs w:val="23"/>
                <w:highlight w:val="none"/>
                <w:lang w:val="en-US" w:eastAsia="zh-CN"/>
              </w:rPr>
            </w:pPr>
            <w:r>
              <w:rPr>
                <w:rFonts w:hint="eastAsia" w:ascii="宋体" w:cs="宋体"/>
                <w:color w:val="auto"/>
                <w:sz w:val="20"/>
                <w:szCs w:val="20"/>
                <w:highlight w:val="none"/>
                <w:lang w:val="en-US" w:eastAsia="zh-CN"/>
              </w:rPr>
              <w:t>第二十四条 宗教活动场所终止或者变更登记内容的，应当到原登记管理机关办理相应的注销或者变更登记手续。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3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1.受理责任：公示应当提交的材料，一次性告知补正材料，依法受理或不予受理（不予受理应当告知理由）。</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2.审查责任：对申请材料进行审核；提出审查意见。</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3.决定责任：作出行政许可或者不予行政许可决定，法定告知（不予许可的，应当告知理由）。</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4.事后监管责任：建立实施监督检查的运行机制和管理制度，开展定期和不定期检查，依法采取相关处置措施。</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5.其他责任：法律法规规章文件规定应履行的其他责任。</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3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追责情形：《中华人民共和国行政处罚法》第七十六条至第八十三条以及其他依法应当追究的情形。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cs="宋体"/>
                <w:color w:val="auto"/>
                <w:sz w:val="20"/>
                <w:szCs w:val="20"/>
                <w:highlight w:val="none"/>
                <w:lang w:val="en-US" w:eastAsia="zh-CN"/>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0839-</w:t>
            </w:r>
            <w:r>
              <w:rPr>
                <w:rFonts w:hint="eastAsia" w:ascii="宋体" w:hAnsi="宋体" w:cs="宋体"/>
                <w:color w:val="auto"/>
                <w:szCs w:val="21"/>
                <w:highlight w:val="none"/>
                <w:lang w:val="en-US" w:eastAsia="zh-CN"/>
              </w:rPr>
              <w:t>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spacing w:line="360" w:lineRule="exact"/>
        <w:textAlignment w:val="auto"/>
        <w:rPr>
          <w:rFonts w:hint="eastAsia"/>
          <w:color w:val="auto"/>
          <w:highlight w:val="none"/>
          <w:lang w:val="en-US" w:eastAsia="zh-CN"/>
        </w:rPr>
      </w:pPr>
      <w:r>
        <w:rPr>
          <w:rFonts w:hint="eastAsia" w:ascii="宋体" w:hAnsi="宋体" w:cs="宋体"/>
          <w:color w:val="auto"/>
          <w:szCs w:val="21"/>
          <w:highlight w:val="none"/>
          <w:lang w:val="en-US" w:eastAsia="zh-CN"/>
        </w:rPr>
        <w:t>表1-5</w:t>
      </w:r>
    </w:p>
    <w:tbl>
      <w:tblPr>
        <w:tblStyle w:val="8"/>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行政</w:t>
            </w:r>
            <w:r>
              <w:rPr>
                <w:rFonts w:hint="eastAsia" w:ascii="宋体" w:hAnsi="宋体" w:cs="宋体"/>
                <w:color w:val="auto"/>
                <w:szCs w:val="21"/>
                <w:highlight w:val="none"/>
                <w:lang w:eastAsia="zh-CN"/>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bookmarkStart w:id="1" w:name="_GoBack"/>
            <w:r>
              <w:rPr>
                <w:rFonts w:hint="eastAsia" w:ascii="宋体" w:hAnsi="宋体"/>
                <w:color w:val="auto"/>
                <w:szCs w:val="21"/>
                <w:highlight w:val="none"/>
                <w:lang w:val="en-US" w:eastAsia="zh-CN" w:bidi="ar"/>
              </w:rPr>
              <w:t>殡葬设施建设审批</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3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《殡葬管理条例》</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kern w:val="0"/>
                <w:sz w:val="23"/>
                <w:szCs w:val="23"/>
                <w:highlight w:val="none"/>
                <w:lang w:val="en-US" w:eastAsia="zh-CN"/>
              </w:rPr>
            </w:pPr>
            <w:r>
              <w:rPr>
                <w:rFonts w:hint="eastAsia" w:ascii="宋体" w:cs="宋体"/>
                <w:color w:val="auto"/>
                <w:sz w:val="20"/>
                <w:szCs w:val="20"/>
                <w:highlight w:val="none"/>
                <w:lang w:val="en-US" w:eastAsia="zh-CN"/>
              </w:rPr>
              <w:t>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36" w:type="dxa"/>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1．</w:t>
            </w:r>
            <w:r>
              <w:rPr>
                <w:rFonts w:hint="eastAsia" w:ascii="宋体" w:cs="宋体"/>
                <w:color w:val="auto"/>
                <w:sz w:val="20"/>
                <w:szCs w:val="20"/>
                <w:highlight w:val="none"/>
                <w:lang w:val="en-US" w:eastAsia="zh-CN"/>
              </w:rPr>
              <w:t>受理责任：公示应当提交的材料，一次性告知补正材料，依法受理或不予受理（不予受理应当告知理由）。</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eastAsia" w:ascii="宋体" w:cs="宋体"/>
                <w:color w:val="auto"/>
                <w:sz w:val="20"/>
                <w:szCs w:val="20"/>
                <w:highlight w:val="none"/>
                <w:lang w:val="en-US" w:eastAsia="zh-CN"/>
              </w:rPr>
              <w:t>2.审查责任：对申报材料进行审查并进行实地查验，提出审核意见。</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eastAsia" w:ascii="宋体" w:cs="宋体"/>
                <w:color w:val="auto"/>
                <w:sz w:val="20"/>
                <w:szCs w:val="20"/>
                <w:highlight w:val="none"/>
                <w:lang w:val="en-US" w:eastAsia="zh-CN"/>
              </w:rPr>
              <w:t>3.决定责任：作出行政许可或不予行政许可决定，法定告知（不予许可的应当书面告知理由）。</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eastAsia" w:ascii="宋体" w:cs="宋体"/>
                <w:color w:val="auto"/>
                <w:sz w:val="20"/>
                <w:szCs w:val="20"/>
                <w:highlight w:val="none"/>
                <w:lang w:val="en-US" w:eastAsia="zh-CN"/>
              </w:rPr>
              <w:t>4.事后监督责任：建立实施监督检查的运行机制和管理制度，开展定期和不定期检查，依法采取相关处置措施。</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36" w:type="dxa"/>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追责情形：《中华人民共和国行政许可法》第七十二条至第七十五条以及其他依法应当追究的情形。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default" w:ascii="宋体" w:cs="宋体"/>
                <w:color w:val="auto"/>
                <w:sz w:val="20"/>
                <w:szCs w:val="20"/>
                <w:highlight w:val="none"/>
                <w:lang w:val="en-US" w:eastAsia="zh-CN"/>
              </w:rPr>
              <w:t>免责情形：《中华人民共和国公务员法》</w:t>
            </w:r>
            <w:r>
              <w:rPr>
                <w:rFonts w:hint="eastAsia" w:ascii="宋体" w:cs="宋体"/>
                <w:color w:val="auto"/>
                <w:sz w:val="20"/>
                <w:szCs w:val="20"/>
                <w:highlight w:val="none"/>
                <w:lang w:val="en-US" w:eastAsia="zh-CN"/>
              </w:rPr>
              <w:t>第六十条、第六十一条</w:t>
            </w:r>
            <w:r>
              <w:rPr>
                <w:rFonts w:hint="default" w:ascii="宋体" w:cs="宋体"/>
                <w:color w:val="auto"/>
                <w:sz w:val="20"/>
                <w:szCs w:val="20"/>
                <w:highlight w:val="none"/>
                <w:lang w:val="en-US" w:eastAsia="zh-CN"/>
              </w:rPr>
              <w:t>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cs="宋体"/>
                <w:color w:val="auto"/>
                <w:szCs w:val="21"/>
                <w:highlight w:val="none"/>
                <w:lang w:val="en-US" w:eastAsia="zh-CN"/>
              </w:rPr>
              <w:t>0839-3308927</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p>
    <w:p>
      <w:pPr>
        <w:pStyle w:val="4"/>
        <w:rPr>
          <w:rFonts w:ascii="宋体" w:hAnsi="宋体" w:cs="宋体"/>
          <w:color w:val="auto"/>
          <w:szCs w:val="21"/>
          <w:highlight w:val="none"/>
        </w:rPr>
      </w:pPr>
    </w:p>
    <w:p>
      <w:pPr>
        <w:pStyle w:val="4"/>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二、行政处罚（</w:t>
      </w:r>
      <w:r>
        <w:rPr>
          <w:rFonts w:hint="eastAsia" w:ascii="方正小标宋简体" w:hAnsi="方正小标宋简体" w:eastAsia="方正小标宋简体" w:cs="方正小标宋简体"/>
          <w:color w:val="auto"/>
          <w:sz w:val="36"/>
          <w:szCs w:val="36"/>
          <w:highlight w:val="none"/>
          <w:lang w:val="en-US" w:eastAsia="zh-CN"/>
        </w:rPr>
        <w:t>25项</w:t>
      </w:r>
      <w:r>
        <w:rPr>
          <w:rFonts w:hint="eastAsia" w:ascii="方正小标宋简体" w:hAnsi="方正小标宋简体" w:eastAsia="方正小标宋简体" w:cs="方正小标宋简体"/>
          <w:color w:val="auto"/>
          <w:sz w:val="36"/>
          <w:szCs w:val="36"/>
          <w:highlight w:val="none"/>
          <w:lang w:eastAsia="zh-CN"/>
        </w:rPr>
        <w:t>）</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表2-1</w:t>
      </w:r>
    </w:p>
    <w:tbl>
      <w:tblPr>
        <w:tblStyle w:val="8"/>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9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9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9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cs="宋体"/>
                <w:color w:val="auto"/>
                <w:sz w:val="20"/>
                <w:szCs w:val="20"/>
                <w:highlight w:val="none"/>
                <w:lang w:val="en-US" w:eastAsia="zh-CN"/>
              </w:rPr>
              <w:t>社会团体申请登记时弄虚作假，骗取登记，或者自取得《社会团体法人登记证书》之日起1年内未开展活动的行政处罚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5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9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《社会团体登记管理条例》</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cs="宋体"/>
                <w:color w:val="auto"/>
                <w:sz w:val="20"/>
                <w:szCs w:val="20"/>
                <w:highlight w:val="none"/>
                <w:lang w:val="en-US" w:eastAsia="zh-CN"/>
              </w:rPr>
              <w:t xml:space="preserve">第二十九条 社会团体在申请登记时弄虚作假，骗取登记的，或者自取得《社会团体法人登记证书》之日起１年未开展活动的，由登记管理机关予以撤销登记。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96"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olor w:val="auto"/>
                <w:szCs w:val="21"/>
                <w:highlight w:val="none"/>
                <w:lang w:val="en-US"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5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9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1.立案责任：发现社会团体在申请登记时弄虚作假，骗取登记的违法行为（或其他机关移送案件）后，予以审查，决定是否立案。</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2.调查责任：指定专人负责，及时组织调查和收集证据，与当事人有直接利害关系的应当回避。执法人员不得少于两人，调查应出示证件，允许当事人辩解。</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3.审查责任：审理案件调查报告，对案件违法事实、证据、调查取证程序、法律适用、处罚种类和幅度、当事人陈述和申辩，提出处理意见。</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4.告知责任：作出行政处罚决定之前，应制作《行政处罚告知书》送达当事人，符合听证规定的，制作并送达《行政处罚听证告知书》。</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5.决定责任：制作《行政处罚决定书》，载明行政处罚告知、当事人陈述申辩或者听证情况等内容。</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6.送达责任：行政处罚决定书按法律规定的方式送达当事人。</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7.执行责任：依照生效的行政处罚决定执行。</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cs="宋体"/>
                <w:color w:val="auto"/>
                <w:sz w:val="20"/>
                <w:szCs w:val="20"/>
                <w:highlight w:val="none"/>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5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96"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追责情形：《中华人民共和国行政处罚法》第七十六条至第八十三条、《社会团体登记管理条例》第三十四条以及其他依法应当追究的情形。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cs="宋体"/>
                <w:color w:val="auto"/>
                <w:sz w:val="20"/>
                <w:szCs w:val="20"/>
                <w:highlight w:val="none"/>
                <w:lang w:val="en-US" w:eastAsia="zh-CN"/>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96"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表2-</w:t>
      </w:r>
      <w:r>
        <w:rPr>
          <w:rFonts w:ascii="宋体" w:hAnsi="宋体" w:cs="宋体"/>
          <w:color w:val="auto"/>
          <w:szCs w:val="21"/>
          <w:highlight w:val="none"/>
        </w:rPr>
        <w:t>2</w:t>
      </w:r>
    </w:p>
    <w:tbl>
      <w:tblPr>
        <w:tblStyle w:val="8"/>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223"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223"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223"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cs="宋体"/>
                <w:color w:val="auto"/>
                <w:sz w:val="20"/>
                <w:szCs w:val="20"/>
                <w:highlight w:val="none"/>
                <w:lang w:val="en-US" w:eastAsia="zh-CN"/>
              </w:rPr>
              <w:t>对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223"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《社会团体登记管理条例》</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第三十条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cs="宋体"/>
                <w:color w:val="auto"/>
                <w:sz w:val="20"/>
                <w:szCs w:val="20"/>
                <w:highlight w:val="none"/>
                <w:lang w:val="en-US" w:eastAsia="zh-CN"/>
              </w:rPr>
              <w:t>前款规定的行为有违法经营额或者违法所得的，予以没收，可以并处违法经营额1倍以上3倍以下或者违法所得3倍以上5倍以下的罚款。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223"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olor w:val="auto"/>
                <w:szCs w:val="21"/>
                <w:highlight w:val="none"/>
                <w:lang w:val="en-US"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223"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1.立案责任：发现社会团体有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后，予以审查，决定是否立案。</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2.调查责任：指定专人负责，及时组织调查和收集证据，与当事人有直接利害关系的应当回避。执法人员不得少于两人，调查应出示证件，允许当事人辩解。</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3.审查责任：审理案件调查报告，对案件违法事实、证据、调查取证程序、法律适用、处罚种类和幅度、当事人陈述和申辩，提出处理意见。</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4.告知责任：作出行政处罚决定之前，应制作《行政处罚告知书》送达当事人，符合听证规定的，制作并送达《行政处罚听证告知书》。</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5.决定责任：制作《行政处罚决定书》，载明行政处罚告知、当事人陈述申辩或者听证情况等内容。</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6.送达责任：行政处罚决定书按法律规定的方式送达当事人。</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7.执行责任：依照生效的行政处罚决定执行。。</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223"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追责情形：《中华人民共和国行政处罚法》第七十六条至第八十三条、《社会团体登记管理条例》第三十四条以及其他依法应当追究的情形。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223"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表2-</w:t>
      </w:r>
      <w:r>
        <w:rPr>
          <w:rFonts w:ascii="宋体" w:hAnsi="宋体" w:cs="宋体"/>
          <w:color w:val="auto"/>
          <w:szCs w:val="21"/>
          <w:highlight w:val="none"/>
        </w:rPr>
        <w:t>3</w:t>
      </w:r>
    </w:p>
    <w:tbl>
      <w:tblPr>
        <w:tblStyle w:val="8"/>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247"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247"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247"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对民办非企业单位在申请登记时弄虚作假，骗取登记的</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247"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《民办非企业单位登记管理暂行条例》</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cs="宋体"/>
                <w:color w:val="auto"/>
                <w:sz w:val="20"/>
                <w:szCs w:val="20"/>
                <w:highlight w:val="none"/>
                <w:lang w:val="en-US" w:eastAsia="zh-CN"/>
              </w:rPr>
              <w:t>第二十四条 民办非企业单位在申请登记时弄虚作假，骗取登记的，或者业务主管单位撤销批准的，由登记管理机关予以撤销登记。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247"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olor w:val="auto"/>
                <w:szCs w:val="21"/>
                <w:highlight w:val="none"/>
                <w:lang w:val="en-US"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247"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1.立案责任：发现民办非企业单位在申请登记时弄虚作假，骗取登记的违法行为（或其他机关移送案件）后，予以审查，决定是否立案。</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2.调查责任：指定专人负责，及时组织调查和收集证据，与当事人有直接利害关系的应当回避。执法人员不得少于两人，调查应出示证件，允许当事人辩解。</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3.审查责任：审理案件调查报告，对案件违法事实、证据、调查取证程序、法律适用、处罚种类和幅度、当事人陈述和申辩，提出处理意见。</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4.告知责任：作出行政处罚决定之前，应制作《行政处罚告知书》送达当事人，符合听证规定的，制作并送达《行政处罚听证告知书》。</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5.决定责任：制作《行政处罚决定书》，载明行政处罚告知、当事人陈述申辩或者听证情况等内容。</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6.送达责任：行政处罚决定书按法律规定的方式送达当事人。</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7.执行责任：依照生效的行政处罚决定执行。。</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247"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追责情形：《中华人民共和国行政处罚法》第七十六条至第八十三条、《民办非企业单位登记管理暂行条例》第二十九条以及其他依法应当追究的情形。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4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247"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表2-</w:t>
      </w:r>
      <w:r>
        <w:rPr>
          <w:rFonts w:ascii="宋体" w:hAnsi="宋体" w:cs="宋体"/>
          <w:color w:val="auto"/>
          <w:szCs w:val="21"/>
          <w:highlight w:val="none"/>
        </w:rPr>
        <w:t>4</w:t>
      </w:r>
    </w:p>
    <w:tbl>
      <w:tblPr>
        <w:tblStyle w:val="8"/>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7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233"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7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233"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exact"/>
        </w:trPr>
        <w:tc>
          <w:tcPr>
            <w:tcW w:w="157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233" w:type="dxa"/>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cs="宋体"/>
                <w:color w:val="auto"/>
                <w:szCs w:val="21"/>
                <w:highlight w:val="none"/>
              </w:rPr>
            </w:pPr>
            <w:r>
              <w:rPr>
                <w:rFonts w:hint="eastAsia" w:ascii="宋体" w:cs="宋体"/>
                <w:color w:val="auto"/>
                <w:sz w:val="20"/>
                <w:szCs w:val="20"/>
                <w:highlight w:val="none"/>
                <w:lang w:val="en-US" w:eastAsia="zh-CN"/>
              </w:rPr>
              <w:t>对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7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233"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《民办非企业单位登记管理暂行条例》</w:t>
            </w:r>
          </w:p>
          <w:p>
            <w:pPr>
              <w:keepNext w:val="0"/>
              <w:keepLines w:val="0"/>
              <w:pageBreakBefore w:val="0"/>
              <w:kinsoku/>
              <w:wordWrap/>
              <w:overflowPunct/>
              <w:topLinePunct w:val="0"/>
              <w:autoSpaceDE/>
              <w:autoSpaceDN/>
              <w:bidi w:val="0"/>
              <w:spacing w:line="360" w:lineRule="exact"/>
              <w:textAlignment w:val="auto"/>
              <w:rPr>
                <w:rFonts w:hint="eastAsia"/>
                <w:color w:val="auto"/>
                <w:sz w:val="21"/>
                <w:szCs w:val="21"/>
                <w:highlight w:val="none"/>
              </w:rPr>
            </w:pPr>
            <w:r>
              <w:rPr>
                <w:rFonts w:hint="eastAsia" w:ascii="宋体" w:cs="宋体"/>
                <w:color w:val="auto"/>
                <w:sz w:val="20"/>
                <w:szCs w:val="20"/>
                <w:highlight w:val="none"/>
                <w:lang w:val="en-US" w:eastAsia="zh-CN"/>
              </w:rPr>
              <w:t>第二十五条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233"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olor w:val="auto"/>
                <w:szCs w:val="21"/>
                <w:highlight w:val="none"/>
                <w:lang w:val="en-US"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157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233"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1.立案责任：发现民办非企业单位有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后，予以审查，决定是否立案。</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2.调查责任：指定专人负责，及时组织调查和收集证据，与当事人有直接利害关系的应当回避。执法人员不得少于两人，调查应出示证件，允许当事人辩解。</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3.审查责任：审理案件调查报告，对案件违法事实、证据、调查取证程序、法律适用、处罚种类和幅度、当事人陈述和申辩，提出处理意见。</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4.告知责任：作出行政处罚决定之前，应制作《行政处罚告知书》送达当事人，符合听证规定的，制作并送达《行政处罚听证告知书》。</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5.决定责任：制作《行政处罚决定书》，载明行政处罚告知、当事人陈述申辩或者听证情况等内容。</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6.送达责任：行政处罚决定书按法律规定的方式送达当事人。</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7.执行责任：依照生效的行政处罚决定执行。。</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157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233"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追责情形：《中华人民共和国行政处罚法》第七十六条至第八十三条、《民办非企业单位登记管理暂行条例》第二十九条以及其他依法应当追究的情形。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71"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233"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color w:val="auto"/>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表2-</w:t>
      </w:r>
      <w:r>
        <w:rPr>
          <w:rFonts w:ascii="宋体" w:hAnsi="宋体" w:cs="宋体"/>
          <w:color w:val="auto"/>
          <w:szCs w:val="21"/>
          <w:highlight w:val="none"/>
        </w:rPr>
        <w:t>5</w:t>
      </w:r>
    </w:p>
    <w:tbl>
      <w:tblPr>
        <w:tblStyle w:val="8"/>
        <w:tblW w:w="8840" w:type="dxa"/>
        <w:tblInd w:w="0" w:type="dxa"/>
        <w:tblLayout w:type="fixed"/>
        <w:tblCellMar>
          <w:top w:w="0" w:type="dxa"/>
          <w:left w:w="108" w:type="dxa"/>
          <w:bottom w:w="0" w:type="dxa"/>
          <w:right w:w="108" w:type="dxa"/>
        </w:tblCellMar>
      </w:tblPr>
      <w:tblGrid>
        <w:gridCol w:w="1605"/>
        <w:gridCol w:w="7235"/>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2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2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2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left"/>
              <w:textAlignment w:val="auto"/>
              <w:rPr>
                <w:rFonts w:ascii="宋体" w:cs="宋体"/>
                <w:color w:val="auto"/>
                <w:szCs w:val="21"/>
                <w:highlight w:val="none"/>
              </w:rPr>
            </w:pPr>
            <w:r>
              <w:rPr>
                <w:rFonts w:hint="eastAsia" w:ascii="宋体" w:cs="宋体"/>
                <w:color w:val="auto"/>
                <w:sz w:val="20"/>
                <w:szCs w:val="20"/>
                <w:highlight w:val="none"/>
                <w:lang w:val="en-US" w:eastAsia="zh-CN"/>
              </w:rPr>
              <w:t>对养老机构未与老年人或者其代理人签订服务协议（或者协议不符合规定），未按照国家有关标准和规定开展服务，配备人员的资格不符合规定，向负责监督检查的民政部门隐瞒有关情况、提供虚假材料或者拒绝提供反映其活动情况真实材料，利用养老机构的房屋、场地、设施开展与养老服务宗旨无关的活动，歧视、侮辱、虐待或遗弃老年人以及其他侵犯老年人合法权益行为的处罚，擅自暂停或者终止服务等情形的行政处罚</w:t>
            </w:r>
          </w:p>
        </w:tc>
      </w:tr>
      <w:tr>
        <w:tblPrEx>
          <w:tblCellMar>
            <w:top w:w="0" w:type="dxa"/>
            <w:left w:w="108" w:type="dxa"/>
            <w:bottom w:w="0" w:type="dxa"/>
            <w:right w:w="108" w:type="dxa"/>
          </w:tblCellMar>
        </w:tblPrEx>
        <w:trPr>
          <w:trHeight w:val="68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23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 xml:space="preserve">《养老机构管理办法》 </w:t>
            </w:r>
          </w:p>
          <w:p>
            <w:pPr>
              <w:keepNext w:val="0"/>
              <w:keepLines w:val="0"/>
              <w:pageBreakBefore w:val="0"/>
              <w:kinsoku/>
              <w:wordWrap/>
              <w:overflowPunct/>
              <w:topLinePunct w:val="0"/>
              <w:autoSpaceDE/>
              <w:autoSpaceDN/>
              <w:bidi w:val="0"/>
              <w:spacing w:line="360" w:lineRule="exact"/>
              <w:textAlignment w:val="auto"/>
              <w:rPr>
                <w:color w:val="auto"/>
                <w:szCs w:val="21"/>
                <w:highlight w:val="none"/>
              </w:rPr>
            </w:pPr>
            <w:r>
              <w:rPr>
                <w:rFonts w:hint="eastAsia" w:ascii="宋体" w:cs="宋体"/>
                <w:color w:val="auto"/>
                <w:sz w:val="20"/>
                <w:szCs w:val="20"/>
                <w:highlight w:val="none"/>
                <w:lang w:val="en-US" w:eastAsia="zh-CN"/>
              </w:rPr>
              <w:t>第四十六条  养老机构有下列行为之一的，由民政部门责令改正，给予警告；情节严重的，处以3万元以下的罚款：（一）未建立入院评估制度或者未按照规定开展评估活动的；（二）未与老年人或者其代理人签订服务协议，或者未按照协议约定提供服务的；（三）未按照有关强制性国家标准提供服务的；（四）工作人员的资格不符合规定的；（五）利用养老机构的房屋、场地、设施开展与养老服务宗旨无关的活动的；（六）未依照本办法规定预防和处置突发事件的；（七）歧视、侮辱、虐待老年人以及其他侵害老年人人身和财产权益行为的；（八）向负责监督检查的民政部门隐瞒有关情况、提供虚假材料或者拒绝提供反映其活动情况真实材料的；（九）法律、法规、规章规定的其他违法行为。养老机构及其工作人员违反本办法有关规定，构成违反治安管理行为的，依法给予治安管理处罚；构成犯罪的，依法追究刑事责任。</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2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社会事务与养老服务股</w:t>
            </w:r>
          </w:p>
        </w:tc>
      </w:tr>
      <w:tr>
        <w:tblPrEx>
          <w:tblCellMar>
            <w:top w:w="0" w:type="dxa"/>
            <w:left w:w="108" w:type="dxa"/>
            <w:bottom w:w="0" w:type="dxa"/>
            <w:right w:w="108" w:type="dxa"/>
          </w:tblCellMar>
        </w:tblPrEx>
        <w:trPr>
          <w:trHeight w:val="90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23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1.立案责任：发现养老机构存在未与老年人或者其代理人签订服务协议（或者协议不符合规定），未按照国家有关标准和规定开展服务，配备人员的资格不符合规定，向负责监督检查的民政部门隐瞒有关情况、提供虚假材料或者拒绝提供反映其活动情况真实材料，利用养老机构的房屋、场地、设施开展与养老服务宗旨无关的活动，歧视、侮辱、虐待或遗弃老年人以及其他侵犯老年人合法权益行为的处罚，擅自暂停或者终止服务等情形的处罚等不符合规定的违法行为，应当予以审查，决定是否立案。</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2.调查责任：民政部门对立案的案件，指定专人负责，及时调查取证，与当事人有利害关系的应当主动回避。执法人员不得少于2人，调查时应当出示证件，允许当事人进行辩解。</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3.审查责任：审理案件调查报告，对案件的违法事实、证据以及办理程序、法律适用、处罚种类和处罚幅度、当事人陈述和辩解，提出处理意见。</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4.告知责任：作出处理决定前，应当制作《行政处罚告知书》并送达当事人。</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5.决定责任:制作《行政处罚决定书》，载明处罚事项、采信证据、当事人陈述或听证情况等内容。</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6.送达责任：《行政处罚决定书》按照法律规定方式送达当事人。</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7.执行责任：依照生效的行政处罚决定执行。。</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8.其他责任：法律、法规规章文件规定应当履行的其他法律责任。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23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追责情形：《中华人民共和国行政处罚法》第七十六条至第八十三条、《养老机构管理办法》第四十七条以及其他依法应当追究的情形。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免责情形：《中华人民共和国公务员法》第六十条、第六十一条以及其他依法应当免责的情形。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2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ind w:firstLine="2100" w:firstLineChars="1000"/>
              <w:textAlignment w:val="auto"/>
              <w:rPr>
                <w:rFonts w:ascii="宋体" w:cs="宋体"/>
                <w:color w:val="auto"/>
                <w:szCs w:val="21"/>
                <w:highlight w:val="none"/>
              </w:rPr>
            </w:pPr>
            <w:r>
              <w:rPr>
                <w:rFonts w:hint="eastAsia" w:ascii="宋体" w:cs="宋体"/>
                <w:color w:val="auto"/>
                <w:szCs w:val="21"/>
                <w:highlight w:val="none"/>
              </w:rPr>
              <w:t>0839-3309025</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表2-</w:t>
      </w:r>
      <w:r>
        <w:rPr>
          <w:rFonts w:ascii="宋体" w:hAnsi="宋体" w:cs="宋体"/>
          <w:color w:val="auto"/>
          <w:szCs w:val="21"/>
          <w:highlight w:val="none"/>
        </w:rPr>
        <w:t>6</w:t>
      </w:r>
    </w:p>
    <w:tbl>
      <w:tblPr>
        <w:tblStyle w:val="8"/>
        <w:tblW w:w="8699" w:type="dxa"/>
        <w:tblInd w:w="129" w:type="dxa"/>
        <w:tblLayout w:type="fixed"/>
        <w:tblCellMar>
          <w:top w:w="0" w:type="dxa"/>
          <w:left w:w="108" w:type="dxa"/>
          <w:bottom w:w="0" w:type="dxa"/>
          <w:right w:w="108" w:type="dxa"/>
        </w:tblCellMar>
      </w:tblPr>
      <w:tblGrid>
        <w:gridCol w:w="1605"/>
        <w:gridCol w:w="7094"/>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0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6</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0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0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对未经批准，擅自建设殡葬设施的</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rPr>
              <w:t>处罚</w:t>
            </w:r>
          </w:p>
        </w:tc>
      </w:tr>
      <w:tr>
        <w:tblPrEx>
          <w:tblCellMar>
            <w:top w:w="0" w:type="dxa"/>
            <w:left w:w="108" w:type="dxa"/>
            <w:bottom w:w="0" w:type="dxa"/>
            <w:right w:w="108" w:type="dxa"/>
          </w:tblCellMar>
        </w:tblPrEx>
        <w:trPr>
          <w:trHeight w:val="68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094"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《四川省殡葬管理条例》</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第二十五条  殡仪馆、火葬场、殡葬服务站、社会公共墓地是社会公共服务设施，属于殡葬事业单位。由县（市、区）以上民政部门根据需要设置和管理。其他任何单位和个人不得兴办和经营。兴办公益性公墓，应经乡（镇）人民政府同意后报县（市、区）民政局批准。公益性公墓为本乡（镇）村民提供服务，不得从事经营活动。</w:t>
            </w:r>
          </w:p>
          <w:p>
            <w:pPr>
              <w:keepNext w:val="0"/>
              <w:keepLines w:val="0"/>
              <w:pageBreakBefore w:val="0"/>
              <w:kinsoku/>
              <w:wordWrap/>
              <w:overflowPunct/>
              <w:topLinePunct w:val="0"/>
              <w:autoSpaceDE/>
              <w:autoSpaceDN/>
              <w:bidi w:val="0"/>
              <w:spacing w:line="360" w:lineRule="exact"/>
              <w:textAlignment w:val="auto"/>
              <w:rPr>
                <w:rFonts w:ascii="宋体" w:cs="宋体"/>
                <w:b/>
                <w:bCs/>
                <w:color w:val="auto"/>
                <w:szCs w:val="21"/>
                <w:highlight w:val="none"/>
              </w:rPr>
            </w:pPr>
            <w:r>
              <w:rPr>
                <w:rFonts w:hint="default" w:ascii="宋体" w:cs="宋体"/>
                <w:color w:val="auto"/>
                <w:sz w:val="20"/>
                <w:szCs w:val="20"/>
                <w:highlight w:val="none"/>
                <w:lang w:val="en-US" w:eastAsia="zh-CN"/>
              </w:rPr>
              <w:t>第三十条</w:t>
            </w:r>
            <w:r>
              <w:rPr>
                <w:rFonts w:hint="eastAsia" w:ascii="宋体" w:cs="宋体"/>
                <w:color w:val="auto"/>
                <w:sz w:val="20"/>
                <w:szCs w:val="20"/>
                <w:highlight w:val="none"/>
                <w:lang w:val="en-US" w:eastAsia="zh-CN"/>
              </w:rPr>
              <w:t xml:space="preserve"> 违反本条例第二十五条规定的，由县级以上民政部门会同建设、土地行政管理部门予以取缔，责令恢复原状，没收违法所得，可以并处违法所得1倍以上3倍以下罚款。</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0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9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0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宋体" w:cs="宋体"/>
                <w:color w:val="auto"/>
                <w:szCs w:val="21"/>
                <w:highlight w:val="none"/>
              </w:rPr>
            </w:pPr>
            <w:r>
              <w:rPr>
                <w:rFonts w:hint="default" w:ascii="宋体" w:cs="宋体"/>
                <w:color w:val="auto"/>
                <w:sz w:val="20"/>
                <w:szCs w:val="20"/>
                <w:highlight w:val="none"/>
                <w:lang w:val="en-US" w:eastAsia="zh-CN"/>
              </w:rPr>
              <w:t>1．立案责任：发现涉嫌未经批准、擅自建设殡葬设施的违规行为（或者下级民政部门或其它机关移送的违法案件等），予以审查，决定是否立案。</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2．调查责任：对立案的案件，指定专人负责，及时组织调查取证。与当事人有直接利害关系的应当回避。执法人员不得少于两人，调查时应出示证件。允许当事人辩解。</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3．审查责任：审理案件调查报告，对案件违法事实、证据、调查取证程序、适用法律、处罚种类和幅度、当事人陈述和辩解提出处理意见。</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4．告知责任：作出行政处罚决定前，应当制作《行政处罚告知书》送达当事人，符合听证规定的，制作并送达《行政处罚听证告知书》。</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5．决定责任：制作《行政处罚决定书》，载明行政处罚告知、当事人陈述申辩或者听证情况等内容。</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6．送达责任：行政处罚决定书按法律规定的方式送达当事人。</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7．执行责任：</w:t>
            </w:r>
            <w:r>
              <w:rPr>
                <w:rFonts w:hint="eastAsia" w:ascii="宋体" w:cs="宋体"/>
                <w:color w:val="auto"/>
                <w:sz w:val="20"/>
                <w:szCs w:val="20"/>
                <w:highlight w:val="none"/>
                <w:lang w:val="en-US" w:eastAsia="zh-CN"/>
              </w:rPr>
              <w:t>依照生效的行政处罚决定执行</w:t>
            </w:r>
            <w:r>
              <w:rPr>
                <w:rFonts w:hint="default" w:ascii="宋体" w:cs="宋体"/>
                <w:color w:val="auto"/>
                <w:sz w:val="20"/>
                <w:szCs w:val="20"/>
                <w:highlight w:val="none"/>
                <w:lang w:val="en-US" w:eastAsia="zh-CN"/>
              </w:rPr>
              <w:t>。</w:t>
            </w:r>
            <w:r>
              <w:rPr>
                <w:rFonts w:hint="default" w:ascii="宋体" w:hAnsi="宋体" w:cs="宋体"/>
                <w:color w:val="auto"/>
                <w:szCs w:val="21"/>
                <w:highlight w:val="none"/>
                <w:lang w:val="en-US" w:eastAsia="zh-CN"/>
              </w:rPr>
              <w:br w:type="textWrapping"/>
            </w:r>
            <w:r>
              <w:rPr>
                <w:rFonts w:hint="default" w:ascii="宋体" w:cs="宋体"/>
                <w:color w:val="auto"/>
                <w:sz w:val="20"/>
                <w:szCs w:val="20"/>
                <w:highlight w:val="none"/>
                <w:lang w:val="en-US" w:eastAsia="zh-CN"/>
              </w:rPr>
              <w:t>8</w:t>
            </w:r>
            <w:r>
              <w:rPr>
                <w:rFonts w:hint="default" w:ascii="宋体" w:cs="宋体"/>
                <w:color w:val="auto"/>
                <w:sz w:val="20"/>
                <w:szCs w:val="20"/>
                <w:highlight w:val="none"/>
                <w:lang w:val="en" w:eastAsia="zh-CN"/>
              </w:rPr>
              <w:t>.</w:t>
            </w:r>
            <w:r>
              <w:rPr>
                <w:rFonts w:hint="default" w:ascii="宋体" w:cs="宋体"/>
                <w:color w:val="auto"/>
                <w:sz w:val="20"/>
                <w:szCs w:val="20"/>
                <w:highlight w:val="none"/>
                <w:lang w:val="en-US" w:eastAsia="zh-CN"/>
              </w:rPr>
              <w:t>其它责任：法律法规规章文件规定应履行的其他责任。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094"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追责情形：《中华人民共和国行政处罚法》第七十六条至第八十三条、《四川省殡葬管理条例》第三十八条以及其他依法应当追究的情形。</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default" w:ascii="宋体" w:cs="宋体"/>
                <w:color w:val="auto"/>
                <w:sz w:val="20"/>
                <w:szCs w:val="20"/>
                <w:highlight w:val="none"/>
                <w:lang w:val="en-US" w:eastAsia="zh-CN"/>
              </w:rPr>
              <w:t>免责情形：《中华人民共和国公务员法》第六十条、第六十一条以及其他依法应当免责的情形。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0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lang w:val="en-US" w:eastAsia="zh-CN"/>
              </w:rPr>
              <w:t>0839-3308927</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表2-</w:t>
      </w:r>
      <w:r>
        <w:rPr>
          <w:rFonts w:ascii="宋体" w:hAnsi="宋体" w:cs="宋体"/>
          <w:color w:val="auto"/>
          <w:szCs w:val="21"/>
          <w:highlight w:val="none"/>
        </w:rPr>
        <w:t>7</w:t>
      </w:r>
    </w:p>
    <w:tbl>
      <w:tblPr>
        <w:tblStyle w:val="8"/>
        <w:tblW w:w="8699" w:type="dxa"/>
        <w:tblInd w:w="129" w:type="dxa"/>
        <w:tblLayout w:type="fixed"/>
        <w:tblCellMar>
          <w:top w:w="0" w:type="dxa"/>
          <w:left w:w="108" w:type="dxa"/>
          <w:bottom w:w="0" w:type="dxa"/>
          <w:right w:w="108" w:type="dxa"/>
        </w:tblCellMar>
      </w:tblPr>
      <w:tblGrid>
        <w:gridCol w:w="1605"/>
        <w:gridCol w:w="7094"/>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0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7</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0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0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对墓穴占地面积超过标准的</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rPr>
              <w:t>处罚</w:t>
            </w:r>
          </w:p>
        </w:tc>
      </w:tr>
      <w:tr>
        <w:tblPrEx>
          <w:tblCellMar>
            <w:top w:w="0" w:type="dxa"/>
            <w:left w:w="108" w:type="dxa"/>
            <w:bottom w:w="0" w:type="dxa"/>
            <w:right w:w="108" w:type="dxa"/>
          </w:tblCellMar>
        </w:tblPrEx>
        <w:trPr>
          <w:trHeight w:val="68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094"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《四川省殡葬管理条例》</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第二十六条  埋葬骨灰的墓位用地面积不得超过1平方米，埋葬遗体的墓位用地面积不得超过3平方米。</w:t>
            </w:r>
          </w:p>
          <w:p>
            <w:pPr>
              <w:keepNext w:val="0"/>
              <w:keepLines w:val="0"/>
              <w:pageBreakBefore w:val="0"/>
              <w:kinsoku/>
              <w:wordWrap/>
              <w:overflowPunct/>
              <w:topLinePunct w:val="0"/>
              <w:autoSpaceDE/>
              <w:autoSpaceDN/>
              <w:bidi w:val="0"/>
              <w:spacing w:line="360" w:lineRule="exact"/>
              <w:textAlignment w:val="auto"/>
              <w:rPr>
                <w:rFonts w:ascii="宋体" w:cs="宋体"/>
                <w:b/>
                <w:bCs/>
                <w:color w:val="auto"/>
                <w:szCs w:val="21"/>
                <w:highlight w:val="none"/>
              </w:rPr>
            </w:pPr>
            <w:r>
              <w:rPr>
                <w:rFonts w:hint="eastAsia" w:ascii="宋体" w:cs="宋体"/>
                <w:color w:val="auto"/>
                <w:sz w:val="20"/>
                <w:szCs w:val="20"/>
                <w:highlight w:val="none"/>
                <w:lang w:val="en-US" w:eastAsia="zh-CN"/>
              </w:rPr>
              <w:t>第三十四条 违反本条例第二十六条规定的，由县级以上民政部门责令限期改正，没收违法所得，可以并处违法所得1倍以上3倍以下罚款。</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0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100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094"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eastAsia" w:ascii="宋体" w:cs="宋体"/>
                <w:color w:val="auto"/>
                <w:sz w:val="20"/>
                <w:szCs w:val="20"/>
                <w:highlight w:val="none"/>
                <w:lang w:val="en-US" w:eastAsia="zh-CN"/>
              </w:rPr>
              <w:t>1.</w:t>
            </w:r>
            <w:r>
              <w:rPr>
                <w:rFonts w:hint="default" w:ascii="宋体" w:cs="宋体"/>
                <w:color w:val="auto"/>
                <w:sz w:val="20"/>
                <w:szCs w:val="20"/>
                <w:highlight w:val="none"/>
                <w:lang w:val="en-US" w:eastAsia="zh-CN"/>
              </w:rPr>
              <w:t>立案责任：发现涉嫌公墓占地面积超标准的违规行为（或者下级民政部门或其它机关移送的违法案件等），予以审查，决定是否立案。</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eastAsia" w:ascii="宋体" w:cs="宋体"/>
                <w:color w:val="auto"/>
                <w:sz w:val="20"/>
                <w:szCs w:val="20"/>
                <w:highlight w:val="none"/>
                <w:lang w:val="en-US" w:eastAsia="zh-CN"/>
              </w:rPr>
              <w:t>2.</w:t>
            </w:r>
            <w:r>
              <w:rPr>
                <w:rFonts w:hint="default" w:ascii="宋体" w:cs="宋体"/>
                <w:color w:val="auto"/>
                <w:sz w:val="20"/>
                <w:szCs w:val="20"/>
                <w:highlight w:val="none"/>
                <w:lang w:val="en-US" w:eastAsia="zh-CN"/>
              </w:rPr>
              <w:t>调查责任：民政部门对立案的案件，指定专人负责，及时组织调查取证。与当事人有直接利害关系的应当回避。执法人员不得少于两人，调查时应出示证件。允许当事人辩解。</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3.</w:t>
            </w:r>
            <w:r>
              <w:rPr>
                <w:rFonts w:hint="default" w:ascii="宋体" w:cs="宋体"/>
                <w:color w:val="auto"/>
                <w:sz w:val="20"/>
                <w:szCs w:val="20"/>
                <w:highlight w:val="none"/>
                <w:lang w:val="en-US" w:eastAsia="zh-CN"/>
              </w:rPr>
              <w:t>审查责任：审理案件调查报告，对案件违法事实、证据、调查取证程序、适用法律、处罚种类和幅度、当事人陈述和辩解提出处理意见。</w:t>
            </w:r>
            <w:r>
              <w:rPr>
                <w:rFonts w:hint="default" w:ascii="宋体" w:cs="宋体"/>
                <w:color w:val="auto"/>
                <w:sz w:val="20"/>
                <w:szCs w:val="20"/>
                <w:highlight w:val="none"/>
                <w:lang w:val="en-US" w:eastAsia="zh-CN"/>
              </w:rPr>
              <w:br w:type="textWrapping"/>
            </w:r>
            <w:r>
              <w:rPr>
                <w:rFonts w:hint="eastAsia" w:ascii="宋体" w:cs="宋体"/>
                <w:color w:val="auto"/>
                <w:sz w:val="20"/>
                <w:szCs w:val="20"/>
                <w:highlight w:val="none"/>
                <w:lang w:val="en-US" w:eastAsia="zh-CN"/>
              </w:rPr>
              <w:t>4.</w:t>
            </w:r>
            <w:r>
              <w:rPr>
                <w:rFonts w:hint="default" w:ascii="宋体" w:cs="宋体"/>
                <w:color w:val="auto"/>
                <w:sz w:val="20"/>
                <w:szCs w:val="20"/>
                <w:highlight w:val="none"/>
                <w:lang w:val="en-US" w:eastAsia="zh-CN"/>
              </w:rPr>
              <w:t>告知责任：作出行政处罚决定前，应当制作《行政处罚告知书》送达当事人，符合听证规定的，制作并送达《行政处罚听证告知书》。</w:t>
            </w:r>
            <w:r>
              <w:rPr>
                <w:rFonts w:hint="default" w:ascii="宋体" w:cs="宋体"/>
                <w:color w:val="auto"/>
                <w:sz w:val="20"/>
                <w:szCs w:val="20"/>
                <w:highlight w:val="none"/>
                <w:lang w:val="en-US" w:eastAsia="zh-CN"/>
              </w:rPr>
              <w:br w:type="textWrapping"/>
            </w:r>
            <w:r>
              <w:rPr>
                <w:rFonts w:hint="eastAsia" w:ascii="宋体" w:cs="宋体"/>
                <w:color w:val="auto"/>
                <w:sz w:val="20"/>
                <w:szCs w:val="20"/>
                <w:highlight w:val="none"/>
                <w:lang w:val="en-US" w:eastAsia="zh-CN"/>
              </w:rPr>
              <w:t>5.</w:t>
            </w:r>
            <w:r>
              <w:rPr>
                <w:rFonts w:hint="default" w:ascii="宋体" w:cs="宋体"/>
                <w:color w:val="auto"/>
                <w:sz w:val="20"/>
                <w:szCs w:val="20"/>
                <w:highlight w:val="none"/>
                <w:lang w:val="en-US" w:eastAsia="zh-CN"/>
              </w:rPr>
              <w:t>决定责任：制作《行政处罚决定书》，载明行政处罚告知、当事人陈述申辩或者听证情况等内容。</w:t>
            </w:r>
            <w:r>
              <w:rPr>
                <w:rFonts w:hint="default" w:ascii="宋体" w:cs="宋体"/>
                <w:color w:val="auto"/>
                <w:sz w:val="20"/>
                <w:szCs w:val="20"/>
                <w:highlight w:val="none"/>
                <w:lang w:val="en-US" w:eastAsia="zh-CN"/>
              </w:rPr>
              <w:br w:type="textWrapping"/>
            </w:r>
            <w:r>
              <w:rPr>
                <w:rFonts w:hint="eastAsia" w:ascii="宋体" w:cs="宋体"/>
                <w:color w:val="auto"/>
                <w:sz w:val="20"/>
                <w:szCs w:val="20"/>
                <w:highlight w:val="none"/>
                <w:lang w:val="en-US" w:eastAsia="zh-CN"/>
              </w:rPr>
              <w:t>6.</w:t>
            </w:r>
            <w:r>
              <w:rPr>
                <w:rFonts w:hint="default" w:ascii="宋体" w:cs="宋体"/>
                <w:color w:val="auto"/>
                <w:sz w:val="20"/>
                <w:szCs w:val="20"/>
                <w:highlight w:val="none"/>
                <w:lang w:val="en-US" w:eastAsia="zh-CN"/>
              </w:rPr>
              <w:t>送达责任：行政处罚决定书按法律规定的方式送达当事人。</w:t>
            </w:r>
            <w:r>
              <w:rPr>
                <w:rFonts w:hint="default" w:ascii="宋体" w:cs="宋体"/>
                <w:color w:val="auto"/>
                <w:sz w:val="20"/>
                <w:szCs w:val="20"/>
                <w:highlight w:val="none"/>
                <w:lang w:val="en-US" w:eastAsia="zh-CN"/>
              </w:rPr>
              <w:br w:type="textWrapping"/>
            </w:r>
            <w:r>
              <w:rPr>
                <w:rFonts w:hint="eastAsia" w:ascii="宋体" w:cs="宋体"/>
                <w:color w:val="auto"/>
                <w:sz w:val="20"/>
                <w:szCs w:val="20"/>
                <w:highlight w:val="none"/>
                <w:lang w:val="en-US" w:eastAsia="zh-CN"/>
              </w:rPr>
              <w:t>7.</w:t>
            </w:r>
            <w:r>
              <w:rPr>
                <w:rFonts w:hint="default" w:ascii="宋体" w:cs="宋体"/>
                <w:color w:val="auto"/>
                <w:sz w:val="20"/>
                <w:szCs w:val="20"/>
                <w:highlight w:val="none"/>
                <w:lang w:val="en-US" w:eastAsia="zh-CN"/>
              </w:rPr>
              <w:t>执行责任：</w:t>
            </w:r>
            <w:r>
              <w:rPr>
                <w:rFonts w:hint="eastAsia" w:ascii="宋体" w:cs="宋体"/>
                <w:color w:val="auto"/>
                <w:sz w:val="20"/>
                <w:szCs w:val="20"/>
                <w:highlight w:val="none"/>
                <w:lang w:val="en-US" w:eastAsia="zh-CN"/>
              </w:rPr>
              <w:t>依照生效的行政处罚决定执行</w:t>
            </w:r>
            <w:r>
              <w:rPr>
                <w:rFonts w:hint="default" w:ascii="宋体" w:cs="宋体"/>
                <w:color w:val="auto"/>
                <w:sz w:val="20"/>
                <w:szCs w:val="20"/>
                <w:highlight w:val="none"/>
                <w:lang w:val="en-US" w:eastAsia="zh-CN"/>
              </w:rPr>
              <w:t>。。</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8</w:t>
            </w:r>
            <w:r>
              <w:rPr>
                <w:rFonts w:hint="default" w:ascii="宋体" w:cs="宋体"/>
                <w:color w:val="auto"/>
                <w:sz w:val="20"/>
                <w:szCs w:val="20"/>
                <w:highlight w:val="none"/>
                <w:lang w:val="en" w:eastAsia="zh-CN"/>
              </w:rPr>
              <w:t>.</w:t>
            </w:r>
            <w:r>
              <w:rPr>
                <w:rFonts w:hint="default" w:ascii="宋体" w:cs="宋体"/>
                <w:color w:val="auto"/>
                <w:sz w:val="20"/>
                <w:szCs w:val="20"/>
                <w:highlight w:val="none"/>
                <w:lang w:val="en-US" w:eastAsia="zh-CN"/>
              </w:rPr>
              <w:t>其它责任：法律法规规章文件规定应履行的其他责任。</w:t>
            </w:r>
          </w:p>
          <w:p>
            <w:pPr>
              <w:keepNext w:val="0"/>
              <w:keepLines w:val="0"/>
              <w:pageBreakBefore w:val="0"/>
              <w:kinsoku/>
              <w:wordWrap/>
              <w:overflowPunct/>
              <w:topLinePunct w:val="0"/>
              <w:autoSpaceDE/>
              <w:autoSpaceDN/>
              <w:bidi w:val="0"/>
              <w:spacing w:line="360" w:lineRule="exact"/>
              <w:jc w:val="left"/>
              <w:textAlignment w:val="auto"/>
              <w:rPr>
                <w:rFonts w:ascii="宋体" w:cs="宋体"/>
                <w:color w:val="auto"/>
                <w:szCs w:val="21"/>
                <w:highlight w:val="none"/>
              </w:rPr>
            </w:pP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094"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追责情形：《中华人民共和国行政处罚法》第七十六条至第八十三条、《四川省殡葬管理条例》第三十八条以及其他依法应当追究的情形。</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default" w:ascii="宋体" w:cs="宋体"/>
                <w:color w:val="auto"/>
                <w:sz w:val="20"/>
                <w:szCs w:val="20"/>
                <w:highlight w:val="none"/>
                <w:lang w:val="en-US" w:eastAsia="zh-CN"/>
              </w:rPr>
              <w:t>免责情形：《中华人民共和国公务员法》第六十条、第六十一条以及其他依法应当免责的情形。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0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lang w:val="en-US" w:eastAsia="zh-CN"/>
              </w:rPr>
              <w:t>0839-3308927</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表2-</w:t>
      </w:r>
      <w:r>
        <w:rPr>
          <w:rFonts w:ascii="宋体" w:hAnsi="宋体" w:cs="宋体"/>
          <w:color w:val="auto"/>
          <w:szCs w:val="21"/>
          <w:highlight w:val="none"/>
        </w:rPr>
        <w:t>8</w:t>
      </w:r>
    </w:p>
    <w:tbl>
      <w:tblPr>
        <w:tblStyle w:val="8"/>
        <w:tblW w:w="8723" w:type="dxa"/>
        <w:tblInd w:w="129" w:type="dxa"/>
        <w:tblLayout w:type="fixed"/>
        <w:tblCellMar>
          <w:top w:w="0" w:type="dxa"/>
          <w:left w:w="108" w:type="dxa"/>
          <w:bottom w:w="0" w:type="dxa"/>
          <w:right w:w="108" w:type="dxa"/>
        </w:tblCellMar>
      </w:tblPr>
      <w:tblGrid>
        <w:gridCol w:w="1605"/>
        <w:gridCol w:w="7118"/>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1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8</w:t>
            </w:r>
          </w:p>
        </w:tc>
      </w:tr>
      <w:tr>
        <w:tblPrEx>
          <w:tblCellMar>
            <w:top w:w="0" w:type="dxa"/>
            <w:left w:w="108" w:type="dxa"/>
            <w:bottom w:w="0" w:type="dxa"/>
            <w:right w:w="108" w:type="dxa"/>
          </w:tblCellMar>
        </w:tblPrEx>
        <w:trPr>
          <w:trHeight w:val="9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1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1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对非法从事经营性殡葬服务的</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rPr>
              <w:t>处罚</w:t>
            </w:r>
          </w:p>
        </w:tc>
      </w:tr>
      <w:tr>
        <w:tblPrEx>
          <w:tblCellMar>
            <w:top w:w="0" w:type="dxa"/>
            <w:left w:w="108" w:type="dxa"/>
            <w:bottom w:w="0" w:type="dxa"/>
            <w:right w:w="108" w:type="dxa"/>
          </w:tblCellMar>
        </w:tblPrEx>
        <w:trPr>
          <w:trHeight w:val="68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18"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《四川省殡葬管理条例》</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第十条   遗体的运送、防腐、整容、冷藏及火化应由殡仪馆、火葬场、殡葬服务站承办，其他任何单位和个人不得从事经营性的殡葬服务业务。</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第三十条  违反本条例第十条规定的，由县</w:t>
            </w:r>
            <w:r>
              <w:rPr>
                <w:rFonts w:hint="default" w:ascii="宋体" w:cs="宋体"/>
                <w:color w:val="auto"/>
                <w:sz w:val="20"/>
                <w:szCs w:val="20"/>
                <w:highlight w:val="none"/>
                <w:lang w:val="en-US" w:eastAsia="zh-CN"/>
              </w:rPr>
              <w:t>(</w:t>
            </w:r>
            <w:r>
              <w:rPr>
                <w:rFonts w:hint="eastAsia" w:ascii="宋体" w:cs="宋体"/>
                <w:color w:val="auto"/>
                <w:sz w:val="20"/>
                <w:szCs w:val="20"/>
                <w:highlight w:val="none"/>
                <w:lang w:val="en-US" w:eastAsia="zh-CN"/>
              </w:rPr>
              <w:t>市、区</w:t>
            </w:r>
            <w:r>
              <w:rPr>
                <w:rFonts w:hint="default" w:ascii="宋体" w:cs="宋体"/>
                <w:color w:val="auto"/>
                <w:sz w:val="20"/>
                <w:szCs w:val="20"/>
                <w:highlight w:val="none"/>
                <w:lang w:val="en-US" w:eastAsia="zh-CN"/>
              </w:rPr>
              <w:t>)</w:t>
            </w:r>
            <w:r>
              <w:rPr>
                <w:rFonts w:hint="eastAsia" w:ascii="宋体" w:cs="宋体"/>
                <w:color w:val="auto"/>
                <w:sz w:val="20"/>
                <w:szCs w:val="20"/>
                <w:highlight w:val="none"/>
                <w:lang w:val="en-US" w:eastAsia="zh-CN"/>
              </w:rPr>
              <w:t>以上民政部门予以取缔，没收违法所得，并处</w:t>
            </w:r>
            <w:r>
              <w:rPr>
                <w:rFonts w:hint="default" w:ascii="宋体" w:cs="宋体"/>
                <w:color w:val="auto"/>
                <w:sz w:val="20"/>
                <w:szCs w:val="20"/>
                <w:highlight w:val="none"/>
                <w:lang w:val="en-US" w:eastAsia="zh-CN"/>
              </w:rPr>
              <w:t>1000</w:t>
            </w:r>
            <w:r>
              <w:rPr>
                <w:rFonts w:hint="eastAsia" w:ascii="宋体" w:cs="宋体"/>
                <w:color w:val="auto"/>
                <w:sz w:val="20"/>
                <w:szCs w:val="20"/>
                <w:highlight w:val="none"/>
                <w:lang w:val="en-US" w:eastAsia="zh-CN"/>
              </w:rPr>
              <w:t>元至</w:t>
            </w:r>
            <w:r>
              <w:rPr>
                <w:rFonts w:hint="default" w:ascii="宋体" w:cs="宋体"/>
                <w:color w:val="auto"/>
                <w:sz w:val="20"/>
                <w:szCs w:val="20"/>
                <w:highlight w:val="none"/>
                <w:lang w:val="en-US" w:eastAsia="zh-CN"/>
              </w:rPr>
              <w:t>5000</w:t>
            </w:r>
            <w:r>
              <w:rPr>
                <w:rFonts w:hint="eastAsia" w:ascii="宋体" w:cs="宋体"/>
                <w:color w:val="auto"/>
                <w:sz w:val="20"/>
                <w:szCs w:val="20"/>
                <w:highlight w:val="none"/>
                <w:lang w:val="en-US" w:eastAsia="zh-CN"/>
              </w:rPr>
              <w:t>元罚款。</w:t>
            </w:r>
          </w:p>
          <w:p>
            <w:pPr>
              <w:keepNext w:val="0"/>
              <w:keepLines w:val="0"/>
              <w:pageBreakBefore w:val="0"/>
              <w:kinsoku/>
              <w:wordWrap/>
              <w:overflowPunct/>
              <w:topLinePunct w:val="0"/>
              <w:autoSpaceDE/>
              <w:autoSpaceDN/>
              <w:bidi w:val="0"/>
              <w:spacing w:line="360" w:lineRule="exact"/>
              <w:ind w:firstLine="421" w:firstLineChars="200"/>
              <w:textAlignment w:val="auto"/>
              <w:rPr>
                <w:rFonts w:ascii="宋体" w:cs="宋体"/>
                <w:b/>
                <w:bCs/>
                <w:color w:val="auto"/>
                <w:szCs w:val="21"/>
                <w:highlight w:val="none"/>
              </w:rPr>
            </w:pP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1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104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118"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1.</w:t>
            </w:r>
            <w:r>
              <w:rPr>
                <w:rFonts w:hint="default" w:ascii="宋体" w:cs="宋体"/>
                <w:color w:val="auto"/>
                <w:sz w:val="20"/>
                <w:szCs w:val="20"/>
                <w:highlight w:val="none"/>
                <w:lang w:val="en-US" w:eastAsia="zh-CN"/>
              </w:rPr>
              <w:t>立案责任：发现涉嫌非法从事经营性殡葬服务的违规行为（或者下级民政部门或其它机关移送的违法案件等），予以审查，决定是否立案。</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2．调查责任：民政部门对立案的案件，指定专人负责，及时组织调查取证。与当事人有直接利害关系的应当回避。执法人员不得少于两人，调查时应出示证件。允许当事人辩解。</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3．审查责任：审理案件调查报告，对案件违法事实、证据、调查取证程序、适用法律、处罚种类和幅度、当事人陈述和辩解提出处理意见。</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4．告知责任：作出行政处罚决定前，应当制作《行政处罚告知书》送达当事人，符合听证规定的，制作并送达《行政处罚听证告知书》</w:t>
            </w:r>
            <w:r>
              <w:rPr>
                <w:rFonts w:hint="eastAsia" w:ascii="宋体" w:cs="宋体"/>
                <w:color w:val="auto"/>
                <w:sz w:val="20"/>
                <w:szCs w:val="20"/>
                <w:highlight w:val="none"/>
                <w:lang w:val="en-US" w:eastAsia="zh-CN"/>
              </w:rPr>
              <w:t>。</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5．决定责任：制作《行政处罚决定书》，载明行政处罚告知、当事人陈述申辩或者听证情况等内容。</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6．送达责任：行政处罚决定书按法律规定的方式送达当事人。</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7．执行责任：</w:t>
            </w:r>
            <w:r>
              <w:rPr>
                <w:rFonts w:hint="eastAsia" w:ascii="宋体" w:cs="宋体"/>
                <w:color w:val="auto"/>
                <w:sz w:val="20"/>
                <w:szCs w:val="20"/>
                <w:highlight w:val="none"/>
                <w:lang w:val="en-US" w:eastAsia="zh-CN"/>
              </w:rPr>
              <w:t>依照生效的行政处罚决定执行</w:t>
            </w:r>
            <w:r>
              <w:rPr>
                <w:rFonts w:hint="default" w:ascii="宋体" w:cs="宋体"/>
                <w:color w:val="auto"/>
                <w:sz w:val="20"/>
                <w:szCs w:val="20"/>
                <w:highlight w:val="none"/>
                <w:lang w:val="en-US" w:eastAsia="zh-CN"/>
              </w:rPr>
              <w:t>。。</w:t>
            </w:r>
            <w:r>
              <w:rPr>
                <w:rFonts w:hint="default" w:ascii="宋体" w:cs="宋体"/>
                <w:color w:val="auto"/>
                <w:sz w:val="20"/>
                <w:szCs w:val="20"/>
                <w:highlight w:val="none"/>
                <w:lang w:val="en-US" w:eastAsia="zh-CN"/>
              </w:rPr>
              <w:br w:type="textWrapping"/>
            </w:r>
            <w:r>
              <w:rPr>
                <w:rFonts w:hint="default" w:ascii="宋体" w:cs="宋体"/>
                <w:color w:val="auto"/>
                <w:sz w:val="20"/>
                <w:szCs w:val="20"/>
                <w:highlight w:val="none"/>
                <w:lang w:val="en-US" w:eastAsia="zh-CN"/>
              </w:rPr>
              <w:t>8</w:t>
            </w:r>
            <w:r>
              <w:rPr>
                <w:rFonts w:hint="default" w:ascii="宋体" w:cs="宋体"/>
                <w:color w:val="auto"/>
                <w:sz w:val="20"/>
                <w:szCs w:val="20"/>
                <w:highlight w:val="none"/>
                <w:lang w:val="en" w:eastAsia="zh-CN"/>
              </w:rPr>
              <w:t>.</w:t>
            </w:r>
            <w:r>
              <w:rPr>
                <w:rFonts w:hint="default" w:ascii="宋体" w:cs="宋体"/>
                <w:color w:val="auto"/>
                <w:sz w:val="20"/>
                <w:szCs w:val="20"/>
                <w:highlight w:val="none"/>
                <w:lang w:val="en-US" w:eastAsia="zh-CN"/>
              </w:rPr>
              <w:t>其它责任：法律法规规章文件规定应履行的其他责任。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18"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追责情形：《中华人民共和国行政处罚法》第七十六条至第八十三条、《四川省殡葬管理条例》第三十八条以及其他依法应当追究的情形。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免责情形：《中华人民共和国公务员法》第六十条、第六十一条以及其他依法应当免责的情形。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1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lang w:val="en-US" w:eastAsia="zh-CN"/>
              </w:rPr>
              <w:t>0839-3308927</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表2-</w:t>
      </w:r>
      <w:r>
        <w:rPr>
          <w:rFonts w:ascii="宋体" w:hAnsi="宋体" w:cs="宋体"/>
          <w:color w:val="auto"/>
          <w:szCs w:val="21"/>
          <w:highlight w:val="none"/>
        </w:rPr>
        <w:t>9</w:t>
      </w:r>
    </w:p>
    <w:tbl>
      <w:tblPr>
        <w:tblStyle w:val="8"/>
        <w:tblW w:w="8747" w:type="dxa"/>
        <w:tblInd w:w="129" w:type="dxa"/>
        <w:tblLayout w:type="fixed"/>
        <w:tblCellMar>
          <w:top w:w="0" w:type="dxa"/>
          <w:left w:w="108" w:type="dxa"/>
          <w:bottom w:w="0" w:type="dxa"/>
          <w:right w:w="108" w:type="dxa"/>
        </w:tblCellMar>
      </w:tblPr>
      <w:tblGrid>
        <w:gridCol w:w="1605"/>
        <w:gridCol w:w="7142"/>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14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9</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14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14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对炒买炒卖或预售墓位、墓穴的</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rPr>
              <w:t>处罚</w:t>
            </w:r>
          </w:p>
        </w:tc>
      </w:tr>
      <w:tr>
        <w:tblPrEx>
          <w:tblCellMar>
            <w:top w:w="0" w:type="dxa"/>
            <w:left w:w="108" w:type="dxa"/>
            <w:bottom w:w="0" w:type="dxa"/>
            <w:right w:w="108" w:type="dxa"/>
          </w:tblCellMar>
        </w:tblPrEx>
        <w:trPr>
          <w:trHeight w:val="68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42"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《四川省公墓管理条例》</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 xml:space="preserve">第十八条 社会公共墓地管理组织及任何个人，不能炒买炒卖墓位、墓穴，除一方已入墓的夫妻合墓外，不能预售墓位、墓穴。 </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eastAsia" w:ascii="宋体" w:cs="宋体"/>
                <w:color w:val="auto"/>
                <w:sz w:val="20"/>
                <w:szCs w:val="20"/>
                <w:highlight w:val="none"/>
                <w:lang w:val="en-US" w:eastAsia="zh-CN"/>
              </w:rPr>
              <w:t>第二十四条 违反本条例第十八条规定的，由县（市、区）民政部门会同物价等有关部门没收违法所得，可以并处违法所得1倍以上3倍以下罚款。</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14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269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142"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1</w:t>
            </w:r>
            <w:r>
              <w:rPr>
                <w:rFonts w:hint="eastAsia" w:ascii="宋体" w:cs="宋体"/>
                <w:color w:val="auto"/>
                <w:sz w:val="20"/>
                <w:szCs w:val="20"/>
                <w:highlight w:val="none"/>
                <w:lang w:val="en-US" w:eastAsia="zh-CN"/>
              </w:rPr>
              <w:t>．立案责任：发现涉嫌炒买炒卖或预售墓位、墓穴的违规行为</w:t>
            </w:r>
            <w:r>
              <w:rPr>
                <w:rFonts w:hint="default" w:ascii="宋体" w:cs="宋体"/>
                <w:color w:val="auto"/>
                <w:sz w:val="20"/>
                <w:szCs w:val="20"/>
                <w:highlight w:val="none"/>
                <w:lang w:val="en-US" w:eastAsia="zh-CN"/>
              </w:rPr>
              <w:t>(</w:t>
            </w:r>
            <w:r>
              <w:rPr>
                <w:rFonts w:hint="eastAsia" w:ascii="宋体" w:cs="宋体"/>
                <w:color w:val="auto"/>
                <w:sz w:val="20"/>
                <w:szCs w:val="20"/>
                <w:highlight w:val="none"/>
                <w:lang w:val="en-US" w:eastAsia="zh-CN"/>
              </w:rPr>
              <w:t>或者下级民政部门或其它机关移送的违法案件等</w:t>
            </w:r>
            <w:r>
              <w:rPr>
                <w:rFonts w:hint="default" w:ascii="宋体" w:cs="宋体"/>
                <w:color w:val="auto"/>
                <w:sz w:val="20"/>
                <w:szCs w:val="20"/>
                <w:highlight w:val="none"/>
                <w:lang w:val="en-US" w:eastAsia="zh-CN"/>
              </w:rPr>
              <w:t>)</w:t>
            </w:r>
            <w:r>
              <w:rPr>
                <w:rFonts w:hint="eastAsia" w:ascii="宋体" w:cs="宋体"/>
                <w:color w:val="auto"/>
                <w:sz w:val="20"/>
                <w:szCs w:val="20"/>
                <w:highlight w:val="none"/>
                <w:lang w:val="en-US" w:eastAsia="zh-CN"/>
              </w:rPr>
              <w:t>，予以审查，决定是否立案。</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2</w:t>
            </w:r>
            <w:r>
              <w:rPr>
                <w:rFonts w:hint="eastAsia" w:ascii="宋体" w:cs="宋体"/>
                <w:color w:val="auto"/>
                <w:sz w:val="20"/>
                <w:szCs w:val="20"/>
                <w:highlight w:val="none"/>
                <w:lang w:val="en-US" w:eastAsia="zh-CN"/>
              </w:rPr>
              <w:t>．调查责任：</w:t>
            </w:r>
            <w:r>
              <w:rPr>
                <w:rFonts w:hint="default" w:ascii="宋体" w:cs="宋体"/>
                <w:color w:val="auto"/>
                <w:sz w:val="20"/>
                <w:szCs w:val="20"/>
                <w:highlight w:val="none"/>
                <w:lang w:val="en-US" w:eastAsia="zh-CN"/>
              </w:rPr>
              <w:t xml:space="preserve">  </w:t>
            </w:r>
            <w:r>
              <w:rPr>
                <w:rFonts w:hint="eastAsia" w:ascii="宋体" w:cs="宋体"/>
                <w:color w:val="auto"/>
                <w:sz w:val="20"/>
                <w:szCs w:val="20"/>
                <w:highlight w:val="none"/>
                <w:lang w:val="en-US" w:eastAsia="zh-CN"/>
              </w:rPr>
              <w:t>民政部门对立案的案件，指定专人负责，及时组织调查取证。与当事人有直接利害关系的应当回避。执法人员不得少于两人，调查时应出示证件。允许当事人辩解。</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3</w:t>
            </w:r>
            <w:r>
              <w:rPr>
                <w:rFonts w:hint="eastAsia" w:ascii="宋体" w:cs="宋体"/>
                <w:color w:val="auto"/>
                <w:sz w:val="20"/>
                <w:szCs w:val="20"/>
                <w:highlight w:val="none"/>
                <w:lang w:val="en-US" w:eastAsia="zh-CN"/>
              </w:rPr>
              <w:t>．审查责任：审理案件调查报告，对案件违法事实、证据、调查取证程序、适用法律、处罚种类和幅度、当事人陈述和辩解提出处理意见。</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4</w:t>
            </w:r>
            <w:r>
              <w:rPr>
                <w:rFonts w:hint="eastAsia" w:ascii="宋体" w:cs="宋体"/>
                <w:color w:val="auto"/>
                <w:sz w:val="20"/>
                <w:szCs w:val="20"/>
                <w:highlight w:val="none"/>
                <w:lang w:val="en-US" w:eastAsia="zh-CN"/>
              </w:rPr>
              <w:t>．告知责任：作出行政处罚决定前，应当制作《行政处罚告知书》送达当事人，符合听证规定的，制作并送达《行政处罚听证告知书》。</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5</w:t>
            </w:r>
            <w:r>
              <w:rPr>
                <w:rFonts w:hint="eastAsia" w:ascii="宋体" w:cs="宋体"/>
                <w:color w:val="auto"/>
                <w:sz w:val="20"/>
                <w:szCs w:val="20"/>
                <w:highlight w:val="none"/>
                <w:lang w:val="en-US" w:eastAsia="zh-CN"/>
              </w:rPr>
              <w:t>．决定责任：制作《行政处罚决定书》，载明行政处罚告知、当事人陈述申辩或者听证情况等内容。</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6</w:t>
            </w:r>
            <w:r>
              <w:rPr>
                <w:rFonts w:hint="eastAsia" w:ascii="宋体" w:cs="宋体"/>
                <w:color w:val="auto"/>
                <w:sz w:val="20"/>
                <w:szCs w:val="20"/>
                <w:highlight w:val="none"/>
                <w:lang w:val="en-US" w:eastAsia="zh-CN"/>
              </w:rPr>
              <w:t>．送达责任：《行政处罚决定书》按法律规定的方式送达当事人。</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7</w:t>
            </w:r>
            <w:r>
              <w:rPr>
                <w:rFonts w:hint="eastAsia" w:ascii="宋体" w:cs="宋体"/>
                <w:color w:val="auto"/>
                <w:sz w:val="20"/>
                <w:szCs w:val="20"/>
                <w:highlight w:val="none"/>
                <w:lang w:val="en-US" w:eastAsia="zh-CN"/>
              </w:rPr>
              <w:t>．执行责任：依照生效的行政处罚决定，予以取缔，责令恢复原状，没收违法所得，罚款。</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default" w:ascii="宋体" w:cs="宋体"/>
                <w:color w:val="auto"/>
                <w:sz w:val="20"/>
                <w:szCs w:val="20"/>
                <w:highlight w:val="none"/>
                <w:lang w:val="en-US" w:eastAsia="zh-CN"/>
              </w:rPr>
              <w:t>8.</w:t>
            </w:r>
            <w:r>
              <w:rPr>
                <w:rFonts w:hint="eastAsia" w:ascii="宋体" w:cs="宋体"/>
                <w:color w:val="auto"/>
                <w:sz w:val="20"/>
                <w:szCs w:val="20"/>
                <w:highlight w:val="none"/>
                <w:lang w:val="en-US" w:eastAsia="zh-CN"/>
              </w:rPr>
              <w:t>其它责任：法律法规规章文件规定应履行的其他责任。</w:t>
            </w:r>
          </w:p>
        </w:tc>
      </w:tr>
      <w:tr>
        <w:tblPrEx>
          <w:tblCellMar>
            <w:top w:w="0" w:type="dxa"/>
            <w:left w:w="108" w:type="dxa"/>
            <w:bottom w:w="0" w:type="dxa"/>
            <w:right w:w="108" w:type="dxa"/>
          </w:tblCellMar>
        </w:tblPrEx>
        <w:trPr>
          <w:trHeight w:val="1541"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42"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eastAsia" w:ascii="宋体" w:cs="宋体"/>
                <w:color w:val="auto"/>
                <w:sz w:val="20"/>
                <w:szCs w:val="20"/>
                <w:highlight w:val="none"/>
                <w:lang w:val="en-US" w:eastAsia="zh-CN"/>
              </w:rPr>
              <w:t>追责情形：</w:t>
            </w:r>
            <w:r>
              <w:rPr>
                <w:rFonts w:hint="default" w:ascii="宋体" w:cs="宋体"/>
                <w:color w:val="auto"/>
                <w:sz w:val="20"/>
                <w:szCs w:val="20"/>
                <w:highlight w:val="none"/>
                <w:lang w:val="en-US" w:eastAsia="zh-CN"/>
              </w:rPr>
              <w:t>《中华人民共和国行政处罚法》第七十六条至第八十三条、《四川省殡葬管理条例》第三十八条以及其他依法应当追究的情形。</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default" w:ascii="宋体" w:cs="宋体"/>
                <w:color w:val="auto"/>
                <w:sz w:val="20"/>
                <w:szCs w:val="20"/>
                <w:highlight w:val="none"/>
                <w:lang w:val="en-US" w:eastAsia="zh-CN"/>
              </w:rPr>
              <w:t>免责情形：《中华人民共和国公务员法》第六十条、第六十一条以及其他依法应当免责的情形。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14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lang w:val="en-US" w:eastAsia="zh-CN"/>
              </w:rPr>
              <w:t>0839-3308927</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表2-1</w:t>
      </w:r>
      <w:r>
        <w:rPr>
          <w:rFonts w:ascii="宋体" w:hAnsi="宋体" w:cs="宋体"/>
          <w:color w:val="auto"/>
          <w:szCs w:val="21"/>
          <w:highlight w:val="none"/>
        </w:rPr>
        <w:t>0</w:t>
      </w:r>
    </w:p>
    <w:tbl>
      <w:tblPr>
        <w:tblStyle w:val="8"/>
        <w:tblW w:w="8783" w:type="dxa"/>
        <w:tblInd w:w="129" w:type="dxa"/>
        <w:tblLayout w:type="fixed"/>
        <w:tblCellMar>
          <w:top w:w="0" w:type="dxa"/>
          <w:left w:w="108" w:type="dxa"/>
          <w:bottom w:w="0" w:type="dxa"/>
          <w:right w:w="108" w:type="dxa"/>
        </w:tblCellMar>
      </w:tblPr>
      <w:tblGrid>
        <w:gridCol w:w="1605"/>
        <w:gridCol w:w="7178"/>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1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eastAsia="宋体" w:cs="宋体"/>
                <w:color w:val="auto"/>
                <w:szCs w:val="21"/>
                <w:highlight w:val="none"/>
                <w:lang w:val="en-US" w:eastAsia="zh-CN"/>
              </w:rPr>
            </w:pPr>
            <w:r>
              <w:rPr>
                <w:rFonts w:hint="eastAsia"/>
                <w:color w:val="auto"/>
                <w:highlight w:val="none"/>
                <w:lang w:val="en-US" w:eastAsia="zh-CN"/>
              </w:rPr>
              <w:t>10</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1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1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对制造、销售不符合国家技术标准的殡葬设备的</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rPr>
              <w:t>处罚</w:t>
            </w:r>
          </w:p>
        </w:tc>
      </w:tr>
      <w:tr>
        <w:tblPrEx>
          <w:tblCellMar>
            <w:top w:w="0" w:type="dxa"/>
            <w:left w:w="108" w:type="dxa"/>
            <w:bottom w:w="0" w:type="dxa"/>
            <w:right w:w="108" w:type="dxa"/>
          </w:tblCellMar>
        </w:tblPrEx>
        <w:trPr>
          <w:trHeight w:val="9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78"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eastAsia" w:ascii="宋体" w:cs="宋体"/>
                <w:color w:val="auto"/>
                <w:sz w:val="20"/>
                <w:szCs w:val="20"/>
                <w:highlight w:val="none"/>
                <w:lang w:val="en-US" w:eastAsia="zh-CN"/>
              </w:rPr>
              <w:t>《殡葬管理条例》</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eastAsia" w:ascii="宋体" w:cs="宋体"/>
                <w:color w:val="auto"/>
                <w:sz w:val="20"/>
                <w:szCs w:val="20"/>
                <w:highlight w:val="none"/>
                <w:lang w:val="en-US" w:eastAsia="zh-CN"/>
              </w:rPr>
              <w:t>第十六条 火化机、运尸车、尸体冷藏柜等殡葬设备，必须符合国家规定的技术标准。禁止制造、销售不符合国家技术标准的殡葬设备。</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第二十二条   制造、销售不符合国家技术标准的殡葬设备的，由民政部门会同工商行政管理部门责令停止制造、销售，可以并处制造、销售金额1倍以上3倍以下的罚款。</w:t>
            </w:r>
          </w:p>
          <w:p>
            <w:pPr>
              <w:keepNext w:val="0"/>
              <w:keepLines w:val="0"/>
              <w:pageBreakBefore w:val="0"/>
              <w:kinsoku/>
              <w:wordWrap/>
              <w:overflowPunct/>
              <w:topLinePunct w:val="0"/>
              <w:autoSpaceDE/>
              <w:autoSpaceDN/>
              <w:bidi w:val="0"/>
              <w:spacing w:line="360" w:lineRule="exact"/>
              <w:textAlignment w:val="auto"/>
              <w:rPr>
                <w:rFonts w:ascii="宋体" w:cs="宋体"/>
                <w:b/>
                <w:bCs/>
                <w:color w:val="auto"/>
                <w:szCs w:val="21"/>
                <w:highlight w:val="none"/>
              </w:rPr>
            </w:pPr>
            <w:r>
              <w:rPr>
                <w:rFonts w:hint="eastAsia" w:ascii="宋体" w:cs="宋体"/>
                <w:color w:val="auto"/>
                <w:sz w:val="20"/>
                <w:szCs w:val="20"/>
                <w:highlight w:val="none"/>
                <w:lang w:val="en-US" w:eastAsia="zh-CN"/>
              </w:rPr>
              <w:t>制造、销售封建迷信殡葬用品的，由民政部门会同工商行政管理部门予以没收，可以并处制造、销售金额1倍以上3倍以下的罚款。</w:t>
            </w:r>
          </w:p>
        </w:tc>
      </w:tr>
      <w:tr>
        <w:tblPrEx>
          <w:tblCellMar>
            <w:top w:w="0" w:type="dxa"/>
            <w:left w:w="108" w:type="dxa"/>
            <w:bottom w:w="0" w:type="dxa"/>
            <w:right w:w="108" w:type="dxa"/>
          </w:tblCellMar>
        </w:tblPrEx>
        <w:trPr>
          <w:trHeight w:val="9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1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2018"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178"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1.立案责任：自收到投诉、申诉、举报等材料之日起七个工作日内会同工商、质监等部门予以核查，并决定是否立案。</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 xml:space="preserve">2.调查责任：办案人员不得少于两人，并出示行政执法证件。收集证据程序和要求应当符合《工商行政管理机关行政处罚程序》的规定。   </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4.告知责任：告知当事人拟作出行政处罚的事实、理由、依据、处罚内容，并告知当事人依法享有陈述、申辩权等。属于听证范围的，告知当事人有要求举行听证的权利。</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 xml:space="preserve">5.决定责任：由工商、民政、质量监督管理局负责人经对拟作出的行政处罚决定进行审查，根据不同情况分别作出给予行政处罚、销案、不予行政处罚、移送其他机关等处理决定。对重大、复杂案件，应当提交工商、质量监督管理及民政部门案件评审会议集体讨论决定。   </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 xml:space="preserve">6.送达责任:行政处罚决定书按法律规定的方式送达当事人  </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 xml:space="preserve">7.执行责任：监督当事人在决定的期限内，履行生效的行政处罚决定。   </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8.结案责任：案件材料归档。</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eastAsia" w:ascii="宋体" w:cs="宋体"/>
                <w:color w:val="auto"/>
                <w:sz w:val="20"/>
                <w:szCs w:val="20"/>
                <w:highlight w:val="none"/>
                <w:lang w:val="en-US" w:eastAsia="zh-CN"/>
              </w:rPr>
              <w:t>9.其他：法律法规规章规定应履行的责任。</w:t>
            </w:r>
          </w:p>
        </w:tc>
      </w:tr>
      <w:tr>
        <w:tblPrEx>
          <w:tblCellMar>
            <w:top w:w="0" w:type="dxa"/>
            <w:left w:w="108" w:type="dxa"/>
            <w:bottom w:w="0" w:type="dxa"/>
            <w:right w:w="108" w:type="dxa"/>
          </w:tblCellMar>
        </w:tblPrEx>
        <w:trPr>
          <w:trHeight w:val="2018"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78"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追责情形：《中华人民共和国行政处罚法》第七十六条至第八十三条以及其他依法应当追究的情形。</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default" w:ascii="宋体" w:cs="宋体"/>
                <w:color w:val="auto"/>
                <w:sz w:val="20"/>
                <w:szCs w:val="20"/>
                <w:highlight w:val="none"/>
                <w:lang w:val="en-US" w:eastAsia="zh-CN"/>
              </w:rPr>
              <w:t>免责情形：《中华人民共和国公务员法》第六十条、第六十一条以及其他依法应当免责的情形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1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lang w:val="en-US" w:eastAsia="zh-CN"/>
              </w:rPr>
              <w:t>0839-3308927</w:t>
            </w:r>
          </w:p>
        </w:tc>
      </w:tr>
    </w:tbl>
    <w:p>
      <w:pPr>
        <w:keepNext w:val="0"/>
        <w:keepLines w:val="0"/>
        <w:pageBreakBefore w:val="0"/>
        <w:kinsoku/>
        <w:wordWrap/>
        <w:overflowPunct/>
        <w:topLinePunct w:val="0"/>
        <w:autoSpaceDE/>
        <w:autoSpaceDN/>
        <w:bidi w:val="0"/>
        <w:spacing w:line="360" w:lineRule="exact"/>
        <w:textAlignment w:val="auto"/>
        <w:rPr>
          <w:color w:val="auto"/>
          <w:highlight w:val="none"/>
        </w:rPr>
      </w:pPr>
    </w:p>
    <w:p>
      <w:pPr>
        <w:keepNext w:val="0"/>
        <w:keepLines w:val="0"/>
        <w:pageBreakBefore w:val="0"/>
        <w:kinsoku/>
        <w:wordWrap/>
        <w:overflowPunct/>
        <w:topLinePunct w:val="0"/>
        <w:autoSpaceDE/>
        <w:autoSpaceDN/>
        <w:bidi w:val="0"/>
        <w:spacing w:line="360" w:lineRule="exact"/>
        <w:textAlignment w:val="auto"/>
        <w:rPr>
          <w:rFonts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表2-1</w:t>
      </w:r>
      <w:r>
        <w:rPr>
          <w:rFonts w:ascii="宋体" w:hAnsi="宋体" w:cs="宋体"/>
          <w:color w:val="auto"/>
          <w:szCs w:val="21"/>
          <w:highlight w:val="none"/>
        </w:rPr>
        <w:t>1</w:t>
      </w:r>
    </w:p>
    <w:tbl>
      <w:tblPr>
        <w:tblStyle w:val="8"/>
        <w:tblW w:w="8651" w:type="dxa"/>
        <w:tblInd w:w="129" w:type="dxa"/>
        <w:tblLayout w:type="fixed"/>
        <w:tblCellMar>
          <w:top w:w="0" w:type="dxa"/>
          <w:left w:w="108" w:type="dxa"/>
          <w:bottom w:w="0" w:type="dxa"/>
          <w:right w:w="108" w:type="dxa"/>
        </w:tblCellMar>
      </w:tblPr>
      <w:tblGrid>
        <w:gridCol w:w="1605"/>
        <w:gridCol w:w="7046"/>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04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11</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04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04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对制造、销售封建迷信殡葬用品的</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rPr>
              <w:t>处罚</w:t>
            </w:r>
          </w:p>
        </w:tc>
      </w:tr>
      <w:tr>
        <w:tblPrEx>
          <w:tblCellMar>
            <w:top w:w="0" w:type="dxa"/>
            <w:left w:w="108" w:type="dxa"/>
            <w:bottom w:w="0" w:type="dxa"/>
            <w:right w:w="108" w:type="dxa"/>
          </w:tblCellMar>
        </w:tblPrEx>
        <w:trPr>
          <w:trHeight w:val="1359"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046"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《四川省殡葬管理条例》</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第二十二条   禁止生产、销售丧葬迷信用品。</w:t>
            </w:r>
          </w:p>
          <w:p>
            <w:pPr>
              <w:keepNext w:val="0"/>
              <w:keepLines w:val="0"/>
              <w:pageBreakBefore w:val="0"/>
              <w:kinsoku/>
              <w:wordWrap/>
              <w:overflowPunct/>
              <w:topLinePunct w:val="0"/>
              <w:autoSpaceDE/>
              <w:autoSpaceDN/>
              <w:bidi w:val="0"/>
              <w:spacing w:line="360" w:lineRule="exact"/>
              <w:textAlignment w:val="auto"/>
              <w:rPr>
                <w:rFonts w:ascii="宋体" w:cs="宋体"/>
                <w:b/>
                <w:bCs/>
                <w:color w:val="auto"/>
                <w:szCs w:val="21"/>
                <w:highlight w:val="none"/>
              </w:rPr>
            </w:pPr>
            <w:r>
              <w:rPr>
                <w:rFonts w:hint="eastAsia" w:ascii="宋体" w:cs="宋体"/>
                <w:color w:val="auto"/>
                <w:sz w:val="20"/>
                <w:szCs w:val="20"/>
                <w:highlight w:val="none"/>
                <w:lang w:val="en-US" w:eastAsia="zh-CN"/>
              </w:rPr>
              <w:t>火葬区禁止生产、销售棺材等土葬用品。</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04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2218"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046"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1．立案责任：发现涉嫌制造、销售封建迷信殡葬用品违规行为(或者下级民政部门或其它机关移送的违法案件等)，予以审查，决定是否立案。</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2．调查责任：民政部门对立案的案件，指定专人负责，及时组织调查取证。与当事人有直接利害关系的应当回避。执法人员不得少于两人，调查时应出示证件。允许当事人辩解。</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3．审查责任：审理案件调查报告，对案件违法事实、证据、调查取证程序、适用法律、处罚种类和幅度、当事人陈述和辩解提出处理意见。</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4．告知责任：作出行政处罚决定前，应当制作《行政处罚告知书》送达当事人，符合听证规定的，制作并送达《行政处罚听证告知书》。</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5．决定责任：制作《行政处罚决定书》，载明行政处罚告知、当事人陈述申辩或者听证情况等内容。</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6．送达责任：《行政处罚决定书》按法律规定的方式送达当事人。</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7．执行责任：依照生效的行政处罚决定，予以取缔，责令恢复原状，没收违法所得，罚款。</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eastAsia" w:ascii="宋体" w:cs="宋体"/>
                <w:color w:val="auto"/>
                <w:sz w:val="20"/>
                <w:szCs w:val="20"/>
                <w:highlight w:val="none"/>
                <w:lang w:val="en-US" w:eastAsia="zh-CN"/>
              </w:rPr>
              <w:t>8.其它责任：法律法规规章文件规定应履行的其他责任。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046"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追责情形：《中华人民共和国行政处罚法》第七十六条至第八十三条</w:t>
            </w:r>
            <w:r>
              <w:rPr>
                <w:rFonts w:hint="eastAsia" w:ascii="宋体" w:cs="宋体"/>
                <w:color w:val="auto"/>
                <w:sz w:val="20"/>
                <w:szCs w:val="20"/>
                <w:highlight w:val="none"/>
                <w:lang w:val="en-US" w:eastAsia="zh-CN"/>
              </w:rPr>
              <w:t>、《四川省殡葬管理条例》第三十八条</w:t>
            </w:r>
            <w:r>
              <w:rPr>
                <w:rFonts w:hint="default" w:ascii="宋体" w:cs="宋体"/>
                <w:color w:val="auto"/>
                <w:sz w:val="20"/>
                <w:szCs w:val="20"/>
                <w:highlight w:val="none"/>
                <w:lang w:val="en-US" w:eastAsia="zh-CN"/>
              </w:rPr>
              <w:t>以及其他依法应当追究的情形。</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default" w:ascii="宋体" w:cs="宋体"/>
                <w:color w:val="auto"/>
                <w:sz w:val="20"/>
                <w:szCs w:val="20"/>
                <w:highlight w:val="none"/>
                <w:lang w:val="en-US" w:eastAsia="zh-CN"/>
              </w:rPr>
              <w:t>免责情形：《中华人民共和国公务员法》第六十条、第六十一条以及其他依法应当免责的情形</w:t>
            </w:r>
            <w:r>
              <w:rPr>
                <w:rFonts w:hint="eastAsia" w:ascii="宋体" w:cs="宋体"/>
                <w:color w:val="auto"/>
                <w:sz w:val="20"/>
                <w:szCs w:val="20"/>
                <w:highlight w:val="none"/>
                <w:lang w:val="en-US" w:eastAsia="zh-CN"/>
              </w:rPr>
              <w:t>。</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04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lang w:val="en-US" w:eastAsia="zh-CN"/>
              </w:rPr>
              <w:t>0839-3308927</w:t>
            </w:r>
          </w:p>
        </w:tc>
      </w:tr>
    </w:tbl>
    <w:p>
      <w:pPr>
        <w:keepNext w:val="0"/>
        <w:keepLines w:val="0"/>
        <w:pageBreakBefore w:val="0"/>
        <w:kinsoku/>
        <w:wordWrap/>
        <w:overflowPunct/>
        <w:topLinePunct w:val="0"/>
        <w:autoSpaceDE/>
        <w:autoSpaceDN/>
        <w:bidi w:val="0"/>
        <w:spacing w:line="360" w:lineRule="exact"/>
        <w:textAlignment w:val="auto"/>
        <w:rPr>
          <w:color w:val="auto"/>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b/>
          <w:bCs/>
          <w:color w:val="auto"/>
          <w:highlight w:val="none"/>
        </w:rPr>
      </w:pPr>
      <w:r>
        <w:rPr>
          <w:rFonts w:hint="eastAsia" w:ascii="宋体" w:hAnsi="宋体" w:cs="宋体"/>
          <w:color w:val="auto"/>
          <w:szCs w:val="21"/>
          <w:highlight w:val="none"/>
        </w:rPr>
        <w:t>表2-1</w:t>
      </w:r>
      <w:r>
        <w:rPr>
          <w:rFonts w:ascii="宋体" w:hAnsi="宋体" w:cs="宋体"/>
          <w:color w:val="auto"/>
          <w:szCs w:val="21"/>
          <w:highlight w:val="none"/>
        </w:rPr>
        <w:t>2</w:t>
      </w:r>
    </w:p>
    <w:tbl>
      <w:tblPr>
        <w:tblStyle w:val="8"/>
        <w:tblW w:w="8639" w:type="dxa"/>
        <w:tblInd w:w="129" w:type="dxa"/>
        <w:tblLayout w:type="fixed"/>
        <w:tblCellMar>
          <w:top w:w="0" w:type="dxa"/>
          <w:left w:w="108" w:type="dxa"/>
          <w:bottom w:w="0" w:type="dxa"/>
          <w:right w:w="108" w:type="dxa"/>
        </w:tblCellMar>
      </w:tblPr>
      <w:tblGrid>
        <w:gridCol w:w="1605"/>
        <w:gridCol w:w="7034"/>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12</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default" w:ascii="仿宋_GB2312" w:hAnsi="宋体" w:eastAsia="仿宋_GB2312" w:cs="仿宋_GB2312"/>
                <w:i w:val="0"/>
                <w:color w:val="auto"/>
                <w:kern w:val="0"/>
                <w:sz w:val="22"/>
                <w:szCs w:val="22"/>
                <w:highlight w:val="none"/>
                <w:u w:val="none"/>
                <w:lang w:val="en-US" w:eastAsia="zh-CN" w:bidi="ar"/>
              </w:rPr>
              <w:t>对擅自设置、拆除、移动、涂改、遮挡、损毁地名标志的行政处罚</w:t>
            </w:r>
          </w:p>
        </w:tc>
      </w:tr>
      <w:tr>
        <w:tblPrEx>
          <w:tblCellMar>
            <w:top w:w="0" w:type="dxa"/>
            <w:left w:w="108" w:type="dxa"/>
            <w:bottom w:w="0" w:type="dxa"/>
            <w:right w:w="108" w:type="dxa"/>
          </w:tblCellMar>
        </w:tblPrEx>
        <w:trPr>
          <w:trHeight w:val="191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《地名管理条例》</w:t>
            </w:r>
          </w:p>
          <w:p>
            <w:pPr>
              <w:keepNext w:val="0"/>
              <w:keepLines w:val="0"/>
              <w:pageBreakBefore w:val="0"/>
              <w:kinsoku/>
              <w:wordWrap/>
              <w:overflowPunct/>
              <w:topLinePunct w:val="0"/>
              <w:autoSpaceDE/>
              <w:autoSpaceDN/>
              <w:bidi w:val="0"/>
              <w:spacing w:line="360" w:lineRule="exact"/>
              <w:textAlignment w:val="auto"/>
              <w:rPr>
                <w:rFonts w:hint="eastAsia" w:ascii="宋体" w:cs="宋体"/>
                <w:color w:val="auto"/>
                <w:sz w:val="20"/>
                <w:szCs w:val="20"/>
                <w:highlight w:val="none"/>
                <w:lang w:val="en-US" w:eastAsia="zh-CN"/>
              </w:rPr>
            </w:pPr>
            <w:r>
              <w:rPr>
                <w:rFonts w:hint="eastAsia" w:ascii="宋体" w:cs="宋体"/>
                <w:color w:val="auto"/>
                <w:sz w:val="20"/>
                <w:szCs w:val="20"/>
                <w:highlight w:val="none"/>
                <w:lang w:val="en-US" w:eastAsia="zh-CN"/>
              </w:rPr>
              <w:t>第三十八条 擅自设置、拆除、移动、涂改、遮挡、损毁地名标志的，由地名标志设置、维护和管理部门责令改正并对责任人员处1000元以上5000元以下罚款。</w:t>
            </w:r>
          </w:p>
          <w:p>
            <w:pPr>
              <w:keepNext w:val="0"/>
              <w:keepLines w:val="0"/>
              <w:pageBreakBefore w:val="0"/>
              <w:kinsoku/>
              <w:wordWrap/>
              <w:overflowPunct/>
              <w:topLinePunct w:val="0"/>
              <w:autoSpaceDE/>
              <w:autoSpaceDN/>
              <w:bidi w:val="0"/>
              <w:spacing w:line="360" w:lineRule="exact"/>
              <w:jc w:val="left"/>
              <w:textAlignment w:val="auto"/>
              <w:rPr>
                <w:rFonts w:ascii="宋体" w:cs="宋体"/>
                <w:b/>
                <w:bCs/>
                <w:color w:val="auto"/>
                <w:szCs w:val="21"/>
                <w:highlight w:val="none"/>
              </w:rPr>
            </w:pP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269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1.立案责任：对违反《</w:t>
            </w:r>
            <w:r>
              <w:rPr>
                <w:rFonts w:hint="eastAsia" w:ascii="宋体" w:cs="宋体"/>
                <w:color w:val="auto"/>
                <w:sz w:val="20"/>
                <w:szCs w:val="20"/>
                <w:highlight w:val="none"/>
                <w:lang w:val="en-US" w:eastAsia="zh-CN"/>
              </w:rPr>
              <w:t>地名</w:t>
            </w:r>
            <w:r>
              <w:rPr>
                <w:rFonts w:hint="default" w:ascii="宋体" w:cs="宋体"/>
                <w:color w:val="auto"/>
                <w:sz w:val="20"/>
                <w:szCs w:val="20"/>
                <w:highlight w:val="none"/>
                <w:lang w:val="en-US" w:eastAsia="zh-CN"/>
              </w:rPr>
              <w:t>管理条例》的规定，擅自设置、拆除、移动、涂改、遮挡、损毁地名标志的行为，应当立案调查。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2.调查责任：对违反《</w:t>
            </w:r>
            <w:r>
              <w:rPr>
                <w:rFonts w:hint="eastAsia" w:ascii="宋体" w:cs="宋体"/>
                <w:color w:val="auto"/>
                <w:sz w:val="20"/>
                <w:szCs w:val="20"/>
                <w:highlight w:val="none"/>
                <w:lang w:val="en-US" w:eastAsia="zh-CN"/>
              </w:rPr>
              <w:t>地名</w:t>
            </w:r>
            <w:r>
              <w:rPr>
                <w:rFonts w:hint="default" w:ascii="宋体" w:cs="宋体"/>
                <w:color w:val="auto"/>
                <w:sz w:val="20"/>
                <w:szCs w:val="20"/>
                <w:highlight w:val="none"/>
                <w:lang w:val="en-US" w:eastAsia="zh-CN"/>
              </w:rPr>
              <w:t>管理条例》规定的行为依法进行调查取证。</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3.审查责任：对是否违反《</w:t>
            </w:r>
            <w:r>
              <w:rPr>
                <w:rFonts w:hint="eastAsia" w:ascii="宋体" w:cs="宋体"/>
                <w:color w:val="auto"/>
                <w:sz w:val="20"/>
                <w:szCs w:val="20"/>
                <w:highlight w:val="none"/>
                <w:lang w:val="en-US" w:eastAsia="zh-CN"/>
              </w:rPr>
              <w:t>地名</w:t>
            </w:r>
            <w:r>
              <w:rPr>
                <w:rFonts w:hint="default" w:ascii="宋体" w:cs="宋体"/>
                <w:color w:val="auto"/>
                <w:sz w:val="20"/>
                <w:szCs w:val="20"/>
                <w:highlight w:val="none"/>
                <w:lang w:val="en-US" w:eastAsia="zh-CN"/>
              </w:rPr>
              <w:t>管理条例》规定，依法进行审查。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4.告知责任：法定告知。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5.决定责任：依法作出行政处罚决定。</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6.送达责任：依法送达行政处罚决定书。</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7.执行责任:</w:t>
            </w:r>
            <w:r>
              <w:rPr>
                <w:rFonts w:hint="eastAsia" w:ascii="宋体" w:cs="宋体"/>
                <w:color w:val="auto"/>
                <w:sz w:val="20"/>
                <w:szCs w:val="20"/>
                <w:highlight w:val="none"/>
                <w:lang w:val="en-US" w:eastAsia="zh-CN"/>
              </w:rPr>
              <w:t>依照生效的行政处罚决定执行</w:t>
            </w:r>
            <w:r>
              <w:rPr>
                <w:rFonts w:hint="default" w:ascii="宋体" w:cs="宋体"/>
                <w:color w:val="auto"/>
                <w:sz w:val="20"/>
                <w:szCs w:val="20"/>
                <w:highlight w:val="none"/>
                <w:lang w:val="en-US" w:eastAsia="zh-CN"/>
              </w:rPr>
              <w:t>。。</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8.其他责任:法律法规规章文件规定应履行的其他责任。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追责情形：《中华人民共和国行政处罚法》第七十六条至第八十三条、《地名管理条例》第四十条以及其他依法应当追究的情形。</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免责情形：《中华人民共和国公务员法》第六十条、第六十一条以及其他依法应当免责的情形。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asci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表2-13</w:t>
      </w:r>
    </w:p>
    <w:tbl>
      <w:tblPr>
        <w:tblStyle w:val="8"/>
        <w:tblW w:w="8639" w:type="dxa"/>
        <w:tblInd w:w="129" w:type="dxa"/>
        <w:tblLayout w:type="fixed"/>
        <w:tblCellMar>
          <w:top w:w="0" w:type="dxa"/>
          <w:left w:w="108" w:type="dxa"/>
          <w:bottom w:w="0" w:type="dxa"/>
          <w:right w:w="108" w:type="dxa"/>
        </w:tblCellMar>
      </w:tblPr>
      <w:tblGrid>
        <w:gridCol w:w="1605"/>
        <w:gridCol w:w="7034"/>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13</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default" w:ascii="仿宋_GB2312" w:hAnsi="宋体" w:eastAsia="仿宋_GB2312" w:cs="仿宋_GB2312"/>
                <w:i w:val="0"/>
                <w:color w:val="auto"/>
                <w:kern w:val="0"/>
                <w:sz w:val="22"/>
                <w:szCs w:val="22"/>
                <w:highlight w:val="none"/>
                <w:u w:val="none"/>
                <w:lang w:val="en-US" w:eastAsia="zh-CN" w:bidi="ar"/>
              </w:rPr>
              <w:t>对违反地名命名、更名规定及批准程序，擅自进行地名命名、更名的行政处罚</w:t>
            </w:r>
          </w:p>
        </w:tc>
      </w:tr>
      <w:tr>
        <w:tblPrEx>
          <w:tblCellMar>
            <w:top w:w="0" w:type="dxa"/>
            <w:left w:w="108" w:type="dxa"/>
            <w:bottom w:w="0" w:type="dxa"/>
            <w:right w:w="108" w:type="dxa"/>
          </w:tblCellMar>
        </w:tblPrEx>
        <w:trPr>
          <w:trHeight w:val="191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034"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《地名管理条例》</w:t>
            </w:r>
          </w:p>
          <w:p>
            <w:pPr>
              <w:keepNext w:val="0"/>
              <w:keepLines w:val="0"/>
              <w:pageBreakBefore w:val="0"/>
              <w:kinsoku/>
              <w:wordWrap/>
              <w:overflowPunct/>
              <w:topLinePunct w:val="0"/>
              <w:autoSpaceDE/>
              <w:autoSpaceDN/>
              <w:bidi w:val="0"/>
              <w:spacing w:line="360" w:lineRule="exact"/>
              <w:textAlignment w:val="auto"/>
              <w:rPr>
                <w:rFonts w:ascii="宋体" w:cs="宋体"/>
                <w:b/>
                <w:bCs/>
                <w:color w:val="auto"/>
                <w:szCs w:val="21"/>
                <w:highlight w:val="none"/>
              </w:rPr>
            </w:pPr>
            <w:r>
              <w:rPr>
                <w:rFonts w:hint="eastAsia" w:ascii="宋体" w:cs="宋体"/>
                <w:color w:val="auto"/>
                <w:sz w:val="20"/>
                <w:szCs w:val="20"/>
                <w:highlight w:val="none"/>
                <w:lang w:val="en-US" w:eastAsia="zh-CN"/>
              </w:rPr>
              <w:t>第三十六条 违反本条例第四条、第九条、第十条、第十二条规定，擅自进行地名命名、更名的，由有审批权的行政机关责令限期改正；逾期不改正的，予以取缔，并对违法单位通报批评。</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269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034"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eastAsia" w:ascii="宋体" w:cs="宋体"/>
                <w:color w:val="auto"/>
                <w:sz w:val="20"/>
                <w:szCs w:val="20"/>
                <w:highlight w:val="none"/>
                <w:lang w:val="en-US" w:eastAsia="zh-CN"/>
              </w:rPr>
              <w:t>1</w:t>
            </w:r>
            <w:r>
              <w:rPr>
                <w:rFonts w:hint="default" w:ascii="宋体" w:cs="宋体"/>
                <w:color w:val="auto"/>
                <w:sz w:val="20"/>
                <w:szCs w:val="20"/>
                <w:highlight w:val="none"/>
                <w:lang w:val="en-US" w:eastAsia="zh-CN"/>
              </w:rPr>
              <w:t>.立案责任：对违反《地名管理条例》第四条、第九条、第十条、第十二条规定，擅自进行地名命名、更名的行为，应当立案调查。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2.调查责任：对违反《地名管理条例》规定的行为依法进行调查取证。</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3.审查责任：对是否违反《地名管理条例》规定，依法进行审查。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4.告知责任：法定告知。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5.决定责任：依法作出行政处罚决定。</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6.送达责任：依法送达行政处罚决定书。</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7.执行责任:</w:t>
            </w:r>
            <w:r>
              <w:rPr>
                <w:rFonts w:hint="eastAsia" w:ascii="宋体" w:cs="宋体"/>
                <w:color w:val="auto"/>
                <w:sz w:val="20"/>
                <w:szCs w:val="20"/>
                <w:highlight w:val="none"/>
                <w:lang w:val="en-US" w:eastAsia="zh-CN"/>
              </w:rPr>
              <w:t>依照生效的行政处罚决定执行</w:t>
            </w:r>
            <w:r>
              <w:rPr>
                <w:rFonts w:hint="default" w:ascii="宋体" w:cs="宋体"/>
                <w:color w:val="auto"/>
                <w:sz w:val="20"/>
                <w:szCs w:val="20"/>
                <w:highlight w:val="none"/>
                <w:lang w:val="en-US" w:eastAsia="zh-CN"/>
              </w:rPr>
              <w:t>。</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default" w:ascii="宋体" w:cs="宋体"/>
                <w:color w:val="auto"/>
                <w:sz w:val="20"/>
                <w:szCs w:val="20"/>
                <w:highlight w:val="none"/>
                <w:lang w:val="en-US" w:eastAsia="zh-CN"/>
              </w:rPr>
              <w:t>8.其他责任:法律法规规章文件规定应履行的其他责任。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034"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追责情形：《中华人民共和国行政处罚法》第七十六条至第八十三条、《地名管理条例》第四十条以及其他依法应当追究的情形。</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default" w:ascii="宋体" w:cs="宋体"/>
                <w:color w:val="auto"/>
                <w:sz w:val="20"/>
                <w:szCs w:val="20"/>
                <w:highlight w:val="none"/>
                <w:lang w:val="en-US" w:eastAsia="zh-CN"/>
              </w:rPr>
              <w:t>免责情形：《中华人民共和国公务员法》第六十条、第六十一条以及其他依法应当免责的情形。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rPr>
              <w:t>0839-3308</w:t>
            </w:r>
            <w:r>
              <w:rPr>
                <w:rFonts w:hint="eastAsia" w:ascii="宋体" w:cs="宋体"/>
                <w:color w:val="auto"/>
                <w:szCs w:val="21"/>
                <w:highlight w:val="none"/>
                <w:lang w:val="en-US" w:eastAsia="zh-CN"/>
              </w:rPr>
              <w:t>9</w:t>
            </w:r>
            <w:r>
              <w:rPr>
                <w:rFonts w:hint="eastAsia" w:ascii="宋体" w:cs="宋体"/>
                <w:color w:val="auto"/>
                <w:szCs w:val="21"/>
                <w:highlight w:val="none"/>
              </w:rPr>
              <w:t>27</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表</w:t>
      </w:r>
      <w:r>
        <w:rPr>
          <w:rFonts w:hint="eastAsia" w:ascii="宋体" w:hAnsi="宋体" w:cs="宋体"/>
          <w:color w:val="auto"/>
          <w:szCs w:val="21"/>
          <w:highlight w:val="none"/>
          <w:lang w:val="en-US" w:eastAsia="zh-CN"/>
        </w:rPr>
        <w:t>2-14</w:t>
      </w:r>
    </w:p>
    <w:tbl>
      <w:tblPr>
        <w:tblStyle w:val="8"/>
        <w:tblW w:w="8639" w:type="dxa"/>
        <w:tblInd w:w="129" w:type="dxa"/>
        <w:tblLayout w:type="fixed"/>
        <w:tblCellMar>
          <w:top w:w="0" w:type="dxa"/>
          <w:left w:w="108" w:type="dxa"/>
          <w:bottom w:w="0" w:type="dxa"/>
          <w:right w:w="108" w:type="dxa"/>
        </w:tblCellMar>
      </w:tblPr>
      <w:tblGrid>
        <w:gridCol w:w="1605"/>
        <w:gridCol w:w="7034"/>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14</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cs="宋体"/>
                <w:color w:val="auto"/>
                <w:sz w:val="20"/>
                <w:szCs w:val="20"/>
                <w:highlight w:val="none"/>
                <w:lang w:val="en-US" w:eastAsia="zh-CN"/>
              </w:rPr>
              <w:t>对违反《地名管理条例》第十八条规定，未使用或者未规范使用标准地名的行政处罚</w:t>
            </w:r>
          </w:p>
        </w:tc>
      </w:tr>
      <w:tr>
        <w:tblPrEx>
          <w:tblCellMar>
            <w:top w:w="0" w:type="dxa"/>
            <w:left w:w="108" w:type="dxa"/>
            <w:bottom w:w="0" w:type="dxa"/>
            <w:right w:w="108" w:type="dxa"/>
          </w:tblCellMar>
        </w:tblPrEx>
        <w:trPr>
          <w:trHeight w:val="191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034"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《地名管理条例》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rPr>
                <w:rFonts w:ascii="宋体" w:cs="宋体"/>
                <w:b/>
                <w:bCs/>
                <w:color w:val="auto"/>
                <w:szCs w:val="21"/>
                <w:highlight w:val="none"/>
              </w:rPr>
            </w:pPr>
            <w:r>
              <w:rPr>
                <w:rFonts w:hint="eastAsia" w:ascii="宋体" w:hAnsi="Times New Roman" w:eastAsia="宋体" w:cs="宋体"/>
                <w:color w:val="auto"/>
                <w:kern w:val="2"/>
                <w:sz w:val="20"/>
                <w:szCs w:val="20"/>
                <w:highlight w:val="none"/>
                <w:lang w:val="en-US" w:eastAsia="zh-CN" w:bidi="ar-SA"/>
              </w:rPr>
              <w:t>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269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1.立案责任：对违反</w:t>
            </w:r>
            <w:r>
              <w:rPr>
                <w:rFonts w:hint="eastAsia" w:ascii="宋体" w:cs="宋体"/>
                <w:color w:val="auto"/>
                <w:sz w:val="20"/>
                <w:szCs w:val="20"/>
                <w:highlight w:val="none"/>
                <w:lang w:val="en-US" w:eastAsia="zh-CN"/>
              </w:rPr>
              <w:t>《地名管理</w:t>
            </w:r>
            <w:r>
              <w:rPr>
                <w:rFonts w:hint="default" w:ascii="宋体" w:cs="宋体"/>
                <w:color w:val="auto"/>
                <w:sz w:val="20"/>
                <w:szCs w:val="20"/>
                <w:highlight w:val="none"/>
                <w:lang w:val="en-US" w:eastAsia="zh-CN"/>
              </w:rPr>
              <w:t>条例</w:t>
            </w:r>
            <w:r>
              <w:rPr>
                <w:rFonts w:hint="eastAsia" w:ascii="宋体" w:cs="宋体"/>
                <w:color w:val="auto"/>
                <w:sz w:val="20"/>
                <w:szCs w:val="20"/>
                <w:highlight w:val="none"/>
                <w:lang w:val="en-US" w:eastAsia="zh-CN"/>
              </w:rPr>
              <w:t>》</w:t>
            </w:r>
            <w:r>
              <w:rPr>
                <w:rFonts w:hint="default" w:ascii="宋体" w:cs="宋体"/>
                <w:color w:val="auto"/>
                <w:sz w:val="20"/>
                <w:szCs w:val="20"/>
                <w:highlight w:val="none"/>
                <w:lang w:val="en-US" w:eastAsia="zh-CN"/>
              </w:rPr>
              <w:t>第十八条规定，未使用或者未规范使用标准地名的行为，应当立案调查。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2.调查责任：对违反《</w:t>
            </w:r>
            <w:r>
              <w:rPr>
                <w:rFonts w:hint="eastAsia" w:ascii="宋体" w:cs="宋体"/>
                <w:color w:val="auto"/>
                <w:sz w:val="20"/>
                <w:szCs w:val="20"/>
                <w:highlight w:val="none"/>
                <w:lang w:val="en-US" w:eastAsia="zh-CN"/>
              </w:rPr>
              <w:t>地名</w:t>
            </w:r>
            <w:r>
              <w:rPr>
                <w:rFonts w:hint="default" w:ascii="宋体" w:cs="宋体"/>
                <w:color w:val="auto"/>
                <w:sz w:val="20"/>
                <w:szCs w:val="20"/>
                <w:highlight w:val="none"/>
                <w:lang w:val="en-US" w:eastAsia="zh-CN"/>
              </w:rPr>
              <w:t>管理条例》规定的行为依法进行调查取证。</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3.审查责任：对是否违反《</w:t>
            </w:r>
            <w:r>
              <w:rPr>
                <w:rFonts w:hint="eastAsia" w:ascii="宋体" w:cs="宋体"/>
                <w:color w:val="auto"/>
                <w:sz w:val="20"/>
                <w:szCs w:val="20"/>
                <w:highlight w:val="none"/>
                <w:lang w:val="en-US" w:eastAsia="zh-CN"/>
              </w:rPr>
              <w:t>地名</w:t>
            </w:r>
            <w:r>
              <w:rPr>
                <w:rFonts w:hint="default" w:ascii="宋体" w:cs="宋体"/>
                <w:color w:val="auto"/>
                <w:sz w:val="20"/>
                <w:szCs w:val="20"/>
                <w:highlight w:val="none"/>
                <w:lang w:val="en-US" w:eastAsia="zh-CN"/>
              </w:rPr>
              <w:t>管理条例》规定，依法进行审查。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4.告知责任：法定告知。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5.决定责任：依法作出行政处罚决定。</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6.送达责任：依法送达行政处罚决定书。</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7.执行责任:</w:t>
            </w:r>
            <w:r>
              <w:rPr>
                <w:rFonts w:hint="eastAsia" w:ascii="宋体" w:cs="宋体"/>
                <w:color w:val="auto"/>
                <w:sz w:val="20"/>
                <w:szCs w:val="20"/>
                <w:highlight w:val="none"/>
                <w:lang w:val="en-US" w:eastAsia="zh-CN"/>
              </w:rPr>
              <w:t>依照生效的行政处罚决定执行</w:t>
            </w:r>
            <w:r>
              <w:rPr>
                <w:rFonts w:hint="default" w:ascii="宋体" w:cs="宋体"/>
                <w:color w:val="auto"/>
                <w:sz w:val="20"/>
                <w:szCs w:val="20"/>
                <w:highlight w:val="none"/>
                <w:lang w:val="en-US" w:eastAsia="zh-CN"/>
              </w:rPr>
              <w:t>。。</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8.其他责任:法律法规规章文件规定应履行的其他责任。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追责情形：《中华人民共和国行政处罚法》第七十六条至第八十三条</w:t>
            </w:r>
            <w:r>
              <w:rPr>
                <w:rFonts w:hint="eastAsia" w:ascii="宋体" w:cs="宋体"/>
                <w:color w:val="auto"/>
                <w:sz w:val="20"/>
                <w:szCs w:val="20"/>
                <w:highlight w:val="none"/>
                <w:lang w:val="en-US" w:eastAsia="zh-CN"/>
              </w:rPr>
              <w:t>、</w:t>
            </w:r>
            <w:r>
              <w:rPr>
                <w:rFonts w:hint="default" w:ascii="宋体" w:cs="宋体"/>
                <w:color w:val="auto"/>
                <w:sz w:val="20"/>
                <w:szCs w:val="20"/>
                <w:highlight w:val="none"/>
                <w:lang w:val="en-US" w:eastAsia="zh-CN"/>
              </w:rPr>
              <w:t>《地名管理条例》第</w:t>
            </w:r>
            <w:r>
              <w:rPr>
                <w:rFonts w:hint="eastAsia" w:ascii="宋体" w:cs="宋体"/>
                <w:color w:val="auto"/>
                <w:sz w:val="20"/>
                <w:szCs w:val="20"/>
                <w:highlight w:val="none"/>
                <w:lang w:val="en-US" w:eastAsia="zh-CN"/>
              </w:rPr>
              <w:t>四十条</w:t>
            </w:r>
            <w:r>
              <w:rPr>
                <w:rFonts w:hint="default" w:ascii="宋体" w:cs="宋体"/>
                <w:color w:val="auto"/>
                <w:sz w:val="20"/>
                <w:szCs w:val="20"/>
                <w:highlight w:val="none"/>
                <w:lang w:val="en-US" w:eastAsia="zh-CN"/>
              </w:rPr>
              <w:t>以及其他依法应当追究的情形。</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免责情形：《中华人民共和国公务员法》</w:t>
            </w:r>
            <w:r>
              <w:rPr>
                <w:rFonts w:hint="eastAsia" w:ascii="宋体" w:cs="宋体"/>
                <w:color w:val="auto"/>
                <w:sz w:val="20"/>
                <w:szCs w:val="20"/>
                <w:highlight w:val="none"/>
                <w:lang w:val="en-US" w:eastAsia="zh-CN"/>
              </w:rPr>
              <w:t>第六十条、第六十一条</w:t>
            </w:r>
            <w:r>
              <w:rPr>
                <w:rFonts w:hint="default" w:ascii="宋体" w:cs="宋体"/>
                <w:color w:val="auto"/>
                <w:sz w:val="20"/>
                <w:szCs w:val="20"/>
                <w:highlight w:val="none"/>
                <w:lang w:val="en-US" w:eastAsia="zh-CN"/>
              </w:rPr>
              <w:t>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表</w:t>
      </w:r>
      <w:r>
        <w:rPr>
          <w:rFonts w:hint="eastAsia" w:ascii="宋体" w:hAnsi="宋体" w:cs="宋体"/>
          <w:color w:val="auto"/>
          <w:szCs w:val="21"/>
          <w:highlight w:val="none"/>
          <w:lang w:val="en-US" w:eastAsia="zh-CN"/>
        </w:rPr>
        <w:t>2-15</w:t>
      </w:r>
    </w:p>
    <w:tbl>
      <w:tblPr>
        <w:tblStyle w:val="8"/>
        <w:tblW w:w="8639" w:type="dxa"/>
        <w:tblInd w:w="129" w:type="dxa"/>
        <w:tblLayout w:type="fixed"/>
        <w:tblCellMar>
          <w:top w:w="0" w:type="dxa"/>
          <w:left w:w="108" w:type="dxa"/>
          <w:bottom w:w="0" w:type="dxa"/>
          <w:right w:w="108" w:type="dxa"/>
        </w:tblCellMar>
      </w:tblPr>
      <w:tblGrid>
        <w:gridCol w:w="1605"/>
        <w:gridCol w:w="7034"/>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15</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default" w:ascii="仿宋_GB2312" w:hAnsi="宋体" w:eastAsia="仿宋_GB2312" w:cs="仿宋_GB2312"/>
                <w:i w:val="0"/>
                <w:color w:val="auto"/>
                <w:kern w:val="0"/>
                <w:sz w:val="22"/>
                <w:szCs w:val="22"/>
                <w:highlight w:val="none"/>
                <w:u w:val="none"/>
                <w:lang w:val="en-US" w:eastAsia="zh-CN" w:bidi="ar"/>
              </w:rPr>
              <w:t>对擅自设置、拆除、移动、涂改、遮挡、损毁地名标志的行政处罚</w:t>
            </w:r>
          </w:p>
        </w:tc>
      </w:tr>
      <w:tr>
        <w:tblPrEx>
          <w:tblCellMar>
            <w:top w:w="0" w:type="dxa"/>
            <w:left w:w="108" w:type="dxa"/>
            <w:bottom w:w="0" w:type="dxa"/>
            <w:right w:w="108" w:type="dxa"/>
          </w:tblCellMar>
        </w:tblPrEx>
        <w:trPr>
          <w:trHeight w:val="191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034"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《地名管理条例》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第三十八条 擅自设置、拆除、移动、涂改、遮挡、损毁地名标志的，由地名标志设置、维护和管理部门责令改正并对责任人员处1000元以上5000元以下罚款。</w:t>
            </w:r>
          </w:p>
          <w:p>
            <w:pPr>
              <w:keepNext w:val="0"/>
              <w:keepLines w:val="0"/>
              <w:pageBreakBefore w:val="0"/>
              <w:kinsoku/>
              <w:wordWrap/>
              <w:overflowPunct/>
              <w:topLinePunct w:val="0"/>
              <w:autoSpaceDE/>
              <w:autoSpaceDN/>
              <w:bidi w:val="0"/>
              <w:spacing w:line="360" w:lineRule="exact"/>
              <w:jc w:val="left"/>
              <w:textAlignment w:val="auto"/>
              <w:rPr>
                <w:rFonts w:ascii="宋体" w:cs="宋体"/>
                <w:b/>
                <w:bCs/>
                <w:color w:val="auto"/>
                <w:szCs w:val="21"/>
                <w:highlight w:val="none"/>
              </w:rPr>
            </w:pP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269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1.立案责任：对违反《</w:t>
            </w:r>
            <w:r>
              <w:rPr>
                <w:rFonts w:hint="eastAsia" w:ascii="宋体" w:cs="宋体"/>
                <w:color w:val="auto"/>
                <w:sz w:val="20"/>
                <w:szCs w:val="20"/>
                <w:highlight w:val="none"/>
                <w:lang w:val="en-US" w:eastAsia="zh-CN"/>
              </w:rPr>
              <w:t>地名</w:t>
            </w:r>
            <w:r>
              <w:rPr>
                <w:rFonts w:hint="default" w:ascii="宋体" w:cs="宋体"/>
                <w:color w:val="auto"/>
                <w:sz w:val="20"/>
                <w:szCs w:val="20"/>
                <w:highlight w:val="none"/>
                <w:lang w:val="en-US" w:eastAsia="zh-CN"/>
              </w:rPr>
              <w:t>管理条例》的规定，擅自设置、拆除、移动、涂改、遮挡、损毁地名标志的行为，应当立案调查。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2.调查责任：对违反《</w:t>
            </w:r>
            <w:r>
              <w:rPr>
                <w:rFonts w:hint="eastAsia" w:ascii="宋体" w:cs="宋体"/>
                <w:color w:val="auto"/>
                <w:sz w:val="20"/>
                <w:szCs w:val="20"/>
                <w:highlight w:val="none"/>
                <w:lang w:val="en-US" w:eastAsia="zh-CN"/>
              </w:rPr>
              <w:t>地名</w:t>
            </w:r>
            <w:r>
              <w:rPr>
                <w:rFonts w:hint="default" w:ascii="宋体" w:cs="宋体"/>
                <w:color w:val="auto"/>
                <w:sz w:val="20"/>
                <w:szCs w:val="20"/>
                <w:highlight w:val="none"/>
                <w:lang w:val="en-US" w:eastAsia="zh-CN"/>
              </w:rPr>
              <w:t>管理条例》规定的行为依法进行调查取证。</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3.审查责任：对是否违反《</w:t>
            </w:r>
            <w:r>
              <w:rPr>
                <w:rFonts w:hint="eastAsia" w:ascii="宋体" w:cs="宋体"/>
                <w:color w:val="auto"/>
                <w:sz w:val="20"/>
                <w:szCs w:val="20"/>
                <w:highlight w:val="none"/>
                <w:lang w:val="en-US" w:eastAsia="zh-CN"/>
              </w:rPr>
              <w:t>地名</w:t>
            </w:r>
            <w:r>
              <w:rPr>
                <w:rFonts w:hint="default" w:ascii="宋体" w:cs="宋体"/>
                <w:color w:val="auto"/>
                <w:sz w:val="20"/>
                <w:szCs w:val="20"/>
                <w:highlight w:val="none"/>
                <w:lang w:val="en-US" w:eastAsia="zh-CN"/>
              </w:rPr>
              <w:t>管理条例》规定，依法进行审查。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4.告知责任：法定告知。</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5.决定责任：依法作出行政处罚决定。</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6.送达责任：依法送达行政处罚决定书。</w:t>
            </w:r>
          </w:p>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7.执行责任:</w:t>
            </w:r>
            <w:r>
              <w:rPr>
                <w:rFonts w:hint="eastAsia" w:ascii="宋体" w:cs="宋体"/>
                <w:color w:val="auto"/>
                <w:sz w:val="20"/>
                <w:szCs w:val="20"/>
                <w:highlight w:val="none"/>
                <w:lang w:val="en-US" w:eastAsia="zh-CN"/>
              </w:rPr>
              <w:t>依照生效的行政处罚决定执行</w:t>
            </w:r>
            <w:r>
              <w:rPr>
                <w:rFonts w:hint="default" w:ascii="宋体" w:cs="宋体"/>
                <w:color w:val="auto"/>
                <w:sz w:val="20"/>
                <w:szCs w:val="20"/>
                <w:highlight w:val="none"/>
                <w:lang w:val="en-US" w:eastAsia="zh-CN"/>
              </w:rPr>
              <w:t>。。</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default" w:ascii="宋体" w:cs="宋体"/>
                <w:color w:val="auto"/>
                <w:sz w:val="20"/>
                <w:szCs w:val="20"/>
                <w:highlight w:val="none"/>
                <w:lang w:val="en-US" w:eastAsia="zh-CN"/>
              </w:rPr>
              <w:t>8.其他责任:法律法规规章文件规定应履行的其他责任。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hint="default" w:ascii="宋体" w:cs="宋体"/>
                <w:color w:val="auto"/>
                <w:sz w:val="20"/>
                <w:szCs w:val="20"/>
                <w:highlight w:val="none"/>
                <w:lang w:val="en-US" w:eastAsia="zh-CN"/>
              </w:rPr>
            </w:pPr>
            <w:r>
              <w:rPr>
                <w:rFonts w:hint="default" w:ascii="宋体" w:cs="宋体"/>
                <w:color w:val="auto"/>
                <w:sz w:val="20"/>
                <w:szCs w:val="20"/>
                <w:highlight w:val="none"/>
                <w:lang w:val="en-US" w:eastAsia="zh-CN"/>
              </w:rPr>
              <w:t>追责情形：《中华人民共和国行政处罚法》第七十六条至第八十三条</w:t>
            </w:r>
            <w:r>
              <w:rPr>
                <w:rFonts w:hint="eastAsia" w:ascii="宋体" w:cs="宋体"/>
                <w:color w:val="auto"/>
                <w:sz w:val="20"/>
                <w:szCs w:val="20"/>
                <w:highlight w:val="none"/>
                <w:lang w:val="en-US" w:eastAsia="zh-CN"/>
              </w:rPr>
              <w:t>、</w:t>
            </w:r>
            <w:r>
              <w:rPr>
                <w:rFonts w:hint="default" w:ascii="宋体" w:cs="宋体"/>
                <w:color w:val="auto"/>
                <w:sz w:val="20"/>
                <w:szCs w:val="20"/>
                <w:highlight w:val="none"/>
                <w:lang w:val="en-US" w:eastAsia="zh-CN"/>
              </w:rPr>
              <w:t>《地名管理条例》第</w:t>
            </w:r>
            <w:r>
              <w:rPr>
                <w:rFonts w:hint="eastAsia" w:ascii="宋体" w:cs="宋体"/>
                <w:color w:val="auto"/>
                <w:sz w:val="20"/>
                <w:szCs w:val="20"/>
                <w:highlight w:val="none"/>
                <w:lang w:val="en-US" w:eastAsia="zh-CN"/>
              </w:rPr>
              <w:t>四十条</w:t>
            </w:r>
            <w:r>
              <w:rPr>
                <w:rFonts w:hint="default" w:ascii="宋体" w:cs="宋体"/>
                <w:color w:val="auto"/>
                <w:sz w:val="20"/>
                <w:szCs w:val="20"/>
                <w:highlight w:val="none"/>
                <w:lang w:val="en-US" w:eastAsia="zh-CN"/>
              </w:rPr>
              <w:t>以及其他依法应当追究的情形。</w:t>
            </w:r>
          </w:p>
          <w:p>
            <w:pPr>
              <w:keepNext w:val="0"/>
              <w:keepLines w:val="0"/>
              <w:pageBreakBefore w:val="0"/>
              <w:kinsoku/>
              <w:wordWrap/>
              <w:overflowPunct/>
              <w:topLinePunct w:val="0"/>
              <w:autoSpaceDE/>
              <w:autoSpaceDN/>
              <w:bidi w:val="0"/>
              <w:spacing w:line="360" w:lineRule="exact"/>
              <w:textAlignment w:val="auto"/>
              <w:rPr>
                <w:rFonts w:ascii="宋体" w:cs="宋体"/>
                <w:color w:val="auto"/>
                <w:szCs w:val="21"/>
                <w:highlight w:val="none"/>
              </w:rPr>
            </w:pPr>
            <w:r>
              <w:rPr>
                <w:rFonts w:hint="default" w:ascii="宋体" w:cs="宋体"/>
                <w:color w:val="auto"/>
                <w:sz w:val="20"/>
                <w:szCs w:val="20"/>
                <w:highlight w:val="none"/>
                <w:lang w:val="en-US" w:eastAsia="zh-CN"/>
              </w:rPr>
              <w:t>免责情形：《中华人民共和国公务员法》</w:t>
            </w:r>
            <w:r>
              <w:rPr>
                <w:rFonts w:hint="eastAsia" w:ascii="宋体" w:cs="宋体"/>
                <w:color w:val="auto"/>
                <w:sz w:val="20"/>
                <w:szCs w:val="20"/>
                <w:highlight w:val="none"/>
                <w:lang w:val="en-US" w:eastAsia="zh-CN"/>
              </w:rPr>
              <w:t>第六十条、第六十一条</w:t>
            </w:r>
            <w:r>
              <w:rPr>
                <w:rFonts w:hint="default" w:ascii="宋体" w:cs="宋体"/>
                <w:color w:val="auto"/>
                <w:sz w:val="20"/>
                <w:szCs w:val="20"/>
                <w:highlight w:val="none"/>
                <w:lang w:val="en-US" w:eastAsia="zh-CN"/>
              </w:rPr>
              <w:t>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asci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表</w:t>
      </w:r>
      <w:r>
        <w:rPr>
          <w:rFonts w:hint="eastAsia" w:ascii="宋体" w:hAnsi="宋体" w:cs="宋体"/>
          <w:color w:val="auto"/>
          <w:szCs w:val="21"/>
          <w:highlight w:val="none"/>
          <w:lang w:val="en-US" w:eastAsia="zh-CN"/>
        </w:rPr>
        <w:t>2-16</w:t>
      </w:r>
    </w:p>
    <w:tbl>
      <w:tblPr>
        <w:tblStyle w:val="8"/>
        <w:tblW w:w="8639" w:type="dxa"/>
        <w:tblInd w:w="129" w:type="dxa"/>
        <w:tblLayout w:type="fixed"/>
        <w:tblCellMar>
          <w:top w:w="0" w:type="dxa"/>
          <w:left w:w="108" w:type="dxa"/>
          <w:bottom w:w="0" w:type="dxa"/>
          <w:right w:w="108" w:type="dxa"/>
        </w:tblCellMar>
      </w:tblPr>
      <w:tblGrid>
        <w:gridCol w:w="1605"/>
        <w:gridCol w:w="7034"/>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16</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default" w:ascii="仿宋_GB2312" w:hAnsi="宋体" w:eastAsia="仿宋_GB2312" w:cs="仿宋_GB2312"/>
                <w:i w:val="0"/>
                <w:color w:val="auto"/>
                <w:kern w:val="0"/>
                <w:sz w:val="22"/>
                <w:szCs w:val="22"/>
                <w:highlight w:val="none"/>
                <w:u w:val="none"/>
                <w:lang w:val="en-US" w:eastAsia="zh-CN" w:bidi="ar"/>
              </w:rPr>
              <w:t>对第三方机构对地名的命名、更名、使用、文化保护等情况出具虚假评估报告的行政处罚</w:t>
            </w:r>
          </w:p>
        </w:tc>
      </w:tr>
      <w:tr>
        <w:tblPrEx>
          <w:tblCellMar>
            <w:top w:w="0" w:type="dxa"/>
            <w:left w:w="108" w:type="dxa"/>
            <w:bottom w:w="0" w:type="dxa"/>
            <w:right w:w="108" w:type="dxa"/>
          </w:tblCellMar>
        </w:tblPrEx>
        <w:trPr>
          <w:trHeight w:val="57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034"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《地名管理条例》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ascii="宋体" w:cs="宋体"/>
                <w:b/>
                <w:bCs/>
                <w:color w:val="auto"/>
                <w:szCs w:val="21"/>
                <w:highlight w:val="none"/>
              </w:rPr>
            </w:pPr>
            <w:r>
              <w:rPr>
                <w:rFonts w:hint="eastAsia" w:ascii="宋体" w:hAnsi="Times New Roman" w:eastAsia="宋体" w:cs="宋体"/>
                <w:color w:val="auto"/>
                <w:kern w:val="2"/>
                <w:sz w:val="20"/>
                <w:szCs w:val="20"/>
                <w:highlight w:val="none"/>
                <w:lang w:val="en-US" w:eastAsia="zh-CN" w:bidi="ar-SA"/>
              </w:rPr>
              <w:t>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269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034"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1.立案责任：对违反《</w:t>
            </w:r>
            <w:r>
              <w:rPr>
                <w:rFonts w:hint="eastAsia" w:ascii="宋体" w:hAnsi="Times New Roman" w:eastAsia="宋体" w:cs="宋体"/>
                <w:color w:val="auto"/>
                <w:kern w:val="2"/>
                <w:sz w:val="20"/>
                <w:szCs w:val="20"/>
                <w:highlight w:val="none"/>
                <w:lang w:val="en-US" w:eastAsia="zh-CN" w:bidi="ar-SA"/>
              </w:rPr>
              <w:t>地名</w:t>
            </w:r>
            <w:r>
              <w:rPr>
                <w:rFonts w:hint="default" w:ascii="宋体" w:hAnsi="Times New Roman" w:eastAsia="宋体" w:cs="宋体"/>
                <w:color w:val="auto"/>
                <w:kern w:val="2"/>
                <w:sz w:val="20"/>
                <w:szCs w:val="20"/>
                <w:highlight w:val="none"/>
                <w:lang w:val="en-US" w:eastAsia="zh-CN" w:bidi="ar-SA"/>
              </w:rPr>
              <w:t>管理条例》的规定，对地名的命名、更名、使用、文化保护等情况出具虚假评估报告的行为，应当立案调查。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2.调查责任：对违反《</w:t>
            </w:r>
            <w:r>
              <w:rPr>
                <w:rFonts w:hint="eastAsia" w:ascii="宋体" w:hAnsi="Times New Roman" w:eastAsia="宋体" w:cs="宋体"/>
                <w:color w:val="auto"/>
                <w:kern w:val="2"/>
                <w:sz w:val="20"/>
                <w:szCs w:val="20"/>
                <w:highlight w:val="none"/>
                <w:lang w:val="en-US" w:eastAsia="zh-CN" w:bidi="ar-SA"/>
              </w:rPr>
              <w:t>地名</w:t>
            </w:r>
            <w:r>
              <w:rPr>
                <w:rFonts w:hint="default" w:ascii="宋体" w:hAnsi="Times New Roman" w:eastAsia="宋体" w:cs="宋体"/>
                <w:color w:val="auto"/>
                <w:kern w:val="2"/>
                <w:sz w:val="20"/>
                <w:szCs w:val="20"/>
                <w:highlight w:val="none"/>
                <w:lang w:val="en-US" w:eastAsia="zh-CN" w:bidi="ar-SA"/>
              </w:rPr>
              <w:t>管理条例》规定的行为依法进行调查取证。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3.审查责任：对是否违反《</w:t>
            </w:r>
            <w:r>
              <w:rPr>
                <w:rFonts w:hint="eastAsia" w:ascii="宋体" w:hAnsi="Times New Roman" w:eastAsia="宋体" w:cs="宋体"/>
                <w:color w:val="auto"/>
                <w:kern w:val="2"/>
                <w:sz w:val="20"/>
                <w:szCs w:val="20"/>
                <w:highlight w:val="none"/>
                <w:lang w:val="en-US" w:eastAsia="zh-CN" w:bidi="ar-SA"/>
              </w:rPr>
              <w:t>地名</w:t>
            </w:r>
            <w:r>
              <w:rPr>
                <w:rFonts w:hint="default" w:ascii="宋体" w:hAnsi="Times New Roman" w:eastAsia="宋体" w:cs="宋体"/>
                <w:color w:val="auto"/>
                <w:kern w:val="2"/>
                <w:sz w:val="20"/>
                <w:szCs w:val="20"/>
                <w:highlight w:val="none"/>
                <w:lang w:val="en-US" w:eastAsia="zh-CN" w:bidi="ar-SA"/>
              </w:rPr>
              <w:t>管理条例》规定，依法进行审查。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4.告知责任：法定告知。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5.决定责任：依法作出行政处罚决定。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6.送达责任：依法送达行政处罚决定书。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7.执行责任:</w:t>
            </w:r>
            <w:r>
              <w:rPr>
                <w:rFonts w:hint="eastAsia" w:ascii="宋体" w:hAnsi="Times New Roman" w:eastAsia="宋体" w:cs="宋体"/>
                <w:color w:val="auto"/>
                <w:kern w:val="2"/>
                <w:sz w:val="20"/>
                <w:szCs w:val="20"/>
                <w:highlight w:val="none"/>
                <w:lang w:val="en-US" w:eastAsia="zh-CN" w:bidi="ar-SA"/>
              </w:rPr>
              <w:t>依照生效的行政处罚决定执行</w:t>
            </w:r>
            <w:r>
              <w:rPr>
                <w:rFonts w:hint="default" w:ascii="宋体" w:hAnsi="Times New Roman" w:eastAsia="宋体" w:cs="宋体"/>
                <w:color w:val="auto"/>
                <w:kern w:val="2"/>
                <w:sz w:val="20"/>
                <w:szCs w:val="20"/>
                <w:highlight w:val="none"/>
                <w:lang w:val="en-US" w:eastAsia="zh-CN" w:bidi="ar-SA"/>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8.其他责任:法律法规规章文件规定应履行的其他责任。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034"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追责情形：《中华人民共和国行政处罚法》第七十六条至第八十三条</w:t>
            </w:r>
            <w:r>
              <w:rPr>
                <w:rFonts w:hint="eastAsia" w:ascii="宋体" w:hAnsi="Times New Roman" w:eastAsia="宋体" w:cs="宋体"/>
                <w:color w:val="auto"/>
                <w:kern w:val="2"/>
                <w:sz w:val="20"/>
                <w:szCs w:val="20"/>
                <w:highlight w:val="none"/>
                <w:lang w:val="en-US" w:eastAsia="zh-CN" w:bidi="ar-SA"/>
              </w:rPr>
              <w:t>、</w:t>
            </w:r>
            <w:r>
              <w:rPr>
                <w:rFonts w:hint="default" w:ascii="宋体" w:hAnsi="Times New Roman" w:eastAsia="宋体" w:cs="宋体"/>
                <w:color w:val="auto"/>
                <w:kern w:val="2"/>
                <w:sz w:val="20"/>
                <w:szCs w:val="20"/>
                <w:highlight w:val="none"/>
                <w:lang w:val="en-US" w:eastAsia="zh-CN" w:bidi="ar-SA"/>
              </w:rPr>
              <w:t>《地名管理条例》第</w:t>
            </w:r>
            <w:r>
              <w:rPr>
                <w:rFonts w:hint="eastAsia" w:ascii="宋体" w:hAnsi="Times New Roman" w:eastAsia="宋体" w:cs="宋体"/>
                <w:color w:val="auto"/>
                <w:kern w:val="2"/>
                <w:sz w:val="20"/>
                <w:szCs w:val="20"/>
                <w:highlight w:val="none"/>
                <w:lang w:val="en-US" w:eastAsia="zh-CN" w:bidi="ar-SA"/>
              </w:rPr>
              <w:t>四十条</w:t>
            </w:r>
            <w:r>
              <w:rPr>
                <w:rFonts w:hint="default" w:ascii="宋体" w:hAnsi="Times New Roman" w:eastAsia="宋体" w:cs="宋体"/>
                <w:color w:val="auto"/>
                <w:kern w:val="2"/>
                <w:sz w:val="20"/>
                <w:szCs w:val="20"/>
                <w:highlight w:val="none"/>
                <w:lang w:val="en-US" w:eastAsia="zh-CN" w:bidi="ar-SA"/>
              </w:rPr>
              <w:t>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免责情形：《中华人民共和国公务员法》</w:t>
            </w:r>
            <w:r>
              <w:rPr>
                <w:rFonts w:hint="eastAsia" w:ascii="宋体" w:hAnsi="Times New Roman" w:eastAsia="宋体" w:cs="宋体"/>
                <w:color w:val="auto"/>
                <w:kern w:val="2"/>
                <w:sz w:val="20"/>
                <w:szCs w:val="20"/>
                <w:highlight w:val="none"/>
                <w:lang w:val="en-US" w:eastAsia="zh-CN" w:bidi="ar-SA"/>
              </w:rPr>
              <w:t>第六十条、第六十一条</w:t>
            </w:r>
            <w:r>
              <w:rPr>
                <w:rFonts w:hint="default" w:ascii="宋体" w:hAnsi="Times New Roman" w:eastAsia="宋体" w:cs="宋体"/>
                <w:color w:val="auto"/>
                <w:kern w:val="2"/>
                <w:sz w:val="20"/>
                <w:szCs w:val="20"/>
                <w:highlight w:val="none"/>
                <w:lang w:val="en-US" w:eastAsia="zh-CN" w:bidi="ar-SA"/>
              </w:rPr>
              <w:t>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0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eastAsia="宋体"/>
          <w:color w:val="auto"/>
          <w:highlight w:val="none"/>
          <w:lang w:val="en-US" w:eastAsia="zh-CN"/>
        </w:rPr>
      </w:pPr>
      <w:r>
        <w:rPr>
          <w:rFonts w:hint="eastAsia" w:ascii="宋体" w:hAnsi="宋体" w:cs="宋体"/>
          <w:color w:val="auto"/>
          <w:szCs w:val="21"/>
          <w:highlight w:val="none"/>
        </w:rPr>
        <w:t>表2-</w:t>
      </w:r>
      <w:r>
        <w:rPr>
          <w:rFonts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color w:val="auto"/>
          <w:highlight w:val="none"/>
        </w:rPr>
        <w:t xml:space="preserve"> </w:t>
      </w:r>
    </w:p>
    <w:tbl>
      <w:tblPr>
        <w:tblStyle w:val="8"/>
        <w:tblW w:w="8723" w:type="dxa"/>
        <w:tblInd w:w="129" w:type="dxa"/>
        <w:tblLayout w:type="fixed"/>
        <w:tblCellMar>
          <w:top w:w="0" w:type="dxa"/>
          <w:left w:w="108" w:type="dxa"/>
          <w:bottom w:w="0" w:type="dxa"/>
          <w:right w:w="108" w:type="dxa"/>
        </w:tblCellMar>
      </w:tblPr>
      <w:tblGrid>
        <w:gridCol w:w="1605"/>
        <w:gridCol w:w="7118"/>
      </w:tblGrid>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1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1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rPr>
              <w:t>行政处罚</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118"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对采取虚报、隐瞒、伪造等手段，骗取社会救助资金、物资或者服务的行政处罚</w:t>
            </w:r>
          </w:p>
        </w:tc>
      </w:tr>
      <w:tr>
        <w:tblPrEx>
          <w:tblCellMar>
            <w:top w:w="0" w:type="dxa"/>
            <w:left w:w="108" w:type="dxa"/>
            <w:bottom w:w="0" w:type="dxa"/>
            <w:right w:w="108" w:type="dxa"/>
          </w:tblCellMar>
        </w:tblPrEx>
        <w:trPr>
          <w:trHeight w:val="68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18" w:type="dxa"/>
            <w:tcBorders>
              <w:top w:val="single" w:color="auto" w:sz="4" w:space="0"/>
              <w:left w:val="nil"/>
              <w:bottom w:val="single" w:color="auto" w:sz="4" w:space="0"/>
              <w:right w:val="single" w:color="auto" w:sz="4" w:space="0"/>
            </w:tcBorders>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《社会救助暂行办法》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1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社会福利</w:t>
            </w:r>
            <w:r>
              <w:rPr>
                <w:rFonts w:hint="eastAsia" w:ascii="宋体" w:hAnsi="宋体" w:cs="宋体"/>
                <w:color w:val="auto"/>
                <w:szCs w:val="21"/>
                <w:highlight w:val="none"/>
                <w:lang w:eastAsia="zh-CN"/>
              </w:rPr>
              <w:t>和救助</w:t>
            </w:r>
            <w:r>
              <w:rPr>
                <w:rFonts w:hint="eastAsia" w:ascii="宋体" w:hAnsi="宋体" w:cs="宋体"/>
                <w:color w:val="auto"/>
                <w:szCs w:val="21"/>
                <w:highlight w:val="none"/>
              </w:rPr>
              <w:t>股</w:t>
            </w:r>
          </w:p>
        </w:tc>
      </w:tr>
      <w:tr>
        <w:tblPrEx>
          <w:tblCellMar>
            <w:top w:w="0" w:type="dxa"/>
            <w:left w:w="108" w:type="dxa"/>
            <w:bottom w:w="0" w:type="dxa"/>
            <w:right w:w="108" w:type="dxa"/>
          </w:tblCellMar>
        </w:tblPrEx>
        <w:trPr>
          <w:trHeight w:val="2134"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118" w:type="dxa"/>
            <w:tcBorders>
              <w:top w:val="single" w:color="auto" w:sz="4" w:space="0"/>
              <w:left w:val="nil"/>
              <w:bottom w:val="single" w:color="auto" w:sz="4" w:space="0"/>
              <w:right w:val="single" w:color="auto" w:sz="4" w:space="0"/>
            </w:tcBorders>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1.</w:t>
            </w:r>
            <w:r>
              <w:rPr>
                <w:rFonts w:hint="eastAsia" w:ascii="宋体" w:hAnsi="Times New Roman" w:eastAsia="宋体" w:cs="宋体"/>
                <w:color w:val="auto"/>
                <w:kern w:val="2"/>
                <w:sz w:val="20"/>
                <w:szCs w:val="20"/>
                <w:highlight w:val="none"/>
                <w:lang w:val="en-US" w:eastAsia="zh-CN" w:bidi="ar-SA"/>
              </w:rPr>
              <w:t>立案责任：发现涉嫌采取虚报、隐瞒、伪造等手段，骗取社会救助资金、物资或者服务的的违法行为（或者下级民政部门上报或其他机关移送的违法案件等），予以审查，决定是否立案。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2</w:t>
            </w:r>
            <w:r>
              <w:rPr>
                <w:rFonts w:hint="eastAsia" w:ascii="宋体" w:hAnsi="Times New Roman" w:eastAsia="宋体" w:cs="宋体"/>
                <w:color w:val="auto"/>
                <w:kern w:val="2"/>
                <w:sz w:val="20"/>
                <w:szCs w:val="20"/>
                <w:highlight w:val="none"/>
                <w:lang w:val="en-US" w:eastAsia="zh-CN" w:bidi="ar-SA"/>
              </w:rPr>
              <w:t>调查责任：民政部门对立案的案件，指定专人负责，及时组织调查取证，与当事人有直接利害关系的应当回避。执法人员不得少于两人，调查时应出示证件，允许当事人辩解。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3.</w:t>
            </w:r>
            <w:r>
              <w:rPr>
                <w:rFonts w:hint="eastAsia" w:ascii="宋体" w:hAnsi="Times New Roman" w:eastAsia="宋体" w:cs="宋体"/>
                <w:color w:val="auto"/>
                <w:kern w:val="2"/>
                <w:sz w:val="20"/>
                <w:szCs w:val="20"/>
                <w:highlight w:val="none"/>
                <w:lang w:val="en-US" w:eastAsia="zh-CN" w:bidi="ar-SA"/>
              </w:rPr>
              <w:t>审查责任：审理案件调查报告，对案件违法事实、证据、调查取证程序、法律适用、处罚种类和幅度、当事人陈述和申辩，提出处理意见。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4.</w:t>
            </w:r>
            <w:r>
              <w:rPr>
                <w:rFonts w:hint="eastAsia" w:ascii="宋体" w:hAnsi="Times New Roman" w:eastAsia="宋体" w:cs="宋体"/>
                <w:color w:val="auto"/>
                <w:kern w:val="2"/>
                <w:sz w:val="20"/>
                <w:szCs w:val="20"/>
                <w:highlight w:val="none"/>
                <w:lang w:val="en-US" w:eastAsia="zh-CN" w:bidi="ar-SA"/>
              </w:rPr>
              <w:t>告知责任：作出行政处罚决定前，应制作《行政处罚告知书》送达当事人，符合听证规定的，制作并送达《行政处罚听证告知书》。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5.</w:t>
            </w:r>
            <w:r>
              <w:rPr>
                <w:rFonts w:hint="eastAsia" w:ascii="宋体" w:hAnsi="Times New Roman" w:eastAsia="宋体" w:cs="宋体"/>
                <w:color w:val="auto"/>
                <w:kern w:val="2"/>
                <w:sz w:val="20"/>
                <w:szCs w:val="20"/>
                <w:highlight w:val="none"/>
                <w:lang w:val="en-US" w:eastAsia="zh-CN" w:bidi="ar-SA"/>
              </w:rPr>
              <w:t>决定责任：制作《行政处罚决定书》，载明行政处罚告知、当事人陈述申辩或者听证情况等内容。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6.</w:t>
            </w:r>
            <w:r>
              <w:rPr>
                <w:rFonts w:hint="eastAsia" w:ascii="宋体" w:hAnsi="Times New Roman" w:eastAsia="宋体" w:cs="宋体"/>
                <w:color w:val="auto"/>
                <w:kern w:val="2"/>
                <w:sz w:val="20"/>
                <w:szCs w:val="20"/>
                <w:highlight w:val="none"/>
                <w:lang w:val="en-US" w:eastAsia="zh-CN" w:bidi="ar-SA"/>
              </w:rPr>
              <w:t>送达责任：行政处罚决定书按法律规定的方式送达当事人。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7.</w:t>
            </w:r>
            <w:r>
              <w:rPr>
                <w:rFonts w:hint="eastAsia" w:ascii="宋体" w:hAnsi="Times New Roman" w:eastAsia="宋体" w:cs="宋体"/>
                <w:color w:val="auto"/>
                <w:kern w:val="2"/>
                <w:sz w:val="20"/>
                <w:szCs w:val="20"/>
                <w:highlight w:val="none"/>
                <w:lang w:val="en-US" w:eastAsia="zh-CN" w:bidi="ar-SA"/>
              </w:rPr>
              <w:t>执行责任：依照生效的行政处罚决定，责令退回非法获取的救助资金、物资，可以处非法获取的救助款额或者物资价值</w:t>
            </w:r>
            <w:r>
              <w:rPr>
                <w:rFonts w:hint="default" w:ascii="宋体" w:hAnsi="Times New Roman" w:eastAsia="宋体" w:cs="宋体"/>
                <w:color w:val="auto"/>
                <w:kern w:val="2"/>
                <w:sz w:val="20"/>
                <w:szCs w:val="20"/>
                <w:highlight w:val="none"/>
                <w:lang w:val="en-US" w:eastAsia="zh-CN" w:bidi="ar-SA"/>
              </w:rPr>
              <w:t>1</w:t>
            </w:r>
            <w:r>
              <w:rPr>
                <w:rFonts w:hint="eastAsia" w:ascii="宋体" w:hAnsi="Times New Roman" w:eastAsia="宋体" w:cs="宋体"/>
                <w:color w:val="auto"/>
                <w:kern w:val="2"/>
                <w:sz w:val="20"/>
                <w:szCs w:val="20"/>
                <w:highlight w:val="none"/>
                <w:lang w:val="en-US" w:eastAsia="zh-CN" w:bidi="ar-SA"/>
              </w:rPr>
              <w:t>倍以上</w:t>
            </w:r>
            <w:r>
              <w:rPr>
                <w:rFonts w:hint="default" w:ascii="宋体" w:hAnsi="Times New Roman" w:eastAsia="宋体" w:cs="宋体"/>
                <w:color w:val="auto"/>
                <w:kern w:val="2"/>
                <w:sz w:val="20"/>
                <w:szCs w:val="20"/>
                <w:highlight w:val="none"/>
                <w:lang w:val="en-US" w:eastAsia="zh-CN" w:bidi="ar-SA"/>
              </w:rPr>
              <w:t>3</w:t>
            </w:r>
            <w:r>
              <w:rPr>
                <w:rFonts w:hint="eastAsia" w:ascii="宋体" w:hAnsi="Times New Roman" w:eastAsia="宋体" w:cs="宋体"/>
                <w:color w:val="auto"/>
                <w:kern w:val="2"/>
                <w:sz w:val="20"/>
                <w:szCs w:val="20"/>
                <w:highlight w:val="none"/>
                <w:lang w:val="en-US" w:eastAsia="zh-CN" w:bidi="ar-SA"/>
              </w:rPr>
              <w:t>倍以下的罚款。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8.</w:t>
            </w:r>
            <w:r>
              <w:rPr>
                <w:rFonts w:hint="eastAsia" w:ascii="宋体" w:hAnsi="Times New Roman" w:eastAsia="宋体" w:cs="宋体"/>
                <w:color w:val="auto"/>
                <w:kern w:val="2"/>
                <w:sz w:val="20"/>
                <w:szCs w:val="20"/>
                <w:highlight w:val="none"/>
                <w:lang w:val="en-US" w:eastAsia="zh-CN" w:bidi="ar-SA"/>
              </w:rPr>
              <w:t>其他责任：法律法规规章文件规定应履行的其他责任。</w:t>
            </w:r>
          </w:p>
        </w:tc>
      </w:tr>
      <w:tr>
        <w:tblPrEx>
          <w:tblCellMar>
            <w:top w:w="0" w:type="dxa"/>
            <w:left w:w="108" w:type="dxa"/>
            <w:bottom w:w="0" w:type="dxa"/>
            <w:right w:w="108" w:type="dxa"/>
          </w:tblCellMar>
        </w:tblPrEx>
        <w:trPr>
          <w:trHeight w:val="3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18" w:type="dxa"/>
            <w:tcBorders>
              <w:top w:val="single" w:color="auto" w:sz="4" w:space="0"/>
              <w:left w:val="nil"/>
              <w:bottom w:val="single" w:color="auto" w:sz="4" w:space="0"/>
              <w:right w:val="single" w:color="auto" w:sz="4" w:space="0"/>
            </w:tcBorders>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w:t>
            </w:r>
            <w:r>
              <w:rPr>
                <w:rFonts w:hint="default" w:ascii="宋体" w:hAnsi="Times New Roman" w:eastAsia="宋体" w:cs="宋体"/>
                <w:color w:val="auto"/>
                <w:kern w:val="2"/>
                <w:sz w:val="20"/>
                <w:szCs w:val="20"/>
                <w:highlight w:val="none"/>
                <w:lang w:val="en-US" w:eastAsia="zh-CN" w:bidi="ar-SA"/>
              </w:rPr>
              <w:t>《中华人民共和国行政处罚法》第七十六条至第八十三条</w:t>
            </w:r>
            <w:r>
              <w:rPr>
                <w:rFonts w:hint="eastAsia" w:ascii="宋体" w:hAnsi="Times New Roman" w:eastAsia="宋体" w:cs="宋体"/>
                <w:color w:val="auto"/>
                <w:kern w:val="2"/>
                <w:sz w:val="20"/>
                <w:szCs w:val="20"/>
                <w:highlight w:val="none"/>
                <w:lang w:val="en-US" w:eastAsia="zh-CN" w:bidi="ar-SA"/>
              </w:rPr>
              <w:t>、《社会救助暂行办法》第六十六条以及其他依法应当追究的情形。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免责情形：《中华人民共和国公务员法》</w:t>
            </w:r>
            <w:r>
              <w:rPr>
                <w:rFonts w:hint="eastAsia" w:ascii="宋体" w:hAnsi="Times New Roman" w:eastAsia="宋体" w:cs="宋体"/>
                <w:color w:val="auto"/>
                <w:kern w:val="2"/>
                <w:sz w:val="20"/>
                <w:szCs w:val="20"/>
                <w:highlight w:val="none"/>
                <w:lang w:val="en-US" w:eastAsia="zh-CN" w:bidi="ar-SA"/>
              </w:rPr>
              <w:t>第六十条、第六十一条</w:t>
            </w:r>
            <w:r>
              <w:rPr>
                <w:rFonts w:hint="default" w:ascii="宋体" w:hAnsi="Times New Roman" w:eastAsia="宋体" w:cs="宋体"/>
                <w:color w:val="auto"/>
                <w:kern w:val="2"/>
                <w:sz w:val="20"/>
                <w:szCs w:val="20"/>
                <w:highlight w:val="none"/>
                <w:lang w:val="en-US" w:eastAsia="zh-CN" w:bidi="ar-SA"/>
              </w:rPr>
              <w:t>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1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rPr>
              <w:t>0839-3308277</w:t>
            </w:r>
          </w:p>
        </w:tc>
      </w:tr>
    </w:tbl>
    <w:p>
      <w:pPr>
        <w:keepNext w:val="0"/>
        <w:keepLines w:val="0"/>
        <w:pageBreakBefore w:val="0"/>
        <w:kinsoku/>
        <w:wordWrap/>
        <w:overflowPunct/>
        <w:topLinePunct w:val="0"/>
        <w:autoSpaceDE/>
        <w:autoSpaceDN/>
        <w:bidi w:val="0"/>
        <w:spacing w:line="360" w:lineRule="exact"/>
        <w:textAlignment w:val="auto"/>
        <w:rPr>
          <w:color w:val="auto"/>
          <w:highlight w:val="none"/>
        </w:rPr>
      </w:pPr>
    </w:p>
    <w:p>
      <w:pPr>
        <w:keepNext w:val="0"/>
        <w:keepLines w:val="0"/>
        <w:pageBreakBefore w:val="0"/>
        <w:kinsoku/>
        <w:wordWrap/>
        <w:overflowPunct/>
        <w:topLinePunct w:val="0"/>
        <w:autoSpaceDE/>
        <w:autoSpaceDN/>
        <w:bidi w:val="0"/>
        <w:spacing w:line="360" w:lineRule="exact"/>
        <w:textAlignment w:val="auto"/>
        <w:rPr>
          <w:color w:val="auto"/>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表2-</w:t>
      </w:r>
      <w:r>
        <w:rPr>
          <w:rFonts w:ascii="宋体" w:hAnsi="宋体" w:cs="宋体"/>
          <w:color w:val="auto"/>
          <w:szCs w:val="21"/>
          <w:highlight w:val="none"/>
        </w:rPr>
        <w:t>1</w:t>
      </w:r>
      <w:r>
        <w:rPr>
          <w:rFonts w:hint="eastAsia" w:ascii="宋体" w:hAnsi="宋体" w:cs="宋体"/>
          <w:color w:val="auto"/>
          <w:szCs w:val="21"/>
          <w:highlight w:val="none"/>
          <w:lang w:val="en-US" w:eastAsia="zh-CN"/>
        </w:rPr>
        <w:t>8</w:t>
      </w:r>
    </w:p>
    <w:tbl>
      <w:tblPr>
        <w:tblStyle w:val="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color w:val="auto"/>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6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对慈善组织未按照慈善宗旨开展活动的；私分、挪用、截留或者侵占慈善财产的；接受附加违反法律法规或者违背社会公德条件的捐赠，或者对受益人附加违反法律法规或者违背社会公德的条件的行政处罚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6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《中华人民共和国慈善法》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第六条  县级以上人民政府应当统筹、协调、督促和指导有关部门在各自职责范围内做好慈善事业的扶持发展和规范管理工作。国务院民政部门主管全国慈善工作，县级以上地方各级人民政府民政部门主管本行政区域内的慈善工作；县级以上人民政府有关部门依照本法和其他有关法律法规，在各自的职责范围内做好相关工作，加强对慈善活动的监督、管理和服务；慈善组织有业务主管单位的，业务主管单位应当对其进行指导、监督。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第一百零九条  慈善组织有下列情形之一的，由县级以上人民政府民政部门责令限期改正，予以警告或者责令限期停止活动，并没收违法所得；情节严重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60"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olor w:val="auto"/>
                <w:szCs w:val="21"/>
                <w:highlight w:val="none"/>
                <w:lang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6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立案责任：发现未按照慈善宗旨开展活动的，私分、挪用、截留或者侵占慈善财产的，接受附加违反法律法规或者违背社会公德条件的捐赠，或者对受益人附加违反法律法规或者违背社会公德的条件后，予以审查，决定是否立案。</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2.调查责任：指定专人负责，及时组织调查和收集证据，与当事人有直接利害关系的应当回避。执法人员不得少于两人，调查应出示证件，允许当事人辩解。</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3.审查责任：审理案件调查报告，对案件违法事实、证据、调查取证程序、法律适用、处罚种类和幅度、当事人陈述和申辩，提出处理意见。</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4.告知责任：作出行政处罚决定之前，应制作《行政处罚告知书》送达当事人，符合听证规定的，制作并送达《行政处罚听证告知书》。</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5.决定责任：制作《行政处罚决定书》，载明行政处罚告知、当事人陈述申辩或者听证情况等内容。</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6.送达责任：行政处罚决定书按法律规定的方式送达当事人。</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7.执行责任：依照生效的行政处罚决定执行。</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6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追责情形：《中华人民共和国行政处罚法》第七十六条至第八十三条、《中华人民共和国慈善法》第一百零八条以及其他依法应当追究的情形。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表2-</w:t>
      </w:r>
      <w:r>
        <w:rPr>
          <w:rFonts w:ascii="宋体" w:hAnsi="宋体" w:cs="宋体"/>
          <w:color w:val="auto"/>
          <w:szCs w:val="21"/>
          <w:highlight w:val="none"/>
        </w:rPr>
        <w:t>1</w:t>
      </w:r>
      <w:r>
        <w:rPr>
          <w:rFonts w:hint="eastAsia" w:ascii="宋体" w:hAnsi="宋体" w:cs="宋体"/>
          <w:color w:val="auto"/>
          <w:szCs w:val="21"/>
          <w:highlight w:val="none"/>
          <w:lang w:val="en-US" w:eastAsia="zh-CN"/>
        </w:rPr>
        <w:t>9</w:t>
      </w:r>
    </w:p>
    <w:tbl>
      <w:tblPr>
        <w:tblStyle w:val="8"/>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7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72"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72"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对慈善组织违反《中华人民共和国慈善法》第十四条规定造成慈善财产损失的；将不得用于投资的财产用于投资的；擅自改变捐赠财产用途的；开展慈善活动的年度支出或者管理费用的标准违反《中华人民共和国慈善法》第六十条规定的；未依法履行信息公开义务的；未依法报送年度工作报告、财务会计报告或者报备募捐方案的；泄露捐赠人、志愿者、受益人个人隐私以及捐赠人、慈善信托的委托人不同意公开的姓名、名称、住所、通讯方式等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72"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《中华人民共和国慈善法》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第六条  县级以上人民政府应当统筹、协调、督促和指导有关部门在各自职责范围内做好慈善事业的扶持发展和规范管理工作。国务院民政部门主管全国慈善工作，县级以上地方各级人民政府民政部门主管本行政区域内的慈善工作；县级以上人民政府有关部门依照本法和其他有关法律法规，在各自的职责范围内做好相关工作，加强对慈善活动的监督、管理和服务；慈善组织有业务主管单位的，业务主管单位应当对其进行指导、监督。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第一百一十条  慈善组织有下列情形之一的，由县级以上人民政府民政部门责令限期改正，予以警告，并没收违法所得；逾期不改正的，责令限期停止活动并进行整改：（一）违反本法第十四条规定造成慈善财产损失的；（二）指定或者变相指定捐赠人、慈善组织管理人员的利害关系人作为受益人的；（三）将不得用于投资的财产用于投资的；（四）擅自改变捐赠财产用途的；（五）因管理不善造成慈善财产重大损失的；（六）开展慈善活动的年度支出、管理费用或者募捐成本违反规定的；（七）未依法履行信息公开义务的；（八）未依法报送年度工作报告、财务会计报告或者报备募捐方案的；（九）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县级以上人民政府民政部门吊销登记证书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72"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olor w:val="auto"/>
                <w:szCs w:val="21"/>
                <w:highlight w:val="none"/>
                <w:lang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72"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立案责任：发现慈善组织违反《中华人民共和国慈善法》第十四条规定造成慈善财产损失的，将不得用于投资的财产用于投资的，擅自改变捐赠财产用途的，开展慈善活动的年度支出或者管理费用的标准违反《中华人民共和国慈善法》第六十条规定的，未依法履行信息公开义务的，未依法报送年度工作报告、财务会计报告或者报备募捐方案的，泄露捐赠人、志愿者、受益人个人隐私以及捐赠人、慈善信托的委托人不同意公开的姓名、名称、住所、通讯方式等信息后，予以审查，决定是否立案。</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2.调查责任：指定专人负责，及时组织调查和收集证据，与当事人有直接利害关系的应当回避。执法人员不得少于两人，调查应出示证件，允许当事人辩解。</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3.审查责任：审理案件调查报告，对案件违法事实、证据、调查取证程序、法律适用、处罚种类和幅度、当事人陈述和申辩，提出处理意见。</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4.告知责任：作出行政处罚决定之前，应制作《行政处罚告知书》送达当事人，符合听证规定的，制作并送达《行政处罚听证告知书》。</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5.决定责任：制作《行政处罚决定书》，载明行政处罚告知、当事人陈述申辩或者听证情况等内容。</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6.送达责任：行政处罚决定书按法律规定的方式送达当事人。</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7.执行责任：依照生效的行政处罚决定执行。</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72"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追责情形：《中华人民共和国行政处罚法》第七十六条至第八十三条、《中华人民共和国慈善法》第一百零八条以及其他依法应当追究的情形。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72"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表2-</w:t>
      </w:r>
      <w:r>
        <w:rPr>
          <w:rFonts w:hint="eastAsia" w:ascii="宋体" w:hAnsi="宋体" w:cs="宋体"/>
          <w:color w:val="auto"/>
          <w:szCs w:val="21"/>
          <w:highlight w:val="none"/>
          <w:lang w:val="en-US" w:eastAsia="zh-CN"/>
        </w:rPr>
        <w:t>20</w:t>
      </w:r>
    </w:p>
    <w:tbl>
      <w:tblPr>
        <w:tblStyle w:val="8"/>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244"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244"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24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对慈善组织违反《中华人民共和国慈善法》第一百一十条第一款和第二款规定的情形，经依法处理后一年内再出现规定的情形或者有其他情节严重情形的；弄虚作假骗取税收优惠且情节严重的；从事、资助危害国家安全或者社会公共利益活动被有关机关依法查处后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24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《中华人民共和国慈善法》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第六条  县级以上人民政府应当统筹、协调、督促和指导有关部门在各自职责范围内做好慈善事业的扶持发展和规范管理工作。国务院民政部门主管全国慈善工作，县级以上地方各级人民政府民政部门主管本行政区域内的慈善工作；县级以上人民政府有关部门依照本法和其他有关法律法规，在各自的职责范围内做好相关工作，加强对慈善活动的监督、管理和服务；慈善组织有业务主管单位的，业务主管单位应当对其进行指导、监督。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第一百一十条  慈善组织有下列情形之一的，由县级以上人民政府民政部门责令限期改正，予以警告，并没收违法所得；逾期不改正的，责令限期停止活动并进行整改：（一）违反本法第十四条规定造成慈善财产损失的；（二）指定或者变相指定捐赠人、慈善组织管理人员的利害关系人作为受益人的；（三）将不得用于投资的财产用于投资的；（四）擅自改变捐赠财产用途的；（五）因管理不善造成慈善财产重大损失的；（六）开展慈善活动的年度支出、管理费用或者募捐成本违反规定的；（七）未依法履行信息公开义务的；（八）未依法报送年度工作报告、财务会计报告或者报备募捐方案的；（九）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县级以上人民政府民政部门吊销登记证书并予以公告。。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第一百一十六条  慈善组织弄虚作假骗取税收优惠的，由税务机关依法查处；情节严重的，由县级以上人民政府民政部门吊销登记证书并予以公告。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第一百一十七条  慈善组织从事、资助危害国家安全或者社会公共利益活动的，由有关机关依法查处，由县级以上人民政府民政部门吊销登记证书并予以公告。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244"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olor w:val="auto"/>
                <w:szCs w:val="21"/>
                <w:highlight w:val="none"/>
                <w:lang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24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1.立案责任：发现慈善组织有《中华人民共和国慈善法》第九十八条、第九十九条规定的情形、有违法所得后，予以审查，决定是否立案。</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2.调查责任：指定专人负责，及时组织调查和收集证据，与当事人有直接利害关系的应当回避。执法人员不得少于两人，调查应出示证件，允许当事人辩解。</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3.审查责任：审理案件调查报告，对案件违法事实、证据、调查取证程序、法律适用、处罚种类和幅度、当事人陈述和申辩，提出处理意见。</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4.告知责任：作出行政处罚决定之前，应制作《行政处罚告知书》送达当事人，符合听证规定的，制作并送达《行政处罚听证告知书》。</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5.决定责任：制作《行政处罚决定书》，载明行政处罚告知、当事人陈述申辩或者听证情况等内容。</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6.送达责任：行政处罚决定书按法律规定的方式送达当事人。</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7.执行责任：依照生效的行政处罚决定执行。</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24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追责情形：《中华人民共和国行政处罚法》第七十六条至第八十三条、《中华人民共和国慈善法》第一百零八条以及其他依法应当追究的情形。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24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表2-</w:t>
      </w:r>
      <w:r>
        <w:rPr>
          <w:rFonts w:hint="eastAsia" w:ascii="宋体" w:hAnsi="宋体" w:cs="宋体"/>
          <w:color w:val="auto"/>
          <w:szCs w:val="21"/>
          <w:highlight w:val="none"/>
          <w:lang w:val="en-US" w:eastAsia="zh-CN"/>
        </w:rPr>
        <w:t>21</w:t>
      </w:r>
    </w:p>
    <w:tbl>
      <w:tblPr>
        <w:tblStyle w:val="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220"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220"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22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对慈善组织有《中华人民共和国慈善法》第一百零九条、第一百一十条规定情形的行政处罚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22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《中华人民共和国慈善法》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第六条  县级以上人民政府应当统筹、协调、督促和指导有关部门在各自职责范围内做好慈善事业的扶持发展和规范管理工作。国务院民政部门主管全国慈善工作，县级以上地方各级人民政府民政部门主管本行政区域内的慈善工作；县级以上人民政府有关部门依照本法和其他有关法律法规，在各自的职责范围内做好相关工作，加强对慈善活动的监督、管理和服务；慈善组织有业务主管单位的，业务主管单位应当对其进行指导、监督。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第一百零九条  慈善组织有下列情形之一的，由县级以上人民政府民政部门责令限期改正，予以警告或者责令限期停止活动，并没收违法所得；情节严重的，吊销登记证书并予以公告：（一）未按照慈善宗旨开展活动的；（二）私分、挪用、截留或者侵占慈善财产的；（三）接受附加违反法律法规或者违背社会公德条件的捐赠，或者对受益人附加违反法律法规或者违背社会公德的条件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第一百一十条  慈善组织有下列情形之一的，由县级以上人民政府民政部门责令限期改正，予以警告，并没收违法所得；逾期不改正的，责令限期停止活动并进行整改：（一）违反本法第十四条规定造成慈善财产损失的；（二）指定或者变相指定捐赠人、慈善组织管理人员的利害关系人作为受益人的；（三）将不得用于投资的财产用于投资的；（四）擅自改变捐赠财产用途的；（五）因管理不善造成慈善财产重大损失的；（六）开展慈善活动的年度支出、管理费用或者募捐成本违反规定的；（七）未依法履行信息公开义务的；（八）未依法报送年度工作报告、财务会计报告或者报备募捐方案的；（九）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县级以上人民政府民政部门吊销登记证书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220"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olor w:val="auto"/>
                <w:szCs w:val="21"/>
                <w:highlight w:val="none"/>
                <w:lang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22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1.立案责任：发现慈善组织有《中华人民共和国慈善法》第九十八条、第九十九条规定的情形、有违法所得后，予以审查，决定是否立案。</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2.调查责任：指定专人负责，及时组织调查和收集证据，与当事人有直接利害关系的应当回避。执法人员不得少于两人，调查应出示证件，允许当事人辩解。</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3.审查责任：审理案件调查报告，对案件违法事实、证据、调查取证程序、法律适用、处罚种类和幅度、当事人陈述和申辩，提出处理意见。</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4.告知责任：作出行政处罚决定之前，应制作《行政处罚告知书》送达当事人，符合听证规定的，制作并送达《行政处罚听证告知书》。</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5.决定责任：制作《行政处罚决定书》，载明行政处罚告知、当事人陈述申辩或者听证情况等内容。</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6.送达责任：行政处罚决定书按法律规定的方式送达当事人。</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7.执行责任：依照生效的行政处罚决定执行。</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22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追责情形：《中华人民共和国行政处罚法》第七十六条至第八十三条、《中华人民共和国慈善法》第一百零八条以及其他依法应当追究的情形。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22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jc w:val="left"/>
        <w:textAlignment w:val="auto"/>
        <w:rPr>
          <w:rFonts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表2-</w:t>
      </w:r>
      <w:r>
        <w:rPr>
          <w:rFonts w:hint="eastAsia" w:ascii="宋体" w:hAnsi="宋体" w:cs="宋体"/>
          <w:color w:val="auto"/>
          <w:szCs w:val="21"/>
          <w:highlight w:val="none"/>
          <w:lang w:val="en-US" w:eastAsia="zh-CN"/>
        </w:rPr>
        <w:t>22</w:t>
      </w:r>
    </w:p>
    <w:tbl>
      <w:tblPr>
        <w:tblStyle w:val="8"/>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256"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256"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256"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对有关组织和个人不具有公开募捐资格开展公开募捐的；通过虚构事实等方式欺骗、诱导募捐对象实施捐赠的；向单位或者个人摊派或者变相摊派的；妨碍公共秩序、企业生产经营或者居民生活的行政处罚对有关组织和个人不具有公开募捐资格开展公开募捐的；通过虚构事实等方式欺骗、诱导募捐对象实施捐赠的；向单位或者个人摊派或者变相摊派的；妨碍公共秩序、企业生产经营或者居民生活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256"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《中华人民共和国慈善法》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第一百一十一条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一）通过虚构事实等方式欺骗、诱导募捐对象实施捐赠的；（二）向单位或者个人摊派或者变相摊派的；（三）妨碍公共秩序、企业生产经营或者居民生活的；（四）与不具有公开募捐资格的组织或者个人合作，违反本法第二十六条规定的；（五）通过互联网开展公开募捐，违反本法第二十七条规定的；（六）为应对重大突发事件开展公开募捐，不及时分配、使用募得款物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自然人、法人或者非法人组织假借慈善名义或者假冒慈善组织骗取财产的，由公安机关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256"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olor w:val="auto"/>
                <w:szCs w:val="21"/>
                <w:highlight w:val="none"/>
                <w:lang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256"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立案责任：发现有关组织和个人不具有公开募捐资格开展公开募捐的；通过虚构事实等方式欺骗、诱导募捐对象实施捐赠的；向单位或者个人摊派或者变相摊派的；妨碍公共秩序、企业生产经营或者居民生活后，予以审查，决定是否立案。</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2.调查责任：指定专人负责，及时组织调查和收集证据，与当事人有直接利害关系的应当回避。执法人员不得少于两人，调查应出示证件，允许当事人辩解。</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3.审查责任：审理案件调查报告，对案件违法事实、证据、调查取证程序、法律适用、处罚种类和幅度、当事人陈述和申辩，提出处理意见。</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4.告知责任：作出行政处罚决定之前，应制作《行政处罚告知书》送达当事人，符合听证规定的，制作并送达《行政处罚听证告知书》。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5.决定责任：制作《行政处罚决定书》，载明行政处罚告知、当事人陈述申辩或者听证情况等内容。</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6.送达责任：行政处罚决定书按法律规定的方式送达当事人。</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7.执行责任：依照生效的行政处罚决定执行。</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256"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追责情形：《中华人民共和国行政处罚法》第七十六条至第八十三条、《中华人民共和国慈善法》第一百零八条以及其他依法应当追究的情形。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25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表2-</w:t>
      </w:r>
      <w:r>
        <w:rPr>
          <w:rFonts w:hint="eastAsia" w:ascii="宋体" w:hAnsi="宋体" w:cs="宋体"/>
          <w:color w:val="auto"/>
          <w:szCs w:val="21"/>
          <w:highlight w:val="none"/>
          <w:lang w:val="en-US" w:eastAsia="zh-CN"/>
        </w:rPr>
        <w:t>23</w:t>
      </w:r>
    </w:p>
    <w:tbl>
      <w:tblPr>
        <w:tblStyle w:val="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280"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280"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28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对慈善组织不依法向捐赠人开具捐赠票据、不依法向志愿者出具志愿服务记录证明或者不及时主动向捐赠人反馈有关情况的行政处罚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28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《中华人民共和国慈善法》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第六条  县级以上人民政府应当统筹、协调、督促和指导有关部门在各自职责范围内做好慈善事业的扶持发展和规范管理工作。国务院民政部门主管全国慈善工作，县级以上地方各级人民政府民政部门主管本行政区域内的慈善工作；县级以上人民政府有关部门依照本法和其他有关法律法规，在各自的职责范围内做好相关工作，加强对慈善活动的监督、管理和服务；慈善组织有业务主管单位的，业务主管单位应当对其进行指导、监督。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280"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olor w:val="auto"/>
                <w:szCs w:val="21"/>
                <w:highlight w:val="none"/>
                <w:lang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28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1.立案责任：发现慈善组织不依法向捐赠人开具捐赠票据、不依法向志愿者出具志愿服务记录证明或者不及时主动向捐赠人反馈有关情况后，予以审查，决定是否立案。</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2.调查责任：指定专人负责，及时组织调查和收集证据，与当事人有直接利害关系的应当回避。执法人员不得少于两人，调查应出示证件，允许当事人辩解。</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3.审查责任：审理案件调查报告，对案件违法事实、证据、调查取证程序、法律适用、处罚种类和幅度、当事人陈述和申辩，提出处理意见。</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4.告知责任：作出行政处罚决定之前，应制作《行政处罚告知书》送达当事人，符合听证规定的，制作并送达《行政处罚听证告知书》。</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5.决定责任：制作《行政处罚决定书》，载明行政处罚告知、当事人陈述申辩或者听证情况等内容。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6.送达责任：行政处罚决定书按法律规定的方式送达当事人。</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7.执行责任：依照生效的行政处罚决定执行。</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28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追责情形：《中华人民共和国行政处罚法》第七十六条至第八十三条、《中华人民共和国慈善法》第一百零八条以及其他依法应当追究的情形。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2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微软雅黑" w:hAnsi="微软雅黑" w:eastAsia="微软雅黑" w:cs="微软雅黑"/>
          <w:color w:val="auto"/>
          <w:sz w:val="24"/>
          <w:szCs w:val="24"/>
          <w:highlight w:val="none"/>
          <w:shd w:val="clear" w:color="auto" w:fill="FFFFFF"/>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表2-</w:t>
      </w:r>
      <w:r>
        <w:rPr>
          <w:rFonts w:ascii="宋体" w:hAnsi="宋体" w:cs="宋体"/>
          <w:color w:val="auto"/>
          <w:szCs w:val="21"/>
          <w:highlight w:val="none"/>
        </w:rPr>
        <w:t>2</w:t>
      </w:r>
      <w:r>
        <w:rPr>
          <w:rFonts w:hint="eastAsia" w:ascii="宋体" w:hAnsi="宋体" w:cs="宋体"/>
          <w:color w:val="auto"/>
          <w:szCs w:val="21"/>
          <w:highlight w:val="none"/>
          <w:lang w:val="en-US" w:eastAsia="zh-CN"/>
        </w:rPr>
        <w:t>4</w:t>
      </w:r>
    </w:p>
    <w:tbl>
      <w:tblPr>
        <w:tblStyle w:val="8"/>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24"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24"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2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对慈善信托的受托人及直接负责的主管人员和其他直接责任人将信托财产及其收益用于非慈善目的的；未按照规定将信托事务处理情况及财务状况向民政部门报告或者向社会公开的行政处罚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2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《中华人民共和国慈善法》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第六条  县级以上人民政府应当统筹、协调、督促和指导有关部门在各自职责范围内做好慈善事业的扶持发展和规范管理工作。国务院民政部门主管全国慈善工作，县级以上地方各级人民政府民政部门主管本行政区域内的慈善工作；县级以上人民政府有关部门依照本法和其他有关法律法规，在各自的职责范围内做好相关工作，加强对慈善活动的监督、管理和服务；慈善组织有业务主管单位的，业务主管单位应当对其进行指导、监督。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第一百一十八条  慈善信托的委托人、受托人有下列情形之一的，由县级以上人民政府民政部门责令限期改正，予以警告，并没收违法所得；对直接负责的主管人员和其他直接责任人员处二万元以上二十万元以下罚款：（一）将信托财产及其收益用于非慈善目的的；（二）指定或者变相指定委托人、受托人及其工作人员的利害关系人作为受益人的；（三）未按照规定将信托事务处理情况及财务状况向民政部门报告的；（四）违反慈善信托的年度支出或者管理费用标准的；（五）未依法履行信息公开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24"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olor w:val="auto"/>
                <w:szCs w:val="21"/>
                <w:highlight w:val="none"/>
                <w:lang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2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立案责任：发现慈善信托的受托人及直接负责的主管人员和其他直接责任人将信托财产及其收益用于非慈善目的的；未按照规定将信托事务处理情况及财务状况向民政部门报告或者向社会公开后，予以审查，决定是否立案。</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2.调查责任：指定专人负责，及时组织调查和收集证据，与当事人有直接利害关系的应当回避。执法人员不得少于两人，调查应出示证件，允许当事人辩解。</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3.审查责任：审理案件调查报告，对案件违法事实、证据、调查取证程序、法律适用、处罚种类和幅度、当事人陈述和申辩，提出处理意见。</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4.告知责任：作出行政处罚决定之前，应制作《行政处罚告知书》送达当事人，符合听证规定的，制作并送达《行政处罚听证告知书》。</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5.决定责任：制作《行政处罚决定书》，载明行政处罚告知、当事人陈述申辩或者听证情况等内容。</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6.送达责任：行政处罚决定书按法律规定的方式送达当事人。</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7.执行责任：依照生效的行政处罚决定执行。</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2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追责情形：《中华人民共和国行政处罚法》第七十六条至第八十三条、《中华人民共和国慈善法》第一百零八条以及其他依法应当追究的情形。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2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表2-</w:t>
      </w:r>
      <w:r>
        <w:rPr>
          <w:rFonts w:ascii="宋体" w:hAnsi="宋体" w:cs="宋体"/>
          <w:color w:val="auto"/>
          <w:szCs w:val="21"/>
          <w:highlight w:val="none"/>
        </w:rPr>
        <w:t>2</w:t>
      </w:r>
      <w:r>
        <w:rPr>
          <w:rFonts w:hint="eastAsia" w:ascii="宋体" w:hAnsi="宋体" w:cs="宋体"/>
          <w:color w:val="auto"/>
          <w:szCs w:val="21"/>
          <w:highlight w:val="none"/>
          <w:lang w:val="en-US" w:eastAsia="zh-CN"/>
        </w:rPr>
        <w:t>5</w:t>
      </w:r>
    </w:p>
    <w:tbl>
      <w:tblPr>
        <w:tblStyle w:val="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60"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60"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60" w:type="dxa"/>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cs="宋体"/>
                <w:color w:val="auto"/>
                <w:szCs w:val="21"/>
                <w:highlight w:val="none"/>
              </w:rPr>
            </w:pPr>
            <w:r>
              <w:rPr>
                <w:rFonts w:hint="eastAsia" w:ascii="宋体" w:hAnsi="Times New Roman" w:eastAsia="宋体" w:cs="宋体"/>
                <w:color w:val="auto"/>
                <w:kern w:val="2"/>
                <w:sz w:val="20"/>
                <w:szCs w:val="20"/>
                <w:highlight w:val="none"/>
                <w:lang w:val="en-US" w:eastAsia="zh-CN" w:bidi="ar-SA"/>
              </w:rPr>
              <w:t>对慈善组织伪造、变造、出租、出借公开募捐资格证书的；未依照《慈善组织公开募捐管理办法》进行备案的；未按照募捐方案确定的时间、期限、地域范围、方式进行募捐的；开展公开募捐未在募捐活动现场或者募捐活动载体的显著位置公布募捐活动信息的；开展公开募捐取得的捐赠财产未纳入慈善组织统一核算和账户管理的；其他违反《慈善组织公开募捐管理办法》情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6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《中华人民共和国慈善法》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第六条  县级以上人民政府应当统筹、协调、督促和指导有关部门在各自职责范围内做好慈善事业的扶持发展和规范管理工作。国务院民政部门主管全国慈善工作，县级以上地方各级人民政府民政部门主管本行政区域内的慈善工作；县级以上人民政府有关部门依照本法和其他有关法律法规，在各自的职责范围内做好相关工作，加强对慈善活动的监督、管理和服务；慈善组织有业务主管单位的，业务主管单位应当对其进行指导、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《慈善组织公开募捐管理办法》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第二十三条   慈善组织被依法吊销公开募捐资格证书的，应当立即停止公开募捐活动，已通过公开募捐活动获得的募得款物应当继续按照备案的募捐方案执行，并将相关情况及时向社会公开。出现前款规定情形的，办理其登记的民政部门应当在十日内向社会公告。慈善组织被依法吊销公开募捐资格证书的，当年开展慈善活动的年度支出和管理费用按照具有公开募捐资格的慈善组织的相关标准执行。公开募捐资格证书被吊销的慈善组织，五年内不得再次申请。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第二十四条   慈善组织有下列情形之一的，办理其登记的民政部门可以予以警告、责令限期改正：（一）伪造、变造、出租、出借公开募捐资格证书的；（二）未按照募捐方案确定的时间，超出募捐方案确定的期限、地域范围、方式进行募捐的；（三）开展公开募捐未在募捐活动现场或者募捐活动载体的显著位置公布募捐活动信息的；（四）其他违反本办法情形的。未按照本办法报备募捐方案的，按照慈善法第一百一十条进行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《公开募捐违法案件管辖规定（试行）》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color w:val="auto"/>
                <w:szCs w:val="21"/>
                <w:highlight w:val="none"/>
                <w:lang w:eastAsia="zh-CN"/>
              </w:rPr>
            </w:pPr>
            <w:r>
              <w:rPr>
                <w:rFonts w:hint="eastAsia" w:ascii="宋体" w:hAnsi="Times New Roman" w:eastAsia="宋体" w:cs="宋体"/>
                <w:color w:val="auto"/>
                <w:kern w:val="2"/>
                <w:sz w:val="20"/>
                <w:szCs w:val="20"/>
                <w:highlight w:val="none"/>
                <w:lang w:val="en-US" w:eastAsia="zh-CN" w:bidi="ar-SA"/>
              </w:rPr>
              <w:t>第三条  具有公开募捐资格的慈善组织在公开募捐活动中发生的违法案件，不具有公开募捐资格的慈善组织或者其他社会组织违法开展公开募捐活动的案件，由其登记的民政部门管辖。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60"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olor w:val="auto"/>
                <w:szCs w:val="21"/>
                <w:highlight w:val="none"/>
                <w:lang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6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立案责任：发现慈善组织伪造、变造、出租、出借公开募捐资格证书的；未依照《慈善组织公开募捐管理办法》进行备案的；未按照募捐方案确定的时间、期限、地域范围、方式进行募捐的；开展公开募捐未在募捐活动现场或者募捐活动载体的显著位置公布募捐活动信息的；开展公开募捐取得的捐赠财产未纳入慈善组织统一核算和账户管理的；其他违反《慈善组织公开募捐管理办法》情形的，予以审查，决定是否立案。</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2.调查责任：指定专人负责，及时组织调查和收集证据，与当事人有直接利害关系的应当回避。执法人员不得少于两人，调查应出示证件，允许当事人辩解。</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3.审查责任：审理案件调查报告，对案件违法事实、证据、调查取证程序、法律适用、处罚种类和幅度、当事人陈述和申辩，提出处理意见。</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4.告知责任：作出行政处罚决定之前，应制作《行政处罚告知书》送达当事人，符合听证规定的，制作并送达《行政处罚听证告知书》。</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5.决定责任：制作《行政处罚决定书》，载明行政处罚告知、当事人陈述申辩或者听证情况等内容。</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6.送达责任：行政处罚决定书按法律规定的方式送达当事人。</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7.执行责任：依照生效的行政处罚决定执行。</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6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追责情形：《中华人民共和国行政处罚法》第七十六条至第八十三条、《中华人民共和国慈善法》第一百零八条以及其他依法应当追究的情形。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jc w:val="left"/>
        <w:textAlignment w:val="auto"/>
        <w:rPr>
          <w:rFonts w:ascii="宋体" w:cs="宋体"/>
          <w:color w:val="auto"/>
          <w:szCs w:val="21"/>
          <w:highlight w:val="none"/>
        </w:rPr>
      </w:pPr>
    </w:p>
    <w:p>
      <w:pPr>
        <w:keepNext w:val="0"/>
        <w:keepLines w:val="0"/>
        <w:pageBreakBefore w:val="0"/>
        <w:kinsoku/>
        <w:wordWrap/>
        <w:overflowPunct/>
        <w:topLinePunct w:val="0"/>
        <w:autoSpaceDE/>
        <w:autoSpaceDN/>
        <w:bidi w:val="0"/>
        <w:spacing w:line="3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三、行政确认（</w:t>
      </w:r>
      <w:r>
        <w:rPr>
          <w:rFonts w:hint="eastAsia" w:ascii="方正小标宋简体" w:hAnsi="方正小标宋简体" w:eastAsia="方正小标宋简体" w:cs="方正小标宋简体"/>
          <w:color w:val="auto"/>
          <w:sz w:val="44"/>
          <w:szCs w:val="44"/>
          <w:highlight w:val="none"/>
          <w:lang w:val="en-US" w:eastAsia="zh-CN"/>
        </w:rPr>
        <w:t>3项</w:t>
      </w:r>
      <w:r>
        <w:rPr>
          <w:rFonts w:hint="eastAsia" w:ascii="方正小标宋简体" w:hAnsi="方正小标宋简体" w:eastAsia="方正小标宋简体" w:cs="方正小标宋简体"/>
          <w:color w:val="auto"/>
          <w:sz w:val="44"/>
          <w:szCs w:val="44"/>
          <w:highlight w:val="none"/>
          <w:lang w:eastAsia="zh-CN"/>
        </w:rPr>
        <w:t>）</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p>
    <w:tbl>
      <w:tblPr>
        <w:tblStyle w:val="8"/>
        <w:tblW w:w="8663" w:type="dxa"/>
        <w:tblInd w:w="129" w:type="dxa"/>
        <w:tblLayout w:type="fixed"/>
        <w:tblCellMar>
          <w:top w:w="0" w:type="dxa"/>
          <w:left w:w="108" w:type="dxa"/>
          <w:bottom w:w="0" w:type="dxa"/>
          <w:right w:w="108" w:type="dxa"/>
        </w:tblCellMar>
      </w:tblPr>
      <w:tblGrid>
        <w:gridCol w:w="1605"/>
        <w:gridCol w:w="7058"/>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05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权力类型</w:t>
            </w:r>
          </w:p>
        </w:tc>
        <w:tc>
          <w:tcPr>
            <w:tcW w:w="705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行政确认</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权力名称</w:t>
            </w:r>
          </w:p>
        </w:tc>
        <w:tc>
          <w:tcPr>
            <w:tcW w:w="705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中国内地公民婚姻登记</w:t>
            </w:r>
            <w:r>
              <w:rPr>
                <w:rFonts w:hint="eastAsia" w:ascii="宋体" w:hAnsi="宋体" w:cs="宋体"/>
                <w:color w:val="auto"/>
                <w:szCs w:val="21"/>
                <w:highlight w:val="none"/>
                <w:lang w:eastAsia="zh-CN"/>
              </w:rPr>
              <w:t>（涉密）</w:t>
            </w:r>
          </w:p>
        </w:tc>
      </w:tr>
      <w:tr>
        <w:tblPrEx>
          <w:tblCellMar>
            <w:top w:w="0" w:type="dxa"/>
            <w:left w:w="108" w:type="dxa"/>
            <w:bottom w:w="0" w:type="dxa"/>
            <w:right w:w="108" w:type="dxa"/>
          </w:tblCellMar>
        </w:tblPrEx>
        <w:trPr>
          <w:trHeight w:val="68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eastAsia="宋体" w:cs="宋体"/>
                <w:color w:val="auto"/>
                <w:szCs w:val="21"/>
                <w:highlight w:val="none"/>
              </w:rPr>
              <w:t>依据</w:t>
            </w:r>
          </w:p>
        </w:tc>
        <w:tc>
          <w:tcPr>
            <w:tcW w:w="7058" w:type="dxa"/>
            <w:tcBorders>
              <w:top w:val="single" w:color="auto" w:sz="4" w:space="0"/>
              <w:left w:val="nil"/>
              <w:bottom w:val="single" w:color="auto" w:sz="4" w:space="0"/>
              <w:right w:val="single" w:color="auto" w:sz="4" w:space="0"/>
            </w:tcBorders>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bookmarkStart w:id="0" w:name="OLE_LINK1"/>
            <w:bookmarkEnd w:id="0"/>
            <w:r>
              <w:rPr>
                <w:rFonts w:hint="eastAsia" w:ascii="宋体" w:hAnsi="Times New Roman" w:eastAsia="宋体" w:cs="宋体"/>
                <w:color w:val="auto"/>
                <w:kern w:val="2"/>
                <w:sz w:val="20"/>
                <w:szCs w:val="20"/>
                <w:highlight w:val="none"/>
                <w:lang w:val="en-US" w:eastAsia="zh-CN" w:bidi="ar-SA"/>
              </w:rPr>
              <w:t>《民法典》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第一千零四十九条  要求结婚的男女双方必须亲自到婚姻登记机关申请结婚登记。符合本法规定的，予以登记，发给结婚证。完成结婚登记，即确立婚姻关系。未办理结婚登记的，应当补办登记。”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第一千零七十六条  夫妻双方自愿离婚的，应当签订书面离婚协议，并亲自到婚姻登记机关申请离婚登记。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第一千零七十七条  自婚姻登记机关收到离婚登记申请之日起三十日内，任何一方不愿意离婚的，可以向婚姻登记机关撤回离婚登记申请。前款规定期限届满后三十日内，双方应该亲自到婚姻登记机关申请发给离婚证；未申请的，视为撤回离婚登记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第一千零七十八条  婚姻登记机关查明双方确实是自愿离婚并已经对子女抚养、财产以及债务处理等事项协商一致的，予以登记，发给离婚证。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《婚姻登记条例》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第七条  内地居民结婚，男女双方应当亲自到婚姻登记机关共同申请结婚登记。中国公民同外国人在中国内地结婚的，内地居民同香港居民、澳门居民、台湾居民、华侨在中国内地结婚的，男女双方应当亲自到本条例第二条第二款规定的婚姻登记机关共同申请结婚登记。婚姻登记机关可以结合实际为结婚登记当事人提供预约、颁证仪式等服务。鼓励当事人邀请双方父母等参加颁证仪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color w:val="auto"/>
                <w:szCs w:val="21"/>
                <w:highlight w:val="none"/>
                <w:lang w:eastAsia="zh-CN"/>
              </w:rPr>
            </w:pPr>
            <w:r>
              <w:rPr>
                <w:rFonts w:hint="eastAsia" w:ascii="宋体" w:hAnsi="Times New Roman" w:eastAsia="宋体" w:cs="宋体"/>
                <w:color w:val="auto"/>
                <w:kern w:val="2"/>
                <w:sz w:val="20"/>
                <w:szCs w:val="20"/>
                <w:highlight w:val="none"/>
                <w:lang w:val="en-US" w:eastAsia="zh-CN" w:bidi="ar-SA"/>
              </w:rPr>
              <w:t>第十三条  内地居民自愿离婚的，男女双方应当签订书面离婚协议，亲自到婚姻登记机关共同申请离婚登记。　中国公民同外国人在中国内地自愿离婚的，内地居民同香港居民、澳门居民、台湾居民、华侨在中国内地自愿离婚的，男女双方应当签订书面离婚协议，亲自到本条例第二条第二款规定的婚姻登记机关共同申请离婚登记。离婚协议应当载明双方自愿离婚的意思表示和对子女抚养、财产以及债务处理等事项协商一致的意见。</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责任主体</w:t>
            </w:r>
          </w:p>
        </w:tc>
        <w:tc>
          <w:tcPr>
            <w:tcW w:w="705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婚姻登记服务中心</w:t>
            </w:r>
          </w:p>
        </w:tc>
      </w:tr>
      <w:tr>
        <w:tblPrEx>
          <w:tblCellMar>
            <w:top w:w="0" w:type="dxa"/>
            <w:left w:w="108" w:type="dxa"/>
            <w:bottom w:w="0" w:type="dxa"/>
            <w:right w:w="108" w:type="dxa"/>
          </w:tblCellMar>
        </w:tblPrEx>
        <w:trPr>
          <w:trHeight w:val="269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责任事项</w:t>
            </w:r>
          </w:p>
        </w:tc>
        <w:tc>
          <w:tcPr>
            <w:tcW w:w="7058" w:type="dxa"/>
            <w:tcBorders>
              <w:top w:val="single" w:color="auto" w:sz="4" w:space="0"/>
              <w:left w:val="nil"/>
              <w:bottom w:val="single" w:color="auto" w:sz="4" w:space="0"/>
              <w:right w:val="single" w:color="auto" w:sz="4" w:space="0"/>
            </w:tcBorders>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1.受理责任：公示法定应当提交的材料；一次性告知补正材料；依法受理或不予受理申请（不予受理的说明理由）。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2.审查责任：对申请人提交的申请材料进行审查，提出审查意见。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3.决定责任：在规定期限内作出受理决定（不予受理应说明理由）。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4.送达责任：在规定期限内制定并向申请人送达法律证件。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5.事中事后责任：建立健全事中事后监管措施，加强监管。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6.法律法规规章文件规定应履行的其他责任。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追责情形</w:t>
            </w:r>
            <w:r>
              <w:rPr>
                <w:rFonts w:hint="eastAsia" w:ascii="宋体" w:hAnsi="宋体" w:cs="宋体"/>
                <w:color w:val="auto"/>
                <w:szCs w:val="21"/>
                <w:highlight w:val="none"/>
                <w:lang w:eastAsia="zh-CN"/>
              </w:rPr>
              <w:t>及免责情形</w:t>
            </w:r>
          </w:p>
        </w:tc>
        <w:tc>
          <w:tcPr>
            <w:tcW w:w="7058" w:type="dxa"/>
            <w:tcBorders>
              <w:top w:val="single" w:color="auto" w:sz="4" w:space="0"/>
              <w:left w:val="nil"/>
              <w:bottom w:val="single" w:color="auto" w:sz="4" w:space="0"/>
              <w:right w:val="single" w:color="auto" w:sz="4" w:space="0"/>
            </w:tcBorders>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追责情形：《婚姻登记条例》第二十二条、第二十三条、第二十四条以及其他依法应当追究的情形。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监督电话</w:t>
            </w:r>
          </w:p>
        </w:tc>
        <w:tc>
          <w:tcPr>
            <w:tcW w:w="705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0839-3301687</w:t>
            </w:r>
          </w:p>
        </w:tc>
      </w:tr>
    </w:tbl>
    <w:p>
      <w:pPr>
        <w:keepNext w:val="0"/>
        <w:keepLines w:val="0"/>
        <w:pageBreakBefore w:val="0"/>
        <w:kinsoku/>
        <w:wordWrap/>
        <w:overflowPunct/>
        <w:topLinePunct w:val="0"/>
        <w:autoSpaceDE/>
        <w:autoSpaceDN/>
        <w:bidi w:val="0"/>
        <w:spacing w:line="360" w:lineRule="exact"/>
        <w:ind w:firstLine="210" w:firstLineChars="100"/>
        <w:jc w:val="left"/>
        <w:textAlignment w:val="auto"/>
        <w:rPr>
          <w:rFonts w:asci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color w:val="auto"/>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ascii="宋体" w:hAnsi="宋体" w:cs="宋体"/>
          <w:color w:val="auto"/>
          <w:szCs w:val="21"/>
          <w:highlight w:val="none"/>
        </w:rPr>
        <w:t>2</w:t>
      </w:r>
    </w:p>
    <w:tbl>
      <w:tblPr>
        <w:tblStyle w:val="8"/>
        <w:tblW w:w="8675" w:type="dxa"/>
        <w:tblInd w:w="129" w:type="dxa"/>
        <w:tblLayout w:type="fixed"/>
        <w:tblCellMar>
          <w:top w:w="0" w:type="dxa"/>
          <w:left w:w="108" w:type="dxa"/>
          <w:bottom w:w="0" w:type="dxa"/>
          <w:right w:w="108" w:type="dxa"/>
        </w:tblCellMar>
      </w:tblPr>
      <w:tblGrid>
        <w:gridCol w:w="1605"/>
        <w:gridCol w:w="7070"/>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07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07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rPr>
              <w:t>行政确认</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07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kern w:val="0"/>
                <w:sz w:val="22"/>
                <w:szCs w:val="22"/>
                <w:highlight w:val="none"/>
              </w:rPr>
              <w:t>中国公民收养子女登记（涉密）</w:t>
            </w:r>
          </w:p>
        </w:tc>
      </w:tr>
      <w:tr>
        <w:tblPrEx>
          <w:tblCellMar>
            <w:top w:w="0" w:type="dxa"/>
            <w:left w:w="108" w:type="dxa"/>
            <w:bottom w:w="0" w:type="dxa"/>
            <w:right w:w="108" w:type="dxa"/>
          </w:tblCellMar>
        </w:tblPrEx>
        <w:trPr>
          <w:trHeight w:val="1598"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070" w:type="dxa"/>
            <w:tcBorders>
              <w:top w:val="single" w:color="auto" w:sz="4" w:space="0"/>
              <w:left w:val="nil"/>
              <w:bottom w:val="single" w:color="auto" w:sz="4" w:space="0"/>
              <w:right w:val="single" w:color="auto" w:sz="4" w:space="0"/>
            </w:tcBorders>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《中华人民共和国民法典》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第一千一百零五条  收养应当向县级以上人民政府民政部门登记。收养关系自登记之日起成立。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《中国公民收养子女登记办法》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第二条  中国公民在中国境内收养子女或者协议解除收养关系的，应当依照本办法的规定办理登记。办理收养登记的机关是县级人民政府民政部门。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《收养登记工作规范》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第一条  收养登记机关是依法履行收养登记行政职能的各级人民政府民政部门。收养登记机关应当依照法律、法规及本规范，认真履行职责，做好收养登记工作。</w:t>
            </w:r>
          </w:p>
          <w:p>
            <w:pPr>
              <w:keepNext w:val="0"/>
              <w:keepLines w:val="0"/>
              <w:pageBreakBefore w:val="0"/>
              <w:kinsoku/>
              <w:wordWrap/>
              <w:overflowPunct/>
              <w:topLinePunct w:val="0"/>
              <w:autoSpaceDE/>
              <w:autoSpaceDN/>
              <w:bidi w:val="0"/>
              <w:spacing w:line="360" w:lineRule="exact"/>
              <w:ind w:firstLine="420" w:firstLineChars="200"/>
              <w:textAlignment w:val="auto"/>
              <w:rPr>
                <w:rFonts w:ascii="宋体" w:cs="宋体"/>
                <w:color w:val="auto"/>
                <w:szCs w:val="21"/>
                <w:highlight w:val="none"/>
              </w:rPr>
            </w:pP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07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社会事务与养老服务股</w:t>
            </w:r>
          </w:p>
        </w:tc>
      </w:tr>
      <w:tr>
        <w:tblPrEx>
          <w:tblCellMar>
            <w:top w:w="0" w:type="dxa"/>
            <w:left w:w="108" w:type="dxa"/>
            <w:bottom w:w="0" w:type="dxa"/>
            <w:right w:w="108" w:type="dxa"/>
          </w:tblCellMar>
        </w:tblPrEx>
        <w:trPr>
          <w:trHeight w:val="269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7070" w:type="dxa"/>
            <w:tcBorders>
              <w:top w:val="single" w:color="auto" w:sz="4" w:space="0"/>
              <w:left w:val="nil"/>
              <w:bottom w:val="single" w:color="auto" w:sz="4" w:space="0"/>
              <w:right w:val="single" w:color="auto" w:sz="4" w:space="0"/>
            </w:tcBorders>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1.受理责任：公示应当提交的材料，一次性告知补正材料，依法受理或不予受理（不予受理应当告知理由）。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2.审查责任：对提交的材料进行核实审查，提出审查结果。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3.决定责任：作出准予登记或者不予登记决定，不予登记的向当事人说明理由。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4.事后监管责任：登记并留存全套资料。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6.其他责任：法律法规规章文件规定应履行的其他责任。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070" w:type="dxa"/>
            <w:tcBorders>
              <w:top w:val="single" w:color="auto" w:sz="4" w:space="0"/>
              <w:left w:val="nil"/>
              <w:bottom w:val="single" w:color="auto" w:sz="4" w:space="0"/>
              <w:right w:val="single" w:color="auto" w:sz="4" w:space="0"/>
            </w:tcBorders>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追责情形：《收养登记工作规范》第四十八条</w:t>
            </w:r>
            <w:r>
              <w:rPr>
                <w:rFonts w:hint="default" w:ascii="宋体" w:hAnsi="Times New Roman" w:eastAsia="宋体" w:cs="宋体"/>
                <w:color w:val="auto"/>
                <w:kern w:val="2"/>
                <w:sz w:val="20"/>
                <w:szCs w:val="20"/>
                <w:highlight w:val="none"/>
                <w:lang w:val="en-US" w:eastAsia="zh-CN" w:bidi="ar-SA"/>
              </w:rPr>
              <w:t>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w:t>
            </w:r>
            <w:r>
              <w:rPr>
                <w:rFonts w:hint="default" w:ascii="宋体" w:hAnsi="Times New Roman" w:eastAsia="宋体" w:cs="宋体"/>
                <w:color w:val="auto"/>
                <w:kern w:val="2"/>
                <w:sz w:val="20"/>
                <w:szCs w:val="20"/>
                <w:highlight w:val="none"/>
                <w:lang w:val="en-US" w:eastAsia="zh-CN" w:bidi="ar-SA"/>
              </w:rPr>
              <w:t>《中华人民共和国公务员法》</w:t>
            </w:r>
            <w:r>
              <w:rPr>
                <w:rFonts w:hint="eastAsia" w:ascii="宋体" w:hAnsi="Times New Roman" w:eastAsia="宋体" w:cs="宋体"/>
                <w:color w:val="auto"/>
                <w:kern w:val="2"/>
                <w:sz w:val="20"/>
                <w:szCs w:val="20"/>
                <w:highlight w:val="none"/>
                <w:lang w:val="en-US" w:eastAsia="zh-CN" w:bidi="ar-SA"/>
              </w:rPr>
              <w:t>第六十条、第六十一条</w:t>
            </w:r>
            <w:r>
              <w:rPr>
                <w:rFonts w:hint="default" w:ascii="宋体" w:hAnsi="Times New Roman" w:eastAsia="宋体" w:cs="宋体"/>
                <w:color w:val="auto"/>
                <w:kern w:val="2"/>
                <w:sz w:val="20"/>
                <w:szCs w:val="20"/>
                <w:highlight w:val="none"/>
                <w:lang w:val="en-US" w:eastAsia="zh-CN" w:bidi="ar-SA"/>
              </w:rPr>
              <w:t>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07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rPr>
              <w:t>0839-3309025</w:t>
            </w:r>
          </w:p>
        </w:tc>
      </w:tr>
    </w:tbl>
    <w:p>
      <w:pPr>
        <w:keepNext w:val="0"/>
        <w:keepLines w:val="0"/>
        <w:pageBreakBefore w:val="0"/>
        <w:kinsoku/>
        <w:wordWrap/>
        <w:overflowPunct/>
        <w:topLinePunct w:val="0"/>
        <w:autoSpaceDE/>
        <w:autoSpaceDN/>
        <w:bidi w:val="0"/>
        <w:spacing w:line="360" w:lineRule="exact"/>
        <w:textAlignment w:val="auto"/>
        <w:rPr>
          <w:color w:val="auto"/>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p>
    <w:tbl>
      <w:tblPr>
        <w:tblStyle w:val="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00"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00"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00" w:type="dxa"/>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cs="宋体"/>
                <w:color w:val="auto"/>
                <w:szCs w:val="21"/>
                <w:highlight w:val="none"/>
              </w:rPr>
            </w:pPr>
            <w:r>
              <w:rPr>
                <w:rStyle w:val="15"/>
                <w:rFonts w:hint="eastAsia" w:ascii="宋体" w:hAnsi="宋体" w:eastAsia="宋体" w:cs="宋体"/>
                <w:color w:val="auto"/>
                <w:sz w:val="21"/>
                <w:szCs w:val="21"/>
                <w:highlight w:val="none"/>
                <w:lang w:val="en-US" w:eastAsia="zh-CN" w:bidi="ar"/>
              </w:rPr>
              <w:t>慈善组织认定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0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《中华人民共和国慈善法》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cs="宋体"/>
                <w:color w:val="auto"/>
                <w:szCs w:val="21"/>
                <w:highlight w:val="none"/>
              </w:rPr>
            </w:pPr>
            <w:r>
              <w:rPr>
                <w:rFonts w:hint="eastAsia" w:ascii="宋体" w:hAnsi="Times New Roman" w:eastAsia="宋体" w:cs="宋体"/>
                <w:color w:val="auto"/>
                <w:kern w:val="2"/>
                <w:sz w:val="20"/>
                <w:szCs w:val="20"/>
                <w:highlight w:val="none"/>
                <w:lang w:val="en-US" w:eastAsia="zh-CN" w:bidi="ar-SA"/>
              </w:rPr>
              <w:t>第六条  县级以上人民政府应当统筹、协调、督促和指导有关部门在各自职责范围内做好慈善事业的扶持发展和规范管理工作。国务院民政部门主管全国慈善工作，县级以上地方各级人民政府民政部门主管本行政区域内的慈善工作；县级以上人民政府有关部门依照本法和其他有关法律法规，在各自的职责范围内做好相关工作，加强对慈善活动的监督、管理和服务；慈善组织有业务主管单位的，业务主管单位应当对其进行指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00"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olor w:val="auto"/>
                <w:szCs w:val="21"/>
                <w:highlight w:val="none"/>
                <w:lang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0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1.受理责任：公示应当提交的材料，一次性告知补正材料，依法受理或不予受理（不予受理应当告知理由）。</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2.审查责任：按照《中华人民共和国慈善法》《慈善组织认定办法》等规定，对需提交的要件材料进行核实审查，告知当事人是否符合认定条件。</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3.决定责任：作出认定或者不予认定决定，不予认定的向当事人说明理由。</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4.事后监管责任：登记并留存全套资料。</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0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追责情形：《中华人民共和国慈善法》第一百零八条以及其他依法应当追究的情形。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0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四、行政检查（</w:t>
      </w:r>
      <w:r>
        <w:rPr>
          <w:rFonts w:hint="eastAsia" w:ascii="方正小标宋简体" w:hAnsi="方正小标宋简体" w:eastAsia="方正小标宋简体" w:cs="方正小标宋简体"/>
          <w:color w:val="auto"/>
          <w:sz w:val="44"/>
          <w:szCs w:val="44"/>
          <w:highlight w:val="none"/>
          <w:lang w:val="en-US" w:eastAsia="zh-CN"/>
        </w:rPr>
        <w:t>6项</w:t>
      </w:r>
      <w:r>
        <w:rPr>
          <w:rFonts w:hint="eastAsia" w:ascii="方正小标宋简体" w:hAnsi="方正小标宋简体" w:eastAsia="方正小标宋简体" w:cs="方正小标宋简体"/>
          <w:color w:val="auto"/>
          <w:sz w:val="44"/>
          <w:szCs w:val="44"/>
          <w:highlight w:val="none"/>
          <w:lang w:eastAsia="zh-CN"/>
        </w:rPr>
        <w:t>）</w:t>
      </w:r>
    </w:p>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p>
    <w:tbl>
      <w:tblPr>
        <w:tblStyle w:val="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0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0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0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对社会团体实施年度检查和违反《社会团体登记管理条例》行为的监督检查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0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《社会团体登记管理条例》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第二十四条 登记管理机关履行下列监督管理职责：（一）负责社会团体的成立、变更、注销的登记；（二）对社会团体实施年度检查；（三）对社会团体违反本条例的问题进行监督检查，对社会团体违反本条例的行为给予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第二十八条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对于依照本条例第十七条的规定发给《社会团体法人登记证书》的社会团体，登记管理机关对其应当简化年度检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0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olor w:val="auto"/>
                <w:szCs w:val="21"/>
                <w:highlight w:val="none"/>
                <w:lang w:val="en-US"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0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1.检查责任：登记管理机关根据工作实际，对登记的社会团体定期或者不定期监督检查。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2.处置责任：对监督检查中发现的问题，登记管理机关应当及时向社会团体指出并责令其改正，涉及行政处罚的依法进行处罚。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3.信息公开责任：按照相关规定办理信息公开事项。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4.其他法律法规规章文件规定应履行的其他责任。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0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追责情形：《社会团体登记管理条例》第三十四条以及其他依法应当追究的情形。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0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p>
    <w:tbl>
      <w:tblPr>
        <w:tblStyle w:val="8"/>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088"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088"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088"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对民办非企业单位年度检查和违反《民办非企业单位登记管理暂行条例》行为的监督检查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088"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《民办非企业单位登记管理暂行条例》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088"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olor w:val="auto"/>
                <w:szCs w:val="21"/>
                <w:highlight w:val="none"/>
                <w:lang w:val="en-US"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088"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1.检查责任：登记管理机关根据工作实际，对登记的民办非企业单位定期或者不定期监督检查。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2.处置责任：对监督检查中发现的问题，登记管理机关应当及时向民办非企业单位指出并责令其改正，涉及行政处罚的依法进行处罚。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3.信息公开责任：按照相关规定办理信息公开事项。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4.其他法律法规规章文件规定应履行的其他责任。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088"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追责情形：《民办非企业单位登记管理暂行条例》第二十九条以及其他依法应当追究的情形。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088"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p>
    <w:tbl>
      <w:tblPr>
        <w:tblStyle w:val="8"/>
        <w:tblW w:w="8603" w:type="dxa"/>
        <w:tblInd w:w="129" w:type="dxa"/>
        <w:tblLayout w:type="fixed"/>
        <w:tblCellMar>
          <w:top w:w="0" w:type="dxa"/>
          <w:left w:w="108" w:type="dxa"/>
          <w:bottom w:w="0" w:type="dxa"/>
          <w:right w:w="108" w:type="dxa"/>
        </w:tblCellMar>
      </w:tblPr>
      <w:tblGrid>
        <w:gridCol w:w="1605"/>
        <w:gridCol w:w="6998"/>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69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69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rPr>
              <w:t>行政检查</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69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kern w:val="0"/>
                <w:sz w:val="22"/>
                <w:szCs w:val="22"/>
                <w:highlight w:val="none"/>
              </w:rPr>
              <w:t>对养老机构的监督检查</w:t>
            </w:r>
          </w:p>
        </w:tc>
      </w:tr>
      <w:tr>
        <w:tblPrEx>
          <w:tblCellMar>
            <w:top w:w="0" w:type="dxa"/>
            <w:left w:w="108" w:type="dxa"/>
            <w:bottom w:w="0" w:type="dxa"/>
            <w:right w:w="108" w:type="dxa"/>
          </w:tblCellMar>
        </w:tblPrEx>
        <w:trPr>
          <w:trHeight w:val="68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6998" w:type="dxa"/>
            <w:tcBorders>
              <w:top w:val="single" w:color="auto" w:sz="4" w:space="0"/>
              <w:left w:val="nil"/>
              <w:bottom w:val="single" w:color="auto" w:sz="4" w:space="0"/>
              <w:right w:val="single" w:color="auto" w:sz="4" w:space="0"/>
            </w:tcBorders>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《中华人民共和国老年人权益保障法》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第四十五条 县级以上人民政府民政部门依法履行监督检查职责，可以采取以下措施：（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县级以上人民政府民政部门调查养老机构涉嫌违法的行为，应当遵守《中华人民共和国行政强制法》和其他有关法律、行政法规的规定。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 xml:space="preserve">《养老机构管理办法》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第三十七条  民政部门依法履行监督检查职责，可以采取以下措施：（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民政部门实施监督检查时，监督检查人员不得少于2人，应当出示执法证件。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color w:val="auto"/>
                <w:szCs w:val="21"/>
                <w:highlight w:val="none"/>
              </w:rPr>
            </w:pPr>
            <w:r>
              <w:rPr>
                <w:rFonts w:hint="eastAsia" w:ascii="宋体" w:hAnsi="Times New Roman" w:eastAsia="宋体" w:cs="宋体"/>
                <w:color w:val="auto"/>
                <w:kern w:val="2"/>
                <w:sz w:val="20"/>
                <w:szCs w:val="20"/>
                <w:highlight w:val="none"/>
                <w:lang w:val="en-US" w:eastAsia="zh-CN" w:bidi="ar-SA"/>
              </w:rPr>
              <w:t>对民政部门依法进行的监督检查，养老机构应当配合，如实提供相关资料和信息，不得隐瞒、拒绝、阻碍。</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69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社会事务与养老服务股</w:t>
            </w:r>
          </w:p>
        </w:tc>
      </w:tr>
      <w:tr>
        <w:tblPrEx>
          <w:tblCellMar>
            <w:top w:w="0" w:type="dxa"/>
            <w:left w:w="108" w:type="dxa"/>
            <w:bottom w:w="0" w:type="dxa"/>
            <w:right w:w="108" w:type="dxa"/>
          </w:tblCellMar>
        </w:tblPrEx>
        <w:trPr>
          <w:trHeight w:val="223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责任事项</w:t>
            </w:r>
          </w:p>
        </w:tc>
        <w:tc>
          <w:tcPr>
            <w:tcW w:w="6998" w:type="dxa"/>
            <w:tcBorders>
              <w:top w:val="single" w:color="auto" w:sz="4" w:space="0"/>
              <w:left w:val="nil"/>
              <w:bottom w:val="single" w:color="auto" w:sz="4" w:space="0"/>
              <w:right w:val="single" w:color="auto" w:sz="4" w:space="0"/>
            </w:tcBorders>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1.管理责任：民政部门根据工作实际，对养老机构定期或者不定期监督检查。</w:t>
            </w:r>
            <w:r>
              <w:rPr>
                <w:rFonts w:hint="default" w:ascii="宋体" w:hAnsi="Times New Roman" w:eastAsia="宋体" w:cs="宋体"/>
                <w:color w:val="auto"/>
                <w:kern w:val="2"/>
                <w:sz w:val="20"/>
                <w:szCs w:val="20"/>
                <w:highlight w:val="none"/>
                <w:lang w:val="en-US" w:eastAsia="zh-CN" w:bidi="ar-SA"/>
              </w:rPr>
              <w:br w:type="textWrapping"/>
            </w:r>
            <w:r>
              <w:rPr>
                <w:rFonts w:hint="default" w:ascii="宋体" w:hAnsi="Times New Roman" w:eastAsia="宋体" w:cs="宋体"/>
                <w:color w:val="auto"/>
                <w:kern w:val="2"/>
                <w:sz w:val="20"/>
                <w:szCs w:val="20"/>
                <w:highlight w:val="none"/>
                <w:lang w:val="en-US" w:eastAsia="zh-CN" w:bidi="ar-SA"/>
              </w:rPr>
              <w:t>2.处置责任：对监督检查中发现的问题，应当及时向养老机构指出并责令其改正，涉及行政处罚的依法进行处罚。</w:t>
            </w:r>
            <w:r>
              <w:rPr>
                <w:rFonts w:hint="default" w:ascii="宋体" w:hAnsi="Times New Roman" w:eastAsia="宋体" w:cs="宋体"/>
                <w:color w:val="auto"/>
                <w:kern w:val="2"/>
                <w:sz w:val="20"/>
                <w:szCs w:val="20"/>
                <w:highlight w:val="none"/>
                <w:lang w:val="en-US" w:eastAsia="zh-CN" w:bidi="ar-SA"/>
              </w:rPr>
              <w:br w:type="textWrapping"/>
            </w:r>
            <w:r>
              <w:rPr>
                <w:rFonts w:hint="default" w:ascii="宋体" w:hAnsi="Times New Roman" w:eastAsia="宋体" w:cs="宋体"/>
                <w:color w:val="auto"/>
                <w:kern w:val="2"/>
                <w:sz w:val="20"/>
                <w:szCs w:val="20"/>
                <w:highlight w:val="none"/>
                <w:lang w:val="en-US" w:eastAsia="zh-CN" w:bidi="ar-SA"/>
              </w:rPr>
              <w:t>3.信息公开责任：按照相关规定办理信息公开事项。</w:t>
            </w:r>
            <w:r>
              <w:rPr>
                <w:rFonts w:hint="default" w:ascii="宋体" w:hAnsi="Times New Roman" w:eastAsia="宋体" w:cs="宋体"/>
                <w:color w:val="auto"/>
                <w:kern w:val="2"/>
                <w:sz w:val="20"/>
                <w:szCs w:val="20"/>
                <w:highlight w:val="none"/>
                <w:lang w:val="en-US" w:eastAsia="zh-CN" w:bidi="ar-SA"/>
              </w:rPr>
              <w:br w:type="textWrapping"/>
            </w:r>
            <w:r>
              <w:rPr>
                <w:rFonts w:hint="default" w:ascii="宋体" w:hAnsi="Times New Roman" w:eastAsia="宋体" w:cs="宋体"/>
                <w:color w:val="auto"/>
                <w:kern w:val="2"/>
                <w:sz w:val="20"/>
                <w:szCs w:val="20"/>
                <w:highlight w:val="none"/>
                <w:lang w:val="en-US" w:eastAsia="zh-CN" w:bidi="ar-SA"/>
              </w:rPr>
              <w:t>4.其他法律法规规章文件规定应履行的其他责任。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6998" w:type="dxa"/>
            <w:tcBorders>
              <w:top w:val="single" w:color="auto" w:sz="4" w:space="0"/>
              <w:left w:val="nil"/>
              <w:bottom w:val="single" w:color="auto" w:sz="4" w:space="0"/>
              <w:right w:val="single" w:color="auto" w:sz="4" w:space="0"/>
            </w:tcBorders>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追责情形：《养老机构管理办法》第四十七条以及其他依法应当追究的情形。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免责情形：《中华人民共和国公务员法》</w:t>
            </w:r>
            <w:r>
              <w:rPr>
                <w:rFonts w:hint="eastAsia" w:ascii="宋体" w:hAnsi="Times New Roman" w:eastAsia="宋体" w:cs="宋体"/>
                <w:color w:val="auto"/>
                <w:kern w:val="2"/>
                <w:sz w:val="20"/>
                <w:szCs w:val="20"/>
                <w:highlight w:val="none"/>
                <w:lang w:val="en-US" w:eastAsia="zh-CN" w:bidi="ar-SA"/>
              </w:rPr>
              <w:t>第六十条、第六十一条</w:t>
            </w:r>
            <w:r>
              <w:rPr>
                <w:rFonts w:hint="default" w:ascii="宋体" w:hAnsi="Times New Roman" w:eastAsia="宋体" w:cs="宋体"/>
                <w:color w:val="auto"/>
                <w:kern w:val="2"/>
                <w:sz w:val="20"/>
                <w:szCs w:val="20"/>
                <w:highlight w:val="none"/>
                <w:lang w:val="en-US" w:eastAsia="zh-CN" w:bidi="ar-SA"/>
              </w:rPr>
              <w:t>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69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rPr>
              <w:t>0839-3309025</w:t>
            </w:r>
          </w:p>
        </w:tc>
      </w:tr>
    </w:tbl>
    <w:p>
      <w:pPr>
        <w:keepNext w:val="0"/>
        <w:keepLines w:val="0"/>
        <w:pageBreakBefore w:val="0"/>
        <w:kinsoku/>
        <w:wordWrap/>
        <w:overflowPunct/>
        <w:topLinePunct w:val="0"/>
        <w:autoSpaceDE/>
        <w:autoSpaceDN/>
        <w:bidi w:val="0"/>
        <w:spacing w:line="360" w:lineRule="exact"/>
        <w:textAlignment w:val="auto"/>
        <w:rPr>
          <w:color w:val="auto"/>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p>
    <w:tbl>
      <w:tblPr>
        <w:tblStyle w:val="8"/>
        <w:tblW w:w="8771" w:type="dxa"/>
        <w:tblInd w:w="129" w:type="dxa"/>
        <w:tblLayout w:type="fixed"/>
        <w:tblCellMar>
          <w:top w:w="0" w:type="dxa"/>
          <w:left w:w="108" w:type="dxa"/>
          <w:bottom w:w="0" w:type="dxa"/>
          <w:right w:w="108" w:type="dxa"/>
        </w:tblCellMar>
      </w:tblPr>
      <w:tblGrid>
        <w:gridCol w:w="1605"/>
        <w:gridCol w:w="7166"/>
      </w:tblGrid>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71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4</w:t>
            </w:r>
          </w:p>
        </w:tc>
      </w:tr>
      <w:tr>
        <w:tblPrEx>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权力类型</w:t>
            </w:r>
          </w:p>
        </w:tc>
        <w:tc>
          <w:tcPr>
            <w:tcW w:w="71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行政</w:t>
            </w:r>
            <w:r>
              <w:rPr>
                <w:rFonts w:hint="eastAsia" w:ascii="宋体" w:hAnsi="宋体" w:cs="宋体"/>
                <w:color w:val="auto"/>
                <w:szCs w:val="21"/>
                <w:highlight w:val="none"/>
                <w:lang w:eastAsia="zh-CN"/>
              </w:rPr>
              <w:t>检查</w:t>
            </w:r>
          </w:p>
        </w:tc>
      </w:tr>
      <w:tr>
        <w:tblPrEx>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权力名称</w:t>
            </w:r>
          </w:p>
        </w:tc>
        <w:tc>
          <w:tcPr>
            <w:tcW w:w="71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对社会公共墓地、殡仪馆、殡仪服务站开展行政检查</w:t>
            </w:r>
          </w:p>
        </w:tc>
      </w:tr>
      <w:tr>
        <w:tblPrEx>
          <w:tblCellMar>
            <w:top w:w="0" w:type="dxa"/>
            <w:left w:w="108" w:type="dxa"/>
            <w:bottom w:w="0" w:type="dxa"/>
            <w:right w:w="108" w:type="dxa"/>
          </w:tblCellMar>
        </w:tblPrEx>
        <w:trPr>
          <w:trHeight w:val="68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66" w:type="dxa"/>
            <w:tcBorders>
              <w:top w:val="single" w:color="auto" w:sz="4" w:space="0"/>
              <w:left w:val="nil"/>
              <w:bottom w:val="single" w:color="auto" w:sz="4" w:space="0"/>
              <w:right w:val="single" w:color="auto" w:sz="4" w:space="0"/>
            </w:tcBorders>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w:t>
            </w:r>
            <w:r>
              <w:rPr>
                <w:rFonts w:hint="eastAsia" w:ascii="宋体" w:hAnsi="Times New Roman" w:eastAsia="宋体" w:cs="宋体"/>
                <w:color w:val="auto"/>
                <w:kern w:val="2"/>
                <w:sz w:val="20"/>
                <w:szCs w:val="20"/>
                <w:highlight w:val="none"/>
                <w:lang w:val="en-US" w:eastAsia="zh-CN" w:bidi="ar-SA"/>
              </w:rPr>
              <w:fldChar w:fldCharType="begin"/>
            </w:r>
            <w:r>
              <w:rPr>
                <w:rFonts w:hint="eastAsia" w:ascii="宋体" w:hAnsi="Times New Roman" w:eastAsia="宋体" w:cs="宋体"/>
                <w:color w:val="auto"/>
                <w:kern w:val="2"/>
                <w:sz w:val="20"/>
                <w:szCs w:val="20"/>
                <w:highlight w:val="none"/>
                <w:lang w:val="en-US" w:eastAsia="zh-CN" w:bidi="ar-SA"/>
              </w:rPr>
              <w:instrText xml:space="preserve"> HYPERLINK "http://www.sc.gov.cn/10462/zcwjk/zcwjk.shtml?title=%E6%AE%A1%E8%91%AC%E7%AE%A1%E7%90%86%E6%9D%A1%E4%BE%8B" \t "http://www.sczwfw.gov.cn/jiq/front/transition/_blank" </w:instrText>
            </w:r>
            <w:r>
              <w:rPr>
                <w:rFonts w:hint="eastAsia" w:ascii="宋体" w:hAnsi="Times New Roman" w:eastAsia="宋体" w:cs="宋体"/>
                <w:color w:val="auto"/>
                <w:kern w:val="2"/>
                <w:sz w:val="20"/>
                <w:szCs w:val="20"/>
                <w:highlight w:val="none"/>
                <w:lang w:val="en-US" w:eastAsia="zh-CN" w:bidi="ar-SA"/>
              </w:rPr>
              <w:fldChar w:fldCharType="separate"/>
            </w:r>
            <w:r>
              <w:rPr>
                <w:rFonts w:hint="eastAsia" w:ascii="宋体" w:hAnsi="Times New Roman" w:eastAsia="宋体" w:cs="宋体"/>
                <w:color w:val="auto"/>
                <w:kern w:val="2"/>
                <w:sz w:val="20"/>
                <w:szCs w:val="20"/>
                <w:highlight w:val="none"/>
                <w:lang w:val="en-US" w:eastAsia="zh-CN" w:bidi="ar-SA"/>
              </w:rPr>
              <w:t>殡葬管理条例</w:t>
            </w:r>
            <w:r>
              <w:rPr>
                <w:rFonts w:hint="eastAsia" w:ascii="宋体" w:hAnsi="Times New Roman" w:eastAsia="宋体" w:cs="宋体"/>
                <w:color w:val="auto"/>
                <w:kern w:val="2"/>
                <w:sz w:val="20"/>
                <w:szCs w:val="20"/>
                <w:highlight w:val="none"/>
                <w:lang w:val="en-US" w:eastAsia="zh-CN" w:bidi="ar-SA"/>
              </w:rPr>
              <w:fldChar w:fldCharType="end"/>
            </w:r>
            <w:r>
              <w:rPr>
                <w:rFonts w:hint="eastAsia" w:ascii="宋体" w:hAnsi="Times New Roman" w:eastAsia="宋体" w:cs="宋体"/>
                <w:color w:val="auto"/>
                <w:kern w:val="2"/>
                <w:sz w:val="20"/>
                <w:szCs w:val="20"/>
                <w:highlight w:val="none"/>
                <w:lang w:val="en-US" w:eastAsia="zh-CN" w:bidi="ar-SA"/>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第三条  国务院民政部门负责全国的殡葬管理工作。县级以上地方人民政府民政部门负责本行政区域内的殡葬管理工作。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《四川省</w:t>
            </w:r>
            <w:r>
              <w:rPr>
                <w:rFonts w:hint="eastAsia" w:ascii="宋体" w:hAnsi="Times New Roman" w:eastAsia="宋体" w:cs="宋体"/>
                <w:color w:val="auto"/>
                <w:kern w:val="2"/>
                <w:sz w:val="20"/>
                <w:szCs w:val="20"/>
                <w:highlight w:val="none"/>
                <w:lang w:val="en-US" w:eastAsia="zh-CN" w:bidi="ar-SA"/>
              </w:rPr>
              <w:fldChar w:fldCharType="begin"/>
            </w:r>
            <w:r>
              <w:rPr>
                <w:rFonts w:hint="eastAsia" w:ascii="宋体" w:hAnsi="Times New Roman" w:eastAsia="宋体" w:cs="宋体"/>
                <w:color w:val="auto"/>
                <w:kern w:val="2"/>
                <w:sz w:val="20"/>
                <w:szCs w:val="20"/>
                <w:highlight w:val="none"/>
                <w:lang w:val="en-US" w:eastAsia="zh-CN" w:bidi="ar-SA"/>
              </w:rPr>
              <w:instrText xml:space="preserve"> HYPERLINK "http://www.sc.gov.cn/10462/zcwjk/zcwjk.shtml?title=%E6%AE%A1%E8%91%AC%E7%AE%A1%E7%90%86%E6%9D%A1%E4%BE%8B" \t "http://www.sczwfw.gov.cn/jiq/front/transition/_blank" </w:instrText>
            </w:r>
            <w:r>
              <w:rPr>
                <w:rFonts w:hint="eastAsia" w:ascii="宋体" w:hAnsi="Times New Roman" w:eastAsia="宋体" w:cs="宋体"/>
                <w:color w:val="auto"/>
                <w:kern w:val="2"/>
                <w:sz w:val="20"/>
                <w:szCs w:val="20"/>
                <w:highlight w:val="none"/>
                <w:lang w:val="en-US" w:eastAsia="zh-CN" w:bidi="ar-SA"/>
              </w:rPr>
              <w:fldChar w:fldCharType="separate"/>
            </w:r>
            <w:r>
              <w:rPr>
                <w:rFonts w:hint="eastAsia" w:ascii="宋体" w:hAnsi="Times New Roman" w:eastAsia="宋体" w:cs="宋体"/>
                <w:color w:val="auto"/>
                <w:kern w:val="2"/>
                <w:sz w:val="20"/>
                <w:szCs w:val="20"/>
                <w:highlight w:val="none"/>
                <w:lang w:val="en-US" w:eastAsia="zh-CN" w:bidi="ar-SA"/>
              </w:rPr>
              <w:t>殡葬管理条例</w:t>
            </w:r>
            <w:r>
              <w:rPr>
                <w:rFonts w:hint="eastAsia" w:ascii="宋体" w:hAnsi="Times New Roman" w:eastAsia="宋体" w:cs="宋体"/>
                <w:color w:val="auto"/>
                <w:kern w:val="2"/>
                <w:sz w:val="20"/>
                <w:szCs w:val="20"/>
                <w:highlight w:val="none"/>
                <w:lang w:val="en-US" w:eastAsia="zh-CN" w:bidi="ar-SA"/>
              </w:rPr>
              <w:fldChar w:fldCharType="end"/>
            </w:r>
            <w:r>
              <w:rPr>
                <w:rFonts w:hint="eastAsia" w:ascii="宋体" w:hAnsi="Times New Roman" w:eastAsia="宋体" w:cs="宋体"/>
                <w:color w:val="auto"/>
                <w:kern w:val="2"/>
                <w:sz w:val="20"/>
                <w:szCs w:val="20"/>
                <w:highlight w:val="none"/>
                <w:lang w:val="en-US" w:eastAsia="zh-CN" w:bidi="ar-SA"/>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ascii="宋体" w:cs="宋体"/>
                <w:b/>
                <w:bCs/>
                <w:color w:val="auto"/>
                <w:szCs w:val="21"/>
                <w:highlight w:val="none"/>
              </w:rPr>
            </w:pPr>
            <w:r>
              <w:rPr>
                <w:rFonts w:hint="eastAsia" w:ascii="宋体" w:hAnsi="Times New Roman" w:eastAsia="宋体" w:cs="宋体"/>
                <w:color w:val="auto"/>
                <w:kern w:val="2"/>
                <w:sz w:val="20"/>
                <w:szCs w:val="20"/>
                <w:highlight w:val="none"/>
                <w:lang w:val="en-US" w:eastAsia="zh-CN" w:bidi="ar-SA"/>
              </w:rPr>
              <w:t>第五条  各级民政部门是殡葬事务的行政主管部门，负责殡葬事务的管理、监督和检查工作。全省对殡葬行业实行统一管理。 各级公安、工商、国土、卫生、城市规划、环境卫生及环境保护等行政管理部门应按各自职责，共同做好有关殡葬事务的管理工作。</w:t>
            </w:r>
          </w:p>
        </w:tc>
      </w:tr>
      <w:tr>
        <w:tblPrEx>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责任主体</w:t>
            </w:r>
          </w:p>
        </w:tc>
        <w:tc>
          <w:tcPr>
            <w:tcW w:w="71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区划地名和殡葬管理股</w:t>
            </w:r>
          </w:p>
        </w:tc>
      </w:tr>
      <w:tr>
        <w:tblPrEx>
          <w:tblCellMar>
            <w:top w:w="0" w:type="dxa"/>
            <w:left w:w="108" w:type="dxa"/>
            <w:bottom w:w="0" w:type="dxa"/>
            <w:right w:w="108" w:type="dxa"/>
          </w:tblCellMar>
        </w:tblPrEx>
        <w:trPr>
          <w:trHeight w:val="1364"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lang w:eastAsia="zh-CN"/>
              </w:rPr>
              <w:t>责任</w:t>
            </w:r>
            <w:r>
              <w:rPr>
                <w:rFonts w:hint="eastAsia" w:ascii="宋体" w:hAnsi="宋体" w:cs="宋体"/>
                <w:color w:val="auto"/>
                <w:szCs w:val="21"/>
                <w:highlight w:val="none"/>
              </w:rPr>
              <w:t>事项</w:t>
            </w:r>
          </w:p>
        </w:tc>
        <w:tc>
          <w:tcPr>
            <w:tcW w:w="7166" w:type="dxa"/>
            <w:tcBorders>
              <w:top w:val="single" w:color="auto" w:sz="4" w:space="0"/>
              <w:left w:val="nil"/>
              <w:bottom w:val="single" w:color="auto" w:sz="4" w:space="0"/>
              <w:right w:val="single" w:color="auto" w:sz="4" w:space="0"/>
            </w:tcBorders>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1.检查责任：根据工作实际，对社会公共墓地、殡仪馆、殡仪服务站开展行政检查。</w:t>
            </w:r>
            <w:r>
              <w:rPr>
                <w:rFonts w:hint="default" w:ascii="宋体" w:hAnsi="Times New Roman" w:eastAsia="宋体" w:cs="宋体"/>
                <w:color w:val="auto"/>
                <w:kern w:val="2"/>
                <w:sz w:val="20"/>
                <w:szCs w:val="20"/>
                <w:highlight w:val="none"/>
                <w:lang w:val="en-US" w:eastAsia="zh-CN" w:bidi="ar-SA"/>
              </w:rPr>
              <w:br w:type="textWrapping"/>
            </w:r>
            <w:r>
              <w:rPr>
                <w:rFonts w:hint="default" w:ascii="宋体" w:hAnsi="Times New Roman" w:eastAsia="宋体" w:cs="宋体"/>
                <w:color w:val="auto"/>
                <w:kern w:val="2"/>
                <w:sz w:val="20"/>
                <w:szCs w:val="20"/>
                <w:highlight w:val="none"/>
                <w:lang w:val="en-US" w:eastAsia="zh-CN" w:bidi="ar-SA"/>
              </w:rPr>
              <w:t>2.处置责任：对监督检查中发现的问题，检查机关应当及时向受检对象指出并责令其改正，涉及行政处罚的依法进行处罚。</w:t>
            </w:r>
            <w:r>
              <w:rPr>
                <w:rFonts w:hint="default" w:ascii="宋体" w:hAnsi="Times New Roman" w:eastAsia="宋体" w:cs="宋体"/>
                <w:color w:val="auto"/>
                <w:kern w:val="2"/>
                <w:sz w:val="20"/>
                <w:szCs w:val="20"/>
                <w:highlight w:val="none"/>
                <w:lang w:val="en-US" w:eastAsia="zh-CN" w:bidi="ar-SA"/>
              </w:rPr>
              <w:br w:type="textWrapping"/>
            </w:r>
            <w:r>
              <w:rPr>
                <w:rFonts w:hint="default" w:ascii="宋体" w:hAnsi="Times New Roman" w:eastAsia="宋体" w:cs="宋体"/>
                <w:color w:val="auto"/>
                <w:kern w:val="2"/>
                <w:sz w:val="20"/>
                <w:szCs w:val="20"/>
                <w:highlight w:val="none"/>
                <w:lang w:val="en-US" w:eastAsia="zh-CN" w:bidi="ar-SA"/>
              </w:rPr>
              <w:t>3.信息公开责任：按照相关规定办理信息公开事项。</w:t>
            </w:r>
            <w:r>
              <w:rPr>
                <w:rFonts w:hint="default" w:ascii="宋体" w:hAnsi="Times New Roman" w:eastAsia="宋体" w:cs="宋体"/>
                <w:color w:val="auto"/>
                <w:kern w:val="2"/>
                <w:sz w:val="20"/>
                <w:szCs w:val="20"/>
                <w:highlight w:val="none"/>
                <w:lang w:val="en-US" w:eastAsia="zh-CN" w:bidi="ar-SA"/>
              </w:rPr>
              <w:br w:type="textWrapping"/>
            </w:r>
            <w:r>
              <w:rPr>
                <w:rFonts w:hint="default" w:ascii="宋体" w:hAnsi="Times New Roman" w:eastAsia="宋体" w:cs="宋体"/>
                <w:color w:val="auto"/>
                <w:kern w:val="2"/>
                <w:sz w:val="20"/>
                <w:szCs w:val="20"/>
                <w:highlight w:val="none"/>
                <w:lang w:val="en-US" w:eastAsia="zh-CN" w:bidi="ar-SA"/>
              </w:rPr>
              <w:t>4.其他法律法规规章文件规定应履行的其他责任。</w:t>
            </w:r>
          </w:p>
        </w:tc>
      </w:tr>
      <w:tr>
        <w:tblPrEx>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66" w:type="dxa"/>
            <w:tcBorders>
              <w:top w:val="single" w:color="auto" w:sz="4" w:space="0"/>
              <w:left w:val="nil"/>
              <w:bottom w:val="single" w:color="auto" w:sz="4" w:space="0"/>
              <w:right w:val="single" w:color="auto" w:sz="4" w:space="0"/>
            </w:tcBorders>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追责情形：《四川省殡葬管理条例》第三十八条以及其他依法应当追究的情形。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免责情形：《中华人民共和国公务员法》</w:t>
            </w:r>
            <w:r>
              <w:rPr>
                <w:rFonts w:hint="eastAsia" w:ascii="宋体" w:hAnsi="Times New Roman" w:eastAsia="宋体" w:cs="宋体"/>
                <w:color w:val="auto"/>
                <w:kern w:val="2"/>
                <w:sz w:val="20"/>
                <w:szCs w:val="20"/>
                <w:highlight w:val="none"/>
                <w:lang w:val="en-US" w:eastAsia="zh-CN" w:bidi="ar-SA"/>
              </w:rPr>
              <w:t>第六十条、第六十一条</w:t>
            </w:r>
            <w:r>
              <w:rPr>
                <w:rFonts w:hint="default" w:ascii="宋体" w:hAnsi="Times New Roman" w:eastAsia="宋体" w:cs="宋体"/>
                <w:color w:val="auto"/>
                <w:kern w:val="2"/>
                <w:sz w:val="20"/>
                <w:szCs w:val="20"/>
                <w:highlight w:val="none"/>
                <w:lang w:val="en-US" w:eastAsia="zh-CN" w:bidi="ar-SA"/>
              </w:rPr>
              <w:t>以及其他依法应当免责的情形。</w:t>
            </w:r>
          </w:p>
        </w:tc>
      </w:tr>
      <w:tr>
        <w:tblPrEx>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hAnsi="宋体" w:cs="宋体"/>
                <w:color w:val="auto"/>
                <w:szCs w:val="21"/>
                <w:highlight w:val="none"/>
              </w:rPr>
              <w:t>监督电话</w:t>
            </w:r>
          </w:p>
        </w:tc>
        <w:tc>
          <w:tcPr>
            <w:tcW w:w="71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cs="宋体"/>
                <w:color w:val="auto"/>
                <w:szCs w:val="21"/>
                <w:highlight w:val="none"/>
              </w:rPr>
            </w:pPr>
            <w:r>
              <w:rPr>
                <w:rFonts w:hint="eastAsia" w:ascii="宋体" w:cs="宋体"/>
                <w:color w:val="auto"/>
                <w:szCs w:val="21"/>
                <w:highlight w:val="none"/>
                <w:lang w:val="en-US" w:eastAsia="zh-CN"/>
              </w:rPr>
              <w:t>0839-3308927</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tbl>
      <w:tblPr>
        <w:tblStyle w:val="8"/>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84"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84" w:type="dxa"/>
            <w:vAlign w:val="center"/>
          </w:tcPr>
          <w:p>
            <w:pPr>
              <w:keepNext w:val="0"/>
              <w:keepLines w:val="0"/>
              <w:pageBreakBefore w:val="0"/>
              <w:kinsoku/>
              <w:wordWrap/>
              <w:overflowPunct/>
              <w:topLinePunct w:val="0"/>
              <w:autoSpaceDE/>
              <w:autoSpaceDN/>
              <w:bidi w:val="0"/>
              <w:spacing w:line="360" w:lineRule="exact"/>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8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对慈善活动进行监督检查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84" w:type="dxa"/>
            <w:vAlign w:val="center"/>
          </w:tcPr>
          <w:p>
            <w:pPr>
              <w:keepNext w:val="0"/>
              <w:keepLines w:val="0"/>
              <w:pageBreakBefore w:val="0"/>
              <w:kinsoku/>
              <w:wordWrap/>
              <w:overflowPunct/>
              <w:topLinePunct w:val="0"/>
              <w:autoSpaceDE/>
              <w:autoSpaceDN/>
              <w:bidi w:val="0"/>
              <w:spacing w:line="360" w:lineRule="exact"/>
              <w:jc w:val="left"/>
              <w:textAlignment w:val="auto"/>
              <w:rPr>
                <w:rStyle w:val="15"/>
                <w:rFonts w:hint="eastAsia" w:ascii="宋体" w:hAnsi="宋体" w:eastAsia="宋体" w:cs="宋体"/>
                <w:color w:val="auto"/>
                <w:sz w:val="21"/>
                <w:szCs w:val="21"/>
                <w:highlight w:val="none"/>
                <w:lang w:val="en-US" w:eastAsia="zh-CN" w:bidi="ar"/>
              </w:rPr>
            </w:pPr>
            <w:r>
              <w:rPr>
                <w:rFonts w:hint="eastAsia" w:ascii="宋体" w:hAnsi="宋体" w:cs="宋体"/>
                <w:color w:val="auto"/>
                <w:szCs w:val="21"/>
                <w:highlight w:val="none"/>
              </w:rPr>
              <w:t>《中华人民共和国慈善法》</w:t>
            </w:r>
          </w:p>
          <w:p>
            <w:pPr>
              <w:keepNext w:val="0"/>
              <w:keepLines w:val="0"/>
              <w:pageBreakBefore w:val="0"/>
              <w:kinsoku/>
              <w:wordWrap/>
              <w:overflowPunct/>
              <w:topLinePunct w:val="0"/>
              <w:autoSpaceDE/>
              <w:autoSpaceDN/>
              <w:bidi w:val="0"/>
              <w:spacing w:line="360" w:lineRule="exact"/>
              <w:jc w:val="left"/>
              <w:textAlignment w:val="auto"/>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第一百零三条</w:t>
            </w:r>
            <w:r>
              <w:rPr>
                <w:rStyle w:val="15"/>
                <w:rFonts w:hint="eastAsia" w:ascii="宋体" w:hAnsi="宋体" w:cs="宋体"/>
                <w:color w:val="auto"/>
                <w:sz w:val="21"/>
                <w:szCs w:val="21"/>
                <w:highlight w:val="none"/>
                <w:lang w:val="en-US" w:eastAsia="zh-CN" w:bidi="ar"/>
              </w:rPr>
              <w:t xml:space="preserve">  </w:t>
            </w:r>
            <w:r>
              <w:rPr>
                <w:rStyle w:val="15"/>
                <w:rFonts w:hint="eastAsia" w:ascii="宋体" w:hAnsi="宋体" w:eastAsia="宋体" w:cs="宋体"/>
                <w:color w:val="auto"/>
                <w:sz w:val="21"/>
                <w:szCs w:val="21"/>
                <w:highlight w:val="none"/>
                <w:lang w:val="en-US" w:eastAsia="zh-CN" w:bidi="ar"/>
              </w:rPr>
              <w:t>县级以上人民政府民政部门应当依法履行职责，对慈善活动进行监督检查，对慈善行业组织进行指导。</w:t>
            </w:r>
          </w:p>
          <w:p>
            <w:pPr>
              <w:keepNext w:val="0"/>
              <w:keepLines w:val="0"/>
              <w:pageBreakBefore w:val="0"/>
              <w:kinsoku/>
              <w:wordWrap/>
              <w:overflowPunct/>
              <w:topLinePunct w:val="0"/>
              <w:autoSpaceDE/>
              <w:autoSpaceDN/>
              <w:bidi w:val="0"/>
              <w:spacing w:line="360" w:lineRule="exact"/>
              <w:jc w:val="left"/>
              <w:textAlignment w:val="auto"/>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第一百零四条</w:t>
            </w:r>
            <w:r>
              <w:rPr>
                <w:rStyle w:val="15"/>
                <w:rFonts w:hint="eastAsia" w:ascii="宋体" w:hAnsi="宋体" w:cs="宋体"/>
                <w:color w:val="auto"/>
                <w:sz w:val="21"/>
                <w:szCs w:val="21"/>
                <w:highlight w:val="none"/>
                <w:lang w:val="en-US" w:eastAsia="zh-CN" w:bidi="ar"/>
              </w:rPr>
              <w:t xml:space="preserve">  </w:t>
            </w:r>
            <w:r>
              <w:rPr>
                <w:rStyle w:val="15"/>
                <w:rFonts w:hint="eastAsia" w:ascii="宋体" w:hAnsi="宋体" w:eastAsia="宋体" w:cs="宋体"/>
                <w:color w:val="auto"/>
                <w:sz w:val="21"/>
                <w:szCs w:val="21"/>
                <w:highlight w:val="none"/>
                <w:lang w:val="en-US" w:eastAsia="zh-CN" w:bidi="ar"/>
              </w:rPr>
              <w:t>县级以上人民政府民政部门对涉嫌违反本法规定的慈善组织、慈善信托的受托人，有权采取下列措施：（一）对慈善组织、慈善信托的受托人的住所和慈善活动发生地进行现场检查；（二）要求慈善组织、慈善信托的受托人作出说明，查阅、复制有关资料；（三）向与慈善活动有关的单位和个人调查与监督管理有关的情况；（四）经本级人民政府批准，可以查询慈善组织的金融账户；（五）法律、行政法规规定的其他措施。慈善组织、慈善信托的受托人涉嫌违反本法规定的，县级以上人民政府民政部门可以对有关负责人进行约谈，要求其说明情况、提出改进措施。其他慈善活动参与者涉嫌违反本法规定的，县级以上人民政府民政部门可以会同有关部门调查和处理。</w:t>
            </w:r>
          </w:p>
          <w:p>
            <w:pPr>
              <w:keepNext w:val="0"/>
              <w:keepLines w:val="0"/>
              <w:pageBreakBefore w:val="0"/>
              <w:kinsoku/>
              <w:wordWrap/>
              <w:overflowPunct/>
              <w:topLinePunct w:val="0"/>
              <w:autoSpaceDE/>
              <w:autoSpaceDN/>
              <w:bidi w:val="0"/>
              <w:spacing w:line="360" w:lineRule="exact"/>
              <w:jc w:val="left"/>
              <w:textAlignment w:val="auto"/>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第一百零五条</w:t>
            </w:r>
            <w:r>
              <w:rPr>
                <w:rStyle w:val="15"/>
                <w:rFonts w:hint="eastAsia" w:ascii="宋体" w:hAnsi="宋体" w:cs="宋体"/>
                <w:color w:val="auto"/>
                <w:sz w:val="21"/>
                <w:szCs w:val="21"/>
                <w:highlight w:val="none"/>
                <w:lang w:val="en-US" w:eastAsia="zh-CN" w:bidi="ar"/>
              </w:rPr>
              <w:t xml:space="preserve">  </w:t>
            </w:r>
            <w:r>
              <w:rPr>
                <w:rStyle w:val="15"/>
                <w:rFonts w:hint="eastAsia" w:ascii="宋体" w:hAnsi="宋体" w:eastAsia="宋体" w:cs="宋体"/>
                <w:color w:val="auto"/>
                <w:sz w:val="21"/>
                <w:szCs w:val="21"/>
                <w:highlight w:val="none"/>
                <w:lang w:val="en-US" w:eastAsia="zh-CN" w:bidi="ar"/>
              </w:rPr>
              <w:t>县级以上人民政府民政部门对慈善组织、有关单位和个人进行检查或者调查时，检查人员或者调查人员不得少于二人，并应当出示合法证件和检查、调查通知书。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84"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lang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8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1.检查责任：民政部门根据工作实际，对慈善组织慈善活动不定期监督检查。</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2.调查责任：指定专人负责，及时组织调查和收集证据，与当事人有直接利害关系的应当回避。执法人员不得少于两人，调查应出示证件，允许当事人辩解。</w:t>
            </w:r>
            <w:r>
              <w:rPr>
                <w:rFonts w:hint="eastAsia" w:ascii="宋体" w:hAnsi="Times New Roman" w:eastAsia="宋体" w:cs="宋体"/>
                <w:color w:val="auto"/>
                <w:kern w:val="2"/>
                <w:sz w:val="20"/>
                <w:szCs w:val="20"/>
                <w:highlight w:val="none"/>
                <w:lang w:val="en-US" w:eastAsia="zh-CN" w:bidi="ar-SA"/>
              </w:rPr>
              <w:br w:type="textWrapping"/>
            </w:r>
            <w:r>
              <w:rPr>
                <w:rFonts w:hint="eastAsia" w:ascii="宋体" w:hAnsi="Times New Roman" w:eastAsia="宋体" w:cs="宋体"/>
                <w:color w:val="auto"/>
                <w:kern w:val="2"/>
                <w:sz w:val="20"/>
                <w:szCs w:val="20"/>
                <w:highlight w:val="none"/>
                <w:lang w:val="en-US" w:eastAsia="zh-CN" w:bidi="ar-SA"/>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8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追责情形：《中华人民共和国慈善法》第一百零八条以及其他依法应当追究的情形。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8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p>
    <w:tbl>
      <w:tblPr>
        <w:tblStyle w:val="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地名的命名、更名、使用、文化保护</w:t>
            </w:r>
            <w:r>
              <w:rPr>
                <w:rFonts w:hint="eastAsia" w:ascii="宋体" w:hAnsi="宋体" w:cs="宋体"/>
                <w:color w:val="auto"/>
                <w:szCs w:val="21"/>
                <w:highlight w:val="none"/>
              </w:rPr>
              <w:t>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60" w:type="dxa"/>
            <w:shd w:val="clear" w:color="auto" w:fill="auto"/>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《地名管理条例》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第二十九条　县级以上人民政府地名行政主管部门和其他有关部门应当依法加强对地名的命名、更名、使用、文化保护的监督检查。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县级以上人民政府应当加强地名管理能力建设。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第三十条　县级以上人民政府地名行政主管部门和其他有关部门对地名管理工作进行监督检查时，有权采取下列措施：（一）询问有关当事人，调查与地名管理有关的情况；（二）查阅、复制有关资料；（三）对涉嫌存在地名违法行为的场所实施现场检查；（四）检查与涉嫌地名违法行为有关的物品；（五）法律、行政法规规定的其他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cs="宋体"/>
                <w:color w:val="auto"/>
                <w:kern w:val="0"/>
                <w:sz w:val="23"/>
                <w:szCs w:val="23"/>
                <w:highlight w:val="none"/>
              </w:rPr>
            </w:pPr>
            <w:r>
              <w:rPr>
                <w:rFonts w:hint="eastAsia" w:ascii="宋体" w:hAnsi="Times New Roman" w:eastAsia="宋体" w:cs="宋体"/>
                <w:color w:val="auto"/>
                <w:kern w:val="2"/>
                <w:sz w:val="20"/>
                <w:szCs w:val="20"/>
                <w:highlight w:val="none"/>
                <w:lang w:val="en-US" w:eastAsia="zh-CN" w:bidi="ar-SA"/>
              </w:rPr>
              <w:t>县级以上人民政府地名行政主管部门和其他有关部门依法行使前款规定的职权时，当事人应当予以协助、配合，不得拒绝、阻挠。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60" w:type="dxa"/>
            <w:shd w:val="clear" w:color="auto" w:fill="auto"/>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区划地名和殡葬管理股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60" w:type="dxa"/>
            <w:shd w:val="clear" w:color="auto" w:fill="auto"/>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w:t>
            </w:r>
            <w:r>
              <w:rPr>
                <w:rFonts w:hint="default" w:ascii="宋体" w:hAnsi="Times New Roman" w:eastAsia="宋体" w:cs="宋体"/>
                <w:color w:val="auto"/>
                <w:kern w:val="2"/>
                <w:sz w:val="20"/>
                <w:szCs w:val="20"/>
                <w:highlight w:val="none"/>
                <w:lang w:val="en-US" w:eastAsia="zh-CN" w:bidi="ar-SA"/>
              </w:rPr>
              <w:t>检查责任：</w:t>
            </w:r>
            <w:r>
              <w:rPr>
                <w:rFonts w:hint="eastAsia" w:ascii="宋体" w:hAnsi="Times New Roman" w:eastAsia="宋体" w:cs="宋体"/>
                <w:color w:val="auto"/>
                <w:kern w:val="2"/>
                <w:sz w:val="20"/>
                <w:szCs w:val="20"/>
                <w:highlight w:val="none"/>
                <w:lang w:val="en-US" w:eastAsia="zh-CN" w:bidi="ar-SA"/>
              </w:rPr>
              <w:t>县</w:t>
            </w:r>
            <w:r>
              <w:rPr>
                <w:rFonts w:hint="default" w:ascii="宋体" w:hAnsi="Times New Roman" w:eastAsia="宋体" w:cs="宋体"/>
                <w:color w:val="auto"/>
                <w:kern w:val="2"/>
                <w:sz w:val="20"/>
                <w:szCs w:val="20"/>
                <w:highlight w:val="none"/>
                <w:lang w:val="en-US" w:eastAsia="zh-CN" w:bidi="ar-SA"/>
              </w:rPr>
              <w:t>级以上人民政府地名行政主管部门和其他有关部门根据工作实际，对地名的命名、更名、使用、文化保护定期或者不定期监督检查。</w:t>
            </w:r>
            <w:r>
              <w:rPr>
                <w:rFonts w:hint="default" w:ascii="宋体" w:hAnsi="Times New Roman" w:eastAsia="宋体" w:cs="宋体"/>
                <w:color w:val="auto"/>
                <w:kern w:val="2"/>
                <w:sz w:val="20"/>
                <w:szCs w:val="20"/>
                <w:highlight w:val="none"/>
                <w:lang w:val="en-US" w:eastAsia="zh-CN" w:bidi="ar-SA"/>
              </w:rPr>
              <w:br w:type="textWrapping"/>
            </w:r>
            <w:r>
              <w:rPr>
                <w:rFonts w:hint="default" w:ascii="宋体" w:hAnsi="Times New Roman" w:eastAsia="宋体" w:cs="宋体"/>
                <w:color w:val="auto"/>
                <w:kern w:val="2"/>
                <w:sz w:val="20"/>
                <w:szCs w:val="20"/>
                <w:highlight w:val="none"/>
                <w:lang w:val="en-US" w:eastAsia="zh-CN" w:bidi="ar-SA"/>
              </w:rPr>
              <w:t>2.处置责任：对监督检查中发现的问题，应当及时向</w:t>
            </w:r>
            <w:r>
              <w:rPr>
                <w:rFonts w:hint="eastAsia" w:ascii="宋体" w:hAnsi="Times New Roman" w:eastAsia="宋体" w:cs="宋体"/>
                <w:color w:val="auto"/>
                <w:kern w:val="2"/>
                <w:sz w:val="20"/>
                <w:szCs w:val="20"/>
                <w:highlight w:val="none"/>
                <w:lang w:val="en-US" w:eastAsia="zh-CN" w:bidi="ar-SA"/>
              </w:rPr>
              <w:t>检查对象</w:t>
            </w:r>
            <w:r>
              <w:rPr>
                <w:rFonts w:hint="default" w:ascii="宋体" w:hAnsi="Times New Roman" w:eastAsia="宋体" w:cs="宋体"/>
                <w:color w:val="auto"/>
                <w:kern w:val="2"/>
                <w:sz w:val="20"/>
                <w:szCs w:val="20"/>
                <w:highlight w:val="none"/>
                <w:lang w:val="en-US" w:eastAsia="zh-CN" w:bidi="ar-SA"/>
              </w:rPr>
              <w:t>指出并责令其改正，涉及行政处罚的依法进行处罚。</w:t>
            </w:r>
            <w:r>
              <w:rPr>
                <w:rFonts w:hint="default" w:ascii="宋体" w:hAnsi="Times New Roman" w:eastAsia="宋体" w:cs="宋体"/>
                <w:color w:val="auto"/>
                <w:kern w:val="2"/>
                <w:sz w:val="20"/>
                <w:szCs w:val="20"/>
                <w:highlight w:val="none"/>
                <w:lang w:val="en-US" w:eastAsia="zh-CN" w:bidi="ar-SA"/>
              </w:rPr>
              <w:br w:type="textWrapping"/>
            </w:r>
            <w:r>
              <w:rPr>
                <w:rFonts w:hint="default" w:ascii="宋体" w:hAnsi="Times New Roman" w:eastAsia="宋体" w:cs="宋体"/>
                <w:color w:val="auto"/>
                <w:kern w:val="2"/>
                <w:sz w:val="20"/>
                <w:szCs w:val="20"/>
                <w:highlight w:val="none"/>
                <w:lang w:val="en-US" w:eastAsia="zh-CN" w:bidi="ar-SA"/>
              </w:rPr>
              <w:t>3.信息公开责任：按照相关规定办理信息公开事项。</w:t>
            </w:r>
            <w:r>
              <w:rPr>
                <w:rFonts w:hint="default" w:ascii="宋体" w:hAnsi="Times New Roman" w:eastAsia="宋体" w:cs="宋体"/>
                <w:color w:val="auto"/>
                <w:kern w:val="2"/>
                <w:sz w:val="20"/>
                <w:szCs w:val="20"/>
                <w:highlight w:val="none"/>
                <w:lang w:val="en-US" w:eastAsia="zh-CN" w:bidi="ar-SA"/>
              </w:rPr>
              <w:br w:type="textWrapping"/>
            </w:r>
            <w:r>
              <w:rPr>
                <w:rFonts w:hint="default" w:ascii="宋体" w:hAnsi="Times New Roman" w:eastAsia="宋体" w:cs="宋体"/>
                <w:color w:val="auto"/>
                <w:kern w:val="2"/>
                <w:sz w:val="20"/>
                <w:szCs w:val="20"/>
                <w:highlight w:val="none"/>
                <w:lang w:val="en-US" w:eastAsia="zh-CN" w:bidi="ar-SA"/>
              </w:rPr>
              <w:t>4.其他法律法规规章文件规定应履行的其他责任。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60"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追责情形：《地名管理条例》第</w:t>
            </w:r>
            <w:r>
              <w:rPr>
                <w:rFonts w:hint="eastAsia" w:ascii="宋体" w:hAnsi="Times New Roman" w:eastAsia="宋体" w:cs="宋体"/>
                <w:color w:val="auto"/>
                <w:kern w:val="2"/>
                <w:sz w:val="20"/>
                <w:szCs w:val="20"/>
                <w:highlight w:val="none"/>
                <w:lang w:val="en-US" w:eastAsia="zh-CN" w:bidi="ar-SA"/>
              </w:rPr>
              <w:t>四十条</w:t>
            </w:r>
            <w:r>
              <w:rPr>
                <w:rFonts w:hint="default" w:ascii="宋体" w:hAnsi="Times New Roman" w:eastAsia="宋体" w:cs="宋体"/>
                <w:color w:val="auto"/>
                <w:kern w:val="2"/>
                <w:sz w:val="20"/>
                <w:szCs w:val="20"/>
                <w:highlight w:val="none"/>
                <w:lang w:val="en-US" w:eastAsia="zh-CN" w:bidi="ar-SA"/>
              </w:rPr>
              <w:t>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default" w:ascii="宋体" w:hAnsi="Times New Roman" w:eastAsia="宋体" w:cs="宋体"/>
                <w:color w:val="auto"/>
                <w:kern w:val="2"/>
                <w:sz w:val="20"/>
                <w:szCs w:val="20"/>
                <w:highlight w:val="none"/>
                <w:lang w:val="en-US" w:eastAsia="zh-CN" w:bidi="ar-SA"/>
              </w:rPr>
              <w:t>免责情形：《中华人民共和国公务员法》</w:t>
            </w:r>
            <w:r>
              <w:rPr>
                <w:rFonts w:hint="eastAsia" w:ascii="宋体" w:hAnsi="Times New Roman" w:eastAsia="宋体" w:cs="宋体"/>
                <w:color w:val="auto"/>
                <w:kern w:val="2"/>
                <w:sz w:val="20"/>
                <w:szCs w:val="20"/>
                <w:highlight w:val="none"/>
                <w:lang w:val="en-US" w:eastAsia="zh-CN" w:bidi="ar-SA"/>
              </w:rPr>
              <w:t>第六十条、第六十一条</w:t>
            </w:r>
            <w:r>
              <w:rPr>
                <w:rFonts w:hint="default" w:ascii="宋体" w:hAnsi="Times New Roman" w:eastAsia="宋体" w:cs="宋体"/>
                <w:color w:val="auto"/>
                <w:kern w:val="2"/>
                <w:sz w:val="20"/>
                <w:szCs w:val="20"/>
                <w:highlight w:val="none"/>
                <w:lang w:val="en-US" w:eastAsia="zh-CN" w:bidi="ar-SA"/>
              </w:rPr>
              <w:t>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监督电话</w:t>
            </w:r>
          </w:p>
        </w:tc>
        <w:tc>
          <w:tcPr>
            <w:tcW w:w="716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五、其他行政权力（2项）</w:t>
      </w:r>
    </w:p>
    <w:p>
      <w:pPr>
        <w:keepNext w:val="0"/>
        <w:keepLines w:val="0"/>
        <w:pageBreakBefore w:val="0"/>
        <w:kinsoku/>
        <w:wordWrap/>
        <w:overflowPunct/>
        <w:topLinePunct w:val="0"/>
        <w:autoSpaceDE/>
        <w:autoSpaceDN/>
        <w:bidi w:val="0"/>
        <w:spacing w:line="360" w:lineRule="exac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表5-1</w:t>
      </w:r>
    </w:p>
    <w:tbl>
      <w:tblPr>
        <w:tblStyle w:val="8"/>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取缔非法社会团体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36"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《社团登记管理条例》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《取缔非法民间组织暂行办法》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cs="宋体"/>
                <w:color w:val="auto"/>
                <w:kern w:val="0"/>
                <w:sz w:val="23"/>
                <w:szCs w:val="23"/>
                <w:highlight w:val="none"/>
              </w:rPr>
            </w:pPr>
            <w:r>
              <w:rPr>
                <w:rFonts w:hint="eastAsia" w:ascii="宋体" w:hAnsi="Times New Roman" w:eastAsia="宋体" w:cs="宋体"/>
                <w:color w:val="auto"/>
                <w:kern w:val="2"/>
                <w:sz w:val="20"/>
                <w:szCs w:val="20"/>
                <w:highlight w:val="none"/>
                <w:lang w:val="en-US" w:eastAsia="zh-CN" w:bidi="ar-SA"/>
              </w:rPr>
              <w:t>第二条  具有下列情形之一的属于非法民间组织：(一)未经批准，擅自开展社会团体筹备活动的；(二)未经登记，擅自以社会团体或者民办非企业单位名义进行活动的；(三)被撤销登记后继续以社会团体或者民办非企业单位名义进行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36"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1.立案责任：发现筹备期间开展筹备以外的活动，或者未经登记，擅自以社会团体名义进行活动，以及被撤销登记的社会团体继续以社会团体名义进行活动（或其他机关移送案件）后，予以审查，决定是否立案。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2.调查责任：指定专人负责，及时组织调查和收集证据，与当事人有直接利害关系的应当回避。执法人员不得少于两人，调查应出示证件，允许当事人辩解。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3.审查责任：审理案件调查报告，对案件违法事实、证据、调查取证程序、法律适用、当事人陈述和申辩，提出处理意见。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4.决定责任：制作《取缔决定书》。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5.送达责任：按法律规定的方式将《取缔决定书》送达当事人。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6.公告责任：作出取缔决定后，予以公告。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7.执行责任：非法民间组织被取缔后，登记管理机关依法没收的非法财物必须按照国家规定公开拍卖或者按照国家有关规定处理，所有款项全部上缴国库。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cs="宋体"/>
                <w:color w:val="auto"/>
                <w:szCs w:val="21"/>
                <w:highlight w:val="none"/>
              </w:rPr>
            </w:pPr>
            <w:r>
              <w:rPr>
                <w:rFonts w:hint="eastAsia" w:ascii="宋体" w:hAnsi="Times New Roman" w:eastAsia="宋体" w:cs="宋体"/>
                <w:color w:val="auto"/>
                <w:kern w:val="2"/>
                <w:sz w:val="20"/>
                <w:szCs w:val="20"/>
                <w:highlight w:val="none"/>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36"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追责情形：《社团登记管理条例》第三十四条以及其他依法应当追究的情形。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3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5-2</w:t>
      </w:r>
    </w:p>
    <w:tbl>
      <w:tblPr>
        <w:tblStyle w:val="8"/>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12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tblPrEx>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权力类型</w:t>
            </w:r>
          </w:p>
        </w:tc>
        <w:tc>
          <w:tcPr>
            <w:tcW w:w="712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权力名称</w:t>
            </w:r>
          </w:p>
        </w:tc>
        <w:tc>
          <w:tcPr>
            <w:tcW w:w="712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取缔非法民办非企业单位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设立</w:t>
            </w:r>
            <w:r>
              <w:rPr>
                <w:rFonts w:hint="eastAsia" w:ascii="宋体" w:hAnsi="宋体" w:cs="宋体"/>
                <w:color w:val="auto"/>
                <w:szCs w:val="21"/>
                <w:highlight w:val="none"/>
              </w:rPr>
              <w:t>依据</w:t>
            </w:r>
          </w:p>
        </w:tc>
        <w:tc>
          <w:tcPr>
            <w:tcW w:w="712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《民办非企业单位登记管理暂行条例》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Arial" w:hAnsi="Arial" w:cs="Arial"/>
                <w:color w:val="auto"/>
                <w:sz w:val="21"/>
                <w:szCs w:val="21"/>
                <w:highlight w:val="none"/>
              </w:rPr>
            </w:pPr>
            <w:r>
              <w:rPr>
                <w:rFonts w:hint="eastAsia" w:ascii="宋体" w:hAnsi="Times New Roman" w:eastAsia="宋体" w:cs="宋体"/>
                <w:color w:val="auto"/>
                <w:kern w:val="2"/>
                <w:sz w:val="20"/>
                <w:szCs w:val="20"/>
                <w:highlight w:val="none"/>
                <w:lang w:val="en-US" w:eastAsia="zh-CN" w:bidi="ar-SA"/>
              </w:rPr>
              <w:t>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责任主体</w:t>
            </w:r>
          </w:p>
        </w:tc>
        <w:tc>
          <w:tcPr>
            <w:tcW w:w="7124"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慈善和社会组织管理股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责任事项</w:t>
            </w:r>
          </w:p>
        </w:tc>
        <w:tc>
          <w:tcPr>
            <w:tcW w:w="712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1.立案责任：发现未经登记擅自以民办非单位名义进行活动的或者被撤销登记的民办非企业单位继续以民办非企业单位名义进行活动的违法行为（或其他机关移送案件）后，予以审查，决定是否立案。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2.调查责任：指定专人负责，及时组织调查和收集证据，与当事人有直接利害关系的应当回避。执法人员不得少于两人，调查应出示证件，允许当事人辩解。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3.审查责任：审理案件调查报告，对案件违法事实、证据、调查取证程序、法律适用、当事人陈述和申辩，提出处理意见。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4.决定责任：制作《取缔决定书》。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5.送达责任：按法律规定的方式将《取缔决定书》送达当事人。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6.公告责任：作出取缔决定后，予以公告。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7.执行责任：非法民间组织被取缔后，登记管理机关依法没收的非法财物必须按照国家规定公开拍卖或者按照国家有关规定处理，所有款项全部上缴国库。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追责情形</w:t>
            </w:r>
            <w:r>
              <w:rPr>
                <w:rFonts w:hint="eastAsia" w:ascii="宋体" w:hAnsi="宋体" w:cs="宋体"/>
                <w:color w:val="auto"/>
                <w:szCs w:val="21"/>
                <w:highlight w:val="none"/>
                <w:lang w:eastAsia="zh-CN"/>
              </w:rPr>
              <w:t>及免责情形</w:t>
            </w:r>
          </w:p>
        </w:tc>
        <w:tc>
          <w:tcPr>
            <w:tcW w:w="7124" w:type="dxa"/>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追责情形：《民办非企业单位登记管理暂行条例》第二十九条以及其他依法应当追究的情形。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Times New Roman" w:eastAsia="宋体" w:cs="宋体"/>
                <w:color w:val="auto"/>
                <w:kern w:val="2"/>
                <w:sz w:val="20"/>
                <w:szCs w:val="20"/>
                <w:highlight w:val="none"/>
                <w:lang w:val="en-US" w:eastAsia="zh-CN" w:bidi="ar-SA"/>
              </w:rPr>
            </w:pPr>
            <w:r>
              <w:rPr>
                <w:rFonts w:hint="eastAsia" w:ascii="宋体" w:hAnsi="Times New Roman" w:eastAsia="宋体" w:cs="宋体"/>
                <w:color w:val="auto"/>
                <w:kern w:val="2"/>
                <w:sz w:val="20"/>
                <w:szCs w:val="20"/>
                <w:highlight w:val="none"/>
                <w:lang w:val="en-US" w:eastAsia="zh-CN" w:bidi="ar-SA"/>
              </w:rPr>
              <w:t>免责情形：《中华人民共和国公务员法》第六十条、第六十一条以及其他依法应当免责的情形。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监督电话</w:t>
            </w:r>
          </w:p>
        </w:tc>
        <w:tc>
          <w:tcPr>
            <w:tcW w:w="712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0839-3309494</w:t>
            </w:r>
          </w:p>
        </w:tc>
      </w:tr>
    </w:tbl>
    <w:p>
      <w:pPr>
        <w:keepNext w:val="0"/>
        <w:keepLines w:val="0"/>
        <w:pageBreakBefore w:val="0"/>
        <w:kinsoku/>
        <w:wordWrap/>
        <w:overflowPunct/>
        <w:topLinePunct w:val="0"/>
        <w:autoSpaceDE/>
        <w:autoSpaceDN/>
        <w:bidi w:val="0"/>
        <w:spacing w:line="360" w:lineRule="exact"/>
        <w:textAlignment w:val="auto"/>
        <w:rPr>
          <w:rFonts w:hint="eastAsia"/>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00000000000000000"/>
    <w:charset w:val="86"/>
    <w:family w:val="script"/>
    <w:pitch w:val="default"/>
    <w:sig w:usb0="00000000" w:usb1="00000000"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F2176C"/>
    <w:rsid w:val="00021AEF"/>
    <w:rsid w:val="00080E6C"/>
    <w:rsid w:val="000979AC"/>
    <w:rsid w:val="00123D61"/>
    <w:rsid w:val="00181A46"/>
    <w:rsid w:val="001A045B"/>
    <w:rsid w:val="001A7C74"/>
    <w:rsid w:val="001B4B9C"/>
    <w:rsid w:val="001C5932"/>
    <w:rsid w:val="00245594"/>
    <w:rsid w:val="002C61E9"/>
    <w:rsid w:val="002F47B8"/>
    <w:rsid w:val="003105EB"/>
    <w:rsid w:val="00376128"/>
    <w:rsid w:val="003852E0"/>
    <w:rsid w:val="003C7912"/>
    <w:rsid w:val="0040693B"/>
    <w:rsid w:val="004579F7"/>
    <w:rsid w:val="004A1E35"/>
    <w:rsid w:val="004A3DB4"/>
    <w:rsid w:val="004C27BD"/>
    <w:rsid w:val="004C374B"/>
    <w:rsid w:val="0055578F"/>
    <w:rsid w:val="00607511"/>
    <w:rsid w:val="0064242E"/>
    <w:rsid w:val="006A1430"/>
    <w:rsid w:val="006C28F8"/>
    <w:rsid w:val="007A58E1"/>
    <w:rsid w:val="0082628B"/>
    <w:rsid w:val="008269A7"/>
    <w:rsid w:val="00857C41"/>
    <w:rsid w:val="008771D7"/>
    <w:rsid w:val="00A10EFA"/>
    <w:rsid w:val="00A72DD6"/>
    <w:rsid w:val="00A771A8"/>
    <w:rsid w:val="00AB53DA"/>
    <w:rsid w:val="00B73394"/>
    <w:rsid w:val="00BB0138"/>
    <w:rsid w:val="00BC7688"/>
    <w:rsid w:val="00C1672C"/>
    <w:rsid w:val="00D500FE"/>
    <w:rsid w:val="00D621E5"/>
    <w:rsid w:val="00E444D5"/>
    <w:rsid w:val="00EA5AD6"/>
    <w:rsid w:val="00F2176C"/>
    <w:rsid w:val="00F30B70"/>
    <w:rsid w:val="00F64C1D"/>
    <w:rsid w:val="00FD7358"/>
    <w:rsid w:val="00FF2961"/>
    <w:rsid w:val="0230261D"/>
    <w:rsid w:val="024B28A4"/>
    <w:rsid w:val="02F76F90"/>
    <w:rsid w:val="034E6FBC"/>
    <w:rsid w:val="03A54535"/>
    <w:rsid w:val="0466710E"/>
    <w:rsid w:val="04785EAF"/>
    <w:rsid w:val="04966335"/>
    <w:rsid w:val="0512447E"/>
    <w:rsid w:val="051F51D0"/>
    <w:rsid w:val="06FC6128"/>
    <w:rsid w:val="07EE1687"/>
    <w:rsid w:val="085E2219"/>
    <w:rsid w:val="08B8109E"/>
    <w:rsid w:val="08C47915"/>
    <w:rsid w:val="08EA43A8"/>
    <w:rsid w:val="0A2E773B"/>
    <w:rsid w:val="0A3A5D70"/>
    <w:rsid w:val="0B2F14E5"/>
    <w:rsid w:val="0B4765DB"/>
    <w:rsid w:val="0C583621"/>
    <w:rsid w:val="0CCC4FEA"/>
    <w:rsid w:val="0D317B38"/>
    <w:rsid w:val="0D847672"/>
    <w:rsid w:val="0DB10079"/>
    <w:rsid w:val="0DC12675"/>
    <w:rsid w:val="0DF94107"/>
    <w:rsid w:val="0E2C21E4"/>
    <w:rsid w:val="0E916DB0"/>
    <w:rsid w:val="0ED91C40"/>
    <w:rsid w:val="0F9D2C6D"/>
    <w:rsid w:val="103376E9"/>
    <w:rsid w:val="106A1832"/>
    <w:rsid w:val="10991687"/>
    <w:rsid w:val="11643A43"/>
    <w:rsid w:val="11AB66EB"/>
    <w:rsid w:val="123602E7"/>
    <w:rsid w:val="138403CC"/>
    <w:rsid w:val="14900FF3"/>
    <w:rsid w:val="154F4A0A"/>
    <w:rsid w:val="15A06CAE"/>
    <w:rsid w:val="15FC3D62"/>
    <w:rsid w:val="1697487D"/>
    <w:rsid w:val="1703097E"/>
    <w:rsid w:val="17E53404"/>
    <w:rsid w:val="17FF3E14"/>
    <w:rsid w:val="18925339"/>
    <w:rsid w:val="193328BD"/>
    <w:rsid w:val="19384682"/>
    <w:rsid w:val="193E726F"/>
    <w:rsid w:val="19435977"/>
    <w:rsid w:val="1B993A23"/>
    <w:rsid w:val="1C3303E2"/>
    <w:rsid w:val="1C6D7368"/>
    <w:rsid w:val="1CD13F56"/>
    <w:rsid w:val="1D416948"/>
    <w:rsid w:val="1D4F618B"/>
    <w:rsid w:val="1D640957"/>
    <w:rsid w:val="1D950F46"/>
    <w:rsid w:val="1DA97372"/>
    <w:rsid w:val="1E004AF3"/>
    <w:rsid w:val="1E8E11A8"/>
    <w:rsid w:val="1EAF7109"/>
    <w:rsid w:val="1F3A2287"/>
    <w:rsid w:val="200C1D97"/>
    <w:rsid w:val="2076109D"/>
    <w:rsid w:val="207B2B57"/>
    <w:rsid w:val="20D069EA"/>
    <w:rsid w:val="211F7986"/>
    <w:rsid w:val="21244F9D"/>
    <w:rsid w:val="21D20555"/>
    <w:rsid w:val="221C4930"/>
    <w:rsid w:val="2247175C"/>
    <w:rsid w:val="229C6865"/>
    <w:rsid w:val="22C83E12"/>
    <w:rsid w:val="23F45A92"/>
    <w:rsid w:val="249A192B"/>
    <w:rsid w:val="251175E6"/>
    <w:rsid w:val="26A93DBD"/>
    <w:rsid w:val="27485039"/>
    <w:rsid w:val="27797B83"/>
    <w:rsid w:val="278A0E95"/>
    <w:rsid w:val="27A40BE5"/>
    <w:rsid w:val="27AC5CEC"/>
    <w:rsid w:val="28301011"/>
    <w:rsid w:val="28574D2F"/>
    <w:rsid w:val="28D50537"/>
    <w:rsid w:val="2AD25A69"/>
    <w:rsid w:val="2BEF5E31"/>
    <w:rsid w:val="2C492F15"/>
    <w:rsid w:val="2CDD61E8"/>
    <w:rsid w:val="2DFA484A"/>
    <w:rsid w:val="2E10375D"/>
    <w:rsid w:val="2E9848D4"/>
    <w:rsid w:val="2F087CAC"/>
    <w:rsid w:val="2F740E9D"/>
    <w:rsid w:val="2FCF07C9"/>
    <w:rsid w:val="31022E16"/>
    <w:rsid w:val="3103107A"/>
    <w:rsid w:val="313A6116"/>
    <w:rsid w:val="3246371D"/>
    <w:rsid w:val="331D7A9E"/>
    <w:rsid w:val="33D60378"/>
    <w:rsid w:val="344B2247"/>
    <w:rsid w:val="36604525"/>
    <w:rsid w:val="36D34E02"/>
    <w:rsid w:val="3704407A"/>
    <w:rsid w:val="37D42E21"/>
    <w:rsid w:val="387737AC"/>
    <w:rsid w:val="38A94AC6"/>
    <w:rsid w:val="39123BB1"/>
    <w:rsid w:val="3B6224F2"/>
    <w:rsid w:val="3B9C3D7C"/>
    <w:rsid w:val="3BB371F1"/>
    <w:rsid w:val="3CF015B5"/>
    <w:rsid w:val="3F890995"/>
    <w:rsid w:val="3FAC1B19"/>
    <w:rsid w:val="40493C80"/>
    <w:rsid w:val="408A08F1"/>
    <w:rsid w:val="416F3BBA"/>
    <w:rsid w:val="418D4040"/>
    <w:rsid w:val="41A73403"/>
    <w:rsid w:val="41AF3FB7"/>
    <w:rsid w:val="42162288"/>
    <w:rsid w:val="433B01F8"/>
    <w:rsid w:val="43BB30E7"/>
    <w:rsid w:val="43D337DE"/>
    <w:rsid w:val="43D85C5F"/>
    <w:rsid w:val="43F3462F"/>
    <w:rsid w:val="442F025F"/>
    <w:rsid w:val="44A14BCF"/>
    <w:rsid w:val="44DB58C0"/>
    <w:rsid w:val="44F00B6E"/>
    <w:rsid w:val="451B2B33"/>
    <w:rsid w:val="46E70FEA"/>
    <w:rsid w:val="470E79D1"/>
    <w:rsid w:val="48192F2B"/>
    <w:rsid w:val="48455675"/>
    <w:rsid w:val="48ED7A19"/>
    <w:rsid w:val="496429C8"/>
    <w:rsid w:val="497A191C"/>
    <w:rsid w:val="4A62606A"/>
    <w:rsid w:val="4BBA4717"/>
    <w:rsid w:val="4BC9306D"/>
    <w:rsid w:val="4C3B1E45"/>
    <w:rsid w:val="4C461A55"/>
    <w:rsid w:val="4E693C33"/>
    <w:rsid w:val="4FDC74D0"/>
    <w:rsid w:val="4FE2132C"/>
    <w:rsid w:val="5017639B"/>
    <w:rsid w:val="502245A8"/>
    <w:rsid w:val="509E1DC6"/>
    <w:rsid w:val="50AF54FA"/>
    <w:rsid w:val="511E4CB5"/>
    <w:rsid w:val="51E97071"/>
    <w:rsid w:val="523A5B1F"/>
    <w:rsid w:val="524B2E13"/>
    <w:rsid w:val="55AF412E"/>
    <w:rsid w:val="5640122A"/>
    <w:rsid w:val="56CF69FB"/>
    <w:rsid w:val="56D83B1E"/>
    <w:rsid w:val="56F02C50"/>
    <w:rsid w:val="57011A67"/>
    <w:rsid w:val="57790E97"/>
    <w:rsid w:val="58464FA2"/>
    <w:rsid w:val="597F0371"/>
    <w:rsid w:val="59984D65"/>
    <w:rsid w:val="5A0E3B19"/>
    <w:rsid w:val="5A8C6010"/>
    <w:rsid w:val="5AC95C92"/>
    <w:rsid w:val="5B1E583D"/>
    <w:rsid w:val="5BEF1728"/>
    <w:rsid w:val="5D123920"/>
    <w:rsid w:val="5D5F28DD"/>
    <w:rsid w:val="5DA402F0"/>
    <w:rsid w:val="5E017C8A"/>
    <w:rsid w:val="5E7A76CE"/>
    <w:rsid w:val="5E7D74BF"/>
    <w:rsid w:val="5ECA3D86"/>
    <w:rsid w:val="5F0828D4"/>
    <w:rsid w:val="5F0B4ACB"/>
    <w:rsid w:val="5F932879"/>
    <w:rsid w:val="5FB812B9"/>
    <w:rsid w:val="60032DEC"/>
    <w:rsid w:val="60BD1DF5"/>
    <w:rsid w:val="61F32904"/>
    <w:rsid w:val="62DC2572"/>
    <w:rsid w:val="632D05C6"/>
    <w:rsid w:val="64644E10"/>
    <w:rsid w:val="64B74DAD"/>
    <w:rsid w:val="65060240"/>
    <w:rsid w:val="659B691A"/>
    <w:rsid w:val="66140709"/>
    <w:rsid w:val="675266BB"/>
    <w:rsid w:val="677600E0"/>
    <w:rsid w:val="679179F9"/>
    <w:rsid w:val="67DC5256"/>
    <w:rsid w:val="68823138"/>
    <w:rsid w:val="69346428"/>
    <w:rsid w:val="69C10463"/>
    <w:rsid w:val="69F04FE9"/>
    <w:rsid w:val="69F8020C"/>
    <w:rsid w:val="6A590DE0"/>
    <w:rsid w:val="6AE508C6"/>
    <w:rsid w:val="6B272C8C"/>
    <w:rsid w:val="6BD46244"/>
    <w:rsid w:val="6C075F49"/>
    <w:rsid w:val="6C241D8C"/>
    <w:rsid w:val="6C2C2B63"/>
    <w:rsid w:val="6C6475C8"/>
    <w:rsid w:val="6C7C0DB6"/>
    <w:rsid w:val="6CF941B4"/>
    <w:rsid w:val="6D567859"/>
    <w:rsid w:val="6D5904FB"/>
    <w:rsid w:val="6E6D5AC0"/>
    <w:rsid w:val="6EC64279"/>
    <w:rsid w:val="6ED22F0F"/>
    <w:rsid w:val="70357BF9"/>
    <w:rsid w:val="70463DEA"/>
    <w:rsid w:val="706A16BA"/>
    <w:rsid w:val="70C45F9D"/>
    <w:rsid w:val="70D9148E"/>
    <w:rsid w:val="70ED5389"/>
    <w:rsid w:val="71E74F23"/>
    <w:rsid w:val="724E73CA"/>
    <w:rsid w:val="73951E16"/>
    <w:rsid w:val="73AD5CF9"/>
    <w:rsid w:val="74D7F24F"/>
    <w:rsid w:val="75774810"/>
    <w:rsid w:val="75D53DD6"/>
    <w:rsid w:val="762229CE"/>
    <w:rsid w:val="76800660"/>
    <w:rsid w:val="76B92C06"/>
    <w:rsid w:val="76C71574"/>
    <w:rsid w:val="76E6709F"/>
    <w:rsid w:val="777A1420"/>
    <w:rsid w:val="77E720B2"/>
    <w:rsid w:val="7812107B"/>
    <w:rsid w:val="79442C5B"/>
    <w:rsid w:val="79A34CE9"/>
    <w:rsid w:val="7AD87AFF"/>
    <w:rsid w:val="7AFE5CF3"/>
    <w:rsid w:val="7BD17A9C"/>
    <w:rsid w:val="7BD7615A"/>
    <w:rsid w:val="7BDF0A19"/>
    <w:rsid w:val="7C7B5C6E"/>
    <w:rsid w:val="7CCF6D98"/>
    <w:rsid w:val="7CE65DD7"/>
    <w:rsid w:val="7D6438CC"/>
    <w:rsid w:val="7E0806FB"/>
    <w:rsid w:val="7E69680B"/>
    <w:rsid w:val="7EA33A11"/>
    <w:rsid w:val="7EF835B7"/>
    <w:rsid w:val="7F3177DE"/>
    <w:rsid w:val="7F6E9517"/>
    <w:rsid w:val="7F77631B"/>
    <w:rsid w:val="8E9DA835"/>
    <w:rsid w:val="934546E5"/>
    <w:rsid w:val="9F9DFECD"/>
    <w:rsid w:val="B7FFC76C"/>
    <w:rsid w:val="BFFF11CF"/>
    <w:rsid w:val="CF6F9648"/>
    <w:rsid w:val="CFDD6A86"/>
    <w:rsid w:val="E6DF22DC"/>
    <w:rsid w:val="EE7FFAE8"/>
    <w:rsid w:val="F77DA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3"/>
    <w:basedOn w:val="1"/>
    <w:qFormat/>
    <w:uiPriority w:val="0"/>
    <w:pPr>
      <w:spacing w:after="120" w:afterAutospacing="0"/>
    </w:pPr>
    <w:rPr>
      <w:sz w:val="16"/>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jc w:val="left"/>
    </w:pPr>
    <w:rPr>
      <w:rFonts w:ascii="宋体" w:hAnsi="宋体" w:cs="宋体"/>
      <w:kern w:val="0"/>
      <w:sz w:val="24"/>
      <w:szCs w:val="24"/>
    </w:rPr>
  </w:style>
  <w:style w:type="character" w:styleId="10">
    <w:name w:val="Hyperlink"/>
    <w:qFormat/>
    <w:uiPriority w:val="0"/>
    <w:rPr>
      <w:color w:val="000000"/>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grame"/>
    <w:basedOn w:val="9"/>
    <w:qFormat/>
    <w:uiPriority w:val="0"/>
  </w:style>
  <w:style w:type="paragraph" w:styleId="14">
    <w:name w:val="List Paragraph"/>
    <w:basedOn w:val="1"/>
    <w:qFormat/>
    <w:uiPriority w:val="34"/>
    <w:pPr>
      <w:ind w:firstLine="420" w:firstLineChars="200"/>
    </w:pPr>
  </w:style>
  <w:style w:type="character" w:customStyle="1" w:styleId="15">
    <w:name w:val="font51"/>
    <w:basedOn w:val="9"/>
    <w:qFormat/>
    <w:uiPriority w:val="0"/>
    <w:rPr>
      <w:rFonts w:ascii="仿宋_GB2312" w:eastAsia="仿宋_GB2312" w:cs="仿宋_GB2312"/>
      <w:color w:val="000000"/>
      <w:sz w:val="22"/>
      <w:szCs w:val="22"/>
      <w:u w:val="none"/>
    </w:rPr>
  </w:style>
  <w:style w:type="paragraph" w:customStyle="1" w:styleId="16">
    <w:name w:val="Char1 Char Char Char"/>
    <w:basedOn w:val="1"/>
    <w:qFormat/>
    <w:uiPriority w:val="0"/>
    <w:pPr>
      <w:widowControl/>
      <w:spacing w:after="160" w:line="240" w:lineRule="exact"/>
      <w:jc w:val="left"/>
    </w:pPr>
    <w:rPr>
      <w:rFonts w:ascii="Verdana" w:hAnsi="Verdana" w:eastAsia="仿宋_GB2312" w:cs="Verdana"/>
      <w:kern w:val="0"/>
      <w:sz w:val="30"/>
      <w:szCs w:val="30"/>
      <w:lang w:eastAsia="en-US"/>
    </w:rPr>
  </w:style>
  <w:style w:type="character" w:customStyle="1" w:styleId="17">
    <w:name w:val="font6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30842</Words>
  <Characters>31651</Characters>
  <Lines>144</Lines>
  <Paragraphs>40</Paragraphs>
  <TotalTime>258</TotalTime>
  <ScaleCrop>false</ScaleCrop>
  <LinksUpToDate>false</LinksUpToDate>
  <CharactersWithSpaces>31881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2022-10-09T16:50:00Z</dcterms:created>
  <dc:creator>黛塔</dc:creator>
  <cp:lastModifiedBy>别动我的奶酪</cp:lastModifiedBy>
  <cp:lastPrinted>2022-11-19T23:02:00Z</cp:lastPrinted>
  <dcterms:modified xsi:type="dcterms:W3CDTF">2025-08-21T10:49:49Z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93EDC96026A2C128EE6D9968364CC823</vt:lpwstr>
  </property>
  <property fmtid="{D5CDD505-2E9C-101B-9397-08002B2CF9AE}" pid="4" name="KSOTemplateDocerSaveRecord">
    <vt:lpwstr>eyJoZGlkIjoiYzcyZGUyMTNhOThiZWU5OGU3NDUxODhhOTQ1ZmE2MmIiLCJ1c2VySWQiOiIxNDMyNDUzMjkzIn0=</vt:lpwstr>
  </property>
</Properties>
</file>