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auto"/>
        <w:jc w:val="center"/>
        <w:rPr>
          <w:rFonts w:ascii="方正小标宋简体" w:eastAsia="方正小标宋简体" w:cs="方正小标宋简体" w:hAnsi="方正小标宋简体"/>
          <w:color w:val="000000"/>
          <w:sz w:val="72"/>
        </w:rPr>
      </w:pPr>
    </w:p>
    <w:p>
      <w:pPr>
        <w:spacing w:line="600" w:lineRule="auto"/>
        <w:jc w:val="center"/>
        <w:rPr>
          <w:rFonts w:ascii="方正小标宋简体" w:eastAsia="方正小标宋简体" w:cs="方正小标宋简体" w:hAnsi="方正小标宋简体"/>
          <w:color w:val="000000"/>
          <w:sz w:val="72"/>
        </w:rPr>
      </w:pPr>
    </w:p>
    <w:p>
      <w:pPr>
        <w:spacing w:line="600" w:lineRule="auto"/>
        <w:jc w:val="center"/>
        <w:rPr>
          <w:rFonts w:ascii="方正小标宋简体" w:eastAsia="方正小标宋简体" w:cs="方正小标宋简体" w:hAnsi="方正小标宋简体"/>
          <w:color w:val="000000"/>
          <w:sz w:val="72"/>
        </w:rPr>
      </w:pPr>
    </w:p>
    <w:p>
      <w:pPr>
        <w:spacing w:line="600" w:lineRule="auto"/>
        <w:jc w:val="center"/>
        <w:rPr>
          <w:rFonts w:ascii="方正小标宋简体" w:eastAsia="方正小标宋简体" w:cs="方正小标宋简体" w:hAnsi="方正小标宋简体"/>
          <w:color w:val="000000"/>
          <w:sz w:val="72"/>
        </w:rPr>
      </w:pPr>
    </w:p>
    <w:p>
      <w:pPr>
        <w:spacing w:line="360" w:lineRule="auto"/>
        <w:jc w:val="center"/>
        <w:rPr>
          <w:rFonts w:ascii="方正小标宋简体" w:eastAsia="方正小标宋简体" w:cs="方正小标宋简体" w:hAnsi="方正小标宋简体"/>
          <w:color w:val="000000"/>
          <w:sz w:val="72"/>
        </w:rPr>
      </w:pPr>
      <w:r>
        <w:rPr>
          <w:rFonts w:ascii="黑体" w:eastAsia="黑体" w:cs="黑体" w:hAnsi="黑体"/>
          <w:color w:val="000000"/>
          <w:sz w:val="72"/>
        </w:rPr>
        <w:t>2018</w:t>
      </w:r>
      <w:r>
        <w:rPr>
          <w:rFonts w:ascii="方正小标宋简体" w:eastAsia="方正小标宋简体" w:cs="方正小标宋简体" w:hAnsi="方正小标宋简体"/>
          <w:color w:val="000000"/>
          <w:sz w:val="72"/>
        </w:rPr>
        <w:t>年度</w:t>
      </w:r>
    </w:p>
    <w:p>
      <w:pPr>
        <w:spacing w:line="360" w:lineRule="auto"/>
        <w:jc w:val="center"/>
        <w:rPr>
          <w:rFonts w:ascii="方正小标宋简体" w:eastAsia="方正小标宋简体" w:cs="方正小标宋简体" w:hAnsi="方正小标宋简体"/>
          <w:color w:val="000000"/>
          <w:sz w:val="72"/>
        </w:rPr>
      </w:pPr>
      <w:r>
        <w:rPr>
          <w:rFonts w:ascii="方正小标宋简体" w:eastAsia="方正小标宋简体" w:cs="方正小标宋简体" w:hAnsi="方正小标宋简体" w:hint="eastAsia"/>
          <w:color w:val="000000"/>
          <w:sz w:val="72"/>
        </w:rPr>
        <w:t>广元市利州区环境卫生管理局</w:t>
      </w:r>
      <w:r>
        <w:rPr>
          <w:rFonts w:ascii="方正小标宋简体" w:eastAsia="方正小标宋简体" w:cs="方正小标宋简体" w:hAnsi="方正小标宋简体"/>
          <w:color w:val="000000"/>
          <w:sz w:val="72"/>
        </w:rPr>
        <w:t>部门决算</w:t>
      </w:r>
    </w:p>
    <w:p>
      <w:pPr>
        <w:spacing w:line="360" w:lineRule="auto"/>
        <w:rPr>
          <w:rFonts w:ascii="方正小标宋简体" w:eastAsia="方正小标宋简体" w:cs="方正小标宋简体" w:hAnsi="方正小标宋简体"/>
          <w:color w:val="000000"/>
          <w:sz w:val="36"/>
        </w:rPr>
      </w:pPr>
    </w:p>
    <w:p>
      <w:pPr>
        <w:spacing w:line="360" w:lineRule="auto"/>
        <w:rPr>
          <w:rFonts w:ascii="方正小标宋简体" w:eastAsia="方正小标宋简体" w:cs="方正小标宋简体" w:hAnsi="方正小标宋简体"/>
          <w:color w:val="000000"/>
          <w:sz w:val="36"/>
        </w:rPr>
      </w:pPr>
    </w:p>
    <w:p>
      <w:pPr>
        <w:spacing w:line="360" w:lineRule="auto"/>
        <w:rPr>
          <w:rFonts w:ascii="方正小标宋简体" w:eastAsia="方正小标宋简体" w:cs="方正小标宋简体" w:hAnsi="方正小标宋简体"/>
          <w:color w:val="000000"/>
          <w:sz w:val="36"/>
        </w:rPr>
      </w:pPr>
    </w:p>
    <w:p>
      <w:pPr>
        <w:spacing w:line="360" w:lineRule="auto"/>
        <w:rPr>
          <w:rFonts w:ascii="方正小标宋简体" w:eastAsia="方正小标宋简体" w:cs="方正小标宋简体" w:hAnsi="方正小标宋简体"/>
          <w:color w:val="000000"/>
          <w:sz w:val="36"/>
        </w:rPr>
      </w:pPr>
    </w:p>
    <w:p>
      <w:pPr>
        <w:spacing w:line="360" w:lineRule="auto"/>
        <w:rPr>
          <w:rFonts w:ascii="方正小标宋简体" w:eastAsia="方正小标宋简体" w:cs="方正小标宋简体" w:hAnsi="方正小标宋简体"/>
          <w:color w:val="000000"/>
          <w:sz w:val="36"/>
        </w:rPr>
      </w:pPr>
    </w:p>
    <w:p>
      <w:pPr>
        <w:spacing w:line="360" w:lineRule="auto"/>
        <w:rPr>
          <w:rFonts w:ascii="方正小标宋简体" w:eastAsia="方正小标宋简体" w:cs="方正小标宋简体" w:hAnsi="方正小标宋简体"/>
          <w:color w:val="000000"/>
          <w:sz w:val="36"/>
        </w:rPr>
      </w:pPr>
    </w:p>
    <w:p>
      <w:pPr>
        <w:spacing w:line="360" w:lineRule="auto"/>
        <w:rPr>
          <w:rFonts w:ascii="方正小标宋简体" w:eastAsia="方正小标宋简体" w:cs="方正小标宋简体" w:hAnsi="方正小标宋简体"/>
          <w:color w:val="000000"/>
          <w:sz w:val="36"/>
        </w:rPr>
      </w:pPr>
    </w:p>
    <w:p>
      <w:pPr>
        <w:spacing w:line="360" w:lineRule="auto"/>
        <w:rPr>
          <w:rFonts w:ascii="方正小标宋简体" w:eastAsia="方正小标宋简体" w:cs="方正小标宋简体" w:hAnsi="方正小标宋简体"/>
          <w:color w:val="000000"/>
          <w:sz w:val="36"/>
        </w:rPr>
      </w:pPr>
    </w:p>
    <w:p>
      <w:pPr>
        <w:spacing w:line="360" w:lineRule="auto"/>
        <w:rPr>
          <w:rFonts w:ascii="方正小标宋简体" w:eastAsia="方正小标宋简体" w:cs="方正小标宋简体" w:hAnsi="方正小标宋简体"/>
          <w:color w:val="000000"/>
          <w:sz w:val="36"/>
        </w:rPr>
      </w:pPr>
    </w:p>
    <w:p>
      <w:pPr>
        <w:jc w:val="center"/>
        <w:rPr>
          <w:rFonts w:ascii="黑体" w:eastAsia="黑体" w:cs="黑体" w:hAnsi="黑体"/>
          <w:color w:val="000000"/>
          <w:sz w:val="48"/>
        </w:rPr>
      </w:pPr>
      <w:r>
        <w:rPr>
          <w:rFonts w:ascii="黑体" w:eastAsia="黑体" w:cs="黑体" w:hAnsi="黑体"/>
          <w:color w:val="000000"/>
          <w:sz w:val="48"/>
        </w:rPr>
        <w:t>目录</w:t>
      </w:r>
    </w:p>
    <w:p>
      <w:pPr>
        <w:jc w:val="center"/>
        <w:rPr>
          <w:rFonts w:ascii="黑体" w:eastAsia="黑体" w:cs="黑体" w:hAnsi="黑体"/>
          <w:sz w:val="28"/>
        </w:rPr>
      </w:pPr>
    </w:p>
    <w:p>
      <w:pPr>
        <w:tabs>
          <w:tab w:val="right" w:leader="dot" w:pos="8296"/>
        </w:tabs>
        <w:spacing w:before="93"/>
        <w:jc w:val="center"/>
        <w:rPr>
          <w:rFonts w:ascii="仿宋" w:eastAsia="仿宋" w:cs="仿宋" w:hAnsi="仿宋"/>
          <w:sz w:val="28"/>
        </w:rPr>
      </w:pPr>
      <w:r>
        <w:rPr>
          <w:rFonts w:ascii="仿宋" w:eastAsia="仿宋" w:cs="仿宋" w:hAnsi="仿宋"/>
          <w:sz w:val="28"/>
        </w:rPr>
        <w:t>公开时间：2019年</w:t>
      </w:r>
      <w:r>
        <w:rPr>
          <w:rFonts w:ascii="仿宋" w:eastAsia="仿宋" w:cs="仿宋" w:hAnsi="仿宋" w:hint="eastAsia"/>
          <w:sz w:val="28"/>
        </w:rPr>
        <w:t>9</w:t>
      </w:r>
      <w:r>
        <w:rPr>
          <w:rFonts w:ascii="仿宋" w:eastAsia="仿宋" w:cs="仿宋" w:hAnsi="仿宋"/>
          <w:sz w:val="28"/>
        </w:rPr>
        <w:t>月</w:t>
      </w:r>
      <w:r>
        <w:rPr>
          <w:rFonts w:ascii="仿宋" w:eastAsia="仿宋" w:cs="仿宋" w:hAnsi="仿宋" w:hint="eastAsia"/>
          <w:sz w:val="28"/>
        </w:rPr>
        <w:t>12</w:t>
      </w:r>
      <w:r>
        <w:rPr>
          <w:rFonts w:ascii="仿宋" w:eastAsia="仿宋" w:cs="仿宋" w:hAnsi="仿宋"/>
          <w:sz w:val="28"/>
        </w:rPr>
        <w:t>日</w:t>
      </w:r>
    </w:p>
    <w:p>
      <w:pPr>
        <w:rPr>
          <w:rFonts w:ascii="Times New Roman" w:eastAsia="Times New Roman" w:cs="Times New Roman" w:hAnsi="Times New Roman"/>
        </w:rPr>
      </w:pPr>
    </w:p>
    <w:p>
      <w:pPr>
        <w:tabs>
          <w:tab w:val="right" w:leader="dot" w:pos="8296"/>
        </w:tabs>
        <w:spacing w:before="93"/>
        <w:jc w:val="center"/>
        <w:rPr>
          <w:rFonts w:ascii="仿宋" w:eastAsia="仿宋" w:cs="仿宋" w:hAnsi="仿宋"/>
          <w:sz w:val="28"/>
        </w:rPr>
      </w:pPr>
      <w:r>
        <w:rPr>
          <w:rFonts w:ascii="仿宋" w:eastAsia="仿宋" w:cs="仿宋" w:hAnsi="仿宋"/>
          <w:color w:val="0000FF"/>
          <w:sz w:val="28"/>
          <w:u w:val="single"/>
        </w:rPr>
        <w:t>第一部分 部门概况</w:t>
      </w:r>
      <w:r>
        <w:rPr>
          <w:rFonts w:ascii="仿宋" w:eastAsia="仿宋" w:cs="仿宋" w:hAnsi="仿宋"/>
          <w:sz w:val="28"/>
        </w:rPr>
        <w:tab/>
        <w:t>4</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一、基本职能及主要工作</w:t>
      </w:r>
      <w:r>
        <w:rPr>
          <w:rFonts w:ascii="仿宋" w:eastAsia="仿宋" w:cs="仿宋" w:hAnsi="仿宋"/>
          <w:sz w:val="28"/>
        </w:rPr>
        <w:tab/>
        <w:t>4</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二、机构设置</w:t>
      </w:r>
      <w:r>
        <w:rPr>
          <w:rFonts w:ascii="仿宋" w:eastAsia="仿宋" w:cs="仿宋" w:hAnsi="仿宋"/>
          <w:sz w:val="28"/>
        </w:rPr>
        <w:tab/>
        <w:t>4</w:t>
      </w:r>
    </w:p>
    <w:p>
      <w:pPr>
        <w:tabs>
          <w:tab w:val="right" w:leader="dot" w:pos="8296"/>
        </w:tabs>
        <w:spacing w:before="93"/>
        <w:jc w:val="center"/>
        <w:rPr>
          <w:rFonts w:ascii="仿宋" w:eastAsia="仿宋" w:cs="仿宋" w:hAnsi="仿宋"/>
          <w:sz w:val="28"/>
        </w:rPr>
      </w:pPr>
      <w:r>
        <w:rPr>
          <w:rFonts w:ascii="仿宋" w:eastAsia="仿宋" w:cs="仿宋" w:hAnsi="仿宋"/>
          <w:color w:val="0000FF"/>
          <w:sz w:val="28"/>
          <w:u w:val="single"/>
        </w:rPr>
        <w:t>第二部分 2018年度部门决算情况说明</w:t>
      </w:r>
      <w:r>
        <w:rPr>
          <w:rFonts w:ascii="仿宋" w:eastAsia="仿宋" w:cs="仿宋" w:hAnsi="仿宋"/>
          <w:sz w:val="28"/>
        </w:rPr>
        <w:tab/>
        <w:t>5</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一、收入支出决算总体情况说明</w:t>
      </w:r>
      <w:r>
        <w:rPr>
          <w:rFonts w:ascii="仿宋" w:eastAsia="仿宋" w:cs="仿宋" w:hAnsi="仿宋"/>
          <w:sz w:val="28"/>
        </w:rPr>
        <w:tab/>
        <w:t>5</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二、收入决算情况说明</w:t>
      </w:r>
      <w:r>
        <w:rPr>
          <w:rFonts w:ascii="仿宋" w:eastAsia="仿宋" w:cs="仿宋" w:hAnsi="仿宋"/>
          <w:sz w:val="28"/>
        </w:rPr>
        <w:tab/>
        <w:t>5</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三、支出决算情况说明</w:t>
      </w:r>
      <w:r>
        <w:rPr>
          <w:rFonts w:ascii="仿宋" w:eastAsia="仿宋" w:cs="仿宋" w:hAnsi="仿宋"/>
          <w:sz w:val="28"/>
        </w:rPr>
        <w:tab/>
        <w:t>5</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四、财政拨款收入支出决算总体情况说明</w:t>
      </w:r>
      <w:r>
        <w:rPr>
          <w:rFonts w:ascii="仿宋" w:eastAsia="仿宋" w:cs="仿宋" w:hAnsi="仿宋"/>
          <w:sz w:val="28"/>
        </w:rPr>
        <w:tab/>
        <w:t>6</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五、一般公共预算财政拨款支出决算情况说明</w:t>
      </w:r>
      <w:r>
        <w:rPr>
          <w:rFonts w:ascii="仿宋" w:eastAsia="仿宋" w:cs="仿宋" w:hAnsi="仿宋"/>
          <w:sz w:val="28"/>
        </w:rPr>
        <w:tab/>
        <w:t>6</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六、一般公共预算财政拨款基本支出决算情况说明</w:t>
      </w:r>
      <w:r>
        <w:rPr>
          <w:rFonts w:ascii="仿宋" w:eastAsia="仿宋" w:cs="仿宋" w:hAnsi="仿宋"/>
          <w:sz w:val="28"/>
        </w:rPr>
        <w:tab/>
        <w:t>8</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七、“三公”经费财政拨款支出决算情况说明</w:t>
      </w:r>
      <w:r>
        <w:rPr>
          <w:rFonts w:ascii="仿宋" w:eastAsia="仿宋" w:cs="仿宋" w:hAnsi="仿宋"/>
          <w:sz w:val="28"/>
        </w:rPr>
        <w:tab/>
        <w:t>8</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八、政府性基金预算支出决算情况说明</w:t>
      </w:r>
      <w:r>
        <w:rPr>
          <w:rFonts w:ascii="仿宋" w:eastAsia="仿宋" w:cs="仿宋" w:hAnsi="仿宋"/>
          <w:sz w:val="28"/>
        </w:rPr>
        <w:tab/>
        <w:t>10</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九、 国有资本经营预算支出决算情况说明</w:t>
      </w:r>
      <w:r>
        <w:rPr>
          <w:rFonts w:ascii="仿宋" w:eastAsia="仿宋" w:cs="仿宋" w:hAnsi="仿宋"/>
          <w:sz w:val="28"/>
        </w:rPr>
        <w:tab/>
        <w:t>10</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十一、其他重要事项的情况说明</w:t>
      </w:r>
      <w:r>
        <w:rPr>
          <w:rFonts w:ascii="仿宋" w:eastAsia="仿宋" w:cs="仿宋" w:hAnsi="仿宋"/>
          <w:sz w:val="28"/>
        </w:rPr>
        <w:tab/>
        <w:t>14</w:t>
      </w:r>
    </w:p>
    <w:p>
      <w:pPr>
        <w:tabs>
          <w:tab w:val="right" w:leader="dot" w:pos="8296"/>
        </w:tabs>
        <w:spacing w:before="93"/>
        <w:jc w:val="center"/>
        <w:rPr>
          <w:rFonts w:ascii="仿宋" w:eastAsia="仿宋" w:cs="仿宋" w:hAnsi="仿宋"/>
          <w:sz w:val="28"/>
        </w:rPr>
      </w:pPr>
      <w:r>
        <w:rPr>
          <w:rFonts w:ascii="仿宋" w:eastAsia="仿宋" w:cs="仿宋" w:hAnsi="仿宋"/>
          <w:color w:val="0000FF"/>
          <w:sz w:val="28"/>
          <w:u w:val="single"/>
        </w:rPr>
        <w:t>第三部分 名词解释</w:t>
      </w:r>
      <w:r>
        <w:rPr>
          <w:rFonts w:ascii="仿宋" w:eastAsia="仿宋" w:cs="仿宋" w:hAnsi="仿宋"/>
          <w:sz w:val="28"/>
        </w:rPr>
        <w:tab/>
        <w:t>16</w:t>
      </w:r>
    </w:p>
    <w:p>
      <w:pPr>
        <w:tabs>
          <w:tab w:val="right" w:leader="dot" w:pos="8296"/>
        </w:tabs>
        <w:spacing w:before="93"/>
        <w:jc w:val="center"/>
        <w:rPr>
          <w:rFonts w:ascii="仿宋" w:eastAsia="仿宋" w:cs="仿宋" w:hAnsi="仿宋"/>
          <w:sz w:val="28"/>
        </w:rPr>
      </w:pPr>
      <w:r>
        <w:rPr>
          <w:rFonts w:ascii="仿宋" w:eastAsia="仿宋" w:cs="仿宋" w:hAnsi="仿宋"/>
          <w:color w:val="0000FF"/>
          <w:sz w:val="28"/>
          <w:u w:val="single"/>
        </w:rPr>
        <w:t>第四部分 附件</w:t>
      </w:r>
      <w:r>
        <w:rPr>
          <w:rFonts w:ascii="仿宋" w:eastAsia="仿宋" w:cs="仿宋" w:hAnsi="仿宋"/>
          <w:sz w:val="28"/>
        </w:rPr>
        <w:tab/>
        <w:t>19</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附件1</w:t>
      </w:r>
      <w:r>
        <w:rPr>
          <w:rFonts w:ascii="仿宋" w:eastAsia="仿宋" w:cs="仿宋" w:hAnsi="仿宋"/>
          <w:sz w:val="28"/>
        </w:rPr>
        <w:tab/>
        <w:t>19</w:t>
      </w:r>
    </w:p>
    <w:p>
      <w:pPr>
        <w:tabs>
          <w:tab w:val="right" w:leader="dot" w:pos="8296"/>
        </w:tabs>
        <w:ind w:left="420"/>
        <w:rPr>
          <w:rFonts w:ascii="仿宋" w:eastAsia="仿宋" w:cs="仿宋" w:hAnsi="仿宋"/>
          <w:sz w:val="28"/>
        </w:rPr>
      </w:pPr>
      <w:r>
        <w:rPr>
          <w:rFonts w:ascii="仿宋" w:eastAsia="仿宋" w:cs="仿宋" w:hAnsi="仿宋"/>
          <w:color w:val="0000FF"/>
          <w:sz w:val="28"/>
          <w:u w:val="single"/>
        </w:rPr>
        <w:t>附件2</w:t>
      </w:r>
      <w:r>
        <w:rPr>
          <w:rFonts w:ascii="仿宋" w:eastAsia="仿宋" w:cs="仿宋" w:hAnsi="仿宋"/>
          <w:sz w:val="28"/>
        </w:rPr>
        <w:tab/>
        <w:t>21</w:t>
      </w:r>
    </w:p>
    <w:p>
      <w:pPr>
        <w:tabs>
          <w:tab w:val="right" w:leader="dot" w:pos="8296"/>
        </w:tabs>
        <w:spacing w:before="93"/>
        <w:jc w:val="center"/>
        <w:rPr>
          <w:rFonts w:ascii="仿宋" w:eastAsia="仿宋" w:cs="仿宋" w:hAnsi="仿宋"/>
          <w:sz w:val="28"/>
        </w:rPr>
      </w:pPr>
      <w:r>
        <w:rPr>
          <w:rFonts w:ascii="仿宋" w:eastAsia="仿宋" w:cs="仿宋" w:hAnsi="仿宋"/>
          <w:color w:val="0000FF"/>
          <w:sz w:val="28"/>
          <w:u w:val="single"/>
        </w:rPr>
        <w:t>第五部分 附表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一、</w:t>
      </w:r>
      <w:r>
        <w:rPr>
          <w:rFonts w:ascii="仿宋" w:eastAsia="仿宋" w:cs="仿宋" w:hAnsi="仿宋"/>
          <w:color w:val="0000FF"/>
          <w:sz w:val="28"/>
          <w:u w:val="single"/>
        </w:rPr>
        <w:t>收入支出决算总表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二、</w:t>
      </w:r>
      <w:r>
        <w:rPr>
          <w:rFonts w:ascii="仿宋" w:eastAsia="仿宋" w:cs="仿宋" w:hAnsi="仿宋"/>
          <w:color w:val="0000FF"/>
          <w:sz w:val="28"/>
          <w:u w:val="single"/>
        </w:rPr>
        <w:t>收入总表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三、</w:t>
      </w:r>
      <w:r>
        <w:rPr>
          <w:rFonts w:ascii="仿宋" w:eastAsia="仿宋" w:cs="仿宋" w:hAnsi="仿宋"/>
          <w:color w:val="0000FF"/>
          <w:sz w:val="28"/>
          <w:u w:val="single"/>
        </w:rPr>
        <w:t>支出总表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四、</w:t>
      </w:r>
      <w:r>
        <w:rPr>
          <w:rFonts w:ascii="仿宋" w:eastAsia="仿宋" w:cs="仿宋" w:hAnsi="仿宋"/>
          <w:color w:val="0000FF"/>
          <w:sz w:val="28"/>
          <w:u w:val="single"/>
        </w:rPr>
        <w:t>财政拨款收入支出决算总表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五、</w:t>
      </w:r>
      <w:r>
        <w:rPr>
          <w:rFonts w:ascii="仿宋" w:eastAsia="仿宋" w:cs="仿宋" w:hAnsi="仿宋"/>
          <w:color w:val="0000FF"/>
          <w:sz w:val="28"/>
          <w:u w:val="single"/>
        </w:rPr>
        <w:t>财政拨款支出决算明细表（政府经济分类科目）</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六、</w:t>
      </w:r>
      <w:r>
        <w:rPr>
          <w:rFonts w:ascii="仿宋" w:eastAsia="仿宋" w:cs="仿宋" w:hAnsi="仿宋"/>
          <w:color w:val="0000FF"/>
          <w:sz w:val="28"/>
          <w:u w:val="single"/>
        </w:rPr>
        <w:t>一般公共预算财政拨款支出决算表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七、</w:t>
      </w:r>
      <w:r>
        <w:rPr>
          <w:rFonts w:ascii="仿宋" w:eastAsia="仿宋" w:cs="仿宋" w:hAnsi="仿宋"/>
          <w:color w:val="0000FF"/>
          <w:sz w:val="28"/>
          <w:u w:val="single"/>
        </w:rPr>
        <w:t>一般公共预算财政拨款支出决算明细表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八、</w:t>
      </w:r>
      <w:r>
        <w:rPr>
          <w:rFonts w:ascii="仿宋" w:eastAsia="仿宋" w:cs="仿宋" w:hAnsi="仿宋"/>
          <w:color w:val="0000FF"/>
          <w:sz w:val="28"/>
          <w:u w:val="single"/>
        </w:rPr>
        <w:t>一般公共预算财政拨款基本支出决算表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九、</w:t>
      </w:r>
      <w:r>
        <w:rPr>
          <w:rFonts w:ascii="仿宋" w:eastAsia="仿宋" w:cs="仿宋" w:hAnsi="仿宋"/>
          <w:color w:val="0000FF"/>
          <w:sz w:val="28"/>
          <w:u w:val="single"/>
        </w:rPr>
        <w:t>一般公共预算财政拨款项目支出决算表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十、</w:t>
      </w:r>
      <w:r>
        <w:rPr>
          <w:rFonts w:ascii="仿宋" w:eastAsia="仿宋" w:cs="仿宋" w:hAnsi="仿宋"/>
          <w:color w:val="0000FF"/>
          <w:sz w:val="28"/>
          <w:u w:val="single"/>
        </w:rPr>
        <w:t>一般公共预算财政拨款“三公”经费支出决算表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十一、</w:t>
      </w:r>
      <w:r>
        <w:rPr>
          <w:rFonts w:ascii="仿宋" w:eastAsia="仿宋" w:cs="仿宋" w:hAnsi="仿宋"/>
          <w:color w:val="0000FF"/>
          <w:sz w:val="28"/>
          <w:u w:val="single"/>
        </w:rPr>
        <w:t>政府性基金预算财政拨款收入支出决算表</w:t>
      </w:r>
      <w:r>
        <w:rPr>
          <w:rFonts w:ascii="仿宋" w:eastAsia="仿宋" w:cs="仿宋" w:hAnsi="仿宋"/>
          <w:sz w:val="28"/>
        </w:rPr>
        <w:tab/>
        <w:t>22</w:t>
      </w:r>
    </w:p>
    <w:p>
      <w:pPr>
        <w:tabs>
          <w:tab w:val="right" w:leader="dot" w:pos="8296"/>
        </w:tabs>
        <w:ind w:left="420"/>
        <w:rPr>
          <w:rFonts w:ascii="仿宋" w:eastAsia="仿宋" w:cs="仿宋" w:hAnsi="仿宋"/>
          <w:sz w:val="28"/>
        </w:rPr>
      </w:pPr>
      <w:r>
        <w:rPr>
          <w:rFonts w:ascii="仿宋" w:eastAsia="仿宋" w:cs="仿宋" w:hAnsi="仿宋"/>
          <w:sz w:val="28"/>
        </w:rPr>
        <w:t>十二、</w:t>
      </w:r>
      <w:r>
        <w:rPr>
          <w:rFonts w:ascii="仿宋" w:eastAsia="仿宋" w:cs="仿宋" w:hAnsi="仿宋"/>
          <w:color w:val="0000FF"/>
          <w:sz w:val="28"/>
          <w:u w:val="single"/>
        </w:rPr>
        <w:t>政府性基金预算财政拨款“三公”经费支出决算表</w:t>
      </w:r>
      <w:r>
        <w:rPr>
          <w:rFonts w:ascii="仿宋" w:eastAsia="仿宋" w:cs="仿宋" w:hAnsi="仿宋"/>
          <w:sz w:val="28"/>
        </w:rPr>
        <w:tab/>
        <w:t>22</w:t>
      </w:r>
    </w:p>
    <w:p>
      <w:pPr>
        <w:tabs>
          <w:tab w:val="right" w:leader="dot" w:pos="8296"/>
        </w:tabs>
        <w:ind w:left="420"/>
        <w:rPr>
          <w:rFonts w:ascii="仿宋" w:eastAsia="仿宋" w:cs="仿宋" w:hAnsi="仿宋"/>
          <w:sz w:val="24"/>
        </w:rPr>
      </w:pPr>
      <w:r>
        <w:rPr>
          <w:rFonts w:ascii="仿宋" w:eastAsia="仿宋" w:cs="仿宋" w:hAnsi="仿宋"/>
          <w:sz w:val="28"/>
        </w:rPr>
        <w:t>十三、</w:t>
      </w:r>
      <w:r>
        <w:rPr>
          <w:rFonts w:ascii="仿宋" w:eastAsia="仿宋" w:cs="仿宋" w:hAnsi="仿宋"/>
          <w:color w:val="0000FF"/>
          <w:sz w:val="28"/>
          <w:u w:val="single"/>
        </w:rPr>
        <w:t>国有资本经营预算支出决算表</w:t>
      </w:r>
      <w:r>
        <w:rPr>
          <w:rFonts w:ascii="仿宋" w:eastAsia="仿宋" w:cs="仿宋" w:hAnsi="仿宋"/>
          <w:sz w:val="28"/>
        </w:rPr>
        <w:tab/>
        <w:t>22</w:t>
      </w:r>
    </w:p>
    <w:p>
      <w:pPr>
        <w:jc w:val="left"/>
        <w:rPr>
          <w:rFonts w:ascii="仿宋" w:eastAsia="仿宋" w:cs="仿宋" w:hAnsi="仿宋"/>
          <w:color w:val="000000"/>
          <w:sz w:val="24"/>
        </w:rPr>
      </w:pPr>
    </w:p>
    <w:p>
      <w:pPr>
        <w:jc w:val="left"/>
        <w:rPr>
          <w:rFonts w:ascii="黑体" w:eastAsia="黑体" w:cs="黑体" w:hAnsi="黑体"/>
          <w:b/>
        </w:rPr>
      </w:pPr>
      <w:r>
        <w:rPr>
          <w:rFonts w:ascii="黑体" w:eastAsia="黑体" w:cs="黑体" w:hAnsi="黑体"/>
          <w:b/>
        </w:rPr>
        <w:t xml:space="preserve"> </w:t>
      </w:r>
    </w:p>
    <w:p>
      <w:pPr>
        <w:jc w:val="left"/>
        <w:rPr>
          <w:rFonts w:ascii="黑体" w:eastAsia="黑体" w:cs="黑体" w:hAnsi="黑体"/>
          <w:sz w:val="44"/>
        </w:rPr>
      </w:pPr>
    </w:p>
    <w:p>
      <w:pPr>
        <w:jc w:val="left"/>
        <w:rPr>
          <w:rFonts w:ascii="黑体" w:eastAsia="黑体" w:cs="黑体" w:hAnsi="黑体"/>
          <w:sz w:val="44"/>
        </w:rPr>
      </w:pPr>
    </w:p>
    <w:p>
      <w:pPr>
        <w:jc w:val="left"/>
        <w:rPr>
          <w:rFonts w:ascii="黑体" w:eastAsia="黑体" w:cs="黑体" w:hAnsi="黑体"/>
          <w:sz w:val="44"/>
        </w:rPr>
      </w:pPr>
    </w:p>
    <w:p>
      <w:pPr>
        <w:keepNext/>
        <w:keepLines/>
        <w:widowControl w:val="0"/>
        <w:spacing w:before="340" w:after="330" w:line="578" w:lineRule="auto"/>
        <w:jc w:val="center"/>
        <w:rPr>
          <w:rFonts w:ascii="黑体" w:eastAsia="黑体" w:cs="黑体" w:hAnsi="黑体"/>
          <w:b/>
          <w:sz w:val="44"/>
        </w:rPr>
      </w:pPr>
      <w:r>
        <w:rPr>
          <w:rFonts w:ascii="黑体" w:eastAsia="黑体" w:cs="黑体" w:hAnsi="黑体"/>
          <w:sz w:val="44"/>
        </w:rPr>
        <w:t xml:space="preserve">第一部分 </w:t>
      </w:r>
      <w:r>
        <w:rPr>
          <w:rFonts w:ascii="黑体" w:eastAsia="黑体" w:cs="黑体" w:hAnsi="黑体"/>
          <w:b/>
          <w:sz w:val="44"/>
        </w:rPr>
        <w:t>部门概况</w:t>
      </w:r>
    </w:p>
    <w:p>
      <w:pPr>
        <w:keepNext/>
        <w:keepLines/>
        <w:widowControl w:val="0"/>
        <w:spacing w:before="260" w:after="260" w:line="415" w:lineRule="auto"/>
        <w:rPr>
          <w:rFonts w:ascii="仿宋" w:eastAsia="仿宋" w:cs="仿宋" w:hAnsi="仿宋"/>
          <w:b/>
          <w:sz w:val="32"/>
        </w:rPr>
      </w:pPr>
      <w:r>
        <w:rPr>
          <w:rFonts w:ascii="黑体" w:eastAsia="黑体" w:cs="黑体" w:hAnsi="黑体"/>
          <w:color w:val="000000"/>
          <w:sz w:val="32"/>
        </w:rPr>
        <w:t>一、基</w:t>
      </w:r>
      <w:r>
        <w:rPr>
          <w:rFonts w:ascii="黑体" w:eastAsia="黑体" w:cs="黑体" w:hAnsi="黑体"/>
          <w:b/>
          <w:sz w:val="32"/>
        </w:rPr>
        <w:t>本职能及主要工作</w:t>
      </w:r>
    </w:p>
    <w:p>
      <w:pPr>
        <w:ind w:firstLine="800"/>
        <w:rPr>
          <w:rFonts w:ascii="仿宋" w:eastAsia="仿宋" w:cs="仿宋" w:hAnsi="仿宋"/>
          <w:b/>
          <w:sz w:val="32"/>
        </w:rPr>
      </w:pPr>
      <w:r>
        <w:rPr>
          <w:rFonts w:ascii="仿宋" w:eastAsia="仿宋" w:cs="仿宋" w:hAnsi="仿宋"/>
          <w:b/>
          <w:sz w:val="32"/>
        </w:rPr>
        <w:t xml:space="preserve">（一）主要职能 </w:t>
      </w:r>
    </w:p>
    <w:p>
      <w:pPr>
        <w:ind w:firstLine="800"/>
        <w:rPr>
          <w:rFonts w:ascii="仿宋" w:eastAsia="仿宋" w:cs="仿宋" w:hAnsi="仿宋"/>
          <w:sz w:val="32"/>
        </w:rPr>
      </w:pPr>
      <w:r>
        <w:rPr>
          <w:rFonts w:ascii="仿宋" w:eastAsia="仿宋" w:cs="仿宋" w:hAnsi="仿宋"/>
          <w:sz w:val="32"/>
        </w:rPr>
        <w:t>1.宣传</w:t>
      </w:r>
      <w:r>
        <w:rPr>
          <w:rFonts w:ascii="仿宋" w:eastAsia="仿宋" w:cs="仿宋" w:hAnsi="仿宋" w:hint="eastAsia"/>
          <w:sz w:val="32"/>
        </w:rPr>
        <w:t>贯彻</w:t>
      </w:r>
      <w:r>
        <w:rPr>
          <w:rFonts w:ascii="仿宋" w:eastAsia="仿宋" w:cs="仿宋" w:hAnsi="仿宋"/>
          <w:sz w:val="32"/>
        </w:rPr>
        <w:t>执行国家、省、市、区有关市容和环境卫生管理的法律、法规和政策；组织拟定本区城市环境卫生管理方面的有关规章制度。</w:t>
      </w:r>
    </w:p>
    <w:p>
      <w:pPr>
        <w:ind w:firstLine="800"/>
        <w:rPr>
          <w:rFonts w:ascii="仿宋" w:eastAsia="仿宋" w:cs="仿宋" w:hAnsi="仿宋"/>
          <w:sz w:val="32"/>
        </w:rPr>
      </w:pPr>
      <w:r>
        <w:rPr>
          <w:rFonts w:ascii="仿宋" w:eastAsia="仿宋" w:cs="仿宋" w:hAnsi="仿宋"/>
          <w:sz w:val="32"/>
        </w:rPr>
        <w:t>2.研究</w:t>
      </w:r>
      <w:r>
        <w:rPr>
          <w:rFonts w:ascii="仿宋" w:eastAsia="仿宋" w:cs="仿宋" w:hAnsi="仿宋" w:hint="eastAsia"/>
          <w:sz w:val="32"/>
        </w:rPr>
        <w:t>鉴定</w:t>
      </w:r>
      <w:r>
        <w:rPr>
          <w:rFonts w:ascii="仿宋" w:eastAsia="仿宋" w:cs="仿宋" w:hAnsi="仿宋"/>
          <w:sz w:val="32"/>
        </w:rPr>
        <w:t>城市环境</w:t>
      </w:r>
      <w:r>
        <w:rPr>
          <w:rFonts w:ascii="仿宋" w:eastAsia="仿宋" w:cs="仿宋" w:hAnsi="仿宋" w:hint="eastAsia"/>
          <w:sz w:val="32"/>
        </w:rPr>
        <w:t>卫生</w:t>
      </w:r>
      <w:r>
        <w:rPr>
          <w:rFonts w:ascii="仿宋" w:eastAsia="仿宋" w:cs="仿宋" w:hAnsi="仿宋"/>
          <w:sz w:val="32"/>
        </w:rPr>
        <w:t>管理及城市环境卫生管理行政执法工作的中长期规划和年度计划；编制城市环境卫生管理经费的中长期计划和年度计划；</w:t>
      </w:r>
      <w:r>
        <w:rPr>
          <w:rFonts w:ascii="仿宋" w:eastAsia="仿宋" w:cs="仿宋" w:hAnsi="仿宋" w:hint="eastAsia"/>
          <w:sz w:val="32"/>
        </w:rPr>
        <w:t>会同</w:t>
      </w:r>
      <w:r>
        <w:rPr>
          <w:rFonts w:ascii="仿宋" w:eastAsia="仿宋" w:cs="仿宋" w:hAnsi="仿宋"/>
          <w:sz w:val="32"/>
        </w:rPr>
        <w:t>有关部门对城市环境卫生管理的行政事业性收费进行监督管理；参与数字化城市管理模式的组织、试点和实施工作。</w:t>
      </w:r>
    </w:p>
    <w:p>
      <w:pPr>
        <w:ind w:firstLine="800"/>
        <w:rPr>
          <w:rFonts w:ascii="仿宋" w:eastAsia="仿宋" w:cs="仿宋" w:hAnsi="仿宋"/>
          <w:sz w:val="32"/>
        </w:rPr>
      </w:pPr>
      <w:r>
        <w:rPr>
          <w:rFonts w:ascii="仿宋" w:eastAsia="仿宋" w:cs="仿宋" w:hAnsi="仿宋"/>
          <w:sz w:val="32"/>
        </w:rPr>
        <w:t>3.负责城市环境卫生管理工作，依法对城市环境</w:t>
      </w:r>
      <w:r>
        <w:rPr>
          <w:rFonts w:ascii="仿宋" w:eastAsia="仿宋" w:cs="仿宋" w:hAnsi="仿宋" w:hint="eastAsia"/>
          <w:sz w:val="32"/>
        </w:rPr>
        <w:t>卫生</w:t>
      </w:r>
      <w:r>
        <w:rPr>
          <w:rFonts w:ascii="仿宋" w:eastAsia="仿宋" w:cs="仿宋" w:hAnsi="仿宋"/>
          <w:sz w:val="32"/>
        </w:rPr>
        <w:t>实施监督检查；参与城市环卫设施建设项目的方案审查和实施监督管理，参与城市新建、改扩建项目中的城市环卫配套设施方案的审核和监督管理。</w:t>
      </w:r>
    </w:p>
    <w:p>
      <w:pPr>
        <w:ind w:firstLine="800"/>
        <w:rPr>
          <w:rFonts w:ascii="仿宋" w:eastAsia="仿宋" w:cs="仿宋" w:hAnsi="仿宋"/>
          <w:sz w:val="32"/>
        </w:rPr>
      </w:pPr>
      <w:r>
        <w:rPr>
          <w:rFonts w:ascii="仿宋" w:eastAsia="仿宋" w:cs="仿宋" w:hAnsi="仿宋"/>
          <w:sz w:val="32"/>
        </w:rPr>
        <w:t>4.负责管理城市道路的冲洗</w:t>
      </w:r>
      <w:r>
        <w:rPr>
          <w:rFonts w:ascii="仿宋" w:eastAsia="仿宋" w:cs="仿宋" w:hAnsi="仿宋" w:hint="eastAsia"/>
          <w:sz w:val="32"/>
        </w:rPr>
        <w:t>洒水</w:t>
      </w:r>
      <w:r>
        <w:rPr>
          <w:rFonts w:ascii="仿宋" w:eastAsia="仿宋" w:cs="仿宋" w:hAnsi="仿宋"/>
          <w:sz w:val="32"/>
        </w:rPr>
        <w:t>和生活垃圾、特种垃圾、建筑垃圾的收集、清运、处置；负责环境卫生企业的行业管理</w:t>
      </w:r>
      <w:r>
        <w:rPr>
          <w:rFonts w:ascii="仿宋" w:eastAsia="仿宋" w:cs="仿宋" w:hAnsi="仿宋" w:hint="eastAsia"/>
          <w:sz w:val="32"/>
        </w:rPr>
        <w:t>；</w:t>
      </w:r>
      <w:r>
        <w:rPr>
          <w:rFonts w:ascii="仿宋" w:eastAsia="仿宋" w:cs="仿宋" w:hAnsi="仿宋"/>
          <w:sz w:val="32"/>
        </w:rPr>
        <w:t>负责建筑垃圾和建筑渣土运输、消纳等的管理;会同有关部门负责建筑垃圾处置场地的规划、定点和监督管理；负责对辖区内垃圾中转站的报批、修建和管理工作。</w:t>
      </w:r>
    </w:p>
    <w:p>
      <w:pPr>
        <w:ind w:firstLine="800"/>
        <w:rPr>
          <w:rFonts w:ascii="仿宋" w:eastAsia="仿宋" w:cs="仿宋" w:hAnsi="仿宋"/>
          <w:sz w:val="32"/>
        </w:rPr>
      </w:pPr>
      <w:r>
        <w:rPr>
          <w:rFonts w:ascii="仿宋" w:eastAsia="仿宋" w:cs="仿宋" w:hAnsi="仿宋"/>
          <w:sz w:val="32"/>
        </w:rPr>
        <w:t>5.负责组织城市环卫的招商引资工作；负责城市环境卫生管理的科学研究和社会宣传教育工作。</w:t>
      </w:r>
    </w:p>
    <w:p>
      <w:pPr>
        <w:ind w:firstLine="800"/>
        <w:rPr>
          <w:rFonts w:ascii="仿宋" w:eastAsia="仿宋" w:cs="仿宋" w:hAnsi="仿宋"/>
          <w:sz w:val="32"/>
        </w:rPr>
      </w:pPr>
      <w:r>
        <w:rPr>
          <w:rFonts w:ascii="仿宋" w:eastAsia="仿宋" w:cs="仿宋" w:hAnsi="仿宋"/>
          <w:sz w:val="32"/>
        </w:rPr>
        <w:t>6.负责行使城市环境卫生管理等方面法律、法规、规章规定的行政处罚权。</w:t>
      </w:r>
    </w:p>
    <w:p>
      <w:pPr>
        <w:ind w:firstLine="800"/>
        <w:rPr>
          <w:rFonts w:ascii="仿宋" w:eastAsia="仿宋" w:cs="仿宋" w:hAnsi="仿宋"/>
          <w:sz w:val="32"/>
        </w:rPr>
      </w:pPr>
      <w:r>
        <w:rPr>
          <w:rFonts w:ascii="仿宋" w:eastAsia="仿宋" w:cs="仿宋" w:hAnsi="仿宋"/>
          <w:sz w:val="32"/>
        </w:rPr>
        <w:t>7.负责辖区内城市垃圾和医疗废弃物的收集、处理、处置及收费工作。</w:t>
      </w:r>
    </w:p>
    <w:p>
      <w:pPr>
        <w:ind w:firstLine="800"/>
        <w:rPr>
          <w:rFonts w:ascii="仿宋" w:eastAsia="仿宋" w:cs="仿宋" w:hAnsi="仿宋"/>
          <w:sz w:val="32"/>
        </w:rPr>
      </w:pPr>
      <w:r>
        <w:rPr>
          <w:rFonts w:ascii="仿宋" w:eastAsia="仿宋" w:cs="仿宋" w:hAnsi="仿宋"/>
          <w:sz w:val="32"/>
        </w:rPr>
        <w:t>8.负责城区垃圾清运及消纳场、公厕的管理。</w:t>
      </w:r>
    </w:p>
    <w:p>
      <w:pPr>
        <w:ind w:firstLine="800"/>
        <w:rPr>
          <w:rFonts w:ascii="仿宋" w:eastAsia="仿宋" w:cs="仿宋" w:hAnsi="仿宋"/>
          <w:sz w:val="32"/>
        </w:rPr>
      </w:pPr>
      <w:r>
        <w:rPr>
          <w:rFonts w:ascii="仿宋" w:eastAsia="仿宋" w:cs="仿宋" w:hAnsi="仿宋"/>
          <w:sz w:val="32"/>
        </w:rPr>
        <w:t>9.负责对全区各乡镇的环境卫生管理工作实施监督、检查、指导、考核</w:t>
      </w:r>
      <w:r>
        <w:rPr>
          <w:rFonts w:ascii="仿宋" w:eastAsia="仿宋" w:cs="仿宋" w:hAnsi="仿宋" w:hint="eastAsia"/>
          <w:sz w:val="32"/>
        </w:rPr>
        <w:t>。</w:t>
      </w:r>
    </w:p>
    <w:p>
      <w:pPr>
        <w:ind w:firstLine="800"/>
        <w:rPr>
          <w:rFonts w:ascii="仿宋" w:eastAsia="仿宋" w:cs="仿宋" w:hAnsi="仿宋"/>
          <w:sz w:val="32"/>
        </w:rPr>
      </w:pPr>
      <w:r>
        <w:rPr>
          <w:rFonts w:ascii="仿宋" w:eastAsia="仿宋" w:cs="仿宋" w:hAnsi="仿宋"/>
          <w:sz w:val="32"/>
        </w:rPr>
        <w:t>10.承办区委、区政府交办的其他事项。</w:t>
      </w:r>
    </w:p>
    <w:p>
      <w:pPr>
        <w:spacing w:before="93" w:line="600" w:lineRule="auto"/>
        <w:ind w:firstLine="672"/>
        <w:rPr>
          <w:rFonts w:ascii="仿宋" w:eastAsia="仿宋" w:cs="仿宋" w:hAnsi="仿宋"/>
          <w:b/>
          <w:color w:val="000000"/>
          <w:sz w:val="32"/>
        </w:rPr>
      </w:pPr>
      <w:r>
        <w:rPr>
          <w:rFonts w:ascii="仿宋" w:eastAsia="仿宋" w:cs="仿宋" w:hAnsi="仿宋"/>
          <w:b/>
          <w:color w:val="000000"/>
          <w:sz w:val="32"/>
        </w:rPr>
        <w:t>（二）2018年重点工作完成情况</w:t>
      </w:r>
    </w:p>
    <w:p>
      <w:pPr>
        <w:ind w:firstLine="800"/>
        <w:rPr>
          <w:rFonts w:ascii="仿宋" w:eastAsia="仿宋" w:cs="仿宋" w:hAnsi="仿宋"/>
          <w:sz w:val="32"/>
        </w:rPr>
      </w:pPr>
      <w:r>
        <w:rPr>
          <w:rFonts w:ascii="仿宋" w:eastAsia="仿宋" w:cs="仿宋" w:hAnsi="仿宋"/>
          <w:sz w:val="32"/>
        </w:rPr>
        <w:t>1.项目建设稳步实施。我局严格遵循合理规划、统筹推进的原则，稳步推进系列环卫项目建设。一是加快推进上西、万缘垃圾压缩站建设。目前，上西垃圾压缩站已完成基础建设，万缘垃圾压缩站前期手续正在有序办理；二是积极开展有害垃圾暂存点建设及大件垃圾收运项目建设；三是以环保督察问题整改为契机，在魏家河垃圾填埋场、南山垃圾填埋场实施了系列整改项目，以彻底解决雨污分流、从源头减少渗滤液产量，同时，加快推进新增渗滤液处置设施项目建设及医疗废物处置中心扩能建设进度。截止11月底，累计上报入库项目2334万元，超额完成年度目标任务17%。</w:t>
      </w:r>
    </w:p>
    <w:p>
      <w:pPr>
        <w:ind w:firstLine="800"/>
        <w:rPr>
          <w:rFonts w:ascii="仿宋" w:eastAsia="仿宋" w:cs="仿宋" w:hAnsi="仿宋"/>
          <w:sz w:val="32"/>
        </w:rPr>
      </w:pPr>
      <w:r>
        <w:rPr>
          <w:rFonts w:ascii="仿宋" w:eastAsia="仿宋" w:cs="仿宋" w:hAnsi="仿宋"/>
          <w:sz w:val="32"/>
        </w:rPr>
        <w:t>2.生活垃圾处理费征缴成效显著。2018年，区委、区政府向我局下达行政事业性收费任务数为1800万元。我局努力克服收费形式单一、执行标准低、跨区域“收费难”等问题，在优化收费队伍的基础上，依托天然气公司代收平台，大力推进生活垃圾处理费收缴工作，截止12月31日，实现收费2256万元，超目标任务25%。</w:t>
      </w:r>
    </w:p>
    <w:p>
      <w:pPr>
        <w:ind w:firstLine="800"/>
        <w:rPr>
          <w:rFonts w:ascii="仿宋" w:eastAsia="仿宋" w:cs="仿宋" w:hAnsi="仿宋"/>
          <w:sz w:val="32"/>
        </w:rPr>
      </w:pPr>
      <w:r>
        <w:rPr>
          <w:rFonts w:ascii="仿宋" w:eastAsia="仿宋" w:cs="仿宋" w:hAnsi="仿宋"/>
          <w:sz w:val="32"/>
        </w:rPr>
        <w:t>3.环保督察问题整改全面落实。按照《关于做好环境保护督察“回头看”迎检准备工作的通知》（广环整改办函〔2018〕15号）文件要求，我局成立了以党组书记、局长为组长，分管领导为副组长，局属相关单位为成员的迎检工作领导小组，对照问题清单，研究整改措施，以确保整改实效、全面提升环保督察问题整改质量。先后在填埋场区及调节池实施了7个雨污分流项目；同广元首创水务有限公司、广元大一污水处理厂进行协商，转运渗滤液至两家单位代为处置，以减缓垃圾处理厂调节池的储存压力；每周对在线监测仪器进行校对，每月比对质控样；完善医废处置中心日常管理体系，严格按</w:t>
      </w:r>
      <w:r>
        <w:rPr>
          <w:rFonts w:ascii="仿宋" w:eastAsia="仿宋" w:cs="仿宋" w:hAnsi="仿宋" w:hint="eastAsia"/>
          <w:sz w:val="32"/>
        </w:rPr>
        <w:t>照</w:t>
      </w:r>
      <w:r>
        <w:rPr>
          <w:rFonts w:ascii="仿宋" w:eastAsia="仿宋" w:cs="仿宋" w:hAnsi="仿宋"/>
          <w:sz w:val="32"/>
        </w:rPr>
        <w:t>危险废物处置规范要求专车收集、封闭运送贮存、集中无害化处置，定期组织业务培训，积极推进医废处置中心技改扩能工作, 完成医疗废物集中处置设施工程整体竣工验收。</w:t>
      </w:r>
    </w:p>
    <w:p>
      <w:pPr>
        <w:ind w:firstLine="800"/>
        <w:rPr>
          <w:rFonts w:ascii="仿宋" w:eastAsia="仿宋" w:cs="仿宋" w:hAnsi="仿宋"/>
          <w:sz w:val="32"/>
        </w:rPr>
      </w:pPr>
      <w:r>
        <w:rPr>
          <w:rFonts w:ascii="仿宋" w:eastAsia="仿宋" w:cs="仿宋" w:hAnsi="仿宋"/>
          <w:sz w:val="32"/>
        </w:rPr>
        <w:t>4.大气污染防治持续加强。一是积极调配环卫洒水车、扫地车</w:t>
      </w:r>
      <w:r>
        <w:rPr>
          <w:rFonts w:ascii="仿宋" w:eastAsia="仿宋" w:cs="仿宋" w:hAnsi="仿宋" w:hint="eastAsia"/>
          <w:sz w:val="32"/>
        </w:rPr>
        <w:t>,做好</w:t>
      </w:r>
      <w:r>
        <w:rPr>
          <w:rFonts w:ascii="仿宋" w:eastAsia="仿宋" w:cs="仿宋" w:hAnsi="仿宋"/>
          <w:sz w:val="32"/>
        </w:rPr>
        <w:t>市城区主次干道的“四冲洗”降尘，对城区大气自动监测点周边辐射2公里区域的道路，安排专车重点进行洒水降尘,并坚持每天“五冲洗”，机械化清扫、冲洗率达85.5% ，并综合采用“吸、扫、冲、喷”等机械化工艺提高道路扫净率。二是根据空气质量颜色预警，制定相应的应急方案，成立应急小组，配备应急车辆、设备，确保快速处理突发事件。三是对城区人行道、小街小巷路段，积极协调各街道环卫所安排微型冲洗车</w:t>
      </w:r>
      <w:r>
        <w:rPr>
          <w:rFonts w:ascii="仿宋" w:eastAsia="仿宋" w:cs="仿宋" w:hAnsi="仿宋" w:hint="eastAsia"/>
          <w:sz w:val="32"/>
        </w:rPr>
        <w:t>，</w:t>
      </w:r>
      <w:r>
        <w:rPr>
          <w:rFonts w:ascii="仿宋" w:eastAsia="仿宋" w:cs="仿宋" w:hAnsi="仿宋"/>
          <w:sz w:val="32"/>
        </w:rPr>
        <w:t xml:space="preserve">坚持每天“二冲洗”。 四是积极配合城管及交警部门，做好城区道路车辆沿途抛洒的打击整治，环卫监察人员不定期巡查，加强对污染的源头整治。 </w:t>
      </w:r>
    </w:p>
    <w:p>
      <w:pPr>
        <w:ind w:firstLine="800"/>
        <w:rPr>
          <w:rFonts w:ascii="仿宋" w:eastAsia="仿宋" w:cs="仿宋" w:hAnsi="仿宋"/>
          <w:sz w:val="32"/>
        </w:rPr>
      </w:pPr>
      <w:r>
        <w:rPr>
          <w:rFonts w:ascii="仿宋" w:eastAsia="仿宋" w:cs="仿宋" w:hAnsi="仿宋"/>
          <w:sz w:val="32"/>
        </w:rPr>
        <w:t>5.全面深化改革纵深推进。通过改变作业模式、调整标准工作量、优化人员管理、更新作业设备，推行环卫减员增效工作，健全完善长效管理机制。截止2018年11月底，减员增效工作取得实质性成效，所辖9个街道环卫所、4个公共服务中心减员206人，节约财政资金236.24万元；以举办省运会为契机，在北二环增设3处环卫工人休息房，不断完善休息点、休息房的内部设备；按照广元市人民政府下发《关于调整全市最低工资标准的通知》精神，在充分调研的基础上，着力开展环卫系统2969名临聘人员工资调整工作。</w:t>
      </w:r>
    </w:p>
    <w:p>
      <w:pPr>
        <w:ind w:firstLine="800"/>
        <w:rPr>
          <w:rFonts w:ascii="仿宋" w:eastAsia="仿宋" w:cs="仿宋" w:hAnsi="仿宋"/>
          <w:sz w:val="32"/>
        </w:rPr>
      </w:pPr>
      <w:r>
        <w:rPr>
          <w:rFonts w:ascii="仿宋" w:eastAsia="仿宋" w:cs="仿宋" w:hAnsi="仿宋"/>
          <w:sz w:val="32"/>
        </w:rPr>
        <w:t>6.安全生产及普法教育常抓不懈。以“七五”普法宣传教育活动为契机，通过每月组织召开的安全工作例会、新增人员作业培训会和定期开展的车辆安全检测等多种形式，将《工伤保险条例》、《保险法》、《安全生产法》《环境保护法》等法律规章融入生产实践，强化重点难点隐患整治；认真开展扫黑除恶专项斗争，发放 扫黑除恶应知应会知识手册；特邀四川力发律师事务所的律师以案说法，就《关于民间借贷的法律问题》举办知识讲座。2018年，各类违规作业和安全责任事故发生率、工伤事故发生率大幅下降。</w:t>
      </w:r>
    </w:p>
    <w:p>
      <w:pPr>
        <w:keepNext/>
        <w:keepLines/>
        <w:widowControl w:val="0"/>
        <w:spacing w:before="260" w:after="260" w:line="415" w:lineRule="auto"/>
        <w:rPr>
          <w:rFonts w:ascii="Cambria" w:eastAsia="Cambria" w:cs="Cambria" w:hAnsi="Cambria"/>
          <w:b/>
          <w:sz w:val="32"/>
        </w:rPr>
      </w:pPr>
      <w:r>
        <w:rPr>
          <w:rFonts w:ascii="黑体" w:eastAsia="黑体" w:cs="黑体" w:hAnsi="黑体"/>
          <w:color w:val="000000"/>
          <w:sz w:val="32"/>
        </w:rPr>
        <w:t>二、机</w:t>
      </w:r>
      <w:r>
        <w:rPr>
          <w:rFonts w:ascii="黑体" w:eastAsia="黑体" w:cs="黑体" w:hAnsi="黑体"/>
          <w:b/>
          <w:sz w:val="32"/>
        </w:rPr>
        <w:t>构设置</w:t>
      </w:r>
    </w:p>
    <w:p>
      <w:pPr>
        <w:ind w:firstLine="800"/>
        <w:rPr>
          <w:rFonts w:ascii="仿宋" w:eastAsia="仿宋" w:cs="仿宋" w:hAnsi="仿宋"/>
          <w:sz w:val="32"/>
        </w:rPr>
      </w:pPr>
      <w:r>
        <w:rPr>
          <w:rFonts w:ascii="仿宋" w:eastAsia="仿宋" w:cs="仿宋" w:hAnsi="仿宋"/>
          <w:sz w:val="32"/>
        </w:rPr>
        <w:t>我局下属二级单位0个，其中行政单位0个，参照公务员法管理的事业单位0个，其他事业单位0个。</w:t>
      </w:r>
    </w:p>
    <w:p>
      <w:pPr>
        <w:ind w:firstLine="800"/>
        <w:rPr>
          <w:rFonts w:ascii="仿宋" w:eastAsia="仿宋" w:cs="仿宋" w:hAnsi="仿宋"/>
          <w:sz w:val="32"/>
        </w:rPr>
      </w:pPr>
    </w:p>
    <w:p>
      <w:pPr>
        <w:ind w:firstLine="800"/>
        <w:rPr>
          <w:rFonts w:ascii="仿宋" w:eastAsia="仿宋" w:cs="仿宋" w:hAnsi="仿宋"/>
          <w:sz w:val="32"/>
        </w:rPr>
      </w:pPr>
    </w:p>
    <w:p>
      <w:pPr>
        <w:keepNext/>
        <w:keepLines/>
        <w:widowControl w:val="0"/>
        <w:spacing w:before="340" w:after="330" w:line="578" w:lineRule="auto"/>
        <w:ind w:right="440"/>
        <w:jc w:val="right"/>
        <w:rPr>
          <w:rFonts w:ascii="黑体" w:eastAsia="黑体" w:cs="黑体" w:hAnsi="黑体"/>
          <w:b/>
          <w:sz w:val="44"/>
        </w:rPr>
      </w:pPr>
      <w:r>
        <w:rPr>
          <w:rFonts w:ascii="黑体" w:eastAsia="黑体" w:cs="黑体" w:hAnsi="黑体"/>
          <w:color w:val="000000"/>
          <w:sz w:val="44"/>
        </w:rPr>
        <w:t>第二部分</w:t>
      </w:r>
      <w:r>
        <w:rPr>
          <w:rFonts w:ascii="黑体" w:eastAsia="黑体" w:cs="黑体" w:hAnsi="黑体"/>
          <w:b/>
          <w:color w:val="000000"/>
          <w:sz w:val="44"/>
        </w:rPr>
        <w:t xml:space="preserve"> </w:t>
      </w:r>
      <w:r>
        <w:rPr>
          <w:rFonts w:ascii="黑体" w:eastAsia="黑体" w:cs="黑体" w:hAnsi="黑体"/>
          <w:b/>
          <w:sz w:val="44"/>
        </w:rPr>
        <w:t>2018年度部门决算情况说明</w:t>
      </w:r>
    </w:p>
    <w:p>
      <w:pPr>
        <w:spacing w:line="600" w:lineRule="auto"/>
        <w:ind w:firstLineChars="200" w:firstLine="640"/>
        <w:rPr>
          <w:rFonts w:ascii="黑体" w:eastAsia="黑体" w:cs="黑体" w:hAnsi="黑体"/>
          <w:sz w:val="32"/>
        </w:rPr>
      </w:pPr>
      <w:r>
        <w:rPr>
          <w:rFonts w:ascii="黑体" w:eastAsia="黑体" w:cs="黑体" w:hAnsi="黑体" w:hint="eastAsia"/>
          <w:color w:val="000000"/>
          <w:sz w:val="32"/>
        </w:rPr>
        <w:t>一、</w:t>
      </w:r>
      <w:r>
        <w:rPr>
          <w:rFonts w:ascii="黑体" w:eastAsia="黑体" w:cs="黑体" w:hAnsi="黑体"/>
          <w:color w:val="000000"/>
          <w:sz w:val="32"/>
        </w:rPr>
        <w:t>收</w:t>
      </w:r>
      <w:r>
        <w:rPr>
          <w:rFonts w:ascii="黑体" w:eastAsia="黑体" w:cs="黑体" w:hAnsi="黑体"/>
          <w:sz w:val="32"/>
        </w:rPr>
        <w:t>入支出决算总体情况说明</w:t>
      </w:r>
    </w:p>
    <w:p>
      <w:pPr>
        <w:spacing w:line="600" w:lineRule="auto"/>
        <w:ind w:firstLine="640"/>
        <w:rPr>
          <w:rFonts w:ascii="仿宋" w:eastAsia="仿宋" w:cs="仿宋" w:hAnsi="仿宋"/>
          <w:color w:val="000000"/>
          <w:sz w:val="32"/>
        </w:rPr>
      </w:pPr>
      <w:r>
        <w:rPr>
          <w:rFonts w:ascii="仿宋" w:eastAsia="仿宋" w:cs="仿宋" w:hAnsi="仿宋"/>
          <w:color w:val="000000"/>
          <w:sz w:val="32"/>
        </w:rPr>
        <w:t>2018年度收</w:t>
      </w:r>
      <w:r>
        <w:rPr>
          <w:rFonts w:ascii="仿宋" w:eastAsia="仿宋" w:cs="仿宋" w:hAnsi="仿宋" w:hint="eastAsia"/>
          <w:color w:val="000000"/>
          <w:sz w:val="32"/>
        </w:rPr>
        <w:t>入总计6386.12万元</w:t>
      </w:r>
      <w:r>
        <w:rPr>
          <w:rFonts w:ascii="仿宋" w:eastAsia="仿宋" w:cs="仿宋" w:hAnsi="仿宋"/>
          <w:color w:val="000000"/>
          <w:sz w:val="32"/>
        </w:rPr>
        <w:t>、支</w:t>
      </w:r>
      <w:r>
        <w:rPr>
          <w:rFonts w:ascii="仿宋" w:eastAsia="仿宋" w:cs="仿宋" w:hAnsi="仿宋" w:hint="eastAsia"/>
          <w:color w:val="000000"/>
          <w:sz w:val="32"/>
        </w:rPr>
        <w:t>出</w:t>
      </w:r>
      <w:r>
        <w:rPr>
          <w:rFonts w:ascii="仿宋" w:eastAsia="仿宋" w:cs="仿宋" w:hAnsi="仿宋"/>
          <w:color w:val="000000"/>
          <w:sz w:val="32"/>
        </w:rPr>
        <w:t>总计</w:t>
      </w:r>
      <w:r>
        <w:rPr>
          <w:rFonts w:ascii="仿宋" w:eastAsia="仿宋" w:cs="仿宋" w:hAnsi="仿宋" w:hint="eastAsia"/>
          <w:color w:val="000000"/>
          <w:sz w:val="32"/>
        </w:rPr>
        <w:t>3197.76</w:t>
      </w:r>
      <w:r>
        <w:rPr>
          <w:rFonts w:ascii="仿宋" w:eastAsia="仿宋" w:cs="仿宋" w:hAnsi="仿宋"/>
          <w:color w:val="000000"/>
          <w:sz w:val="32"/>
        </w:rPr>
        <w:t>万元。与2017年相比，收</w:t>
      </w:r>
      <w:r>
        <w:rPr>
          <w:rFonts w:ascii="仿宋" w:eastAsia="仿宋" w:cs="仿宋" w:hAnsi="仿宋" w:hint="eastAsia"/>
          <w:color w:val="000000"/>
          <w:sz w:val="32"/>
        </w:rPr>
        <w:t>入</w:t>
      </w:r>
      <w:r>
        <w:rPr>
          <w:rFonts w:ascii="仿宋" w:eastAsia="仿宋" w:cs="仿宋" w:hAnsi="仿宋"/>
          <w:color w:val="000000"/>
          <w:sz w:val="32"/>
        </w:rPr>
        <w:t>总计增加</w:t>
      </w:r>
      <w:r>
        <w:rPr>
          <w:rFonts w:ascii="仿宋" w:eastAsia="仿宋" w:cs="仿宋" w:hAnsi="仿宋" w:hint="eastAsia"/>
          <w:color w:val="000000"/>
          <w:sz w:val="32"/>
        </w:rPr>
        <w:t>3368.58</w:t>
      </w:r>
      <w:r>
        <w:rPr>
          <w:rFonts w:ascii="仿宋" w:eastAsia="仿宋" w:cs="仿宋" w:hAnsi="仿宋"/>
          <w:color w:val="000000"/>
          <w:sz w:val="32"/>
        </w:rPr>
        <w:t>万元</w:t>
      </w:r>
      <w:r>
        <w:rPr>
          <w:rFonts w:ascii="仿宋" w:eastAsia="仿宋" w:cs="仿宋" w:hAnsi="仿宋" w:hint="eastAsia"/>
          <w:color w:val="000000"/>
          <w:sz w:val="32"/>
        </w:rPr>
        <w:t>，</w:t>
      </w:r>
      <w:r>
        <w:rPr>
          <w:rFonts w:ascii="仿宋" w:eastAsia="仿宋" w:cs="仿宋" w:hAnsi="仿宋"/>
          <w:color w:val="000000"/>
          <w:sz w:val="32"/>
        </w:rPr>
        <w:t>增长</w:t>
      </w:r>
      <w:r>
        <w:rPr>
          <w:rFonts w:ascii="仿宋" w:eastAsia="仿宋" w:cs="仿宋" w:hAnsi="仿宋" w:hint="eastAsia"/>
          <w:color w:val="000000"/>
          <w:sz w:val="32"/>
        </w:rPr>
        <w:t>111.63</w:t>
      </w:r>
      <w:r>
        <w:rPr>
          <w:rFonts w:ascii="仿宋" w:eastAsia="仿宋" w:cs="仿宋" w:hAnsi="仿宋"/>
          <w:color w:val="000000"/>
          <w:sz w:val="32"/>
        </w:rPr>
        <w:t>%</w:t>
      </w:r>
      <w:r>
        <w:rPr>
          <w:rFonts w:ascii="仿宋" w:eastAsia="仿宋" w:cs="仿宋" w:hAnsi="仿宋" w:hint="eastAsia"/>
          <w:color w:val="000000"/>
          <w:sz w:val="32"/>
        </w:rPr>
        <w:t>；支出总计增加221.36万元，</w:t>
      </w:r>
      <w:r>
        <w:rPr>
          <w:rFonts w:ascii="仿宋" w:eastAsia="仿宋" w:cs="仿宋" w:hAnsi="仿宋"/>
          <w:color w:val="000000"/>
          <w:sz w:val="32"/>
        </w:rPr>
        <w:t>增长</w:t>
      </w:r>
      <w:r>
        <w:rPr>
          <w:rFonts w:ascii="仿宋" w:eastAsia="仿宋" w:cs="仿宋" w:hAnsi="仿宋" w:hint="eastAsia"/>
          <w:color w:val="000000"/>
          <w:sz w:val="32"/>
        </w:rPr>
        <w:t>7.44</w:t>
      </w:r>
      <w:r>
        <w:rPr>
          <w:rFonts w:ascii="仿宋" w:eastAsia="仿宋" w:cs="仿宋" w:hAnsi="仿宋"/>
          <w:color w:val="000000"/>
          <w:sz w:val="32"/>
        </w:rPr>
        <w:t>%</w:t>
      </w:r>
      <w:r>
        <w:rPr>
          <w:rFonts w:ascii="仿宋" w:eastAsia="仿宋" w:cs="仿宋" w:hAnsi="仿宋" w:hint="eastAsia"/>
          <w:color w:val="000000"/>
          <w:sz w:val="32"/>
        </w:rPr>
        <w:t>、</w:t>
      </w:r>
      <w:r>
        <w:rPr>
          <w:rFonts w:ascii="仿宋" w:eastAsia="仿宋" w:cs="仿宋" w:hAnsi="仿宋"/>
          <w:color w:val="000000"/>
          <w:sz w:val="32"/>
        </w:rPr>
        <w:t>。主要变动原因是</w:t>
      </w:r>
      <w:r>
        <w:rPr>
          <w:rFonts w:ascii="仿宋" w:eastAsia="仿宋" w:cs="仿宋" w:hAnsi="仿宋" w:hint="eastAsia"/>
          <w:color w:val="000000"/>
          <w:sz w:val="32"/>
        </w:rPr>
        <w:t>2018年专项收支增加（主要包括餐厨垃圾收运处置项目、城市扬尘整治降尘设施设备采购项目、城区环境保护清扫保洁及洒水降尘设备采购项目、调整临聘人员工资标准等项目）。</w:t>
      </w:r>
    </w:p>
    <w:p>
      <w:pPr>
        <w:spacing w:line="600" w:lineRule="auto"/>
        <w:jc w:val="center"/>
        <w:rPr>
          <w:rFonts w:ascii="仿宋" w:eastAsia="仿宋" w:cs="仿宋" w:hAnsi="仿宋"/>
          <w:b/>
          <w:sz w:val="32"/>
        </w:rPr>
      </w:pPr>
      <w:r>
        <w:rPr>
          <w:rFonts w:ascii="仿宋" w:eastAsia="仿宋" w:cs="仿宋" w:hAnsi="仿宋"/>
          <w:b/>
          <w:sz w:val="32"/>
        </w:rPr>
        <w:t>收、支决算总计变动情况</w:t>
      </w:r>
    </w:p>
    <w:p>
      <w:pPr>
        <w:spacing w:line="600" w:lineRule="auto"/>
        <w:ind w:firstLine="640"/>
        <w:rPr>
          <w:rFonts w:ascii="仿宋" w:eastAsia="仿宋" w:cs="仿宋" w:hAnsi="仿宋"/>
          <w:color w:val="000000"/>
          <w:sz w:val="32"/>
        </w:rPr>
      </w:pPr>
      <w:r>
        <w:rPr>
          <w:rFonts w:ascii="仿宋" w:eastAsia="仿宋" w:cs="仿宋" w:hAnsi="仿宋" w:hint="eastAsia"/>
          <w:color w:val="000000"/>
          <w:sz w:val="32"/>
        </w:rPr>
        <w:drawing>
          <wp:inline distT="0" distB="0" distL="0" distR="0">
            <wp:extent cx="4407671" cy="2503918"/>
            <wp:effectExtent l="0" t="0" r="0" b="0"/>
            <wp:docPr id="1" name="图表 1"/>
            <wp:cNvGraphicFramePr>
              <a:graphicFrameLocks noChangeAspect="0"/>
            </wp:cNvGraphicFramePr>
            <a:graphic>
              <a:graphicData uri="http://schemas.openxmlformats.org/drawingml/2006/chart">
                <c:chart xmlns:c="http://schemas.openxmlformats.org/drawingml/2006/chart" r:id="rId2"/>
              </a:graphicData>
            </a:graphic>
          </wp:inline>
        </w:drawing>
      </w:r>
    </w:p>
    <w:p>
      <w:pPr>
        <w:spacing w:line="600" w:lineRule="auto"/>
        <w:ind w:firstLineChars="200" w:firstLine="640"/>
        <w:rPr>
          <w:rFonts w:ascii="黑体" w:eastAsia="黑体" w:cs="黑体" w:hAnsi="黑体"/>
          <w:sz w:val="32"/>
        </w:rPr>
      </w:pPr>
      <w:r>
        <w:rPr>
          <w:rFonts w:ascii="黑体" w:eastAsia="黑体" w:cs="黑体" w:hAnsi="黑体" w:hint="eastAsia"/>
          <w:color w:val="000000"/>
          <w:sz w:val="32"/>
        </w:rPr>
        <w:t>二、</w:t>
      </w:r>
      <w:r>
        <w:rPr>
          <w:rFonts w:ascii="黑体" w:eastAsia="黑体" w:cs="黑体" w:hAnsi="黑体"/>
          <w:color w:val="000000"/>
          <w:sz w:val="32"/>
        </w:rPr>
        <w:t>收</w:t>
      </w:r>
      <w:r>
        <w:rPr>
          <w:rFonts w:ascii="黑体" w:eastAsia="黑体" w:cs="黑体" w:hAnsi="黑体"/>
          <w:sz w:val="32"/>
        </w:rPr>
        <w:t>入决算情况说明</w:t>
      </w:r>
    </w:p>
    <w:p>
      <w:pPr>
        <w:spacing w:line="600" w:lineRule="auto"/>
        <w:ind w:firstLine="640"/>
        <w:rPr>
          <w:rFonts w:ascii="仿宋" w:eastAsia="仿宋" w:cs="仿宋" w:hAnsi="仿宋"/>
          <w:color w:val="000000"/>
          <w:sz w:val="32"/>
        </w:rPr>
      </w:pPr>
      <w:r>
        <w:rPr>
          <w:rFonts w:ascii="仿宋" w:eastAsia="仿宋" w:cs="仿宋" w:hAnsi="仿宋"/>
          <w:color w:val="000000"/>
          <w:sz w:val="32"/>
        </w:rPr>
        <w:t>2018年</w:t>
      </w:r>
      <w:r>
        <w:rPr>
          <w:rFonts w:ascii="仿宋" w:eastAsia="仿宋" w:cs="仿宋" w:hAnsi="仿宋" w:hint="eastAsia"/>
          <w:color w:val="000000"/>
          <w:sz w:val="32"/>
        </w:rPr>
        <w:t>度</w:t>
      </w:r>
      <w:r>
        <w:rPr>
          <w:rFonts w:ascii="仿宋" w:eastAsia="仿宋" w:cs="仿宋" w:hAnsi="仿宋"/>
          <w:color w:val="000000"/>
          <w:sz w:val="32"/>
        </w:rPr>
        <w:t>收入合计</w:t>
      </w:r>
      <w:r>
        <w:rPr>
          <w:rFonts w:ascii="仿宋" w:eastAsia="仿宋" w:cs="仿宋" w:hAnsi="仿宋" w:hint="eastAsia"/>
          <w:color w:val="000000"/>
          <w:sz w:val="32"/>
        </w:rPr>
        <w:t>6386.12</w:t>
      </w:r>
      <w:r>
        <w:rPr>
          <w:rFonts w:ascii="仿宋" w:eastAsia="仿宋" w:cs="仿宋" w:hAnsi="仿宋"/>
          <w:color w:val="000000"/>
          <w:sz w:val="32"/>
        </w:rPr>
        <w:t>万元，其中：一般公共预算财政拨款收入</w:t>
      </w:r>
      <w:r>
        <w:rPr>
          <w:rFonts w:ascii="仿宋" w:eastAsia="仿宋" w:cs="仿宋" w:hAnsi="仿宋" w:hint="eastAsia"/>
          <w:color w:val="000000"/>
          <w:sz w:val="32"/>
        </w:rPr>
        <w:t>6386.12</w:t>
      </w:r>
      <w:r>
        <w:rPr>
          <w:rFonts w:ascii="仿宋" w:eastAsia="仿宋" w:cs="仿宋" w:hAnsi="仿宋"/>
          <w:color w:val="000000"/>
          <w:sz w:val="32"/>
        </w:rPr>
        <w:t>万元，占</w:t>
      </w:r>
      <w:r>
        <w:rPr>
          <w:rFonts w:ascii="仿宋" w:eastAsia="仿宋" w:cs="仿宋" w:hAnsi="仿宋" w:hint="eastAsia"/>
          <w:color w:val="000000"/>
          <w:sz w:val="32"/>
        </w:rPr>
        <w:t>100</w:t>
      </w:r>
      <w:r>
        <w:rPr>
          <w:rFonts w:ascii="仿宋" w:eastAsia="仿宋" w:cs="仿宋" w:hAnsi="仿宋"/>
          <w:color w:val="000000"/>
          <w:sz w:val="32"/>
        </w:rPr>
        <w:t>%；政府性基金预算财政拨款收入</w:t>
      </w:r>
      <w:r>
        <w:rPr>
          <w:rFonts w:ascii="仿宋" w:eastAsia="仿宋" w:cs="仿宋" w:hAnsi="仿宋" w:hint="eastAsia"/>
          <w:color w:val="000000"/>
          <w:sz w:val="32"/>
        </w:rPr>
        <w:t>0</w:t>
      </w:r>
      <w:r>
        <w:rPr>
          <w:rFonts w:ascii="仿宋" w:eastAsia="仿宋" w:cs="仿宋" w:hAnsi="仿宋"/>
          <w:color w:val="000000"/>
          <w:sz w:val="32"/>
        </w:rPr>
        <w:t>万元；国有资本经营预算财政拨款收入</w:t>
      </w:r>
      <w:r>
        <w:rPr>
          <w:rFonts w:ascii="仿宋" w:eastAsia="仿宋" w:cs="仿宋" w:hAnsi="仿宋" w:hint="eastAsia"/>
          <w:color w:val="000000"/>
          <w:sz w:val="32"/>
        </w:rPr>
        <w:t>0</w:t>
      </w:r>
      <w:r>
        <w:rPr>
          <w:rFonts w:ascii="仿宋" w:eastAsia="仿宋" w:cs="仿宋" w:hAnsi="仿宋"/>
          <w:color w:val="000000"/>
          <w:sz w:val="32"/>
        </w:rPr>
        <w:t>万元；事业收入</w:t>
      </w:r>
      <w:r>
        <w:rPr>
          <w:rFonts w:ascii="仿宋" w:eastAsia="仿宋" w:cs="仿宋" w:hAnsi="仿宋" w:hint="eastAsia"/>
          <w:color w:val="000000"/>
          <w:sz w:val="32"/>
        </w:rPr>
        <w:t>0</w:t>
      </w:r>
      <w:r>
        <w:rPr>
          <w:rFonts w:ascii="仿宋" w:eastAsia="仿宋" w:cs="仿宋" w:hAnsi="仿宋"/>
          <w:color w:val="000000"/>
          <w:sz w:val="32"/>
        </w:rPr>
        <w:t>万元；经营收入</w:t>
      </w:r>
      <w:r>
        <w:rPr>
          <w:rFonts w:ascii="仿宋" w:eastAsia="仿宋" w:cs="仿宋" w:hAnsi="仿宋" w:hint="eastAsia"/>
          <w:color w:val="000000"/>
          <w:sz w:val="32"/>
        </w:rPr>
        <w:t>0</w:t>
      </w:r>
      <w:r>
        <w:rPr>
          <w:rFonts w:ascii="仿宋" w:eastAsia="仿宋" w:cs="仿宋" w:hAnsi="仿宋"/>
          <w:color w:val="000000"/>
          <w:sz w:val="32"/>
        </w:rPr>
        <w:t>万元；附属单位上缴收入</w:t>
      </w:r>
      <w:r>
        <w:rPr>
          <w:rFonts w:ascii="仿宋" w:eastAsia="仿宋" w:cs="仿宋" w:hAnsi="仿宋" w:hint="eastAsia"/>
          <w:color w:val="000000"/>
          <w:sz w:val="32"/>
        </w:rPr>
        <w:t>0</w:t>
      </w:r>
      <w:r>
        <w:rPr>
          <w:rFonts w:ascii="仿宋" w:eastAsia="仿宋" w:cs="仿宋" w:hAnsi="仿宋"/>
          <w:color w:val="000000"/>
          <w:sz w:val="32"/>
        </w:rPr>
        <w:t>万元；其他收入</w:t>
      </w:r>
      <w:r>
        <w:rPr>
          <w:rFonts w:ascii="仿宋" w:eastAsia="仿宋" w:cs="仿宋" w:hAnsi="仿宋" w:hint="eastAsia"/>
          <w:color w:val="000000"/>
          <w:sz w:val="32"/>
        </w:rPr>
        <w:t>0</w:t>
      </w:r>
      <w:r>
        <w:rPr>
          <w:rFonts w:ascii="仿宋" w:eastAsia="仿宋" w:cs="仿宋" w:hAnsi="仿宋"/>
          <w:color w:val="000000"/>
          <w:sz w:val="32"/>
        </w:rPr>
        <w:t>万元。</w:t>
      </w:r>
    </w:p>
    <w:p>
      <w:pPr>
        <w:spacing w:line="600" w:lineRule="auto"/>
        <w:ind w:firstLine="640"/>
        <w:rPr>
          <w:rFonts w:ascii="仿宋" w:eastAsia="仿宋" w:cs="仿宋" w:hAnsi="仿宋"/>
          <w:color w:val="000000"/>
          <w:sz w:val="32"/>
        </w:rPr>
      </w:pPr>
    </w:p>
    <w:p>
      <w:pPr>
        <w:spacing w:line="600" w:lineRule="auto"/>
        <w:ind w:firstLine="640"/>
        <w:rPr>
          <w:rFonts w:ascii="仿宋" w:eastAsia="仿宋" w:cs="仿宋" w:hAnsi="仿宋"/>
          <w:color w:val="000000"/>
          <w:sz w:val="32"/>
        </w:rPr>
      </w:pPr>
    </w:p>
    <w:p>
      <w:pPr>
        <w:spacing w:line="600" w:lineRule="auto"/>
        <w:ind w:firstLine="640"/>
        <w:rPr>
          <w:rFonts w:ascii="仿宋" w:eastAsia="仿宋" w:cs="仿宋" w:hAnsi="仿宋"/>
          <w:color w:val="000000"/>
          <w:sz w:val="32"/>
        </w:rPr>
      </w:pPr>
    </w:p>
    <w:p>
      <w:pPr>
        <w:spacing w:line="600" w:lineRule="auto"/>
        <w:ind w:firstLine="640"/>
        <w:jc w:val="center"/>
        <w:rPr>
          <w:rFonts w:ascii="仿宋" w:eastAsia="仿宋" w:cs="仿宋" w:hAnsi="仿宋"/>
          <w:b/>
          <w:color w:val="000000"/>
          <w:sz w:val="32"/>
        </w:rPr>
      </w:pPr>
      <w:r>
        <w:rPr>
          <w:rFonts w:ascii="仿宋" w:eastAsia="仿宋" w:cs="仿宋" w:hAnsi="仿宋"/>
          <w:b/>
          <w:color w:val="000000"/>
          <w:sz w:val="32"/>
        </w:rPr>
        <w:t>收入决算结构图</w:t>
      </w:r>
    </w:p>
    <w:p>
      <w:pPr>
        <w:spacing w:line="600" w:lineRule="auto"/>
        <w:ind w:firstLine="640"/>
        <w:rPr>
          <w:rFonts w:ascii="仿宋" w:eastAsia="仿宋" w:cs="仿宋" w:hAnsi="仿宋"/>
          <w:color w:val="000000"/>
          <w:sz w:val="32"/>
        </w:rPr>
      </w:pPr>
      <w:r>
        <w:rPr>
          <w:rFonts w:ascii="仿宋" w:eastAsia="仿宋" w:cs="仿宋" w:hAnsi="仿宋"/>
          <w:color w:val="000000"/>
          <w:sz w:val="32"/>
        </w:rPr>
        <w:drawing>
          <wp:inline distT="0" distB="0" distL="0" distR="0">
            <wp:extent cx="4407671" cy="2298818"/>
            <wp:effectExtent l="0" t="0" r="0" b="0"/>
            <wp:docPr id="2" name="图表 2"/>
            <wp:cNvGraphicFramePr>
              <a:graphicFrameLocks noChangeAspect="0"/>
            </wp:cNvGraphicFramePr>
            <a:graphic>
              <a:graphicData uri="http://schemas.openxmlformats.org/drawingml/2006/chart">
                <c:chart xmlns:c="http://schemas.openxmlformats.org/drawingml/2006/chart" r:id="rId3"/>
              </a:graphicData>
            </a:graphic>
          </wp:inline>
        </w:drawing>
      </w:r>
    </w:p>
    <w:p>
      <w:pPr>
        <w:spacing w:line="600" w:lineRule="auto"/>
        <w:ind w:firstLineChars="200" w:firstLine="640"/>
        <w:rPr>
          <w:rFonts w:ascii="黑体" w:eastAsia="黑体" w:cs="黑体" w:hAnsi="黑体"/>
          <w:sz w:val="32"/>
        </w:rPr>
      </w:pPr>
      <w:r>
        <w:rPr>
          <w:rFonts w:ascii="黑体" w:eastAsia="黑体" w:cs="黑体" w:hAnsi="黑体" w:hint="eastAsia"/>
          <w:color w:val="000000"/>
          <w:sz w:val="32"/>
        </w:rPr>
        <w:t>三、</w:t>
      </w:r>
      <w:r>
        <w:rPr>
          <w:rFonts w:ascii="黑体" w:eastAsia="黑体" w:cs="黑体" w:hAnsi="黑体"/>
          <w:color w:val="000000"/>
          <w:sz w:val="32"/>
        </w:rPr>
        <w:t>支</w:t>
      </w:r>
      <w:r>
        <w:rPr>
          <w:rFonts w:ascii="黑体" w:eastAsia="黑体" w:cs="黑体" w:hAnsi="黑体"/>
          <w:sz w:val="32"/>
        </w:rPr>
        <w:t>出决算情况说明</w:t>
      </w:r>
    </w:p>
    <w:p>
      <w:pPr>
        <w:spacing w:line="600" w:lineRule="auto"/>
        <w:ind w:firstLine="640"/>
        <w:rPr>
          <w:rFonts w:ascii="仿宋" w:eastAsia="仿宋" w:cs="仿宋" w:hAnsi="仿宋"/>
          <w:color w:val="000000"/>
          <w:sz w:val="32"/>
        </w:rPr>
      </w:pPr>
      <w:r>
        <w:rPr>
          <w:rFonts w:ascii="仿宋" w:eastAsia="仿宋" w:cs="仿宋" w:hAnsi="仿宋"/>
          <w:color w:val="000000"/>
          <w:sz w:val="32"/>
        </w:rPr>
        <w:t>2018年</w:t>
      </w:r>
      <w:r>
        <w:rPr>
          <w:rFonts w:ascii="仿宋" w:eastAsia="仿宋" w:cs="仿宋" w:hAnsi="仿宋" w:hint="eastAsia"/>
          <w:color w:val="000000"/>
          <w:sz w:val="32"/>
        </w:rPr>
        <w:t>度</w:t>
      </w:r>
      <w:r>
        <w:rPr>
          <w:rFonts w:ascii="仿宋" w:eastAsia="仿宋" w:cs="仿宋" w:hAnsi="仿宋"/>
          <w:color w:val="000000"/>
          <w:sz w:val="32"/>
        </w:rPr>
        <w:t>支出合计</w:t>
      </w:r>
      <w:r>
        <w:rPr>
          <w:rFonts w:ascii="仿宋" w:eastAsia="仿宋" w:cs="仿宋" w:hAnsi="仿宋" w:hint="eastAsia"/>
          <w:color w:val="000000"/>
          <w:sz w:val="32"/>
        </w:rPr>
        <w:t>3197.76</w:t>
      </w:r>
      <w:r>
        <w:rPr>
          <w:rFonts w:ascii="仿宋" w:eastAsia="仿宋" w:cs="仿宋" w:hAnsi="仿宋"/>
          <w:color w:val="000000"/>
          <w:sz w:val="32"/>
        </w:rPr>
        <w:t>万元，其中：基本支出</w:t>
      </w:r>
      <w:r>
        <w:rPr>
          <w:rFonts w:ascii="仿宋" w:eastAsia="仿宋" w:cs="仿宋" w:hAnsi="仿宋" w:hint="eastAsia"/>
          <w:color w:val="000000"/>
          <w:sz w:val="32"/>
        </w:rPr>
        <w:t>1403.49</w:t>
      </w:r>
      <w:r>
        <w:rPr>
          <w:rFonts w:ascii="仿宋" w:eastAsia="仿宋" w:cs="仿宋" w:hAnsi="仿宋"/>
          <w:color w:val="000000"/>
          <w:sz w:val="32"/>
        </w:rPr>
        <w:t>万元，占</w:t>
      </w:r>
      <w:r>
        <w:rPr>
          <w:rFonts w:ascii="仿宋" w:eastAsia="仿宋" w:cs="仿宋" w:hAnsi="仿宋" w:hint="eastAsia"/>
          <w:color w:val="000000"/>
          <w:sz w:val="32"/>
        </w:rPr>
        <w:t>43.89</w:t>
      </w:r>
      <w:r>
        <w:rPr>
          <w:rFonts w:ascii="仿宋" w:eastAsia="仿宋" w:cs="仿宋" w:hAnsi="仿宋"/>
          <w:color w:val="000000"/>
          <w:sz w:val="32"/>
        </w:rPr>
        <w:t>%；项目支出</w:t>
      </w:r>
      <w:r>
        <w:rPr>
          <w:rFonts w:ascii="仿宋" w:eastAsia="仿宋" w:cs="仿宋" w:hAnsi="仿宋" w:hint="eastAsia"/>
          <w:color w:val="000000"/>
          <w:sz w:val="32"/>
        </w:rPr>
        <w:t>1794.28</w:t>
      </w:r>
      <w:r>
        <w:rPr>
          <w:rFonts w:ascii="仿宋" w:eastAsia="仿宋" w:cs="仿宋" w:hAnsi="仿宋"/>
          <w:color w:val="000000"/>
          <w:sz w:val="32"/>
        </w:rPr>
        <w:t>万元，占</w:t>
      </w:r>
      <w:r>
        <w:rPr>
          <w:rFonts w:ascii="仿宋" w:eastAsia="仿宋" w:cs="仿宋" w:hAnsi="仿宋" w:hint="eastAsia"/>
          <w:color w:val="000000"/>
          <w:sz w:val="32"/>
        </w:rPr>
        <w:t>56.11</w:t>
      </w:r>
      <w:r>
        <w:rPr>
          <w:rFonts w:ascii="仿宋" w:eastAsia="仿宋" w:cs="仿宋" w:hAnsi="仿宋"/>
          <w:color w:val="000000"/>
          <w:sz w:val="32"/>
        </w:rPr>
        <w:t>%；上缴上级支出</w:t>
      </w:r>
      <w:r>
        <w:rPr>
          <w:rFonts w:ascii="仿宋" w:eastAsia="仿宋" w:cs="仿宋" w:hAnsi="仿宋" w:hint="eastAsia"/>
          <w:color w:val="000000"/>
          <w:sz w:val="32"/>
        </w:rPr>
        <w:t>0</w:t>
      </w:r>
      <w:r>
        <w:rPr>
          <w:rFonts w:ascii="仿宋" w:eastAsia="仿宋" w:cs="仿宋" w:hAnsi="仿宋"/>
          <w:color w:val="000000"/>
          <w:sz w:val="32"/>
        </w:rPr>
        <w:t>万元；经营支出</w:t>
      </w:r>
      <w:r>
        <w:rPr>
          <w:rFonts w:ascii="仿宋" w:eastAsia="仿宋" w:cs="仿宋" w:hAnsi="仿宋" w:hint="eastAsia"/>
          <w:color w:val="000000"/>
          <w:sz w:val="32"/>
        </w:rPr>
        <w:t>0</w:t>
      </w:r>
      <w:r>
        <w:rPr>
          <w:rFonts w:ascii="仿宋" w:eastAsia="仿宋" w:cs="仿宋" w:hAnsi="仿宋"/>
          <w:color w:val="000000"/>
          <w:sz w:val="32"/>
        </w:rPr>
        <w:t>万元；对附属单位补助支出</w:t>
      </w:r>
      <w:r>
        <w:rPr>
          <w:rFonts w:ascii="仿宋" w:eastAsia="仿宋" w:cs="仿宋" w:hAnsi="仿宋" w:hint="eastAsia"/>
          <w:color w:val="000000"/>
          <w:sz w:val="32"/>
        </w:rPr>
        <w:t>0</w:t>
      </w:r>
      <w:r>
        <w:rPr>
          <w:rFonts w:ascii="仿宋" w:eastAsia="仿宋" w:cs="仿宋" w:hAnsi="仿宋"/>
          <w:color w:val="000000"/>
          <w:sz w:val="32"/>
        </w:rPr>
        <w:t>万元。</w:t>
      </w:r>
    </w:p>
    <w:p>
      <w:pPr>
        <w:spacing w:line="600" w:lineRule="auto"/>
        <w:ind w:firstLine="640"/>
        <w:rPr>
          <w:rFonts w:ascii="仿宋" w:eastAsia="仿宋" w:cs="仿宋" w:hAnsi="仿宋"/>
          <w:color w:val="000000"/>
          <w:sz w:val="32"/>
          <w:shd w:val="clear" w:color="auto" w:fill="FFFFFF"/>
        </w:rPr>
      </w:pPr>
      <w:r>
        <w:rPr>
          <w:rFonts w:ascii="仿宋" w:eastAsia="仿宋" w:cs="仿宋" w:hAnsi="仿宋"/>
          <w:color w:val="000000"/>
          <w:sz w:val="32"/>
          <w:shd w:val="clear" w:color="auto" w:fill="FFFFFF"/>
        </w:rPr>
        <w:drawing>
          <wp:inline distT="0" distB="0" distL="0" distR="0">
            <wp:extent cx="4476038" cy="2444097"/>
            <wp:effectExtent l="0" t="0" r="0" b="0"/>
            <wp:docPr id="3" name="图表 4"/>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auto"/>
        <w:ind w:firstLine="640"/>
        <w:rPr>
          <w:rFonts w:ascii="黑体" w:eastAsia="黑体" w:cs="黑体" w:hAnsi="黑体"/>
          <w:sz w:val="32"/>
        </w:rPr>
      </w:pPr>
      <w:r>
        <w:rPr>
          <w:rFonts w:ascii="黑体" w:eastAsia="黑体" w:cs="黑体" w:hAnsi="黑体"/>
          <w:color w:val="000000"/>
          <w:sz w:val="32"/>
        </w:rPr>
        <w:t>四、财</w:t>
      </w:r>
      <w:r>
        <w:rPr>
          <w:rFonts w:ascii="黑体" w:eastAsia="黑体" w:cs="黑体" w:hAnsi="黑体"/>
          <w:sz w:val="32"/>
        </w:rPr>
        <w:t>政拨款收入支出决算总体情况说明</w:t>
      </w:r>
    </w:p>
    <w:p>
      <w:pPr>
        <w:spacing w:line="600" w:lineRule="auto"/>
        <w:ind w:firstLine="640"/>
        <w:rPr>
          <w:rFonts w:ascii="仿宋" w:eastAsia="仿宋" w:cs="仿宋" w:hAnsi="仿宋"/>
          <w:color w:val="000000"/>
          <w:sz w:val="32"/>
        </w:rPr>
      </w:pPr>
      <w:r>
        <w:rPr>
          <w:rFonts w:ascii="仿宋" w:eastAsia="仿宋" w:cs="仿宋" w:hAnsi="仿宋"/>
          <w:color w:val="000000"/>
          <w:sz w:val="32"/>
        </w:rPr>
        <w:t>2018年财政拨款收</w:t>
      </w:r>
      <w:r>
        <w:rPr>
          <w:rFonts w:ascii="仿宋" w:eastAsia="仿宋" w:cs="仿宋" w:hAnsi="仿宋" w:hint="eastAsia"/>
          <w:color w:val="000000"/>
          <w:sz w:val="32"/>
        </w:rPr>
        <w:t>入6386.12万元</w:t>
      </w:r>
      <w:r>
        <w:rPr>
          <w:rFonts w:ascii="仿宋" w:eastAsia="仿宋" w:cs="仿宋" w:hAnsi="仿宋"/>
          <w:color w:val="000000"/>
          <w:sz w:val="32"/>
        </w:rPr>
        <w:t>、支</w:t>
      </w:r>
      <w:r>
        <w:rPr>
          <w:rFonts w:ascii="仿宋" w:eastAsia="仿宋" w:cs="仿宋" w:hAnsi="仿宋" w:hint="eastAsia"/>
          <w:color w:val="000000"/>
          <w:sz w:val="32"/>
        </w:rPr>
        <w:t>出3197.76</w:t>
      </w:r>
      <w:r>
        <w:rPr>
          <w:rFonts w:ascii="仿宋" w:eastAsia="仿宋" w:cs="仿宋" w:hAnsi="仿宋"/>
          <w:color w:val="000000"/>
          <w:sz w:val="32"/>
        </w:rPr>
        <w:t>万元。与2017年相比，财政拨款收</w:t>
      </w:r>
      <w:r>
        <w:rPr>
          <w:rFonts w:ascii="仿宋" w:eastAsia="仿宋" w:cs="仿宋" w:hAnsi="仿宋" w:hint="eastAsia"/>
          <w:color w:val="000000"/>
          <w:sz w:val="32"/>
        </w:rPr>
        <w:t>入</w:t>
      </w:r>
      <w:r>
        <w:rPr>
          <w:rFonts w:ascii="仿宋" w:eastAsia="仿宋" w:cs="仿宋" w:hAnsi="仿宋"/>
          <w:color w:val="000000"/>
          <w:sz w:val="32"/>
        </w:rPr>
        <w:t>增加</w:t>
      </w:r>
      <w:r>
        <w:rPr>
          <w:rFonts w:ascii="仿宋" w:eastAsia="仿宋" w:cs="仿宋" w:hAnsi="仿宋" w:hint="eastAsia"/>
          <w:color w:val="000000"/>
          <w:sz w:val="32"/>
        </w:rPr>
        <w:t>3368.58</w:t>
      </w:r>
      <w:r>
        <w:rPr>
          <w:rFonts w:ascii="仿宋" w:eastAsia="仿宋" w:cs="仿宋" w:hAnsi="仿宋"/>
          <w:color w:val="000000"/>
          <w:sz w:val="32"/>
        </w:rPr>
        <w:t>万元</w:t>
      </w:r>
      <w:r>
        <w:rPr>
          <w:rFonts w:ascii="仿宋" w:eastAsia="仿宋" w:cs="仿宋" w:hAnsi="仿宋" w:hint="eastAsia"/>
          <w:color w:val="000000"/>
          <w:sz w:val="32"/>
        </w:rPr>
        <w:t>，</w:t>
      </w:r>
      <w:r>
        <w:rPr>
          <w:rFonts w:ascii="仿宋" w:eastAsia="仿宋" w:cs="仿宋" w:hAnsi="仿宋"/>
          <w:color w:val="000000"/>
          <w:sz w:val="32"/>
        </w:rPr>
        <w:t>增长</w:t>
      </w:r>
      <w:r>
        <w:rPr>
          <w:rFonts w:ascii="仿宋" w:eastAsia="仿宋" w:cs="仿宋" w:hAnsi="仿宋" w:hint="eastAsia"/>
          <w:color w:val="000000"/>
          <w:sz w:val="32"/>
        </w:rPr>
        <w:t>111.63</w:t>
      </w:r>
      <w:r>
        <w:rPr>
          <w:rFonts w:ascii="仿宋" w:eastAsia="仿宋" w:cs="仿宋" w:hAnsi="仿宋"/>
          <w:color w:val="000000"/>
          <w:sz w:val="32"/>
        </w:rPr>
        <w:t>%</w:t>
      </w:r>
      <w:r>
        <w:rPr>
          <w:rFonts w:ascii="仿宋" w:eastAsia="仿宋" w:cs="仿宋" w:hAnsi="仿宋" w:hint="eastAsia"/>
          <w:color w:val="000000"/>
          <w:sz w:val="32"/>
        </w:rPr>
        <w:t>；</w:t>
      </w:r>
      <w:r>
        <w:rPr>
          <w:rFonts w:ascii="仿宋" w:eastAsia="仿宋" w:cs="仿宋" w:hAnsi="仿宋"/>
          <w:color w:val="000000"/>
          <w:sz w:val="32"/>
        </w:rPr>
        <w:t>财政拨款</w:t>
      </w:r>
      <w:r>
        <w:rPr>
          <w:rFonts w:ascii="仿宋" w:eastAsia="仿宋" w:cs="仿宋" w:hAnsi="仿宋" w:hint="eastAsia"/>
          <w:color w:val="000000"/>
          <w:sz w:val="32"/>
        </w:rPr>
        <w:t>支出增加221.36万元，</w:t>
      </w:r>
      <w:r>
        <w:rPr>
          <w:rFonts w:ascii="仿宋" w:eastAsia="仿宋" w:cs="仿宋" w:hAnsi="仿宋"/>
          <w:color w:val="000000"/>
          <w:sz w:val="32"/>
        </w:rPr>
        <w:t>增长</w:t>
      </w:r>
      <w:r>
        <w:rPr>
          <w:rFonts w:ascii="仿宋" w:eastAsia="仿宋" w:cs="仿宋" w:hAnsi="仿宋" w:hint="eastAsia"/>
          <w:color w:val="000000"/>
          <w:sz w:val="32"/>
        </w:rPr>
        <w:t>7.44</w:t>
      </w:r>
      <w:r>
        <w:rPr>
          <w:rFonts w:ascii="仿宋" w:eastAsia="仿宋" w:cs="仿宋" w:hAnsi="仿宋"/>
          <w:color w:val="000000"/>
          <w:sz w:val="32"/>
        </w:rPr>
        <w:t>%</w:t>
      </w:r>
      <w:r>
        <w:rPr>
          <w:rFonts w:ascii="仿宋" w:eastAsia="仿宋" w:cs="仿宋" w:hAnsi="仿宋" w:hint="eastAsia"/>
          <w:color w:val="000000"/>
          <w:sz w:val="32"/>
        </w:rPr>
        <w:t>、</w:t>
      </w:r>
      <w:r>
        <w:rPr>
          <w:rFonts w:ascii="仿宋" w:eastAsia="仿宋" w:cs="仿宋" w:hAnsi="仿宋"/>
          <w:color w:val="000000"/>
          <w:sz w:val="32"/>
        </w:rPr>
        <w:t>。主要变动原因是</w:t>
      </w:r>
      <w:r>
        <w:rPr>
          <w:rFonts w:ascii="仿宋" w:eastAsia="仿宋" w:cs="仿宋" w:hAnsi="仿宋" w:hint="eastAsia"/>
          <w:color w:val="000000"/>
          <w:sz w:val="32"/>
        </w:rPr>
        <w:t>2018年专项收支增加（主要包括餐厨垃圾收运处置项目、城市扬尘整治降尘设施设备采购项目、城区环境保护清扫保洁及洒水降尘设备采购项目、调整临聘人员工资标准等项目）。</w:t>
      </w:r>
    </w:p>
    <w:p>
      <w:pPr>
        <w:spacing w:line="600" w:lineRule="auto"/>
        <w:ind w:firstLineChars="200" w:firstLine="640"/>
        <w:rPr>
          <w:rFonts w:ascii="仿宋" w:eastAsia="仿宋" w:cs="仿宋" w:hAnsi="仿宋"/>
          <w:color w:val="000000"/>
          <w:sz w:val="32"/>
        </w:rPr>
      </w:pPr>
      <w:r>
        <w:rPr>
          <w:rFonts w:ascii="仿宋" w:eastAsia="仿宋" w:cs="仿宋" w:hAnsi="仿宋"/>
          <w:color w:val="000000"/>
          <w:sz w:val="32"/>
        </w:rPr>
        <w:drawing>
          <wp:inline distT="0" distB="0" distL="0" distR="0">
            <wp:extent cx="4561495" cy="2555193"/>
            <wp:effectExtent l="0" t="0" r="0" b="0"/>
            <wp:docPr id="4" name="图表 5"/>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auto"/>
        <w:ind w:firstLine="640"/>
        <w:rPr>
          <w:rFonts w:ascii="黑体" w:eastAsia="黑体" w:cs="黑体" w:hAnsi="黑体"/>
          <w:sz w:val="32"/>
        </w:rPr>
      </w:pPr>
      <w:r>
        <w:rPr>
          <w:rFonts w:ascii="黑体" w:eastAsia="黑体" w:cs="黑体" w:hAnsi="黑体"/>
          <w:color w:val="000000"/>
          <w:sz w:val="32"/>
        </w:rPr>
        <w:t>五、</w:t>
      </w:r>
      <w:r>
        <w:rPr>
          <w:rFonts w:ascii="黑体" w:eastAsia="黑体" w:cs="黑体" w:hAnsi="黑体"/>
          <w:b/>
          <w:color w:val="000000"/>
          <w:sz w:val="32"/>
        </w:rPr>
        <w:t>一</w:t>
      </w:r>
      <w:r>
        <w:rPr>
          <w:rFonts w:ascii="黑体" w:eastAsia="黑体" w:cs="黑体" w:hAnsi="黑体"/>
          <w:sz w:val="32"/>
        </w:rPr>
        <w:t>般公共预算财政拨款支出决算情况说明</w:t>
      </w:r>
    </w:p>
    <w:p>
      <w:pPr>
        <w:spacing w:line="600" w:lineRule="auto"/>
        <w:ind w:firstLine="643"/>
        <w:rPr>
          <w:rFonts w:ascii="仿宋" w:eastAsia="仿宋" w:cs="仿宋" w:hAnsi="仿宋"/>
          <w:b/>
          <w:color w:val="000000"/>
          <w:sz w:val="32"/>
        </w:rPr>
      </w:pPr>
      <w:r>
        <w:rPr>
          <w:rFonts w:ascii="仿宋" w:eastAsia="仿宋" w:cs="仿宋" w:hAnsi="仿宋"/>
          <w:b/>
          <w:color w:val="000000"/>
          <w:sz w:val="32"/>
        </w:rPr>
        <w:t>（一）一般公共预算财政拨款支出决算总体情况</w:t>
      </w:r>
    </w:p>
    <w:p>
      <w:pPr>
        <w:spacing w:line="600" w:lineRule="auto"/>
        <w:ind w:firstLine="640"/>
        <w:rPr>
          <w:rFonts w:ascii="仿宋" w:eastAsia="仿宋" w:cs="仿宋" w:hAnsi="仿宋"/>
          <w:color w:val="000000"/>
          <w:sz w:val="32"/>
        </w:rPr>
      </w:pPr>
      <w:r>
        <w:rPr>
          <w:rFonts w:ascii="仿宋" w:eastAsia="仿宋" w:cs="仿宋" w:hAnsi="仿宋"/>
          <w:color w:val="000000"/>
          <w:sz w:val="32"/>
        </w:rPr>
        <w:t>2018年一般公共预算财政拨款支出</w:t>
      </w:r>
      <w:r>
        <w:rPr>
          <w:rFonts w:ascii="仿宋" w:eastAsia="仿宋" w:cs="仿宋" w:hAnsi="仿宋" w:hint="eastAsia"/>
          <w:color w:val="000000"/>
          <w:sz w:val="32"/>
        </w:rPr>
        <w:t>3197.76</w:t>
      </w:r>
      <w:r>
        <w:rPr>
          <w:rFonts w:ascii="仿宋" w:eastAsia="仿宋" w:cs="仿宋" w:hAnsi="仿宋"/>
          <w:color w:val="000000"/>
          <w:sz w:val="32"/>
        </w:rPr>
        <w:t>万元，占本年支出合计的</w:t>
      </w:r>
      <w:r>
        <w:rPr>
          <w:rFonts w:ascii="仿宋" w:eastAsia="仿宋" w:cs="仿宋" w:hAnsi="仿宋" w:hint="eastAsia"/>
          <w:color w:val="000000"/>
          <w:sz w:val="32"/>
        </w:rPr>
        <w:t>100</w:t>
      </w:r>
      <w:r>
        <w:rPr>
          <w:rFonts w:ascii="仿宋" w:eastAsia="仿宋" w:cs="仿宋" w:hAnsi="仿宋"/>
          <w:color w:val="000000"/>
          <w:sz w:val="32"/>
        </w:rPr>
        <w:t>%。与2017年相比，一般公共预算财政拨款</w:t>
      </w:r>
      <w:r>
        <w:rPr>
          <w:rFonts w:ascii="仿宋" w:eastAsia="仿宋" w:cs="仿宋" w:hAnsi="仿宋" w:hint="eastAsia"/>
          <w:color w:val="000000"/>
          <w:sz w:val="32"/>
        </w:rPr>
        <w:t>支出</w:t>
      </w:r>
      <w:r>
        <w:rPr>
          <w:rFonts w:ascii="仿宋" w:eastAsia="仿宋" w:cs="仿宋" w:hAnsi="仿宋"/>
          <w:color w:val="000000"/>
          <w:sz w:val="32"/>
        </w:rPr>
        <w:t>增加</w:t>
      </w:r>
      <w:r>
        <w:rPr>
          <w:rFonts w:ascii="仿宋" w:eastAsia="仿宋" w:cs="仿宋" w:hAnsi="仿宋" w:hint="eastAsia"/>
          <w:color w:val="000000"/>
          <w:sz w:val="32"/>
        </w:rPr>
        <w:t>312.36</w:t>
      </w:r>
      <w:r>
        <w:rPr>
          <w:rFonts w:ascii="仿宋" w:eastAsia="仿宋" w:cs="仿宋" w:hAnsi="仿宋"/>
          <w:color w:val="000000"/>
          <w:sz w:val="32"/>
        </w:rPr>
        <w:t>万元，增长</w:t>
      </w:r>
      <w:r>
        <w:rPr>
          <w:rFonts w:ascii="仿宋" w:eastAsia="仿宋" w:cs="仿宋" w:hAnsi="仿宋" w:hint="eastAsia"/>
          <w:color w:val="000000"/>
          <w:sz w:val="32"/>
        </w:rPr>
        <w:t>10.83</w:t>
      </w:r>
      <w:r>
        <w:rPr>
          <w:rFonts w:ascii="仿宋" w:eastAsia="仿宋" w:cs="仿宋" w:hAnsi="仿宋"/>
          <w:color w:val="000000"/>
          <w:sz w:val="32"/>
        </w:rPr>
        <w:t>%。主要变动原因是</w:t>
      </w:r>
      <w:r>
        <w:rPr>
          <w:rFonts w:ascii="仿宋" w:eastAsia="仿宋" w:cs="仿宋" w:hAnsi="仿宋" w:hint="eastAsia"/>
          <w:color w:val="000000"/>
          <w:sz w:val="32"/>
        </w:rPr>
        <w:t>2018年度项目数量增加，专项支出增加。</w:t>
      </w:r>
    </w:p>
    <w:p>
      <w:pPr>
        <w:spacing w:line="600" w:lineRule="auto"/>
        <w:ind w:firstLine="640"/>
        <w:rPr>
          <w:rFonts w:ascii="仿宋" w:eastAsia="仿宋" w:cs="仿宋" w:hAnsi="仿宋"/>
          <w:color w:val="000000"/>
          <w:sz w:val="32"/>
        </w:rPr>
      </w:pPr>
      <w:r>
        <w:rPr>
          <w:rFonts w:ascii="仿宋" w:eastAsia="仿宋" w:cs="仿宋" w:hAnsi="仿宋"/>
          <w:color w:val="000000"/>
          <w:sz w:val="32"/>
        </w:rPr>
        <w:drawing>
          <wp:inline distT="0" distB="0" distL="0" distR="0">
            <wp:extent cx="4561495" cy="2768837"/>
            <wp:effectExtent l="0" t="0" r="0" b="0"/>
            <wp:docPr id="5" name="图表 6"/>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auto"/>
        <w:ind w:firstLine="643"/>
        <w:rPr>
          <w:rFonts w:ascii="仿宋" w:eastAsia="仿宋" w:cs="仿宋" w:hAnsi="仿宋"/>
          <w:b/>
          <w:color w:val="000000"/>
          <w:sz w:val="32"/>
        </w:rPr>
      </w:pPr>
      <w:r>
        <w:rPr>
          <w:rFonts w:ascii="仿宋" w:eastAsia="仿宋" w:cs="仿宋" w:hAnsi="仿宋"/>
          <w:b/>
          <w:color w:val="000000"/>
          <w:sz w:val="32"/>
        </w:rPr>
        <w:t>（二）一般公共预算财政拨款支出决算结构情况</w:t>
      </w:r>
    </w:p>
    <w:p>
      <w:pPr>
        <w:spacing w:line="600" w:lineRule="auto"/>
        <w:ind w:firstLine="640"/>
        <w:rPr>
          <w:rFonts w:ascii="仿宋" w:eastAsia="仿宋" w:cs="仿宋" w:hAnsi="仿宋"/>
          <w:color w:val="000000"/>
          <w:sz w:val="32"/>
        </w:rPr>
      </w:pPr>
      <w:r>
        <w:rPr>
          <w:rFonts w:ascii="仿宋" w:eastAsia="仿宋" w:cs="仿宋" w:hAnsi="仿宋"/>
          <w:color w:val="000000"/>
          <w:sz w:val="32"/>
        </w:rPr>
        <w:t>2018年一般公共预算财政拨款支出</w:t>
      </w:r>
      <w:r>
        <w:rPr>
          <w:rFonts w:ascii="仿宋" w:eastAsia="仿宋" w:cs="仿宋" w:hAnsi="仿宋" w:hint="eastAsia"/>
          <w:color w:val="000000"/>
          <w:sz w:val="32"/>
        </w:rPr>
        <w:t>3197.76</w:t>
      </w:r>
      <w:r>
        <w:rPr>
          <w:rFonts w:ascii="仿宋" w:eastAsia="仿宋" w:cs="仿宋" w:hAnsi="仿宋"/>
          <w:color w:val="000000"/>
          <w:sz w:val="32"/>
        </w:rPr>
        <w:t>万元，主要用于以下方面:</w:t>
      </w:r>
      <w:r>
        <w:rPr>
          <w:rFonts w:ascii="仿宋" w:eastAsia="仿宋" w:cs="仿宋" w:hAnsi="仿宋"/>
          <w:b/>
          <w:color w:val="000000"/>
          <w:sz w:val="32"/>
        </w:rPr>
        <w:t>社会保障和就业支出</w:t>
      </w:r>
      <w:r>
        <w:rPr>
          <w:rFonts w:ascii="仿宋" w:eastAsia="仿宋" w:cs="仿宋" w:hAnsi="仿宋" w:hint="eastAsia"/>
          <w:color w:val="000000"/>
          <w:sz w:val="32"/>
        </w:rPr>
        <w:t>159.07</w:t>
      </w:r>
      <w:r>
        <w:rPr>
          <w:rFonts w:ascii="仿宋" w:eastAsia="仿宋" w:cs="仿宋" w:hAnsi="仿宋"/>
          <w:color w:val="000000"/>
          <w:sz w:val="32"/>
        </w:rPr>
        <w:t>万元，占</w:t>
      </w:r>
      <w:r>
        <w:rPr>
          <w:rFonts w:ascii="仿宋" w:eastAsia="仿宋" w:cs="仿宋" w:hAnsi="仿宋" w:hint="eastAsia"/>
          <w:color w:val="000000"/>
          <w:sz w:val="32"/>
        </w:rPr>
        <w:t>4.97</w:t>
      </w:r>
      <w:r>
        <w:rPr>
          <w:rFonts w:ascii="仿宋" w:eastAsia="仿宋" w:cs="仿宋" w:hAnsi="仿宋"/>
          <w:color w:val="000000"/>
          <w:sz w:val="32"/>
        </w:rPr>
        <w:t>%；</w:t>
      </w:r>
      <w:r>
        <w:rPr>
          <w:rFonts w:ascii="仿宋" w:eastAsia="仿宋" w:cs="仿宋" w:hAnsi="仿宋"/>
          <w:b/>
          <w:color w:val="000000"/>
          <w:sz w:val="32"/>
        </w:rPr>
        <w:t>医疗卫生</w:t>
      </w:r>
      <w:r>
        <w:rPr>
          <w:rFonts w:ascii="仿宋" w:eastAsia="仿宋" w:cs="仿宋" w:hAnsi="仿宋" w:hint="eastAsia"/>
          <w:b/>
          <w:color w:val="000000"/>
          <w:sz w:val="32"/>
        </w:rPr>
        <w:t>与计划生育</w:t>
      </w:r>
      <w:r>
        <w:rPr>
          <w:rFonts w:ascii="仿宋" w:eastAsia="仿宋" w:cs="仿宋" w:hAnsi="仿宋"/>
          <w:b/>
          <w:color w:val="000000"/>
          <w:sz w:val="32"/>
        </w:rPr>
        <w:t>支出</w:t>
      </w:r>
      <w:r>
        <w:rPr>
          <w:rFonts w:ascii="仿宋" w:eastAsia="仿宋" w:cs="仿宋" w:hAnsi="仿宋" w:hint="eastAsia"/>
          <w:color w:val="000000"/>
          <w:sz w:val="32"/>
        </w:rPr>
        <w:t>60.14</w:t>
      </w:r>
      <w:r>
        <w:rPr>
          <w:rFonts w:ascii="仿宋" w:eastAsia="仿宋" w:cs="仿宋" w:hAnsi="仿宋"/>
          <w:color w:val="000000"/>
          <w:sz w:val="32"/>
        </w:rPr>
        <w:t>万元，占</w:t>
      </w:r>
      <w:r>
        <w:rPr>
          <w:rFonts w:ascii="仿宋" w:eastAsia="仿宋" w:cs="仿宋" w:hAnsi="仿宋" w:hint="eastAsia"/>
          <w:color w:val="000000"/>
          <w:sz w:val="32"/>
        </w:rPr>
        <w:t>1.88</w:t>
      </w:r>
      <w:r>
        <w:rPr>
          <w:rFonts w:ascii="仿宋" w:eastAsia="仿宋" w:cs="仿宋" w:hAnsi="仿宋"/>
          <w:color w:val="000000"/>
          <w:sz w:val="32"/>
        </w:rPr>
        <w:t>%；</w:t>
      </w:r>
      <w:r>
        <w:rPr>
          <w:rFonts w:ascii="仿宋" w:eastAsia="仿宋" w:cs="仿宋" w:hAnsi="仿宋" w:hint="eastAsia"/>
          <w:b/>
          <w:color w:val="000000"/>
          <w:sz w:val="32"/>
        </w:rPr>
        <w:t>节能环保支出</w:t>
      </w:r>
      <w:r>
        <w:rPr>
          <w:rFonts w:ascii="仿宋" w:eastAsia="仿宋" w:cs="仿宋" w:hAnsi="仿宋" w:hint="eastAsia"/>
          <w:color w:val="000000"/>
          <w:sz w:val="32"/>
        </w:rPr>
        <w:t>333.28万元，占10.42%；</w:t>
      </w:r>
      <w:r>
        <w:rPr>
          <w:rFonts w:ascii="仿宋" w:eastAsia="仿宋" w:cs="仿宋" w:hAnsi="仿宋" w:hint="eastAsia"/>
          <w:b/>
          <w:color w:val="000000"/>
          <w:sz w:val="32"/>
        </w:rPr>
        <w:t>城乡社区支出</w:t>
      </w:r>
      <w:r>
        <w:rPr>
          <w:rFonts w:ascii="仿宋" w:eastAsia="仿宋" w:cs="仿宋" w:hAnsi="仿宋" w:hint="eastAsia"/>
          <w:color w:val="000000"/>
          <w:sz w:val="32"/>
        </w:rPr>
        <w:t>2501.1万元，占78.22%；</w:t>
      </w:r>
      <w:r>
        <w:rPr>
          <w:rFonts w:ascii="仿宋" w:eastAsia="仿宋" w:cs="仿宋" w:hAnsi="仿宋" w:hint="eastAsia"/>
          <w:b/>
          <w:color w:val="000000"/>
          <w:sz w:val="32"/>
        </w:rPr>
        <w:t>农林水支出</w:t>
      </w:r>
      <w:r>
        <w:rPr>
          <w:rFonts w:ascii="仿宋" w:eastAsia="仿宋" w:cs="仿宋" w:hAnsi="仿宋" w:hint="eastAsia"/>
          <w:color w:val="000000"/>
          <w:sz w:val="32"/>
        </w:rPr>
        <w:t>0.49万元，占0.02%；</w:t>
      </w:r>
      <w:r>
        <w:rPr>
          <w:rFonts w:ascii="仿宋" w:eastAsia="仿宋" w:cs="仿宋" w:hAnsi="仿宋"/>
          <w:b/>
          <w:color w:val="000000"/>
          <w:sz w:val="32"/>
        </w:rPr>
        <w:t>住房保障支出</w:t>
      </w:r>
      <w:r>
        <w:rPr>
          <w:rFonts w:ascii="仿宋" w:eastAsia="仿宋" w:cs="仿宋" w:hAnsi="仿宋" w:hint="eastAsia"/>
          <w:color w:val="000000"/>
          <w:sz w:val="32"/>
        </w:rPr>
        <w:t>73.67</w:t>
      </w:r>
      <w:r>
        <w:rPr>
          <w:rFonts w:ascii="仿宋" w:eastAsia="仿宋" w:cs="仿宋" w:hAnsi="仿宋"/>
          <w:color w:val="000000"/>
          <w:sz w:val="32"/>
        </w:rPr>
        <w:t>万元，占</w:t>
      </w:r>
      <w:r>
        <w:rPr>
          <w:rFonts w:ascii="仿宋" w:eastAsia="仿宋" w:cs="仿宋" w:hAnsi="仿宋" w:hint="eastAsia"/>
          <w:color w:val="000000"/>
          <w:sz w:val="32"/>
        </w:rPr>
        <w:t>2.30</w:t>
      </w:r>
      <w:r>
        <w:rPr>
          <w:rFonts w:ascii="仿宋" w:eastAsia="仿宋" w:cs="仿宋" w:hAnsi="仿宋"/>
          <w:color w:val="000000"/>
          <w:sz w:val="32"/>
        </w:rPr>
        <w:t>%；</w:t>
      </w:r>
      <w:r>
        <w:rPr>
          <w:rFonts w:ascii="仿宋" w:eastAsia="仿宋" w:cs="仿宋" w:hAnsi="仿宋" w:hint="eastAsia"/>
          <w:b/>
          <w:color w:val="000000"/>
          <w:sz w:val="32"/>
        </w:rPr>
        <w:t>其他支出</w:t>
      </w:r>
      <w:r>
        <w:rPr>
          <w:rFonts w:ascii="仿宋" w:eastAsia="仿宋" w:cs="仿宋" w:hAnsi="仿宋" w:hint="eastAsia"/>
          <w:color w:val="000000"/>
          <w:sz w:val="32"/>
        </w:rPr>
        <w:t>70.01万元，占2.19%</w:t>
      </w:r>
      <w:r>
        <w:rPr>
          <w:rFonts w:ascii="仿宋" w:eastAsia="仿宋" w:cs="仿宋" w:hAnsi="仿宋"/>
          <w:color w:val="000000"/>
          <w:sz w:val="32"/>
        </w:rPr>
        <w:t>。</w:t>
      </w:r>
    </w:p>
    <w:p>
      <w:pPr>
        <w:spacing w:line="600" w:lineRule="auto"/>
        <w:ind w:firstLine="640"/>
        <w:rPr>
          <w:rFonts w:ascii="仿宋" w:eastAsia="仿宋" w:cs="仿宋" w:hAnsi="仿宋"/>
          <w:b/>
          <w:color w:val="000000"/>
          <w:sz w:val="32"/>
        </w:rPr>
      </w:pPr>
      <w:r>
        <w:rPr>
          <w:rFonts w:ascii="仿宋" w:eastAsia="仿宋" w:cs="仿宋" w:hAnsi="仿宋" w:hint="eastAsia"/>
          <w:b/>
          <w:color w:val="000000"/>
          <w:sz w:val="32"/>
        </w:rPr>
        <w:drawing>
          <wp:inline distT="0" distB="0" distL="0" distR="0">
            <wp:extent cx="4542790" cy="3324314"/>
            <wp:effectExtent l="0" t="0" r="0" b="0"/>
            <wp:docPr id="6" name="图表 7"/>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auto"/>
        <w:ind w:firstLine="643"/>
        <w:rPr>
          <w:rFonts w:ascii="仿宋" w:eastAsia="仿宋" w:cs="仿宋" w:hAnsi="仿宋"/>
          <w:b/>
          <w:color w:val="000000"/>
          <w:sz w:val="32"/>
        </w:rPr>
      </w:pPr>
      <w:r>
        <w:rPr>
          <w:rFonts w:ascii="仿宋" w:eastAsia="仿宋" w:cs="仿宋" w:hAnsi="仿宋"/>
          <w:b/>
          <w:color w:val="000000"/>
          <w:sz w:val="32"/>
        </w:rPr>
        <w:t>（三）一般公共预算财政拨款支出决算具体情况</w:t>
      </w:r>
    </w:p>
    <w:p>
      <w:pPr>
        <w:spacing w:line="600" w:lineRule="auto"/>
        <w:ind w:firstLine="643"/>
        <w:rPr>
          <w:rFonts w:ascii="仿宋" w:eastAsia="仿宋" w:cs="仿宋" w:hAnsi="仿宋"/>
          <w:color w:val="FF0000"/>
          <w:sz w:val="32"/>
        </w:rPr>
      </w:pPr>
      <w:r>
        <w:rPr>
          <w:rFonts w:ascii="仿宋" w:eastAsia="仿宋" w:cs="仿宋" w:hAnsi="仿宋"/>
          <w:color w:val="000000"/>
          <w:sz w:val="32"/>
        </w:rPr>
        <w:t>2018年</w:t>
      </w:r>
      <w:r>
        <w:rPr>
          <w:rFonts w:ascii="仿宋" w:eastAsia="仿宋" w:cs="仿宋" w:hAnsi="仿宋" w:hint="eastAsia"/>
          <w:color w:val="000000"/>
          <w:sz w:val="32"/>
        </w:rPr>
        <w:t>一</w:t>
      </w:r>
      <w:r>
        <w:rPr>
          <w:rFonts w:ascii="仿宋" w:eastAsia="仿宋" w:cs="仿宋" w:hAnsi="仿宋"/>
          <w:color w:val="000000"/>
          <w:sz w:val="32"/>
        </w:rPr>
        <w:t>般公共预算支出决算数为</w:t>
      </w:r>
      <w:r>
        <w:rPr>
          <w:rFonts w:ascii="仿宋" w:eastAsia="仿宋" w:cs="仿宋" w:hAnsi="仿宋" w:hint="eastAsia"/>
          <w:color w:val="000000"/>
          <w:sz w:val="32"/>
        </w:rPr>
        <w:t>3197.76万元</w:t>
      </w:r>
      <w:r>
        <w:rPr>
          <w:rFonts w:ascii="仿宋" w:eastAsia="仿宋" w:cs="仿宋" w:hAnsi="仿宋"/>
          <w:color w:val="000000"/>
          <w:sz w:val="32"/>
        </w:rPr>
        <w:t>，完成预算</w:t>
      </w:r>
      <w:r>
        <w:rPr>
          <w:rFonts w:ascii="仿宋" w:eastAsia="仿宋" w:cs="仿宋" w:hAnsi="仿宋" w:hint="eastAsia"/>
          <w:color w:val="000000"/>
          <w:sz w:val="32"/>
        </w:rPr>
        <w:t>50.07</w:t>
      </w:r>
      <w:r>
        <w:rPr>
          <w:rFonts w:ascii="仿宋" w:eastAsia="仿宋" w:cs="仿宋" w:hAnsi="仿宋"/>
          <w:color w:val="000000"/>
          <w:sz w:val="32"/>
        </w:rPr>
        <w:t>%。其中：</w:t>
      </w:r>
    </w:p>
    <w:p>
      <w:pPr>
        <w:spacing w:line="600" w:lineRule="auto"/>
        <w:ind w:firstLine="643"/>
        <w:rPr>
          <w:rFonts w:ascii="仿宋" w:eastAsia="仿宋" w:cs="仿宋" w:hAnsi="仿宋"/>
          <w:color w:val="000000"/>
          <w:sz w:val="32"/>
        </w:rPr>
      </w:pPr>
      <w:r>
        <w:rPr>
          <w:rFonts w:ascii="仿宋" w:eastAsia="仿宋" w:cs="仿宋" w:hAnsi="仿宋" w:hint="eastAsia"/>
          <w:b/>
          <w:color w:val="000000"/>
          <w:sz w:val="32"/>
        </w:rPr>
        <w:t>1</w:t>
      </w:r>
      <w:r>
        <w:rPr>
          <w:rFonts w:ascii="仿宋" w:eastAsia="仿宋" w:cs="仿宋" w:hAnsi="仿宋"/>
          <w:b/>
          <w:color w:val="000000"/>
          <w:sz w:val="32"/>
        </w:rPr>
        <w:t>.社会保障和就业</w:t>
      </w:r>
      <w:r>
        <w:rPr>
          <w:rFonts w:ascii="仿宋" w:eastAsia="仿宋" w:cs="仿宋" w:hAnsi="仿宋" w:hint="eastAsia"/>
          <w:b/>
          <w:color w:val="000000"/>
          <w:sz w:val="32"/>
        </w:rPr>
        <w:t>支出</w:t>
      </w:r>
      <w:r>
        <w:rPr>
          <w:rFonts w:ascii="仿宋" w:eastAsia="仿宋" w:cs="仿宋" w:hAnsi="仿宋"/>
          <w:b/>
          <w:color w:val="000000"/>
          <w:sz w:val="32"/>
        </w:rPr>
        <w:t>（类）</w:t>
      </w:r>
      <w:r>
        <w:rPr>
          <w:rFonts w:ascii="仿宋" w:eastAsia="仿宋" w:cs="仿宋" w:hAnsi="仿宋" w:hint="eastAsia"/>
          <w:b/>
          <w:color w:val="000000"/>
          <w:sz w:val="32"/>
        </w:rPr>
        <w:t>行政事业单位离退休</w:t>
      </w:r>
      <w:r>
        <w:rPr>
          <w:rFonts w:ascii="仿宋" w:eastAsia="仿宋" w:cs="仿宋" w:hAnsi="仿宋"/>
          <w:b/>
          <w:color w:val="000000"/>
          <w:sz w:val="32"/>
        </w:rPr>
        <w:t>（款）</w:t>
      </w:r>
      <w:r>
        <w:rPr>
          <w:rFonts w:ascii="仿宋" w:eastAsia="仿宋" w:cs="仿宋" w:hAnsi="仿宋" w:hint="eastAsia"/>
          <w:b/>
          <w:color w:val="000000"/>
          <w:sz w:val="32"/>
        </w:rPr>
        <w:t>机关事业单位基本养老保险缴费支出</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122.77</w:t>
      </w:r>
      <w:r>
        <w:rPr>
          <w:rFonts w:ascii="仿宋" w:eastAsia="仿宋" w:cs="仿宋" w:hAnsi="仿宋"/>
          <w:color w:val="000000"/>
          <w:sz w:val="32"/>
        </w:rPr>
        <w:t>万元，完成预算</w:t>
      </w:r>
      <w:r>
        <w:rPr>
          <w:rFonts w:ascii="仿宋" w:eastAsia="仿宋" w:cs="仿宋" w:hAnsi="仿宋" w:hint="eastAsia"/>
          <w:color w:val="000000"/>
          <w:sz w:val="32"/>
        </w:rPr>
        <w:t>97.04</w:t>
      </w:r>
      <w:r>
        <w:rPr>
          <w:rFonts w:ascii="仿宋" w:eastAsia="仿宋" w:cs="仿宋" w:hAnsi="仿宋"/>
          <w:color w:val="000000"/>
          <w:sz w:val="32"/>
        </w:rPr>
        <w:t>%，决算数小于预算数的主要原因是</w:t>
      </w:r>
      <w:r>
        <w:rPr>
          <w:rFonts w:ascii="仿宋" w:eastAsia="仿宋" w:cs="仿宋" w:hAnsi="仿宋" w:hint="eastAsia"/>
          <w:color w:val="000000"/>
          <w:sz w:val="32"/>
        </w:rPr>
        <w:t>单位在职人员退休、死亡等；</w:t>
      </w:r>
    </w:p>
    <w:p>
      <w:pPr>
        <w:spacing w:line="600" w:lineRule="auto"/>
        <w:ind w:firstLine="643"/>
        <w:rPr>
          <w:rFonts w:ascii="仿宋" w:eastAsia="仿宋" w:cs="仿宋" w:hAnsi="仿宋"/>
          <w:b/>
          <w:color w:val="000000"/>
          <w:sz w:val="32"/>
        </w:rPr>
      </w:pPr>
      <w:r>
        <w:rPr>
          <w:rFonts w:ascii="仿宋" w:eastAsia="仿宋" w:cs="仿宋" w:hAnsi="仿宋"/>
          <w:b/>
          <w:color w:val="000000"/>
          <w:sz w:val="32"/>
        </w:rPr>
        <w:t>社会保障和就业</w:t>
      </w:r>
      <w:r>
        <w:rPr>
          <w:rFonts w:ascii="仿宋" w:eastAsia="仿宋" w:cs="仿宋" w:hAnsi="仿宋" w:hint="eastAsia"/>
          <w:b/>
          <w:color w:val="000000"/>
          <w:sz w:val="32"/>
        </w:rPr>
        <w:t>支出</w:t>
      </w:r>
      <w:r>
        <w:rPr>
          <w:rFonts w:ascii="仿宋" w:eastAsia="仿宋" w:cs="仿宋" w:hAnsi="仿宋"/>
          <w:b/>
          <w:color w:val="000000"/>
          <w:sz w:val="32"/>
        </w:rPr>
        <w:t>（类）</w:t>
      </w:r>
      <w:r>
        <w:rPr>
          <w:rFonts w:ascii="仿宋" w:eastAsia="仿宋" w:cs="仿宋" w:hAnsi="仿宋" w:hint="eastAsia"/>
          <w:b/>
          <w:color w:val="000000"/>
          <w:sz w:val="32"/>
        </w:rPr>
        <w:t>行政事业单位离退休</w:t>
      </w:r>
      <w:r>
        <w:rPr>
          <w:rFonts w:ascii="仿宋" w:eastAsia="仿宋" w:cs="仿宋" w:hAnsi="仿宋"/>
          <w:b/>
          <w:color w:val="000000"/>
          <w:sz w:val="32"/>
        </w:rPr>
        <w:t>（款）</w:t>
      </w:r>
      <w:r>
        <w:rPr>
          <w:rFonts w:ascii="仿宋" w:eastAsia="仿宋" w:cs="仿宋" w:hAnsi="仿宋" w:hint="eastAsia"/>
          <w:b/>
          <w:color w:val="000000"/>
          <w:sz w:val="32"/>
        </w:rPr>
        <w:t>机关事业单位职业年金缴费支出</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20.06</w:t>
      </w:r>
      <w:r>
        <w:rPr>
          <w:rFonts w:ascii="仿宋" w:eastAsia="仿宋" w:cs="仿宋" w:hAnsi="仿宋"/>
          <w:color w:val="000000"/>
          <w:sz w:val="32"/>
        </w:rPr>
        <w:t>万元，完成预算</w:t>
      </w:r>
      <w:r>
        <w:rPr>
          <w:rFonts w:ascii="仿宋" w:eastAsia="仿宋" w:cs="仿宋" w:hAnsi="仿宋" w:hint="eastAsia"/>
          <w:color w:val="000000"/>
          <w:sz w:val="32"/>
        </w:rPr>
        <w:t>100</w:t>
      </w:r>
      <w:r>
        <w:rPr>
          <w:rFonts w:ascii="仿宋" w:eastAsia="仿宋" w:cs="仿宋" w:hAnsi="仿宋"/>
          <w:color w:val="000000"/>
          <w:sz w:val="32"/>
        </w:rPr>
        <w:t>%</w:t>
      </w:r>
      <w:r>
        <w:rPr>
          <w:rFonts w:ascii="仿宋" w:eastAsia="仿宋" w:cs="仿宋" w:hAnsi="仿宋" w:hint="eastAsia"/>
          <w:color w:val="000000"/>
          <w:sz w:val="32"/>
        </w:rPr>
        <w:t>；</w:t>
      </w:r>
      <w:r>
        <w:rPr>
          <w:rFonts w:ascii="仿宋" w:eastAsia="仿宋" w:cs="仿宋" w:hAnsi="仿宋"/>
          <w:b/>
          <w:color w:val="000000"/>
          <w:sz w:val="32"/>
        </w:rPr>
        <w:t xml:space="preserve"> </w:t>
      </w:r>
    </w:p>
    <w:p>
      <w:pPr>
        <w:spacing w:line="600" w:lineRule="auto"/>
        <w:ind w:firstLine="643"/>
        <w:rPr>
          <w:rFonts w:ascii="仿宋" w:eastAsia="仿宋" w:cs="仿宋" w:hAnsi="仿宋"/>
          <w:b/>
          <w:color w:val="000000"/>
          <w:sz w:val="32"/>
        </w:rPr>
      </w:pPr>
      <w:r>
        <w:rPr>
          <w:rFonts w:ascii="仿宋" w:eastAsia="仿宋" w:cs="仿宋" w:hAnsi="仿宋"/>
          <w:b/>
          <w:color w:val="000000"/>
          <w:sz w:val="32"/>
        </w:rPr>
        <w:t>社会保障和就业</w:t>
      </w:r>
      <w:r>
        <w:rPr>
          <w:rFonts w:ascii="仿宋" w:eastAsia="仿宋" w:cs="仿宋" w:hAnsi="仿宋" w:hint="eastAsia"/>
          <w:b/>
          <w:color w:val="000000"/>
          <w:sz w:val="32"/>
        </w:rPr>
        <w:t>支出</w:t>
      </w:r>
      <w:r>
        <w:rPr>
          <w:rFonts w:ascii="仿宋" w:eastAsia="仿宋" w:cs="仿宋" w:hAnsi="仿宋"/>
          <w:b/>
          <w:color w:val="000000"/>
          <w:sz w:val="32"/>
        </w:rPr>
        <w:t>（类）</w:t>
      </w:r>
      <w:r>
        <w:rPr>
          <w:rFonts w:ascii="仿宋" w:eastAsia="仿宋" w:cs="仿宋" w:hAnsi="仿宋" w:hint="eastAsia"/>
          <w:b/>
          <w:color w:val="000000"/>
          <w:sz w:val="32"/>
        </w:rPr>
        <w:t>抚恤</w:t>
      </w:r>
      <w:r>
        <w:rPr>
          <w:rFonts w:ascii="仿宋" w:eastAsia="仿宋" w:cs="仿宋" w:hAnsi="仿宋"/>
          <w:b/>
          <w:color w:val="000000"/>
          <w:sz w:val="32"/>
        </w:rPr>
        <w:t>（款）</w:t>
      </w:r>
      <w:r>
        <w:rPr>
          <w:rFonts w:ascii="仿宋" w:eastAsia="仿宋" w:cs="仿宋" w:hAnsi="仿宋" w:hint="eastAsia"/>
          <w:b/>
          <w:color w:val="000000"/>
          <w:sz w:val="32"/>
        </w:rPr>
        <w:t>死亡抚恤</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16.24</w:t>
      </w:r>
      <w:r>
        <w:rPr>
          <w:rFonts w:ascii="仿宋" w:eastAsia="仿宋" w:cs="仿宋" w:hAnsi="仿宋"/>
          <w:color w:val="000000"/>
          <w:sz w:val="32"/>
        </w:rPr>
        <w:t>万元，完成预算</w:t>
      </w:r>
      <w:r>
        <w:rPr>
          <w:rFonts w:ascii="仿宋" w:eastAsia="仿宋" w:cs="仿宋" w:hAnsi="仿宋" w:hint="eastAsia"/>
          <w:color w:val="000000"/>
          <w:sz w:val="32"/>
        </w:rPr>
        <w:t>100</w:t>
      </w:r>
      <w:r>
        <w:rPr>
          <w:rFonts w:ascii="仿宋" w:eastAsia="仿宋" w:cs="仿宋" w:hAnsi="仿宋"/>
          <w:color w:val="000000"/>
          <w:sz w:val="32"/>
        </w:rPr>
        <w:t>%</w:t>
      </w:r>
      <w:r>
        <w:rPr>
          <w:rFonts w:ascii="仿宋" w:eastAsia="仿宋" w:cs="仿宋" w:hAnsi="仿宋" w:hint="eastAsia"/>
          <w:color w:val="000000"/>
          <w:sz w:val="32"/>
        </w:rPr>
        <w:t>。</w:t>
      </w:r>
    </w:p>
    <w:p>
      <w:pPr>
        <w:spacing w:line="600" w:lineRule="auto"/>
        <w:ind w:firstLine="643"/>
        <w:rPr>
          <w:rFonts w:ascii="仿宋" w:eastAsia="仿宋" w:cs="仿宋" w:hAnsi="仿宋"/>
          <w:color w:val="000000"/>
          <w:sz w:val="32"/>
        </w:rPr>
      </w:pPr>
      <w:r>
        <w:rPr>
          <w:rFonts w:ascii="仿宋" w:eastAsia="仿宋" w:cs="仿宋" w:hAnsi="仿宋" w:hint="eastAsia"/>
          <w:b/>
          <w:color w:val="000000"/>
          <w:sz w:val="32"/>
        </w:rPr>
        <w:t>2</w:t>
      </w:r>
      <w:r>
        <w:rPr>
          <w:rFonts w:ascii="仿宋" w:eastAsia="仿宋" w:cs="仿宋" w:hAnsi="仿宋"/>
          <w:b/>
          <w:color w:val="000000"/>
          <w:sz w:val="32"/>
        </w:rPr>
        <w:t>.医疗卫生与计划生育</w:t>
      </w:r>
      <w:r>
        <w:rPr>
          <w:rFonts w:ascii="仿宋" w:eastAsia="仿宋" w:cs="仿宋" w:hAnsi="仿宋" w:hint="eastAsia"/>
          <w:b/>
          <w:color w:val="000000"/>
          <w:sz w:val="32"/>
        </w:rPr>
        <w:t>支出</w:t>
      </w:r>
      <w:r>
        <w:rPr>
          <w:rFonts w:ascii="仿宋" w:eastAsia="仿宋" w:cs="仿宋" w:hAnsi="仿宋"/>
          <w:b/>
          <w:color w:val="000000"/>
          <w:sz w:val="32"/>
        </w:rPr>
        <w:t>（类）</w:t>
      </w:r>
      <w:r>
        <w:rPr>
          <w:rFonts w:ascii="仿宋" w:eastAsia="仿宋" w:cs="仿宋" w:hAnsi="仿宋" w:hint="eastAsia"/>
          <w:b/>
          <w:color w:val="000000"/>
          <w:sz w:val="32"/>
        </w:rPr>
        <w:t>行政事业单位医疗</w:t>
      </w:r>
      <w:r>
        <w:rPr>
          <w:rFonts w:ascii="仿宋" w:eastAsia="仿宋" w:cs="仿宋" w:hAnsi="仿宋"/>
          <w:b/>
          <w:color w:val="000000"/>
          <w:sz w:val="32"/>
        </w:rPr>
        <w:t>（款）</w:t>
      </w:r>
      <w:r>
        <w:rPr>
          <w:rFonts w:ascii="仿宋" w:eastAsia="仿宋" w:cs="仿宋" w:hAnsi="仿宋" w:hint="eastAsia"/>
          <w:b/>
          <w:color w:val="000000"/>
          <w:sz w:val="32"/>
        </w:rPr>
        <w:t>事业单位医疗</w:t>
      </w:r>
      <w:r>
        <w:rPr>
          <w:rFonts w:ascii="仿宋" w:eastAsia="仿宋" w:cs="仿宋" w:hAnsi="仿宋"/>
          <w:b/>
          <w:color w:val="000000"/>
          <w:sz w:val="32"/>
        </w:rPr>
        <w:t>（项）:</w:t>
      </w:r>
      <w:r>
        <w:rPr>
          <w:rFonts w:ascii="仿宋" w:eastAsia="仿宋" w:cs="仿宋" w:hAnsi="仿宋"/>
          <w:color w:val="000000"/>
          <w:sz w:val="32"/>
        </w:rPr>
        <w:t>支出决算为</w:t>
      </w:r>
      <w:r>
        <w:rPr>
          <w:rFonts w:ascii="仿宋" w:eastAsia="仿宋" w:cs="仿宋" w:hAnsi="仿宋" w:hint="eastAsia"/>
          <w:color w:val="000000"/>
          <w:sz w:val="32"/>
        </w:rPr>
        <w:t>60.14</w:t>
      </w:r>
      <w:r>
        <w:rPr>
          <w:rFonts w:ascii="仿宋" w:eastAsia="仿宋" w:cs="仿宋" w:hAnsi="仿宋"/>
          <w:color w:val="000000"/>
          <w:sz w:val="32"/>
        </w:rPr>
        <w:t>万元，完成预算</w:t>
      </w:r>
      <w:r>
        <w:rPr>
          <w:rFonts w:ascii="仿宋" w:eastAsia="仿宋" w:cs="仿宋" w:hAnsi="仿宋" w:hint="eastAsia"/>
          <w:color w:val="000000"/>
          <w:sz w:val="32"/>
        </w:rPr>
        <w:t>97.73</w:t>
      </w:r>
      <w:r>
        <w:rPr>
          <w:rFonts w:ascii="仿宋" w:eastAsia="仿宋" w:cs="仿宋" w:hAnsi="仿宋"/>
          <w:color w:val="000000"/>
          <w:sz w:val="32"/>
        </w:rPr>
        <w:t>%，决算数小于预算数的主要原因是</w:t>
      </w:r>
      <w:r>
        <w:rPr>
          <w:rFonts w:ascii="仿宋" w:eastAsia="仿宋" w:cs="仿宋" w:hAnsi="仿宋" w:hint="eastAsia"/>
          <w:color w:val="000000"/>
          <w:sz w:val="32"/>
        </w:rPr>
        <w:t>单位在职人员退休、死亡等</w:t>
      </w:r>
      <w:r>
        <w:rPr>
          <w:rFonts w:ascii="仿宋" w:eastAsia="仿宋" w:cs="仿宋" w:hAnsi="仿宋"/>
          <w:color w:val="000000"/>
          <w:sz w:val="32"/>
        </w:rPr>
        <w:t>。</w:t>
      </w:r>
    </w:p>
    <w:p>
      <w:pPr>
        <w:spacing w:line="600" w:lineRule="auto"/>
        <w:ind w:firstLine="643"/>
        <w:rPr>
          <w:rFonts w:ascii="仿宋" w:eastAsia="仿宋" w:cs="仿宋" w:hAnsi="仿宋"/>
          <w:color w:val="000000"/>
          <w:sz w:val="32"/>
        </w:rPr>
      </w:pPr>
      <w:r>
        <w:rPr>
          <w:rFonts w:ascii="仿宋" w:eastAsia="仿宋" w:cs="仿宋" w:hAnsi="仿宋" w:hint="eastAsia"/>
          <w:b/>
          <w:color w:val="000000"/>
          <w:sz w:val="32"/>
        </w:rPr>
        <w:t>3</w:t>
      </w:r>
      <w:r>
        <w:rPr>
          <w:rFonts w:ascii="仿宋" w:eastAsia="仿宋" w:cs="仿宋" w:hAnsi="仿宋"/>
          <w:b/>
          <w:color w:val="000000"/>
          <w:sz w:val="32"/>
        </w:rPr>
        <w:t>.</w:t>
      </w:r>
      <w:r>
        <w:rPr>
          <w:rFonts w:ascii="仿宋" w:eastAsia="仿宋" w:cs="仿宋" w:hAnsi="仿宋" w:hint="eastAsia"/>
          <w:b/>
          <w:color w:val="000000"/>
          <w:sz w:val="32"/>
        </w:rPr>
        <w:t>节能环保支出</w:t>
      </w:r>
      <w:r>
        <w:rPr>
          <w:rFonts w:ascii="仿宋" w:eastAsia="仿宋" w:cs="仿宋" w:hAnsi="仿宋"/>
          <w:b/>
          <w:color w:val="000000"/>
          <w:sz w:val="32"/>
        </w:rPr>
        <w:t>（类）</w:t>
      </w:r>
      <w:r>
        <w:rPr>
          <w:rFonts w:ascii="仿宋" w:eastAsia="仿宋" w:cs="仿宋" w:hAnsi="仿宋" w:hint="eastAsia"/>
          <w:b/>
          <w:color w:val="000000"/>
          <w:sz w:val="32"/>
        </w:rPr>
        <w:t>污染防治</w:t>
      </w:r>
      <w:r>
        <w:rPr>
          <w:rFonts w:ascii="仿宋" w:eastAsia="仿宋" w:cs="仿宋" w:hAnsi="仿宋"/>
          <w:b/>
          <w:color w:val="000000"/>
          <w:sz w:val="32"/>
        </w:rPr>
        <w:t>（款）</w:t>
      </w:r>
      <w:r>
        <w:rPr>
          <w:rFonts w:ascii="仿宋" w:eastAsia="仿宋" w:cs="仿宋" w:hAnsi="仿宋" w:hint="eastAsia"/>
          <w:b/>
          <w:color w:val="000000"/>
          <w:sz w:val="32"/>
        </w:rPr>
        <w:t>大气</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303.28</w:t>
      </w:r>
      <w:r>
        <w:rPr>
          <w:rFonts w:ascii="仿宋" w:eastAsia="仿宋" w:cs="仿宋" w:hAnsi="仿宋"/>
          <w:color w:val="000000"/>
          <w:sz w:val="32"/>
        </w:rPr>
        <w:t>万元，完成预算</w:t>
      </w:r>
      <w:r>
        <w:rPr>
          <w:rFonts w:ascii="仿宋" w:eastAsia="仿宋" w:cs="仿宋" w:hAnsi="仿宋" w:hint="eastAsia"/>
          <w:color w:val="000000"/>
          <w:sz w:val="32"/>
        </w:rPr>
        <w:t>100</w:t>
      </w:r>
      <w:r>
        <w:rPr>
          <w:rFonts w:ascii="仿宋" w:eastAsia="仿宋" w:cs="仿宋" w:hAnsi="仿宋"/>
          <w:color w:val="000000"/>
          <w:sz w:val="32"/>
        </w:rPr>
        <w:t>%</w:t>
      </w:r>
      <w:r>
        <w:rPr>
          <w:rFonts w:ascii="仿宋" w:eastAsia="仿宋" w:cs="仿宋" w:hAnsi="仿宋" w:hint="eastAsia"/>
          <w:color w:val="000000"/>
          <w:sz w:val="32"/>
        </w:rPr>
        <w:t>；</w:t>
      </w:r>
    </w:p>
    <w:p>
      <w:pPr>
        <w:spacing w:line="600" w:lineRule="auto"/>
        <w:ind w:firstLine="643"/>
        <w:rPr>
          <w:rFonts w:ascii="仿宋" w:eastAsia="仿宋" w:cs="仿宋" w:hAnsi="仿宋"/>
          <w:b/>
          <w:color w:val="000000"/>
          <w:sz w:val="32"/>
        </w:rPr>
      </w:pPr>
      <w:r>
        <w:rPr>
          <w:rFonts w:ascii="仿宋" w:eastAsia="仿宋" w:cs="仿宋" w:hAnsi="仿宋" w:hint="eastAsia"/>
          <w:b/>
          <w:color w:val="000000"/>
          <w:sz w:val="32"/>
        </w:rPr>
        <w:t>节能环保支出</w:t>
      </w:r>
      <w:r>
        <w:rPr>
          <w:rFonts w:ascii="仿宋" w:eastAsia="仿宋" w:cs="仿宋" w:hAnsi="仿宋"/>
          <w:b/>
          <w:color w:val="000000"/>
          <w:sz w:val="32"/>
        </w:rPr>
        <w:t>（类）</w:t>
      </w:r>
      <w:r>
        <w:rPr>
          <w:rFonts w:ascii="仿宋" w:eastAsia="仿宋" w:cs="仿宋" w:hAnsi="仿宋" w:hint="eastAsia"/>
          <w:b/>
          <w:color w:val="000000"/>
          <w:sz w:val="32"/>
        </w:rPr>
        <w:t>污染防治</w:t>
      </w:r>
      <w:r>
        <w:rPr>
          <w:rFonts w:ascii="仿宋" w:eastAsia="仿宋" w:cs="仿宋" w:hAnsi="仿宋"/>
          <w:b/>
          <w:color w:val="000000"/>
          <w:sz w:val="32"/>
        </w:rPr>
        <w:t>（款）</w:t>
      </w:r>
      <w:r>
        <w:rPr>
          <w:rFonts w:ascii="仿宋" w:eastAsia="仿宋" w:cs="仿宋" w:hAnsi="仿宋" w:hint="eastAsia"/>
          <w:b/>
          <w:color w:val="000000"/>
          <w:sz w:val="32"/>
        </w:rPr>
        <w:t>其他污染防治支出</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30</w:t>
      </w:r>
      <w:r>
        <w:rPr>
          <w:rFonts w:ascii="仿宋" w:eastAsia="仿宋" w:cs="仿宋" w:hAnsi="仿宋"/>
          <w:color w:val="000000"/>
          <w:sz w:val="32"/>
        </w:rPr>
        <w:t>万元，完成预算</w:t>
      </w:r>
      <w:r>
        <w:rPr>
          <w:rFonts w:ascii="仿宋" w:eastAsia="仿宋" w:cs="仿宋" w:hAnsi="仿宋" w:hint="eastAsia"/>
          <w:color w:val="000000"/>
          <w:sz w:val="32"/>
        </w:rPr>
        <w:t>21.43</w:t>
      </w:r>
      <w:r>
        <w:rPr>
          <w:rFonts w:ascii="仿宋" w:eastAsia="仿宋" w:cs="仿宋" w:hAnsi="仿宋"/>
          <w:color w:val="000000"/>
          <w:sz w:val="32"/>
        </w:rPr>
        <w:t>%，决算数小于预算数的主要原因</w:t>
      </w:r>
      <w:r>
        <w:rPr>
          <w:rFonts w:ascii="仿宋" w:eastAsia="仿宋" w:cs="仿宋" w:hAnsi="仿宋" w:hint="eastAsia"/>
          <w:color w:val="000000"/>
          <w:sz w:val="32"/>
        </w:rPr>
        <w:t>：该支出为“城区环境保护清扫保洁及洒水降尘设备采购项目”，截止2018年底，该项目中的洒水车采购正在执行中，故该支出完成预算比例为21.43%</w:t>
      </w:r>
      <w:r>
        <w:rPr>
          <w:rFonts w:ascii="仿宋" w:eastAsia="仿宋" w:cs="仿宋" w:hAnsi="仿宋"/>
          <w:color w:val="000000"/>
          <w:sz w:val="32"/>
        </w:rPr>
        <w:t>。</w:t>
      </w:r>
    </w:p>
    <w:p>
      <w:pPr>
        <w:spacing w:line="600" w:lineRule="auto"/>
        <w:ind w:firstLine="643"/>
        <w:rPr>
          <w:rFonts w:ascii="仿宋" w:eastAsia="仿宋" w:cs="仿宋" w:hAnsi="仿宋"/>
          <w:color w:val="000000"/>
          <w:sz w:val="32"/>
        </w:rPr>
      </w:pPr>
      <w:r>
        <w:rPr>
          <w:rFonts w:ascii="仿宋" w:eastAsia="仿宋" w:cs="仿宋" w:hAnsi="仿宋" w:hint="eastAsia"/>
          <w:b/>
          <w:color w:val="000000"/>
          <w:sz w:val="32"/>
        </w:rPr>
        <w:t>4</w:t>
      </w:r>
      <w:r>
        <w:rPr>
          <w:rFonts w:ascii="仿宋" w:eastAsia="仿宋" w:cs="仿宋" w:hAnsi="仿宋"/>
          <w:b/>
          <w:color w:val="000000"/>
          <w:sz w:val="32"/>
        </w:rPr>
        <w:t>.</w:t>
      </w:r>
      <w:r>
        <w:rPr>
          <w:rFonts w:ascii="仿宋" w:eastAsia="仿宋" w:cs="仿宋" w:hAnsi="仿宋" w:hint="eastAsia"/>
          <w:b/>
          <w:color w:val="000000"/>
          <w:sz w:val="32"/>
        </w:rPr>
        <w:t>城乡社区支出</w:t>
      </w:r>
      <w:r>
        <w:rPr>
          <w:rFonts w:ascii="仿宋" w:eastAsia="仿宋" w:cs="仿宋" w:hAnsi="仿宋"/>
          <w:b/>
          <w:color w:val="000000"/>
          <w:sz w:val="32"/>
        </w:rPr>
        <w:t>（类）</w:t>
      </w:r>
      <w:r>
        <w:rPr>
          <w:rFonts w:ascii="仿宋" w:eastAsia="仿宋" w:cs="仿宋" w:hAnsi="仿宋" w:hint="eastAsia"/>
          <w:b/>
          <w:color w:val="000000"/>
          <w:sz w:val="32"/>
        </w:rPr>
        <w:t>城乡社区管理事务</w:t>
      </w:r>
      <w:r>
        <w:rPr>
          <w:rFonts w:ascii="仿宋" w:eastAsia="仿宋" w:cs="仿宋" w:hAnsi="仿宋"/>
          <w:b/>
          <w:color w:val="000000"/>
          <w:sz w:val="32"/>
        </w:rPr>
        <w:t>（款）</w:t>
      </w:r>
      <w:r>
        <w:rPr>
          <w:rFonts w:ascii="仿宋" w:eastAsia="仿宋" w:cs="仿宋" w:hAnsi="仿宋" w:hint="eastAsia"/>
          <w:b/>
          <w:color w:val="000000"/>
          <w:sz w:val="32"/>
        </w:rPr>
        <w:t>行政运行</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1110.61</w:t>
      </w:r>
      <w:r>
        <w:rPr>
          <w:rFonts w:ascii="仿宋" w:eastAsia="仿宋" w:cs="仿宋" w:hAnsi="仿宋"/>
          <w:color w:val="000000"/>
          <w:sz w:val="32"/>
        </w:rPr>
        <w:t>万元，完成预算</w:t>
      </w:r>
      <w:r>
        <w:rPr>
          <w:rFonts w:ascii="仿宋" w:eastAsia="仿宋" w:cs="仿宋" w:hAnsi="仿宋" w:hint="eastAsia"/>
          <w:color w:val="000000"/>
          <w:sz w:val="32"/>
        </w:rPr>
        <w:t>99.42</w:t>
      </w:r>
      <w:r>
        <w:rPr>
          <w:rFonts w:ascii="仿宋" w:eastAsia="仿宋" w:cs="仿宋" w:hAnsi="仿宋"/>
          <w:color w:val="000000"/>
          <w:sz w:val="32"/>
        </w:rPr>
        <w:t>%，决算数小于预算数的主要原因是</w:t>
      </w:r>
      <w:r>
        <w:rPr>
          <w:rFonts w:ascii="仿宋" w:eastAsia="仿宋" w:cs="仿宋" w:hAnsi="仿宋" w:hint="eastAsia"/>
          <w:color w:val="000000"/>
          <w:sz w:val="32"/>
        </w:rPr>
        <w:t>职工福利费支出未达预算，形成财政补助结转；</w:t>
      </w:r>
    </w:p>
    <w:p>
      <w:pPr>
        <w:spacing w:line="600" w:lineRule="auto"/>
        <w:ind w:firstLine="643"/>
        <w:rPr>
          <w:rFonts w:ascii="仿宋" w:eastAsia="仿宋" w:cs="仿宋" w:hAnsi="仿宋"/>
          <w:color w:val="000000"/>
          <w:sz w:val="32"/>
        </w:rPr>
      </w:pPr>
      <w:r>
        <w:rPr>
          <w:rFonts w:ascii="仿宋" w:eastAsia="仿宋" w:cs="仿宋" w:hAnsi="仿宋" w:hint="eastAsia"/>
          <w:b/>
          <w:color w:val="000000"/>
          <w:sz w:val="32"/>
        </w:rPr>
        <w:t>城乡社区支出</w:t>
      </w:r>
      <w:r>
        <w:rPr>
          <w:rFonts w:ascii="仿宋" w:eastAsia="仿宋" w:cs="仿宋" w:hAnsi="仿宋"/>
          <w:b/>
          <w:color w:val="000000"/>
          <w:sz w:val="32"/>
        </w:rPr>
        <w:t>（类）</w:t>
      </w:r>
      <w:r>
        <w:rPr>
          <w:rFonts w:ascii="仿宋" w:eastAsia="仿宋" w:cs="仿宋" w:hAnsi="仿宋" w:hint="eastAsia"/>
          <w:b/>
          <w:color w:val="000000"/>
          <w:sz w:val="32"/>
        </w:rPr>
        <w:t>城乡社区管理事务</w:t>
      </w:r>
      <w:r>
        <w:rPr>
          <w:rFonts w:ascii="仿宋" w:eastAsia="仿宋" w:cs="仿宋" w:hAnsi="仿宋"/>
          <w:b/>
          <w:color w:val="000000"/>
          <w:sz w:val="32"/>
        </w:rPr>
        <w:t>（款）</w:t>
      </w:r>
      <w:r>
        <w:rPr>
          <w:rFonts w:ascii="仿宋" w:eastAsia="仿宋" w:cs="仿宋" w:hAnsi="仿宋" w:hint="eastAsia"/>
          <w:b/>
          <w:color w:val="000000"/>
          <w:sz w:val="32"/>
        </w:rPr>
        <w:t>城乡社区环境卫生</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1121.81</w:t>
      </w:r>
      <w:r>
        <w:rPr>
          <w:rFonts w:ascii="仿宋" w:eastAsia="仿宋" w:cs="仿宋" w:hAnsi="仿宋"/>
          <w:color w:val="000000"/>
          <w:sz w:val="32"/>
        </w:rPr>
        <w:t>万元，完成预算</w:t>
      </w:r>
      <w:r>
        <w:rPr>
          <w:rFonts w:ascii="仿宋" w:eastAsia="仿宋" w:cs="仿宋" w:hAnsi="仿宋" w:hint="eastAsia"/>
          <w:color w:val="000000"/>
          <w:sz w:val="32"/>
        </w:rPr>
        <w:t>78.39</w:t>
      </w:r>
      <w:r>
        <w:rPr>
          <w:rFonts w:ascii="仿宋" w:eastAsia="仿宋" w:cs="仿宋" w:hAnsi="仿宋"/>
          <w:color w:val="000000"/>
          <w:sz w:val="32"/>
        </w:rPr>
        <w:t>%，决算数小于预算数的主要原因是</w:t>
      </w:r>
      <w:r>
        <w:rPr>
          <w:rFonts w:ascii="仿宋" w:eastAsia="仿宋" w:cs="仿宋" w:hAnsi="仿宋" w:hint="eastAsia"/>
          <w:color w:val="000000"/>
          <w:sz w:val="32"/>
        </w:rPr>
        <w:t>部分项目正在实施过程中，暂未全部形成支出；</w:t>
      </w:r>
    </w:p>
    <w:p>
      <w:pPr>
        <w:spacing w:line="600" w:lineRule="auto"/>
        <w:ind w:firstLine="643"/>
        <w:rPr>
          <w:rFonts w:ascii="仿宋" w:eastAsia="仿宋" w:cs="仿宋" w:hAnsi="仿宋"/>
          <w:b/>
          <w:color w:val="000000"/>
          <w:sz w:val="32"/>
        </w:rPr>
      </w:pPr>
      <w:r>
        <w:rPr>
          <w:rFonts w:ascii="仿宋" w:eastAsia="仿宋" w:cs="仿宋" w:hAnsi="仿宋" w:hint="eastAsia"/>
          <w:b/>
          <w:color w:val="000000"/>
          <w:sz w:val="32"/>
        </w:rPr>
        <w:t>城乡社区支出</w:t>
      </w:r>
      <w:r>
        <w:rPr>
          <w:rFonts w:ascii="仿宋" w:eastAsia="仿宋" w:cs="仿宋" w:hAnsi="仿宋"/>
          <w:b/>
          <w:color w:val="000000"/>
          <w:sz w:val="32"/>
        </w:rPr>
        <w:t>（类）</w:t>
      </w:r>
      <w:r>
        <w:rPr>
          <w:rFonts w:ascii="仿宋" w:eastAsia="仿宋" w:cs="仿宋" w:hAnsi="仿宋" w:hint="eastAsia"/>
          <w:b/>
          <w:color w:val="000000"/>
          <w:sz w:val="32"/>
        </w:rPr>
        <w:t>城乡社区管理事务</w:t>
      </w:r>
      <w:r>
        <w:rPr>
          <w:rFonts w:ascii="仿宋" w:eastAsia="仿宋" w:cs="仿宋" w:hAnsi="仿宋"/>
          <w:b/>
          <w:color w:val="000000"/>
          <w:sz w:val="32"/>
        </w:rPr>
        <w:t>（款）</w:t>
      </w:r>
      <w:r>
        <w:rPr>
          <w:rFonts w:ascii="仿宋" w:eastAsia="仿宋" w:cs="仿宋" w:hAnsi="仿宋" w:hint="eastAsia"/>
          <w:b/>
          <w:color w:val="000000"/>
          <w:sz w:val="32"/>
        </w:rPr>
        <w:t>其他城乡社区支出</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268.68</w:t>
      </w:r>
      <w:r>
        <w:rPr>
          <w:rFonts w:ascii="仿宋" w:eastAsia="仿宋" w:cs="仿宋" w:hAnsi="仿宋"/>
          <w:color w:val="000000"/>
          <w:sz w:val="32"/>
        </w:rPr>
        <w:t>万元，完成预算</w:t>
      </w:r>
      <w:r>
        <w:rPr>
          <w:rFonts w:ascii="仿宋" w:eastAsia="仿宋" w:cs="仿宋" w:hAnsi="仿宋" w:hint="eastAsia"/>
          <w:color w:val="000000"/>
          <w:sz w:val="32"/>
        </w:rPr>
        <w:t>10.65</w:t>
      </w:r>
      <w:r>
        <w:rPr>
          <w:rFonts w:ascii="仿宋" w:eastAsia="仿宋" w:cs="仿宋" w:hAnsi="仿宋"/>
          <w:color w:val="000000"/>
          <w:sz w:val="32"/>
        </w:rPr>
        <w:t>%，决算数小于预算数的主要原因是</w:t>
      </w:r>
      <w:r>
        <w:rPr>
          <w:rFonts w:ascii="仿宋" w:eastAsia="仿宋" w:cs="仿宋" w:hAnsi="仿宋" w:hint="eastAsia"/>
          <w:color w:val="000000"/>
          <w:sz w:val="32"/>
        </w:rPr>
        <w:t>餐厨垃圾收运处置项目仍实施过程中，暂未形成支出。</w:t>
      </w:r>
    </w:p>
    <w:p>
      <w:pPr>
        <w:spacing w:line="600" w:lineRule="auto"/>
        <w:ind w:firstLine="643"/>
        <w:rPr>
          <w:rFonts w:ascii="仿宋" w:eastAsia="仿宋" w:cs="仿宋" w:hAnsi="仿宋"/>
          <w:color w:val="000000"/>
          <w:sz w:val="32"/>
        </w:rPr>
      </w:pPr>
      <w:r>
        <w:rPr>
          <w:rFonts w:ascii="仿宋" w:eastAsia="仿宋" w:cs="仿宋" w:hAnsi="仿宋" w:hint="eastAsia"/>
          <w:b/>
          <w:color w:val="000000"/>
          <w:sz w:val="32"/>
        </w:rPr>
        <w:t>5</w:t>
      </w:r>
      <w:r>
        <w:rPr>
          <w:rFonts w:ascii="仿宋" w:eastAsia="仿宋" w:cs="仿宋" w:hAnsi="仿宋"/>
          <w:b/>
          <w:color w:val="000000"/>
          <w:sz w:val="32"/>
        </w:rPr>
        <w:t>.</w:t>
      </w:r>
      <w:r>
        <w:rPr>
          <w:rFonts w:ascii="仿宋" w:eastAsia="仿宋" w:cs="仿宋" w:hAnsi="仿宋" w:hint="eastAsia"/>
          <w:b/>
          <w:color w:val="000000"/>
          <w:sz w:val="32"/>
        </w:rPr>
        <w:t>农林水支出</w:t>
      </w:r>
      <w:r>
        <w:rPr>
          <w:rFonts w:ascii="仿宋" w:eastAsia="仿宋" w:cs="仿宋" w:hAnsi="仿宋"/>
          <w:b/>
          <w:color w:val="000000"/>
          <w:sz w:val="32"/>
        </w:rPr>
        <w:t>（类）</w:t>
      </w:r>
      <w:r>
        <w:rPr>
          <w:rFonts w:ascii="仿宋" w:eastAsia="仿宋" w:cs="仿宋" w:hAnsi="仿宋" w:hint="eastAsia"/>
          <w:b/>
          <w:color w:val="000000"/>
          <w:sz w:val="32"/>
        </w:rPr>
        <w:t>扶贫</w:t>
      </w:r>
      <w:r>
        <w:rPr>
          <w:rFonts w:ascii="仿宋" w:eastAsia="仿宋" w:cs="仿宋" w:hAnsi="仿宋"/>
          <w:b/>
          <w:color w:val="000000"/>
          <w:sz w:val="32"/>
        </w:rPr>
        <w:t>（款）</w:t>
      </w:r>
      <w:r>
        <w:rPr>
          <w:rFonts w:ascii="仿宋" w:eastAsia="仿宋" w:cs="仿宋" w:hAnsi="仿宋" w:hint="eastAsia"/>
          <w:b/>
          <w:color w:val="000000"/>
          <w:sz w:val="32"/>
        </w:rPr>
        <w:t>其他扶贫支出</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0.49</w:t>
      </w:r>
      <w:r>
        <w:rPr>
          <w:rFonts w:ascii="仿宋" w:eastAsia="仿宋" w:cs="仿宋" w:hAnsi="仿宋"/>
          <w:color w:val="000000"/>
          <w:sz w:val="32"/>
        </w:rPr>
        <w:t>万元，完成预算</w:t>
      </w:r>
      <w:r>
        <w:rPr>
          <w:rFonts w:ascii="仿宋" w:eastAsia="仿宋" w:cs="仿宋" w:hAnsi="仿宋" w:hint="eastAsia"/>
          <w:color w:val="000000"/>
          <w:sz w:val="32"/>
        </w:rPr>
        <w:t>98</w:t>
      </w:r>
      <w:r>
        <w:rPr>
          <w:rFonts w:ascii="仿宋" w:eastAsia="仿宋" w:cs="仿宋" w:hAnsi="仿宋"/>
          <w:color w:val="000000"/>
          <w:sz w:val="32"/>
        </w:rPr>
        <w:t>%</w:t>
      </w:r>
      <w:r>
        <w:rPr>
          <w:rFonts w:ascii="仿宋" w:eastAsia="仿宋" w:cs="仿宋" w:hAnsi="仿宋" w:hint="eastAsia"/>
          <w:color w:val="000000"/>
          <w:sz w:val="32"/>
        </w:rPr>
        <w:t>。</w:t>
      </w:r>
    </w:p>
    <w:p>
      <w:pPr>
        <w:spacing w:line="600" w:lineRule="auto"/>
        <w:ind w:firstLine="643"/>
        <w:rPr>
          <w:rFonts w:ascii="仿宋" w:eastAsia="仿宋" w:cs="仿宋" w:hAnsi="仿宋"/>
          <w:b/>
          <w:color w:val="000000"/>
          <w:sz w:val="32"/>
        </w:rPr>
      </w:pPr>
      <w:r>
        <w:rPr>
          <w:rFonts w:ascii="仿宋" w:eastAsia="仿宋" w:cs="仿宋" w:hAnsi="仿宋" w:hint="eastAsia"/>
          <w:b/>
          <w:color w:val="000000"/>
          <w:sz w:val="32"/>
        </w:rPr>
        <w:t>6</w:t>
      </w:r>
      <w:r>
        <w:rPr>
          <w:rFonts w:ascii="仿宋" w:eastAsia="仿宋" w:cs="仿宋" w:hAnsi="仿宋"/>
          <w:b/>
          <w:color w:val="000000"/>
          <w:sz w:val="32"/>
        </w:rPr>
        <w:t>.</w:t>
      </w:r>
      <w:r>
        <w:rPr>
          <w:rFonts w:ascii="仿宋" w:eastAsia="仿宋" w:cs="仿宋" w:hAnsi="仿宋" w:hint="eastAsia"/>
          <w:b/>
          <w:color w:val="000000"/>
          <w:sz w:val="32"/>
        </w:rPr>
        <w:t>金融支出</w:t>
      </w:r>
      <w:r>
        <w:rPr>
          <w:rFonts w:ascii="仿宋" w:eastAsia="仿宋" w:cs="仿宋" w:hAnsi="仿宋"/>
          <w:b/>
          <w:color w:val="000000"/>
          <w:sz w:val="32"/>
        </w:rPr>
        <w:t>（类）</w:t>
      </w:r>
      <w:r>
        <w:rPr>
          <w:rFonts w:ascii="仿宋" w:eastAsia="仿宋" w:cs="仿宋" w:hAnsi="仿宋" w:hint="eastAsia"/>
          <w:b/>
          <w:color w:val="000000"/>
          <w:sz w:val="32"/>
        </w:rPr>
        <w:t>金融发展支出</w:t>
      </w:r>
      <w:r>
        <w:rPr>
          <w:rFonts w:ascii="仿宋" w:eastAsia="仿宋" w:cs="仿宋" w:hAnsi="仿宋"/>
          <w:b/>
          <w:color w:val="000000"/>
          <w:sz w:val="32"/>
        </w:rPr>
        <w:t>（款）</w:t>
      </w:r>
      <w:r>
        <w:rPr>
          <w:rFonts w:ascii="仿宋" w:eastAsia="仿宋" w:cs="仿宋" w:hAnsi="仿宋" w:hint="eastAsia"/>
          <w:b/>
          <w:color w:val="000000"/>
          <w:sz w:val="32"/>
        </w:rPr>
        <w:t>其他金融发展支出</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0</w:t>
      </w:r>
      <w:r>
        <w:rPr>
          <w:rFonts w:ascii="仿宋" w:eastAsia="仿宋" w:cs="仿宋" w:hAnsi="仿宋"/>
          <w:color w:val="000000"/>
          <w:sz w:val="32"/>
        </w:rPr>
        <w:t>万元，完成预算</w:t>
      </w:r>
      <w:r>
        <w:rPr>
          <w:rFonts w:ascii="仿宋" w:eastAsia="仿宋" w:cs="仿宋" w:hAnsi="仿宋" w:hint="eastAsia"/>
          <w:color w:val="000000"/>
          <w:sz w:val="32"/>
        </w:rPr>
        <w:t>0</w:t>
      </w:r>
      <w:r>
        <w:rPr>
          <w:rFonts w:ascii="仿宋" w:eastAsia="仿宋" w:cs="仿宋" w:hAnsi="仿宋"/>
          <w:color w:val="000000"/>
          <w:sz w:val="32"/>
        </w:rPr>
        <w:t>%，决算数小于预算数的主要原因是</w:t>
      </w:r>
      <w:r>
        <w:rPr>
          <w:rFonts w:ascii="仿宋" w:eastAsia="仿宋" w:cs="仿宋" w:hAnsi="仿宋" w:hint="eastAsia"/>
          <w:color w:val="000000"/>
          <w:sz w:val="32"/>
        </w:rPr>
        <w:t>该项支出为2018年省级财政政府与社会资本合作（PPP）综合补助资金，将在2019年度支出</w:t>
      </w:r>
      <w:r>
        <w:rPr>
          <w:rFonts w:ascii="仿宋" w:eastAsia="仿宋" w:cs="仿宋" w:hAnsi="仿宋"/>
          <w:color w:val="000000"/>
          <w:sz w:val="32"/>
        </w:rPr>
        <w:t>。</w:t>
      </w:r>
    </w:p>
    <w:p>
      <w:pPr>
        <w:spacing w:line="600" w:lineRule="auto"/>
        <w:ind w:firstLine="643"/>
        <w:rPr>
          <w:rFonts w:ascii="仿宋" w:eastAsia="仿宋" w:cs="仿宋" w:hAnsi="仿宋"/>
          <w:b/>
          <w:color w:val="000000"/>
          <w:sz w:val="32"/>
        </w:rPr>
      </w:pPr>
      <w:r>
        <w:rPr>
          <w:rFonts w:ascii="仿宋" w:eastAsia="仿宋" w:cs="仿宋" w:hAnsi="仿宋" w:hint="eastAsia"/>
          <w:b/>
          <w:color w:val="000000"/>
          <w:sz w:val="32"/>
        </w:rPr>
        <w:t>7.住房保障支出</w:t>
      </w:r>
      <w:r>
        <w:rPr>
          <w:rFonts w:ascii="仿宋" w:eastAsia="仿宋" w:cs="仿宋" w:hAnsi="仿宋"/>
          <w:b/>
          <w:color w:val="000000"/>
          <w:sz w:val="32"/>
        </w:rPr>
        <w:t>（类）</w:t>
      </w:r>
      <w:r>
        <w:rPr>
          <w:rFonts w:ascii="仿宋" w:eastAsia="仿宋" w:cs="仿宋" w:hAnsi="仿宋" w:hint="eastAsia"/>
          <w:b/>
          <w:color w:val="000000"/>
          <w:sz w:val="32"/>
        </w:rPr>
        <w:t>住房改革支出</w:t>
      </w:r>
      <w:r>
        <w:rPr>
          <w:rFonts w:ascii="仿宋" w:eastAsia="仿宋" w:cs="仿宋" w:hAnsi="仿宋"/>
          <w:b/>
          <w:color w:val="000000"/>
          <w:sz w:val="32"/>
        </w:rPr>
        <w:t>（款）</w:t>
      </w:r>
      <w:r>
        <w:rPr>
          <w:rFonts w:ascii="仿宋" w:eastAsia="仿宋" w:cs="仿宋" w:hAnsi="仿宋" w:hint="eastAsia"/>
          <w:b/>
          <w:color w:val="000000"/>
          <w:sz w:val="32"/>
        </w:rPr>
        <w:t>住房公积金</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73.67</w:t>
      </w:r>
      <w:r>
        <w:rPr>
          <w:rFonts w:ascii="仿宋" w:eastAsia="仿宋" w:cs="仿宋" w:hAnsi="仿宋"/>
          <w:color w:val="000000"/>
          <w:sz w:val="32"/>
        </w:rPr>
        <w:t>万元，完成预算</w:t>
      </w:r>
      <w:r>
        <w:rPr>
          <w:rFonts w:ascii="仿宋" w:eastAsia="仿宋" w:cs="仿宋" w:hAnsi="仿宋" w:hint="eastAsia"/>
          <w:color w:val="000000"/>
          <w:sz w:val="32"/>
        </w:rPr>
        <w:t>97.05</w:t>
      </w:r>
      <w:r>
        <w:rPr>
          <w:rFonts w:ascii="仿宋" w:eastAsia="仿宋" w:cs="仿宋" w:hAnsi="仿宋"/>
          <w:color w:val="000000"/>
          <w:sz w:val="32"/>
        </w:rPr>
        <w:t>%</w:t>
      </w:r>
      <w:r>
        <w:rPr>
          <w:rFonts w:ascii="仿宋" w:eastAsia="仿宋" w:cs="仿宋" w:hAnsi="仿宋" w:hint="eastAsia"/>
          <w:color w:val="000000"/>
          <w:sz w:val="32"/>
        </w:rPr>
        <w:t>，</w:t>
      </w:r>
      <w:r>
        <w:rPr>
          <w:rFonts w:ascii="仿宋" w:eastAsia="仿宋" w:cs="仿宋" w:hAnsi="仿宋"/>
          <w:color w:val="000000"/>
          <w:sz w:val="32"/>
        </w:rPr>
        <w:t>决算数小于预算数的主要原因是</w:t>
      </w:r>
      <w:r>
        <w:rPr>
          <w:rFonts w:ascii="仿宋" w:eastAsia="仿宋" w:cs="仿宋" w:hAnsi="仿宋" w:hint="eastAsia"/>
          <w:color w:val="000000"/>
          <w:sz w:val="32"/>
        </w:rPr>
        <w:t>单位在职人员退休、死亡等。</w:t>
      </w:r>
    </w:p>
    <w:p>
      <w:pPr>
        <w:spacing w:line="600" w:lineRule="auto"/>
        <w:ind w:firstLine="640"/>
        <w:rPr>
          <w:rFonts w:ascii="仿宋" w:eastAsia="仿宋" w:cs="仿宋" w:hAnsi="仿宋"/>
          <w:b/>
          <w:color w:val="000000"/>
          <w:sz w:val="32"/>
        </w:rPr>
      </w:pPr>
      <w:r>
        <w:rPr>
          <w:rFonts w:ascii="仿宋" w:eastAsia="仿宋" w:cs="仿宋" w:hAnsi="仿宋" w:hint="eastAsia"/>
          <w:b/>
          <w:color w:val="000000"/>
          <w:sz w:val="32"/>
        </w:rPr>
        <w:t>8.其他支出（</w:t>
      </w:r>
      <w:r>
        <w:rPr>
          <w:rFonts w:ascii="仿宋" w:eastAsia="仿宋" w:cs="仿宋" w:hAnsi="仿宋"/>
          <w:b/>
          <w:color w:val="000000"/>
          <w:sz w:val="32"/>
        </w:rPr>
        <w:t>类）</w:t>
      </w:r>
      <w:r>
        <w:rPr>
          <w:rFonts w:ascii="仿宋" w:eastAsia="仿宋" w:cs="仿宋" w:hAnsi="仿宋" w:hint="eastAsia"/>
          <w:b/>
          <w:color w:val="000000"/>
          <w:sz w:val="32"/>
        </w:rPr>
        <w:t>其他支出</w:t>
      </w:r>
      <w:r>
        <w:rPr>
          <w:rFonts w:ascii="仿宋" w:eastAsia="仿宋" w:cs="仿宋" w:hAnsi="仿宋"/>
          <w:b/>
          <w:color w:val="000000"/>
          <w:sz w:val="32"/>
        </w:rPr>
        <w:t>（款）</w:t>
      </w:r>
      <w:r>
        <w:rPr>
          <w:rFonts w:ascii="仿宋" w:eastAsia="仿宋" w:cs="仿宋" w:hAnsi="仿宋" w:hint="eastAsia"/>
          <w:b/>
          <w:color w:val="000000"/>
          <w:sz w:val="32"/>
        </w:rPr>
        <w:t>其他支出</w:t>
      </w:r>
      <w:r>
        <w:rPr>
          <w:rFonts w:ascii="仿宋" w:eastAsia="仿宋" w:cs="仿宋" w:hAnsi="仿宋"/>
          <w:b/>
          <w:color w:val="000000"/>
          <w:sz w:val="32"/>
        </w:rPr>
        <w:t>（项）:</w:t>
      </w:r>
      <w:r>
        <w:rPr>
          <w:rFonts w:ascii="仿宋" w:eastAsia="仿宋" w:cs="仿宋" w:hAnsi="仿宋"/>
          <w:color w:val="000000"/>
          <w:sz w:val="32"/>
        </w:rPr>
        <w:t xml:space="preserve"> 支出决算为</w:t>
      </w:r>
      <w:r>
        <w:rPr>
          <w:rFonts w:ascii="仿宋" w:eastAsia="仿宋" w:cs="仿宋" w:hAnsi="仿宋" w:hint="eastAsia"/>
          <w:color w:val="000000"/>
          <w:sz w:val="32"/>
        </w:rPr>
        <w:t>70.01</w:t>
      </w:r>
      <w:r>
        <w:rPr>
          <w:rFonts w:ascii="仿宋" w:eastAsia="仿宋" w:cs="仿宋" w:hAnsi="仿宋"/>
          <w:color w:val="000000"/>
          <w:sz w:val="32"/>
        </w:rPr>
        <w:t>万元，完成预算</w:t>
      </w:r>
      <w:r>
        <w:rPr>
          <w:rFonts w:ascii="仿宋" w:eastAsia="仿宋" w:cs="仿宋" w:hAnsi="仿宋" w:hint="eastAsia"/>
          <w:color w:val="000000"/>
          <w:sz w:val="32"/>
        </w:rPr>
        <w:t>100</w:t>
      </w:r>
      <w:r>
        <w:rPr>
          <w:rFonts w:ascii="仿宋" w:eastAsia="仿宋" w:cs="仿宋" w:hAnsi="仿宋"/>
          <w:color w:val="000000"/>
          <w:sz w:val="32"/>
        </w:rPr>
        <w:t>%</w:t>
      </w:r>
      <w:r>
        <w:rPr>
          <w:rFonts w:ascii="仿宋" w:eastAsia="仿宋" w:cs="仿宋" w:hAnsi="仿宋" w:hint="eastAsia"/>
          <w:color w:val="000000"/>
          <w:sz w:val="32"/>
        </w:rPr>
        <w:t>。</w:t>
      </w:r>
    </w:p>
    <w:p>
      <w:pPr>
        <w:tabs>
          <w:tab w:val="right" w:pos="8306"/>
        </w:tabs>
        <w:spacing w:line="600" w:lineRule="auto"/>
        <w:ind w:firstLine="640"/>
        <w:rPr>
          <w:rFonts w:ascii="Cambria" w:eastAsia="Cambria" w:cs="Cambria" w:hAnsi="Cambria"/>
          <w:b/>
          <w:sz w:val="32"/>
        </w:rPr>
      </w:pPr>
      <w:r>
        <w:rPr>
          <w:rFonts w:ascii="黑体" w:eastAsia="黑体" w:cs="黑体" w:hAnsi="黑体"/>
          <w:color w:val="000000"/>
          <w:sz w:val="32"/>
        </w:rPr>
        <w:t>六</w:t>
      </w:r>
      <w:r>
        <w:rPr>
          <w:rFonts w:ascii="黑体" w:eastAsia="黑体" w:cs="黑体" w:hAnsi="黑体"/>
          <w:b/>
          <w:color w:val="000000"/>
          <w:sz w:val="32"/>
        </w:rPr>
        <w:t>、一</w:t>
      </w:r>
      <w:r>
        <w:rPr>
          <w:rFonts w:ascii="黑体" w:eastAsia="黑体" w:cs="黑体" w:hAnsi="黑体"/>
          <w:sz w:val="32"/>
        </w:rPr>
        <w:t>般公共预算财政拨款基本支出决算情况说明</w:t>
        <w:tab/>
      </w:r>
    </w:p>
    <w:p>
      <w:pPr>
        <w:spacing w:line="600" w:lineRule="auto"/>
        <w:ind w:firstLine="645"/>
        <w:rPr>
          <w:rFonts w:ascii="仿宋" w:eastAsia="仿宋" w:cs="仿宋" w:hAnsi="仿宋"/>
          <w:color w:val="000000"/>
          <w:sz w:val="32"/>
        </w:rPr>
      </w:pPr>
      <w:r>
        <w:rPr>
          <w:rFonts w:ascii="仿宋" w:eastAsia="仿宋" w:cs="仿宋" w:hAnsi="仿宋"/>
          <w:color w:val="000000"/>
          <w:sz w:val="32"/>
        </w:rPr>
        <w:t>2018年一般公共预算财政拨款基本支出</w:t>
      </w:r>
      <w:r>
        <w:rPr>
          <w:rFonts w:ascii="仿宋" w:eastAsia="仿宋" w:cs="仿宋" w:hAnsi="仿宋" w:hint="eastAsia"/>
          <w:color w:val="000000"/>
          <w:sz w:val="32"/>
        </w:rPr>
        <w:t>1403.49</w:t>
      </w:r>
      <w:r>
        <w:rPr>
          <w:rFonts w:ascii="仿宋" w:eastAsia="仿宋" w:cs="仿宋" w:hAnsi="仿宋"/>
          <w:color w:val="000000"/>
          <w:sz w:val="32"/>
        </w:rPr>
        <w:t>万元，其中：</w:t>
      </w:r>
    </w:p>
    <w:p>
      <w:pPr>
        <w:spacing w:line="600" w:lineRule="auto"/>
        <w:ind w:firstLine="645"/>
        <w:rPr>
          <w:rFonts w:ascii="仿宋" w:eastAsia="仿宋" w:cs="仿宋" w:hAnsi="仿宋"/>
          <w:color w:val="000000"/>
          <w:sz w:val="32"/>
        </w:rPr>
      </w:pPr>
      <w:r>
        <w:rPr>
          <w:rFonts w:ascii="仿宋" w:eastAsia="仿宋" w:cs="仿宋" w:hAnsi="仿宋"/>
          <w:color w:val="000000"/>
          <w:sz w:val="32"/>
        </w:rPr>
        <w:t>人员经费</w:t>
      </w:r>
      <w:r>
        <w:rPr>
          <w:rFonts w:ascii="仿宋" w:eastAsia="仿宋" w:cs="仿宋" w:hAnsi="仿宋" w:hint="eastAsia"/>
          <w:color w:val="000000"/>
          <w:sz w:val="32"/>
        </w:rPr>
        <w:t>1308.25</w:t>
      </w:r>
      <w:r>
        <w:rPr>
          <w:rFonts w:ascii="仿宋" w:eastAsia="仿宋" w:cs="仿宋" w:hAnsi="仿宋"/>
          <w:color w:val="000000"/>
          <w:sz w:val="32"/>
        </w:rPr>
        <w:t>万元，主要包括：基本工资、津贴补贴、绩效工资、机关事业单位基本养老保险缴费、职业年金缴费、其他社会保障缴费、其他工资福利支出、抚恤金、生活补助、奖励金、住房公积金等。</w:t>
        <w:br/>
        <w:t>　　公用经费</w:t>
      </w:r>
      <w:r>
        <w:rPr>
          <w:rFonts w:ascii="仿宋" w:eastAsia="仿宋" w:cs="仿宋" w:hAnsi="仿宋" w:hint="eastAsia"/>
          <w:color w:val="000000"/>
          <w:sz w:val="32"/>
        </w:rPr>
        <w:t>95.24</w:t>
      </w:r>
      <w:r>
        <w:rPr>
          <w:rFonts w:ascii="仿宋" w:eastAsia="仿宋" w:cs="仿宋" w:hAnsi="仿宋"/>
          <w:color w:val="000000"/>
          <w:sz w:val="32"/>
        </w:rPr>
        <w:t>万元，主要包括：办公费、印刷费、咨询费、手续费、水费、电费、邮电费、差旅费、维修（护）费、租赁费、会议费、培训费、公务接待费、劳务费、工会经费、福利费、公务用车运行维护费其他商品和服务支出、办公设备购置、专用设备购置等。</w:t>
      </w:r>
    </w:p>
    <w:p>
      <w:pPr>
        <w:spacing w:line="600" w:lineRule="auto"/>
        <w:ind w:firstLine="640"/>
        <w:rPr>
          <w:rFonts w:ascii="黑体" w:eastAsia="黑体" w:cs="黑体" w:hAnsi="黑体"/>
          <w:sz w:val="32"/>
        </w:rPr>
      </w:pPr>
      <w:r>
        <w:rPr>
          <w:rFonts w:ascii="黑体" w:eastAsia="黑体" w:cs="黑体" w:hAnsi="黑体"/>
          <w:color w:val="000000"/>
          <w:sz w:val="32"/>
        </w:rPr>
        <w:t>七</w:t>
      </w:r>
      <w:bookmarkStart w:id="0" w:name="_GoBack"/>
      <w:bookmarkEnd w:id="0"/>
      <w:r>
        <w:rPr>
          <w:rFonts w:ascii="黑体" w:eastAsia="黑体" w:cs="黑体" w:hAnsi="黑体"/>
          <w:color w:val="000000"/>
          <w:sz w:val="32"/>
        </w:rPr>
        <w:t>、</w:t>
      </w:r>
      <w:r>
        <w:rPr>
          <w:rFonts w:ascii="黑体" w:eastAsia="黑体" w:cs="黑体" w:hAnsi="黑体"/>
          <w:b/>
          <w:sz w:val="32"/>
        </w:rPr>
        <w:t>“</w:t>
      </w:r>
      <w:r>
        <w:rPr>
          <w:rFonts w:ascii="黑体" w:eastAsia="黑体" w:cs="黑体" w:hAnsi="黑体"/>
          <w:sz w:val="32"/>
        </w:rPr>
        <w:t>三公”经费财政拨款支出决算情况说明</w:t>
      </w:r>
    </w:p>
    <w:p>
      <w:pPr>
        <w:spacing w:line="600" w:lineRule="auto"/>
        <w:ind w:firstLine="640"/>
        <w:rPr>
          <w:rFonts w:ascii="仿宋" w:eastAsia="仿宋" w:cs="仿宋" w:hAnsi="仿宋"/>
          <w:b/>
          <w:color w:val="000000"/>
          <w:sz w:val="32"/>
        </w:rPr>
      </w:pPr>
      <w:r>
        <w:rPr>
          <w:rFonts w:ascii="仿宋" w:eastAsia="仿宋" w:cs="仿宋" w:hAnsi="仿宋"/>
          <w:b/>
          <w:color w:val="000000"/>
          <w:sz w:val="32"/>
        </w:rPr>
        <w:t>（一）“三公”经费财政拨款支出决算总体情况说明</w:t>
      </w:r>
    </w:p>
    <w:p>
      <w:pPr>
        <w:spacing w:line="600" w:lineRule="auto"/>
        <w:ind w:firstLine="640"/>
        <w:rPr>
          <w:rFonts w:ascii="仿宋" w:eastAsia="仿宋" w:cs="仿宋" w:hAnsi="仿宋"/>
          <w:color w:val="000000"/>
          <w:sz w:val="32"/>
        </w:rPr>
      </w:pPr>
      <w:r>
        <w:rPr>
          <w:rFonts w:ascii="仿宋" w:eastAsia="仿宋" w:cs="仿宋" w:hAnsi="仿宋"/>
          <w:color w:val="000000"/>
          <w:sz w:val="32"/>
        </w:rPr>
        <w:t>2018年“三公”经费财政拨款支出决算为</w:t>
      </w:r>
      <w:r>
        <w:rPr>
          <w:rFonts w:ascii="仿宋" w:eastAsia="仿宋" w:cs="仿宋" w:hAnsi="仿宋" w:hint="eastAsia"/>
          <w:color w:val="000000"/>
          <w:sz w:val="32"/>
        </w:rPr>
        <w:t>5.34</w:t>
      </w:r>
      <w:r>
        <w:rPr>
          <w:rFonts w:ascii="仿宋" w:eastAsia="仿宋" w:cs="仿宋" w:hAnsi="仿宋"/>
          <w:color w:val="000000"/>
          <w:sz w:val="32"/>
        </w:rPr>
        <w:t>万元，完成预算</w:t>
      </w:r>
      <w:r>
        <w:rPr>
          <w:rFonts w:ascii="仿宋" w:eastAsia="仿宋" w:cs="仿宋" w:hAnsi="仿宋" w:hint="eastAsia"/>
          <w:color w:val="000000"/>
          <w:sz w:val="32"/>
        </w:rPr>
        <w:t>97.14</w:t>
      </w:r>
      <w:r>
        <w:rPr>
          <w:rFonts w:ascii="仿宋" w:eastAsia="仿宋" w:cs="仿宋" w:hAnsi="仿宋"/>
          <w:color w:val="000000"/>
          <w:sz w:val="32"/>
        </w:rPr>
        <w:t>%，决算数小于预算数的主要原因是</w:t>
      </w:r>
      <w:r>
        <w:rPr>
          <w:rFonts w:ascii="仿宋" w:eastAsia="仿宋" w:cs="仿宋" w:hAnsi="仿宋" w:hint="eastAsia"/>
          <w:color w:val="000000"/>
          <w:sz w:val="32"/>
        </w:rPr>
        <w:t>事业单位公务用车改革，2018年10月起无公务用车运行维护费支出</w:t>
      </w:r>
      <w:r>
        <w:rPr>
          <w:rFonts w:ascii="仿宋" w:eastAsia="仿宋" w:cs="仿宋" w:hAnsi="仿宋"/>
          <w:color w:val="000000"/>
          <w:sz w:val="32"/>
        </w:rPr>
        <w:t>。</w:t>
      </w:r>
    </w:p>
    <w:p>
      <w:pPr>
        <w:spacing w:line="600" w:lineRule="auto"/>
        <w:ind w:firstLine="640"/>
        <w:rPr>
          <w:rFonts w:ascii="仿宋" w:eastAsia="仿宋" w:cs="仿宋" w:hAnsi="仿宋"/>
          <w:b/>
          <w:color w:val="000000"/>
          <w:sz w:val="32"/>
        </w:rPr>
      </w:pPr>
      <w:r>
        <w:rPr>
          <w:rFonts w:ascii="仿宋" w:eastAsia="仿宋" w:cs="仿宋" w:hAnsi="仿宋"/>
          <w:b/>
          <w:color w:val="000000"/>
          <w:sz w:val="32"/>
        </w:rPr>
        <w:t>（二）“三公”经费财政拨款支出决算具体情况说明</w:t>
      </w:r>
    </w:p>
    <w:p>
      <w:pPr>
        <w:spacing w:line="600" w:lineRule="auto"/>
        <w:ind w:firstLine="640"/>
        <w:rPr>
          <w:rFonts w:ascii="仿宋" w:eastAsia="仿宋" w:cs="仿宋" w:hAnsi="仿宋"/>
          <w:color w:val="000000"/>
          <w:sz w:val="32"/>
        </w:rPr>
      </w:pPr>
      <w:r>
        <w:rPr>
          <w:rFonts w:ascii="仿宋" w:eastAsia="仿宋" w:cs="仿宋" w:hAnsi="仿宋"/>
          <w:color w:val="000000"/>
          <w:sz w:val="32"/>
        </w:rPr>
        <w:t>2018年“三公”经费财政拨款支出决算中，因公出国（境）费支出决算</w:t>
      </w:r>
      <w:r>
        <w:rPr>
          <w:rFonts w:ascii="仿宋" w:eastAsia="仿宋" w:cs="仿宋" w:hAnsi="仿宋" w:hint="eastAsia"/>
          <w:color w:val="000000"/>
          <w:sz w:val="32"/>
        </w:rPr>
        <w:t>0</w:t>
      </w:r>
      <w:r>
        <w:rPr>
          <w:rFonts w:ascii="仿宋" w:eastAsia="仿宋" w:cs="仿宋" w:hAnsi="仿宋"/>
          <w:color w:val="000000"/>
          <w:sz w:val="32"/>
        </w:rPr>
        <w:t>万元；公务用车购置及运行维护费支出决算</w:t>
      </w:r>
      <w:r>
        <w:rPr>
          <w:rFonts w:ascii="仿宋" w:eastAsia="仿宋" w:cs="仿宋" w:hAnsi="仿宋" w:hint="eastAsia"/>
          <w:color w:val="000000"/>
          <w:sz w:val="32"/>
        </w:rPr>
        <w:t>3.45</w:t>
      </w:r>
      <w:r>
        <w:rPr>
          <w:rFonts w:ascii="仿宋" w:eastAsia="仿宋" w:cs="仿宋" w:hAnsi="仿宋"/>
          <w:color w:val="000000"/>
          <w:sz w:val="32"/>
        </w:rPr>
        <w:t>万元，占</w:t>
      </w:r>
      <w:r>
        <w:rPr>
          <w:rFonts w:ascii="仿宋" w:eastAsia="仿宋" w:cs="仿宋" w:hAnsi="仿宋" w:hint="eastAsia"/>
          <w:color w:val="000000"/>
          <w:sz w:val="32"/>
        </w:rPr>
        <w:t>64.61</w:t>
      </w:r>
      <w:r>
        <w:rPr>
          <w:rFonts w:ascii="仿宋" w:eastAsia="仿宋" w:cs="仿宋" w:hAnsi="仿宋"/>
          <w:color w:val="000000"/>
          <w:sz w:val="32"/>
        </w:rPr>
        <w:t>%；公务接待费支出决算</w:t>
      </w:r>
      <w:r>
        <w:rPr>
          <w:rFonts w:ascii="仿宋" w:eastAsia="仿宋" w:cs="仿宋" w:hAnsi="仿宋" w:hint="eastAsia"/>
          <w:color w:val="000000"/>
          <w:sz w:val="32"/>
        </w:rPr>
        <w:t>1.89</w:t>
      </w:r>
      <w:r>
        <w:rPr>
          <w:rFonts w:ascii="仿宋" w:eastAsia="仿宋" w:cs="仿宋" w:hAnsi="仿宋"/>
          <w:color w:val="000000"/>
          <w:sz w:val="32"/>
        </w:rPr>
        <w:t>万元，占</w:t>
      </w:r>
      <w:r>
        <w:rPr>
          <w:rFonts w:ascii="仿宋" w:eastAsia="仿宋" w:cs="仿宋" w:hAnsi="仿宋" w:hint="eastAsia"/>
          <w:color w:val="000000"/>
          <w:sz w:val="32"/>
        </w:rPr>
        <w:t>35.39</w:t>
      </w:r>
      <w:r>
        <w:rPr>
          <w:rFonts w:ascii="仿宋" w:eastAsia="仿宋" w:cs="仿宋" w:hAnsi="仿宋"/>
          <w:color w:val="000000"/>
          <w:sz w:val="32"/>
        </w:rPr>
        <w:t>%。具体情况如下：</w:t>
      </w:r>
    </w:p>
    <w:p>
      <w:pPr>
        <w:spacing w:line="600" w:lineRule="auto"/>
        <w:ind w:firstLine="640"/>
        <w:rPr>
          <w:rFonts w:ascii="仿宋" w:eastAsia="仿宋" w:cs="仿宋" w:hAnsi="仿宋"/>
          <w:color w:val="000000"/>
          <w:sz w:val="32"/>
        </w:rPr>
      </w:pPr>
      <w:r>
        <w:rPr>
          <w:rFonts w:ascii="仿宋" w:eastAsia="仿宋" w:cs="仿宋" w:hAnsi="仿宋"/>
          <w:color w:val="000000"/>
          <w:sz w:val="32"/>
        </w:rPr>
        <w:drawing>
          <wp:inline distT="0" distB="0" distL="0" distR="0">
            <wp:extent cx="4458946" cy="2657742"/>
            <wp:effectExtent l="0" t="0" r="0" b="0"/>
            <wp:docPr id="7" name="图表 3"/>
            <wp:cNvGraphicFramePr>
              <a:graphicFrameLocks noChangeAspect="0"/>
            </wp:cNvGraphicFramePr>
            <a:graphic>
              <a:graphicData uri="http://schemas.openxmlformats.org/drawingml/2006/chart">
                <c:chart xmlns:c="http://schemas.openxmlformats.org/drawingml/2006/chart" r:id="rId8"/>
              </a:graphicData>
            </a:graphic>
          </wp:inline>
        </w:drawing>
      </w:r>
    </w:p>
    <w:p>
      <w:pPr>
        <w:pStyle w:val="17"/>
        <w:numPr>
          <w:ilvl w:val="0"/>
          <w:numId w:val="1"/>
        </w:numPr>
        <w:spacing w:line="600" w:lineRule="auto"/>
        <w:ind w:firstLineChars="0"/>
        <w:rPr>
          <w:rFonts w:ascii="仿宋_GB2312" w:eastAsia="仿宋_GB2312" w:cs="仿宋_GB2312" w:hAnsi="仿宋_GB2312"/>
          <w:color w:val="000000"/>
          <w:sz w:val="32"/>
        </w:rPr>
      </w:pPr>
      <w:r>
        <w:rPr>
          <w:rFonts w:ascii="仿宋_GB2312" w:eastAsia="仿宋_GB2312" w:cs="仿宋_GB2312" w:hAnsi="仿宋_GB2312"/>
          <w:b/>
          <w:color w:val="000000"/>
          <w:sz w:val="32"/>
        </w:rPr>
        <w:t>因公出国（境）经费支出</w:t>
      </w:r>
      <w:r>
        <w:rPr>
          <w:rFonts w:ascii="仿宋_GB2312" w:eastAsia="仿宋_GB2312" w:cs="仿宋_GB2312" w:hAnsi="仿宋_GB2312" w:hint="eastAsia"/>
          <w:color w:val="000000"/>
          <w:sz w:val="32"/>
        </w:rPr>
        <w:t>0</w:t>
      </w:r>
      <w:r>
        <w:rPr>
          <w:rFonts w:ascii="仿宋_GB2312" w:eastAsia="仿宋_GB2312" w:cs="仿宋_GB2312" w:hAnsi="仿宋_GB2312"/>
          <w:color w:val="000000"/>
          <w:sz w:val="32"/>
        </w:rPr>
        <w:t>万元</w:t>
      </w:r>
      <w:r>
        <w:rPr>
          <w:rFonts w:ascii="仿宋_GB2312" w:eastAsia="仿宋_GB2312" w:cs="仿宋_GB2312" w:hAnsi="仿宋_GB2312" w:hint="eastAsia"/>
          <w:color w:val="000000"/>
          <w:sz w:val="32"/>
        </w:rPr>
        <w:t>。</w:t>
      </w:r>
    </w:p>
    <w:p>
      <w:pPr>
        <w:spacing w:line="600" w:lineRule="auto"/>
        <w:ind w:firstLine="640"/>
        <w:rPr>
          <w:rFonts w:ascii="仿宋_GB2312" w:eastAsia="仿宋_GB2312" w:cs="仿宋_GB2312" w:hAnsi="仿宋_GB2312"/>
          <w:b/>
          <w:color w:val="000000"/>
          <w:sz w:val="32"/>
        </w:rPr>
      </w:pPr>
      <w:r>
        <w:rPr>
          <w:rFonts w:ascii="仿宋_GB2312" w:eastAsia="仿宋_GB2312" w:cs="仿宋_GB2312" w:hAnsi="仿宋_GB2312"/>
          <w:b/>
          <w:color w:val="000000"/>
          <w:sz w:val="32"/>
        </w:rPr>
        <w:t>2.公务用车购置及运行维护费支出</w:t>
      </w:r>
      <w:r>
        <w:rPr>
          <w:rFonts w:ascii="仿宋_GB2312" w:eastAsia="仿宋_GB2312" w:cs="仿宋_GB2312" w:hAnsi="仿宋_GB2312" w:hint="eastAsia"/>
          <w:color w:val="000000"/>
          <w:sz w:val="32"/>
        </w:rPr>
        <w:t>3.45</w:t>
      </w:r>
      <w:r>
        <w:rPr>
          <w:rFonts w:ascii="仿宋_GB2312" w:eastAsia="仿宋_GB2312" w:cs="仿宋_GB2312" w:hAnsi="仿宋_GB2312"/>
          <w:color w:val="000000"/>
          <w:sz w:val="32"/>
        </w:rPr>
        <w:t>万元,</w:t>
      </w:r>
      <w:r>
        <w:rPr>
          <w:rFonts w:ascii="仿宋" w:eastAsia="仿宋" w:cs="仿宋" w:hAnsi="仿宋"/>
          <w:color w:val="000000"/>
          <w:sz w:val="32"/>
        </w:rPr>
        <w:t>完成预算</w:t>
      </w:r>
      <w:r>
        <w:rPr>
          <w:rFonts w:ascii="仿宋" w:eastAsia="仿宋" w:cs="仿宋" w:hAnsi="仿宋" w:hint="eastAsia"/>
          <w:color w:val="000000"/>
          <w:sz w:val="32"/>
        </w:rPr>
        <w:t>95.83</w:t>
      </w:r>
      <w:r>
        <w:rPr>
          <w:rFonts w:ascii="仿宋" w:eastAsia="仿宋" w:cs="仿宋" w:hAnsi="仿宋"/>
          <w:color w:val="000000"/>
          <w:sz w:val="32"/>
        </w:rPr>
        <w:t>%。</w:t>
      </w:r>
      <w:r>
        <w:rPr>
          <w:rFonts w:ascii="仿宋_GB2312" w:eastAsia="仿宋_GB2312" w:cs="仿宋_GB2312" w:hAnsi="仿宋_GB2312"/>
          <w:color w:val="000000"/>
          <w:sz w:val="32"/>
        </w:rPr>
        <w:t>公务用车购置及运行维护费支出决算比2017年减少</w:t>
      </w:r>
      <w:r>
        <w:rPr>
          <w:rFonts w:ascii="仿宋_GB2312" w:eastAsia="仿宋_GB2312" w:cs="仿宋_GB2312" w:hAnsi="仿宋_GB2312" w:hint="eastAsia"/>
          <w:color w:val="000000"/>
          <w:sz w:val="32"/>
        </w:rPr>
        <w:t>0.15</w:t>
      </w:r>
      <w:r>
        <w:rPr>
          <w:rFonts w:ascii="仿宋_GB2312" w:eastAsia="仿宋_GB2312" w:cs="仿宋_GB2312" w:hAnsi="仿宋_GB2312"/>
          <w:color w:val="000000"/>
          <w:sz w:val="32"/>
        </w:rPr>
        <w:t>万元，下降</w:t>
      </w:r>
      <w:r>
        <w:rPr>
          <w:rFonts w:ascii="仿宋_GB2312" w:eastAsia="仿宋_GB2312" w:cs="仿宋_GB2312" w:hAnsi="仿宋_GB2312" w:hint="eastAsia"/>
          <w:color w:val="000000"/>
          <w:sz w:val="32"/>
        </w:rPr>
        <w:t>4.17</w:t>
      </w:r>
      <w:r>
        <w:rPr>
          <w:rFonts w:ascii="仿宋_GB2312" w:eastAsia="仿宋_GB2312" w:cs="仿宋_GB2312" w:hAnsi="仿宋_GB2312"/>
          <w:color w:val="000000"/>
          <w:sz w:val="32"/>
        </w:rPr>
        <w:t>%。主要原因是</w:t>
      </w:r>
      <w:r>
        <w:rPr>
          <w:rFonts w:ascii="仿宋" w:eastAsia="仿宋" w:cs="仿宋" w:hAnsi="仿宋" w:hint="eastAsia"/>
          <w:color w:val="000000"/>
          <w:sz w:val="32"/>
        </w:rPr>
        <w:t>事业单位公务用车改革，2018年10月起无公务用车运行维护费支出</w:t>
      </w:r>
      <w:r>
        <w:rPr>
          <w:rFonts w:ascii="仿宋_GB2312" w:eastAsia="仿宋_GB2312" w:cs="仿宋_GB2312" w:hAnsi="仿宋_GB2312"/>
          <w:color w:val="000000"/>
          <w:sz w:val="32"/>
        </w:rPr>
        <w:t>。</w:t>
      </w:r>
    </w:p>
    <w:p>
      <w:pPr>
        <w:spacing w:line="600" w:lineRule="auto"/>
        <w:ind w:firstLine="640"/>
        <w:rPr>
          <w:rFonts w:ascii="仿宋_GB2312" w:eastAsia="仿宋_GB2312" w:cs="仿宋_GB2312" w:hAnsi="仿宋_GB2312"/>
          <w:b/>
          <w:color w:val="000000"/>
          <w:sz w:val="32"/>
        </w:rPr>
      </w:pPr>
      <w:r>
        <w:rPr>
          <w:rFonts w:ascii="仿宋_GB2312" w:eastAsia="仿宋_GB2312" w:cs="仿宋_GB2312" w:hAnsi="仿宋_GB2312"/>
          <w:color w:val="000000"/>
          <w:sz w:val="32"/>
        </w:rPr>
        <w:t>其中：</w:t>
      </w:r>
      <w:r>
        <w:rPr>
          <w:rFonts w:ascii="仿宋_GB2312" w:eastAsia="仿宋_GB2312" w:cs="仿宋_GB2312" w:hAnsi="仿宋_GB2312"/>
          <w:b/>
          <w:color w:val="000000"/>
          <w:sz w:val="32"/>
        </w:rPr>
        <w:t>公务用车购置支出</w:t>
      </w:r>
      <w:r>
        <w:rPr>
          <w:rFonts w:ascii="仿宋_GB2312" w:eastAsia="仿宋_GB2312" w:cs="仿宋_GB2312" w:hAnsi="仿宋_GB2312" w:hint="eastAsia"/>
          <w:color w:val="000000"/>
          <w:sz w:val="32"/>
        </w:rPr>
        <w:t>0</w:t>
      </w:r>
      <w:r>
        <w:rPr>
          <w:rFonts w:ascii="仿宋_GB2312" w:eastAsia="仿宋_GB2312" w:cs="仿宋_GB2312" w:hAnsi="仿宋_GB2312"/>
          <w:color w:val="000000"/>
          <w:sz w:val="32"/>
        </w:rPr>
        <w:t>万元。</w:t>
      </w:r>
    </w:p>
    <w:p>
      <w:pPr>
        <w:spacing w:line="600" w:lineRule="auto"/>
        <w:ind w:firstLine="640"/>
        <w:rPr>
          <w:rFonts w:ascii="仿宋_GB2312" w:eastAsia="仿宋_GB2312" w:cs="仿宋_GB2312" w:hAnsi="仿宋_GB2312"/>
          <w:color w:val="000000"/>
          <w:sz w:val="32"/>
        </w:rPr>
      </w:pPr>
      <w:r>
        <w:rPr>
          <w:rFonts w:ascii="仿宋_GB2312" w:eastAsia="仿宋_GB2312" w:cs="仿宋_GB2312" w:hAnsi="仿宋_GB2312"/>
          <w:b/>
          <w:color w:val="000000"/>
          <w:sz w:val="32"/>
        </w:rPr>
        <w:t>公务用车运行维护费支出</w:t>
      </w:r>
      <w:r>
        <w:rPr>
          <w:rFonts w:ascii="仿宋_GB2312" w:eastAsia="仿宋_GB2312" w:cs="仿宋_GB2312" w:hAnsi="仿宋_GB2312" w:hint="eastAsia"/>
          <w:color w:val="000000"/>
          <w:sz w:val="32"/>
        </w:rPr>
        <w:t>3.45</w:t>
      </w:r>
      <w:r>
        <w:rPr>
          <w:rFonts w:ascii="仿宋_GB2312" w:eastAsia="仿宋_GB2312" w:cs="仿宋_GB2312" w:hAnsi="仿宋_GB2312"/>
          <w:color w:val="000000"/>
          <w:sz w:val="32"/>
        </w:rPr>
        <w:t>万元。主要用于公务用车燃料费、维修费、过路过桥费、保险费等支出。</w:t>
      </w:r>
    </w:p>
    <w:p>
      <w:pPr>
        <w:spacing w:line="600" w:lineRule="auto"/>
        <w:ind w:firstLine="640"/>
        <w:rPr>
          <w:rFonts w:ascii="仿宋_GB2312" w:eastAsia="仿宋_GB2312" w:cs="仿宋_GB2312" w:hAnsi="仿宋_GB2312"/>
          <w:color w:val="000000"/>
          <w:sz w:val="32"/>
        </w:rPr>
      </w:pPr>
      <w:r>
        <w:rPr>
          <w:rFonts w:ascii="仿宋_GB2312" w:eastAsia="仿宋_GB2312" w:cs="仿宋_GB2312" w:hAnsi="仿宋_GB2312"/>
          <w:b/>
          <w:color w:val="000000"/>
          <w:sz w:val="32"/>
        </w:rPr>
        <w:t>3.公务接待费支出</w:t>
      </w:r>
      <w:r>
        <w:rPr>
          <w:rFonts w:ascii="仿宋_GB2312" w:eastAsia="仿宋_GB2312" w:cs="仿宋_GB2312" w:hAnsi="仿宋_GB2312" w:hint="eastAsia"/>
          <w:color w:val="000000"/>
          <w:sz w:val="32"/>
        </w:rPr>
        <w:t>1.89</w:t>
      </w:r>
      <w:r>
        <w:rPr>
          <w:rFonts w:ascii="仿宋_GB2312" w:eastAsia="仿宋_GB2312" w:cs="仿宋_GB2312" w:hAnsi="仿宋_GB2312"/>
          <w:color w:val="000000"/>
          <w:sz w:val="32"/>
        </w:rPr>
        <w:t>万元，</w:t>
      </w:r>
      <w:r>
        <w:rPr>
          <w:rFonts w:ascii="仿宋" w:eastAsia="仿宋" w:cs="仿宋" w:hAnsi="仿宋"/>
          <w:color w:val="000000"/>
          <w:sz w:val="32"/>
        </w:rPr>
        <w:t>完成预算</w:t>
      </w:r>
      <w:r>
        <w:rPr>
          <w:rFonts w:ascii="仿宋" w:eastAsia="仿宋" w:cs="仿宋" w:hAnsi="仿宋" w:hint="eastAsia"/>
          <w:color w:val="000000"/>
          <w:sz w:val="32"/>
        </w:rPr>
        <w:t>100</w:t>
      </w:r>
      <w:r>
        <w:rPr>
          <w:rFonts w:ascii="仿宋" w:eastAsia="仿宋" w:cs="仿宋" w:hAnsi="仿宋"/>
          <w:color w:val="000000"/>
          <w:sz w:val="32"/>
        </w:rPr>
        <w:t>%。</w:t>
      </w:r>
      <w:r>
        <w:rPr>
          <w:rFonts w:ascii="仿宋_GB2312" w:eastAsia="仿宋_GB2312" w:cs="仿宋_GB2312" w:hAnsi="仿宋_GB2312"/>
          <w:color w:val="000000"/>
          <w:sz w:val="32"/>
        </w:rPr>
        <w:t>主要用于执行公务、开展业务活动开支的交通费、住宿费、用餐费等。国内公务接待</w:t>
      </w:r>
      <w:r>
        <w:rPr>
          <w:rFonts w:ascii="仿宋_GB2312" w:eastAsia="仿宋_GB2312" w:cs="仿宋_GB2312" w:hAnsi="仿宋_GB2312" w:hint="eastAsia"/>
          <w:color w:val="000000"/>
          <w:sz w:val="32"/>
        </w:rPr>
        <w:t>23</w:t>
      </w:r>
      <w:r>
        <w:rPr>
          <w:rFonts w:ascii="仿宋_GB2312" w:eastAsia="仿宋_GB2312" w:cs="仿宋_GB2312" w:hAnsi="仿宋_GB2312"/>
          <w:color w:val="000000"/>
          <w:sz w:val="32"/>
        </w:rPr>
        <w:t>批次，</w:t>
      </w:r>
      <w:r>
        <w:rPr>
          <w:rFonts w:ascii="仿宋_GB2312" w:eastAsia="仿宋_GB2312" w:cs="仿宋_GB2312" w:hAnsi="仿宋_GB2312" w:hint="eastAsia"/>
          <w:color w:val="000000"/>
          <w:sz w:val="32"/>
        </w:rPr>
        <w:t>223</w:t>
      </w:r>
      <w:r>
        <w:rPr>
          <w:rFonts w:ascii="仿宋_GB2312" w:eastAsia="仿宋_GB2312" w:cs="仿宋_GB2312" w:hAnsi="仿宋_GB2312"/>
          <w:color w:val="000000"/>
          <w:sz w:val="32"/>
        </w:rPr>
        <w:t>人次（不包括陪同人员），共计支出</w:t>
      </w:r>
      <w:r>
        <w:rPr>
          <w:rFonts w:ascii="仿宋_GB2312" w:eastAsia="仿宋_GB2312" w:cs="仿宋_GB2312" w:hAnsi="仿宋_GB2312" w:hint="eastAsia"/>
          <w:color w:val="000000"/>
          <w:sz w:val="32"/>
        </w:rPr>
        <w:t>1.89</w:t>
      </w:r>
      <w:r>
        <w:rPr>
          <w:rFonts w:ascii="仿宋_GB2312" w:eastAsia="仿宋_GB2312" w:cs="仿宋_GB2312" w:hAnsi="仿宋_GB2312"/>
          <w:color w:val="000000"/>
          <w:sz w:val="32"/>
        </w:rPr>
        <w:t>万元，具体内容包括：</w:t>
      </w:r>
      <w:r>
        <w:rPr>
          <w:rFonts w:ascii="仿宋_GB2312" w:eastAsia="仿宋_GB2312" w:cs="仿宋_GB2312" w:hAnsi="仿宋_GB2312" w:hint="eastAsia"/>
          <w:color w:val="000000"/>
          <w:sz w:val="32"/>
        </w:rPr>
        <w:t>外市及外县区环境卫生管理部门来我区考察学习环卫管理经验、环卫基础设施建设、生活垃圾处理费代收工作经验、垃圾收运处置模式及省市政市容协会考察餐厨废弃物资源化利用及无害化处置项目等</w:t>
      </w:r>
      <w:r>
        <w:rPr>
          <w:rFonts w:ascii="仿宋_GB2312" w:eastAsia="仿宋_GB2312" w:cs="仿宋_GB2312" w:hAnsi="仿宋_GB2312"/>
          <w:color w:val="000000"/>
          <w:sz w:val="32"/>
        </w:rPr>
        <w:t>。其中：</w:t>
      </w:r>
      <w:r>
        <w:rPr>
          <w:rFonts w:ascii="仿宋" w:eastAsia="仿宋" w:cs="仿宋" w:hAnsi="仿宋"/>
          <w:b/>
          <w:color w:val="000000"/>
          <w:sz w:val="32"/>
        </w:rPr>
        <w:t>外事接待支出</w:t>
      </w:r>
      <w:r>
        <w:rPr>
          <w:rFonts w:ascii="仿宋" w:eastAsia="仿宋" w:cs="仿宋" w:hAnsi="仿宋" w:hint="eastAsia"/>
          <w:color w:val="000000"/>
          <w:sz w:val="32"/>
        </w:rPr>
        <w:t>0</w:t>
      </w:r>
      <w:r>
        <w:rPr>
          <w:rFonts w:ascii="仿宋_GB2312" w:eastAsia="仿宋_GB2312" w:cs="仿宋_GB2312" w:hAnsi="仿宋_GB2312"/>
          <w:color w:val="000000"/>
          <w:sz w:val="32"/>
        </w:rPr>
        <w:t>万元</w:t>
      </w:r>
      <w:r>
        <w:rPr>
          <w:rFonts w:ascii="仿宋_GB2312" w:eastAsia="仿宋_GB2312" w:cs="仿宋_GB2312" w:hAnsi="仿宋_GB2312" w:hint="eastAsia"/>
          <w:color w:val="000000"/>
          <w:sz w:val="32"/>
        </w:rPr>
        <w:t>；</w:t>
      </w:r>
      <w:r>
        <w:rPr>
          <w:rFonts w:ascii="仿宋" w:eastAsia="仿宋" w:cs="仿宋" w:hAnsi="仿宋"/>
          <w:b/>
          <w:color w:val="000000"/>
          <w:sz w:val="32"/>
        </w:rPr>
        <w:t>其他国内公务接待支出</w:t>
      </w:r>
      <w:r>
        <w:rPr>
          <w:rFonts w:ascii="仿宋" w:eastAsia="仿宋" w:cs="仿宋" w:hAnsi="仿宋" w:hint="eastAsia"/>
          <w:color w:val="000000"/>
          <w:sz w:val="32"/>
        </w:rPr>
        <w:t>1.89</w:t>
      </w:r>
      <w:r>
        <w:rPr>
          <w:rFonts w:ascii="仿宋_GB2312" w:eastAsia="仿宋_GB2312" w:cs="仿宋_GB2312" w:hAnsi="仿宋_GB2312"/>
          <w:color w:val="000000"/>
          <w:sz w:val="32"/>
        </w:rPr>
        <w:t>万元</w:t>
      </w:r>
      <w:r>
        <w:rPr>
          <w:rFonts w:ascii="仿宋_GB2312" w:eastAsia="仿宋_GB2312" w:cs="仿宋_GB2312" w:hAnsi="仿宋_GB2312" w:hint="eastAsia"/>
          <w:color w:val="000000"/>
          <w:sz w:val="32"/>
        </w:rPr>
        <w:t>。</w:t>
      </w:r>
    </w:p>
    <w:p>
      <w:pPr>
        <w:spacing w:line="600" w:lineRule="auto"/>
        <w:ind w:firstLine="640"/>
        <w:rPr>
          <w:rFonts w:ascii="黑体" w:eastAsia="黑体" w:cs="黑体" w:hAnsi="黑体"/>
          <w:b/>
          <w:sz w:val="32"/>
        </w:rPr>
      </w:pPr>
      <w:r>
        <w:rPr>
          <w:rFonts w:ascii="黑体" w:eastAsia="黑体" w:cs="黑体" w:hAnsi="黑体"/>
          <w:color w:val="000000"/>
          <w:sz w:val="32"/>
        </w:rPr>
        <w:t>八、</w:t>
      </w:r>
      <w:r>
        <w:rPr>
          <w:rFonts w:ascii="黑体" w:eastAsia="黑体" w:cs="黑体" w:hAnsi="黑体"/>
          <w:sz w:val="32"/>
        </w:rPr>
        <w:t>政府性基金预算支出决算情况说明</w:t>
      </w:r>
    </w:p>
    <w:p>
      <w:pPr>
        <w:spacing w:line="600" w:lineRule="auto"/>
        <w:ind w:firstLine="640"/>
        <w:rPr>
          <w:rFonts w:ascii="仿宋_GB2312" w:eastAsia="仿宋_GB2312" w:cs="仿宋_GB2312" w:hAnsi="仿宋_GB2312"/>
          <w:color w:val="000000"/>
          <w:sz w:val="32"/>
        </w:rPr>
      </w:pPr>
      <w:r>
        <w:rPr>
          <w:rFonts w:ascii="仿宋_GB2312" w:eastAsia="仿宋_GB2312" w:cs="仿宋_GB2312" w:hAnsi="仿宋_GB2312"/>
          <w:color w:val="000000"/>
          <w:sz w:val="32"/>
        </w:rPr>
        <w:t>2018年政府性基金预算拨款支出</w:t>
      </w:r>
      <w:r>
        <w:rPr>
          <w:rFonts w:ascii="仿宋_GB2312" w:eastAsia="仿宋_GB2312" w:cs="仿宋_GB2312" w:hAnsi="仿宋_GB2312" w:hint="eastAsia"/>
          <w:color w:val="000000"/>
          <w:sz w:val="32"/>
        </w:rPr>
        <w:t>0</w:t>
      </w:r>
      <w:r>
        <w:rPr>
          <w:rFonts w:ascii="仿宋_GB2312" w:eastAsia="仿宋_GB2312" w:cs="仿宋_GB2312" w:hAnsi="仿宋_GB2312"/>
          <w:color w:val="000000"/>
          <w:sz w:val="32"/>
        </w:rPr>
        <w:t>万元。</w:t>
      </w:r>
    </w:p>
    <w:p>
      <w:pPr>
        <w:pStyle w:val="17"/>
        <w:numPr>
          <w:ilvl w:val="0"/>
          <w:numId w:val="2"/>
        </w:numPr>
        <w:spacing w:line="600" w:lineRule="auto"/>
        <w:ind w:firstLineChars="0"/>
        <w:rPr>
          <w:rFonts w:ascii="黑体" w:eastAsia="黑体" w:cs="黑体" w:hAnsi="黑体"/>
          <w:sz w:val="32"/>
        </w:rPr>
      </w:pPr>
      <w:r>
        <w:rPr>
          <w:rFonts w:ascii="黑体" w:eastAsia="黑体" w:cs="黑体" w:hAnsi="黑体"/>
          <w:sz w:val="32"/>
        </w:rPr>
        <w:t>国有资本经营预算支出决算情况说明</w:t>
      </w:r>
    </w:p>
    <w:p>
      <w:pPr>
        <w:pStyle w:val="17"/>
        <w:spacing w:line="600" w:lineRule="auto"/>
        <w:ind w:left="720" w:firstLineChars="0" w:firstLine="0"/>
        <w:rPr>
          <w:rFonts w:ascii="仿宋_GB2312" w:eastAsia="仿宋_GB2312" w:cs="仿宋_GB2312" w:hAnsi="仿宋_GB2312"/>
          <w:color w:val="000000"/>
          <w:sz w:val="32"/>
        </w:rPr>
      </w:pPr>
      <w:r>
        <w:rPr>
          <w:rFonts w:ascii="仿宋_GB2312" w:eastAsia="仿宋_GB2312" w:cs="仿宋_GB2312" w:hAnsi="仿宋_GB2312"/>
          <w:color w:val="000000"/>
          <w:sz w:val="32"/>
        </w:rPr>
        <w:t>2018年国有资本经营预算拨款支出</w:t>
      </w:r>
      <w:r>
        <w:rPr>
          <w:rFonts w:ascii="仿宋_GB2312" w:eastAsia="仿宋_GB2312" w:cs="仿宋_GB2312" w:hAnsi="仿宋_GB2312" w:hint="eastAsia"/>
          <w:color w:val="000000"/>
          <w:sz w:val="32"/>
        </w:rPr>
        <w:t>0</w:t>
      </w:r>
      <w:r>
        <w:rPr>
          <w:rFonts w:ascii="仿宋_GB2312" w:eastAsia="仿宋_GB2312" w:cs="仿宋_GB2312" w:hAnsi="仿宋_GB2312"/>
          <w:color w:val="000000"/>
          <w:sz w:val="32"/>
        </w:rPr>
        <w:t>万元。</w:t>
      </w:r>
    </w:p>
    <w:p>
      <w:pPr>
        <w:pStyle w:val="17"/>
        <w:spacing w:line="600" w:lineRule="auto"/>
        <w:ind w:left="720" w:firstLineChars="0" w:firstLine="0"/>
        <w:rPr>
          <w:rFonts w:ascii="仿宋_GB2312" w:eastAsia="仿宋_GB2312" w:cs="仿宋_GB2312" w:hAnsi="仿宋_GB2312"/>
          <w:color w:val="000000"/>
          <w:sz w:val="32"/>
        </w:rPr>
      </w:pPr>
      <w:r>
        <w:rPr>
          <w:rFonts w:ascii="黑体" w:eastAsia="黑体" w:cs="黑体" w:hAnsi="黑体" w:hint="eastAsia"/>
          <w:sz w:val="32"/>
        </w:rPr>
        <w:t>十、</w:t>
      </w:r>
      <w:r>
        <w:rPr>
          <w:rFonts w:ascii="黑体" w:eastAsia="黑体" w:cs="黑体" w:hAnsi="黑体"/>
          <w:sz w:val="32"/>
        </w:rPr>
        <w:t>预算绩效情况说明</w:t>
      </w:r>
    </w:p>
    <w:p>
      <w:pPr>
        <w:spacing w:line="581" w:lineRule="auto"/>
        <w:ind w:firstLineChars="147" w:firstLine="470"/>
        <w:rPr>
          <w:rFonts w:ascii="仿宋" w:eastAsia="仿宋" w:cs="仿宋" w:hAnsi="仿宋"/>
          <w:b/>
          <w:sz w:val="32"/>
        </w:rPr>
      </w:pPr>
      <w:r>
        <w:rPr>
          <w:rFonts w:ascii="仿宋" w:eastAsia="仿宋" w:cs="仿宋" w:hAnsi="仿宋" w:hint="eastAsia"/>
          <w:b/>
          <w:sz w:val="32"/>
        </w:rPr>
        <w:t>（一）</w:t>
      </w:r>
      <w:r>
        <w:rPr>
          <w:rFonts w:ascii="仿宋" w:eastAsia="仿宋" w:cs="仿宋" w:hAnsi="仿宋"/>
          <w:b/>
          <w:sz w:val="32"/>
        </w:rPr>
        <w:t>预算绩效管理工作开展情况。</w:t>
      </w:r>
    </w:p>
    <w:p>
      <w:pPr>
        <w:spacing w:line="581" w:lineRule="auto"/>
        <w:ind w:firstLine="640"/>
        <w:rPr>
          <w:rFonts w:ascii="仿宋_GB2312" w:eastAsia="仿宋_GB2312" w:cs="仿宋_GB2312" w:hAnsi="仿宋_GB2312"/>
          <w:sz w:val="32"/>
        </w:rPr>
      </w:pPr>
      <w:r>
        <w:rPr>
          <w:rFonts w:ascii="仿宋_GB2312" w:eastAsia="仿宋_GB2312" w:cs="仿宋_GB2312" w:hAnsi="仿宋_GB2312"/>
          <w:sz w:val="32"/>
        </w:rPr>
        <w:t>根据预算绩效管理要求，</w:t>
      </w:r>
      <w:r>
        <w:rPr>
          <w:rFonts w:ascii="仿宋_GB2312" w:eastAsia="仿宋_GB2312" w:cs="仿宋_GB2312" w:hAnsi="仿宋_GB2312" w:hint="eastAsia"/>
          <w:sz w:val="32"/>
        </w:rPr>
        <w:t>我</w:t>
      </w:r>
      <w:r>
        <w:rPr>
          <w:rFonts w:ascii="仿宋_GB2312" w:eastAsia="仿宋_GB2312" w:cs="仿宋_GB2312" w:hAnsi="仿宋_GB2312"/>
          <w:sz w:val="32"/>
        </w:rPr>
        <w:t>单位在年初预算编制阶段，组织对</w:t>
      </w:r>
      <w:r>
        <w:rPr>
          <w:rFonts w:ascii="仿宋_GB2312" w:eastAsia="仿宋_GB2312" w:cs="仿宋_GB2312" w:hAnsi="仿宋_GB2312" w:hint="eastAsia"/>
          <w:sz w:val="32"/>
        </w:rPr>
        <w:t>13个</w:t>
      </w:r>
      <w:r>
        <w:rPr>
          <w:rFonts w:ascii="仿宋_GB2312" w:eastAsia="仿宋_GB2312" w:cs="仿宋_GB2312" w:hAnsi="仿宋_GB2312"/>
          <w:sz w:val="32"/>
        </w:rPr>
        <w:t>项目开展了预算事前绩效评估，对</w:t>
      </w:r>
      <w:r>
        <w:rPr>
          <w:rFonts w:ascii="仿宋_GB2312" w:eastAsia="仿宋_GB2312" w:cs="仿宋_GB2312" w:hAnsi="仿宋_GB2312" w:hint="eastAsia"/>
          <w:sz w:val="32"/>
        </w:rPr>
        <w:t>13</w:t>
      </w:r>
      <w:r>
        <w:rPr>
          <w:rFonts w:ascii="仿宋_GB2312" w:eastAsia="仿宋_GB2312" w:cs="仿宋_GB2312" w:hAnsi="仿宋_GB2312"/>
          <w:sz w:val="32"/>
        </w:rPr>
        <w:t>个项目编制了绩效目标，预算执行过程中，选取</w:t>
      </w:r>
      <w:r>
        <w:rPr>
          <w:rFonts w:ascii="仿宋_GB2312" w:eastAsia="仿宋_GB2312" w:cs="仿宋_GB2312" w:hAnsi="仿宋_GB2312" w:hint="eastAsia"/>
          <w:sz w:val="32"/>
        </w:rPr>
        <w:t>5</w:t>
      </w:r>
      <w:r>
        <w:rPr>
          <w:rFonts w:ascii="仿宋_GB2312" w:eastAsia="仿宋_GB2312" w:cs="仿宋_GB2312" w:hAnsi="仿宋_GB2312"/>
          <w:sz w:val="32"/>
        </w:rPr>
        <w:t>个项目开展绩效监控，年终执行完毕后，对</w:t>
      </w:r>
      <w:r>
        <w:rPr>
          <w:rFonts w:ascii="仿宋_GB2312" w:eastAsia="仿宋_GB2312" w:cs="仿宋_GB2312" w:hAnsi="仿宋_GB2312" w:hint="eastAsia"/>
          <w:sz w:val="32"/>
        </w:rPr>
        <w:t>5</w:t>
      </w:r>
      <w:r>
        <w:rPr>
          <w:rFonts w:ascii="仿宋_GB2312" w:eastAsia="仿宋_GB2312" w:cs="仿宋_GB2312" w:hAnsi="仿宋_GB2312"/>
          <w:sz w:val="32"/>
        </w:rPr>
        <w:t>个项目开展了绩效目标完成情况梳理填报。</w:t>
      </w:r>
    </w:p>
    <w:p>
      <w:pPr>
        <w:spacing w:line="581" w:lineRule="auto"/>
        <w:ind w:firstLine="640"/>
        <w:rPr>
          <w:rFonts w:ascii="仿宋_GB2312" w:eastAsia="仿宋_GB2312" w:cs="仿宋_GB2312" w:hAnsi="仿宋_GB2312"/>
          <w:sz w:val="32"/>
        </w:rPr>
      </w:pPr>
      <w:r>
        <w:rPr>
          <w:rFonts w:ascii="仿宋_GB2312" w:eastAsia="仿宋_GB2312" w:cs="仿宋_GB2312" w:hAnsi="仿宋_GB2312" w:hint="eastAsia"/>
          <w:sz w:val="32"/>
        </w:rPr>
        <w:t>我单位</w:t>
      </w:r>
      <w:r>
        <w:rPr>
          <w:rFonts w:ascii="仿宋_GB2312" w:eastAsia="仿宋_GB2312" w:cs="仿宋_GB2312" w:hAnsi="仿宋_GB2312"/>
          <w:sz w:val="32"/>
        </w:rPr>
        <w:t>按要求对2018年部门整体支出开展绩效自评，从评价情况来看</w:t>
      </w:r>
      <w:r>
        <w:rPr>
          <w:rFonts w:ascii="仿宋" w:eastAsia="仿宋" w:cs="仿宋" w:hAnsi="仿宋" w:hint="eastAsia"/>
          <w:sz w:val="32"/>
        </w:rPr>
        <w:t>：</w:t>
      </w:r>
      <w:r>
        <w:rPr>
          <w:rFonts w:ascii="仿宋_GB2312" w:eastAsia="仿宋_GB2312" w:cs="仿宋_GB2312" w:hAnsi="仿宋_GB2312" w:hint="eastAsia"/>
          <w:sz w:val="32"/>
        </w:rPr>
        <w:t>2018年度部门预算具有明确的用途和目标，制定了详细的执行计划，资金严格按照财政有关规定使用。预算决策、管理、执行等日益规范，能很好地满足工作需要，取得了良好经济效益和社会效益。</w:t>
      </w:r>
      <w:r>
        <w:rPr>
          <w:rFonts w:ascii="仿宋_GB2312" w:eastAsia="仿宋_GB2312" w:cs="仿宋_GB2312" w:hAnsi="仿宋_GB2312"/>
          <w:sz w:val="32"/>
        </w:rPr>
        <w:t>本部门还自行组织了</w:t>
      </w:r>
      <w:r>
        <w:rPr>
          <w:rFonts w:ascii="仿宋_GB2312" w:eastAsia="仿宋_GB2312" w:cs="仿宋_GB2312" w:hAnsi="仿宋_GB2312" w:hint="eastAsia"/>
          <w:sz w:val="32"/>
        </w:rPr>
        <w:t>5</w:t>
      </w:r>
      <w:r>
        <w:rPr>
          <w:rFonts w:ascii="仿宋_GB2312" w:eastAsia="仿宋_GB2312" w:cs="仿宋_GB2312" w:hAnsi="仿宋_GB2312"/>
          <w:sz w:val="32"/>
        </w:rPr>
        <w:t>个项目绩效评价，从评价情况来看</w:t>
      </w:r>
      <w:r>
        <w:rPr>
          <w:rFonts w:ascii="仿宋_GB2312" w:eastAsia="仿宋_GB2312" w:cs="仿宋_GB2312" w:hAnsi="仿宋_GB2312" w:hint="eastAsia"/>
          <w:sz w:val="32"/>
        </w:rPr>
        <w:t>：各项目完成较好，对环卫设施设备的扩充，提升了环卫运行效率，促进了城区环境质量的改善；对环卫工人的慰问充分体现了社会对基层劳动者的人文关怀，较好的实现了各专项经费的目标绩效</w:t>
      </w:r>
      <w:r>
        <w:rPr>
          <w:rFonts w:ascii="仿宋_GB2312" w:eastAsia="仿宋_GB2312" w:cs="仿宋_GB2312" w:hAnsi="仿宋_GB2312"/>
          <w:sz w:val="32"/>
        </w:rPr>
        <w:t>。</w:t>
      </w:r>
    </w:p>
    <w:p>
      <w:pPr>
        <w:spacing w:line="581" w:lineRule="auto"/>
        <w:ind w:firstLineChars="147" w:firstLine="470"/>
        <w:rPr>
          <w:rFonts w:ascii="仿宋" w:eastAsia="仿宋" w:cs="仿宋" w:hAnsi="仿宋"/>
          <w:b/>
          <w:sz w:val="32"/>
        </w:rPr>
      </w:pPr>
      <w:r>
        <w:rPr>
          <w:rFonts w:ascii="仿宋" w:eastAsia="仿宋" w:cs="仿宋" w:hAnsi="仿宋" w:hint="eastAsia"/>
          <w:b/>
          <w:sz w:val="32"/>
        </w:rPr>
        <w:t>（二）项目绩效目标完成情况。</w:t>
      </w:r>
    </w:p>
    <w:p>
      <w:pPr>
        <w:spacing w:line="581" w:lineRule="auto"/>
        <w:rPr>
          <w:rFonts w:ascii="仿宋_GB2312" w:eastAsia="仿宋_GB2312" w:cs="仿宋_GB2312" w:hAnsi="仿宋_GB2312"/>
          <w:color w:val="FF0000"/>
          <w:sz w:val="32"/>
        </w:rPr>
      </w:pPr>
      <w:r>
        <w:rPr>
          <w:rFonts w:ascii="仿宋_GB2312" w:eastAsia="仿宋_GB2312" w:cs="仿宋_GB2312" w:hAnsi="仿宋_GB2312"/>
          <w:sz w:val="32"/>
        </w:rPr>
        <w:t xml:space="preserve">    本部门在2018年度部门决算中反映</w:t>
      </w:r>
      <w:r>
        <w:rPr>
          <w:rFonts w:ascii="仿宋_GB2312" w:eastAsia="仿宋_GB2312" w:cs="仿宋_GB2312" w:hAnsi="仿宋_GB2312" w:hint="eastAsia"/>
          <w:sz w:val="32"/>
        </w:rPr>
        <w:t>了</w:t>
      </w:r>
      <w:r>
        <w:rPr>
          <w:rFonts w:ascii="仿宋_GB2312" w:eastAsia="仿宋_GB2312" w:cs="仿宋_GB2312" w:hAnsi="仿宋_GB2312"/>
          <w:sz w:val="32"/>
        </w:rPr>
        <w:t>“</w:t>
      </w:r>
      <w:r>
        <w:rPr>
          <w:rFonts w:ascii="仿宋_GB2312" w:eastAsia="仿宋_GB2312" w:cs="仿宋_GB2312" w:hAnsi="仿宋_GB2312" w:hint="eastAsia"/>
          <w:sz w:val="32"/>
        </w:rPr>
        <w:t>城市扬尘整治降尘设施设备采购项目</w:t>
      </w:r>
      <w:r>
        <w:rPr>
          <w:rFonts w:ascii="仿宋_GB2312" w:eastAsia="仿宋_GB2312" w:cs="仿宋_GB2312" w:hAnsi="仿宋_GB2312"/>
          <w:sz w:val="32"/>
        </w:rPr>
        <w:t>”</w:t>
      </w:r>
      <w:r>
        <w:rPr>
          <w:rFonts w:ascii="仿宋_GB2312" w:eastAsia="仿宋_GB2312" w:cs="仿宋_GB2312" w:hAnsi="仿宋_GB2312" w:hint="eastAsia"/>
          <w:sz w:val="32"/>
        </w:rPr>
        <w:t>、“ 城区环境保护清扫保洁及洒水降尘设备采购项目</w:t>
      </w:r>
      <w:r>
        <w:rPr>
          <w:rFonts w:ascii="仿宋_GB2312" w:eastAsia="仿宋_GB2312" w:cs="仿宋_GB2312" w:hAnsi="仿宋_GB2312"/>
          <w:sz w:val="32"/>
        </w:rPr>
        <w:t>”</w:t>
      </w:r>
      <w:r>
        <w:rPr>
          <w:rFonts w:ascii="仿宋_GB2312" w:eastAsia="仿宋_GB2312" w:cs="仿宋_GB2312" w:hAnsi="仿宋_GB2312" w:hint="eastAsia"/>
          <w:sz w:val="32"/>
        </w:rPr>
        <w:t>、</w:t>
      </w:r>
      <w:r>
        <w:rPr>
          <w:rFonts w:ascii="仿宋_GB2312" w:eastAsia="仿宋_GB2312" w:cs="仿宋_GB2312" w:hAnsi="仿宋_GB2312"/>
          <w:sz w:val="32"/>
        </w:rPr>
        <w:t>“</w:t>
      </w:r>
      <w:r>
        <w:rPr>
          <w:rFonts w:ascii="仿宋_GB2312" w:eastAsia="仿宋_GB2312" w:cs="仿宋_GB2312" w:hAnsi="仿宋_GB2312" w:hint="eastAsia"/>
          <w:sz w:val="32"/>
        </w:rPr>
        <w:t>环卫工人休息室修建项目</w:t>
      </w:r>
      <w:r>
        <w:rPr>
          <w:rFonts w:ascii="仿宋_GB2312" w:eastAsia="仿宋_GB2312" w:cs="仿宋_GB2312" w:hAnsi="仿宋_GB2312"/>
          <w:sz w:val="32"/>
        </w:rPr>
        <w:t>”</w:t>
      </w:r>
      <w:r>
        <w:rPr>
          <w:rFonts w:ascii="仿宋_GB2312" w:eastAsia="仿宋_GB2312" w:cs="仿宋_GB2312" w:hAnsi="仿宋_GB2312" w:hint="eastAsia"/>
          <w:sz w:val="32"/>
        </w:rPr>
        <w:t>、“环卫工人服装购置”、“2018年环卫工人春节慰问”</w:t>
      </w:r>
      <w:r>
        <w:rPr>
          <w:rFonts w:ascii="仿宋_GB2312" w:eastAsia="仿宋_GB2312" w:cs="仿宋_GB2312" w:hAnsi="仿宋_GB2312"/>
          <w:sz w:val="32"/>
        </w:rPr>
        <w:t>等</w:t>
      </w:r>
      <w:r>
        <w:rPr>
          <w:rFonts w:ascii="仿宋_GB2312" w:eastAsia="仿宋_GB2312" w:cs="仿宋_GB2312" w:hAnsi="仿宋_GB2312" w:hint="eastAsia"/>
          <w:sz w:val="32"/>
        </w:rPr>
        <w:t>5</w:t>
      </w:r>
      <w:r>
        <w:rPr>
          <w:rFonts w:ascii="仿宋_GB2312" w:eastAsia="仿宋_GB2312" w:cs="仿宋_GB2312" w:hAnsi="仿宋_GB2312"/>
          <w:sz w:val="32"/>
        </w:rPr>
        <w:t>个项目绩效目标实际完成情况。</w:t>
      </w:r>
    </w:p>
    <w:p>
      <w:pPr>
        <w:ind w:firstLine="800"/>
        <w:rPr>
          <w:rFonts w:ascii="仿宋" w:eastAsia="仿宋" w:cs="仿宋" w:hAnsi="仿宋"/>
          <w:sz w:val="32"/>
        </w:rPr>
      </w:pPr>
      <w:r>
        <w:rPr>
          <w:rFonts w:ascii="仿宋_GB2312" w:eastAsia="仿宋_GB2312" w:cs="仿宋_GB2312" w:hAnsi="仿宋_GB2312" w:hint="eastAsia"/>
          <w:sz w:val="32"/>
        </w:rPr>
        <w:t>我单位13个</w:t>
      </w:r>
      <w:r>
        <w:rPr>
          <w:rFonts w:ascii="仿宋_GB2312" w:eastAsia="仿宋_GB2312" w:cs="仿宋_GB2312" w:hAnsi="仿宋_GB2312"/>
          <w:sz w:val="32"/>
        </w:rPr>
        <w:t>项目绩效目标完成情况综述</w:t>
      </w:r>
      <w:r>
        <w:rPr>
          <w:rFonts w:ascii="仿宋_GB2312" w:eastAsia="仿宋_GB2312" w:cs="仿宋_GB2312" w:hAnsi="仿宋_GB2312" w:hint="eastAsia"/>
          <w:sz w:val="32"/>
        </w:rPr>
        <w:t>：</w:t>
      </w:r>
      <w:r>
        <w:rPr>
          <w:rFonts w:ascii="仿宋_GB2312" w:eastAsia="仿宋_GB2312" w:cs="仿宋_GB2312" w:hAnsi="仿宋_GB2312"/>
          <w:sz w:val="32"/>
        </w:rPr>
        <w:t>项目全年预算数</w:t>
      </w:r>
      <w:r>
        <w:rPr>
          <w:rFonts w:ascii="仿宋_GB2312" w:eastAsia="仿宋_GB2312" w:cs="仿宋_GB2312" w:hAnsi="仿宋_GB2312" w:hint="eastAsia"/>
          <w:sz w:val="32"/>
        </w:rPr>
        <w:t>4968.81</w:t>
      </w:r>
      <w:r>
        <w:rPr>
          <w:rFonts w:ascii="仿宋_GB2312" w:eastAsia="仿宋_GB2312" w:cs="仿宋_GB2312" w:hAnsi="仿宋_GB2312"/>
          <w:sz w:val="32"/>
        </w:rPr>
        <w:t>万元，执行数为</w:t>
      </w:r>
      <w:r>
        <w:rPr>
          <w:rFonts w:ascii="仿宋_GB2312" w:eastAsia="仿宋_GB2312" w:cs="仿宋_GB2312" w:hAnsi="仿宋_GB2312" w:hint="eastAsia"/>
          <w:sz w:val="32"/>
        </w:rPr>
        <w:t>1794.28</w:t>
      </w:r>
      <w:r>
        <w:rPr>
          <w:rFonts w:ascii="仿宋_GB2312" w:eastAsia="仿宋_GB2312" w:cs="仿宋_GB2312" w:hAnsi="仿宋_GB2312"/>
          <w:sz w:val="32"/>
        </w:rPr>
        <w:t>万元，完成预算的</w:t>
      </w:r>
      <w:r>
        <w:rPr>
          <w:rFonts w:ascii="仿宋_GB2312" w:eastAsia="仿宋_GB2312" w:cs="仿宋_GB2312" w:hAnsi="仿宋_GB2312" w:hint="eastAsia"/>
          <w:sz w:val="32"/>
        </w:rPr>
        <w:t>36.11</w:t>
      </w:r>
      <w:r>
        <w:rPr>
          <w:rFonts w:ascii="仿宋_GB2312" w:eastAsia="仿宋_GB2312" w:cs="仿宋_GB2312" w:hAnsi="仿宋_GB2312"/>
          <w:sz w:val="32"/>
        </w:rPr>
        <w:t>%。</w:t>
      </w:r>
      <w:r>
        <w:rPr>
          <w:rFonts w:ascii="仿宋_GB2312" w:eastAsia="仿宋_GB2312" w:cs="仿宋_GB2312" w:hAnsi="仿宋_GB2312" w:hint="eastAsia"/>
          <w:sz w:val="32"/>
        </w:rPr>
        <w:t>未完成预算的主要原因：一是餐厨垃圾收运处置项目预算2250万元，该项目正处于前期阶段，暂未形成支出；二是垃圾焚烧发电处理费（PPP）项目本年度财政拨款1250万元，2018年完成财政拨款的60%，剩余部分将根据广元博能再生能源有限公司垃圾焚烧量予以支付。</w:t>
      </w:r>
      <w:r>
        <w:rPr>
          <w:rFonts w:ascii="仿宋_GB2312" w:eastAsia="仿宋_GB2312" w:cs="仿宋_GB2312" w:hAnsi="仿宋_GB2312"/>
          <w:sz w:val="32"/>
        </w:rPr>
        <w:t>通过项目实施，保障了</w:t>
      </w:r>
      <w:r>
        <w:rPr>
          <w:rFonts w:ascii="仿宋" w:eastAsia="仿宋" w:cs="仿宋" w:hAnsi="仿宋" w:hint="eastAsia"/>
          <w:sz w:val="32"/>
        </w:rPr>
        <w:t>环卫</w:t>
      </w:r>
      <w:r>
        <w:rPr>
          <w:rFonts w:ascii="仿宋" w:eastAsia="仿宋" w:cs="仿宋" w:hAnsi="仿宋"/>
          <w:sz w:val="32"/>
        </w:rPr>
        <w:t>建设</w:t>
      </w:r>
      <w:r>
        <w:rPr>
          <w:rFonts w:ascii="仿宋" w:eastAsia="仿宋" w:cs="仿宋" w:hAnsi="仿宋" w:hint="eastAsia"/>
          <w:sz w:val="32"/>
        </w:rPr>
        <w:t>效能的提升、促进了城区环境质量的改善、提升了政府城市管理能力</w:t>
      </w:r>
      <w:r>
        <w:rPr>
          <w:rFonts w:ascii="仿宋" w:eastAsia="仿宋" w:cs="仿宋" w:hAnsi="仿宋"/>
          <w:sz w:val="32"/>
        </w:rPr>
        <w:t>。</w:t>
      </w:r>
      <w:r>
        <w:rPr>
          <w:rFonts w:ascii="仿宋_GB2312" w:eastAsia="仿宋_GB2312" w:cs="仿宋_GB2312" w:hAnsi="仿宋_GB2312"/>
          <w:sz w:val="32"/>
        </w:rPr>
        <w:t>发现的主要问题：</w:t>
      </w:r>
      <w:r>
        <w:rPr>
          <w:rFonts w:ascii="仿宋" w:eastAsia="仿宋" w:cs="仿宋" w:hAnsi="仿宋" w:hint="eastAsia"/>
          <w:sz w:val="32"/>
        </w:rPr>
        <w:t>随着城区面积日益扩大，垃圾清运、大气污染防治等工作任务加重，现有环卫设施设备仍不能达到城市建设和市民的需求，保障资金不足</w:t>
      </w:r>
      <w:r>
        <w:rPr>
          <w:rFonts w:ascii="仿宋_GB2312" w:eastAsia="仿宋_GB2312" w:cs="仿宋_GB2312" w:hAnsi="仿宋_GB2312"/>
          <w:sz w:val="32"/>
        </w:rPr>
        <w:t>。下一步改进措施：</w:t>
      </w:r>
      <w:r>
        <w:rPr>
          <w:rFonts w:ascii="仿宋_GB2312" w:eastAsia="仿宋_GB2312" w:cs="仿宋_GB2312" w:hAnsi="仿宋_GB2312" w:hint="eastAsia"/>
          <w:sz w:val="32"/>
        </w:rPr>
        <w:t>进一步加强环卫各项工作的精细化管理程度，提升环卫管理效率。</w:t>
      </w:r>
    </w:p>
    <w:p>
      <w:pPr>
        <w:spacing w:line="581" w:lineRule="auto"/>
        <w:ind w:firstLineChars="147" w:firstLine="470"/>
        <w:rPr>
          <w:rFonts w:ascii="仿宋" w:eastAsia="仿宋" w:cs="仿宋" w:hAnsi="仿宋"/>
          <w:sz w:val="32"/>
        </w:rPr>
      </w:pPr>
      <w:r>
        <w:rPr>
          <w:rFonts w:ascii="仿宋" w:eastAsia="仿宋" w:cs="仿宋" w:hAnsi="仿宋" w:hint="eastAsia"/>
          <w:b/>
          <w:sz w:val="32"/>
        </w:rPr>
        <w:t>（三）</w:t>
      </w:r>
      <w:r>
        <w:rPr>
          <w:rFonts w:ascii="仿宋" w:eastAsia="仿宋" w:cs="仿宋" w:hAnsi="仿宋"/>
          <w:b/>
          <w:sz w:val="32"/>
        </w:rPr>
        <w:t>部门开展绩效评价结果。</w:t>
      </w:r>
    </w:p>
    <w:p>
      <w:pPr>
        <w:spacing w:line="581" w:lineRule="auto"/>
        <w:ind w:firstLine="640"/>
        <w:rPr>
          <w:rFonts w:ascii="仿宋_GB2312" w:eastAsia="仿宋_GB2312" w:cs="仿宋_GB2312" w:hAnsi="仿宋_GB2312"/>
          <w:sz w:val="32"/>
        </w:rPr>
      </w:pPr>
      <w:r>
        <w:rPr>
          <w:rFonts w:ascii="仿宋_GB2312" w:eastAsia="仿宋_GB2312" w:cs="仿宋_GB2312" w:hAnsi="仿宋_GB2312" w:hint="eastAsia"/>
          <w:sz w:val="32"/>
        </w:rPr>
        <w:t>我单位</w:t>
      </w:r>
      <w:r>
        <w:rPr>
          <w:rFonts w:ascii="仿宋_GB2312" w:eastAsia="仿宋_GB2312" w:cs="仿宋_GB2312" w:hAnsi="仿宋_GB2312"/>
          <w:sz w:val="32"/>
        </w:rPr>
        <w:t>按要求对2018年部门整体支出绩效评价情况开展自评，《</w:t>
      </w:r>
      <w:r>
        <w:rPr>
          <w:rFonts w:ascii="仿宋_GB2312" w:eastAsia="仿宋_GB2312" w:cs="仿宋_GB2312" w:hAnsi="仿宋_GB2312" w:hint="eastAsia"/>
          <w:sz w:val="32"/>
        </w:rPr>
        <w:t>广元市利州区环境卫生管理局</w:t>
      </w:r>
      <w:r>
        <w:rPr>
          <w:rFonts w:ascii="仿宋_GB2312" w:eastAsia="仿宋_GB2312" w:cs="仿宋_GB2312" w:hAnsi="仿宋_GB2312"/>
          <w:sz w:val="32"/>
        </w:rPr>
        <w:t>2018年部门整体支出绩效评价报告》见附件。</w:t>
      </w:r>
    </w:p>
    <w:p>
      <w:pPr>
        <w:spacing w:line="600" w:lineRule="auto"/>
        <w:ind w:firstLineChars="200" w:firstLine="640"/>
        <w:jc w:val="left"/>
        <w:rPr>
          <w:rFonts w:ascii="仿宋_GB2312" w:eastAsia="仿宋_GB2312" w:cs="仿宋_GB2312" w:hAnsi="仿宋_GB2312"/>
          <w:sz w:val="32"/>
        </w:rPr>
      </w:pPr>
      <w:r>
        <w:rPr>
          <w:rFonts w:ascii="仿宋_GB2312" w:eastAsia="仿宋_GB2312" w:cs="仿宋_GB2312" w:hAnsi="仿宋_GB2312" w:hint="eastAsia"/>
          <w:sz w:val="32"/>
        </w:rPr>
        <w:t>我单位</w:t>
      </w:r>
      <w:r>
        <w:rPr>
          <w:rFonts w:ascii="仿宋_GB2312" w:eastAsia="仿宋_GB2312" w:cs="仿宋_GB2312" w:hAnsi="仿宋_GB2312"/>
          <w:sz w:val="32"/>
        </w:rPr>
        <w:t>自行组织对“</w:t>
      </w:r>
      <w:r>
        <w:rPr>
          <w:rFonts w:ascii="仿宋_GB2312" w:eastAsia="仿宋_GB2312" w:cs="仿宋_GB2312" w:hAnsi="仿宋_GB2312" w:hint="eastAsia"/>
          <w:sz w:val="32"/>
        </w:rPr>
        <w:t>城市扬尘整治降尘设施设备采购项目</w:t>
      </w:r>
      <w:r>
        <w:rPr>
          <w:rFonts w:ascii="仿宋_GB2312" w:eastAsia="仿宋_GB2312" w:cs="仿宋_GB2312" w:hAnsi="仿宋_GB2312"/>
          <w:sz w:val="32"/>
        </w:rPr>
        <w:t>”</w:t>
      </w:r>
      <w:r>
        <w:rPr>
          <w:rFonts w:ascii="仿宋_GB2312" w:eastAsia="仿宋_GB2312" w:cs="仿宋_GB2312" w:hAnsi="仿宋_GB2312" w:hint="eastAsia"/>
          <w:sz w:val="32"/>
        </w:rPr>
        <w:t>、“ 城区环境保护清扫保洁及洒水降尘设备采购项目</w:t>
      </w:r>
      <w:r>
        <w:rPr>
          <w:rFonts w:ascii="仿宋_GB2312" w:eastAsia="仿宋_GB2312" w:cs="仿宋_GB2312" w:hAnsi="仿宋_GB2312"/>
          <w:sz w:val="32"/>
        </w:rPr>
        <w:t>”</w:t>
      </w:r>
      <w:r>
        <w:rPr>
          <w:rFonts w:ascii="仿宋_GB2312" w:eastAsia="仿宋_GB2312" w:cs="仿宋_GB2312" w:hAnsi="仿宋_GB2312" w:hint="eastAsia"/>
          <w:sz w:val="32"/>
        </w:rPr>
        <w:t>、</w:t>
      </w:r>
      <w:r>
        <w:rPr>
          <w:rFonts w:ascii="仿宋_GB2312" w:eastAsia="仿宋_GB2312" w:cs="仿宋_GB2312" w:hAnsi="仿宋_GB2312"/>
          <w:sz w:val="32"/>
        </w:rPr>
        <w:t>“</w:t>
      </w:r>
      <w:r>
        <w:rPr>
          <w:rFonts w:ascii="仿宋_GB2312" w:eastAsia="仿宋_GB2312" w:cs="仿宋_GB2312" w:hAnsi="仿宋_GB2312" w:hint="eastAsia"/>
          <w:sz w:val="32"/>
        </w:rPr>
        <w:t>环卫工人休息室修建项目</w:t>
      </w:r>
      <w:r>
        <w:rPr>
          <w:rFonts w:ascii="仿宋_GB2312" w:eastAsia="仿宋_GB2312" w:cs="仿宋_GB2312" w:hAnsi="仿宋_GB2312"/>
          <w:sz w:val="32"/>
        </w:rPr>
        <w:t>”</w:t>
      </w:r>
      <w:r>
        <w:rPr>
          <w:rFonts w:ascii="仿宋_GB2312" w:eastAsia="仿宋_GB2312" w:cs="仿宋_GB2312" w:hAnsi="仿宋_GB2312" w:hint="eastAsia"/>
          <w:sz w:val="32"/>
        </w:rPr>
        <w:t>、“环卫工人服装购置”、“2018年环卫工人春节慰问”等项目</w:t>
      </w:r>
      <w:r>
        <w:rPr>
          <w:rFonts w:ascii="仿宋_GB2312" w:eastAsia="仿宋_GB2312" w:cs="仿宋_GB2312" w:hAnsi="仿宋_GB2312"/>
          <w:sz w:val="32"/>
        </w:rPr>
        <w:t>开展了绩效评价，</w:t>
      </w:r>
      <w:r>
        <w:rPr>
          <w:rFonts w:ascii="仿宋_GB2312" w:eastAsia="仿宋_GB2312" w:cs="仿宋_GB2312" w:hAnsi="仿宋_GB2312" w:hint="eastAsia"/>
          <w:sz w:val="32"/>
        </w:rPr>
        <w:t>各</w:t>
      </w:r>
      <w:r>
        <w:rPr>
          <w:rFonts w:ascii="仿宋_GB2312" w:eastAsia="仿宋_GB2312" w:cs="仿宋_GB2312" w:hAnsi="仿宋_GB2312"/>
          <w:sz w:val="32"/>
        </w:rPr>
        <w:t>项目2018年绩效评价报告见附件</w:t>
      </w:r>
      <w:r>
        <w:rPr>
          <w:rFonts w:ascii="仿宋_GB2312" w:eastAsia="仿宋_GB2312" w:cs="仿宋_GB2312" w:hAnsi="仿宋_GB2312" w:hint="eastAsia"/>
          <w:sz w:val="32"/>
        </w:rPr>
        <w:t>。</w:t>
      </w:r>
    </w:p>
    <w:p>
      <w:pPr>
        <w:spacing w:line="600" w:lineRule="auto"/>
        <w:ind w:firstLine="800"/>
        <w:rPr>
          <w:rFonts w:ascii="黑体" w:eastAsia="黑体" w:cs="黑体" w:hAnsi="黑体"/>
          <w:b/>
          <w:sz w:val="32"/>
        </w:rPr>
      </w:pPr>
      <w:r>
        <w:rPr>
          <w:rFonts w:ascii="黑体" w:eastAsia="黑体" w:cs="黑体" w:hAnsi="黑体"/>
          <w:color w:val="000000"/>
          <w:sz w:val="32"/>
        </w:rPr>
        <w:t>十</w:t>
      </w:r>
      <w:r>
        <w:rPr>
          <w:rFonts w:ascii="黑体" w:eastAsia="黑体" w:cs="黑体" w:hAnsi="黑体"/>
          <w:b/>
          <w:sz w:val="32"/>
        </w:rPr>
        <w:t>一、</w:t>
      </w:r>
      <w:r>
        <w:rPr>
          <w:rFonts w:ascii="黑体" w:eastAsia="黑体" w:cs="黑体" w:hAnsi="黑体"/>
          <w:sz w:val="32"/>
        </w:rPr>
        <w:t>其他重要事项的情况说明</w:t>
      </w:r>
    </w:p>
    <w:p>
      <w:pPr>
        <w:spacing w:line="600" w:lineRule="auto"/>
        <w:ind w:firstLine="643"/>
        <w:rPr>
          <w:rFonts w:ascii="仿宋" w:eastAsia="仿宋" w:cs="仿宋" w:hAnsi="仿宋"/>
          <w:color w:val="000000"/>
          <w:sz w:val="32"/>
        </w:rPr>
      </w:pPr>
      <w:r>
        <w:rPr>
          <w:rFonts w:ascii="仿宋" w:eastAsia="仿宋" w:cs="仿宋" w:hAnsi="仿宋"/>
          <w:b/>
          <w:color w:val="000000"/>
          <w:sz w:val="32"/>
        </w:rPr>
        <w:t>（一）机关运行经费支出情况</w:t>
      </w:r>
    </w:p>
    <w:p>
      <w:pPr>
        <w:spacing w:line="600" w:lineRule="auto"/>
        <w:ind w:firstLine="640"/>
        <w:rPr>
          <w:rFonts w:ascii="仿宋" w:eastAsia="仿宋" w:cs="仿宋" w:hAnsi="仿宋"/>
          <w:b/>
          <w:color w:val="000000"/>
          <w:sz w:val="32"/>
        </w:rPr>
      </w:pPr>
      <w:r>
        <w:rPr>
          <w:rFonts w:ascii="仿宋_GB2312" w:eastAsia="仿宋_GB2312" w:cs="仿宋_GB2312" w:hAnsi="仿宋_GB2312"/>
          <w:color w:val="000000"/>
          <w:sz w:val="32"/>
        </w:rPr>
        <w:t>2018年</w:t>
      </w:r>
      <w:r>
        <w:rPr>
          <w:rFonts w:ascii="仿宋_GB2312" w:eastAsia="仿宋_GB2312" w:cs="仿宋_GB2312" w:hAnsi="仿宋_GB2312" w:hint="eastAsia"/>
          <w:color w:val="000000"/>
          <w:sz w:val="32"/>
        </w:rPr>
        <w:t>度我单位</w:t>
      </w:r>
      <w:r>
        <w:rPr>
          <w:rFonts w:ascii="仿宋_GB2312" w:eastAsia="仿宋_GB2312" w:cs="仿宋_GB2312" w:hAnsi="仿宋_GB2312"/>
          <w:color w:val="000000"/>
          <w:sz w:val="32"/>
        </w:rPr>
        <w:t>机关运行经费支出</w:t>
      </w:r>
      <w:r>
        <w:rPr>
          <w:rFonts w:ascii="仿宋_GB2312" w:eastAsia="仿宋_GB2312" w:cs="仿宋_GB2312" w:hAnsi="仿宋_GB2312" w:hint="eastAsia"/>
          <w:color w:val="000000"/>
          <w:sz w:val="32"/>
        </w:rPr>
        <w:t>0</w:t>
      </w:r>
      <w:r>
        <w:rPr>
          <w:rFonts w:ascii="仿宋_GB2312" w:eastAsia="仿宋_GB2312" w:cs="仿宋_GB2312" w:hAnsi="仿宋_GB2312"/>
          <w:color w:val="000000"/>
          <w:sz w:val="32"/>
        </w:rPr>
        <w:t>万元</w:t>
      </w:r>
      <w:r>
        <w:rPr>
          <w:rFonts w:ascii="仿宋" w:eastAsia="仿宋" w:cs="仿宋" w:hAnsi="仿宋" w:hint="eastAsia"/>
          <w:b/>
          <w:color w:val="000000"/>
          <w:sz w:val="32"/>
        </w:rPr>
        <w:t>。</w:t>
      </w:r>
    </w:p>
    <w:p>
      <w:pPr>
        <w:spacing w:line="600" w:lineRule="auto"/>
        <w:ind w:firstLine="643"/>
        <w:jc w:val="left"/>
        <w:rPr>
          <w:rFonts w:ascii="仿宋" w:eastAsia="仿宋" w:cs="仿宋" w:hAnsi="仿宋"/>
          <w:b/>
          <w:color w:val="000000"/>
          <w:sz w:val="32"/>
        </w:rPr>
      </w:pPr>
      <w:r>
        <w:rPr>
          <w:rFonts w:ascii="仿宋" w:eastAsia="仿宋" w:cs="仿宋" w:hAnsi="仿宋"/>
          <w:b/>
          <w:color w:val="000000"/>
          <w:sz w:val="32"/>
        </w:rPr>
        <w:t>（二）政府采购支出情况</w:t>
      </w:r>
    </w:p>
    <w:p>
      <w:pPr>
        <w:spacing w:line="600" w:lineRule="auto"/>
        <w:ind w:firstLine="640"/>
        <w:rPr>
          <w:rFonts w:ascii="仿宋_GB2312" w:eastAsia="仿宋_GB2312" w:cs="仿宋_GB2312" w:hAnsi="仿宋_GB2312"/>
          <w:sz w:val="32"/>
        </w:rPr>
      </w:pPr>
      <w:r>
        <w:rPr>
          <w:rFonts w:ascii="仿宋_GB2312" w:eastAsia="仿宋_GB2312" w:cs="仿宋_GB2312" w:hAnsi="仿宋_GB2312"/>
          <w:sz w:val="32"/>
        </w:rPr>
        <w:t>2018年，政府采购支出总额</w:t>
      </w:r>
      <w:r>
        <w:rPr>
          <w:rFonts w:ascii="仿宋_GB2312" w:eastAsia="仿宋_GB2312" w:cs="仿宋_GB2312" w:hAnsi="仿宋_GB2312" w:hint="eastAsia"/>
          <w:sz w:val="32"/>
        </w:rPr>
        <w:t>579.76</w:t>
      </w:r>
      <w:r>
        <w:rPr>
          <w:rFonts w:ascii="仿宋_GB2312" w:eastAsia="仿宋_GB2312" w:cs="仿宋_GB2312" w:hAnsi="仿宋_GB2312"/>
          <w:sz w:val="32"/>
        </w:rPr>
        <w:t>万元，其中：政府采购货物支出</w:t>
      </w:r>
      <w:r>
        <w:rPr>
          <w:rFonts w:ascii="仿宋_GB2312" w:eastAsia="仿宋_GB2312" w:cs="仿宋_GB2312" w:hAnsi="仿宋_GB2312" w:hint="eastAsia"/>
          <w:sz w:val="32"/>
        </w:rPr>
        <w:t>563.54</w:t>
      </w:r>
      <w:r>
        <w:rPr>
          <w:rFonts w:ascii="仿宋_GB2312" w:eastAsia="仿宋_GB2312" w:cs="仿宋_GB2312" w:hAnsi="仿宋_GB2312"/>
          <w:sz w:val="32"/>
        </w:rPr>
        <w:t>万元、政府采购工程支出</w:t>
      </w:r>
      <w:r>
        <w:rPr>
          <w:rFonts w:ascii="仿宋_GB2312" w:eastAsia="仿宋_GB2312" w:cs="仿宋_GB2312" w:hAnsi="仿宋_GB2312" w:hint="eastAsia"/>
          <w:sz w:val="32"/>
        </w:rPr>
        <w:t>0</w:t>
      </w:r>
      <w:r>
        <w:rPr>
          <w:rFonts w:ascii="仿宋_GB2312" w:eastAsia="仿宋_GB2312" w:cs="仿宋_GB2312" w:hAnsi="仿宋_GB2312"/>
          <w:sz w:val="32"/>
        </w:rPr>
        <w:t>万元、政府采购服务支出</w:t>
      </w:r>
      <w:r>
        <w:rPr>
          <w:rFonts w:ascii="仿宋_GB2312" w:eastAsia="仿宋_GB2312" w:cs="仿宋_GB2312" w:hAnsi="仿宋_GB2312" w:hint="eastAsia"/>
          <w:sz w:val="32"/>
        </w:rPr>
        <w:t>16.22</w:t>
      </w:r>
      <w:r>
        <w:rPr>
          <w:rFonts w:ascii="仿宋_GB2312" w:eastAsia="仿宋_GB2312" w:cs="仿宋_GB2312" w:hAnsi="仿宋_GB2312"/>
          <w:sz w:val="32"/>
        </w:rPr>
        <w:t>万元。主要用于</w:t>
      </w:r>
      <w:r>
        <w:rPr>
          <w:rFonts w:ascii="仿宋_GB2312" w:eastAsia="仿宋_GB2312" w:cs="仿宋_GB2312" w:hAnsi="仿宋_GB2312" w:hint="eastAsia"/>
          <w:sz w:val="32"/>
        </w:rPr>
        <w:t>环卫设施维修维护、环卫工人标志服等</w:t>
      </w:r>
      <w:r>
        <w:rPr>
          <w:rFonts w:ascii="仿宋_GB2312" w:eastAsia="仿宋_GB2312" w:cs="仿宋_GB2312" w:hAnsi="仿宋_GB2312"/>
          <w:sz w:val="32"/>
        </w:rPr>
        <w:t>。</w:t>
      </w:r>
    </w:p>
    <w:p>
      <w:pPr>
        <w:spacing w:line="600" w:lineRule="auto"/>
        <w:ind w:firstLine="643"/>
        <w:jc w:val="left"/>
        <w:rPr>
          <w:rFonts w:ascii="仿宋" w:eastAsia="仿宋" w:cs="仿宋" w:hAnsi="仿宋"/>
          <w:b/>
          <w:color w:val="000000"/>
          <w:sz w:val="32"/>
        </w:rPr>
      </w:pPr>
      <w:r>
        <w:rPr>
          <w:rFonts w:ascii="仿宋" w:eastAsia="仿宋" w:cs="仿宋" w:hAnsi="仿宋"/>
          <w:b/>
          <w:color w:val="000000"/>
          <w:sz w:val="32"/>
        </w:rPr>
        <w:t>（三）国有资产占有使用情况</w:t>
      </w:r>
    </w:p>
    <w:p>
      <w:pPr>
        <w:spacing w:line="600" w:lineRule="auto"/>
        <w:ind w:firstLine="640"/>
        <w:jc w:val="left"/>
        <w:rPr>
          <w:rFonts w:ascii="仿宋_GB2312" w:eastAsia="仿宋_GB2312" w:cs="仿宋_GB2312" w:hAnsi="仿宋_GB2312"/>
          <w:color w:val="000000"/>
          <w:sz w:val="32"/>
        </w:rPr>
      </w:pPr>
      <w:r>
        <w:rPr>
          <w:rFonts w:ascii="仿宋_GB2312" w:eastAsia="仿宋_GB2312" w:cs="仿宋_GB2312" w:hAnsi="仿宋_GB2312"/>
          <w:color w:val="000000"/>
          <w:sz w:val="32"/>
        </w:rPr>
        <w:t>截至2018年12月31日，</w:t>
      </w:r>
      <w:r>
        <w:rPr>
          <w:rFonts w:ascii="仿宋_GB2312" w:eastAsia="仿宋_GB2312" w:cs="仿宋_GB2312" w:hAnsi="仿宋_GB2312" w:hint="eastAsia"/>
          <w:color w:val="000000"/>
          <w:sz w:val="32"/>
        </w:rPr>
        <w:t>我单位</w:t>
      </w:r>
      <w:r>
        <w:rPr>
          <w:rFonts w:ascii="仿宋_GB2312" w:eastAsia="仿宋_GB2312" w:cs="仿宋_GB2312" w:hAnsi="仿宋_GB2312"/>
          <w:color w:val="000000"/>
          <w:sz w:val="32"/>
        </w:rPr>
        <w:t>共有车辆</w:t>
      </w:r>
      <w:r>
        <w:rPr>
          <w:rFonts w:ascii="仿宋_GB2312" w:eastAsia="仿宋_GB2312" w:cs="仿宋_GB2312" w:hAnsi="仿宋_GB2312" w:hint="eastAsia"/>
          <w:color w:val="000000"/>
          <w:sz w:val="32"/>
        </w:rPr>
        <w:t>207</w:t>
      </w:r>
      <w:r>
        <w:rPr>
          <w:rFonts w:ascii="仿宋_GB2312" w:eastAsia="仿宋_GB2312" w:cs="仿宋_GB2312" w:hAnsi="仿宋_GB2312"/>
          <w:color w:val="000000"/>
          <w:sz w:val="32"/>
        </w:rPr>
        <w:t>辆，其中：一般公务用车</w:t>
      </w:r>
      <w:r>
        <w:rPr>
          <w:rFonts w:ascii="仿宋_GB2312" w:eastAsia="仿宋_GB2312" w:cs="仿宋_GB2312" w:hAnsi="仿宋_GB2312" w:hint="eastAsia"/>
          <w:color w:val="000000"/>
          <w:sz w:val="32"/>
        </w:rPr>
        <w:t>1</w:t>
      </w:r>
      <w:r>
        <w:rPr>
          <w:rFonts w:ascii="仿宋_GB2312" w:eastAsia="仿宋_GB2312" w:cs="仿宋_GB2312" w:hAnsi="仿宋_GB2312"/>
          <w:color w:val="000000"/>
          <w:sz w:val="32"/>
        </w:rPr>
        <w:t>辆</w:t>
      </w:r>
      <w:r>
        <w:rPr>
          <w:rFonts w:ascii="仿宋_GB2312" w:eastAsia="仿宋_GB2312" w:cs="仿宋_GB2312" w:hAnsi="仿宋_GB2312" w:hint="eastAsia"/>
          <w:color w:val="000000"/>
          <w:sz w:val="32"/>
        </w:rPr>
        <w:t>、</w:t>
      </w:r>
      <w:r>
        <w:rPr>
          <w:rFonts w:ascii="仿宋_GB2312" w:eastAsia="仿宋_GB2312" w:cs="仿宋_GB2312" w:hAnsi="仿宋_GB2312"/>
          <w:color w:val="000000"/>
          <w:sz w:val="32"/>
        </w:rPr>
        <w:t>特种专业技术用车</w:t>
      </w:r>
      <w:r>
        <w:rPr>
          <w:rFonts w:ascii="仿宋_GB2312" w:eastAsia="仿宋_GB2312" w:cs="仿宋_GB2312" w:hAnsi="仿宋_GB2312" w:hint="eastAsia"/>
          <w:color w:val="000000"/>
          <w:sz w:val="32"/>
        </w:rPr>
        <w:t>205</w:t>
      </w:r>
      <w:r>
        <w:rPr>
          <w:rFonts w:ascii="仿宋_GB2312" w:eastAsia="仿宋_GB2312" w:cs="仿宋_GB2312" w:hAnsi="仿宋_GB2312"/>
          <w:color w:val="000000"/>
          <w:sz w:val="32"/>
        </w:rPr>
        <w:t>辆、其他用车</w:t>
      </w:r>
      <w:r>
        <w:rPr>
          <w:rFonts w:ascii="仿宋_GB2312" w:eastAsia="仿宋_GB2312" w:cs="仿宋_GB2312" w:hAnsi="仿宋_GB2312" w:hint="eastAsia"/>
          <w:color w:val="000000"/>
          <w:sz w:val="32"/>
        </w:rPr>
        <w:t>1</w:t>
      </w:r>
      <w:r>
        <w:rPr>
          <w:rFonts w:ascii="仿宋_GB2312" w:eastAsia="仿宋_GB2312" w:cs="仿宋_GB2312" w:hAnsi="仿宋_GB2312"/>
          <w:color w:val="000000"/>
          <w:sz w:val="32"/>
        </w:rPr>
        <w:t>辆，其他用车主要是用于</w:t>
      </w:r>
      <w:r>
        <w:rPr>
          <w:rFonts w:ascii="仿宋_GB2312" w:eastAsia="仿宋_GB2312" w:cs="仿宋_GB2312" w:hAnsi="仿宋_GB2312" w:hint="eastAsia"/>
          <w:color w:val="000000"/>
          <w:sz w:val="32"/>
        </w:rPr>
        <w:t>垃圾处理厂工作人员通勤。</w:t>
      </w:r>
    </w:p>
    <w:p>
      <w:pPr>
        <w:spacing w:line="600" w:lineRule="auto"/>
        <w:rPr>
          <w:rFonts w:ascii="仿宋_GB2312" w:eastAsia="仿宋_GB2312" w:cs="仿宋_GB2312" w:hAnsi="仿宋_GB2312"/>
          <w:b/>
          <w:color w:val="000000"/>
          <w:sz w:val="32"/>
        </w:rPr>
      </w:pPr>
    </w:p>
    <w:p>
      <w:pPr>
        <w:spacing w:line="600" w:lineRule="auto"/>
        <w:rPr>
          <w:rFonts w:ascii="仿宋_GB2312" w:eastAsia="仿宋_GB2312" w:cs="仿宋_GB2312" w:hAnsi="仿宋_GB2312"/>
          <w:b/>
          <w:color w:val="000000"/>
          <w:sz w:val="32"/>
        </w:rPr>
      </w:pPr>
    </w:p>
    <w:p>
      <w:pPr>
        <w:spacing w:line="600" w:lineRule="auto"/>
        <w:jc w:val="center"/>
        <w:rPr>
          <w:rFonts w:ascii="黑体" w:eastAsia="黑体" w:cs="黑体" w:hAnsi="黑体"/>
          <w:sz w:val="44"/>
        </w:rPr>
      </w:pPr>
      <w:r>
        <w:rPr>
          <w:rFonts w:ascii="黑体" w:eastAsia="黑体" w:cs="黑体" w:hAnsi="黑体"/>
          <w:color w:val="000000"/>
          <w:sz w:val="44"/>
        </w:rPr>
        <w:t>第</w:t>
      </w:r>
      <w:r>
        <w:rPr>
          <w:rFonts w:ascii="黑体" w:eastAsia="黑体" w:cs="黑体" w:hAnsi="黑体" w:hint="eastAsia"/>
          <w:sz w:val="44"/>
        </w:rPr>
        <w:t>三</w:t>
      </w:r>
      <w:r>
        <w:rPr>
          <w:rFonts w:ascii="黑体" w:eastAsia="黑体" w:cs="黑体" w:hAnsi="黑体"/>
          <w:sz w:val="44"/>
        </w:rPr>
        <w:t>部分</w:t>
      </w:r>
      <w:r>
        <w:rPr>
          <w:rFonts w:ascii="黑体" w:eastAsia="黑体" w:cs="黑体" w:hAnsi="黑体" w:hint="eastAsia"/>
          <w:sz w:val="44"/>
        </w:rPr>
        <w:t xml:space="preserve"> </w:t>
      </w:r>
      <w:r>
        <w:rPr>
          <w:rFonts w:ascii="黑体" w:eastAsia="黑体" w:cs="黑体" w:hAnsi="黑体"/>
          <w:color w:val="000000"/>
          <w:sz w:val="44"/>
        </w:rPr>
        <w:t>名词</w:t>
      </w:r>
      <w:r>
        <w:rPr>
          <w:rFonts w:ascii="黑体" w:eastAsia="黑体" w:cs="黑体" w:hAnsi="黑体"/>
          <w:sz w:val="44"/>
        </w:rPr>
        <w:t>解释</w:t>
      </w:r>
    </w:p>
    <w:p>
      <w:pPr>
        <w:spacing w:line="600" w:lineRule="auto"/>
        <w:jc w:val="center"/>
        <w:rPr>
          <w:rFonts w:ascii="宋体" w:eastAsia="宋体" w:cs="宋体" w:hAnsi="宋体"/>
          <w:b/>
          <w:color w:val="000000"/>
          <w:sz w:val="44"/>
        </w:rPr>
      </w:pP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color w:val="000000"/>
          <w:sz w:val="32"/>
        </w:rPr>
        <w:t>1.财政拨款收入：指单位从同级财政部门取得的财政预算资金。</w:t>
      </w: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color w:val="000000"/>
          <w:sz w:val="32"/>
        </w:rPr>
        <w:t>2.事业收入：指事业单位开展专业业务活动及辅助活动取得的收入。</w:t>
      </w: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color w:val="000000"/>
          <w:sz w:val="32"/>
        </w:rPr>
        <w:t>3.经营收入：指事业单位在专业业务活动及其辅助活动之外开展非独立核算经营活动取得的收入。</w:t>
      </w: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color w:val="000000"/>
          <w:sz w:val="32"/>
        </w:rPr>
        <w:t xml:space="preserve">4.其他收入：指单位取得的除上述收入以外的各项收入。 </w:t>
      </w: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color w:val="000000"/>
          <w:sz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color w:val="000000"/>
          <w:sz w:val="32"/>
        </w:rPr>
        <w:t xml:space="preserve">6.年初结转和结余：指以前年度尚未完成、结转到本年按有关规定继续使用的资金。 </w:t>
      </w: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color w:val="000000"/>
          <w:sz w:val="32"/>
        </w:rPr>
        <w:t>7.结余分配：指事业单位按照事业单位会计制度的规定从非财政补助结余中分配的事业基金和职工福利基金等。</w:t>
      </w: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color w:val="000000"/>
          <w:sz w:val="32"/>
        </w:rPr>
        <w:t>8、年末结转和结余：指单位按有关规定结转到下年或以后年度继续使用的资金。</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9</w:t>
      </w:r>
      <w:r>
        <w:rPr>
          <w:rFonts w:ascii="仿宋_GB2312" w:eastAsia="仿宋_GB2312" w:cs="仿宋_GB2312" w:hAnsi="仿宋_GB2312"/>
          <w:color w:val="000000"/>
          <w:sz w:val="32"/>
        </w:rPr>
        <w:t>.</w:t>
      </w:r>
      <w:r>
        <w:rPr>
          <w:rFonts w:ascii="仿宋" w:eastAsia="仿宋" w:cs="仿宋" w:hAnsi="仿宋"/>
          <w:b/>
          <w:color w:val="000000"/>
          <w:sz w:val="32"/>
        </w:rPr>
        <w:t xml:space="preserve"> </w:t>
      </w:r>
      <w:r>
        <w:rPr>
          <w:rFonts w:ascii="仿宋_GB2312" w:eastAsia="仿宋_GB2312" w:cs="仿宋_GB2312" w:hAnsi="仿宋_GB2312"/>
          <w:color w:val="000000"/>
          <w:sz w:val="32"/>
        </w:rPr>
        <w:t>社会保障和就业</w:t>
      </w:r>
      <w:r>
        <w:rPr>
          <w:rFonts w:ascii="仿宋_GB2312" w:eastAsia="仿宋_GB2312" w:cs="仿宋_GB2312" w:hAnsi="仿宋_GB2312" w:hint="eastAsia"/>
          <w:color w:val="000000"/>
          <w:sz w:val="32"/>
        </w:rPr>
        <w:t>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行政事业单位离退休</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机关事业单位基本养老保险缴费支出</w:t>
      </w:r>
      <w:r>
        <w:rPr>
          <w:rFonts w:ascii="仿宋_GB2312" w:eastAsia="仿宋_GB2312" w:cs="仿宋_GB2312" w:hAnsi="仿宋_GB2312"/>
          <w:color w:val="000000"/>
          <w:sz w:val="32"/>
        </w:rPr>
        <w:t>（项）：指</w:t>
      </w:r>
      <w:r>
        <w:rPr>
          <w:rFonts w:ascii="仿宋_GB2312" w:eastAsia="仿宋_GB2312" w:cs="仿宋_GB2312" w:hAnsi="仿宋_GB2312" w:hint="eastAsia"/>
          <w:color w:val="000000"/>
          <w:sz w:val="32"/>
        </w:rPr>
        <w:t>机关事业单位实施养老保险制度由单位缴纳的基本养老保险支出</w:t>
      </w:r>
      <w:r>
        <w:rPr>
          <w:rFonts w:ascii="仿宋_GB2312" w:eastAsia="仿宋_GB2312" w:cs="仿宋_GB2312" w:hAnsi="仿宋_GB2312"/>
          <w:color w:val="000000"/>
          <w:sz w:val="32"/>
        </w:rPr>
        <w:t>。</w:t>
      </w:r>
    </w:p>
    <w:p>
      <w:pPr>
        <w:ind w:firstLine="640"/>
        <w:rPr>
          <w:rFonts w:ascii="仿宋_GB2312" w:eastAsia="仿宋_GB2312" w:cs="仿宋_GB2312" w:hAnsi="仿宋_GB2312"/>
          <w:color w:val="000000"/>
          <w:sz w:val="32"/>
        </w:rPr>
      </w:pPr>
      <w:r>
        <w:rPr>
          <w:rFonts w:ascii="仿宋_GB2312" w:eastAsia="仿宋_GB2312" w:cs="仿宋_GB2312" w:hAnsi="仿宋_GB2312"/>
          <w:color w:val="000000"/>
          <w:sz w:val="32"/>
        </w:rPr>
        <w:t>社会保障和就业</w:t>
      </w:r>
      <w:r>
        <w:rPr>
          <w:rFonts w:ascii="仿宋_GB2312" w:eastAsia="仿宋_GB2312" w:cs="仿宋_GB2312" w:hAnsi="仿宋_GB2312" w:hint="eastAsia"/>
          <w:color w:val="000000"/>
          <w:sz w:val="32"/>
        </w:rPr>
        <w:t>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行政事业单位离退休</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机关事业单位职业年金缴费支出</w:t>
      </w:r>
      <w:r>
        <w:rPr>
          <w:rFonts w:ascii="仿宋_GB2312" w:eastAsia="仿宋_GB2312" w:cs="仿宋_GB2312" w:hAnsi="仿宋_GB2312"/>
          <w:color w:val="000000"/>
          <w:sz w:val="32"/>
        </w:rPr>
        <w:t>（项）</w:t>
      </w:r>
      <w:r>
        <w:rPr>
          <w:rFonts w:ascii="仿宋_GB2312" w:eastAsia="仿宋_GB2312" w:cs="仿宋_GB2312" w:hAnsi="仿宋_GB2312" w:hint="eastAsia"/>
          <w:color w:val="000000"/>
          <w:sz w:val="32"/>
        </w:rPr>
        <w:t>：</w:t>
      </w:r>
      <w:r>
        <w:rPr>
          <w:rFonts w:ascii="仿宋_GB2312" w:eastAsia="仿宋_GB2312" w:cs="仿宋_GB2312" w:hAnsi="仿宋_GB2312"/>
          <w:color w:val="000000"/>
          <w:sz w:val="32"/>
        </w:rPr>
        <w:t>指</w:t>
      </w:r>
      <w:r>
        <w:rPr>
          <w:rFonts w:ascii="仿宋_GB2312" w:eastAsia="仿宋_GB2312" w:cs="仿宋_GB2312" w:hAnsi="仿宋_GB2312" w:hint="eastAsia"/>
          <w:color w:val="000000"/>
          <w:sz w:val="32"/>
        </w:rPr>
        <w:t>机关事业单位实施养老保险制度由单位实际缴纳的职业年金支出</w:t>
      </w:r>
      <w:r>
        <w:rPr>
          <w:rFonts w:ascii="仿宋_GB2312" w:eastAsia="仿宋_GB2312" w:cs="仿宋_GB2312" w:hAnsi="仿宋_GB2312"/>
          <w:color w:val="000000"/>
          <w:sz w:val="32"/>
        </w:rPr>
        <w:t>。</w:t>
      </w:r>
    </w:p>
    <w:p>
      <w:pPr>
        <w:ind w:firstLine="640"/>
        <w:rPr>
          <w:rFonts w:ascii="仿宋_GB2312" w:eastAsia="仿宋_GB2312" w:cs="仿宋_GB2312" w:hAnsi="仿宋_GB2312"/>
          <w:color w:val="000000"/>
          <w:sz w:val="32"/>
        </w:rPr>
      </w:pPr>
      <w:r>
        <w:rPr>
          <w:rFonts w:ascii="仿宋_GB2312" w:eastAsia="仿宋_GB2312" w:cs="仿宋_GB2312" w:hAnsi="仿宋_GB2312"/>
          <w:color w:val="000000"/>
          <w:sz w:val="32"/>
        </w:rPr>
        <w:t>社会保障和就业</w:t>
      </w:r>
      <w:r>
        <w:rPr>
          <w:rFonts w:ascii="仿宋_GB2312" w:eastAsia="仿宋_GB2312" w:cs="仿宋_GB2312" w:hAnsi="仿宋_GB2312" w:hint="eastAsia"/>
          <w:color w:val="000000"/>
          <w:sz w:val="32"/>
        </w:rPr>
        <w:t>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抚恤</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死亡抚恤</w:t>
      </w:r>
      <w:r>
        <w:rPr>
          <w:rFonts w:ascii="仿宋_GB2312" w:eastAsia="仿宋_GB2312" w:cs="仿宋_GB2312" w:hAnsi="仿宋_GB2312"/>
          <w:color w:val="000000"/>
          <w:sz w:val="32"/>
        </w:rPr>
        <w:t>（项）</w:t>
      </w:r>
      <w:r>
        <w:rPr>
          <w:rFonts w:ascii="仿宋_GB2312" w:eastAsia="仿宋_GB2312" w:cs="仿宋_GB2312" w:hAnsi="仿宋_GB2312" w:hint="eastAsia"/>
          <w:color w:val="000000"/>
          <w:sz w:val="32"/>
        </w:rPr>
        <w:t>：指按规定用于烈士和牺牲、病故人员家属的一次性和定期抚恤以及丧葬补助费。</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10</w:t>
      </w:r>
      <w:r>
        <w:rPr>
          <w:rFonts w:ascii="仿宋_GB2312" w:eastAsia="仿宋_GB2312" w:cs="仿宋_GB2312" w:hAnsi="仿宋_GB2312"/>
          <w:color w:val="000000"/>
          <w:sz w:val="32"/>
        </w:rPr>
        <w:t>. 医疗卫生与计划生育</w:t>
      </w:r>
      <w:r>
        <w:rPr>
          <w:rFonts w:ascii="仿宋_GB2312" w:eastAsia="仿宋_GB2312" w:cs="仿宋_GB2312" w:hAnsi="仿宋_GB2312" w:hint="eastAsia"/>
          <w:color w:val="000000"/>
          <w:sz w:val="32"/>
        </w:rPr>
        <w:t>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行政事业单位医疗</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事业单位医疗</w:t>
      </w:r>
      <w:r>
        <w:rPr>
          <w:rFonts w:ascii="仿宋_GB2312" w:eastAsia="仿宋_GB2312" w:cs="仿宋_GB2312" w:hAnsi="仿宋_GB2312"/>
          <w:color w:val="000000"/>
          <w:sz w:val="32"/>
        </w:rPr>
        <w:t>（项）：指</w:t>
      </w:r>
      <w:r>
        <w:rPr>
          <w:rFonts w:ascii="仿宋_GB2312" w:eastAsia="仿宋_GB2312" w:cs="仿宋_GB2312" w:hAnsi="仿宋_GB2312" w:hint="eastAsia"/>
          <w:color w:val="000000"/>
          <w:sz w:val="32"/>
        </w:rPr>
        <w:t>财政部门集中安排的事业单位基本医疗保险缴费经费，未参加医疗保险的事业单位的公费医疗经费，按国家规定享受离休人员待遇的医疗经费</w:t>
      </w:r>
      <w:r>
        <w:rPr>
          <w:rFonts w:ascii="仿宋_GB2312" w:eastAsia="仿宋_GB2312" w:cs="仿宋_GB2312" w:hAnsi="仿宋_GB2312"/>
          <w:color w:val="000000"/>
          <w:sz w:val="32"/>
        </w:rPr>
        <w:t>。</w:t>
      </w:r>
    </w:p>
    <w:p>
      <w:pPr>
        <w:ind w:firstLine="640"/>
        <w:rPr>
          <w:rFonts w:ascii="仿宋_GB2312" w:eastAsia="仿宋_GB2312" w:cs="仿宋_GB2312" w:hAnsi="仿宋_GB2312"/>
          <w:color w:val="000000"/>
          <w:sz w:val="32"/>
        </w:rPr>
      </w:pPr>
      <w:r>
        <w:rPr>
          <w:rFonts w:ascii="仿宋_GB2312" w:eastAsia="仿宋_GB2312" w:cs="仿宋_GB2312" w:hAnsi="仿宋_GB2312"/>
          <w:color w:val="000000"/>
          <w:sz w:val="32"/>
        </w:rPr>
        <w:t>1</w:t>
      </w:r>
      <w:r>
        <w:rPr>
          <w:rFonts w:ascii="仿宋_GB2312" w:eastAsia="仿宋_GB2312" w:cs="仿宋_GB2312" w:hAnsi="仿宋_GB2312" w:hint="eastAsia"/>
          <w:color w:val="000000"/>
          <w:sz w:val="32"/>
        </w:rPr>
        <w:t>1</w:t>
      </w:r>
      <w:r>
        <w:rPr>
          <w:rFonts w:ascii="仿宋_GB2312" w:eastAsia="仿宋_GB2312" w:cs="仿宋_GB2312" w:hAnsi="仿宋_GB2312"/>
          <w:color w:val="000000"/>
          <w:sz w:val="32"/>
        </w:rPr>
        <w:t>.</w:t>
      </w:r>
      <w:r>
        <w:rPr>
          <w:rFonts w:ascii="仿宋_GB2312" w:eastAsia="仿宋_GB2312" w:cs="仿宋_GB2312" w:hAnsi="仿宋_GB2312" w:hint="eastAsia"/>
          <w:color w:val="000000"/>
          <w:sz w:val="32"/>
        </w:rPr>
        <w:t xml:space="preserve"> 节能环保支出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污染防治</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大气</w:t>
      </w:r>
      <w:r>
        <w:rPr>
          <w:rFonts w:ascii="仿宋_GB2312" w:eastAsia="仿宋_GB2312" w:cs="仿宋_GB2312" w:hAnsi="仿宋_GB2312"/>
          <w:color w:val="000000"/>
          <w:sz w:val="32"/>
        </w:rPr>
        <w:t>（项）：指</w:t>
      </w:r>
      <w:r>
        <w:rPr>
          <w:rFonts w:ascii="仿宋_GB2312" w:eastAsia="仿宋_GB2312" w:cs="仿宋_GB2312" w:hAnsi="仿宋_GB2312" w:hint="eastAsia"/>
          <w:color w:val="000000"/>
          <w:sz w:val="32"/>
        </w:rPr>
        <w:t>政府在治理空气污染、汽车尾气、酸雨、二氧化硫、沙尘暴等方面的支出</w:t>
      </w:r>
      <w:r>
        <w:rPr>
          <w:rFonts w:ascii="仿宋_GB2312" w:eastAsia="仿宋_GB2312" w:cs="仿宋_GB2312" w:hAnsi="仿宋_GB2312"/>
          <w:color w:val="000000"/>
          <w:sz w:val="32"/>
        </w:rPr>
        <w:t>。</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节能环保支出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污染防治</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其他污染防治支出</w:t>
      </w:r>
      <w:r>
        <w:rPr>
          <w:rFonts w:ascii="仿宋_GB2312" w:eastAsia="仿宋_GB2312" w:cs="仿宋_GB2312" w:hAnsi="仿宋_GB2312"/>
          <w:color w:val="000000"/>
          <w:sz w:val="32"/>
        </w:rPr>
        <w:t>（项）</w:t>
      </w:r>
      <w:r>
        <w:rPr>
          <w:rFonts w:ascii="仿宋_GB2312" w:eastAsia="仿宋_GB2312" w:cs="仿宋_GB2312" w:hAnsi="仿宋_GB2312" w:hint="eastAsia"/>
          <w:color w:val="000000"/>
          <w:sz w:val="32"/>
        </w:rPr>
        <w:t>：指大气、水体、噪声、固体废弃物与化学品、放射源和放射性废物监管、辐射以外其他用于污染防治方面的支出。</w:t>
      </w:r>
    </w:p>
    <w:p>
      <w:pPr>
        <w:ind w:firstLine="640"/>
        <w:rPr>
          <w:rFonts w:ascii="仿宋_GB2312" w:eastAsia="仿宋_GB2312" w:cs="仿宋_GB2312" w:hAnsi="仿宋_GB2312"/>
          <w:color w:val="000000"/>
          <w:sz w:val="32"/>
        </w:rPr>
      </w:pPr>
      <w:r>
        <w:rPr>
          <w:rFonts w:ascii="仿宋_GB2312" w:eastAsia="仿宋_GB2312" w:cs="仿宋_GB2312" w:hAnsi="仿宋_GB2312"/>
          <w:color w:val="000000"/>
          <w:sz w:val="32"/>
        </w:rPr>
        <w:t>1</w:t>
      </w:r>
      <w:r>
        <w:rPr>
          <w:rFonts w:ascii="仿宋_GB2312" w:eastAsia="仿宋_GB2312" w:cs="仿宋_GB2312" w:hAnsi="仿宋_GB2312" w:hint="eastAsia"/>
          <w:color w:val="000000"/>
          <w:sz w:val="32"/>
        </w:rPr>
        <w:t>2</w:t>
      </w:r>
      <w:r>
        <w:rPr>
          <w:rFonts w:ascii="仿宋_GB2312" w:eastAsia="仿宋_GB2312" w:cs="仿宋_GB2312" w:hAnsi="仿宋_GB2312"/>
          <w:color w:val="000000"/>
          <w:sz w:val="32"/>
        </w:rPr>
        <w:t>.</w:t>
      </w:r>
      <w:r>
        <w:rPr>
          <w:rFonts w:ascii="仿宋_GB2312" w:eastAsia="仿宋_GB2312" w:cs="仿宋_GB2312" w:hAnsi="仿宋_GB2312" w:hint="eastAsia"/>
          <w:color w:val="000000"/>
          <w:sz w:val="32"/>
        </w:rPr>
        <w:t xml:space="preserve"> 城乡社区支出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城乡社区管理事务</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行政运行</w:t>
      </w:r>
      <w:r>
        <w:rPr>
          <w:rFonts w:ascii="仿宋_GB2312" w:eastAsia="仿宋_GB2312" w:cs="仿宋_GB2312" w:hAnsi="仿宋_GB2312"/>
          <w:color w:val="000000"/>
          <w:sz w:val="32"/>
        </w:rPr>
        <w:t>（项）：指</w:t>
      </w:r>
      <w:r>
        <w:rPr>
          <w:rFonts w:ascii="仿宋_GB2312" w:eastAsia="仿宋_GB2312" w:cs="仿宋_GB2312" w:hAnsi="仿宋_GB2312" w:hint="eastAsia"/>
          <w:color w:val="000000"/>
          <w:sz w:val="32"/>
        </w:rPr>
        <w:t>行政单位（包括实行公务员管理的事业单位）的基本支出</w:t>
      </w:r>
      <w:r>
        <w:rPr>
          <w:rFonts w:ascii="仿宋_GB2312" w:eastAsia="仿宋_GB2312" w:cs="仿宋_GB2312" w:hAnsi="仿宋_GB2312"/>
          <w:color w:val="000000"/>
          <w:sz w:val="32"/>
        </w:rPr>
        <w:t>。</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城乡社区支出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城乡社区管理事务</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城乡社区环境卫生</w:t>
      </w:r>
      <w:r>
        <w:rPr>
          <w:rFonts w:ascii="仿宋_GB2312" w:eastAsia="仿宋_GB2312" w:cs="仿宋_GB2312" w:hAnsi="仿宋_GB2312"/>
          <w:color w:val="000000"/>
          <w:sz w:val="32"/>
        </w:rPr>
        <w:t>（项）</w:t>
      </w:r>
      <w:r>
        <w:rPr>
          <w:rFonts w:ascii="仿宋_GB2312" w:eastAsia="仿宋_GB2312" w:cs="仿宋_GB2312" w:hAnsi="仿宋_GB2312" w:hint="eastAsia"/>
          <w:color w:val="000000"/>
          <w:sz w:val="32"/>
        </w:rPr>
        <w:t>：指城乡社区道路清扫、垃圾清运与处理、公厕建设与维护、园林绿化等方面的支出。</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城乡社区支出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城乡社区管理事务</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其他城乡社区支出</w:t>
      </w:r>
      <w:r>
        <w:rPr>
          <w:rFonts w:ascii="仿宋_GB2312" w:eastAsia="仿宋_GB2312" w:cs="仿宋_GB2312" w:hAnsi="仿宋_GB2312"/>
          <w:color w:val="000000"/>
          <w:sz w:val="32"/>
        </w:rPr>
        <w:t>（项）</w:t>
      </w:r>
      <w:r>
        <w:rPr>
          <w:rFonts w:ascii="仿宋_GB2312" w:eastAsia="仿宋_GB2312" w:cs="仿宋_GB2312" w:hAnsi="仿宋_GB2312" w:hint="eastAsia"/>
          <w:color w:val="000000"/>
          <w:sz w:val="32"/>
        </w:rPr>
        <w:t>：指其他用于城乡社区方面的支出。</w:t>
      </w:r>
    </w:p>
    <w:p>
      <w:pPr>
        <w:ind w:firstLine="640"/>
        <w:rPr>
          <w:rFonts w:ascii="仿宋_GB2312" w:eastAsia="仿宋_GB2312" w:cs="仿宋_GB2312" w:hAnsi="仿宋_GB2312"/>
          <w:color w:val="000000"/>
          <w:sz w:val="32"/>
        </w:rPr>
      </w:pPr>
      <w:r>
        <w:rPr>
          <w:rFonts w:ascii="仿宋_GB2312" w:eastAsia="仿宋_GB2312" w:cs="仿宋_GB2312" w:hAnsi="仿宋_GB2312"/>
          <w:color w:val="000000"/>
          <w:sz w:val="32"/>
        </w:rPr>
        <w:t>1</w:t>
      </w:r>
      <w:r>
        <w:rPr>
          <w:rFonts w:ascii="仿宋_GB2312" w:eastAsia="仿宋_GB2312" w:cs="仿宋_GB2312" w:hAnsi="仿宋_GB2312" w:hint="eastAsia"/>
          <w:color w:val="000000"/>
          <w:sz w:val="32"/>
        </w:rPr>
        <w:t>3</w:t>
      </w:r>
      <w:r>
        <w:rPr>
          <w:rFonts w:ascii="仿宋_GB2312" w:eastAsia="仿宋_GB2312" w:cs="仿宋_GB2312" w:hAnsi="仿宋_GB2312"/>
          <w:color w:val="000000"/>
          <w:sz w:val="32"/>
        </w:rPr>
        <w:t>.</w:t>
      </w:r>
      <w:r>
        <w:rPr>
          <w:rFonts w:ascii="仿宋_GB2312" w:eastAsia="仿宋_GB2312" w:cs="仿宋_GB2312" w:hAnsi="仿宋_GB2312" w:hint="eastAsia"/>
          <w:color w:val="000000"/>
          <w:sz w:val="32"/>
        </w:rPr>
        <w:t xml:space="preserve"> 农林水支出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扶贫</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其他扶贫支出</w:t>
      </w:r>
      <w:r>
        <w:rPr>
          <w:rFonts w:ascii="仿宋_GB2312" w:eastAsia="仿宋_GB2312" w:cs="仿宋_GB2312" w:hAnsi="仿宋_GB2312"/>
          <w:color w:val="000000"/>
          <w:sz w:val="32"/>
        </w:rPr>
        <w:t>（项）：指</w:t>
      </w:r>
      <w:r>
        <w:rPr>
          <w:rFonts w:ascii="仿宋_GB2312" w:eastAsia="仿宋_GB2312" w:cs="仿宋_GB2312" w:hAnsi="仿宋_GB2312" w:hint="eastAsia"/>
          <w:color w:val="000000"/>
          <w:sz w:val="32"/>
        </w:rPr>
        <w:t>其他用于扶贫方面的支出</w:t>
      </w:r>
      <w:r>
        <w:rPr>
          <w:rFonts w:ascii="仿宋_GB2312" w:eastAsia="仿宋_GB2312" w:cs="仿宋_GB2312" w:hAnsi="仿宋_GB2312"/>
          <w:color w:val="000000"/>
          <w:sz w:val="32"/>
        </w:rPr>
        <w:t>。</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14</w:t>
      </w:r>
      <w:r>
        <w:rPr>
          <w:rFonts w:ascii="仿宋_GB2312" w:eastAsia="仿宋_GB2312" w:cs="仿宋_GB2312" w:hAnsi="仿宋_GB2312"/>
          <w:color w:val="000000"/>
          <w:sz w:val="32"/>
        </w:rPr>
        <w:t>.</w:t>
      </w:r>
      <w:r>
        <w:rPr>
          <w:rFonts w:ascii="仿宋_GB2312" w:eastAsia="仿宋_GB2312" w:cs="仿宋_GB2312" w:hAnsi="仿宋_GB2312" w:hint="eastAsia"/>
          <w:color w:val="000000"/>
          <w:sz w:val="32"/>
        </w:rPr>
        <w:t xml:space="preserve"> 金融支出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金融发展支出</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其他金融发展支出</w:t>
      </w:r>
      <w:r>
        <w:rPr>
          <w:rFonts w:ascii="仿宋_GB2312" w:eastAsia="仿宋_GB2312" w:cs="仿宋_GB2312" w:hAnsi="仿宋_GB2312"/>
          <w:color w:val="000000"/>
          <w:sz w:val="32"/>
        </w:rPr>
        <w:t>（项）：指</w:t>
      </w:r>
      <w:r>
        <w:rPr>
          <w:rFonts w:ascii="仿宋_GB2312" w:eastAsia="仿宋_GB2312" w:cs="仿宋_GB2312" w:hAnsi="仿宋_GB2312" w:hint="eastAsia"/>
          <w:color w:val="000000"/>
          <w:sz w:val="32"/>
        </w:rPr>
        <w:t>其他用于金融发展方面的支出</w:t>
      </w:r>
      <w:r>
        <w:rPr>
          <w:rFonts w:ascii="仿宋_GB2312" w:eastAsia="仿宋_GB2312" w:cs="仿宋_GB2312" w:hAnsi="仿宋_GB2312"/>
          <w:color w:val="000000"/>
          <w:sz w:val="32"/>
        </w:rPr>
        <w:t>。</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15</w:t>
      </w:r>
      <w:r>
        <w:rPr>
          <w:rFonts w:ascii="仿宋_GB2312" w:eastAsia="仿宋_GB2312" w:cs="仿宋_GB2312" w:hAnsi="仿宋_GB2312"/>
          <w:color w:val="000000"/>
          <w:sz w:val="32"/>
        </w:rPr>
        <w:t>.</w:t>
      </w:r>
      <w:r>
        <w:rPr>
          <w:rFonts w:ascii="仿宋_GB2312" w:eastAsia="仿宋_GB2312" w:cs="仿宋_GB2312" w:hAnsi="仿宋_GB2312" w:hint="eastAsia"/>
          <w:color w:val="000000"/>
          <w:sz w:val="32"/>
        </w:rPr>
        <w:t xml:space="preserve"> 住房保障支出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住房改革支出</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住房公积金</w:t>
      </w:r>
      <w:r>
        <w:rPr>
          <w:rFonts w:ascii="仿宋_GB2312" w:eastAsia="仿宋_GB2312" w:cs="仿宋_GB2312" w:hAnsi="仿宋_GB2312"/>
          <w:color w:val="000000"/>
          <w:sz w:val="32"/>
        </w:rPr>
        <w:t>（项）：指</w:t>
      </w:r>
      <w:r>
        <w:rPr>
          <w:rFonts w:ascii="仿宋_GB2312" w:eastAsia="仿宋_GB2312" w:cs="仿宋_GB2312" w:hAnsi="仿宋_GB2312" w:hint="eastAsia"/>
          <w:color w:val="000000"/>
          <w:sz w:val="32"/>
        </w:rPr>
        <w:t>行政事业单位按人力资源和社会保障部、财政部规定的基本工资和津贴补贴以及规定比例为职工缴纳的住房公积金</w:t>
      </w:r>
      <w:r>
        <w:rPr>
          <w:rFonts w:ascii="仿宋_GB2312" w:eastAsia="仿宋_GB2312" w:cs="仿宋_GB2312" w:hAnsi="仿宋_GB2312"/>
          <w:color w:val="000000"/>
          <w:sz w:val="32"/>
        </w:rPr>
        <w:t>。</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16. 其他支出（</w:t>
      </w:r>
      <w:r>
        <w:rPr>
          <w:rFonts w:ascii="仿宋_GB2312" w:eastAsia="仿宋_GB2312" w:cs="仿宋_GB2312" w:hAnsi="仿宋_GB2312"/>
          <w:color w:val="000000"/>
          <w:sz w:val="32"/>
        </w:rPr>
        <w:t>类）</w:t>
      </w:r>
      <w:r>
        <w:rPr>
          <w:rFonts w:ascii="仿宋_GB2312" w:eastAsia="仿宋_GB2312" w:cs="仿宋_GB2312" w:hAnsi="仿宋_GB2312" w:hint="eastAsia"/>
          <w:color w:val="000000"/>
          <w:sz w:val="32"/>
        </w:rPr>
        <w:t>其他支出</w:t>
      </w:r>
      <w:r>
        <w:rPr>
          <w:rFonts w:ascii="仿宋_GB2312" w:eastAsia="仿宋_GB2312" w:cs="仿宋_GB2312" w:hAnsi="仿宋_GB2312"/>
          <w:color w:val="000000"/>
          <w:sz w:val="32"/>
        </w:rPr>
        <w:t>（款）</w:t>
      </w:r>
      <w:r>
        <w:rPr>
          <w:rFonts w:ascii="仿宋_GB2312" w:eastAsia="仿宋_GB2312" w:cs="仿宋_GB2312" w:hAnsi="仿宋_GB2312" w:hint="eastAsia"/>
          <w:color w:val="000000"/>
          <w:sz w:val="32"/>
        </w:rPr>
        <w:t>其他支出</w:t>
      </w:r>
      <w:r>
        <w:rPr>
          <w:rFonts w:ascii="仿宋_GB2312" w:eastAsia="仿宋_GB2312" w:cs="仿宋_GB2312" w:hAnsi="仿宋_GB2312"/>
          <w:color w:val="000000"/>
          <w:sz w:val="32"/>
        </w:rPr>
        <w:t>（项）</w:t>
      </w:r>
      <w:r>
        <w:rPr>
          <w:rFonts w:ascii="仿宋_GB2312" w:eastAsia="仿宋_GB2312" w:cs="仿宋_GB2312" w:hAnsi="仿宋_GB2312" w:hint="eastAsia"/>
          <w:color w:val="000000"/>
          <w:sz w:val="32"/>
        </w:rPr>
        <w:t>：指不能划分到具体功能科目中的支出项目。</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1</w:t>
      </w:r>
      <w:r>
        <w:rPr>
          <w:rFonts w:ascii="仿宋_GB2312" w:eastAsia="仿宋_GB2312" w:cs="仿宋_GB2312" w:hAnsi="仿宋_GB2312"/>
          <w:color w:val="000000"/>
          <w:sz w:val="32"/>
        </w:rPr>
        <w:t>7.基本支出：</w:t>
      </w:r>
      <w:r>
        <w:rPr>
          <w:rFonts w:ascii="仿宋_GB2312" w:eastAsia="仿宋_GB2312" w:cs="仿宋_GB2312" w:hAnsi="仿宋_GB2312" w:hint="eastAsia"/>
          <w:color w:val="000000"/>
          <w:sz w:val="32"/>
        </w:rPr>
        <w:t>指</w:t>
      </w:r>
      <w:r>
        <w:rPr>
          <w:rFonts w:ascii="仿宋_GB2312" w:eastAsia="仿宋_GB2312" w:cs="仿宋_GB2312" w:hAnsi="仿宋_GB2312"/>
          <w:color w:val="000000"/>
          <w:sz w:val="32"/>
        </w:rPr>
        <w:t>为保障机构正常运转、完成日常工作任务而发生的人员支出和公用支出。</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1</w:t>
      </w:r>
      <w:r>
        <w:rPr>
          <w:rFonts w:ascii="仿宋_GB2312" w:eastAsia="仿宋_GB2312" w:cs="仿宋_GB2312" w:hAnsi="仿宋_GB2312"/>
          <w:color w:val="000000"/>
          <w:sz w:val="32"/>
        </w:rPr>
        <w:t xml:space="preserve">8.项目支出：指在基本支出之外为完成特定行政任务和事业发展目标所发生的支出。 </w:t>
      </w:r>
    </w:p>
    <w:p>
      <w:pPr>
        <w:ind w:firstLine="640"/>
        <w:rPr>
          <w:rFonts w:ascii="仿宋_GB2312" w:eastAsia="仿宋_GB2312" w:cs="仿宋_GB2312" w:hAnsi="仿宋_GB2312"/>
          <w:color w:val="000000"/>
          <w:sz w:val="32"/>
        </w:rPr>
      </w:pPr>
      <w:r>
        <w:rPr>
          <w:rFonts w:ascii="仿宋_GB2312" w:eastAsia="仿宋_GB2312" w:cs="仿宋_GB2312" w:hAnsi="仿宋_GB2312" w:hint="eastAsia"/>
          <w:color w:val="000000"/>
          <w:sz w:val="32"/>
        </w:rPr>
        <w:t>1</w:t>
      </w:r>
      <w:r>
        <w:rPr>
          <w:rFonts w:ascii="仿宋_GB2312" w:eastAsia="仿宋_GB2312" w:cs="仿宋_GB2312" w:hAnsi="仿宋_GB2312"/>
          <w:color w:val="000000"/>
          <w:sz w:val="32"/>
        </w:rPr>
        <w:t>9.经营支出：指事业单位在专业业务活动及其辅助活动之外开展非独立核算经营活动发生的支出。</w:t>
      </w: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hint="eastAsia"/>
          <w:color w:val="000000"/>
          <w:sz w:val="32"/>
        </w:rPr>
        <w:t>2</w:t>
      </w:r>
      <w:r>
        <w:rPr>
          <w:rFonts w:ascii="仿宋_GB2312" w:eastAsia="仿宋_GB2312" w:cs="仿宋_GB2312" w:hAnsi="仿宋_GB2312"/>
          <w:color w:val="000000"/>
          <w:sz w:val="32"/>
        </w:rPr>
        <w:t>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59" w:lineRule="auto"/>
        <w:ind w:firstLine="640"/>
        <w:jc w:val="left"/>
        <w:rPr>
          <w:rFonts w:ascii="仿宋_GB2312" w:eastAsia="仿宋_GB2312" w:cs="仿宋_GB2312" w:hAnsi="仿宋_GB2312"/>
          <w:color w:val="000000"/>
          <w:sz w:val="32"/>
        </w:rPr>
      </w:pPr>
      <w:r>
        <w:rPr>
          <w:rFonts w:ascii="仿宋_GB2312" w:eastAsia="仿宋_GB2312" w:cs="仿宋_GB2312" w:hAnsi="仿宋_GB2312" w:hint="eastAsia"/>
          <w:color w:val="000000"/>
          <w:sz w:val="32"/>
        </w:rPr>
        <w:t>2</w:t>
      </w:r>
      <w:r>
        <w:rPr>
          <w:rFonts w:ascii="仿宋_GB2312" w:eastAsia="仿宋_GB2312" w:cs="仿宋_GB2312" w:hAnsi="仿宋_GB2312"/>
          <w:color w:val="000000"/>
          <w:sz w:val="32"/>
        </w:rPr>
        <w:t>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rPr>
          <w:rFonts w:ascii="宋体" w:eastAsia="宋体" w:cs="宋体" w:hAnsi="宋体"/>
          <w:b/>
          <w:color w:val="000000"/>
          <w:sz w:val="44"/>
        </w:rPr>
      </w:pPr>
    </w:p>
    <w:p>
      <w:pPr>
        <w:ind w:firstLine="643"/>
        <w:rPr>
          <w:rFonts w:ascii="宋体" w:eastAsia="宋体" w:cs="宋体" w:hAnsi="宋体"/>
          <w:b/>
          <w:color w:val="000000"/>
          <w:sz w:val="44"/>
        </w:rPr>
      </w:pPr>
    </w:p>
    <w:p>
      <w:pPr>
        <w:spacing w:line="600" w:lineRule="auto"/>
        <w:jc w:val="center"/>
        <w:rPr>
          <w:rFonts w:ascii="黑体" w:eastAsia="黑体" w:cs="黑体" w:hAnsi="黑体"/>
          <w:sz w:val="44"/>
        </w:rPr>
      </w:pPr>
      <w:r>
        <w:rPr>
          <w:rFonts w:ascii="黑体" w:eastAsia="黑体" w:cs="黑体" w:hAnsi="黑体"/>
          <w:color w:val="000000"/>
          <w:sz w:val="44"/>
        </w:rPr>
        <w:t>第</w:t>
      </w:r>
      <w:r>
        <w:rPr>
          <w:rFonts w:ascii="黑体" w:eastAsia="黑体" w:cs="黑体" w:hAnsi="黑体"/>
          <w:sz w:val="44"/>
        </w:rPr>
        <w:t>四部分 附件</w:t>
      </w:r>
    </w:p>
    <w:p>
      <w:pPr>
        <w:spacing w:line="600" w:lineRule="auto"/>
        <w:jc w:val="center"/>
        <w:rPr>
          <w:rFonts w:ascii="Times New Roman" w:eastAsia="Times New Roman" w:cs="Times New Roman" w:hAnsi="Times New Roman"/>
          <w:b/>
          <w:sz w:val="44"/>
        </w:rPr>
      </w:pPr>
    </w:p>
    <w:p>
      <w:pPr>
        <w:keepNext/>
        <w:keepLines/>
        <w:widowControl w:val="0"/>
        <w:spacing w:before="260" w:after="260" w:line="415" w:lineRule="auto"/>
        <w:rPr>
          <w:rFonts w:ascii="仿宋" w:eastAsia="仿宋" w:cs="仿宋" w:hAnsi="仿宋"/>
          <w:b/>
          <w:sz w:val="32"/>
        </w:rPr>
      </w:pPr>
      <w:r>
        <w:rPr>
          <w:rFonts w:ascii="仿宋" w:eastAsia="仿宋" w:cs="仿宋" w:hAnsi="仿宋"/>
          <w:b/>
          <w:sz w:val="32"/>
        </w:rPr>
        <w:t>附件1</w:t>
      </w:r>
    </w:p>
    <w:p>
      <w:pPr>
        <w:spacing w:line="600" w:lineRule="auto"/>
        <w:jc w:val="center"/>
        <w:rPr>
          <w:rFonts w:ascii="黑体" w:eastAsia="黑体" w:cs="黑体" w:hAnsi="黑体"/>
          <w:sz w:val="36"/>
        </w:rPr>
      </w:pPr>
      <w:r>
        <w:rPr>
          <w:rFonts w:ascii="黑体" w:eastAsia="黑体" w:cs="黑体" w:hAnsi="黑体" w:hint="eastAsia"/>
          <w:sz w:val="36"/>
        </w:rPr>
        <w:t>广元市利州区环境卫生管理局</w:t>
      </w:r>
    </w:p>
    <w:p>
      <w:pPr>
        <w:spacing w:line="600" w:lineRule="auto"/>
        <w:jc w:val="center"/>
        <w:rPr>
          <w:rFonts w:ascii="黑体" w:eastAsia="黑体" w:cs="黑体" w:hAnsi="黑体"/>
          <w:sz w:val="36"/>
        </w:rPr>
      </w:pPr>
      <w:r>
        <w:rPr>
          <w:rFonts w:ascii="黑体" w:eastAsia="黑体" w:cs="黑体" w:hAnsi="黑体"/>
          <w:sz w:val="36"/>
        </w:rPr>
        <w:t>2018年部门整体支出绩效评价报告</w:t>
      </w:r>
    </w:p>
    <w:p>
      <w:pPr>
        <w:spacing w:line="581" w:lineRule="auto"/>
        <w:ind w:firstLine="640"/>
        <w:rPr>
          <w:rFonts w:ascii="黑体" w:eastAsia="黑体" w:cs="黑体" w:hAnsi="黑体"/>
          <w:sz w:val="32"/>
        </w:rPr>
      </w:pPr>
    </w:p>
    <w:p>
      <w:pPr>
        <w:spacing w:line="581" w:lineRule="auto"/>
        <w:ind w:firstLine="640"/>
        <w:rPr>
          <w:rFonts w:ascii="黑体" w:eastAsia="黑体" w:cs="黑体" w:hAnsi="黑体"/>
          <w:sz w:val="32"/>
        </w:rPr>
      </w:pPr>
      <w:r>
        <w:rPr>
          <w:rFonts w:ascii="黑体" w:eastAsia="黑体" w:cs="黑体" w:hAnsi="黑体"/>
          <w:sz w:val="32"/>
        </w:rPr>
        <w:t>一、部门（单位）概况</w:t>
      </w:r>
    </w:p>
    <w:p>
      <w:pPr>
        <w:spacing w:line="581" w:lineRule="auto"/>
        <w:ind w:firstLine="640"/>
        <w:rPr>
          <w:rFonts w:ascii="仿宋" w:eastAsia="仿宋" w:cs="仿宋" w:hAnsi="仿宋"/>
          <w:b/>
          <w:sz w:val="32"/>
        </w:rPr>
      </w:pPr>
      <w:r>
        <w:rPr>
          <w:rFonts w:ascii="仿宋" w:eastAsia="仿宋" w:cs="仿宋" w:hAnsi="仿宋"/>
          <w:b/>
          <w:sz w:val="32"/>
        </w:rPr>
        <w:t>（一）机构组成</w:t>
      </w:r>
    </w:p>
    <w:p>
      <w:pPr>
        <w:spacing w:line="581" w:lineRule="auto"/>
        <w:ind w:firstLine="640"/>
        <w:rPr>
          <w:rFonts w:ascii="仿宋" w:eastAsia="仿宋" w:cs="仿宋" w:hAnsi="仿宋"/>
          <w:sz w:val="32"/>
        </w:rPr>
      </w:pPr>
      <w:r>
        <w:rPr>
          <w:rFonts w:ascii="仿宋" w:eastAsia="仿宋" w:cs="仿宋" w:hint="eastAsia"/>
          <w:kern w:val="0"/>
          <w:sz w:val="32"/>
          <w:szCs w:val="32"/>
          <w:lang w:val="zh-CN"/>
        </w:rPr>
        <w:t>我单位是区政府直属正科级全额预算事业单位。内设办公室、财务股、人力资源股、业务管理股、安全生产股、征收股、项目办7个股室；下设</w:t>
      </w:r>
      <w:r>
        <w:rPr>
          <w:rFonts w:ascii="仿宋" w:eastAsia="仿宋" w:cs="仿宋"/>
          <w:kern w:val="0"/>
          <w:sz w:val="32"/>
          <w:szCs w:val="32"/>
          <w:lang w:val="zh-CN"/>
        </w:rPr>
        <w:t>9</w:t>
      </w:r>
      <w:r>
        <w:rPr>
          <w:rFonts w:ascii="仿宋" w:eastAsia="仿宋" w:cs="仿宋" w:hint="eastAsia"/>
          <w:kern w:val="0"/>
          <w:sz w:val="32"/>
          <w:szCs w:val="32"/>
          <w:lang w:val="zh-CN"/>
        </w:rPr>
        <w:t>个街道环卫所、环卫监察大队、公共环卫服务所（含运输服务中心、公厕服务中心、垃圾处理中心、医疗废弃物处置中心）。</w:t>
      </w:r>
    </w:p>
    <w:p>
      <w:pPr>
        <w:spacing w:line="581" w:lineRule="auto"/>
        <w:ind w:firstLine="640"/>
        <w:rPr>
          <w:rFonts w:ascii="仿宋" w:eastAsia="仿宋" w:cs="仿宋" w:hAnsi="仿宋"/>
          <w:b/>
          <w:sz w:val="32"/>
        </w:rPr>
      </w:pPr>
      <w:r>
        <w:rPr>
          <w:rFonts w:ascii="仿宋" w:eastAsia="仿宋" w:cs="仿宋" w:hAnsi="仿宋"/>
          <w:b/>
          <w:sz w:val="32"/>
        </w:rPr>
        <w:t>（二）机构职能</w:t>
      </w:r>
    </w:p>
    <w:p>
      <w:pPr>
        <w:ind w:firstLine="800"/>
        <w:rPr>
          <w:rFonts w:ascii="仿宋" w:eastAsia="仿宋" w:cs="仿宋" w:hAnsi="仿宋"/>
          <w:sz w:val="32"/>
        </w:rPr>
      </w:pPr>
      <w:r>
        <w:rPr>
          <w:rFonts w:ascii="仿宋" w:eastAsia="仿宋" w:cs="仿宋" w:hAnsi="仿宋"/>
          <w:sz w:val="32"/>
        </w:rPr>
        <w:t>1.宣传</w:t>
      </w:r>
      <w:r>
        <w:rPr>
          <w:rFonts w:ascii="仿宋" w:eastAsia="仿宋" w:cs="仿宋" w:hAnsi="仿宋" w:hint="eastAsia"/>
          <w:sz w:val="32"/>
        </w:rPr>
        <w:t>贯彻</w:t>
      </w:r>
      <w:r>
        <w:rPr>
          <w:rFonts w:ascii="仿宋" w:eastAsia="仿宋" w:cs="仿宋" w:hAnsi="仿宋"/>
          <w:sz w:val="32"/>
        </w:rPr>
        <w:t>执行国家、省、市、区有关市容和环境卫生管理的法律、法规和政策；组织拟定本区城市环境卫生管理方面的有关规章制度。</w:t>
      </w:r>
    </w:p>
    <w:p>
      <w:pPr>
        <w:ind w:firstLine="800"/>
        <w:rPr>
          <w:rFonts w:ascii="仿宋" w:eastAsia="仿宋" w:cs="仿宋" w:hAnsi="仿宋"/>
          <w:sz w:val="32"/>
        </w:rPr>
      </w:pPr>
      <w:r>
        <w:rPr>
          <w:rFonts w:ascii="仿宋" w:eastAsia="仿宋" w:cs="仿宋" w:hAnsi="仿宋"/>
          <w:sz w:val="32"/>
        </w:rPr>
        <w:t>2.研究</w:t>
      </w:r>
      <w:r>
        <w:rPr>
          <w:rFonts w:ascii="仿宋" w:eastAsia="仿宋" w:cs="仿宋" w:hAnsi="仿宋" w:hint="eastAsia"/>
          <w:sz w:val="32"/>
        </w:rPr>
        <w:t>鉴定</w:t>
      </w:r>
      <w:r>
        <w:rPr>
          <w:rFonts w:ascii="仿宋" w:eastAsia="仿宋" w:cs="仿宋" w:hAnsi="仿宋"/>
          <w:sz w:val="32"/>
        </w:rPr>
        <w:t>城市环境卫</w:t>
      </w:r>
      <w:r>
        <w:rPr>
          <w:rFonts w:ascii="仿宋" w:eastAsia="仿宋" w:cs="仿宋" w:hAnsi="仿宋" w:hint="eastAsia"/>
          <w:sz w:val="32"/>
        </w:rPr>
        <w:t>生</w:t>
      </w:r>
      <w:r>
        <w:rPr>
          <w:rFonts w:ascii="仿宋" w:eastAsia="仿宋" w:cs="仿宋" w:hAnsi="仿宋"/>
          <w:sz w:val="32"/>
        </w:rPr>
        <w:t>管理及城市环境卫生管理行政执法工作的中长期规划和年度计划；编制城市环境卫生管理经费的中长期计划和年度计划；</w:t>
      </w:r>
      <w:r>
        <w:rPr>
          <w:rFonts w:ascii="仿宋" w:eastAsia="仿宋" w:cs="仿宋" w:hAnsi="仿宋" w:hint="eastAsia"/>
          <w:sz w:val="32"/>
        </w:rPr>
        <w:t>会同</w:t>
      </w:r>
      <w:r>
        <w:rPr>
          <w:rFonts w:ascii="仿宋" w:eastAsia="仿宋" w:cs="仿宋" w:hAnsi="仿宋"/>
          <w:sz w:val="32"/>
        </w:rPr>
        <w:t>有关部门对城市环境卫生管理的行政事业性收费进行监督管理；参与数字化城市管理模式的组织、试点和实施工作。</w:t>
      </w:r>
    </w:p>
    <w:p>
      <w:pPr>
        <w:ind w:firstLine="800"/>
        <w:rPr>
          <w:rFonts w:ascii="仿宋" w:eastAsia="仿宋" w:cs="仿宋" w:hAnsi="仿宋"/>
          <w:sz w:val="32"/>
        </w:rPr>
      </w:pPr>
      <w:r>
        <w:rPr>
          <w:rFonts w:ascii="仿宋" w:eastAsia="仿宋" w:cs="仿宋" w:hAnsi="仿宋"/>
          <w:sz w:val="32"/>
        </w:rPr>
        <w:t>3.负责城市环境卫生管理工作，依法对城市环境</w:t>
      </w:r>
      <w:r>
        <w:rPr>
          <w:rFonts w:ascii="仿宋" w:eastAsia="仿宋" w:cs="仿宋" w:hAnsi="仿宋" w:hint="eastAsia"/>
          <w:sz w:val="32"/>
        </w:rPr>
        <w:t>卫</w:t>
      </w:r>
      <w:r>
        <w:rPr>
          <w:rFonts w:ascii="仿宋" w:eastAsia="仿宋" w:cs="仿宋" w:hAnsi="仿宋"/>
          <w:sz w:val="32"/>
        </w:rPr>
        <w:t>生实施监督检查；参与城市环卫设施建设项目的方案审查和实施监督管理，参与城市新建、改扩建项目中的城市环卫配套设施方案的审核和监督管理。</w:t>
      </w:r>
    </w:p>
    <w:p>
      <w:pPr>
        <w:ind w:firstLine="800"/>
        <w:rPr>
          <w:rFonts w:ascii="仿宋" w:eastAsia="仿宋" w:cs="仿宋" w:hAnsi="仿宋"/>
          <w:sz w:val="32"/>
        </w:rPr>
      </w:pPr>
      <w:r>
        <w:rPr>
          <w:rFonts w:ascii="仿宋" w:eastAsia="仿宋" w:cs="仿宋" w:hAnsi="仿宋"/>
          <w:sz w:val="32"/>
        </w:rPr>
        <w:t>4.负责管理城市道路的冲洗</w:t>
      </w:r>
      <w:r>
        <w:rPr>
          <w:rFonts w:ascii="仿宋" w:eastAsia="仿宋" w:cs="仿宋" w:hAnsi="仿宋" w:hint="eastAsia"/>
          <w:sz w:val="32"/>
        </w:rPr>
        <w:t>洒水</w:t>
      </w:r>
      <w:r>
        <w:rPr>
          <w:rFonts w:ascii="仿宋" w:eastAsia="仿宋" w:cs="仿宋" w:hAnsi="仿宋"/>
          <w:sz w:val="32"/>
        </w:rPr>
        <w:t>和生活垃圾、特种垃圾、建筑垃圾的收集、清运、处置；负责环境卫生企业的行业管理：负责建筑垃圾和建筑渣土运输、消纳等的管理;会同有关部门负责建筑垃圾处置场地的规划、定点和监督管理；负责对辖区内垃圾中转站的报批、修建和管理工作。</w:t>
      </w:r>
    </w:p>
    <w:p>
      <w:pPr>
        <w:ind w:firstLine="800"/>
        <w:rPr>
          <w:rFonts w:ascii="仿宋" w:eastAsia="仿宋" w:cs="仿宋" w:hAnsi="仿宋"/>
          <w:sz w:val="32"/>
        </w:rPr>
      </w:pPr>
      <w:r>
        <w:rPr>
          <w:rFonts w:ascii="仿宋" w:eastAsia="仿宋" w:cs="仿宋" w:hAnsi="仿宋"/>
          <w:sz w:val="32"/>
        </w:rPr>
        <w:t>5.负责组织城市环卫的招商引资工作；负责城市环境卫生管理的科学研究和社会宣传教育工作。</w:t>
      </w:r>
    </w:p>
    <w:p>
      <w:pPr>
        <w:ind w:firstLine="800"/>
        <w:rPr>
          <w:rFonts w:ascii="仿宋" w:eastAsia="仿宋" w:cs="仿宋" w:hAnsi="仿宋"/>
          <w:sz w:val="32"/>
        </w:rPr>
      </w:pPr>
      <w:r>
        <w:rPr>
          <w:rFonts w:ascii="仿宋" w:eastAsia="仿宋" w:cs="仿宋" w:hAnsi="仿宋"/>
          <w:sz w:val="32"/>
        </w:rPr>
        <w:t>6.负责行使城市环境卫生管理等方面法律、法规、规章规定的行政处罚权。</w:t>
      </w:r>
    </w:p>
    <w:p>
      <w:pPr>
        <w:ind w:firstLine="800"/>
        <w:rPr>
          <w:rFonts w:ascii="仿宋" w:eastAsia="仿宋" w:cs="仿宋" w:hAnsi="仿宋"/>
          <w:sz w:val="32"/>
        </w:rPr>
      </w:pPr>
      <w:r>
        <w:rPr>
          <w:rFonts w:ascii="仿宋" w:eastAsia="仿宋" w:cs="仿宋" w:hAnsi="仿宋"/>
          <w:sz w:val="32"/>
        </w:rPr>
        <w:t>7.负责辖区内城市垃圾和医疗废弃物的收集、处理、处置及收费工作。</w:t>
      </w:r>
    </w:p>
    <w:p>
      <w:pPr>
        <w:ind w:firstLine="800"/>
        <w:rPr>
          <w:rFonts w:ascii="仿宋" w:eastAsia="仿宋" w:cs="仿宋" w:hAnsi="仿宋"/>
          <w:sz w:val="32"/>
        </w:rPr>
      </w:pPr>
      <w:r>
        <w:rPr>
          <w:rFonts w:ascii="仿宋" w:eastAsia="仿宋" w:cs="仿宋" w:hAnsi="仿宋"/>
          <w:sz w:val="32"/>
        </w:rPr>
        <w:t>8.负责城区垃圾清运及消纳场、公厕的管理。</w:t>
      </w:r>
    </w:p>
    <w:p>
      <w:pPr>
        <w:ind w:firstLine="800"/>
        <w:rPr>
          <w:rFonts w:ascii="仿宋" w:eastAsia="仿宋" w:cs="仿宋" w:hAnsi="仿宋"/>
          <w:sz w:val="32"/>
        </w:rPr>
      </w:pPr>
      <w:r>
        <w:rPr>
          <w:rFonts w:ascii="仿宋" w:eastAsia="仿宋" w:cs="仿宋" w:hAnsi="仿宋"/>
          <w:sz w:val="32"/>
        </w:rPr>
        <w:t>9.负责对全区各乡镇的环境卫生管理工作实施监督、检查、指导、考核，</w:t>
      </w:r>
    </w:p>
    <w:p>
      <w:pPr>
        <w:ind w:firstLine="800"/>
        <w:rPr>
          <w:rFonts w:ascii="仿宋" w:eastAsia="仿宋" w:cs="仿宋" w:hAnsi="仿宋"/>
          <w:sz w:val="32"/>
        </w:rPr>
      </w:pPr>
      <w:r>
        <w:rPr>
          <w:rFonts w:ascii="仿宋" w:eastAsia="仿宋" w:cs="仿宋" w:hAnsi="仿宋"/>
          <w:sz w:val="32"/>
        </w:rPr>
        <w:t>10.承办区委、区政府交办的其他事项。</w:t>
      </w:r>
    </w:p>
    <w:p>
      <w:pPr>
        <w:spacing w:line="581" w:lineRule="auto"/>
        <w:ind w:firstLine="640"/>
        <w:rPr>
          <w:rFonts w:ascii="仿宋" w:eastAsia="仿宋" w:cs="仿宋" w:hAnsi="仿宋"/>
          <w:sz w:val="32"/>
        </w:rPr>
      </w:pPr>
      <w:r>
        <w:rPr>
          <w:rFonts w:ascii="仿宋" w:eastAsia="仿宋" w:cs="仿宋" w:hAnsi="仿宋"/>
          <w:b/>
          <w:sz w:val="32"/>
        </w:rPr>
        <w:t>（三）人员概况</w:t>
      </w:r>
    </w:p>
    <w:p>
      <w:pPr>
        <w:spacing w:line="581" w:lineRule="auto"/>
        <w:ind w:firstLine="640"/>
        <w:rPr>
          <w:rFonts w:ascii="仿宋" w:eastAsia="仿宋" w:cs="仿宋"/>
          <w:color w:val="000000"/>
          <w:kern w:val="0"/>
          <w:sz w:val="32"/>
          <w:szCs w:val="32"/>
          <w:lang w:val="zh-CN"/>
        </w:rPr>
      </w:pPr>
      <w:r>
        <w:rPr>
          <w:rFonts w:ascii="仿宋" w:eastAsia="仿宋" w:cs="仿宋" w:hint="eastAsia"/>
          <w:color w:val="000000"/>
          <w:kern w:val="0"/>
          <w:sz w:val="32"/>
          <w:szCs w:val="32"/>
          <w:lang w:val="zh-CN"/>
        </w:rPr>
        <w:t>截止2018年底，我局共有事业编制105人。年末实有在职人员103人，退休人员75人，环卫临聘人员实际用工人数2969人，比去年实际用工人数减少237人。</w:t>
      </w:r>
    </w:p>
    <w:p>
      <w:pPr>
        <w:spacing w:line="581" w:lineRule="auto"/>
        <w:ind w:firstLine="640"/>
        <w:rPr>
          <w:rFonts w:ascii="黑体" w:eastAsia="黑体" w:cs="黑体" w:hAnsi="黑体"/>
          <w:sz w:val="32"/>
        </w:rPr>
      </w:pPr>
      <w:r>
        <w:rPr>
          <w:rFonts w:ascii="黑体" w:eastAsia="黑体" w:cs="黑体" w:hAnsi="黑体"/>
          <w:sz w:val="32"/>
        </w:rPr>
        <w:t>二、部门财政资金收支情况</w:t>
      </w:r>
    </w:p>
    <w:p>
      <w:pPr>
        <w:spacing w:line="581" w:lineRule="auto"/>
        <w:ind w:firstLine="640"/>
        <w:rPr>
          <w:rFonts w:ascii="仿宋" w:eastAsia="仿宋" w:cs="仿宋" w:hAnsi="仿宋"/>
          <w:sz w:val="32"/>
        </w:rPr>
      </w:pPr>
      <w:r>
        <w:rPr>
          <w:rFonts w:ascii="仿宋" w:eastAsia="仿宋" w:cs="仿宋" w:hAnsi="仿宋"/>
          <w:b/>
          <w:sz w:val="32"/>
        </w:rPr>
        <w:t>（一）部门财政资金收入情况。</w:t>
      </w:r>
      <w:r>
        <w:rPr>
          <w:rFonts w:ascii="仿宋" w:eastAsia="仿宋" w:cs="仿宋" w:hAnsi="仿宋"/>
          <w:color w:val="000000"/>
          <w:sz w:val="32"/>
        </w:rPr>
        <w:t>2018年</w:t>
      </w:r>
      <w:r>
        <w:rPr>
          <w:rFonts w:ascii="仿宋" w:eastAsia="仿宋" w:cs="仿宋" w:hAnsi="仿宋" w:hint="eastAsia"/>
          <w:color w:val="000000"/>
          <w:sz w:val="32"/>
        </w:rPr>
        <w:t>度财政拨款</w:t>
      </w:r>
      <w:r>
        <w:rPr>
          <w:rFonts w:ascii="仿宋" w:eastAsia="仿宋" w:cs="仿宋" w:hAnsi="仿宋"/>
          <w:color w:val="000000"/>
          <w:sz w:val="32"/>
        </w:rPr>
        <w:t>收入</w:t>
      </w:r>
      <w:r>
        <w:rPr>
          <w:rFonts w:ascii="仿宋" w:eastAsia="仿宋" w:cs="仿宋" w:hAnsi="仿宋" w:hint="eastAsia"/>
          <w:color w:val="000000"/>
          <w:sz w:val="32"/>
        </w:rPr>
        <w:t>6386.12</w:t>
      </w:r>
      <w:r>
        <w:rPr>
          <w:rFonts w:ascii="仿宋" w:eastAsia="仿宋" w:cs="仿宋" w:hAnsi="仿宋"/>
          <w:color w:val="000000"/>
          <w:sz w:val="32"/>
        </w:rPr>
        <w:t>万元，其中：一般公共预算财政拨款收入</w:t>
      </w:r>
      <w:r>
        <w:rPr>
          <w:rFonts w:ascii="仿宋" w:eastAsia="仿宋" w:cs="仿宋" w:hAnsi="仿宋" w:hint="eastAsia"/>
          <w:color w:val="000000"/>
          <w:sz w:val="32"/>
        </w:rPr>
        <w:t>6386.12</w:t>
      </w:r>
      <w:r>
        <w:rPr>
          <w:rFonts w:ascii="仿宋" w:eastAsia="仿宋" w:cs="仿宋" w:hAnsi="仿宋"/>
          <w:color w:val="000000"/>
          <w:sz w:val="32"/>
        </w:rPr>
        <w:t>万元，占</w:t>
      </w:r>
      <w:r>
        <w:rPr>
          <w:rFonts w:ascii="仿宋" w:eastAsia="仿宋" w:cs="仿宋" w:hAnsi="仿宋" w:hint="eastAsia"/>
          <w:color w:val="000000"/>
          <w:sz w:val="32"/>
        </w:rPr>
        <w:t>100</w:t>
      </w:r>
      <w:r>
        <w:rPr>
          <w:rFonts w:ascii="仿宋" w:eastAsia="仿宋" w:cs="仿宋" w:hAnsi="仿宋"/>
          <w:color w:val="000000"/>
          <w:sz w:val="32"/>
        </w:rPr>
        <w:t>%。</w:t>
      </w:r>
    </w:p>
    <w:p>
      <w:pPr>
        <w:spacing w:line="600" w:lineRule="auto"/>
        <w:ind w:firstLine="640"/>
        <w:rPr>
          <w:rFonts w:ascii="仿宋" w:eastAsia="仿宋" w:cs="仿宋" w:hAnsi="仿宋"/>
          <w:sz w:val="32"/>
        </w:rPr>
      </w:pPr>
      <w:r>
        <w:rPr>
          <w:rFonts w:ascii="仿宋" w:eastAsia="仿宋" w:cs="仿宋" w:hAnsi="仿宋"/>
          <w:b/>
          <w:sz w:val="32"/>
        </w:rPr>
        <w:t>（二）部门财政资金支出情况。</w:t>
      </w:r>
      <w:r>
        <w:rPr>
          <w:rFonts w:ascii="仿宋" w:eastAsia="仿宋" w:cs="仿宋" w:hAnsi="仿宋"/>
          <w:color w:val="000000"/>
          <w:sz w:val="32"/>
        </w:rPr>
        <w:t>2018年</w:t>
      </w:r>
      <w:r>
        <w:rPr>
          <w:rFonts w:ascii="仿宋" w:eastAsia="仿宋" w:cs="仿宋" w:hAnsi="仿宋" w:hint="eastAsia"/>
          <w:color w:val="000000"/>
          <w:sz w:val="32"/>
        </w:rPr>
        <w:t>度财政拨款</w:t>
      </w:r>
      <w:r>
        <w:rPr>
          <w:rFonts w:ascii="仿宋" w:eastAsia="仿宋" w:cs="仿宋" w:hAnsi="仿宋"/>
          <w:color w:val="000000"/>
          <w:sz w:val="32"/>
        </w:rPr>
        <w:t>支</w:t>
      </w:r>
      <w:r>
        <w:rPr>
          <w:rFonts w:ascii="仿宋" w:eastAsia="仿宋" w:cs="仿宋" w:hAnsi="仿宋"/>
          <w:sz w:val="32"/>
        </w:rPr>
        <w:t>出</w:t>
      </w:r>
      <w:r>
        <w:rPr>
          <w:rFonts w:ascii="仿宋" w:eastAsia="仿宋" w:cs="仿宋" w:hAnsi="仿宋" w:hint="eastAsia"/>
          <w:sz w:val="32"/>
        </w:rPr>
        <w:t>3197.76</w:t>
      </w:r>
      <w:r>
        <w:rPr>
          <w:rFonts w:ascii="仿宋" w:eastAsia="仿宋" w:cs="仿宋" w:hAnsi="仿宋"/>
          <w:sz w:val="32"/>
        </w:rPr>
        <w:t>万元，其中：基本支出</w:t>
      </w:r>
      <w:r>
        <w:rPr>
          <w:rFonts w:ascii="仿宋" w:eastAsia="仿宋" w:cs="仿宋" w:hAnsi="仿宋" w:hint="eastAsia"/>
          <w:sz w:val="32"/>
        </w:rPr>
        <w:t>1403.49</w:t>
      </w:r>
      <w:r>
        <w:rPr>
          <w:rFonts w:ascii="仿宋" w:eastAsia="仿宋" w:cs="仿宋" w:hAnsi="仿宋"/>
          <w:sz w:val="32"/>
        </w:rPr>
        <w:t>万元，占</w:t>
      </w:r>
      <w:r>
        <w:rPr>
          <w:rFonts w:ascii="仿宋" w:eastAsia="仿宋" w:cs="仿宋" w:hAnsi="仿宋" w:hint="eastAsia"/>
          <w:sz w:val="32"/>
        </w:rPr>
        <w:t>43.89</w:t>
      </w:r>
      <w:r>
        <w:rPr>
          <w:rFonts w:ascii="仿宋" w:eastAsia="仿宋" w:cs="仿宋" w:hAnsi="仿宋"/>
          <w:sz w:val="32"/>
        </w:rPr>
        <w:t>%；项目支出</w:t>
      </w:r>
      <w:r>
        <w:rPr>
          <w:rFonts w:ascii="仿宋" w:eastAsia="仿宋" w:cs="仿宋" w:hAnsi="仿宋" w:hint="eastAsia"/>
          <w:sz w:val="32"/>
        </w:rPr>
        <w:t>1794.28</w:t>
      </w:r>
      <w:r>
        <w:rPr>
          <w:rFonts w:ascii="仿宋" w:eastAsia="仿宋" w:cs="仿宋" w:hAnsi="仿宋"/>
          <w:sz w:val="32"/>
        </w:rPr>
        <w:t>万元，占</w:t>
      </w:r>
      <w:r>
        <w:rPr>
          <w:rFonts w:ascii="仿宋" w:eastAsia="仿宋" w:cs="仿宋" w:hAnsi="仿宋" w:hint="eastAsia"/>
          <w:sz w:val="32"/>
        </w:rPr>
        <w:t>56.11</w:t>
      </w:r>
      <w:r>
        <w:rPr>
          <w:rFonts w:ascii="仿宋" w:eastAsia="仿宋" w:cs="仿宋" w:hAnsi="仿宋"/>
          <w:sz w:val="32"/>
        </w:rPr>
        <w:t>%。</w:t>
      </w:r>
    </w:p>
    <w:p>
      <w:pPr>
        <w:spacing w:line="600" w:lineRule="auto"/>
        <w:ind w:firstLineChars="250" w:firstLine="800"/>
        <w:rPr>
          <w:rFonts w:ascii="仿宋" w:eastAsia="仿宋" w:cs="仿宋" w:hAnsi="仿宋"/>
          <w:sz w:val="32"/>
        </w:rPr>
      </w:pPr>
      <w:r>
        <w:rPr>
          <w:rFonts w:ascii="仿宋" w:eastAsia="仿宋" w:cs="仿宋" w:hAnsi="仿宋" w:hint="eastAsia"/>
          <w:sz w:val="32"/>
        </w:rPr>
        <w:t>从支出的功能分类看，</w:t>
      </w:r>
      <w:r>
        <w:rPr>
          <w:rFonts w:ascii="仿宋" w:eastAsia="仿宋" w:cs="仿宋" w:hAnsi="仿宋"/>
          <w:sz w:val="32"/>
        </w:rPr>
        <w:t>社会保障和就业支出</w:t>
      </w:r>
      <w:r>
        <w:rPr>
          <w:rFonts w:ascii="仿宋" w:eastAsia="仿宋" w:cs="仿宋" w:hAnsi="仿宋" w:hint="eastAsia"/>
          <w:sz w:val="32"/>
        </w:rPr>
        <w:t>159.07</w:t>
      </w:r>
      <w:r>
        <w:rPr>
          <w:rFonts w:ascii="仿宋" w:eastAsia="仿宋" w:cs="仿宋" w:hAnsi="仿宋"/>
          <w:sz w:val="32"/>
        </w:rPr>
        <w:t>万元，占</w:t>
      </w:r>
      <w:r>
        <w:rPr>
          <w:rFonts w:ascii="仿宋" w:eastAsia="仿宋" w:cs="仿宋" w:hAnsi="仿宋" w:hint="eastAsia"/>
          <w:sz w:val="32"/>
        </w:rPr>
        <w:t>4.97</w:t>
      </w:r>
      <w:r>
        <w:rPr>
          <w:rFonts w:ascii="仿宋" w:eastAsia="仿宋" w:cs="仿宋" w:hAnsi="仿宋"/>
          <w:sz w:val="32"/>
        </w:rPr>
        <w:t>%；医疗卫生</w:t>
      </w:r>
      <w:r>
        <w:rPr>
          <w:rFonts w:ascii="仿宋" w:eastAsia="仿宋" w:cs="仿宋" w:hAnsi="仿宋" w:hint="eastAsia"/>
          <w:sz w:val="32"/>
        </w:rPr>
        <w:t>与计划生育</w:t>
      </w:r>
      <w:r>
        <w:rPr>
          <w:rFonts w:ascii="仿宋" w:eastAsia="仿宋" w:cs="仿宋" w:hAnsi="仿宋"/>
          <w:sz w:val="32"/>
        </w:rPr>
        <w:t>支出</w:t>
      </w:r>
      <w:r>
        <w:rPr>
          <w:rFonts w:ascii="仿宋" w:eastAsia="仿宋" w:cs="仿宋" w:hAnsi="仿宋" w:hint="eastAsia"/>
          <w:sz w:val="32"/>
        </w:rPr>
        <w:t>60.14</w:t>
      </w:r>
      <w:r>
        <w:rPr>
          <w:rFonts w:ascii="仿宋" w:eastAsia="仿宋" w:cs="仿宋" w:hAnsi="仿宋"/>
          <w:sz w:val="32"/>
        </w:rPr>
        <w:t>万元，占</w:t>
      </w:r>
      <w:r>
        <w:rPr>
          <w:rFonts w:ascii="仿宋" w:eastAsia="仿宋" w:cs="仿宋" w:hAnsi="仿宋" w:hint="eastAsia"/>
          <w:sz w:val="32"/>
        </w:rPr>
        <w:t>1.88</w:t>
      </w:r>
      <w:r>
        <w:rPr>
          <w:rFonts w:ascii="仿宋" w:eastAsia="仿宋" w:cs="仿宋" w:hAnsi="仿宋"/>
          <w:sz w:val="32"/>
        </w:rPr>
        <w:t>%；</w:t>
      </w:r>
      <w:r>
        <w:rPr>
          <w:rFonts w:ascii="仿宋" w:eastAsia="仿宋" w:cs="仿宋" w:hAnsi="仿宋" w:hint="eastAsia"/>
          <w:sz w:val="32"/>
        </w:rPr>
        <w:t>节能环保支出333.28万元，占10.42%；城乡社区支出2501.1万元，占78.22%；农林水支出0.49万元，占0.02%；</w:t>
      </w:r>
      <w:r>
        <w:rPr>
          <w:rFonts w:ascii="仿宋" w:eastAsia="仿宋" w:cs="仿宋" w:hAnsi="仿宋"/>
          <w:sz w:val="32"/>
        </w:rPr>
        <w:t>住房保障支出</w:t>
      </w:r>
      <w:r>
        <w:rPr>
          <w:rFonts w:ascii="仿宋" w:eastAsia="仿宋" w:cs="仿宋" w:hAnsi="仿宋" w:hint="eastAsia"/>
          <w:sz w:val="32"/>
        </w:rPr>
        <w:t>73.67</w:t>
      </w:r>
      <w:r>
        <w:rPr>
          <w:rFonts w:ascii="仿宋" w:eastAsia="仿宋" w:cs="仿宋" w:hAnsi="仿宋"/>
          <w:sz w:val="32"/>
        </w:rPr>
        <w:t>万元，占</w:t>
      </w:r>
      <w:r>
        <w:rPr>
          <w:rFonts w:ascii="仿宋" w:eastAsia="仿宋" w:cs="仿宋" w:hAnsi="仿宋" w:hint="eastAsia"/>
          <w:sz w:val="32"/>
        </w:rPr>
        <w:t>2.30</w:t>
      </w:r>
      <w:r>
        <w:rPr>
          <w:rFonts w:ascii="仿宋" w:eastAsia="仿宋" w:cs="仿宋" w:hAnsi="仿宋"/>
          <w:sz w:val="32"/>
        </w:rPr>
        <w:t>%；</w:t>
      </w:r>
      <w:r>
        <w:rPr>
          <w:rFonts w:ascii="仿宋" w:eastAsia="仿宋" w:cs="仿宋" w:hAnsi="仿宋" w:hint="eastAsia"/>
          <w:sz w:val="32"/>
        </w:rPr>
        <w:t>其他支出70.01万元，占2.19%</w:t>
      </w:r>
      <w:r>
        <w:rPr>
          <w:rFonts w:ascii="仿宋" w:eastAsia="仿宋" w:cs="仿宋" w:hAnsi="仿宋"/>
          <w:sz w:val="32"/>
        </w:rPr>
        <w:t>。</w:t>
      </w:r>
    </w:p>
    <w:p>
      <w:pPr>
        <w:pStyle w:val="19"/>
        <w:shd w:val="clear" w:color="auto" w:fill="FFFFFF"/>
        <w:spacing w:before="135" w:beforeAutospacing="0" w:after="135" w:afterAutospacing="0"/>
        <w:ind w:firstLineChars="200" w:firstLine="640"/>
        <w:rPr>
          <w:rFonts w:ascii="仿宋" w:eastAsia="仿宋" w:cs="仿宋" w:hAnsi="仿宋"/>
          <w:kern w:val="2"/>
          <w:sz w:val="32"/>
          <w:szCs w:val="22"/>
        </w:rPr>
      </w:pPr>
      <w:r>
        <w:rPr>
          <w:rFonts w:ascii="仿宋" w:eastAsia="仿宋" w:cs="仿宋" w:hAnsi="仿宋" w:hint="eastAsia"/>
          <w:kern w:val="2"/>
          <w:sz w:val="32"/>
          <w:szCs w:val="22"/>
        </w:rPr>
        <w:t>从支出的经济分类看，工资福利支出1191.71万元，占37.27%;商品和服务支出1294.77万元，占40.49%;对个人和家庭的补助支出116.54万元，占3.64%;资本性支出594.74万元，占18.60%。</w:t>
      </w:r>
    </w:p>
    <w:p>
      <w:pPr>
        <w:spacing w:line="581" w:lineRule="auto"/>
        <w:ind w:firstLine="640"/>
        <w:rPr>
          <w:rFonts w:ascii="黑体" w:eastAsia="黑体" w:cs="黑体" w:hAnsi="黑体"/>
          <w:sz w:val="32"/>
        </w:rPr>
      </w:pPr>
      <w:r>
        <w:rPr>
          <w:rFonts w:ascii="黑体" w:eastAsia="黑体" w:cs="黑体" w:hAnsi="黑体"/>
          <w:sz w:val="32"/>
        </w:rPr>
        <w:t>三、部门整体预算绩效管理情况</w:t>
      </w:r>
    </w:p>
    <w:p>
      <w:pPr>
        <w:widowControl/>
        <w:spacing w:line="600" w:lineRule="exact"/>
        <w:ind w:firstLineChars="200" w:firstLine="640"/>
        <w:jc w:val="left"/>
        <w:rPr>
          <w:rFonts w:ascii="仿宋" w:eastAsia="仿宋" w:cs="仿宋" w:hAnsi="仿宋"/>
          <w:sz w:val="32"/>
        </w:rPr>
      </w:pPr>
      <w:r>
        <w:rPr>
          <w:rFonts w:ascii="仿宋" w:eastAsia="仿宋" w:cs="仿宋" w:hAnsi="仿宋" w:hint="eastAsia"/>
          <w:sz w:val="32"/>
        </w:rPr>
        <w:t>通过对部门整体支出情况的概述和实际支出情况的分析，2018年度我单位部门整体支出绩效具体评价如下：</w:t>
      </w:r>
    </w:p>
    <w:p>
      <w:pPr>
        <w:pStyle w:val="17"/>
        <w:widowControl/>
        <w:numPr>
          <w:ilvl w:val="0"/>
          <w:numId w:val="3"/>
        </w:numPr>
        <w:spacing w:line="600" w:lineRule="exact"/>
        <w:ind w:firstLineChars="0"/>
        <w:jc w:val="left"/>
        <w:rPr>
          <w:rFonts w:ascii="仿宋" w:eastAsia="仿宋" w:cs="仿宋" w:hAnsi="仿宋"/>
          <w:b/>
          <w:sz w:val="32"/>
        </w:rPr>
      </w:pPr>
      <w:r>
        <w:rPr>
          <w:rFonts w:ascii="仿宋" w:eastAsia="仿宋" w:cs="仿宋" w:hAnsi="仿宋"/>
          <w:b/>
          <w:sz w:val="32"/>
        </w:rPr>
        <w:t>部门预算管理</w:t>
      </w:r>
    </w:p>
    <w:p>
      <w:pPr>
        <w:widowControl/>
        <w:spacing w:line="600" w:lineRule="exact"/>
        <w:ind w:firstLineChars="200" w:firstLine="640"/>
        <w:jc w:val="left"/>
        <w:rPr>
          <w:rFonts w:ascii="仿宋" w:eastAsia="仿宋" w:cs="仿宋" w:hAnsi="仿宋"/>
          <w:sz w:val="32"/>
        </w:rPr>
      </w:pPr>
      <w:r>
        <w:rPr>
          <w:rFonts w:ascii="仿宋" w:eastAsia="仿宋" w:cs="仿宋" w:hAnsi="仿宋" w:hint="eastAsia"/>
          <w:sz w:val="32"/>
        </w:rPr>
        <w:t>预算编制方面：我单位2018年预算严格按照《预算法》和预算管理相关规定，结合我单位工作实际，采用增量预算法，确保我市城区环境卫生工作顺利进行，同时，环卫临聘人员减员增效成果显著，人数严格控制在财政评估人数以内，从源头严格控制和降低了人员成本。</w:t>
      </w:r>
    </w:p>
    <w:p>
      <w:pPr>
        <w:widowControl/>
        <w:spacing w:line="600" w:lineRule="exact"/>
        <w:ind w:firstLineChars="200" w:firstLine="640"/>
        <w:jc w:val="left"/>
        <w:rPr>
          <w:rFonts w:ascii="仿宋" w:eastAsia="仿宋" w:cs="仿宋" w:hAnsi="仿宋"/>
          <w:sz w:val="32"/>
        </w:rPr>
      </w:pPr>
      <w:r>
        <w:rPr>
          <w:rFonts w:ascii="仿宋" w:eastAsia="仿宋" w:cs="仿宋" w:hAnsi="仿宋" w:hint="eastAsia"/>
          <w:sz w:val="32"/>
        </w:rPr>
        <w:t>预算执行方面：严格落实《预算法》和预算管理相关规定，各项支出按照批准的预算审核列支，严格监控预算执行动态，并在预算额度内使用，支出的范围和标准符合相关规定。支出主要用于保障单位正常运转、完成日常工作任务以及上级下达的专项任务而发生的支出。</w:t>
      </w:r>
    </w:p>
    <w:p>
      <w:pPr>
        <w:widowControl/>
        <w:spacing w:line="600" w:lineRule="exact"/>
        <w:ind w:firstLineChars="200" w:firstLine="640"/>
        <w:jc w:val="left"/>
        <w:rPr>
          <w:rFonts w:ascii="仿宋" w:eastAsia="仿宋" w:cs="仿宋" w:hAnsi="仿宋"/>
          <w:sz w:val="32"/>
        </w:rPr>
      </w:pPr>
      <w:r>
        <w:rPr>
          <w:rFonts w:ascii="仿宋" w:eastAsia="仿宋" w:cs="仿宋" w:hAnsi="仿宋" w:hint="eastAsia"/>
          <w:sz w:val="32"/>
        </w:rPr>
        <w:t>预算管理方面：部门整体支出能有效按照预算要求基本执行，预算支出范围合理，预算支出项目细化，资金使用方向明确，管理合规，且决算工作精细到位，基本体现了部门整体支出情况的数据统筹性和宏观性。</w:t>
      </w:r>
    </w:p>
    <w:p>
      <w:pPr>
        <w:widowControl/>
        <w:spacing w:line="600" w:lineRule="exact"/>
        <w:ind w:firstLineChars="200" w:firstLine="640"/>
        <w:jc w:val="left"/>
        <w:rPr>
          <w:rFonts w:ascii="仿宋" w:eastAsia="仿宋" w:cs="仿宋" w:hAnsi="仿宋"/>
          <w:sz w:val="32"/>
        </w:rPr>
      </w:pPr>
      <w:r>
        <w:rPr>
          <w:rFonts w:ascii="仿宋" w:eastAsia="仿宋" w:cs="仿宋" w:hAnsi="仿宋" w:hint="eastAsia"/>
          <w:sz w:val="32"/>
        </w:rPr>
        <w:t>资产管理方面：我局进一步加强资产的管理，完善了资产管理制度，明确了具体责任人，完善了固定资产档案，严格报批、销审等手续，做好资产统计工作，单位无固定资产流失现象。</w:t>
      </w:r>
    </w:p>
    <w:p>
      <w:pPr>
        <w:spacing w:line="581" w:lineRule="auto"/>
        <w:ind w:firstLine="640"/>
        <w:rPr>
          <w:rFonts w:ascii="仿宋" w:eastAsia="仿宋" w:cs="仿宋" w:hAnsi="仿宋"/>
          <w:b/>
          <w:sz w:val="32"/>
        </w:rPr>
      </w:pPr>
      <w:r>
        <w:rPr>
          <w:rFonts w:ascii="仿宋" w:eastAsia="仿宋" w:cs="仿宋" w:hAnsi="仿宋"/>
          <w:b/>
          <w:sz w:val="32"/>
        </w:rPr>
        <w:t>（二）专项预算管理</w:t>
      </w:r>
    </w:p>
    <w:p>
      <w:pPr>
        <w:pStyle w:val="19"/>
        <w:shd w:val="clear" w:color="auto" w:fill="FFFFFF"/>
        <w:spacing w:before="0" w:beforeAutospacing="0" w:after="202" w:afterAutospacing="0" w:line="323" w:lineRule="atLeast"/>
        <w:ind w:firstLineChars="200" w:firstLine="640"/>
      </w:pPr>
      <w:r>
        <w:rPr>
          <w:rFonts w:ascii="仿宋" w:eastAsia="仿宋" w:cs="仿宋" w:hAnsi="仿宋" w:hint="eastAsia"/>
          <w:kern w:val="2"/>
          <w:sz w:val="32"/>
          <w:szCs w:val="22"/>
        </w:rPr>
        <w:t>我单位整体支出重点用于项目经费支出，在专项预算管理方面，我单位严格</w:t>
      </w:r>
      <w:r>
        <w:rPr>
          <w:rFonts w:ascii="仿宋" w:eastAsia="仿宋" w:cs="仿宋" w:hAnsi="仿宋"/>
          <w:kern w:val="2"/>
          <w:sz w:val="32"/>
          <w:szCs w:val="22"/>
        </w:rPr>
        <w:t>执行《四川省省级财政专项资金绩效分配管理暂行办法》，围绕项目绩效目标，做到尊重客观、办法科学、程序透明，确保资金分配公平、公正、公开</w:t>
      </w:r>
      <w:r>
        <w:rPr>
          <w:rFonts w:ascii="仿宋" w:eastAsia="仿宋" w:cs="仿宋" w:hAnsi="仿宋" w:hint="eastAsia"/>
          <w:kern w:val="2"/>
          <w:sz w:val="32"/>
          <w:szCs w:val="22"/>
        </w:rPr>
        <w:t>；对专项资金实行</w:t>
      </w:r>
      <w:r>
        <w:rPr>
          <w:rFonts w:ascii="仿宋" w:eastAsia="仿宋" w:cs="仿宋" w:hAnsi="仿宋"/>
          <w:kern w:val="2"/>
          <w:sz w:val="32"/>
          <w:szCs w:val="22"/>
        </w:rPr>
        <w:t>分类管理</w:t>
      </w:r>
      <w:r>
        <w:rPr>
          <w:rFonts w:ascii="仿宋" w:eastAsia="仿宋" w:cs="仿宋" w:hAnsi="仿宋" w:hint="eastAsia"/>
          <w:kern w:val="2"/>
          <w:sz w:val="32"/>
          <w:szCs w:val="22"/>
        </w:rPr>
        <w:t>，</w:t>
      </w:r>
      <w:r>
        <w:rPr>
          <w:rFonts w:ascii="仿宋" w:eastAsia="仿宋" w:cs="仿宋" w:hAnsi="仿宋"/>
          <w:kern w:val="2"/>
          <w:sz w:val="32"/>
          <w:szCs w:val="22"/>
        </w:rPr>
        <w:t>确立体现项目特性要求</w:t>
      </w:r>
      <w:r>
        <w:rPr>
          <w:rFonts w:ascii="仿宋" w:eastAsia="仿宋" w:cs="仿宋" w:hAnsi="仿宋" w:hint="eastAsia"/>
          <w:kern w:val="2"/>
          <w:sz w:val="32"/>
          <w:szCs w:val="22"/>
        </w:rPr>
        <w:t>；并</w:t>
      </w:r>
      <w:r>
        <w:rPr>
          <w:rFonts w:ascii="仿宋" w:eastAsia="仿宋" w:cs="仿宋" w:hAnsi="仿宋"/>
          <w:kern w:val="2"/>
          <w:sz w:val="32"/>
          <w:szCs w:val="22"/>
        </w:rPr>
        <w:t>落实部门职责，强化监督约束，建立</w:t>
      </w:r>
      <w:r>
        <w:rPr>
          <w:rFonts w:ascii="仿宋" w:eastAsia="仿宋" w:cs="仿宋" w:hAnsi="仿宋" w:hint="eastAsia"/>
          <w:kern w:val="2"/>
          <w:sz w:val="32"/>
          <w:szCs w:val="22"/>
        </w:rPr>
        <w:t>了</w:t>
      </w:r>
      <w:r>
        <w:rPr>
          <w:rFonts w:ascii="仿宋" w:eastAsia="仿宋" w:cs="仿宋" w:hAnsi="仿宋"/>
          <w:kern w:val="2"/>
          <w:sz w:val="32"/>
          <w:szCs w:val="22"/>
        </w:rPr>
        <w:t>部门间协作配合、相互制衡的工作机制。</w:t>
      </w:r>
      <w:r>
        <w:rPr>
          <w:rFonts w:ascii="仿宋" w:eastAsia="仿宋" w:cs="仿宋" w:hAnsi="仿宋" w:hint="eastAsia"/>
          <w:kern w:val="2"/>
          <w:sz w:val="32"/>
          <w:szCs w:val="22"/>
        </w:rPr>
        <w:t>基本完成了当年度各专项任务，有效对其实行了监管，确保了专项经费专款专用，充分发挥了环卫工作对城市建设的基础作用。</w:t>
      </w:r>
    </w:p>
    <w:p>
      <w:pPr>
        <w:spacing w:line="581" w:lineRule="auto"/>
        <w:ind w:firstLineChars="98" w:firstLine="314"/>
        <w:rPr>
          <w:rFonts w:ascii="仿宋" w:eastAsia="仿宋" w:cs="仿宋" w:hAnsi="仿宋"/>
          <w:b/>
          <w:sz w:val="32"/>
        </w:rPr>
      </w:pPr>
      <w:r>
        <w:rPr>
          <w:rFonts w:ascii="仿宋" w:eastAsia="仿宋" w:cs="仿宋" w:hAnsi="仿宋" w:hint="eastAsia"/>
          <w:b/>
          <w:sz w:val="32"/>
        </w:rPr>
        <w:t>（三）</w:t>
      </w:r>
      <w:r>
        <w:rPr>
          <w:rFonts w:ascii="仿宋" w:eastAsia="仿宋" w:cs="仿宋" w:hAnsi="仿宋"/>
          <w:b/>
          <w:sz w:val="32"/>
        </w:rPr>
        <w:t>结果应用情况。</w:t>
      </w:r>
    </w:p>
    <w:p>
      <w:pPr>
        <w:spacing w:line="581" w:lineRule="auto"/>
        <w:ind w:firstLineChars="200" w:firstLine="640"/>
        <w:rPr>
          <w:rFonts w:ascii="仿宋" w:eastAsia="仿宋" w:cs="仿宋" w:hAnsi="仿宋"/>
          <w:sz w:val="32"/>
        </w:rPr>
      </w:pPr>
      <w:r>
        <w:rPr>
          <w:rFonts w:ascii="仿宋" w:eastAsia="仿宋" w:cs="仿宋" w:hAnsi="仿宋" w:hint="eastAsia"/>
          <w:sz w:val="32"/>
        </w:rPr>
        <w:t>我单位按照区财政局统一要求，对我单位2018年部门整体绩效进行了自评, 并及时在区政府门户网站进行了2018年度部门预决算信息公开。</w:t>
      </w:r>
    </w:p>
    <w:p>
      <w:pPr>
        <w:spacing w:line="581" w:lineRule="auto"/>
        <w:ind w:firstLineChars="200" w:firstLine="640"/>
        <w:rPr>
          <w:rFonts w:ascii="仿宋" w:eastAsia="仿宋" w:cs="仿宋" w:hAnsi="仿宋"/>
          <w:b/>
          <w:sz w:val="32"/>
        </w:rPr>
      </w:pPr>
      <w:r>
        <w:rPr>
          <w:rFonts w:ascii="仿宋" w:eastAsia="仿宋" w:cs="仿宋" w:hAnsi="仿宋" w:hint="eastAsia"/>
          <w:sz w:val="32"/>
        </w:rPr>
        <w:t>自评通过对我单位预算编制、预算执行、综合管理、资产管理四个方面进行评价，我单位总体目标清晰，预算编制及执行决算较为准确，支出管理规范，财务管理制度较完善，部门整体绩效较好，自评结果为“优”。　　</w:t>
      </w:r>
    </w:p>
    <w:p>
      <w:pPr>
        <w:spacing w:line="581" w:lineRule="auto"/>
        <w:ind w:firstLine="640"/>
        <w:rPr>
          <w:rFonts w:ascii="黑体" w:eastAsia="黑体" w:cs="黑体" w:hAnsi="黑体"/>
          <w:sz w:val="32"/>
        </w:rPr>
      </w:pPr>
      <w:r>
        <w:rPr>
          <w:rFonts w:ascii="黑体" w:eastAsia="黑体" w:cs="黑体" w:hAnsi="黑体"/>
          <w:sz w:val="32"/>
        </w:rPr>
        <w:t>四、评价结论及建议</w:t>
      </w:r>
    </w:p>
    <w:p>
      <w:pPr>
        <w:spacing w:line="581" w:lineRule="auto"/>
        <w:ind w:firstLine="640"/>
        <w:rPr>
          <w:rFonts w:ascii="仿宋" w:eastAsia="仿宋" w:cs="仿宋" w:hAnsi="仿宋"/>
          <w:b/>
          <w:sz w:val="32"/>
        </w:rPr>
      </w:pPr>
      <w:r>
        <w:rPr>
          <w:rFonts w:ascii="仿宋" w:eastAsia="仿宋" w:cs="仿宋" w:hAnsi="仿宋"/>
          <w:b/>
          <w:sz w:val="32"/>
        </w:rPr>
        <w:t>（一）评价结论</w:t>
      </w:r>
    </w:p>
    <w:p>
      <w:pPr>
        <w:spacing w:line="581" w:lineRule="auto"/>
        <w:ind w:firstLine="640"/>
        <w:rPr>
          <w:rFonts w:ascii="仿宋" w:eastAsia="仿宋" w:cs="仿宋" w:hAnsi="仿宋"/>
          <w:sz w:val="32"/>
        </w:rPr>
      </w:pPr>
      <w:r>
        <w:rPr>
          <w:rFonts w:ascii="仿宋" w:eastAsia="仿宋" w:cs="仿宋" w:hAnsi="仿宋" w:hint="eastAsia"/>
          <w:sz w:val="32"/>
        </w:rPr>
        <w:t>通过绩效评价，我们认为，2018年度部门预算具有明确的用途和目标，制定了详细的执行计划，资金严格按照财政有关规定使用。预算决策、管理、执行等日益规范，能较好地满足工作需要，取得了良好经济效益和社会效益。</w:t>
      </w:r>
    </w:p>
    <w:p>
      <w:pPr>
        <w:spacing w:line="581" w:lineRule="auto"/>
        <w:ind w:firstLine="640"/>
        <w:rPr>
          <w:rFonts w:ascii="仿宋" w:eastAsia="仿宋" w:cs="仿宋" w:hAnsi="仿宋"/>
          <w:b/>
          <w:sz w:val="32"/>
        </w:rPr>
      </w:pPr>
      <w:r>
        <w:rPr>
          <w:rFonts w:ascii="仿宋" w:eastAsia="仿宋" w:cs="仿宋" w:hAnsi="仿宋"/>
          <w:b/>
          <w:sz w:val="32"/>
        </w:rPr>
        <w:t>（二）存在问题</w:t>
      </w:r>
    </w:p>
    <w:p>
      <w:pPr>
        <w:pStyle w:val="19"/>
        <w:shd w:val="clear" w:color="auto" w:fill="FFFFFF"/>
        <w:spacing w:before="0" w:beforeAutospacing="0" w:after="0" w:afterAutospacing="0" w:line="480" w:lineRule="auto"/>
        <w:ind w:firstLine="480"/>
        <w:jc w:val="both"/>
        <w:rPr>
          <w:rFonts w:ascii="仿宋" w:eastAsia="仿宋" w:cs="仿宋" w:hAnsi="仿宋"/>
          <w:kern w:val="2"/>
          <w:sz w:val="32"/>
          <w:szCs w:val="22"/>
        </w:rPr>
      </w:pPr>
      <w:r>
        <w:rPr>
          <w:rFonts w:ascii="仿宋" w:eastAsia="仿宋" w:cs="仿宋" w:hAnsi="仿宋" w:hint="eastAsia"/>
          <w:kern w:val="2"/>
          <w:sz w:val="32"/>
          <w:szCs w:val="22"/>
        </w:rPr>
        <w:t>1、科学细化、量化专项经费绩效评价指标是开展绩效管理的重要内容，还需要进一步加强调研，优化专项经费的绩效评价指标。</w:t>
      </w:r>
    </w:p>
    <w:p>
      <w:pPr>
        <w:pStyle w:val="19"/>
        <w:shd w:val="clear" w:color="auto" w:fill="FFFFFF"/>
        <w:spacing w:before="0" w:beforeAutospacing="0" w:after="0" w:afterAutospacing="0" w:line="480" w:lineRule="auto"/>
        <w:ind w:firstLine="480"/>
        <w:jc w:val="both"/>
        <w:rPr>
          <w:rFonts w:ascii="仿宋" w:eastAsia="仿宋" w:cs="仿宋" w:hAnsi="仿宋"/>
          <w:kern w:val="2"/>
          <w:sz w:val="32"/>
          <w:szCs w:val="22"/>
        </w:rPr>
      </w:pPr>
      <w:r>
        <w:rPr>
          <w:rFonts w:ascii="仿宋" w:eastAsia="仿宋" w:cs="仿宋" w:hAnsi="仿宋" w:hint="eastAsia"/>
          <w:kern w:val="2"/>
          <w:sz w:val="32"/>
          <w:szCs w:val="22"/>
        </w:rPr>
        <w:t>2、“全面实施预算绩效管理”还需要财政部门提出具体实施意见，并进一步完善预算绩效管理机制。</w:t>
      </w:r>
    </w:p>
    <w:p>
      <w:pPr>
        <w:spacing w:line="581" w:lineRule="auto"/>
        <w:ind w:firstLine="640"/>
        <w:rPr>
          <w:rFonts w:ascii="仿宋" w:eastAsia="仿宋" w:cs="仿宋" w:hAnsi="仿宋"/>
          <w:b/>
          <w:sz w:val="32"/>
        </w:rPr>
      </w:pPr>
      <w:r>
        <w:rPr>
          <w:rFonts w:ascii="仿宋" w:eastAsia="仿宋" w:cs="仿宋" w:hAnsi="仿宋"/>
          <w:b/>
          <w:sz w:val="32"/>
        </w:rPr>
        <w:t>（三）改进建议</w:t>
      </w:r>
    </w:p>
    <w:p>
      <w:pPr>
        <w:pStyle w:val="19"/>
        <w:shd w:val="clear" w:color="auto" w:fill="FFFFFF"/>
        <w:spacing w:before="0" w:beforeAutospacing="0" w:after="0" w:afterAutospacing="0" w:line="480" w:lineRule="auto"/>
        <w:ind w:firstLineChars="200" w:firstLine="640"/>
        <w:jc w:val="both"/>
        <w:rPr>
          <w:rFonts w:ascii="仿宋" w:eastAsia="仿宋" w:cs="仿宋" w:hAnsi="仿宋"/>
          <w:kern w:val="2"/>
          <w:sz w:val="32"/>
          <w:szCs w:val="22"/>
        </w:rPr>
      </w:pPr>
      <w:r>
        <w:rPr>
          <w:rFonts w:ascii="仿宋" w:eastAsia="仿宋" w:cs="仿宋" w:hAnsi="仿宋" w:hint="eastAsia"/>
          <w:kern w:val="2"/>
          <w:sz w:val="32"/>
          <w:szCs w:val="22"/>
        </w:rPr>
        <w:t>建议财政部门开展绩效评价专题培训会，各部门交流绩效管理经验，在开展预算绩效评价中明确具体标准；同时学习其他县区专项经费绩效工作开展的先进经验，通过目标绩效工作切实引导专项的实施实现既定的</w:t>
      </w:r>
      <w:r>
        <w:rPr>
          <w:rFonts w:ascii="仿宋" w:eastAsia="仿宋" w:cs="仿宋" w:hAnsi="仿宋" w:hint="eastAsia"/>
          <w:sz w:val="32"/>
        </w:rPr>
        <w:t>经济效益和社会效益。</w:t>
      </w:r>
      <w:r>
        <w:rPr>
          <w:rFonts w:ascii="仿宋" w:eastAsia="仿宋" w:cs="仿宋" w:hAnsi="仿宋"/>
          <w:kern w:val="2"/>
          <w:sz w:val="32"/>
          <w:szCs w:val="22"/>
        </w:rPr>
        <w:t xml:space="preserve"> </w:t>
      </w:r>
    </w:p>
    <w:p>
      <w:pPr>
        <w:keepNext/>
        <w:keepLines/>
        <w:widowControl w:val="0"/>
        <w:spacing w:before="260" w:after="260" w:line="415" w:lineRule="auto"/>
        <w:rPr>
          <w:rFonts w:ascii="仿宋" w:eastAsia="仿宋" w:cs="仿宋" w:hAnsi="仿宋"/>
          <w:b/>
          <w:sz w:val="32"/>
        </w:rPr>
      </w:pPr>
      <w:r>
        <w:rPr>
          <w:rFonts w:ascii="仿宋" w:eastAsia="仿宋" w:cs="仿宋" w:hAnsi="仿宋"/>
          <w:b/>
          <w:sz w:val="32"/>
        </w:rPr>
        <w:t>附件2</w:t>
      </w:r>
    </w:p>
    <w:p>
      <w:pPr>
        <w:spacing w:line="600" w:lineRule="auto"/>
        <w:jc w:val="center"/>
        <w:rPr>
          <w:rFonts w:ascii="黑体" w:eastAsia="黑体" w:cs="黑体" w:hAnsi="黑体"/>
          <w:sz w:val="36"/>
        </w:rPr>
      </w:pPr>
      <w:r>
        <w:rPr>
          <w:rFonts w:ascii="黑体" w:eastAsia="黑体" w:cs="黑体" w:hAnsi="黑体" w:hint="eastAsia"/>
          <w:sz w:val="36"/>
        </w:rPr>
        <w:t>2018年城区环境保护清扫保洁、洒水降尘</w:t>
      </w:r>
    </w:p>
    <w:p>
      <w:pPr>
        <w:spacing w:line="600" w:lineRule="auto"/>
        <w:jc w:val="center"/>
        <w:rPr>
          <w:rFonts w:ascii="黑体" w:eastAsia="黑体" w:cs="黑体" w:hAnsi="黑体"/>
          <w:sz w:val="36"/>
        </w:rPr>
      </w:pPr>
      <w:r>
        <w:rPr>
          <w:rFonts w:ascii="黑体" w:eastAsia="黑体" w:cs="黑体" w:hAnsi="黑体" w:hint="eastAsia"/>
          <w:sz w:val="36"/>
        </w:rPr>
        <w:t>设备采购项目支出绩效评价报告</w:t>
      </w:r>
    </w:p>
    <w:p>
      <w:pPr>
        <w:spacing w:line="550" w:lineRule="exact"/>
        <w:ind w:firstLine="640"/>
        <w:rPr>
          <w:rFonts w:ascii="仿宋_GB2312" w:eastAsia="仿宋_GB2312" w:cs="仿宋_GB2312" w:hAnsi="仿宋_GB2312"/>
          <w:color w:val="FF0000"/>
          <w:sz w:val="32"/>
        </w:rPr>
      </w:pPr>
    </w:p>
    <w:p>
      <w:pPr>
        <w:spacing w:line="576" w:lineRule="exact"/>
        <w:ind w:firstLine="640"/>
        <w:rPr>
          <w:rFonts w:ascii="黑体" w:eastAsia="黑体" w:cs="仿宋" w:hAnsi="黑体"/>
          <w:sz w:val="32"/>
        </w:rPr>
      </w:pPr>
      <w:r>
        <w:rPr>
          <w:rFonts w:ascii="黑体" w:eastAsia="黑体" w:cs="仿宋" w:hAnsi="黑体" w:hint="eastAsia"/>
          <w:sz w:val="32"/>
        </w:rPr>
        <w:t>一、评价工作开展及项目情况</w:t>
      </w:r>
    </w:p>
    <w:p>
      <w:pPr>
        <w:spacing w:line="576" w:lineRule="exact"/>
        <w:ind w:firstLine="640"/>
        <w:rPr>
          <w:rFonts w:ascii="仿宋" w:eastAsia="仿宋" w:cs="仿宋" w:hAnsi="仿宋"/>
          <w:sz w:val="32"/>
        </w:rPr>
      </w:pPr>
      <w:r>
        <w:rPr>
          <w:rFonts w:ascii="仿宋" w:eastAsia="仿宋" w:cs="仿宋" w:hAnsi="仿宋" w:hint="eastAsia"/>
          <w:sz w:val="32"/>
        </w:rPr>
        <w:t>根据《广元市利州区财政局关于下达2018年第一批环境保护专项资金预算的通知》（广利财建下〔2018〕19号）精神，下达至区环卫局2018年第一批环境保护专项资金140万元，包含市城区清扫保洁洒水降尘设备采购项目专项资金110万元，用于完善市城区清扫保洁、洒水降尘设备，采购洒水车1台，机械化扫地车1台；市城区洒水降尘运行保障补助专项资金30万元，用于保障利州区环卫局洒水降尘车正常运行。</w:t>
      </w:r>
    </w:p>
    <w:p>
      <w:pPr>
        <w:spacing w:line="576" w:lineRule="exact"/>
        <w:ind w:firstLine="640"/>
        <w:rPr>
          <w:rFonts w:ascii="仿宋" w:eastAsia="仿宋" w:cs="仿宋" w:hAnsi="仿宋"/>
          <w:sz w:val="32"/>
        </w:rPr>
      </w:pPr>
      <w:r>
        <w:rPr>
          <w:rFonts w:ascii="仿宋" w:eastAsia="仿宋" w:cs="仿宋" w:hAnsi="仿宋" w:hint="eastAsia"/>
          <w:sz w:val="32"/>
        </w:rPr>
        <w:t>其中市城区清扫保洁洒水降尘设备采购项目于2018年11月15日委托四川坤阳工程管理咨询有限公司代理采购相关事宜，经备案后，于2018年12月14日发布招标公告，该项目正在执行中。</w:t>
      </w:r>
    </w:p>
    <w:p>
      <w:pPr>
        <w:spacing w:line="576" w:lineRule="exact"/>
        <w:ind w:firstLine="640"/>
        <w:rPr>
          <w:rFonts w:ascii="仿宋" w:eastAsia="仿宋" w:cs="仿宋" w:hAnsi="仿宋"/>
          <w:sz w:val="32"/>
        </w:rPr>
      </w:pPr>
      <w:r>
        <w:rPr>
          <w:rFonts w:ascii="仿宋" w:eastAsia="仿宋" w:cs="仿宋" w:hAnsi="仿宋" w:hint="eastAsia"/>
          <w:sz w:val="32"/>
        </w:rPr>
        <w:t>为加大洒水降尘作业力度，保障城区洒水降尘作业，专项资金30万元用于支付洒水降尘作业中的车辆燃油费，并于2018年完成支付。</w:t>
      </w:r>
    </w:p>
    <w:p>
      <w:pPr>
        <w:spacing w:line="576" w:lineRule="exact"/>
        <w:ind w:firstLine="640"/>
        <w:rPr>
          <w:rFonts w:ascii="黑体" w:eastAsia="黑体" w:cs="仿宋" w:hAnsi="黑体"/>
          <w:sz w:val="32"/>
        </w:rPr>
      </w:pPr>
      <w:r>
        <w:rPr>
          <w:rFonts w:ascii="黑体" w:eastAsia="黑体" w:cs="仿宋" w:hAnsi="黑体" w:hint="eastAsia"/>
          <w:sz w:val="32"/>
        </w:rPr>
        <w:t>二、评价结论及绩效分析</w:t>
      </w:r>
    </w:p>
    <w:p>
      <w:pPr>
        <w:spacing w:line="576" w:lineRule="exact"/>
        <w:ind w:firstLine="640"/>
        <w:rPr>
          <w:rFonts w:ascii="方正楷体简体" w:eastAsia="方正楷体简体" w:cs="仿宋" w:hAnsi="仿宋"/>
          <w:sz w:val="32"/>
        </w:rPr>
      </w:pPr>
      <w:r>
        <w:rPr>
          <w:rFonts w:ascii="方正楷体简体" w:eastAsia="方正楷体简体" w:cs="仿宋" w:hAnsi="仿宋" w:hint="eastAsia"/>
          <w:sz w:val="32"/>
        </w:rPr>
        <w:t>（一）评价结论</w:t>
      </w:r>
    </w:p>
    <w:p>
      <w:pPr>
        <w:spacing w:line="576" w:lineRule="exact"/>
        <w:ind w:firstLine="640"/>
        <w:rPr>
          <w:rFonts w:ascii="仿宋" w:eastAsia="仿宋" w:cs="仿宋" w:hAnsi="仿宋"/>
          <w:sz w:val="32"/>
        </w:rPr>
      </w:pPr>
      <w:r>
        <w:rPr>
          <w:rFonts w:ascii="仿宋" w:eastAsia="仿宋" w:cs="仿宋" w:hAnsi="仿宋" w:hint="eastAsia"/>
          <w:sz w:val="32"/>
        </w:rPr>
        <w:t>市城区洒水降尘运行保障补助用于支付洒水降尘作业中产生的车辆燃油费，保证了洒水降尘的有效进行。待市城区清扫保洁洒水降尘设备采购项目实施完成后，所采购城区道路洒水降尘及机械化清扫作业车辆主要用于市城区道路洒水降尘、机械化清扫作业，提高了机械化清扫作业率，有效控制扬尘污染，促进了城区环境质量改善。该项目整体为打赢“大气污染防治”以及“蓝天保卫战”等系列攻坚战奠定了基础。</w:t>
      </w:r>
    </w:p>
    <w:p>
      <w:pPr>
        <w:spacing w:line="576" w:lineRule="exact"/>
        <w:ind w:firstLine="640"/>
        <w:rPr>
          <w:rFonts w:ascii="方正楷体简体" w:eastAsia="方正楷体简体" w:cs="仿宋" w:hAnsi="仿宋"/>
          <w:b/>
          <w:sz w:val="32"/>
        </w:rPr>
      </w:pPr>
      <w:r>
        <w:rPr>
          <w:rFonts w:ascii="方正楷体简体" w:eastAsia="方正楷体简体" w:cs="仿宋" w:hAnsi="仿宋" w:hint="eastAsia"/>
          <w:b/>
          <w:sz w:val="32"/>
        </w:rPr>
        <w:t>（二）绩效分析</w:t>
      </w:r>
    </w:p>
    <w:p>
      <w:pPr>
        <w:spacing w:line="576" w:lineRule="exact"/>
        <w:ind w:firstLine="640"/>
        <w:rPr>
          <w:rFonts w:ascii="仿宋" w:eastAsia="仿宋" w:cs="仿宋" w:hAnsi="仿宋"/>
          <w:b/>
          <w:sz w:val="32"/>
        </w:rPr>
      </w:pPr>
      <w:r>
        <w:rPr>
          <w:rFonts w:ascii="仿宋" w:eastAsia="仿宋" w:cs="仿宋" w:hAnsi="仿宋" w:hint="eastAsia"/>
          <w:b/>
          <w:sz w:val="32"/>
        </w:rPr>
        <w:t>1、项目决策</w:t>
      </w:r>
    </w:p>
    <w:p>
      <w:pPr>
        <w:spacing w:line="576" w:lineRule="exact"/>
        <w:ind w:firstLine="640"/>
        <w:rPr>
          <w:rFonts w:ascii="仿宋" w:eastAsia="仿宋" w:cs="仿宋" w:hAnsi="仿宋"/>
          <w:sz w:val="32"/>
        </w:rPr>
      </w:pPr>
      <w:r>
        <w:rPr>
          <w:rFonts w:ascii="仿宋" w:eastAsia="仿宋" w:cs="仿宋" w:hAnsi="仿宋" w:hint="eastAsia"/>
          <w:sz w:val="32"/>
        </w:rPr>
        <w:t>为认真贯彻落实国务院、省政府、市政府蓝天保卫行动工作要求，有效解决影响环境空气质量的突出问题，持续改善我区环境空气质量，根据《广元市利州区蓝天保卫行动方案》（2018-2020年）要求，提高城市道路机械化清扫率，加大市城区主要道路及街道洒水降尘力度，强化清扫保洁人机比率，提高机械化作业面积。鉴于市城区硬件设施的不足，增加清扫保洁、洒水降尘设备，加大洒水降尘力度，保障洒水降尘作业的运行，对于城区环境质量的改善有重要作用。</w:t>
      </w:r>
    </w:p>
    <w:p>
      <w:pPr>
        <w:spacing w:line="576" w:lineRule="exact"/>
        <w:ind w:firstLine="640"/>
        <w:rPr>
          <w:rFonts w:ascii="仿宋" w:eastAsia="仿宋" w:cs="仿宋" w:hAnsi="仿宋"/>
          <w:b/>
          <w:sz w:val="32"/>
        </w:rPr>
      </w:pPr>
      <w:r>
        <w:rPr>
          <w:rFonts w:ascii="仿宋" w:eastAsia="仿宋" w:cs="仿宋" w:hAnsi="仿宋" w:hint="eastAsia"/>
          <w:b/>
          <w:sz w:val="32"/>
        </w:rPr>
        <w:t>2、项目管理</w:t>
      </w:r>
    </w:p>
    <w:p>
      <w:pPr>
        <w:spacing w:line="576" w:lineRule="exact"/>
        <w:ind w:firstLine="640"/>
        <w:rPr>
          <w:rFonts w:ascii="仿宋" w:eastAsia="仿宋" w:cs="仿宋" w:hAnsi="仿宋"/>
          <w:sz w:val="32"/>
        </w:rPr>
      </w:pPr>
      <w:r>
        <w:rPr>
          <w:rFonts w:ascii="仿宋" w:eastAsia="仿宋" w:cs="仿宋" w:hAnsi="仿宋" w:hint="eastAsia"/>
          <w:sz w:val="32"/>
        </w:rPr>
        <w:t>下达至我单位2018年第一批环境保护专项资金140万元主要包括两部分，其中市城区清扫保洁洒水降尘设备采购项目专项资金110万元；市城区洒水降尘运行保障补助专项资金30万元。</w:t>
      </w:r>
    </w:p>
    <w:p>
      <w:pPr>
        <w:spacing w:line="576" w:lineRule="exact"/>
        <w:ind w:firstLine="640"/>
        <w:rPr>
          <w:rFonts w:ascii="仿宋" w:eastAsia="仿宋" w:cs="仿宋" w:hAnsi="仿宋"/>
          <w:sz w:val="32"/>
        </w:rPr>
      </w:pPr>
      <w:r>
        <w:rPr>
          <w:rFonts w:ascii="仿宋" w:eastAsia="仿宋" w:cs="仿宋" w:hAnsi="仿宋" w:hint="eastAsia"/>
          <w:sz w:val="32"/>
        </w:rPr>
        <w:t>在项目实施过程中，拟根据招标结果及合同约定，按期拨付资金，并严格执行利州区财政局和我单位的财务管理制度和各项规定，保证支付依据合规合法，做到专款专用。截止2018年底，完成市城区洒水降尘运行保障补助专项资金30万元的支付，市城区清扫保洁洒水降尘设备采购项目正在实施，110万元专项资金待支付。</w:t>
      </w:r>
    </w:p>
    <w:p>
      <w:pPr>
        <w:spacing w:line="576" w:lineRule="exact"/>
        <w:ind w:firstLine="640"/>
        <w:rPr>
          <w:rFonts w:ascii="仿宋" w:eastAsia="仿宋" w:cs="仿宋" w:hAnsi="仿宋"/>
          <w:b/>
          <w:sz w:val="32"/>
        </w:rPr>
      </w:pPr>
      <w:r>
        <w:rPr>
          <w:rFonts w:ascii="仿宋" w:eastAsia="仿宋" w:cs="仿宋" w:hAnsi="仿宋" w:hint="eastAsia"/>
          <w:b/>
          <w:sz w:val="32"/>
        </w:rPr>
        <w:t>3、项目绩效</w:t>
      </w:r>
    </w:p>
    <w:p>
      <w:pPr>
        <w:spacing w:line="576" w:lineRule="exact"/>
        <w:ind w:firstLine="640"/>
        <w:rPr>
          <w:rFonts w:ascii="仿宋" w:eastAsia="仿宋" w:cs="仿宋" w:hAnsi="仿宋"/>
          <w:sz w:val="32"/>
        </w:rPr>
      </w:pPr>
      <w:r>
        <w:rPr>
          <w:rFonts w:ascii="仿宋" w:eastAsia="仿宋" w:cs="仿宋" w:hAnsi="仿宋" w:hint="eastAsia"/>
          <w:sz w:val="32"/>
        </w:rPr>
        <w:t>市城区洒水降尘运行保障补助专项资金30万元于2018年完成支付，用于洒水降尘作业的燃油补助。城区环境保护清扫保洁、洒水降尘设备采购项目于2018年11月22日完成需求论证，经备案审核，于2018年12月14日发布招标公告，该项目正在实施中。计划采购20吨洒水车1辆，中型扫路车1辆，主要用于补充城区1100余万平方米的洒水降尘和机械化清扫作业，以进一步提高市城区主要道路及街道洒水降尘力度，强化清扫保洁人机比率，控制城区道路扬尘污染，为城区大气污染防治工作奠定基础，同时减轻城区环卫工人的劳动强度，经济效益和生态效益较高。项目社会效益高，社会满意度预期达100%。项目总预算140万元，截止2018年底，完成30万元资金支付，其余资金待招标完成后按规定实施拨付，资金使用效率为21.43%。</w:t>
      </w:r>
    </w:p>
    <w:p>
      <w:pPr>
        <w:spacing w:line="576" w:lineRule="exact"/>
        <w:ind w:firstLine="640"/>
        <w:rPr>
          <w:rFonts w:ascii="黑体" w:eastAsia="黑体" w:cs="仿宋" w:hAnsi="黑体"/>
          <w:sz w:val="32"/>
        </w:rPr>
      </w:pPr>
      <w:r>
        <w:rPr>
          <w:rFonts w:ascii="黑体" w:eastAsia="黑体" w:cs="仿宋" w:hAnsi="黑体" w:hint="eastAsia"/>
          <w:sz w:val="32"/>
        </w:rPr>
        <w:t>三、存在主要问题</w:t>
      </w:r>
    </w:p>
    <w:p>
      <w:pPr>
        <w:spacing w:line="576" w:lineRule="exact"/>
        <w:ind w:firstLine="640"/>
        <w:rPr>
          <w:rFonts w:ascii="仿宋" w:eastAsia="仿宋" w:cs="仿宋" w:hAnsi="仿宋"/>
          <w:sz w:val="32"/>
        </w:rPr>
      </w:pPr>
      <w:r>
        <w:rPr>
          <w:rFonts w:ascii="仿宋" w:eastAsia="仿宋" w:cs="仿宋" w:hAnsi="仿宋" w:hint="eastAsia"/>
          <w:sz w:val="32"/>
        </w:rPr>
        <w:t>随着城区面积日益扩大，大气污染防治工作任务加重，现有环卫作业车辆仍不能达到高机械化作业率的要求，保障资金不足，无法满足日常工作需求。</w:t>
      </w:r>
    </w:p>
    <w:p>
      <w:pPr>
        <w:spacing w:line="576" w:lineRule="exact"/>
        <w:ind w:firstLine="640"/>
        <w:rPr>
          <w:rFonts w:ascii="仿宋" w:eastAsia="仿宋" w:cs="仿宋" w:hAnsi="仿宋"/>
          <w:sz w:val="32"/>
        </w:rPr>
      </w:pPr>
      <w:r>
        <w:rPr>
          <w:rFonts w:ascii="黑体" w:eastAsia="黑体" w:cs="仿宋" w:hAnsi="黑体" w:hint="eastAsia"/>
          <w:sz w:val="32"/>
        </w:rPr>
        <w:t>四、相关措施建议</w:t>
      </w:r>
    </w:p>
    <w:p>
      <w:pPr>
        <w:spacing w:line="576" w:lineRule="exact"/>
        <w:ind w:firstLine="640"/>
        <w:rPr>
          <w:rFonts w:ascii="仿宋" w:eastAsia="仿宋" w:cs="仿宋" w:hAnsi="仿宋"/>
          <w:sz w:val="32"/>
        </w:rPr>
      </w:pPr>
      <w:r>
        <w:rPr>
          <w:rFonts w:ascii="仿宋" w:eastAsia="仿宋" w:cs="仿宋" w:hAnsi="仿宋" w:hint="eastAsia"/>
          <w:sz w:val="32"/>
        </w:rPr>
        <w:t>建议：加大力度争取相关环境保护专项资金，投入更多有效的作业设备及保障资金用于环卫作业，为实现城区环境有效治理保驾护航。</w:t>
      </w:r>
    </w:p>
    <w:p>
      <w:pPr>
        <w:spacing w:line="576" w:lineRule="exact"/>
        <w:ind w:firstLine="640"/>
        <w:rPr>
          <w:rFonts w:ascii="仿宋" w:eastAsia="仿宋" w:cs="仿宋" w:hAnsi="仿宋"/>
          <w:sz w:val="32"/>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tbl>
      <w:tblPr>
        <w:jc w:val="left"/>
        <w:tblInd w:w="4" w:type="dxa"/>
        <w:tblW w:w="833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577"/>
        <w:gridCol w:w="935"/>
        <w:gridCol w:w="857"/>
        <w:gridCol w:w="2013"/>
        <w:gridCol w:w="1948"/>
        <w:gridCol w:w="2000"/>
      </w:tblGrid>
      <w:tr>
        <w:trPr>
          <w:trHeight w:val="709"/>
        </w:trPr>
        <w:tc>
          <w:tcPr>
            <w:tcW w:w="8330" w:type="dxa"/>
            <w:gridSpan w:val="6"/>
            <w:tcBorders>
              <w:top w:val="single" w:sz="2" w:space="0" w:color="000000"/>
              <w:left w:val="single" w:sz="2" w:space="0" w:color="000000"/>
              <w:bottom w:val="single" w:sz="2" w:space="0" w:color="000000"/>
              <w:right w:val="single" w:sz="2" w:space="0" w:color="000000"/>
            </w:tcBorders>
            <w:shd w:val="clear" w:color="000000" w:fill="FFFFFF"/>
            <w:tcMar>
              <w:left w:w="14" w:type="dxa"/>
              <w:right w:w="14" w:type="dxa"/>
            </w:tcMar>
            <w:vAlign w:val="center"/>
          </w:tcPr>
          <w:p>
            <w:pPr>
              <w:jc w:val="center"/>
            </w:pPr>
            <w:r>
              <w:rPr>
                <w:rFonts w:ascii="黑体" w:eastAsia="黑体" w:cs="黑体" w:hAnsi="黑体"/>
                <w:sz w:val="36"/>
              </w:rPr>
              <w:t>项目支出绩效目标完成情况表</w:t>
            </w:r>
            <w:r>
              <w:rPr>
                <w:rFonts w:ascii="宋体" w:eastAsia="宋体" w:cs="宋体" w:hAnsi="宋体"/>
                <w:b/>
                <w:sz w:val="36"/>
              </w:rPr>
              <w:br/>
            </w:r>
            <w:r>
              <w:rPr>
                <w:rFonts w:ascii="宋体" w:eastAsia="宋体" w:cs="宋体" w:hAnsi="宋体"/>
                <w:sz w:val="36"/>
              </w:rPr>
              <w:t>(2018 年度)</w:t>
            </w:r>
          </w:p>
        </w:tc>
      </w:tr>
      <w:tr>
        <w:trPr>
          <w:trHeight w:val="276"/>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项目名称</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2018年城区环境保护清扫保洁、洒水降尘设备采购项目</w:t>
            </w:r>
          </w:p>
        </w:tc>
      </w:tr>
      <w:tr>
        <w:trPr>
          <w:trHeight w:val="276"/>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预算单位</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广元市利州区环境卫生管理局</w:t>
            </w:r>
          </w:p>
        </w:tc>
      </w:tr>
      <w:tr>
        <w:trPr>
          <w:trHeight w:val="498"/>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预算执行情况(万元)</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预算数:</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140</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执行数:</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r>
              <w:rPr>
                <w:rFonts w:ascii="宋体" w:eastAsia="宋体" w:cs="宋体" w:hAnsi="宋体" w:hint="eastAsia"/>
                <w:sz w:val="24"/>
              </w:rPr>
              <w:t>30</w:t>
            </w:r>
          </w:p>
        </w:tc>
      </w:tr>
      <w:tr>
        <w:trPr>
          <w:trHeight w:val="45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140</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30</w:t>
            </w:r>
          </w:p>
        </w:tc>
      </w:tr>
      <w:tr>
        <w:trPr>
          <w:trHeight w:val="1173"/>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其它资金:</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r>
              <w:rPr>
                <w:rFonts w:ascii="宋体" w:eastAsia="宋体" w:cs="宋体" w:hAnsi="宋体" w:hint="eastAsia"/>
                <w:sz w:val="24"/>
              </w:rPr>
              <w:t>0</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r>
              <w:rPr>
                <w:rFonts w:ascii="宋体" w:eastAsia="宋体" w:cs="宋体" w:hAnsi="宋体"/>
                <w:sz w:val="24"/>
              </w:rPr>
              <w:t>其它资金:</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r>
              <w:rPr>
                <w:rFonts w:ascii="宋体" w:eastAsia="宋体" w:cs="宋体" w:hAnsi="宋体" w:hint="eastAsia"/>
                <w:sz w:val="24"/>
              </w:rPr>
              <w:t>0</w:t>
            </w:r>
          </w:p>
        </w:tc>
      </w:tr>
      <w:tr>
        <w:trPr>
          <w:trHeight w:val="355"/>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年度目标完成情况</w:t>
            </w: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预期目标</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实际完成目标</w:t>
            </w:r>
          </w:p>
        </w:tc>
      </w:tr>
      <w:tr>
        <w:trPr>
          <w:trHeight w:val="115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110万元用于完善市城区清扫保洁、洒水降尘设备，采购洒水车1台，机械化扫地车1台；30万元用于保障洒水降尘车正常运行</w:t>
            </w:r>
          </w:p>
          <w:p>
            <w:pPr>
              <w:jc w:val="center"/>
              <w:rPr>
                <w:rFonts w:ascii="宋体" w:eastAsia="宋体" w:cs="宋体" w:hAnsi="宋体"/>
                <w:sz w:val="22"/>
              </w:rPr>
            </w:pP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完成市城区洒水降尘运行保障补助30万元的使用，确保洒水降尘作业正常运行</w:t>
            </w:r>
          </w:p>
        </w:tc>
      </w:tr>
      <w:tr>
        <w:trPr>
          <w:trHeight w:val="1042"/>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绩效指标完成情况</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一级指标</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二级指标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三级指标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预期指标值</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实际完成指标值</w:t>
            </w:r>
          </w:p>
        </w:tc>
      </w:tr>
      <w:tr>
        <w:trPr>
          <w:trHeight w:val="139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项目完成</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数量指标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洒水车运行保障补助30万元；洒水车1台，机械化扫地车1台</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洒水车运行燃油费30万元；洒水车1台，机械化扫地车1台</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洒水车运行燃油费30万元；洒水车及机械化扫地车正在采购过程中</w:t>
            </w:r>
          </w:p>
        </w:tc>
      </w:tr>
      <w:tr>
        <w:trPr>
          <w:trHeight w:val="108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质量指标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洒水车降尘质量、</w:t>
            </w:r>
          </w:p>
          <w:p>
            <w:pPr>
              <w:jc w:val="center"/>
              <w:rPr>
                <w:rFonts w:ascii="宋体" w:eastAsia="宋体" w:cs="宋体" w:hAnsi="宋体"/>
                <w:sz w:val="22"/>
              </w:rPr>
            </w:pPr>
            <w:r>
              <w:rPr>
                <w:rFonts w:ascii="宋体" w:eastAsia="宋体" w:cs="宋体" w:hAnsi="宋体" w:hint="eastAsia"/>
                <w:sz w:val="22"/>
              </w:rPr>
              <w:t>符合环卫特种作业车辆标准</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1010"/>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项目效益</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经济效益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加大城区环卫机械化作业率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684"/>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right w:val="single" w:sz="4" w:space="0" w:color="000000"/>
            </w:tcBorders>
            <w:shd w:val="clear" w:color="000000" w:fill="FFFFFF"/>
            <w:tcMar>
              <w:left w:w="14" w:type="dxa"/>
              <w:right w:w="14" w:type="dxa"/>
            </w:tcMar>
            <w:vAlign w:val="center"/>
          </w:tc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社会效益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优化城市形象</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702"/>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生态效益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降低主城区的扬尘污染，提高空气质量；</w:t>
            </w:r>
          </w:p>
          <w:p>
            <w:pPr>
              <w:jc w:val="center"/>
              <w:rPr>
                <w:rFonts w:ascii="宋体" w:eastAsia="宋体" w:cs="宋体" w:hAnsi="宋体"/>
                <w:sz w:val="22"/>
              </w:rPr>
            </w:pPr>
            <w:r>
              <w:rPr>
                <w:rFonts w:ascii="宋体" w:eastAsia="宋体" w:cs="宋体" w:hAnsi="宋体" w:hint="eastAsia"/>
                <w:sz w:val="22"/>
              </w:rPr>
              <w:t>提高垃圾清运处理效率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1094"/>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满意度</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满意度</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社会满意度</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sz w:val="22"/>
              </w:rPr>
              <w:t>预期指标值</w:t>
            </w: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市民和环卫工人普遍评价较高，满意度为100%</w:t>
            </w:r>
          </w:p>
        </w:tc>
      </w:tr>
    </w:tbl>
    <w:p>
      <w:pPr>
        <w:spacing w:line="576" w:lineRule="exact"/>
        <w:jc w:val="center"/>
        <w:rPr>
          <w:rFonts w:ascii="方正小标宋简体" w:eastAsia="方正小标宋简体" w:cs="黑体" w:hAnsi="黑体"/>
          <w:sz w:val="44"/>
        </w:rPr>
      </w:pPr>
    </w:p>
    <w:p>
      <w:pPr>
        <w:spacing w:line="600" w:lineRule="auto"/>
        <w:jc w:val="center"/>
        <w:rPr>
          <w:rFonts w:ascii="黑体" w:eastAsia="黑体" w:cs="黑体" w:hAnsi="黑体"/>
          <w:sz w:val="36"/>
        </w:rPr>
      </w:pPr>
      <w:r>
        <w:rPr>
          <w:rFonts w:ascii="黑体" w:eastAsia="黑体" w:cs="黑体" w:hAnsi="黑体" w:hint="eastAsia"/>
          <w:sz w:val="36"/>
        </w:rPr>
        <w:t>2018年城区道路洒水降尘及机械化清扫</w:t>
      </w:r>
    </w:p>
    <w:p>
      <w:pPr>
        <w:spacing w:line="600" w:lineRule="auto"/>
        <w:jc w:val="center"/>
        <w:rPr>
          <w:rFonts w:ascii="黑体" w:eastAsia="黑体" w:cs="黑体" w:hAnsi="黑体"/>
          <w:sz w:val="36"/>
        </w:rPr>
      </w:pPr>
      <w:r>
        <w:rPr>
          <w:rFonts w:ascii="黑体" w:eastAsia="黑体" w:cs="黑体" w:hAnsi="黑体" w:hint="eastAsia"/>
          <w:sz w:val="36"/>
        </w:rPr>
        <w:t>作业车辆购置项目支出绩效评价报告</w:t>
      </w:r>
    </w:p>
    <w:p>
      <w:pPr>
        <w:spacing w:line="578" w:lineRule="auto"/>
        <w:ind w:firstLine="640"/>
        <w:rPr>
          <w:rFonts w:ascii="仿宋_GB2312" w:eastAsia="仿宋_GB2312" w:cs="仿宋_GB2312" w:hAnsi="仿宋_GB2312"/>
          <w:sz w:val="32"/>
        </w:rPr>
      </w:pPr>
    </w:p>
    <w:p>
      <w:pPr>
        <w:spacing w:line="578" w:lineRule="auto"/>
        <w:ind w:firstLineChars="200" w:firstLine="640"/>
        <w:rPr>
          <w:rFonts w:ascii="黑体" w:eastAsia="黑体" w:cs="仿宋" w:hAnsi="黑体"/>
          <w:sz w:val="32"/>
        </w:rPr>
      </w:pPr>
      <w:r>
        <w:rPr>
          <w:rFonts w:ascii="黑体" w:eastAsia="黑体" w:cs="仿宋" w:hAnsi="黑体" w:hint="eastAsia"/>
          <w:sz w:val="32"/>
        </w:rPr>
        <w:t>一、评价工作开展及项目情况</w:t>
      </w:r>
    </w:p>
    <w:p>
      <w:pPr>
        <w:spacing w:line="578" w:lineRule="auto"/>
        <w:ind w:firstLineChars="200" w:firstLine="640"/>
        <w:rPr>
          <w:rFonts w:ascii="仿宋" w:eastAsia="仿宋" w:cs="仿宋" w:hAnsi="仿宋"/>
          <w:sz w:val="32"/>
        </w:rPr>
      </w:pPr>
      <w:r>
        <w:rPr>
          <w:rFonts w:ascii="方正楷体简体" w:eastAsia="方正楷体简体" w:cs="仿宋" w:hAnsi="仿宋" w:hint="eastAsia"/>
          <w:b/>
          <w:sz w:val="32"/>
        </w:rPr>
        <w:t>（一）工作开展情况。</w:t>
      </w:r>
      <w:r>
        <w:rPr>
          <w:rFonts w:ascii="仿宋" w:eastAsia="仿宋" w:cs="仿宋" w:hAnsi="仿宋" w:hint="eastAsia"/>
          <w:sz w:val="32"/>
        </w:rPr>
        <w:t>城区道路洒水降尘及机械化清扫作业车辆购置项目严格按照政府招投程序实施，</w:t>
      </w:r>
      <w:r>
        <w:rPr>
          <w:rFonts w:ascii="仿宋" w:eastAsia="仿宋" w:cs="仿宋" w:hAnsi="仿宋"/>
          <w:sz w:val="32"/>
        </w:rPr>
        <w:t>合规使用，专款专用</w:t>
      </w:r>
      <w:r>
        <w:rPr>
          <w:rFonts w:ascii="仿宋" w:eastAsia="仿宋" w:cs="仿宋" w:hAnsi="仿宋" w:hint="eastAsia"/>
          <w:sz w:val="32"/>
        </w:rPr>
        <w:t>。采购5吨水车5辆、8吨水车2辆、中型扫地车1辆、多功能抑尘车1辆，于2018年底按需求分配至各下属单位。</w:t>
      </w:r>
    </w:p>
    <w:p>
      <w:pPr>
        <w:spacing w:line="578" w:lineRule="auto"/>
        <w:ind w:firstLine="640"/>
        <w:rPr>
          <w:rFonts w:ascii="仿宋" w:eastAsia="仿宋" w:cs="仿宋" w:hAnsi="仿宋"/>
          <w:sz w:val="32"/>
        </w:rPr>
      </w:pPr>
      <w:r>
        <w:rPr>
          <w:rFonts w:ascii="方正楷体简体" w:eastAsia="方正楷体简体" w:cs="仿宋" w:hAnsi="仿宋" w:hint="eastAsia"/>
          <w:b/>
          <w:sz w:val="32"/>
        </w:rPr>
        <w:t>（二）项目情况。</w:t>
      </w:r>
      <w:r>
        <w:rPr>
          <w:rFonts w:ascii="仿宋" w:eastAsia="仿宋" w:cs="仿宋" w:hAnsi="仿宋" w:hint="eastAsia"/>
          <w:sz w:val="32"/>
        </w:rPr>
        <w:t>按照广财建〔2018〕45号文件要求，政府预算资金303.28万元用于采购城区道路洒水降尘及机械化清扫作业车辆。依照《中华人民共和国政府采购法》及相关法律、法规于2018年11月13日在广元市利州区万源万达广场晶A15楼1522号，由区环卫局委托的四川坤阳工程管理咨询有限公司组织实施了评标。经评标委员会现场评标，确认中标供应商为：一汽（四川）专用汽车有限公司，中标金额为299.8万元。</w:t>
      </w:r>
    </w:p>
    <w:p>
      <w:pPr>
        <w:spacing w:line="578" w:lineRule="auto"/>
        <w:ind w:firstLine="640"/>
        <w:rPr>
          <w:rFonts w:ascii="黑体" w:eastAsia="黑体" w:cs="仿宋" w:hAnsi="黑体"/>
          <w:sz w:val="32"/>
        </w:rPr>
      </w:pPr>
      <w:r>
        <w:rPr>
          <w:rFonts w:ascii="黑体" w:eastAsia="黑体" w:cs="仿宋" w:hAnsi="黑体" w:hint="eastAsia"/>
          <w:sz w:val="32"/>
        </w:rPr>
        <w:t>二、评价结论及绩效分析</w:t>
      </w:r>
    </w:p>
    <w:p>
      <w:pPr>
        <w:spacing w:line="578" w:lineRule="auto"/>
        <w:ind w:firstLine="640"/>
        <w:rPr>
          <w:rFonts w:ascii="方正楷体简体" w:eastAsia="方正楷体简体" w:cs="仿宋" w:hAnsi="仿宋"/>
          <w:b/>
          <w:sz w:val="32"/>
        </w:rPr>
      </w:pPr>
      <w:r>
        <w:rPr>
          <w:rFonts w:ascii="方正楷体简体" w:eastAsia="方正楷体简体" w:cs="仿宋" w:hAnsi="仿宋" w:hint="eastAsia"/>
          <w:b/>
          <w:sz w:val="32"/>
        </w:rPr>
        <w:t>（一）评价结论</w:t>
      </w:r>
    </w:p>
    <w:p>
      <w:pPr>
        <w:spacing w:line="578" w:lineRule="auto"/>
        <w:ind w:firstLine="640"/>
        <w:rPr>
          <w:rFonts w:ascii="仿宋" w:eastAsia="仿宋" w:cs="仿宋" w:hAnsi="仿宋"/>
          <w:sz w:val="32"/>
        </w:rPr>
      </w:pPr>
      <w:r>
        <w:rPr>
          <w:rFonts w:ascii="仿宋" w:eastAsia="仿宋" w:cs="仿宋" w:hAnsi="仿宋" w:hint="eastAsia"/>
          <w:sz w:val="32"/>
        </w:rPr>
        <w:t>城区道路洒水降尘及机械化清扫作业车辆购置项目采购程序合规，做到专款专用，采取现场评标办法进行确认中标供应商，以最低价和竞标最好质量为最终中标供应商。城区道路洒水降尘及机械化清扫作业车辆主要用于市城区道路洒水降尘、机械化清扫作业，减少环卫工人的劳动强度和降低主城区的扬尘污染，从而提高工作效率和市民的生活质量，总体评价高。</w:t>
      </w:r>
    </w:p>
    <w:p>
      <w:pPr>
        <w:spacing w:line="578" w:lineRule="auto"/>
        <w:ind w:firstLine="640"/>
        <w:rPr>
          <w:rFonts w:ascii="方正楷体简体" w:eastAsia="方正楷体简体" w:cs="仿宋" w:hAnsi="仿宋"/>
          <w:b/>
          <w:sz w:val="32"/>
        </w:rPr>
      </w:pPr>
      <w:r>
        <w:rPr>
          <w:rFonts w:ascii="方正楷体简体" w:eastAsia="方正楷体简体" w:cs="仿宋" w:hAnsi="仿宋" w:hint="eastAsia"/>
          <w:b/>
          <w:sz w:val="32"/>
        </w:rPr>
        <w:t>（二）绩效分析</w:t>
      </w:r>
    </w:p>
    <w:p>
      <w:pPr>
        <w:spacing w:line="578" w:lineRule="auto"/>
        <w:ind w:firstLine="640"/>
        <w:rPr>
          <w:rFonts w:ascii="仿宋" w:eastAsia="仿宋" w:cs="仿宋" w:hAnsi="仿宋"/>
          <w:b/>
          <w:sz w:val="32"/>
        </w:rPr>
      </w:pPr>
      <w:r>
        <w:rPr>
          <w:rFonts w:ascii="仿宋" w:eastAsia="仿宋" w:cs="仿宋" w:hAnsi="仿宋" w:hint="eastAsia"/>
          <w:b/>
          <w:sz w:val="32"/>
        </w:rPr>
        <w:t>1、项目决策</w:t>
      </w:r>
    </w:p>
    <w:p>
      <w:pPr>
        <w:spacing w:line="578" w:lineRule="auto"/>
        <w:ind w:firstLine="640"/>
        <w:rPr>
          <w:rFonts w:ascii="仿宋" w:eastAsia="仿宋" w:cs="仿宋" w:hAnsi="仿宋"/>
          <w:sz w:val="32"/>
        </w:rPr>
      </w:pPr>
      <w:r>
        <w:rPr>
          <w:rFonts w:ascii="仿宋" w:eastAsia="仿宋" w:cs="仿宋" w:hAnsi="仿宋" w:hint="eastAsia"/>
          <w:sz w:val="32"/>
        </w:rPr>
        <w:t>城区道路洒水降尘及机械化清扫作业车辆主要用于市城区道路洒水降尘、机械化清扫作业，按照广财建〔2018〕45号文件要求，结合市城区道路扬尘治理和环卫工作情况，为进一步做好大气污染防治工作（城区道路施工、建筑工地较多，导致扬尘治理难度加大），必须购置道路洒水降尘机械化清扫作业车辆。</w:t>
      </w:r>
    </w:p>
    <w:p>
      <w:pPr>
        <w:spacing w:line="578" w:lineRule="auto"/>
        <w:ind w:firstLine="640"/>
        <w:rPr>
          <w:rFonts w:ascii="仿宋" w:eastAsia="仿宋" w:cs="仿宋" w:hAnsi="仿宋"/>
          <w:b/>
          <w:sz w:val="32"/>
        </w:rPr>
      </w:pPr>
      <w:r>
        <w:rPr>
          <w:rFonts w:ascii="仿宋" w:eastAsia="仿宋" w:cs="仿宋" w:hAnsi="仿宋" w:hint="eastAsia"/>
          <w:b/>
          <w:sz w:val="32"/>
        </w:rPr>
        <w:t>2、项目管理</w:t>
      </w:r>
    </w:p>
    <w:p>
      <w:pPr>
        <w:spacing w:line="578" w:lineRule="auto"/>
        <w:ind w:firstLine="640"/>
        <w:rPr>
          <w:rFonts w:ascii="仿宋" w:eastAsia="仿宋" w:cs="仿宋" w:hAnsi="仿宋"/>
          <w:sz w:val="32"/>
        </w:rPr>
      </w:pPr>
      <w:r>
        <w:rPr>
          <w:rFonts w:ascii="仿宋" w:eastAsia="仿宋" w:cs="仿宋" w:hAnsi="仿宋" w:hint="eastAsia"/>
          <w:sz w:val="32"/>
        </w:rPr>
        <w:t>城区道路洒水降尘及机械化清扫作业车辆购置项目政府预算资金303.28万元，经评标委员会现场评标，确认中标供应商为：一汽（四川）专用汽车有限公司，中标金额为299.8万元，分别购置5吨水车5辆（106.5万元）、8吨水车2辆（68.6万元）、中型扫地车1辆（53.5万元）、多功能抑尘车1辆（71.2万元），占预算资金的98.8%。</w:t>
      </w:r>
    </w:p>
    <w:p>
      <w:pPr>
        <w:spacing w:line="578" w:lineRule="auto"/>
        <w:ind w:firstLine="640"/>
        <w:rPr>
          <w:rFonts w:ascii="仿宋" w:eastAsia="仿宋" w:cs="仿宋" w:hAnsi="仿宋"/>
          <w:b/>
          <w:sz w:val="32"/>
        </w:rPr>
      </w:pPr>
      <w:r>
        <w:rPr>
          <w:rFonts w:ascii="仿宋" w:eastAsia="仿宋" w:cs="仿宋" w:hAnsi="仿宋" w:hint="eastAsia"/>
          <w:b/>
          <w:sz w:val="32"/>
        </w:rPr>
        <w:t>3、项目绩效</w:t>
      </w:r>
    </w:p>
    <w:p>
      <w:pPr>
        <w:spacing w:line="578" w:lineRule="auto"/>
        <w:ind w:firstLine="640"/>
        <w:rPr>
          <w:rFonts w:ascii="仿宋" w:eastAsia="仿宋" w:cs="仿宋" w:hAnsi="仿宋"/>
          <w:sz w:val="32"/>
        </w:rPr>
      </w:pPr>
      <w:r>
        <w:rPr>
          <w:rFonts w:ascii="仿宋" w:eastAsia="仿宋" w:cs="仿宋" w:hAnsi="仿宋" w:hint="eastAsia"/>
          <w:sz w:val="32"/>
        </w:rPr>
        <w:t>城区道路洒水降尘及机械化清扫作业车辆购置项目于2018年11月13日进行招标采购。经评标委员会现场评价、现场确认商品质量，最终确认中标供应商为一汽（四川）专用汽车有限公司。</w:t>
      </w:r>
    </w:p>
    <w:p>
      <w:pPr>
        <w:spacing w:line="578" w:lineRule="auto"/>
        <w:ind w:firstLine="640"/>
        <w:rPr>
          <w:rFonts w:ascii="仿宋" w:eastAsia="仿宋" w:cs="仿宋" w:hAnsi="仿宋"/>
          <w:sz w:val="32"/>
        </w:rPr>
      </w:pPr>
      <w:r>
        <w:rPr>
          <w:rFonts w:ascii="仿宋" w:eastAsia="仿宋" w:cs="仿宋" w:hAnsi="仿宋" w:hint="eastAsia"/>
          <w:sz w:val="32"/>
        </w:rPr>
        <w:t>采购5吨水车5辆、8吨水车2辆、中型扫地车1辆、多功能抑尘车1辆按需求分配至各街道环卫所和汽车运输中心，主要用于城区1100余万平方米的洒水降尘和机械化清扫作业，有效控制了城区道路扬尘污染，减轻了城区环卫工人的劳动强度，经济效益和生态效益较高。多功能抑尘车采用先进的设计理念和设备，采取雾状洒水降尘，高效率作业，受到了广大市民的一致好评。项目社会效益高，社会满意度达100%。项目总预算303.28万元，采购金额为299.8万元，资金使用效率达100%。</w:t>
      </w:r>
    </w:p>
    <w:p>
      <w:pPr>
        <w:spacing w:line="578" w:lineRule="auto"/>
        <w:ind w:firstLine="640"/>
        <w:rPr>
          <w:rFonts w:ascii="黑体" w:eastAsia="黑体" w:cs="仿宋" w:hAnsi="黑体"/>
          <w:sz w:val="32"/>
        </w:rPr>
      </w:pPr>
      <w:r>
        <w:rPr>
          <w:rFonts w:ascii="黑体" w:eastAsia="黑体" w:cs="仿宋" w:hAnsi="黑体" w:hint="eastAsia"/>
          <w:sz w:val="32"/>
        </w:rPr>
        <w:t>三、存在主要问题</w:t>
      </w:r>
    </w:p>
    <w:p>
      <w:pPr>
        <w:spacing w:line="578" w:lineRule="auto"/>
        <w:ind w:firstLine="640"/>
        <w:rPr>
          <w:rFonts w:ascii="仿宋" w:eastAsia="仿宋" w:cs="仿宋" w:hAnsi="仿宋"/>
          <w:sz w:val="32"/>
        </w:rPr>
      </w:pPr>
      <w:r>
        <w:rPr>
          <w:rFonts w:ascii="仿宋" w:eastAsia="仿宋" w:cs="仿宋" w:hAnsi="仿宋" w:hint="eastAsia"/>
          <w:sz w:val="32"/>
        </w:rPr>
        <w:t>随着城区面积日益扩大，现有环卫作业车辆较少，不能满足日常工作需求和提高市民的生活质量。</w:t>
      </w:r>
    </w:p>
    <w:p>
      <w:pPr>
        <w:spacing w:line="578" w:lineRule="auto"/>
        <w:ind w:firstLine="640"/>
        <w:rPr>
          <w:rFonts w:ascii="黑体" w:eastAsia="黑体" w:cs="仿宋" w:hAnsi="黑体"/>
          <w:sz w:val="32"/>
        </w:rPr>
      </w:pPr>
      <w:r>
        <w:rPr>
          <w:rFonts w:ascii="黑体" w:eastAsia="黑体" w:cs="仿宋" w:hAnsi="黑体" w:hint="eastAsia"/>
          <w:sz w:val="32"/>
        </w:rPr>
        <w:t>四、相关措施建议</w:t>
      </w:r>
    </w:p>
    <w:p>
      <w:pPr>
        <w:spacing w:line="578" w:lineRule="auto"/>
        <w:ind w:firstLine="640"/>
        <w:rPr>
          <w:rFonts w:ascii="黑体" w:eastAsia="黑体" w:cs="仿宋" w:hAnsi="黑体"/>
          <w:sz w:val="32"/>
        </w:rPr>
      </w:pPr>
      <w:r>
        <w:rPr>
          <w:rFonts w:ascii="仿宋" w:eastAsia="仿宋" w:cs="仿宋" w:hAnsi="仿宋" w:hint="eastAsia"/>
          <w:sz w:val="32"/>
        </w:rPr>
        <w:t>建议：加大环卫作业车辆资金预算，采购先进的环卫作业车辆和装备，提高工作效率，提升市民生活质量</w:t>
      </w:r>
      <w:r>
        <w:rPr>
          <w:rFonts w:ascii="黑体" w:eastAsia="黑体" w:cs="仿宋" w:hAnsi="黑体" w:hint="eastAsia"/>
          <w:sz w:val="32"/>
        </w:rPr>
        <w:t>。</w:t>
      </w:r>
    </w:p>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tbl>
      <w:tblPr>
        <w:jc w:val="left"/>
        <w:tblInd w:w="4"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577"/>
        <w:gridCol w:w="935"/>
        <w:gridCol w:w="857"/>
        <w:gridCol w:w="2013"/>
        <w:gridCol w:w="1948"/>
        <w:gridCol w:w="2000"/>
      </w:tblGrid>
      <w:tr>
        <w:trPr>
          <w:trHeight w:val="1034"/>
        </w:trPr>
        <w:tc>
          <w:tcPr>
            <w:tcW w:w="8330" w:type="dxa"/>
            <w:gridSpan w:val="6"/>
            <w:tcBorders>
              <w:top w:val="single" w:sz="2" w:space="0" w:color="000000"/>
              <w:left w:val="single" w:sz="2" w:space="0" w:color="000000"/>
              <w:bottom w:val="single" w:sz="2" w:space="0" w:color="000000"/>
              <w:right w:val="single" w:sz="2" w:space="0" w:color="000000"/>
            </w:tcBorders>
            <w:shd w:val="clear" w:color="000000" w:fill="FFFFFF"/>
            <w:tcMar>
              <w:left w:w="14" w:type="dxa"/>
              <w:right w:w="14" w:type="dxa"/>
            </w:tcMar>
            <w:vAlign w:val="center"/>
          </w:tcPr>
          <w:p>
            <w:pPr>
              <w:jc w:val="center"/>
            </w:pPr>
            <w:r>
              <w:rPr>
                <w:rFonts w:ascii="黑体" w:eastAsia="黑体" w:cs="黑体" w:hAnsi="黑体"/>
                <w:sz w:val="36"/>
              </w:rPr>
              <w:t>项目支出绩效目标完成情况表</w:t>
            </w:r>
            <w:r>
              <w:rPr>
                <w:rFonts w:ascii="宋体" w:eastAsia="宋体" w:cs="宋体" w:hAnsi="宋体"/>
                <w:b/>
                <w:sz w:val="36"/>
              </w:rPr>
              <w:br/>
            </w:r>
            <w:r>
              <w:rPr>
                <w:rFonts w:ascii="宋体" w:eastAsia="宋体" w:cs="宋体" w:hAnsi="宋体"/>
                <w:sz w:val="36"/>
              </w:rPr>
              <w:t>(2018 年度)</w:t>
            </w:r>
          </w:p>
        </w:tc>
      </w:tr>
      <w:tr>
        <w:trPr>
          <w:trHeight w:val="516"/>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项目名称</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城区道路洒水降尘及机械化清扫作业车辆购置项目</w:t>
            </w:r>
          </w:p>
        </w:tc>
      </w:tr>
      <w:tr>
        <w:trPr>
          <w:trHeight w:val="409"/>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预算单位</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广元市利州区环境卫生管理局</w:t>
            </w:r>
          </w:p>
        </w:tc>
      </w:tr>
      <w:tr>
        <w:trPr>
          <w:trHeight w:val="276"/>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预算执行情况(万元)</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预算数:</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303.28</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执行数:</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r>
              <w:rPr>
                <w:rFonts w:ascii="宋体" w:eastAsia="宋体" w:cs="宋体" w:hAnsi="宋体" w:hint="eastAsia"/>
                <w:sz w:val="24"/>
              </w:rPr>
              <w:t>299.8</w:t>
            </w:r>
          </w:p>
        </w:tc>
      </w:tr>
      <w:tr>
        <w:trPr>
          <w:trHeight w:val="27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p>
        </w:tc>
      </w:tr>
      <w:tr>
        <w:trPr>
          <w:trHeight w:val="1511"/>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其它资金:</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hint="eastAsia"/>
                <w:sz w:val="24"/>
              </w:rPr>
              <w:t>无</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其它资金:</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无</w:t>
            </w:r>
          </w:p>
        </w:tc>
      </w:tr>
      <w:tr>
        <w:trPr>
          <w:trHeight w:val="473"/>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年度目标完成情况</w:t>
            </w: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预期目标</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实际完成目标</w:t>
            </w:r>
          </w:p>
        </w:tc>
      </w:tr>
      <w:tr>
        <w:trPr>
          <w:trHeight w:val="115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采购5吨水车5辆、8吨水车2辆、中型扫地车1辆、多功能抑尘车1辆</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完成采购5吨水车5辆、8吨水车2辆、中型扫地车1辆、多功能抑尘车1辆的采购目标</w:t>
            </w:r>
          </w:p>
        </w:tc>
      </w:tr>
      <w:tr>
        <w:trPr>
          <w:trHeight w:val="1042"/>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绩效指标完成情况</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一级指标</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二级指标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三级指标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预期指标值</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实际完成指标值</w:t>
            </w:r>
          </w:p>
        </w:tc>
      </w:tr>
      <w:tr>
        <w:trPr>
          <w:trHeight w:val="56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val="restart"/>
            <w:tcBorders>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项目完成</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数量指标</w:t>
            </w:r>
          </w:p>
          <w:p>
            <w:pPr>
              <w:rPr>
                <w:rFonts w:ascii="宋体" w:eastAsia="宋体" w:cs="宋体" w:hAnsi="宋体"/>
                <w:szCs w:val="21"/>
              </w:rPr>
            </w:pP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采购5吨水车5辆、8吨水车2辆、中型扫地车1辆、多功能抑尘车1辆</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采购5吨水车5辆、8吨水车2辆、中型扫地车1辆、多功能抑尘车1辆</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5吨水车5辆、8吨水车2辆、中型扫地车1辆、多功能抑尘车1辆，</w:t>
            </w:r>
            <w:r>
              <w:rPr>
                <w:rFonts w:ascii="宋体" w:eastAsia="宋体" w:cs="宋体" w:hAnsi="宋体"/>
                <w:sz w:val="22"/>
              </w:rPr>
              <w:t>实际完成指标值</w:t>
            </w:r>
            <w:r>
              <w:rPr>
                <w:rFonts w:ascii="宋体" w:eastAsia="宋体" w:cs="宋体" w:hAnsi="宋体" w:hint="eastAsia"/>
                <w:sz w:val="22"/>
              </w:rPr>
              <w:t>100%</w:t>
            </w:r>
          </w:p>
        </w:tc>
      </w:tr>
      <w:tr>
        <w:trPr>
          <w:trHeight w:val="814"/>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质量指标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符合环卫特种作业车辆标准</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850"/>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项目效益</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经济效益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加大城区环卫机械化作业率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702"/>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right w:val="single" w:sz="4" w:space="0" w:color="000000"/>
            </w:tcBorders>
            <w:shd w:val="clear" w:color="000000" w:fill="FFFFFF"/>
            <w:tcMar>
              <w:left w:w="14" w:type="dxa"/>
              <w:right w:w="14" w:type="dxa"/>
            </w:tcMar>
            <w:vAlign w:val="center"/>
          </w:tc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社会效益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优化城市形象</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1042"/>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生态效益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降低主城区的扬尘污染，提高空气质量；</w:t>
            </w:r>
          </w:p>
          <w:p>
            <w:pPr>
              <w:jc w:val="center"/>
              <w:rPr>
                <w:rFonts w:ascii="宋体" w:eastAsia="宋体" w:cs="宋体" w:hAnsi="宋体"/>
                <w:sz w:val="22"/>
              </w:rPr>
            </w:pPr>
            <w:r>
              <w:rPr>
                <w:rFonts w:ascii="宋体" w:eastAsia="宋体" w:cs="宋体" w:hAnsi="宋体" w:hint="eastAsia"/>
                <w:sz w:val="22"/>
              </w:rPr>
              <w:t>提高垃圾清运处理效率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91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满意度</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满意度</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社会满意度</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满意度100%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市民普遍评价较高，满意度为100%</w:t>
            </w:r>
          </w:p>
        </w:tc>
      </w:tr>
    </w:tbl>
    <w:p/>
    <w:p/>
    <w:p/>
    <w:p/>
    <w:p>
      <w:pPr>
        <w:spacing w:line="600" w:lineRule="auto"/>
        <w:jc w:val="center"/>
        <w:rPr>
          <w:rFonts w:ascii="黑体" w:eastAsia="黑体" w:cs="黑体" w:hAnsi="黑体"/>
          <w:sz w:val="36"/>
        </w:rPr>
      </w:pPr>
      <w:r>
        <w:rPr>
          <w:rFonts w:ascii="黑体" w:eastAsia="黑体" w:cs="黑体" w:hAnsi="黑体" w:hint="eastAsia"/>
          <w:sz w:val="36"/>
        </w:rPr>
        <w:t>2018年环卫临聘人员安全标志服</w:t>
      </w:r>
    </w:p>
    <w:p>
      <w:pPr>
        <w:spacing w:line="600" w:lineRule="auto"/>
        <w:jc w:val="center"/>
        <w:rPr>
          <w:rFonts w:ascii="黑体" w:eastAsia="黑体" w:cs="黑体" w:hAnsi="黑体"/>
          <w:sz w:val="36"/>
        </w:rPr>
      </w:pPr>
      <w:r>
        <w:rPr>
          <w:rFonts w:ascii="黑体" w:eastAsia="黑体" w:cs="黑体" w:hAnsi="黑体" w:hint="eastAsia"/>
          <w:sz w:val="36"/>
        </w:rPr>
        <w:t>采购项目支出绩效评价报告</w:t>
      </w:r>
    </w:p>
    <w:p>
      <w:pPr>
        <w:spacing w:line="578" w:lineRule="auto"/>
        <w:ind w:firstLine="640"/>
        <w:rPr>
          <w:rFonts w:ascii="仿宋_GB2312" w:eastAsia="仿宋_GB2312" w:cs="仿宋_GB2312" w:hAnsi="仿宋_GB2312"/>
          <w:sz w:val="32"/>
        </w:rPr>
      </w:pPr>
    </w:p>
    <w:p>
      <w:pPr>
        <w:spacing w:line="578" w:lineRule="auto"/>
        <w:ind w:firstLine="640"/>
        <w:rPr>
          <w:rFonts w:ascii="黑体" w:eastAsia="黑体" w:cs="仿宋" w:hAnsi="黑体"/>
          <w:sz w:val="32"/>
        </w:rPr>
      </w:pPr>
      <w:r>
        <w:rPr>
          <w:rFonts w:ascii="黑体" w:eastAsia="黑体" w:cs="仿宋" w:hAnsi="黑体" w:hint="eastAsia"/>
          <w:sz w:val="32"/>
        </w:rPr>
        <w:t>一、评价工作开展及项目情况</w:t>
      </w:r>
    </w:p>
    <w:p>
      <w:pPr>
        <w:spacing w:line="578" w:lineRule="auto"/>
        <w:ind w:firstLine="640"/>
        <w:rPr>
          <w:rFonts w:ascii="仿宋" w:eastAsia="仿宋" w:cs="仿宋" w:hAnsi="仿宋"/>
          <w:sz w:val="32"/>
        </w:rPr>
      </w:pPr>
      <w:r>
        <w:rPr>
          <w:rFonts w:ascii="仿宋" w:eastAsia="仿宋" w:cs="仿宋" w:hAnsi="仿宋" w:hint="eastAsia"/>
          <w:b/>
          <w:sz w:val="32"/>
        </w:rPr>
        <w:t>（一）评价工作开展。</w:t>
      </w:r>
      <w:r>
        <w:rPr>
          <w:rFonts w:ascii="仿宋" w:eastAsia="仿宋" w:cs="仿宋" w:hAnsi="仿宋" w:hint="eastAsia"/>
          <w:sz w:val="32"/>
        </w:rPr>
        <w:t>严格按照政府招投程序实施，</w:t>
      </w:r>
      <w:r>
        <w:rPr>
          <w:rFonts w:ascii="仿宋" w:eastAsia="仿宋" w:cs="仿宋" w:hAnsi="仿宋"/>
          <w:sz w:val="32"/>
        </w:rPr>
        <w:t>合规使用，专款专用</w:t>
      </w:r>
      <w:r>
        <w:rPr>
          <w:rFonts w:ascii="仿宋" w:eastAsia="仿宋" w:cs="仿宋" w:hAnsi="仿宋" w:hint="eastAsia"/>
          <w:sz w:val="32"/>
        </w:rPr>
        <w:t>。为市城区环卫临聘人员采购安全标志服、帽子和雨衣，按实际需求为一线环卫工人发放。</w:t>
      </w:r>
    </w:p>
    <w:p>
      <w:pPr>
        <w:spacing w:line="578" w:lineRule="auto"/>
        <w:ind w:firstLine="640"/>
        <w:rPr>
          <w:rFonts w:ascii="仿宋" w:eastAsia="仿宋" w:cs="仿宋" w:hAnsi="仿宋"/>
          <w:sz w:val="32"/>
        </w:rPr>
      </w:pPr>
      <w:r>
        <w:rPr>
          <w:rFonts w:ascii="仿宋" w:eastAsia="仿宋" w:cs="仿宋" w:hAnsi="仿宋" w:hint="eastAsia"/>
          <w:b/>
          <w:sz w:val="32"/>
        </w:rPr>
        <w:t>（二）项目情况。</w:t>
      </w:r>
      <w:r>
        <w:rPr>
          <w:rFonts w:ascii="仿宋" w:eastAsia="仿宋" w:cs="仿宋" w:hAnsi="仿宋" w:hint="eastAsia"/>
          <w:sz w:val="32"/>
        </w:rPr>
        <w:t>2018年财政预算环卫临聘人员安全标志服资金为16万元，依照《中华人民共和国政府采购法》及相关法律、法规于2018年7月20日在广元市利州区万源万达广场晶A15楼1522号，由区环卫局委托的四川坤阳工程管理咨询有限公司组织实施了评标。经评标委员会现场评标，确认中标供应商为：周口衣尚衣夏服饰有限公司。</w:t>
      </w:r>
    </w:p>
    <w:p>
      <w:pPr>
        <w:spacing w:line="578" w:lineRule="auto"/>
        <w:ind w:firstLine="640"/>
        <w:rPr>
          <w:rFonts w:ascii="黑体" w:eastAsia="黑体" w:cs="仿宋" w:hAnsi="黑体"/>
          <w:sz w:val="32"/>
        </w:rPr>
      </w:pPr>
      <w:r>
        <w:rPr>
          <w:rFonts w:ascii="黑体" w:eastAsia="黑体" w:cs="仿宋" w:hAnsi="黑体" w:hint="eastAsia"/>
          <w:sz w:val="32"/>
        </w:rPr>
        <w:t>二、评价结论及绩效分析</w:t>
      </w:r>
    </w:p>
    <w:p>
      <w:pPr>
        <w:spacing w:line="578" w:lineRule="auto"/>
        <w:ind w:firstLine="640"/>
        <w:rPr>
          <w:rFonts w:ascii="方正楷体简体" w:eastAsia="方正楷体简体" w:cs="仿宋" w:hAnsi="仿宋"/>
          <w:b/>
          <w:sz w:val="32"/>
        </w:rPr>
      </w:pPr>
      <w:r>
        <w:rPr>
          <w:rFonts w:ascii="方正楷体简体" w:eastAsia="方正楷体简体" w:cs="仿宋" w:hAnsi="仿宋" w:hint="eastAsia"/>
          <w:b/>
          <w:sz w:val="32"/>
        </w:rPr>
        <w:t>（一）评价结论</w:t>
      </w:r>
    </w:p>
    <w:p>
      <w:pPr>
        <w:spacing w:line="578" w:lineRule="auto"/>
        <w:ind w:firstLine="640"/>
        <w:rPr>
          <w:rFonts w:ascii="仿宋" w:eastAsia="仿宋" w:cs="仿宋" w:hAnsi="仿宋"/>
          <w:sz w:val="32"/>
        </w:rPr>
      </w:pPr>
      <w:r>
        <w:rPr>
          <w:rFonts w:ascii="仿宋" w:eastAsia="仿宋" w:cs="仿宋" w:hAnsi="仿宋" w:hint="eastAsia"/>
          <w:sz w:val="32"/>
        </w:rPr>
        <w:t>环卫临聘人员采购安全标志服项目采购程序合规，做到专款专用，采取现场评标办法进行确认中标供应商，以最低价和竞标最好质量为最终中标供应商。在使用过程中满足了城区一线环卫工人有日常工作中的正常需求，按照使用情况按需发放，总体评价高。</w:t>
      </w:r>
    </w:p>
    <w:p>
      <w:pPr>
        <w:spacing w:line="578" w:lineRule="auto"/>
        <w:ind w:firstLine="640"/>
        <w:rPr>
          <w:rFonts w:ascii="方正楷体简体" w:eastAsia="方正楷体简体" w:cs="仿宋" w:hAnsi="仿宋"/>
          <w:b/>
          <w:sz w:val="32"/>
        </w:rPr>
      </w:pPr>
      <w:r>
        <w:rPr>
          <w:rFonts w:ascii="方正楷体简体" w:eastAsia="方正楷体简体" w:cs="仿宋" w:hAnsi="仿宋" w:hint="eastAsia"/>
          <w:b/>
          <w:sz w:val="32"/>
        </w:rPr>
        <w:t>（二）绩效分析</w:t>
      </w:r>
    </w:p>
    <w:p>
      <w:pPr>
        <w:spacing w:line="578" w:lineRule="auto"/>
        <w:ind w:firstLine="640"/>
        <w:rPr>
          <w:rFonts w:ascii="仿宋" w:eastAsia="仿宋" w:cs="仿宋" w:hAnsi="仿宋"/>
          <w:b/>
          <w:sz w:val="32"/>
        </w:rPr>
      </w:pPr>
      <w:r>
        <w:rPr>
          <w:rFonts w:ascii="仿宋" w:eastAsia="仿宋" w:cs="仿宋" w:hAnsi="仿宋" w:hint="eastAsia"/>
          <w:b/>
          <w:sz w:val="32"/>
        </w:rPr>
        <w:t>1、项目决策</w:t>
      </w:r>
    </w:p>
    <w:p>
      <w:pPr>
        <w:spacing w:line="578" w:lineRule="auto"/>
        <w:ind w:firstLine="640"/>
        <w:rPr>
          <w:rFonts w:ascii="仿宋" w:eastAsia="仿宋" w:cs="仿宋" w:hAnsi="仿宋"/>
          <w:sz w:val="32"/>
        </w:rPr>
      </w:pPr>
      <w:r>
        <w:rPr>
          <w:rFonts w:ascii="仿宋" w:eastAsia="仿宋" w:cs="仿宋" w:hAnsi="仿宋" w:hint="eastAsia"/>
          <w:sz w:val="32"/>
        </w:rPr>
        <w:t xml:space="preserve">环卫临聘人员安全标志服属于日常消耗品和易损品，结合利州区环卫局一线环卫工人数量和政府预算金额限制，每年为一线环卫工人购置服装只能满足人均一套，因此，按资金预算和结合市场行情，按照政府招投程序实施招标采购。   </w:t>
      </w:r>
    </w:p>
    <w:p>
      <w:pPr>
        <w:spacing w:line="578" w:lineRule="auto"/>
        <w:ind w:firstLine="640"/>
        <w:rPr>
          <w:rFonts w:ascii="仿宋" w:eastAsia="仿宋" w:cs="仿宋" w:hAnsi="仿宋"/>
          <w:b/>
          <w:sz w:val="32"/>
        </w:rPr>
      </w:pPr>
      <w:r>
        <w:rPr>
          <w:rFonts w:ascii="仿宋" w:eastAsia="仿宋" w:cs="仿宋" w:hAnsi="仿宋" w:hint="eastAsia"/>
          <w:b/>
          <w:sz w:val="32"/>
        </w:rPr>
        <w:t>2、项目管理</w:t>
      </w:r>
    </w:p>
    <w:p>
      <w:pPr>
        <w:spacing w:line="578" w:lineRule="auto"/>
        <w:ind w:firstLine="640"/>
        <w:rPr>
          <w:rFonts w:ascii="仿宋" w:eastAsia="仿宋" w:cs="仿宋" w:hAnsi="仿宋"/>
          <w:sz w:val="32"/>
        </w:rPr>
      </w:pPr>
      <w:r>
        <w:rPr>
          <w:rFonts w:ascii="仿宋" w:eastAsia="仿宋" w:cs="仿宋" w:hAnsi="仿宋" w:hint="eastAsia"/>
          <w:sz w:val="32"/>
        </w:rPr>
        <w:t>2018年因城区环卫工作需要和环卫工人人数增加，环卫工人安全标志服采购项目预算为16万元。经评标委员会现场评标，确认中标供应商为：周口衣尚衣夏服饰有限公司，中标金额为16万元，占预算资金的100%。</w:t>
      </w:r>
    </w:p>
    <w:p>
      <w:pPr>
        <w:spacing w:line="578" w:lineRule="auto"/>
        <w:ind w:firstLine="640"/>
        <w:rPr>
          <w:rFonts w:ascii="仿宋" w:eastAsia="仿宋" w:cs="仿宋" w:hAnsi="仿宋"/>
          <w:b/>
          <w:sz w:val="32"/>
        </w:rPr>
      </w:pPr>
      <w:r>
        <w:rPr>
          <w:rFonts w:ascii="仿宋" w:eastAsia="仿宋" w:cs="仿宋" w:hAnsi="仿宋" w:hint="eastAsia"/>
          <w:b/>
          <w:sz w:val="32"/>
        </w:rPr>
        <w:t>3、项目绩效</w:t>
      </w:r>
    </w:p>
    <w:p>
      <w:pPr>
        <w:spacing w:line="578" w:lineRule="auto"/>
        <w:ind w:firstLine="640"/>
        <w:rPr>
          <w:rFonts w:ascii="仿宋" w:eastAsia="仿宋" w:cs="仿宋" w:hAnsi="仿宋"/>
          <w:sz w:val="32"/>
        </w:rPr>
      </w:pPr>
      <w:r>
        <w:rPr>
          <w:rFonts w:ascii="仿宋" w:eastAsia="仿宋" w:cs="仿宋" w:hAnsi="仿宋" w:hint="eastAsia"/>
          <w:sz w:val="32"/>
        </w:rPr>
        <w:t>环卫临聘人员安全标志服项目于2018年7月20日进行招标采购。经评标委员会现场评价、现场确认商品质量，最终确认中标供应商为周口衣尚衣夏服饰有限公司。</w:t>
      </w:r>
    </w:p>
    <w:p>
      <w:pPr>
        <w:spacing w:line="578" w:lineRule="auto"/>
        <w:ind w:firstLine="640"/>
        <w:rPr>
          <w:rFonts w:ascii="仿宋" w:eastAsia="仿宋" w:cs="仿宋" w:hAnsi="仿宋"/>
          <w:sz w:val="32"/>
        </w:rPr>
      </w:pPr>
      <w:r>
        <w:rPr>
          <w:rFonts w:ascii="仿宋" w:eastAsia="仿宋" w:cs="仿宋" w:hAnsi="仿宋" w:hint="eastAsia"/>
          <w:sz w:val="32"/>
        </w:rPr>
        <w:t>环卫临聘人员安全标志服是一线环卫工人在日常工作中必须品，安全标志服起到了防雨、防车辆事故等作用，在资金预算内，结合市场行情采购最好质量商品，城区环卫工人使用采购的安全标志服后，都感到满意，满意率达100%。结合实际情况，环卫临聘人员安全标志服按照一次性采购、按需发放的原则，截止2018年底资金使用率为37%。</w:t>
      </w:r>
    </w:p>
    <w:p>
      <w:pPr>
        <w:spacing w:line="578" w:lineRule="auto"/>
        <w:ind w:firstLine="640"/>
        <w:rPr>
          <w:rFonts w:ascii="黑体" w:eastAsia="黑体" w:cs="仿宋" w:hAnsi="黑体"/>
          <w:sz w:val="32"/>
        </w:rPr>
      </w:pPr>
      <w:r>
        <w:rPr>
          <w:rFonts w:ascii="黑体" w:eastAsia="黑体" w:cs="仿宋" w:hAnsi="黑体" w:hint="eastAsia"/>
          <w:sz w:val="32"/>
        </w:rPr>
        <w:t>三、存在主要问题</w:t>
      </w:r>
    </w:p>
    <w:p>
      <w:pPr>
        <w:spacing w:line="578" w:lineRule="auto"/>
        <w:ind w:firstLine="640"/>
        <w:rPr>
          <w:rFonts w:ascii="仿宋" w:eastAsia="仿宋" w:cs="仿宋" w:hAnsi="仿宋"/>
          <w:sz w:val="32"/>
        </w:rPr>
      </w:pPr>
      <w:r>
        <w:rPr>
          <w:rFonts w:ascii="仿宋" w:eastAsia="仿宋" w:cs="仿宋" w:hAnsi="仿宋" w:hint="eastAsia"/>
          <w:sz w:val="32"/>
        </w:rPr>
        <w:t>环卫标志服资金预算不足，表现为每年人均一套，每天工作都穿着，严重影响工作效率、工作质量和城市形象。</w:t>
      </w:r>
    </w:p>
    <w:p>
      <w:pPr>
        <w:spacing w:line="578" w:lineRule="auto"/>
        <w:ind w:firstLine="640"/>
        <w:rPr>
          <w:rFonts w:ascii="黑体" w:eastAsia="黑体" w:cs="仿宋" w:hAnsi="黑体"/>
          <w:sz w:val="32"/>
        </w:rPr>
      </w:pPr>
      <w:r>
        <w:rPr>
          <w:rFonts w:ascii="黑体" w:eastAsia="黑体" w:cs="仿宋" w:hAnsi="黑体" w:hint="eastAsia"/>
          <w:sz w:val="32"/>
        </w:rPr>
        <w:t>四、相关措施建议</w:t>
      </w:r>
    </w:p>
    <w:p>
      <w:pPr>
        <w:spacing w:line="578" w:lineRule="auto"/>
        <w:ind w:firstLine="640"/>
        <w:rPr>
          <w:rFonts w:ascii="仿宋" w:eastAsia="仿宋" w:cs="仿宋" w:hAnsi="仿宋"/>
          <w:sz w:val="32"/>
        </w:rPr>
      </w:pPr>
      <w:r>
        <w:rPr>
          <w:rFonts w:ascii="仿宋" w:eastAsia="仿宋" w:cs="仿宋" w:hAnsi="仿宋" w:hint="eastAsia"/>
          <w:sz w:val="32"/>
        </w:rPr>
        <w:t>建议：逐年增加环卫标志服资金预算，为一线环卫工人每年采购2套及以上质量较高的服装。</w:t>
      </w:r>
    </w:p>
    <w:p>
      <w:pPr>
        <w:spacing w:line="578" w:lineRule="auto"/>
        <w:ind w:firstLine="640"/>
        <w:rPr>
          <w:rFonts w:ascii="仿宋" w:eastAsia="仿宋" w:cs="仿宋" w:hAnsi="仿宋"/>
          <w:sz w:val="32"/>
        </w:rPr>
      </w:pPr>
    </w:p>
    <w:p>
      <w:pPr>
        <w:spacing w:line="578" w:lineRule="auto"/>
        <w:ind w:firstLine="640"/>
        <w:rPr>
          <w:rFonts w:ascii="仿宋" w:eastAsia="仿宋" w:cs="仿宋" w:hAnsi="仿宋"/>
          <w:sz w:val="32"/>
        </w:rPr>
      </w:pPr>
    </w:p>
    <w:p>
      <w:pPr>
        <w:spacing w:line="578" w:lineRule="auto"/>
        <w:ind w:firstLine="640"/>
        <w:rPr>
          <w:rFonts w:ascii="仿宋" w:eastAsia="仿宋" w:cs="仿宋" w:hAnsi="仿宋"/>
          <w:sz w:val="32"/>
        </w:rPr>
      </w:pPr>
    </w:p>
    <w:p>
      <w:pPr>
        <w:spacing w:line="578" w:lineRule="auto"/>
        <w:ind w:firstLine="640"/>
        <w:rPr>
          <w:rFonts w:ascii="仿宋" w:eastAsia="仿宋" w:cs="仿宋" w:hAnsi="仿宋"/>
          <w:sz w:val="32"/>
        </w:rPr>
      </w:pPr>
    </w:p>
    <w:p>
      <w:pPr>
        <w:spacing w:line="578" w:lineRule="auto"/>
        <w:ind w:firstLine="640"/>
        <w:rPr>
          <w:rFonts w:ascii="仿宋" w:eastAsia="仿宋" w:cs="仿宋" w:hAnsi="仿宋"/>
          <w:sz w:val="32"/>
        </w:rPr>
      </w:pPr>
    </w:p>
    <w:p>
      <w:pPr>
        <w:spacing w:line="578" w:lineRule="auto"/>
        <w:ind w:firstLine="640"/>
        <w:rPr>
          <w:rFonts w:ascii="仿宋" w:eastAsia="仿宋" w:cs="仿宋" w:hAnsi="仿宋"/>
          <w:sz w:val="32"/>
        </w:rPr>
      </w:pPr>
    </w:p>
    <w:p/>
    <w:tbl>
      <w:tblPr>
        <w:jc w:val="left"/>
        <w:tblInd w:w="4"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577"/>
        <w:gridCol w:w="935"/>
        <w:gridCol w:w="857"/>
        <w:gridCol w:w="2013"/>
        <w:gridCol w:w="1948"/>
        <w:gridCol w:w="2000"/>
      </w:tblGrid>
      <w:tr>
        <w:trPr>
          <w:trHeight w:val="1034"/>
        </w:trPr>
        <w:tc>
          <w:tcPr>
            <w:tcW w:w="8330" w:type="dxa"/>
            <w:gridSpan w:val="6"/>
            <w:tcBorders>
              <w:top w:val="single" w:sz="2" w:space="0" w:color="000000"/>
              <w:left w:val="single" w:sz="2" w:space="0" w:color="000000"/>
              <w:bottom w:val="single" w:sz="2" w:space="0" w:color="000000"/>
              <w:right w:val="single" w:sz="2" w:space="0" w:color="000000"/>
            </w:tcBorders>
            <w:shd w:val="clear" w:color="000000" w:fill="FFFFFF"/>
            <w:tcMar>
              <w:left w:w="14" w:type="dxa"/>
              <w:right w:w="14" w:type="dxa"/>
            </w:tcMar>
            <w:vAlign w:val="center"/>
          </w:tcPr>
          <w:p>
            <w:pPr>
              <w:jc w:val="center"/>
            </w:pPr>
            <w:r>
              <w:rPr>
                <w:rFonts w:ascii="黑体" w:eastAsia="黑体" w:cs="黑体" w:hAnsi="黑体"/>
                <w:sz w:val="36"/>
              </w:rPr>
              <w:t>项目支出绩效目标完成情况表</w:t>
            </w:r>
            <w:r>
              <w:rPr>
                <w:rFonts w:ascii="宋体" w:eastAsia="宋体" w:cs="宋体" w:hAnsi="宋体"/>
                <w:b/>
                <w:sz w:val="36"/>
              </w:rPr>
              <w:br/>
            </w:r>
            <w:r>
              <w:rPr>
                <w:rFonts w:ascii="宋体" w:eastAsia="宋体" w:cs="宋体" w:hAnsi="宋体"/>
                <w:sz w:val="36"/>
              </w:rPr>
              <w:t>(2018 年度)</w:t>
            </w:r>
          </w:p>
        </w:tc>
      </w:tr>
      <w:tr>
        <w:trPr>
          <w:trHeight w:val="516"/>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项目名称</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环卫临聘人员安全标志服采购项目</w:t>
            </w:r>
          </w:p>
        </w:tc>
      </w:tr>
      <w:tr>
        <w:trPr>
          <w:trHeight w:val="477"/>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预算单位</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广元市利州区环境卫生管理局</w:t>
            </w:r>
          </w:p>
        </w:tc>
      </w:tr>
      <w:tr>
        <w:trPr>
          <w:trHeight w:val="498"/>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预算执行情况(万元)</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预算数:</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16</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执行数:</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r>
              <w:rPr>
                <w:rFonts w:ascii="宋体" w:eastAsia="宋体" w:cs="宋体" w:hAnsi="宋体" w:hint="eastAsia"/>
                <w:sz w:val="24"/>
              </w:rPr>
              <w:t>16</w:t>
            </w:r>
          </w:p>
        </w:tc>
      </w:tr>
      <w:tr>
        <w:trPr>
          <w:trHeight w:val="503"/>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16</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16</w:t>
            </w:r>
          </w:p>
        </w:tc>
      </w:tr>
      <w:tr>
        <w:trPr>
          <w:trHeight w:val="123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其它资金:</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r>
              <w:rPr>
                <w:rFonts w:ascii="宋体" w:eastAsia="宋体" w:cs="宋体" w:hAnsi="宋体"/>
                <w:sz w:val="24"/>
              </w:rPr>
              <w:t>其它资金:</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p>
        </w:tc>
      </w:tr>
      <w:tr>
        <w:trPr>
          <w:trHeight w:val="420"/>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年度目标完成情况</w:t>
            </w: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预期目标</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实际完成目标</w:t>
            </w:r>
          </w:p>
        </w:tc>
      </w:tr>
      <w:tr>
        <w:trPr>
          <w:trHeight w:val="115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采购夏装，帽子，耐隆胶环卫雨衣</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采购夏装，帽子，耐隆胶环卫雨衣的采购目标</w:t>
            </w:r>
          </w:p>
        </w:tc>
      </w:tr>
      <w:tr>
        <w:trPr>
          <w:trHeight w:val="1042"/>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绩效指标完成情况</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一级指标</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二级指标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三级指标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预期指标值</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实际完成指标值</w:t>
            </w:r>
          </w:p>
        </w:tc>
      </w:tr>
      <w:tr>
        <w:trPr>
          <w:trHeight w:val="107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项目完成指标</w:t>
            </w:r>
          </w:p>
          <w:p>
            <w:pPr>
              <w:rPr>
                <w:rFonts w:ascii="宋体" w:eastAsia="宋体" w:cs="宋体" w:hAnsi="宋体"/>
                <w:szCs w:val="21"/>
              </w:rPr>
            </w:pPr>
            <w:r>
              <w:rPr>
                <w:rFonts w:ascii="宋体" w:eastAsia="宋体" w:cs="宋体" w:hAnsi="宋体" w:hint="eastAsia"/>
                <w:szCs w:val="21"/>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数量指标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采购夏装、帽子、耐隆胶环卫雨衣</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采购夏装、帽子、耐隆胶环卫雨衣</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b/>
                <w:sz w:val="22"/>
              </w:rPr>
            </w:pPr>
            <w:r>
              <w:rPr>
                <w:rFonts w:ascii="宋体" w:eastAsia="宋体" w:cs="宋体" w:hAnsi="宋体" w:hint="eastAsia"/>
                <w:sz w:val="22"/>
              </w:rPr>
              <w:t>已采购夏装、帽子、耐隆胶环卫雨衣</w:t>
            </w:r>
          </w:p>
        </w:tc>
      </w:tr>
      <w:tr>
        <w:trPr>
          <w:trHeight w:val="977"/>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right w:val="single" w:sz="4" w:space="0" w:color="000000"/>
            </w:tcBorders>
            <w:shd w:val="clear" w:color="000000" w:fill="FFFFFF"/>
            <w:tcMar>
              <w:left w:w="14" w:type="dxa"/>
              <w:right w:w="14" w:type="dxa"/>
            </w:tcMar>
            <w:vAlign w:val="center"/>
          </w:tc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质量指标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符合服装质量标准</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992"/>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项目效益</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经济效益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降低安全事故风险、提高工作效率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1042"/>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社会效益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优化城市形象</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908"/>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满意度</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满意度</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环卫工人满意度</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满意度100%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环卫工人使用满意度为100%</w:t>
            </w:r>
          </w:p>
        </w:tc>
      </w:tr>
    </w:tbl>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sz w:val="36"/>
        </w:rPr>
      </w:pPr>
      <w:r>
        <w:rPr>
          <w:rFonts w:ascii="黑体" w:eastAsia="黑体" w:cs="黑体" w:hAnsi="黑体" w:hint="eastAsia"/>
          <w:sz w:val="36"/>
        </w:rPr>
        <w:t>2018年环卫工人休息室修建项目</w:t>
      </w:r>
    </w:p>
    <w:p>
      <w:pPr>
        <w:spacing w:line="600" w:lineRule="auto"/>
        <w:jc w:val="center"/>
        <w:rPr>
          <w:rFonts w:ascii="黑体" w:eastAsia="黑体" w:cs="黑体" w:hAnsi="黑体"/>
          <w:sz w:val="36"/>
        </w:rPr>
      </w:pPr>
      <w:r>
        <w:rPr>
          <w:rFonts w:ascii="黑体" w:eastAsia="黑体" w:cs="黑体" w:hAnsi="黑体" w:hint="eastAsia"/>
          <w:sz w:val="36"/>
        </w:rPr>
        <w:t>支出绩效评价报告</w:t>
      </w:r>
    </w:p>
    <w:p>
      <w:pPr>
        <w:spacing w:line="578" w:lineRule="auto"/>
        <w:ind w:firstLine="640"/>
        <w:rPr>
          <w:rFonts w:ascii="仿宋_GB2312" w:eastAsia="仿宋_GB2312" w:cs="仿宋_GB2312" w:hAnsi="仿宋_GB2312"/>
          <w:sz w:val="32"/>
        </w:rPr>
      </w:pPr>
    </w:p>
    <w:p>
      <w:pPr>
        <w:spacing w:line="576" w:lineRule="exact"/>
        <w:ind w:firstLine="641"/>
        <w:rPr>
          <w:rFonts w:ascii="黑体" w:eastAsia="黑体" w:cs="仿宋" w:hAnsi="黑体"/>
          <w:sz w:val="32"/>
        </w:rPr>
      </w:pPr>
      <w:r>
        <w:rPr>
          <w:rFonts w:ascii="黑体" w:eastAsia="黑体" w:cs="仿宋" w:hAnsi="黑体" w:hint="eastAsia"/>
          <w:sz w:val="32"/>
        </w:rPr>
        <w:t>一、评价工作开展及项目情况</w:t>
      </w:r>
    </w:p>
    <w:p>
      <w:pPr>
        <w:spacing w:line="576" w:lineRule="exact"/>
        <w:ind w:firstLine="641"/>
        <w:rPr>
          <w:rFonts w:ascii="仿宋" w:eastAsia="仿宋" w:cs="仿宋" w:hAnsi="仿宋"/>
          <w:sz w:val="32"/>
        </w:rPr>
      </w:pPr>
      <w:r>
        <w:rPr>
          <w:rFonts w:ascii="仿宋" w:eastAsia="仿宋" w:cs="仿宋" w:hAnsi="仿宋" w:hint="eastAsia"/>
          <w:sz w:val="32"/>
        </w:rPr>
        <w:t>根据广府阅〔2018〕45号会议纪要，为加强东坝北延线环境卫生整治，确保十三届省运会顺利召开，竭力营造干净、整齐、舒适、优美的城市环境，财政拨款16万元用于设置相应环卫工人休息点，包括八二一小区旁变电房改建为环卫工人休息点，东坝北延线增设两座环保型移动式环卫工人休息屋两部分。</w:t>
      </w:r>
    </w:p>
    <w:p>
      <w:pPr>
        <w:spacing w:line="576" w:lineRule="exact"/>
        <w:ind w:firstLine="641"/>
        <w:rPr>
          <w:rFonts w:ascii="黑体" w:eastAsia="黑体" w:cs="仿宋" w:hAnsi="黑体"/>
          <w:sz w:val="32"/>
        </w:rPr>
      </w:pPr>
      <w:r>
        <w:rPr>
          <w:rFonts w:ascii="黑体" w:eastAsia="黑体" w:cs="仿宋" w:hAnsi="黑体" w:hint="eastAsia"/>
          <w:sz w:val="32"/>
        </w:rPr>
        <w:t>二、评价结论及绩效分析</w:t>
      </w:r>
    </w:p>
    <w:p>
      <w:pPr>
        <w:spacing w:line="576" w:lineRule="exact"/>
        <w:ind w:firstLine="641"/>
        <w:rPr>
          <w:rFonts w:ascii="方正楷体简体" w:eastAsia="方正楷体简体" w:cs="仿宋" w:hAnsi="仿宋"/>
          <w:b/>
          <w:sz w:val="32"/>
        </w:rPr>
      </w:pPr>
      <w:r>
        <w:rPr>
          <w:rFonts w:ascii="方正楷体简体" w:eastAsia="方正楷体简体" w:cs="仿宋" w:hAnsi="仿宋" w:hint="eastAsia"/>
          <w:b/>
          <w:sz w:val="32"/>
        </w:rPr>
        <w:t>（一）评价结论</w:t>
      </w:r>
    </w:p>
    <w:p>
      <w:pPr>
        <w:spacing w:line="576" w:lineRule="exact"/>
        <w:ind w:firstLine="641"/>
        <w:rPr>
          <w:rFonts w:ascii="仿宋" w:eastAsia="仿宋" w:cs="仿宋" w:hAnsi="仿宋"/>
          <w:sz w:val="32"/>
        </w:rPr>
      </w:pPr>
      <w:r>
        <w:rPr>
          <w:rFonts w:ascii="仿宋" w:eastAsia="仿宋" w:cs="仿宋" w:hAnsi="仿宋" w:hint="eastAsia"/>
          <w:sz w:val="32"/>
        </w:rPr>
        <w:t>环卫工人休息室修建项目有效整合现有闲置资源，充分利用现有环保型设备，弥补了当前环卫休息点数量不足的问题，解决了一线环卫工人工作之余“歇脚难”问题，有效保障了环卫工人的切身利益，提高了城市文明的魅力与温度。</w:t>
      </w:r>
    </w:p>
    <w:p>
      <w:pPr>
        <w:spacing w:line="576" w:lineRule="exact"/>
        <w:ind w:firstLine="641"/>
        <w:rPr>
          <w:rFonts w:ascii="方正楷体简体" w:eastAsia="方正楷体简体" w:cs="仿宋" w:hAnsi="仿宋"/>
          <w:b/>
          <w:sz w:val="32"/>
        </w:rPr>
      </w:pPr>
      <w:r>
        <w:rPr>
          <w:rFonts w:ascii="方正楷体简体" w:eastAsia="方正楷体简体" w:cs="仿宋" w:hAnsi="仿宋" w:hint="eastAsia"/>
          <w:b/>
          <w:sz w:val="32"/>
        </w:rPr>
        <w:t>（二）绩效分析</w:t>
      </w:r>
    </w:p>
    <w:p>
      <w:pPr>
        <w:spacing w:line="576" w:lineRule="exact"/>
        <w:ind w:firstLine="641"/>
        <w:rPr>
          <w:rFonts w:ascii="仿宋" w:eastAsia="仿宋" w:cs="仿宋" w:hAnsi="仿宋"/>
          <w:b/>
          <w:sz w:val="32"/>
        </w:rPr>
      </w:pPr>
      <w:r>
        <w:rPr>
          <w:rFonts w:ascii="仿宋" w:eastAsia="仿宋" w:cs="仿宋" w:hAnsi="仿宋" w:hint="eastAsia"/>
          <w:b/>
          <w:sz w:val="32"/>
        </w:rPr>
        <w:t>1、项目决策</w:t>
      </w:r>
    </w:p>
    <w:p>
      <w:pPr>
        <w:spacing w:line="576" w:lineRule="exact"/>
        <w:ind w:firstLine="641"/>
        <w:rPr>
          <w:rFonts w:ascii="仿宋" w:eastAsia="仿宋" w:cs="仿宋" w:hAnsi="仿宋"/>
          <w:sz w:val="32"/>
        </w:rPr>
      </w:pPr>
      <w:r>
        <w:rPr>
          <w:rFonts w:ascii="仿宋" w:eastAsia="仿宋" w:cs="仿宋" w:hAnsi="仿宋" w:hint="eastAsia"/>
          <w:sz w:val="32"/>
        </w:rPr>
        <w:t xml:space="preserve">当前环卫工人休息点数量不足，无法满足一线环卫工人的实际需求，八二一小区旁变电房已闲置未使用，可充分利用进行改造；东坝北延线路线长作业面广，适合采用环保型移动式环卫工人休息屋。结合实际考虑，八二一小区旁变电房实施改建，东坝北延线增设2座移动休息屋。 </w:t>
      </w:r>
    </w:p>
    <w:p>
      <w:pPr>
        <w:spacing w:line="576" w:lineRule="exact"/>
        <w:ind w:firstLine="641"/>
        <w:rPr>
          <w:rFonts w:ascii="仿宋" w:eastAsia="仿宋" w:cs="仿宋" w:hAnsi="仿宋"/>
          <w:b/>
          <w:sz w:val="32"/>
        </w:rPr>
      </w:pPr>
      <w:r>
        <w:rPr>
          <w:rFonts w:ascii="仿宋" w:eastAsia="仿宋" w:cs="仿宋" w:hAnsi="仿宋" w:hint="eastAsia"/>
          <w:b/>
          <w:sz w:val="32"/>
        </w:rPr>
        <w:t>2、项目管理</w:t>
      </w:r>
    </w:p>
    <w:p>
      <w:pPr>
        <w:spacing w:line="576" w:lineRule="exact"/>
        <w:ind w:firstLine="641"/>
        <w:rPr>
          <w:rFonts w:ascii="仿宋" w:eastAsia="仿宋" w:cs="仿宋" w:hAnsi="仿宋"/>
          <w:sz w:val="32"/>
        </w:rPr>
      </w:pPr>
      <w:r>
        <w:rPr>
          <w:rFonts w:ascii="仿宋" w:eastAsia="仿宋" w:cs="仿宋" w:hAnsi="仿宋" w:hint="eastAsia"/>
          <w:sz w:val="32"/>
        </w:rPr>
        <w:t>2018年财政拨付环卫工人休息室建设项目资金16万元，在项目实施过程中，严格执行利州区财政局和我单位的财务管理制度和各项规定，保证支付依据合规合法，做到专款专用。截止2018年底，支付金额为15万元。</w:t>
      </w:r>
    </w:p>
    <w:p>
      <w:pPr>
        <w:spacing w:line="576" w:lineRule="exact"/>
        <w:ind w:firstLine="641"/>
        <w:rPr>
          <w:rFonts w:ascii="仿宋" w:eastAsia="仿宋" w:cs="仿宋" w:hAnsi="仿宋"/>
          <w:b/>
          <w:sz w:val="32"/>
        </w:rPr>
      </w:pPr>
      <w:r>
        <w:rPr>
          <w:rFonts w:ascii="仿宋" w:eastAsia="仿宋" w:cs="仿宋" w:hAnsi="仿宋" w:hint="eastAsia"/>
          <w:b/>
          <w:sz w:val="32"/>
        </w:rPr>
        <w:t>3、项目绩效</w:t>
      </w:r>
    </w:p>
    <w:p>
      <w:pPr>
        <w:spacing w:line="576" w:lineRule="exact"/>
        <w:ind w:firstLine="641"/>
        <w:rPr>
          <w:rFonts w:ascii="仿宋" w:eastAsia="仿宋" w:cs="仿宋" w:hAnsi="仿宋"/>
          <w:sz w:val="32"/>
        </w:rPr>
      </w:pPr>
      <w:r>
        <w:rPr>
          <w:rFonts w:ascii="仿宋" w:eastAsia="仿宋" w:cs="仿宋" w:hAnsi="仿宋" w:hint="eastAsia"/>
          <w:sz w:val="32"/>
        </w:rPr>
        <w:t>环卫工人休息室是对一线环卫工人的人文关怀，为环卫工人休息提供了固定场所，解决了“喝水难”“歇脚难”等实际问题，环卫工人休息室的设置是对环卫工人最大的关爱，满意率达100%。截止2018年底拨付资金15万元，资金使用率为93.75%。</w:t>
      </w:r>
    </w:p>
    <w:p>
      <w:pPr>
        <w:spacing w:line="576" w:lineRule="exact"/>
        <w:ind w:firstLine="641"/>
        <w:rPr>
          <w:rFonts w:ascii="黑体" w:eastAsia="黑体" w:cs="仿宋" w:hAnsi="黑体"/>
          <w:sz w:val="32"/>
        </w:rPr>
      </w:pPr>
      <w:r>
        <w:rPr>
          <w:rFonts w:ascii="黑体" w:eastAsia="黑体" w:cs="仿宋" w:hAnsi="黑体" w:hint="eastAsia"/>
          <w:sz w:val="32"/>
        </w:rPr>
        <w:t>三、存在主要问题</w:t>
      </w:r>
    </w:p>
    <w:p>
      <w:pPr>
        <w:spacing w:line="576" w:lineRule="exact"/>
        <w:ind w:firstLine="641"/>
        <w:rPr>
          <w:rFonts w:ascii="黑体" w:eastAsia="黑体" w:cs="仿宋" w:hAnsi="黑体"/>
          <w:sz w:val="32"/>
        </w:rPr>
      </w:pPr>
      <w:r>
        <w:rPr>
          <w:rFonts w:ascii="仿宋" w:eastAsia="仿宋" w:cs="仿宋" w:hAnsi="仿宋" w:hint="eastAsia"/>
          <w:sz w:val="32"/>
        </w:rPr>
        <w:t>城区环卫工人休息点不足，无法满足一线环卫工人的需求。</w:t>
      </w:r>
    </w:p>
    <w:p>
      <w:pPr>
        <w:spacing w:line="576" w:lineRule="exact"/>
        <w:ind w:firstLine="641"/>
        <w:rPr>
          <w:rFonts w:ascii="黑体" w:eastAsia="黑体" w:cs="仿宋" w:hAnsi="黑体"/>
          <w:sz w:val="32"/>
        </w:rPr>
      </w:pPr>
      <w:r>
        <w:rPr>
          <w:rFonts w:ascii="黑体" w:eastAsia="黑体" w:cs="仿宋" w:hAnsi="黑体" w:hint="eastAsia"/>
          <w:sz w:val="32"/>
        </w:rPr>
        <w:t>四、相关措施建议</w:t>
      </w:r>
    </w:p>
    <w:p>
      <w:pPr>
        <w:spacing w:line="576" w:lineRule="exact"/>
        <w:ind w:firstLine="641"/>
        <w:rPr>
          <w:rFonts w:ascii="仿宋" w:eastAsia="仿宋" w:cs="仿宋" w:hAnsi="仿宋"/>
          <w:sz w:val="32"/>
        </w:rPr>
      </w:pPr>
      <w:r>
        <w:rPr>
          <w:rFonts w:ascii="仿宋" w:eastAsia="仿宋" w:cs="仿宋" w:hAnsi="仿宋" w:hint="eastAsia"/>
          <w:sz w:val="32"/>
        </w:rPr>
        <w:t>建议：增设环卫工人休息点，重点解决重点区域，逐步实现协同共建。</w:t>
      </w:r>
    </w:p>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color w:val="000000"/>
          <w:sz w:val="44"/>
        </w:rPr>
      </w:pPr>
    </w:p>
    <w:tbl>
      <w:tblPr>
        <w:jc w:val="left"/>
        <w:tblInd w:w="4"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577"/>
        <w:gridCol w:w="935"/>
        <w:gridCol w:w="857"/>
        <w:gridCol w:w="2013"/>
        <w:gridCol w:w="1948"/>
        <w:gridCol w:w="2000"/>
      </w:tblGrid>
      <w:tr>
        <w:trPr>
          <w:trHeight w:val="1418"/>
        </w:trPr>
        <w:tc>
          <w:tcPr>
            <w:tcW w:w="8330" w:type="dxa"/>
            <w:gridSpan w:val="6"/>
            <w:tcBorders>
              <w:top w:val="single" w:sz="2" w:space="0" w:color="000000"/>
              <w:left w:val="single" w:sz="2" w:space="0" w:color="000000"/>
              <w:bottom w:val="single" w:sz="2" w:space="0" w:color="000000"/>
              <w:right w:val="single" w:sz="2" w:space="0" w:color="000000"/>
            </w:tcBorders>
            <w:shd w:val="clear" w:color="000000" w:fill="FFFFFF"/>
            <w:tcMar>
              <w:left w:w="14" w:type="dxa"/>
              <w:right w:w="14" w:type="dxa"/>
            </w:tcMar>
            <w:vAlign w:val="center"/>
          </w:tcPr>
          <w:p>
            <w:pPr>
              <w:jc w:val="center"/>
            </w:pPr>
            <w:r>
              <w:rPr>
                <w:rFonts w:ascii="黑体" w:eastAsia="黑体" w:cs="黑体" w:hAnsi="黑体"/>
                <w:sz w:val="36"/>
              </w:rPr>
              <w:t>项目支出绩效目标完成情况表</w:t>
            </w:r>
            <w:r>
              <w:rPr>
                <w:rFonts w:ascii="宋体" w:eastAsia="宋体" w:cs="宋体" w:hAnsi="宋体"/>
                <w:b/>
                <w:sz w:val="36"/>
              </w:rPr>
              <w:br/>
            </w:r>
            <w:r>
              <w:rPr>
                <w:rFonts w:ascii="宋体" w:eastAsia="宋体" w:cs="宋体" w:hAnsi="宋体"/>
                <w:sz w:val="36"/>
              </w:rPr>
              <w:t>(2018 年度)</w:t>
            </w:r>
          </w:p>
        </w:tc>
      </w:tr>
      <w:tr>
        <w:trPr>
          <w:trHeight w:val="276"/>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项目名称</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环卫工人休息室修建项目</w:t>
            </w:r>
          </w:p>
        </w:tc>
      </w:tr>
      <w:tr>
        <w:trPr>
          <w:trHeight w:val="450"/>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预算单位</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广元市利州区环境卫生管理局</w:t>
            </w:r>
          </w:p>
        </w:tc>
      </w:tr>
      <w:tr>
        <w:trPr>
          <w:trHeight w:val="498"/>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预算执行情况(万元)</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预算数:</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16</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执行数:</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r>
              <w:rPr>
                <w:rFonts w:ascii="宋体" w:eastAsia="宋体" w:cs="宋体" w:hAnsi="宋体" w:hint="eastAsia"/>
                <w:sz w:val="24"/>
              </w:rPr>
              <w:t>15</w:t>
            </w:r>
          </w:p>
        </w:tc>
      </w:tr>
      <w:tr>
        <w:trPr>
          <w:trHeight w:val="27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16</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15</w:t>
            </w:r>
          </w:p>
        </w:tc>
      </w:tr>
      <w:tr>
        <w:trPr>
          <w:trHeight w:val="1511"/>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其它资金:</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r>
              <w:rPr>
                <w:rFonts w:ascii="宋体" w:eastAsia="宋体" w:cs="宋体" w:hAnsi="宋体"/>
                <w:sz w:val="24"/>
              </w:rPr>
              <w:t>其它资金:</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4"/>
              </w:rPr>
            </w:pPr>
          </w:p>
        </w:tc>
      </w:tr>
      <w:tr>
        <w:trPr>
          <w:trHeight w:val="276"/>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年度目标完成情况</w:t>
            </w: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预期目标</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实际完成目标</w:t>
            </w:r>
          </w:p>
        </w:tc>
      </w:tr>
      <w:tr>
        <w:trPr>
          <w:trHeight w:val="115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在八二一小区旁变电房改建为环卫工人休息点，东坝北延线增设两座环保型移动式环卫工人休息屋</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4"/>
              </w:rPr>
              <w:t>完成在八二一小区旁变电房改建为环卫工人休息点，东坝北延线增设两座环保型移动式环卫工人休息屋目标</w:t>
            </w:r>
          </w:p>
        </w:tc>
      </w:tr>
      <w:tr>
        <w:trPr>
          <w:trHeight w:val="1042"/>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rPr>
                <w:rFonts w:ascii="宋体" w:eastAsia="宋体" w:cs="宋体" w:hAnsi="宋体"/>
              </w:rPr>
            </w:pPr>
            <w:r>
              <w:rPr>
                <w:rFonts w:ascii="宋体" w:eastAsia="宋体" w:cs="宋体" w:hAnsi="宋体"/>
                <w:sz w:val="24"/>
              </w:rPr>
              <w:t>绩效指标完成情况</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一级指标</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szCs w:val="21"/>
              </w:rPr>
              <w:t>二级指标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三级指标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预期指标值</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实际完成指标值</w:t>
            </w:r>
          </w:p>
        </w:tc>
      </w:tr>
      <w:tr>
        <w:trPr>
          <w:trHeight w:val="56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val="restart"/>
            <w:tcBorders>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项目完成</w:t>
            </w:r>
          </w:p>
        </w:tc>
        <w:tc>
          <w:tcPr>
            <w:tcW w:w="857"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数量指标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改建环卫工人休息点、增设两座环保型移动式环卫工人休息屋</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在八二一小区旁变电房改建为环卫工人休息点，东坝北延线增设两座环保型移动式环卫工人休息屋</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在八二一小区旁变电房改建为环卫工人休息点，东坝北延线增设两座环保型移动式环卫工人休息屋</w:t>
            </w:r>
          </w:p>
        </w:tc>
      </w:tr>
      <w:tr>
        <w:trPr>
          <w:trHeight w:val="56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right w:val="single" w:sz="4" w:space="0" w:color="000000"/>
            </w:tcBorders>
            <w:shd w:val="clear" w:color="000000" w:fill="FFFFFF"/>
            <w:tcMar>
              <w:left w:w="14" w:type="dxa"/>
              <w:right w:w="14" w:type="dxa"/>
            </w:tcMar>
            <w:vAlign w:val="center"/>
          </w:tcPr>
          <w:p/>
        </w:tc>
        <w:tc>
          <w:tcPr>
            <w:tcW w:w="857"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质量指标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符合行业标准</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56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7"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时效指标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使用年限</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10年</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达到10年使用标准</w:t>
            </w:r>
          </w:p>
        </w:tc>
      </w:tr>
      <w:tr>
        <w:trPr>
          <w:trHeight w:val="418"/>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项目效益</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经济效益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提高环卫工作效率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702"/>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vMerge/>
            <w:tcBorders>
              <w:left w:val="single" w:sz="4" w:space="0" w:color="000000"/>
              <w:right w:val="single" w:sz="4" w:space="0" w:color="000000"/>
            </w:tcBorders>
            <w:shd w:val="clear" w:color="000000" w:fill="FFFFFF"/>
            <w:tcMar>
              <w:left w:w="14" w:type="dxa"/>
              <w:right w:w="14" w:type="dxa"/>
            </w:tcMar>
            <w:vAlign w:val="center"/>
          </w:tc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社会效益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社会评价及影响</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好评度100%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好评度100%</w:t>
            </w:r>
          </w:p>
        </w:tc>
      </w:tr>
      <w:tr>
        <w:trPr>
          <w:trHeight w:val="928"/>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满意度</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Cs w:val="21"/>
              </w:rPr>
            </w:pPr>
            <w:r>
              <w:rPr>
                <w:rFonts w:ascii="宋体" w:eastAsia="宋体" w:cs="宋体" w:hAnsi="宋体" w:hint="eastAsia"/>
                <w:szCs w:val="21"/>
              </w:rPr>
              <w:t>满意度</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环卫工人满意度</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环卫工人使用满意度为100%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环卫工人使用满意度为100%</w:t>
            </w:r>
          </w:p>
        </w:tc>
      </w:tr>
    </w:tbl>
    <w:p/>
    <w:p/>
    <w:p/>
    <w:p>
      <w:pPr>
        <w:spacing w:line="600" w:lineRule="auto"/>
        <w:jc w:val="center"/>
        <w:rPr>
          <w:rFonts w:ascii="黑体" w:eastAsia="黑体" w:cs="黑体" w:hAnsi="黑体"/>
          <w:color w:val="000000"/>
          <w:sz w:val="44"/>
        </w:rPr>
      </w:pPr>
    </w:p>
    <w:p>
      <w:pPr>
        <w:spacing w:line="600" w:lineRule="auto"/>
        <w:jc w:val="center"/>
        <w:rPr>
          <w:rFonts w:ascii="黑体" w:eastAsia="黑体" w:cs="黑体" w:hAnsi="黑体"/>
          <w:sz w:val="36"/>
        </w:rPr>
      </w:pPr>
      <w:r>
        <w:rPr>
          <w:rFonts w:ascii="黑体" w:eastAsia="黑体" w:cs="黑体" w:hAnsi="黑体" w:hint="eastAsia"/>
          <w:sz w:val="36"/>
        </w:rPr>
        <w:t>2018年环卫工人春节慰问金支出</w:t>
      </w:r>
    </w:p>
    <w:p>
      <w:pPr>
        <w:spacing w:line="600" w:lineRule="auto"/>
        <w:jc w:val="center"/>
        <w:rPr>
          <w:rFonts w:ascii="黑体" w:eastAsia="黑体" w:cs="黑体" w:hAnsi="黑体"/>
          <w:sz w:val="36"/>
        </w:rPr>
      </w:pPr>
      <w:r>
        <w:rPr>
          <w:rFonts w:ascii="黑体" w:eastAsia="黑体" w:cs="黑体" w:hAnsi="黑体" w:hint="eastAsia"/>
          <w:sz w:val="36"/>
        </w:rPr>
        <w:t>绩效评价报告</w:t>
      </w:r>
    </w:p>
    <w:p>
      <w:pPr>
        <w:numPr>
          <w:ilvl w:val="0"/>
          <w:numId w:val="4"/>
        </w:numPr>
        <w:spacing w:line="576" w:lineRule="exact"/>
        <w:ind w:left="0" w:firstLine="640"/>
        <w:rPr>
          <w:rFonts w:ascii="黑体" w:eastAsia="黑体" w:cs="黑体" w:hAnsi="黑体"/>
          <w:sz w:val="32"/>
        </w:rPr>
      </w:pPr>
      <w:r>
        <w:rPr>
          <w:rFonts w:ascii="黑体" w:eastAsia="黑体" w:cs="黑体" w:hAnsi="黑体" w:hint="eastAsia"/>
          <w:sz w:val="32"/>
        </w:rPr>
        <w:t>评价工作开展及项目情况</w:t>
      </w:r>
    </w:p>
    <w:p>
      <w:pPr>
        <w:spacing w:line="576" w:lineRule="exact"/>
        <w:ind w:firstLine="640"/>
        <w:rPr>
          <w:rFonts w:ascii="仿宋" w:eastAsia="仿宋" w:cs="仿宋" w:hAnsi="仿宋"/>
          <w:sz w:val="32"/>
        </w:rPr>
      </w:pPr>
      <w:r>
        <w:rPr>
          <w:rFonts w:ascii="仿宋" w:eastAsia="仿宋" w:cs="仿宋" w:hAnsi="仿宋" w:hint="eastAsia"/>
          <w:sz w:val="32"/>
        </w:rPr>
        <w:t>环境卫生工作是公共服务的重要内容，是社会文明程度的体现，更是城市综合竞争力的重要标准。环卫工人不仅是城市美容师，他们的工作成果更是一座城市综合竞争力的体现，他们起早贪黑，吃苦耐劳，他们用一把扫帚，为市民创造了良好的生活环境，通过全区广大环卫工人的多年努力2014广元成功创建为全国卫生城市，2017年高分通过了国卫复审，这些都离不开广大环卫工人的辛苦劳动，他们用汗水为我们换来了整洁的市容市貌，在春节来临之际对他们进行慰问，是对环卫工人为城市建设所做贡献的肯定，是对环卫工人的关爱，有利于营造良好的环卫事业发展氛围，提高市容环境卫生行业运营管理水平。</w:t>
      </w:r>
    </w:p>
    <w:p>
      <w:pPr>
        <w:spacing w:line="576" w:lineRule="exact"/>
        <w:ind w:firstLine="640"/>
        <w:rPr>
          <w:rFonts w:ascii="仿宋" w:eastAsia="仿宋" w:cs="仿宋" w:hAnsi="仿宋"/>
          <w:sz w:val="32"/>
        </w:rPr>
      </w:pPr>
      <w:r>
        <w:rPr>
          <w:rFonts w:ascii="仿宋" w:eastAsia="仿宋" w:cs="仿宋" w:hAnsi="仿宋" w:hint="eastAsia"/>
          <w:sz w:val="32"/>
        </w:rPr>
        <w:t>我局环卫临聘工人总人数3212人（含公益性岗位人员），市财政承担26.35万元，区财政承担70.01万元，共计96.36万元，每人慰问金额300元。我局通过现场慰问和银行批量代发慰问金方式完成2018年春节环卫工人慰问项目。</w:t>
      </w:r>
    </w:p>
    <w:p>
      <w:pPr>
        <w:spacing w:line="576" w:lineRule="exact"/>
        <w:ind w:firstLineChars="200" w:firstLine="640"/>
        <w:rPr>
          <w:rFonts w:ascii="黑体" w:eastAsia="黑体" w:cs="黑体" w:hAnsi="黑体"/>
          <w:sz w:val="32"/>
        </w:rPr>
      </w:pPr>
      <w:r>
        <w:rPr>
          <w:rFonts w:ascii="黑体" w:eastAsia="黑体" w:cs="黑体" w:hAnsi="黑体" w:hint="eastAsia"/>
          <w:sz w:val="32"/>
        </w:rPr>
        <w:t>二、评价结论及绩效分析</w:t>
      </w:r>
    </w:p>
    <w:p>
      <w:pPr>
        <w:spacing w:line="576" w:lineRule="exact"/>
        <w:ind w:firstLine="640"/>
        <w:rPr>
          <w:rFonts w:ascii="华文楷体" w:eastAsia="华文楷体" w:cs="华文楷体" w:hAnsi="华文楷体"/>
          <w:b/>
          <w:sz w:val="32"/>
        </w:rPr>
      </w:pPr>
      <w:r>
        <w:rPr>
          <w:rFonts w:ascii="华文楷体" w:eastAsia="华文楷体" w:cs="华文楷体" w:hAnsi="华文楷体" w:hint="eastAsia"/>
          <w:b/>
          <w:sz w:val="32"/>
        </w:rPr>
        <w:t>（一）评价结论</w:t>
      </w:r>
    </w:p>
    <w:p>
      <w:pPr>
        <w:spacing w:line="576" w:lineRule="exact"/>
        <w:ind w:firstLine="641"/>
        <w:rPr>
          <w:rFonts w:ascii="仿宋" w:eastAsia="仿宋" w:cs="仿宋" w:hAnsi="仿宋"/>
          <w:sz w:val="32"/>
        </w:rPr>
      </w:pPr>
      <w:r>
        <w:rPr>
          <w:rFonts w:ascii="仿宋" w:eastAsia="仿宋" w:cs="仿宋" w:hAnsi="仿宋" w:hint="eastAsia"/>
          <w:sz w:val="32"/>
        </w:rPr>
        <w:t>2018年春节环卫工人休慰问项目通过现场慰问和银行批量代发慰问金方式达到人均收益率100%，项目完成度100%。通过此次慰问，进一步激发了广大环卫工作人员爱岗敬业、无私奉献的精神，有效保障了环卫工人的切身利益，提高了城市文明的魅力与温度。实现了良好的经济效益与社会效益。</w:t>
      </w:r>
    </w:p>
    <w:p>
      <w:pPr>
        <w:spacing w:line="576" w:lineRule="exact"/>
        <w:ind w:firstLine="640"/>
        <w:rPr>
          <w:rFonts w:ascii="华文楷体" w:eastAsia="华文楷体" w:cs="华文楷体" w:hAnsi="华文楷体"/>
          <w:sz w:val="32"/>
        </w:rPr>
      </w:pPr>
      <w:r>
        <w:rPr>
          <w:rFonts w:ascii="华文楷体" w:eastAsia="华文楷体" w:cs="华文楷体" w:hAnsi="华文楷体" w:hint="eastAsia"/>
          <w:b/>
          <w:sz w:val="32"/>
        </w:rPr>
        <w:t>（二）绩效分析</w:t>
      </w:r>
    </w:p>
    <w:p>
      <w:pPr>
        <w:spacing w:line="576" w:lineRule="exact"/>
        <w:ind w:firstLine="640"/>
        <w:rPr>
          <w:rFonts w:ascii="仿宋" w:eastAsia="仿宋" w:cs="仿宋" w:hAnsi="仿宋"/>
          <w:b/>
          <w:sz w:val="32"/>
        </w:rPr>
      </w:pPr>
      <w:r>
        <w:rPr>
          <w:rFonts w:ascii="仿宋" w:eastAsia="仿宋" w:cs="仿宋" w:hAnsi="仿宋"/>
          <w:b/>
          <w:sz w:val="32"/>
        </w:rPr>
        <w:t>1、项目决策</w:t>
      </w:r>
    </w:p>
    <w:p>
      <w:pPr>
        <w:spacing w:line="576" w:lineRule="exact"/>
        <w:ind w:firstLine="640"/>
        <w:rPr>
          <w:rFonts w:ascii="仿宋" w:eastAsia="仿宋" w:cs="仿宋" w:hAnsi="仿宋"/>
          <w:sz w:val="32"/>
        </w:rPr>
      </w:pPr>
      <w:r>
        <w:rPr>
          <w:rFonts w:ascii="仿宋" w:eastAsia="仿宋" w:cs="仿宋" w:hAnsi="仿宋" w:hint="eastAsia"/>
          <w:sz w:val="32"/>
        </w:rPr>
        <w:t>环卫工人被称为城市美容师，他们起早贪黑，吃苦耐劳，他们用一把扫帚，为市民创造了良好的生活环境，通过全区广大环卫工人的多年努力2014广元成功创建为全国卫生城市，2017年高分通过了国卫复审，这些都离不开广大环卫工人的辛苦劳动，他们用汗水为我们换来了整洁的市容市貌，一年到头，对他们进行慰问，是对环卫工人为城市建设所做贡献的肯定，是对环卫工人的关爱，有利于营造良好的环卫事业发展氛围，提高市容环境卫生行业运营管理水平。</w:t>
      </w:r>
    </w:p>
    <w:p>
      <w:pPr>
        <w:spacing w:line="576" w:lineRule="exact"/>
        <w:ind w:firstLine="640"/>
        <w:rPr>
          <w:rFonts w:ascii="仿宋" w:eastAsia="仿宋" w:cs="仿宋" w:hAnsi="仿宋"/>
          <w:b/>
          <w:sz w:val="32"/>
        </w:rPr>
      </w:pPr>
      <w:r>
        <w:rPr>
          <w:rFonts w:ascii="仿宋" w:eastAsia="仿宋" w:cs="仿宋" w:hAnsi="仿宋" w:hint="eastAsia"/>
          <w:b/>
          <w:sz w:val="32"/>
        </w:rPr>
        <w:t>2、项目管理</w:t>
      </w:r>
    </w:p>
    <w:p>
      <w:pPr>
        <w:spacing w:line="576" w:lineRule="exact"/>
        <w:ind w:firstLine="640"/>
        <w:rPr>
          <w:rFonts w:ascii="仿宋" w:eastAsia="仿宋" w:cs="仿宋" w:hAnsi="仿宋"/>
          <w:sz w:val="32"/>
        </w:rPr>
      </w:pPr>
      <w:r>
        <w:rPr>
          <w:rFonts w:ascii="仿宋_GB2312" w:eastAsia="仿宋_GB2312" w:cs="仿宋_GB2312" w:hAnsi="仿宋_GB2312" w:hint="eastAsia"/>
          <w:sz w:val="32"/>
          <w:szCs w:val="32"/>
        </w:rPr>
        <w:t>本次资金为全额财政拨款资金，资金由市财政承担26.35万元，区财政承担70.01万元，共计96.36万元，每人慰问金额300元。环卫工人受益率100%。</w:t>
      </w:r>
    </w:p>
    <w:p>
      <w:pPr>
        <w:spacing w:line="576" w:lineRule="exact"/>
        <w:ind w:firstLine="640"/>
        <w:rPr>
          <w:rFonts w:ascii="仿宋" w:eastAsia="仿宋" w:cs="仿宋" w:hAnsi="仿宋"/>
          <w:b/>
          <w:sz w:val="32"/>
        </w:rPr>
      </w:pPr>
      <w:r>
        <w:rPr>
          <w:rFonts w:ascii="仿宋" w:eastAsia="仿宋" w:cs="仿宋" w:hAnsi="仿宋" w:hint="eastAsia"/>
          <w:b/>
          <w:sz w:val="32"/>
        </w:rPr>
        <w:t>3、项目绩效</w:t>
      </w:r>
    </w:p>
    <w:p>
      <w:pPr>
        <w:spacing w:line="576" w:lineRule="exact"/>
        <w:ind w:firstLine="640"/>
        <w:rPr>
          <w:rFonts w:ascii="仿宋" w:eastAsia="仿宋" w:cs="仿宋" w:hAnsi="仿宋"/>
          <w:sz w:val="32"/>
        </w:rPr>
      </w:pPr>
      <w:r>
        <w:rPr>
          <w:rFonts w:ascii="仿宋_GB2312" w:eastAsia="仿宋_GB2312" w:cs="仿宋_GB2312" w:hAnsi="仿宋_GB2312" w:hint="eastAsia"/>
          <w:sz w:val="32"/>
          <w:szCs w:val="32"/>
        </w:rPr>
        <w:t>2018年2月环卫工人春节慰问资金全部发放到位，本次慰问金为财政全额拨款，市财政承担26.35万元，区财政承担70.01万元，共计96.36万元，每人慰问金额300元。环卫工人受益率100%，</w:t>
      </w:r>
      <w:r>
        <w:rPr>
          <w:rFonts w:ascii="仿宋" w:eastAsia="仿宋" w:cs="仿宋" w:hAnsi="仿宋"/>
          <w:sz w:val="32"/>
        </w:rPr>
        <w:t>经济效益</w:t>
      </w:r>
      <w:r>
        <w:rPr>
          <w:rFonts w:ascii="仿宋_GB2312" w:eastAsia="仿宋_GB2312" w:cs="仿宋_GB2312" w:hAnsi="仿宋_GB2312" w:hint="eastAsia"/>
          <w:sz w:val="32"/>
          <w:szCs w:val="32"/>
        </w:rPr>
        <w:t>100%</w:t>
      </w:r>
      <w:r>
        <w:rPr>
          <w:rFonts w:ascii="仿宋" w:eastAsia="仿宋" w:cs="仿宋" w:hAnsi="仿宋"/>
          <w:sz w:val="32"/>
        </w:rPr>
        <w:t>、项目社会效益</w:t>
      </w:r>
      <w:r>
        <w:rPr>
          <w:rFonts w:ascii="仿宋_GB2312" w:eastAsia="仿宋_GB2312" w:cs="仿宋_GB2312" w:hAnsi="仿宋_GB2312" w:hint="eastAsia"/>
          <w:sz w:val="32"/>
          <w:szCs w:val="32"/>
        </w:rPr>
        <w:t>100%</w:t>
      </w:r>
      <w:r>
        <w:rPr>
          <w:rFonts w:ascii="仿宋" w:eastAsia="仿宋" w:cs="仿宋" w:hAnsi="仿宋"/>
          <w:sz w:val="32"/>
        </w:rPr>
        <w:t>、公平性</w:t>
      </w:r>
      <w:r>
        <w:rPr>
          <w:rFonts w:ascii="仿宋_GB2312" w:eastAsia="仿宋_GB2312" w:cs="仿宋_GB2312" w:hAnsi="仿宋_GB2312" w:hint="eastAsia"/>
          <w:sz w:val="32"/>
          <w:szCs w:val="32"/>
        </w:rPr>
        <w:t>100%</w:t>
      </w:r>
      <w:r>
        <w:rPr>
          <w:rFonts w:ascii="仿宋" w:eastAsia="仿宋" w:cs="仿宋" w:hAnsi="仿宋"/>
          <w:sz w:val="32"/>
        </w:rPr>
        <w:t>、资金使用效率</w:t>
      </w:r>
      <w:r>
        <w:rPr>
          <w:rFonts w:ascii="仿宋_GB2312" w:eastAsia="仿宋_GB2312" w:cs="仿宋_GB2312" w:hAnsi="仿宋_GB2312" w:hint="eastAsia"/>
          <w:sz w:val="32"/>
          <w:szCs w:val="32"/>
        </w:rPr>
        <w:t>100%</w:t>
      </w:r>
      <w:r>
        <w:rPr>
          <w:rFonts w:ascii="仿宋" w:eastAsia="仿宋" w:cs="仿宋" w:hAnsi="仿宋"/>
          <w:sz w:val="32"/>
        </w:rPr>
        <w:t>、受益群体满意度</w:t>
      </w:r>
      <w:r>
        <w:rPr>
          <w:rFonts w:ascii="仿宋_GB2312" w:eastAsia="仿宋_GB2312" w:cs="仿宋_GB2312" w:hAnsi="仿宋_GB2312" w:hint="eastAsia"/>
          <w:sz w:val="32"/>
          <w:szCs w:val="32"/>
        </w:rPr>
        <w:t>100%。</w:t>
      </w:r>
    </w:p>
    <w:p>
      <w:pPr>
        <w:spacing w:line="576" w:lineRule="exact"/>
        <w:ind w:firstLineChars="200" w:firstLine="640"/>
        <w:rPr>
          <w:rFonts w:ascii="黑体" w:eastAsia="黑体" w:cs="黑体" w:hAnsi="黑体"/>
          <w:sz w:val="32"/>
        </w:rPr>
      </w:pPr>
      <w:r>
        <w:rPr>
          <w:rFonts w:ascii="黑体" w:eastAsia="黑体" w:cs="黑体" w:hAnsi="黑体" w:hint="eastAsia"/>
          <w:sz w:val="32"/>
        </w:rPr>
        <w:t>三、存在主要问题</w:t>
      </w:r>
    </w:p>
    <w:p>
      <w:pPr>
        <w:spacing w:line="576" w:lineRule="exact"/>
        <w:ind w:firstLineChars="100" w:firstLine="320"/>
        <w:rPr>
          <w:rFonts w:ascii="仿宋" w:eastAsia="仿宋" w:cs="仿宋" w:hAnsi="仿宋"/>
          <w:sz w:val="32"/>
        </w:rPr>
      </w:pPr>
      <w:r>
        <w:rPr>
          <w:rFonts w:ascii="仿宋" w:eastAsia="仿宋" w:cs="仿宋" w:hAnsi="仿宋" w:hint="eastAsia"/>
          <w:sz w:val="32"/>
        </w:rPr>
        <w:t>由于我区财政压力较大，环卫工人春节慰问金额较少。</w:t>
      </w:r>
    </w:p>
    <w:p>
      <w:pPr>
        <w:spacing w:line="576" w:lineRule="exact"/>
        <w:ind w:firstLineChars="200" w:firstLine="640"/>
        <w:rPr>
          <w:rFonts w:ascii="黑体" w:eastAsia="黑体" w:cs="黑体" w:hAnsi="黑体"/>
          <w:sz w:val="32"/>
        </w:rPr>
      </w:pPr>
      <w:r>
        <w:rPr>
          <w:rFonts w:ascii="黑体" w:eastAsia="黑体" w:cs="黑体" w:hAnsi="黑体" w:hint="eastAsia"/>
          <w:sz w:val="32"/>
        </w:rPr>
        <w:t>四、相关措施建议</w:t>
      </w:r>
    </w:p>
    <w:p>
      <w:pPr>
        <w:spacing w:line="600" w:lineRule="auto"/>
        <w:jc w:val="left"/>
        <w:rPr>
          <w:rFonts w:ascii="仿宋" w:eastAsia="仿宋" w:cs="仿宋" w:hAnsi="仿宋"/>
          <w:sz w:val="32"/>
        </w:rPr>
      </w:pPr>
      <w:r>
        <w:rPr>
          <w:rFonts w:ascii="仿宋" w:eastAsia="仿宋" w:cs="仿宋" w:hAnsi="仿宋" w:hint="eastAsia"/>
          <w:sz w:val="32"/>
        </w:rPr>
        <w:t xml:space="preserve">   建议上级部门继续支持关爱关心环卫弱势群体，加大财政投入，提高环卫工人工资收入和慰问金额。</w:t>
      </w:r>
    </w:p>
    <w:p>
      <w:pPr>
        <w:spacing w:line="600" w:lineRule="auto"/>
        <w:jc w:val="left"/>
        <w:rPr>
          <w:rFonts w:ascii="仿宋" w:eastAsia="仿宋" w:cs="仿宋" w:hAnsi="仿宋"/>
          <w:sz w:val="32"/>
        </w:rPr>
      </w:pPr>
    </w:p>
    <w:p>
      <w:pPr>
        <w:spacing w:line="600" w:lineRule="auto"/>
        <w:jc w:val="left"/>
        <w:rPr>
          <w:rFonts w:ascii="仿宋" w:eastAsia="仿宋" w:cs="仿宋" w:hAnsi="仿宋"/>
          <w:sz w:val="32"/>
        </w:rPr>
      </w:pPr>
    </w:p>
    <w:p>
      <w:pPr>
        <w:spacing w:line="600" w:lineRule="auto"/>
        <w:jc w:val="left"/>
        <w:rPr>
          <w:rFonts w:ascii="仿宋" w:eastAsia="仿宋" w:cs="仿宋" w:hAnsi="仿宋"/>
          <w:sz w:val="32"/>
        </w:rPr>
      </w:pPr>
    </w:p>
    <w:p>
      <w:pPr>
        <w:spacing w:line="600" w:lineRule="auto"/>
        <w:jc w:val="left"/>
        <w:rPr>
          <w:rFonts w:ascii="仿宋" w:eastAsia="仿宋" w:cs="仿宋" w:hAnsi="仿宋"/>
          <w:sz w:val="32"/>
        </w:rPr>
      </w:pPr>
    </w:p>
    <w:p>
      <w:pPr>
        <w:spacing w:line="600" w:lineRule="auto"/>
        <w:jc w:val="left"/>
        <w:rPr>
          <w:rFonts w:ascii="仿宋" w:eastAsia="仿宋" w:cs="仿宋" w:hAnsi="仿宋"/>
          <w:sz w:val="32"/>
        </w:rPr>
      </w:pPr>
    </w:p>
    <w:p>
      <w:pPr>
        <w:spacing w:line="600" w:lineRule="auto"/>
        <w:jc w:val="left"/>
        <w:rPr>
          <w:rFonts w:ascii="仿宋" w:eastAsia="仿宋" w:cs="仿宋" w:hAnsi="仿宋"/>
          <w:sz w:val="32"/>
        </w:rPr>
      </w:pPr>
    </w:p>
    <w:p>
      <w:pPr>
        <w:spacing w:line="600" w:lineRule="auto"/>
        <w:jc w:val="left"/>
        <w:rPr>
          <w:rFonts w:ascii="仿宋" w:eastAsia="仿宋" w:cs="仿宋" w:hAnsi="仿宋"/>
          <w:sz w:val="32"/>
        </w:rPr>
      </w:pPr>
    </w:p>
    <w:p>
      <w:pPr>
        <w:spacing w:line="600" w:lineRule="auto"/>
        <w:jc w:val="left"/>
        <w:rPr>
          <w:rFonts w:ascii="仿宋" w:eastAsia="仿宋" w:cs="仿宋" w:hAnsi="仿宋"/>
          <w:sz w:val="32"/>
        </w:rPr>
      </w:pPr>
    </w:p>
    <w:p>
      <w:pPr>
        <w:spacing w:line="600" w:lineRule="auto"/>
        <w:jc w:val="left"/>
        <w:rPr>
          <w:rFonts w:ascii="仿宋" w:eastAsia="仿宋" w:cs="仿宋" w:hAnsi="仿宋"/>
          <w:sz w:val="32"/>
        </w:rPr>
      </w:pPr>
    </w:p>
    <w:p>
      <w:pPr>
        <w:spacing w:line="600" w:lineRule="auto"/>
        <w:jc w:val="left"/>
        <w:rPr>
          <w:rFonts w:ascii="仿宋" w:eastAsia="仿宋" w:cs="仿宋" w:hAnsi="仿宋"/>
          <w:sz w:val="32"/>
        </w:rPr>
      </w:pPr>
    </w:p>
    <w:p>
      <w:pPr>
        <w:spacing w:line="600" w:lineRule="auto"/>
        <w:jc w:val="left"/>
        <w:rPr>
          <w:rFonts w:ascii="黑体" w:eastAsia="黑体" w:cs="黑体" w:hAnsi="黑体"/>
          <w:color w:val="000000"/>
          <w:sz w:val="44"/>
        </w:rPr>
      </w:pPr>
    </w:p>
    <w:p>
      <w:pPr>
        <w:spacing w:line="600" w:lineRule="auto"/>
        <w:jc w:val="left"/>
        <w:rPr>
          <w:rFonts w:ascii="黑体" w:eastAsia="黑体" w:cs="黑体" w:hAnsi="黑体"/>
          <w:color w:val="000000"/>
          <w:sz w:val="44"/>
        </w:rPr>
      </w:pPr>
    </w:p>
    <w:tbl>
      <w:tblPr>
        <w:jc w:val="left"/>
        <w:tblInd w:w="4" w:type="dxa"/>
        <w:tblW w:w="833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719"/>
        <w:gridCol w:w="851"/>
        <w:gridCol w:w="941"/>
        <w:gridCol w:w="1931"/>
        <w:gridCol w:w="1951"/>
        <w:gridCol w:w="1937"/>
      </w:tblGrid>
      <w:tr>
        <w:trPr>
          <w:trHeight w:val="1034"/>
        </w:trPr>
        <w:tc>
          <w:tcPr>
            <w:tcW w:w="8330" w:type="dxa"/>
            <w:gridSpan w:val="6"/>
            <w:tcBorders>
              <w:top w:val="single" w:sz="2" w:space="0" w:color="000000"/>
              <w:left w:val="single" w:sz="2" w:space="0" w:color="000000"/>
              <w:bottom w:val="single" w:sz="2" w:space="0" w:color="000000"/>
              <w:right w:val="single" w:sz="2" w:space="0" w:color="000000"/>
            </w:tcBorders>
            <w:shd w:val="clear" w:color="000000" w:fill="FFFFFF"/>
            <w:tcMar>
              <w:left w:w="14" w:type="dxa"/>
              <w:right w:w="14" w:type="dxa"/>
            </w:tcMar>
            <w:vAlign w:val="center"/>
          </w:tcPr>
          <w:p>
            <w:pPr>
              <w:jc w:val="center"/>
            </w:pPr>
            <w:r>
              <w:rPr>
                <w:rFonts w:ascii="黑体" w:eastAsia="黑体" w:cs="黑体" w:hAnsi="黑体" w:hint="eastAsia"/>
                <w:sz w:val="36"/>
              </w:rPr>
              <w:t>项目</w:t>
            </w:r>
            <w:r>
              <w:rPr>
                <w:rFonts w:ascii="黑体" w:eastAsia="黑体" w:cs="黑体" w:hAnsi="黑体"/>
                <w:sz w:val="36"/>
              </w:rPr>
              <w:t>支出绩效目标完成情况表</w:t>
            </w:r>
            <w:r>
              <w:rPr>
                <w:rFonts w:ascii="宋体" w:eastAsia="宋体" w:cs="宋体" w:hAnsi="宋体"/>
                <w:b/>
                <w:sz w:val="36"/>
              </w:rPr>
              <w:br/>
            </w:r>
            <w:r>
              <w:rPr>
                <w:rFonts w:ascii="宋体" w:eastAsia="宋体" w:cs="宋体" w:hAnsi="宋体"/>
                <w:sz w:val="36"/>
              </w:rPr>
              <w:t>(2018 年度)</w:t>
            </w:r>
          </w:p>
        </w:tc>
      </w:tr>
      <w:tr>
        <w:trPr>
          <w:trHeight w:val="276"/>
        </w:trPr>
        <w:tc>
          <w:tcPr>
            <w:tcW w:w="25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项目名称</w:t>
            </w:r>
          </w:p>
        </w:tc>
        <w:tc>
          <w:tcPr>
            <w:tcW w:w="58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仿宋_GB2312" w:eastAsia="仿宋_GB2312" w:cs="仿宋_GB2312" w:hAnsi="仿宋_GB2312"/>
                <w:sz w:val="24"/>
                <w:szCs w:val="24"/>
              </w:rPr>
            </w:pPr>
            <w:r>
              <w:rPr>
                <w:rFonts w:ascii="宋体" w:eastAsia="宋体" w:cs="宋体" w:hAnsi="宋体" w:hint="eastAsia"/>
                <w:sz w:val="22"/>
              </w:rPr>
              <w:t>2018年春节环卫工人慰问资金</w:t>
            </w:r>
          </w:p>
        </w:tc>
      </w:tr>
      <w:tr>
        <w:trPr>
          <w:trHeight w:val="276"/>
        </w:trPr>
        <w:tc>
          <w:tcPr>
            <w:tcW w:w="25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预算单位</w:t>
            </w:r>
          </w:p>
        </w:tc>
        <w:tc>
          <w:tcPr>
            <w:tcW w:w="58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广元市利州区环境卫生管理局</w:t>
            </w:r>
          </w:p>
        </w:tc>
      </w:tr>
      <w:tr>
        <w:trPr>
          <w:trHeight w:val="506"/>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预算执行情况(万元)</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预算数:</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70.14</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执行数:</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70.14</w:t>
            </w:r>
          </w:p>
        </w:tc>
      </w:tr>
      <w:tr>
        <w:trPr>
          <w:trHeight w:val="483"/>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70.14</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其中-财政拨款:</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70.14</w:t>
            </w:r>
          </w:p>
        </w:tc>
      </w:tr>
      <w:tr>
        <w:trPr>
          <w:trHeight w:val="1006"/>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其它资金:</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hint="eastAsia"/>
              </w:rPr>
              <w:t>无</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其它资金:</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无</w:t>
            </w:r>
          </w:p>
        </w:tc>
      </w:tr>
      <w:tr>
        <w:trPr>
          <w:trHeight w:val="276"/>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年度目标完成情况</w:t>
            </w:r>
          </w:p>
        </w:tc>
        <w:tc>
          <w:tcPr>
            <w:tcW w:w="37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预期目标</w:t>
            </w:r>
          </w:p>
        </w:tc>
        <w:tc>
          <w:tcPr>
            <w:tcW w:w="38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实际完成目标</w:t>
            </w:r>
          </w:p>
        </w:tc>
      </w:tr>
      <w:tr>
        <w:trPr>
          <w:trHeight w:val="1159"/>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37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0"/>
                <w:szCs w:val="20"/>
              </w:rPr>
            </w:pPr>
            <w:r>
              <w:rPr>
                <w:rFonts w:ascii="宋体" w:eastAsia="宋体" w:cs="宋体" w:hAnsi="宋体" w:hint="eastAsia"/>
                <w:sz w:val="20"/>
                <w:szCs w:val="20"/>
              </w:rPr>
              <w:t>2018年环卫工人春节慰问费300元/人，进一步关心环卫工人，传递关爱，营造良好的工作氛围，体现人文关怀</w:t>
            </w:r>
            <w:r>
              <w:rPr>
                <w:rFonts w:ascii="宋体" w:eastAsia="宋体" w:cs="宋体" w:hAnsi="宋体"/>
                <w:sz w:val="20"/>
                <w:szCs w:val="20"/>
              </w:rPr>
              <w:t xml:space="preserve"> </w:t>
            </w:r>
          </w:p>
        </w:tc>
        <w:tc>
          <w:tcPr>
            <w:tcW w:w="38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2</w:t>
            </w:r>
            <w:r>
              <w:rPr>
                <w:rFonts w:ascii="宋体" w:eastAsia="宋体" w:cs="宋体" w:hAnsi="宋体" w:hint="eastAsia"/>
                <w:sz w:val="20"/>
                <w:szCs w:val="20"/>
              </w:rPr>
              <w:t>018年环卫工人春节慰问费300元/人，进一步关心环卫工人，传递关爱，营造良好的工作氛围，体现人文关怀</w:t>
            </w:r>
          </w:p>
        </w:tc>
      </w:tr>
      <w:tr>
        <w:trPr>
          <w:trHeight w:val="828"/>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绩效指标完成情况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一级指标</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二级指标</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三级指标</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预期指标值</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实际完成指标值</w:t>
            </w:r>
          </w:p>
        </w:tc>
      </w:tr>
      <w:tr>
        <w:trPr>
          <w:trHeight w:val="953"/>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项目完成</w:t>
            </w:r>
          </w:p>
        </w:tc>
        <w:tc>
          <w:tcPr>
            <w:tcW w:w="94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数量指标</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环卫工人总人数3212</w:t>
            </w:r>
          </w:p>
        </w:tc>
        <w:tc>
          <w:tcPr>
            <w:tcW w:w="195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2018年环卫工人3212人，春节慰问费300元/人</w:t>
            </w:r>
          </w:p>
        </w:tc>
        <w:tc>
          <w:tcPr>
            <w:tcW w:w="1937"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慰问环卫工人3212人</w:t>
            </w:r>
          </w:p>
          <w:p>
            <w:pPr>
              <w:jc w:val="center"/>
              <w:rPr>
                <w:rFonts w:ascii="宋体" w:eastAsia="宋体" w:cs="宋体" w:hAnsi="宋体"/>
                <w:sz w:val="22"/>
              </w:rPr>
            </w:pPr>
            <w:r>
              <w:rPr>
                <w:rFonts w:ascii="宋体" w:eastAsia="宋体" w:cs="宋体" w:hAnsi="宋体" w:hint="eastAsia"/>
                <w:sz w:val="22"/>
              </w:rPr>
              <w:t>受益率100%</w:t>
            </w:r>
          </w:p>
        </w:tc>
      </w:tr>
      <w:tr>
        <w:trPr>
          <w:trHeight w:val="953"/>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1" w:type="dxa"/>
            <w:vMerge/>
            <w:tcBorders>
              <w:left w:val="single" w:sz="4" w:space="0" w:color="000000"/>
              <w:right w:val="single" w:sz="4" w:space="0" w:color="000000"/>
            </w:tcBorders>
            <w:shd w:val="clear" w:color="000000" w:fill="FFFFFF"/>
            <w:tcMar>
              <w:left w:w="14" w:type="dxa"/>
              <w:right w:w="14" w:type="dxa"/>
            </w:tcMar>
            <w:vAlign w:val="center"/>
          </w:tcPr>
          <w:p/>
        </w:tc>
        <w:tc>
          <w:tcPr>
            <w:tcW w:w="94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人均慰问金300元</w:t>
            </w:r>
          </w:p>
        </w:tc>
        <w:tc>
          <w:tcPr>
            <w:tcW w:w="195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1937"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r>
      <w:tr>
        <w:trPr>
          <w:trHeight w:val="953"/>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41"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时效指标</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2018年春节前夕</w:t>
            </w:r>
          </w:p>
        </w:tc>
        <w:tc>
          <w:tcPr>
            <w:tcW w:w="1951"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2018年春节前夕完成慰问</w:t>
            </w:r>
          </w:p>
        </w:tc>
        <w:tc>
          <w:tcPr>
            <w:tcW w:w="1937"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2018年春节前夕完成慰问</w:t>
            </w:r>
          </w:p>
        </w:tc>
      </w:tr>
      <w:tr>
        <w:trPr>
          <w:trHeight w:val="101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hint="eastAsia"/>
                <w:sz w:val="22"/>
              </w:rPr>
              <w:t>项目效益</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经济效益</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受益环卫临聘人员</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100%</w:t>
            </w:r>
          </w:p>
        </w:tc>
      </w:tr>
      <w:tr>
        <w:trPr>
          <w:trHeight w:val="934"/>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社会效益</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社会评价及影响</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好评度100%</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好评度100%</w:t>
            </w:r>
          </w:p>
        </w:tc>
      </w:tr>
      <w:tr>
        <w:trPr>
          <w:trHeight w:val="1042"/>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rPr>
            </w:pPr>
            <w:r>
              <w:rPr>
                <w:rFonts w:ascii="宋体" w:eastAsia="宋体" w:cs="宋体" w:hAnsi="宋体"/>
                <w:sz w:val="24"/>
              </w:rPr>
              <w:t>满意度</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sz w:val="24"/>
              </w:rPr>
              <w:t>满意度</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环卫临聘人员满意度</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满意度100%</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pPr>
              <w:jc w:val="center"/>
              <w:rPr>
                <w:rFonts w:ascii="宋体" w:eastAsia="宋体" w:cs="宋体" w:hAnsi="宋体"/>
                <w:sz w:val="22"/>
              </w:rPr>
            </w:pPr>
            <w:r>
              <w:rPr>
                <w:rFonts w:ascii="宋体" w:eastAsia="宋体" w:cs="宋体" w:hAnsi="宋体" w:hint="eastAsia"/>
                <w:sz w:val="22"/>
              </w:rPr>
              <w:t>满意度100%</w:t>
            </w:r>
          </w:p>
        </w:tc>
      </w:tr>
    </w:tbl>
    <w:p>
      <w:pPr>
        <w:spacing w:line="600" w:lineRule="auto"/>
        <w:rPr>
          <w:rFonts w:ascii="黑体" w:eastAsia="黑体" w:cs="黑体" w:hAnsi="黑体"/>
          <w:color w:val="000000"/>
          <w:sz w:val="44"/>
        </w:rPr>
      </w:pPr>
    </w:p>
    <w:p>
      <w:pPr>
        <w:spacing w:line="600" w:lineRule="auto"/>
        <w:jc w:val="center"/>
        <w:rPr>
          <w:rFonts w:ascii="黑体" w:eastAsia="黑体" w:cs="黑体" w:hAnsi="黑体"/>
          <w:sz w:val="44"/>
        </w:rPr>
      </w:pPr>
      <w:r>
        <w:rPr>
          <w:rFonts w:ascii="黑体" w:eastAsia="黑体" w:cs="黑体" w:hAnsi="黑体"/>
          <w:color w:val="000000"/>
          <w:sz w:val="44"/>
        </w:rPr>
        <w:t>第</w:t>
      </w:r>
      <w:r>
        <w:rPr>
          <w:rFonts w:ascii="黑体" w:eastAsia="黑体" w:cs="黑体" w:hAnsi="黑体"/>
          <w:sz w:val="44"/>
        </w:rPr>
        <w:t>五部分 附表</w:t>
      </w:r>
    </w:p>
    <w:p>
      <w:pPr>
        <w:spacing w:line="600" w:lineRule="auto"/>
        <w:jc w:val="center"/>
        <w:rPr>
          <w:rFonts w:ascii="仿宋" w:eastAsia="仿宋" w:cs="仿宋" w:hAnsi="仿宋"/>
          <w:b/>
          <w:color w:val="000000"/>
          <w:sz w:val="44"/>
        </w:rPr>
      </w:pPr>
    </w:p>
    <w:p>
      <w:pPr>
        <w:keepNext/>
        <w:keepLines/>
        <w:widowControl w:val="0"/>
        <w:spacing w:before="260" w:after="260" w:line="415" w:lineRule="auto"/>
        <w:rPr>
          <w:rFonts w:ascii="仿宋" w:eastAsia="仿宋" w:cs="仿宋" w:hAnsi="仿宋"/>
          <w:b/>
          <w:sz w:val="32"/>
        </w:rPr>
      </w:pPr>
      <w:r>
        <w:rPr>
          <w:rFonts w:ascii="仿宋" w:eastAsia="仿宋" w:cs="仿宋" w:hAnsi="仿宋"/>
          <w:b/>
          <w:sz w:val="32"/>
        </w:rPr>
        <w:t>一、收入支出决算总表</w:t>
      </w:r>
    </w:p>
    <w:p>
      <w:pPr>
        <w:keepNext/>
        <w:keepLines/>
        <w:widowControl w:val="0"/>
        <w:spacing w:before="260" w:after="260" w:line="415" w:lineRule="auto"/>
        <w:rPr>
          <w:rFonts w:ascii="仿宋" w:eastAsia="仿宋" w:cs="仿宋" w:hAnsi="仿宋"/>
          <w:b/>
          <w:sz w:val="32"/>
        </w:rPr>
      </w:pPr>
      <w:r>
        <w:rPr>
          <w:rFonts w:ascii="仿宋" w:eastAsia="仿宋" w:cs="仿宋" w:hAnsi="仿宋"/>
          <w:b/>
          <w:sz w:val="32"/>
        </w:rPr>
        <w:t>二、收入总表</w:t>
      </w:r>
    </w:p>
    <w:p>
      <w:pPr>
        <w:keepNext/>
        <w:keepLines/>
        <w:widowControl w:val="0"/>
        <w:spacing w:before="260" w:after="260" w:line="415" w:lineRule="auto"/>
        <w:rPr>
          <w:rFonts w:ascii="仿宋" w:eastAsia="仿宋" w:cs="仿宋" w:hAnsi="仿宋"/>
          <w:b/>
          <w:sz w:val="32"/>
        </w:rPr>
      </w:pPr>
      <w:r>
        <w:rPr>
          <w:rFonts w:ascii="仿宋" w:eastAsia="仿宋" w:cs="仿宋" w:hAnsi="仿宋"/>
          <w:b/>
          <w:sz w:val="32"/>
        </w:rPr>
        <w:t>三、支出总表</w:t>
      </w:r>
    </w:p>
    <w:p>
      <w:pPr>
        <w:keepNext/>
        <w:keepLines/>
        <w:widowControl w:val="0"/>
        <w:spacing w:before="260" w:after="260" w:line="415" w:lineRule="auto"/>
        <w:rPr>
          <w:rFonts w:ascii="仿宋" w:eastAsia="仿宋" w:cs="仿宋" w:hAnsi="仿宋"/>
          <w:color w:val="000000"/>
          <w:sz w:val="32"/>
        </w:rPr>
      </w:pPr>
      <w:r>
        <w:rPr>
          <w:rFonts w:ascii="仿宋" w:eastAsia="仿宋" w:cs="仿宋" w:hAnsi="仿宋"/>
          <w:b/>
          <w:sz w:val="32"/>
        </w:rPr>
        <w:t>四、财政拨款收入支出决算总表</w:t>
      </w:r>
    </w:p>
    <w:p>
      <w:pPr>
        <w:keepNext/>
        <w:keepLines/>
        <w:widowControl w:val="0"/>
        <w:spacing w:before="260" w:after="260" w:line="415" w:lineRule="auto"/>
        <w:rPr>
          <w:rFonts w:ascii="仿宋" w:eastAsia="仿宋" w:cs="仿宋" w:hAnsi="仿宋"/>
          <w:b/>
          <w:color w:val="000000"/>
          <w:sz w:val="32"/>
        </w:rPr>
      </w:pPr>
      <w:r>
        <w:rPr>
          <w:rFonts w:ascii="仿宋" w:eastAsia="仿宋" w:cs="仿宋" w:hAnsi="仿宋"/>
          <w:b/>
          <w:sz w:val="32"/>
        </w:rPr>
        <w:t>五、财政拨款支出决算明细表（政府经济分类科目）</w:t>
      </w:r>
    </w:p>
    <w:p>
      <w:pPr>
        <w:keepNext/>
        <w:keepLines/>
        <w:widowControl w:val="0"/>
        <w:spacing w:before="260" w:after="260" w:line="415" w:lineRule="auto"/>
        <w:rPr>
          <w:rFonts w:ascii="仿宋" w:eastAsia="仿宋" w:cs="仿宋" w:hAnsi="仿宋"/>
          <w:b/>
          <w:color w:val="000000"/>
          <w:sz w:val="32"/>
        </w:rPr>
      </w:pPr>
      <w:r>
        <w:rPr>
          <w:rFonts w:ascii="仿宋" w:eastAsia="仿宋" w:cs="仿宋" w:hAnsi="仿宋"/>
          <w:b/>
          <w:sz w:val="32"/>
        </w:rPr>
        <w:t>六、</w:t>
      </w:r>
      <w:r>
        <w:rPr>
          <w:rFonts w:ascii="仿宋" w:eastAsia="仿宋" w:cs="仿宋" w:hAnsi="仿宋"/>
          <w:color w:val="000000"/>
          <w:sz w:val="32"/>
        </w:rPr>
        <w:t>一</w:t>
      </w:r>
      <w:r>
        <w:rPr>
          <w:rFonts w:ascii="仿宋" w:eastAsia="仿宋" w:cs="仿宋" w:hAnsi="仿宋"/>
          <w:b/>
          <w:sz w:val="32"/>
        </w:rPr>
        <w:t>般公共预算财政拨款支出决算表</w:t>
      </w:r>
    </w:p>
    <w:p>
      <w:pPr>
        <w:keepNext/>
        <w:keepLines/>
        <w:widowControl w:val="0"/>
        <w:spacing w:before="260" w:after="260" w:line="415" w:lineRule="auto"/>
        <w:rPr>
          <w:rFonts w:ascii="仿宋" w:eastAsia="仿宋" w:cs="仿宋" w:hAnsi="仿宋"/>
          <w:b/>
          <w:color w:val="000000"/>
          <w:sz w:val="32"/>
        </w:rPr>
      </w:pPr>
      <w:r>
        <w:rPr>
          <w:rFonts w:ascii="仿宋" w:eastAsia="仿宋" w:cs="仿宋" w:hAnsi="仿宋"/>
          <w:b/>
          <w:sz w:val="32"/>
        </w:rPr>
        <w:t>七、</w:t>
      </w:r>
      <w:r>
        <w:rPr>
          <w:rFonts w:ascii="仿宋" w:eastAsia="仿宋" w:cs="仿宋" w:hAnsi="仿宋"/>
          <w:color w:val="000000"/>
          <w:sz w:val="32"/>
        </w:rPr>
        <w:t>一</w:t>
      </w:r>
      <w:r>
        <w:rPr>
          <w:rFonts w:ascii="仿宋" w:eastAsia="仿宋" w:cs="仿宋" w:hAnsi="仿宋"/>
          <w:b/>
          <w:sz w:val="32"/>
        </w:rPr>
        <w:t>般公共预算财政拨款支出决算明细表</w:t>
      </w:r>
    </w:p>
    <w:p>
      <w:pPr>
        <w:keepNext/>
        <w:keepLines/>
        <w:widowControl w:val="0"/>
        <w:spacing w:before="260" w:after="260" w:line="415" w:lineRule="auto"/>
        <w:rPr>
          <w:rFonts w:ascii="仿宋" w:eastAsia="仿宋" w:cs="仿宋" w:hAnsi="仿宋"/>
          <w:b/>
          <w:color w:val="000000"/>
          <w:sz w:val="32"/>
        </w:rPr>
      </w:pPr>
      <w:r>
        <w:rPr>
          <w:rFonts w:ascii="仿宋" w:eastAsia="仿宋" w:cs="仿宋" w:hAnsi="仿宋"/>
          <w:b/>
          <w:sz w:val="32"/>
        </w:rPr>
        <w:t>八、</w:t>
      </w:r>
      <w:r>
        <w:rPr>
          <w:rFonts w:ascii="仿宋" w:eastAsia="仿宋" w:cs="仿宋" w:hAnsi="仿宋"/>
          <w:color w:val="000000"/>
          <w:sz w:val="32"/>
        </w:rPr>
        <w:t>一</w:t>
      </w:r>
      <w:r>
        <w:rPr>
          <w:rFonts w:ascii="仿宋" w:eastAsia="仿宋" w:cs="仿宋" w:hAnsi="仿宋"/>
          <w:b/>
          <w:sz w:val="32"/>
        </w:rPr>
        <w:t>般公共预算财政拨款基本支出决算表</w:t>
      </w:r>
    </w:p>
    <w:p>
      <w:pPr>
        <w:keepNext/>
        <w:keepLines/>
        <w:widowControl w:val="0"/>
        <w:spacing w:before="260" w:after="260" w:line="415" w:lineRule="auto"/>
        <w:rPr>
          <w:rFonts w:ascii="仿宋" w:eastAsia="仿宋" w:cs="仿宋" w:hAnsi="仿宋"/>
          <w:b/>
          <w:color w:val="000000"/>
          <w:sz w:val="32"/>
        </w:rPr>
      </w:pPr>
      <w:r>
        <w:rPr>
          <w:rFonts w:ascii="仿宋" w:eastAsia="仿宋" w:cs="仿宋" w:hAnsi="仿宋"/>
          <w:b/>
          <w:sz w:val="32"/>
        </w:rPr>
        <w:t>九、</w:t>
      </w:r>
      <w:r>
        <w:rPr>
          <w:rFonts w:ascii="仿宋" w:eastAsia="仿宋" w:cs="仿宋" w:hAnsi="仿宋"/>
          <w:color w:val="000000"/>
          <w:sz w:val="32"/>
        </w:rPr>
        <w:t>一</w:t>
      </w:r>
      <w:r>
        <w:rPr>
          <w:rFonts w:ascii="仿宋" w:eastAsia="仿宋" w:cs="仿宋" w:hAnsi="仿宋"/>
          <w:b/>
          <w:sz w:val="32"/>
        </w:rPr>
        <w:t>般公共预算财政拨款项目支出决算表</w:t>
      </w:r>
    </w:p>
    <w:p>
      <w:pPr>
        <w:keepNext/>
        <w:keepLines/>
        <w:widowControl w:val="0"/>
        <w:spacing w:before="260" w:after="260" w:line="415" w:lineRule="auto"/>
        <w:rPr>
          <w:rFonts w:ascii="仿宋" w:eastAsia="仿宋" w:cs="仿宋" w:hAnsi="仿宋"/>
          <w:b/>
          <w:color w:val="000000"/>
          <w:sz w:val="32"/>
        </w:rPr>
      </w:pPr>
      <w:r>
        <w:rPr>
          <w:rFonts w:ascii="仿宋" w:eastAsia="仿宋" w:cs="仿宋" w:hAnsi="仿宋"/>
          <w:b/>
          <w:sz w:val="32"/>
        </w:rPr>
        <w:t>十、</w:t>
      </w:r>
      <w:r>
        <w:rPr>
          <w:rFonts w:ascii="仿宋" w:eastAsia="仿宋" w:cs="仿宋" w:hAnsi="仿宋"/>
          <w:color w:val="000000"/>
          <w:sz w:val="32"/>
        </w:rPr>
        <w:t>一</w:t>
      </w:r>
      <w:r>
        <w:rPr>
          <w:rFonts w:ascii="仿宋" w:eastAsia="仿宋" w:cs="仿宋" w:hAnsi="仿宋"/>
          <w:b/>
          <w:sz w:val="32"/>
        </w:rPr>
        <w:t>般公共预算财政拨款“三公”经费支出决算表</w:t>
      </w:r>
    </w:p>
    <w:p>
      <w:pPr>
        <w:keepNext/>
        <w:keepLines/>
        <w:widowControl w:val="0"/>
        <w:spacing w:before="260" w:after="260" w:line="415" w:lineRule="auto"/>
        <w:rPr>
          <w:rFonts w:ascii="仿宋" w:eastAsia="仿宋" w:cs="仿宋" w:hAnsi="仿宋"/>
          <w:b/>
          <w:color w:val="000000"/>
          <w:sz w:val="32"/>
        </w:rPr>
      </w:pPr>
      <w:r>
        <w:rPr>
          <w:rFonts w:ascii="仿宋" w:eastAsia="仿宋" w:cs="仿宋" w:hAnsi="仿宋"/>
          <w:b/>
          <w:sz w:val="32"/>
        </w:rPr>
        <w:t>十一、</w:t>
      </w:r>
      <w:r>
        <w:rPr>
          <w:rFonts w:ascii="仿宋" w:eastAsia="仿宋" w:cs="仿宋" w:hAnsi="仿宋"/>
          <w:color w:val="000000"/>
          <w:sz w:val="32"/>
        </w:rPr>
        <w:t>政</w:t>
      </w:r>
      <w:r>
        <w:rPr>
          <w:rFonts w:ascii="仿宋" w:eastAsia="仿宋" w:cs="仿宋" w:hAnsi="仿宋"/>
          <w:b/>
          <w:sz w:val="32"/>
        </w:rPr>
        <w:t>府性基金预算财政拨款收入支出决算表</w:t>
      </w:r>
    </w:p>
    <w:p>
      <w:pPr>
        <w:keepNext/>
        <w:keepLines/>
        <w:widowControl w:val="0"/>
        <w:spacing w:before="260" w:after="260" w:line="415" w:lineRule="auto"/>
        <w:rPr>
          <w:rFonts w:ascii="仿宋" w:eastAsia="仿宋" w:cs="仿宋" w:hAnsi="仿宋"/>
          <w:b/>
          <w:color w:val="000000"/>
          <w:sz w:val="32"/>
        </w:rPr>
      </w:pPr>
      <w:r>
        <w:rPr>
          <w:rFonts w:ascii="仿宋" w:eastAsia="仿宋" w:cs="仿宋" w:hAnsi="仿宋"/>
          <w:b/>
          <w:sz w:val="32"/>
        </w:rPr>
        <w:t>十二、</w:t>
      </w:r>
      <w:r>
        <w:rPr>
          <w:rFonts w:ascii="仿宋" w:eastAsia="仿宋" w:cs="仿宋" w:hAnsi="仿宋"/>
          <w:color w:val="000000"/>
          <w:sz w:val="32"/>
        </w:rPr>
        <w:t>政</w:t>
      </w:r>
      <w:r>
        <w:rPr>
          <w:rFonts w:ascii="仿宋" w:eastAsia="仿宋" w:cs="仿宋" w:hAnsi="仿宋"/>
          <w:b/>
          <w:sz w:val="32"/>
        </w:rPr>
        <w:t>府性基金预算财政拨款“三公”经费支出决算表</w:t>
      </w:r>
    </w:p>
    <w:p>
      <w:pPr>
        <w:keepNext/>
        <w:keepLines/>
        <w:widowControl w:val="0"/>
        <w:spacing w:before="260" w:after="260" w:line="415" w:lineRule="auto"/>
        <w:rPr>
          <w:rFonts w:ascii="仿宋" w:eastAsia="仿宋" w:cs="仿宋" w:hAnsi="仿宋"/>
          <w:b/>
          <w:color w:val="000000"/>
          <w:sz w:val="32"/>
        </w:rPr>
      </w:pPr>
      <w:r>
        <w:rPr>
          <w:rFonts w:ascii="仿宋" w:eastAsia="仿宋" w:cs="仿宋" w:hAnsi="仿宋"/>
          <w:b/>
          <w:sz w:val="32"/>
        </w:rPr>
        <w:t>十三、</w:t>
      </w:r>
      <w:r>
        <w:rPr>
          <w:rFonts w:ascii="仿宋" w:eastAsia="仿宋" w:cs="仿宋" w:hAnsi="仿宋"/>
          <w:color w:val="000000"/>
          <w:sz w:val="32"/>
        </w:rPr>
        <w:t>国</w:t>
      </w:r>
      <w:r>
        <w:rPr>
          <w:rFonts w:ascii="仿宋" w:eastAsia="仿宋" w:cs="仿宋" w:hAnsi="仿宋"/>
          <w:b/>
          <w:sz w:val="32"/>
        </w:rPr>
        <w:t>有资本经营预算支出决算表</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Arial"/>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华文楷体">
    <w:altName w:val="黑体"/>
    <w:panose1 w:val="02010600040101010101"/>
    <w:charset w:val="86"/>
    <w:family w:val="auto"/>
    <w:pitch w:val="variable"/>
    <w:sig w:usb0="00000287" w:usb1="080F0000" w:usb2="00000010" w:usb3="00000000" w:csb0="0004009F" w:csb1="0000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66A131E"/>
    <w:multiLevelType w:val="hybridMultilevel"/>
    <w:tmpl w:val="DFB24FE4"/>
    <w:lvl w:ilvl="0">
      <w:start w:val="1"/>
      <w:numFmt w:val="decimal"/>
      <w:lvlRestart w:val="0"/>
      <w:lvlText w:val="%1."/>
      <w:lvlJc w:val="left"/>
      <w:pPr>
        <w:ind w:left="1000" w:hanging="36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259711D"/>
    <w:multiLevelType w:val="hybridMultilevel"/>
    <w:tmpl w:val="EFECE7F8"/>
    <w:lvl w:ilvl="0">
      <w:start w:val="9"/>
      <w:numFmt w:val="japaneseCounting"/>
      <w:lvlRestart w:val="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19191875"/>
    <w:multiLevelType w:val="hybridMultilevel"/>
    <w:tmpl w:val="BF6E7718"/>
    <w:lvl w:ilvl="0">
      <w:start w:val="1"/>
      <w:numFmt w:val="japaneseCounting"/>
      <w:lvlRestart w:val="0"/>
      <w:lvlText w:val="（%1）"/>
      <w:lvlJc w:val="left"/>
      <w:pPr>
        <w:ind w:left="1639" w:hanging="996"/>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1C0F0112"/>
    <w:multiLevelType w:val="singleLevel"/>
    <w:tmpl w:val="1C0F0112"/>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bordersDoNotSurroundFooter/>
  <w:defaultTabStop w:val="420"/>
  <w:drawingGridHorizontalSpacing w:val="105"/>
  <w:drawingGridVerticalSpacing w:val="156"/>
  <w:displayHorizontalDrawingGridEvery w:val="0"/>
  <w:displayVerticalDrawingGridEvery w:val="1"/>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List Paragraph"/>
    <w:qFormat/>
    <w:basedOn w:val="0"/>
    <w:pPr>
      <w:ind w:firstLineChars="200" w:firstLine="200"/>
    </w:pPr>
  </w:style>
  <w:style w:type="paragraph" w:styleId="18">
    <w:name w:val="Balloon Text"/>
    <w:qFormat/>
    <w:basedOn w:val="0"/>
    <w:rPr>
      <w:sz w:val="18"/>
      <w:szCs w:val="18"/>
    </w:rPr>
  </w:style>
  <w:style w:type="paragraph" w:styleId="19">
    <w:name w:val="Normal (Web)"/>
    <w:qFormat/>
    <w:basedOn w:val="0"/>
    <w:pPr>
      <w:widowControl/>
      <w:spacing w:before="100" w:beforeAutospacing="1" w:after="100" w:afterAutospacing="1"/>
      <w:jc w:val="left"/>
    </w:pPr>
    <w:rPr>
      <w:rFonts w:ascii="宋体" w:eastAsia="宋体" w:cs="宋体" w:hAnsi="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chart" Target="charts/chart6.xml"/><Relationship Id="rId8" Type="http://schemas.openxmlformats.org/officeDocument/2006/relationships/chart" Target="charts/chart7.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customXml" Target="../customXml/item1.xml"/><Relationship Id="rId1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ln>
          <a:noFill/>
        </a:ln>
      </c:spPr>
    </c:floor>
    <c:sideWall>
      <c:thickness val="0"/>
      <c:spPr>
        <a:ln>
          <a:noFill/>
        </a:ln>
      </c:spPr>
    </c:sideWall>
    <c:backWall>
      <c:thickness val="0"/>
      <c:spPr>
        <a:ln>
          <a:noFill/>
        </a:ln>
      </c:spPr>
    </c:backWall>
    <c:plotArea>
      <c:layout>
        <c:manualLayout>
          <c:layoutTarget val="inner"/>
          <c:xMode val="edge"/>
          <c:yMode val="edge"/>
          <c:x val="0.09002401"/>
          <c:y val="0.04583216"/>
          <c:w val="0.8694655"/>
          <c:h val="0.7817346"/>
        </c:manualLayout>
      </c:layout>
      <c:bar3DChart>
        <c:barDir val="col"/>
        <c:grouping val="stacked"/>
        <c:varyColors val="0"/>
        <c:ser>
          <c:idx val="0"/>
          <c:order val="0"/>
          <c:tx>
            <c:strRef>
              <c:f>Sheet1!$B$1</c:f>
              <c:strCache>
                <c:ptCount val="1"/>
                <c:pt idx="0">
                  <c:v>列1</c:v>
                </c:pt>
              </c:strCache>
            </c:strRef>
          </c:tx>
          <c:spPr>
            <a:solidFill>
              <a:srgbClr val="4F81BD"/>
            </a:solidFill>
          </c:spPr>
          <c:invertIfNegative val="0"/>
          <c:dLbls>
            <c:showLegendKey val="0"/>
            <c:showVal val="0"/>
            <c:showCatName val="0"/>
            <c:showSerName val="0"/>
            <c:showPercent val="0"/>
            <c:showBubbleSize val="0"/>
            <c:showLeaderLines val="0"/>
          </c:dLbls>
          <c:cat>
            <c:strRef>
              <c:f>Sheet1!$A$2:$A$5</c:f>
              <c:strCache>
                <c:ptCount val="4"/>
                <c:pt idx="0">
                  <c:v>2017收入</c:v>
                </c:pt>
                <c:pt idx="1">
                  <c:v>2017支出</c:v>
                </c:pt>
                <c:pt idx="2">
                  <c:v>2018收入</c:v>
                </c:pt>
                <c:pt idx="3">
                  <c:v>2018支出</c:v>
                </c:pt>
              </c:strCache>
            </c:strRef>
          </c:cat>
          <c:val>
            <c:numRef>
              <c:f>Sheet1!$B$2:$B$5</c:f>
              <c:numCache>
                <c:formatCode>General</c:formatCode>
                <c:ptCount val="4"/>
                <c:pt idx="0">
                  <c:v>3017.54</c:v>
                </c:pt>
                <c:pt idx="1">
                  <c:v>2976.4</c:v>
                </c:pt>
                <c:pt idx="2">
                  <c:v>6386.12</c:v>
                </c:pt>
                <c:pt idx="3">
                  <c:v>3197.76</c:v>
                </c:pt>
              </c:numCache>
            </c:numRef>
          </c:val>
        </c:ser>
        <c:gapWidth val="150"/>
        <c:gapDepth val="150"/>
        <c:shape val="cylinder"/>
        <c:axId val="0"/>
        <c:axId val="1"/>
      </c:bar3D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manualLayout>
          <c:layoutTarget val="inner"/>
          <c:xMode val="edge"/>
          <c:yMode val="edge"/>
          <c:x val="0.018304905"/>
          <c:y val="0.045120146"/>
          <c:w val="0.51936615"/>
          <c:h val="0.7885496"/>
        </c:manualLayout>
      </c:layout>
      <c:pie3DChart>
        <c:varyColors val="1"/>
        <c:ser>
          <c:idx val="0"/>
          <c:order val="0"/>
          <c:tx>
            <c:strRef>
              <c:f>'Sheet1 (2)'!$B$1</c:f>
              <c:strCache>
                <c:ptCount val="1"/>
                <c:pt idx="0">
                  <c:v>金额</c:v>
                </c:pt>
              </c:strCache>
            </c:strRef>
          </c:tx>
          <c:spPr>
            <a:solidFill>
              <a:srgbClr val="4F81BD"/>
            </a:solidFill>
          </c:spPr>
          <c:dPt>
            <c:idx val="0"/>
            <c:bubble3D val="0"/>
            <c:spPr>
              <a:solidFill>
                <a:srgbClr val="4F81BD"/>
              </a:solidFill>
            </c:spPr>
          </c:dPt>
          <c:dLbls>
            <c:txPr>
              <a:bodyPr/>
              <a:lstStyle/>
              <a:p>
                <a:pPr algn="ctr">
                  <a:defRPr sz="1000" b="0" i="0" u="none" strike="noStrike" baseline="0">
                    <a:solidFill>
                      <a:srgbClr val="000000"/>
                    </a:solidFill>
                    <a:latin typeface="Times New Roman"/>
                    <a:ea typeface="宋体"/>
                    <a:cs typeface="Lucida Sans"/>
                  </a:defRPr>
                </a:pPr>
                <a:endParaRPr lang="zh-CN"/>
              </a:p>
            </c:txPr>
            <c:numFmt formatCode="0%" sourceLinked="0"/>
            <c:dLbl>
              <c:idx val="0"/>
              <c:layout>
                <c:manualLayout>
                  <c:x val="0.0015007926"/>
                  <c:y val="-0.39815852"/>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showLegendKey val="0"/>
              <c:showVal val="0"/>
              <c:showCatName val="0"/>
              <c:showSerName val="0"/>
              <c:showPercent val="1"/>
              <c:showBubbleSize val="0"/>
            </c:dLbl>
            <c:showLegendKey val="0"/>
            <c:showVal val="0"/>
            <c:showCatName val="0"/>
            <c:showSerName val="0"/>
            <c:showPercent val="1"/>
            <c:showBubbleSize val="0"/>
            <c:showLeaderLines val="1"/>
          </c:dLbls>
          <c:cat>
            <c:strRef>
              <c:f>'Sheet1 (2)'!$A$2</c:f>
              <c:strCache>
                <c:ptCount val="1"/>
                <c:pt idx="0">
                  <c:v>一般公共预算财政拨款收入</c:v>
                </c:pt>
              </c:strCache>
            </c:strRef>
          </c:cat>
          <c:val>
            <c:numRef>
              <c:f>'Sheet1 (2)'!$B$2</c:f>
              <c:numCache>
                <c:formatCode>General</c:formatCode>
                <c:ptCount val="1"/>
                <c:pt idx="0">
                  <c:v>6386.12</c:v>
                </c:pt>
              </c:numCache>
            </c:numRef>
          </c:val>
        </c:ser>
        <c:gapDepth val="150"/>
        <c:firstSliceAng val="0"/>
      </c:pie3DChart>
      <c:spPr>
        <a:solidFill>
          <a:srgbClr val="C0C0C0"/>
        </a:solidFill>
        <a:ln>
          <a:noFill/>
        </a:ln>
      </c:spPr>
    </c:plotArea>
    <c:legend>
      <c:legendPos val="r"/>
      <c:layout>
        <c:manualLayout>
          <c:xMode val="edge"/>
          <c:yMode val="edge"/>
          <c:x val="0.57830656"/>
          <c:y val="0.1925794"/>
          <c:w val="0.4058175"/>
          <c:h val="0.5179079"/>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manualLayout>
          <c:layoutTarget val="inner"/>
          <c:xMode val="edge"/>
          <c:yMode val="edge"/>
          <c:x val="0.031210637"/>
          <c:y val="0.21200459"/>
          <c:w val="0.55742043"/>
          <c:h val="0.65809065"/>
        </c:manualLayout>
      </c:layout>
      <c:pie3DChart>
        <c:varyColors val="1"/>
        <c:ser>
          <c:idx val="0"/>
          <c:order val="0"/>
          <c:tx>
            <c:strRef>
              <c:f>'Sheet1 (3)'!$B$1</c:f>
              <c:strCache>
                <c:ptCount val="1"/>
                <c:pt idx="0">
                  <c:v>支出决算结构图</c:v>
                </c:pt>
              </c:strCache>
            </c:strRef>
          </c:tx>
          <c:spPr>
            <a:solidFill>
              <a:srgbClr val="4F81BD"/>
            </a:solidFill>
          </c:spPr>
          <c:dPt>
            <c:idx val="0"/>
            <c:bubble3D val="0"/>
            <c:explosion val="1"/>
            <c:spPr>
              <a:solidFill>
                <a:srgbClr val="4F81BD"/>
              </a:solidFill>
            </c:spPr>
          </c:dPt>
          <c:dPt>
            <c:idx val="1"/>
            <c:bubble3D val="0"/>
            <c:spPr>
              <a:solidFill>
                <a:srgbClr val="C0504D"/>
              </a:solidFill>
            </c:spPr>
          </c:dPt>
          <c:dLbls>
            <c:txPr>
              <a:bodyPr/>
              <a:lstStyle/>
              <a:p>
                <a:pPr algn="ctr">
                  <a:defRPr sz="1000" b="0" i="0" u="none" strike="noStrike" baseline="0">
                    <a:solidFill>
                      <a:srgbClr val="000000"/>
                    </a:solidFill>
                    <a:latin typeface="Times New Roman"/>
                    <a:ea typeface="宋体"/>
                    <a:cs typeface="Lucida Sans"/>
                  </a:defRPr>
                </a:pPr>
                <a:endParaRPr lang="zh-CN"/>
              </a:p>
            </c:txPr>
            <c:numFmt formatCode="0%" sourceLinked="0"/>
            <c:dLbl>
              <c:idx val="0"/>
              <c:layout>
                <c:manualLayout>
                  <c:x val="-0.17808808"/>
                  <c:y val="0.041781057"/>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56.11%</a:t>
                    </a:r>
                  </a:p>
                </c:rich>
              </c:tx>
              <c:showLegendKey val="0"/>
              <c:showVal val="1"/>
              <c:showCatName val="0"/>
              <c:showSerName val="0"/>
              <c:showPercent val="1"/>
              <c:showBubbleSize val="0"/>
            </c:dLbl>
            <c:dLbl>
              <c:idx val="1"/>
              <c:layout>
                <c:manualLayout>
                  <c:x val="0.15781434"/>
                  <c:y val="-0.096938014"/>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43.89%</a:t>
                    </a:r>
                  </a:p>
                </c:rich>
              </c:tx>
              <c:showLegendKey val="0"/>
              <c:showVal val="0"/>
              <c:showCatName val="0"/>
              <c:showSerName val="0"/>
              <c:showPercent val="1"/>
              <c:showBubbleSize val="0"/>
            </c:dLbl>
            <c:dLbl>
              <c:idx val="2"/>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3"/>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4"/>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showLegendKey val="0"/>
            <c:showVal val="0"/>
            <c:showCatName val="0"/>
            <c:showSerName val="0"/>
            <c:showPercent val="1"/>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1403.49</c:v>
                </c:pt>
                <c:pt idx="1">
                  <c:v>1794.28</c:v>
                </c:pt>
              </c:numCache>
            </c:numRef>
          </c:val>
        </c:ser>
        <c:gapDepth val="150"/>
        <c:firstSliceAng val="0"/>
      </c:pie3DChart>
      <c:spPr>
        <a:solidFill>
          <a:srgbClr val="C0C0C0"/>
        </a:solidFill>
        <a:ln>
          <a:noFill/>
        </a:ln>
      </c:spPr>
    </c:plotArea>
    <c:legend>
      <c:legendPos val="r"/>
      <c:layout>
        <c:manualLayout>
          <c:xMode val="edge"/>
          <c:yMode val="edge"/>
          <c:x val="0.7163109"/>
          <c:y val="0.3535562"/>
          <c:w val="0.16168384"/>
          <c:h val="0.35939884"/>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ln>
          <a:noFill/>
        </a:ln>
      </c:spPr>
    </c:floor>
    <c:sideWall>
      <c:thickness val="0"/>
      <c:spPr>
        <a:ln>
          <a:noFill/>
        </a:ln>
      </c:spPr>
    </c:sideWall>
    <c:backWall>
      <c:thickness val="0"/>
      <c:spPr>
        <a:ln>
          <a:noFill/>
        </a:ln>
      </c:spPr>
    </c:backWall>
    <c:plotArea>
      <c:layout/>
      <c:bar3DChart>
        <c:barDir val="col"/>
        <c:grouping val="stacked"/>
        <c:varyColors val="0"/>
        <c:ser>
          <c:idx val="0"/>
          <c:order val="0"/>
          <c:tx>
            <c:strRef>
              <c:f>'Sheet1 (4)'!$B$1</c:f>
              <c:strCache>
                <c:ptCount val="1"/>
                <c:pt idx="0">
                  <c:v>财政拨款收、支决算总计变动情况</c:v>
                </c:pt>
              </c:strCache>
            </c:strRef>
          </c:tx>
          <c:spPr>
            <a:solidFill>
              <a:srgbClr val="4F81BD"/>
            </a:solidFill>
          </c:spPr>
          <c:invertIfNegative val="0"/>
          <c:dLbls>
            <c:showLegendKey val="0"/>
            <c:showVal val="0"/>
            <c:showCatName val="0"/>
            <c:showSerName val="0"/>
            <c:showPercent val="0"/>
            <c:showBubbleSize val="0"/>
            <c:showLeaderLines val="0"/>
          </c:dLbls>
          <c:cat>
            <c:strRef>
              <c:f>'Sheet1 (4)'!$A$2:$A$5</c:f>
              <c:strCache>
                <c:ptCount val="4"/>
                <c:pt idx="0">
                  <c:v>2017收入</c:v>
                </c:pt>
                <c:pt idx="1">
                  <c:v>2017支出</c:v>
                </c:pt>
                <c:pt idx="2">
                  <c:v>2018收入</c:v>
                </c:pt>
                <c:pt idx="3">
                  <c:v>2018支出</c:v>
                </c:pt>
              </c:strCache>
            </c:strRef>
          </c:cat>
          <c:val>
            <c:numRef>
              <c:f>'Sheet1 (4)'!$B$2:$B$5</c:f>
              <c:numCache>
                <c:formatCode>General</c:formatCode>
                <c:ptCount val="4"/>
                <c:pt idx="0">
                  <c:v>3017.54</c:v>
                </c:pt>
                <c:pt idx="1">
                  <c:v>2976.4</c:v>
                </c:pt>
                <c:pt idx="2">
                  <c:v>6386.12</c:v>
                </c:pt>
                <c:pt idx="3">
                  <c:v>3197.76</c:v>
                </c:pt>
              </c:numCache>
            </c:numRef>
          </c:val>
        </c:ser>
        <c:gapWidth val="150"/>
        <c:gapDepth val="150"/>
        <c:shape val="cylinder"/>
        <c:axId val="0"/>
        <c:axId val="1"/>
      </c:bar3D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ln>
          <a:noFill/>
        </a:ln>
      </c:spPr>
    </c:floor>
    <c:sideWall>
      <c:thickness val="0"/>
      <c:spPr>
        <a:ln>
          <a:noFill/>
        </a:ln>
      </c:spPr>
    </c:sideWall>
    <c:backWall>
      <c:thickness val="0"/>
      <c:spPr>
        <a:ln>
          <a:noFill/>
        </a:ln>
      </c:spPr>
    </c:backWall>
    <c:plotArea>
      <c:layout>
        <c:manualLayout>
          <c:layoutTarget val="inner"/>
          <c:xMode val="edge"/>
          <c:yMode val="edge"/>
          <c:x val="0.11623572"/>
          <c:y val="0.18673147"/>
          <c:w val="0.8599192"/>
          <c:h val="0.65674"/>
        </c:manualLayout>
      </c:layout>
      <c:bar3DChart>
        <c:barDir val="col"/>
        <c:grouping val="stacked"/>
        <c:varyColors val="0"/>
        <c:ser>
          <c:idx val="0"/>
          <c:order val="0"/>
          <c:tx>
            <c:strRef>
              <c:f>'Sheet1 (5)'!$B$1</c:f>
              <c:strCache>
                <c:ptCount val="1"/>
                <c:pt idx="0">
                  <c:v>一般公共预算财政拨款支出决算变动情况</c:v>
                </c:pt>
              </c:strCache>
            </c:strRef>
          </c:tx>
          <c:spPr>
            <a:solidFill>
              <a:srgbClr val="4F81BD"/>
            </a:solidFill>
          </c:spPr>
          <c:invertIfNegative val="0"/>
          <c:dLbls>
            <c:showLegendKey val="0"/>
            <c:showVal val="0"/>
            <c:showCatName val="0"/>
            <c:showSerName val="0"/>
            <c:showPercent val="0"/>
            <c:showBubbleSize val="0"/>
            <c:showLeaderLines val="0"/>
          </c:dLbls>
          <c:cat>
            <c:strRef>
              <c:f>'Sheet1 (5)'!$A$2:$A$3</c:f>
              <c:strCache>
                <c:ptCount val="2"/>
                <c:pt idx="0">
                  <c:v>2017支出</c:v>
                </c:pt>
                <c:pt idx="1">
                  <c:v>2018支出</c:v>
                </c:pt>
              </c:strCache>
            </c:strRef>
          </c:cat>
          <c:val>
            <c:numRef>
              <c:f>'Sheet1 (5)'!$B$2:$B$3</c:f>
              <c:numCache>
                <c:formatCode>General</c:formatCode>
                <c:ptCount val="2"/>
                <c:pt idx="0">
                  <c:v>3197.76</c:v>
                </c:pt>
                <c:pt idx="1">
                  <c:v>2885.4</c:v>
                </c:pt>
              </c:numCache>
            </c:numRef>
          </c:val>
        </c:ser>
        <c:gapWidth val="150"/>
        <c:gapDepth val="150"/>
        <c:shape val="cylinder"/>
        <c:axId val="0"/>
        <c:axId val="1"/>
      </c:bar3D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manualLayout>
          <c:layoutTarget val="inner"/>
          <c:xMode val="edge"/>
          <c:yMode val="edge"/>
          <c:x val="0.026486877"/>
          <c:y val="0.17915377"/>
          <c:w val="0.56179994"/>
          <c:h val="0.69287926"/>
        </c:manualLayout>
      </c:layout>
      <c:pie3DChart>
        <c:varyColors val="1"/>
        <c:ser>
          <c:idx val="0"/>
          <c:order val="0"/>
          <c:tx>
            <c:strRef>
              <c:f>'Sheet1 (6)'!$B$1</c:f>
              <c:strCache>
                <c:ptCount val="1"/>
                <c:pt idx="0">
                  <c:v>一般公共预算财政拨款支出决算结构图</c:v>
                </c:pt>
              </c:strCache>
            </c:strRef>
          </c:tx>
          <c:spPr>
            <a:solidFill>
              <a:srgbClr val="4F81BD"/>
            </a:solidFill>
          </c:spPr>
          <c:dPt>
            <c:idx val="0"/>
            <c:bubble3D val="0"/>
            <c:spPr>
              <a:solidFill>
                <a:srgbClr val="4572A7"/>
              </a:solidFill>
            </c:spPr>
          </c:dPt>
          <c:dPt>
            <c:idx val="1"/>
            <c:bubble3D val="0"/>
            <c:spPr>
              <a:solidFill>
                <a:srgbClr val="AA4643"/>
              </a:solidFill>
            </c:spPr>
          </c:dPt>
          <c:dPt>
            <c:idx val="2"/>
            <c:bubble3D val="0"/>
            <c:spPr>
              <a:solidFill>
                <a:srgbClr val="89A54E"/>
              </a:solidFill>
            </c:spPr>
          </c:dPt>
          <c:dPt>
            <c:idx val="3"/>
            <c:bubble3D val="0"/>
            <c:spPr>
              <a:solidFill>
                <a:srgbClr val="71588F"/>
              </a:solidFill>
            </c:spPr>
          </c:dPt>
          <c:dPt>
            <c:idx val="4"/>
            <c:bubble3D val="0"/>
            <c:spPr>
              <a:solidFill>
                <a:srgbClr val="4198AF"/>
              </a:solidFill>
            </c:spPr>
          </c:dPt>
          <c:dPt>
            <c:idx val="5"/>
            <c:bubble3D val="0"/>
            <c:spPr>
              <a:solidFill>
                <a:srgbClr val="DB843D"/>
              </a:solidFill>
            </c:spPr>
          </c:dPt>
          <c:dPt>
            <c:idx val="6"/>
            <c:bubble3D val="0"/>
            <c:spPr>
              <a:solidFill>
                <a:srgbClr val="93A9CF"/>
              </a:solidFill>
            </c:spPr>
          </c:dPt>
          <c:dLbls>
            <c:txPr>
              <a:bodyPr/>
              <a:lstStyle/>
              <a:p>
                <a:pPr algn="ctr">
                  <a:defRPr sz="1000" b="0" i="0" u="none" strike="noStrike" baseline="0">
                    <a:solidFill>
                      <a:srgbClr val="000000"/>
                    </a:solidFill>
                    <a:latin typeface="Times New Roman"/>
                    <a:ea typeface="宋体"/>
                    <a:cs typeface="Lucida Sans"/>
                  </a:defRPr>
                </a:pPr>
                <a:endParaRPr lang="zh-CN"/>
              </a:p>
            </c:txPr>
            <c:numFmt formatCode="0%" sourceLinked="0"/>
            <c:dLbl>
              <c:idx val="0"/>
              <c:layout>
                <c:manualLayout>
                  <c:x val="-0.031755377"/>
                  <c:y val="0.013637099"/>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4.97%</a:t>
                    </a:r>
                  </a:p>
                </c:rich>
              </c:tx>
              <c:showLegendKey val="0"/>
              <c:showVal val="0"/>
              <c:showCatName val="0"/>
              <c:showSerName val="0"/>
              <c:showPercent val="1"/>
              <c:showBubbleSize val="0"/>
            </c:dLbl>
            <c:dLbl>
              <c:idx val="1"/>
              <c:layout>
                <c:manualLayout>
                  <c:x val="0.013352698"/>
                  <c:y val="-0.0041566473"/>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1.88%</a:t>
                    </a:r>
                  </a:p>
                </c:rich>
              </c:tx>
              <c:showLegendKey val="0"/>
              <c:showVal val="0"/>
              <c:showCatName val="0"/>
              <c:showSerName val="0"/>
              <c:showPercent val="1"/>
              <c:showBubbleSize val="0"/>
            </c:dLbl>
            <c:dLbl>
              <c:idx val="2"/>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10.42%</a:t>
                    </a:r>
                  </a:p>
                </c:rich>
              </c:tx>
              <c:showLegendKey val="0"/>
              <c:showVal val="1"/>
              <c:showCatName val="0"/>
              <c:showSerName val="0"/>
              <c:showPercent val="1"/>
              <c:showBubbleSize val="0"/>
            </c:dLbl>
            <c:dLbl>
              <c:idx val="3"/>
              <c:layout>
                <c:manualLayout>
                  <c:x val="0.1117047"/>
                  <c:y val="-0.21596636"/>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78.22%</a:t>
                    </a:r>
                  </a:p>
                </c:rich>
              </c:tx>
              <c:showLegendKey val="0"/>
              <c:showVal val="0"/>
              <c:showCatName val="0"/>
              <c:showSerName val="0"/>
              <c:showPercent val="1"/>
              <c:showBubbleSize val="0"/>
            </c:dLbl>
            <c:dLbl>
              <c:idx val="4"/>
              <c:layout>
                <c:manualLayout>
                  <c:x val="-0.021214055"/>
                  <c:y val="-0.015080705"/>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0.02%</a:t>
                    </a:r>
                  </a:p>
                </c:rich>
              </c:tx>
              <c:showLegendKey val="0"/>
              <c:showVal val="0"/>
              <c:showCatName val="0"/>
              <c:showSerName val="0"/>
              <c:showPercent val="1"/>
              <c:showBubbleSize val="0"/>
            </c:dLbl>
            <c:dLbl>
              <c:idx val="5"/>
              <c:layout>
                <c:manualLayout>
                  <c:x val="0.016551282"/>
                  <c:y val="-0.061304677"/>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2.3%</a:t>
                    </a:r>
                  </a:p>
                </c:rich>
              </c:tx>
              <c:showLegendKey val="0"/>
              <c:showVal val="0"/>
              <c:showCatName val="0"/>
              <c:showSerName val="0"/>
              <c:showPercent val="1"/>
              <c:showBubbleSize val="0"/>
            </c:dLbl>
            <c:dLbl>
              <c:idx val="6"/>
              <c:layout>
                <c:manualLayout>
                  <c:x val="0.042095717"/>
                  <c:y val="-0.05264996"/>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2.19%</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 (6)'!$A$2:$A$8</c:f>
              <c:strCache>
                <c:ptCount val="7"/>
                <c:pt idx="0">
                  <c:v>社会保障和就业支出</c:v>
                </c:pt>
                <c:pt idx="1">
                  <c:v>医疗卫生与计划生育支出</c:v>
                </c:pt>
                <c:pt idx="2">
                  <c:v>节能环保支出</c:v>
                </c:pt>
                <c:pt idx="3">
                  <c:v>城乡社区支出</c:v>
                </c:pt>
                <c:pt idx="4">
                  <c:v>农林水支出</c:v>
                </c:pt>
                <c:pt idx="5">
                  <c:v>住房保障支出</c:v>
                </c:pt>
                <c:pt idx="6">
                  <c:v>其他支出</c:v>
                </c:pt>
              </c:strCache>
            </c:strRef>
          </c:cat>
          <c:val>
            <c:numRef>
              <c:f>'Sheet1 (6)'!$B$2:$B$8</c:f>
              <c:numCache>
                <c:formatCode>General</c:formatCode>
                <c:ptCount val="7"/>
                <c:pt idx="0">
                  <c:v>159.07</c:v>
                </c:pt>
                <c:pt idx="1">
                  <c:v>60.14</c:v>
                </c:pt>
                <c:pt idx="2">
                  <c:v>333.28</c:v>
                </c:pt>
                <c:pt idx="3">
                  <c:v>2501.1</c:v>
                </c:pt>
                <c:pt idx="4">
                  <c:v>0.49</c:v>
                </c:pt>
                <c:pt idx="5">
                  <c:v>73.67</c:v>
                </c:pt>
                <c:pt idx="6">
                  <c:v>70.01</c:v>
                </c:pt>
              </c:numCache>
            </c:numRef>
          </c:val>
        </c:ser>
        <c:gapDepth val="150"/>
        <c:firstSliceAng val="0"/>
      </c:pie3DChart>
      <c:spPr>
        <a:solidFill>
          <a:srgbClr val="C0C0C0"/>
        </a:solidFill>
        <a:ln>
          <a:noFill/>
        </a:ln>
      </c:spPr>
    </c:plotArea>
    <c:legend>
      <c:legendPos val="r"/>
      <c:layout>
        <c:manualLayout>
          <c:xMode val="edge"/>
          <c:yMode val="edge"/>
          <c:x val="0.61610883"/>
          <c:y val="0.24832445"/>
          <c:w val="0.32704636"/>
          <c:h val="0.7045549"/>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manualLayout>
          <c:layoutTarget val="inner"/>
          <c:xMode val="edge"/>
          <c:yMode val="edge"/>
          <c:x val="0.06746854"/>
          <c:y val="0.23329449"/>
          <c:w val="0.470205"/>
          <c:h val="0.6011097"/>
        </c:manualLayout>
      </c:layout>
      <c:pie3DChart>
        <c:varyColors val="1"/>
        <c:ser>
          <c:idx val="0"/>
          <c:order val="0"/>
          <c:tx>
            <c:strRef>
              <c:f>'Sheet1 (7)'!$B$1</c:f>
              <c:strCache>
                <c:ptCount val="1"/>
                <c:pt idx="0">
                  <c:v>“三公”经费财政拨款支出结构图</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txPr>
              <a:bodyPr/>
              <a:lstStyle/>
              <a:p>
                <a:pPr algn="ctr">
                  <a:defRPr sz="1000" b="0" i="0" u="none" strike="noStrike" baseline="0">
                    <a:solidFill>
                      <a:srgbClr val="000000"/>
                    </a:solidFill>
                    <a:latin typeface="Times New Roman"/>
                    <a:ea typeface="宋体"/>
                    <a:cs typeface="Lucida Sans"/>
                  </a:defRPr>
                </a:pPr>
                <a:endParaRPr lang="zh-CN"/>
              </a:p>
            </c:txPr>
            <c:numFmt formatCode="0%" sourceLinked="0"/>
            <c:dLbl>
              <c:idx val="1"/>
              <c:layout>
                <c:manualLayout>
                  <c:x val="-0.16217639"/>
                  <c:y val="-0.11344628"/>
                </c:manualLayout>
              </c:layout>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6</a:t>
                    </a:r>
                    <a:r>
                      <a:rPr lang="zh-CN" sz="1000" b="0" i="0" u="none" strike="noStrike" baseline="0">
                        <a:solidFill>
                          <a:srgbClr val="000000"/>
                        </a:solidFill>
                        <a:latin typeface="Times New Roman"/>
                        <a:ea typeface="宋体"/>
                        <a:cs typeface="Lucida Sans"/>
                      </a:rPr>
                      <a:t>4.61</a:t>
                    </a:r>
                    <a:r>
                      <a:rPr lang="zh-CN" sz="1000" b="0" i="0" u="none" strike="noStrike" baseline="0">
                        <a:solidFill>
                          <a:srgbClr val="000000"/>
                        </a:solidFill>
                        <a:latin typeface="Times New Roman"/>
                        <a:ea typeface="宋体"/>
                        <a:cs typeface="Lucida Sans"/>
                      </a:rPr>
                      <a:t>%</a:t>
                    </a:r>
                  </a:p>
                </c:rich>
              </c:tx>
              <c:showLegendKey val="0"/>
              <c:showVal val="0"/>
              <c:showCatName val="0"/>
              <c:showSerName val="0"/>
              <c:showPercent val="1"/>
              <c:showBubbleSize val="0"/>
            </c:dLbl>
            <c:dLbl>
              <c:idx val="2"/>
              <c:numFmt formatCode="0%" sourceLinked="0"/>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35.39</a:t>
                    </a:r>
                    <a:r>
                      <a:rPr lang="zh-CN" sz="1000" b="0" i="0" u="none" strike="noStrike" baseline="0">
                        <a:solidFill>
                          <a:srgbClr val="000000"/>
                        </a:solidFill>
                        <a:latin typeface="Times New Roman"/>
                        <a:ea typeface="宋体"/>
                        <a:cs typeface="Lucida Sans"/>
                      </a:rPr>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 (7)'!$A$2:$A$4</c:f>
              <c:strCache>
                <c:ptCount val="3"/>
                <c:pt idx="0">
                  <c:v>因公出国（境）经费支出</c:v>
                </c:pt>
                <c:pt idx="1">
                  <c:v>公务用车购置及运行维护费支出</c:v>
                </c:pt>
                <c:pt idx="2">
                  <c:v>公务接待费支出</c:v>
                </c:pt>
              </c:strCache>
            </c:strRef>
          </c:cat>
          <c:val>
            <c:numRef>
              <c:f>'Sheet1 (7)'!$B$2:$B$4</c:f>
              <c:numCache>
                <c:formatCode>General</c:formatCode>
                <c:ptCount val="3"/>
                <c:pt idx="0">
                  <c:v>0.0</c:v>
                </c:pt>
                <c:pt idx="1">
                  <c:v>3.45</c:v>
                </c:pt>
                <c:pt idx="2">
                  <c:v>1.89</c:v>
                </c:pt>
              </c:numCache>
            </c:numRef>
          </c:val>
        </c:ser>
        <c:gapDepth val="150"/>
        <c:firstSliceAng val="0"/>
      </c:pie3DChart>
      <c:spPr>
        <a:solidFill>
          <a:srgbClr val="C0C0C0"/>
        </a:solidFill>
        <a:ln>
          <a:noFill/>
        </a:ln>
      </c:spPr>
    </c:plotArea>
    <c:legend>
      <c:legendPos val="r"/>
      <c:layout>
        <c:manualLayout>
          <c:xMode val="edge"/>
          <c:yMode val="edge"/>
          <c:x val="0.5906947"/>
          <c:y val="0.33880794"/>
          <c:w val="0.3896571"/>
          <c:h val="0.45025137"/>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8E1E2BB-8768-4373-A394-846831C7291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1174</TotalTime>
  <Application>Yozo_Office9.0.5233.191ZH.S1</Application>
  <Pages>53</Pages>
  <Words>0</Words>
  <Characters>15283</Characters>
  <Lines>0</Lines>
  <Paragraphs>419</Paragraphs>
  <CharactersWithSpaces>20378</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cp:lastModifiedBy>user</cp:lastModifiedBy>
  <cp:revision>186</cp:revision>
  <dcterms:created xsi:type="dcterms:W3CDTF">2019-09-10T03:29:00Z</dcterms:created>
  <dcterms:modified xsi:type="dcterms:W3CDTF">2025-03-19T02:11:54Z</dcterms:modified>
</cp:coreProperties>
</file>