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auto"/>
          <w:sz w:val="72"/>
          <w:szCs w:val="72"/>
          <w:lang w:val="en-US" w:eastAsia="zh-CN"/>
        </w:rPr>
      </w:pPr>
      <w:bookmarkStart w:id="0" w:name="_Toc15378441"/>
      <w:bookmarkStart w:id="1" w:name="_Toc15396597"/>
      <w:bookmarkStart w:id="2" w:name="_Toc15377193"/>
      <w:bookmarkStart w:id="3" w:name="_Toc15396475"/>
      <w:bookmarkStart w:id="4" w:name="_Toc15377425"/>
      <w:bookmarkStart w:id="5" w:name="_Toc15306267"/>
      <w:bookmarkStart w:id="6" w:name="_GoBack"/>
      <w:bookmarkEnd w:id="6"/>
    </w:p>
    <w:p>
      <w:pPr>
        <w:spacing w:line="600" w:lineRule="exact"/>
        <w:jc w:val="center"/>
        <w:outlineLvl w:val="0"/>
        <w:rPr>
          <w:rFonts w:ascii="方正小标宋简体" w:eastAsia="方正小标宋简体" w:hAnsi="宋体"/>
          <w:color w:val="auto"/>
          <w:sz w:val="72"/>
          <w:szCs w:val="72"/>
        </w:rPr>
      </w:pPr>
    </w:p>
    <w:p>
      <w:pPr>
        <w:spacing w:line="600" w:lineRule="exact"/>
        <w:jc w:val="center"/>
        <w:outlineLvl w:val="0"/>
        <w:rPr>
          <w:rFonts w:ascii="方正小标宋简体" w:eastAsia="方正小标宋简体" w:hAnsi="宋体"/>
          <w:color w:val="auto"/>
          <w:sz w:val="72"/>
          <w:szCs w:val="72"/>
        </w:rPr>
      </w:pPr>
    </w:p>
    <w:p>
      <w:pPr>
        <w:spacing w:line="600" w:lineRule="exact"/>
        <w:jc w:val="center"/>
        <w:outlineLvl w:val="0"/>
        <w:rPr>
          <w:rFonts w:ascii="方正小标宋简体" w:eastAsia="方正小标宋简体" w:hAnsi="宋体"/>
          <w:color w:val="auto"/>
          <w:sz w:val="72"/>
          <w:szCs w:val="72"/>
        </w:rPr>
      </w:pPr>
    </w:p>
    <w:p>
      <w:pPr>
        <w:adjustRightInd w:val="0"/>
        <w:snapToGrid w:val="0"/>
        <w:spacing w:line="360" w:lineRule="auto"/>
        <w:jc w:val="center"/>
        <w:outlineLvl w:val="0"/>
        <w:rPr>
          <w:rFonts w:ascii="方正小标宋简体" w:eastAsia="方正小标宋简体" w:cs="方正小标宋简体" w:hAnsi="方正小标宋简体" w:hint="eastAsia"/>
          <w:color w:val="auto"/>
          <w:sz w:val="72"/>
          <w:szCs w:val="72"/>
        </w:rPr>
      </w:pPr>
      <w:bookmarkEnd w:id="0"/>
      <w:bookmarkEnd w:id="1"/>
      <w:bookmarkEnd w:id="2"/>
      <w:bookmarkEnd w:id="3"/>
      <w:bookmarkEnd w:id="4"/>
      <w:bookmarkEnd w:id="5"/>
      <w:r>
        <w:rPr>
          <w:rFonts w:ascii="方正小标宋简体" w:eastAsia="方正小标宋简体" w:cs="方正小标宋简体" w:hAnsi="方正小标宋简体" w:hint="eastAsia"/>
          <w:color w:val="auto"/>
          <w:sz w:val="72"/>
          <w:szCs w:val="72"/>
        </w:rPr>
        <w:t>20</w:t>
      </w:r>
      <w:r>
        <w:rPr>
          <w:rFonts w:ascii="方正小标宋简体" w:eastAsia="方正小标宋简体" w:cs="方正小标宋简体" w:hAnsi="方正小标宋简体" w:hint="eastAsia"/>
          <w:color w:val="auto"/>
          <w:sz w:val="72"/>
          <w:szCs w:val="72"/>
          <w:lang w:val="en-US" w:eastAsia="zh-CN"/>
        </w:rPr>
        <w:t>21</w:t>
      </w:r>
      <w:r>
        <w:rPr>
          <w:rFonts w:ascii="方正小标宋简体" w:eastAsia="方正小标宋简体" w:cs="方正小标宋简体" w:hAnsi="方正小标宋简体" w:hint="eastAsia"/>
          <w:color w:val="auto"/>
          <w:sz w:val="72"/>
          <w:szCs w:val="72"/>
        </w:rPr>
        <w:t>年度</w:t>
      </w:r>
    </w:p>
    <w:p>
      <w:pPr>
        <w:adjustRightInd w:val="0"/>
        <w:snapToGrid w:val="0"/>
        <w:spacing w:line="360" w:lineRule="auto"/>
        <w:jc w:val="center"/>
        <w:outlineLvl w:val="0"/>
        <w:rPr>
          <w:rFonts w:ascii="方正小标宋简体" w:eastAsia="方正小标宋简体" w:hAnsi="宋体"/>
          <w:color w:val="auto"/>
          <w:sz w:val="52"/>
          <w:szCs w:val="52"/>
        </w:rPr>
      </w:pPr>
      <w:bookmarkStart w:id="7" w:name="_Toc15396598"/>
      <w:bookmarkStart w:id="8" w:name="_Toc15377426"/>
      <w:bookmarkStart w:id="9" w:name="_Toc15377194"/>
      <w:bookmarkStart w:id="10" w:name="_Toc15396476"/>
      <w:bookmarkStart w:id="11" w:name="_Toc15306268"/>
      <w:bookmarkStart w:id="12" w:name="_Toc15378442"/>
      <w:r>
        <w:rPr>
          <w:rFonts w:ascii="方正小标宋简体" w:eastAsia="方正小标宋简体" w:cs="方正小标宋简体" w:hAnsi="方正小标宋简体" w:hint="eastAsia"/>
          <w:color w:val="auto"/>
          <w:sz w:val="72"/>
          <w:szCs w:val="72"/>
          <w:lang w:val="en-US" w:eastAsia="zh-CN"/>
        </w:rPr>
        <w:t>广元市利州区荣山镇人民政府</w:t>
      </w:r>
      <w:r>
        <w:rPr>
          <w:rFonts w:ascii="方正小标宋简体" w:eastAsia="方正小标宋简体" w:cs="方正小标宋简体" w:hAnsi="方正小标宋简体" w:hint="eastAsia"/>
          <w:color w:val="auto"/>
          <w:sz w:val="72"/>
          <w:szCs w:val="72"/>
        </w:rPr>
        <w:t>部门决算</w:t>
      </w:r>
      <w:bookmarkEnd w:id="7"/>
      <w:bookmarkEnd w:id="8"/>
      <w:bookmarkEnd w:id="9"/>
      <w:bookmarkEnd w:id="10"/>
      <w:bookmarkEnd w:id="11"/>
      <w:bookmarkEnd w:id="12"/>
    </w:p>
    <w:p>
      <w:pPr>
        <w:widowControl/>
        <w:jc w:val="center"/>
        <w:rPr>
          <w:rFonts w:ascii="黑体" w:eastAsia="黑体" w:hAnsi="黑体" w:hint="eastAsia"/>
          <w:color w:val="auto"/>
          <w:sz w:val="48"/>
          <w:szCs w:val="48"/>
        </w:rPr>
        <w:sectPr>
          <w:footerReference w:type="default" r:id="rId2"/>
          <w:pgSz w:w="11906" w:h="16838"/>
          <w:pgMar w:top="1418" w:right="1418" w:bottom="1418" w:left="1418" w:header="851" w:footer="992" w:gutter="0"/>
          <w:pgNumType w:start="1"/>
          <w:cols w:num="1" w:space="720"/>
          <w:docGrid w:type="lines" w:linePitch="666" w:charSpace="0"/>
        </w:sectPr>
      </w:pPr>
    </w:p>
    <w:p>
      <w:pPr>
        <w:widowControl/>
        <w:jc w:val="center"/>
        <w:rPr>
          <w:rFonts w:ascii="黑体" w:eastAsia="黑体" w:hAnsi="黑体"/>
          <w:color w:val="auto"/>
          <w:sz w:val="48"/>
          <w:szCs w:val="48"/>
        </w:rPr>
      </w:pPr>
      <w:r>
        <w:rPr>
          <w:rFonts w:ascii="黑体" w:eastAsia="黑体" w:hAnsi="黑体" w:hint="eastAsia"/>
          <w:color w:val="auto"/>
          <w:sz w:val="48"/>
          <w:szCs w:val="48"/>
        </w:rPr>
        <w:t>目录</w:t>
      </w:r>
    </w:p>
    <w:p>
      <w:pPr>
        <w:widowControl/>
        <w:jc w:val="center"/>
        <w:rPr>
          <w:rFonts w:ascii="黑体" w:eastAsia="黑体" w:cs="Arial" w:hAnsi="黑体"/>
          <w:color w:val="auto"/>
          <w:sz w:val="28"/>
          <w:szCs w:val="28"/>
        </w:rPr>
      </w:pPr>
    </w:p>
    <w:p>
      <w:pPr>
        <w:pStyle w:val="23"/>
        <w:tabs>
          <w:tab w:val="right" w:leader="dot" w:pos="8296"/>
        </w:tabs>
        <w:rPr>
          <w:color w:val="auto"/>
        </w:rPr>
      </w:pPr>
      <w:r>
        <w:rPr>
          <w:rFonts w:hint="eastAsia"/>
          <w:color w:val="auto"/>
        </w:rPr>
        <w:t>公开时间：20</w:t>
      </w:r>
      <w:r>
        <w:rPr>
          <w:rFonts w:hint="eastAsia"/>
          <w:color w:val="auto"/>
          <w:lang w:val="en-US" w:eastAsia="zh-CN"/>
        </w:rPr>
        <w:t>22</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29</w:t>
      </w:r>
      <w:r>
        <w:rPr>
          <w:rFonts w:hint="eastAsia"/>
          <w:color w:val="auto"/>
        </w:rPr>
        <w:t>日</w:t>
      </w:r>
    </w:p>
    <w:p>
      <w:pPr>
        <w:rPr>
          <w:color w:val="auto"/>
        </w:rPr>
      </w:pPr>
    </w:p>
    <w:p>
      <w:pPr>
        <w:pStyle w:val="23"/>
        <w:tabs>
          <w:tab w:val="right" w:leader="dot" w:pos="8296"/>
        </w:tabs>
        <w:adjustRightInd w:val="0"/>
        <w:snapToGrid w:val="0"/>
        <w:spacing w:before="0" w:line="440" w:lineRule="exact"/>
        <w:jc w:val="left"/>
        <w:rPr>
          <w:rFonts w:cs="Arial"/>
          <w:color w:val="auto"/>
          <w:sz w:val="24"/>
          <w:szCs w:val="24"/>
          <w:lang w:val="en-US"/>
        </w:rPr>
      </w:pPr>
      <w:r>
        <w:rPr>
          <w:rFonts w:hint="eastAsia"/>
          <w:color w:val="auto"/>
          <w:sz w:val="24"/>
        </w:rPr>
        <w:t>第一部分</w:t>
      </w:r>
      <w:r>
        <w:rPr>
          <w:color w:val="auto"/>
          <w:sz w:val="24"/>
        </w:rPr>
        <w:t xml:space="preserve"> </w:t>
      </w:r>
      <w:r>
        <w:rPr>
          <w:rFonts w:hint="eastAsia"/>
          <w:color w:val="auto"/>
          <w:sz w:val="24"/>
        </w:rPr>
        <w:t>部门概况</w:t>
      </w:r>
      <w:r>
        <w:rPr>
          <w:rFonts w:hint="eastAsia"/>
          <w:color w:val="auto"/>
          <w:sz w:val="24"/>
          <w:lang w:val="en-US" w:eastAsia="zh-CN"/>
        </w:rPr>
        <w:t>………………………………………………………………</w:t>
      </w:r>
      <w:r>
        <w:rPr>
          <w:rFonts w:ascii="Times New Roman" w:eastAsia="宋体" w:cs="Times New Roman" w:hAnsi="Times New Roman" w:hint="eastAsia"/>
          <w:color w:val="auto"/>
          <w:kern w:val="2"/>
          <w:sz w:val="24"/>
          <w:szCs w:val="24"/>
          <w:lang w:val="en-US" w:eastAsia="zh-CN" w:bidi="ar-SA"/>
        </w:rPr>
        <w:t>1</w:t>
      </w:r>
    </w:p>
    <w:p>
      <w:pPr>
        <w:pStyle w:val="24"/>
        <w:tabs>
          <w:tab w:val="right" w:leader="dot" w:pos="8296"/>
        </w:tabs>
        <w:adjustRightInd w:val="0"/>
        <w:snapToGrid w:val="0"/>
        <w:spacing w:line="440" w:lineRule="exact"/>
        <w:jc w:val="left"/>
        <w:rPr>
          <w:rFonts w:ascii="仿宋" w:eastAsia="仿宋" w:hAnsi="仿宋"/>
          <w:color w:val="auto"/>
          <w:sz w:val="24"/>
          <w:lang w:val="en-US"/>
        </w:rPr>
      </w:pPr>
      <w:r>
        <w:rPr>
          <w:rFonts w:hint="eastAsia"/>
          <w:color w:val="auto"/>
          <w:sz w:val="24"/>
        </w:rPr>
        <w:t>一、基本职能及主要工作</w:t>
      </w:r>
      <w:r>
        <w:rPr>
          <w:rFonts w:hint="eastAsia"/>
          <w:color w:val="auto"/>
          <w:sz w:val="24"/>
          <w:lang w:val="en-US" w:eastAsia="zh-CN"/>
        </w:rPr>
        <w:t>……………………………………………………1</w:t>
      </w:r>
    </w:p>
    <w:p>
      <w:pPr>
        <w:pStyle w:val="24"/>
        <w:tabs>
          <w:tab w:val="right" w:leader="dot" w:pos="8296"/>
        </w:tabs>
        <w:adjustRightInd w:val="0"/>
        <w:snapToGrid w:val="0"/>
        <w:spacing w:line="440" w:lineRule="exact"/>
        <w:jc w:val="left"/>
        <w:rPr>
          <w:rFonts w:ascii="仿宋" w:eastAsia="仿宋" w:cs="Arial" w:hAnsi="仿宋"/>
          <w:color w:val="auto"/>
          <w:sz w:val="24"/>
          <w:lang w:val="en-US"/>
        </w:rPr>
      </w:pPr>
      <w:r>
        <w:rPr>
          <w:rFonts w:hint="eastAsia"/>
          <w:color w:val="auto"/>
          <w:sz w:val="24"/>
        </w:rPr>
        <w:t>二、机构设置</w:t>
      </w:r>
      <w:r>
        <w:rPr>
          <w:rFonts w:hint="eastAsia"/>
          <w:color w:val="auto"/>
          <w:sz w:val="24"/>
          <w:lang w:val="en-US" w:eastAsia="zh-CN"/>
        </w:rPr>
        <w:t>…………………………………………………………………8</w:t>
      </w:r>
    </w:p>
    <w:p>
      <w:pPr>
        <w:pStyle w:val="23"/>
        <w:tabs>
          <w:tab w:val="right" w:leader="dot" w:pos="8296"/>
        </w:tabs>
        <w:adjustRightInd w:val="0"/>
        <w:snapToGrid w:val="0"/>
        <w:spacing w:before="0" w:line="440" w:lineRule="exact"/>
        <w:jc w:val="left"/>
        <w:rPr>
          <w:color w:val="auto"/>
          <w:sz w:val="24"/>
          <w:szCs w:val="24"/>
          <w:lang w:val="en-US"/>
        </w:rPr>
      </w:pPr>
      <w:r>
        <w:rPr>
          <w:rFonts w:hint="eastAsia"/>
          <w:color w:val="auto"/>
          <w:sz w:val="24"/>
        </w:rPr>
        <w:t>第二部分</w:t>
      </w:r>
      <w:r>
        <w:rPr>
          <w:rFonts w:hint="eastAsia"/>
          <w:color w:val="auto"/>
          <w:sz w:val="24"/>
          <w:lang w:val="en-US" w:eastAsia="zh-CN"/>
        </w:rPr>
        <w:t xml:space="preserve"> 2021年度</w:t>
      </w:r>
      <w:r>
        <w:rPr>
          <w:rFonts w:hint="eastAsia"/>
          <w:color w:val="auto"/>
          <w:sz w:val="24"/>
        </w:rPr>
        <w:t>部门决算情况说明</w:t>
      </w:r>
      <w:r>
        <w:rPr>
          <w:rFonts w:hint="eastAsia"/>
          <w:color w:val="auto"/>
          <w:sz w:val="24"/>
          <w:lang w:val="en-US" w:eastAsia="zh-CN"/>
        </w:rPr>
        <w:t>…………………………………………10</w:t>
      </w:r>
    </w:p>
    <w:p>
      <w:pPr>
        <w:pStyle w:val="24"/>
        <w:tabs>
          <w:tab w:val="right" w:leader="dot" w:pos="8296"/>
        </w:tabs>
        <w:adjustRightInd w:val="0"/>
        <w:snapToGrid w:val="0"/>
        <w:spacing w:line="440" w:lineRule="exact"/>
        <w:jc w:val="left"/>
        <w:rPr>
          <w:rFonts w:ascii="仿宋" w:eastAsia="仿宋" w:cs="Arial" w:hAnsi="仿宋"/>
          <w:color w:val="auto"/>
          <w:sz w:val="24"/>
          <w:lang w:val="en-US"/>
        </w:rPr>
      </w:pPr>
      <w:r>
        <w:rPr>
          <w:rFonts w:hint="eastAsia"/>
          <w:color w:val="auto"/>
          <w:sz w:val="24"/>
        </w:rPr>
        <w:t>一、收入支出决算总体情况说明</w:t>
      </w:r>
      <w:r>
        <w:rPr>
          <w:rFonts w:hint="eastAsia"/>
          <w:color w:val="auto"/>
          <w:sz w:val="24"/>
          <w:lang w:val="en-US" w:eastAsia="zh-CN"/>
        </w:rPr>
        <w:t>……………………………………………10</w:t>
      </w:r>
    </w:p>
    <w:p>
      <w:pPr>
        <w:pStyle w:val="24"/>
        <w:tabs>
          <w:tab w:val="right" w:leader="dot" w:pos="8296"/>
        </w:tabs>
        <w:adjustRightInd w:val="0"/>
        <w:snapToGrid w:val="0"/>
        <w:spacing w:line="440" w:lineRule="exact"/>
        <w:jc w:val="left"/>
        <w:rPr>
          <w:rFonts w:ascii="仿宋" w:eastAsia="仿宋" w:cs="Arial" w:hAnsi="仿宋"/>
          <w:color w:val="auto"/>
          <w:sz w:val="24"/>
          <w:lang w:val="en-US"/>
        </w:rPr>
      </w:pPr>
      <w:r>
        <w:rPr>
          <w:rFonts w:hint="eastAsia"/>
          <w:color w:val="auto"/>
          <w:sz w:val="24"/>
        </w:rPr>
        <w:t>二、收入决算情况说明</w:t>
      </w:r>
      <w:r>
        <w:rPr>
          <w:rFonts w:hint="eastAsia"/>
          <w:color w:val="auto"/>
          <w:sz w:val="24"/>
          <w:lang w:val="en-US" w:eastAsia="zh-CN"/>
        </w:rPr>
        <w:t>………………………………………………………10</w:t>
      </w:r>
    </w:p>
    <w:p>
      <w:pPr>
        <w:pStyle w:val="24"/>
        <w:tabs>
          <w:tab w:val="right" w:leader="dot" w:pos="8296"/>
        </w:tabs>
        <w:adjustRightInd w:val="0"/>
        <w:snapToGrid w:val="0"/>
        <w:spacing w:line="440" w:lineRule="exact"/>
        <w:jc w:val="left"/>
        <w:rPr>
          <w:rFonts w:ascii="仿宋" w:eastAsia="仿宋" w:cs="Arial" w:hAnsi="仿宋"/>
          <w:color w:val="auto"/>
          <w:sz w:val="24"/>
          <w:lang w:val="en-US"/>
        </w:rPr>
      </w:pPr>
      <w:r>
        <w:rPr>
          <w:rFonts w:hint="eastAsia"/>
          <w:color w:val="auto"/>
          <w:sz w:val="24"/>
        </w:rPr>
        <w:t>三、支出决算情况说明</w:t>
      </w:r>
      <w:r>
        <w:rPr>
          <w:rFonts w:hint="eastAsia"/>
          <w:color w:val="auto"/>
          <w:sz w:val="24"/>
          <w:lang w:val="en-US" w:eastAsia="zh-CN"/>
        </w:rPr>
        <w:t>………………………………………………………11</w:t>
      </w:r>
    </w:p>
    <w:p>
      <w:pPr>
        <w:pStyle w:val="24"/>
        <w:tabs>
          <w:tab w:val="right" w:leader="dot" w:pos="8296"/>
        </w:tabs>
        <w:adjustRightInd w:val="0"/>
        <w:snapToGrid w:val="0"/>
        <w:spacing w:line="440" w:lineRule="exact"/>
        <w:jc w:val="left"/>
        <w:rPr>
          <w:rFonts w:ascii="仿宋" w:eastAsia="仿宋" w:cs="Arial" w:hAnsi="仿宋"/>
          <w:color w:val="auto"/>
          <w:sz w:val="24"/>
          <w:lang w:val="en-US"/>
        </w:rPr>
      </w:pPr>
      <w:r>
        <w:rPr>
          <w:rFonts w:hint="eastAsia"/>
          <w:color w:val="auto"/>
          <w:sz w:val="24"/>
        </w:rPr>
        <w:t>四、财政拨款收入支出决算总体情况说明</w:t>
      </w:r>
      <w:r>
        <w:rPr>
          <w:rFonts w:hint="eastAsia"/>
          <w:color w:val="auto"/>
          <w:sz w:val="24"/>
          <w:lang w:val="en-US" w:eastAsia="zh-CN"/>
        </w:rPr>
        <w:t>…………………………………12</w:t>
      </w:r>
    </w:p>
    <w:p>
      <w:pPr>
        <w:pStyle w:val="24"/>
        <w:tabs>
          <w:tab w:val="right" w:leader="dot" w:pos="8296"/>
        </w:tabs>
        <w:adjustRightInd w:val="0"/>
        <w:snapToGrid w:val="0"/>
        <w:spacing w:line="440" w:lineRule="exact"/>
        <w:jc w:val="left"/>
        <w:rPr>
          <w:rFonts w:ascii="仿宋" w:eastAsia="仿宋" w:cs="Arial" w:hAnsi="仿宋"/>
          <w:color w:val="auto"/>
          <w:sz w:val="24"/>
          <w:lang w:val="en-US"/>
        </w:rPr>
      </w:pPr>
      <w:r>
        <w:rPr>
          <w:rFonts w:hint="eastAsia"/>
          <w:color w:val="auto"/>
          <w:sz w:val="24"/>
        </w:rPr>
        <w:t>五、一般公共预算财政拨款支出决算情况说明</w:t>
      </w:r>
      <w:r>
        <w:rPr>
          <w:rFonts w:hint="eastAsia"/>
          <w:color w:val="auto"/>
          <w:sz w:val="24"/>
          <w:lang w:val="en-US" w:eastAsia="zh-CN"/>
        </w:rPr>
        <w:t>……………………………12</w:t>
      </w:r>
    </w:p>
    <w:p>
      <w:pPr>
        <w:pStyle w:val="24"/>
        <w:tabs>
          <w:tab w:val="right" w:leader="dot" w:pos="8296"/>
        </w:tabs>
        <w:adjustRightInd w:val="0"/>
        <w:snapToGrid w:val="0"/>
        <w:spacing w:line="440" w:lineRule="exact"/>
        <w:jc w:val="left"/>
        <w:rPr>
          <w:rFonts w:ascii="仿宋" w:eastAsia="仿宋" w:cs="Arial" w:hAnsi="仿宋"/>
          <w:color w:val="auto"/>
          <w:sz w:val="24"/>
          <w:lang w:val="en-US"/>
        </w:rPr>
      </w:pPr>
      <w:r>
        <w:rPr>
          <w:rFonts w:hint="eastAsia"/>
          <w:color w:val="auto"/>
          <w:sz w:val="24"/>
        </w:rPr>
        <w:t>六、一般公共预算财政拨款基本支出决算情况说明</w:t>
      </w:r>
      <w:r>
        <w:rPr>
          <w:rFonts w:hint="eastAsia"/>
          <w:color w:val="auto"/>
          <w:sz w:val="24"/>
          <w:lang w:val="en-US" w:eastAsia="zh-CN"/>
        </w:rPr>
        <w:t>………………………16</w:t>
      </w:r>
    </w:p>
    <w:p>
      <w:pPr>
        <w:pStyle w:val="24"/>
        <w:tabs>
          <w:tab w:val="right" w:leader="dot" w:pos="8296"/>
        </w:tabs>
        <w:adjustRightInd w:val="0"/>
        <w:snapToGrid w:val="0"/>
        <w:spacing w:line="440" w:lineRule="exact"/>
        <w:jc w:val="left"/>
        <w:rPr>
          <w:rFonts w:ascii="仿宋" w:eastAsia="仿宋" w:cs="Arial" w:hAnsi="仿宋"/>
          <w:color w:val="auto"/>
          <w:sz w:val="24"/>
          <w:lang w:val="en-US"/>
        </w:rPr>
      </w:pPr>
      <w:r>
        <w:rPr>
          <w:rFonts w:hint="eastAsia"/>
          <w:color w:val="auto"/>
          <w:sz w:val="24"/>
        </w:rPr>
        <w:t>七、</w:t>
      </w:r>
      <w:r>
        <w:rPr>
          <w:rFonts w:hint="eastAsia"/>
          <w:color w:val="auto"/>
          <w:sz w:val="24"/>
          <w:lang w:eastAsia="zh-CN"/>
        </w:rPr>
        <w:t>“</w:t>
      </w:r>
      <w:r>
        <w:rPr>
          <w:rFonts w:hint="eastAsia"/>
          <w:color w:val="auto"/>
          <w:sz w:val="24"/>
        </w:rPr>
        <w:t>三公”经费财政拨款支出决算情况说明</w:t>
      </w:r>
      <w:r>
        <w:rPr>
          <w:rFonts w:hint="eastAsia"/>
          <w:color w:val="auto"/>
          <w:sz w:val="24"/>
          <w:lang w:val="en-US" w:eastAsia="zh-CN"/>
        </w:rPr>
        <w:t>………………………………17</w:t>
      </w:r>
    </w:p>
    <w:p>
      <w:pPr>
        <w:pStyle w:val="24"/>
        <w:tabs>
          <w:tab w:val="right" w:leader="dot" w:pos="8296"/>
        </w:tabs>
        <w:adjustRightInd w:val="0"/>
        <w:snapToGrid w:val="0"/>
        <w:spacing w:line="440" w:lineRule="exact"/>
        <w:jc w:val="left"/>
        <w:rPr>
          <w:rFonts w:ascii="仿宋" w:eastAsia="仿宋" w:cs="Arial" w:hAnsi="仿宋"/>
          <w:color w:val="auto"/>
          <w:sz w:val="24"/>
          <w:lang w:val="en-US"/>
        </w:rPr>
      </w:pPr>
      <w:r>
        <w:rPr>
          <w:rFonts w:hint="eastAsia"/>
          <w:color w:val="auto"/>
          <w:sz w:val="24"/>
        </w:rPr>
        <w:t>八、政府性基金预算支出决算情况说明</w:t>
      </w:r>
      <w:r>
        <w:rPr>
          <w:rFonts w:hint="eastAsia"/>
          <w:color w:val="auto"/>
          <w:sz w:val="24"/>
          <w:lang w:val="en-US" w:eastAsia="zh-CN"/>
        </w:rPr>
        <w:t>……………………………………19</w:t>
      </w:r>
    </w:p>
    <w:p>
      <w:pPr>
        <w:pStyle w:val="24"/>
        <w:tabs>
          <w:tab w:val="right" w:leader="dot" w:pos="8296"/>
        </w:tabs>
        <w:adjustRightInd w:val="0"/>
        <w:snapToGrid w:val="0"/>
        <w:spacing w:line="440" w:lineRule="exact"/>
        <w:ind w:leftChars="0" w:left="420"/>
        <w:jc w:val="left"/>
        <w:rPr>
          <w:rFonts w:ascii="宋体" w:eastAsia="宋体" w:cs="宋体" w:hAnsi="宋体"/>
          <w:color w:val="auto"/>
          <w:sz w:val="24"/>
          <w:lang w:val="en-US"/>
        </w:rPr>
      </w:pPr>
      <w:r>
        <w:rPr>
          <w:rFonts w:ascii="宋体" w:eastAsia="宋体" w:cs="宋体" w:hAnsi="宋体" w:hint="eastAsia"/>
          <w:color w:val="auto"/>
          <w:sz w:val="24"/>
        </w:rPr>
        <w:t>九、</w:t>
      </w:r>
      <w:r>
        <w:rPr>
          <w:rFonts w:ascii="宋体" w:eastAsia="宋体" w:cs="宋体" w:hAnsi="宋体" w:hint="eastAsia"/>
          <w:color w:val="auto"/>
          <w:sz w:val="24"/>
          <w:lang w:eastAsia="zh-CN"/>
        </w:rPr>
        <w:t>国</w:t>
      </w:r>
      <w:r>
        <w:rPr>
          <w:rFonts w:ascii="宋体" w:eastAsia="宋体" w:cs="宋体" w:hAnsi="宋体" w:hint="eastAsia"/>
          <w:color w:val="auto"/>
          <w:sz w:val="24"/>
        </w:rPr>
        <w:t>有资本经营预算支出决算情况说明</w:t>
      </w:r>
      <w:r>
        <w:rPr>
          <w:rFonts w:hint="eastAsia"/>
          <w:color w:val="auto"/>
          <w:sz w:val="24"/>
          <w:lang w:val="en-US" w:eastAsia="zh-CN"/>
        </w:rPr>
        <w:t>…………………………………19</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Chars="175" w:firstLine="420"/>
        <w:jc w:val="left"/>
        <w:textAlignment w:val="auto"/>
        <w:rPr>
          <w:rFonts w:ascii="宋体" w:eastAsia="宋体" w:cs="宋体" w:hAnsi="宋体"/>
          <w:color w:val="auto"/>
          <w:sz w:val="24"/>
          <w:lang w:val="en-US" w:eastAsia="zh-CN"/>
        </w:rPr>
      </w:pPr>
      <w:r>
        <w:rPr>
          <w:rStyle w:val="28"/>
          <w:rFonts w:ascii="宋体" w:eastAsia="宋体" w:cs="宋体" w:hAnsi="宋体" w:hint="eastAsia"/>
          <w:color w:val="0000FF"/>
          <w:sz w:val="24"/>
          <w:u w:val="none"/>
          <w14:textFill>
            <w14:solidFill>
              <w14:srgbClr w14:val="0000FF"/>
            </w14:solidFill>
          </w14:textFill>
          <w:lang w:eastAsia="zh-CN"/>
        </w:rPr>
        <w:t>十</w:t>
      </w:r>
      <w:r>
        <w:rPr>
          <w:rStyle w:val="28"/>
          <w:rFonts w:ascii="宋体" w:eastAsia="宋体" w:cs="宋体" w:hAnsi="宋体" w:hint="eastAsia"/>
          <w:color w:val="0000FF"/>
          <w:sz w:val="24"/>
          <w:u w:val="none"/>
          <w14:textFill>
            <w14:solidFill>
              <w14:srgbClr w14:val="0000FF"/>
            </w14:solidFill>
          </w14:textFill>
        </w:rPr>
        <w:t>、</w:t>
      </w:r>
      <w:r>
        <w:rPr>
          <w:rFonts w:ascii="宋体" w:eastAsia="宋体" w:cs="宋体" w:hAnsi="宋体" w:hint="eastAsia"/>
          <w:color w:val="auto"/>
          <w:sz w:val="24"/>
        </w:rPr>
        <w:t>其他重要事项的情况说明</w:t>
      </w:r>
      <w:r>
        <w:rPr>
          <w:rFonts w:hint="eastAsia"/>
          <w:color w:val="auto"/>
          <w:sz w:val="24"/>
          <w:lang w:val="en-US" w:eastAsia="zh-CN"/>
        </w:rPr>
        <w:t>………………………………………………</w:t>
      </w:r>
      <w:r>
        <w:rPr>
          <w:rFonts w:ascii="宋体" w:eastAsia="宋体" w:cs="宋体" w:hAnsi="宋体" w:hint="eastAsia"/>
          <w:color w:val="auto"/>
          <w:sz w:val="24"/>
        </w:rPr>
        <w:tab/>
      </w:r>
      <w:r>
        <w:rPr>
          <w:rFonts w:ascii="宋体" w:eastAsia="宋体" w:cs="宋体" w:hAnsi="宋体" w:hint="eastAsia"/>
          <w:color w:val="auto"/>
          <w:sz w:val="24"/>
          <w:lang w:val="en-US" w:eastAsia="zh-CN"/>
        </w:rPr>
        <w:t>19</w:t>
      </w:r>
    </w:p>
    <w:p>
      <w:pPr>
        <w:pStyle w:val="23"/>
        <w:tabs>
          <w:tab w:val="right" w:leader="dot" w:pos="8296"/>
        </w:tabs>
        <w:adjustRightInd w:val="0"/>
        <w:snapToGrid w:val="0"/>
        <w:spacing w:before="0" w:line="440" w:lineRule="exact"/>
        <w:jc w:val="left"/>
        <w:rPr>
          <w:rFonts w:cs="Arial"/>
          <w:color w:val="auto"/>
          <w:sz w:val="24"/>
          <w:szCs w:val="24"/>
          <w:lang w:val="en-US"/>
        </w:rPr>
      </w:pPr>
      <w:r>
        <w:rPr>
          <w:rFonts w:hint="eastAsia"/>
          <w:color w:val="auto"/>
          <w:sz w:val="24"/>
        </w:rPr>
        <w:t>第三部分</w:t>
      </w:r>
      <w:r>
        <w:rPr>
          <w:color w:val="auto"/>
          <w:sz w:val="24"/>
        </w:rPr>
        <w:t xml:space="preserve"> </w:t>
      </w:r>
      <w:r>
        <w:rPr>
          <w:rFonts w:hint="eastAsia"/>
          <w:color w:val="auto"/>
          <w:sz w:val="24"/>
        </w:rPr>
        <w:t>名词解释</w:t>
      </w:r>
      <w:r>
        <w:rPr>
          <w:rFonts w:hint="eastAsia"/>
          <w:color w:val="auto"/>
          <w:sz w:val="24"/>
          <w:lang w:val="en-US" w:eastAsia="zh-CN"/>
        </w:rPr>
        <w:t>…………………………………………………………………</w:t>
      </w:r>
      <w:r>
        <w:rPr>
          <w:rFonts w:ascii="Times New Roman" w:eastAsia="宋体" w:cs="Times New Roman" w:hAnsi="Times New Roman" w:hint="eastAsia"/>
          <w:color w:val="auto"/>
          <w:kern w:val="2"/>
          <w:sz w:val="24"/>
          <w:szCs w:val="24"/>
          <w:lang w:val="en-US" w:eastAsia="zh-CN" w:bidi="ar-SA"/>
        </w:rPr>
        <w:t>21</w:t>
      </w:r>
    </w:p>
    <w:p>
      <w:pPr>
        <w:pStyle w:val="23"/>
        <w:tabs>
          <w:tab w:val="right" w:leader="dot" w:pos="8296"/>
        </w:tabs>
        <w:adjustRightInd w:val="0"/>
        <w:snapToGrid w:val="0"/>
        <w:spacing w:before="0" w:line="440" w:lineRule="exact"/>
        <w:jc w:val="left"/>
        <w:rPr>
          <w:color w:val="auto"/>
          <w:sz w:val="24"/>
          <w:lang w:val="en-US"/>
        </w:rPr>
      </w:pPr>
      <w:r>
        <w:rPr>
          <w:rFonts w:hint="eastAsia"/>
          <w:color w:val="auto"/>
          <w:sz w:val="24"/>
        </w:rPr>
        <w:t>第四部分</w:t>
      </w:r>
      <w:r>
        <w:rPr>
          <w:color w:val="auto"/>
          <w:sz w:val="24"/>
        </w:rPr>
        <w:t xml:space="preserve"> </w:t>
      </w:r>
      <w:r>
        <w:rPr>
          <w:rFonts w:hint="eastAsia"/>
          <w:color w:val="auto"/>
          <w:sz w:val="24"/>
        </w:rPr>
        <w:t>附件</w:t>
      </w:r>
      <w:r>
        <w:rPr>
          <w:rFonts w:hint="eastAsia"/>
          <w:color w:val="auto"/>
          <w:sz w:val="24"/>
          <w:lang w:val="en-US" w:eastAsia="zh-CN"/>
        </w:rPr>
        <w:t>………………………………………………………………………</w:t>
      </w:r>
      <w:r>
        <w:rPr>
          <w:rFonts w:ascii="Times New Roman" w:eastAsia="宋体" w:cs="Times New Roman" w:hAnsi="Times New Roman" w:hint="eastAsia"/>
          <w:color w:val="auto"/>
          <w:kern w:val="2"/>
          <w:sz w:val="24"/>
          <w:szCs w:val="24"/>
          <w:lang w:val="en-US" w:eastAsia="zh-CN" w:bidi="ar-SA"/>
        </w:rPr>
        <w:t>25</w:t>
      </w:r>
    </w:p>
    <w:p>
      <w:pPr>
        <w:keepNext w:val="0"/>
        <w:keepLines w:val="0"/>
        <w:pageBreakBefore w:val="0"/>
        <w:kinsoku/>
        <w:wordWrap/>
        <w:overflowPunct/>
        <w:topLinePunct w:val="0"/>
        <w:autoSpaceDE/>
        <w:autoSpaceDN/>
        <w:bidi w:val="0"/>
        <w:spacing w:line="572" w:lineRule="exact"/>
        <w:ind w:firstLineChars="200" w:firstLine="480"/>
        <w:jc w:val="both"/>
        <w:textAlignment w:val="auto"/>
        <w:rPr>
          <w:rFonts w:ascii="Times New Roman" w:eastAsia="宋体" w:cs="Times New Roman" w:hAnsi="Times New Roman"/>
          <w:color w:val="auto"/>
          <w:kern w:val="2"/>
          <w:sz w:val="24"/>
          <w:szCs w:val="24"/>
          <w:lang w:val="en-US" w:eastAsia="zh-CN" w:bidi="ar-SA"/>
        </w:rPr>
      </w:pPr>
      <w:r>
        <w:rPr>
          <w:rFonts w:hint="eastAsia"/>
          <w:color w:val="auto"/>
          <w:sz w:val="24"/>
          <w:lang w:val="en-US" w:eastAsia="zh-CN"/>
        </w:rPr>
        <w:t>一、</w:t>
      </w:r>
      <w:r>
        <w:rPr>
          <w:rFonts w:ascii="Times New Roman" w:eastAsia="宋体" w:cs="Times New Roman" w:hAnsi="Times New Roman" w:hint="eastAsia"/>
          <w:color w:val="auto"/>
          <w:kern w:val="2"/>
          <w:sz w:val="24"/>
          <w:szCs w:val="24"/>
          <w:lang w:val="en-US" w:eastAsia="zh-CN" w:bidi="ar-SA"/>
        </w:rPr>
        <w:t>2021年</w:t>
      </w:r>
      <w:r>
        <w:rPr>
          <w:rFonts w:cs="Times New Roman" w:hint="eastAsia"/>
          <w:color w:val="auto"/>
          <w:kern w:val="2"/>
          <w:sz w:val="24"/>
          <w:szCs w:val="24"/>
          <w:lang w:val="en-US" w:eastAsia="zh-CN" w:bidi="ar-SA"/>
        </w:rPr>
        <w:t>荣山镇</w:t>
      </w:r>
      <w:r>
        <w:rPr>
          <w:rFonts w:ascii="Times New Roman" w:eastAsia="宋体" w:cs="Times New Roman" w:hAnsi="Times New Roman" w:hint="eastAsia"/>
          <w:color w:val="auto"/>
          <w:kern w:val="2"/>
          <w:sz w:val="24"/>
          <w:szCs w:val="24"/>
          <w:lang w:val="en-US" w:eastAsia="zh-CN" w:bidi="ar-SA"/>
        </w:rPr>
        <w:t>部门整体绩效评价报告</w:t>
      </w:r>
      <w:r>
        <w:rPr>
          <w:rFonts w:hint="eastAsia"/>
          <w:color w:val="auto"/>
          <w:sz w:val="24"/>
          <w:lang w:val="en-US" w:eastAsia="zh-CN"/>
        </w:rPr>
        <w:t>…………………………………25</w:t>
      </w:r>
    </w:p>
    <w:p>
      <w:pPr>
        <w:pStyle w:val="24"/>
        <w:tabs>
          <w:tab w:val="right" w:leader="dot" w:pos="8296"/>
        </w:tabs>
        <w:adjustRightInd w:val="0"/>
        <w:snapToGrid w:val="0"/>
        <w:spacing w:line="440" w:lineRule="exact"/>
        <w:ind w:leftChars="0" w:left="0" w:firstLineChars="200" w:firstLine="480"/>
        <w:jc w:val="left"/>
        <w:rPr>
          <w:color w:val="auto"/>
          <w:sz w:val="24"/>
          <w:lang w:val="en-US" w:eastAsia="zh-CN"/>
        </w:rPr>
      </w:pPr>
      <w:r>
        <w:rPr>
          <w:rFonts w:hint="eastAsia"/>
          <w:color w:val="auto"/>
          <w:sz w:val="24"/>
          <w:lang w:val="en-US" w:eastAsia="zh-CN"/>
        </w:rPr>
        <w:t>二、2021年</w:t>
      </w:r>
      <w:r>
        <w:rPr>
          <w:rFonts w:hint="eastAsia"/>
          <w:color w:val="auto"/>
          <w:sz w:val="24"/>
          <w:lang w:val="zh-CN" w:eastAsia="zh-CN"/>
        </w:rPr>
        <w:t>专项预算项目支出绩效自评报告</w:t>
      </w:r>
      <w:r>
        <w:rPr>
          <w:rFonts w:hint="eastAsia"/>
          <w:color w:val="auto"/>
          <w:sz w:val="24"/>
          <w:lang w:val="en-US" w:eastAsia="zh-CN"/>
        </w:rPr>
        <w:t>………………………………29</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1、2021年80岁老党员生活补助</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………………29</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2、2021年消防队建设工作</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………………………32</w:t>
      </w:r>
    </w:p>
    <w:p>
      <w:pPr>
        <w:pStyle w:val="24"/>
        <w:tabs>
          <w:tab w:val="right" w:leader="dot" w:pos="8296"/>
        </w:tabs>
        <w:adjustRightInd w:val="0"/>
        <w:snapToGrid w:val="0"/>
        <w:spacing w:line="440" w:lineRule="exact"/>
        <w:ind w:firstLineChars="200" w:firstLine="420"/>
        <w:jc w:val="left"/>
        <w:rPr>
          <w:rFonts w:ascii="微软雅黑" w:eastAsia="微软雅黑" w:cs="微软雅黑" w:hAnsi="微软雅黑" w:hint="eastAsia"/>
          <w:color w:val="auto"/>
          <w:sz w:val="24"/>
          <w:lang w:val="en-US" w:eastAsia="zh-CN"/>
        </w:rPr>
      </w:pPr>
      <w:r>
        <w:rPr>
          <w:rFonts w:ascii="宋体" w:eastAsia="宋体" w:cs="宋体" w:hAnsi="宋体" w:hint="eastAsia"/>
          <w:color w:val="auto"/>
          <w:sz w:val="21"/>
          <w:szCs w:val="21"/>
          <w:lang w:val="en-US" w:eastAsia="zh-CN"/>
        </w:rPr>
        <w:t>3、</w:t>
      </w:r>
      <w:r>
        <w:rPr>
          <w:rFonts w:ascii="宋体" w:eastAsia="宋体" w:cs="宋体" w:hAnsi="宋体" w:hint="eastAsia"/>
          <w:color w:val="auto"/>
          <w:sz w:val="18"/>
          <w:szCs w:val="18"/>
          <w:lang w:val="en-US" w:eastAsia="zh-CN"/>
        </w:rPr>
        <w:t>2021年贫困村及非贫困村第一书记工作经费</w:t>
      </w:r>
      <w:r>
        <w:rPr>
          <w:rFonts w:ascii="宋体" w:eastAsia="宋体" w:cs="宋体" w:hAnsi="宋体" w:hint="eastAsia"/>
          <w:color w:val="auto"/>
          <w:sz w:val="18"/>
          <w:szCs w:val="18"/>
          <w:lang w:val="zh-CN" w:eastAsia="zh-CN"/>
        </w:rPr>
        <w:t>专项预算项目支出绩效自评报告</w:t>
      </w:r>
      <w:r>
        <w:rPr>
          <w:rFonts w:ascii="宋体" w:eastAsia="宋体" w:cs="宋体" w:hAnsi="宋体" w:hint="eastAsia"/>
          <w:color w:val="auto"/>
          <w:sz w:val="21"/>
          <w:szCs w:val="21"/>
          <w:lang w:val="en-US" w:eastAsia="zh-CN"/>
        </w:rPr>
        <w:t>……………35</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4、2021年会议费（含老体协工作经费）</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………38</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5、2021年党家岩提灌站维护</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……………………41</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6、</w:t>
      </w:r>
      <w:r>
        <w:rPr>
          <w:rFonts w:ascii="宋体" w:eastAsia="宋体" w:cs="宋体" w:hAnsi="宋体" w:hint="eastAsia"/>
          <w:color w:val="auto"/>
          <w:sz w:val="18"/>
          <w:szCs w:val="18"/>
          <w:lang w:val="en-US" w:eastAsia="zh-CN"/>
        </w:rPr>
        <w:t>2021年泉坝工业园区影响土地水改旱及土地租金</w:t>
      </w:r>
      <w:r>
        <w:rPr>
          <w:rFonts w:ascii="宋体" w:eastAsia="宋体" w:cs="宋体" w:hAnsi="宋体" w:hint="eastAsia"/>
          <w:color w:val="auto"/>
          <w:sz w:val="18"/>
          <w:szCs w:val="18"/>
          <w:lang w:val="zh-CN" w:eastAsia="zh-CN"/>
        </w:rPr>
        <w:t>专项预算项目支出绩效自评报告</w:t>
      </w:r>
      <w:r>
        <w:rPr>
          <w:rFonts w:ascii="宋体" w:eastAsia="宋体" w:cs="宋体" w:hAnsi="宋体" w:hint="eastAsia"/>
          <w:color w:val="auto"/>
          <w:sz w:val="21"/>
          <w:szCs w:val="21"/>
          <w:lang w:val="en-US" w:eastAsia="zh-CN"/>
        </w:rPr>
        <w:t>………44</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7、</w:t>
      </w:r>
      <w:r>
        <w:rPr>
          <w:rFonts w:ascii="宋体" w:eastAsia="宋体" w:cs="宋体" w:hAnsi="宋体" w:hint="eastAsia"/>
          <w:color w:val="auto"/>
          <w:sz w:val="18"/>
          <w:szCs w:val="18"/>
          <w:lang w:val="en-US" w:eastAsia="zh-CN"/>
        </w:rPr>
        <w:t>2021年场镇基础设施及路灯、绿化、环境等运行维护</w:t>
      </w:r>
      <w:r>
        <w:rPr>
          <w:rFonts w:ascii="宋体" w:eastAsia="宋体" w:cs="宋体" w:hAnsi="宋体" w:hint="eastAsia"/>
          <w:color w:val="auto"/>
          <w:sz w:val="18"/>
          <w:szCs w:val="18"/>
          <w:lang w:val="zh-CN" w:eastAsia="zh-CN"/>
        </w:rPr>
        <w:t>专项预算项目支出绩效自评报告</w:t>
      </w:r>
      <w:r>
        <w:rPr>
          <w:rFonts w:ascii="宋体" w:eastAsia="宋体" w:cs="宋体" w:hAnsi="宋体" w:hint="eastAsia"/>
          <w:color w:val="auto"/>
          <w:sz w:val="21"/>
          <w:szCs w:val="21"/>
          <w:lang w:val="en-US" w:eastAsia="zh-CN"/>
        </w:rPr>
        <w:t>…47</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sectPr>
          <w:footerReference w:type="default" r:id="rId3"/>
          <w:pgSz w:w="11906" w:h="16838"/>
          <w:pgMar w:top="1418" w:right="1418" w:bottom="1418" w:left="1418" w:header="851" w:footer="992" w:gutter="0"/>
          <w:pgNumType w:start="1"/>
          <w:cols w:num="1" w:space="720"/>
          <w:docGrid w:type="lines" w:linePitch="666" w:charSpace="0"/>
        </w:sectPr>
      </w:pP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8、2021年森林防火</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………………………………50</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9、2021年视频会议系统</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…………………………53</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10、2021年依法治区经费</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………………………56</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11、2021年基层武装</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……………………………59</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12、2021年大调解</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………………………………62</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13、2021年义务兵优待金</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………………………65</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14、2021年人大主席团及代表活动经费</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………68</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15、2021年伙食团补助</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…………………………71</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16、2021年远程教育运行维护</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…………………74</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17、2021年宅基地管理</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…………………………77</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18、2021年文化图书室免费开放</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………………80</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19、2021年计划生育宣传和免费技术检查</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……83</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20、2021年农房重建贷款清收</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…………………86</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21、2021年农村疫情防控</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………………………89</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22、2021年革命老区建设资金</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…………………92</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23、2021年岩窝村暴雨洪涝后灾害恢复重建</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…95</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24、2021年集体经济融合发展工作经费</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………98</w:t>
      </w:r>
    </w:p>
    <w:p>
      <w:pPr>
        <w:pStyle w:val="24"/>
        <w:tabs>
          <w:tab w:val="right" w:leader="dot" w:pos="8296"/>
        </w:tabs>
        <w:adjustRightInd w:val="0"/>
        <w:snapToGrid w:val="0"/>
        <w:spacing w:line="440" w:lineRule="exact"/>
        <w:ind w:firstLineChars="200" w:firstLine="420"/>
        <w:jc w:val="left"/>
        <w:rPr>
          <w:rFonts w:ascii="宋体" w:eastAsia="宋体" w:cs="宋体" w:hAnsi="宋体" w:hint="eastAsia"/>
          <w:color w:val="auto"/>
          <w:sz w:val="21"/>
          <w:szCs w:val="21"/>
          <w:lang w:val="en-US" w:eastAsia="zh-CN"/>
        </w:rPr>
      </w:pPr>
      <w:r>
        <w:rPr>
          <w:rFonts w:ascii="宋体" w:eastAsia="宋体" w:cs="宋体" w:hAnsi="宋体" w:hint="eastAsia"/>
          <w:color w:val="auto"/>
          <w:sz w:val="21"/>
          <w:szCs w:val="21"/>
          <w:lang w:val="en-US" w:eastAsia="zh-CN"/>
        </w:rPr>
        <w:t>25、2021年和平洪灾水毁治理工程</w:t>
      </w:r>
      <w:r>
        <w:rPr>
          <w:rFonts w:ascii="宋体" w:eastAsia="宋体" w:cs="宋体" w:hAnsi="宋体" w:hint="eastAsia"/>
          <w:color w:val="auto"/>
          <w:sz w:val="21"/>
          <w:szCs w:val="21"/>
          <w:lang w:val="zh-CN" w:eastAsia="zh-CN"/>
        </w:rPr>
        <w:t>专项预算项目支出绩效自评报告</w:t>
      </w:r>
      <w:r>
        <w:rPr>
          <w:rFonts w:ascii="宋体" w:eastAsia="宋体" w:cs="宋体" w:hAnsi="宋体" w:hint="eastAsia"/>
          <w:color w:val="auto"/>
          <w:sz w:val="21"/>
          <w:szCs w:val="21"/>
          <w:lang w:val="en-US" w:eastAsia="zh-CN"/>
        </w:rPr>
        <w:t>……………101</w:t>
      </w:r>
    </w:p>
    <w:p>
      <w:pPr>
        <w:pStyle w:val="24"/>
        <w:tabs>
          <w:tab w:val="right" w:leader="dot" w:pos="8296"/>
        </w:tabs>
        <w:adjustRightInd w:val="0"/>
        <w:snapToGrid w:val="0"/>
        <w:spacing w:line="440" w:lineRule="exact"/>
        <w:ind w:leftChars="0" w:left="0" w:firstLineChars="200" w:firstLine="480"/>
        <w:jc w:val="left"/>
        <w:rPr>
          <w:rFonts w:hint="eastAsia"/>
          <w:color w:val="auto"/>
          <w:sz w:val="24"/>
          <w:lang w:val="en-US" w:eastAsia="zh-CN"/>
        </w:rPr>
      </w:pPr>
      <w:r>
        <w:rPr>
          <w:rFonts w:hint="eastAsia"/>
          <w:color w:val="auto"/>
          <w:sz w:val="24"/>
          <w:lang w:val="en-US" w:eastAsia="zh-CN"/>
        </w:rPr>
        <w:t>三、2021年100万元以上（含）特定目标类部门预算项目绩效目标自评…</w:t>
      </w:r>
      <w:r>
        <w:rPr>
          <w:rFonts w:ascii="宋体" w:eastAsia="宋体" w:cs="宋体" w:hAnsi="宋体" w:hint="eastAsia"/>
          <w:color w:val="auto"/>
          <w:sz w:val="21"/>
          <w:szCs w:val="21"/>
          <w:lang w:val="en-US" w:eastAsia="zh-CN"/>
        </w:rPr>
        <w:t>104</w:t>
      </w:r>
    </w:p>
    <w:p>
      <w:pPr>
        <w:pStyle w:val="24"/>
        <w:tabs>
          <w:tab w:val="right" w:leader="dot" w:pos="8296"/>
        </w:tabs>
        <w:adjustRightInd w:val="0"/>
        <w:snapToGrid w:val="0"/>
        <w:spacing w:line="440" w:lineRule="exact"/>
        <w:ind w:firstLineChars="200" w:firstLine="480"/>
        <w:jc w:val="left"/>
        <w:rPr>
          <w:rFonts w:hint="eastAsia"/>
          <w:color w:val="auto"/>
          <w:sz w:val="24"/>
        </w:rPr>
      </w:pPr>
      <w:r>
        <w:rPr>
          <w:rFonts w:hint="eastAsia"/>
          <w:color w:val="auto"/>
          <w:sz w:val="24"/>
          <w:lang w:val="en-US" w:eastAsia="zh-CN"/>
        </w:rPr>
        <w:t>2021年革命老区建设资金部门预算项目绩效目标自评…………………</w:t>
      </w:r>
      <w:r>
        <w:rPr>
          <w:rFonts w:ascii="宋体" w:eastAsia="宋体" w:cs="宋体" w:hAnsi="宋体" w:hint="eastAsia"/>
          <w:color w:val="auto"/>
          <w:sz w:val="21"/>
          <w:szCs w:val="21"/>
          <w:lang w:val="en-US" w:eastAsia="zh-CN"/>
        </w:rPr>
        <w:t>104</w:t>
      </w:r>
    </w:p>
    <w:p>
      <w:pPr>
        <w:pStyle w:val="23"/>
        <w:tabs>
          <w:tab w:val="right" w:leader="dot" w:pos="8296"/>
        </w:tabs>
        <w:adjustRightInd w:val="0"/>
        <w:snapToGrid w:val="0"/>
        <w:spacing w:before="0" w:line="440" w:lineRule="exact"/>
        <w:jc w:val="left"/>
        <w:rPr>
          <w:rFonts w:cs="Arial"/>
          <w:color w:val="auto"/>
          <w:sz w:val="24"/>
          <w:szCs w:val="24"/>
          <w:lang w:val="en-US"/>
        </w:rPr>
      </w:pPr>
      <w:r>
        <w:rPr>
          <w:rFonts w:hint="eastAsia"/>
          <w:color w:val="auto"/>
          <w:sz w:val="24"/>
        </w:rPr>
        <w:t>第五部分</w:t>
      </w:r>
      <w:r>
        <w:rPr>
          <w:color w:val="auto"/>
          <w:sz w:val="24"/>
        </w:rPr>
        <w:t xml:space="preserve"> </w:t>
      </w:r>
      <w:r>
        <w:rPr>
          <w:rFonts w:hint="eastAsia"/>
          <w:color w:val="auto"/>
          <w:sz w:val="24"/>
        </w:rPr>
        <w:t>附表</w:t>
      </w:r>
      <w:r>
        <w:rPr>
          <w:rFonts w:hint="eastAsia"/>
          <w:color w:val="auto"/>
          <w:sz w:val="24"/>
          <w:lang w:val="en-US" w:eastAsia="zh-CN"/>
        </w:rPr>
        <w:t>………………………………………………………………………</w:t>
      </w:r>
      <w:r>
        <w:rPr>
          <w:rFonts w:ascii="Times New Roman" w:eastAsia="宋体" w:cs="Times New Roman" w:hAnsi="Times New Roman" w:hint="eastAsia"/>
          <w:color w:val="auto"/>
          <w:kern w:val="2"/>
          <w:sz w:val="24"/>
          <w:szCs w:val="24"/>
          <w:lang w:val="en-US" w:eastAsia="zh-CN" w:bidi="ar-SA"/>
        </w:rPr>
        <w:t>108</w:t>
      </w:r>
    </w:p>
    <w:p>
      <w:pPr>
        <w:pStyle w:val="24"/>
        <w:tabs>
          <w:tab w:val="right" w:leader="dot" w:pos="8296"/>
        </w:tabs>
        <w:adjustRightInd w:val="0"/>
        <w:snapToGrid w:val="0"/>
        <w:spacing w:line="440" w:lineRule="exact"/>
        <w:jc w:val="left"/>
        <w:rPr>
          <w:rFonts w:ascii="仿宋" w:eastAsia="仿宋" w:cs="Arial" w:hAnsi="仿宋"/>
          <w:color w:val="auto"/>
          <w:sz w:val="24"/>
        </w:rPr>
      </w:pPr>
      <w:r>
        <w:rPr>
          <w:rFonts w:ascii="仿宋" w:eastAsia="仿宋" w:hAnsi="仿宋" w:hint="eastAsia"/>
          <w:color w:val="auto"/>
          <w:sz w:val="24"/>
        </w:rPr>
        <w:t>一、</w:t>
      </w:r>
      <w:r>
        <w:rPr>
          <w:rFonts w:hint="eastAsia"/>
          <w:color w:val="auto"/>
          <w:sz w:val="24"/>
        </w:rPr>
        <w:t>收入支出决算总表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二、收入决算表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三、支出决算表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四、财政拨款收入支出决算总表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五、财政拨款支出决算明细表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六、一般公共预算财政拨款支出决算表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七、一般公共预算财政拨款支出决算明细表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八、一般公共预算财政拨款基本支出决算表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九、一般公共预算财政拨款项目支出决算表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sectPr>
          <w:footerReference w:type="default" r:id="rId4"/>
          <w:pgSz w:w="11906" w:h="16838"/>
          <w:pgMar w:top="1418" w:right="1418" w:bottom="1418" w:left="1418" w:header="851" w:footer="992" w:gutter="0"/>
          <w:pgNumType w:start="1"/>
          <w:cols w:num="1" w:space="720"/>
          <w:docGrid w:type="lines" w:linePitch="666" w:charSpace="0"/>
        </w:sectPr>
      </w:pPr>
      <w:r>
        <w:rPr>
          <w:rFonts w:ascii="宋体" w:eastAsia="宋体" w:cs="宋体" w:hAnsi="宋体" w:hint="eastAsia"/>
          <w:color w:val="auto"/>
          <w:sz w:val="24"/>
        </w:rPr>
        <w:t>十、一般公共预算财政拨款“三公”经费支出决算表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十一、政府性基金预算财政拨款收入支出决算表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十二、政府性基金预算财政拨款“三公”经费支出决算表</w:t>
      </w:r>
    </w:p>
    <w:p>
      <w:pPr>
        <w:pStyle w:val="24"/>
        <w:tabs>
          <w:tab w:val="right" w:leader="dot" w:pos="8296"/>
        </w:tabs>
        <w:adjustRightInd w:val="0"/>
        <w:snapToGrid w:val="0"/>
        <w:spacing w:line="440" w:lineRule="exact"/>
        <w:jc w:val="left"/>
        <w:rPr>
          <w:rFonts w:ascii="宋体" w:eastAsia="宋体" w:cs="宋体" w:hAnsi="宋体" w:hint="eastAsia"/>
          <w:color w:val="auto"/>
          <w:sz w:val="24"/>
        </w:rPr>
      </w:pPr>
      <w:r>
        <w:rPr>
          <w:rFonts w:ascii="宋体" w:eastAsia="宋体" w:cs="宋体" w:hAnsi="宋体" w:hint="eastAsia"/>
          <w:color w:val="auto"/>
          <w:sz w:val="24"/>
        </w:rPr>
        <w:t>十三、国有资本经营预算</w:t>
      </w:r>
      <w:r>
        <w:rPr>
          <w:rFonts w:ascii="宋体" w:eastAsia="宋体" w:cs="宋体" w:hAnsi="宋体" w:hint="eastAsia"/>
          <w:color w:val="auto"/>
          <w:sz w:val="24"/>
          <w:lang w:eastAsia="zh-CN"/>
        </w:rPr>
        <w:t>财政拨款收入</w:t>
      </w:r>
      <w:r>
        <w:rPr>
          <w:rFonts w:ascii="宋体" w:eastAsia="宋体" w:cs="宋体" w:hAnsi="宋体" w:hint="eastAsia"/>
          <w:color w:val="auto"/>
          <w:sz w:val="24"/>
        </w:rPr>
        <w:t>支出决算表</w:t>
      </w:r>
    </w:p>
    <w:p>
      <w:pPr>
        <w:pStyle w:val="24"/>
        <w:tabs>
          <w:tab w:val="right" w:leader="dot" w:pos="8296"/>
        </w:tabs>
        <w:adjustRightInd w:val="0"/>
        <w:snapToGrid w:val="0"/>
        <w:spacing w:line="440" w:lineRule="exact"/>
        <w:jc w:val="left"/>
        <w:rPr>
          <w:rFonts w:ascii="宋体" w:eastAsia="宋体" w:cs="宋体" w:hAnsi="宋体" w:hint="eastAsia"/>
          <w:color w:val="auto"/>
          <w:sz w:val="24"/>
          <w:lang w:val="en-US" w:eastAsia="zh-CN"/>
        </w:rPr>
      </w:pPr>
      <w:r>
        <w:rPr>
          <w:rFonts w:ascii="宋体" w:eastAsia="宋体" w:cs="宋体" w:hAnsi="宋体" w:hint="eastAsia"/>
          <w:color w:val="auto"/>
          <w:sz w:val="24"/>
          <w:lang w:val="en-US" w:eastAsia="zh-CN"/>
        </w:rPr>
        <w:t>十四、国有资本经营预算财政拨款支出决算表</w:t>
      </w:r>
    </w:p>
    <w:p>
      <w:pPr>
        <w:pStyle w:val="1"/>
        <w:jc w:val="center"/>
        <w:rPr>
          <w:rFonts w:ascii="黑体" w:eastAsia="黑体" w:hAnsi="黑体" w:hint="eastAsia"/>
          <w:b w:val="0"/>
          <w:color w:val="auto"/>
        </w:rPr>
        <w:sectPr>
          <w:footerReference w:type="default" r:id="rId5"/>
          <w:pgSz w:w="11906" w:h="16838"/>
          <w:pgMar w:top="1418" w:right="1418" w:bottom="1418" w:left="1418" w:header="851" w:footer="992" w:gutter="0"/>
          <w:pgNumType w:start="1"/>
          <w:cols w:num="1" w:space="720"/>
          <w:docGrid w:type="lines" w:linePitch="666" w:charSpace="0"/>
        </w:sectPr>
      </w:pPr>
      <w:bookmarkStart w:id="13" w:name="_Toc15377196"/>
      <w:bookmarkStart w:id="14" w:name="_Toc15396599"/>
    </w:p>
    <w:p>
      <w:pPr>
        <w:pStyle w:val="1"/>
        <w:jc w:val="center"/>
        <w:rPr>
          <w:rFonts w:ascii="黑体" w:eastAsia="黑体"/>
          <w:color w:val="auto"/>
          <w:sz w:val="32"/>
          <w:szCs w:val="32"/>
        </w:rPr>
      </w:pPr>
      <w:r>
        <w:rPr>
          <w:rFonts w:ascii="黑体" w:eastAsia="黑体" w:hAnsi="黑体" w:hint="eastAsia"/>
          <w:b w:val="0"/>
          <w:color w:val="auto"/>
        </w:rPr>
        <w:t xml:space="preserve">第一部分 </w:t>
      </w:r>
      <w:r>
        <w:rPr>
          <w:rStyle w:val="1Char"/>
          <w:rFonts w:ascii="黑体" w:eastAsia="黑体" w:hAnsi="黑体" w:hint="eastAsia"/>
          <w:b w:val="0"/>
          <w:bCs w:val="0"/>
          <w:color w:val="auto"/>
        </w:rPr>
        <w:t>部门概况</w:t>
      </w:r>
      <w:bookmarkEnd w:id="13"/>
      <w:bookmarkEnd w:id="14"/>
    </w:p>
    <w:p>
      <w:pPr>
        <w:pStyle w:val="2"/>
        <w:rPr>
          <w:rStyle w:val="2Char"/>
          <w:rFonts w:ascii="仿宋" w:eastAsia="仿宋" w:hAnsi="仿宋"/>
          <w:b w:val="0"/>
          <w:bCs w:val="0"/>
          <w:color w:val="auto"/>
        </w:rPr>
      </w:pPr>
      <w:bookmarkStart w:id="15" w:name="_Toc15377197"/>
      <w:bookmarkStart w:id="16" w:name="_Toc15396600"/>
      <w:r>
        <w:rPr>
          <w:rFonts w:ascii="黑体" w:eastAsia="黑体" w:hAnsi="黑体" w:hint="eastAsia"/>
          <w:b w:val="0"/>
          <w:color w:val="auto"/>
        </w:rPr>
        <w:t>一、基</w:t>
      </w:r>
      <w:r>
        <w:rPr>
          <w:rStyle w:val="2Char"/>
          <w:rFonts w:ascii="黑体" w:eastAsia="黑体" w:hAnsi="黑体" w:hint="eastAsia"/>
          <w:b w:val="0"/>
          <w:bCs w:val="0"/>
          <w:color w:val="auto"/>
        </w:rPr>
        <w:t>本职能及主要工作</w:t>
      </w:r>
      <w:bookmarkEnd w:id="15"/>
      <w:bookmarkEnd w:id="16"/>
    </w:p>
    <w:p>
      <w:pPr>
        <w:pStyle w:val="15"/>
        <w:adjustRightInd w:val="0"/>
        <w:snapToGrid w:val="0"/>
        <w:spacing w:beforeLines="0" w:before="93" w:line="600" w:lineRule="exact"/>
        <w:ind w:firstLineChars="208" w:firstLine="669"/>
        <w:outlineLvl w:val="2"/>
        <w:rPr>
          <w:rFonts w:ascii="仿宋" w:eastAsia="仿宋" w:hAnsi="仿宋" w:hint="eastAsia"/>
          <w:bCs/>
          <w:color w:val="auto"/>
          <w:sz w:val="32"/>
          <w:szCs w:val="32"/>
        </w:rPr>
      </w:pPr>
      <w:bookmarkStart w:id="17" w:name="_Toc15378445"/>
      <w:bookmarkStart w:id="18" w:name="_Toc15377198"/>
      <w:r>
        <w:rPr>
          <w:rFonts w:ascii="仿宋" w:eastAsia="仿宋" w:hAnsi="仿宋" w:hint="eastAsia"/>
          <w:bCs/>
          <w:color w:val="auto"/>
          <w:sz w:val="32"/>
          <w:szCs w:val="32"/>
        </w:rPr>
        <w:t>（一）主要职能。</w:t>
      </w:r>
      <w:bookmarkEnd w:id="17"/>
      <w:bookmarkEnd w:id="18"/>
    </w:p>
    <w:p>
      <w:pPr>
        <w:pageBreakBefore w:val="0"/>
        <w:widowControl w:val="0"/>
        <w:kinsoku/>
        <w:wordWrap/>
        <w:overflowPunct/>
        <w:topLinePunct w:val="0"/>
        <w:autoSpaceDE/>
        <w:autoSpaceDN/>
        <w:bidi w:val="0"/>
        <w:spacing w:line="576" w:lineRule="exact"/>
        <w:ind w:firstLineChars="200" w:firstLine="640"/>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1</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执行党和国家的各项方针、政策、法令、法规，在区委、区政府领导下完成各项任务。</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2</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建设社会主义物质文明和精神文明，以经济建设为中心，发展街道工业以及与居民密切相关的第三产业。</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3</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负责辖区内的社会治安综合治理，人民调解、法律服务工作，依照有关规定管理外来流动人员。</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4</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开展社区服务、拥军优属工作，负责社区优抚、社会救济、社会福利、社区文化、科普、体育、教育工作。</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5</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按照职责范围做好城市建设管理监察、计划生育、爱国卫生、市容环境卫生、环境保护、劳动就业、安全生产等管理工作。</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6</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配合有关部门做好防汛、防风、防火、防震、抢险和防灾救灾工作。</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7</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维护老年人、妇女、儿童、青少年和残疾人的合法权益，尊重少数民族的风俗习惯和保障少数民族的权益。</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hAnsi="仿宋_GB2312" w:hint="eastAsia"/>
          <w:color w:val="auto"/>
          <w:sz w:val="32"/>
          <w:szCs w:val="32"/>
        </w:rPr>
      </w:pPr>
      <w:r>
        <w:rPr>
          <w:rFonts w:ascii="仿宋_GB2312" w:eastAsia="仿宋" w:hAnsi="仿宋_GB2312" w:hint="eastAsia"/>
          <w:color w:val="auto"/>
          <w:sz w:val="32"/>
          <w:szCs w:val="32"/>
        </w:rPr>
        <w:t>8</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指导和帮助村、社区的工作，促进村、社区的依法建设和发挥自我教育、自我管理、自我服务的作用。</w:t>
      </w:r>
    </w:p>
    <w:p>
      <w:pPr>
        <w:pStyle w:val="15"/>
        <w:adjustRightInd w:val="0"/>
        <w:snapToGrid w:val="0"/>
        <w:spacing w:beforeLines="0" w:before="93" w:line="600" w:lineRule="exact"/>
        <w:ind w:firstLineChars="208" w:firstLine="669"/>
        <w:outlineLvl w:val="2"/>
        <w:rPr>
          <w:rFonts w:ascii="仿宋" w:eastAsia="仿宋" w:hAnsi="仿宋" w:hint="eastAsia"/>
          <w:bCs/>
          <w:color w:val="auto"/>
          <w:sz w:val="32"/>
          <w:szCs w:val="32"/>
        </w:rPr>
      </w:pPr>
      <w:r>
        <w:rPr>
          <w:rFonts w:ascii="仿宋_GB2312" w:eastAsia="仿宋" w:hAnsi="仿宋_GB2312" w:hint="eastAsia"/>
          <w:color w:val="auto"/>
          <w:sz w:val="32"/>
          <w:szCs w:val="32"/>
        </w:rPr>
        <w:t>9</w:t>
      </w:r>
      <w:r>
        <w:rPr>
          <w:rFonts w:ascii="仿宋_GB2312" w:eastAsia="仿宋" w:hAnsi="仿宋_GB2312" w:hint="eastAsia"/>
          <w:color w:val="auto"/>
          <w:sz w:val="32"/>
          <w:szCs w:val="32"/>
          <w:lang w:val="en-US" w:eastAsia="zh-CN"/>
        </w:rPr>
        <w:t>.</w:t>
      </w:r>
      <w:r>
        <w:rPr>
          <w:rFonts w:ascii="仿宋_GB2312" w:eastAsia="仿宋" w:hAnsi="仿宋_GB2312" w:hint="eastAsia"/>
          <w:color w:val="auto"/>
          <w:sz w:val="32"/>
          <w:szCs w:val="32"/>
        </w:rPr>
        <w:t>向市、区人民政府反映群众的意见和要求，办理人民群众的来信来访等事项。</w:t>
      </w:r>
    </w:p>
    <w:p>
      <w:pPr>
        <w:pStyle w:val="15"/>
        <w:adjustRightInd w:val="0"/>
        <w:snapToGrid w:val="0"/>
        <w:spacing w:beforeLines="0" w:before="93" w:line="600" w:lineRule="exact"/>
        <w:ind w:firstLineChars="208" w:firstLine="669"/>
        <w:outlineLvl w:val="2"/>
        <w:rPr>
          <w:rFonts w:ascii="仿宋" w:eastAsia="仿宋" w:hAnsi="仿宋" w:hint="eastAsia"/>
          <w:bCs/>
          <w:color w:val="auto"/>
          <w:sz w:val="32"/>
          <w:szCs w:val="32"/>
        </w:rPr>
      </w:pPr>
      <w:bookmarkStart w:id="19" w:name="_Toc15378446"/>
      <w:bookmarkStart w:id="20" w:name="_Toc15377199"/>
      <w:r>
        <w:rPr>
          <w:rFonts w:ascii="仿宋" w:eastAsia="仿宋" w:hAnsi="仿宋" w:hint="eastAsia"/>
          <w:bCs/>
          <w:color w:val="auto"/>
          <w:sz w:val="32"/>
          <w:szCs w:val="32"/>
        </w:rPr>
        <w:t>（二）</w:t>
      </w:r>
      <w:r>
        <w:rPr>
          <w:rFonts w:ascii="仿宋" w:eastAsia="仿宋" w:hAnsi="仿宋"/>
          <w:bCs/>
          <w:color w:val="auto"/>
          <w:sz w:val="32"/>
          <w:szCs w:val="32"/>
        </w:rPr>
        <w:t>20</w:t>
      </w:r>
      <w:r>
        <w:rPr>
          <w:rFonts w:ascii="仿宋" w:eastAsia="仿宋" w:hAnsi="仿宋" w:hint="eastAsia"/>
          <w:bCs/>
          <w:color w:val="auto"/>
          <w:sz w:val="32"/>
          <w:szCs w:val="32"/>
          <w:lang w:val="en-US" w:eastAsia="zh-CN"/>
        </w:rPr>
        <w:t>21</w:t>
      </w:r>
      <w:r>
        <w:rPr>
          <w:rFonts w:ascii="仿宋" w:eastAsia="仿宋" w:hAnsi="仿宋" w:hint="eastAsia"/>
          <w:bCs/>
          <w:color w:val="auto"/>
          <w:sz w:val="32"/>
          <w:szCs w:val="32"/>
        </w:rPr>
        <w:t>年重点工作完成情况。</w:t>
      </w:r>
      <w:bookmarkEnd w:id="19"/>
      <w:bookmarkEnd w:id="20"/>
    </w:p>
    <w:p>
      <w:pPr>
        <w:pStyle w:val="25"/>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Chars="200" w:firstLine="640"/>
        <w:jc w:val="both"/>
        <w:textAlignment w:val="auto"/>
        <w:rPr>
          <w:rFonts w:ascii="Arial" w:eastAsia="仿宋" w:cs="Arial" w:hAnsi="Arial"/>
          <w:color w:val="auto"/>
          <w:kern w:val="2"/>
          <w:sz w:val="32"/>
          <w:szCs w:val="32"/>
          <w:lang w:val="en-US" w:eastAsia="zh-CN" w:bidi="ar-SA"/>
        </w:rPr>
      </w:pPr>
      <w:r>
        <w:rPr>
          <w:rFonts w:ascii="仿宋" w:eastAsia="仿宋" w:cs="仿宋" w:hAnsi="仿宋" w:hint="eastAsia"/>
          <w:b/>
          <w:bCs w:val="0"/>
          <w:color w:val="auto"/>
          <w:sz w:val="32"/>
          <w:szCs w:val="32"/>
          <w:lang w:val="en-US" w:eastAsia="zh-CN"/>
        </w:rPr>
        <w:t>1.</w:t>
      </w:r>
      <w:r>
        <w:rPr>
          <w:rFonts w:ascii="Arial" w:eastAsia="仿宋" w:cs="Arial" w:hAnsi="Arial"/>
          <w:b/>
          <w:bCs w:val="0"/>
          <w:color w:val="auto"/>
          <w:kern w:val="2"/>
          <w:sz w:val="32"/>
          <w:szCs w:val="32"/>
          <w:lang w:val="en-US" w:eastAsia="zh-CN" w:bidi="ar-SA"/>
        </w:rPr>
        <w:t>抓项目、促发展，综合实力稳步提升。</w:t>
      </w:r>
      <w:r>
        <w:rPr>
          <w:rFonts w:ascii="Arial" w:eastAsia="仿宋" w:cs="Arial" w:hAnsi="Arial"/>
          <w:color w:val="auto"/>
          <w:kern w:val="2"/>
          <w:sz w:val="32"/>
          <w:szCs w:val="32"/>
          <w:lang w:val="en-US" w:eastAsia="zh-CN" w:bidi="ar-SA"/>
        </w:rPr>
        <w:t>主要经济指标平稳增长。全年地区生产总值实现6.13亿元、增长11.2％，较全区平均增速快2.1个百分点。规上工业产值实现6.36亿元，超区下达目标任务1600万元。招商引资到位资金12亿元，全面完成区下达目标任务。城镇居民人均可支配收入同比增长10.5％，较全区平均增速快1.2个百分点；农村居民人均可支配收入同比增长12％，较全区平均增速快0.8个百分点，城乡居民收入与主城区差距加速缩小。地方一般公共预算收入实现1920.5万元，全社会固定资产投资实现4亿元，推动全镇经济社会高质量发展迈出新步伐。项目储备入库稳中有增。滚动储备东部新城荣山镇污水治理、荣山片区防洪排涝工程、农旅融合提升示范园、农村人居环境整治等专项债或央省预算内投资等重大项目17个，总投资约52.5亿元，约占全区专项债和央省预算内项目投资总额的13.6％。重大项目建设有序推进。持续加力推动项目建设提速提效，协助做好G5京昆高速汉中至广元段扩容、北二环东延线、大荣快速通道、柏大路和荣双路改建提升、5座索改桥、渔洞河水库等重大项目前期工作，加快推进高坑滨水旅游项目、岩窝渔乐新村旅游项目基础设施建设，以高质量项目支撑高质量发展的全新格局初步构建，荣山正加速成为全区项目投资新的主战场。</w:t>
      </w:r>
    </w:p>
    <w:p>
      <w:pPr>
        <w:keepNext w:val="0"/>
        <w:keepLines w:val="0"/>
        <w:pageBreakBefore w:val="0"/>
        <w:widowControl w:val="0"/>
        <w:kinsoku/>
        <w:wordWrap/>
        <w:overflowPunct/>
        <w:topLinePunct w:val="0"/>
        <w:bidi w:val="0"/>
        <w:spacing w:line="580" w:lineRule="exact"/>
        <w:ind w:firstLineChars="200" w:firstLine="640"/>
        <w:textAlignment w:val="auto"/>
        <w:rPr>
          <w:rFonts w:ascii="Arial" w:eastAsia="仿宋" w:cs="Arial" w:hAnsi="Arial"/>
          <w:color w:val="auto"/>
          <w:kern w:val="2"/>
          <w:sz w:val="32"/>
          <w:szCs w:val="32"/>
          <w:lang w:val="en-US" w:eastAsia="zh-CN" w:bidi="ar-SA"/>
        </w:rPr>
      </w:pPr>
      <w:r>
        <w:rPr>
          <w:rFonts w:ascii="仿宋" w:eastAsia="仿宋" w:cs="仿宋" w:hAnsi="仿宋" w:hint="eastAsia"/>
          <w:b/>
          <w:bCs w:val="0"/>
          <w:color w:val="auto"/>
          <w:kern w:val="0"/>
          <w:sz w:val="32"/>
          <w:szCs w:val="32"/>
          <w:lang w:val="en-US" w:eastAsia="zh-CN"/>
        </w:rPr>
        <w:t>2.</w:t>
      </w:r>
      <w:r>
        <w:rPr>
          <w:rFonts w:ascii="仿宋" w:eastAsia="仿宋" w:cs="仿宋" w:hAnsi="仿宋"/>
          <w:b/>
          <w:bCs w:val="0"/>
          <w:color w:val="auto"/>
          <w:kern w:val="0"/>
          <w:sz w:val="32"/>
          <w:szCs w:val="32"/>
          <w:lang w:val="en-US" w:eastAsia="zh-CN"/>
        </w:rPr>
        <w:t>抓产业、强支撑，发展势头更加强劲。</w:t>
      </w:r>
      <w:r>
        <w:rPr>
          <w:rFonts w:ascii="Arial" w:eastAsia="仿宋" w:cs="Arial" w:hAnsi="Arial"/>
          <w:color w:val="auto"/>
          <w:kern w:val="2"/>
          <w:sz w:val="32"/>
          <w:szCs w:val="32"/>
          <w:lang w:val="en-US" w:eastAsia="zh-CN" w:bidi="ar-SA"/>
        </w:rPr>
        <w:t>现代农业提质提效。坚持走精品化、特色化发展路线，推动四大特色产业体系成规模、提质量。中口笋用竹和林下经济示范基地成功创建国家级示范基地。加快建设年产30万斤成鱼和百万尾鱼苗的岩窝村阳光水产现代养殖示范园区二期项目，有效支撑岩窝—和平渔业产业带创新发展、跨越发展。全镇油橄榄种植面积达1000亩以上，荣山油橄榄现代林业园区成功创建广元市三等现代林业园区。羊肚菌种植规模达到2500余亩，鱼河片区高山无公害蔬菜产业示范带规模效应初步显现，带动群众增收作用明显。康宁、君兴农业合作社成功通过有机农产品认证。文旅产业蓬勃发展。立足大山大水大森林的资源优势，充分挖掘刺绣文化、红色文化、工矿遗址文化，结合现有产业基础设施，以工矿遗址特色镇、乡村振兴示范镇为目标，大力推动岩窝渔乐新村、高坑水上乐园建设、广元监狱资产移交，加快打造东部片区乡村振兴示范样板区。工业发展取得新突破。认真落实市区“放管服”改革措施，持续优化营商环境，大力推动泉坝工业拓展园区扩面提质，37家企业总产值、工业增加值稳步提升，有序推动涌泉砖厂、科威砖厂退出搬迁。积极培育规上企业，支持广元市玉振农业生产线扩建，推动广元辉煌科技有限公司仓储物流项目建设，力争2022年内实现进规。</w:t>
      </w:r>
    </w:p>
    <w:p>
      <w:pPr>
        <w:keepNext w:val="0"/>
        <w:keepLines w:val="0"/>
        <w:pageBreakBefore w:val="0"/>
        <w:widowControl w:val="0"/>
        <w:kinsoku/>
        <w:wordWrap/>
        <w:overflowPunct/>
        <w:topLinePunct w:val="0"/>
        <w:bidi w:val="0"/>
        <w:spacing w:line="580" w:lineRule="exact"/>
        <w:ind w:firstLineChars="200" w:firstLine="640"/>
        <w:textAlignment w:val="auto"/>
        <w:rPr>
          <w:rFonts w:ascii="Arial" w:eastAsia="仿宋" w:cs="Arial" w:hAnsi="Arial"/>
          <w:color w:val="auto"/>
          <w:kern w:val="2"/>
          <w:sz w:val="32"/>
          <w:szCs w:val="32"/>
          <w:lang w:val="en-US" w:eastAsia="zh-CN" w:bidi="ar-SA"/>
        </w:rPr>
      </w:pPr>
      <w:r>
        <w:rPr>
          <w:rFonts w:ascii="仿宋" w:eastAsia="仿宋" w:cs="仿宋" w:hAnsi="仿宋" w:hint="eastAsia"/>
          <w:b/>
          <w:bCs w:val="0"/>
          <w:color w:val="auto"/>
          <w:kern w:val="0"/>
          <w:sz w:val="32"/>
          <w:szCs w:val="32"/>
          <w:lang w:val="en-US" w:eastAsia="zh-CN"/>
        </w:rPr>
        <w:t>3.</w:t>
      </w:r>
      <w:r>
        <w:rPr>
          <w:rFonts w:ascii="仿宋" w:eastAsia="仿宋" w:cs="仿宋" w:hAnsi="仿宋"/>
          <w:b/>
          <w:bCs w:val="0"/>
          <w:color w:val="auto"/>
          <w:kern w:val="0"/>
          <w:sz w:val="32"/>
          <w:szCs w:val="32"/>
          <w:lang w:val="en-US" w:eastAsia="zh-CN"/>
        </w:rPr>
        <w:t>补短板、夯基础，环境品质持续改善。</w:t>
      </w:r>
      <w:r>
        <w:rPr>
          <w:rFonts w:ascii="Arial" w:eastAsia="仿宋" w:cs="Arial" w:hAnsi="Arial"/>
          <w:color w:val="auto"/>
          <w:kern w:val="2"/>
          <w:sz w:val="32"/>
          <w:szCs w:val="32"/>
          <w:lang w:val="en-US" w:eastAsia="zh-CN" w:bidi="ar-SA"/>
        </w:rPr>
        <w:t>基础设施不断完善。按照填平补齐、完善功能、改造提升的要求，紧盯乡村建设示范创建指标，投入各类资金1350余万元。新建组道8.2公里，硬化组道11.25公里，修复水毁组道5.7公里、挡墙1470方，成功通过“四好农村公路”省级验收。改建村党群服务中心2个、文化广场2个，架设路灯92盏，实施农房改造提升510户，排查农村房屋安全隐患4721户。环境整治深入推进。组织开展环境卫生整治专项清理行动3次，发放各类宣传资料4000余份，新投放环卫设施设备360个，制作无烟单位标示标牌80个，清除堆积物和大件物品100余吨，清理各类“牛皮癣”小广告1000余处，持续修剪绿化带及行道树木2.5公里，集中开展跨门经营整治50余起，100％消除无证建设。实行月考评、“红黑榜”机制，健全奖惩办法，逗硬考核全镇12个村（社区）环境卫生，累计发现问题120余个，已全部整改销号。高坑、太山成功创建为省卫生村。镇政府机关成功创建为省无烟单位。污染防治持续发力。全面落实“河长制”，镇、村两级河长履行巡河100余次，积极开展河道保洁专项清理行动，清理河道20余公里，推动辖区河流水清、岸绿、景美。大力开展涉污企业排查行动，排查企业（场所）37家，整改问题11个。开展农村生活污水专项整治行动，改造公共厕所12座，完成户厕改造4071户；大力推动实施“千村示范工程”农村生活污水治理项目，有效解决太山、红旗、宋坪、鱼龙4个村227户749人、荣山第三小学师生319人的生活污水集中处理问题；中央生态环境保护督察问题零反馈。</w:t>
      </w:r>
    </w:p>
    <w:p>
      <w:pPr>
        <w:pStyle w:val="25"/>
        <w:keepNext w:val="0"/>
        <w:keepLines w:val="0"/>
        <w:pageBreakBefore w:val="0"/>
        <w:widowControl w:val="0"/>
        <w:kinsoku/>
        <w:wordWrap/>
        <w:overflowPunct/>
        <w:topLinePunct w:val="0"/>
        <w:bidi w:val="0"/>
        <w:spacing w:before="0" w:beforeAutospacing="0" w:after="0" w:afterAutospacing="0" w:line="580" w:lineRule="exact"/>
        <w:ind w:firstLineChars="200" w:firstLine="640"/>
        <w:jc w:val="both"/>
        <w:textAlignment w:val="auto"/>
        <w:rPr>
          <w:rFonts w:ascii="Arial" w:eastAsia="仿宋" w:cs="Arial" w:hAnsi="Arial"/>
          <w:color w:val="auto"/>
          <w:kern w:val="2"/>
          <w:sz w:val="32"/>
          <w:szCs w:val="32"/>
          <w:lang w:val="en-US" w:eastAsia="zh-CN" w:bidi="ar-SA"/>
        </w:rPr>
      </w:pPr>
      <w:r>
        <w:rPr>
          <w:rFonts w:ascii="仿宋" w:eastAsia="仿宋" w:cs="仿宋" w:hAnsi="仿宋" w:hint="eastAsia"/>
          <w:b/>
          <w:bCs w:val="0"/>
          <w:color w:val="auto"/>
          <w:kern w:val="0"/>
          <w:sz w:val="32"/>
          <w:szCs w:val="32"/>
          <w:lang w:val="en-US" w:eastAsia="zh-CN"/>
        </w:rPr>
        <w:t>4.</w:t>
      </w:r>
      <w:r>
        <w:rPr>
          <w:rFonts w:ascii="仿宋" w:eastAsia="仿宋" w:cs="仿宋" w:hAnsi="仿宋"/>
          <w:b/>
          <w:bCs w:val="0"/>
          <w:color w:val="auto"/>
          <w:kern w:val="0"/>
          <w:sz w:val="32"/>
          <w:szCs w:val="32"/>
          <w:lang w:val="en-US" w:eastAsia="zh-CN"/>
        </w:rPr>
        <w:t>抓衔接、焕新颜，乡村振兴蓄能起势。</w:t>
      </w:r>
      <w:r>
        <w:rPr>
          <w:rFonts w:ascii="Arial" w:eastAsia="仿宋" w:cs="Arial" w:hAnsi="Arial"/>
          <w:color w:val="auto"/>
          <w:kern w:val="2"/>
          <w:sz w:val="32"/>
          <w:szCs w:val="32"/>
          <w:lang w:val="en-US" w:eastAsia="zh-CN" w:bidi="ar-SA"/>
        </w:rPr>
        <w:t>持续巩固脱贫攻坚成果。严格按照“四不摘”要求，全面落实好教育、医疗、住房、饮水、保险等民生保障普惠性政策和大病救助、低保、五保等兜底性政策，健全防止返贫动态监测和帮扶机制，及时精准动态清零，对全镇12个村（社区）涉及的6000余户村（居）民进行全面摸排，现有脱贫群众941户3429人，监测户46户155人，按照“缺什么、补什么”的原则，制定 “一户一策”帮扶计划，成功通过巩固脱贫攻坚成效省级县区交叉考核验收和第三方评估考核。持续壮大集体经济。稳步推进集体资产“三权分置”改革，完成2.2万余人股权量化工作，和平走在全市前列，相关经验做法被四川观察等主流媒体报道。探索实行村集体经济组织与村委会财务事务分离，健全治理、扶持、分配、监管等机制，着力提升村集体经济组织“造血”功能。高标准完成岩窝、和平2个中省扶持村集体经济项目实施。持续推进乡村振兴。坚持“规划先行”，围绕乡村振兴五大目标，抓住“两项改革”后半篇文章优化乡村空间规划布局的重大机遇，以G5京昆高速公路汉中至广元段扩容、广元监狱资产移交、渔洞河水库建设等为契机，坚决摒弃同质化趋势，按照“有所为、有所不为”原则，统领空间保护和开发利用，按照“一镇两带五园区”的空间布局，高质量编制乡村振兴总体规划，为乡村振兴奠定坚实基础。中口村成功创建为省级乡村振兴示范村。岩窝村成功创建为市级乡村振兴示范村，两项改革“后半篇”文章出实绩、产业进村富山村被四川在线、四川农村日报报道。</w:t>
      </w:r>
    </w:p>
    <w:p>
      <w:pPr>
        <w:keepNext w:val="0"/>
        <w:keepLines w:val="0"/>
        <w:pageBreakBefore w:val="0"/>
        <w:widowControl w:val="0"/>
        <w:kinsoku/>
        <w:wordWrap/>
        <w:overflowPunct/>
        <w:topLinePunct w:val="0"/>
        <w:bidi w:val="0"/>
        <w:adjustRightInd w:val="0"/>
        <w:snapToGrid w:val="0"/>
        <w:spacing w:line="580" w:lineRule="exact"/>
        <w:ind w:firstLineChars="200" w:firstLine="640"/>
        <w:textAlignment w:val="auto"/>
        <w:rPr>
          <w:rFonts w:ascii="Arial" w:eastAsia="仿宋" w:cs="Arial" w:hAnsi="Arial"/>
          <w:color w:val="auto"/>
          <w:kern w:val="2"/>
          <w:sz w:val="32"/>
          <w:szCs w:val="32"/>
          <w:lang w:val="en-US" w:eastAsia="zh-CN" w:bidi="ar-SA"/>
        </w:rPr>
      </w:pPr>
      <w:r>
        <w:rPr>
          <w:rFonts w:ascii="仿宋" w:eastAsia="仿宋" w:cs="仿宋" w:hAnsi="仿宋" w:hint="eastAsia"/>
          <w:b/>
          <w:bCs w:val="0"/>
          <w:color w:val="auto"/>
          <w:kern w:val="0"/>
          <w:sz w:val="32"/>
          <w:szCs w:val="32"/>
          <w:lang w:val="en-US" w:eastAsia="zh-CN"/>
        </w:rPr>
        <w:t>5.</w:t>
      </w:r>
      <w:r>
        <w:rPr>
          <w:rFonts w:ascii="仿宋" w:eastAsia="仿宋" w:cs="仿宋" w:hAnsi="仿宋"/>
          <w:b/>
          <w:bCs w:val="0"/>
          <w:color w:val="auto"/>
          <w:kern w:val="0"/>
          <w:sz w:val="32"/>
          <w:szCs w:val="32"/>
          <w:lang w:val="en-US" w:eastAsia="zh-CN"/>
        </w:rPr>
        <w:t>抓平安、稳和谐，社会治理不断加强。</w:t>
      </w:r>
      <w:r>
        <w:rPr>
          <w:rFonts w:ascii="Arial" w:eastAsia="仿宋" w:cs="Arial" w:hAnsi="Arial"/>
          <w:color w:val="auto"/>
          <w:kern w:val="2"/>
          <w:sz w:val="32"/>
          <w:szCs w:val="32"/>
          <w:lang w:val="en-US" w:eastAsia="zh-CN" w:bidi="ar-SA"/>
        </w:rPr>
        <w:t>大力推动平安荣山建设。全面落实“大一统”情报系统，实施“发点球”挂牌化解重大涉稳问题工作机制，按照“五包”“五定”工作要求，有效化解18个重点人员、重要群体涉稳、涉诉、涉信等突出问题。扎实推进扫黑除恶、扫黄打非、创建无毒乡镇等专项行动，持续深化平安“细胞”创建和基层平安建设，完成11个区级“六无”村（社区）创建，和平村成功创建为市级“六无”平安村。大力排查化解矛盾纠纷。严格落实“区域管辖，分级负责”的政法工作责任制，健全完善常态排查机制，持续深入推行“1133”工作法，切实做到对合理诉求及时化解到位。全年共排查矛盾纠纷问题84个，调处化解65个；受理12345热线等信访问题279件，办结率100％。实现网格服务管理全覆盖，全年协调处理事件1364件，协助宣传发布信息累计324条。大力优化法治环境。不断完善依法行政工作制度，加强规范性文件管理，加大落实政府信息公开力度，镇政府信息公开100余条。充分利用各种节日节点，积极开展内容丰富的法治培训、宣传活动，扎实开展“法律七进”“一村一法律顾问”、法治乡村示范创建行动，社会治安环境持续改善，成功创建市级文明村和文明单位各1个。</w:t>
      </w:r>
    </w:p>
    <w:p>
      <w:pPr>
        <w:keepNext w:val="0"/>
        <w:keepLines w:val="0"/>
        <w:pageBreakBefore w:val="0"/>
        <w:widowControl w:val="0"/>
        <w:kinsoku/>
        <w:wordWrap/>
        <w:overflowPunct/>
        <w:topLinePunct w:val="0"/>
        <w:bidi w:val="0"/>
        <w:spacing w:line="580" w:lineRule="exact"/>
        <w:ind w:firstLineChars="200" w:firstLine="640"/>
        <w:textAlignment w:val="auto"/>
        <w:rPr>
          <w:rFonts w:ascii="Arial" w:eastAsia="仿宋" w:cs="Arial" w:hAnsi="Arial"/>
          <w:color w:val="auto"/>
          <w:kern w:val="2"/>
          <w:sz w:val="32"/>
          <w:szCs w:val="32"/>
          <w:lang w:val="en-US" w:eastAsia="zh-CN" w:bidi="ar-SA"/>
        </w:rPr>
      </w:pPr>
      <w:r>
        <w:rPr>
          <w:rFonts w:ascii="仿宋" w:eastAsia="仿宋" w:cs="仿宋" w:hAnsi="仿宋" w:hint="eastAsia"/>
          <w:b/>
          <w:bCs w:val="0"/>
          <w:color w:val="auto"/>
          <w:kern w:val="0"/>
          <w:sz w:val="32"/>
          <w:szCs w:val="32"/>
          <w:lang w:val="en-US" w:eastAsia="zh-CN"/>
        </w:rPr>
        <w:t>6.</w:t>
      </w:r>
      <w:r>
        <w:rPr>
          <w:rFonts w:ascii="仿宋" w:eastAsia="仿宋" w:cs="仿宋" w:hAnsi="仿宋"/>
          <w:b/>
          <w:bCs w:val="0"/>
          <w:color w:val="auto"/>
          <w:kern w:val="0"/>
          <w:sz w:val="32"/>
          <w:szCs w:val="32"/>
          <w:lang w:val="en-US" w:eastAsia="zh-CN"/>
        </w:rPr>
        <w:t>打基础、突重点，民生福祉稳步提升。</w:t>
      </w:r>
      <w:r>
        <w:rPr>
          <w:rFonts w:ascii="Arial" w:eastAsia="仿宋" w:cs="Arial" w:hAnsi="Arial"/>
          <w:color w:val="auto"/>
          <w:kern w:val="2"/>
          <w:sz w:val="32"/>
          <w:szCs w:val="32"/>
          <w:lang w:val="en-US" w:eastAsia="zh-CN" w:bidi="ar-SA"/>
        </w:rPr>
        <w:t>疫情防控精准有力。严格落实“四早”“四集中”要求，做好外防输入、内防反弹工作，抓好重点人群和重点场所管控，安全有序快速推进疫苗接种工作。成立网格化管理专班，组建13支党员突击队，12支“五包一”队伍，实行“三个二”工作制，构建起“联防联控、群防群治”的疫情防控体系，持续保持“双零”记录。全年精准排查返广人员2361人，严格管控297人， 摸排境外数据88人，累计接种疫苗人数达13231人，超目标任务600人次。逗硬落实红白喜事风险评估制度，劝导婚庆延办23场次，葬礼简办8场次，取消庙会、灯会、庆典等群众性活动14场次。安全生产态势良好。牢固树立“人民至上、生命</w:t>
      </w:r>
      <w:r>
        <w:rPr>
          <w:rFonts w:ascii="Arial" w:eastAsia="仿宋" w:cs="Arial" w:hAnsi="Arial" w:hint="eastAsia"/>
          <w:color w:val="auto"/>
          <w:kern w:val="2"/>
          <w:sz w:val="32"/>
          <w:szCs w:val="32"/>
          <w:lang w:val="en-US" w:eastAsia="zh-CN" w:bidi="ar-SA"/>
        </w:rPr>
        <w:t>至</w:t>
      </w:r>
      <w:r>
        <w:rPr>
          <w:rFonts w:ascii="Arial" w:eastAsia="仿宋" w:cs="Arial" w:hAnsi="Arial"/>
          <w:color w:val="auto"/>
          <w:kern w:val="2"/>
          <w:sz w:val="32"/>
          <w:szCs w:val="32"/>
          <w:lang w:val="en-US" w:eastAsia="zh-CN" w:bidi="ar-SA"/>
        </w:rPr>
        <w:t>上”理念，认真落实“三管三必须”要求，扛牢守护一方平安重大政治责任，全镇安全生产形势持续向好、稳定可控，全年无重大及以上安全生产事故发生。面对“10·4”暴雨造成全镇住房受损66户255间、倒塌104间，两条县道、村组道路多处沉陷垮塌，水利基础设施多处严重损毁，经济损失约8200万元的重大灾情，紧急转移安置86户282人，取得无一人伤亡、无一人失踪的重大战果，相关经验做法被中央电视台和四川电视台多次报道。狠抓安全隐患排查整治，全年开展安全宣传和技能培训8次，开展应急演练4次、安全检查118次、排查整治各类安全隐患200余起。严格落实省市区森林防火命令，组织开展森林防火宣传专题会8次，森林扑火队伍培训2次，应急演练10次，严格划分森林防火区，常态化做好护林巡查和卡口值守，严控火种火源，有效防范森林火灾火险发生。统筹发展科教文卫事业。全面落实国家14项基本公共卫生服务项目，电子建档率94％，动态管理率92％。形成了村有室、片有站、镇有院的三级医疗卫生体系，家庭医生签约率达88％。两所学校升学率全面提升，普高升学率达70％以上。开展劳动技能培训267人次，组织就业扶贫专场招聘会解决就业岗位150个，开发公益性岗位94个，帮助农民工转移就业75人。推广使用“码上荣山”“四川天府通”，畅通群众审批办事网上渠道。认真落实政务服务“好差评”工作，推动政务服务中心等部门，从“群众来找办事”向“去找群众办事”转变，全年办结事项群众满意度达100％。城镇居民基本医疗保险、城乡居民养老保险实现全覆盖，全年申报发放临时困难救助136户。</w:t>
      </w:r>
    </w:p>
    <w:p>
      <w:pPr>
        <w:pStyle w:val="15"/>
        <w:adjustRightInd w:val="0"/>
        <w:snapToGrid w:val="0"/>
        <w:spacing w:beforeLines="0" w:before="93" w:line="600" w:lineRule="exact"/>
        <w:ind w:firstLineChars="208" w:firstLine="669"/>
        <w:outlineLvl w:val="2"/>
        <w:rPr>
          <w:rFonts w:ascii="仿宋" w:eastAsia="仿宋" w:hAnsi="仿宋" w:hint="eastAsia"/>
          <w:bCs/>
          <w:color w:val="auto"/>
          <w:sz w:val="32"/>
          <w:szCs w:val="32"/>
        </w:rPr>
      </w:pPr>
      <w:r>
        <w:rPr>
          <w:rFonts w:ascii="仿宋" w:eastAsia="仿宋" w:cs="仿宋" w:hAnsi="仿宋" w:hint="eastAsia"/>
          <w:b/>
          <w:bCs w:val="0"/>
          <w:color w:val="auto"/>
          <w:kern w:val="0"/>
          <w:sz w:val="32"/>
          <w:szCs w:val="32"/>
          <w:lang w:val="en-US" w:eastAsia="zh-CN"/>
        </w:rPr>
        <w:t>7.</w:t>
      </w:r>
      <w:r>
        <w:rPr>
          <w:rFonts w:ascii="仿宋" w:eastAsia="仿宋" w:cs="仿宋" w:hAnsi="仿宋"/>
          <w:b/>
          <w:bCs w:val="0"/>
          <w:color w:val="auto"/>
          <w:kern w:val="0"/>
          <w:sz w:val="32"/>
          <w:szCs w:val="32"/>
          <w:lang w:val="en-US" w:eastAsia="zh-CN"/>
        </w:rPr>
        <w:t>转作风、提效能，自身建设不断加强。</w:t>
      </w:r>
      <w:r>
        <w:rPr>
          <w:rFonts w:ascii="Arial" w:eastAsia="仿宋" w:cs="Arial" w:hAnsi="Arial"/>
          <w:color w:val="auto"/>
          <w:kern w:val="2"/>
          <w:sz w:val="32"/>
          <w:szCs w:val="32"/>
          <w:lang w:val="en-US" w:eastAsia="zh-CN" w:bidi="ar-SA"/>
        </w:rPr>
        <w:t>始终把思想政治建设摆在首位。深入推进全面从严治党，认真学习贯彻党的十九届五中、六中全会，省委十一届九次、十次全会精神，坚决捍卫“两个确立”，不断增强“四个意识”、坚定“四个自信”、做到“两个维护”。扎实开展党史学习教育，大力弘扬伟大建党精神，认真开展“我为群众办实事”活动，解决民生问题100余件。精心组织</w:t>
      </w:r>
      <w:r>
        <w:rPr>
          <w:rFonts w:ascii="Arial" w:eastAsia="仿宋" w:cs="Arial" w:hAnsi="Arial" w:hint="eastAsia"/>
          <w:color w:val="auto"/>
          <w:kern w:val="2"/>
          <w:sz w:val="32"/>
          <w:szCs w:val="32"/>
          <w:lang w:val="en-US" w:eastAsia="zh-CN" w:bidi="ar-SA"/>
        </w:rPr>
        <w:t>建党100周年庆祝活动</w:t>
      </w:r>
      <w:r>
        <w:rPr>
          <w:rFonts w:ascii="Arial" w:eastAsia="仿宋" w:cs="Arial" w:hAnsi="Arial"/>
          <w:color w:val="auto"/>
          <w:kern w:val="2"/>
          <w:sz w:val="32"/>
          <w:szCs w:val="32"/>
          <w:lang w:val="en-US" w:eastAsia="zh-CN" w:bidi="ar-SA"/>
        </w:rPr>
        <w:t>，评选市、区、镇“两优一先”26个。基层组织战斗力持续提升。圆满完成镇政府班子和村（社区）居民委员会换届工作，干部年龄、知识结构进一步优化。持续巩固村（社区）换届成果，加强4个村级班子建设，调整2名党组织书记、1名副书记，补选副主任1人、委员2人，不断提升基层党组织政治功能和组织力。中口村党支部被评为全市抗击新冠肺炎疫情先进集体、全市先进基层党组织。干部队伍精神更加饱满。大力推进发展赋能行动，举办培训班11场（次），培训党员干部300余人（次）。坚持靶向纠治、细化从严治党“14＋10＋8”三张责任清单，开展谈心谈话200余人次。严肃换届纪律，强化警示教育，下发通报3期，警示约谈3人次，批评教育1人，集中约谈5人，党纪处分7人。扎实开展“刹四风、强作风、抓落实”专项行动和干部纪律作风整顿工作，围绕“小进即满、不思进取”等12个方面突出问题，共查摆问题723个，已整改719个，整改进度达99.45％。</w:t>
      </w:r>
    </w:p>
    <w:p>
      <w:pPr>
        <w:pStyle w:val="2"/>
        <w:rPr>
          <w:rFonts w:ascii="仿宋" w:eastAsia="仿宋" w:hAnsi="仿宋"/>
          <w:color w:val="auto"/>
          <w:sz w:val="32"/>
          <w:szCs w:val="32"/>
        </w:rPr>
      </w:pPr>
      <w:bookmarkStart w:id="21" w:name="_Toc15377200"/>
      <w:bookmarkStart w:id="22" w:name="_Toc15396601"/>
      <w:r>
        <w:rPr>
          <w:rFonts w:ascii="黑体" w:eastAsia="黑体" w:hint="eastAsia"/>
          <w:b w:val="0"/>
          <w:color w:val="auto"/>
        </w:rPr>
        <w:t>二、</w:t>
      </w:r>
      <w:r>
        <w:rPr>
          <w:rFonts w:ascii="黑体" w:eastAsia="黑体" w:hAnsi="黑体" w:hint="eastAsia"/>
          <w:b w:val="0"/>
          <w:color w:val="auto"/>
        </w:rPr>
        <w:t>机</w:t>
      </w:r>
      <w:r>
        <w:rPr>
          <w:rStyle w:val="2Char"/>
          <w:rFonts w:ascii="黑体" w:eastAsia="黑体" w:hAnsi="黑体" w:hint="eastAsia"/>
          <w:b w:val="0"/>
          <w:bCs w:val="0"/>
          <w:color w:val="auto"/>
        </w:rPr>
        <w:t>构设置</w:t>
      </w:r>
      <w:bookmarkEnd w:id="21"/>
      <w:bookmarkEnd w:id="22"/>
    </w:p>
    <w:p>
      <w:pPr>
        <w:pStyle w:val="2"/>
        <w:keepNext/>
        <w:keepLines/>
        <w:pageBreakBefore w:val="0"/>
        <w:kinsoku/>
        <w:wordWrap/>
        <w:overflowPunct/>
        <w:topLinePunct w:val="0"/>
        <w:autoSpaceDE/>
        <w:autoSpaceDN/>
        <w:bidi w:val="0"/>
        <w:spacing w:before="0" w:after="0" w:line="576" w:lineRule="exact"/>
        <w:ind w:left="0" w:firstLineChars="200" w:firstLine="640"/>
        <w:textAlignment w:val="auto"/>
        <w:rPr>
          <w:rFonts w:ascii="仿宋_GB2312" w:eastAsia="仿宋" w:cs="Times New Roman" w:hAnsi="Times New Roman" w:hint="eastAsia"/>
          <w:b w:val="0"/>
          <w:bCs w:val="0"/>
          <w:color w:val="auto"/>
          <w:kern w:val="2"/>
          <w:sz w:val="32"/>
          <w:szCs w:val="32"/>
          <w:lang w:val="en-US" w:eastAsia="zh-CN" w:bidi="ar-SA"/>
        </w:rPr>
      </w:pPr>
      <w:r>
        <w:rPr>
          <w:rFonts w:ascii="仿宋_GB2312" w:eastAsia="仿宋" w:cs="Times New Roman" w:hAnsi="Times New Roman" w:hint="eastAsia"/>
          <w:b w:val="0"/>
          <w:bCs w:val="0"/>
          <w:color w:val="auto"/>
          <w:kern w:val="2"/>
          <w:sz w:val="32"/>
          <w:szCs w:val="32"/>
          <w:lang w:val="en-US" w:eastAsia="zh-CN" w:bidi="ar-SA"/>
        </w:rPr>
        <w:t>荣山镇人民政府属一级预算单位，无下属的二级预算单位。</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cs="Times New Roman" w:hAnsi="Times New Roman" w:hint="eastAsia"/>
          <w:color w:val="auto"/>
          <w:sz w:val="32"/>
          <w:szCs w:val="32"/>
          <w:lang w:eastAsia="zh-CN"/>
        </w:rPr>
      </w:pPr>
      <w:r>
        <w:rPr>
          <w:rFonts w:ascii="仿宋_GB2312" w:eastAsia="仿宋" w:hAnsi="仿宋_GB2312" w:hint="eastAsia"/>
          <w:color w:val="auto"/>
          <w:sz w:val="32"/>
          <w:szCs w:val="32"/>
          <w:lang w:eastAsia="zh-CN"/>
        </w:rPr>
        <w:t>荣山镇人民政府</w:t>
      </w:r>
      <w:r>
        <w:rPr>
          <w:rFonts w:ascii="仿宋_GB2312" w:eastAsia="仿宋" w:hAnsi="仿宋_GB2312" w:hint="eastAsia"/>
          <w:color w:val="auto"/>
          <w:sz w:val="32"/>
          <w:szCs w:val="32"/>
        </w:rPr>
        <w:t>辖</w:t>
      </w:r>
      <w:r>
        <w:rPr>
          <w:rFonts w:ascii="仿宋_GB2312" w:eastAsia="仿宋" w:hAnsi="仿宋_GB2312" w:hint="eastAsia"/>
          <w:color w:val="auto"/>
          <w:sz w:val="32"/>
          <w:szCs w:val="32"/>
          <w:lang w:val="en-US" w:eastAsia="zh-CN"/>
        </w:rPr>
        <w:t>10</w:t>
      </w:r>
      <w:r>
        <w:rPr>
          <w:rFonts w:ascii="仿宋_GB2312" w:eastAsia="仿宋" w:hAnsi="仿宋_GB2312" w:hint="eastAsia"/>
          <w:color w:val="auto"/>
          <w:sz w:val="32"/>
          <w:szCs w:val="32"/>
        </w:rPr>
        <w:t>个行政村，</w:t>
      </w:r>
      <w:r>
        <w:rPr>
          <w:rFonts w:ascii="仿宋_GB2312" w:eastAsia="仿宋" w:hAnsi="仿宋_GB2312" w:hint="eastAsia"/>
          <w:color w:val="auto"/>
          <w:sz w:val="32"/>
          <w:szCs w:val="32"/>
          <w:lang w:val="en-US" w:eastAsia="zh-CN"/>
        </w:rPr>
        <w:t>88</w:t>
      </w:r>
      <w:r>
        <w:rPr>
          <w:rFonts w:ascii="仿宋_GB2312" w:eastAsia="仿宋" w:hAnsi="仿宋_GB2312" w:hint="eastAsia"/>
          <w:color w:val="auto"/>
          <w:sz w:val="32"/>
          <w:szCs w:val="32"/>
        </w:rPr>
        <w:t>个村民小组，</w:t>
      </w:r>
      <w:r>
        <w:rPr>
          <w:rFonts w:ascii="仿宋_GB2312" w:eastAsia="仿宋" w:hAnsi="仿宋_GB2312" w:hint="eastAsia"/>
          <w:color w:val="auto"/>
          <w:sz w:val="32"/>
          <w:szCs w:val="32"/>
          <w:lang w:val="en-US" w:eastAsia="zh-CN"/>
        </w:rPr>
        <w:t>2</w:t>
      </w:r>
      <w:r>
        <w:rPr>
          <w:rFonts w:ascii="仿宋_GB2312" w:eastAsia="仿宋" w:hAnsi="仿宋_GB2312" w:hint="eastAsia"/>
          <w:color w:val="auto"/>
          <w:sz w:val="32"/>
          <w:szCs w:val="32"/>
        </w:rPr>
        <w:t>个社区居委会，</w:t>
      </w:r>
      <w:r>
        <w:rPr>
          <w:rFonts w:ascii="仿宋_GB2312" w:eastAsia="仿宋" w:hAnsi="仿宋_GB2312" w:hint="eastAsia"/>
          <w:color w:val="auto"/>
          <w:sz w:val="32"/>
          <w:szCs w:val="32"/>
          <w:lang w:val="en-US" w:eastAsia="zh-CN"/>
        </w:rPr>
        <w:t>9</w:t>
      </w:r>
      <w:r>
        <w:rPr>
          <w:rFonts w:ascii="仿宋_GB2312" w:eastAsia="仿宋" w:hAnsi="仿宋_GB2312" w:hint="eastAsia"/>
          <w:color w:val="auto"/>
          <w:sz w:val="32"/>
          <w:szCs w:val="32"/>
        </w:rPr>
        <w:t>个居民小组，幅员面积</w:t>
      </w:r>
      <w:r>
        <w:rPr>
          <w:rFonts w:ascii="仿宋_GB2312" w:eastAsia="仿宋" w:hAnsi="仿宋_GB2312" w:hint="eastAsia"/>
          <w:color w:val="auto"/>
          <w:sz w:val="32"/>
          <w:szCs w:val="32"/>
          <w:lang w:val="en-US" w:eastAsia="zh-CN"/>
        </w:rPr>
        <w:t>248.5</w:t>
      </w:r>
      <w:r>
        <w:rPr>
          <w:rFonts w:ascii="仿宋_GB2312" w:eastAsia="仿宋" w:hAnsi="仿宋_GB2312" w:hint="eastAsia"/>
          <w:color w:val="auto"/>
          <w:sz w:val="32"/>
          <w:szCs w:val="32"/>
        </w:rPr>
        <w:t>平方公里，辖区居民</w:t>
      </w:r>
      <w:r>
        <w:rPr>
          <w:rFonts w:ascii="仿宋_GB2312" w:eastAsia="仿宋" w:hAnsi="仿宋_GB2312" w:hint="eastAsia"/>
          <w:color w:val="auto"/>
          <w:sz w:val="32"/>
          <w:szCs w:val="32"/>
          <w:lang w:eastAsia="zh-CN"/>
        </w:rPr>
        <w:t>达</w:t>
      </w:r>
      <w:r>
        <w:rPr>
          <w:rFonts w:ascii="仿宋_GB2312" w:eastAsia="仿宋" w:hAnsi="仿宋_GB2312" w:hint="eastAsia"/>
          <w:color w:val="auto"/>
          <w:sz w:val="32"/>
          <w:szCs w:val="32"/>
          <w:lang w:val="en-US" w:eastAsia="zh-CN"/>
        </w:rPr>
        <w:t>2.48</w:t>
      </w:r>
      <w:r>
        <w:rPr>
          <w:rFonts w:ascii="仿宋_GB2312" w:eastAsia="仿宋" w:hAnsi="仿宋_GB2312" w:hint="eastAsia"/>
          <w:color w:val="auto"/>
          <w:sz w:val="32"/>
          <w:szCs w:val="32"/>
        </w:rPr>
        <w:t>万余人。</w:t>
      </w:r>
    </w:p>
    <w:p>
      <w:pPr>
        <w:pageBreakBefore w:val="0"/>
        <w:widowControl w:val="0"/>
        <w:kinsoku/>
        <w:wordWrap/>
        <w:overflowPunct/>
        <w:topLinePunct w:val="0"/>
        <w:autoSpaceDE/>
        <w:autoSpaceDN/>
        <w:bidi w:val="0"/>
        <w:spacing w:line="576" w:lineRule="exact"/>
        <w:ind w:firstLineChars="200" w:firstLine="640"/>
        <w:textAlignment w:val="auto"/>
        <w:rPr>
          <w:rFonts w:ascii="仿宋_GB2312" w:eastAsia="仿宋" w:cs="Times New Roman" w:hAnsi="Times New Roman" w:hint="eastAsia"/>
          <w:b w:val="0"/>
          <w:bCs w:val="0"/>
          <w:color w:val="auto"/>
          <w:kern w:val="2"/>
          <w:sz w:val="32"/>
          <w:szCs w:val="32"/>
          <w:lang w:val="en-US" w:eastAsia="zh-CN" w:bidi="ar-SA"/>
        </w:rPr>
      </w:pPr>
      <w:r>
        <w:rPr>
          <w:rFonts w:ascii="仿宋_GB2312" w:eastAsia="仿宋" w:cs="Times New Roman" w:hAnsi="Times New Roman" w:hint="eastAsia"/>
          <w:b w:val="0"/>
          <w:bCs w:val="0"/>
          <w:color w:val="auto"/>
          <w:kern w:val="2"/>
          <w:sz w:val="32"/>
          <w:szCs w:val="32"/>
          <w:lang w:val="en-US" w:eastAsia="zh-CN" w:bidi="ar-SA"/>
        </w:rPr>
        <w:t>20</w:t>
      </w:r>
      <w:r>
        <w:rPr>
          <w:rFonts w:ascii="仿宋_GB2312" w:eastAsia="仿宋" w:cs="Times New Roman" w:hAnsi="仿宋_GB2312" w:hint="eastAsia"/>
          <w:b w:val="0"/>
          <w:bCs w:val="0"/>
          <w:color w:val="auto"/>
          <w:kern w:val="2"/>
          <w:sz w:val="32"/>
          <w:szCs w:val="32"/>
          <w:lang w:val="en-US" w:eastAsia="zh-CN" w:bidi="ar-SA"/>
        </w:rPr>
        <w:t>21</w:t>
      </w:r>
      <w:r>
        <w:rPr>
          <w:rFonts w:ascii="仿宋_GB2312" w:eastAsia="仿宋" w:cs="Times New Roman" w:hAnsi="Times New Roman" w:hint="eastAsia"/>
          <w:b w:val="0"/>
          <w:bCs w:val="0"/>
          <w:color w:val="auto"/>
          <w:kern w:val="2"/>
          <w:sz w:val="32"/>
          <w:szCs w:val="32"/>
          <w:lang w:val="en-US" w:eastAsia="zh-CN" w:bidi="ar-SA"/>
        </w:rPr>
        <w:t>年末共有</w:t>
      </w:r>
      <w:r>
        <w:rPr>
          <w:rFonts w:ascii="仿宋_GB2312" w:eastAsia="仿宋" w:cs="Times New Roman" w:hAnsi="仿宋_GB2312" w:hint="eastAsia"/>
          <w:b w:val="0"/>
          <w:bCs w:val="0"/>
          <w:color w:val="auto"/>
          <w:kern w:val="2"/>
          <w:sz w:val="32"/>
          <w:szCs w:val="32"/>
          <w:lang w:val="en-US" w:eastAsia="zh-CN" w:bidi="ar-SA"/>
        </w:rPr>
        <w:t>内设</w:t>
      </w:r>
      <w:r>
        <w:rPr>
          <w:rFonts w:ascii="仿宋_GB2312" w:eastAsia="仿宋" w:cs="Times New Roman" w:hAnsi="Times New Roman" w:hint="eastAsia"/>
          <w:b w:val="0"/>
          <w:bCs w:val="0"/>
          <w:color w:val="auto"/>
          <w:kern w:val="2"/>
          <w:sz w:val="32"/>
          <w:szCs w:val="32"/>
          <w:lang w:val="en-US" w:eastAsia="zh-CN" w:bidi="ar-SA"/>
        </w:rPr>
        <w:t>机构数7个</w:t>
      </w:r>
      <w:r>
        <w:rPr>
          <w:rFonts w:ascii="仿宋_GB2312" w:eastAsia="仿宋" w:cs="Times New Roman" w:hAnsi="仿宋_GB2312" w:hint="eastAsia"/>
          <w:b w:val="0"/>
          <w:bCs w:val="0"/>
          <w:color w:val="auto"/>
          <w:kern w:val="2"/>
          <w:sz w:val="32"/>
          <w:szCs w:val="32"/>
          <w:lang w:val="en-US" w:eastAsia="zh-CN" w:bidi="ar-SA"/>
        </w:rPr>
        <w:t>、公益一类事业单位5个</w:t>
      </w:r>
      <w:r>
        <w:rPr>
          <w:rFonts w:ascii="仿宋_GB2312" w:eastAsia="仿宋" w:cs="Times New Roman" w:hAnsi="Times New Roman" w:hint="eastAsia"/>
          <w:b w:val="0"/>
          <w:bCs w:val="0"/>
          <w:color w:val="auto"/>
          <w:kern w:val="2"/>
          <w:sz w:val="32"/>
          <w:szCs w:val="32"/>
          <w:lang w:val="en-US" w:eastAsia="zh-CN" w:bidi="ar-SA"/>
        </w:rPr>
        <w:t>。分别为</w:t>
      </w:r>
      <w:r>
        <w:rPr>
          <w:rFonts w:ascii="仿宋_GB2312" w:eastAsia="仿宋" w:cs="Times New Roman" w:hAnsi="仿宋_GB2312" w:hint="eastAsia"/>
          <w:b w:val="0"/>
          <w:bCs w:val="0"/>
          <w:color w:val="auto"/>
          <w:kern w:val="2"/>
          <w:sz w:val="32"/>
          <w:szCs w:val="32"/>
          <w:lang w:val="en-US" w:eastAsia="zh-CN" w:bidi="ar-SA"/>
        </w:rPr>
        <w:t>党政综合与乡村振兴办、</w:t>
      </w:r>
      <w:r>
        <w:rPr>
          <w:rFonts w:ascii="仿宋_GB2312" w:eastAsia="仿宋" w:cs="Times New Roman" w:hAnsi="Times New Roman" w:hint="eastAsia"/>
          <w:b w:val="0"/>
          <w:bCs w:val="0"/>
          <w:color w:val="auto"/>
          <w:kern w:val="2"/>
          <w:sz w:val="32"/>
          <w:szCs w:val="32"/>
          <w:lang w:val="en-US" w:eastAsia="zh-CN" w:bidi="ar-SA"/>
        </w:rPr>
        <w:t>党</w:t>
      </w:r>
      <w:r>
        <w:rPr>
          <w:rFonts w:ascii="仿宋_GB2312" w:eastAsia="仿宋" w:cs="Times New Roman" w:hAnsi="仿宋_GB2312" w:hint="eastAsia"/>
          <w:b w:val="0"/>
          <w:bCs w:val="0"/>
          <w:color w:val="auto"/>
          <w:kern w:val="2"/>
          <w:sz w:val="32"/>
          <w:szCs w:val="32"/>
          <w:lang w:val="en-US" w:eastAsia="zh-CN" w:bidi="ar-SA"/>
        </w:rPr>
        <w:t>建</w:t>
      </w:r>
      <w:r>
        <w:rPr>
          <w:rFonts w:ascii="仿宋_GB2312" w:eastAsia="仿宋" w:cs="Times New Roman" w:hAnsi="Times New Roman" w:hint="eastAsia"/>
          <w:b w:val="0"/>
          <w:bCs w:val="0"/>
          <w:color w:val="auto"/>
          <w:kern w:val="2"/>
          <w:sz w:val="32"/>
          <w:szCs w:val="32"/>
          <w:lang w:val="en-US" w:eastAsia="zh-CN" w:bidi="ar-SA"/>
        </w:rPr>
        <w:t>办、</w:t>
      </w:r>
      <w:r>
        <w:rPr>
          <w:rFonts w:ascii="仿宋_GB2312" w:eastAsia="仿宋" w:cs="Times New Roman" w:hAnsi="仿宋_GB2312" w:hint="eastAsia"/>
          <w:b w:val="0"/>
          <w:bCs w:val="0"/>
          <w:color w:val="auto"/>
          <w:kern w:val="2"/>
          <w:sz w:val="32"/>
          <w:szCs w:val="32"/>
          <w:lang w:val="en-US" w:eastAsia="zh-CN" w:bidi="ar-SA"/>
        </w:rPr>
        <w:t>综合行政执法办</w:t>
      </w:r>
      <w:r>
        <w:rPr>
          <w:rFonts w:ascii="仿宋_GB2312" w:eastAsia="仿宋" w:cs="Times New Roman" w:hAnsi="Times New Roman" w:hint="eastAsia"/>
          <w:b w:val="0"/>
          <w:bCs w:val="0"/>
          <w:color w:val="auto"/>
          <w:kern w:val="2"/>
          <w:sz w:val="32"/>
          <w:szCs w:val="32"/>
          <w:lang w:val="en-US" w:eastAsia="zh-CN" w:bidi="ar-SA"/>
        </w:rPr>
        <w:t>、</w:t>
      </w:r>
      <w:r>
        <w:rPr>
          <w:rFonts w:ascii="仿宋_GB2312" w:eastAsia="仿宋" w:cs="Times New Roman" w:hAnsi="仿宋_GB2312" w:hint="eastAsia"/>
          <w:b w:val="0"/>
          <w:bCs w:val="0"/>
          <w:color w:val="auto"/>
          <w:kern w:val="2"/>
          <w:sz w:val="32"/>
          <w:szCs w:val="32"/>
          <w:lang w:val="en-US" w:eastAsia="zh-CN" w:bidi="ar-SA"/>
        </w:rPr>
        <w:t>社会事务办</w:t>
      </w:r>
      <w:r>
        <w:rPr>
          <w:rFonts w:ascii="仿宋_GB2312" w:eastAsia="仿宋" w:cs="Times New Roman" w:hAnsi="Times New Roman" w:hint="eastAsia"/>
          <w:b w:val="0"/>
          <w:bCs w:val="0"/>
          <w:color w:val="auto"/>
          <w:kern w:val="2"/>
          <w:sz w:val="32"/>
          <w:szCs w:val="32"/>
          <w:lang w:val="en-US" w:eastAsia="zh-CN" w:bidi="ar-SA"/>
        </w:rPr>
        <w:t>、</w:t>
      </w:r>
      <w:r>
        <w:rPr>
          <w:rFonts w:ascii="仿宋_GB2312" w:eastAsia="仿宋" w:cs="Times New Roman" w:hAnsi="仿宋_GB2312" w:hint="eastAsia"/>
          <w:b w:val="0"/>
          <w:bCs w:val="0"/>
          <w:color w:val="auto"/>
          <w:kern w:val="2"/>
          <w:sz w:val="32"/>
          <w:szCs w:val="32"/>
          <w:lang w:val="en-US" w:eastAsia="zh-CN" w:bidi="ar-SA"/>
        </w:rPr>
        <w:t>经济发展办、社会治理办、</w:t>
      </w:r>
      <w:r>
        <w:rPr>
          <w:rFonts w:ascii="仿宋_GB2312" w:eastAsia="仿宋" w:cs="Times New Roman" w:hAnsi="Times New Roman" w:hint="eastAsia"/>
          <w:b w:val="0"/>
          <w:bCs w:val="0"/>
          <w:color w:val="auto"/>
          <w:kern w:val="2"/>
          <w:sz w:val="32"/>
          <w:szCs w:val="32"/>
          <w:lang w:val="en-US" w:eastAsia="zh-CN" w:bidi="ar-SA"/>
        </w:rPr>
        <w:t>财政所、</w:t>
      </w:r>
      <w:r>
        <w:rPr>
          <w:rFonts w:ascii="仿宋_GB2312" w:eastAsia="仿宋" w:cs="Times New Roman" w:hAnsi="仿宋_GB2312" w:hint="eastAsia"/>
          <w:b w:val="0"/>
          <w:bCs w:val="0"/>
          <w:color w:val="auto"/>
          <w:kern w:val="2"/>
          <w:sz w:val="32"/>
          <w:szCs w:val="32"/>
          <w:lang w:val="en-US" w:eastAsia="zh-CN" w:bidi="ar-SA"/>
        </w:rPr>
        <w:t>便民服务中心、农业综合服务中心</w:t>
      </w:r>
      <w:r>
        <w:rPr>
          <w:rFonts w:ascii="仿宋_GB2312" w:eastAsia="仿宋" w:cs="Times New Roman" w:hAnsi="Times New Roman" w:hint="eastAsia"/>
          <w:b w:val="0"/>
          <w:bCs w:val="0"/>
          <w:color w:val="auto"/>
          <w:kern w:val="2"/>
          <w:sz w:val="32"/>
          <w:szCs w:val="32"/>
          <w:lang w:val="en-US" w:eastAsia="zh-CN" w:bidi="ar-SA"/>
        </w:rPr>
        <w:t>、</w:t>
      </w:r>
      <w:r>
        <w:rPr>
          <w:rFonts w:ascii="仿宋_GB2312" w:eastAsia="仿宋" w:cs="Times New Roman" w:hAnsi="仿宋_GB2312" w:hint="eastAsia"/>
          <w:b w:val="0"/>
          <w:bCs w:val="0"/>
          <w:color w:val="auto"/>
          <w:kern w:val="2"/>
          <w:sz w:val="32"/>
          <w:szCs w:val="32"/>
          <w:lang w:val="en-US" w:eastAsia="zh-CN" w:bidi="ar-SA"/>
        </w:rPr>
        <w:t>乡村建设和文化服务中心、社会治安综合治理中心、城镇发展服务中心</w:t>
      </w:r>
      <w:r>
        <w:rPr>
          <w:rFonts w:ascii="仿宋_GB2312" w:eastAsia="仿宋" w:cs="Times New Roman" w:hAnsi="Times New Roman" w:hint="eastAsia"/>
          <w:b w:val="0"/>
          <w:bCs w:val="0"/>
          <w:color w:val="auto"/>
          <w:kern w:val="2"/>
          <w:sz w:val="32"/>
          <w:szCs w:val="32"/>
          <w:lang w:val="en-US" w:eastAsia="zh-CN" w:bidi="ar-SA"/>
        </w:rPr>
        <w:t>。</w:t>
      </w:r>
    </w:p>
    <w:p>
      <w:pPr>
        <w:pageBreakBefore w:val="0"/>
        <w:widowControl w:val="0"/>
        <w:kinsoku/>
        <w:wordWrap/>
        <w:overflowPunct/>
        <w:topLinePunct w:val="0"/>
        <w:autoSpaceDE/>
        <w:autoSpaceDN/>
        <w:bidi w:val="0"/>
        <w:spacing w:line="576" w:lineRule="exact"/>
        <w:ind w:firstLineChars="196" w:firstLine="627"/>
        <w:textAlignment w:val="auto"/>
        <w:rPr>
          <w:rFonts w:ascii="仿宋_GB2312" w:eastAsia="仿宋" w:cs="Times New Roman" w:hAnsi="Times New Roman" w:hint="eastAsia"/>
          <w:color w:val="auto"/>
          <w:sz w:val="32"/>
          <w:szCs w:val="32"/>
          <w:lang w:eastAsia="zh-CN"/>
        </w:rPr>
      </w:pPr>
      <w:r>
        <w:rPr>
          <w:rFonts w:ascii="仿宋_GB2312" w:eastAsia="仿宋" w:cs="Times New Roman" w:hAnsi="Times New Roman" w:hint="eastAsia"/>
          <w:color w:val="auto"/>
          <w:sz w:val="32"/>
          <w:szCs w:val="32"/>
          <w:lang w:eastAsia="zh-CN"/>
        </w:rPr>
        <w:t>荣山镇人民政府编制数为</w:t>
      </w:r>
      <w:r>
        <w:rPr>
          <w:rFonts w:ascii="仿宋_GB2312" w:eastAsia="仿宋" w:cs="Times New Roman" w:hAnsi="仿宋_GB2312" w:hint="eastAsia"/>
          <w:color w:val="auto"/>
          <w:sz w:val="32"/>
          <w:szCs w:val="32"/>
          <w:lang w:val="en-US" w:eastAsia="zh-CN"/>
        </w:rPr>
        <w:t>64</w:t>
      </w:r>
      <w:r>
        <w:rPr>
          <w:rFonts w:ascii="仿宋_GB2312" w:eastAsia="仿宋" w:cs="Times New Roman" w:hAnsi="Times New Roman" w:hint="eastAsia"/>
          <w:color w:val="auto"/>
          <w:sz w:val="32"/>
          <w:szCs w:val="32"/>
          <w:lang w:eastAsia="zh-CN"/>
        </w:rPr>
        <w:t>人，其中公务员编制</w:t>
      </w:r>
      <w:r>
        <w:rPr>
          <w:rFonts w:ascii="仿宋_GB2312" w:eastAsia="仿宋" w:cs="Times New Roman" w:hAnsi="Times New Roman" w:hint="eastAsia"/>
          <w:color w:val="auto"/>
          <w:sz w:val="32"/>
          <w:szCs w:val="32"/>
          <w:lang w:val="en-US" w:eastAsia="zh-CN"/>
        </w:rPr>
        <w:t>26</w:t>
      </w:r>
      <w:r>
        <w:rPr>
          <w:rFonts w:ascii="仿宋_GB2312" w:eastAsia="仿宋" w:cs="Times New Roman" w:hAnsi="Times New Roman" w:hint="eastAsia"/>
          <w:color w:val="auto"/>
          <w:sz w:val="32"/>
          <w:szCs w:val="32"/>
          <w:lang w:eastAsia="zh-CN"/>
        </w:rPr>
        <w:t>人，全额事业编制</w:t>
      </w:r>
      <w:r>
        <w:rPr>
          <w:rFonts w:ascii="仿宋_GB2312" w:eastAsia="仿宋" w:cs="Times New Roman" w:hAnsi="仿宋_GB2312" w:hint="eastAsia"/>
          <w:color w:val="auto"/>
          <w:sz w:val="32"/>
          <w:szCs w:val="32"/>
          <w:lang w:val="en-US" w:eastAsia="zh-CN"/>
        </w:rPr>
        <w:t>35</w:t>
      </w:r>
      <w:r>
        <w:rPr>
          <w:rFonts w:ascii="仿宋_GB2312" w:eastAsia="仿宋" w:cs="Times New Roman" w:hAnsi="Times New Roman" w:hint="eastAsia"/>
          <w:color w:val="auto"/>
          <w:sz w:val="32"/>
          <w:szCs w:val="32"/>
          <w:lang w:eastAsia="zh-CN"/>
        </w:rPr>
        <w:t>人，工勤人员编制</w:t>
      </w:r>
      <w:r>
        <w:rPr>
          <w:rFonts w:ascii="仿宋_GB2312" w:eastAsia="仿宋" w:cs="Times New Roman" w:hAnsi="Times New Roman" w:hint="eastAsia"/>
          <w:color w:val="auto"/>
          <w:sz w:val="32"/>
          <w:szCs w:val="32"/>
          <w:lang w:val="en-US" w:eastAsia="zh-CN"/>
        </w:rPr>
        <w:t>3</w:t>
      </w:r>
      <w:r>
        <w:rPr>
          <w:rFonts w:ascii="仿宋_GB2312" w:eastAsia="仿宋" w:cs="Times New Roman" w:hAnsi="Times New Roman" w:hint="eastAsia"/>
          <w:color w:val="auto"/>
          <w:sz w:val="32"/>
          <w:szCs w:val="32"/>
          <w:lang w:eastAsia="zh-CN"/>
        </w:rPr>
        <w:t>人。现全镇机关实有人数为</w:t>
      </w:r>
      <w:r>
        <w:rPr>
          <w:rFonts w:ascii="仿宋_GB2312" w:eastAsia="仿宋" w:cs="Times New Roman" w:hAnsi="仿宋_GB2312" w:hint="eastAsia"/>
          <w:color w:val="auto"/>
          <w:sz w:val="32"/>
          <w:szCs w:val="32"/>
          <w:lang w:val="en-US" w:eastAsia="zh-CN"/>
        </w:rPr>
        <w:t>67</w:t>
      </w:r>
      <w:r>
        <w:rPr>
          <w:rFonts w:ascii="仿宋_GB2312" w:eastAsia="仿宋" w:cs="Times New Roman" w:hAnsi="Times New Roman" w:hint="eastAsia"/>
          <w:color w:val="auto"/>
          <w:sz w:val="32"/>
          <w:szCs w:val="32"/>
          <w:lang w:eastAsia="zh-CN"/>
        </w:rPr>
        <w:t>人</w:t>
      </w:r>
      <w:r>
        <w:rPr>
          <w:rFonts w:ascii="仿宋" w:eastAsia="仿宋" w:cs="仿宋" w:hAnsi="仿宋" w:hint="eastAsia"/>
          <w:b w:val="0"/>
          <w:bCs/>
          <w:color w:val="auto"/>
          <w:sz w:val="32"/>
          <w:szCs w:val="32"/>
          <w:lang w:eastAsia="zh-CN"/>
        </w:rPr>
        <w:t>（含专职村书记</w:t>
      </w:r>
      <w:r>
        <w:rPr>
          <w:rFonts w:ascii="仿宋" w:eastAsia="仿宋" w:cs="仿宋" w:hAnsi="仿宋" w:hint="eastAsia"/>
          <w:b w:val="0"/>
          <w:bCs/>
          <w:color w:val="auto"/>
          <w:sz w:val="32"/>
          <w:szCs w:val="32"/>
          <w:lang w:val="en-US" w:eastAsia="zh-CN"/>
        </w:rPr>
        <w:t>8人、武装干事1人</w:t>
      </w:r>
      <w:r>
        <w:rPr>
          <w:rFonts w:ascii="仿宋" w:eastAsia="仿宋" w:cs="仿宋" w:hAnsi="仿宋" w:hint="eastAsia"/>
          <w:b w:val="0"/>
          <w:bCs/>
          <w:color w:val="auto"/>
          <w:sz w:val="32"/>
          <w:szCs w:val="32"/>
          <w:lang w:eastAsia="zh-CN"/>
        </w:rPr>
        <w:t>）</w:t>
      </w:r>
      <w:r>
        <w:rPr>
          <w:rFonts w:ascii="仿宋_GB2312" w:eastAsia="仿宋" w:cs="Times New Roman" w:hAnsi="Times New Roman" w:hint="eastAsia"/>
          <w:color w:val="auto"/>
          <w:sz w:val="32"/>
          <w:szCs w:val="32"/>
          <w:lang w:eastAsia="zh-CN"/>
        </w:rPr>
        <w:t>，其中公务员</w:t>
      </w:r>
      <w:r>
        <w:rPr>
          <w:rFonts w:ascii="仿宋_GB2312" w:eastAsia="仿宋" w:cs="Times New Roman" w:hAnsi="Times New Roman" w:hint="eastAsia"/>
          <w:color w:val="auto"/>
          <w:sz w:val="32"/>
          <w:szCs w:val="32"/>
          <w:lang w:val="en-US" w:eastAsia="zh-CN"/>
        </w:rPr>
        <w:t>26</w:t>
      </w:r>
      <w:r>
        <w:rPr>
          <w:rFonts w:ascii="仿宋_GB2312" w:eastAsia="仿宋" w:cs="Times New Roman" w:hAnsi="Times New Roman" w:hint="eastAsia"/>
          <w:color w:val="auto"/>
          <w:sz w:val="32"/>
          <w:szCs w:val="32"/>
          <w:lang w:eastAsia="zh-CN"/>
        </w:rPr>
        <w:t>人，全额事业人员</w:t>
      </w:r>
      <w:r>
        <w:rPr>
          <w:rFonts w:ascii="仿宋_GB2312" w:eastAsia="仿宋" w:cs="Times New Roman" w:hAnsi="仿宋_GB2312" w:hint="eastAsia"/>
          <w:color w:val="auto"/>
          <w:sz w:val="32"/>
          <w:szCs w:val="32"/>
          <w:lang w:val="en-US" w:eastAsia="zh-CN"/>
        </w:rPr>
        <w:t>39</w:t>
      </w:r>
      <w:r>
        <w:rPr>
          <w:rFonts w:ascii="仿宋_GB2312" w:eastAsia="仿宋" w:cs="Times New Roman" w:hAnsi="Times New Roman" w:hint="eastAsia"/>
          <w:color w:val="auto"/>
          <w:sz w:val="32"/>
          <w:szCs w:val="32"/>
          <w:lang w:eastAsia="zh-CN"/>
        </w:rPr>
        <w:t>人</w:t>
      </w:r>
      <w:r>
        <w:rPr>
          <w:rFonts w:ascii="仿宋" w:eastAsia="仿宋" w:cs="仿宋" w:hAnsi="仿宋" w:hint="eastAsia"/>
          <w:b w:val="0"/>
          <w:bCs/>
          <w:color w:val="auto"/>
          <w:sz w:val="32"/>
          <w:szCs w:val="32"/>
          <w:lang w:eastAsia="zh-CN"/>
        </w:rPr>
        <w:t>（含专职村书记</w:t>
      </w:r>
      <w:r>
        <w:rPr>
          <w:rFonts w:ascii="仿宋" w:eastAsia="仿宋" w:cs="仿宋" w:hAnsi="仿宋" w:hint="eastAsia"/>
          <w:b w:val="0"/>
          <w:bCs/>
          <w:color w:val="auto"/>
          <w:sz w:val="32"/>
          <w:szCs w:val="32"/>
          <w:lang w:val="en-US" w:eastAsia="zh-CN"/>
        </w:rPr>
        <w:t>8人、武装干事1人</w:t>
      </w:r>
      <w:r>
        <w:rPr>
          <w:rFonts w:ascii="仿宋" w:eastAsia="仿宋" w:cs="仿宋" w:hAnsi="仿宋" w:hint="eastAsia"/>
          <w:b w:val="0"/>
          <w:bCs/>
          <w:color w:val="auto"/>
          <w:sz w:val="32"/>
          <w:szCs w:val="32"/>
          <w:lang w:eastAsia="zh-CN"/>
        </w:rPr>
        <w:t>）</w:t>
      </w:r>
      <w:r>
        <w:rPr>
          <w:rFonts w:ascii="仿宋_GB2312" w:eastAsia="仿宋" w:cs="Times New Roman" w:hAnsi="Times New Roman" w:hint="eastAsia"/>
          <w:color w:val="auto"/>
          <w:sz w:val="32"/>
          <w:szCs w:val="32"/>
          <w:lang w:eastAsia="zh-CN"/>
        </w:rPr>
        <w:t>，工勤人员2人</w:t>
      </w:r>
      <w:r>
        <w:rPr>
          <w:rFonts w:ascii="仿宋_GB2312" w:eastAsia="仿宋" w:cs="Times New Roman" w:hAnsi="Times New Roman" w:hint="eastAsia"/>
          <w:color w:val="auto"/>
          <w:sz w:val="32"/>
          <w:szCs w:val="32"/>
          <w:lang w:val="en-US" w:eastAsia="zh-CN"/>
        </w:rPr>
        <w:t>。</w:t>
      </w:r>
    </w:p>
    <w:p>
      <w:pPr>
        <w:widowControl/>
        <w:jc w:val="center"/>
        <w:rPr>
          <w:color w:val="auto"/>
        </w:rPr>
      </w:pPr>
      <w:r>
        <w:rPr>
          <w:rFonts w:ascii="仿宋" w:eastAsia="仿宋" w:hAnsi="仿宋"/>
          <w:color w:val="auto"/>
          <w:sz w:val="32"/>
          <w:szCs w:val="32"/>
        </w:rPr>
        <w:br w:type="page"/>
      </w:r>
      <w:bookmarkStart w:id="23" w:name="_Toc15377204"/>
      <w:bookmarkStart w:id="24" w:name="_Toc15396602"/>
      <w:r>
        <w:rPr>
          <w:rStyle w:val="1Char"/>
          <w:rFonts w:ascii="黑体" w:eastAsia="黑体" w:cs="Arial" w:hAnsi="黑体" w:hint="eastAsia"/>
          <w:b w:val="0"/>
          <w:bCs/>
          <w:color w:val="auto"/>
        </w:rPr>
        <w:t xml:space="preserve">第二部分 </w:t>
      </w:r>
      <w:r>
        <w:rPr>
          <w:rStyle w:val="1Char"/>
          <w:rFonts w:ascii="黑体" w:eastAsia="黑体" w:cs="Arial" w:hAnsi="黑体" w:hint="eastAsia"/>
          <w:b w:val="0"/>
          <w:bCs/>
          <w:color w:val="auto"/>
          <w:lang w:val="en-US" w:eastAsia="zh-CN"/>
        </w:rPr>
        <w:t>2021年度</w:t>
      </w:r>
      <w:r>
        <w:rPr>
          <w:rStyle w:val="1Char"/>
          <w:rFonts w:ascii="黑体" w:eastAsia="黑体" w:hAnsi="黑体" w:hint="eastAsia"/>
          <w:b w:val="0"/>
          <w:bCs/>
          <w:color w:val="auto"/>
        </w:rPr>
        <w:t>部门决算情况说明</w:t>
      </w:r>
      <w:bookmarkEnd w:id="23"/>
      <w:bookmarkEnd w:id="24"/>
    </w:p>
    <w:p>
      <w:pPr>
        <w:pStyle w:val="33"/>
        <w:numPr>
          <w:ilvl w:val="0"/>
          <w:numId w:val="1"/>
        </w:numPr>
        <w:spacing w:line="600" w:lineRule="exact"/>
        <w:ind w:firstLineChars="0"/>
        <w:outlineLvl w:val="1"/>
        <w:rPr>
          <w:rStyle w:val="2Char"/>
          <w:rFonts w:ascii="黑体" w:eastAsia="黑体" w:hAnsi="黑体"/>
          <w:b w:val="0"/>
          <w:color w:val="auto"/>
        </w:rPr>
      </w:pPr>
      <w:bookmarkStart w:id="25" w:name="_Toc15377205"/>
      <w:bookmarkStart w:id="26" w:name="_Toc15396603"/>
      <w:r>
        <w:rPr>
          <w:rFonts w:ascii="黑体" w:eastAsia="黑体" w:hAnsi="黑体" w:hint="eastAsia"/>
          <w:color w:val="auto"/>
          <w:sz w:val="32"/>
          <w:szCs w:val="32"/>
        </w:rPr>
        <w:t>收</w:t>
      </w:r>
      <w:r>
        <w:rPr>
          <w:rStyle w:val="2Char"/>
          <w:rFonts w:ascii="黑体" w:eastAsia="黑体" w:hAnsi="黑体" w:hint="eastAsia"/>
          <w:b w:val="0"/>
          <w:color w:val="auto"/>
        </w:rPr>
        <w:t>入支出决算总体情况说明</w:t>
      </w:r>
      <w:bookmarkEnd w:id="25"/>
      <w:bookmarkEnd w:id="26"/>
    </w:p>
    <w:p>
      <w:pPr>
        <w:pageBreakBefore w:val="0"/>
        <w:widowControl w:val="0"/>
        <w:kinsoku/>
        <w:wordWrap/>
        <w:overflowPunct/>
        <w:topLinePunct w:val="0"/>
        <w:autoSpaceDE/>
        <w:autoSpaceDN/>
        <w:bidi w:val="0"/>
        <w:spacing w:line="576" w:lineRule="exact"/>
        <w:ind w:firstLineChars="196" w:firstLine="627"/>
        <w:textAlignment w:val="auto"/>
        <w:rPr>
          <w:rFonts w:ascii="仿宋" w:eastAsia="仿宋" w:cs="仿宋" w:hAnsi="仿宋" w:hint="eastAsia"/>
          <w:b w:val="0"/>
          <w:bCs/>
          <w:color w:val="auto"/>
          <w:sz w:val="32"/>
          <w:szCs w:val="32"/>
          <w:lang w:eastAsia="zh-CN"/>
        </w:rPr>
      </w:pPr>
      <w:r>
        <w:rPr>
          <w:rFonts w:ascii="仿宋" w:eastAsia="仿宋" w:hAnsi="仿宋" w:hint="eastAsia"/>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年度收</w:t>
      </w:r>
      <w:r>
        <w:rPr>
          <w:rFonts w:ascii="仿宋" w:eastAsia="仿宋" w:hAnsi="仿宋" w:hint="eastAsia"/>
          <w:color w:val="auto"/>
          <w:sz w:val="32"/>
          <w:szCs w:val="32"/>
          <w:lang w:val="en-US" w:eastAsia="zh-CN"/>
        </w:rPr>
        <w:t>入</w:t>
      </w:r>
      <w:r>
        <w:rPr>
          <w:rFonts w:ascii="仿宋" w:eastAsia="仿宋" w:hAnsi="仿宋" w:hint="eastAsia"/>
          <w:color w:val="auto"/>
          <w:sz w:val="32"/>
          <w:szCs w:val="32"/>
        </w:rPr>
        <w:t>总计</w:t>
      </w:r>
      <w:r>
        <w:rPr>
          <w:rFonts w:ascii="仿宋" w:eastAsia="仿宋" w:hAnsi="仿宋" w:hint="eastAsia"/>
          <w:color w:val="auto"/>
          <w:sz w:val="32"/>
          <w:szCs w:val="32"/>
          <w:lang w:val="en-US" w:eastAsia="zh-CN"/>
        </w:rPr>
        <w:t>1920.5</w:t>
      </w:r>
      <w:r>
        <w:rPr>
          <w:rFonts w:ascii="仿宋" w:eastAsia="仿宋" w:hAnsi="仿宋" w:hint="eastAsia"/>
          <w:color w:val="auto"/>
          <w:sz w:val="32"/>
          <w:szCs w:val="32"/>
        </w:rPr>
        <w:t>万元。与20</w:t>
      </w:r>
      <w:r>
        <w:rPr>
          <w:rFonts w:ascii="仿宋" w:eastAsia="仿宋" w:hAnsi="仿宋" w:hint="eastAsia"/>
          <w:color w:val="auto"/>
          <w:sz w:val="32"/>
          <w:szCs w:val="32"/>
          <w:lang w:val="en-US" w:eastAsia="zh-CN"/>
        </w:rPr>
        <w:t>20</w:t>
      </w:r>
      <w:r>
        <w:rPr>
          <w:rFonts w:ascii="仿宋" w:eastAsia="仿宋" w:hAnsi="仿宋" w:hint="eastAsia"/>
          <w:color w:val="auto"/>
          <w:sz w:val="32"/>
          <w:szCs w:val="32"/>
        </w:rPr>
        <w:t>年相比，收</w:t>
      </w:r>
      <w:r>
        <w:rPr>
          <w:rFonts w:ascii="仿宋" w:eastAsia="仿宋" w:hAnsi="仿宋" w:hint="eastAsia"/>
          <w:color w:val="auto"/>
          <w:sz w:val="32"/>
          <w:szCs w:val="32"/>
          <w:lang w:val="en-US" w:eastAsia="zh-CN"/>
        </w:rPr>
        <w:t>入</w:t>
      </w:r>
      <w:r>
        <w:rPr>
          <w:rFonts w:ascii="仿宋" w:eastAsia="仿宋" w:hAnsi="仿宋" w:hint="eastAsia"/>
          <w:color w:val="auto"/>
          <w:sz w:val="32"/>
          <w:szCs w:val="32"/>
        </w:rPr>
        <w:t>总计减少</w:t>
      </w:r>
      <w:r>
        <w:rPr>
          <w:rFonts w:ascii="仿宋" w:eastAsia="仿宋" w:hAnsi="仿宋" w:hint="eastAsia"/>
          <w:color w:val="auto"/>
          <w:sz w:val="32"/>
          <w:szCs w:val="32"/>
          <w:lang w:val="en-US" w:eastAsia="zh-CN"/>
        </w:rPr>
        <w:t>339.09</w:t>
      </w:r>
      <w:r>
        <w:rPr>
          <w:rFonts w:ascii="仿宋" w:eastAsia="仿宋" w:hAnsi="仿宋" w:hint="eastAsia"/>
          <w:color w:val="auto"/>
          <w:sz w:val="32"/>
          <w:szCs w:val="32"/>
        </w:rPr>
        <w:t>万元，下降</w:t>
      </w:r>
      <w:r>
        <w:rPr>
          <w:rFonts w:ascii="仿宋" w:eastAsia="仿宋" w:hAnsi="仿宋" w:hint="eastAsia"/>
          <w:color w:val="auto"/>
          <w:sz w:val="32"/>
          <w:szCs w:val="32"/>
          <w:lang w:val="en-US" w:eastAsia="zh-CN"/>
        </w:rPr>
        <w:t>15</w:t>
      </w:r>
      <w:r>
        <w:rPr>
          <w:rFonts w:ascii="仿宋" w:eastAsia="仿宋" w:hAnsi="仿宋"/>
          <w:color w:val="auto"/>
          <w:sz w:val="32"/>
          <w:szCs w:val="32"/>
        </w:rPr>
        <w:t>%</w:t>
      </w:r>
      <w:r>
        <w:rPr>
          <w:rFonts w:ascii="仿宋" w:eastAsia="仿宋" w:hAnsi="仿宋" w:hint="eastAsia"/>
          <w:color w:val="auto"/>
          <w:sz w:val="32"/>
          <w:szCs w:val="32"/>
        </w:rPr>
        <w:t>。主要变动原因是</w:t>
      </w:r>
      <w:r>
        <w:rPr>
          <w:rFonts w:ascii="仿宋" w:eastAsia="仿宋" w:cs="仿宋" w:hAnsi="仿宋" w:hint="eastAsia"/>
          <w:b w:val="0"/>
          <w:bCs/>
          <w:color w:val="auto"/>
          <w:sz w:val="32"/>
          <w:szCs w:val="32"/>
        </w:rPr>
        <w:t>政府性基金预算财政拨款收入</w:t>
      </w:r>
      <w:r>
        <w:rPr>
          <w:rFonts w:ascii="仿宋" w:eastAsia="仿宋" w:cs="仿宋" w:hAnsi="仿宋" w:hint="eastAsia"/>
          <w:b w:val="0"/>
          <w:bCs/>
          <w:color w:val="auto"/>
          <w:sz w:val="32"/>
          <w:szCs w:val="32"/>
          <w:lang w:eastAsia="zh-CN"/>
        </w:rPr>
        <w:t>减少。</w:t>
      </w:r>
    </w:p>
    <w:p>
      <w:pPr>
        <w:pStyle w:val="15"/>
        <w:ind w:firstLineChars="200" w:firstLine="640"/>
      </w:pPr>
      <w:r>
        <w:rPr>
          <w:rFonts w:ascii="仿宋" w:eastAsia="仿宋" w:hAnsi="仿宋" w:hint="eastAsia"/>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年度</w:t>
      </w:r>
      <w:r>
        <w:rPr>
          <w:rFonts w:ascii="仿宋" w:eastAsia="仿宋" w:hAnsi="仿宋" w:hint="eastAsia"/>
          <w:color w:val="auto"/>
          <w:sz w:val="32"/>
          <w:szCs w:val="32"/>
          <w:lang w:val="en-US" w:eastAsia="zh-CN"/>
        </w:rPr>
        <w:t>支出</w:t>
      </w:r>
      <w:r>
        <w:rPr>
          <w:rFonts w:ascii="仿宋" w:eastAsia="仿宋" w:hAnsi="仿宋" w:hint="eastAsia"/>
          <w:color w:val="auto"/>
          <w:sz w:val="32"/>
          <w:szCs w:val="32"/>
        </w:rPr>
        <w:t>总计</w:t>
      </w:r>
      <w:r>
        <w:rPr>
          <w:rFonts w:ascii="仿宋" w:eastAsia="仿宋" w:hAnsi="仿宋" w:hint="eastAsia"/>
          <w:color w:val="auto"/>
          <w:sz w:val="32"/>
          <w:szCs w:val="32"/>
          <w:lang w:val="en-US" w:eastAsia="zh-CN"/>
        </w:rPr>
        <w:t>1920.5</w:t>
      </w:r>
      <w:r>
        <w:rPr>
          <w:rFonts w:ascii="仿宋" w:eastAsia="仿宋" w:hAnsi="仿宋" w:hint="eastAsia"/>
          <w:color w:val="auto"/>
          <w:sz w:val="32"/>
          <w:szCs w:val="32"/>
        </w:rPr>
        <w:t>万元。与20</w:t>
      </w:r>
      <w:r>
        <w:rPr>
          <w:rFonts w:ascii="仿宋" w:eastAsia="仿宋" w:hAnsi="仿宋" w:hint="eastAsia"/>
          <w:color w:val="auto"/>
          <w:sz w:val="32"/>
          <w:szCs w:val="32"/>
          <w:lang w:val="en-US" w:eastAsia="zh-CN"/>
        </w:rPr>
        <w:t>20</w:t>
      </w:r>
      <w:r>
        <w:rPr>
          <w:rFonts w:ascii="仿宋" w:eastAsia="仿宋" w:hAnsi="仿宋" w:hint="eastAsia"/>
          <w:color w:val="auto"/>
          <w:sz w:val="32"/>
          <w:szCs w:val="32"/>
        </w:rPr>
        <w:t>年相比，</w:t>
      </w:r>
      <w:r>
        <w:rPr>
          <w:rFonts w:ascii="仿宋" w:eastAsia="仿宋" w:hAnsi="仿宋" w:hint="eastAsia"/>
          <w:color w:val="auto"/>
          <w:sz w:val="32"/>
          <w:szCs w:val="32"/>
          <w:lang w:val="en-US" w:eastAsia="zh-CN"/>
        </w:rPr>
        <w:t>支出</w:t>
      </w:r>
      <w:r>
        <w:rPr>
          <w:rFonts w:ascii="仿宋" w:eastAsia="仿宋" w:hAnsi="仿宋" w:hint="eastAsia"/>
          <w:color w:val="auto"/>
          <w:sz w:val="32"/>
          <w:szCs w:val="32"/>
        </w:rPr>
        <w:t>总计减少</w:t>
      </w:r>
      <w:r>
        <w:rPr>
          <w:rFonts w:ascii="仿宋" w:eastAsia="仿宋" w:hAnsi="仿宋" w:hint="eastAsia"/>
          <w:color w:val="auto"/>
          <w:sz w:val="32"/>
          <w:szCs w:val="32"/>
          <w:lang w:val="en-US" w:eastAsia="zh-CN"/>
        </w:rPr>
        <w:t>339.08</w:t>
      </w:r>
      <w:r>
        <w:rPr>
          <w:rFonts w:ascii="仿宋" w:eastAsia="仿宋" w:hAnsi="仿宋" w:hint="eastAsia"/>
          <w:color w:val="auto"/>
          <w:sz w:val="32"/>
          <w:szCs w:val="32"/>
        </w:rPr>
        <w:t>万元，下降</w:t>
      </w:r>
      <w:r>
        <w:rPr>
          <w:rFonts w:ascii="仿宋" w:eastAsia="仿宋" w:hAnsi="仿宋" w:hint="eastAsia"/>
          <w:color w:val="auto"/>
          <w:sz w:val="32"/>
          <w:szCs w:val="32"/>
          <w:lang w:val="en-US" w:eastAsia="zh-CN"/>
        </w:rPr>
        <w:t>15</w:t>
      </w:r>
      <w:r>
        <w:rPr>
          <w:rFonts w:ascii="仿宋" w:eastAsia="仿宋" w:hAnsi="仿宋"/>
          <w:color w:val="auto"/>
          <w:sz w:val="32"/>
          <w:szCs w:val="32"/>
        </w:rPr>
        <w:t>%</w:t>
      </w:r>
      <w:r>
        <w:rPr>
          <w:rFonts w:ascii="仿宋" w:eastAsia="仿宋" w:hAnsi="仿宋" w:hint="eastAsia"/>
          <w:color w:val="auto"/>
          <w:sz w:val="32"/>
          <w:szCs w:val="32"/>
        </w:rPr>
        <w:t>。主要变动原因是</w:t>
      </w:r>
      <w:r>
        <w:rPr>
          <w:rFonts w:ascii="仿宋" w:eastAsia="仿宋" w:cs="仿宋" w:hAnsi="仿宋" w:hint="eastAsia"/>
          <w:b w:val="0"/>
          <w:bCs/>
          <w:color w:val="auto"/>
          <w:sz w:val="32"/>
          <w:szCs w:val="32"/>
        </w:rPr>
        <w:t>政府性基金预算财政拨款收入</w:t>
      </w:r>
      <w:r>
        <w:rPr>
          <w:rFonts w:ascii="仿宋" w:eastAsia="仿宋" w:cs="仿宋" w:hAnsi="仿宋" w:hint="eastAsia"/>
          <w:b w:val="0"/>
          <w:bCs/>
          <w:color w:val="auto"/>
          <w:sz w:val="32"/>
          <w:szCs w:val="32"/>
          <w:lang w:eastAsia="zh-CN"/>
        </w:rPr>
        <w:t>减少。</w:t>
      </w:r>
    </w:p>
    <w:p>
      <w:pPr>
        <w:spacing w:line="600" w:lineRule="exact"/>
        <w:ind w:firstLineChars="200" w:firstLine="640"/>
        <w:rPr>
          <w:rFonts w:ascii="仿宋" w:eastAsia="仿宋" w:hAnsi="仿宋"/>
          <w:color w:val="auto"/>
          <w:sz w:val="32"/>
          <w:szCs w:val="32"/>
        </w:rPr>
      </w:pPr>
      <w:r>
        <w:rPr>
          <w:rFonts w:ascii="仿宋" w:eastAsia="仿宋" w:hAnsi="仿宋" w:hint="eastAsia"/>
          <w:color w:val="auto"/>
          <w:sz w:val="32"/>
          <w:szCs w:val="32"/>
        </w:rPr>
        <w:t>（图</w:t>
      </w:r>
      <w:r>
        <w:rPr>
          <w:rFonts w:ascii="仿宋" w:eastAsia="仿宋" w:hAnsi="仿宋"/>
          <w:color w:val="auto"/>
          <w:sz w:val="32"/>
          <w:szCs w:val="32"/>
        </w:rPr>
        <w:t>1</w:t>
      </w:r>
      <w:r>
        <w:rPr>
          <w:rFonts w:ascii="仿宋" w:eastAsia="仿宋" w:hAnsi="仿宋" w:hint="eastAsia"/>
          <w:color w:val="auto"/>
          <w:sz w:val="32"/>
          <w:szCs w:val="32"/>
        </w:rPr>
        <w:t>：收、支决算总计变动情况图）（柱状图）</w:t>
      </w:r>
    </w:p>
    <w:p>
      <w:pPr>
        <w:spacing w:line="600" w:lineRule="exact"/>
        <w:ind w:firstLineChars="200" w:firstLine="640"/>
        <w:jc w:val="left"/>
        <w:rPr>
          <w:rFonts w:ascii="仿宋_GB2312" w:eastAsia="仿宋_GB2312"/>
          <w:color w:val="auto"/>
          <w:sz w:val="32"/>
          <w:szCs w:val="32"/>
        </w:rPr>
      </w:pPr>
      <w:r>
        <w:rPr>
          <w:rFonts w:ascii="仿宋" w:eastAsia="仿宋" w:hAnsi="仿宋" w:hint="eastAsia"/>
          <w:color w:val="auto"/>
          <w:sz w:val="32"/>
          <w:szCs w:val="32"/>
          <w:lang w:eastAsia="zh-CN"/>
        </w:rPr>
        <w:drawing>
          <wp:anchor distT="0" distB="0" distL="114300" distR="114300" simplePos="0" relativeHeight="22" behindDoc="0" locked="0" layoutInCell="1" hidden="0" allowOverlap="1">
            <wp:simplePos x="0" y="0"/>
            <wp:positionH relativeFrom="column">
              <wp:posOffset>405765</wp:posOffset>
            </wp:positionH>
            <wp:positionV relativeFrom="paragraph">
              <wp:posOffset>45720</wp:posOffset>
            </wp:positionV>
            <wp:extent cx="4577715" cy="2445385"/>
            <wp:effectExtent l="4444" t="5080" r="5080" b="18415"/>
            <wp:wrapSquare wrapText="bothSides"/>
            <wp:docPr id="1" name="图表 1"/>
            <wp:cNvGraphicFramePr>
              <a:graphicFrameLocks noChangeAspect="0"/>
            </wp:cNvGraphicFramePr>
            <a:graphic>
              <a:graphicData uri="http://schemas.openxmlformats.org/drawingml/2006/chart">
                <c:chart xmlns:c="http://schemas.openxmlformats.org/drawingml/2006/chart" r:id="rId7"/>
              </a:graphicData>
            </a:graphic>
          </wp:anchor>
        </w:drawing>
      </w:r>
    </w:p>
    <w:p>
      <w:pPr>
        <w:pStyle w:val="15"/>
        <w:rPr>
          <w:rFonts w:ascii="仿宋_GB2312" w:eastAsia="仿宋_GB2312"/>
          <w:color w:val="auto"/>
          <w:sz w:val="32"/>
          <w:szCs w:val="32"/>
        </w:rPr>
      </w:pPr>
    </w:p>
    <w:p>
      <w:pPr>
        <w:pStyle w:val="15"/>
        <w:rPr>
          <w:rFonts w:ascii="仿宋_GB2312" w:eastAsia="仿宋_GB2312"/>
          <w:color w:val="auto"/>
          <w:sz w:val="32"/>
          <w:szCs w:val="32"/>
        </w:rPr>
      </w:pPr>
    </w:p>
    <w:p>
      <w:pPr>
        <w:pStyle w:val="15"/>
        <w:rPr>
          <w:rFonts w:ascii="仿宋_GB2312" w:eastAsia="仿宋_GB2312"/>
          <w:color w:val="auto"/>
          <w:sz w:val="32"/>
          <w:szCs w:val="32"/>
        </w:rPr>
      </w:pPr>
    </w:p>
    <w:p>
      <w:pPr>
        <w:pStyle w:val="15"/>
        <w:rPr>
          <w:rFonts w:ascii="仿宋_GB2312" w:eastAsia="仿宋_GB2312"/>
          <w:color w:val="auto"/>
          <w:sz w:val="32"/>
          <w:szCs w:val="32"/>
        </w:rPr>
      </w:pPr>
    </w:p>
    <w:p>
      <w:pPr>
        <w:pStyle w:val="33"/>
        <w:numPr>
          <w:ilvl w:val="0"/>
          <w:numId w:val="1"/>
        </w:numPr>
        <w:spacing w:line="600" w:lineRule="exact"/>
        <w:ind w:firstLineChars="0"/>
        <w:outlineLvl w:val="1"/>
        <w:rPr>
          <w:rStyle w:val="2Char"/>
          <w:rFonts w:ascii="黑体" w:eastAsia="黑体" w:hAnsi="黑体"/>
          <w:b w:val="0"/>
          <w:color w:val="auto"/>
        </w:rPr>
      </w:pPr>
      <w:bookmarkStart w:id="27" w:name="_Toc15377206"/>
      <w:bookmarkStart w:id="28" w:name="_Toc15396604"/>
      <w:r>
        <w:rPr>
          <w:rFonts w:ascii="黑体" w:eastAsia="黑体" w:hAnsi="黑体" w:hint="eastAsia"/>
          <w:color w:val="auto"/>
          <w:sz w:val="32"/>
          <w:szCs w:val="32"/>
        </w:rPr>
        <w:t>收</w:t>
      </w:r>
      <w:r>
        <w:rPr>
          <w:rStyle w:val="2Char"/>
          <w:rFonts w:ascii="黑体" w:eastAsia="黑体" w:hAnsi="黑体" w:hint="eastAsia"/>
          <w:b w:val="0"/>
          <w:color w:val="auto"/>
        </w:rPr>
        <w:t>入决算情况说明</w:t>
      </w:r>
      <w:bookmarkEnd w:id="27"/>
      <w:bookmarkEnd w:id="28"/>
    </w:p>
    <w:p>
      <w:pPr>
        <w:spacing w:line="600" w:lineRule="exact"/>
        <w:ind w:firstLineChars="200" w:firstLine="640"/>
        <w:outlineLvl w:val="1"/>
        <w:rPr>
          <w:rFonts w:ascii="仿宋" w:eastAsia="仿宋" w:hAnsi="仿宋"/>
          <w:color w:val="auto"/>
          <w:sz w:val="32"/>
          <w:szCs w:val="32"/>
        </w:rPr>
      </w:pPr>
      <w:r>
        <w:rPr>
          <w:rFonts w:ascii="仿宋" w:eastAsia="仿宋" w:hAnsi="仿宋"/>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年本年收入合计</w:t>
      </w:r>
      <w:r>
        <w:rPr>
          <w:rFonts w:ascii="仿宋" w:eastAsia="仿宋" w:hAnsi="仿宋" w:hint="eastAsia"/>
          <w:color w:val="auto"/>
          <w:sz w:val="32"/>
          <w:szCs w:val="32"/>
          <w:lang w:val="en-US" w:eastAsia="zh-CN"/>
        </w:rPr>
        <w:t>1920.5</w:t>
      </w:r>
      <w:r>
        <w:rPr>
          <w:rFonts w:ascii="仿宋" w:eastAsia="仿宋" w:hAnsi="仿宋" w:hint="eastAsia"/>
          <w:color w:val="auto"/>
          <w:sz w:val="32"/>
          <w:szCs w:val="32"/>
        </w:rPr>
        <w:t>万元，其中：一般公共预算财政拨款收入</w:t>
      </w:r>
      <w:r>
        <w:rPr>
          <w:rFonts w:ascii="仿宋" w:eastAsia="仿宋" w:hAnsi="仿宋" w:hint="eastAsia"/>
          <w:color w:val="auto"/>
          <w:sz w:val="32"/>
          <w:szCs w:val="32"/>
          <w:lang w:val="en-US" w:eastAsia="zh-CN"/>
        </w:rPr>
        <w:t>1920.5</w:t>
      </w:r>
      <w:r>
        <w:rPr>
          <w:rFonts w:ascii="仿宋" w:eastAsia="仿宋" w:hAnsi="仿宋" w:hint="eastAsia"/>
          <w:color w:val="auto"/>
          <w:sz w:val="32"/>
          <w:szCs w:val="32"/>
        </w:rPr>
        <w:t>万元，占</w:t>
      </w:r>
      <w:r>
        <w:rPr>
          <w:rFonts w:ascii="仿宋" w:eastAsia="仿宋" w:hAnsi="仿宋" w:hint="eastAsia"/>
          <w:color w:val="auto"/>
          <w:sz w:val="32"/>
          <w:szCs w:val="32"/>
          <w:lang w:val="en-US" w:eastAsia="zh-CN"/>
        </w:rPr>
        <w:t>100</w:t>
      </w:r>
      <w:r>
        <w:rPr>
          <w:rFonts w:ascii="仿宋" w:eastAsia="仿宋" w:hAnsi="仿宋"/>
          <w:color w:val="auto"/>
          <w:sz w:val="32"/>
          <w:szCs w:val="32"/>
        </w:rPr>
        <w:t>%</w:t>
      </w:r>
      <w:r>
        <w:rPr>
          <w:rFonts w:ascii="仿宋" w:eastAsia="仿宋" w:hAnsi="仿宋" w:hint="eastAsia"/>
          <w:color w:val="auto"/>
          <w:sz w:val="32"/>
          <w:szCs w:val="32"/>
        </w:rPr>
        <w:t>；</w:t>
      </w:r>
    </w:p>
    <w:p>
      <w:pPr>
        <w:spacing w:line="600" w:lineRule="exact"/>
        <w:ind w:firstLineChars="200" w:firstLine="640"/>
        <w:outlineLvl w:val="1"/>
        <w:rPr>
          <w:rFonts w:ascii="仿宋" w:eastAsia="仿宋" w:hAnsi="仿宋"/>
          <w:color w:val="auto"/>
          <w:sz w:val="32"/>
          <w:szCs w:val="32"/>
        </w:rPr>
      </w:pPr>
    </w:p>
    <w:p>
      <w:pPr>
        <w:spacing w:line="600" w:lineRule="exact"/>
        <w:ind w:firstLineChars="200" w:firstLine="640"/>
        <w:rPr>
          <w:rFonts w:ascii="仿宋" w:eastAsia="仿宋" w:hAnsi="仿宋"/>
          <w:color w:val="auto"/>
          <w:sz w:val="32"/>
          <w:szCs w:val="32"/>
        </w:rPr>
      </w:pPr>
      <w:r>
        <w:rPr>
          <w:rFonts w:ascii="仿宋" w:eastAsia="仿宋" w:hAnsi="仿宋" w:hint="eastAsia"/>
          <w:color w:val="auto"/>
          <w:sz w:val="32"/>
          <w:szCs w:val="32"/>
        </w:rPr>
        <w:t>（图2：收入决算结构图）（饼状图）</w:t>
      </w:r>
    </w:p>
    <w:p>
      <w:pPr>
        <w:spacing w:line="600" w:lineRule="exact"/>
        <w:rPr>
          <w:rFonts w:ascii="仿宋_GB2312" w:eastAsia="仿宋_GB2312"/>
          <w:color w:val="auto"/>
          <w:sz w:val="32"/>
          <w:szCs w:val="32"/>
        </w:rPr>
      </w:pPr>
      <w:r>
        <w:rPr>
          <w:rFonts w:ascii="仿宋" w:eastAsia="仿宋" w:hAnsi="仿宋" w:hint="eastAsia"/>
          <w:color w:val="auto"/>
          <w:sz w:val="32"/>
          <w:szCs w:val="32"/>
          <w:lang w:eastAsia="zh-CN"/>
        </w:rPr>
        <w:drawing>
          <wp:anchor distT="0" distB="0" distL="114300" distR="114300" simplePos="0" relativeHeight="24" behindDoc="0" locked="0" layoutInCell="1" hidden="0" allowOverlap="1">
            <wp:simplePos x="0" y="0"/>
            <wp:positionH relativeFrom="column">
              <wp:posOffset>142875</wp:posOffset>
            </wp:positionH>
            <wp:positionV relativeFrom="page">
              <wp:posOffset>766445</wp:posOffset>
            </wp:positionV>
            <wp:extent cx="4852670" cy="2562225"/>
            <wp:effectExtent l="4444" t="4444" r="19684" b="8889"/>
            <wp:wrapTopAndBottom/>
            <wp:docPr id="2" name="图表 2"/>
            <wp:cNvGraphicFramePr>
              <a:graphicFrameLocks noChangeAspect="0"/>
            </wp:cNvGraphicFramePr>
            <a:graphic>
              <a:graphicData uri="http://schemas.openxmlformats.org/drawingml/2006/chart">
                <c:chart xmlns:c="http://schemas.openxmlformats.org/drawingml/2006/chart" r:id="rId8"/>
              </a:graphicData>
            </a:graphic>
          </wp:anchor>
        </w:drawing>
      </w:r>
    </w:p>
    <w:p>
      <w:pPr>
        <w:pStyle w:val="33"/>
        <w:numPr>
          <w:ilvl w:val="0"/>
          <w:numId w:val="1"/>
        </w:numPr>
        <w:spacing w:line="600" w:lineRule="exact"/>
        <w:ind w:firstLineChars="0"/>
        <w:outlineLvl w:val="1"/>
        <w:rPr>
          <w:rStyle w:val="2Char"/>
          <w:rFonts w:ascii="黑体" w:eastAsia="黑体" w:hAnsi="黑体"/>
          <w:b w:val="0"/>
          <w:color w:val="auto"/>
        </w:rPr>
      </w:pPr>
      <w:bookmarkStart w:id="29" w:name="_Toc15377207"/>
      <w:bookmarkStart w:id="30" w:name="_Toc15396605"/>
      <w:r>
        <w:rPr>
          <w:rFonts w:ascii="黑体" w:eastAsia="黑体" w:hAnsi="黑体" w:hint="eastAsia"/>
          <w:color w:val="auto"/>
          <w:sz w:val="32"/>
          <w:szCs w:val="32"/>
        </w:rPr>
        <w:t>支</w:t>
      </w:r>
      <w:r>
        <w:rPr>
          <w:rStyle w:val="2Char"/>
          <w:rFonts w:ascii="黑体" w:eastAsia="黑体" w:hAnsi="黑体" w:hint="eastAsia"/>
          <w:b w:val="0"/>
          <w:color w:val="auto"/>
        </w:rPr>
        <w:t>出决算情况说明</w:t>
      </w:r>
      <w:bookmarkEnd w:id="29"/>
      <w:bookmarkEnd w:id="30"/>
    </w:p>
    <w:p>
      <w:pPr>
        <w:spacing w:line="600" w:lineRule="exact"/>
        <w:ind w:firstLineChars="200" w:firstLine="640"/>
        <w:outlineLvl w:val="1"/>
        <w:rPr>
          <w:rFonts w:ascii="仿宋" w:eastAsia="仿宋" w:hAnsi="仿宋"/>
          <w:color w:val="auto"/>
          <w:sz w:val="32"/>
          <w:szCs w:val="32"/>
          <w:shd w:val="pct10" w:color="auto" w:fill="FFFFFF"/>
        </w:rPr>
      </w:pPr>
      <w:r>
        <w:rPr>
          <w:rFonts w:ascii="仿宋" w:eastAsia="仿宋" w:hAnsi="仿宋"/>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年本年支出合计</w:t>
      </w:r>
      <w:r>
        <w:rPr>
          <w:rFonts w:ascii="仿宋" w:eastAsia="仿宋" w:hAnsi="仿宋" w:hint="eastAsia"/>
          <w:color w:val="auto"/>
          <w:sz w:val="32"/>
          <w:szCs w:val="32"/>
          <w:lang w:val="en-US" w:eastAsia="zh-CN"/>
        </w:rPr>
        <w:t>1752.77</w:t>
      </w:r>
      <w:r>
        <w:rPr>
          <w:rFonts w:ascii="仿宋" w:eastAsia="仿宋" w:hAnsi="仿宋" w:hint="eastAsia"/>
          <w:color w:val="auto"/>
          <w:sz w:val="32"/>
          <w:szCs w:val="32"/>
        </w:rPr>
        <w:t>万元，其中：基本支出</w:t>
      </w:r>
      <w:r>
        <w:rPr>
          <w:rFonts w:ascii="仿宋" w:eastAsia="仿宋" w:hAnsi="仿宋" w:hint="eastAsia"/>
          <w:color w:val="auto"/>
          <w:sz w:val="32"/>
          <w:szCs w:val="32"/>
          <w:lang w:val="en-US" w:eastAsia="zh-CN"/>
        </w:rPr>
        <w:t>1529.91</w:t>
      </w:r>
      <w:r>
        <w:rPr>
          <w:rFonts w:ascii="仿宋" w:eastAsia="仿宋" w:hAnsi="仿宋" w:hint="eastAsia"/>
          <w:color w:val="auto"/>
          <w:sz w:val="32"/>
          <w:szCs w:val="32"/>
        </w:rPr>
        <w:t>万元，占</w:t>
      </w:r>
      <w:r>
        <w:rPr>
          <w:rFonts w:ascii="仿宋" w:eastAsia="仿宋" w:hAnsi="仿宋" w:hint="eastAsia"/>
          <w:color w:val="auto"/>
          <w:sz w:val="32"/>
          <w:szCs w:val="32"/>
          <w:lang w:val="en-US" w:eastAsia="zh-CN"/>
        </w:rPr>
        <w:t>87.29</w:t>
      </w:r>
      <w:r>
        <w:rPr>
          <w:rFonts w:ascii="仿宋" w:eastAsia="仿宋" w:hAnsi="仿宋"/>
          <w:color w:val="auto"/>
          <w:sz w:val="32"/>
          <w:szCs w:val="32"/>
        </w:rPr>
        <w:t>%</w:t>
      </w:r>
      <w:r>
        <w:rPr>
          <w:rFonts w:ascii="仿宋" w:eastAsia="仿宋" w:hAnsi="仿宋" w:hint="eastAsia"/>
          <w:color w:val="auto"/>
          <w:sz w:val="32"/>
          <w:szCs w:val="32"/>
        </w:rPr>
        <w:t>；项目支出</w:t>
      </w:r>
      <w:r>
        <w:rPr>
          <w:rFonts w:ascii="仿宋" w:eastAsia="仿宋" w:hAnsi="仿宋" w:hint="eastAsia"/>
          <w:color w:val="auto"/>
          <w:sz w:val="32"/>
          <w:szCs w:val="32"/>
          <w:lang w:val="en-US" w:eastAsia="zh-CN"/>
        </w:rPr>
        <w:t>222.86</w:t>
      </w:r>
      <w:r>
        <w:rPr>
          <w:rFonts w:ascii="仿宋" w:eastAsia="仿宋" w:hAnsi="仿宋" w:hint="eastAsia"/>
          <w:color w:val="auto"/>
          <w:sz w:val="32"/>
          <w:szCs w:val="32"/>
        </w:rPr>
        <w:t>万元，占</w:t>
      </w:r>
      <w:r>
        <w:rPr>
          <w:rFonts w:ascii="仿宋" w:eastAsia="仿宋" w:hAnsi="仿宋" w:hint="eastAsia"/>
          <w:color w:val="auto"/>
          <w:sz w:val="32"/>
          <w:szCs w:val="32"/>
          <w:lang w:val="en-US" w:eastAsia="zh-CN"/>
        </w:rPr>
        <w:t>12.71</w:t>
      </w:r>
      <w:r>
        <w:rPr>
          <w:rFonts w:ascii="仿宋" w:eastAsia="仿宋" w:hAnsi="仿宋"/>
          <w:color w:val="auto"/>
          <w:sz w:val="32"/>
          <w:szCs w:val="32"/>
        </w:rPr>
        <w:t>%</w:t>
      </w:r>
      <w:r>
        <w:rPr>
          <w:rFonts w:ascii="仿宋" w:eastAsia="仿宋" w:hAnsi="仿宋" w:hint="eastAsia"/>
          <w:color w:val="auto"/>
          <w:sz w:val="32"/>
          <w:szCs w:val="32"/>
        </w:rPr>
        <w:t>；</w:t>
      </w:r>
    </w:p>
    <w:p>
      <w:pPr>
        <w:spacing w:line="600" w:lineRule="exact"/>
        <w:ind w:firstLineChars="200" w:firstLine="640"/>
        <w:rPr>
          <w:rFonts w:ascii="仿宋" w:eastAsia="仿宋" w:hAnsi="仿宋"/>
          <w:color w:val="auto"/>
          <w:sz w:val="32"/>
          <w:szCs w:val="32"/>
        </w:rPr>
      </w:pPr>
      <w:r>
        <w:rPr>
          <w:rFonts w:ascii="仿宋" w:eastAsia="仿宋" w:hAnsi="仿宋" w:hint="eastAsia"/>
          <w:color w:val="auto"/>
          <w:sz w:val="32"/>
          <w:szCs w:val="32"/>
        </w:rPr>
        <w:t>（图3：支出决算结构图）（饼状图）</w:t>
      </w:r>
    </w:p>
    <w:p>
      <w:pPr>
        <w:spacing w:line="600" w:lineRule="exact"/>
        <w:ind w:firstLineChars="200" w:firstLine="640"/>
        <w:rPr>
          <w:rFonts w:ascii="仿宋_GB2312" w:eastAsia="仿宋_GB2312"/>
          <w:color w:val="auto"/>
          <w:sz w:val="32"/>
          <w:szCs w:val="32"/>
        </w:rPr>
      </w:pPr>
    </w:p>
    <w:p>
      <w:pPr>
        <w:pStyle w:val="15"/>
        <w:rPr>
          <w:rFonts w:ascii="黑体" w:eastAsia="黑体" w:hAnsi="黑体" w:hint="eastAsia"/>
          <w:color w:val="auto"/>
          <w:sz w:val="32"/>
          <w:szCs w:val="32"/>
          <w:lang w:eastAsia="zh-CN"/>
        </w:rPr>
      </w:pPr>
      <w:r>
        <w:rPr>
          <w:rFonts w:ascii="黑体" w:eastAsia="黑体" w:hAnsi="黑体" w:hint="eastAsia"/>
          <w:color w:val="auto"/>
          <w:sz w:val="32"/>
          <w:szCs w:val="32"/>
          <w:lang w:eastAsia="zh-CN"/>
        </w:rPr>
        <w:drawing>
          <wp:anchor distT="0" distB="0" distL="114300" distR="114300" simplePos="0" relativeHeight="26" behindDoc="0" locked="0" layoutInCell="1" hidden="0" allowOverlap="1">
            <wp:simplePos x="0" y="0"/>
            <wp:positionH relativeFrom="column">
              <wp:posOffset>-154305</wp:posOffset>
            </wp:positionH>
            <wp:positionV relativeFrom="paragraph">
              <wp:posOffset>148590</wp:posOffset>
            </wp:positionV>
            <wp:extent cx="5600700" cy="2712085"/>
            <wp:effectExtent l="4444" t="4444" r="14604" b="7620"/>
            <wp:wrapSquare wrapText="bothSides"/>
            <wp:docPr id="5" name="图表 5"/>
            <wp:cNvGraphicFramePr>
              <a:graphicFrameLocks noChangeAspect="0"/>
            </wp:cNvGraphicFramePr>
            <a:graphic>
              <a:graphicData uri="http://schemas.openxmlformats.org/drawingml/2006/chart">
                <c:chart xmlns:c="http://schemas.openxmlformats.org/drawingml/2006/chart" r:id="rId9"/>
              </a:graphicData>
            </a:graphic>
          </wp:anchor>
        </w:drawing>
      </w:r>
      <w:bookmarkStart w:id="31" w:name="_Toc15377208"/>
      <w:bookmarkStart w:id="32" w:name="_Toc15396606"/>
    </w:p>
    <w:p>
      <w:pPr>
        <w:pStyle w:val="15"/>
        <w:ind w:firstLineChars="200" w:firstLine="640"/>
        <w:rPr>
          <w:rFonts w:ascii="黑体" w:eastAsia="黑体" w:hAnsi="黑体" w:hint="eastAsia"/>
          <w:color w:val="auto"/>
          <w:sz w:val="32"/>
          <w:szCs w:val="32"/>
        </w:rPr>
      </w:pPr>
    </w:p>
    <w:p>
      <w:pPr>
        <w:pStyle w:val="15"/>
        <w:ind w:firstLineChars="200" w:firstLine="640"/>
        <w:rPr>
          <w:rStyle w:val="2Char"/>
          <w:rFonts w:ascii="黑体" w:eastAsia="黑体" w:hAnsi="黑体"/>
          <w:b w:val="0"/>
          <w:color w:val="auto"/>
        </w:rPr>
      </w:pPr>
      <w:r>
        <w:rPr>
          <w:rFonts w:ascii="黑体" w:eastAsia="黑体" w:hAnsi="黑体" w:hint="eastAsia"/>
          <w:color w:val="auto"/>
          <w:sz w:val="32"/>
          <w:szCs w:val="32"/>
        </w:rPr>
        <w:t>四、财</w:t>
      </w:r>
      <w:r>
        <w:rPr>
          <w:rStyle w:val="2Char"/>
          <w:rFonts w:ascii="黑体" w:eastAsia="黑体" w:hAnsi="黑体" w:hint="eastAsia"/>
          <w:b w:val="0"/>
          <w:color w:val="auto"/>
        </w:rPr>
        <w:t>政拨款收入支出决算总体情况说明</w:t>
      </w:r>
      <w:bookmarkEnd w:id="31"/>
      <w:bookmarkEnd w:id="32"/>
    </w:p>
    <w:p>
      <w:pPr>
        <w:pageBreakBefore w:val="0"/>
        <w:widowControl w:val="0"/>
        <w:kinsoku/>
        <w:wordWrap/>
        <w:overflowPunct/>
        <w:topLinePunct w:val="0"/>
        <w:autoSpaceDE/>
        <w:autoSpaceDN/>
        <w:bidi w:val="0"/>
        <w:spacing w:line="576" w:lineRule="exact"/>
        <w:ind w:firstLineChars="196" w:firstLine="627"/>
        <w:textAlignment w:val="auto"/>
        <w:rPr>
          <w:rFonts w:ascii="仿宋" w:eastAsia="仿宋" w:cs="仿宋" w:hAnsi="仿宋" w:hint="eastAsia"/>
          <w:b w:val="0"/>
          <w:bCs/>
          <w:color w:val="auto"/>
          <w:sz w:val="32"/>
          <w:szCs w:val="32"/>
          <w:lang w:eastAsia="zh-CN"/>
        </w:rPr>
      </w:pPr>
      <w:r>
        <w:rPr>
          <w:rFonts w:ascii="仿宋" w:eastAsia="仿宋" w:hAnsi="仿宋" w:hint="eastAsia"/>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w:t>
      </w:r>
      <w:r>
        <w:rPr>
          <w:rFonts w:ascii="仿宋" w:eastAsia="仿宋" w:hAnsi="仿宋" w:hint="eastAsia"/>
          <w:color w:val="auto"/>
          <w:sz w:val="32"/>
          <w:szCs w:val="32"/>
          <w:lang w:val="en-US" w:eastAsia="zh-CN"/>
        </w:rPr>
        <w:t>财政拨款</w:t>
      </w:r>
      <w:r>
        <w:rPr>
          <w:rFonts w:ascii="仿宋" w:eastAsia="仿宋" w:hAnsi="仿宋" w:hint="eastAsia"/>
          <w:color w:val="auto"/>
          <w:sz w:val="32"/>
          <w:szCs w:val="32"/>
        </w:rPr>
        <w:t>收</w:t>
      </w:r>
      <w:r>
        <w:rPr>
          <w:rFonts w:ascii="仿宋" w:eastAsia="仿宋" w:hAnsi="仿宋" w:hint="eastAsia"/>
          <w:color w:val="auto"/>
          <w:sz w:val="32"/>
          <w:szCs w:val="32"/>
          <w:lang w:val="en-US" w:eastAsia="zh-CN"/>
        </w:rPr>
        <w:t>入</w:t>
      </w:r>
      <w:r>
        <w:rPr>
          <w:rFonts w:ascii="仿宋" w:eastAsia="仿宋" w:hAnsi="仿宋" w:hint="eastAsia"/>
          <w:color w:val="auto"/>
          <w:sz w:val="32"/>
          <w:szCs w:val="32"/>
        </w:rPr>
        <w:t>总计</w:t>
      </w:r>
      <w:r>
        <w:rPr>
          <w:rFonts w:ascii="仿宋" w:eastAsia="仿宋" w:hAnsi="仿宋" w:hint="eastAsia"/>
          <w:color w:val="auto"/>
          <w:sz w:val="32"/>
          <w:szCs w:val="32"/>
          <w:lang w:val="en-US" w:eastAsia="zh-CN"/>
        </w:rPr>
        <w:t>1920.5</w:t>
      </w:r>
      <w:r>
        <w:rPr>
          <w:rFonts w:ascii="仿宋" w:eastAsia="仿宋" w:hAnsi="仿宋" w:hint="eastAsia"/>
          <w:color w:val="auto"/>
          <w:sz w:val="32"/>
          <w:szCs w:val="32"/>
        </w:rPr>
        <w:t>万元。与20</w:t>
      </w:r>
      <w:r>
        <w:rPr>
          <w:rFonts w:ascii="仿宋" w:eastAsia="仿宋" w:hAnsi="仿宋" w:hint="eastAsia"/>
          <w:color w:val="auto"/>
          <w:sz w:val="32"/>
          <w:szCs w:val="32"/>
          <w:lang w:val="en-US" w:eastAsia="zh-CN"/>
        </w:rPr>
        <w:t>20</w:t>
      </w:r>
      <w:r>
        <w:rPr>
          <w:rFonts w:ascii="仿宋" w:eastAsia="仿宋" w:hAnsi="仿宋" w:hint="eastAsia"/>
          <w:color w:val="auto"/>
          <w:sz w:val="32"/>
          <w:szCs w:val="32"/>
        </w:rPr>
        <w:t>年相比，收</w:t>
      </w:r>
      <w:r>
        <w:rPr>
          <w:rFonts w:ascii="仿宋" w:eastAsia="仿宋" w:hAnsi="仿宋" w:hint="eastAsia"/>
          <w:color w:val="auto"/>
          <w:sz w:val="32"/>
          <w:szCs w:val="32"/>
          <w:lang w:val="en-US" w:eastAsia="zh-CN"/>
        </w:rPr>
        <w:t>入</w:t>
      </w:r>
      <w:r>
        <w:rPr>
          <w:rFonts w:ascii="仿宋" w:eastAsia="仿宋" w:hAnsi="仿宋" w:hint="eastAsia"/>
          <w:color w:val="auto"/>
          <w:sz w:val="32"/>
          <w:szCs w:val="32"/>
        </w:rPr>
        <w:t>总计减少</w:t>
      </w:r>
      <w:r>
        <w:rPr>
          <w:rFonts w:ascii="仿宋" w:eastAsia="仿宋" w:hAnsi="仿宋" w:hint="eastAsia"/>
          <w:color w:val="auto"/>
          <w:sz w:val="32"/>
          <w:szCs w:val="32"/>
          <w:lang w:val="en-US" w:eastAsia="zh-CN"/>
        </w:rPr>
        <w:t>339.09</w:t>
      </w:r>
      <w:r>
        <w:rPr>
          <w:rFonts w:ascii="仿宋" w:eastAsia="仿宋" w:hAnsi="仿宋" w:hint="eastAsia"/>
          <w:color w:val="auto"/>
          <w:sz w:val="32"/>
          <w:szCs w:val="32"/>
        </w:rPr>
        <w:t>万元，下降</w:t>
      </w:r>
      <w:r>
        <w:rPr>
          <w:rFonts w:ascii="仿宋" w:eastAsia="仿宋" w:hAnsi="仿宋" w:hint="eastAsia"/>
          <w:color w:val="auto"/>
          <w:sz w:val="32"/>
          <w:szCs w:val="32"/>
          <w:lang w:val="en-US" w:eastAsia="zh-CN"/>
        </w:rPr>
        <w:t>15</w:t>
      </w:r>
      <w:r>
        <w:rPr>
          <w:rFonts w:ascii="仿宋" w:eastAsia="仿宋" w:hAnsi="仿宋"/>
          <w:color w:val="auto"/>
          <w:sz w:val="32"/>
          <w:szCs w:val="32"/>
        </w:rPr>
        <w:t>%</w:t>
      </w:r>
      <w:r>
        <w:rPr>
          <w:rFonts w:ascii="仿宋" w:eastAsia="仿宋" w:hAnsi="仿宋" w:hint="eastAsia"/>
          <w:color w:val="auto"/>
          <w:sz w:val="32"/>
          <w:szCs w:val="32"/>
        </w:rPr>
        <w:t>。主要变动原因是</w:t>
      </w:r>
      <w:r>
        <w:rPr>
          <w:rFonts w:ascii="仿宋" w:eastAsia="仿宋" w:cs="仿宋" w:hAnsi="仿宋" w:hint="eastAsia"/>
          <w:b w:val="0"/>
          <w:bCs/>
          <w:color w:val="auto"/>
          <w:sz w:val="32"/>
          <w:szCs w:val="32"/>
        </w:rPr>
        <w:t>政府性基金预算财政拨款收入</w:t>
      </w:r>
      <w:r>
        <w:rPr>
          <w:rFonts w:ascii="仿宋" w:eastAsia="仿宋" w:cs="仿宋" w:hAnsi="仿宋" w:hint="eastAsia"/>
          <w:b w:val="0"/>
          <w:bCs/>
          <w:color w:val="auto"/>
          <w:sz w:val="32"/>
          <w:szCs w:val="32"/>
          <w:lang w:eastAsia="zh-CN"/>
        </w:rPr>
        <w:t>减少。</w:t>
      </w:r>
    </w:p>
    <w:p>
      <w:pPr>
        <w:pStyle w:val="15"/>
        <w:ind w:firstLineChars="200" w:firstLine="640"/>
        <w:rPr>
          <w:rFonts w:ascii="仿宋" w:eastAsia="仿宋" w:hAnsi="仿宋"/>
          <w:color w:val="auto"/>
          <w:sz w:val="32"/>
          <w:szCs w:val="32"/>
        </w:rPr>
      </w:pPr>
      <w:r>
        <w:rPr>
          <w:rFonts w:ascii="仿宋" w:eastAsia="仿宋" w:hAnsi="仿宋" w:hint="eastAsia"/>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年度</w:t>
      </w:r>
      <w:r>
        <w:rPr>
          <w:rFonts w:ascii="仿宋" w:eastAsia="仿宋" w:hAnsi="仿宋" w:hint="eastAsia"/>
          <w:color w:val="auto"/>
          <w:sz w:val="32"/>
          <w:szCs w:val="32"/>
          <w:lang w:val="en-US" w:eastAsia="zh-CN"/>
        </w:rPr>
        <w:t>支出</w:t>
      </w:r>
      <w:r>
        <w:rPr>
          <w:rFonts w:ascii="仿宋" w:eastAsia="仿宋" w:hAnsi="仿宋" w:hint="eastAsia"/>
          <w:color w:val="auto"/>
          <w:sz w:val="32"/>
          <w:szCs w:val="32"/>
        </w:rPr>
        <w:t>总计</w:t>
      </w:r>
      <w:r>
        <w:rPr>
          <w:rFonts w:ascii="仿宋" w:eastAsia="仿宋" w:hAnsi="仿宋" w:hint="eastAsia"/>
          <w:color w:val="auto"/>
          <w:sz w:val="32"/>
          <w:szCs w:val="32"/>
          <w:lang w:val="en-US" w:eastAsia="zh-CN"/>
        </w:rPr>
        <w:t>1920.5</w:t>
      </w:r>
      <w:r>
        <w:rPr>
          <w:rFonts w:ascii="仿宋" w:eastAsia="仿宋" w:hAnsi="仿宋" w:hint="eastAsia"/>
          <w:color w:val="auto"/>
          <w:sz w:val="32"/>
          <w:szCs w:val="32"/>
        </w:rPr>
        <w:t>万元。与20</w:t>
      </w:r>
      <w:r>
        <w:rPr>
          <w:rFonts w:ascii="仿宋" w:eastAsia="仿宋" w:hAnsi="仿宋" w:hint="eastAsia"/>
          <w:color w:val="auto"/>
          <w:sz w:val="32"/>
          <w:szCs w:val="32"/>
          <w:lang w:val="en-US" w:eastAsia="zh-CN"/>
        </w:rPr>
        <w:t>20</w:t>
      </w:r>
      <w:r>
        <w:rPr>
          <w:rFonts w:ascii="仿宋" w:eastAsia="仿宋" w:hAnsi="仿宋" w:hint="eastAsia"/>
          <w:color w:val="auto"/>
          <w:sz w:val="32"/>
          <w:szCs w:val="32"/>
        </w:rPr>
        <w:t>年相比，</w:t>
      </w:r>
      <w:r>
        <w:rPr>
          <w:rFonts w:ascii="仿宋" w:eastAsia="仿宋" w:hAnsi="仿宋" w:hint="eastAsia"/>
          <w:color w:val="auto"/>
          <w:sz w:val="32"/>
          <w:szCs w:val="32"/>
          <w:lang w:val="en-US" w:eastAsia="zh-CN"/>
        </w:rPr>
        <w:t>支出</w:t>
      </w:r>
      <w:r>
        <w:rPr>
          <w:rFonts w:ascii="仿宋" w:eastAsia="仿宋" w:hAnsi="仿宋" w:hint="eastAsia"/>
          <w:color w:val="auto"/>
          <w:sz w:val="32"/>
          <w:szCs w:val="32"/>
        </w:rPr>
        <w:t>总计减少</w:t>
      </w:r>
      <w:r>
        <w:rPr>
          <w:rFonts w:ascii="仿宋" w:eastAsia="仿宋" w:hAnsi="仿宋" w:hint="eastAsia"/>
          <w:color w:val="auto"/>
          <w:sz w:val="32"/>
          <w:szCs w:val="32"/>
          <w:lang w:val="en-US" w:eastAsia="zh-CN"/>
        </w:rPr>
        <w:t>339.08</w:t>
      </w:r>
      <w:r>
        <w:rPr>
          <w:rFonts w:ascii="仿宋" w:eastAsia="仿宋" w:hAnsi="仿宋" w:hint="eastAsia"/>
          <w:color w:val="auto"/>
          <w:sz w:val="32"/>
          <w:szCs w:val="32"/>
        </w:rPr>
        <w:t>万元，下降</w:t>
      </w:r>
      <w:r>
        <w:rPr>
          <w:rFonts w:ascii="仿宋" w:eastAsia="仿宋" w:hAnsi="仿宋" w:hint="eastAsia"/>
          <w:color w:val="auto"/>
          <w:sz w:val="32"/>
          <w:szCs w:val="32"/>
          <w:lang w:val="en-US" w:eastAsia="zh-CN"/>
        </w:rPr>
        <w:t>15</w:t>
      </w:r>
      <w:r>
        <w:rPr>
          <w:rFonts w:ascii="仿宋" w:eastAsia="仿宋" w:hAnsi="仿宋"/>
          <w:color w:val="auto"/>
          <w:sz w:val="32"/>
          <w:szCs w:val="32"/>
        </w:rPr>
        <w:t>%</w:t>
      </w:r>
      <w:r>
        <w:rPr>
          <w:rFonts w:ascii="仿宋" w:eastAsia="仿宋" w:hAnsi="仿宋" w:hint="eastAsia"/>
          <w:color w:val="auto"/>
          <w:sz w:val="32"/>
          <w:szCs w:val="32"/>
        </w:rPr>
        <w:t>。主要变动原因是</w:t>
      </w:r>
      <w:r>
        <w:rPr>
          <w:rFonts w:ascii="仿宋" w:eastAsia="仿宋" w:cs="仿宋" w:hAnsi="仿宋" w:hint="eastAsia"/>
          <w:b w:val="0"/>
          <w:bCs/>
          <w:color w:val="auto"/>
          <w:sz w:val="32"/>
          <w:szCs w:val="32"/>
        </w:rPr>
        <w:t>政府性基金预算财政拨款收入</w:t>
      </w:r>
      <w:r>
        <w:rPr>
          <w:rFonts w:ascii="仿宋" w:eastAsia="仿宋" w:cs="仿宋" w:hAnsi="仿宋" w:hint="eastAsia"/>
          <w:b w:val="0"/>
          <w:bCs/>
          <w:color w:val="auto"/>
          <w:sz w:val="32"/>
          <w:szCs w:val="32"/>
          <w:lang w:eastAsia="zh-CN"/>
        </w:rPr>
        <w:t>减少。</w:t>
      </w:r>
    </w:p>
    <w:p>
      <w:pPr>
        <w:spacing w:line="600" w:lineRule="exact"/>
        <w:ind w:firstLineChars="200" w:firstLine="640"/>
        <w:rPr>
          <w:rFonts w:ascii="仿宋" w:eastAsia="仿宋" w:hAnsi="仿宋"/>
          <w:color w:val="auto"/>
          <w:sz w:val="32"/>
          <w:szCs w:val="32"/>
        </w:rPr>
      </w:pPr>
      <w:r>
        <w:rPr>
          <w:rFonts w:ascii="仿宋" w:eastAsia="仿宋" w:hAnsi="仿宋" w:hint="eastAsia"/>
          <w:color w:val="auto"/>
          <w:sz w:val="32"/>
          <w:szCs w:val="32"/>
        </w:rPr>
        <w:t>（图4：财政拨款收、支决算总计变动情况）（柱状图）</w:t>
      </w:r>
    </w:p>
    <w:p>
      <w:pPr>
        <w:spacing w:line="600" w:lineRule="exact"/>
        <w:ind w:firstLine="640"/>
        <w:rPr>
          <w:rFonts w:ascii="仿宋" w:eastAsia="仿宋" w:hAnsi="仿宋"/>
          <w:b/>
          <w:color w:val="auto"/>
          <w:sz w:val="32"/>
          <w:szCs w:val="32"/>
        </w:rPr>
      </w:pPr>
      <w:r>
        <w:rPr>
          <w:rFonts w:ascii="仿宋" w:eastAsia="仿宋" w:hAnsi="仿宋" w:hint="eastAsia"/>
          <w:color w:val="auto"/>
          <w:sz w:val="32"/>
          <w:szCs w:val="32"/>
          <w:lang w:eastAsia="zh-CN"/>
        </w:rPr>
        <w:drawing>
          <wp:anchor distT="0" distB="0" distL="114300" distR="114300" simplePos="0" relativeHeight="28" behindDoc="0" locked="0" layoutInCell="1" hidden="0" allowOverlap="1">
            <wp:simplePos x="0" y="0"/>
            <wp:positionH relativeFrom="column">
              <wp:posOffset>205104</wp:posOffset>
            </wp:positionH>
            <wp:positionV relativeFrom="paragraph">
              <wp:posOffset>321945</wp:posOffset>
            </wp:positionV>
            <wp:extent cx="5297170" cy="2296795"/>
            <wp:effectExtent l="5080" t="4444" r="12700" b="22860"/>
            <wp:wrapSquare wrapText="bothSides"/>
            <wp:docPr id="6" name="图表 6"/>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Chars="200" w:firstLine="640"/>
        <w:outlineLvl w:val="1"/>
        <w:rPr>
          <w:rStyle w:val="2Char"/>
          <w:rFonts w:ascii="黑体" w:eastAsia="黑体" w:hAnsi="黑体"/>
          <w:b w:val="0"/>
          <w:color w:val="auto"/>
        </w:rPr>
      </w:pPr>
      <w:bookmarkStart w:id="33" w:name="_Toc15396607"/>
      <w:bookmarkStart w:id="34" w:name="_Toc15377209"/>
      <w:r>
        <w:rPr>
          <w:rFonts w:ascii="黑体" w:eastAsia="黑体" w:hAnsi="黑体" w:hint="eastAsia"/>
          <w:color w:val="auto"/>
          <w:sz w:val="32"/>
          <w:szCs w:val="32"/>
        </w:rPr>
        <w:t>五、</w:t>
      </w:r>
      <w:r>
        <w:rPr>
          <w:rFonts w:ascii="黑体" w:eastAsia="黑体" w:hAnsi="黑体" w:hint="eastAsia"/>
          <w:b/>
          <w:color w:val="auto"/>
          <w:sz w:val="32"/>
          <w:szCs w:val="32"/>
        </w:rPr>
        <w:t>一</w:t>
      </w:r>
      <w:r>
        <w:rPr>
          <w:rStyle w:val="2Char"/>
          <w:rFonts w:ascii="黑体" w:eastAsia="黑体" w:hAnsi="黑体" w:hint="eastAsia"/>
          <w:b w:val="0"/>
          <w:color w:val="auto"/>
        </w:rPr>
        <w:t>般公共预算财政拨款支出决算情况说明</w:t>
      </w:r>
      <w:bookmarkEnd w:id="33"/>
      <w:bookmarkEnd w:id="34"/>
    </w:p>
    <w:p>
      <w:pPr>
        <w:spacing w:line="600" w:lineRule="exact"/>
        <w:ind w:firstLineChars="200" w:firstLine="640"/>
        <w:outlineLvl w:val="2"/>
        <w:rPr>
          <w:rFonts w:ascii="仿宋" w:eastAsia="仿宋" w:hAnsi="仿宋"/>
          <w:b/>
          <w:color w:val="auto"/>
          <w:sz w:val="32"/>
          <w:szCs w:val="32"/>
        </w:rPr>
      </w:pPr>
      <w:bookmarkStart w:id="35" w:name="_Toc15377210"/>
      <w:r>
        <w:rPr>
          <w:rFonts w:ascii="仿宋" w:eastAsia="仿宋" w:hAnsi="仿宋" w:hint="eastAsia"/>
          <w:b/>
          <w:color w:val="auto"/>
          <w:sz w:val="32"/>
          <w:szCs w:val="32"/>
        </w:rPr>
        <w:t>（一）一般公共预算财政拨款支出决算总体情况</w:t>
      </w:r>
      <w:bookmarkEnd w:id="35"/>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hAnsi="仿宋" w:hint="eastAsia"/>
          <w:color w:val="auto"/>
          <w:sz w:val="32"/>
          <w:szCs w:val="32"/>
        </w:rPr>
      </w:pPr>
      <w:r>
        <w:rPr>
          <w:rFonts w:ascii="仿宋" w:eastAsia="仿宋" w:hAnsi="仿宋"/>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年一般公共预算财政拨款支出</w:t>
      </w:r>
      <w:r>
        <w:rPr>
          <w:rFonts w:ascii="仿宋" w:eastAsia="仿宋" w:hAnsi="仿宋" w:hint="eastAsia"/>
          <w:color w:val="auto"/>
          <w:sz w:val="32"/>
          <w:szCs w:val="32"/>
          <w:lang w:val="en-US" w:eastAsia="zh-CN"/>
        </w:rPr>
        <w:t>1752.77</w:t>
      </w:r>
      <w:r>
        <w:rPr>
          <w:rFonts w:ascii="仿宋" w:eastAsia="仿宋" w:hAnsi="仿宋" w:hint="eastAsia"/>
          <w:color w:val="auto"/>
          <w:sz w:val="32"/>
          <w:szCs w:val="32"/>
        </w:rPr>
        <w:t>万元，占本年支出合计的</w:t>
      </w:r>
      <w:r>
        <w:rPr>
          <w:rFonts w:ascii="仿宋" w:eastAsia="仿宋" w:hAnsi="仿宋" w:hint="eastAsia"/>
          <w:color w:val="auto"/>
          <w:sz w:val="32"/>
          <w:szCs w:val="32"/>
          <w:lang w:val="en-US" w:eastAsia="zh-CN"/>
        </w:rPr>
        <w:t>100</w:t>
      </w:r>
      <w:r>
        <w:rPr>
          <w:rFonts w:ascii="仿宋" w:eastAsia="仿宋" w:hAnsi="仿宋"/>
          <w:color w:val="auto"/>
          <w:sz w:val="32"/>
          <w:szCs w:val="32"/>
        </w:rPr>
        <w:t>%</w:t>
      </w:r>
      <w:r>
        <w:rPr>
          <w:rFonts w:ascii="仿宋" w:eastAsia="仿宋" w:hAnsi="仿宋" w:hint="eastAsia"/>
          <w:color w:val="auto"/>
          <w:sz w:val="32"/>
          <w:szCs w:val="32"/>
        </w:rPr>
        <w:t>。与</w:t>
      </w:r>
      <w:r>
        <w:rPr>
          <w:rFonts w:ascii="仿宋" w:eastAsia="仿宋" w:hAnsi="仿宋"/>
          <w:color w:val="auto"/>
          <w:sz w:val="32"/>
          <w:szCs w:val="32"/>
        </w:rPr>
        <w:t>20</w:t>
      </w:r>
      <w:r>
        <w:rPr>
          <w:rFonts w:ascii="仿宋" w:eastAsia="仿宋" w:hAnsi="仿宋" w:hint="eastAsia"/>
          <w:color w:val="auto"/>
          <w:sz w:val="32"/>
          <w:szCs w:val="32"/>
          <w:lang w:val="en-US" w:eastAsia="zh-CN"/>
        </w:rPr>
        <w:t>20</w:t>
      </w:r>
      <w:r>
        <w:rPr>
          <w:rFonts w:ascii="仿宋" w:eastAsia="仿宋" w:hAnsi="仿宋" w:hint="eastAsia"/>
          <w:color w:val="auto"/>
          <w:sz w:val="32"/>
          <w:szCs w:val="32"/>
        </w:rPr>
        <w:t>年相比，一般公共预算财政拨款</w:t>
      </w:r>
      <w:r>
        <w:rPr>
          <w:rFonts w:ascii="仿宋" w:eastAsia="仿宋" w:hAnsi="仿宋" w:hint="eastAsia"/>
          <w:color w:val="auto"/>
          <w:sz w:val="32"/>
          <w:szCs w:val="32"/>
          <w:lang w:eastAsia="zh-CN"/>
        </w:rPr>
        <w:t>支出</w:t>
      </w:r>
      <w:r>
        <w:rPr>
          <w:rFonts w:ascii="仿宋" w:eastAsia="仿宋" w:hAnsi="仿宋" w:hint="eastAsia"/>
          <w:color w:val="auto"/>
          <w:sz w:val="32"/>
          <w:szCs w:val="32"/>
        </w:rPr>
        <w:t>减少</w:t>
      </w:r>
      <w:r>
        <w:rPr>
          <w:rFonts w:ascii="仿宋" w:eastAsia="仿宋" w:hAnsi="仿宋" w:hint="eastAsia"/>
          <w:color w:val="auto"/>
          <w:sz w:val="32"/>
          <w:szCs w:val="32"/>
          <w:lang w:val="en-US" w:eastAsia="zh-CN"/>
        </w:rPr>
        <w:t>53.35</w:t>
      </w:r>
      <w:r>
        <w:rPr>
          <w:rFonts w:ascii="仿宋" w:eastAsia="仿宋" w:hAnsi="仿宋" w:hint="eastAsia"/>
          <w:color w:val="auto"/>
          <w:sz w:val="32"/>
          <w:szCs w:val="32"/>
        </w:rPr>
        <w:t>万元，下降</w:t>
      </w:r>
      <w:r>
        <w:rPr>
          <w:rFonts w:ascii="仿宋" w:eastAsia="仿宋" w:hAnsi="仿宋" w:hint="eastAsia"/>
          <w:color w:val="auto"/>
          <w:sz w:val="32"/>
          <w:szCs w:val="32"/>
          <w:lang w:val="en-US" w:eastAsia="zh-CN"/>
        </w:rPr>
        <w:t>2.95</w:t>
      </w:r>
      <w:r>
        <w:rPr>
          <w:rFonts w:ascii="仿宋" w:eastAsia="仿宋" w:hAnsi="仿宋"/>
          <w:color w:val="auto"/>
          <w:sz w:val="32"/>
          <w:szCs w:val="32"/>
        </w:rPr>
        <w:t>%</w:t>
      </w:r>
      <w:r>
        <w:rPr>
          <w:rFonts w:ascii="仿宋" w:eastAsia="仿宋" w:hAnsi="仿宋" w:hint="eastAsia"/>
          <w:color w:val="auto"/>
          <w:sz w:val="32"/>
          <w:szCs w:val="32"/>
        </w:rPr>
        <w:t>。主要变动原因是</w:t>
      </w:r>
      <w:r>
        <w:rPr>
          <w:rFonts w:ascii="仿宋" w:eastAsia="仿宋" w:cs="仿宋" w:hAnsi="仿宋" w:hint="eastAsia"/>
          <w:b w:val="0"/>
          <w:bCs/>
          <w:color w:val="auto"/>
          <w:sz w:val="32"/>
          <w:szCs w:val="32"/>
          <w:lang w:eastAsia="zh-CN"/>
        </w:rPr>
        <w:t>泉坝村褚家屯至李家湾公路建设项目养老保险</w:t>
      </w:r>
      <w:r>
        <w:rPr>
          <w:rFonts w:ascii="仿宋" w:eastAsia="仿宋" w:cs="仿宋" w:hAnsi="仿宋" w:hint="eastAsia"/>
          <w:b w:val="0"/>
          <w:bCs/>
          <w:color w:val="auto"/>
          <w:sz w:val="32"/>
          <w:szCs w:val="32"/>
        </w:rPr>
        <w:t>经费</w:t>
      </w:r>
      <w:r>
        <w:rPr>
          <w:rFonts w:ascii="仿宋" w:eastAsia="仿宋" w:cs="仿宋" w:hAnsi="仿宋" w:hint="eastAsia"/>
          <w:b w:val="0"/>
          <w:bCs/>
          <w:color w:val="auto"/>
          <w:sz w:val="32"/>
          <w:szCs w:val="32"/>
          <w:lang w:eastAsia="zh-CN"/>
        </w:rPr>
        <w:t>减少。</w:t>
      </w:r>
    </w:p>
    <w:p>
      <w:pPr>
        <w:spacing w:line="600" w:lineRule="exact"/>
        <w:rPr>
          <w:rFonts w:ascii="仿宋" w:eastAsia="仿宋" w:hAnsi="仿宋"/>
          <w:color w:val="auto"/>
          <w:sz w:val="32"/>
          <w:szCs w:val="32"/>
        </w:rPr>
      </w:pPr>
      <w:r>
        <w:rPr>
          <w:rFonts w:ascii="仿宋" w:eastAsia="仿宋" w:hAnsi="仿宋" w:hint="eastAsia"/>
          <w:color w:val="auto"/>
          <w:sz w:val="32"/>
          <w:szCs w:val="32"/>
        </w:rPr>
        <w:t>（图5：一般公共预算财政拨款支出决算变动情况）（柱状图）</w:t>
      </w:r>
    </w:p>
    <w:p>
      <w:pPr>
        <w:pStyle w:val="15"/>
        <w:rPr>
          <w:rFonts w:ascii="仿宋" w:eastAsia="仿宋" w:hAnsi="仿宋"/>
          <w:color w:val="auto"/>
          <w:sz w:val="32"/>
          <w:szCs w:val="32"/>
        </w:rPr>
      </w:pPr>
      <w:r>
        <w:rPr>
          <w:rFonts w:ascii="仿宋" w:eastAsia="仿宋" w:hAnsi="仿宋" w:hint="eastAsia"/>
          <w:color w:val="auto"/>
          <w:sz w:val="32"/>
          <w:szCs w:val="32"/>
          <w:lang w:eastAsia="zh-CN"/>
        </w:rPr>
        <w:drawing>
          <wp:anchor distT="0" distB="0" distL="114300" distR="114300" simplePos="0" relativeHeight="30" behindDoc="0" locked="0" layoutInCell="1" hidden="0" allowOverlap="1">
            <wp:simplePos x="0" y="0"/>
            <wp:positionH relativeFrom="column">
              <wp:posOffset>-71755</wp:posOffset>
            </wp:positionH>
            <wp:positionV relativeFrom="paragraph">
              <wp:posOffset>57150</wp:posOffset>
            </wp:positionV>
            <wp:extent cx="5485765" cy="2192655"/>
            <wp:effectExtent l="5080" t="4444" r="14604" b="12700"/>
            <wp:wrapSquare wrapText="bothSides"/>
            <wp:docPr id="7" name="图表 7"/>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600" w:lineRule="exact"/>
        <w:ind w:firstLineChars="200" w:firstLine="640"/>
        <w:outlineLvl w:val="2"/>
        <w:rPr>
          <w:rFonts w:ascii="仿宋" w:eastAsia="仿宋" w:hAnsi="仿宋"/>
          <w:b/>
          <w:color w:val="auto"/>
          <w:sz w:val="32"/>
          <w:szCs w:val="32"/>
        </w:rPr>
      </w:pPr>
      <w:bookmarkStart w:id="36" w:name="_Toc15377211"/>
      <w:r>
        <w:rPr>
          <w:rFonts w:ascii="仿宋" w:eastAsia="仿宋" w:hAnsi="仿宋" w:hint="eastAsia"/>
          <w:b/>
          <w:color w:val="auto"/>
          <w:sz w:val="32"/>
          <w:szCs w:val="32"/>
        </w:rPr>
        <w:t>（二）一般公共预算财政拨款支出决算结构情况</w:t>
      </w:r>
      <w:bookmarkEnd w:id="36"/>
    </w:p>
    <w:p>
      <w:pPr>
        <w:keepNext w:val="0"/>
        <w:keepLines w:val="0"/>
        <w:pageBreakBefore w:val="0"/>
        <w:widowControl w:val="0"/>
        <w:kinsoku/>
        <w:wordWrap/>
        <w:overflowPunct/>
        <w:topLinePunct w:val="0"/>
        <w:autoSpaceDE/>
        <w:autoSpaceDN/>
        <w:bidi w:val="0"/>
        <w:adjustRightInd/>
        <w:snapToGrid/>
        <w:spacing w:line="576" w:lineRule="exact"/>
        <w:ind w:firstLineChars="200" w:firstLine="640"/>
        <w:textAlignment w:val="auto"/>
        <w:rPr>
          <w:rFonts w:ascii="仿宋" w:eastAsia="仿宋" w:hAnsi="仿宋"/>
          <w:color w:val="auto"/>
          <w:sz w:val="32"/>
          <w:szCs w:val="32"/>
        </w:rPr>
      </w:pPr>
      <w:r>
        <w:rPr>
          <w:rFonts w:ascii="仿宋" w:eastAsia="仿宋" w:hAnsi="仿宋"/>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年一般公共预算财政拨款支出</w:t>
      </w:r>
      <w:r>
        <w:rPr>
          <w:rFonts w:ascii="仿宋" w:eastAsia="仿宋" w:hAnsi="仿宋" w:hint="eastAsia"/>
          <w:color w:val="auto"/>
          <w:sz w:val="32"/>
          <w:szCs w:val="32"/>
          <w:lang w:val="en-US" w:eastAsia="zh-CN"/>
        </w:rPr>
        <w:t>1752.77</w:t>
      </w:r>
      <w:r>
        <w:rPr>
          <w:rFonts w:ascii="仿宋" w:eastAsia="仿宋" w:hAnsi="仿宋" w:hint="eastAsia"/>
          <w:color w:val="auto"/>
          <w:sz w:val="32"/>
          <w:szCs w:val="32"/>
        </w:rPr>
        <w:t>万元，主要用于以下方面</w:t>
      </w:r>
      <w:r>
        <w:rPr>
          <w:rFonts w:ascii="仿宋" w:eastAsia="仿宋" w:hAnsi="仿宋"/>
          <w:color w:val="auto"/>
          <w:sz w:val="32"/>
          <w:szCs w:val="32"/>
        </w:rPr>
        <w:t>:</w:t>
      </w:r>
      <w:r>
        <w:rPr>
          <w:rFonts w:ascii="仿宋" w:eastAsia="仿宋" w:hAnsi="仿宋" w:hint="eastAsia"/>
          <w:b w:val="0"/>
          <w:bCs/>
          <w:color w:val="auto"/>
          <w:sz w:val="32"/>
          <w:szCs w:val="32"/>
        </w:rPr>
        <w:t>一般公共服务（类）支出</w:t>
      </w:r>
      <w:r>
        <w:rPr>
          <w:rFonts w:ascii="仿宋" w:eastAsia="仿宋" w:hAnsi="仿宋" w:hint="eastAsia"/>
          <w:b w:val="0"/>
          <w:bCs/>
          <w:color w:val="auto"/>
          <w:sz w:val="32"/>
          <w:szCs w:val="32"/>
          <w:lang w:val="en-US" w:eastAsia="zh-CN"/>
        </w:rPr>
        <w:t>745.67</w:t>
      </w:r>
      <w:r>
        <w:rPr>
          <w:rFonts w:ascii="仿宋" w:eastAsia="仿宋" w:hAnsi="仿宋" w:hint="eastAsia"/>
          <w:b w:val="0"/>
          <w:bCs/>
          <w:color w:val="auto"/>
          <w:sz w:val="32"/>
          <w:szCs w:val="32"/>
        </w:rPr>
        <w:t>万元，占</w:t>
      </w:r>
      <w:r>
        <w:rPr>
          <w:rFonts w:ascii="仿宋" w:eastAsia="仿宋" w:hAnsi="仿宋" w:hint="eastAsia"/>
          <w:b w:val="0"/>
          <w:bCs/>
          <w:color w:val="auto"/>
          <w:sz w:val="32"/>
          <w:szCs w:val="32"/>
          <w:lang w:val="en-US" w:eastAsia="zh-CN"/>
        </w:rPr>
        <w:t>42.55</w:t>
      </w:r>
      <w:r>
        <w:rPr>
          <w:rFonts w:ascii="仿宋" w:eastAsia="仿宋" w:hAnsi="仿宋"/>
          <w:b w:val="0"/>
          <w:bCs/>
          <w:color w:val="auto"/>
          <w:sz w:val="32"/>
          <w:szCs w:val="32"/>
        </w:rPr>
        <w:t>%</w:t>
      </w:r>
      <w:r>
        <w:rPr>
          <w:rFonts w:ascii="仿宋" w:eastAsia="仿宋" w:hAnsi="仿宋" w:hint="eastAsia"/>
          <w:b w:val="0"/>
          <w:bCs/>
          <w:color w:val="auto"/>
          <w:sz w:val="32"/>
          <w:szCs w:val="32"/>
        </w:rPr>
        <w:t>；文化旅游体育与传媒（类）支出</w:t>
      </w:r>
      <w:r>
        <w:rPr>
          <w:rFonts w:ascii="仿宋" w:eastAsia="仿宋" w:hAnsi="仿宋" w:hint="eastAsia"/>
          <w:b w:val="0"/>
          <w:bCs/>
          <w:color w:val="auto"/>
          <w:sz w:val="32"/>
          <w:szCs w:val="32"/>
          <w:lang w:val="en-US" w:eastAsia="zh-CN"/>
        </w:rPr>
        <w:t>21.86</w:t>
      </w:r>
      <w:r>
        <w:rPr>
          <w:rFonts w:ascii="仿宋" w:eastAsia="仿宋" w:hAnsi="仿宋" w:hint="eastAsia"/>
          <w:b w:val="0"/>
          <w:bCs/>
          <w:color w:val="auto"/>
          <w:sz w:val="32"/>
          <w:szCs w:val="32"/>
        </w:rPr>
        <w:t>万元，占</w:t>
      </w:r>
      <w:r>
        <w:rPr>
          <w:rFonts w:ascii="仿宋" w:eastAsia="仿宋" w:hAnsi="仿宋" w:hint="eastAsia"/>
          <w:b w:val="0"/>
          <w:bCs/>
          <w:color w:val="auto"/>
          <w:sz w:val="32"/>
          <w:szCs w:val="32"/>
          <w:lang w:val="en-US" w:eastAsia="zh-CN"/>
        </w:rPr>
        <w:t>1.25</w:t>
      </w:r>
      <w:r>
        <w:rPr>
          <w:rFonts w:ascii="仿宋" w:eastAsia="仿宋" w:hAnsi="仿宋"/>
          <w:b w:val="0"/>
          <w:bCs/>
          <w:color w:val="auto"/>
          <w:sz w:val="32"/>
          <w:szCs w:val="32"/>
        </w:rPr>
        <w:t>%</w:t>
      </w:r>
      <w:r>
        <w:rPr>
          <w:rFonts w:ascii="仿宋" w:eastAsia="仿宋" w:hAnsi="仿宋" w:hint="eastAsia"/>
          <w:b w:val="0"/>
          <w:bCs/>
          <w:color w:val="auto"/>
          <w:sz w:val="32"/>
          <w:szCs w:val="32"/>
        </w:rPr>
        <w:t>；社会保障和就业（类）支出</w:t>
      </w:r>
      <w:r>
        <w:rPr>
          <w:rFonts w:ascii="仿宋" w:eastAsia="仿宋" w:hAnsi="仿宋" w:hint="eastAsia"/>
          <w:b w:val="0"/>
          <w:bCs/>
          <w:color w:val="auto"/>
          <w:sz w:val="32"/>
          <w:szCs w:val="32"/>
          <w:lang w:val="en-US" w:eastAsia="zh-CN"/>
        </w:rPr>
        <w:t>95.62</w:t>
      </w:r>
      <w:r>
        <w:rPr>
          <w:rFonts w:ascii="仿宋" w:eastAsia="仿宋" w:hAnsi="仿宋" w:hint="eastAsia"/>
          <w:b w:val="0"/>
          <w:bCs/>
          <w:color w:val="auto"/>
          <w:sz w:val="32"/>
          <w:szCs w:val="32"/>
        </w:rPr>
        <w:t>万元，占</w:t>
      </w:r>
      <w:r>
        <w:rPr>
          <w:rFonts w:ascii="仿宋" w:eastAsia="仿宋" w:hAnsi="仿宋" w:hint="eastAsia"/>
          <w:b w:val="0"/>
          <w:bCs/>
          <w:color w:val="auto"/>
          <w:sz w:val="32"/>
          <w:szCs w:val="32"/>
          <w:lang w:val="en-US" w:eastAsia="zh-CN"/>
        </w:rPr>
        <w:t>5.46</w:t>
      </w:r>
      <w:r>
        <w:rPr>
          <w:rFonts w:ascii="仿宋" w:eastAsia="仿宋" w:hAnsi="仿宋"/>
          <w:b w:val="0"/>
          <w:bCs/>
          <w:color w:val="auto"/>
          <w:sz w:val="32"/>
          <w:szCs w:val="32"/>
        </w:rPr>
        <w:t>%</w:t>
      </w:r>
      <w:r>
        <w:rPr>
          <w:rFonts w:ascii="仿宋" w:eastAsia="仿宋" w:hAnsi="仿宋" w:hint="eastAsia"/>
          <w:b w:val="0"/>
          <w:bCs/>
          <w:color w:val="auto"/>
          <w:sz w:val="32"/>
          <w:szCs w:val="32"/>
        </w:rPr>
        <w:t>；卫生健康（类）支出</w:t>
      </w:r>
      <w:r>
        <w:rPr>
          <w:rFonts w:ascii="仿宋" w:eastAsia="仿宋" w:hAnsi="仿宋" w:hint="eastAsia"/>
          <w:b w:val="0"/>
          <w:bCs/>
          <w:color w:val="auto"/>
          <w:sz w:val="32"/>
          <w:szCs w:val="32"/>
          <w:lang w:val="en-US" w:eastAsia="zh-CN"/>
        </w:rPr>
        <w:t>63.52</w:t>
      </w:r>
      <w:r>
        <w:rPr>
          <w:rFonts w:ascii="仿宋" w:eastAsia="仿宋" w:hAnsi="仿宋" w:hint="eastAsia"/>
          <w:b w:val="0"/>
          <w:bCs/>
          <w:color w:val="auto"/>
          <w:sz w:val="32"/>
          <w:szCs w:val="32"/>
        </w:rPr>
        <w:t>万元，占</w:t>
      </w:r>
      <w:r>
        <w:rPr>
          <w:rFonts w:ascii="仿宋" w:eastAsia="仿宋" w:hAnsi="仿宋" w:hint="eastAsia"/>
          <w:b w:val="0"/>
          <w:bCs/>
          <w:color w:val="auto"/>
          <w:sz w:val="32"/>
          <w:szCs w:val="32"/>
          <w:lang w:val="en-US" w:eastAsia="zh-CN"/>
        </w:rPr>
        <w:t>3.62</w:t>
      </w:r>
      <w:r>
        <w:rPr>
          <w:rFonts w:ascii="仿宋" w:eastAsia="仿宋" w:hAnsi="仿宋"/>
          <w:b w:val="0"/>
          <w:bCs/>
          <w:color w:val="auto"/>
          <w:sz w:val="32"/>
          <w:szCs w:val="32"/>
        </w:rPr>
        <w:t>%</w:t>
      </w:r>
      <w:r>
        <w:rPr>
          <w:rFonts w:ascii="仿宋" w:eastAsia="仿宋" w:hAnsi="仿宋" w:hint="eastAsia"/>
          <w:b w:val="0"/>
          <w:bCs/>
          <w:color w:val="auto"/>
          <w:sz w:val="32"/>
          <w:szCs w:val="32"/>
        </w:rPr>
        <w:t>；</w:t>
      </w:r>
      <w:r>
        <w:rPr>
          <w:rFonts w:ascii="仿宋" w:eastAsia="仿宋" w:hAnsi="仿宋" w:hint="eastAsia"/>
          <w:b w:val="0"/>
          <w:bCs/>
          <w:color w:val="auto"/>
          <w:sz w:val="32"/>
          <w:szCs w:val="32"/>
          <w:lang w:eastAsia="zh-CN"/>
        </w:rPr>
        <w:t>城乡社区</w:t>
      </w:r>
      <w:r>
        <w:rPr>
          <w:rFonts w:ascii="仿宋" w:eastAsia="仿宋" w:hAnsi="仿宋" w:hint="eastAsia"/>
          <w:b w:val="0"/>
          <w:bCs/>
          <w:color w:val="auto"/>
          <w:sz w:val="32"/>
          <w:szCs w:val="32"/>
        </w:rPr>
        <w:t>（类）</w:t>
      </w:r>
      <w:r>
        <w:rPr>
          <w:rFonts w:ascii="仿宋" w:eastAsia="仿宋" w:hAnsi="仿宋" w:hint="eastAsia"/>
          <w:b w:val="0"/>
          <w:bCs/>
          <w:color w:val="auto"/>
          <w:sz w:val="32"/>
          <w:szCs w:val="32"/>
          <w:lang w:eastAsia="zh-CN"/>
        </w:rPr>
        <w:t>支出</w:t>
      </w:r>
      <w:r>
        <w:rPr>
          <w:rFonts w:ascii="仿宋" w:eastAsia="仿宋" w:hAnsi="仿宋" w:hint="eastAsia"/>
          <w:b w:val="0"/>
          <w:bCs/>
          <w:color w:val="auto"/>
          <w:sz w:val="32"/>
          <w:szCs w:val="32"/>
          <w:lang w:val="en-US" w:eastAsia="zh-CN"/>
        </w:rPr>
        <w:t>86.26</w:t>
      </w:r>
      <w:r>
        <w:rPr>
          <w:rFonts w:ascii="仿宋" w:eastAsia="仿宋" w:hAnsi="仿宋" w:hint="eastAsia"/>
          <w:b w:val="0"/>
          <w:bCs/>
          <w:color w:val="auto"/>
          <w:sz w:val="32"/>
          <w:szCs w:val="32"/>
          <w:lang w:eastAsia="zh-CN"/>
        </w:rPr>
        <w:t>万元，占</w:t>
      </w:r>
      <w:r>
        <w:rPr>
          <w:rFonts w:ascii="仿宋" w:eastAsia="仿宋" w:hAnsi="仿宋" w:hint="eastAsia"/>
          <w:b w:val="0"/>
          <w:bCs/>
          <w:color w:val="auto"/>
          <w:sz w:val="32"/>
          <w:szCs w:val="32"/>
          <w:lang w:val="en-US" w:eastAsia="zh-CN"/>
        </w:rPr>
        <w:t>4.92</w:t>
      </w:r>
      <w:r>
        <w:rPr>
          <w:rFonts w:ascii="仿宋" w:eastAsia="仿宋" w:hAnsi="仿宋" w:hint="eastAsia"/>
          <w:b w:val="0"/>
          <w:bCs/>
          <w:color w:val="auto"/>
          <w:sz w:val="32"/>
          <w:szCs w:val="32"/>
          <w:lang w:eastAsia="zh-CN"/>
        </w:rPr>
        <w:t>%；农林水</w:t>
      </w:r>
      <w:r>
        <w:rPr>
          <w:rFonts w:ascii="仿宋" w:eastAsia="仿宋" w:hAnsi="仿宋" w:hint="eastAsia"/>
          <w:b w:val="0"/>
          <w:bCs/>
          <w:color w:val="auto"/>
          <w:sz w:val="32"/>
          <w:szCs w:val="32"/>
        </w:rPr>
        <w:t>（类）</w:t>
      </w:r>
      <w:r>
        <w:rPr>
          <w:rFonts w:ascii="仿宋" w:eastAsia="仿宋" w:hAnsi="仿宋" w:hint="eastAsia"/>
          <w:b w:val="0"/>
          <w:bCs/>
          <w:color w:val="auto"/>
          <w:sz w:val="32"/>
          <w:szCs w:val="32"/>
          <w:lang w:eastAsia="zh-CN"/>
        </w:rPr>
        <w:t>支出</w:t>
      </w:r>
      <w:r>
        <w:rPr>
          <w:rFonts w:ascii="仿宋" w:eastAsia="仿宋" w:hAnsi="仿宋" w:hint="eastAsia"/>
          <w:b w:val="0"/>
          <w:bCs/>
          <w:color w:val="auto"/>
          <w:sz w:val="32"/>
          <w:szCs w:val="32"/>
          <w:lang w:val="en-US" w:eastAsia="zh-CN"/>
        </w:rPr>
        <w:t>680.69</w:t>
      </w:r>
      <w:r>
        <w:rPr>
          <w:rFonts w:ascii="仿宋" w:eastAsia="仿宋" w:hAnsi="仿宋" w:hint="eastAsia"/>
          <w:b w:val="0"/>
          <w:bCs/>
          <w:color w:val="auto"/>
          <w:sz w:val="32"/>
          <w:szCs w:val="32"/>
          <w:lang w:eastAsia="zh-CN"/>
        </w:rPr>
        <w:t>万元，占</w:t>
      </w:r>
      <w:r>
        <w:rPr>
          <w:rFonts w:ascii="仿宋" w:eastAsia="仿宋" w:hAnsi="仿宋" w:hint="eastAsia"/>
          <w:b w:val="0"/>
          <w:bCs/>
          <w:color w:val="auto"/>
          <w:sz w:val="32"/>
          <w:szCs w:val="32"/>
          <w:lang w:val="en-US" w:eastAsia="zh-CN"/>
        </w:rPr>
        <w:t>38.83</w:t>
      </w:r>
      <w:r>
        <w:rPr>
          <w:rFonts w:ascii="仿宋" w:eastAsia="仿宋" w:hAnsi="仿宋" w:hint="eastAsia"/>
          <w:b w:val="0"/>
          <w:bCs/>
          <w:color w:val="auto"/>
          <w:sz w:val="32"/>
          <w:szCs w:val="32"/>
          <w:lang w:eastAsia="zh-CN"/>
        </w:rPr>
        <w:t>%；</w:t>
      </w:r>
      <w:r>
        <w:rPr>
          <w:rFonts w:ascii="仿宋" w:eastAsia="仿宋" w:hAnsi="仿宋" w:hint="eastAsia"/>
          <w:b w:val="0"/>
          <w:bCs/>
          <w:color w:val="auto"/>
          <w:sz w:val="32"/>
          <w:szCs w:val="32"/>
        </w:rPr>
        <w:t>住房保障（类）支出</w:t>
      </w:r>
      <w:r>
        <w:rPr>
          <w:rFonts w:ascii="仿宋" w:eastAsia="仿宋" w:hAnsi="仿宋" w:hint="eastAsia"/>
          <w:b w:val="0"/>
          <w:bCs/>
          <w:color w:val="auto"/>
          <w:sz w:val="32"/>
          <w:szCs w:val="32"/>
          <w:lang w:val="en-US" w:eastAsia="zh-CN"/>
        </w:rPr>
        <w:t>49.15</w:t>
      </w:r>
      <w:r>
        <w:rPr>
          <w:rFonts w:ascii="仿宋" w:eastAsia="仿宋" w:hAnsi="仿宋" w:hint="eastAsia"/>
          <w:b w:val="0"/>
          <w:bCs/>
          <w:color w:val="auto"/>
          <w:sz w:val="32"/>
          <w:szCs w:val="32"/>
        </w:rPr>
        <w:t>万元，占</w:t>
      </w:r>
      <w:r>
        <w:rPr>
          <w:rFonts w:ascii="仿宋" w:eastAsia="仿宋" w:hAnsi="仿宋" w:hint="eastAsia"/>
          <w:b w:val="0"/>
          <w:bCs/>
          <w:color w:val="auto"/>
          <w:sz w:val="32"/>
          <w:szCs w:val="32"/>
          <w:lang w:val="en-US" w:eastAsia="zh-CN"/>
        </w:rPr>
        <w:t>2.8</w:t>
      </w:r>
      <w:r>
        <w:rPr>
          <w:rFonts w:ascii="仿宋" w:eastAsia="仿宋" w:hAnsi="仿宋"/>
          <w:b w:val="0"/>
          <w:bCs/>
          <w:color w:val="auto"/>
          <w:sz w:val="32"/>
          <w:szCs w:val="32"/>
        </w:rPr>
        <w:t>%</w:t>
      </w:r>
      <w:r>
        <w:rPr>
          <w:rFonts w:ascii="仿宋" w:eastAsia="仿宋" w:hAnsi="仿宋" w:hint="eastAsia"/>
          <w:b w:val="0"/>
          <w:bCs/>
          <w:color w:val="auto"/>
          <w:sz w:val="32"/>
          <w:szCs w:val="32"/>
        </w:rPr>
        <w:t>；</w:t>
      </w:r>
      <w:r>
        <w:rPr>
          <w:rFonts w:ascii="仿宋" w:eastAsia="仿宋" w:cs="仿宋" w:hAnsi="仿宋" w:hint="eastAsia"/>
          <w:b w:val="0"/>
          <w:bCs/>
          <w:color w:val="auto"/>
          <w:sz w:val="32"/>
          <w:szCs w:val="32"/>
          <w:lang w:eastAsia="zh-CN"/>
        </w:rPr>
        <w:t>灾害防治及应急管理</w:t>
      </w:r>
      <w:r>
        <w:rPr>
          <w:rFonts w:ascii="仿宋" w:eastAsia="仿宋" w:hAnsi="仿宋" w:hint="eastAsia"/>
          <w:b w:val="0"/>
          <w:bCs/>
          <w:color w:val="auto"/>
          <w:sz w:val="32"/>
          <w:szCs w:val="32"/>
        </w:rPr>
        <w:t>（类）</w:t>
      </w:r>
      <w:r>
        <w:rPr>
          <w:rFonts w:ascii="仿宋" w:eastAsia="仿宋" w:cs="仿宋" w:hAnsi="仿宋" w:hint="eastAsia"/>
          <w:b w:val="0"/>
          <w:bCs/>
          <w:color w:val="auto"/>
          <w:sz w:val="32"/>
          <w:szCs w:val="32"/>
          <w:lang w:eastAsia="zh-CN"/>
        </w:rPr>
        <w:t>支出</w:t>
      </w:r>
      <w:r>
        <w:rPr>
          <w:rFonts w:ascii="仿宋" w:eastAsia="仿宋" w:cs="仿宋" w:hAnsi="仿宋" w:hint="eastAsia"/>
          <w:b w:val="0"/>
          <w:bCs/>
          <w:color w:val="auto"/>
          <w:sz w:val="32"/>
          <w:szCs w:val="32"/>
          <w:lang w:val="en-US" w:eastAsia="zh-CN"/>
        </w:rPr>
        <w:t>10万元，占0.57%</w:t>
      </w:r>
      <w:r>
        <w:rPr>
          <w:rFonts w:ascii="仿宋" w:eastAsia="仿宋" w:hAnsi="仿宋" w:hint="eastAsia"/>
          <w:b w:val="0"/>
          <w:bCs/>
          <w:color w:val="auto"/>
          <w:sz w:val="32"/>
          <w:szCs w:val="32"/>
        </w:rPr>
        <w:t>。</w:t>
      </w:r>
    </w:p>
    <w:p>
      <w:pPr>
        <w:spacing w:line="600" w:lineRule="exact"/>
        <w:ind w:firstLineChars="200" w:firstLine="640"/>
        <w:rPr>
          <w:rFonts w:ascii="仿宋" w:eastAsia="仿宋" w:hAnsi="仿宋"/>
          <w:color w:val="auto"/>
          <w:sz w:val="32"/>
          <w:szCs w:val="32"/>
        </w:rPr>
      </w:pPr>
      <w:r>
        <w:rPr>
          <w:rFonts w:ascii="仿宋" w:eastAsia="仿宋" w:hAnsi="仿宋" w:hint="eastAsia"/>
          <w:color w:val="auto"/>
          <w:sz w:val="32"/>
          <w:szCs w:val="32"/>
          <w:lang w:eastAsia="zh-CN"/>
        </w:rPr>
        <w:drawing>
          <wp:anchor distT="0" distB="0" distL="114300" distR="114300" simplePos="0" relativeHeight="32" behindDoc="0" locked="0" layoutInCell="1" hidden="0" allowOverlap="1">
            <wp:simplePos x="0" y="0"/>
            <wp:positionH relativeFrom="column">
              <wp:posOffset>92075</wp:posOffset>
            </wp:positionH>
            <wp:positionV relativeFrom="paragraph">
              <wp:posOffset>478790</wp:posOffset>
            </wp:positionV>
            <wp:extent cx="5810250" cy="1698625"/>
            <wp:effectExtent l="4444" t="4444" r="14604" b="11430"/>
            <wp:wrapSquare wrapText="bothSides"/>
            <wp:docPr id="8" name="图表 8"/>
            <wp:cNvGraphicFramePr>
              <a:graphicFrameLocks noChangeAspect="0"/>
            </wp:cNvGraphicFramePr>
            <a:graphic>
              <a:graphicData uri="http://schemas.openxmlformats.org/drawingml/2006/chart">
                <c:chart xmlns:c="http://schemas.openxmlformats.org/drawingml/2006/chart" r:id="rId12"/>
              </a:graphicData>
            </a:graphic>
          </wp:anchor>
        </w:drawing>
      </w:r>
      <w:r>
        <w:rPr>
          <w:rFonts w:ascii="仿宋" w:eastAsia="仿宋" w:hAnsi="仿宋" w:hint="eastAsia"/>
          <w:color w:val="auto"/>
          <w:sz w:val="32"/>
          <w:szCs w:val="32"/>
        </w:rPr>
        <w:t>（图6：一般公共预算财政拨款支出决算结构）（饼状图）</w:t>
      </w:r>
    </w:p>
    <w:p>
      <w:pPr>
        <w:spacing w:line="600" w:lineRule="exact"/>
        <w:ind w:firstLineChars="200" w:firstLine="640"/>
        <w:outlineLvl w:val="2"/>
        <w:rPr>
          <w:rFonts w:ascii="仿宋" w:eastAsia="仿宋" w:hAnsi="仿宋"/>
          <w:b/>
          <w:color w:val="auto"/>
          <w:sz w:val="32"/>
          <w:szCs w:val="32"/>
        </w:rPr>
      </w:pPr>
      <w:bookmarkStart w:id="37" w:name="_Toc15377212"/>
      <w:r>
        <w:rPr>
          <w:rFonts w:ascii="仿宋" w:eastAsia="仿宋" w:hAnsi="仿宋" w:hint="eastAsia"/>
          <w:b/>
          <w:color w:val="auto"/>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auto"/>
          <w:sz w:val="32"/>
          <w:szCs w:val="32"/>
        </w:rPr>
      </w:pPr>
      <w:bookmarkStart w:id="38" w:name="_Toc15377444"/>
      <w:bookmarkStart w:id="39" w:name="_Toc15378460"/>
      <w:bookmarkStart w:id="40" w:name="_Toc15377213"/>
      <w:r>
        <w:rPr>
          <w:rFonts w:ascii="仿宋" w:eastAsia="仿宋" w:hAnsi="仿宋" w:hint="eastAsia"/>
          <w:b/>
          <w:color w:val="auto"/>
          <w:sz w:val="32"/>
          <w:szCs w:val="32"/>
        </w:rPr>
        <w:t>20</w:t>
      </w:r>
      <w:r>
        <w:rPr>
          <w:rFonts w:ascii="仿宋" w:eastAsia="仿宋" w:hAnsi="仿宋" w:hint="eastAsia"/>
          <w:b/>
          <w:color w:val="auto"/>
          <w:sz w:val="32"/>
          <w:szCs w:val="32"/>
          <w:lang w:val="en-US" w:eastAsia="zh-CN"/>
        </w:rPr>
        <w:t>21</w:t>
      </w:r>
      <w:r>
        <w:rPr>
          <w:rFonts w:ascii="仿宋" w:eastAsia="仿宋" w:hAnsi="仿宋" w:hint="eastAsia"/>
          <w:b/>
          <w:color w:val="auto"/>
          <w:sz w:val="32"/>
          <w:szCs w:val="32"/>
        </w:rPr>
        <w:t>年</w:t>
      </w:r>
      <w:r>
        <w:rPr>
          <w:rFonts w:ascii="仿宋" w:eastAsia="仿宋" w:hAnsi="仿宋" w:hint="eastAsia"/>
          <w:b/>
          <w:color w:val="auto"/>
          <w:sz w:val="32"/>
          <w:szCs w:val="32"/>
          <w:lang w:eastAsia="zh-CN"/>
        </w:rPr>
        <w:t>一</w:t>
      </w:r>
      <w:r>
        <w:rPr>
          <w:rFonts w:ascii="仿宋" w:eastAsia="仿宋" w:hAnsi="仿宋" w:hint="eastAsia"/>
          <w:b/>
          <w:color w:val="auto"/>
          <w:sz w:val="32"/>
          <w:szCs w:val="32"/>
        </w:rPr>
        <w:t>般公共预算支出决算数为</w:t>
      </w:r>
      <w:r>
        <w:rPr>
          <w:rFonts w:ascii="仿宋" w:eastAsia="仿宋" w:hAnsi="仿宋" w:hint="eastAsia"/>
          <w:b/>
          <w:color w:val="auto"/>
          <w:sz w:val="32"/>
          <w:szCs w:val="32"/>
          <w:lang w:val="en-US" w:eastAsia="zh-CN"/>
        </w:rPr>
        <w:t>1752.77</w:t>
      </w:r>
      <w:r>
        <w:rPr>
          <w:rFonts w:ascii="仿宋" w:eastAsia="仿宋" w:hAnsi="仿宋" w:hint="eastAsia"/>
          <w:color w:val="auto"/>
          <w:sz w:val="32"/>
          <w:szCs w:val="32"/>
        </w:rPr>
        <w:t>，</w:t>
      </w:r>
      <w:r>
        <w:rPr>
          <w:rStyle w:val="27"/>
          <w:rFonts w:ascii="仿宋" w:eastAsia="仿宋" w:hAnsi="仿宋" w:hint="eastAsia"/>
          <w:bCs/>
          <w:color w:val="auto"/>
          <w:sz w:val="32"/>
          <w:szCs w:val="32"/>
        </w:rPr>
        <w:t>完成预算</w:t>
      </w:r>
      <w:r>
        <w:rPr>
          <w:rStyle w:val="27"/>
          <w:rFonts w:ascii="仿宋" w:eastAsia="仿宋" w:hAnsi="仿宋" w:hint="eastAsia"/>
          <w:bCs/>
          <w:color w:val="auto"/>
          <w:sz w:val="32"/>
          <w:szCs w:val="32"/>
          <w:lang w:val="en-US" w:eastAsia="zh-CN"/>
        </w:rPr>
        <w:t>91.3</w:t>
      </w:r>
      <w:r>
        <w:rPr>
          <w:rStyle w:val="27"/>
          <w:rFonts w:ascii="仿宋" w:eastAsia="仿宋" w:hAnsi="仿宋"/>
          <w:bCs/>
          <w:color w:val="auto"/>
          <w:sz w:val="32"/>
          <w:szCs w:val="32"/>
        </w:rPr>
        <w:t>%</w:t>
      </w:r>
      <w:r>
        <w:rPr>
          <w:rStyle w:val="27"/>
          <w:rFonts w:ascii="仿宋" w:eastAsia="仿宋" w:hAnsi="仿宋" w:hint="eastAsia"/>
          <w:bCs/>
          <w:color w:val="auto"/>
          <w:sz w:val="32"/>
          <w:szCs w:val="32"/>
        </w:rPr>
        <w:t>。其中：</w:t>
      </w:r>
      <w:bookmarkEnd w:id="38"/>
      <w:bookmarkEnd w:id="39"/>
      <w:bookmarkEnd w:id="40"/>
    </w:p>
    <w:p>
      <w:pPr>
        <w:spacing w:line="600" w:lineRule="exact"/>
        <w:ind w:firstLineChars="200" w:firstLine="640"/>
        <w:rPr>
          <w:rStyle w:val="27"/>
          <w:rFonts w:ascii="仿宋" w:eastAsia="仿宋" w:hAnsi="仿宋" w:hint="eastAsia"/>
          <w:b w:val="0"/>
          <w:bCs/>
          <w:color w:val="auto"/>
          <w:sz w:val="32"/>
          <w:szCs w:val="32"/>
        </w:rPr>
      </w:pPr>
      <w:r>
        <w:rPr>
          <w:rStyle w:val="27"/>
          <w:rFonts w:ascii="仿宋" w:eastAsia="仿宋" w:hAnsi="仿宋"/>
          <w:bCs/>
          <w:color w:val="auto"/>
          <w:sz w:val="32"/>
          <w:szCs w:val="32"/>
        </w:rPr>
        <w:t>1.</w:t>
      </w:r>
      <w:r>
        <w:rPr>
          <w:rStyle w:val="27"/>
          <w:rFonts w:ascii="仿宋" w:eastAsia="仿宋" w:cs="Arial" w:hAnsi="仿宋" w:hint="eastAsia"/>
          <w:bCs/>
          <w:color w:val="auto"/>
          <w:sz w:val="32"/>
          <w:szCs w:val="32"/>
          <w:lang w:val="en-US" w:eastAsia="zh-CN"/>
        </w:rPr>
        <w:t>一般公共服务（类）人大事务（款）代表工作（项）：</w:t>
      </w:r>
      <w:r>
        <w:rPr>
          <w:rFonts w:ascii="仿宋" w:eastAsia="仿宋" w:cs="仿宋" w:hAnsi="仿宋" w:hint="eastAsia"/>
          <w:b w:val="0"/>
          <w:bCs w:val="0"/>
          <w:color w:val="auto"/>
          <w:kern w:val="0"/>
          <w:sz w:val="32"/>
          <w:szCs w:val="32"/>
          <w:shd w:val="clear" w:color="auto" w:fill="FFFFFF"/>
          <w:lang w:val="en-US" w:eastAsia="zh-CN"/>
        </w:rPr>
        <w:t>支出决算为1.44万元，完成预算100%。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hint="eastAsia"/>
          <w:b/>
          <w:color w:val="auto"/>
          <w:sz w:val="32"/>
          <w:szCs w:val="32"/>
        </w:rPr>
      </w:pPr>
      <w:r>
        <w:rPr>
          <w:rStyle w:val="27"/>
          <w:rFonts w:ascii="仿宋" w:eastAsia="仿宋" w:hAnsi="仿宋"/>
          <w:bCs/>
          <w:color w:val="auto"/>
          <w:sz w:val="32"/>
          <w:szCs w:val="32"/>
        </w:rPr>
        <w:t>2.</w:t>
      </w:r>
      <w:r>
        <w:rPr>
          <w:rStyle w:val="27"/>
          <w:rFonts w:ascii="仿宋" w:eastAsia="仿宋" w:cs="Arial" w:hAnsi="仿宋" w:hint="eastAsia"/>
          <w:bCs/>
          <w:color w:val="auto"/>
          <w:sz w:val="32"/>
          <w:szCs w:val="32"/>
          <w:lang w:val="en-US" w:eastAsia="zh-CN"/>
        </w:rPr>
        <w:t>一般公共服务（类）政府办公厅（室）及相关机构事务（款）行政运行（项）：</w:t>
      </w:r>
      <w:r>
        <w:rPr>
          <w:rFonts w:ascii="仿宋" w:eastAsia="仿宋" w:cs="仿宋" w:hAnsi="仿宋" w:hint="eastAsia"/>
          <w:b w:val="0"/>
          <w:bCs w:val="0"/>
          <w:color w:val="auto"/>
          <w:kern w:val="0"/>
          <w:sz w:val="32"/>
          <w:szCs w:val="32"/>
          <w:shd w:val="clear" w:color="auto" w:fill="FFFFFF"/>
          <w:lang w:val="en-US" w:eastAsia="zh-CN"/>
        </w:rPr>
        <w:t>支出决算为520.73万元，完成预算100%。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hint="eastAsia"/>
          <w:b/>
          <w:color w:val="auto"/>
          <w:sz w:val="32"/>
          <w:szCs w:val="32"/>
        </w:rPr>
      </w:pPr>
      <w:r>
        <w:rPr>
          <w:rStyle w:val="27"/>
          <w:rFonts w:ascii="仿宋" w:eastAsia="仿宋" w:hAnsi="仿宋"/>
          <w:bCs/>
          <w:color w:val="auto"/>
          <w:sz w:val="32"/>
          <w:szCs w:val="32"/>
        </w:rPr>
        <w:t>3.</w:t>
      </w:r>
      <w:r>
        <w:rPr>
          <w:rStyle w:val="27"/>
          <w:rFonts w:ascii="仿宋" w:eastAsia="仿宋" w:cs="Arial" w:hAnsi="仿宋" w:hint="eastAsia"/>
          <w:bCs/>
          <w:color w:val="auto"/>
          <w:sz w:val="32"/>
          <w:szCs w:val="32"/>
          <w:lang w:val="en-US" w:eastAsia="zh-CN"/>
        </w:rPr>
        <w:t>一般公共服务（类）政府办公厅（室）及相关机构事务（款）一般行政管理事务（项）：</w:t>
      </w:r>
      <w:r>
        <w:rPr>
          <w:rFonts w:ascii="仿宋" w:eastAsia="仿宋" w:cs="仿宋" w:hAnsi="仿宋" w:hint="eastAsia"/>
          <w:b w:val="0"/>
          <w:bCs w:val="0"/>
          <w:color w:val="auto"/>
          <w:kern w:val="0"/>
          <w:sz w:val="32"/>
          <w:szCs w:val="32"/>
          <w:shd w:val="clear" w:color="auto" w:fill="FFFFFF"/>
          <w:lang w:val="en-US" w:eastAsia="zh-CN"/>
        </w:rPr>
        <w:t>支出决算为11.96万元，完成预算100%。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rPr>
      </w:pPr>
      <w:r>
        <w:rPr>
          <w:rFonts w:ascii="仿宋_GB2312" w:eastAsia="仿宋_GB2312" w:cs="仿宋_GB2312" w:hAnsi="仿宋_GB2312" w:hint="eastAsia"/>
          <w:b w:val="0"/>
          <w:bCs w:val="0"/>
          <w:color w:val="auto"/>
          <w:kern w:val="0"/>
          <w:sz w:val="32"/>
          <w:szCs w:val="32"/>
          <w:shd w:val="clear" w:color="auto" w:fill="FFFFFF"/>
          <w:lang w:val="en-US" w:eastAsia="zh-CN"/>
        </w:rPr>
        <w:t>4.</w:t>
      </w:r>
      <w:r>
        <w:rPr>
          <w:rStyle w:val="27"/>
          <w:rFonts w:ascii="仿宋" w:eastAsia="仿宋" w:cs="Arial" w:hAnsi="仿宋" w:hint="eastAsia"/>
          <w:bCs/>
          <w:color w:val="auto"/>
          <w:sz w:val="32"/>
          <w:szCs w:val="32"/>
          <w:lang w:val="en-US" w:eastAsia="zh-CN"/>
        </w:rPr>
        <w:t>一般公共服务（类）政府办公厅（室）及相关机构事务（款）事业运行（项）：</w:t>
      </w:r>
      <w:r>
        <w:rPr>
          <w:rFonts w:ascii="仿宋" w:eastAsia="仿宋" w:cs="仿宋" w:hAnsi="仿宋" w:hint="eastAsia"/>
          <w:b w:val="0"/>
          <w:bCs w:val="0"/>
          <w:color w:val="auto"/>
          <w:kern w:val="0"/>
          <w:sz w:val="32"/>
          <w:szCs w:val="32"/>
          <w:shd w:val="clear" w:color="auto" w:fill="FFFFFF"/>
          <w:lang w:val="en-US" w:eastAsia="zh-CN"/>
        </w:rPr>
        <w:t>支出决算为157.8万元，完成预算100%。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rPr>
      </w:pPr>
      <w:r>
        <w:rPr>
          <w:rStyle w:val="27"/>
          <w:rFonts w:ascii="仿宋" w:eastAsia="仿宋" w:cs="Arial" w:hAnsi="仿宋" w:hint="eastAsia"/>
          <w:bCs/>
          <w:color w:val="auto"/>
          <w:sz w:val="32"/>
          <w:szCs w:val="32"/>
          <w:lang w:val="en-US" w:eastAsia="zh-CN"/>
        </w:rPr>
        <w:t>5.一般公共服务（类）财政事务（款）行政运行（项）：</w:t>
      </w:r>
      <w:r>
        <w:rPr>
          <w:rFonts w:ascii="仿宋" w:eastAsia="仿宋" w:cs="仿宋" w:hAnsi="仿宋" w:hint="eastAsia"/>
          <w:b w:val="0"/>
          <w:bCs w:val="0"/>
          <w:color w:val="auto"/>
          <w:kern w:val="0"/>
          <w:sz w:val="32"/>
          <w:szCs w:val="32"/>
          <w:shd w:val="clear" w:color="auto" w:fill="FFFFFF"/>
          <w:lang w:val="en-US" w:eastAsia="zh-CN"/>
        </w:rPr>
        <w:t>支出决算为10.49万元，完成预算100%。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rPr>
      </w:pPr>
      <w:r>
        <w:rPr>
          <w:rStyle w:val="27"/>
          <w:rFonts w:ascii="仿宋" w:eastAsia="仿宋" w:hAnsi="仿宋" w:hint="eastAsia"/>
          <w:bCs/>
          <w:color w:val="auto"/>
          <w:sz w:val="32"/>
          <w:szCs w:val="32"/>
          <w:lang w:val="en-US" w:eastAsia="zh-CN"/>
        </w:rPr>
        <w:t>6.</w:t>
      </w:r>
      <w:r>
        <w:rPr>
          <w:rStyle w:val="27"/>
          <w:rFonts w:ascii="仿宋" w:eastAsia="仿宋" w:cs="Arial" w:hAnsi="仿宋" w:hint="eastAsia"/>
          <w:bCs/>
          <w:color w:val="auto"/>
          <w:sz w:val="32"/>
          <w:szCs w:val="32"/>
          <w:lang w:val="en-US" w:eastAsia="zh-CN"/>
        </w:rPr>
        <w:t>一般公共服务（类）党委办公厅（室）及相关机构事务（款）行政运行（项）：</w:t>
      </w:r>
      <w:r>
        <w:rPr>
          <w:rFonts w:ascii="仿宋_GB2312" w:eastAsia="仿宋_GB2312" w:cs="仿宋_GB2312" w:hAnsi="仿宋_GB2312" w:hint="eastAsia"/>
          <w:b w:val="0"/>
          <w:bCs w:val="0"/>
          <w:color w:val="auto"/>
          <w:kern w:val="0"/>
          <w:sz w:val="32"/>
          <w:szCs w:val="32"/>
          <w:shd w:val="clear" w:color="auto" w:fill="FFFFFF"/>
          <w:lang w:val="en-US" w:eastAsia="zh-CN"/>
        </w:rPr>
        <w:t>支</w:t>
      </w:r>
      <w:r>
        <w:rPr>
          <w:rFonts w:ascii="仿宋" w:eastAsia="仿宋" w:cs="仿宋" w:hAnsi="仿宋" w:hint="eastAsia"/>
          <w:b w:val="0"/>
          <w:bCs w:val="0"/>
          <w:color w:val="auto"/>
          <w:kern w:val="0"/>
          <w:sz w:val="32"/>
          <w:szCs w:val="32"/>
          <w:shd w:val="clear" w:color="auto" w:fill="FFFFFF"/>
          <w:lang w:val="en-US" w:eastAsia="zh-CN"/>
        </w:rPr>
        <w:t>出决算为40.55万元，完成预算100%。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rPr>
      </w:pPr>
      <w:r>
        <w:rPr>
          <w:rStyle w:val="27"/>
          <w:rFonts w:ascii="仿宋" w:eastAsia="仿宋" w:hAnsi="仿宋" w:hint="eastAsia"/>
          <w:bCs/>
          <w:color w:val="auto"/>
          <w:sz w:val="32"/>
          <w:szCs w:val="32"/>
          <w:lang w:val="en-US" w:eastAsia="zh-CN"/>
        </w:rPr>
        <w:t>7.</w:t>
      </w:r>
      <w:r>
        <w:rPr>
          <w:rStyle w:val="27"/>
          <w:rFonts w:ascii="仿宋" w:eastAsia="仿宋" w:cs="Arial" w:hAnsi="仿宋" w:hint="eastAsia"/>
          <w:bCs/>
          <w:color w:val="auto"/>
          <w:sz w:val="32"/>
          <w:szCs w:val="32"/>
          <w:lang w:val="en-US" w:eastAsia="zh-CN"/>
        </w:rPr>
        <w:t>一般公共服务（类）党委办公厅（室）及相关机构事务（款）专项业务（项）：</w:t>
      </w:r>
      <w:r>
        <w:rPr>
          <w:rFonts w:ascii="仿宋_GB2312" w:eastAsia="仿宋_GB2312" w:cs="仿宋_GB2312" w:hAnsi="仿宋_GB2312" w:hint="eastAsia"/>
          <w:b w:val="0"/>
          <w:bCs w:val="0"/>
          <w:color w:val="auto"/>
          <w:kern w:val="0"/>
          <w:sz w:val="32"/>
          <w:szCs w:val="32"/>
          <w:shd w:val="clear" w:color="auto" w:fill="FFFFFF"/>
          <w:lang w:val="en-US" w:eastAsia="zh-CN"/>
        </w:rPr>
        <w:t>支</w:t>
      </w:r>
      <w:r>
        <w:rPr>
          <w:rFonts w:ascii="仿宋" w:eastAsia="仿宋" w:cs="仿宋" w:hAnsi="仿宋" w:hint="eastAsia"/>
          <w:b w:val="0"/>
          <w:bCs w:val="0"/>
          <w:color w:val="auto"/>
          <w:kern w:val="0"/>
          <w:sz w:val="32"/>
          <w:szCs w:val="32"/>
          <w:shd w:val="clear" w:color="auto" w:fill="FFFFFF"/>
          <w:lang w:val="en-US" w:eastAsia="zh-CN"/>
        </w:rPr>
        <w:t>出决算为2.7万元，完成预算48%。决算数小于预算数数的主要原因是老党员生活补助未支付完成。</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hint="eastAsia"/>
          <w:b w:val="0"/>
          <w:bCs w:val="0"/>
          <w:color w:val="auto"/>
          <w:kern w:val="0"/>
          <w:sz w:val="32"/>
          <w:szCs w:val="32"/>
          <w:shd w:val="clear" w:color="auto" w:fill="FFFFFF"/>
          <w:lang w:val="en-US" w:eastAsia="zh-CN"/>
        </w:rPr>
      </w:pPr>
      <w:r>
        <w:rPr>
          <w:rStyle w:val="27"/>
          <w:rFonts w:ascii="仿宋" w:eastAsia="仿宋" w:hAnsi="仿宋" w:hint="eastAsia"/>
          <w:bCs/>
          <w:color w:val="auto"/>
          <w:sz w:val="32"/>
          <w:szCs w:val="32"/>
          <w:lang w:val="en-US" w:eastAsia="zh-CN"/>
        </w:rPr>
        <w:t>8</w:t>
      </w:r>
      <w:r>
        <w:rPr>
          <w:rStyle w:val="27"/>
          <w:rFonts w:ascii="仿宋" w:eastAsia="仿宋" w:hAnsi="仿宋"/>
          <w:bCs/>
          <w:color w:val="auto"/>
          <w:sz w:val="32"/>
          <w:szCs w:val="32"/>
        </w:rPr>
        <w:t>.</w:t>
      </w:r>
      <w:r>
        <w:rPr>
          <w:rStyle w:val="27"/>
          <w:rFonts w:ascii="仿宋" w:eastAsia="仿宋" w:cs="Arial" w:hAnsi="仿宋" w:hint="eastAsia"/>
          <w:bCs/>
          <w:color w:val="auto"/>
          <w:sz w:val="32"/>
          <w:szCs w:val="32"/>
          <w:lang w:val="en-US" w:eastAsia="zh-CN"/>
        </w:rPr>
        <w:t xml:space="preserve">文化旅游体育与传媒（类）文化和旅游（款）行政运行（项）: </w:t>
      </w:r>
      <w:r>
        <w:rPr>
          <w:rFonts w:ascii="仿宋" w:eastAsia="仿宋" w:cs="仿宋" w:hAnsi="仿宋" w:hint="eastAsia"/>
          <w:b w:val="0"/>
          <w:bCs w:val="0"/>
          <w:color w:val="auto"/>
          <w:kern w:val="0"/>
          <w:sz w:val="32"/>
          <w:szCs w:val="32"/>
          <w:shd w:val="clear" w:color="auto" w:fill="FFFFFF"/>
          <w:lang w:val="en-US" w:eastAsia="zh-CN"/>
        </w:rPr>
        <w:t>支出决算为16.86万元，完成预算100%。</w:t>
      </w:r>
    </w:p>
    <w:p>
      <w:pPr>
        <w:spacing w:line="600" w:lineRule="exact"/>
        <w:ind w:firstLineChars="200" w:firstLine="640"/>
        <w:rPr>
          <w:rStyle w:val="27"/>
          <w:rFonts w:ascii="仿宋" w:eastAsia="仿宋" w:hAnsi="仿宋"/>
          <w:bCs/>
          <w:color w:val="auto"/>
          <w:sz w:val="32"/>
          <w:szCs w:val="32"/>
        </w:rPr>
      </w:pPr>
      <w:r>
        <w:rPr>
          <w:rStyle w:val="27"/>
          <w:rFonts w:ascii="仿宋" w:eastAsia="仿宋" w:cs="Arial" w:hAnsi="仿宋" w:hint="eastAsia"/>
          <w:bCs/>
          <w:color w:val="auto"/>
          <w:sz w:val="32"/>
          <w:szCs w:val="32"/>
          <w:lang w:val="en-US" w:eastAsia="zh-CN"/>
        </w:rPr>
        <w:t xml:space="preserve">9.文化旅游体育与传媒（类）其他文化旅游体育与传媒支出（款）其他文化旅游体育与传媒支出（项）: </w:t>
      </w:r>
      <w:r>
        <w:rPr>
          <w:rFonts w:ascii="仿宋" w:eastAsia="仿宋" w:cs="仿宋" w:hAnsi="仿宋" w:hint="eastAsia"/>
          <w:b w:val="0"/>
          <w:bCs w:val="0"/>
          <w:color w:val="auto"/>
          <w:kern w:val="0"/>
          <w:sz w:val="32"/>
          <w:szCs w:val="32"/>
          <w:shd w:val="clear" w:color="auto" w:fill="FFFFFF"/>
          <w:lang w:val="en-US" w:eastAsia="zh-CN"/>
        </w:rPr>
        <w:t>支出决算为5万元，完成预算100%。</w:t>
      </w:r>
    </w:p>
    <w:p>
      <w:pPr>
        <w:spacing w:line="600" w:lineRule="exact"/>
        <w:ind w:firstLineChars="200" w:firstLine="640"/>
        <w:rPr>
          <w:rFonts w:ascii="仿宋" w:eastAsia="仿宋" w:cs="仿宋" w:hAnsi="仿宋" w:hint="eastAsia"/>
          <w:b w:val="0"/>
          <w:bCs w:val="0"/>
          <w:color w:val="auto"/>
          <w:kern w:val="0"/>
          <w:sz w:val="32"/>
          <w:szCs w:val="32"/>
          <w:shd w:val="clear" w:color="auto" w:fill="FFFFFF"/>
          <w:lang w:val="en-US" w:eastAsia="zh-CN"/>
        </w:rPr>
      </w:pPr>
      <w:r>
        <w:rPr>
          <w:rStyle w:val="27"/>
          <w:rFonts w:ascii="仿宋" w:eastAsia="仿宋" w:hAnsi="仿宋" w:hint="eastAsia"/>
          <w:bCs/>
          <w:color w:val="auto"/>
          <w:sz w:val="32"/>
          <w:szCs w:val="32"/>
          <w:lang w:val="en-US" w:eastAsia="zh-CN"/>
        </w:rPr>
        <w:t>10</w:t>
      </w:r>
      <w:r>
        <w:rPr>
          <w:rStyle w:val="27"/>
          <w:rFonts w:ascii="仿宋" w:eastAsia="仿宋" w:hAnsi="仿宋"/>
          <w:bCs/>
          <w:color w:val="auto"/>
          <w:sz w:val="32"/>
          <w:szCs w:val="32"/>
        </w:rPr>
        <w:t>.</w:t>
      </w:r>
      <w:r>
        <w:rPr>
          <w:rStyle w:val="27"/>
          <w:rFonts w:ascii="仿宋" w:eastAsia="仿宋" w:cs="Arial" w:hAnsi="仿宋" w:hint="eastAsia"/>
          <w:bCs/>
          <w:color w:val="auto"/>
          <w:sz w:val="32"/>
          <w:szCs w:val="32"/>
          <w:lang w:val="en-US" w:eastAsia="zh-CN"/>
        </w:rPr>
        <w:t xml:space="preserve">社会保障和就业（类）行政事业单位养老支出（款）机关事业单位基本养老保险缴费支出（项）: </w:t>
      </w:r>
      <w:r>
        <w:rPr>
          <w:rFonts w:ascii="仿宋" w:eastAsia="仿宋" w:cs="仿宋" w:hAnsi="仿宋" w:hint="eastAsia"/>
          <w:b w:val="0"/>
          <w:bCs w:val="0"/>
          <w:color w:val="auto"/>
          <w:kern w:val="0"/>
          <w:sz w:val="32"/>
          <w:szCs w:val="32"/>
          <w:shd w:val="clear" w:color="auto" w:fill="FFFFFF"/>
          <w:lang w:val="en-US" w:eastAsia="zh-CN"/>
        </w:rPr>
        <w:t>支出决算为66.67万元，完成预算100%。</w:t>
      </w:r>
    </w:p>
    <w:p>
      <w:pPr>
        <w:spacing w:line="600" w:lineRule="exact"/>
        <w:ind w:firstLineChars="200" w:firstLine="640"/>
        <w:rPr>
          <w:rFonts w:ascii="仿宋" w:eastAsia="仿宋" w:cs="仿宋" w:hAnsi="仿宋" w:hint="eastAsia"/>
          <w:b w:val="0"/>
          <w:bCs w:val="0"/>
          <w:color w:val="auto"/>
          <w:kern w:val="0"/>
          <w:sz w:val="32"/>
          <w:szCs w:val="32"/>
          <w:shd w:val="clear" w:color="auto" w:fill="FFFFFF"/>
          <w:lang w:val="en-US" w:eastAsia="zh-CN"/>
        </w:rPr>
      </w:pPr>
      <w:r>
        <w:rPr>
          <w:rStyle w:val="27"/>
          <w:rFonts w:ascii="仿宋" w:eastAsia="仿宋" w:cs="Arial" w:hAnsi="仿宋" w:hint="eastAsia"/>
          <w:bCs/>
          <w:color w:val="auto"/>
          <w:sz w:val="32"/>
          <w:szCs w:val="32"/>
          <w:lang w:val="en-US" w:eastAsia="zh-CN"/>
        </w:rPr>
        <w:t>11.社会保障和就业（类）抚恤（款）义务兵优待（项）:</w:t>
      </w:r>
      <w:r>
        <w:rPr>
          <w:rFonts w:ascii="仿宋_GB2312" w:eastAsia="仿宋_GB2312" w:cs="仿宋_GB2312" w:hAnsi="仿宋_GB2312" w:hint="eastAsia"/>
          <w:b w:val="0"/>
          <w:bCs w:val="0"/>
          <w:color w:val="auto"/>
          <w:kern w:val="0"/>
          <w:sz w:val="32"/>
          <w:szCs w:val="32"/>
          <w:shd w:val="clear" w:color="auto" w:fill="FFFFFF"/>
          <w:lang w:val="en-US" w:eastAsia="zh-CN"/>
        </w:rPr>
        <w:t xml:space="preserve"> </w:t>
      </w:r>
      <w:r>
        <w:rPr>
          <w:rFonts w:ascii="仿宋" w:eastAsia="仿宋" w:cs="仿宋" w:hAnsi="仿宋" w:hint="eastAsia"/>
          <w:b w:val="0"/>
          <w:bCs w:val="0"/>
          <w:color w:val="auto"/>
          <w:kern w:val="0"/>
          <w:sz w:val="32"/>
          <w:szCs w:val="32"/>
          <w:shd w:val="clear" w:color="auto" w:fill="FFFFFF"/>
          <w:lang w:val="en-US" w:eastAsia="zh-CN"/>
        </w:rPr>
        <w:t>支出决算为25.27万元，完成预算100%。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b w:val="0"/>
          <w:bCs w:val="0"/>
          <w:color w:val="auto"/>
          <w:kern w:val="0"/>
          <w:sz w:val="32"/>
          <w:szCs w:val="32"/>
          <w:shd w:val="clear" w:color="auto" w:fill="FFFFFF"/>
          <w:lang w:val="en-US" w:eastAsia="zh-CN"/>
        </w:rPr>
      </w:pPr>
      <w:r>
        <w:rPr>
          <w:rStyle w:val="27"/>
          <w:rFonts w:ascii="仿宋" w:eastAsia="仿宋" w:hAnsi="仿宋" w:hint="eastAsia"/>
          <w:bCs/>
          <w:color w:val="auto"/>
          <w:sz w:val="32"/>
          <w:szCs w:val="32"/>
          <w:lang w:val="en-US" w:eastAsia="zh-CN"/>
        </w:rPr>
        <w:t>12.</w:t>
      </w:r>
      <w:r>
        <w:rPr>
          <w:rStyle w:val="27"/>
          <w:rFonts w:ascii="仿宋" w:eastAsia="仿宋" w:cs="Arial" w:hAnsi="仿宋" w:hint="eastAsia"/>
          <w:bCs/>
          <w:color w:val="auto"/>
          <w:sz w:val="32"/>
          <w:szCs w:val="32"/>
          <w:lang w:val="en-US" w:eastAsia="zh-CN"/>
        </w:rPr>
        <w:t xml:space="preserve">社会保障和就业（类）其他社会保障和就业支出（款）其他社会保障和就业支出（项）: </w:t>
      </w:r>
      <w:r>
        <w:rPr>
          <w:rFonts w:ascii="仿宋" w:eastAsia="仿宋" w:cs="仿宋" w:hAnsi="仿宋" w:hint="eastAsia"/>
          <w:b w:val="0"/>
          <w:bCs w:val="0"/>
          <w:color w:val="auto"/>
          <w:kern w:val="0"/>
          <w:sz w:val="32"/>
          <w:szCs w:val="32"/>
          <w:shd w:val="clear" w:color="auto" w:fill="FFFFFF"/>
          <w:lang w:val="en-US" w:eastAsia="zh-CN"/>
        </w:rPr>
        <w:t>支出决算为3.67万元，完成预算100%。</w:t>
      </w:r>
    </w:p>
    <w:p>
      <w:pPr>
        <w:spacing w:line="600" w:lineRule="exact"/>
        <w:ind w:firstLineChars="200" w:firstLine="640"/>
        <w:rPr>
          <w:rFonts w:ascii="仿宋" w:eastAsia="仿宋" w:cs="仿宋" w:hAnsi="仿宋"/>
          <w:b w:val="0"/>
          <w:bCs w:val="0"/>
          <w:color w:val="auto"/>
          <w:kern w:val="0"/>
          <w:sz w:val="32"/>
          <w:szCs w:val="32"/>
          <w:shd w:val="clear" w:color="auto" w:fill="FFFFFF"/>
          <w:lang w:val="en-US" w:eastAsia="zh-CN"/>
        </w:rPr>
      </w:pPr>
      <w:r>
        <w:rPr>
          <w:rStyle w:val="27"/>
          <w:rFonts w:ascii="仿宋" w:eastAsia="仿宋" w:hAnsi="仿宋" w:hint="eastAsia"/>
          <w:bCs/>
          <w:color w:val="auto"/>
          <w:sz w:val="32"/>
          <w:szCs w:val="32"/>
          <w:lang w:val="en-US" w:eastAsia="zh-CN"/>
        </w:rPr>
        <w:t>13.</w:t>
      </w:r>
      <w:r>
        <w:rPr>
          <w:rStyle w:val="27"/>
          <w:rFonts w:ascii="仿宋" w:eastAsia="仿宋" w:cs="Arial" w:hAnsi="仿宋" w:hint="eastAsia"/>
          <w:bCs/>
          <w:color w:val="auto"/>
          <w:sz w:val="32"/>
          <w:szCs w:val="32"/>
          <w:lang w:val="en-US" w:eastAsia="zh-CN"/>
        </w:rPr>
        <w:t>卫生健康（类）计划生育事务（款）计划生育机构（项）:</w:t>
      </w:r>
      <w:r>
        <w:rPr>
          <w:rFonts w:ascii="仿宋" w:eastAsia="仿宋" w:cs="仿宋" w:hAnsi="仿宋" w:hint="eastAsia"/>
          <w:b w:val="0"/>
          <w:bCs w:val="0"/>
          <w:color w:val="auto"/>
          <w:kern w:val="0"/>
          <w:sz w:val="32"/>
          <w:szCs w:val="32"/>
          <w:shd w:val="clear" w:color="auto" w:fill="FFFFFF"/>
          <w:lang w:val="en-US" w:eastAsia="zh-CN"/>
        </w:rPr>
        <w:t>支出决算为25.82万元，完成预算100%。</w:t>
      </w:r>
    </w:p>
    <w:p>
      <w:pPr>
        <w:spacing w:line="600" w:lineRule="exact"/>
        <w:ind w:firstLineChars="200" w:firstLine="640"/>
        <w:rPr>
          <w:rStyle w:val="27"/>
          <w:rFonts w:ascii="仿宋" w:eastAsia="仿宋" w:hAnsi="仿宋"/>
          <w:bCs/>
          <w:color w:val="auto"/>
          <w:sz w:val="32"/>
          <w:szCs w:val="32"/>
        </w:rPr>
      </w:pPr>
      <w:r>
        <w:rPr>
          <w:rStyle w:val="27"/>
          <w:rFonts w:ascii="仿宋" w:eastAsia="仿宋" w:cs="Arial" w:hAnsi="仿宋" w:hint="eastAsia"/>
          <w:bCs/>
          <w:color w:val="auto"/>
          <w:sz w:val="32"/>
          <w:szCs w:val="32"/>
          <w:lang w:val="en-US" w:eastAsia="zh-CN"/>
        </w:rPr>
        <w:t>14.卫生健康（类）计划生育事务（款）计划生育服务（项）:</w:t>
      </w:r>
      <w:r>
        <w:rPr>
          <w:rFonts w:ascii="仿宋" w:eastAsia="仿宋" w:cs="仿宋" w:hAnsi="仿宋" w:hint="eastAsia"/>
          <w:b w:val="0"/>
          <w:bCs w:val="0"/>
          <w:color w:val="auto"/>
          <w:kern w:val="0"/>
          <w:sz w:val="32"/>
          <w:szCs w:val="32"/>
          <w:shd w:val="clear" w:color="auto" w:fill="FFFFFF"/>
          <w:lang w:val="en-US" w:eastAsia="zh-CN"/>
        </w:rPr>
        <w:t>支出决算为2.49万元，完成预算100%。</w:t>
      </w:r>
    </w:p>
    <w:p>
      <w:pPr>
        <w:spacing w:line="600" w:lineRule="exact"/>
        <w:ind w:firstLineChars="200" w:firstLine="640"/>
        <w:rPr>
          <w:rStyle w:val="27"/>
          <w:rFonts w:ascii="仿宋" w:eastAsia="仿宋" w:hAnsi="仿宋"/>
          <w:bCs/>
          <w:color w:val="auto"/>
          <w:sz w:val="32"/>
          <w:szCs w:val="32"/>
          <w:lang w:val="en-US" w:eastAsia="zh-CN"/>
        </w:rPr>
      </w:pPr>
      <w:r>
        <w:rPr>
          <w:rStyle w:val="27"/>
          <w:rFonts w:ascii="仿宋" w:eastAsia="仿宋" w:hAnsi="仿宋" w:hint="eastAsia"/>
          <w:bCs/>
          <w:color w:val="auto"/>
          <w:sz w:val="32"/>
          <w:szCs w:val="32"/>
          <w:lang w:val="en-US" w:eastAsia="zh-CN"/>
        </w:rPr>
        <w:t>15.</w:t>
      </w:r>
      <w:r>
        <w:rPr>
          <w:rStyle w:val="27"/>
          <w:rFonts w:ascii="仿宋" w:eastAsia="仿宋" w:cs="Arial" w:hAnsi="仿宋" w:hint="eastAsia"/>
          <w:bCs/>
          <w:color w:val="auto"/>
          <w:sz w:val="32"/>
          <w:szCs w:val="32"/>
          <w:lang w:val="en-US" w:eastAsia="zh-CN"/>
        </w:rPr>
        <w:t>卫生健康（类）行政事业单位医疗（款）行政单位医疗（项）:</w:t>
      </w:r>
      <w:r>
        <w:rPr>
          <w:rFonts w:ascii="仿宋" w:eastAsia="仿宋" w:cs="仿宋" w:hAnsi="仿宋" w:hint="eastAsia"/>
          <w:b w:val="0"/>
          <w:bCs w:val="0"/>
          <w:color w:val="auto"/>
          <w:kern w:val="0"/>
          <w:sz w:val="32"/>
          <w:szCs w:val="32"/>
          <w:shd w:val="clear" w:color="auto" w:fill="FFFFFF"/>
          <w:lang w:val="en-US" w:eastAsia="zh-CN"/>
        </w:rPr>
        <w:t>支出决算为35.79万元，完成预算100%。</w:t>
      </w:r>
    </w:p>
    <w:p>
      <w:pPr>
        <w:spacing w:line="600" w:lineRule="exact"/>
        <w:ind w:firstLineChars="200" w:firstLine="640"/>
        <w:rPr>
          <w:rStyle w:val="27"/>
          <w:rFonts w:ascii="仿宋" w:eastAsia="仿宋" w:hAnsi="仿宋"/>
          <w:bCs/>
          <w:color w:val="auto"/>
          <w:sz w:val="32"/>
          <w:szCs w:val="32"/>
          <w:lang w:val="en-US" w:eastAsia="zh-CN"/>
        </w:rPr>
      </w:pPr>
      <w:r>
        <w:rPr>
          <w:rStyle w:val="27"/>
          <w:rFonts w:ascii="仿宋" w:eastAsia="仿宋" w:hAnsi="仿宋" w:hint="eastAsia"/>
          <w:bCs/>
          <w:color w:val="auto"/>
          <w:sz w:val="32"/>
          <w:szCs w:val="32"/>
          <w:lang w:val="en-US" w:eastAsia="zh-CN"/>
        </w:rPr>
        <w:t>16.</w:t>
      </w:r>
      <w:r>
        <w:rPr>
          <w:rStyle w:val="27"/>
          <w:rFonts w:ascii="仿宋" w:eastAsia="仿宋" w:cs="Arial" w:hAnsi="仿宋" w:hint="eastAsia"/>
          <w:bCs/>
          <w:color w:val="auto"/>
          <w:sz w:val="32"/>
          <w:szCs w:val="32"/>
          <w:lang w:val="en-US" w:eastAsia="zh-CN"/>
        </w:rPr>
        <w:t>城乡社区（类）城乡社区管理事务（款）行政运行（项）:</w:t>
      </w:r>
      <w:r>
        <w:rPr>
          <w:rFonts w:ascii="仿宋" w:eastAsia="仿宋" w:cs="仿宋" w:hAnsi="仿宋" w:hint="eastAsia"/>
          <w:b w:val="0"/>
          <w:bCs w:val="0"/>
          <w:color w:val="auto"/>
          <w:kern w:val="0"/>
          <w:sz w:val="32"/>
          <w:szCs w:val="32"/>
          <w:shd w:val="clear" w:color="auto" w:fill="FFFFFF"/>
          <w:lang w:val="en-US" w:eastAsia="zh-CN"/>
        </w:rPr>
        <w:t>支出决算为18.84万元，完成预算100%。</w:t>
      </w:r>
    </w:p>
    <w:p>
      <w:pPr>
        <w:spacing w:line="600" w:lineRule="exact"/>
        <w:ind w:firstLineChars="200" w:firstLine="640"/>
        <w:rPr>
          <w:rStyle w:val="27"/>
          <w:rFonts w:ascii="仿宋" w:eastAsia="仿宋" w:hAnsi="仿宋"/>
          <w:bCs/>
          <w:color w:val="auto"/>
          <w:sz w:val="32"/>
          <w:szCs w:val="32"/>
          <w:lang w:val="en-US" w:eastAsia="zh-CN"/>
        </w:rPr>
      </w:pPr>
      <w:r>
        <w:rPr>
          <w:rStyle w:val="27"/>
          <w:rFonts w:ascii="仿宋" w:eastAsia="仿宋" w:hAnsi="仿宋" w:hint="eastAsia"/>
          <w:bCs/>
          <w:color w:val="auto"/>
          <w:sz w:val="32"/>
          <w:szCs w:val="32"/>
          <w:lang w:val="en-US" w:eastAsia="zh-CN"/>
        </w:rPr>
        <w:t>17.</w:t>
      </w:r>
      <w:r>
        <w:rPr>
          <w:rStyle w:val="27"/>
          <w:rFonts w:ascii="仿宋" w:eastAsia="仿宋" w:cs="Arial" w:hAnsi="仿宋" w:hint="eastAsia"/>
          <w:bCs/>
          <w:color w:val="auto"/>
          <w:sz w:val="32"/>
          <w:szCs w:val="32"/>
          <w:lang w:val="en-US" w:eastAsia="zh-CN"/>
        </w:rPr>
        <w:t>城乡社区（类）城乡社区管理事务（款）一般行政管理事务（项）:</w:t>
      </w:r>
      <w:r>
        <w:rPr>
          <w:rFonts w:ascii="仿宋" w:eastAsia="仿宋" w:cs="仿宋" w:hAnsi="仿宋" w:hint="eastAsia"/>
          <w:b w:val="0"/>
          <w:bCs w:val="0"/>
          <w:color w:val="auto"/>
          <w:kern w:val="0"/>
          <w:sz w:val="32"/>
          <w:szCs w:val="32"/>
          <w:shd w:val="clear" w:color="auto" w:fill="FFFFFF"/>
          <w:lang w:val="en-US" w:eastAsia="zh-CN"/>
        </w:rPr>
        <w:t>支出决算为67.42万元，完成预算100%。</w:t>
      </w:r>
    </w:p>
    <w:p>
      <w:pPr>
        <w:spacing w:line="600" w:lineRule="exact"/>
        <w:ind w:firstLineChars="200" w:firstLine="640"/>
        <w:rPr>
          <w:rStyle w:val="27"/>
          <w:rFonts w:ascii="仿宋" w:eastAsia="仿宋" w:hAnsi="仿宋"/>
          <w:bCs/>
          <w:color w:val="auto"/>
          <w:sz w:val="32"/>
          <w:szCs w:val="32"/>
          <w:lang w:val="en-US" w:eastAsia="zh-CN"/>
        </w:rPr>
      </w:pPr>
      <w:r>
        <w:rPr>
          <w:rStyle w:val="27"/>
          <w:rFonts w:ascii="仿宋" w:eastAsia="仿宋" w:hAnsi="仿宋" w:hint="eastAsia"/>
          <w:bCs/>
          <w:color w:val="auto"/>
          <w:sz w:val="32"/>
          <w:szCs w:val="32"/>
          <w:lang w:val="en-US" w:eastAsia="zh-CN"/>
        </w:rPr>
        <w:t>18.</w:t>
      </w:r>
      <w:r>
        <w:rPr>
          <w:rStyle w:val="27"/>
          <w:rFonts w:ascii="仿宋" w:eastAsia="仿宋" w:cs="Arial" w:hAnsi="仿宋" w:hint="eastAsia"/>
          <w:bCs/>
          <w:color w:val="auto"/>
          <w:sz w:val="32"/>
          <w:szCs w:val="32"/>
          <w:lang w:val="en-US" w:eastAsia="zh-CN"/>
        </w:rPr>
        <w:t>农林水（类）农业农村（款）行政运行（项）:</w:t>
      </w:r>
      <w:r>
        <w:rPr>
          <w:rFonts w:ascii="仿宋" w:eastAsia="仿宋" w:cs="仿宋" w:hAnsi="仿宋" w:hint="eastAsia"/>
          <w:b w:val="0"/>
          <w:bCs w:val="0"/>
          <w:color w:val="auto"/>
          <w:kern w:val="0"/>
          <w:sz w:val="32"/>
          <w:szCs w:val="32"/>
          <w:shd w:val="clear" w:color="auto" w:fill="FFFFFF"/>
          <w:lang w:val="en-US" w:eastAsia="zh-CN"/>
        </w:rPr>
        <w:t>支出决算为64.05万元，完成预算100%。</w:t>
      </w:r>
    </w:p>
    <w:p>
      <w:pPr>
        <w:spacing w:line="600" w:lineRule="exact"/>
        <w:ind w:firstLineChars="200" w:firstLine="640"/>
        <w:rPr>
          <w:rStyle w:val="27"/>
          <w:rFonts w:ascii="仿宋" w:eastAsia="仿宋" w:cs="Arial" w:hAnsi="仿宋"/>
          <w:bCs/>
          <w:color w:val="auto"/>
          <w:sz w:val="32"/>
          <w:szCs w:val="32"/>
          <w:lang w:val="en-US" w:eastAsia="zh-CN"/>
        </w:rPr>
      </w:pPr>
      <w:r>
        <w:rPr>
          <w:rStyle w:val="27"/>
          <w:rFonts w:ascii="仿宋" w:eastAsia="仿宋" w:hAnsi="仿宋" w:hint="eastAsia"/>
          <w:bCs/>
          <w:color w:val="auto"/>
          <w:sz w:val="32"/>
          <w:szCs w:val="32"/>
          <w:lang w:val="en-US" w:eastAsia="zh-CN"/>
        </w:rPr>
        <w:t>19.</w:t>
      </w:r>
      <w:r>
        <w:rPr>
          <w:rStyle w:val="27"/>
          <w:rFonts w:ascii="仿宋" w:eastAsia="仿宋" w:cs="Arial" w:hAnsi="仿宋" w:hint="eastAsia"/>
          <w:bCs/>
          <w:color w:val="auto"/>
          <w:sz w:val="32"/>
          <w:szCs w:val="32"/>
          <w:lang w:val="en-US" w:eastAsia="zh-CN"/>
        </w:rPr>
        <w:t>农林水（类）农业农村（款）其他农业农村支出（项）:</w:t>
      </w:r>
      <w:r>
        <w:rPr>
          <w:rFonts w:ascii="仿宋" w:eastAsia="仿宋" w:cs="仿宋" w:hAnsi="仿宋" w:hint="eastAsia"/>
          <w:b w:val="0"/>
          <w:bCs w:val="0"/>
          <w:color w:val="auto"/>
          <w:kern w:val="0"/>
          <w:sz w:val="32"/>
          <w:szCs w:val="32"/>
          <w:shd w:val="clear" w:color="auto" w:fill="FFFFFF"/>
          <w:lang w:val="en-US" w:eastAsia="zh-CN"/>
        </w:rPr>
        <w:t>支出决算为10万元，完成预算100%。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rPr>
      </w:pPr>
      <w:r>
        <w:rPr>
          <w:rStyle w:val="27"/>
          <w:rFonts w:ascii="仿宋" w:eastAsia="仿宋" w:hAnsi="仿宋" w:hint="eastAsia"/>
          <w:bCs/>
          <w:color w:val="auto"/>
          <w:sz w:val="32"/>
          <w:szCs w:val="32"/>
          <w:lang w:val="en-US" w:eastAsia="zh-CN"/>
        </w:rPr>
        <w:t>20.</w:t>
      </w:r>
      <w:r>
        <w:rPr>
          <w:rStyle w:val="27"/>
          <w:rFonts w:ascii="仿宋" w:eastAsia="仿宋" w:cs="Arial" w:hAnsi="仿宋" w:hint="eastAsia"/>
          <w:bCs/>
          <w:color w:val="auto"/>
          <w:sz w:val="32"/>
          <w:szCs w:val="32"/>
          <w:lang w:val="en-US" w:eastAsia="zh-CN"/>
        </w:rPr>
        <w:t>农林水（类）林业和草原（款）林业草原防灾减灾（项）:</w:t>
      </w:r>
      <w:r>
        <w:rPr>
          <w:rFonts w:ascii="仿宋" w:eastAsia="仿宋" w:cs="仿宋" w:hAnsi="仿宋" w:hint="eastAsia"/>
          <w:b w:val="0"/>
          <w:bCs w:val="0"/>
          <w:color w:val="auto"/>
          <w:kern w:val="0"/>
          <w:sz w:val="32"/>
          <w:szCs w:val="32"/>
          <w:shd w:val="clear" w:color="auto" w:fill="FFFFFF"/>
          <w:lang w:val="en-US" w:eastAsia="zh-CN"/>
        </w:rPr>
        <w:t>支出决算为2.5万元，完成预算100%。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_GB2312" w:hAnsi="仿宋_GB2312"/>
          <w:b w:val="0"/>
          <w:bCs w:val="0"/>
          <w:color w:val="auto"/>
          <w:kern w:val="0"/>
          <w:sz w:val="32"/>
          <w:szCs w:val="32"/>
          <w:shd w:val="clear" w:color="auto" w:fill="FFFFFF"/>
          <w:lang w:val="en-US" w:eastAsia="zh-CN"/>
        </w:rPr>
      </w:pPr>
      <w:r>
        <w:rPr>
          <w:rStyle w:val="27"/>
          <w:rFonts w:ascii="仿宋" w:eastAsia="仿宋" w:cs="Arial" w:hAnsi="仿宋" w:hint="eastAsia"/>
          <w:bCs/>
          <w:color w:val="auto"/>
          <w:sz w:val="32"/>
          <w:szCs w:val="32"/>
          <w:lang w:val="en-US" w:eastAsia="zh-CN"/>
        </w:rPr>
        <w:t>21.农林水（类）扶贫（款）社会发展支出（项）:</w:t>
      </w:r>
      <w:r>
        <w:rPr>
          <w:rFonts w:ascii="仿宋" w:eastAsia="仿宋" w:cs="仿宋" w:hAnsi="仿宋" w:hint="eastAsia"/>
          <w:b w:val="0"/>
          <w:bCs w:val="0"/>
          <w:color w:val="auto"/>
          <w:kern w:val="0"/>
          <w:sz w:val="32"/>
          <w:szCs w:val="32"/>
          <w:shd w:val="clear" w:color="auto" w:fill="FFFFFF"/>
          <w:lang w:val="en-US" w:eastAsia="zh-CN"/>
        </w:rPr>
        <w:t>支出决算为48.58万元，完成预算26%。决算数小于预算数的主要原因是革命老区建设项目资金未支付完成。</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b w:val="0"/>
          <w:bCs w:val="0"/>
          <w:color w:val="auto"/>
          <w:kern w:val="0"/>
          <w:sz w:val="32"/>
          <w:szCs w:val="32"/>
          <w:shd w:val="clear" w:color="auto" w:fill="FFFFFF"/>
          <w:lang w:val="en-US" w:eastAsia="zh-CN"/>
        </w:rPr>
      </w:pPr>
      <w:r>
        <w:rPr>
          <w:rStyle w:val="27"/>
          <w:rFonts w:ascii="仿宋" w:eastAsia="仿宋" w:cs="Arial" w:hAnsi="仿宋" w:hint="eastAsia"/>
          <w:bCs/>
          <w:color w:val="auto"/>
          <w:sz w:val="32"/>
          <w:szCs w:val="32"/>
          <w:lang w:val="en-US" w:eastAsia="zh-CN"/>
        </w:rPr>
        <w:t>22.农林水（类）扶贫（款）其他扶贫支出（项）:</w:t>
      </w:r>
      <w:r>
        <w:rPr>
          <w:rFonts w:ascii="仿宋" w:eastAsia="仿宋" w:cs="仿宋" w:hAnsi="仿宋" w:hint="eastAsia"/>
          <w:b w:val="0"/>
          <w:bCs w:val="0"/>
          <w:color w:val="auto"/>
          <w:kern w:val="0"/>
          <w:sz w:val="32"/>
          <w:szCs w:val="32"/>
          <w:shd w:val="clear" w:color="auto" w:fill="FFFFFF"/>
          <w:lang w:val="en-US" w:eastAsia="zh-CN"/>
        </w:rPr>
        <w:t>支出决算为25万元，完成预算100%。</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b w:val="0"/>
          <w:bCs w:val="0"/>
          <w:color w:val="auto"/>
          <w:kern w:val="0"/>
          <w:sz w:val="32"/>
          <w:szCs w:val="32"/>
          <w:shd w:val="clear" w:color="auto" w:fill="FFFFFF"/>
          <w:lang w:val="en-US" w:eastAsia="zh-CN"/>
        </w:rPr>
      </w:pPr>
      <w:r>
        <w:rPr>
          <w:rStyle w:val="27"/>
          <w:rFonts w:ascii="仿宋" w:eastAsia="仿宋" w:cs="Arial" w:hAnsi="仿宋" w:hint="eastAsia"/>
          <w:bCs/>
          <w:color w:val="auto"/>
          <w:sz w:val="32"/>
          <w:szCs w:val="32"/>
          <w:lang w:val="en-US" w:eastAsia="zh-CN"/>
        </w:rPr>
        <w:t>23.农林水（类）农村综合改革（款）对村民委员会和村党支部的补助（项）:</w:t>
      </w:r>
      <w:r>
        <w:rPr>
          <w:rFonts w:ascii="仿宋" w:eastAsia="仿宋" w:cs="仿宋" w:hAnsi="仿宋" w:hint="eastAsia"/>
          <w:b w:val="0"/>
          <w:bCs w:val="0"/>
          <w:color w:val="auto"/>
          <w:kern w:val="0"/>
          <w:sz w:val="32"/>
          <w:szCs w:val="32"/>
          <w:shd w:val="clear" w:color="auto" w:fill="FFFFFF"/>
          <w:lang w:val="en-US" w:eastAsia="zh-CN"/>
        </w:rPr>
        <w:t>支出决算为520.07万元，完成预算100%。</w:t>
      </w:r>
    </w:p>
    <w:p>
      <w:pPr>
        <w:spacing w:line="600" w:lineRule="exact"/>
        <w:ind w:firstLineChars="200" w:firstLine="640"/>
        <w:rPr>
          <w:rStyle w:val="27"/>
          <w:rFonts w:ascii="仿宋" w:eastAsia="仿宋" w:hAnsi="仿宋"/>
          <w:bCs/>
          <w:color w:val="auto"/>
          <w:sz w:val="32"/>
          <w:szCs w:val="32"/>
          <w:lang w:val="en-US" w:eastAsia="zh-CN"/>
        </w:rPr>
      </w:pPr>
      <w:r>
        <w:rPr>
          <w:rStyle w:val="27"/>
          <w:rFonts w:ascii="仿宋" w:eastAsia="仿宋" w:cs="Arial" w:hAnsi="仿宋" w:hint="eastAsia"/>
          <w:bCs/>
          <w:color w:val="auto"/>
          <w:sz w:val="32"/>
          <w:szCs w:val="32"/>
          <w:lang w:val="en-US" w:eastAsia="zh-CN"/>
        </w:rPr>
        <w:t>24.农林水（类）农村综合改革（款）其他农村综合改革支出（项）:</w:t>
      </w:r>
      <w:r>
        <w:rPr>
          <w:rFonts w:ascii="仿宋" w:eastAsia="仿宋" w:cs="仿宋" w:hAnsi="仿宋" w:hint="eastAsia"/>
          <w:b w:val="0"/>
          <w:bCs w:val="0"/>
          <w:color w:val="auto"/>
          <w:kern w:val="0"/>
          <w:sz w:val="32"/>
          <w:szCs w:val="32"/>
          <w:shd w:val="clear" w:color="auto" w:fill="FFFFFF"/>
          <w:lang w:val="en-US" w:eastAsia="zh-CN"/>
        </w:rPr>
        <w:t>支出决算为10.5万元，完成预算100%。</w:t>
      </w:r>
    </w:p>
    <w:p>
      <w:pPr>
        <w:spacing w:line="600" w:lineRule="exact"/>
        <w:ind w:firstLineChars="200" w:firstLine="640"/>
        <w:rPr>
          <w:rStyle w:val="27"/>
          <w:rFonts w:ascii="仿宋" w:eastAsia="仿宋" w:hAnsi="仿宋"/>
          <w:bCs/>
          <w:color w:val="auto"/>
          <w:sz w:val="32"/>
          <w:szCs w:val="32"/>
          <w:lang w:val="en-US" w:eastAsia="zh-CN"/>
        </w:rPr>
      </w:pPr>
      <w:r>
        <w:rPr>
          <w:rStyle w:val="27"/>
          <w:rFonts w:ascii="仿宋" w:eastAsia="仿宋" w:hAnsi="仿宋" w:hint="eastAsia"/>
          <w:bCs/>
          <w:color w:val="auto"/>
          <w:sz w:val="32"/>
          <w:szCs w:val="32"/>
          <w:lang w:val="en-US" w:eastAsia="zh-CN"/>
        </w:rPr>
        <w:t>25.</w:t>
      </w:r>
      <w:r>
        <w:rPr>
          <w:rStyle w:val="27"/>
          <w:rFonts w:ascii="仿宋" w:eastAsia="仿宋" w:cs="Arial" w:hAnsi="仿宋" w:hint="eastAsia"/>
          <w:bCs/>
          <w:color w:val="auto"/>
          <w:sz w:val="32"/>
          <w:szCs w:val="32"/>
          <w:lang w:val="en-US" w:eastAsia="zh-CN"/>
        </w:rPr>
        <w:t>住房保障（类）住房改革支出（款）住房公积金（项）:</w:t>
      </w:r>
      <w:r>
        <w:rPr>
          <w:rFonts w:ascii="仿宋_GB2312" w:eastAsia="仿宋_GB2312" w:cs="仿宋_GB2312" w:hAnsi="仿宋_GB2312" w:hint="eastAsia"/>
          <w:b w:val="0"/>
          <w:bCs w:val="0"/>
          <w:color w:val="auto"/>
          <w:kern w:val="0"/>
          <w:sz w:val="32"/>
          <w:szCs w:val="32"/>
          <w:shd w:val="clear" w:color="auto" w:fill="FFFFFF"/>
          <w:lang w:val="en-US" w:eastAsia="zh-CN"/>
        </w:rPr>
        <w:t>支出决算为49.15万元，完成预算100%。</w:t>
      </w:r>
    </w:p>
    <w:p>
      <w:pPr>
        <w:spacing w:line="600" w:lineRule="exact"/>
        <w:ind w:firstLineChars="200" w:firstLine="640"/>
        <w:rPr>
          <w:rFonts w:ascii="仿宋" w:eastAsia="仿宋" w:hAnsi="仿宋"/>
          <w:b/>
          <w:color w:val="auto"/>
          <w:sz w:val="32"/>
          <w:szCs w:val="32"/>
        </w:rPr>
      </w:pPr>
      <w:r>
        <w:rPr>
          <w:rStyle w:val="27"/>
          <w:rFonts w:ascii="仿宋" w:eastAsia="仿宋" w:hAnsi="仿宋" w:hint="eastAsia"/>
          <w:bCs/>
          <w:color w:val="auto"/>
          <w:sz w:val="32"/>
          <w:szCs w:val="32"/>
          <w:lang w:val="en-US" w:eastAsia="zh-CN"/>
        </w:rPr>
        <w:t>26</w:t>
      </w:r>
      <w:r>
        <w:rPr>
          <w:rStyle w:val="27"/>
          <w:rFonts w:ascii="仿宋" w:eastAsia="仿宋" w:hAnsi="仿宋"/>
          <w:bCs/>
          <w:color w:val="auto"/>
          <w:sz w:val="32"/>
          <w:szCs w:val="32"/>
        </w:rPr>
        <w:t>.</w:t>
      </w:r>
      <w:r>
        <w:rPr>
          <w:rStyle w:val="27"/>
          <w:rFonts w:ascii="仿宋" w:eastAsia="仿宋" w:cs="Arial" w:hAnsi="仿宋" w:hint="eastAsia"/>
          <w:bCs/>
          <w:color w:val="auto"/>
          <w:sz w:val="32"/>
          <w:szCs w:val="32"/>
          <w:lang w:val="en-US" w:eastAsia="zh-CN"/>
        </w:rPr>
        <w:t>灾害防治及应急管理（类）自然灾害救灾及恢复重建支出（款）其他自然灾害救灾及恢复重建支出（项）：</w:t>
      </w:r>
      <w:r>
        <w:rPr>
          <w:rFonts w:ascii="仿宋_GB2312" w:eastAsia="仿宋_GB2312" w:cs="仿宋_GB2312" w:hAnsi="仿宋_GB2312" w:hint="eastAsia"/>
          <w:b w:val="0"/>
          <w:bCs w:val="0"/>
          <w:color w:val="auto"/>
          <w:kern w:val="0"/>
          <w:sz w:val="32"/>
          <w:szCs w:val="32"/>
          <w:shd w:val="clear" w:color="auto" w:fill="FFFFFF"/>
          <w:lang w:val="en-US" w:eastAsia="zh-CN"/>
        </w:rPr>
        <w:t>支出决算10万元，完成预算33.3%。</w:t>
      </w:r>
      <w:r>
        <w:rPr>
          <w:rFonts w:ascii="仿宋" w:eastAsia="仿宋" w:cs="仿宋" w:hAnsi="仿宋" w:hint="eastAsia"/>
          <w:b w:val="0"/>
          <w:bCs w:val="0"/>
          <w:color w:val="auto"/>
          <w:kern w:val="0"/>
          <w:sz w:val="32"/>
          <w:szCs w:val="32"/>
          <w:shd w:val="clear" w:color="auto" w:fill="FFFFFF"/>
          <w:lang w:val="en-US" w:eastAsia="zh-CN"/>
        </w:rPr>
        <w:t>决算数小于预算数的主要原因是洪涝灾害治理资金未支付完成。</w:t>
      </w:r>
    </w:p>
    <w:p>
      <w:pPr>
        <w:tabs>
          <w:tab w:val="right" w:pos="8306"/>
        </w:tabs>
        <w:spacing w:line="600" w:lineRule="exact"/>
        <w:ind w:firstLine="640"/>
        <w:outlineLvl w:val="1"/>
        <w:rPr>
          <w:rStyle w:val="2Char"/>
          <w:color w:val="auto"/>
        </w:rPr>
      </w:pPr>
      <w:bookmarkStart w:id="41" w:name="_Toc15396608"/>
      <w:bookmarkStart w:id="42" w:name="_Toc15377214"/>
      <w:r>
        <w:rPr>
          <w:rFonts w:ascii="黑体" w:eastAsia="黑体" w:hint="eastAsia"/>
          <w:color w:val="auto"/>
          <w:sz w:val="32"/>
          <w:szCs w:val="32"/>
        </w:rPr>
        <w:t>六</w:t>
      </w:r>
      <w:r>
        <w:rPr>
          <w:rFonts w:ascii="黑体" w:eastAsia="黑体" w:hint="eastAsia"/>
          <w:b/>
          <w:color w:val="auto"/>
          <w:sz w:val="32"/>
          <w:szCs w:val="32"/>
        </w:rPr>
        <w:t>、</w:t>
      </w:r>
      <w:r>
        <w:rPr>
          <w:rFonts w:ascii="黑体" w:eastAsia="黑体" w:hAnsi="黑体" w:hint="eastAsia"/>
          <w:b/>
          <w:color w:val="auto"/>
          <w:sz w:val="32"/>
          <w:szCs w:val="32"/>
        </w:rPr>
        <w:t>一</w:t>
      </w:r>
      <w:r>
        <w:rPr>
          <w:rStyle w:val="2Char"/>
          <w:rFonts w:ascii="黑体" w:eastAsia="黑体" w:hAnsi="黑体" w:hint="eastAsia"/>
          <w:b w:val="0"/>
          <w:color w:val="auto"/>
        </w:rPr>
        <w:t>般公共预算财政拨款基本支出决算情况说明</w:t>
      </w:r>
      <w:bookmarkEnd w:id="41"/>
      <w:bookmarkEnd w:id="42"/>
      <w:r>
        <w:rPr>
          <w:rStyle w:val="2Char"/>
          <w:rFonts w:ascii="黑体" w:eastAsia="黑体" w:hAnsi="黑体"/>
          <w:b w:val="0"/>
          <w:color w:val="auto"/>
        </w:rPr>
        <w:tab/>
      </w:r>
    </w:p>
    <w:p>
      <w:pPr>
        <w:spacing w:line="600" w:lineRule="exact"/>
        <w:ind w:firstLine="645"/>
        <w:rPr>
          <w:rFonts w:ascii="仿宋" w:eastAsia="仿宋" w:hAnsi="仿宋"/>
          <w:color w:val="auto"/>
          <w:sz w:val="32"/>
          <w:szCs w:val="32"/>
        </w:rPr>
      </w:pPr>
      <w:r>
        <w:rPr>
          <w:rFonts w:ascii="仿宋" w:eastAsia="仿宋" w:hAnsi="仿宋"/>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年一般公共预算财政拨款基本支出</w:t>
      </w:r>
      <w:r>
        <w:rPr>
          <w:rFonts w:ascii="仿宋" w:eastAsia="仿宋" w:hAnsi="仿宋" w:hint="eastAsia"/>
          <w:color w:val="auto"/>
          <w:sz w:val="32"/>
          <w:szCs w:val="32"/>
          <w:lang w:val="en-US" w:eastAsia="zh-CN"/>
        </w:rPr>
        <w:t>1529.91</w:t>
      </w:r>
      <w:r>
        <w:rPr>
          <w:rFonts w:ascii="仿宋" w:eastAsia="仿宋" w:hAnsi="仿宋" w:hint="eastAsia"/>
          <w:color w:val="auto"/>
          <w:sz w:val="32"/>
          <w:szCs w:val="32"/>
        </w:rPr>
        <w:t>万元，其中：</w:t>
      </w:r>
    </w:p>
    <w:p>
      <w:pPr>
        <w:spacing w:line="600" w:lineRule="exact"/>
        <w:ind w:firstLine="645"/>
        <w:rPr>
          <w:rFonts w:ascii="仿宋" w:eastAsia="仿宋" w:hAnsi="仿宋"/>
          <w:color w:val="auto"/>
          <w:sz w:val="32"/>
          <w:szCs w:val="32"/>
        </w:rPr>
      </w:pPr>
      <w:r>
        <w:rPr>
          <w:rFonts w:ascii="仿宋" w:eastAsia="仿宋" w:hAnsi="仿宋" w:hint="eastAsia"/>
          <w:color w:val="auto"/>
          <w:sz w:val="32"/>
          <w:szCs w:val="32"/>
        </w:rPr>
        <w:t>人员经费</w:t>
      </w:r>
      <w:r>
        <w:rPr>
          <w:rFonts w:ascii="仿宋" w:eastAsia="仿宋" w:hAnsi="仿宋" w:hint="eastAsia"/>
          <w:color w:val="auto"/>
          <w:sz w:val="32"/>
          <w:szCs w:val="32"/>
          <w:lang w:val="en-US" w:eastAsia="zh-CN"/>
        </w:rPr>
        <w:t>1176</w:t>
      </w:r>
      <w:r>
        <w:rPr>
          <w:rFonts w:ascii="仿宋" w:eastAsia="仿宋" w:hAnsi="仿宋" w:hint="eastAsia"/>
          <w:color w:val="auto"/>
          <w:sz w:val="32"/>
          <w:szCs w:val="32"/>
        </w:rPr>
        <w:t>万元，主要包括：基本工资、津贴补贴、奖金、绩效工资、机关事业单位基本养老保险缴费、其他社会保障缴费、其他工资福利支出、生活补助、医疗费补助、奖励金、住房公积金、其他对个人和家庭的补助支出等。</w:t>
      </w:r>
      <w:r>
        <w:rPr>
          <w:rFonts w:ascii="仿宋" w:eastAsia="仿宋" w:hAnsi="仿宋"/>
          <w:color w:val="auto"/>
          <w:sz w:val="32"/>
          <w:szCs w:val="32"/>
        </w:rPr>
        <w:br/>
      </w:r>
      <w:r>
        <w:rPr>
          <w:rFonts w:ascii="仿宋" w:eastAsia="仿宋" w:hAnsi="仿宋" w:hint="eastAsia"/>
          <w:color w:val="auto"/>
          <w:sz w:val="32"/>
          <w:szCs w:val="32"/>
        </w:rPr>
        <w:t>　　公用经费</w:t>
      </w:r>
      <w:r>
        <w:rPr>
          <w:rFonts w:ascii="仿宋" w:eastAsia="仿宋" w:hAnsi="仿宋" w:hint="eastAsia"/>
          <w:color w:val="auto"/>
          <w:sz w:val="32"/>
          <w:szCs w:val="32"/>
          <w:lang w:val="en-US" w:eastAsia="zh-CN"/>
        </w:rPr>
        <w:t>353.91</w:t>
      </w:r>
      <w:r>
        <w:rPr>
          <w:rFonts w:ascii="仿宋" w:eastAsia="仿宋" w:hAnsi="仿宋" w:hint="eastAsia"/>
          <w:color w:val="auto"/>
          <w:sz w:val="32"/>
          <w:szCs w:val="32"/>
        </w:rPr>
        <w:t>万元，主要包括：办公费、印刷费、咨询费、水费、电费、邮电费、差旅费、维修（护）费、会议费、培训费、公务接待费、委托业务费、工会经费、福利费、公务用车运行维护费、其他交通费、其他商品和服务支出等。</w:t>
      </w:r>
    </w:p>
    <w:p>
      <w:pPr>
        <w:spacing w:line="600" w:lineRule="exact"/>
        <w:ind w:firstLine="640"/>
        <w:outlineLvl w:val="1"/>
        <w:rPr>
          <w:rStyle w:val="2Char"/>
          <w:rFonts w:ascii="黑体" w:eastAsia="黑体" w:hAnsi="黑体"/>
          <w:b w:val="0"/>
          <w:color w:val="auto"/>
        </w:rPr>
      </w:pPr>
      <w:bookmarkStart w:id="43" w:name="_Toc15377215"/>
      <w:bookmarkStart w:id="44" w:name="_Toc15396609"/>
      <w:r>
        <w:rPr>
          <w:rFonts w:ascii="黑体" w:eastAsia="黑体" w:hint="eastAsia"/>
          <w:color w:val="auto"/>
          <w:sz w:val="32"/>
          <w:szCs w:val="32"/>
        </w:rPr>
        <w:t>七、</w:t>
      </w:r>
      <w:r>
        <w:rPr>
          <w:rStyle w:val="2Char"/>
          <w:rFonts w:ascii="黑体" w:eastAsia="黑体" w:hAnsi="黑体" w:hint="eastAsia"/>
          <w:color w:val="auto"/>
        </w:rPr>
        <w:t>“</w:t>
      </w:r>
      <w:r>
        <w:rPr>
          <w:rStyle w:val="2Char"/>
          <w:rFonts w:ascii="黑体" w:eastAsia="黑体" w:hAnsi="黑体" w:hint="eastAsia"/>
          <w:b w:val="0"/>
          <w:color w:val="auto"/>
        </w:rPr>
        <w:t>三公”经费财政拨款支出决算情况说明</w:t>
      </w:r>
      <w:bookmarkEnd w:id="43"/>
      <w:bookmarkEnd w:id="44"/>
    </w:p>
    <w:p>
      <w:pPr>
        <w:spacing w:line="600" w:lineRule="exact"/>
        <w:ind w:firstLine="640"/>
        <w:outlineLvl w:val="2"/>
        <w:rPr>
          <w:rFonts w:ascii="仿宋" w:eastAsia="仿宋" w:hAnsi="仿宋"/>
          <w:b/>
          <w:color w:val="auto"/>
          <w:sz w:val="32"/>
          <w:szCs w:val="32"/>
        </w:rPr>
      </w:pPr>
      <w:bookmarkStart w:id="45" w:name="_Toc15377216"/>
      <w:r>
        <w:rPr>
          <w:rFonts w:ascii="仿宋" w:eastAsia="仿宋" w:hAnsi="仿宋" w:hint="eastAsia"/>
          <w:b/>
          <w:color w:val="auto"/>
          <w:sz w:val="32"/>
          <w:szCs w:val="32"/>
        </w:rPr>
        <w:t>（一）“三公”经费财政拨款支出决算总体情况说明</w:t>
      </w:r>
      <w:bookmarkEnd w:id="45"/>
    </w:p>
    <w:p>
      <w:pPr>
        <w:spacing w:line="600" w:lineRule="exact"/>
        <w:ind w:firstLine="640"/>
        <w:rPr>
          <w:rFonts w:ascii="仿宋" w:eastAsia="仿宋" w:hAnsi="仿宋" w:hint="eastAsia"/>
          <w:color w:val="auto"/>
          <w:sz w:val="32"/>
          <w:szCs w:val="32"/>
        </w:rPr>
      </w:pPr>
      <w:r>
        <w:rPr>
          <w:rFonts w:ascii="仿宋" w:eastAsia="仿宋" w:hAnsi="仿宋"/>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年“三公”经费财政拨款支出决算为</w:t>
      </w:r>
      <w:r>
        <w:rPr>
          <w:rFonts w:ascii="仿宋" w:eastAsia="仿宋" w:hAnsi="仿宋" w:hint="eastAsia"/>
          <w:color w:val="auto"/>
          <w:sz w:val="32"/>
          <w:szCs w:val="32"/>
          <w:lang w:val="en-US" w:eastAsia="zh-CN"/>
        </w:rPr>
        <w:t>19.16</w:t>
      </w:r>
      <w:r>
        <w:rPr>
          <w:rFonts w:ascii="仿宋" w:eastAsia="仿宋" w:hAnsi="仿宋" w:hint="eastAsia"/>
          <w:color w:val="auto"/>
          <w:sz w:val="32"/>
          <w:szCs w:val="32"/>
        </w:rPr>
        <w:t>万元，完成预算</w:t>
      </w:r>
      <w:r>
        <w:rPr>
          <w:rFonts w:ascii="仿宋" w:eastAsia="仿宋" w:hAnsi="仿宋" w:hint="eastAsia"/>
          <w:color w:val="auto"/>
          <w:sz w:val="32"/>
          <w:szCs w:val="32"/>
          <w:lang w:val="en-US" w:eastAsia="zh-CN"/>
        </w:rPr>
        <w:t>100</w:t>
      </w:r>
      <w:r>
        <w:rPr>
          <w:rFonts w:ascii="仿宋" w:eastAsia="仿宋" w:hAnsi="仿宋"/>
          <w:color w:val="auto"/>
          <w:sz w:val="32"/>
          <w:szCs w:val="32"/>
        </w:rPr>
        <w:t>%</w:t>
      </w:r>
      <w:r>
        <w:rPr>
          <w:rFonts w:ascii="仿宋" w:eastAsia="仿宋" w:hAnsi="仿宋" w:hint="eastAsia"/>
          <w:color w:val="auto"/>
          <w:sz w:val="32"/>
          <w:szCs w:val="32"/>
        </w:rPr>
        <w:t>，决算数与预算数持平。</w:t>
      </w:r>
    </w:p>
    <w:p>
      <w:pPr>
        <w:spacing w:line="600" w:lineRule="exact"/>
        <w:ind w:firstLine="640"/>
        <w:outlineLvl w:val="2"/>
        <w:rPr>
          <w:rFonts w:ascii="仿宋" w:eastAsia="仿宋" w:hAnsi="仿宋"/>
          <w:b/>
          <w:color w:val="auto"/>
          <w:sz w:val="32"/>
          <w:szCs w:val="32"/>
        </w:rPr>
      </w:pPr>
      <w:bookmarkStart w:id="46" w:name="_Toc15377217"/>
      <w:r>
        <w:rPr>
          <w:rFonts w:ascii="仿宋" w:eastAsia="仿宋" w:hAnsi="仿宋" w:hint="eastAsia"/>
          <w:b/>
          <w:color w:val="auto"/>
          <w:sz w:val="32"/>
          <w:szCs w:val="32"/>
        </w:rPr>
        <w:t>（二）“三公”经费财政拨款支出决算具体情况说明</w:t>
      </w:r>
      <w:bookmarkEnd w:id="46"/>
    </w:p>
    <w:p>
      <w:pPr>
        <w:spacing w:line="600" w:lineRule="exact"/>
        <w:ind w:firstLine="640"/>
        <w:rPr>
          <w:rFonts w:ascii="仿宋" w:eastAsia="仿宋" w:hAnsi="仿宋"/>
          <w:color w:val="auto"/>
          <w:sz w:val="32"/>
          <w:szCs w:val="32"/>
        </w:rPr>
      </w:pPr>
      <w:r>
        <w:rPr>
          <w:rFonts w:ascii="仿宋" w:eastAsia="仿宋" w:hAnsi="仿宋"/>
          <w:color w:val="auto"/>
          <w:sz w:val="32"/>
          <w:szCs w:val="32"/>
        </w:rPr>
        <w:t>20</w:t>
      </w:r>
      <w:r>
        <w:rPr>
          <w:rFonts w:ascii="仿宋" w:eastAsia="仿宋" w:hAnsi="仿宋" w:hint="eastAsia"/>
          <w:color w:val="auto"/>
          <w:sz w:val="32"/>
          <w:szCs w:val="32"/>
          <w:lang w:val="en-US" w:eastAsia="zh-CN"/>
        </w:rPr>
        <w:t>21</w:t>
      </w:r>
      <w:r>
        <w:rPr>
          <w:rFonts w:ascii="仿宋" w:eastAsia="仿宋" w:hAnsi="仿宋" w:hint="eastAsia"/>
          <w:color w:val="auto"/>
          <w:sz w:val="32"/>
          <w:szCs w:val="32"/>
        </w:rPr>
        <w:t>年“三公”经费财政拨款支出决算中，因公出国（境）费支出决算</w:t>
      </w:r>
      <w:r>
        <w:rPr>
          <w:rFonts w:ascii="仿宋" w:eastAsia="仿宋" w:hAnsi="仿宋" w:hint="eastAsia"/>
          <w:color w:val="auto"/>
          <w:sz w:val="32"/>
          <w:szCs w:val="32"/>
          <w:lang w:val="en-US" w:eastAsia="zh-CN"/>
        </w:rPr>
        <w:t>0</w:t>
      </w:r>
      <w:r>
        <w:rPr>
          <w:rFonts w:ascii="仿宋" w:eastAsia="仿宋" w:hAnsi="仿宋" w:hint="eastAsia"/>
          <w:color w:val="auto"/>
          <w:sz w:val="32"/>
          <w:szCs w:val="32"/>
        </w:rPr>
        <w:t>万元，占</w:t>
      </w:r>
      <w:r>
        <w:rPr>
          <w:rFonts w:ascii="仿宋" w:eastAsia="仿宋" w:hAnsi="仿宋" w:hint="eastAsia"/>
          <w:color w:val="auto"/>
          <w:sz w:val="32"/>
          <w:szCs w:val="32"/>
          <w:lang w:val="en-US" w:eastAsia="zh-CN"/>
        </w:rPr>
        <w:t>0</w:t>
      </w:r>
      <w:r>
        <w:rPr>
          <w:rFonts w:ascii="仿宋" w:eastAsia="仿宋" w:hAnsi="仿宋"/>
          <w:color w:val="auto"/>
          <w:sz w:val="32"/>
          <w:szCs w:val="32"/>
        </w:rPr>
        <w:t>%</w:t>
      </w:r>
      <w:r>
        <w:rPr>
          <w:rFonts w:ascii="仿宋" w:eastAsia="仿宋" w:hAnsi="仿宋" w:hint="eastAsia"/>
          <w:color w:val="auto"/>
          <w:sz w:val="32"/>
          <w:szCs w:val="32"/>
        </w:rPr>
        <w:t>；公务用车购置及运行维护费支出决算</w:t>
      </w:r>
      <w:r>
        <w:rPr>
          <w:rFonts w:ascii="仿宋" w:eastAsia="仿宋" w:hAnsi="仿宋" w:hint="eastAsia"/>
          <w:color w:val="auto"/>
          <w:sz w:val="32"/>
          <w:szCs w:val="32"/>
          <w:lang w:val="en-US" w:eastAsia="zh-CN"/>
        </w:rPr>
        <w:t>12</w:t>
      </w:r>
      <w:r>
        <w:rPr>
          <w:rFonts w:ascii="仿宋" w:eastAsia="仿宋" w:hAnsi="仿宋" w:hint="eastAsia"/>
          <w:color w:val="auto"/>
          <w:sz w:val="32"/>
          <w:szCs w:val="32"/>
        </w:rPr>
        <w:t>万元，占</w:t>
      </w:r>
      <w:r>
        <w:rPr>
          <w:rFonts w:ascii="仿宋" w:eastAsia="仿宋" w:hAnsi="仿宋" w:hint="eastAsia"/>
          <w:color w:val="auto"/>
          <w:sz w:val="32"/>
          <w:szCs w:val="32"/>
          <w:lang w:val="en-US" w:eastAsia="zh-CN"/>
        </w:rPr>
        <w:t>62.63</w:t>
      </w:r>
      <w:r>
        <w:rPr>
          <w:rFonts w:ascii="仿宋" w:eastAsia="仿宋" w:hAnsi="仿宋"/>
          <w:color w:val="auto"/>
          <w:sz w:val="32"/>
          <w:szCs w:val="32"/>
        </w:rPr>
        <w:t>%</w:t>
      </w:r>
      <w:r>
        <w:rPr>
          <w:rFonts w:ascii="仿宋" w:eastAsia="仿宋" w:hAnsi="仿宋" w:hint="eastAsia"/>
          <w:color w:val="auto"/>
          <w:sz w:val="32"/>
          <w:szCs w:val="32"/>
        </w:rPr>
        <w:t>；公务接待费支出决算</w:t>
      </w:r>
      <w:r>
        <w:rPr>
          <w:rFonts w:ascii="仿宋" w:eastAsia="仿宋" w:hAnsi="仿宋" w:hint="eastAsia"/>
          <w:color w:val="auto"/>
          <w:sz w:val="32"/>
          <w:szCs w:val="32"/>
          <w:lang w:val="en-US" w:eastAsia="zh-CN"/>
        </w:rPr>
        <w:t>7.16</w:t>
      </w:r>
      <w:r>
        <w:rPr>
          <w:rFonts w:ascii="仿宋" w:eastAsia="仿宋" w:hAnsi="仿宋" w:hint="eastAsia"/>
          <w:color w:val="auto"/>
          <w:sz w:val="32"/>
          <w:szCs w:val="32"/>
        </w:rPr>
        <w:t>万元，占</w:t>
      </w:r>
      <w:r>
        <w:rPr>
          <w:rFonts w:ascii="仿宋" w:eastAsia="仿宋" w:hAnsi="仿宋" w:hint="eastAsia"/>
          <w:color w:val="auto"/>
          <w:sz w:val="32"/>
          <w:szCs w:val="32"/>
          <w:lang w:val="en-US" w:eastAsia="zh-CN"/>
        </w:rPr>
        <w:t>37.37</w:t>
      </w:r>
      <w:r>
        <w:rPr>
          <w:rFonts w:ascii="仿宋" w:eastAsia="仿宋" w:hAnsi="仿宋"/>
          <w:color w:val="auto"/>
          <w:sz w:val="32"/>
          <w:szCs w:val="32"/>
        </w:rPr>
        <w:t>%</w:t>
      </w:r>
      <w:r>
        <w:rPr>
          <w:rFonts w:ascii="仿宋" w:eastAsia="仿宋" w:hAnsi="仿宋" w:hint="eastAsia"/>
          <w:color w:val="auto"/>
          <w:sz w:val="32"/>
          <w:szCs w:val="32"/>
        </w:rPr>
        <w:t>。具体情况如下：</w:t>
      </w:r>
    </w:p>
    <w:p>
      <w:pPr>
        <w:spacing w:line="600" w:lineRule="exact"/>
        <w:ind w:firstLine="640"/>
        <w:rPr>
          <w:rFonts w:ascii="仿宋" w:eastAsia="仿宋" w:hAnsi="仿宋" w:hint="eastAsia"/>
          <w:color w:val="auto"/>
          <w:sz w:val="32"/>
          <w:szCs w:val="32"/>
        </w:rPr>
      </w:pPr>
      <w:r>
        <w:rPr>
          <w:rFonts w:ascii="仿宋" w:eastAsia="仿宋" w:hAnsi="仿宋" w:hint="eastAsia"/>
          <w:color w:val="auto"/>
          <w:sz w:val="32"/>
          <w:szCs w:val="32"/>
        </w:rPr>
        <w:t>（图7：“三公”经费财政拨款支出结构）（饼状图）</w:t>
      </w:r>
    </w:p>
    <w:p>
      <w:pPr>
        <w:pStyle w:val="15"/>
        <w:rPr>
          <w:rFonts w:ascii="仿宋" w:eastAsia="仿宋" w:hAnsi="仿宋" w:hint="eastAsia"/>
          <w:color w:val="auto"/>
          <w:sz w:val="32"/>
          <w:szCs w:val="32"/>
        </w:rPr>
      </w:pPr>
    </w:p>
    <w:p>
      <w:pPr>
        <w:pStyle w:val="15"/>
        <w:rPr>
          <w:rFonts w:ascii="仿宋" w:eastAsia="仿宋" w:hAnsi="仿宋" w:hint="eastAsia"/>
          <w:color w:val="auto"/>
          <w:sz w:val="32"/>
          <w:szCs w:val="32"/>
        </w:rPr>
      </w:pPr>
      <w:r>
        <w:rPr>
          <w:rFonts w:ascii="仿宋" w:eastAsia="仿宋" w:hAnsi="仿宋" w:hint="eastAsia"/>
          <w:color w:val="FF0000"/>
          <w:sz w:val="32"/>
          <w:szCs w:val="32"/>
          <w:lang w:eastAsia="zh-CN"/>
        </w:rPr>
        <w:drawing>
          <wp:inline distT="0" distB="0" distL="114300" distR="114300">
            <wp:extent cx="5304790" cy="2910204"/>
            <wp:effectExtent l="4444" t="4444" r="9525" b="41910"/>
            <wp:docPr id="17" name="图表 17" descr="7b0a202020202263686172745265734964223a20223230343731333838220a7d0a"/>
            <wp:cNvGraphicFramePr>
              <a:graphicFrameLocks noChangeAspect="0"/>
            </wp:cNvGraphicFramePr>
            <a:graphic>
              <a:graphicData uri="http://schemas.openxmlformats.org/drawingml/2006/chart">
                <c:chart xmlns:c="http://schemas.openxmlformats.org/drawingml/2006/chart" r:id="rId13"/>
              </a:graphicData>
            </a:graphic>
          </wp:inline>
        </w:drawing>
      </w:r>
    </w:p>
    <w:p>
      <w:pPr>
        <w:spacing w:line="600" w:lineRule="exact"/>
        <w:ind w:firstLine="640"/>
        <w:rPr>
          <w:rFonts w:ascii="仿宋_GB2312" w:eastAsia="仿宋_GB2312"/>
          <w:b/>
          <w:color w:val="auto"/>
          <w:sz w:val="32"/>
          <w:szCs w:val="32"/>
        </w:rPr>
      </w:pPr>
    </w:p>
    <w:p>
      <w:pPr>
        <w:spacing w:line="600" w:lineRule="exact"/>
        <w:ind w:firstLine="640"/>
        <w:rPr>
          <w:rFonts w:ascii="仿宋_GB2312" w:eastAsia="仿宋_GB2312" w:hint="eastAsia"/>
          <w:color w:val="auto"/>
          <w:sz w:val="32"/>
          <w:szCs w:val="32"/>
          <w:lang w:val="en-US" w:eastAsia="zh-CN"/>
        </w:rPr>
      </w:pPr>
      <w:r>
        <w:rPr>
          <w:rFonts w:ascii="仿宋_GB2312" w:eastAsia="仿宋_GB2312"/>
          <w:b/>
          <w:color w:val="auto"/>
          <w:sz w:val="32"/>
          <w:szCs w:val="32"/>
        </w:rPr>
        <w:t>1.</w:t>
      </w:r>
      <w:r>
        <w:rPr>
          <w:rFonts w:ascii="仿宋_GB2312" w:eastAsia="仿宋_GB2312" w:hint="eastAsia"/>
          <w:b/>
          <w:color w:val="auto"/>
          <w:sz w:val="32"/>
          <w:szCs w:val="32"/>
        </w:rPr>
        <w:t>因公出国（境）经费支出</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w:t>
      </w:r>
      <w:r>
        <w:rPr>
          <w:rStyle w:val="27"/>
          <w:rFonts w:ascii="仿宋" w:eastAsia="仿宋" w:hAnsi="仿宋" w:hint="eastAsia"/>
          <w:b w:val="0"/>
          <w:bCs/>
          <w:color w:val="auto"/>
          <w:sz w:val="32"/>
          <w:szCs w:val="32"/>
        </w:rPr>
        <w:t>完成预算</w:t>
      </w:r>
      <w:r>
        <w:rPr>
          <w:rStyle w:val="27"/>
          <w:rFonts w:ascii="仿宋" w:eastAsia="仿宋" w:hAnsi="仿宋" w:hint="eastAsia"/>
          <w:b w:val="0"/>
          <w:bCs/>
          <w:color w:val="auto"/>
          <w:sz w:val="32"/>
          <w:szCs w:val="32"/>
          <w:lang w:val="en-US" w:eastAsia="zh-CN"/>
        </w:rPr>
        <w:t>0</w:t>
      </w:r>
      <w:r>
        <w:rPr>
          <w:rStyle w:val="27"/>
          <w:rFonts w:ascii="仿宋" w:eastAsia="仿宋" w:hAnsi="仿宋"/>
          <w:b w:val="0"/>
          <w:bCs/>
          <w:color w:val="auto"/>
          <w:sz w:val="32"/>
          <w:szCs w:val="32"/>
        </w:rPr>
        <w:t>%</w:t>
      </w:r>
      <w:r>
        <w:rPr>
          <w:rStyle w:val="27"/>
          <w:rFonts w:ascii="仿宋" w:eastAsia="仿宋" w:hAnsi="仿宋" w:hint="eastAsia"/>
          <w:b w:val="0"/>
          <w:bCs/>
          <w:color w:val="auto"/>
          <w:sz w:val="32"/>
          <w:szCs w:val="32"/>
        </w:rPr>
        <w:t>。</w:t>
      </w:r>
      <w:r>
        <w:rPr>
          <w:rFonts w:ascii="仿宋_GB2312" w:eastAsia="仿宋_GB2312" w:hint="eastAsia"/>
          <w:color w:val="auto"/>
          <w:sz w:val="32"/>
          <w:szCs w:val="32"/>
        </w:rPr>
        <w:t>全年安排因公出国（境）团组</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次，出国（境）</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人。因公出国（境）支出决算</w:t>
      </w:r>
      <w:r>
        <w:rPr>
          <w:rFonts w:ascii="仿宋_GB2312" w:eastAsia="仿宋_GB2312" w:hint="eastAsia"/>
          <w:color w:val="auto"/>
          <w:sz w:val="32"/>
          <w:szCs w:val="32"/>
          <w:lang w:val="en-US" w:eastAsia="zh-CN"/>
        </w:rPr>
        <w:t>与</w:t>
      </w:r>
      <w:r>
        <w:rPr>
          <w:rFonts w:ascii="仿宋_GB2312" w:eastAsia="仿宋_GB2312"/>
          <w:color w:val="auto"/>
          <w:sz w:val="32"/>
          <w:szCs w:val="32"/>
        </w:rPr>
        <w:t>20</w:t>
      </w:r>
      <w:r>
        <w:rPr>
          <w:rFonts w:ascii="仿宋_GB2312" w:eastAsia="仿宋_GB2312" w:hint="eastAsia"/>
          <w:color w:val="auto"/>
          <w:sz w:val="32"/>
          <w:szCs w:val="32"/>
          <w:lang w:val="en-US" w:eastAsia="zh-CN"/>
        </w:rPr>
        <w:t>20</w:t>
      </w:r>
      <w:r>
        <w:rPr>
          <w:rFonts w:ascii="仿宋_GB2312" w:eastAsia="仿宋_GB2312" w:hint="eastAsia"/>
          <w:color w:val="auto"/>
          <w:sz w:val="32"/>
          <w:szCs w:val="32"/>
        </w:rPr>
        <w:t>年</w:t>
      </w:r>
      <w:r>
        <w:rPr>
          <w:rFonts w:ascii="仿宋_GB2312" w:eastAsia="仿宋_GB2312" w:hint="eastAsia"/>
          <w:color w:val="auto"/>
          <w:sz w:val="32"/>
          <w:szCs w:val="32"/>
          <w:lang w:eastAsia="zh-CN"/>
        </w:rPr>
        <w:t>决算持平</w:t>
      </w:r>
      <w:r>
        <w:rPr>
          <w:rFonts w:ascii="仿宋_GB2312" w:eastAsia="仿宋_GB2312" w:hint="eastAsia"/>
          <w:color w:val="auto"/>
          <w:sz w:val="32"/>
          <w:szCs w:val="32"/>
          <w:lang w:val="en-US" w:eastAsia="zh-CN"/>
        </w:rPr>
        <w:t>。</w:t>
      </w:r>
    </w:p>
    <w:p>
      <w:pPr>
        <w:spacing w:line="600" w:lineRule="exact"/>
        <w:ind w:firstLine="640"/>
        <w:rPr>
          <w:rFonts w:ascii="仿宋_GB2312" w:eastAsia="仿宋_GB2312"/>
          <w:b/>
          <w:color w:val="auto"/>
          <w:sz w:val="32"/>
          <w:szCs w:val="32"/>
        </w:rPr>
      </w:pPr>
      <w:r>
        <w:rPr>
          <w:rFonts w:ascii="仿宋_GB2312" w:eastAsia="仿宋_GB2312"/>
          <w:b/>
          <w:color w:val="auto"/>
          <w:sz w:val="32"/>
          <w:szCs w:val="32"/>
        </w:rPr>
        <w:t>2.</w:t>
      </w:r>
      <w:r>
        <w:rPr>
          <w:rFonts w:ascii="仿宋_GB2312" w:eastAsia="仿宋_GB2312" w:hint="eastAsia"/>
          <w:b/>
          <w:color w:val="auto"/>
          <w:sz w:val="32"/>
          <w:szCs w:val="32"/>
        </w:rPr>
        <w:t>公务用车购置及运行维护费支出</w:t>
      </w:r>
      <w:r>
        <w:rPr>
          <w:rFonts w:ascii="仿宋_GB2312" w:eastAsia="仿宋_GB2312" w:hint="eastAsia"/>
          <w:color w:val="auto"/>
          <w:sz w:val="32"/>
          <w:szCs w:val="32"/>
          <w:lang w:val="en-US" w:eastAsia="zh-CN"/>
        </w:rPr>
        <w:t>12</w:t>
      </w:r>
      <w:r>
        <w:rPr>
          <w:rFonts w:ascii="仿宋_GB2312" w:eastAsia="仿宋_GB2312" w:hint="eastAsia"/>
          <w:color w:val="auto"/>
          <w:sz w:val="32"/>
          <w:szCs w:val="32"/>
        </w:rPr>
        <w:t>万元,</w:t>
      </w:r>
      <w:r>
        <w:rPr>
          <w:rStyle w:val="27"/>
          <w:rFonts w:ascii="仿宋" w:eastAsia="仿宋" w:hAnsi="仿宋" w:hint="eastAsia"/>
          <w:b w:val="0"/>
          <w:bCs/>
          <w:color w:val="auto"/>
          <w:sz w:val="32"/>
          <w:szCs w:val="32"/>
        </w:rPr>
        <w:t>完成预算</w:t>
      </w:r>
      <w:r>
        <w:rPr>
          <w:rStyle w:val="27"/>
          <w:rFonts w:ascii="仿宋" w:eastAsia="仿宋" w:hAnsi="仿宋" w:hint="eastAsia"/>
          <w:b w:val="0"/>
          <w:bCs/>
          <w:color w:val="auto"/>
          <w:sz w:val="32"/>
          <w:szCs w:val="32"/>
          <w:lang w:val="en-US" w:eastAsia="zh-CN"/>
        </w:rPr>
        <w:t>100</w:t>
      </w:r>
      <w:r>
        <w:rPr>
          <w:rStyle w:val="27"/>
          <w:rFonts w:ascii="仿宋" w:eastAsia="仿宋" w:hAnsi="仿宋"/>
          <w:b w:val="0"/>
          <w:bCs/>
          <w:color w:val="auto"/>
          <w:sz w:val="32"/>
          <w:szCs w:val="32"/>
        </w:rPr>
        <w:t>%</w:t>
      </w:r>
      <w:r>
        <w:rPr>
          <w:rStyle w:val="27"/>
          <w:rFonts w:ascii="仿宋" w:eastAsia="仿宋" w:hAnsi="仿宋" w:hint="eastAsia"/>
          <w:b w:val="0"/>
          <w:bCs/>
          <w:color w:val="auto"/>
          <w:sz w:val="32"/>
          <w:szCs w:val="32"/>
        </w:rPr>
        <w:t>。</w:t>
      </w:r>
      <w:r>
        <w:rPr>
          <w:rFonts w:ascii="仿宋_GB2312" w:eastAsia="仿宋_GB2312" w:hint="eastAsia"/>
          <w:color w:val="auto"/>
          <w:sz w:val="32"/>
          <w:szCs w:val="32"/>
        </w:rPr>
        <w:t>公务用车购置及运行维护费支出决算比</w:t>
      </w:r>
      <w:r>
        <w:rPr>
          <w:rFonts w:ascii="仿宋_GB2312" w:eastAsia="仿宋_GB2312"/>
          <w:color w:val="auto"/>
          <w:sz w:val="32"/>
          <w:szCs w:val="32"/>
        </w:rPr>
        <w:t>20</w:t>
      </w:r>
      <w:r>
        <w:rPr>
          <w:rFonts w:ascii="仿宋_GB2312" w:eastAsia="仿宋_GB2312" w:hint="eastAsia"/>
          <w:color w:val="auto"/>
          <w:sz w:val="32"/>
          <w:szCs w:val="32"/>
          <w:lang w:val="en-US" w:eastAsia="zh-CN"/>
        </w:rPr>
        <w:t>20</w:t>
      </w:r>
      <w:r>
        <w:rPr>
          <w:rFonts w:ascii="仿宋_GB2312" w:eastAsia="仿宋_GB2312" w:hint="eastAsia"/>
          <w:color w:val="auto"/>
          <w:sz w:val="32"/>
          <w:szCs w:val="32"/>
        </w:rPr>
        <w:t>年减少</w:t>
      </w:r>
      <w:r>
        <w:rPr>
          <w:rFonts w:ascii="仿宋_GB2312" w:eastAsia="仿宋_GB2312" w:hint="eastAsia"/>
          <w:color w:val="auto"/>
          <w:sz w:val="32"/>
          <w:szCs w:val="32"/>
          <w:lang w:val="en-US" w:eastAsia="zh-CN"/>
        </w:rPr>
        <w:t>1</w:t>
      </w:r>
      <w:r>
        <w:rPr>
          <w:rFonts w:ascii="仿宋_GB2312" w:eastAsia="仿宋_GB2312" w:hint="eastAsia"/>
          <w:color w:val="auto"/>
          <w:sz w:val="32"/>
          <w:szCs w:val="32"/>
        </w:rPr>
        <w:t>万元，下降</w:t>
      </w:r>
      <w:r>
        <w:rPr>
          <w:rFonts w:ascii="仿宋_GB2312" w:eastAsia="仿宋_GB2312" w:hint="eastAsia"/>
          <w:color w:val="auto"/>
          <w:sz w:val="32"/>
          <w:szCs w:val="32"/>
          <w:lang w:val="en-US" w:eastAsia="zh-CN"/>
        </w:rPr>
        <w:t>7.7</w:t>
      </w:r>
      <w:r>
        <w:rPr>
          <w:rFonts w:ascii="仿宋_GB2312" w:eastAsia="仿宋_GB2312"/>
          <w:color w:val="auto"/>
          <w:sz w:val="32"/>
          <w:szCs w:val="32"/>
        </w:rPr>
        <w:t>%</w:t>
      </w:r>
      <w:r>
        <w:rPr>
          <w:rFonts w:ascii="仿宋_GB2312" w:eastAsia="仿宋_GB2312" w:hint="eastAsia"/>
          <w:color w:val="auto"/>
          <w:sz w:val="32"/>
          <w:szCs w:val="32"/>
        </w:rPr>
        <w:t>。主要原因是</w:t>
      </w:r>
      <w:r>
        <w:rPr>
          <w:rFonts w:ascii="仿宋_GB2312" w:eastAsia="仿宋_GB2312" w:hint="eastAsia"/>
          <w:color w:val="auto"/>
          <w:sz w:val="32"/>
          <w:szCs w:val="32"/>
          <w:lang w:val="en-US" w:eastAsia="zh-CN"/>
        </w:rPr>
        <w:t>维护费减少</w:t>
      </w:r>
      <w:r>
        <w:rPr>
          <w:rFonts w:ascii="仿宋_GB2312" w:eastAsia="仿宋_GB2312" w:hint="eastAsia"/>
          <w:color w:val="auto"/>
          <w:sz w:val="32"/>
          <w:szCs w:val="32"/>
        </w:rPr>
        <w:t>。</w:t>
      </w:r>
    </w:p>
    <w:p>
      <w:pPr>
        <w:spacing w:line="600" w:lineRule="exact"/>
        <w:ind w:firstLineChars="200" w:firstLine="640"/>
        <w:rPr>
          <w:rFonts w:ascii="仿宋_GB2312" w:eastAsia="仿宋_GB2312"/>
          <w:b/>
          <w:color w:val="auto"/>
          <w:sz w:val="32"/>
          <w:szCs w:val="32"/>
        </w:rPr>
      </w:pPr>
      <w:r>
        <w:rPr>
          <w:rFonts w:ascii="仿宋_GB2312" w:eastAsia="仿宋_GB2312" w:hint="eastAsia"/>
          <w:color w:val="auto"/>
          <w:sz w:val="32"/>
          <w:szCs w:val="32"/>
        </w:rPr>
        <w:t>其中：</w:t>
      </w:r>
      <w:r>
        <w:rPr>
          <w:rFonts w:ascii="仿宋_GB2312" w:eastAsia="仿宋_GB2312" w:hint="eastAsia"/>
          <w:b/>
          <w:color w:val="auto"/>
          <w:sz w:val="32"/>
          <w:szCs w:val="32"/>
        </w:rPr>
        <w:t>公务用车购置支出</w:t>
      </w:r>
      <w:r>
        <w:rPr>
          <w:rFonts w:ascii="仿宋_GB2312" w:eastAsia="仿宋_GB2312" w:hint="eastAsia"/>
          <w:b/>
          <w:color w:val="auto"/>
          <w:sz w:val="32"/>
          <w:szCs w:val="32"/>
          <w:lang w:val="en-US" w:eastAsia="zh-CN"/>
        </w:rPr>
        <w:t>0</w:t>
      </w:r>
      <w:r>
        <w:rPr>
          <w:rFonts w:ascii="仿宋_GB2312" w:eastAsia="仿宋_GB2312" w:hint="eastAsia"/>
          <w:color w:val="auto"/>
          <w:sz w:val="32"/>
          <w:szCs w:val="32"/>
        </w:rPr>
        <w:t>万元。全年按规定更新购置公务用车</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辆，其中：轿车</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辆、金额</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万元，越野车</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辆、金额</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万元，载客汽车</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辆、金额</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万元。截至</w:t>
      </w:r>
      <w:r>
        <w:rPr>
          <w:rFonts w:ascii="仿宋_GB2312" w:eastAsia="仿宋_GB2312"/>
          <w:color w:val="auto"/>
          <w:sz w:val="32"/>
          <w:szCs w:val="32"/>
        </w:rPr>
        <w:t>20</w:t>
      </w:r>
      <w:r>
        <w:rPr>
          <w:rFonts w:ascii="仿宋_GB2312" w:eastAsia="仿宋_GB2312" w:hint="eastAsia"/>
          <w:color w:val="auto"/>
          <w:sz w:val="32"/>
          <w:szCs w:val="32"/>
          <w:lang w:val="en-US" w:eastAsia="zh-CN"/>
        </w:rPr>
        <w:t>21</w:t>
      </w:r>
      <w:r>
        <w:rPr>
          <w:rFonts w:ascii="仿宋_GB2312" w:eastAsia="仿宋_GB2312" w:hint="eastAsia"/>
          <w:color w:val="auto"/>
          <w:sz w:val="32"/>
          <w:szCs w:val="32"/>
        </w:rPr>
        <w:t>年</w:t>
      </w:r>
      <w:r>
        <w:rPr>
          <w:rFonts w:ascii="仿宋_GB2312" w:eastAsia="仿宋_GB2312"/>
          <w:color w:val="auto"/>
          <w:sz w:val="32"/>
          <w:szCs w:val="32"/>
        </w:rPr>
        <w:t>12</w:t>
      </w:r>
      <w:r>
        <w:rPr>
          <w:rFonts w:ascii="仿宋_GB2312" w:eastAsia="仿宋_GB2312" w:hint="eastAsia"/>
          <w:color w:val="auto"/>
          <w:sz w:val="32"/>
          <w:szCs w:val="32"/>
        </w:rPr>
        <w:t>月底，单位共有公务用车</w:t>
      </w:r>
      <w:r>
        <w:rPr>
          <w:rFonts w:ascii="仿宋_GB2312" w:eastAsia="仿宋_GB2312" w:hint="eastAsia"/>
          <w:color w:val="auto"/>
          <w:sz w:val="32"/>
          <w:szCs w:val="32"/>
          <w:lang w:val="en-US" w:eastAsia="zh-CN"/>
        </w:rPr>
        <w:t>2</w:t>
      </w:r>
      <w:r>
        <w:rPr>
          <w:rFonts w:ascii="仿宋_GB2312" w:eastAsia="仿宋_GB2312" w:hint="eastAsia"/>
          <w:color w:val="auto"/>
          <w:sz w:val="32"/>
          <w:szCs w:val="32"/>
        </w:rPr>
        <w:t>辆，其中：轿车</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辆、越野车</w:t>
      </w:r>
      <w:r>
        <w:rPr>
          <w:rFonts w:ascii="仿宋_GB2312" w:eastAsia="仿宋_GB2312" w:hint="eastAsia"/>
          <w:color w:val="auto"/>
          <w:sz w:val="32"/>
          <w:szCs w:val="32"/>
          <w:lang w:val="en-US" w:eastAsia="zh-CN"/>
        </w:rPr>
        <w:t>2</w:t>
      </w:r>
      <w:r>
        <w:rPr>
          <w:rFonts w:ascii="仿宋_GB2312" w:eastAsia="仿宋_GB2312" w:hint="eastAsia"/>
          <w:color w:val="auto"/>
          <w:sz w:val="32"/>
          <w:szCs w:val="32"/>
        </w:rPr>
        <w:t>辆、载客汽车</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w:t>
      </w:r>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_GB2312" w:hint="eastAsia"/>
          <w:color w:val="auto"/>
          <w:sz w:val="32"/>
          <w:szCs w:val="32"/>
        </w:rPr>
      </w:pPr>
      <w:r>
        <w:rPr>
          <w:rFonts w:ascii="仿宋_GB2312" w:eastAsia="仿宋_GB2312" w:hint="eastAsia"/>
          <w:b/>
          <w:color w:val="auto"/>
          <w:sz w:val="32"/>
          <w:szCs w:val="32"/>
        </w:rPr>
        <w:t>公务用车运行维护费支出</w:t>
      </w:r>
      <w:r>
        <w:rPr>
          <w:rFonts w:ascii="仿宋_GB2312" w:eastAsia="仿宋_GB2312" w:hint="eastAsia"/>
          <w:color w:val="auto"/>
          <w:sz w:val="32"/>
          <w:szCs w:val="32"/>
          <w:lang w:val="en-US" w:eastAsia="zh-CN"/>
        </w:rPr>
        <w:t>12</w:t>
      </w:r>
      <w:r>
        <w:rPr>
          <w:rFonts w:ascii="仿宋_GB2312" w:eastAsia="仿宋_GB2312" w:hint="eastAsia"/>
          <w:color w:val="auto"/>
          <w:sz w:val="32"/>
          <w:szCs w:val="32"/>
        </w:rPr>
        <w:t>万元。要用于</w:t>
      </w:r>
      <w:r>
        <w:rPr>
          <w:rFonts w:ascii="仿宋_GB2312" w:eastAsia="仿宋_GB2312" w:hint="eastAsia"/>
          <w:color w:val="auto"/>
          <w:sz w:val="32"/>
          <w:szCs w:val="32"/>
          <w:lang w:eastAsia="zh-CN"/>
        </w:rPr>
        <w:t>乡村振兴</w:t>
      </w:r>
      <w:r>
        <w:rPr>
          <w:rFonts w:ascii="仿宋_GB2312" w:eastAsia="仿宋_GB2312" w:hint="eastAsia"/>
          <w:color w:val="auto"/>
          <w:sz w:val="32"/>
          <w:szCs w:val="32"/>
        </w:rPr>
        <w:t>、</w:t>
      </w:r>
      <w:r>
        <w:rPr>
          <w:rFonts w:ascii="仿宋_GB2312" w:eastAsia="仿宋_GB2312" w:hint="eastAsia"/>
          <w:color w:val="auto"/>
          <w:sz w:val="32"/>
          <w:szCs w:val="32"/>
          <w:lang w:eastAsia="zh-CN"/>
        </w:rPr>
        <w:t>农业农村工作、安全管理检查</w:t>
      </w:r>
      <w:r>
        <w:rPr>
          <w:rFonts w:ascii="仿宋_GB2312" w:eastAsia="仿宋_GB2312" w:hint="eastAsia"/>
          <w:color w:val="auto"/>
          <w:sz w:val="32"/>
          <w:szCs w:val="32"/>
        </w:rPr>
        <w:t>、</w:t>
      </w:r>
      <w:r>
        <w:rPr>
          <w:rFonts w:ascii="仿宋_GB2312" w:eastAsia="仿宋_GB2312" w:hint="eastAsia"/>
          <w:color w:val="auto"/>
          <w:sz w:val="32"/>
          <w:szCs w:val="32"/>
          <w:lang w:eastAsia="zh-CN"/>
        </w:rPr>
        <w:t>疫情防控</w:t>
      </w:r>
      <w:r>
        <w:rPr>
          <w:rFonts w:ascii="仿宋_GB2312" w:eastAsia="仿宋_GB2312" w:hint="eastAsia"/>
          <w:color w:val="auto"/>
          <w:sz w:val="32"/>
          <w:szCs w:val="32"/>
        </w:rPr>
        <w:t>及其他日常性工作等所需的公务用车燃料费、维修费、过路过桥费、保险费等支出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hint="eastAsia"/>
          <w:color w:val="auto"/>
          <w:sz w:val="32"/>
          <w:szCs w:val="32"/>
        </w:rPr>
        <w:t>。</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ascii="仿宋_GB2312" w:eastAsia="仿宋_GB2312" w:hint="eastAsia"/>
          <w:b/>
          <w:color w:val="auto"/>
          <w:sz w:val="32"/>
          <w:szCs w:val="32"/>
        </w:rPr>
        <w:t>公务接待费支出</w:t>
      </w:r>
      <w:r>
        <w:rPr>
          <w:rFonts w:ascii="仿宋_GB2312" w:eastAsia="仿宋_GB2312" w:hint="eastAsia"/>
          <w:color w:val="auto"/>
          <w:sz w:val="32"/>
          <w:szCs w:val="32"/>
          <w:lang w:val="en-US" w:eastAsia="zh-CN"/>
        </w:rPr>
        <w:t>7.16</w:t>
      </w:r>
      <w:r>
        <w:rPr>
          <w:rFonts w:ascii="仿宋_GB2312" w:eastAsia="仿宋_GB2312" w:hint="eastAsia"/>
          <w:color w:val="auto"/>
          <w:sz w:val="32"/>
          <w:szCs w:val="32"/>
        </w:rPr>
        <w:t>万元，</w:t>
      </w:r>
      <w:r>
        <w:rPr>
          <w:rStyle w:val="27"/>
          <w:rFonts w:ascii="仿宋" w:eastAsia="仿宋" w:hAnsi="仿宋" w:hint="eastAsia"/>
          <w:b w:val="0"/>
          <w:bCs/>
          <w:color w:val="auto"/>
          <w:sz w:val="32"/>
          <w:szCs w:val="32"/>
        </w:rPr>
        <w:t>完成预算</w:t>
      </w:r>
      <w:r>
        <w:rPr>
          <w:rStyle w:val="27"/>
          <w:rFonts w:ascii="仿宋" w:eastAsia="仿宋" w:hAnsi="仿宋" w:hint="eastAsia"/>
          <w:b w:val="0"/>
          <w:bCs/>
          <w:color w:val="auto"/>
          <w:sz w:val="32"/>
          <w:szCs w:val="32"/>
          <w:lang w:val="en-US" w:eastAsia="zh-CN"/>
        </w:rPr>
        <w:t>100</w:t>
      </w:r>
      <w:r>
        <w:rPr>
          <w:rStyle w:val="27"/>
          <w:rFonts w:ascii="仿宋" w:eastAsia="仿宋" w:hAnsi="仿宋"/>
          <w:b w:val="0"/>
          <w:bCs/>
          <w:color w:val="auto"/>
          <w:sz w:val="32"/>
          <w:szCs w:val="32"/>
        </w:rPr>
        <w:t>%</w:t>
      </w:r>
      <w:r>
        <w:rPr>
          <w:rStyle w:val="27"/>
          <w:rFonts w:ascii="仿宋" w:eastAsia="仿宋" w:hAnsi="仿宋" w:hint="eastAsia"/>
          <w:b w:val="0"/>
          <w:bCs/>
          <w:color w:val="auto"/>
          <w:sz w:val="32"/>
          <w:szCs w:val="32"/>
        </w:rPr>
        <w:t>。</w:t>
      </w:r>
      <w:r>
        <w:rPr>
          <w:rFonts w:ascii="仿宋_GB2312" w:eastAsia="仿宋_GB2312" w:hint="eastAsia"/>
          <w:color w:val="auto"/>
          <w:sz w:val="32"/>
          <w:szCs w:val="32"/>
        </w:rPr>
        <w:t>公务接待费支出决算比</w:t>
      </w:r>
      <w:r>
        <w:rPr>
          <w:rFonts w:ascii="仿宋_GB2312" w:eastAsia="仿宋_GB2312"/>
          <w:color w:val="auto"/>
          <w:sz w:val="32"/>
          <w:szCs w:val="32"/>
        </w:rPr>
        <w:t>20</w:t>
      </w:r>
      <w:r>
        <w:rPr>
          <w:rFonts w:ascii="仿宋_GB2312" w:eastAsia="仿宋_GB2312" w:hint="eastAsia"/>
          <w:color w:val="auto"/>
          <w:sz w:val="32"/>
          <w:szCs w:val="32"/>
          <w:lang w:val="en-US" w:eastAsia="zh-CN"/>
        </w:rPr>
        <w:t>20</w:t>
      </w:r>
      <w:r>
        <w:rPr>
          <w:rFonts w:ascii="仿宋_GB2312" w:eastAsia="仿宋_GB2312" w:hint="eastAsia"/>
          <w:color w:val="auto"/>
          <w:sz w:val="32"/>
          <w:szCs w:val="32"/>
        </w:rPr>
        <w:t>年增加</w:t>
      </w:r>
      <w:r>
        <w:rPr>
          <w:rFonts w:ascii="仿宋_GB2312" w:eastAsia="仿宋_GB2312" w:hint="eastAsia"/>
          <w:color w:val="auto"/>
          <w:sz w:val="32"/>
          <w:szCs w:val="32"/>
          <w:lang w:val="en-US" w:eastAsia="zh-CN"/>
        </w:rPr>
        <w:t>0.33</w:t>
      </w:r>
      <w:r>
        <w:rPr>
          <w:rFonts w:ascii="仿宋_GB2312" w:eastAsia="仿宋_GB2312" w:hint="eastAsia"/>
          <w:color w:val="auto"/>
          <w:sz w:val="32"/>
          <w:szCs w:val="32"/>
        </w:rPr>
        <w:t>万元，增长</w:t>
      </w:r>
      <w:r>
        <w:rPr>
          <w:rFonts w:ascii="仿宋_GB2312" w:eastAsia="仿宋_GB2312" w:hint="eastAsia"/>
          <w:color w:val="auto"/>
          <w:sz w:val="32"/>
          <w:szCs w:val="32"/>
          <w:lang w:val="en-US" w:eastAsia="zh-CN"/>
        </w:rPr>
        <w:t>4.8</w:t>
      </w:r>
      <w:r>
        <w:rPr>
          <w:rFonts w:ascii="仿宋_GB2312" w:eastAsia="仿宋_GB2312"/>
          <w:color w:val="auto"/>
          <w:sz w:val="32"/>
          <w:szCs w:val="32"/>
        </w:rPr>
        <w:t>%</w:t>
      </w:r>
      <w:r>
        <w:rPr>
          <w:rFonts w:ascii="仿宋_GB2312" w:eastAsia="仿宋_GB2312" w:hint="eastAsia"/>
          <w:color w:val="auto"/>
          <w:sz w:val="32"/>
          <w:szCs w:val="32"/>
        </w:rPr>
        <w:t>。主要用于执行公务、开展业务活动开支的交通费、住宿费、用餐费等。其中：</w:t>
      </w:r>
    </w:p>
    <w:p>
      <w:pPr>
        <w:spacing w:line="600" w:lineRule="exact"/>
        <w:ind w:firstLine="640"/>
        <w:rPr>
          <w:rFonts w:ascii="仿宋_GB2312" w:eastAsia="仿宋_GB2312" w:hint="eastAsia"/>
          <w:color w:val="auto"/>
          <w:sz w:val="32"/>
          <w:szCs w:val="32"/>
        </w:rPr>
      </w:pPr>
      <w:r>
        <w:rPr>
          <w:rFonts w:ascii="仿宋" w:eastAsia="仿宋" w:hAnsi="仿宋" w:hint="eastAsia"/>
          <w:b/>
          <w:color w:val="auto"/>
          <w:sz w:val="32"/>
          <w:szCs w:val="32"/>
        </w:rPr>
        <w:t>国内公务接待支出</w:t>
      </w:r>
      <w:r>
        <w:rPr>
          <w:rFonts w:ascii="仿宋" w:eastAsia="仿宋" w:hAnsi="仿宋" w:hint="eastAsia"/>
          <w:color w:val="auto"/>
          <w:sz w:val="32"/>
          <w:szCs w:val="32"/>
          <w:lang w:val="en-US" w:eastAsia="zh-CN"/>
        </w:rPr>
        <w:t>7.16</w:t>
      </w:r>
      <w:r>
        <w:rPr>
          <w:rFonts w:ascii="仿宋_GB2312" w:eastAsia="仿宋_GB2312" w:hint="eastAsia"/>
          <w:color w:val="auto"/>
          <w:sz w:val="32"/>
          <w:szCs w:val="32"/>
        </w:rPr>
        <w:t>万元，主要用于</w:t>
      </w:r>
      <w:r>
        <w:rPr>
          <w:rFonts w:ascii="仿宋_GB2312" w:eastAsia="仿宋_GB2312" w:hint="eastAsia"/>
          <w:color w:val="auto"/>
          <w:sz w:val="32"/>
          <w:szCs w:val="32"/>
          <w:lang w:eastAsia="zh-CN"/>
        </w:rPr>
        <w:t>乡村振兴</w:t>
      </w:r>
      <w:r>
        <w:rPr>
          <w:rFonts w:ascii="仿宋_GB2312" w:eastAsia="仿宋_GB2312" w:hint="eastAsia"/>
          <w:color w:val="auto"/>
          <w:sz w:val="32"/>
          <w:szCs w:val="32"/>
          <w:lang w:val="en-US" w:eastAsia="zh-CN"/>
        </w:rPr>
        <w:t>20批次，105人次；</w:t>
      </w:r>
      <w:r>
        <w:rPr>
          <w:rFonts w:ascii="仿宋_GB2312" w:eastAsia="仿宋_GB2312" w:hint="eastAsia"/>
          <w:color w:val="auto"/>
          <w:sz w:val="32"/>
          <w:szCs w:val="32"/>
          <w:lang w:eastAsia="zh-CN"/>
        </w:rPr>
        <w:t>农业农村工作</w:t>
      </w:r>
      <w:r>
        <w:rPr>
          <w:rFonts w:ascii="仿宋_GB2312" w:eastAsia="仿宋_GB2312" w:hint="eastAsia"/>
          <w:color w:val="auto"/>
          <w:sz w:val="32"/>
          <w:szCs w:val="32"/>
          <w:lang w:val="en-US" w:eastAsia="zh-CN"/>
        </w:rPr>
        <w:t>23</w:t>
      </w:r>
      <w:r>
        <w:rPr>
          <w:rFonts w:ascii="仿宋_GB2312" w:eastAsia="仿宋_GB2312" w:hint="eastAsia"/>
          <w:color w:val="auto"/>
          <w:sz w:val="32"/>
          <w:szCs w:val="32"/>
        </w:rPr>
        <w:t>批次，</w:t>
      </w:r>
      <w:r>
        <w:rPr>
          <w:rFonts w:ascii="仿宋_GB2312" w:eastAsia="仿宋_GB2312" w:hint="eastAsia"/>
          <w:color w:val="auto"/>
          <w:sz w:val="32"/>
          <w:szCs w:val="32"/>
          <w:lang w:val="en-US" w:eastAsia="zh-CN"/>
        </w:rPr>
        <w:t>275</w:t>
      </w:r>
      <w:r>
        <w:rPr>
          <w:rFonts w:ascii="仿宋_GB2312" w:eastAsia="仿宋_GB2312" w:hint="eastAsia"/>
          <w:color w:val="auto"/>
          <w:sz w:val="32"/>
          <w:szCs w:val="32"/>
        </w:rPr>
        <w:t>人</w:t>
      </w:r>
      <w:r>
        <w:rPr>
          <w:rFonts w:ascii="仿宋_GB2312" w:eastAsia="仿宋_GB2312" w:hint="eastAsia"/>
          <w:color w:val="auto"/>
          <w:sz w:val="32"/>
          <w:szCs w:val="32"/>
          <w:lang w:eastAsia="zh-CN"/>
        </w:rPr>
        <w:t>次；安全管理检查</w:t>
      </w:r>
      <w:r>
        <w:rPr>
          <w:rFonts w:ascii="仿宋_GB2312" w:eastAsia="仿宋_GB2312" w:hint="eastAsia"/>
          <w:color w:val="auto"/>
          <w:sz w:val="32"/>
          <w:szCs w:val="32"/>
          <w:lang w:val="en-US" w:eastAsia="zh-CN"/>
        </w:rPr>
        <w:t>19</w:t>
      </w:r>
      <w:r>
        <w:rPr>
          <w:rFonts w:ascii="仿宋_GB2312" w:eastAsia="仿宋_GB2312" w:hint="eastAsia"/>
          <w:color w:val="auto"/>
          <w:sz w:val="32"/>
          <w:szCs w:val="32"/>
        </w:rPr>
        <w:t>批次，</w:t>
      </w:r>
      <w:r>
        <w:rPr>
          <w:rFonts w:ascii="仿宋_GB2312" w:eastAsia="仿宋_GB2312" w:hint="eastAsia"/>
          <w:color w:val="auto"/>
          <w:sz w:val="32"/>
          <w:szCs w:val="32"/>
          <w:lang w:val="en-US" w:eastAsia="zh-CN"/>
        </w:rPr>
        <w:t>160</w:t>
      </w:r>
      <w:r>
        <w:rPr>
          <w:rFonts w:ascii="仿宋_GB2312" w:eastAsia="仿宋_GB2312" w:hint="eastAsia"/>
          <w:color w:val="auto"/>
          <w:sz w:val="32"/>
          <w:szCs w:val="32"/>
        </w:rPr>
        <w:t>人</w:t>
      </w:r>
      <w:r>
        <w:rPr>
          <w:rFonts w:ascii="仿宋_GB2312" w:eastAsia="仿宋_GB2312" w:hint="eastAsia"/>
          <w:color w:val="auto"/>
          <w:sz w:val="32"/>
          <w:szCs w:val="32"/>
          <w:lang w:eastAsia="zh-CN"/>
        </w:rPr>
        <w:t>次；疫情防控及</w:t>
      </w:r>
      <w:r>
        <w:rPr>
          <w:rFonts w:ascii="仿宋_GB2312" w:eastAsia="仿宋_GB2312" w:hint="eastAsia"/>
          <w:color w:val="auto"/>
          <w:sz w:val="32"/>
          <w:szCs w:val="32"/>
        </w:rPr>
        <w:t>其他日常</w:t>
      </w:r>
      <w:r>
        <w:rPr>
          <w:rFonts w:ascii="仿宋_GB2312" w:eastAsia="仿宋_GB2312" w:hint="eastAsia"/>
          <w:color w:val="auto"/>
          <w:sz w:val="32"/>
          <w:szCs w:val="32"/>
          <w:lang w:eastAsia="zh-CN"/>
        </w:rPr>
        <w:t>工作</w:t>
      </w:r>
      <w:r>
        <w:rPr>
          <w:rFonts w:ascii="仿宋_GB2312" w:eastAsia="仿宋_GB2312" w:hint="eastAsia"/>
          <w:color w:val="auto"/>
          <w:sz w:val="32"/>
          <w:szCs w:val="32"/>
          <w:lang w:val="en-US" w:eastAsia="zh-CN"/>
        </w:rPr>
        <w:t>42</w:t>
      </w:r>
      <w:r>
        <w:rPr>
          <w:rFonts w:ascii="仿宋_GB2312" w:eastAsia="仿宋_GB2312" w:hint="eastAsia"/>
          <w:color w:val="auto"/>
          <w:sz w:val="32"/>
          <w:szCs w:val="32"/>
        </w:rPr>
        <w:t>批次，</w:t>
      </w:r>
      <w:r>
        <w:rPr>
          <w:rFonts w:ascii="仿宋_GB2312" w:eastAsia="仿宋_GB2312" w:hint="eastAsia"/>
          <w:color w:val="auto"/>
          <w:sz w:val="32"/>
          <w:szCs w:val="32"/>
          <w:lang w:val="en-US" w:eastAsia="zh-CN"/>
        </w:rPr>
        <w:t>353</w:t>
      </w:r>
      <w:r>
        <w:rPr>
          <w:rFonts w:ascii="仿宋_GB2312" w:eastAsia="仿宋_GB2312" w:hint="eastAsia"/>
          <w:color w:val="auto"/>
          <w:sz w:val="32"/>
          <w:szCs w:val="32"/>
        </w:rPr>
        <w:t>人</w:t>
      </w:r>
      <w:r>
        <w:rPr>
          <w:rFonts w:ascii="仿宋_GB2312" w:eastAsia="仿宋_GB2312" w:hint="eastAsia"/>
          <w:color w:val="auto"/>
          <w:sz w:val="32"/>
          <w:szCs w:val="32"/>
          <w:lang w:eastAsia="zh-CN"/>
        </w:rPr>
        <w:t>次</w:t>
      </w:r>
      <w:r>
        <w:rPr>
          <w:rFonts w:ascii="仿宋_GB2312" w:eastAsia="仿宋_GB2312" w:hint="eastAsia"/>
          <w:color w:val="auto"/>
          <w:sz w:val="32"/>
          <w:szCs w:val="32"/>
        </w:rPr>
        <w:t>。</w:t>
      </w:r>
    </w:p>
    <w:p>
      <w:pPr>
        <w:spacing w:line="600" w:lineRule="exact"/>
        <w:ind w:firstLineChars="200" w:firstLine="640"/>
        <w:rPr>
          <w:rFonts w:ascii="黑体" w:eastAsia="黑体"/>
          <w:color w:val="auto"/>
          <w:sz w:val="32"/>
          <w:szCs w:val="32"/>
        </w:rPr>
      </w:pPr>
      <w:r>
        <w:rPr>
          <w:rFonts w:ascii="仿宋" w:eastAsia="仿宋" w:hAnsi="仿宋" w:hint="eastAsia"/>
          <w:b/>
          <w:color w:val="auto"/>
          <w:sz w:val="32"/>
          <w:szCs w:val="32"/>
        </w:rPr>
        <w:t>外事接待支出</w:t>
      </w:r>
      <w:r>
        <w:rPr>
          <w:rFonts w:ascii="仿宋" w:eastAsia="仿宋" w:hAnsi="仿宋" w:hint="eastAsia"/>
          <w:b/>
          <w:color w:val="auto"/>
          <w:sz w:val="32"/>
          <w:szCs w:val="32"/>
          <w:lang w:val="en-US" w:eastAsia="zh-CN"/>
        </w:rPr>
        <w:t>0</w:t>
      </w:r>
      <w:r>
        <w:rPr>
          <w:rFonts w:ascii="仿宋_GB2312" w:eastAsia="仿宋_GB2312" w:hint="eastAsia"/>
          <w:color w:val="auto"/>
          <w:sz w:val="32"/>
          <w:szCs w:val="32"/>
        </w:rPr>
        <w:t>万元，外事接待</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批次，</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人，共计支出</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w:t>
      </w:r>
      <w:bookmarkStart w:id="47" w:name="_Toc15377218"/>
      <w:bookmarkStart w:id="48" w:name="_Toc15396610"/>
    </w:p>
    <w:p>
      <w:pPr>
        <w:spacing w:line="600" w:lineRule="exact"/>
        <w:ind w:firstLine="640"/>
        <w:outlineLvl w:val="1"/>
        <w:rPr>
          <w:rStyle w:val="2Char"/>
          <w:rFonts w:ascii="黑体" w:eastAsia="黑体" w:hAnsi="黑体"/>
          <w:color w:val="auto"/>
        </w:rPr>
      </w:pPr>
      <w:r>
        <w:rPr>
          <w:rFonts w:ascii="黑体" w:eastAsia="黑体" w:hint="eastAsia"/>
          <w:color w:val="auto"/>
          <w:sz w:val="32"/>
          <w:szCs w:val="32"/>
        </w:rPr>
        <w:t>八、</w:t>
      </w:r>
      <w:r>
        <w:rPr>
          <w:rStyle w:val="2Char"/>
          <w:rFonts w:ascii="黑体" w:eastAsia="黑体" w:hAnsi="黑体" w:hint="eastAsia"/>
          <w:b w:val="0"/>
          <w:color w:val="auto"/>
        </w:rPr>
        <w:t>政府性基金预算支出决算情况说明</w:t>
      </w:r>
      <w:bookmarkEnd w:id="47"/>
      <w:bookmarkEnd w:id="48"/>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ascii="仿宋_GB2312" w:eastAsia="仿宋_GB2312" w:hint="eastAsia"/>
          <w:color w:val="auto"/>
          <w:sz w:val="32"/>
          <w:szCs w:val="32"/>
          <w:lang w:val="en-US" w:eastAsia="zh-CN"/>
        </w:rPr>
        <w:t>21</w:t>
      </w:r>
      <w:r>
        <w:rPr>
          <w:rFonts w:ascii="仿宋_GB2312" w:eastAsia="仿宋_GB2312" w:hint="eastAsia"/>
          <w:color w:val="auto"/>
          <w:sz w:val="32"/>
          <w:szCs w:val="32"/>
        </w:rPr>
        <w:t>年政府性基金预算</w:t>
      </w:r>
      <w:r>
        <w:rPr>
          <w:rFonts w:ascii="仿宋_GB2312" w:eastAsia="仿宋_GB2312" w:hint="eastAsia"/>
          <w:color w:val="auto"/>
          <w:sz w:val="32"/>
          <w:szCs w:val="32"/>
          <w:lang w:eastAsia="zh-CN"/>
        </w:rPr>
        <w:t>财政</w:t>
      </w:r>
      <w:r>
        <w:rPr>
          <w:rFonts w:ascii="仿宋_GB2312" w:eastAsia="仿宋_GB2312" w:hint="eastAsia"/>
          <w:color w:val="auto"/>
          <w:sz w:val="32"/>
          <w:szCs w:val="32"/>
        </w:rPr>
        <w:t>拨款支出</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w:t>
      </w:r>
    </w:p>
    <w:p>
      <w:pPr>
        <w:numPr>
          <w:ilvl w:val="0"/>
          <w:numId w:val="2"/>
        </w:numPr>
        <w:spacing w:line="600" w:lineRule="exact"/>
        <w:ind w:left="0" w:firstLine="640"/>
        <w:outlineLvl w:val="1"/>
        <w:rPr>
          <w:rStyle w:val="2Char"/>
          <w:rFonts w:ascii="黑体" w:eastAsia="黑体" w:hAnsi="黑体"/>
          <w:b w:val="0"/>
          <w:color w:val="auto"/>
        </w:rPr>
      </w:pPr>
      <w:bookmarkStart w:id="49" w:name="_Toc15377219"/>
      <w:bookmarkStart w:id="50" w:name="_Toc15396611"/>
      <w:r>
        <w:rPr>
          <w:rStyle w:val="2Char"/>
          <w:rFonts w:ascii="黑体" w:eastAsia="黑体" w:hAnsi="黑体" w:hint="eastAsia"/>
          <w:b w:val="0"/>
          <w:color w:val="auto"/>
        </w:rPr>
        <w:t>国有资本经营预算支出决算情况说明</w:t>
      </w:r>
      <w:bookmarkEnd w:id="49"/>
      <w:bookmarkEnd w:id="50"/>
    </w:p>
    <w:p>
      <w:pPr>
        <w:spacing w:line="600" w:lineRule="exact"/>
        <w:ind w:firstLine="640"/>
        <w:rPr>
          <w:rFonts w:ascii="方正小标宋简体" w:eastAsia="方正小标宋简体" w:cs="方正小标宋简体" w:hAnsi="方正小标宋简体"/>
          <w:color w:val="auto"/>
          <w:sz w:val="44"/>
          <w:szCs w:val="44"/>
        </w:rPr>
      </w:pPr>
      <w:r>
        <w:rPr>
          <w:rFonts w:ascii="仿宋_GB2312" w:eastAsia="仿宋_GB2312"/>
          <w:color w:val="auto"/>
          <w:sz w:val="32"/>
          <w:szCs w:val="32"/>
        </w:rPr>
        <w:t>20</w:t>
      </w:r>
      <w:r>
        <w:rPr>
          <w:rFonts w:ascii="仿宋_GB2312" w:eastAsia="仿宋_GB2312" w:hint="eastAsia"/>
          <w:color w:val="auto"/>
          <w:sz w:val="32"/>
          <w:szCs w:val="32"/>
          <w:lang w:val="en-US" w:eastAsia="zh-CN"/>
        </w:rPr>
        <w:t>21</w:t>
      </w:r>
      <w:r>
        <w:rPr>
          <w:rFonts w:ascii="仿宋_GB2312" w:eastAsia="仿宋_GB2312" w:hint="eastAsia"/>
          <w:color w:val="auto"/>
          <w:sz w:val="32"/>
          <w:szCs w:val="32"/>
        </w:rPr>
        <w:t>年国有资本经营预算</w:t>
      </w:r>
      <w:r>
        <w:rPr>
          <w:rFonts w:ascii="仿宋_GB2312" w:eastAsia="仿宋_GB2312" w:hint="eastAsia"/>
          <w:color w:val="auto"/>
          <w:sz w:val="32"/>
          <w:szCs w:val="32"/>
          <w:lang w:eastAsia="zh-CN"/>
        </w:rPr>
        <w:t>财政</w:t>
      </w:r>
      <w:r>
        <w:rPr>
          <w:rFonts w:ascii="仿宋_GB2312" w:eastAsia="仿宋_GB2312" w:hint="eastAsia"/>
          <w:color w:val="auto"/>
          <w:sz w:val="32"/>
          <w:szCs w:val="32"/>
        </w:rPr>
        <w:t>拨款支出</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w:t>
      </w:r>
    </w:p>
    <w:p>
      <w:pPr>
        <w:numPr>
          <w:ilvl w:val="0"/>
          <w:numId w:val="2"/>
        </w:numPr>
        <w:spacing w:line="600" w:lineRule="exact"/>
        <w:ind w:left="0" w:firstLine="640"/>
        <w:outlineLvl w:val="1"/>
        <w:rPr>
          <w:rStyle w:val="2Char"/>
          <w:rFonts w:ascii="黑体" w:eastAsia="黑体" w:hAnsi="黑体" w:hint="eastAsia"/>
          <w:b w:val="0"/>
          <w:color w:val="auto"/>
        </w:rPr>
      </w:pPr>
      <w:bookmarkStart w:id="51" w:name="_Toc15396612"/>
      <w:bookmarkStart w:id="52" w:name="_Toc15377221"/>
      <w:r>
        <w:rPr>
          <w:rStyle w:val="2Char"/>
          <w:rFonts w:ascii="黑体" w:eastAsia="黑体" w:hAnsi="黑体" w:hint="eastAsia"/>
          <w:b w:val="0"/>
          <w:color w:val="auto"/>
        </w:rPr>
        <w:t>其他重要事项的情况说明</w:t>
      </w:r>
      <w:bookmarkEnd w:id="51"/>
      <w:bookmarkEnd w:id="52"/>
    </w:p>
    <w:p>
      <w:pPr>
        <w:spacing w:line="600" w:lineRule="exact"/>
        <w:ind w:firstLineChars="200" w:firstLine="640"/>
        <w:outlineLvl w:val="2"/>
        <w:rPr>
          <w:rFonts w:ascii="仿宋" w:eastAsia="仿宋" w:hAnsi="仿宋"/>
          <w:color w:val="auto"/>
          <w:sz w:val="32"/>
          <w:szCs w:val="32"/>
        </w:rPr>
      </w:pPr>
      <w:bookmarkStart w:id="53" w:name="_Toc15377222"/>
      <w:r>
        <w:rPr>
          <w:rFonts w:ascii="仿宋" w:eastAsia="仿宋" w:hAnsi="仿宋" w:hint="eastAsia"/>
          <w:b/>
          <w:color w:val="auto"/>
          <w:sz w:val="32"/>
          <w:szCs w:val="32"/>
        </w:rPr>
        <w:t>（一）机关运行经费支出情况</w:t>
      </w:r>
      <w:bookmarkEnd w:id="53"/>
    </w:p>
    <w:p>
      <w:pPr>
        <w:spacing w:line="600" w:lineRule="exact"/>
        <w:ind w:firstLineChars="200" w:firstLine="640"/>
        <w:rPr>
          <w:rFonts w:ascii="仿宋_GB2312" w:eastAsia="仿宋_GB2312"/>
          <w:color w:val="auto"/>
          <w:sz w:val="32"/>
          <w:szCs w:val="32"/>
          <w:lang w:val="en-US" w:eastAsia="zh-CN"/>
        </w:rPr>
      </w:pPr>
      <w:r>
        <w:rPr>
          <w:rFonts w:ascii="仿宋_GB2312" w:eastAsia="仿宋_GB2312"/>
          <w:color w:val="auto"/>
          <w:sz w:val="32"/>
          <w:szCs w:val="32"/>
        </w:rPr>
        <w:t>20</w:t>
      </w:r>
      <w:r>
        <w:rPr>
          <w:rFonts w:ascii="仿宋_GB2312" w:eastAsia="仿宋_GB2312" w:hint="eastAsia"/>
          <w:color w:val="auto"/>
          <w:sz w:val="32"/>
          <w:szCs w:val="32"/>
          <w:lang w:val="en-US" w:eastAsia="zh-CN"/>
        </w:rPr>
        <w:t>21</w:t>
      </w:r>
      <w:r>
        <w:rPr>
          <w:rFonts w:ascii="仿宋_GB2312" w:eastAsia="仿宋_GB2312" w:hint="eastAsia"/>
          <w:color w:val="auto"/>
          <w:sz w:val="32"/>
          <w:szCs w:val="32"/>
        </w:rPr>
        <w:t>年，</w:t>
      </w:r>
      <w:r>
        <w:rPr>
          <w:rFonts w:ascii="仿宋_GB2312" w:eastAsia="仿宋_GB2312" w:hint="eastAsia"/>
          <w:color w:val="auto"/>
          <w:sz w:val="32"/>
          <w:szCs w:val="32"/>
          <w:lang w:val="en-US" w:eastAsia="zh-CN"/>
        </w:rPr>
        <w:t>荣山镇人民政府</w:t>
      </w:r>
      <w:r>
        <w:rPr>
          <w:rFonts w:ascii="仿宋_GB2312" w:eastAsia="仿宋_GB2312" w:hint="eastAsia"/>
          <w:color w:val="auto"/>
          <w:sz w:val="32"/>
          <w:szCs w:val="32"/>
        </w:rPr>
        <w:t>机关运行经费支出</w:t>
      </w:r>
      <w:r>
        <w:rPr>
          <w:rFonts w:ascii="仿宋_GB2312" w:eastAsia="仿宋_GB2312" w:hint="eastAsia"/>
          <w:color w:val="auto"/>
          <w:sz w:val="32"/>
          <w:szCs w:val="32"/>
          <w:lang w:val="en-US" w:eastAsia="zh-CN"/>
        </w:rPr>
        <w:t>353.91</w:t>
      </w:r>
      <w:r>
        <w:rPr>
          <w:rFonts w:ascii="仿宋_GB2312" w:eastAsia="仿宋_GB2312" w:hint="eastAsia"/>
          <w:color w:val="auto"/>
          <w:sz w:val="32"/>
          <w:szCs w:val="32"/>
        </w:rPr>
        <w:t>万元，比</w:t>
      </w:r>
      <w:r>
        <w:rPr>
          <w:rFonts w:ascii="仿宋_GB2312" w:eastAsia="仿宋_GB2312"/>
          <w:color w:val="auto"/>
          <w:sz w:val="32"/>
          <w:szCs w:val="32"/>
        </w:rPr>
        <w:t>20</w:t>
      </w:r>
      <w:r>
        <w:rPr>
          <w:rFonts w:ascii="仿宋_GB2312" w:eastAsia="仿宋_GB2312" w:hint="eastAsia"/>
          <w:color w:val="auto"/>
          <w:sz w:val="32"/>
          <w:szCs w:val="32"/>
          <w:lang w:val="en-US" w:eastAsia="zh-CN"/>
        </w:rPr>
        <w:t>20</w:t>
      </w:r>
      <w:r>
        <w:rPr>
          <w:rFonts w:ascii="仿宋_GB2312" w:eastAsia="仿宋_GB2312" w:hint="eastAsia"/>
          <w:color w:val="auto"/>
          <w:sz w:val="32"/>
          <w:szCs w:val="32"/>
        </w:rPr>
        <w:t>年增加</w:t>
      </w:r>
      <w:r>
        <w:rPr>
          <w:rFonts w:ascii="仿宋_GB2312" w:eastAsia="仿宋_GB2312" w:hint="eastAsia"/>
          <w:color w:val="auto"/>
          <w:sz w:val="32"/>
          <w:szCs w:val="32"/>
          <w:lang w:val="en-US" w:eastAsia="zh-CN"/>
        </w:rPr>
        <w:t>61.49</w:t>
      </w:r>
      <w:r>
        <w:rPr>
          <w:rFonts w:ascii="仿宋_GB2312" w:eastAsia="仿宋_GB2312" w:hint="eastAsia"/>
          <w:color w:val="auto"/>
          <w:sz w:val="32"/>
          <w:szCs w:val="32"/>
        </w:rPr>
        <w:t>万元，增长</w:t>
      </w:r>
      <w:r>
        <w:rPr>
          <w:rFonts w:ascii="仿宋_GB2312" w:eastAsia="仿宋_GB2312" w:hint="eastAsia"/>
          <w:color w:val="auto"/>
          <w:sz w:val="32"/>
          <w:szCs w:val="32"/>
          <w:lang w:val="en-US" w:eastAsia="zh-CN"/>
        </w:rPr>
        <w:t>21</w:t>
      </w:r>
      <w:r>
        <w:rPr>
          <w:rFonts w:ascii="仿宋_GB2312" w:eastAsia="仿宋_GB2312"/>
          <w:color w:val="auto"/>
          <w:sz w:val="32"/>
          <w:szCs w:val="32"/>
        </w:rPr>
        <w:t>%</w:t>
      </w:r>
      <w:r>
        <w:rPr>
          <w:rFonts w:ascii="仿宋_GB2312" w:eastAsia="仿宋_GB2312" w:hint="eastAsia"/>
          <w:color w:val="auto"/>
          <w:sz w:val="32"/>
          <w:szCs w:val="32"/>
        </w:rPr>
        <w:t>。主要原因是</w:t>
      </w:r>
      <w:r>
        <w:rPr>
          <w:rFonts w:ascii="仿宋_GB2312" w:eastAsia="仿宋_GB2312" w:hint="eastAsia"/>
          <w:color w:val="auto"/>
          <w:sz w:val="32"/>
          <w:szCs w:val="32"/>
          <w:lang w:val="en-US" w:eastAsia="zh-CN"/>
        </w:rPr>
        <w:t>人员经费增加。</w:t>
      </w:r>
    </w:p>
    <w:p>
      <w:pPr>
        <w:autoSpaceDE w:val="0"/>
        <w:autoSpaceDN w:val="0"/>
        <w:adjustRightInd w:val="0"/>
        <w:spacing w:line="600" w:lineRule="exact"/>
        <w:ind w:firstLineChars="200" w:firstLine="640"/>
        <w:jc w:val="left"/>
        <w:outlineLvl w:val="2"/>
        <w:rPr>
          <w:rFonts w:ascii="仿宋" w:eastAsia="仿宋" w:hAnsi="仿宋"/>
          <w:b/>
          <w:color w:val="auto"/>
          <w:sz w:val="32"/>
          <w:szCs w:val="32"/>
        </w:rPr>
      </w:pPr>
      <w:bookmarkStart w:id="54" w:name="_Toc15377223"/>
      <w:r>
        <w:rPr>
          <w:rFonts w:ascii="仿宋" w:eastAsia="仿宋" w:hAnsi="仿宋" w:hint="eastAsia"/>
          <w:b/>
          <w:color w:val="auto"/>
          <w:sz w:val="32"/>
          <w:szCs w:val="32"/>
        </w:rPr>
        <w:t>（二）政府采购支出情况</w:t>
      </w:r>
      <w:bookmarkEnd w:id="54"/>
    </w:p>
    <w:p>
      <w:pPr>
        <w:spacing w:line="600" w:lineRule="exact"/>
        <w:ind w:firstLineChars="200" w:firstLine="640"/>
        <w:rPr>
          <w:rFonts w:ascii="仿宋" w:eastAsia="仿宋" w:hAnsi="仿宋"/>
          <w:b/>
          <w:color w:val="auto"/>
          <w:sz w:val="32"/>
          <w:szCs w:val="32"/>
        </w:rPr>
      </w:pPr>
      <w:r>
        <w:rPr>
          <w:rFonts w:ascii="仿宋_GB2312" w:eastAsia="仿宋_GB2312"/>
          <w:color w:val="auto"/>
          <w:sz w:val="32"/>
          <w:szCs w:val="32"/>
        </w:rPr>
        <w:t>20</w:t>
      </w:r>
      <w:r>
        <w:rPr>
          <w:rFonts w:ascii="仿宋_GB2312" w:eastAsia="仿宋_GB2312" w:hint="eastAsia"/>
          <w:color w:val="auto"/>
          <w:sz w:val="32"/>
          <w:szCs w:val="32"/>
          <w:lang w:val="en-US" w:eastAsia="zh-CN"/>
        </w:rPr>
        <w:t>21</w:t>
      </w:r>
      <w:r>
        <w:rPr>
          <w:rFonts w:ascii="仿宋_GB2312" w:eastAsia="仿宋_GB2312" w:hint="eastAsia"/>
          <w:color w:val="auto"/>
          <w:sz w:val="32"/>
          <w:szCs w:val="32"/>
        </w:rPr>
        <w:t>年，</w:t>
      </w:r>
      <w:r>
        <w:rPr>
          <w:rFonts w:ascii="仿宋_GB2312" w:eastAsia="仿宋_GB2312" w:hint="eastAsia"/>
          <w:color w:val="auto"/>
          <w:sz w:val="32"/>
          <w:szCs w:val="32"/>
          <w:lang w:val="en-US" w:eastAsia="zh-CN"/>
        </w:rPr>
        <w:t>荣山镇人民政府</w:t>
      </w:r>
      <w:r>
        <w:rPr>
          <w:rFonts w:ascii="仿宋_GB2312" w:eastAsia="仿宋_GB2312" w:hint="eastAsia"/>
          <w:color w:val="auto"/>
          <w:sz w:val="32"/>
          <w:szCs w:val="32"/>
        </w:rPr>
        <w:t>政府采购支出总额</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万元，其中：政府采购货物支出</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万元、政府采购工程支出</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万元、政府采购服务支出</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万元。授予中小企业合同金额</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万元，占政府采购支出总额的</w:t>
      </w:r>
      <w:r>
        <w:rPr>
          <w:rFonts w:ascii="仿宋_GB2312" w:eastAsia="仿宋_GB2312" w:hint="eastAsia"/>
          <w:color w:val="auto"/>
          <w:sz w:val="32"/>
          <w:szCs w:val="32"/>
          <w:lang w:val="en-US" w:eastAsia="zh-CN"/>
        </w:rPr>
        <w:t>0</w:t>
      </w:r>
      <w:r>
        <w:rPr>
          <w:rFonts w:ascii="仿宋_GB2312" w:eastAsia="仿宋_GB2312"/>
          <w:color w:val="auto"/>
          <w:sz w:val="32"/>
          <w:szCs w:val="32"/>
        </w:rPr>
        <w:t>%</w:t>
      </w:r>
      <w:r>
        <w:rPr>
          <w:rFonts w:ascii="仿宋_GB2312" w:eastAsia="仿宋_GB2312" w:hint="eastAsia"/>
          <w:color w:val="auto"/>
          <w:sz w:val="32"/>
          <w:szCs w:val="32"/>
        </w:rPr>
        <w:t>，其中：授予小微企业合同金额</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万元，占政府采购支出总额的</w:t>
      </w:r>
      <w:r>
        <w:rPr>
          <w:rFonts w:ascii="仿宋_GB2312" w:eastAsia="仿宋_GB2312" w:hint="eastAsia"/>
          <w:color w:val="auto"/>
          <w:sz w:val="32"/>
          <w:szCs w:val="32"/>
          <w:lang w:val="en-US" w:eastAsia="zh-CN"/>
        </w:rPr>
        <w:t>0</w:t>
      </w:r>
      <w:r>
        <w:rPr>
          <w:rFonts w:ascii="仿宋_GB2312" w:eastAsia="仿宋_GB2312"/>
          <w:color w:val="auto"/>
          <w:sz w:val="32"/>
          <w:szCs w:val="32"/>
        </w:rPr>
        <w:t>%</w:t>
      </w:r>
      <w:r>
        <w:rPr>
          <w:rFonts w:ascii="仿宋_GB2312" w:eastAsia="仿宋_GB2312" w:hint="eastAsia"/>
          <w:color w:val="auto"/>
          <w:sz w:val="32"/>
          <w:szCs w:val="32"/>
        </w:rPr>
        <w:t>。</w:t>
      </w:r>
    </w:p>
    <w:p>
      <w:pPr>
        <w:autoSpaceDE w:val="0"/>
        <w:autoSpaceDN w:val="0"/>
        <w:adjustRightInd w:val="0"/>
        <w:spacing w:line="600" w:lineRule="exact"/>
        <w:ind w:firstLineChars="200" w:firstLine="640"/>
        <w:jc w:val="left"/>
        <w:outlineLvl w:val="2"/>
        <w:rPr>
          <w:rFonts w:ascii="仿宋" w:eastAsia="仿宋" w:hAnsi="仿宋"/>
          <w:b/>
          <w:color w:val="auto"/>
          <w:sz w:val="32"/>
          <w:szCs w:val="32"/>
        </w:rPr>
      </w:pPr>
      <w:bookmarkStart w:id="55" w:name="_Toc15377224"/>
      <w:r>
        <w:rPr>
          <w:rFonts w:ascii="仿宋" w:eastAsia="仿宋" w:hAnsi="仿宋" w:hint="eastAsia"/>
          <w:b/>
          <w:color w:val="auto"/>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hint="eastAsia"/>
          <w:color w:val="auto"/>
          <w:sz w:val="32"/>
          <w:szCs w:val="32"/>
        </w:rPr>
      </w:pPr>
      <w:r>
        <w:rPr>
          <w:rFonts w:ascii="仿宋_GB2312" w:eastAsia="仿宋_GB2312" w:hint="eastAsia"/>
          <w:color w:val="auto"/>
          <w:sz w:val="32"/>
          <w:szCs w:val="32"/>
        </w:rPr>
        <w:t>截至</w:t>
      </w:r>
      <w:r>
        <w:rPr>
          <w:rFonts w:ascii="仿宋_GB2312" w:eastAsia="仿宋_GB2312"/>
          <w:color w:val="auto"/>
          <w:sz w:val="32"/>
          <w:szCs w:val="32"/>
        </w:rPr>
        <w:t>20</w:t>
      </w:r>
      <w:r>
        <w:rPr>
          <w:rFonts w:ascii="仿宋_GB2312" w:eastAsia="仿宋_GB2312" w:hint="eastAsia"/>
          <w:color w:val="auto"/>
          <w:sz w:val="32"/>
          <w:szCs w:val="32"/>
          <w:lang w:val="en-US" w:eastAsia="zh-CN"/>
        </w:rPr>
        <w:t>21</w:t>
      </w:r>
      <w:r>
        <w:rPr>
          <w:rFonts w:ascii="仿宋_GB2312" w:eastAsia="仿宋_GB2312" w:hint="eastAsia"/>
          <w:color w:val="auto"/>
          <w:sz w:val="32"/>
          <w:szCs w:val="32"/>
        </w:rPr>
        <w:t>年</w:t>
      </w:r>
      <w:r>
        <w:rPr>
          <w:rFonts w:ascii="仿宋_GB2312" w:eastAsia="仿宋_GB2312"/>
          <w:color w:val="auto"/>
          <w:sz w:val="32"/>
          <w:szCs w:val="32"/>
        </w:rPr>
        <w:t>12</w:t>
      </w:r>
      <w:r>
        <w:rPr>
          <w:rFonts w:ascii="仿宋_GB2312" w:eastAsia="仿宋_GB2312" w:hint="eastAsia"/>
          <w:color w:val="auto"/>
          <w:sz w:val="32"/>
          <w:szCs w:val="32"/>
        </w:rPr>
        <w:t>月</w:t>
      </w:r>
      <w:r>
        <w:rPr>
          <w:rFonts w:ascii="仿宋_GB2312" w:eastAsia="仿宋_GB2312"/>
          <w:color w:val="auto"/>
          <w:sz w:val="32"/>
          <w:szCs w:val="32"/>
        </w:rPr>
        <w:t>31</w:t>
      </w:r>
      <w:r>
        <w:rPr>
          <w:rFonts w:ascii="仿宋_GB2312" w:eastAsia="仿宋_GB2312" w:hint="eastAsia"/>
          <w:color w:val="auto"/>
          <w:sz w:val="32"/>
          <w:szCs w:val="32"/>
        </w:rPr>
        <w:t>日，</w:t>
      </w:r>
      <w:r>
        <w:rPr>
          <w:rFonts w:ascii="仿宋_GB2312" w:eastAsia="仿宋_GB2312" w:hint="eastAsia"/>
          <w:color w:val="auto"/>
          <w:sz w:val="32"/>
          <w:szCs w:val="32"/>
          <w:lang w:val="en-US" w:eastAsia="zh-CN"/>
        </w:rPr>
        <w:t>荣山镇人民政府</w:t>
      </w:r>
      <w:r>
        <w:rPr>
          <w:rFonts w:ascii="仿宋_GB2312" w:eastAsia="仿宋_GB2312" w:hint="eastAsia"/>
          <w:color w:val="auto"/>
          <w:sz w:val="32"/>
          <w:szCs w:val="32"/>
        </w:rPr>
        <w:t>共有车辆</w:t>
      </w:r>
      <w:r>
        <w:rPr>
          <w:rFonts w:ascii="仿宋_GB2312" w:eastAsia="仿宋_GB2312" w:hint="eastAsia"/>
          <w:color w:val="auto"/>
          <w:sz w:val="32"/>
          <w:szCs w:val="32"/>
          <w:lang w:val="en-US" w:eastAsia="zh-CN"/>
        </w:rPr>
        <w:t>2</w:t>
      </w:r>
      <w:r>
        <w:rPr>
          <w:rFonts w:ascii="仿宋_GB2312" w:eastAsia="仿宋_GB2312" w:hint="eastAsia"/>
          <w:color w:val="auto"/>
          <w:sz w:val="32"/>
          <w:szCs w:val="32"/>
        </w:rPr>
        <w:t>辆，其中：主要领导干部用车</w:t>
      </w:r>
      <w:r>
        <w:rPr>
          <w:rFonts w:ascii="仿宋_GB2312" w:eastAsia="仿宋_GB2312" w:hint="eastAsia"/>
          <w:color w:val="auto"/>
          <w:sz w:val="32"/>
          <w:szCs w:val="32"/>
          <w:lang w:val="en-US" w:eastAsia="zh-CN"/>
        </w:rPr>
        <w:t>2</w:t>
      </w:r>
      <w:r>
        <w:rPr>
          <w:rFonts w:ascii="仿宋_GB2312" w:eastAsia="仿宋_GB2312" w:hint="eastAsia"/>
          <w:color w:val="auto"/>
          <w:sz w:val="32"/>
          <w:szCs w:val="32"/>
        </w:rPr>
        <w:t>辆、机要通信用车</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辆、应急保障用车</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辆、其他用车</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辆</w:t>
      </w:r>
      <w:r>
        <w:rPr>
          <w:rFonts w:ascii="仿宋_GB2312" w:eastAsia="仿宋_GB2312" w:hint="eastAsia"/>
          <w:color w:val="auto"/>
          <w:sz w:val="32"/>
          <w:szCs w:val="32"/>
          <w:lang w:eastAsia="zh-CN"/>
        </w:rPr>
        <w:t>，</w:t>
      </w:r>
      <w:r>
        <w:rPr>
          <w:rFonts w:ascii="仿宋_GB2312" w:eastAsia="仿宋_GB2312" w:hint="eastAsia"/>
          <w:color w:val="auto"/>
          <w:sz w:val="32"/>
          <w:szCs w:val="32"/>
        </w:rPr>
        <w:t>单价</w:t>
      </w:r>
      <w:r>
        <w:rPr>
          <w:rFonts w:ascii="仿宋_GB2312" w:eastAsia="仿宋_GB2312"/>
          <w:color w:val="auto"/>
          <w:sz w:val="32"/>
          <w:szCs w:val="32"/>
        </w:rPr>
        <w:t>50</w:t>
      </w:r>
      <w:r>
        <w:rPr>
          <w:rFonts w:ascii="仿宋_GB2312" w:eastAsia="仿宋_GB2312" w:hint="eastAsia"/>
          <w:color w:val="auto"/>
          <w:sz w:val="32"/>
          <w:szCs w:val="32"/>
        </w:rPr>
        <w:t>万元以上通用设备</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台（套），单价</w:t>
      </w:r>
      <w:r>
        <w:rPr>
          <w:rFonts w:ascii="仿宋_GB2312" w:eastAsia="仿宋_GB2312"/>
          <w:color w:val="auto"/>
          <w:sz w:val="32"/>
          <w:szCs w:val="32"/>
        </w:rPr>
        <w:t>100</w:t>
      </w:r>
      <w:r>
        <w:rPr>
          <w:rFonts w:ascii="仿宋_GB2312" w:eastAsia="仿宋_GB2312" w:hint="eastAsia"/>
          <w:color w:val="auto"/>
          <w:sz w:val="32"/>
          <w:szCs w:val="32"/>
        </w:rPr>
        <w:t>万元以上专用设备</w:t>
      </w:r>
      <w:r>
        <w:rPr>
          <w:rFonts w:ascii="仿宋_GB2312" w:eastAsia="仿宋_GB2312" w:hint="eastAsia"/>
          <w:color w:val="auto"/>
          <w:sz w:val="32"/>
          <w:szCs w:val="32"/>
          <w:lang w:val="en-US" w:eastAsia="zh-CN"/>
        </w:rPr>
        <w:t>0</w:t>
      </w:r>
      <w:r>
        <w:rPr>
          <w:rFonts w:ascii="仿宋_GB2312" w:eastAsia="仿宋_GB2312" w:hint="eastAsia"/>
          <w:color w:val="auto"/>
          <w:sz w:val="32"/>
          <w:szCs w:val="32"/>
        </w:rPr>
        <w:t>台（套）。</w:t>
      </w:r>
    </w:p>
    <w:p>
      <w:pPr>
        <w:autoSpaceDE w:val="0"/>
        <w:autoSpaceDN w:val="0"/>
        <w:adjustRightInd w:val="0"/>
        <w:spacing w:line="600" w:lineRule="exact"/>
        <w:ind w:firstLineChars="200" w:firstLine="640"/>
        <w:jc w:val="left"/>
        <w:outlineLvl w:val="2"/>
        <w:rPr>
          <w:rFonts w:ascii="仿宋" w:eastAsia="仿宋" w:hAnsi="仿宋"/>
          <w:b/>
          <w:color w:val="auto"/>
          <w:sz w:val="32"/>
          <w:szCs w:val="32"/>
        </w:rPr>
      </w:pPr>
      <w:r>
        <w:rPr>
          <w:rFonts w:ascii="仿宋" w:eastAsia="仿宋" w:hAnsi="仿宋" w:hint="eastAsia"/>
          <w:b/>
          <w:color w:val="auto"/>
          <w:sz w:val="32"/>
          <w:szCs w:val="32"/>
        </w:rPr>
        <w:t>（四）预算绩效管理情况</w:t>
      </w:r>
    </w:p>
    <w:p>
      <w:pPr>
        <w:spacing w:line="580" w:lineRule="exact"/>
        <w:ind w:firstLineChars="200" w:firstLine="640"/>
        <w:rPr>
          <w:rFonts w:ascii="仿宋_GB2312" w:eastAsia="仿宋_GB2312" w:cs="仿宋_GB2312" w:hAnsi="仿宋_GB2312" w:hint="eastAsia"/>
          <w:color w:val="auto"/>
          <w:sz w:val="32"/>
          <w:szCs w:val="32"/>
        </w:rPr>
      </w:pPr>
      <w:r>
        <w:rPr>
          <w:rFonts w:ascii="仿宋_GB2312" w:eastAsia="仿宋_GB2312" w:hint="eastAsia"/>
          <w:color w:val="auto"/>
          <w:sz w:val="32"/>
          <w:szCs w:val="32"/>
        </w:rPr>
        <w:t>根据预算绩效管理要求，本部门在</w:t>
      </w:r>
      <w:r>
        <w:rPr>
          <w:rFonts w:ascii="仿宋_GB2312" w:eastAsia="仿宋_GB2312" w:hint="eastAsia"/>
          <w:color w:val="auto"/>
          <w:sz w:val="32"/>
          <w:szCs w:val="32"/>
          <w:lang w:val="en-US" w:eastAsia="zh-CN"/>
        </w:rPr>
        <w:t>2021年度</w:t>
      </w:r>
      <w:r>
        <w:rPr>
          <w:rFonts w:ascii="仿宋_GB2312" w:eastAsia="仿宋_GB2312" w:hint="eastAsia"/>
          <w:color w:val="auto"/>
          <w:sz w:val="32"/>
          <w:szCs w:val="32"/>
        </w:rPr>
        <w:t>预算编制阶段，组织对</w:t>
      </w:r>
      <w:r>
        <w:rPr>
          <w:rFonts w:ascii="仿宋_GB2312" w:eastAsia="仿宋_GB2312" w:hint="eastAsia"/>
          <w:color w:val="auto"/>
          <w:sz w:val="32"/>
          <w:szCs w:val="32"/>
          <w:lang w:val="en-US" w:eastAsia="zh-CN"/>
        </w:rPr>
        <w:t>2021年80岁老党员生活补助</w:t>
      </w:r>
      <w:r>
        <w:rPr>
          <w:rFonts w:ascii="仿宋_GB2312" w:eastAsia="仿宋_GB2312" w:hint="eastAsia"/>
          <w:color w:val="auto"/>
          <w:sz w:val="32"/>
          <w:szCs w:val="32"/>
        </w:rPr>
        <w:t>项目</w:t>
      </w:r>
      <w:r>
        <w:rPr>
          <w:rFonts w:ascii="仿宋_GB2312" w:eastAsia="仿宋_GB2312" w:hint="eastAsia"/>
          <w:color w:val="auto"/>
          <w:sz w:val="32"/>
          <w:szCs w:val="32"/>
          <w:lang w:eastAsia="zh-CN"/>
        </w:rPr>
        <w:t>等</w:t>
      </w:r>
      <w:r>
        <w:rPr>
          <w:rFonts w:ascii="仿宋_GB2312" w:eastAsia="仿宋_GB2312" w:hint="eastAsia"/>
          <w:color w:val="auto"/>
          <w:sz w:val="32"/>
          <w:szCs w:val="32"/>
          <w:lang w:val="en-US" w:eastAsia="zh-CN"/>
        </w:rPr>
        <w:t>25个项目</w:t>
      </w:r>
      <w:r>
        <w:rPr>
          <w:rFonts w:ascii="仿宋_GB2312" w:eastAsia="仿宋_GB2312" w:hint="eastAsia"/>
          <w:color w:val="auto"/>
          <w:sz w:val="32"/>
          <w:szCs w:val="32"/>
        </w:rPr>
        <w:t>开展了预算事前绩效评估，对</w:t>
      </w:r>
      <w:r>
        <w:rPr>
          <w:rFonts w:ascii="仿宋_GB2312" w:eastAsia="仿宋_GB2312" w:hint="eastAsia"/>
          <w:color w:val="auto"/>
          <w:sz w:val="32"/>
          <w:szCs w:val="32"/>
          <w:lang w:val="en-US" w:eastAsia="zh-CN"/>
        </w:rPr>
        <w:t>25</w:t>
      </w:r>
      <w:r>
        <w:rPr>
          <w:rFonts w:ascii="仿宋_GB2312" w:eastAsia="仿宋_GB2312" w:hint="eastAsia"/>
          <w:color w:val="auto"/>
          <w:sz w:val="32"/>
          <w:szCs w:val="32"/>
        </w:rPr>
        <w:t>个项目编制了绩效目标，预算执行过程中，选取</w:t>
      </w:r>
      <w:r>
        <w:rPr>
          <w:rFonts w:ascii="仿宋_GB2312" w:eastAsia="仿宋_GB2312" w:hint="eastAsia"/>
          <w:color w:val="auto"/>
          <w:sz w:val="32"/>
          <w:szCs w:val="32"/>
          <w:lang w:val="en-US" w:eastAsia="zh-CN"/>
        </w:rPr>
        <w:t>26</w:t>
      </w:r>
      <w:r>
        <w:rPr>
          <w:rFonts w:ascii="仿宋_GB2312" w:eastAsia="仿宋_GB2312" w:hint="eastAsia"/>
          <w:color w:val="auto"/>
          <w:sz w:val="32"/>
          <w:szCs w:val="32"/>
        </w:rPr>
        <w:t>个项目开展绩效监控，年终执行完毕后，对</w:t>
      </w:r>
      <w:r>
        <w:rPr>
          <w:rFonts w:ascii="仿宋_GB2312" w:eastAsia="仿宋_GB2312" w:hint="eastAsia"/>
          <w:color w:val="auto"/>
          <w:sz w:val="32"/>
          <w:szCs w:val="32"/>
          <w:lang w:val="en-US" w:eastAsia="zh-CN"/>
        </w:rPr>
        <w:t>25</w:t>
      </w:r>
      <w:r>
        <w:rPr>
          <w:rFonts w:ascii="仿宋_GB2312" w:eastAsia="仿宋_GB2312" w:hint="eastAsia"/>
          <w:color w:val="auto"/>
          <w:sz w:val="32"/>
          <w:szCs w:val="32"/>
        </w:rPr>
        <w:t>个项目开展了绩效自评</w:t>
      </w:r>
      <w:r>
        <w:rPr>
          <w:rFonts w:ascii="仿宋_GB2312" w:eastAsia="仿宋_GB2312" w:hint="eastAsia"/>
          <w:color w:val="auto"/>
          <w:sz w:val="32"/>
          <w:szCs w:val="32"/>
          <w:lang w:eastAsia="zh-CN"/>
        </w:rPr>
        <w:t>。同时，</w:t>
      </w:r>
      <w:r>
        <w:rPr>
          <w:rFonts w:ascii="仿宋_GB2312" w:eastAsia="仿宋_GB2312" w:hint="eastAsia"/>
          <w:color w:val="auto"/>
          <w:sz w:val="32"/>
          <w:szCs w:val="32"/>
        </w:rPr>
        <w:t>本部门对20</w:t>
      </w:r>
      <w:r>
        <w:rPr>
          <w:rFonts w:ascii="仿宋_GB2312" w:eastAsia="仿宋_GB2312" w:hint="eastAsia"/>
          <w:color w:val="auto"/>
          <w:sz w:val="32"/>
          <w:szCs w:val="32"/>
          <w:lang w:val="en-US" w:eastAsia="zh-CN"/>
        </w:rPr>
        <w:t>21</w:t>
      </w:r>
      <w:r>
        <w:rPr>
          <w:rFonts w:ascii="仿宋_GB2312" w:eastAsia="仿宋_GB2312" w:hint="eastAsia"/>
          <w:color w:val="auto"/>
          <w:sz w:val="32"/>
          <w:szCs w:val="32"/>
        </w:rPr>
        <w:t>年部门整体开展绩效自评，《202</w:t>
      </w:r>
      <w:r>
        <w:rPr>
          <w:rFonts w:ascii="仿宋_GB2312" w:eastAsia="仿宋_GB2312" w:hint="eastAsia"/>
          <w:color w:val="auto"/>
          <w:sz w:val="32"/>
          <w:szCs w:val="32"/>
          <w:lang w:val="en-US" w:eastAsia="zh-CN"/>
        </w:rPr>
        <w:t>1</w:t>
      </w:r>
      <w:r>
        <w:rPr>
          <w:rFonts w:ascii="仿宋_GB2312" w:eastAsia="仿宋_GB2312" w:hint="eastAsia"/>
          <w:color w:val="auto"/>
          <w:sz w:val="32"/>
          <w:szCs w:val="32"/>
        </w:rPr>
        <w:t>年</w:t>
      </w:r>
      <w:r>
        <w:rPr>
          <w:rFonts w:ascii="仿宋_GB2312" w:eastAsia="仿宋_GB2312" w:hint="eastAsia"/>
          <w:color w:val="auto"/>
          <w:sz w:val="32"/>
          <w:szCs w:val="32"/>
          <w:lang w:eastAsia="zh-CN"/>
        </w:rPr>
        <w:t>荣山镇</w:t>
      </w:r>
      <w:r>
        <w:rPr>
          <w:rFonts w:ascii="仿宋_GB2312" w:eastAsia="仿宋_GB2312" w:hint="eastAsia"/>
          <w:color w:val="auto"/>
          <w:sz w:val="32"/>
          <w:szCs w:val="32"/>
        </w:rPr>
        <w:t>部门整体绩效评价报告》见附件（</w:t>
      </w:r>
      <w:r>
        <w:rPr>
          <w:rFonts w:ascii="仿宋_GB2312" w:eastAsia="仿宋_GB2312" w:hint="eastAsia"/>
          <w:color w:val="auto"/>
          <w:sz w:val="32"/>
          <w:szCs w:val="32"/>
          <w:lang w:eastAsia="zh-CN"/>
        </w:rPr>
        <w:t>第四部分</w:t>
      </w:r>
      <w:r>
        <w:rPr>
          <w:rFonts w:ascii="仿宋_GB2312" w:eastAsia="仿宋_GB2312" w:hint="eastAsia"/>
          <w:color w:val="auto"/>
          <w:sz w:val="32"/>
          <w:szCs w:val="32"/>
        </w:rPr>
        <w:t>）。</w:t>
      </w:r>
    </w:p>
    <w:p>
      <w:pPr>
        <w:widowControl/>
        <w:jc w:val="left"/>
        <w:rPr>
          <w:rFonts w:ascii="仿宋_GB2312" w:eastAsia="仿宋_GB2312"/>
          <w:b/>
          <w:color w:val="auto"/>
          <w:sz w:val="32"/>
          <w:szCs w:val="32"/>
        </w:rPr>
      </w:pPr>
      <w:r>
        <w:rPr>
          <w:rFonts w:ascii="仿宋_GB2312" w:eastAsia="仿宋_GB2312"/>
          <w:b/>
          <w:color w:val="auto"/>
          <w:sz w:val="32"/>
          <w:szCs w:val="32"/>
        </w:rPr>
        <w:br w:type="page"/>
      </w:r>
    </w:p>
    <w:p>
      <w:pPr>
        <w:numPr>
          <w:ilvl w:val="0"/>
          <w:numId w:val="3"/>
        </w:numPr>
        <w:spacing w:line="600" w:lineRule="exact"/>
        <w:ind w:left="0" w:firstLineChars="150" w:firstLine="660"/>
        <w:jc w:val="center"/>
        <w:outlineLvl w:val="0"/>
        <w:rPr>
          <w:rFonts w:ascii="宋体"/>
          <w:b/>
          <w:color w:val="auto"/>
          <w:sz w:val="44"/>
          <w:szCs w:val="44"/>
        </w:rPr>
      </w:pPr>
      <w:bookmarkStart w:id="56" w:name="_Toc15377225"/>
      <w:bookmarkStart w:id="57" w:name="_Toc15396613"/>
      <w:r>
        <w:rPr>
          <w:rFonts w:ascii="黑体" w:eastAsia="黑体" w:hAnsi="黑体" w:hint="eastAsia"/>
          <w:color w:val="auto"/>
          <w:sz w:val="44"/>
          <w:szCs w:val="44"/>
        </w:rPr>
        <w:t>名</w:t>
      </w:r>
      <w:r>
        <w:rPr>
          <w:rStyle w:val="1Char"/>
          <w:rFonts w:ascii="黑体" w:eastAsia="黑体" w:hAnsi="黑体" w:hint="eastAsia"/>
          <w:b w:val="0"/>
          <w:color w:val="auto"/>
        </w:rPr>
        <w:t>词解释</w:t>
      </w:r>
      <w:bookmarkEnd w:id="56"/>
      <w:bookmarkEnd w:id="57"/>
    </w:p>
    <w:p>
      <w:pPr>
        <w:pStyle w:val="32"/>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pPr>
        <w:pStyle w:val="32"/>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w:t>
      </w:r>
    </w:p>
    <w:p>
      <w:pPr>
        <w:pStyle w:val="32"/>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32"/>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lang w:val="en-US" w:eastAsia="zh-CN"/>
        </w:rPr>
        <w:t>4</w:t>
      </w:r>
      <w:r>
        <w:rPr>
          <w:rFonts w:ascii="仿宋_GB2312" w:eastAsia="仿宋_GB2312" w:hint="eastAsia"/>
          <w:color w:val="auto"/>
          <w:sz w:val="32"/>
          <w:szCs w:val="32"/>
        </w:rPr>
        <w:t>、年末结转和结余：指单位按有关规定结转到下年或以后年度继续使用的资金。</w:t>
      </w:r>
    </w:p>
    <w:p>
      <w:pPr>
        <w:pStyle w:val="32"/>
        <w:spacing w:line="560" w:lineRule="exact"/>
        <w:ind w:firstLineChars="200" w:firstLine="640"/>
        <w:rPr>
          <w:rFonts w:ascii="仿宋_GB2312" w:eastAsia="仿宋_GB2312" w:hint="eastAsia"/>
          <w:color w:val="auto"/>
          <w:sz w:val="32"/>
          <w:szCs w:val="32"/>
          <w:lang w:val="en-US" w:eastAsia="zh-CN"/>
        </w:rPr>
      </w:pPr>
      <w:r>
        <w:rPr>
          <w:rFonts w:ascii="仿宋_GB2312" w:eastAsia="仿宋_GB2312" w:hint="eastAsia"/>
          <w:color w:val="auto"/>
          <w:sz w:val="32"/>
          <w:szCs w:val="32"/>
        </w:rPr>
        <w:t>5.一般公共服务（类）</w:t>
      </w:r>
      <w:r>
        <w:rPr>
          <w:rFonts w:ascii="仿宋_GB2312" w:eastAsia="仿宋_GB2312" w:hint="eastAsia"/>
          <w:color w:val="auto"/>
          <w:sz w:val="32"/>
          <w:szCs w:val="32"/>
          <w:lang w:val="en-US" w:eastAsia="zh-CN"/>
        </w:rPr>
        <w:t>人大事务</w:t>
      </w:r>
      <w:r>
        <w:rPr>
          <w:rFonts w:ascii="仿宋_GB2312" w:eastAsia="仿宋_GB2312" w:hint="eastAsia"/>
          <w:color w:val="auto"/>
          <w:sz w:val="32"/>
          <w:szCs w:val="32"/>
        </w:rPr>
        <w:t>（款）</w:t>
      </w:r>
      <w:r>
        <w:rPr>
          <w:rFonts w:ascii="仿宋_GB2312" w:eastAsia="仿宋_GB2312" w:hint="eastAsia"/>
          <w:color w:val="auto"/>
          <w:sz w:val="32"/>
          <w:szCs w:val="32"/>
          <w:lang w:val="en-US" w:eastAsia="zh-CN"/>
        </w:rPr>
        <w:t>代表工作</w:t>
      </w:r>
      <w:r>
        <w:rPr>
          <w:rFonts w:ascii="仿宋_GB2312" w:eastAsia="仿宋_GB2312" w:hint="eastAsia"/>
          <w:color w:val="auto"/>
          <w:sz w:val="32"/>
          <w:szCs w:val="32"/>
        </w:rPr>
        <w:t>（项）：</w:t>
      </w:r>
      <w:r>
        <w:rPr>
          <w:rFonts w:ascii="仿宋_GB2312" w:eastAsia="仿宋_GB2312" w:hint="eastAsia"/>
          <w:color w:val="auto"/>
          <w:sz w:val="32"/>
          <w:szCs w:val="32"/>
          <w:lang w:eastAsia="zh-CN"/>
        </w:rPr>
        <w:t>指</w:t>
      </w:r>
      <w:r>
        <w:rPr>
          <w:rFonts w:ascii="仿宋_GB2312" w:eastAsia="仿宋_GB2312" w:hint="eastAsia"/>
          <w:color w:val="auto"/>
          <w:sz w:val="32"/>
          <w:szCs w:val="32"/>
          <w:lang w:val="en-US" w:eastAsia="zh-CN"/>
        </w:rPr>
        <w:t>人大代表开展各类视察等方面的支出。</w:t>
      </w:r>
    </w:p>
    <w:p>
      <w:pPr>
        <w:pStyle w:val="32"/>
        <w:spacing w:line="560" w:lineRule="exact"/>
        <w:ind w:firstLineChars="200" w:firstLine="640"/>
        <w:rPr>
          <w:rFonts w:ascii="仿宋_GB2312" w:eastAsia="仿宋_GB2312" w:hint="eastAsia"/>
          <w:color w:val="auto"/>
          <w:sz w:val="32"/>
          <w:szCs w:val="32"/>
          <w:lang w:eastAsia="zh-CN"/>
        </w:rPr>
      </w:pPr>
      <w:r>
        <w:rPr>
          <w:rFonts w:ascii="仿宋_GB2312" w:eastAsia="仿宋_GB2312" w:hint="eastAsia"/>
          <w:color w:val="auto"/>
          <w:sz w:val="32"/>
          <w:szCs w:val="32"/>
          <w:lang w:val="en-US" w:eastAsia="zh-CN"/>
        </w:rPr>
        <w:t>6.</w:t>
      </w:r>
      <w:r>
        <w:rPr>
          <w:rFonts w:ascii="仿宋_GB2312" w:eastAsia="仿宋_GB2312" w:hint="eastAsia"/>
          <w:color w:val="auto"/>
          <w:sz w:val="32"/>
          <w:szCs w:val="32"/>
        </w:rPr>
        <w:t>一般公共服务（类）</w:t>
      </w:r>
      <w:r>
        <w:rPr>
          <w:rFonts w:ascii="仿宋_GB2312" w:eastAsia="仿宋_GB2312" w:hint="eastAsia"/>
          <w:color w:val="auto"/>
          <w:sz w:val="32"/>
          <w:szCs w:val="32"/>
          <w:lang w:val="en-US" w:eastAsia="zh-CN"/>
        </w:rPr>
        <w:t>政府办公厅（室）及相关机构事务</w:t>
      </w:r>
      <w:r>
        <w:rPr>
          <w:rFonts w:ascii="仿宋_GB2312" w:eastAsia="仿宋_GB2312" w:hint="eastAsia"/>
          <w:color w:val="auto"/>
          <w:sz w:val="32"/>
          <w:szCs w:val="32"/>
        </w:rPr>
        <w:t>（款）</w:t>
      </w:r>
      <w:r>
        <w:rPr>
          <w:rFonts w:ascii="仿宋_GB2312" w:eastAsia="仿宋_GB2312" w:hint="eastAsia"/>
          <w:color w:val="auto"/>
          <w:sz w:val="32"/>
          <w:szCs w:val="32"/>
          <w:lang w:val="en-US" w:eastAsia="zh-CN"/>
        </w:rPr>
        <w:t>行政运行</w:t>
      </w:r>
      <w:r>
        <w:rPr>
          <w:rFonts w:ascii="仿宋_GB2312" w:eastAsia="仿宋_GB2312" w:hint="eastAsia"/>
          <w:color w:val="auto"/>
          <w:sz w:val="32"/>
          <w:szCs w:val="32"/>
        </w:rPr>
        <w:t>（项）：</w:t>
      </w:r>
      <w:r>
        <w:rPr>
          <w:rFonts w:ascii="仿宋_GB2312" w:eastAsia="仿宋_GB2312" w:hint="eastAsia"/>
          <w:color w:val="auto"/>
          <w:sz w:val="32"/>
          <w:szCs w:val="32"/>
          <w:lang w:eastAsia="zh-CN"/>
        </w:rPr>
        <w:t>指</w:t>
      </w:r>
      <w:r>
        <w:rPr>
          <w:rFonts w:ascii="仿宋_GB2312" w:eastAsia="仿宋_GB2312" w:hint="eastAsia"/>
          <w:color w:val="auto"/>
          <w:sz w:val="32"/>
          <w:szCs w:val="32"/>
          <w:lang w:val="en-US" w:eastAsia="zh-CN"/>
        </w:rPr>
        <w:t>行政单位的基本支出</w:t>
      </w:r>
      <w:r>
        <w:rPr>
          <w:rFonts w:ascii="仿宋_GB2312" w:eastAsia="仿宋_GB2312" w:hint="eastAsia"/>
          <w:color w:val="auto"/>
          <w:sz w:val="32"/>
          <w:szCs w:val="32"/>
          <w:lang w:eastAsia="zh-CN"/>
        </w:rPr>
        <w:t>。</w:t>
      </w:r>
    </w:p>
    <w:p>
      <w:pPr>
        <w:pStyle w:val="32"/>
        <w:spacing w:line="560" w:lineRule="exact"/>
        <w:ind w:firstLineChars="200" w:firstLine="640"/>
        <w:rPr>
          <w:rFonts w:ascii="仿宋_GB2312" w:eastAsia="仿宋_GB2312"/>
          <w:color w:val="auto"/>
          <w:sz w:val="32"/>
          <w:szCs w:val="32"/>
          <w:lang w:val="en-US" w:eastAsia="zh-CN"/>
        </w:rPr>
      </w:pPr>
      <w:r>
        <w:rPr>
          <w:rFonts w:ascii="仿宋_GB2312" w:eastAsia="仿宋_GB2312" w:hint="eastAsia"/>
          <w:color w:val="auto"/>
          <w:sz w:val="32"/>
          <w:szCs w:val="32"/>
          <w:lang w:val="en-US" w:eastAsia="zh-CN"/>
        </w:rPr>
        <w:t>7.</w:t>
      </w:r>
      <w:r>
        <w:rPr>
          <w:rFonts w:ascii="仿宋_GB2312" w:eastAsia="仿宋_GB2312" w:hint="eastAsia"/>
          <w:color w:val="auto"/>
          <w:sz w:val="32"/>
          <w:szCs w:val="32"/>
        </w:rPr>
        <w:t>一般公共服务（类）</w:t>
      </w:r>
      <w:r>
        <w:rPr>
          <w:rFonts w:ascii="仿宋_GB2312" w:eastAsia="仿宋_GB2312" w:hint="eastAsia"/>
          <w:color w:val="auto"/>
          <w:sz w:val="32"/>
          <w:szCs w:val="32"/>
          <w:lang w:val="en-US" w:eastAsia="zh-CN"/>
        </w:rPr>
        <w:t>政府办公厅（室）及相关机构事务</w:t>
      </w:r>
      <w:r>
        <w:rPr>
          <w:rFonts w:ascii="仿宋_GB2312" w:eastAsia="仿宋_GB2312" w:hint="eastAsia"/>
          <w:color w:val="auto"/>
          <w:sz w:val="32"/>
          <w:szCs w:val="32"/>
        </w:rPr>
        <w:t>（款）</w:t>
      </w:r>
      <w:r>
        <w:rPr>
          <w:rFonts w:ascii="仿宋_GB2312" w:eastAsia="仿宋_GB2312" w:hint="eastAsia"/>
          <w:color w:val="auto"/>
          <w:sz w:val="32"/>
          <w:szCs w:val="32"/>
          <w:lang w:val="en-US" w:eastAsia="zh-CN"/>
        </w:rPr>
        <w:t>一般行政管理事务</w:t>
      </w:r>
      <w:r>
        <w:rPr>
          <w:rFonts w:ascii="仿宋_GB2312" w:eastAsia="仿宋_GB2312" w:hint="eastAsia"/>
          <w:color w:val="auto"/>
          <w:sz w:val="32"/>
          <w:szCs w:val="32"/>
        </w:rPr>
        <w:t>（项）：</w:t>
      </w:r>
      <w:r>
        <w:rPr>
          <w:rFonts w:ascii="仿宋_GB2312" w:eastAsia="仿宋_GB2312" w:hint="eastAsia"/>
          <w:color w:val="auto"/>
          <w:sz w:val="32"/>
          <w:szCs w:val="32"/>
          <w:lang w:val="en-US" w:eastAsia="zh-CN"/>
        </w:rPr>
        <w:t>指行政单位未单独设置项级科目的其他项目支出</w:t>
      </w:r>
      <w:r>
        <w:rPr>
          <w:rFonts w:ascii="仿宋_GB2312" w:eastAsia="仿宋_GB2312" w:hint="eastAsia"/>
          <w:color w:val="auto"/>
          <w:sz w:val="32"/>
          <w:szCs w:val="32"/>
          <w:lang w:eastAsia="zh-CN"/>
        </w:rPr>
        <w:t>。</w:t>
      </w:r>
    </w:p>
    <w:p>
      <w:pPr>
        <w:pStyle w:val="32"/>
        <w:spacing w:line="560" w:lineRule="exact"/>
        <w:ind w:firstLineChars="200" w:firstLine="640"/>
        <w:rPr>
          <w:rFonts w:ascii="仿宋_GB2312" w:eastAsia="仿宋_GB2312" w:hint="eastAsia"/>
          <w:color w:val="auto"/>
          <w:sz w:val="32"/>
          <w:szCs w:val="32"/>
          <w:lang w:eastAsia="zh-CN"/>
        </w:rPr>
      </w:pPr>
      <w:r>
        <w:rPr>
          <w:rFonts w:ascii="仿宋_GB2312" w:eastAsia="仿宋_GB2312" w:hint="eastAsia"/>
          <w:color w:val="auto"/>
          <w:sz w:val="32"/>
          <w:szCs w:val="32"/>
          <w:lang w:val="en-US" w:eastAsia="zh-CN"/>
        </w:rPr>
        <w:t>8.</w:t>
      </w:r>
      <w:r>
        <w:rPr>
          <w:rFonts w:ascii="仿宋_GB2312" w:eastAsia="仿宋_GB2312" w:hint="eastAsia"/>
          <w:color w:val="auto"/>
          <w:sz w:val="32"/>
          <w:szCs w:val="32"/>
        </w:rPr>
        <w:t>一般公共服务（类）</w:t>
      </w:r>
      <w:r>
        <w:rPr>
          <w:rFonts w:ascii="仿宋_GB2312" w:eastAsia="仿宋_GB2312" w:hint="eastAsia"/>
          <w:color w:val="auto"/>
          <w:sz w:val="32"/>
          <w:szCs w:val="32"/>
          <w:lang w:val="en-US" w:eastAsia="zh-CN"/>
        </w:rPr>
        <w:t>政府办公厅（室）及相关机构事务</w:t>
      </w:r>
      <w:r>
        <w:rPr>
          <w:rFonts w:ascii="仿宋_GB2312" w:eastAsia="仿宋_GB2312" w:hint="eastAsia"/>
          <w:color w:val="auto"/>
          <w:sz w:val="32"/>
          <w:szCs w:val="32"/>
        </w:rPr>
        <w:t>（款）</w:t>
      </w:r>
      <w:r>
        <w:rPr>
          <w:rFonts w:ascii="仿宋_GB2312" w:eastAsia="仿宋_GB2312" w:hint="eastAsia"/>
          <w:color w:val="auto"/>
          <w:sz w:val="32"/>
          <w:szCs w:val="32"/>
          <w:lang w:val="en-US" w:eastAsia="zh-CN"/>
        </w:rPr>
        <w:t>事业运行</w:t>
      </w:r>
      <w:r>
        <w:rPr>
          <w:rFonts w:ascii="仿宋_GB2312" w:eastAsia="仿宋_GB2312" w:hint="eastAsia"/>
          <w:color w:val="auto"/>
          <w:sz w:val="32"/>
          <w:szCs w:val="32"/>
        </w:rPr>
        <w:t>（项）：</w:t>
      </w:r>
      <w:r>
        <w:rPr>
          <w:rFonts w:ascii="仿宋_GB2312" w:eastAsia="仿宋_GB2312" w:hint="eastAsia"/>
          <w:color w:val="auto"/>
          <w:sz w:val="32"/>
          <w:szCs w:val="32"/>
          <w:lang w:val="en-US" w:eastAsia="zh-CN"/>
        </w:rPr>
        <w:t>指事业单位的基本支出，不包括行政事业后勤服务中心、医务室等附属事业单位</w:t>
      </w:r>
      <w:r>
        <w:rPr>
          <w:rFonts w:ascii="仿宋_GB2312" w:eastAsia="仿宋_GB2312" w:hint="eastAsia"/>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hint="eastAsia"/>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9.一般公共服务（类）财政事务（款）行政运行（项）：指行政单位（包括实行公务员管理的事业单位）的基本支出。</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hint="eastAsia"/>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10.一般公共服务（类）党委办公厅（室）及相关机构事务（款）行政运行（项）：指行政单位（包括实行公务员管理的事业单位）的基本支出。</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hint="eastAsia"/>
          <w:color w:val="auto"/>
          <w:sz w:val="32"/>
          <w:szCs w:val="32"/>
          <w:lang w:eastAsia="zh-CN"/>
        </w:rPr>
      </w:pPr>
      <w:r>
        <w:rPr>
          <w:rFonts w:ascii="仿宋_GB2312" w:eastAsia="仿宋_GB2312" w:cs="仿宋" w:hAnsi="Calibri" w:hint="eastAsia"/>
          <w:color w:val="auto"/>
          <w:kern w:val="0"/>
          <w:sz w:val="32"/>
          <w:szCs w:val="32"/>
          <w:lang w:val="en-US" w:eastAsia="zh-CN" w:bidi="ar-SA"/>
        </w:rPr>
        <w:t>11.</w:t>
      </w:r>
      <w:r>
        <w:rPr>
          <w:rFonts w:ascii="仿宋_GB2312" w:eastAsia="仿宋_GB2312" w:hint="eastAsia"/>
          <w:color w:val="auto"/>
          <w:sz w:val="32"/>
          <w:szCs w:val="32"/>
        </w:rPr>
        <w:t>一般公共服务（类）</w:t>
      </w:r>
      <w:r>
        <w:rPr>
          <w:rFonts w:ascii="仿宋_GB2312" w:eastAsia="仿宋_GB2312" w:hint="eastAsia"/>
          <w:color w:val="auto"/>
          <w:sz w:val="32"/>
          <w:szCs w:val="32"/>
          <w:lang w:val="en-US" w:eastAsia="zh-CN"/>
        </w:rPr>
        <w:t>党委办公厅（室）及相关机构事务</w:t>
      </w:r>
      <w:r>
        <w:rPr>
          <w:rFonts w:ascii="仿宋_GB2312" w:eastAsia="仿宋_GB2312" w:hint="eastAsia"/>
          <w:color w:val="auto"/>
          <w:sz w:val="32"/>
          <w:szCs w:val="32"/>
        </w:rPr>
        <w:t>（款）</w:t>
      </w:r>
      <w:r>
        <w:rPr>
          <w:rFonts w:ascii="仿宋_GB2312" w:eastAsia="仿宋_GB2312" w:hint="eastAsia"/>
          <w:color w:val="auto"/>
          <w:sz w:val="32"/>
          <w:szCs w:val="32"/>
          <w:lang w:val="en-US" w:eastAsia="zh-CN"/>
        </w:rPr>
        <w:t>专项业务</w:t>
      </w:r>
      <w:r>
        <w:rPr>
          <w:rFonts w:ascii="仿宋_GB2312" w:eastAsia="仿宋_GB2312" w:hint="eastAsia"/>
          <w:color w:val="auto"/>
          <w:sz w:val="32"/>
          <w:szCs w:val="32"/>
        </w:rPr>
        <w:t>（项）：</w:t>
      </w:r>
      <w:r>
        <w:rPr>
          <w:rFonts w:ascii="仿宋_GB2312" w:eastAsia="仿宋_GB2312" w:hint="eastAsia"/>
          <w:color w:val="auto"/>
          <w:sz w:val="32"/>
          <w:szCs w:val="32"/>
          <w:lang w:eastAsia="zh-CN"/>
        </w:rPr>
        <w:t>指</w:t>
      </w:r>
      <w:r>
        <w:rPr>
          <w:rFonts w:ascii="仿宋_GB2312" w:eastAsia="仿宋_GB2312" w:hint="eastAsia"/>
          <w:color w:val="auto"/>
          <w:sz w:val="32"/>
          <w:szCs w:val="32"/>
          <w:lang w:val="en-US" w:eastAsia="zh-CN"/>
        </w:rPr>
        <w:t>党委办公厅（室）及相关机构开展专项业务所发生的支出</w:t>
      </w:r>
      <w:r>
        <w:rPr>
          <w:rFonts w:ascii="仿宋_GB2312" w:eastAsia="仿宋_GB2312" w:hint="eastAsia"/>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color w:val="0000FF"/>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12.文化旅游体育与传媒（类）文化和旅游（款）行政运行（项）:指行政单位（包括实行公务员管理的事业单位）的基本支出。</w:t>
      </w:r>
    </w:p>
    <w:p>
      <w:pPr>
        <w:spacing w:line="600" w:lineRule="exact"/>
        <w:ind w:firstLineChars="200" w:firstLine="640"/>
        <w:rPr>
          <w:rFonts w:ascii="仿宋_GB2312" w:eastAsia="仿宋_GB2312" w:hint="eastAsia"/>
          <w:color w:val="auto"/>
          <w:sz w:val="32"/>
          <w:szCs w:val="32"/>
          <w:lang w:val="en-US" w:eastAsia="zh-CN"/>
        </w:rPr>
      </w:pPr>
      <w:r>
        <w:rPr>
          <w:rFonts w:ascii="仿宋_GB2312" w:eastAsia="仿宋_GB2312" w:cs="仿宋" w:hAnsi="Calibri" w:hint="eastAsia"/>
          <w:color w:val="auto"/>
          <w:kern w:val="0"/>
          <w:sz w:val="32"/>
          <w:szCs w:val="32"/>
          <w:lang w:val="en-US" w:eastAsia="zh-CN" w:bidi="ar-SA"/>
        </w:rPr>
        <w:t xml:space="preserve">13.文化旅游体育与传媒（类）其他文化旅游体育与传媒支出（款）其他文化旅游体育与传媒支出（项）: </w:t>
      </w:r>
      <w:r>
        <w:rPr>
          <w:rFonts w:ascii="仿宋_GB2312" w:eastAsia="仿宋_GB2312" w:hint="eastAsia"/>
          <w:color w:val="auto"/>
          <w:sz w:val="32"/>
          <w:szCs w:val="32"/>
          <w:lang w:val="en-US" w:eastAsia="zh-CN"/>
        </w:rPr>
        <w:t>指文化体育与传媒支出所列项目以外的其他用于文化体育与传媒方面的支出。</w:t>
      </w:r>
    </w:p>
    <w:p>
      <w:pPr>
        <w:spacing w:line="600" w:lineRule="exact"/>
        <w:ind w:firstLineChars="200" w:firstLine="640"/>
        <w:rPr>
          <w:rFonts w:ascii="仿宋_GB2312" w:eastAsia="仿宋_GB2312" w:cs="仿宋" w:hAnsi="Calibri" w:hint="eastAsia"/>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 xml:space="preserve">14.社会保障和就业（类）行政事业单位养老支出（款）机关事业单位基本养老保险缴费支出（项）: </w:t>
      </w:r>
      <w:r>
        <w:rPr>
          <w:rFonts w:ascii="仿宋_GB2312" w:eastAsia="仿宋_GB2312" w:hint="eastAsia"/>
          <w:color w:val="auto"/>
          <w:sz w:val="32"/>
          <w:szCs w:val="32"/>
          <w:lang w:eastAsia="zh-CN"/>
        </w:rPr>
        <w:t>指</w:t>
      </w:r>
      <w:r>
        <w:rPr>
          <w:rFonts w:ascii="仿宋_GB2312" w:eastAsia="仿宋_GB2312" w:hint="eastAsia"/>
          <w:color w:val="auto"/>
          <w:sz w:val="32"/>
          <w:szCs w:val="32"/>
          <w:lang w:val="en-US" w:eastAsia="zh-CN"/>
        </w:rPr>
        <w:t>机关事业单位实施养老保险制度由单位缴纳的基本养老保险支出</w:t>
      </w:r>
      <w:r>
        <w:rPr>
          <w:rFonts w:ascii="仿宋_GB2312" w:eastAsia="仿宋_GB2312" w:hint="eastAsia"/>
          <w:color w:val="auto"/>
          <w:sz w:val="32"/>
          <w:szCs w:val="32"/>
          <w:lang w:eastAsia="zh-CN"/>
        </w:rPr>
        <w:t>。</w:t>
      </w:r>
    </w:p>
    <w:p>
      <w:pPr>
        <w:spacing w:line="600" w:lineRule="exact"/>
        <w:ind w:firstLineChars="200" w:firstLine="640"/>
        <w:rPr>
          <w:rFonts w:ascii="仿宋_GB2312" w:eastAsia="仿宋_GB2312" w:cs="仿宋" w:hAnsi="Calibri" w:hint="eastAsia"/>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 xml:space="preserve">15.社会保障和就业（类）抚恤（款）义务兵优待（项）: </w:t>
      </w:r>
      <w:r>
        <w:rPr>
          <w:rFonts w:ascii="仿宋_GB2312" w:eastAsia="仿宋_GB2312" w:hint="eastAsia"/>
          <w:color w:val="auto"/>
          <w:sz w:val="32"/>
          <w:szCs w:val="32"/>
          <w:lang w:eastAsia="zh-CN"/>
        </w:rPr>
        <w:t>指</w:t>
      </w:r>
      <w:r>
        <w:rPr>
          <w:rFonts w:ascii="仿宋_GB2312" w:eastAsia="仿宋_GB2312" w:hint="eastAsia"/>
          <w:color w:val="auto"/>
          <w:sz w:val="32"/>
          <w:szCs w:val="32"/>
          <w:lang w:val="en-US" w:eastAsia="zh-CN"/>
        </w:rPr>
        <w:t>用于义务兵优待方面的支出</w:t>
      </w:r>
      <w:r>
        <w:rPr>
          <w:rFonts w:ascii="仿宋_GB2312" w:eastAsia="仿宋_GB2312" w:cs="仿宋" w:hAnsi="Calibri" w:hint="eastAsia"/>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16.社会保障和就业（类）其他社会保障和就业支出（款）其他社会保障和就业支出（项）:</w:t>
      </w:r>
      <w:r>
        <w:rPr>
          <w:rFonts w:ascii="仿宋_GB2312" w:eastAsia="仿宋_GB2312" w:hint="eastAsia"/>
          <w:color w:val="auto"/>
          <w:sz w:val="32"/>
          <w:szCs w:val="32"/>
          <w:lang w:eastAsia="zh-CN"/>
        </w:rPr>
        <w:t>指</w:t>
      </w:r>
      <w:r>
        <w:rPr>
          <w:rFonts w:ascii="仿宋_GB2312" w:eastAsia="仿宋_GB2312" w:hint="eastAsia"/>
          <w:color w:val="auto"/>
          <w:sz w:val="32"/>
          <w:szCs w:val="32"/>
          <w:lang w:val="en-US" w:eastAsia="zh-CN"/>
        </w:rPr>
        <w:t>除社会保障和就业支出项目以外其他用于社会保障和就业方面的支出</w:t>
      </w:r>
      <w:r>
        <w:rPr>
          <w:rFonts w:ascii="仿宋_GB2312" w:eastAsia="仿宋_GB2312" w:cs="仿宋" w:hAnsi="Calibri" w:hint="eastAsia"/>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olor w:val="auto"/>
          <w:sz w:val="32"/>
          <w:szCs w:val="32"/>
          <w:lang w:val="en-US" w:eastAsia="zh-CN"/>
        </w:rPr>
      </w:pPr>
      <w:r>
        <w:rPr>
          <w:rFonts w:ascii="仿宋_GB2312" w:eastAsia="仿宋_GB2312" w:hint="eastAsia"/>
          <w:color w:val="auto"/>
          <w:sz w:val="32"/>
          <w:szCs w:val="32"/>
          <w:lang w:val="en-US" w:eastAsia="zh-CN"/>
        </w:rPr>
        <w:t>17.卫生健康（类）计划生育事务（款）计划生育机构（项）:指卫生健康部门所属计划生育机构的支出。</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hint="eastAsia"/>
          <w:color w:val="auto"/>
          <w:sz w:val="32"/>
          <w:szCs w:val="32"/>
          <w:lang w:val="en-US" w:eastAsia="zh-CN"/>
        </w:rPr>
      </w:pPr>
      <w:r>
        <w:rPr>
          <w:rFonts w:ascii="仿宋_GB2312" w:eastAsia="仿宋_GB2312" w:hint="eastAsia"/>
          <w:color w:val="auto"/>
          <w:sz w:val="32"/>
          <w:szCs w:val="32"/>
          <w:lang w:val="en-US" w:eastAsia="zh-CN"/>
        </w:rPr>
        <w:t>18.卫生健康（类）计划生育事务（款）计划生育服务（项）:指计划生育服务支出。</w:t>
      </w:r>
    </w:p>
    <w:p>
      <w:pPr>
        <w:spacing w:line="600" w:lineRule="exact"/>
        <w:ind w:firstLineChars="200" w:firstLine="640"/>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19.卫生健康（类）行政事业单位医疗（款）行政单位医疗（项）:</w:t>
      </w:r>
      <w:r>
        <w:rPr>
          <w:rFonts w:ascii="仿宋_GB2312" w:eastAsia="仿宋_GB2312" w:hint="eastAsia"/>
          <w:color w:val="auto"/>
          <w:sz w:val="32"/>
          <w:szCs w:val="32"/>
          <w:lang w:eastAsia="zh-CN"/>
        </w:rPr>
        <w:t>指</w:t>
      </w:r>
      <w:r>
        <w:rPr>
          <w:rFonts w:ascii="仿宋_GB2312" w:eastAsia="仿宋_GB2312" w:hint="eastAsia"/>
          <w:color w:val="auto"/>
          <w:sz w:val="32"/>
          <w:szCs w:val="32"/>
          <w:lang w:val="en-US" w:eastAsia="zh-CN"/>
        </w:rPr>
        <w:t>财政部门集中安排的行政单位基本医疗保险缴费经费，未参加医疗保险的行政单位的公费医疗经费，按国家规定享受离休人员、红军老战士待遇人员的医疗经费</w:t>
      </w:r>
      <w:r>
        <w:rPr>
          <w:rFonts w:ascii="仿宋_GB2312" w:eastAsia="仿宋_GB2312" w:cs="仿宋" w:hAnsi="Calibri" w:hint="eastAsia"/>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color w:val="0000FF"/>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20.城乡社区（类）城乡社区管理事务（款）行政运行（项）:指行政单位（包括实行公务员管理的事业单位）的基本支出。</w:t>
      </w:r>
    </w:p>
    <w:p>
      <w:pPr>
        <w:spacing w:line="600" w:lineRule="exact"/>
        <w:ind w:firstLineChars="200" w:firstLine="640"/>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21.城乡社区（类）城乡社区管理事务（款）一般行政管理事务（项）:</w:t>
      </w:r>
      <w:r>
        <w:rPr>
          <w:rFonts w:ascii="仿宋_GB2312" w:eastAsia="仿宋_GB2312" w:hint="eastAsia"/>
          <w:color w:val="auto"/>
          <w:sz w:val="32"/>
          <w:szCs w:val="32"/>
          <w:lang w:val="en-US" w:eastAsia="zh-CN"/>
        </w:rPr>
        <w:t>行政单位未单独设置项级科目的其他项目支出</w:t>
      </w:r>
      <w:r>
        <w:rPr>
          <w:rFonts w:ascii="仿宋_GB2312" w:eastAsia="仿宋_GB2312" w:cs="仿宋" w:hAnsi="Calibri" w:hint="eastAsia"/>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22.农林水（类）农业农村（款）行政运行（项）:指行政单位（包括实行公务员管理的事业单位）的基本支出。</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23.农林水（类）农业农村（款）其他农业农村支出（项）:指农业农村支出所列项目以外的其他用于农业农村方面的支出。</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24.农林水（类）林业和草原（款）林业草原防灾减灾（项）:</w:t>
      </w:r>
      <w:r>
        <w:rPr>
          <w:rFonts w:ascii="仿宋_GB2312" w:eastAsia="仿宋_GB2312" w:hint="eastAsia"/>
          <w:color w:val="auto"/>
          <w:sz w:val="32"/>
          <w:szCs w:val="32"/>
          <w:lang w:eastAsia="zh-CN"/>
        </w:rPr>
        <w:t>指用于病虫害等有害生物灾害、森林草原防火、野生动物疫病灾害等方面的支出</w:t>
      </w:r>
      <w:r>
        <w:rPr>
          <w:rFonts w:ascii="仿宋_GB2312" w:eastAsia="仿宋_GB2312" w:cs="仿宋" w:hAnsi="Calibri" w:hint="eastAsia"/>
          <w:color w:val="auto"/>
          <w:kern w:val="0"/>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25.农林水（类）扶贫（款）社会发展支出（项）:指用于农村贫困地区中小学教育、文化、广播、电视、医疗、卫生等方面的项目支出。</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26.农林水（类）扶贫（款）其他扶贫支出（项）:指扶贫项目支出以外其他用于扶贫方面的支出。</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27.农林水（类）农村综合改革（款）对村民委员会和村党支部的补助（项）:</w:t>
      </w:r>
      <w:r>
        <w:rPr>
          <w:rFonts w:ascii="仿宋_GB2312" w:eastAsia="仿宋_GB2312" w:hint="eastAsia"/>
          <w:color w:val="auto"/>
          <w:sz w:val="32"/>
          <w:szCs w:val="32"/>
          <w:lang w:eastAsia="zh-CN"/>
        </w:rPr>
        <w:t>指</w:t>
      </w:r>
      <w:r>
        <w:rPr>
          <w:rFonts w:ascii="仿宋_GB2312" w:eastAsia="仿宋_GB2312" w:hint="eastAsia"/>
          <w:color w:val="auto"/>
          <w:sz w:val="32"/>
          <w:szCs w:val="32"/>
          <w:lang w:val="en-US" w:eastAsia="zh-CN"/>
        </w:rPr>
        <w:t>各级财政对村民委员会和村党支部的补助支出，以及支持建立县级基本财力保障机制安排的村级组织运转奖励金</w:t>
      </w:r>
      <w:r>
        <w:rPr>
          <w:rFonts w:ascii="仿宋_GB2312" w:eastAsia="仿宋_GB2312" w:cs="仿宋" w:hAnsi="Calibri" w:hint="eastAsia"/>
          <w:color w:val="auto"/>
          <w:kern w:val="0"/>
          <w:sz w:val="32"/>
          <w:szCs w:val="32"/>
          <w:lang w:val="en-US" w:eastAsia="zh-CN" w:bidi="ar-SA"/>
        </w:rPr>
        <w:t>。</w:t>
      </w:r>
    </w:p>
    <w:p>
      <w:pPr>
        <w:spacing w:line="600" w:lineRule="exact"/>
        <w:ind w:firstLineChars="200" w:firstLine="640"/>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25.农林水（类）农村综合改革（款）其他农村综合改革支出（项）:指农村综合改革支出项目以外其他用于农村综合改革方面的支出。</w:t>
      </w:r>
    </w:p>
    <w:p>
      <w:pPr>
        <w:spacing w:line="600" w:lineRule="exact"/>
        <w:ind w:firstLineChars="200" w:firstLine="640"/>
        <w:rPr>
          <w:rFonts w:ascii="仿宋_GB2312" w:eastAsia="仿宋_GB2312" w:cs="仿宋" w:hAnsi="Calibri"/>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26.住房保障（类）住房改革支出（款）住房公积金（项）:</w:t>
      </w:r>
      <w:r>
        <w:rPr>
          <w:rFonts w:ascii="仿宋_GB2312" w:eastAsia="仿宋_GB2312" w:hint="eastAsia"/>
          <w:color w:val="auto"/>
          <w:sz w:val="32"/>
          <w:szCs w:val="32"/>
          <w:lang w:eastAsia="zh-CN"/>
        </w:rPr>
        <w:t>指</w:t>
      </w:r>
      <w:r>
        <w:rPr>
          <w:rFonts w:ascii="仿宋_GB2312" w:eastAsia="仿宋_GB2312" w:hint="eastAsia"/>
          <w:color w:val="auto"/>
          <w:sz w:val="32"/>
          <w:szCs w:val="32"/>
          <w:lang w:val="en-US" w:eastAsia="zh-CN"/>
        </w:rPr>
        <w:t>行政事业单位按人力资源和社会保障部、财政部规定的基本工资和津贴补贴以及规定比例为职工缴纳的住房公积金</w:t>
      </w:r>
      <w:r>
        <w:rPr>
          <w:rFonts w:ascii="仿宋_GB2312" w:eastAsia="仿宋_GB2312" w:cs="仿宋" w:hAnsi="Calibri" w:hint="eastAsia"/>
          <w:color w:val="auto"/>
          <w:kern w:val="0"/>
          <w:sz w:val="32"/>
          <w:szCs w:val="32"/>
          <w:lang w:val="en-US" w:eastAsia="zh-CN" w:bidi="ar-SA"/>
        </w:rPr>
        <w:t>。</w:t>
      </w:r>
    </w:p>
    <w:p>
      <w:pPr>
        <w:spacing w:line="600" w:lineRule="exact"/>
        <w:ind w:firstLineChars="200" w:firstLine="640"/>
        <w:rPr>
          <w:rFonts w:ascii="仿宋_GB2312" w:eastAsia="仿宋_GB2312" w:cs="仿宋" w:hAnsi="Calibri" w:hint="eastAsia"/>
          <w:color w:val="auto"/>
          <w:kern w:val="0"/>
          <w:sz w:val="32"/>
          <w:szCs w:val="32"/>
          <w:lang w:val="en-US" w:eastAsia="zh-CN" w:bidi="ar-SA"/>
        </w:rPr>
      </w:pPr>
      <w:r>
        <w:rPr>
          <w:rFonts w:ascii="仿宋_GB2312" w:eastAsia="仿宋_GB2312" w:cs="仿宋" w:hAnsi="Calibri" w:hint="eastAsia"/>
          <w:color w:val="auto"/>
          <w:kern w:val="0"/>
          <w:sz w:val="32"/>
          <w:szCs w:val="32"/>
          <w:lang w:val="en-US" w:eastAsia="zh-CN" w:bidi="ar-SA"/>
        </w:rPr>
        <w:t>27.灾害防治及应急管理（类）自然灾害救灾及恢复重建支出（款）其他自然灾害救灾及恢复重建支出（项）：</w:t>
      </w:r>
      <w:r>
        <w:rPr>
          <w:rFonts w:ascii="仿宋_GB2312" w:eastAsia="仿宋_GB2312" w:hint="eastAsia"/>
          <w:color w:val="auto"/>
          <w:sz w:val="32"/>
          <w:szCs w:val="32"/>
          <w:lang w:val="en-US" w:eastAsia="zh-CN"/>
        </w:rPr>
        <w:t>指自然灾害救灾及恢复重建支出项目以外其他用于自然灾害救灾、灾后恢复重建等方面的支出</w:t>
      </w:r>
      <w:r>
        <w:rPr>
          <w:rFonts w:ascii="仿宋_GB2312" w:eastAsia="仿宋_GB2312" w:cs="仿宋" w:hAnsi="Calibri" w:hint="eastAsia"/>
          <w:color w:val="auto"/>
          <w:kern w:val="0"/>
          <w:sz w:val="32"/>
          <w:szCs w:val="32"/>
          <w:lang w:val="en-US" w:eastAsia="zh-CN" w:bidi="ar-SA"/>
        </w:rPr>
        <w:t>。</w:t>
      </w:r>
    </w:p>
    <w:p>
      <w:pPr>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lang w:val="en-US" w:eastAsia="zh-CN"/>
        </w:rPr>
        <w:t>8</w:t>
      </w:r>
      <w:r>
        <w:rPr>
          <w:rFonts w:ascii="仿宋_GB2312" w:eastAsia="仿宋_GB2312"/>
          <w:color w:val="auto"/>
          <w:sz w:val="32"/>
          <w:szCs w:val="32"/>
        </w:rPr>
        <w:t>.</w:t>
      </w:r>
      <w:r>
        <w:rPr>
          <w:rFonts w:ascii="仿宋_GB2312" w:eastAsia="仿宋_GB2312" w:hint="eastAsia"/>
          <w:color w:val="auto"/>
          <w:sz w:val="32"/>
          <w:szCs w:val="32"/>
        </w:rPr>
        <w:t>基本支出：指为保障机构正常运转、完成日常工作任务而发生的人员支出和公用支出。</w:t>
      </w:r>
    </w:p>
    <w:p>
      <w:pPr>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lang w:val="en-US" w:eastAsia="zh-CN"/>
        </w:rPr>
        <w:t>9</w:t>
      </w:r>
      <w:r>
        <w:rPr>
          <w:rFonts w:ascii="仿宋_GB2312" w:eastAsia="仿宋_GB2312"/>
          <w:color w:val="auto"/>
          <w:sz w:val="32"/>
          <w:szCs w:val="32"/>
        </w:rPr>
        <w:t>.</w:t>
      </w:r>
      <w:r>
        <w:rPr>
          <w:rFonts w:ascii="仿宋_GB2312" w:eastAsia="仿宋_GB2312" w:hint="eastAsia"/>
          <w:color w:val="auto"/>
          <w:sz w:val="32"/>
          <w:szCs w:val="32"/>
        </w:rPr>
        <w:t>项目支出：指在基本支出之外为完成特定行政任务和事业发展目标所发生的支出。</w:t>
      </w:r>
      <w:r>
        <w:rPr>
          <w:rFonts w:ascii="仿宋_GB2312" w:eastAsia="仿宋_GB2312"/>
          <w:color w:val="auto"/>
          <w:sz w:val="32"/>
          <w:szCs w:val="32"/>
        </w:rPr>
        <w:t xml:space="preserve"> </w:t>
      </w:r>
    </w:p>
    <w:p>
      <w:pPr>
        <w:pStyle w:val="32"/>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2"/>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color w:val="auto"/>
          <w:lang w:val="zh-CN"/>
        </w:rPr>
      </w:pPr>
      <w:bookmarkStart w:id="58" w:name="_Toc15377226"/>
      <w:r>
        <w:rPr>
          <w:rFonts w:ascii="宋体"/>
          <w:b/>
          <w:color w:val="auto"/>
          <w:sz w:val="44"/>
          <w:szCs w:val="44"/>
        </w:rPr>
        <w:br w:type="page"/>
      </w:r>
      <w:bookmarkStart w:id="59" w:name="_Toc15396614"/>
      <w:r>
        <w:rPr>
          <w:rFonts w:ascii="黑体" w:eastAsia="黑体" w:hAnsi="黑体" w:hint="eastAsia"/>
          <w:color w:val="auto"/>
          <w:sz w:val="44"/>
          <w:szCs w:val="44"/>
        </w:rPr>
        <w:t>第</w:t>
      </w:r>
      <w:r>
        <w:rPr>
          <w:rStyle w:val="1Char"/>
          <w:rFonts w:ascii="黑体" w:eastAsia="黑体" w:hAnsi="黑体" w:hint="eastAsia"/>
          <w:b w:val="0"/>
          <w:color w:val="auto"/>
        </w:rPr>
        <w:t>四部分 附件</w:t>
      </w:r>
      <w:bookmarkEnd w:id="59"/>
    </w:p>
    <w:p>
      <w:pPr>
        <w:keepNext w:val="0"/>
        <w:keepLines w:val="0"/>
        <w:pageBreakBefore w:val="0"/>
        <w:kinsoku/>
        <w:wordWrap/>
        <w:overflowPunct/>
        <w:topLinePunct w:val="0"/>
        <w:autoSpaceDE/>
        <w:autoSpaceDN/>
        <w:bidi w:val="0"/>
        <w:spacing w:line="572" w:lineRule="exact"/>
        <w:jc w:val="center"/>
        <w:textAlignment w:val="auto"/>
        <w:rPr>
          <w:rFonts w:ascii="方正小标宋简体" w:eastAsia="方正小标宋简体" w:hAnsi="宋体" w:hint="eastAsia"/>
          <w:color w:val="auto"/>
          <w:kern w:val="0"/>
          <w:sz w:val="40"/>
          <w:szCs w:val="44"/>
        </w:rPr>
      </w:pPr>
    </w:p>
    <w:p>
      <w:pPr>
        <w:keepNext w:val="0"/>
        <w:keepLines w:val="0"/>
        <w:pageBreakBefore w:val="0"/>
        <w:kinsoku/>
        <w:wordWrap/>
        <w:overflowPunct/>
        <w:topLinePunct w:val="0"/>
        <w:autoSpaceDE/>
        <w:autoSpaceDN/>
        <w:bidi w:val="0"/>
        <w:spacing w:line="572" w:lineRule="exact"/>
        <w:jc w:val="center"/>
        <w:textAlignment w:val="auto"/>
        <w:rPr>
          <w:rFonts w:ascii="黑体" w:eastAsia="黑体" w:cs="宋体" w:hAnsi="宋体"/>
          <w:color w:val="auto"/>
          <w:kern w:val="0"/>
          <w:sz w:val="24"/>
          <w:szCs w:val="32"/>
          <w:shd w:val="clear" w:color="auto" w:fill="FFFFFF"/>
        </w:rPr>
      </w:pPr>
      <w:r>
        <w:rPr>
          <w:rFonts w:ascii="方正小标宋简体" w:eastAsia="方正小标宋简体" w:hAnsi="宋体" w:hint="eastAsia"/>
          <w:color w:val="auto"/>
          <w:kern w:val="0"/>
          <w:sz w:val="40"/>
          <w:szCs w:val="44"/>
        </w:rPr>
        <w:t>202</w:t>
      </w:r>
      <w:r>
        <w:rPr>
          <w:rFonts w:ascii="方正小标宋简体" w:eastAsia="方正小标宋简体" w:hAnsi="宋体" w:hint="eastAsia"/>
          <w:color w:val="auto"/>
          <w:kern w:val="0"/>
          <w:sz w:val="40"/>
          <w:szCs w:val="44"/>
          <w:lang w:val="en-US" w:eastAsia="zh-CN"/>
        </w:rPr>
        <w:t>1</w:t>
      </w:r>
      <w:r>
        <w:rPr>
          <w:rFonts w:ascii="方正小标宋简体" w:eastAsia="方正小标宋简体" w:hAnsi="宋体" w:hint="eastAsia"/>
          <w:color w:val="auto"/>
          <w:kern w:val="0"/>
          <w:sz w:val="40"/>
          <w:szCs w:val="44"/>
        </w:rPr>
        <w:t>年</w:t>
      </w:r>
      <w:r>
        <w:rPr>
          <w:rFonts w:ascii="方正小标宋简体" w:eastAsia="方正小标宋简体" w:hAnsi="宋体" w:hint="eastAsia"/>
          <w:color w:val="auto"/>
          <w:kern w:val="0"/>
          <w:sz w:val="40"/>
          <w:szCs w:val="44"/>
          <w:lang w:val="en-US" w:eastAsia="zh-CN"/>
        </w:rPr>
        <w:t>荣山镇人民政府</w:t>
      </w:r>
      <w:r>
        <w:rPr>
          <w:rFonts w:ascii="方正小标宋简体" w:eastAsia="方正小标宋简体" w:hAnsi="宋体" w:hint="eastAsia"/>
          <w:color w:val="auto"/>
          <w:kern w:val="0"/>
          <w:sz w:val="40"/>
          <w:szCs w:val="44"/>
        </w:rPr>
        <w:t>部门整体绩效评价报告</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黑体" w:eastAsia="黑体" w:cs="宋体" w:hAnsi="宋体"/>
          <w:color w:val="auto"/>
          <w:kern w:val="0"/>
          <w:sz w:val="32"/>
          <w:szCs w:val="32"/>
          <w:shd w:val="clear" w:color="auto" w:fill="FFFFFF"/>
          <w:lang w:val="zh-CN"/>
        </w:rPr>
      </w:pPr>
      <w:r>
        <w:rPr>
          <w:rFonts w:ascii="黑体" w:eastAsia="黑体" w:cs="宋体" w:hAnsi="宋体" w:hint="eastAsia"/>
          <w:color w:val="auto"/>
          <w:kern w:val="0"/>
          <w:sz w:val="32"/>
          <w:szCs w:val="32"/>
          <w:shd w:val="clear" w:color="auto" w:fill="FFFFFF"/>
        </w:rPr>
        <w:t>一、</w:t>
      </w:r>
      <w:r>
        <w:rPr>
          <w:rFonts w:ascii="黑体" w:eastAsia="黑体" w:cs="宋体" w:hAnsi="宋体" w:hint="eastAsia"/>
          <w:color w:val="auto"/>
          <w:kern w:val="0"/>
          <w:sz w:val="32"/>
          <w:szCs w:val="32"/>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hint="eastAsia"/>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（一）机构组成。</w:t>
      </w:r>
    </w:p>
    <w:p>
      <w:pPr>
        <w:pageBreakBefore w:val="0"/>
        <w:widowControl w:val="0"/>
        <w:kinsoku/>
        <w:wordWrap/>
        <w:overflowPunct/>
        <w:topLinePunct w:val="0"/>
        <w:autoSpaceDE/>
        <w:autoSpaceDN/>
        <w:bidi w:val="0"/>
        <w:spacing w:line="576" w:lineRule="exact"/>
        <w:ind w:firstLineChars="200" w:firstLine="640"/>
        <w:textAlignment w:val="auto"/>
        <w:rPr>
          <w:rFonts w:ascii="仿宋_GB2312" w:eastAsia="仿宋_GB2312" w:cs="宋体" w:hAnsi="宋体" w:hint="eastAsia"/>
          <w:color w:val="auto"/>
          <w:kern w:val="0"/>
          <w:sz w:val="32"/>
          <w:szCs w:val="32"/>
          <w:shd w:val="clear" w:color="auto" w:fill="FFFFFF"/>
          <w:lang w:val="zh-CN" w:eastAsia="zh-CN" w:bidi="ar-SA"/>
        </w:rPr>
      </w:pPr>
      <w:r>
        <w:rPr>
          <w:rFonts w:ascii="仿宋_GB2312" w:eastAsia="仿宋_GB2312" w:cs="宋体" w:hAnsi="宋体" w:hint="eastAsia"/>
          <w:color w:val="auto"/>
          <w:kern w:val="0"/>
          <w:sz w:val="32"/>
          <w:szCs w:val="32"/>
          <w:shd w:val="clear" w:color="auto" w:fill="FFFFFF"/>
          <w:lang w:val="zh-CN" w:eastAsia="zh-CN" w:bidi="ar-SA"/>
        </w:rPr>
        <w:t>荣山镇位于广元市利州区东北部，辖</w:t>
      </w:r>
      <w:r>
        <w:rPr>
          <w:rFonts w:ascii="仿宋_GB2312" w:eastAsia="仿宋_GB2312" w:cs="宋体" w:hAnsi="宋体" w:hint="eastAsia"/>
          <w:color w:val="auto"/>
          <w:kern w:val="0"/>
          <w:sz w:val="32"/>
          <w:szCs w:val="32"/>
          <w:shd w:val="clear" w:color="auto" w:fill="FFFFFF"/>
          <w:lang w:val="en-US" w:eastAsia="zh-CN" w:bidi="ar-SA"/>
        </w:rPr>
        <w:t>10</w:t>
      </w:r>
      <w:r>
        <w:rPr>
          <w:rFonts w:ascii="仿宋_GB2312" w:eastAsia="仿宋_GB2312" w:cs="宋体" w:hAnsi="宋体" w:hint="eastAsia"/>
          <w:color w:val="auto"/>
          <w:kern w:val="0"/>
          <w:sz w:val="32"/>
          <w:szCs w:val="32"/>
          <w:shd w:val="clear" w:color="auto" w:fill="FFFFFF"/>
          <w:lang w:val="zh-CN" w:eastAsia="zh-CN" w:bidi="ar-SA"/>
        </w:rPr>
        <w:t>个行政村、2个社区居委会，</w:t>
      </w:r>
      <w:r>
        <w:rPr>
          <w:rFonts w:ascii="仿宋_GB2312" w:eastAsia="仿宋_GB2312" w:cs="宋体" w:hAnsi="宋体" w:hint="eastAsia"/>
          <w:color w:val="auto"/>
          <w:kern w:val="0"/>
          <w:sz w:val="32"/>
          <w:szCs w:val="32"/>
          <w:shd w:val="clear" w:color="auto" w:fill="FFFFFF"/>
          <w:lang w:val="en-US" w:eastAsia="zh-CN" w:bidi="ar-SA"/>
        </w:rPr>
        <w:t>88</w:t>
      </w:r>
      <w:r>
        <w:rPr>
          <w:rFonts w:ascii="仿宋_GB2312" w:eastAsia="仿宋_GB2312" w:cs="宋体" w:hAnsi="宋体" w:hint="eastAsia"/>
          <w:color w:val="auto"/>
          <w:kern w:val="0"/>
          <w:sz w:val="32"/>
          <w:szCs w:val="32"/>
          <w:shd w:val="clear" w:color="auto" w:fill="FFFFFF"/>
          <w:lang w:val="zh-CN" w:eastAsia="zh-CN" w:bidi="ar-SA"/>
        </w:rPr>
        <w:t>个村民小组</w:t>
      </w:r>
      <w:r>
        <w:rPr>
          <w:rFonts w:cs="宋体" w:hAnsi="宋体" w:hint="eastAsia"/>
          <w:color w:val="auto"/>
          <w:kern w:val="0"/>
          <w:sz w:val="32"/>
          <w:szCs w:val="32"/>
          <w:shd w:val="clear" w:color="auto" w:fill="FFFFFF"/>
          <w:lang w:val="zh-CN" w:eastAsia="zh-CN" w:bidi="ar-SA"/>
        </w:rPr>
        <w:t>、</w:t>
      </w:r>
      <w:r>
        <w:rPr>
          <w:rFonts w:cs="宋体" w:hAnsi="宋体" w:hint="eastAsia"/>
          <w:color w:val="auto"/>
          <w:kern w:val="0"/>
          <w:sz w:val="32"/>
          <w:szCs w:val="32"/>
          <w:shd w:val="clear" w:color="auto" w:fill="FFFFFF"/>
          <w:lang w:val="en-US" w:eastAsia="zh-CN" w:bidi="ar-SA"/>
        </w:rPr>
        <w:t>9个居民小组</w:t>
      </w:r>
      <w:r>
        <w:rPr>
          <w:rFonts w:ascii="仿宋_GB2312" w:eastAsia="仿宋_GB2312" w:cs="宋体" w:hAnsi="宋体" w:hint="eastAsia"/>
          <w:color w:val="auto"/>
          <w:kern w:val="0"/>
          <w:sz w:val="32"/>
          <w:szCs w:val="32"/>
          <w:shd w:val="clear" w:color="auto" w:fill="FFFFFF"/>
          <w:lang w:val="zh-CN" w:eastAsia="zh-CN" w:bidi="ar-SA"/>
        </w:rPr>
        <w:t>，幅员面积248.5平方公里，辖区居民达</w:t>
      </w:r>
      <w:r>
        <w:rPr>
          <w:rFonts w:ascii="仿宋_GB2312" w:eastAsia="仿宋_GB2312" w:cs="宋体" w:hAnsi="宋体" w:hint="eastAsia"/>
          <w:color w:val="auto"/>
          <w:kern w:val="0"/>
          <w:sz w:val="32"/>
          <w:szCs w:val="32"/>
          <w:shd w:val="clear" w:color="auto" w:fill="FFFFFF"/>
          <w:lang w:val="en-US" w:eastAsia="zh-CN" w:bidi="ar-SA"/>
        </w:rPr>
        <w:t>2.48</w:t>
      </w:r>
      <w:r>
        <w:rPr>
          <w:rFonts w:ascii="仿宋_GB2312" w:eastAsia="仿宋_GB2312" w:cs="宋体" w:hAnsi="宋体" w:hint="eastAsia"/>
          <w:color w:val="auto"/>
          <w:kern w:val="0"/>
          <w:sz w:val="32"/>
          <w:szCs w:val="32"/>
          <w:shd w:val="clear" w:color="auto" w:fill="FFFFFF"/>
          <w:lang w:val="zh-CN" w:eastAsia="zh-CN" w:bidi="ar-SA"/>
        </w:rPr>
        <w:t>万余人。</w:t>
      </w:r>
      <w:r>
        <w:rPr>
          <w:rFonts w:ascii="仿宋_GB2312" w:eastAsia="仿宋" w:cs="Times New Roman" w:hAnsi="Times New Roman" w:hint="eastAsia"/>
          <w:b w:val="0"/>
          <w:bCs w:val="0"/>
          <w:color w:val="auto"/>
          <w:kern w:val="2"/>
          <w:sz w:val="32"/>
          <w:szCs w:val="32"/>
          <w:lang w:val="en-US" w:eastAsia="zh-CN" w:bidi="ar-SA"/>
        </w:rPr>
        <w:t>20</w:t>
      </w:r>
      <w:r>
        <w:rPr>
          <w:rFonts w:ascii="仿宋_GB2312" w:eastAsia="仿宋" w:cs="Times New Roman" w:hAnsi="仿宋_GB2312" w:hint="eastAsia"/>
          <w:b w:val="0"/>
          <w:bCs w:val="0"/>
          <w:color w:val="auto"/>
          <w:kern w:val="2"/>
          <w:sz w:val="32"/>
          <w:szCs w:val="32"/>
          <w:lang w:val="en-US" w:eastAsia="zh-CN" w:bidi="ar-SA"/>
        </w:rPr>
        <w:t>21</w:t>
      </w:r>
      <w:r>
        <w:rPr>
          <w:rFonts w:ascii="仿宋_GB2312" w:eastAsia="仿宋" w:cs="Times New Roman" w:hAnsi="Times New Roman" w:hint="eastAsia"/>
          <w:b w:val="0"/>
          <w:bCs w:val="0"/>
          <w:color w:val="auto"/>
          <w:kern w:val="2"/>
          <w:sz w:val="32"/>
          <w:szCs w:val="32"/>
          <w:lang w:val="en-US" w:eastAsia="zh-CN" w:bidi="ar-SA"/>
        </w:rPr>
        <w:t>年末共有</w:t>
      </w:r>
      <w:r>
        <w:rPr>
          <w:rFonts w:ascii="仿宋_GB2312" w:eastAsia="仿宋" w:cs="Times New Roman" w:hAnsi="仿宋_GB2312" w:hint="eastAsia"/>
          <w:b w:val="0"/>
          <w:bCs w:val="0"/>
          <w:color w:val="auto"/>
          <w:kern w:val="2"/>
          <w:sz w:val="32"/>
          <w:szCs w:val="32"/>
          <w:lang w:val="en-US" w:eastAsia="zh-CN" w:bidi="ar-SA"/>
        </w:rPr>
        <w:t>内设</w:t>
      </w:r>
      <w:r>
        <w:rPr>
          <w:rFonts w:ascii="仿宋_GB2312" w:eastAsia="仿宋" w:cs="Times New Roman" w:hAnsi="Times New Roman" w:hint="eastAsia"/>
          <w:b w:val="0"/>
          <w:bCs w:val="0"/>
          <w:color w:val="auto"/>
          <w:kern w:val="2"/>
          <w:sz w:val="32"/>
          <w:szCs w:val="32"/>
          <w:lang w:val="en-US" w:eastAsia="zh-CN" w:bidi="ar-SA"/>
        </w:rPr>
        <w:t>机构数7个</w:t>
      </w:r>
      <w:r>
        <w:rPr>
          <w:rFonts w:ascii="仿宋_GB2312" w:eastAsia="仿宋" w:cs="Times New Roman" w:hAnsi="仿宋_GB2312" w:hint="eastAsia"/>
          <w:b w:val="0"/>
          <w:bCs w:val="0"/>
          <w:color w:val="auto"/>
          <w:kern w:val="2"/>
          <w:sz w:val="32"/>
          <w:szCs w:val="32"/>
          <w:lang w:val="en-US" w:eastAsia="zh-CN" w:bidi="ar-SA"/>
        </w:rPr>
        <w:t>、公益一类事业单位5个</w:t>
      </w:r>
      <w:r>
        <w:rPr>
          <w:rFonts w:ascii="仿宋_GB2312" w:eastAsia="仿宋" w:cs="Times New Roman" w:hAnsi="Times New Roman" w:hint="eastAsia"/>
          <w:b w:val="0"/>
          <w:bCs w:val="0"/>
          <w:color w:val="auto"/>
          <w:kern w:val="2"/>
          <w:sz w:val="32"/>
          <w:szCs w:val="32"/>
          <w:lang w:val="en-US" w:eastAsia="zh-CN" w:bidi="ar-SA"/>
        </w:rPr>
        <w:t>。分别为</w:t>
      </w:r>
      <w:r>
        <w:rPr>
          <w:rFonts w:ascii="仿宋_GB2312" w:eastAsia="仿宋" w:cs="Times New Roman" w:hAnsi="仿宋_GB2312" w:hint="eastAsia"/>
          <w:b w:val="0"/>
          <w:bCs w:val="0"/>
          <w:color w:val="auto"/>
          <w:kern w:val="2"/>
          <w:sz w:val="32"/>
          <w:szCs w:val="32"/>
          <w:lang w:val="en-US" w:eastAsia="zh-CN" w:bidi="ar-SA"/>
        </w:rPr>
        <w:t>党政综合与乡村振兴办、</w:t>
      </w:r>
      <w:r>
        <w:rPr>
          <w:rFonts w:ascii="仿宋_GB2312" w:eastAsia="仿宋" w:cs="Times New Roman" w:hAnsi="Times New Roman" w:hint="eastAsia"/>
          <w:b w:val="0"/>
          <w:bCs w:val="0"/>
          <w:color w:val="auto"/>
          <w:kern w:val="2"/>
          <w:sz w:val="32"/>
          <w:szCs w:val="32"/>
          <w:lang w:val="en-US" w:eastAsia="zh-CN" w:bidi="ar-SA"/>
        </w:rPr>
        <w:t>党</w:t>
      </w:r>
      <w:r>
        <w:rPr>
          <w:rFonts w:ascii="仿宋_GB2312" w:eastAsia="仿宋" w:cs="Times New Roman" w:hAnsi="仿宋_GB2312" w:hint="eastAsia"/>
          <w:b w:val="0"/>
          <w:bCs w:val="0"/>
          <w:color w:val="auto"/>
          <w:kern w:val="2"/>
          <w:sz w:val="32"/>
          <w:szCs w:val="32"/>
          <w:lang w:val="en-US" w:eastAsia="zh-CN" w:bidi="ar-SA"/>
        </w:rPr>
        <w:t>建</w:t>
      </w:r>
      <w:r>
        <w:rPr>
          <w:rFonts w:ascii="仿宋_GB2312" w:eastAsia="仿宋" w:cs="Times New Roman" w:hAnsi="Times New Roman" w:hint="eastAsia"/>
          <w:b w:val="0"/>
          <w:bCs w:val="0"/>
          <w:color w:val="auto"/>
          <w:kern w:val="2"/>
          <w:sz w:val="32"/>
          <w:szCs w:val="32"/>
          <w:lang w:val="en-US" w:eastAsia="zh-CN" w:bidi="ar-SA"/>
        </w:rPr>
        <w:t>办、</w:t>
      </w:r>
      <w:r>
        <w:rPr>
          <w:rFonts w:ascii="仿宋_GB2312" w:eastAsia="仿宋" w:cs="Times New Roman" w:hAnsi="仿宋_GB2312" w:hint="eastAsia"/>
          <w:b w:val="0"/>
          <w:bCs w:val="0"/>
          <w:color w:val="auto"/>
          <w:kern w:val="2"/>
          <w:sz w:val="32"/>
          <w:szCs w:val="32"/>
          <w:lang w:val="en-US" w:eastAsia="zh-CN" w:bidi="ar-SA"/>
        </w:rPr>
        <w:t>综合行政执法办</w:t>
      </w:r>
      <w:r>
        <w:rPr>
          <w:rFonts w:ascii="仿宋_GB2312" w:eastAsia="仿宋" w:cs="Times New Roman" w:hAnsi="Times New Roman" w:hint="eastAsia"/>
          <w:b w:val="0"/>
          <w:bCs w:val="0"/>
          <w:color w:val="auto"/>
          <w:kern w:val="2"/>
          <w:sz w:val="32"/>
          <w:szCs w:val="32"/>
          <w:lang w:val="en-US" w:eastAsia="zh-CN" w:bidi="ar-SA"/>
        </w:rPr>
        <w:t>、</w:t>
      </w:r>
      <w:r>
        <w:rPr>
          <w:rFonts w:ascii="仿宋_GB2312" w:eastAsia="仿宋" w:cs="Times New Roman" w:hAnsi="仿宋_GB2312" w:hint="eastAsia"/>
          <w:b w:val="0"/>
          <w:bCs w:val="0"/>
          <w:color w:val="auto"/>
          <w:kern w:val="2"/>
          <w:sz w:val="32"/>
          <w:szCs w:val="32"/>
          <w:lang w:val="en-US" w:eastAsia="zh-CN" w:bidi="ar-SA"/>
        </w:rPr>
        <w:t>社会事务办</w:t>
      </w:r>
      <w:r>
        <w:rPr>
          <w:rFonts w:ascii="仿宋_GB2312" w:eastAsia="仿宋" w:cs="Times New Roman" w:hAnsi="Times New Roman" w:hint="eastAsia"/>
          <w:b w:val="0"/>
          <w:bCs w:val="0"/>
          <w:color w:val="auto"/>
          <w:kern w:val="2"/>
          <w:sz w:val="32"/>
          <w:szCs w:val="32"/>
          <w:lang w:val="en-US" w:eastAsia="zh-CN" w:bidi="ar-SA"/>
        </w:rPr>
        <w:t>、</w:t>
      </w:r>
      <w:r>
        <w:rPr>
          <w:rFonts w:ascii="仿宋_GB2312" w:eastAsia="仿宋" w:cs="Times New Roman" w:hAnsi="仿宋_GB2312" w:hint="eastAsia"/>
          <w:b w:val="0"/>
          <w:bCs w:val="0"/>
          <w:color w:val="auto"/>
          <w:kern w:val="2"/>
          <w:sz w:val="32"/>
          <w:szCs w:val="32"/>
          <w:lang w:val="en-US" w:eastAsia="zh-CN" w:bidi="ar-SA"/>
        </w:rPr>
        <w:t>经济发展办、社会治理办、</w:t>
      </w:r>
      <w:r>
        <w:rPr>
          <w:rFonts w:ascii="仿宋_GB2312" w:eastAsia="仿宋" w:cs="Times New Roman" w:hAnsi="Times New Roman" w:hint="eastAsia"/>
          <w:b w:val="0"/>
          <w:bCs w:val="0"/>
          <w:color w:val="auto"/>
          <w:kern w:val="2"/>
          <w:sz w:val="32"/>
          <w:szCs w:val="32"/>
          <w:lang w:val="en-US" w:eastAsia="zh-CN" w:bidi="ar-SA"/>
        </w:rPr>
        <w:t>财政所、</w:t>
      </w:r>
      <w:r>
        <w:rPr>
          <w:rFonts w:ascii="仿宋_GB2312" w:eastAsia="仿宋" w:cs="Times New Roman" w:hAnsi="仿宋_GB2312" w:hint="eastAsia"/>
          <w:b w:val="0"/>
          <w:bCs w:val="0"/>
          <w:color w:val="auto"/>
          <w:kern w:val="2"/>
          <w:sz w:val="32"/>
          <w:szCs w:val="32"/>
          <w:lang w:val="en-US" w:eastAsia="zh-CN" w:bidi="ar-SA"/>
        </w:rPr>
        <w:t>便民服务中心、农业综合服务中心</w:t>
      </w:r>
      <w:r>
        <w:rPr>
          <w:rFonts w:ascii="仿宋_GB2312" w:eastAsia="仿宋" w:cs="Times New Roman" w:hAnsi="Times New Roman" w:hint="eastAsia"/>
          <w:b w:val="0"/>
          <w:bCs w:val="0"/>
          <w:color w:val="auto"/>
          <w:kern w:val="2"/>
          <w:sz w:val="32"/>
          <w:szCs w:val="32"/>
          <w:lang w:val="en-US" w:eastAsia="zh-CN" w:bidi="ar-SA"/>
        </w:rPr>
        <w:t>、</w:t>
      </w:r>
      <w:r>
        <w:rPr>
          <w:rFonts w:ascii="仿宋_GB2312" w:eastAsia="仿宋" w:cs="Times New Roman" w:hAnsi="仿宋_GB2312" w:hint="eastAsia"/>
          <w:b w:val="0"/>
          <w:bCs w:val="0"/>
          <w:color w:val="auto"/>
          <w:kern w:val="2"/>
          <w:sz w:val="32"/>
          <w:szCs w:val="32"/>
          <w:lang w:val="en-US" w:eastAsia="zh-CN" w:bidi="ar-SA"/>
        </w:rPr>
        <w:t>乡村建设和文化服务中心、社会治安综合治理中心、城镇发展服务中心</w:t>
      </w:r>
      <w:r>
        <w:rPr>
          <w:rFonts w:ascii="仿宋_GB2312" w:eastAsia="仿宋" w:cs="Times New Roman" w:hAnsi="Times New Roman" w:hint="eastAsia"/>
          <w:b w:val="0"/>
          <w:bCs w:val="0"/>
          <w:color w:val="auto"/>
          <w:kern w:val="2"/>
          <w:sz w:val="32"/>
          <w:szCs w:val="32"/>
          <w:lang w:val="en-US" w:eastAsia="zh-CN" w:bidi="ar-SA"/>
        </w:rPr>
        <w:t>。</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（二）机构职能。</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1.</w:t>
      </w:r>
      <w:r>
        <w:rPr>
          <w:rFonts w:ascii="仿宋" w:eastAsia="仿宋" w:cs="仿宋" w:hAnsi="仿宋" w:hint="eastAsia"/>
          <w:b w:val="0"/>
          <w:bCs/>
          <w:color w:val="auto"/>
          <w:sz w:val="32"/>
          <w:szCs w:val="32"/>
        </w:rPr>
        <w:t>执行上级国家行政机关的决定、命令和国家制定的法令、法规，接受同级党委的领导，执行本级人民代表大会的各项决议，并报告执行决议、决定和命令的情况。</w:t>
      </w:r>
      <w:r>
        <w:rPr>
          <w:rFonts w:ascii="仿宋" w:eastAsia="仿宋" w:cs="仿宋" w:hAnsi="仿宋" w:hint="eastAsia"/>
          <w:b w:val="0"/>
          <w:bCs/>
          <w:color w:val="auto"/>
          <w:sz w:val="32"/>
          <w:szCs w:val="32"/>
          <w:lang w:val="en-US" w:eastAsia="zh-CN"/>
        </w:rPr>
        <w:t>在区委</w:t>
      </w:r>
      <w:r>
        <w:rPr>
          <w:rFonts w:ascii="仿宋" w:eastAsia="仿宋" w:cs="仿宋" w:hAnsi="仿宋" w:hint="eastAsia"/>
          <w:b w:val="0"/>
          <w:bCs/>
          <w:i w:val="0"/>
          <w:iCs w:val="0"/>
          <w:caps w:val="0"/>
          <w:smallCaps w:val="0"/>
          <w:color w:val="auto"/>
          <w:spacing w:val="0"/>
          <w:sz w:val="32"/>
          <w:szCs w:val="32"/>
          <w:shd w:val="clear" w:color="auto" w:fill="FFFFFF"/>
          <w:lang w:val="en-US" w:eastAsia="zh-CN"/>
        </w:rPr>
        <w:t>、区政府领导下完成各项任务。</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2.</w:t>
      </w:r>
      <w:r>
        <w:rPr>
          <w:rFonts w:ascii="仿宋" w:eastAsia="仿宋" w:cs="仿宋" w:hAnsi="仿宋" w:hint="eastAsia"/>
          <w:b w:val="0"/>
          <w:bCs/>
          <w:color w:val="auto"/>
          <w:sz w:val="32"/>
          <w:szCs w:val="32"/>
        </w:rPr>
        <w:t>指导、帮助</w:t>
      </w:r>
      <w:r>
        <w:rPr>
          <w:rFonts w:ascii="仿宋" w:eastAsia="仿宋" w:cs="仿宋" w:hAnsi="仿宋" w:hint="eastAsia"/>
          <w:b w:val="0"/>
          <w:bCs/>
          <w:color w:val="auto"/>
          <w:sz w:val="32"/>
          <w:szCs w:val="32"/>
          <w:lang w:eastAsia="zh-CN"/>
        </w:rPr>
        <w:t>村（</w:t>
      </w:r>
      <w:r>
        <w:rPr>
          <w:rFonts w:ascii="仿宋" w:eastAsia="仿宋" w:cs="仿宋" w:hAnsi="仿宋" w:hint="eastAsia"/>
          <w:b w:val="0"/>
          <w:bCs/>
          <w:color w:val="auto"/>
          <w:sz w:val="32"/>
          <w:szCs w:val="32"/>
        </w:rPr>
        <w:t>社区</w:t>
      </w:r>
      <w:r>
        <w:rPr>
          <w:rFonts w:ascii="仿宋" w:eastAsia="仿宋" w:cs="仿宋" w:hAnsi="仿宋" w:hint="eastAsia"/>
          <w:b w:val="0"/>
          <w:bCs/>
          <w:color w:val="auto"/>
          <w:sz w:val="32"/>
          <w:szCs w:val="32"/>
          <w:lang w:eastAsia="zh-CN"/>
        </w:rPr>
        <w:t>）村（</w:t>
      </w:r>
      <w:r>
        <w:rPr>
          <w:rFonts w:ascii="仿宋" w:eastAsia="仿宋" w:cs="仿宋" w:hAnsi="仿宋" w:hint="eastAsia"/>
          <w:b w:val="0"/>
          <w:bCs/>
          <w:color w:val="auto"/>
          <w:sz w:val="32"/>
          <w:szCs w:val="32"/>
        </w:rPr>
        <w:t>居</w:t>
      </w:r>
      <w:r>
        <w:rPr>
          <w:rFonts w:ascii="仿宋" w:eastAsia="仿宋" w:cs="仿宋" w:hAnsi="仿宋" w:hint="eastAsia"/>
          <w:b w:val="0"/>
          <w:bCs/>
          <w:color w:val="auto"/>
          <w:sz w:val="32"/>
          <w:szCs w:val="32"/>
          <w:lang w:eastAsia="zh-CN"/>
        </w:rPr>
        <w:t>）</w:t>
      </w:r>
      <w:r>
        <w:rPr>
          <w:rFonts w:ascii="仿宋" w:eastAsia="仿宋" w:cs="仿宋" w:hAnsi="仿宋" w:hint="eastAsia"/>
          <w:b w:val="0"/>
          <w:bCs/>
          <w:color w:val="auto"/>
          <w:sz w:val="32"/>
          <w:szCs w:val="32"/>
        </w:rPr>
        <w:t>委会开展</w:t>
      </w:r>
      <w:r>
        <w:rPr>
          <w:rStyle w:val="28"/>
          <w:rFonts w:ascii="仿宋" w:eastAsia="仿宋" w:cs="仿宋" w:hAnsi="仿宋" w:hint="eastAsia"/>
          <w:b w:val="0"/>
          <w:bCs/>
          <w:color w:val="0000FF"/>
          <w:sz w:val="32"/>
          <w:szCs w:val="32"/>
          <w:u w:val="none"/>
          <w14:textFill>
            <w14:solidFill>
              <w14:srgbClr w14:val="0000FF"/>
            </w14:solidFill>
          </w14:textFill>
        </w:rPr>
        <w:t>组织建设</w:t>
      </w:r>
      <w:r>
        <w:rPr>
          <w:rFonts w:ascii="仿宋" w:eastAsia="仿宋" w:cs="仿宋" w:hAnsi="仿宋" w:hint="eastAsia"/>
          <w:b w:val="0"/>
          <w:bCs/>
          <w:color w:val="auto"/>
          <w:sz w:val="32"/>
          <w:szCs w:val="32"/>
        </w:rPr>
        <w:t>、</w:t>
      </w:r>
      <w:r>
        <w:rPr>
          <w:rStyle w:val="28"/>
          <w:rFonts w:ascii="仿宋" w:eastAsia="仿宋" w:cs="仿宋" w:hAnsi="仿宋" w:hint="eastAsia"/>
          <w:b w:val="0"/>
          <w:bCs/>
          <w:color w:val="0000FF"/>
          <w:sz w:val="32"/>
          <w:szCs w:val="32"/>
          <w:u w:val="none"/>
          <w14:textFill>
            <w14:solidFill>
              <w14:srgbClr w14:val="0000FF"/>
            </w14:solidFill>
          </w14:textFill>
        </w:rPr>
        <w:t>制度建设</w:t>
      </w:r>
      <w:r>
        <w:rPr>
          <w:rFonts w:ascii="仿宋" w:eastAsia="仿宋" w:cs="仿宋" w:hAnsi="仿宋" w:hint="eastAsia"/>
          <w:b w:val="0"/>
          <w:bCs/>
          <w:color w:val="auto"/>
          <w:sz w:val="32"/>
          <w:szCs w:val="32"/>
        </w:rPr>
        <w:t>和其它工作</w:t>
      </w:r>
      <w:r>
        <w:rPr>
          <w:rFonts w:ascii="仿宋" w:eastAsia="仿宋" w:cs="仿宋" w:hAnsi="仿宋" w:hint="eastAsia"/>
          <w:b w:val="0"/>
          <w:bCs/>
          <w:i w:val="0"/>
          <w:iCs w:val="0"/>
          <w:caps w:val="0"/>
          <w:smallCaps w:val="0"/>
          <w:color w:val="auto"/>
          <w:spacing w:val="0"/>
          <w:sz w:val="32"/>
          <w:szCs w:val="32"/>
          <w:shd w:val="clear" w:color="auto" w:fill="FFFFFF"/>
          <w:lang w:val="en-US" w:eastAsia="zh-CN"/>
        </w:rPr>
        <w:t>。</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3.负责辖区内的社会治安综合治理，人民调解、法律服务工作，依照有关规定管理外来流动人员。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4.开展社区服务、拥军优属工作，负责社区优抚、社会救济、社会福利、社区文化、科普、体育、教育工作。</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5.按照职责范围做好城市建设管理监察、计划生育、爱国卫生、市容环境卫生、环境保护、劳动就业、安全生产等管理工作。</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6.配合有关部门做好防汛、防风、防火、防震、抢险和防灾救灾工作。</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7.维护老年人、妇女、儿童、青少年和残疾人的合法权益，尊重少数民族的风俗习惯和保障少数民族的权益。</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_GB2312" w:eastAsia="仿宋_GB2312" w:cs="宋体" w:hAnsi="宋体" w:hint="eastAsia"/>
          <w:color w:val="auto"/>
          <w:kern w:val="0"/>
          <w:sz w:val="32"/>
          <w:szCs w:val="32"/>
          <w:shd w:val="clear" w:color="auto" w:fill="FFFFFF"/>
          <w:lang w:val="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8.</w:t>
      </w:r>
      <w:r>
        <w:rPr>
          <w:rFonts w:ascii="仿宋" w:eastAsia="仿宋" w:cs="仿宋" w:hAnsi="仿宋" w:hint="eastAsia"/>
          <w:b w:val="0"/>
          <w:bCs/>
          <w:color w:val="auto"/>
          <w:sz w:val="32"/>
          <w:szCs w:val="32"/>
        </w:rPr>
        <w:t>向区人民政府反映居民的意见和要求，处理群众来信来访事项以及办理区人民政府交办的事项。</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（三）人员概况。</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黑体" w:eastAsia="黑体" w:cs="宋体" w:hAnsi="宋体" w:hint="eastAsia"/>
          <w:color w:val="auto"/>
          <w:kern w:val="0"/>
          <w:sz w:val="32"/>
          <w:szCs w:val="32"/>
          <w:shd w:val="clear" w:color="auto" w:fill="FFFFFF"/>
        </w:rPr>
      </w:pPr>
      <w:r>
        <w:rPr>
          <w:rFonts w:ascii="仿宋" w:eastAsia="仿宋" w:cs="仿宋" w:hAnsi="仿宋" w:hint="eastAsia"/>
          <w:b w:val="0"/>
          <w:bCs/>
          <w:color w:val="auto"/>
          <w:sz w:val="32"/>
          <w:szCs w:val="32"/>
          <w:lang w:eastAsia="zh-CN"/>
        </w:rPr>
        <w:t>202</w:t>
      </w:r>
      <w:r>
        <w:rPr>
          <w:rFonts w:ascii="仿宋" w:eastAsia="仿宋" w:cs="仿宋" w:hAnsi="仿宋" w:hint="eastAsia"/>
          <w:b w:val="0"/>
          <w:bCs/>
          <w:color w:val="auto"/>
          <w:sz w:val="32"/>
          <w:szCs w:val="32"/>
          <w:lang w:val="en-US" w:eastAsia="zh-CN"/>
        </w:rPr>
        <w:t>1</w:t>
      </w:r>
      <w:r>
        <w:rPr>
          <w:rFonts w:ascii="仿宋" w:eastAsia="仿宋" w:cs="仿宋" w:hAnsi="仿宋" w:hint="eastAsia"/>
          <w:b w:val="0"/>
          <w:bCs/>
          <w:color w:val="auto"/>
          <w:sz w:val="32"/>
          <w:szCs w:val="32"/>
        </w:rPr>
        <w:t>年末</w:t>
      </w:r>
      <w:r>
        <w:rPr>
          <w:rFonts w:ascii="仿宋" w:eastAsia="仿宋" w:cs="仿宋" w:hAnsi="仿宋" w:hint="eastAsia"/>
          <w:b w:val="0"/>
          <w:bCs/>
          <w:color w:val="auto"/>
          <w:sz w:val="32"/>
          <w:szCs w:val="32"/>
          <w:lang w:eastAsia="zh-CN"/>
        </w:rPr>
        <w:t>荣山镇人民政府编制数为</w:t>
      </w:r>
      <w:r>
        <w:rPr>
          <w:rFonts w:ascii="仿宋" w:eastAsia="仿宋" w:cs="仿宋" w:hAnsi="仿宋" w:hint="eastAsia"/>
          <w:b w:val="0"/>
          <w:bCs/>
          <w:color w:val="auto"/>
          <w:sz w:val="32"/>
          <w:szCs w:val="32"/>
          <w:lang w:val="en-US" w:eastAsia="zh-CN"/>
        </w:rPr>
        <w:t>64</w:t>
      </w:r>
      <w:r>
        <w:rPr>
          <w:rFonts w:ascii="仿宋" w:eastAsia="仿宋" w:cs="仿宋" w:hAnsi="仿宋" w:hint="eastAsia"/>
          <w:b w:val="0"/>
          <w:bCs/>
          <w:color w:val="auto"/>
          <w:sz w:val="32"/>
          <w:szCs w:val="32"/>
          <w:lang w:eastAsia="zh-CN"/>
        </w:rPr>
        <w:t>人，其中公务员编制</w:t>
      </w:r>
      <w:r>
        <w:rPr>
          <w:rFonts w:ascii="仿宋" w:eastAsia="仿宋" w:cs="仿宋" w:hAnsi="仿宋" w:hint="eastAsia"/>
          <w:b w:val="0"/>
          <w:bCs/>
          <w:color w:val="auto"/>
          <w:sz w:val="32"/>
          <w:szCs w:val="32"/>
          <w:lang w:val="en-US" w:eastAsia="zh-CN"/>
        </w:rPr>
        <w:t>26</w:t>
      </w:r>
      <w:r>
        <w:rPr>
          <w:rFonts w:ascii="仿宋" w:eastAsia="仿宋" w:cs="仿宋" w:hAnsi="仿宋" w:hint="eastAsia"/>
          <w:b w:val="0"/>
          <w:bCs/>
          <w:color w:val="auto"/>
          <w:sz w:val="32"/>
          <w:szCs w:val="32"/>
          <w:lang w:eastAsia="zh-CN"/>
        </w:rPr>
        <w:t>人，事业编制</w:t>
      </w:r>
      <w:r>
        <w:rPr>
          <w:rFonts w:ascii="仿宋" w:eastAsia="仿宋" w:cs="仿宋" w:hAnsi="仿宋" w:hint="eastAsia"/>
          <w:b w:val="0"/>
          <w:bCs/>
          <w:color w:val="auto"/>
          <w:sz w:val="32"/>
          <w:szCs w:val="32"/>
          <w:lang w:val="en-US" w:eastAsia="zh-CN"/>
        </w:rPr>
        <w:t>35</w:t>
      </w:r>
      <w:r>
        <w:rPr>
          <w:rFonts w:ascii="仿宋" w:eastAsia="仿宋" w:cs="仿宋" w:hAnsi="仿宋" w:hint="eastAsia"/>
          <w:b w:val="0"/>
          <w:bCs/>
          <w:color w:val="auto"/>
          <w:sz w:val="32"/>
          <w:szCs w:val="32"/>
          <w:lang w:eastAsia="zh-CN"/>
        </w:rPr>
        <w:t>人，工勤人员编制</w:t>
      </w:r>
      <w:r>
        <w:rPr>
          <w:rFonts w:ascii="仿宋" w:eastAsia="仿宋" w:cs="仿宋" w:hAnsi="仿宋" w:hint="eastAsia"/>
          <w:b w:val="0"/>
          <w:bCs/>
          <w:color w:val="auto"/>
          <w:sz w:val="32"/>
          <w:szCs w:val="32"/>
          <w:lang w:val="en-US" w:eastAsia="zh-CN"/>
        </w:rPr>
        <w:t>3</w:t>
      </w:r>
      <w:r>
        <w:rPr>
          <w:rFonts w:ascii="仿宋" w:eastAsia="仿宋" w:cs="仿宋" w:hAnsi="仿宋" w:hint="eastAsia"/>
          <w:b w:val="0"/>
          <w:bCs/>
          <w:color w:val="auto"/>
          <w:sz w:val="32"/>
          <w:szCs w:val="32"/>
          <w:lang w:eastAsia="zh-CN"/>
        </w:rPr>
        <w:t>人。现全镇实有在职职工为</w:t>
      </w:r>
      <w:r>
        <w:rPr>
          <w:rFonts w:ascii="仿宋" w:eastAsia="仿宋" w:cs="仿宋" w:hAnsi="仿宋" w:hint="eastAsia"/>
          <w:b w:val="0"/>
          <w:bCs/>
          <w:color w:val="auto"/>
          <w:sz w:val="32"/>
          <w:szCs w:val="32"/>
          <w:lang w:val="en-US" w:eastAsia="zh-CN"/>
        </w:rPr>
        <w:t>67</w:t>
      </w:r>
      <w:r>
        <w:rPr>
          <w:rFonts w:ascii="仿宋" w:eastAsia="仿宋" w:cs="仿宋" w:hAnsi="仿宋" w:hint="eastAsia"/>
          <w:b w:val="0"/>
          <w:bCs/>
          <w:color w:val="auto"/>
          <w:sz w:val="32"/>
          <w:szCs w:val="32"/>
          <w:lang w:eastAsia="zh-CN"/>
        </w:rPr>
        <w:t>人，其中公务员</w:t>
      </w:r>
      <w:r>
        <w:rPr>
          <w:rFonts w:ascii="仿宋" w:eastAsia="仿宋" w:cs="仿宋" w:hAnsi="仿宋" w:hint="eastAsia"/>
          <w:b w:val="0"/>
          <w:bCs/>
          <w:color w:val="auto"/>
          <w:sz w:val="32"/>
          <w:szCs w:val="32"/>
          <w:lang w:val="en-US" w:eastAsia="zh-CN"/>
        </w:rPr>
        <w:t>26</w:t>
      </w:r>
      <w:r>
        <w:rPr>
          <w:rFonts w:ascii="仿宋" w:eastAsia="仿宋" w:cs="仿宋" w:hAnsi="仿宋" w:hint="eastAsia"/>
          <w:b w:val="0"/>
          <w:bCs/>
          <w:color w:val="auto"/>
          <w:sz w:val="32"/>
          <w:szCs w:val="32"/>
          <w:lang w:eastAsia="zh-CN"/>
        </w:rPr>
        <w:t>人，事业人员</w:t>
      </w:r>
      <w:r>
        <w:rPr>
          <w:rFonts w:ascii="仿宋" w:eastAsia="仿宋" w:cs="仿宋" w:hAnsi="仿宋" w:hint="eastAsia"/>
          <w:b w:val="0"/>
          <w:bCs/>
          <w:color w:val="auto"/>
          <w:sz w:val="32"/>
          <w:szCs w:val="32"/>
          <w:lang w:val="en-US" w:eastAsia="zh-CN"/>
        </w:rPr>
        <w:t>39</w:t>
      </w:r>
      <w:r>
        <w:rPr>
          <w:rFonts w:ascii="仿宋" w:eastAsia="仿宋" w:cs="仿宋" w:hAnsi="仿宋" w:hint="eastAsia"/>
          <w:b w:val="0"/>
          <w:bCs/>
          <w:color w:val="auto"/>
          <w:sz w:val="32"/>
          <w:szCs w:val="32"/>
          <w:lang w:eastAsia="zh-CN"/>
        </w:rPr>
        <w:t>人（含专职村书记</w:t>
      </w:r>
      <w:r>
        <w:rPr>
          <w:rFonts w:ascii="仿宋" w:eastAsia="仿宋" w:cs="仿宋" w:hAnsi="仿宋" w:hint="eastAsia"/>
          <w:b w:val="0"/>
          <w:bCs/>
          <w:color w:val="auto"/>
          <w:sz w:val="32"/>
          <w:szCs w:val="32"/>
          <w:lang w:val="en-US" w:eastAsia="zh-CN"/>
        </w:rPr>
        <w:t>8人</w:t>
      </w:r>
      <w:r>
        <w:rPr>
          <w:rFonts w:ascii="仿宋" w:eastAsia="仿宋" w:cs="仿宋" w:hAnsi="仿宋" w:hint="eastAsia"/>
          <w:b w:val="0"/>
          <w:bCs/>
          <w:color w:val="auto"/>
          <w:sz w:val="32"/>
          <w:szCs w:val="32"/>
          <w:lang w:eastAsia="zh-CN"/>
        </w:rPr>
        <w:t>），工勤人员2人</w:t>
      </w:r>
      <w:r>
        <w:rPr>
          <w:rFonts w:ascii="仿宋" w:eastAsia="仿宋" w:cs="仿宋" w:hAnsi="仿宋" w:hint="eastAsia"/>
          <w:b w:val="0"/>
          <w:bCs/>
          <w:color w:val="auto"/>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黑体" w:eastAsia="黑体" w:cs="宋体" w:hAnsi="宋体"/>
          <w:color w:val="auto"/>
          <w:kern w:val="0"/>
          <w:sz w:val="32"/>
          <w:szCs w:val="32"/>
          <w:shd w:val="clear" w:color="auto" w:fill="FFFFFF"/>
        </w:rPr>
      </w:pPr>
      <w:r>
        <w:rPr>
          <w:rFonts w:ascii="黑体" w:eastAsia="黑体" w:cs="宋体" w:hAnsi="宋体" w:hint="eastAsia"/>
          <w:color w:val="auto"/>
          <w:kern w:val="0"/>
          <w:sz w:val="32"/>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（一）部门财政资金收入情况。</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hint="eastAsia"/>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en-US" w:eastAsia="zh-CN"/>
        </w:rPr>
        <w:t>2021年本年收入合计1920.5万元，其中：一般公共预算财政拨款收入1920.5万元，占100%；</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hint="eastAsia"/>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（二）部门财政资金支出情况。</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黑体" w:eastAsia="黑体" w:cs="宋体" w:hAnsi="宋体" w:hint="eastAsia"/>
          <w:color w:val="auto"/>
          <w:kern w:val="0"/>
          <w:sz w:val="32"/>
          <w:szCs w:val="32"/>
          <w:shd w:val="clear" w:color="auto" w:fill="FFFFFF"/>
        </w:rPr>
      </w:pPr>
      <w:r>
        <w:rPr>
          <w:rFonts w:ascii="仿宋_GB2312" w:eastAsia="仿宋_GB2312" w:cs="宋体" w:hAnsi="宋体" w:hint="eastAsia"/>
          <w:color w:val="auto"/>
          <w:kern w:val="0"/>
          <w:sz w:val="32"/>
          <w:szCs w:val="32"/>
          <w:shd w:val="clear" w:color="auto" w:fill="FFFFFF"/>
          <w:lang w:val="en-US" w:eastAsia="zh-CN"/>
        </w:rPr>
        <w:t>2021年本年支出合计1752.77万元，其中：基本支出1529.9万元，占87.29%；项目支出222.86万元，占12.71%。</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黑体" w:eastAsia="黑体" w:cs="宋体" w:hAnsi="宋体"/>
          <w:color w:val="auto"/>
          <w:kern w:val="0"/>
          <w:sz w:val="32"/>
          <w:szCs w:val="32"/>
          <w:shd w:val="clear" w:color="auto" w:fill="FFFFFF"/>
        </w:rPr>
      </w:pPr>
      <w:r>
        <w:rPr>
          <w:rFonts w:ascii="黑体" w:eastAsia="黑体" w:cs="宋体" w:hAnsi="宋体" w:hint="eastAsia"/>
          <w:color w:val="auto"/>
          <w:kern w:val="0"/>
          <w:sz w:val="32"/>
          <w:szCs w:val="32"/>
          <w:shd w:val="clear" w:color="auto" w:fill="FFFFFF"/>
        </w:rPr>
        <w:t>三、</w:t>
      </w:r>
      <w:r>
        <w:rPr>
          <w:rFonts w:ascii="黑体" w:eastAsia="黑体" w:cs="宋体" w:hAnsi="宋体" w:hint="eastAsia"/>
          <w:color w:val="auto"/>
          <w:kern w:val="0"/>
          <w:sz w:val="32"/>
          <w:szCs w:val="32"/>
          <w:u w:val="none"/>
          <w:shd w:val="clear" w:color="auto" w:fill="FFFFFF"/>
        </w:rPr>
        <w:t>部门整体预算绩效管理情况</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hint="eastAsia"/>
          <w:color w:val="auto"/>
          <w:kern w:val="0"/>
          <w:sz w:val="32"/>
          <w:szCs w:val="32"/>
          <w:shd w:val="clear" w:color="auto" w:fill="FFFFFF"/>
          <w:lang w:val="zh-CN"/>
        </w:rPr>
      </w:pPr>
      <w:r>
        <w:rPr>
          <w:rFonts w:ascii="仿宋_GB2312" w:eastAsia="仿宋_GB2312" w:cs="仿宋_GB2312" w:hAnsi="仿宋_GB2312" w:hint="eastAsia"/>
          <w:color w:val="auto"/>
          <w:sz w:val="32"/>
          <w:szCs w:val="32"/>
        </w:rPr>
        <w:t>根据预算绩效管理要求，本部门在</w:t>
      </w:r>
      <w:r>
        <w:rPr>
          <w:rFonts w:ascii="仿宋_GB2312" w:eastAsia="仿宋_GB2312" w:cs="仿宋_GB2312" w:hAnsi="仿宋_GB2312" w:hint="eastAsia"/>
          <w:color w:val="auto"/>
          <w:sz w:val="32"/>
          <w:szCs w:val="32"/>
          <w:lang w:val="en-US" w:eastAsia="zh-CN"/>
        </w:rPr>
        <w:t>2021年度</w:t>
      </w:r>
      <w:r>
        <w:rPr>
          <w:rFonts w:ascii="仿宋_GB2312" w:eastAsia="仿宋_GB2312" w:cs="仿宋_GB2312" w:hAnsi="仿宋_GB2312" w:hint="eastAsia"/>
          <w:color w:val="auto"/>
          <w:sz w:val="32"/>
          <w:szCs w:val="32"/>
        </w:rPr>
        <w:t>预算编制阶段，组织对</w:t>
      </w:r>
      <w:r>
        <w:rPr>
          <w:rFonts w:ascii="仿宋_GB2312" w:eastAsia="仿宋_GB2312" w:cs="仿宋_GB2312" w:hAnsi="仿宋_GB2312" w:hint="eastAsia"/>
          <w:color w:val="auto"/>
          <w:sz w:val="32"/>
          <w:szCs w:val="32"/>
          <w:lang w:val="en-US" w:eastAsia="zh-CN"/>
        </w:rPr>
        <w:t>2021年80岁老党员生活补助</w:t>
      </w:r>
      <w:r>
        <w:rPr>
          <w:rFonts w:ascii="仿宋_GB2312" w:eastAsia="仿宋_GB2312" w:cs="仿宋_GB2312" w:hAnsi="仿宋_GB2312" w:hint="eastAsia"/>
          <w:color w:val="auto"/>
          <w:sz w:val="32"/>
          <w:szCs w:val="32"/>
        </w:rPr>
        <w:t>项目</w:t>
      </w:r>
      <w:r>
        <w:rPr>
          <w:rFonts w:ascii="仿宋_GB2312" w:eastAsia="仿宋_GB2312" w:cs="仿宋_GB2312" w:hAnsi="仿宋_GB2312" w:hint="eastAsia"/>
          <w:color w:val="auto"/>
          <w:sz w:val="32"/>
          <w:szCs w:val="32"/>
          <w:lang w:eastAsia="zh-CN"/>
        </w:rPr>
        <w:t>等</w:t>
      </w:r>
      <w:r>
        <w:rPr>
          <w:rFonts w:ascii="仿宋_GB2312" w:eastAsia="仿宋_GB2312" w:cs="仿宋_GB2312" w:hAnsi="仿宋_GB2312" w:hint="eastAsia"/>
          <w:color w:val="auto"/>
          <w:sz w:val="32"/>
          <w:szCs w:val="32"/>
          <w:lang w:val="en-US" w:eastAsia="zh-CN"/>
        </w:rPr>
        <w:t>25个项目</w:t>
      </w:r>
      <w:r>
        <w:rPr>
          <w:rFonts w:ascii="仿宋_GB2312" w:eastAsia="仿宋_GB2312" w:cs="仿宋_GB2312" w:hAnsi="仿宋_GB2312" w:hint="eastAsia"/>
          <w:color w:val="auto"/>
          <w:sz w:val="32"/>
          <w:szCs w:val="32"/>
        </w:rPr>
        <w:t>开展了预算事前绩效评估，对</w:t>
      </w:r>
      <w:r>
        <w:rPr>
          <w:rFonts w:ascii="仿宋_GB2312" w:eastAsia="仿宋_GB2312" w:cs="仿宋_GB2312" w:hAnsi="仿宋_GB2312" w:hint="eastAsia"/>
          <w:color w:val="auto"/>
          <w:sz w:val="32"/>
          <w:szCs w:val="32"/>
          <w:lang w:val="en-US" w:eastAsia="zh-CN"/>
        </w:rPr>
        <w:t>25</w:t>
      </w:r>
      <w:r>
        <w:rPr>
          <w:rFonts w:ascii="仿宋_GB2312" w:eastAsia="仿宋_GB2312" w:cs="仿宋_GB2312" w:hAnsi="仿宋_GB2312" w:hint="eastAsia"/>
          <w:color w:val="auto"/>
          <w:sz w:val="32"/>
          <w:szCs w:val="32"/>
        </w:rPr>
        <w:t>个项目编制了绩效目标，预算执行过程中，选取</w:t>
      </w:r>
      <w:r>
        <w:rPr>
          <w:rFonts w:ascii="仿宋_GB2312" w:eastAsia="仿宋_GB2312" w:cs="仿宋_GB2312" w:hAnsi="仿宋_GB2312" w:hint="eastAsia"/>
          <w:color w:val="auto"/>
          <w:sz w:val="32"/>
          <w:szCs w:val="32"/>
          <w:lang w:val="en-US" w:eastAsia="zh-CN"/>
        </w:rPr>
        <w:t>26</w:t>
      </w:r>
      <w:r>
        <w:rPr>
          <w:rFonts w:ascii="仿宋_GB2312" w:eastAsia="仿宋_GB2312" w:cs="仿宋_GB2312" w:hAnsi="仿宋_GB2312" w:hint="eastAsia"/>
          <w:color w:val="auto"/>
          <w:sz w:val="32"/>
          <w:szCs w:val="32"/>
        </w:rPr>
        <w:t>个项目开展绩效监控，年终执行完毕后，对</w:t>
      </w:r>
      <w:r>
        <w:rPr>
          <w:rFonts w:ascii="仿宋_GB2312" w:eastAsia="仿宋_GB2312" w:cs="仿宋_GB2312" w:hAnsi="仿宋_GB2312" w:hint="eastAsia"/>
          <w:color w:val="auto"/>
          <w:sz w:val="32"/>
          <w:szCs w:val="32"/>
          <w:lang w:val="en-US" w:eastAsia="zh-CN"/>
        </w:rPr>
        <w:t>25</w:t>
      </w:r>
      <w:r>
        <w:rPr>
          <w:rFonts w:ascii="仿宋_GB2312" w:eastAsia="仿宋_GB2312" w:cs="仿宋_GB2312" w:hAnsi="仿宋_GB2312" w:hint="eastAsia"/>
          <w:color w:val="auto"/>
          <w:sz w:val="32"/>
          <w:szCs w:val="32"/>
        </w:rPr>
        <w:t>个项目开展了绩效自评</w:t>
      </w:r>
      <w:r>
        <w:rPr>
          <w:rFonts w:ascii="仿宋_GB2312" w:eastAsia="仿宋_GB2312" w:cs="仿宋_GB2312" w:hAnsi="仿宋_GB2312" w:hint="eastAsia"/>
          <w:color w:val="auto"/>
          <w:sz w:val="32"/>
          <w:szCs w:val="32"/>
          <w:lang w:eastAsia="zh-CN"/>
        </w:rPr>
        <w:t>。同时，</w:t>
      </w:r>
      <w:r>
        <w:rPr>
          <w:rFonts w:ascii="仿宋_GB2312" w:eastAsia="仿宋_GB2312" w:cs="仿宋_GB2312" w:hAnsi="仿宋_GB2312" w:hint="eastAsia"/>
          <w:color w:val="auto"/>
          <w:sz w:val="32"/>
          <w:szCs w:val="32"/>
        </w:rPr>
        <w:t>本部门对20</w:t>
      </w:r>
      <w:r>
        <w:rPr>
          <w:rFonts w:ascii="仿宋_GB2312" w:eastAsia="仿宋_GB2312" w:cs="仿宋_GB2312" w:hAnsi="仿宋_GB2312" w:hint="eastAsia"/>
          <w:color w:val="auto"/>
          <w:sz w:val="32"/>
          <w:szCs w:val="32"/>
          <w:lang w:val="en-US" w:eastAsia="zh-CN"/>
        </w:rPr>
        <w:t>21</w:t>
      </w:r>
      <w:r>
        <w:rPr>
          <w:rFonts w:ascii="仿宋_GB2312" w:eastAsia="仿宋_GB2312" w:cs="仿宋_GB2312" w:hAnsi="仿宋_GB2312" w:hint="eastAsia"/>
          <w:color w:val="auto"/>
          <w:sz w:val="32"/>
          <w:szCs w:val="32"/>
        </w:rPr>
        <w:t>年部门整体开展绩效自评，《202</w:t>
      </w:r>
      <w:r>
        <w:rPr>
          <w:rFonts w:ascii="仿宋_GB2312" w:eastAsia="仿宋_GB2312" w:cs="仿宋_GB2312" w:hAnsi="仿宋_GB2312" w:hint="eastAsia"/>
          <w:color w:val="auto"/>
          <w:sz w:val="32"/>
          <w:szCs w:val="32"/>
          <w:lang w:val="en-US" w:eastAsia="zh-CN"/>
        </w:rPr>
        <w:t>1</w:t>
      </w:r>
      <w:r>
        <w:rPr>
          <w:rFonts w:ascii="仿宋_GB2312" w:eastAsia="仿宋_GB2312" w:cs="仿宋_GB2312" w:hAnsi="仿宋_GB2312" w:hint="eastAsia"/>
          <w:color w:val="auto"/>
          <w:sz w:val="32"/>
          <w:szCs w:val="32"/>
        </w:rPr>
        <w:t>年</w:t>
      </w:r>
      <w:r>
        <w:rPr>
          <w:rFonts w:ascii="仿宋_GB2312" w:eastAsia="仿宋_GB2312" w:cs="仿宋_GB2312" w:hAnsi="仿宋_GB2312" w:hint="eastAsia"/>
          <w:color w:val="auto"/>
          <w:sz w:val="32"/>
          <w:szCs w:val="32"/>
          <w:lang w:eastAsia="zh-CN"/>
        </w:rPr>
        <w:t>荣山镇</w:t>
      </w:r>
      <w:r>
        <w:rPr>
          <w:rFonts w:ascii="仿宋_GB2312" w:eastAsia="仿宋_GB2312" w:cs="仿宋_GB2312" w:hAnsi="仿宋_GB2312" w:hint="eastAsia"/>
          <w:color w:val="auto"/>
          <w:sz w:val="32"/>
          <w:szCs w:val="32"/>
        </w:rPr>
        <w:t>部门整体绩效评价报告》见附件。</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（二）结果应用情况。</w:t>
      </w:r>
    </w:p>
    <w:p>
      <w:pPr>
        <w:keepNext w:val="0"/>
        <w:keepLines w:val="0"/>
        <w:pageBreakBefore w:val="0"/>
        <w:widowControl/>
        <w:kinsoku/>
        <w:wordWrap/>
        <w:overflowPunct/>
        <w:topLinePunct w:val="0"/>
        <w:autoSpaceDE/>
        <w:autoSpaceDN/>
        <w:bidi w:val="0"/>
        <w:adjustRightInd w:val="0"/>
        <w:snapToGrid w:val="0"/>
        <w:spacing w:line="572" w:lineRule="exact"/>
        <w:ind w:firstLineChars="200" w:firstLine="640"/>
        <w:contextualSpacing/>
        <w:jc w:val="left"/>
        <w:textAlignment w:val="auto"/>
        <w:rPr>
          <w:rFonts w:ascii="仿宋_GB2312" w:eastAsia="仿宋_GB2312" w:cs="宋体" w:hAnsi="宋体" w:hint="eastAsia"/>
          <w:color w:val="auto"/>
          <w:kern w:val="0"/>
          <w:sz w:val="32"/>
          <w:szCs w:val="32"/>
          <w:shd w:val="clear" w:color="auto" w:fill="FFFFFF"/>
          <w:lang w:val="zh-CN"/>
        </w:rPr>
      </w:pPr>
      <w:r>
        <w:rPr>
          <w:rFonts w:ascii="仿宋" w:eastAsia="仿宋" w:cs="仿宋" w:hAnsi="仿宋" w:hint="eastAsia"/>
          <w:b w:val="0"/>
          <w:bCs/>
          <w:i w:val="0"/>
          <w:iCs w:val="0"/>
          <w:caps w:val="0"/>
          <w:smallCaps w:val="0"/>
          <w:color w:val="auto"/>
          <w:spacing w:val="0"/>
          <w:kern w:val="2"/>
          <w:sz w:val="32"/>
          <w:szCs w:val="32"/>
          <w:shd w:val="clear" w:color="auto" w:fill="FFFFFF"/>
          <w:lang w:val="en-US" w:eastAsia="zh-CN" w:bidi="ar-SA"/>
        </w:rPr>
        <w:t>按照预算绩效管理要求，对2021年一般公共预算项目支出开展了绩效目标管理，绩效评价自查覆盖本单位及重点支出，我镇将评价结果作为预算安排的重要依据，不断强化绩效理念，推动部门绩效管理水平提升。</w:t>
      </w:r>
    </w:p>
    <w:p>
      <w:pPr>
        <w:widowControl/>
        <w:adjustRightInd w:val="0"/>
        <w:snapToGrid w:val="0"/>
        <w:spacing w:line="580" w:lineRule="exact"/>
        <w:ind w:left="0" w:firstLineChars="200" w:firstLine="640"/>
        <w:contextualSpacing/>
        <w:jc w:val="left"/>
        <w:rPr>
          <w:rFonts w:ascii="仿宋_GB2312" w:eastAsia="仿宋_GB2312" w:cs="宋体" w:hAnsi="宋体" w:hint="eastAsia"/>
          <w:color w:val="auto"/>
          <w:kern w:val="0"/>
          <w:sz w:val="32"/>
          <w:szCs w:val="32"/>
          <w:u w:val="none"/>
          <w:shd w:val="clear" w:color="auto" w:fill="FFFFFF"/>
          <w:lang w:val="zh-CN"/>
        </w:rPr>
      </w:pPr>
      <w:r>
        <w:rPr>
          <w:rFonts w:ascii="仿宋" w:eastAsia="仿宋" w:cs="仿宋" w:hAnsi="仿宋" w:hint="eastAsia"/>
          <w:b w:val="0"/>
          <w:bCs/>
          <w:i w:val="0"/>
          <w:iCs w:val="0"/>
          <w:caps w:val="0"/>
          <w:smallCaps w:val="0"/>
          <w:color w:val="auto"/>
          <w:spacing w:val="0"/>
          <w:kern w:val="2"/>
          <w:sz w:val="32"/>
          <w:szCs w:val="32"/>
          <w:shd w:val="clear" w:color="auto" w:fill="FFFFFF"/>
          <w:lang w:val="en-US" w:eastAsia="zh-CN" w:bidi="ar-SA"/>
        </w:rPr>
        <w:t>按照预算绩效管理要求，对2021年整体支出开展绩效自评，自查自评结果良好，全年基本支出保证了部门的正常运行和日常工作的正常开展，项目支出保障了重点工作的开展，达到预期绩效目标。</w:t>
      </w:r>
    </w:p>
    <w:p>
      <w:pPr>
        <w:widowControl/>
        <w:adjustRightInd w:val="0"/>
        <w:snapToGrid w:val="0"/>
        <w:spacing w:line="580" w:lineRule="exact"/>
        <w:ind w:left="0" w:firstLineChars="200" w:firstLine="640"/>
        <w:contextualSpacing/>
        <w:jc w:val="left"/>
        <w:rPr>
          <w:rFonts w:ascii="仿宋_GB2312" w:eastAsia="仿宋_GB2312" w:cs="宋体" w:hAnsi="宋体" w:hint="eastAsia"/>
          <w:color w:val="auto"/>
          <w:kern w:val="0"/>
          <w:sz w:val="32"/>
          <w:szCs w:val="32"/>
          <w:u w:val="none"/>
          <w:shd w:val="clear" w:color="auto" w:fill="FFFFFF"/>
          <w:lang w:val="zh-CN"/>
        </w:rPr>
      </w:pPr>
      <w:r>
        <w:rPr>
          <w:rFonts w:ascii="仿宋_GB2312" w:eastAsia="仿宋_GB2312" w:cs="宋体" w:hAnsi="宋体" w:hint="eastAsia"/>
          <w:color w:val="auto"/>
          <w:kern w:val="0"/>
          <w:sz w:val="32"/>
          <w:szCs w:val="32"/>
          <w:u w:val="none"/>
          <w:shd w:val="clear" w:color="auto" w:fill="FFFFFF"/>
          <w:lang w:val="zh-CN"/>
        </w:rPr>
        <w:t>（</w:t>
      </w:r>
      <w:r>
        <w:rPr>
          <w:rFonts w:ascii="仿宋_GB2312" w:eastAsia="仿宋_GB2312" w:cs="宋体" w:hAnsi="宋体" w:hint="eastAsia"/>
          <w:color w:val="auto"/>
          <w:kern w:val="0"/>
          <w:sz w:val="32"/>
          <w:szCs w:val="32"/>
          <w:u w:val="none"/>
          <w:shd w:val="clear" w:color="auto" w:fill="FFFFFF"/>
          <w:lang w:val="en-US" w:eastAsia="zh-CN"/>
        </w:rPr>
        <w:t>三</w:t>
      </w:r>
      <w:r>
        <w:rPr>
          <w:rFonts w:ascii="仿宋_GB2312" w:eastAsia="仿宋_GB2312" w:cs="宋体" w:hAnsi="宋体" w:hint="eastAsia"/>
          <w:color w:val="auto"/>
          <w:kern w:val="0"/>
          <w:sz w:val="32"/>
          <w:szCs w:val="32"/>
          <w:u w:val="none"/>
          <w:shd w:val="clear" w:color="auto" w:fill="FFFFFF"/>
          <w:lang w:val="zh-CN"/>
        </w:rPr>
        <w:t>）自评质量</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lang w:eastAsia="zh-CN"/>
        </w:rPr>
      </w:pPr>
      <w:r>
        <w:rPr>
          <w:rFonts w:ascii="仿宋_GB2312" w:eastAsia="仿宋_GB2312" w:cs="宋体" w:hAnsi="宋体" w:hint="eastAsia"/>
          <w:color w:val="auto"/>
          <w:kern w:val="0"/>
          <w:sz w:val="32"/>
          <w:szCs w:val="32"/>
          <w:shd w:val="clear" w:color="auto" w:fill="FFFFFF"/>
          <w:lang w:val="en-US" w:eastAsia="zh-CN"/>
        </w:rPr>
        <w:t xml:space="preserve">    </w:t>
      </w:r>
      <w:r>
        <w:rPr>
          <w:rFonts w:ascii="仿宋" w:eastAsia="仿宋" w:cs="仿宋" w:hAnsi="仿宋" w:hint="eastAsia"/>
          <w:b w:val="0"/>
          <w:bCs/>
          <w:i w:val="0"/>
          <w:iCs w:val="0"/>
          <w:caps w:val="0"/>
          <w:smallCaps w:val="0"/>
          <w:color w:val="auto"/>
          <w:spacing w:val="0"/>
          <w:sz w:val="32"/>
          <w:szCs w:val="32"/>
          <w:shd w:val="clear" w:color="auto" w:fill="FFFFFF"/>
        </w:rPr>
        <w:t>我单位严格按照上级专项资金管理办法使用资金，确保专项资金专款专用。</w:t>
      </w:r>
      <w:r>
        <w:rPr>
          <w:rFonts w:ascii="仿宋" w:eastAsia="仿宋" w:cs="仿宋" w:hAnsi="仿宋" w:hint="eastAsia"/>
          <w:b w:val="0"/>
          <w:bCs/>
          <w:i w:val="0"/>
          <w:iCs w:val="0"/>
          <w:caps w:val="0"/>
          <w:smallCaps w:val="0"/>
          <w:color w:val="auto"/>
          <w:spacing w:val="0"/>
          <w:sz w:val="32"/>
          <w:szCs w:val="32"/>
          <w:shd w:val="clear" w:color="auto" w:fill="FFFFFF"/>
          <w:lang w:val="en-US" w:eastAsia="zh-CN"/>
        </w:rPr>
        <w:t>义务兵优待金主要用于农村义务兵家庭，提高生活质量，保证服役人员安心保家卫国。人大代表及主席团活动经费主要用于镇人代会及代表工作正常开展等方面。场镇基础设施管理和环卫车辆运维专项资金主要用于城镇路灯、基础设施、场镇垃圾处理等方面。80岁老党员生活补助主要用于农村80岁老党员生活补助，提高老党员生活质量等方面。大调解工作经费主要用于调解辖区内矛盾纠纷，维护社会稳定等方面。森林防火</w:t>
      </w:r>
      <w:r>
        <w:rPr>
          <w:rFonts w:ascii="仿宋" w:eastAsia="仿宋" w:cs="仿宋" w:hAnsi="仿宋" w:hint="eastAsia"/>
          <w:b w:val="0"/>
          <w:bCs/>
          <w:i w:val="0"/>
          <w:iCs w:val="0"/>
          <w:caps w:val="0"/>
          <w:smallCaps w:val="0"/>
          <w:color w:val="auto"/>
          <w:spacing w:val="0"/>
          <w:sz w:val="32"/>
          <w:szCs w:val="32"/>
          <w:shd w:val="clear" w:color="auto" w:fill="FFFFFF"/>
        </w:rPr>
        <w:t>专项资金主要用于森林防火、森林资源管理、林业监督与执法、林业有害生物防治等方面。</w:t>
      </w:r>
      <w:r>
        <w:rPr>
          <w:rFonts w:ascii="仿宋" w:eastAsia="仿宋" w:cs="仿宋" w:hAnsi="仿宋" w:hint="eastAsia"/>
          <w:b w:val="0"/>
          <w:bCs/>
          <w:i w:val="0"/>
          <w:iCs w:val="0"/>
          <w:caps w:val="0"/>
          <w:smallCaps w:val="0"/>
          <w:color w:val="auto"/>
          <w:spacing w:val="0"/>
          <w:sz w:val="32"/>
          <w:szCs w:val="32"/>
          <w:shd w:val="clear" w:color="auto" w:fill="FFFFFF"/>
          <w:lang w:eastAsia="zh-CN"/>
        </w:rPr>
        <w:t>远程教育专项资金主要用于机关党员干部学习提高理论知识等方面。会议费（含老体协工作经费）主要用于镇政府政策宣讲、业务培训、老体协活动等方面。伙食团补助主要用于促进镇机关食堂正常运作等方面。基层武装工作专项经费主要用于镇民兵训练、新兵服役等方面。计划生育宣传和免费技术检查项目工作经费主要用于政策宣讲、农村妇女妇检等方面。</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rPr>
      </w:pPr>
      <w:r>
        <w:rPr>
          <w:rFonts w:ascii="仿宋" w:eastAsia="仿宋" w:cs="仿宋" w:hAnsi="仿宋" w:hint="eastAsia"/>
          <w:b w:val="0"/>
          <w:bCs/>
          <w:i w:val="0"/>
          <w:iCs w:val="0"/>
          <w:caps w:val="0"/>
          <w:smallCaps w:val="0"/>
          <w:color w:val="auto"/>
          <w:spacing w:val="0"/>
          <w:sz w:val="32"/>
          <w:szCs w:val="32"/>
          <w:shd w:val="clear" w:color="auto" w:fill="FFFFFF"/>
        </w:rPr>
        <w:t>1</w:t>
      </w:r>
      <w:r>
        <w:rPr>
          <w:rFonts w:ascii="仿宋" w:eastAsia="仿宋" w:cs="仿宋" w:hAnsi="仿宋" w:hint="eastAsia"/>
          <w:b w:val="0"/>
          <w:bCs/>
          <w:i w:val="0"/>
          <w:iCs w:val="0"/>
          <w:caps w:val="0"/>
          <w:smallCaps w:val="0"/>
          <w:color w:val="auto"/>
          <w:spacing w:val="0"/>
          <w:sz w:val="32"/>
          <w:szCs w:val="32"/>
          <w:shd w:val="clear" w:color="auto" w:fill="FFFFFF"/>
          <w:lang w:val="en-US" w:eastAsia="zh-CN"/>
        </w:rPr>
        <w:t>.</w:t>
      </w:r>
      <w:r>
        <w:rPr>
          <w:rFonts w:ascii="仿宋" w:eastAsia="仿宋" w:cs="仿宋" w:hAnsi="仿宋" w:hint="eastAsia"/>
          <w:b w:val="0"/>
          <w:bCs/>
          <w:i w:val="0"/>
          <w:iCs w:val="0"/>
          <w:caps w:val="0"/>
          <w:smallCaps w:val="0"/>
          <w:color w:val="auto"/>
          <w:spacing w:val="0"/>
          <w:sz w:val="32"/>
          <w:szCs w:val="32"/>
          <w:shd w:val="clear" w:color="auto" w:fill="FFFFFF"/>
        </w:rPr>
        <w:t>部门整体支出定性目标及实施计划完成情况。本年预算配置控制较好，财政供养人员控制在预算编制以内，“三公”经费支出总额</w:t>
      </w:r>
      <w:r>
        <w:rPr>
          <w:rFonts w:ascii="仿宋" w:eastAsia="仿宋" w:cs="仿宋" w:hAnsi="仿宋" w:hint="eastAsia"/>
          <w:b w:val="0"/>
          <w:bCs/>
          <w:i w:val="0"/>
          <w:iCs w:val="0"/>
          <w:caps w:val="0"/>
          <w:smallCaps w:val="0"/>
          <w:color w:val="auto"/>
          <w:spacing w:val="0"/>
          <w:sz w:val="32"/>
          <w:szCs w:val="32"/>
          <w:shd w:val="clear" w:color="auto" w:fill="FFFFFF"/>
          <w:lang w:eastAsia="zh-CN"/>
        </w:rPr>
        <w:t>与</w:t>
      </w:r>
      <w:r>
        <w:rPr>
          <w:rFonts w:ascii="仿宋" w:eastAsia="仿宋" w:cs="仿宋" w:hAnsi="仿宋" w:hint="eastAsia"/>
          <w:b w:val="0"/>
          <w:bCs/>
          <w:i w:val="0"/>
          <w:iCs w:val="0"/>
          <w:caps w:val="0"/>
          <w:smallCaps w:val="0"/>
          <w:color w:val="auto"/>
          <w:spacing w:val="0"/>
          <w:sz w:val="32"/>
          <w:szCs w:val="32"/>
          <w:shd w:val="clear" w:color="auto" w:fill="FFFFFF"/>
        </w:rPr>
        <w:t>上年</w:t>
      </w:r>
      <w:r>
        <w:rPr>
          <w:rFonts w:ascii="仿宋" w:eastAsia="仿宋" w:cs="仿宋" w:hAnsi="仿宋" w:hint="eastAsia"/>
          <w:b w:val="0"/>
          <w:bCs/>
          <w:i w:val="0"/>
          <w:iCs w:val="0"/>
          <w:caps w:val="0"/>
          <w:smallCaps w:val="0"/>
          <w:color w:val="auto"/>
          <w:spacing w:val="0"/>
          <w:sz w:val="32"/>
          <w:szCs w:val="32"/>
          <w:shd w:val="clear" w:color="auto" w:fill="FFFFFF"/>
          <w:lang w:eastAsia="zh-CN"/>
        </w:rPr>
        <w:t>度持平</w:t>
      </w:r>
      <w:r>
        <w:rPr>
          <w:rFonts w:ascii="仿宋" w:eastAsia="仿宋" w:cs="仿宋" w:hAnsi="仿宋" w:hint="eastAsia"/>
          <w:b w:val="0"/>
          <w:bCs/>
          <w:i w:val="0"/>
          <w:iCs w:val="0"/>
          <w:caps w:val="0"/>
          <w:smallCaps w:val="0"/>
          <w:color w:val="auto"/>
          <w:spacing w:val="0"/>
          <w:sz w:val="32"/>
          <w:szCs w:val="32"/>
          <w:shd w:val="clear" w:color="auto" w:fill="FFFFFF"/>
        </w:rPr>
        <w:t>。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w:t>
      </w:r>
      <w:r>
        <w:rPr>
          <w:rFonts w:ascii="仿宋" w:eastAsia="仿宋" w:cs="仿宋" w:hAnsi="仿宋" w:hint="eastAsia"/>
          <w:b w:val="0"/>
          <w:bCs/>
          <w:i w:val="0"/>
          <w:iCs w:val="0"/>
          <w:caps w:val="0"/>
          <w:smallCaps w:val="0"/>
          <w:color w:val="auto"/>
          <w:spacing w:val="0"/>
          <w:sz w:val="32"/>
          <w:szCs w:val="32"/>
          <w:shd w:val="clear" w:color="auto" w:fill="FFFFFF"/>
          <w:lang w:eastAsia="zh-CN"/>
        </w:rPr>
        <w:t>2021年</w:t>
      </w:r>
      <w:r>
        <w:rPr>
          <w:rFonts w:ascii="仿宋" w:eastAsia="仿宋" w:cs="仿宋" w:hAnsi="仿宋" w:hint="eastAsia"/>
          <w:b w:val="0"/>
          <w:bCs/>
          <w:i w:val="0"/>
          <w:iCs w:val="0"/>
          <w:caps w:val="0"/>
          <w:smallCaps w:val="0"/>
          <w:color w:val="auto"/>
          <w:spacing w:val="0"/>
          <w:sz w:val="32"/>
          <w:szCs w:val="32"/>
          <w:shd w:val="clear" w:color="auto" w:fill="FFFFFF"/>
        </w:rPr>
        <w:t>全面完成了上级主管部门下达我</w:t>
      </w:r>
      <w:r>
        <w:rPr>
          <w:rFonts w:ascii="仿宋" w:eastAsia="仿宋" w:cs="仿宋" w:hAnsi="仿宋" w:hint="eastAsia"/>
          <w:b w:val="0"/>
          <w:bCs/>
          <w:i w:val="0"/>
          <w:iCs w:val="0"/>
          <w:caps w:val="0"/>
          <w:smallCaps w:val="0"/>
          <w:color w:val="auto"/>
          <w:spacing w:val="0"/>
          <w:sz w:val="32"/>
          <w:szCs w:val="32"/>
          <w:shd w:val="clear" w:color="auto" w:fill="FFFFFF"/>
          <w:lang w:eastAsia="zh-CN"/>
        </w:rPr>
        <w:t>镇</w:t>
      </w:r>
      <w:r>
        <w:rPr>
          <w:rFonts w:ascii="仿宋" w:eastAsia="仿宋" w:cs="仿宋" w:hAnsi="仿宋" w:hint="eastAsia"/>
          <w:b w:val="0"/>
          <w:bCs/>
          <w:i w:val="0"/>
          <w:iCs w:val="0"/>
          <w:caps w:val="0"/>
          <w:smallCaps w:val="0"/>
          <w:color w:val="auto"/>
          <w:spacing w:val="0"/>
          <w:sz w:val="32"/>
          <w:szCs w:val="32"/>
          <w:shd w:val="clear" w:color="auto" w:fill="FFFFFF"/>
        </w:rPr>
        <w:t>的各项工作任务和重点工作计划。</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rPr>
      </w:pPr>
      <w:r>
        <w:rPr>
          <w:rFonts w:ascii="仿宋" w:eastAsia="仿宋" w:cs="仿宋" w:hAnsi="仿宋" w:hint="eastAsia"/>
          <w:b w:val="0"/>
          <w:bCs/>
          <w:i w:val="0"/>
          <w:iCs w:val="0"/>
          <w:caps w:val="0"/>
          <w:smallCaps w:val="0"/>
          <w:color w:val="auto"/>
          <w:spacing w:val="0"/>
          <w:sz w:val="32"/>
          <w:szCs w:val="32"/>
          <w:shd w:val="clear" w:color="auto" w:fill="FFFFFF"/>
        </w:rPr>
        <w:t>2</w:t>
      </w:r>
      <w:r>
        <w:rPr>
          <w:rFonts w:ascii="仿宋" w:eastAsia="仿宋" w:cs="仿宋" w:hAnsi="仿宋" w:hint="eastAsia"/>
          <w:b w:val="0"/>
          <w:bCs/>
          <w:i w:val="0"/>
          <w:iCs w:val="0"/>
          <w:caps w:val="0"/>
          <w:smallCaps w:val="0"/>
          <w:color w:val="auto"/>
          <w:spacing w:val="0"/>
          <w:sz w:val="32"/>
          <w:szCs w:val="32"/>
          <w:shd w:val="clear" w:color="auto" w:fill="FFFFFF"/>
          <w:lang w:val="en-US" w:eastAsia="zh-CN"/>
        </w:rPr>
        <w:t>.</w:t>
      </w:r>
      <w:r>
        <w:rPr>
          <w:rFonts w:ascii="仿宋" w:eastAsia="仿宋" w:cs="仿宋" w:hAnsi="仿宋" w:hint="eastAsia"/>
          <w:b w:val="0"/>
          <w:bCs/>
          <w:i w:val="0"/>
          <w:iCs w:val="0"/>
          <w:caps w:val="0"/>
          <w:smallCaps w:val="0"/>
          <w:color w:val="auto"/>
          <w:spacing w:val="0"/>
          <w:sz w:val="32"/>
          <w:szCs w:val="32"/>
          <w:shd w:val="clear" w:color="auto" w:fill="FFFFFF"/>
        </w:rPr>
        <w:t>资金管理情况。我</w:t>
      </w:r>
      <w:r>
        <w:rPr>
          <w:rFonts w:ascii="仿宋" w:eastAsia="仿宋" w:cs="仿宋" w:hAnsi="仿宋" w:hint="eastAsia"/>
          <w:b w:val="0"/>
          <w:bCs/>
          <w:i w:val="0"/>
          <w:iCs w:val="0"/>
          <w:caps w:val="0"/>
          <w:smallCaps w:val="0"/>
          <w:color w:val="auto"/>
          <w:spacing w:val="0"/>
          <w:sz w:val="32"/>
          <w:szCs w:val="32"/>
          <w:shd w:val="clear" w:color="auto" w:fill="FFFFFF"/>
          <w:lang w:eastAsia="zh-CN"/>
        </w:rPr>
        <w:t>镇</w:t>
      </w:r>
      <w:r>
        <w:rPr>
          <w:rFonts w:ascii="仿宋" w:eastAsia="仿宋" w:cs="仿宋" w:hAnsi="仿宋" w:hint="eastAsia"/>
          <w:b w:val="0"/>
          <w:bCs/>
          <w:i w:val="0"/>
          <w:iCs w:val="0"/>
          <w:caps w:val="0"/>
          <w:smallCaps w:val="0"/>
          <w:color w:val="auto"/>
          <w:spacing w:val="0"/>
          <w:sz w:val="32"/>
          <w:szCs w:val="32"/>
          <w:shd w:val="clear" w:color="auto" w:fill="FFFFFF"/>
        </w:rPr>
        <w:t>项目资金全部按财政国库集中支付制度要求使用和拨付，通过财政直接支付方式拨给项目实施单位。在拨付过程中严把监督审核关，建立健全内部审批制度，财务做好项目专帐，严格实行专款专用，保证资金及时足额用到项目中。</w:t>
      </w:r>
    </w:p>
    <w:p>
      <w:pPr>
        <w:keepNext w:val="0"/>
        <w:keepLines w:val="0"/>
        <w:pageBreakBefore w:val="0"/>
        <w:widowControl/>
        <w:kinsoku/>
        <w:wordWrap/>
        <w:overflowPunct/>
        <w:topLinePunct w:val="0"/>
        <w:autoSpaceDE/>
        <w:autoSpaceDN/>
        <w:bidi w:val="0"/>
        <w:adjustRightInd w:val="0"/>
        <w:snapToGrid w:val="0"/>
        <w:spacing w:line="576" w:lineRule="exact"/>
        <w:ind w:left="0" w:firstLineChars="200" w:firstLine="640"/>
        <w:contextualSpacing/>
        <w:jc w:val="left"/>
        <w:textAlignment w:val="auto"/>
        <w:rPr>
          <w:rFonts w:ascii="仿宋_GB2312" w:eastAsia="仿宋_GB2312" w:cs="宋体" w:hAnsi="宋体"/>
          <w:color w:val="auto"/>
          <w:kern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rPr>
        <w:t>3</w:t>
      </w:r>
      <w:r>
        <w:rPr>
          <w:rFonts w:ascii="仿宋" w:eastAsia="仿宋" w:cs="仿宋" w:hAnsi="仿宋" w:hint="eastAsia"/>
          <w:b w:val="0"/>
          <w:bCs/>
          <w:i w:val="0"/>
          <w:iCs w:val="0"/>
          <w:caps w:val="0"/>
          <w:smallCaps w:val="0"/>
          <w:color w:val="auto"/>
          <w:spacing w:val="0"/>
          <w:sz w:val="32"/>
          <w:szCs w:val="32"/>
          <w:shd w:val="clear" w:color="auto" w:fill="FFFFFF"/>
          <w:lang w:val="en-US" w:eastAsia="zh-CN"/>
        </w:rPr>
        <w:t>.</w:t>
      </w:r>
      <w:r>
        <w:rPr>
          <w:rFonts w:ascii="仿宋" w:eastAsia="仿宋" w:cs="仿宋" w:hAnsi="仿宋" w:hint="eastAsia"/>
          <w:b w:val="0"/>
          <w:bCs/>
          <w:i w:val="0"/>
          <w:iCs w:val="0"/>
          <w:caps w:val="0"/>
          <w:smallCaps w:val="0"/>
          <w:color w:val="auto"/>
          <w:spacing w:val="0"/>
          <w:sz w:val="32"/>
          <w:szCs w:val="32"/>
          <w:shd w:val="clear" w:color="auto" w:fill="FFFFFF"/>
        </w:rPr>
        <w:t>项目实施组织管理情况。我</w:t>
      </w:r>
      <w:r>
        <w:rPr>
          <w:rFonts w:ascii="仿宋" w:eastAsia="仿宋" w:cs="仿宋" w:hAnsi="仿宋" w:hint="eastAsia"/>
          <w:b w:val="0"/>
          <w:bCs/>
          <w:i w:val="0"/>
          <w:iCs w:val="0"/>
          <w:caps w:val="0"/>
          <w:smallCaps w:val="0"/>
          <w:color w:val="auto"/>
          <w:spacing w:val="0"/>
          <w:sz w:val="32"/>
          <w:szCs w:val="32"/>
          <w:shd w:val="clear" w:color="auto" w:fill="FFFFFF"/>
          <w:lang w:eastAsia="zh-CN"/>
        </w:rPr>
        <w:t>镇</w:t>
      </w:r>
      <w:r>
        <w:rPr>
          <w:rFonts w:ascii="仿宋" w:eastAsia="仿宋" w:cs="仿宋" w:hAnsi="仿宋" w:hint="eastAsia"/>
          <w:b w:val="0"/>
          <w:bCs/>
          <w:i w:val="0"/>
          <w:iCs w:val="0"/>
          <w:caps w:val="0"/>
          <w:smallCaps w:val="0"/>
          <w:color w:val="auto"/>
          <w:spacing w:val="0"/>
          <w:sz w:val="32"/>
          <w:szCs w:val="32"/>
          <w:shd w:val="clear" w:color="auto" w:fill="FFFFFF"/>
        </w:rPr>
        <w:t>项目实施和资金使用分配坚持集体决策。对项目制订工作方案，明确时间节点，开展项目规划设计、部署工作，认真落实项目任务。工作中突出重点，高标准规划、精细设计</w:t>
      </w:r>
      <w:r>
        <w:rPr>
          <w:rFonts w:ascii="仿宋" w:eastAsia="仿宋" w:cs="仿宋" w:hAnsi="仿宋" w:hint="eastAsia"/>
          <w:b w:val="0"/>
          <w:bCs/>
          <w:i w:val="0"/>
          <w:iCs w:val="0"/>
          <w:caps w:val="0"/>
          <w:smallCaps w:val="0"/>
          <w:color w:val="auto"/>
          <w:spacing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黑体" w:eastAsia="黑体" w:cs="宋体" w:hAnsi="宋体"/>
          <w:color w:val="auto"/>
          <w:kern w:val="0"/>
          <w:sz w:val="32"/>
          <w:szCs w:val="32"/>
          <w:shd w:val="clear" w:color="auto" w:fill="FFFFFF"/>
        </w:rPr>
      </w:pPr>
      <w:r>
        <w:rPr>
          <w:rFonts w:ascii="黑体" w:eastAsia="黑体" w:cs="宋体" w:hAnsi="宋体" w:hint="eastAsia"/>
          <w:color w:val="auto"/>
          <w:kern w:val="0"/>
          <w:sz w:val="32"/>
          <w:szCs w:val="32"/>
          <w:shd w:val="clear" w:color="auto" w:fill="FFFFFF"/>
        </w:rPr>
        <w:t>四、评价结论及建议</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_GB2312" w:eastAsia="仿宋_GB2312" w:cs="宋体" w:hAnsi="宋体" w:hint="eastAsia"/>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（一）评价结论。</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576" w:lineRule="exact"/>
        <w:ind w:left="0" w:right="0" w:firstLineChars="200" w:firstLine="640"/>
        <w:jc w:val="left"/>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2021年荣山镇人民政府财政预算执行情况良好，从评价情况来看，项目立项程序完整、规范，预算执行及时、有效，为镇党委、政府决策提供了可靠的依据和支撑，预算执行中坚持“花钱必问效、无效必问责”的指导方针，绩效目标得到较好实现，绩效管理水平不断提高。部门整体支出绩效情况如下：</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1.经济效益评价</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（1）预算执行方面，支出总额控制在预算总额以内。</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（2）预算管理方面，制度执行总体较为有效。</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（3）资产管理方面，建立了资产管理制度，定期进行了盘点和资产清理，总体执行较好。</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2.效率性评价和有效性评价</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预算安排的基本支出保障了正常的工作运转，预算安排的项目支出是非常必要的，在执行上是严格遵守各项财经纪律的，在项目资金的使用上也是放心的，严守法律底线、纪律底线、道德底线。</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3.社会公众满意度评价</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_GB2312" w:eastAsia="仿宋_GB2312" w:cs="宋体" w:hAnsi="宋体" w:hint="eastAsia"/>
          <w:color w:val="auto"/>
          <w:kern w:val="0"/>
          <w:sz w:val="32"/>
          <w:szCs w:val="32"/>
          <w:shd w:val="clear" w:color="auto" w:fill="FFFFFF"/>
          <w:lang w:val="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2021年我镇认真贯彻落实中央、省、市、区重大决策部署，坚持“稳中求进”的工作总基调，勤奋工作，创先争优，通过全镇干部和群众的共同努力，使全镇经济社会发展更进一步，人民群众生活质量提高。</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_GB2312" w:eastAsia="仿宋_GB2312" w:cs="宋体" w:hAnsi="宋体"/>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（二）存在问题。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1.资金使用效益有待进一步提高。</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_GB2312" w:eastAsia="仿宋_GB2312" w:cs="宋体" w:hAnsi="宋体" w:hint="eastAsia"/>
          <w:color w:val="auto"/>
          <w:kern w:val="0"/>
          <w:sz w:val="32"/>
          <w:szCs w:val="32"/>
          <w:shd w:val="clear" w:color="auto" w:fill="FFFFFF"/>
          <w:lang w:val="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2.绩效目标设立不够明确、细化和量化。</w:t>
      </w:r>
    </w:p>
    <w:p>
      <w:pPr>
        <w:keepNext w:val="0"/>
        <w:keepLines w:val="0"/>
        <w:pageBreakBefore w:val="0"/>
        <w:widowControl/>
        <w:kinsoku/>
        <w:wordWrap/>
        <w:overflowPunct/>
        <w:topLinePunct w:val="0"/>
        <w:autoSpaceDE/>
        <w:autoSpaceDN/>
        <w:bidi w:val="0"/>
        <w:adjustRightInd w:val="0"/>
        <w:snapToGrid w:val="0"/>
        <w:spacing w:line="576" w:lineRule="exact"/>
        <w:ind w:firstLineChars="200" w:firstLine="640"/>
        <w:contextualSpacing/>
        <w:jc w:val="left"/>
        <w:textAlignment w:val="auto"/>
        <w:rPr>
          <w:rFonts w:ascii="仿宋_GB2312" w:eastAsia="仿宋_GB2312" w:cs="宋体" w:hAnsi="宋体" w:hint="eastAsia"/>
          <w:color w:val="auto"/>
          <w:kern w:val="0"/>
          <w:sz w:val="32"/>
          <w:szCs w:val="32"/>
          <w:shd w:val="clear" w:color="auto" w:fill="FFFFFF"/>
          <w:lang w:val="zh-CN"/>
        </w:rPr>
      </w:pPr>
      <w:r>
        <w:rPr>
          <w:rFonts w:ascii="仿宋_GB2312" w:eastAsia="仿宋_GB2312" w:cs="宋体" w:hAnsi="宋体" w:hint="eastAsia"/>
          <w:color w:val="auto"/>
          <w:kern w:val="0"/>
          <w:sz w:val="32"/>
          <w:szCs w:val="32"/>
          <w:shd w:val="clear" w:color="auto" w:fill="FFFFFF"/>
          <w:lang w:val="zh-CN"/>
        </w:rPr>
        <w:t>（三）改进建议。</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1.加强管理，严控行政支出。严格三公经费支出的审批流程，进一步细化三公经费的管理。</w:t>
      </w: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en-US" w:eastAsia="zh-CN"/>
        </w:rPr>
      </w:pPr>
      <w:r>
        <w:rPr>
          <w:rFonts w:ascii="仿宋" w:eastAsia="仿宋" w:cs="仿宋" w:hAnsi="仿宋" w:hint="eastAsia"/>
          <w:b w:val="0"/>
          <w:bCs/>
          <w:i w:val="0"/>
          <w:iCs w:val="0"/>
          <w:caps w:val="0"/>
          <w:smallCaps w:val="0"/>
          <w:color w:val="auto"/>
          <w:spacing w:val="0"/>
          <w:sz w:val="32"/>
          <w:szCs w:val="32"/>
          <w:shd w:val="clear" w:color="auto" w:fill="FFFFFF"/>
          <w:lang w:val="en-US" w:eastAsia="zh-CN"/>
        </w:rPr>
        <w:t>2.进一步加强项目资金管理。严格实行项目管理程序化，实现项目申报、实施、拨付、评价全流程监督与控制，规范专项资金管理，提高专项资金的使用效益。</w:t>
      </w: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en-US" w:eastAsia="zh-CN"/>
        </w:rPr>
      </w:pP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en-US" w:eastAsia="zh-CN"/>
        </w:rPr>
      </w:pP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en-US" w:eastAsia="zh-CN"/>
        </w:rPr>
      </w:pP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en-US" w:eastAsia="zh-CN"/>
        </w:rPr>
      </w:pP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en-US" w:eastAsia="zh-CN"/>
        </w:rPr>
      </w:pP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en-US" w:eastAsia="zh-CN"/>
        </w:rPr>
      </w:pP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en-US" w:eastAsia="zh-CN"/>
        </w:rPr>
      </w:pP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zh-CN" w:eastAsia="zh-CN"/>
        </w:rPr>
      </w:pP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zh-CN" w:eastAsia="zh-CN"/>
        </w:rPr>
      </w:pPr>
    </w:p>
    <w:p>
      <w:pPr>
        <w:pStyle w:val="15"/>
        <w:ind w:firstLineChars="200" w:firstLine="640"/>
        <w:rPr>
          <w:rFonts w:ascii="仿宋" w:eastAsia="仿宋" w:cs="仿宋" w:hAnsi="仿宋" w:hint="eastAsia"/>
          <w:b w:val="0"/>
          <w:bCs/>
          <w:i w:val="0"/>
          <w:iCs w:val="0"/>
          <w:caps w:val="0"/>
          <w:smallCaps w:val="0"/>
          <w:color w:val="auto"/>
          <w:spacing w:val="0"/>
          <w:sz w:val="32"/>
          <w:szCs w:val="32"/>
          <w:shd w:val="clear" w:color="auto" w:fill="FFFFFF"/>
          <w:lang w:val="zh-CN" w:eastAsia="zh-CN"/>
        </w:rPr>
      </w:pPr>
    </w:p>
    <w:p>
      <w:pPr>
        <w:pStyle w:val="15"/>
        <w:rPr>
          <w:rFonts w:eastAsia="仿宋_GB2312" w:hint="eastAsia"/>
          <w:color w:val="auto"/>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2021年80岁老党员生活补助</w:t>
      </w:r>
      <w:r>
        <w:rPr>
          <w:rFonts w:ascii="方正小标宋简体" w:eastAsia="方正小标宋简体" w:cs="方正小标宋简体" w:hAnsi="方正小标宋简体" w:hint="eastAsia"/>
          <w:color w:val="auto"/>
          <w:kern w:val="2"/>
          <w:sz w:val="40"/>
          <w:szCs w:val="40"/>
          <w:lang w:val="zh-CN" w:eastAsia="zh-CN" w:bidi="ar-SA"/>
        </w:rPr>
        <w:t>专项预算项目支出绩效自评报告</w:t>
      </w:r>
    </w:p>
    <w:p>
      <w:pPr>
        <w:pStyle w:val="16"/>
        <w:rPr>
          <w:rFonts w:hint="eastAsia"/>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2021年度80岁老党员生活补助项目年初预算2.5万元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（二）荣山镇</w:t>
      </w:r>
      <w:r>
        <w:rPr>
          <w:rFonts w:ascii="仿宋" w:eastAsia="仿宋" w:cs="仿宋" w:hAnsi="仿宋" w:hint="eastAsia"/>
          <w:b w:val="0"/>
          <w:bCs/>
          <w:color w:val="auto"/>
          <w:sz w:val="32"/>
          <w:szCs w:val="32"/>
          <w:lang w:val="en-US" w:eastAsia="zh-CN"/>
        </w:rPr>
        <w:t>2021年度80岁老党员生活补助项目涉及12个村（社区），辖区80岁以上老党员补助，按要求发放。将党组织的温暖和关怀送到老党员的心中，体现组织的关怀和党员之间的真情，让他们发挥余热。</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2021年度80岁老党员生活补助项目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576" w:lineRule="exact"/>
        <w:ind w:left="0" w:right="0" w:firstLineChars="200" w:firstLine="640"/>
        <w:jc w:val="left"/>
        <w:textAlignment w:val="auto"/>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2021年度80岁老党员生活补助项目年初预算2.5万元，2021年在大平台全部到位，其来源为区财政资金。与资金计划相比，该项目资金到位率100%，到位及时率高，配套资金筹措及时。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2.5</w:t>
      </w:r>
      <w:r>
        <w:rPr>
          <w:rFonts w:ascii="仿宋" w:eastAsia="仿宋" w:cs="仿宋" w:hAnsi="仿宋" w:hint="eastAsia"/>
          <w:b w:val="0"/>
          <w:bCs/>
          <w:color w:val="auto"/>
          <w:sz w:val="32"/>
          <w:szCs w:val="32"/>
          <w:lang w:val="zh-CN" w:eastAsia="zh-CN"/>
        </w:rPr>
        <w:t>万元，资金主要是用于</w:t>
      </w:r>
      <w:r>
        <w:rPr>
          <w:rFonts w:ascii="仿宋" w:eastAsia="仿宋" w:cs="仿宋" w:hAnsi="仿宋" w:hint="eastAsia"/>
          <w:b w:val="0"/>
          <w:bCs/>
          <w:color w:val="auto"/>
          <w:sz w:val="32"/>
          <w:szCs w:val="32"/>
          <w:lang w:val="en-US" w:eastAsia="zh-CN"/>
        </w:rPr>
        <w:t>老党员生活补助，充分体现了党中央对党员的关心，增强党员的归属感、荣誉感，提高了老党员的晚年生活质量</w:t>
      </w:r>
      <w:r>
        <w:rPr>
          <w:rFonts w:ascii="仿宋" w:eastAsia="仿宋" w:cs="仿宋" w:hAnsi="仿宋" w:hint="eastAsia"/>
          <w:b w:val="0"/>
          <w:bCs/>
          <w:color w:val="auto"/>
          <w:sz w:val="32"/>
          <w:szCs w:val="32"/>
          <w:lang w:val="zh-CN" w:eastAsia="zh-CN"/>
        </w:rPr>
        <w:t>。资金支付与预算相符，支付依据合规合法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576" w:lineRule="exact"/>
        <w:ind w:left="0" w:right="0" w:firstLineChars="200" w:firstLine="640"/>
        <w:jc w:val="left"/>
        <w:textAlignment w:val="auto"/>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576" w:lineRule="exact"/>
        <w:ind w:left="0" w:right="0" w:firstLineChars="200" w:firstLine="640"/>
        <w:jc w:val="left"/>
        <w:textAlignment w:val="auto"/>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Autospacing="0" w:afterAutospacing="0" w:line="576" w:lineRule="exact"/>
        <w:ind w:left="0" w:right="0" w:firstLineChars="200" w:firstLine="640"/>
        <w:jc w:val="left"/>
        <w:textAlignment w:val="auto"/>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outlineLvl w:val="0"/>
        <w:rPr>
          <w:rFonts w:ascii="仿宋" w:eastAsia="仿宋" w:cs="仿宋" w:hAnsi="仿宋" w:hint="eastAsia"/>
          <w:b w:val="0"/>
          <w:bCs/>
          <w:color w:val="auto"/>
          <w:sz w:val="32"/>
          <w:szCs w:val="32"/>
          <w:lang w:val="en-US" w:eastAsia="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（二）项目效益情况。</w:t>
      </w:r>
      <w:r>
        <w:rPr>
          <w:rFonts w:ascii="仿宋" w:eastAsia="仿宋" w:cs="仿宋" w:hAnsi="仿宋" w:hint="eastAsia"/>
          <w:b w:val="0"/>
          <w:bCs/>
          <w:color w:val="auto"/>
          <w:sz w:val="32"/>
          <w:szCs w:val="32"/>
          <w:lang w:val="en-US" w:eastAsia="zh-CN"/>
        </w:rPr>
        <w:t>给老党员发放生活补助是实现党内激励、关怀和帮扶机制的重要举措，不仅让老党员感受到了党的关怀，也有助于激发年轻党员干事创业的热情，不断增强基层党组织的凝聚力和向心力。老党员满意度100%。</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textAlignment w:val="auto"/>
        <w:rPr>
          <w:rFonts w:ascii="仿宋" w:eastAsia="仿宋" w:cs="仿宋" w:hAnsi="仿宋" w:hint="eastAsia"/>
          <w:b w:val="0"/>
          <w:bCs/>
          <w:color w:val="auto"/>
          <w:sz w:val="32"/>
          <w:szCs w:val="32"/>
          <w:lang w:val="zh-CN"/>
        </w:rPr>
      </w:pPr>
    </w:p>
    <w:p>
      <w:pPr>
        <w:pStyle w:val="15"/>
        <w:rPr>
          <w:rFonts w:hint="eastAsia"/>
          <w:lang w:val="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eastAsia="zh-CN"/>
        </w:rPr>
      </w:pPr>
    </w:p>
    <w:p>
      <w:pPr>
        <w:pStyle w:val="26"/>
        <w:pageBreakBefore w:val="0"/>
        <w:widowControl w:val="0"/>
        <w:kinsoku/>
        <w:wordWrap/>
        <w:overflowPunct/>
        <w:topLinePunct w:val="0"/>
        <w:autoSpaceDE/>
        <w:autoSpaceDN/>
        <w:bidi w:val="0"/>
        <w:spacing w:line="576" w:lineRule="exact"/>
        <w:ind w:leftChars="0" w:left="0" w:firstLineChars="0" w:firstLine="0"/>
        <w:textAlignment w:val="auto"/>
        <w:rPr>
          <w:rFonts w:ascii="仿宋" w:eastAsia="仿宋" w:cs="仿宋" w:hAnsi="仿宋" w:hint="eastAsia"/>
          <w:b w:val="0"/>
          <w:bCs/>
          <w:color w:val="auto"/>
          <w:sz w:val="32"/>
          <w:szCs w:val="32"/>
          <w:lang w:eastAsia="zh-CN"/>
        </w:rPr>
      </w:pPr>
    </w:p>
    <w:p>
      <w:pPr>
        <w:rPr>
          <w:rFonts w:ascii="仿宋" w:eastAsia="仿宋" w:cs="仿宋" w:hAnsi="仿宋" w:hint="eastAsia"/>
          <w:b w:val="0"/>
          <w:bCs/>
          <w:color w:val="auto"/>
          <w:sz w:val="32"/>
          <w:szCs w:val="32"/>
          <w:lang w:eastAsia="zh-CN"/>
        </w:rPr>
      </w:pPr>
    </w:p>
    <w:p>
      <w:pPr>
        <w:pStyle w:val="15"/>
        <w:rPr>
          <w:rFonts w:hint="eastAsia"/>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2021年消防队建设工作</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2021年度</w:t>
      </w:r>
      <w:r>
        <w:rPr>
          <w:rFonts w:ascii="仿宋" w:eastAsia="仿宋" w:cs="仿宋" w:hAnsi="仿宋" w:hint="eastAsia"/>
          <w:b w:val="0"/>
          <w:bCs/>
          <w:color w:val="auto"/>
          <w:sz w:val="32"/>
          <w:szCs w:val="32"/>
          <w:lang w:val="zh-CN" w:eastAsia="zh-CN"/>
        </w:rPr>
        <w:t>消防队建设工作</w:t>
      </w:r>
      <w:r>
        <w:rPr>
          <w:rFonts w:ascii="仿宋" w:eastAsia="仿宋" w:cs="仿宋" w:hAnsi="仿宋" w:hint="eastAsia"/>
          <w:b w:val="0"/>
          <w:bCs/>
          <w:color w:val="auto"/>
          <w:sz w:val="32"/>
          <w:szCs w:val="32"/>
          <w:lang w:val="zh-CN"/>
        </w:rPr>
        <w:t>项目</w:t>
      </w:r>
      <w:r>
        <w:rPr>
          <w:rFonts w:ascii="仿宋" w:eastAsia="仿宋" w:cs="仿宋" w:hAnsi="仿宋" w:hint="eastAsia"/>
          <w:b w:val="0"/>
          <w:bCs/>
          <w:color w:val="auto"/>
          <w:sz w:val="32"/>
          <w:szCs w:val="32"/>
          <w:lang w:val="en-US" w:eastAsia="zh-CN"/>
        </w:rPr>
        <w:t>年初预算16万元</w:t>
      </w:r>
      <w:r>
        <w:rPr>
          <w:rFonts w:ascii="仿宋" w:eastAsia="仿宋" w:cs="仿宋" w:hAnsi="仿宋" w:hint="eastAsia"/>
          <w:b w:val="0"/>
          <w:bCs/>
          <w:color w:val="auto"/>
          <w:sz w:val="32"/>
          <w:szCs w:val="32"/>
          <w:lang w:val="zh-CN"/>
        </w:rPr>
        <w:t>。</w:t>
      </w:r>
    </w:p>
    <w:p>
      <w:pPr>
        <w:pageBreakBefore w:val="0"/>
        <w:widowControl w:val="0"/>
        <w:tabs>
          <w:tab w:val="left" w:pos="0"/>
        </w:tabs>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（二）荣山镇</w:t>
      </w:r>
      <w:r>
        <w:rPr>
          <w:rFonts w:ascii="仿宋" w:eastAsia="仿宋" w:cs="仿宋" w:hAnsi="仿宋" w:hint="eastAsia"/>
          <w:b w:val="0"/>
          <w:bCs/>
          <w:color w:val="auto"/>
          <w:sz w:val="32"/>
          <w:szCs w:val="32"/>
          <w:lang w:val="en-US" w:eastAsia="zh-CN"/>
        </w:rPr>
        <w:t>2021年度</w:t>
      </w:r>
      <w:r>
        <w:rPr>
          <w:rFonts w:ascii="仿宋" w:eastAsia="仿宋" w:cs="仿宋" w:hAnsi="仿宋" w:hint="eastAsia"/>
          <w:b w:val="0"/>
          <w:bCs/>
          <w:color w:val="auto"/>
          <w:sz w:val="32"/>
          <w:szCs w:val="32"/>
          <w:lang w:val="zh-CN" w:eastAsia="zh-CN"/>
        </w:rPr>
        <w:t>消防队建设工作</w:t>
      </w:r>
      <w:r>
        <w:rPr>
          <w:rFonts w:ascii="仿宋" w:eastAsia="仿宋" w:cs="仿宋" w:hAnsi="仿宋" w:hint="eastAsia"/>
          <w:b w:val="0"/>
          <w:bCs/>
          <w:color w:val="auto"/>
          <w:sz w:val="32"/>
          <w:szCs w:val="32"/>
          <w:lang w:val="zh-CN"/>
        </w:rPr>
        <w:t>项目</w:t>
      </w:r>
      <w:r>
        <w:rPr>
          <w:rFonts w:ascii="仿宋" w:eastAsia="仿宋" w:cs="仿宋" w:hAnsi="仿宋" w:hint="eastAsia"/>
          <w:b w:val="0"/>
          <w:bCs/>
          <w:color w:val="auto"/>
          <w:sz w:val="32"/>
          <w:szCs w:val="32"/>
          <w:lang w:val="en-US" w:eastAsia="zh-CN"/>
        </w:rPr>
        <w:t>涉及荣山镇辖区，保障了</w:t>
      </w:r>
      <w:r>
        <w:rPr>
          <w:rFonts w:ascii="仿宋" w:eastAsia="仿宋" w:cs="仿宋" w:hAnsi="仿宋" w:hint="eastAsia"/>
          <w:b w:val="0"/>
          <w:bCs/>
          <w:color w:val="auto"/>
          <w:sz w:val="32"/>
          <w:szCs w:val="32"/>
          <w:lang w:val="zh-CN" w:eastAsia="zh-CN"/>
        </w:rPr>
        <w:t>消防队建设，增强抗御火灾和应急救援的能力，更好地完成灭火和应急救援任务。</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2021年度</w:t>
      </w:r>
      <w:r>
        <w:rPr>
          <w:rFonts w:ascii="仿宋" w:eastAsia="仿宋" w:cs="仿宋" w:hAnsi="仿宋" w:hint="eastAsia"/>
          <w:b w:val="0"/>
          <w:bCs/>
          <w:color w:val="auto"/>
          <w:sz w:val="32"/>
          <w:szCs w:val="32"/>
          <w:lang w:val="zh-CN" w:eastAsia="zh-CN"/>
        </w:rPr>
        <w:t>消防队建设工作</w:t>
      </w:r>
      <w:r>
        <w:rPr>
          <w:rFonts w:ascii="仿宋" w:eastAsia="仿宋" w:cs="仿宋" w:hAnsi="仿宋" w:hint="eastAsia"/>
          <w:b w:val="0"/>
          <w:bCs/>
          <w:color w:val="auto"/>
          <w:sz w:val="32"/>
          <w:szCs w:val="32"/>
          <w:lang w:val="zh-CN"/>
        </w:rPr>
        <w:t>项目申报内容与具体实施内容相符，申报目标合理可行。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2021年度</w:t>
      </w:r>
      <w:r>
        <w:rPr>
          <w:rFonts w:ascii="仿宋" w:eastAsia="仿宋" w:cs="仿宋" w:hAnsi="仿宋" w:hint="eastAsia"/>
          <w:b w:val="0"/>
          <w:bCs/>
          <w:color w:val="auto"/>
          <w:sz w:val="32"/>
          <w:szCs w:val="32"/>
          <w:lang w:val="zh-CN" w:eastAsia="zh-CN"/>
        </w:rPr>
        <w:t>消防队建设工作</w:t>
      </w:r>
      <w:r>
        <w:rPr>
          <w:rFonts w:ascii="仿宋" w:eastAsia="仿宋" w:cs="仿宋" w:hAnsi="仿宋" w:hint="eastAsia"/>
          <w:b w:val="0"/>
          <w:bCs/>
          <w:color w:val="auto"/>
          <w:sz w:val="32"/>
          <w:szCs w:val="32"/>
          <w:lang w:val="zh-CN"/>
        </w:rPr>
        <w:t>项目</w:t>
      </w:r>
      <w:r>
        <w:rPr>
          <w:rFonts w:ascii="仿宋" w:eastAsia="仿宋" w:cs="仿宋" w:hAnsi="仿宋" w:hint="eastAsia"/>
          <w:b w:val="0"/>
          <w:bCs/>
          <w:color w:val="auto"/>
          <w:sz w:val="32"/>
          <w:szCs w:val="32"/>
          <w:lang w:val="en-US" w:eastAsia="zh-CN"/>
        </w:rPr>
        <w:t>年初预算16万元，2021年在大平台全部到位，其来源为区财政资金。与资金计划相比，该项目资金到位率100%，到位及时率高，配套资金筹措及时。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16</w:t>
      </w:r>
      <w:r>
        <w:rPr>
          <w:rFonts w:ascii="仿宋" w:eastAsia="仿宋" w:cs="仿宋" w:hAnsi="仿宋" w:hint="eastAsia"/>
          <w:b w:val="0"/>
          <w:bCs/>
          <w:color w:val="auto"/>
          <w:sz w:val="32"/>
          <w:szCs w:val="32"/>
          <w:lang w:val="zh-CN" w:eastAsia="zh-CN"/>
        </w:rPr>
        <w:t>万元，资金主要是用于</w:t>
      </w:r>
      <w:r>
        <w:rPr>
          <w:rFonts w:ascii="仿宋" w:eastAsia="仿宋" w:cs="仿宋" w:hAnsi="仿宋" w:hint="eastAsia"/>
          <w:b w:val="0"/>
          <w:bCs/>
          <w:color w:val="auto"/>
          <w:sz w:val="32"/>
          <w:szCs w:val="32"/>
          <w:lang w:val="en-US" w:eastAsia="zh-CN"/>
        </w:rPr>
        <w:t>消防队日常工作、业务培训，消防车加油等费用。</w:t>
      </w:r>
      <w:r>
        <w:rPr>
          <w:rFonts w:ascii="仿宋" w:eastAsia="仿宋" w:cs="仿宋" w:hAnsi="仿宋" w:hint="eastAsia"/>
          <w:b w:val="0"/>
          <w:bCs/>
          <w:color w:val="auto"/>
          <w:sz w:val="32"/>
          <w:szCs w:val="32"/>
          <w:lang w:val="zh-CN" w:eastAsia="zh-CN"/>
        </w:rPr>
        <w:t>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（二）项目效益情况。</w:t>
      </w:r>
      <w:r>
        <w:rPr>
          <w:rFonts w:ascii="仿宋" w:eastAsia="仿宋" w:cs="仿宋" w:hAnsi="仿宋" w:hint="eastAsia"/>
          <w:b w:val="0"/>
          <w:bCs/>
          <w:color w:val="auto"/>
          <w:sz w:val="32"/>
          <w:szCs w:val="32"/>
          <w:lang w:val="zh-CN"/>
        </w:rPr>
        <w:t>该项目的实施确保</w:t>
      </w:r>
      <w:r>
        <w:rPr>
          <w:rFonts w:ascii="仿宋" w:eastAsia="仿宋" w:cs="仿宋" w:hAnsi="仿宋" w:hint="eastAsia"/>
          <w:b w:val="0"/>
          <w:bCs/>
          <w:color w:val="auto"/>
          <w:sz w:val="32"/>
          <w:szCs w:val="32"/>
          <w:lang w:val="zh-CN" w:eastAsia="zh-CN"/>
        </w:rPr>
        <w:t>荣山镇辖区内消防安全，保障消防人员经费及消防物资，</w:t>
      </w:r>
      <w:r>
        <w:rPr>
          <w:rFonts w:ascii="仿宋" w:eastAsia="仿宋" w:cs="仿宋" w:hAnsi="仿宋" w:hint="eastAsia"/>
          <w:b w:val="0"/>
          <w:bCs/>
          <w:color w:val="auto"/>
          <w:sz w:val="32"/>
          <w:szCs w:val="32"/>
          <w:lang w:val="zh-CN"/>
        </w:rPr>
        <w:t>促进</w:t>
      </w:r>
      <w:r>
        <w:rPr>
          <w:rFonts w:ascii="仿宋" w:eastAsia="仿宋" w:cs="仿宋" w:hAnsi="仿宋" w:hint="eastAsia"/>
          <w:b w:val="0"/>
          <w:bCs/>
          <w:color w:val="auto"/>
          <w:sz w:val="32"/>
          <w:szCs w:val="32"/>
          <w:lang w:val="zh-CN" w:eastAsia="zh-CN"/>
        </w:rPr>
        <w:t>辖区</w:t>
      </w:r>
      <w:r>
        <w:rPr>
          <w:rFonts w:ascii="仿宋" w:eastAsia="仿宋" w:cs="仿宋" w:hAnsi="仿宋" w:hint="eastAsia"/>
          <w:b w:val="0"/>
          <w:bCs/>
          <w:color w:val="auto"/>
          <w:sz w:val="32"/>
          <w:szCs w:val="32"/>
          <w:lang w:val="zh-CN"/>
        </w:rPr>
        <w:t>社会稳定和经济发展</w:t>
      </w:r>
      <w:r>
        <w:rPr>
          <w:rFonts w:ascii="仿宋" w:eastAsia="仿宋" w:cs="仿宋" w:hAnsi="仿宋" w:hint="eastAsia"/>
          <w:b w:val="0"/>
          <w:bCs/>
          <w:color w:val="auto"/>
          <w:sz w:val="32"/>
          <w:szCs w:val="32"/>
          <w:lang w:val="zh-CN" w:eastAsia="zh-CN"/>
        </w:rPr>
        <w:t>。</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楷体" w:eastAsia="楷体" w:cs="楷体" w:hAnsi="楷体" w:hint="eastAsia"/>
          <w:b w:val="0"/>
          <w:bCs/>
          <w:i w:val="0"/>
          <w:iCs w:val="0"/>
          <w:caps w:val="0"/>
          <w:smallCaps w:val="0"/>
          <w:color w:val="auto"/>
          <w:spacing w:val="0"/>
          <w:kern w:val="0"/>
          <w:sz w:val="32"/>
          <w:szCs w:val="32"/>
          <w:shd w:val="clear" w:color="auto" w:fill="FFFFFF"/>
          <w:lang w:val="zh-CN" w:eastAsia="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楷体" w:cs="仿宋" w:hAnsi="仿宋" w:hint="eastAsia"/>
          <w:b w:val="0"/>
          <w:bCs/>
          <w:color w:val="auto"/>
          <w:sz w:val="32"/>
          <w:szCs w:val="32"/>
          <w:lang w:eastAsia="zh-CN"/>
        </w:rPr>
      </w:pPr>
    </w:p>
    <w:p>
      <w:pPr>
        <w:pStyle w:val="15"/>
        <w:rPr>
          <w:rFonts w:eastAsia="仿宋_GB2312" w:hint="eastAsia"/>
          <w:color w:val="auto"/>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rPr>
      </w:pPr>
      <w:r>
        <w:rPr>
          <w:rFonts w:ascii="方正小标宋简体" w:eastAsia="方正小标宋简体" w:cs="方正小标宋简体" w:hAnsi="方正小标宋简体" w:hint="eastAsia"/>
          <w:color w:val="auto"/>
          <w:kern w:val="2"/>
          <w:sz w:val="40"/>
          <w:szCs w:val="40"/>
          <w:lang w:val="en-US" w:eastAsia="zh-CN" w:bidi="ar-SA"/>
        </w:rPr>
        <w:t>2021年贫困村及非贫困村第一书记工作经费</w:t>
      </w:r>
      <w:r>
        <w:rPr>
          <w:rFonts w:ascii="方正小标宋简体" w:eastAsia="方正小标宋简体" w:cs="方正小标宋简体" w:hAnsi="方正小标宋简体" w:hint="eastAsia"/>
          <w:color w:val="auto"/>
          <w:kern w:val="2"/>
          <w:sz w:val="40"/>
          <w:szCs w:val="40"/>
          <w:lang w:val="zh-CN" w:eastAsia="zh-CN" w:bidi="ar-SA"/>
        </w:rPr>
        <w:t>专项预算项目支出绩效自评报告</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2021年度贫困村及非贫困村第一书记工作经费</w:t>
      </w:r>
      <w:r>
        <w:rPr>
          <w:rFonts w:ascii="仿宋" w:eastAsia="仿宋" w:cs="仿宋" w:hAnsi="仿宋" w:hint="eastAsia"/>
          <w:b w:val="0"/>
          <w:bCs/>
          <w:color w:val="auto"/>
          <w:sz w:val="32"/>
          <w:szCs w:val="32"/>
          <w:lang w:val="zh-CN" w:eastAsia="zh-CN"/>
        </w:rPr>
        <w:t>项目</w:t>
      </w:r>
      <w:r>
        <w:rPr>
          <w:rFonts w:ascii="仿宋" w:eastAsia="仿宋" w:cs="仿宋" w:hAnsi="仿宋" w:hint="eastAsia"/>
          <w:b w:val="0"/>
          <w:bCs/>
          <w:color w:val="auto"/>
          <w:sz w:val="32"/>
          <w:szCs w:val="32"/>
          <w:lang w:val="en-US" w:eastAsia="zh-CN"/>
        </w:rPr>
        <w:t>年初预算25万元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2021年度贫困村及非贫困村第一书记工作经费</w:t>
      </w:r>
      <w:r>
        <w:rPr>
          <w:rFonts w:ascii="仿宋" w:eastAsia="仿宋" w:cs="仿宋" w:hAnsi="仿宋" w:hint="eastAsia"/>
          <w:b w:val="0"/>
          <w:bCs/>
          <w:color w:val="auto"/>
          <w:sz w:val="32"/>
          <w:szCs w:val="32"/>
          <w:lang w:val="zh-CN" w:eastAsia="zh-CN"/>
        </w:rPr>
        <w:t>项</w:t>
      </w:r>
      <w:r>
        <w:rPr>
          <w:rFonts w:ascii="仿宋" w:eastAsia="仿宋" w:cs="仿宋" w:hAnsi="仿宋" w:hint="eastAsia"/>
          <w:b w:val="0"/>
          <w:bCs/>
          <w:color w:val="auto"/>
          <w:sz w:val="32"/>
          <w:szCs w:val="32"/>
          <w:lang w:val="zh-CN"/>
        </w:rPr>
        <w:t>目</w:t>
      </w:r>
      <w:r>
        <w:rPr>
          <w:rFonts w:ascii="仿宋" w:eastAsia="仿宋" w:cs="仿宋" w:hAnsi="仿宋" w:hint="eastAsia"/>
          <w:b w:val="0"/>
          <w:bCs/>
          <w:color w:val="auto"/>
          <w:sz w:val="32"/>
          <w:szCs w:val="32"/>
          <w:lang w:val="en-US" w:eastAsia="zh-CN"/>
        </w:rPr>
        <w:t>涉及荣山镇11个村（社区）。协调指导村“两委”理清发展思路，加快调整产业结构，发展特色经济，增加农民收入；推动村级组织规范化建设，落实“四议两公开”，指导完善村规民约，提高村干部依法办事能力，促进农村和谐稳定。指导村党支部抓好农民教育工作，不断提高群众思想道德素质和脱贫致富能力。</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2021年度贫困村及非贫困村第一书记工作经费</w:t>
      </w:r>
      <w:r>
        <w:rPr>
          <w:rFonts w:ascii="仿宋" w:eastAsia="仿宋" w:cs="仿宋" w:hAnsi="仿宋" w:hint="eastAsia"/>
          <w:b w:val="0"/>
          <w:bCs/>
          <w:color w:val="auto"/>
          <w:sz w:val="32"/>
          <w:szCs w:val="32"/>
          <w:lang w:val="zh-CN"/>
        </w:rPr>
        <w:t>项目申报内容与具体实施内容相符，申报目标合理可行。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2021年度贫困村及非贫困村第一书记工作经费</w:t>
      </w:r>
      <w:r>
        <w:rPr>
          <w:rFonts w:ascii="仿宋" w:eastAsia="仿宋" w:cs="仿宋" w:hAnsi="仿宋" w:hint="eastAsia"/>
          <w:b w:val="0"/>
          <w:bCs/>
          <w:color w:val="auto"/>
          <w:sz w:val="32"/>
          <w:szCs w:val="32"/>
          <w:lang w:val="zh-CN"/>
        </w:rPr>
        <w:t>项目</w:t>
      </w:r>
      <w:r>
        <w:rPr>
          <w:rFonts w:ascii="仿宋" w:eastAsia="仿宋" w:cs="仿宋" w:hAnsi="仿宋" w:hint="eastAsia"/>
          <w:b w:val="0"/>
          <w:bCs/>
          <w:color w:val="auto"/>
          <w:sz w:val="32"/>
          <w:szCs w:val="32"/>
          <w:lang w:val="en-US" w:eastAsia="zh-CN"/>
        </w:rPr>
        <w:t>年初预算25万元，2021年在大平台全部到位，其来源为区财政资金。与资金计划相比，该项目资金到位率100%，到位及时率高，配套资金筹措及时。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25</w:t>
      </w:r>
      <w:r>
        <w:rPr>
          <w:rFonts w:ascii="仿宋" w:eastAsia="仿宋" w:cs="仿宋" w:hAnsi="仿宋" w:hint="eastAsia"/>
          <w:b w:val="0"/>
          <w:bCs/>
          <w:color w:val="auto"/>
          <w:sz w:val="32"/>
          <w:szCs w:val="32"/>
          <w:lang w:val="zh-CN" w:eastAsia="zh-CN"/>
        </w:rPr>
        <w:t>万元，资金主要是用于驻村帮扶工作和改善驻村工作基本生活条件相关经费支出，第一书记驻村期间为开展帮扶工作外出招商引资、考察学习、调查研究以及驻村期间往返单位所在地和派驻村的交通费和生活补助等。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zh-CN"/>
        </w:rPr>
        <w:t>该项目的实施增强了上级单位与基层群众的联系与沟通，各村工作思路也更加明确，发展目标更加清晰，第一书记在基层的生活条件得到了更好的保障</w:t>
      </w:r>
      <w:r>
        <w:rPr>
          <w:rFonts w:ascii="仿宋" w:eastAsia="仿宋" w:cs="仿宋" w:hAnsi="仿宋" w:hint="eastAsia"/>
          <w:b w:val="0"/>
          <w:bCs/>
          <w:color w:val="auto"/>
          <w:sz w:val="32"/>
          <w:szCs w:val="32"/>
          <w:lang w:val="zh-CN" w:eastAsia="zh-CN"/>
        </w:rPr>
        <w:t>。</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pStyle w:val="19"/>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both"/>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仿宋"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仿宋" w:cs="仿宋" w:hAnsi="仿宋" w:hint="eastAsia"/>
          <w:b w:val="0"/>
          <w:bCs/>
          <w:color w:val="auto"/>
          <w:sz w:val="32"/>
          <w:szCs w:val="32"/>
          <w:lang w:eastAsia="zh-CN"/>
        </w:rPr>
      </w:pPr>
    </w:p>
    <w:p>
      <w:pPr>
        <w:pStyle w:val="15"/>
        <w:rPr>
          <w:rFonts w:ascii="方正小标宋简体" w:eastAsia="方正小标宋简体" w:cs="方正小标宋简体" w:hAnsi="方正小标宋简体" w:hint="eastAsia"/>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rPr>
      </w:pPr>
      <w:r>
        <w:rPr>
          <w:rFonts w:ascii="方正小标宋简体" w:eastAsia="方正小标宋简体" w:cs="方正小标宋简体" w:hAnsi="方正小标宋简体" w:hint="eastAsia"/>
          <w:color w:val="auto"/>
          <w:kern w:val="2"/>
          <w:sz w:val="40"/>
          <w:szCs w:val="40"/>
          <w:lang w:val="en-US" w:eastAsia="zh-CN" w:bidi="ar-SA"/>
        </w:rPr>
        <w:t>2021年会议费（含老体协工作经费）</w:t>
      </w:r>
      <w:r>
        <w:rPr>
          <w:rFonts w:ascii="方正小标宋简体" w:eastAsia="方正小标宋简体" w:cs="方正小标宋简体" w:hAnsi="方正小标宋简体" w:hint="eastAsia"/>
          <w:color w:val="auto"/>
          <w:kern w:val="2"/>
          <w:sz w:val="40"/>
          <w:szCs w:val="40"/>
          <w:lang w:val="zh-CN" w:eastAsia="zh-CN" w:bidi="ar-SA"/>
        </w:rPr>
        <w:t>专项预算项目支出绩效自评报告</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2021年度会议费（含老体协工作经费）项目年初预算3万元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2021年度会议费（含老体协工作经费）项目涉及12个村（社），</w:t>
      </w:r>
      <w:r>
        <w:rPr>
          <w:rFonts w:ascii="仿宋" w:eastAsia="仿宋" w:cs="仿宋" w:hAnsi="仿宋" w:hint="eastAsia"/>
          <w:b w:val="0"/>
          <w:bCs/>
          <w:color w:val="auto"/>
          <w:sz w:val="32"/>
          <w:szCs w:val="32"/>
          <w:lang w:val="zh-CN" w:eastAsia="zh-CN"/>
        </w:rPr>
        <w:t>保障各类会议正常开展及老体协等活动的开展。</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2021年度会议费（含老体协工作经费）项目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2021年度会议费（含老体协工作经费）项目年初预算3万元，2021年在大平台全部到位，其来源为区财政资金。与资金计划相比，该项目资金到位率100%，到位及时率高，配套资金筹措及时。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3</w:t>
      </w:r>
      <w:r>
        <w:rPr>
          <w:rFonts w:ascii="仿宋" w:eastAsia="仿宋" w:cs="仿宋" w:hAnsi="仿宋" w:hint="eastAsia"/>
          <w:b w:val="0"/>
          <w:bCs/>
          <w:color w:val="auto"/>
          <w:sz w:val="32"/>
          <w:szCs w:val="32"/>
          <w:lang w:val="zh-CN" w:eastAsia="zh-CN"/>
        </w:rPr>
        <w:t>万元，资金主要是用于各类会议及老体协等活动的开展。资金支付与预算相符，支付依据合规合法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该项目的实施</w:t>
      </w:r>
      <w:r>
        <w:rPr>
          <w:rFonts w:ascii="仿宋" w:eastAsia="仿宋" w:cs="仿宋" w:hAnsi="仿宋" w:hint="eastAsia"/>
          <w:b w:val="0"/>
          <w:bCs/>
          <w:color w:val="auto"/>
          <w:sz w:val="32"/>
          <w:szCs w:val="32"/>
          <w:lang w:val="en-US" w:eastAsia="zh-CN"/>
        </w:rPr>
        <w:t>保</w:t>
      </w:r>
      <w:r>
        <w:rPr>
          <w:rFonts w:ascii="仿宋" w:eastAsia="仿宋" w:cs="仿宋" w:hAnsi="仿宋" w:hint="eastAsia"/>
          <w:b w:val="0"/>
          <w:bCs/>
          <w:color w:val="auto"/>
          <w:sz w:val="32"/>
          <w:szCs w:val="32"/>
          <w:lang w:val="zh-CN"/>
        </w:rPr>
        <w:t>障各类会议及老体协活动的正常开展，促进依法行政，强化广泛监督，促进了辖区社会经济可持续发展，使老年体育活动得到了提升，起到了强身健体的作用。</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仿宋"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仿宋"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仿宋"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仿宋" w:cs="仿宋" w:hAnsi="仿宋" w:hint="eastAsia"/>
          <w:b w:val="0"/>
          <w:bCs/>
          <w:color w:val="auto"/>
          <w:sz w:val="32"/>
          <w:szCs w:val="32"/>
          <w:lang w:eastAsia="zh-CN"/>
        </w:rPr>
      </w:pPr>
    </w:p>
    <w:p>
      <w:pPr>
        <w:pStyle w:val="15"/>
        <w:rPr>
          <w:rFonts w:ascii="方正小标宋简体" w:eastAsia="仿宋_GB2312" w:cs="方正小标宋简体" w:hAnsi="方正小标宋简体" w:hint="eastAsia"/>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2021年党家岩提灌站维护</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2021年度党家岩提灌站维护项目年初预算3万元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2021年度党家岩提灌站维护项目涉及泉坝村、原荣山村、原廖家村，该提灌站为三级提灌，总装机容量445KW，设计灌溉面3000亩，目前常年灌面仅有320亩，涉及农户200户，700余人。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2021年度党家岩提灌站维护项目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2021年度党家岩提灌站维护项目年初预算3万元，2021年在大平台全部到位，其来源为区财政资金。与资金计划相比，该项目资金到位率100%，到位及时率高，配套资金筹措及时。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3</w:t>
      </w:r>
      <w:r>
        <w:rPr>
          <w:rFonts w:ascii="仿宋" w:eastAsia="仿宋" w:cs="仿宋" w:hAnsi="仿宋" w:hint="eastAsia"/>
          <w:b w:val="0"/>
          <w:bCs/>
          <w:color w:val="auto"/>
          <w:sz w:val="32"/>
          <w:szCs w:val="32"/>
          <w:lang w:val="zh-CN" w:eastAsia="zh-CN"/>
        </w:rPr>
        <w:t>万元，资金主要是用于</w:t>
      </w:r>
      <w:r>
        <w:rPr>
          <w:rFonts w:ascii="仿宋" w:eastAsia="仿宋" w:cs="仿宋" w:hAnsi="仿宋" w:hint="eastAsia"/>
          <w:b w:val="0"/>
          <w:bCs/>
          <w:color w:val="auto"/>
          <w:sz w:val="32"/>
          <w:szCs w:val="32"/>
          <w:lang w:val="en-US" w:eastAsia="zh-CN"/>
        </w:rPr>
        <w:t>党家岩提灌站的维修维护</w:t>
      </w:r>
      <w:r>
        <w:rPr>
          <w:rFonts w:ascii="仿宋" w:eastAsia="仿宋" w:cs="仿宋" w:hAnsi="仿宋" w:hint="eastAsia"/>
          <w:b w:val="0"/>
          <w:bCs/>
          <w:color w:val="auto"/>
          <w:sz w:val="32"/>
          <w:szCs w:val="32"/>
          <w:lang w:val="zh-CN" w:eastAsia="zh-CN"/>
        </w:rPr>
        <w:t>费用。资金支付与预算相符，支付依据合规合法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576" w:lineRule="exact"/>
        <w:ind w:left="617" w:firstLine="643"/>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该项目的实施有效地解决</w:t>
      </w:r>
      <w:r>
        <w:rPr>
          <w:rFonts w:ascii="仿宋" w:eastAsia="仿宋" w:cs="仿宋" w:hAnsi="仿宋" w:hint="eastAsia"/>
          <w:b w:val="0"/>
          <w:bCs/>
          <w:color w:val="auto"/>
          <w:sz w:val="32"/>
          <w:szCs w:val="32"/>
          <w:lang w:val="en-US" w:eastAsia="zh-CN"/>
        </w:rPr>
        <w:t>了群众农业灌溉用水，保障农作物的生长；有效促进辖区稳定、群众生活保障及经济收入</w:t>
      </w:r>
      <w:r>
        <w:rPr>
          <w:rFonts w:ascii="仿宋" w:eastAsia="仿宋" w:cs="仿宋" w:hAnsi="仿宋" w:hint="eastAsia"/>
          <w:b w:val="0"/>
          <w:bCs/>
          <w:color w:val="auto"/>
          <w:sz w:val="32"/>
          <w:szCs w:val="32"/>
          <w:lang w:val="zh-CN" w:eastAsia="zh-CN"/>
        </w:rPr>
        <w:t>。</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center"/>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pStyle w:val="15"/>
        <w:pageBreakBefore w:val="0"/>
        <w:widowControl w:val="0"/>
        <w:kinsoku/>
        <w:wordWrap/>
        <w:overflowPunct/>
        <w:topLinePunct w:val="0"/>
        <w:autoSpaceDE/>
        <w:autoSpaceDN/>
        <w:bidi w:val="0"/>
        <w:spacing w:beforeLines="0" w:before="0" w:line="576" w:lineRule="exact"/>
        <w:ind w:left="0" w:firstLineChars="200" w:firstLine="640"/>
        <w:textAlignment w:val="auto"/>
        <w:rPr>
          <w:rFonts w:ascii="仿宋" w:eastAsia="仿宋"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pStyle w:val="15"/>
        <w:rPr>
          <w:rFonts w:ascii="方正小标宋简体" w:eastAsia="仿宋_GB2312" w:cs="方正小标宋简体" w:hAnsi="方正小标宋简体" w:hint="eastAsia"/>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en-US"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2021年泉坝工业园区影响土地水改旱及土地租金</w:t>
      </w:r>
      <w:r>
        <w:rPr>
          <w:rFonts w:ascii="方正小标宋简体" w:eastAsia="方正小标宋简体" w:cs="方正小标宋简体" w:hAnsi="方正小标宋简体" w:hint="eastAsia"/>
          <w:color w:val="auto"/>
          <w:kern w:val="2"/>
          <w:sz w:val="40"/>
          <w:szCs w:val="40"/>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2021年度泉坝工业园区影响土地水改旱及土地租金项目年初预算7.487万元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度泉坝工业园区影响土地水改旱及土地租金项目涉及泉坝工业园区建山葵加工厂影响六组下坝28.68亩土地没有渠堰灌溉，后通过协调给予344元/亩水改旱补贴。园区修建滨河路需拆迁香料厂，香料厂共租地17.61亩，山葵厂租地14.89亩，共计租用土地面积32.5亩，租金2000元/亩。</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2021年度泉坝工业园区影响土地水改旱及土地租金项目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2021年度泉坝工业园区影响土地水改旱及土地租金项目年初预算7.487万元，2021年在大平台全部到位，其来源为区财政资金。与资金计划相比，该项目资金到位率100%，到位及时率高，配套资金筹措及时。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7.487</w:t>
      </w:r>
      <w:r>
        <w:rPr>
          <w:rFonts w:ascii="仿宋" w:eastAsia="仿宋" w:cs="仿宋" w:hAnsi="仿宋" w:hint="eastAsia"/>
          <w:b w:val="0"/>
          <w:bCs/>
          <w:color w:val="auto"/>
          <w:sz w:val="32"/>
          <w:szCs w:val="32"/>
          <w:lang w:val="zh-CN" w:eastAsia="zh-CN"/>
        </w:rPr>
        <w:t>万元，资金主要是用于</w:t>
      </w:r>
      <w:r>
        <w:rPr>
          <w:rFonts w:ascii="仿宋" w:eastAsia="仿宋" w:cs="仿宋" w:hAnsi="仿宋" w:hint="eastAsia"/>
          <w:b w:val="0"/>
          <w:bCs/>
          <w:color w:val="auto"/>
          <w:sz w:val="32"/>
          <w:szCs w:val="32"/>
          <w:lang w:val="en-US" w:eastAsia="zh-CN"/>
        </w:rPr>
        <w:t>泉坝园区水改旱和土地租金的支付</w:t>
      </w:r>
      <w:r>
        <w:rPr>
          <w:rFonts w:ascii="仿宋" w:eastAsia="仿宋" w:cs="仿宋" w:hAnsi="仿宋" w:hint="eastAsia"/>
          <w:b w:val="0"/>
          <w:bCs/>
          <w:color w:val="auto"/>
          <w:sz w:val="32"/>
          <w:szCs w:val="32"/>
          <w:lang w:val="zh-CN" w:eastAsia="zh-CN"/>
        </w:rPr>
        <w:t>。资金支付与预算相符，支付依据合规合法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eastAsia="zh-CN"/>
        </w:rPr>
      </w:pPr>
      <w:r>
        <w:rPr>
          <w:rFonts w:ascii="仿宋" w:eastAsia="楷体" w:cs="仿宋" w:hAnsi="仿宋" w:hint="eastAsia"/>
          <w:b w:val="0"/>
          <w:bCs/>
          <w:color w:val="auto"/>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该项目的实施</w:t>
      </w:r>
      <w:r>
        <w:rPr>
          <w:rFonts w:ascii="仿宋" w:eastAsia="仿宋" w:cs="仿宋" w:hAnsi="仿宋" w:hint="eastAsia"/>
          <w:b w:val="0"/>
          <w:bCs/>
          <w:color w:val="auto"/>
          <w:sz w:val="32"/>
          <w:szCs w:val="32"/>
          <w:lang w:val="zh-CN" w:eastAsia="zh-CN"/>
        </w:rPr>
        <w:t>有效</w:t>
      </w:r>
      <w:r>
        <w:rPr>
          <w:rFonts w:ascii="仿宋" w:eastAsia="仿宋" w:cs="仿宋" w:hAnsi="仿宋" w:hint="eastAsia"/>
          <w:b w:val="0"/>
          <w:bCs/>
          <w:color w:val="auto"/>
          <w:sz w:val="32"/>
          <w:szCs w:val="32"/>
          <w:lang w:val="zh-CN"/>
        </w:rPr>
        <w:t>维护辖区稳定，促进了辖区社会经济可持续发展，保障群众的合法利益。</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楷体" w:cs="仿宋" w:hAnsi="仿宋" w:hint="eastAsia"/>
          <w:b w:val="0"/>
          <w:bCs/>
          <w:color w:val="auto"/>
          <w:sz w:val="32"/>
          <w:szCs w:val="32"/>
          <w:lang w:eastAsia="zh-CN"/>
        </w:rPr>
      </w:pPr>
    </w:p>
    <w:p>
      <w:pPr>
        <w:pStyle w:val="15"/>
        <w:rPr>
          <w:rFonts w:ascii="方正小标宋简体" w:eastAsia="仿宋_GB2312" w:cs="方正小标宋简体" w:hAnsi="方正小标宋简体" w:hint="eastAsia"/>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rPr>
      </w:pPr>
      <w:r>
        <w:rPr>
          <w:rFonts w:ascii="方正小标宋简体" w:eastAsia="方正小标宋简体" w:cs="方正小标宋简体" w:hAnsi="方正小标宋简体" w:hint="eastAsia"/>
          <w:color w:val="auto"/>
          <w:kern w:val="2"/>
          <w:sz w:val="40"/>
          <w:szCs w:val="40"/>
          <w:lang w:val="en-US" w:eastAsia="zh-CN" w:bidi="ar-SA"/>
        </w:rPr>
        <w:t>2021年场镇基础设施及路灯、绿化、环境等运行维护</w:t>
      </w:r>
      <w:r>
        <w:rPr>
          <w:rFonts w:ascii="方正小标宋简体" w:eastAsia="方正小标宋简体" w:cs="方正小标宋简体" w:hAnsi="方正小标宋简体" w:hint="eastAsia"/>
          <w:color w:val="auto"/>
          <w:kern w:val="2"/>
          <w:sz w:val="40"/>
          <w:szCs w:val="40"/>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2021年度场镇基础设施及路灯、绿化、环境等运行维护项目年初预算35万元</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（二）荣山镇</w:t>
      </w:r>
      <w:r>
        <w:rPr>
          <w:rFonts w:ascii="仿宋" w:eastAsia="仿宋" w:cs="仿宋" w:hAnsi="仿宋" w:hint="eastAsia"/>
          <w:b w:val="0"/>
          <w:bCs/>
          <w:color w:val="auto"/>
          <w:sz w:val="32"/>
          <w:szCs w:val="32"/>
          <w:lang w:val="en-US" w:eastAsia="zh-CN"/>
        </w:rPr>
        <w:t>2021年度场镇基础设施及路灯、绿化、环境等运行维护项目涉荣山场镇，按照环境优美，秩序良好的要求，对场镇的基础设施、路灯及环境进行日常的运行维护，确保场镇整洁、明亮、有序。</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2021年度场镇基础设施及路灯、绿化、环境等运行维护项目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2021年度场镇基础设施及路灯、绿化、环境等运行维护项目年初预算35万元，2021年在大平台全部到位，其来源为区财政资金。与资金计划相比，该项目资金到位率100%，到位及时率高，配套资金筹措及时。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35</w:t>
      </w:r>
      <w:r>
        <w:rPr>
          <w:rFonts w:ascii="仿宋" w:eastAsia="仿宋" w:cs="仿宋" w:hAnsi="仿宋" w:hint="eastAsia"/>
          <w:b w:val="0"/>
          <w:bCs/>
          <w:color w:val="auto"/>
          <w:sz w:val="32"/>
          <w:szCs w:val="32"/>
          <w:lang w:val="zh-CN" w:eastAsia="zh-CN"/>
        </w:rPr>
        <w:t>万元，资金主要是用于场镇基础设施维护、路灯照明维护、电费、场镇垃圾清运、人工等费用。资金支付与预算相符，支付依据合规合法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zh-CN"/>
        </w:rPr>
        <w:t>该项目的实施有效地推进了我镇文明建设，营造了干净、整洁、舒适、有序的宜居环境。</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rPr>
        <w:sectPr>
          <w:footerReference w:type="default" r:id="rId6"/>
          <w:pgSz w:w="11906" w:h="16838"/>
          <w:pgMar w:top="1418" w:right="1418" w:bottom="1418" w:left="1418" w:header="851" w:footer="992" w:gutter="0"/>
          <w:pgNumType w:start="1"/>
          <w:cols w:num="1" w:space="720"/>
          <w:docGrid w:type="lines" w:linePitch="666" w:charSpace="0"/>
        </w:sect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2021年森林防火</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2021年森林防火项目年初预算2.5万元</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（二）荣山镇</w:t>
      </w:r>
      <w:r>
        <w:rPr>
          <w:rFonts w:ascii="仿宋" w:eastAsia="仿宋" w:cs="仿宋" w:hAnsi="仿宋" w:hint="eastAsia"/>
          <w:b w:val="0"/>
          <w:bCs/>
          <w:color w:val="auto"/>
          <w:sz w:val="32"/>
          <w:szCs w:val="32"/>
          <w:lang w:val="en-US" w:eastAsia="zh-CN"/>
        </w:rPr>
        <w:t>2021年森林防火项目涉及12个村（社区），按照“预防为主、积极消灭”的方针，狠抓各级防火责任制的落实，严格管理野外火源，加大防火宣传力度，切实做到严防死守，有效遏制了我镇森林火灾的发生，全面完成了森林防火任务。</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2021年森林防火项目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2021年森林防火项目年初预算2.5万元，2021年在大平台全部到位，其来源为区级财政资金。与资金计划相比，该项目资金到位率100%，到位及时率高，配套资金筹措及时。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2.5</w:t>
      </w:r>
      <w:r>
        <w:rPr>
          <w:rFonts w:ascii="仿宋" w:eastAsia="仿宋" w:cs="仿宋" w:hAnsi="仿宋" w:hint="eastAsia"/>
          <w:b w:val="0"/>
          <w:bCs/>
          <w:color w:val="auto"/>
          <w:sz w:val="32"/>
          <w:szCs w:val="32"/>
          <w:lang w:val="zh-CN" w:eastAsia="zh-CN"/>
        </w:rPr>
        <w:t>万元，主要用于森林防火物资采购、森林防火宣传、火灾知识培训以及人工等费用。资金支付与预算相符，支付依据合规合法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该项目的实施大大提高了我镇群众的森林防火意识，有效地保护了森林资源，确保了我镇群众的生命和财产安全，群众满意度达到</w:t>
      </w:r>
      <w:r>
        <w:rPr>
          <w:rFonts w:ascii="仿宋" w:eastAsia="仿宋" w:cs="仿宋" w:hAnsi="仿宋" w:hint="eastAsia"/>
          <w:b w:val="0"/>
          <w:bCs/>
          <w:color w:val="auto"/>
          <w:sz w:val="32"/>
          <w:szCs w:val="32"/>
          <w:lang w:val="en-US" w:eastAsia="zh-CN"/>
        </w:rPr>
        <w:t>100%</w:t>
      </w:r>
      <w:r>
        <w:rPr>
          <w:rFonts w:ascii="仿宋" w:eastAsia="仿宋" w:cs="仿宋" w:hAnsi="仿宋" w:hint="eastAsia"/>
          <w:b w:val="0"/>
          <w:bCs/>
          <w:color w:val="auto"/>
          <w:sz w:val="32"/>
          <w:szCs w:val="32"/>
          <w:lang w:val="zh-CN"/>
        </w:rPr>
        <w:t>。</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napToGrid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pStyle w:val="15"/>
        <w:rPr>
          <w:rFonts w:ascii="方正小标宋简体" w:eastAsia="仿宋_GB2312" w:cs="方正小标宋简体" w:hAnsi="方正小标宋简体"/>
          <w:color w:val="auto"/>
          <w:kern w:val="2"/>
          <w:sz w:val="40"/>
          <w:szCs w:val="40"/>
          <w:lang w:val="en-US" w:eastAsia="zh-CN" w:bidi="ar-SA"/>
        </w:rPr>
      </w:pPr>
    </w:p>
    <w:p>
      <w:pPr>
        <w:pStyle w:val="15"/>
        <w:rPr>
          <w:rFonts w:ascii="方正小标宋简体" w:eastAsia="仿宋_GB2312"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2021年视频会议系统</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（一）荣山镇视频会议系统</w:t>
      </w:r>
      <w:r>
        <w:rPr>
          <w:rFonts w:ascii="仿宋" w:eastAsia="仿宋" w:cs="仿宋" w:hAnsi="仿宋" w:hint="eastAsia"/>
          <w:b w:val="0"/>
          <w:bCs/>
          <w:color w:val="auto"/>
          <w:sz w:val="32"/>
          <w:szCs w:val="32"/>
          <w:lang w:val="en-US" w:eastAsia="zh-CN"/>
        </w:rPr>
        <w:t>年初预算0.96万元</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（二）荣山镇视频会议系统</w:t>
      </w:r>
      <w:r>
        <w:rPr>
          <w:rFonts w:ascii="仿宋" w:eastAsia="仿宋" w:cs="仿宋" w:hAnsi="仿宋" w:hint="eastAsia"/>
          <w:b w:val="0"/>
          <w:bCs/>
          <w:color w:val="auto"/>
          <w:sz w:val="32"/>
          <w:szCs w:val="32"/>
          <w:lang w:val="en-US" w:eastAsia="zh-CN"/>
        </w:rPr>
        <w:t>项目主要是我镇视频会议建设，使其能够顺利接受和参与市、区召开的视频会议，学习和传达市区各项会议精神，指导我镇工作开展。</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（三）项目资金申报相符性。荣山镇视频会议系统申报内容与具体实施内容相符，申报目标合理可行。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资金计划及到位。荣山镇视频会议系统</w:t>
      </w:r>
      <w:r>
        <w:rPr>
          <w:rFonts w:ascii="仿宋" w:eastAsia="仿宋" w:cs="仿宋" w:hAnsi="仿宋" w:hint="eastAsia"/>
          <w:b w:val="0"/>
          <w:bCs/>
          <w:color w:val="auto"/>
          <w:sz w:val="32"/>
          <w:szCs w:val="32"/>
          <w:lang w:val="en-US" w:eastAsia="zh-CN"/>
        </w:rPr>
        <w:t>年初预算0.96万元，2021年在大平台全部到位，与资金计划相比，该项目资金到位率100%，到位及时率高，配套资金筹措及时。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0.96</w:t>
      </w:r>
      <w:r>
        <w:rPr>
          <w:rFonts w:ascii="仿宋" w:eastAsia="仿宋" w:cs="仿宋" w:hAnsi="仿宋" w:hint="eastAsia"/>
          <w:b w:val="0"/>
          <w:bCs/>
          <w:color w:val="auto"/>
          <w:sz w:val="32"/>
          <w:szCs w:val="32"/>
          <w:lang w:val="zh-CN" w:eastAsia="zh-CN"/>
        </w:rPr>
        <w:t>万元，资金主要用于视频会议体系建设设施设备的采购维修、网络费用的开支等</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该项目有利于在疫情防控的特殊时期学习和传达上级各项会议精神以及决策部署，并用于指导我镇具体工作开展，同时也能加强干部的集中学习，对各项政策有效落地具有十分重大的作用。</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pStyle w:val="15"/>
        <w:rPr>
          <w:rFonts w:ascii="方正小标宋简体" w:eastAsia="方正小标宋简体"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2021年依法治区经费</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2021年依法治区专项经费项目年初预算1万元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2021年依法治区专项经费项目涉及12个村（社区），按照强化宣传，加强教育，普法守法用法的工作方针，不断提升全镇群众守法用法的意识。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2021年依法治区专项经费项目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2021年依法治区专项经费项目年初预算1万元，2021年在大平台全部到位，其来源为区级财政资金。与资金计划相比，该项目资金到位率100%，到位及时率高，配套资金筹措及时。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1</w:t>
      </w:r>
      <w:r>
        <w:rPr>
          <w:rFonts w:ascii="仿宋" w:eastAsia="仿宋" w:cs="仿宋" w:hAnsi="仿宋" w:hint="eastAsia"/>
          <w:b w:val="0"/>
          <w:bCs/>
          <w:color w:val="auto"/>
          <w:sz w:val="32"/>
          <w:szCs w:val="32"/>
          <w:lang w:val="zh-CN" w:eastAsia="zh-CN"/>
        </w:rPr>
        <w:t>万元，主要用于</w:t>
      </w:r>
      <w:r>
        <w:rPr>
          <w:rFonts w:ascii="仿宋" w:eastAsia="仿宋" w:cs="仿宋" w:hAnsi="仿宋" w:hint="eastAsia"/>
          <w:b w:val="0"/>
          <w:bCs/>
          <w:color w:val="auto"/>
          <w:sz w:val="32"/>
          <w:szCs w:val="32"/>
          <w:lang w:val="en-US" w:eastAsia="zh-CN"/>
        </w:rPr>
        <w:t>依法治区</w:t>
      </w:r>
      <w:r>
        <w:rPr>
          <w:rFonts w:ascii="仿宋" w:eastAsia="仿宋" w:cs="仿宋" w:hAnsi="仿宋" w:hint="eastAsia"/>
          <w:b w:val="0"/>
          <w:bCs/>
          <w:color w:val="auto"/>
          <w:sz w:val="32"/>
          <w:szCs w:val="32"/>
          <w:lang w:val="zh-CN" w:eastAsia="zh-CN"/>
        </w:rPr>
        <w:t>宣传、知识培训以及人工等费用。资金支付与预算相符，支付依据合规合法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center"/>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r>
        <w:rPr>
          <w:rFonts w:ascii="仿宋" w:eastAsia="仿宋" w:cs="仿宋" w:hAnsi="仿宋" w:hint="eastAsia"/>
          <w:b w:val="0"/>
          <w:bCs/>
          <w:color w:val="auto"/>
          <w:sz w:val="32"/>
          <w:szCs w:val="32"/>
          <w:lang w:val="en-US" w:eastAsia="zh-CN"/>
        </w:rPr>
        <w:t xml:space="preserve">    </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项目按照财政财务管理制度和资金的使用范围由镇政府统一实施，并根据实际情况进行了资金支付。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zh-CN"/>
        </w:rPr>
        <w:t>该项目的实施大大提高了我镇群众的</w:t>
      </w:r>
      <w:r>
        <w:rPr>
          <w:rFonts w:ascii="仿宋" w:eastAsia="仿宋" w:cs="仿宋" w:hAnsi="仿宋" w:hint="eastAsia"/>
          <w:b w:val="0"/>
          <w:bCs/>
          <w:color w:val="auto"/>
          <w:sz w:val="32"/>
          <w:szCs w:val="32"/>
          <w:lang w:val="en-US" w:eastAsia="zh-CN"/>
        </w:rPr>
        <w:t>法律</w:t>
      </w:r>
      <w:r>
        <w:rPr>
          <w:rFonts w:ascii="仿宋" w:eastAsia="仿宋" w:cs="仿宋" w:hAnsi="仿宋" w:hint="eastAsia"/>
          <w:b w:val="0"/>
          <w:bCs/>
          <w:color w:val="auto"/>
          <w:sz w:val="32"/>
          <w:szCs w:val="32"/>
          <w:lang w:val="zh-CN"/>
        </w:rPr>
        <w:t>意识，确保了我镇居民的生命和财产安全，群众满意度达到</w:t>
      </w:r>
      <w:r>
        <w:rPr>
          <w:rFonts w:ascii="仿宋" w:eastAsia="仿宋" w:cs="仿宋" w:hAnsi="仿宋" w:hint="eastAsia"/>
          <w:b w:val="0"/>
          <w:bCs/>
          <w:color w:val="auto"/>
          <w:sz w:val="32"/>
          <w:szCs w:val="32"/>
          <w:lang w:val="en-US" w:eastAsia="zh-CN"/>
        </w:rPr>
        <w:t>100%</w:t>
      </w:r>
      <w:r>
        <w:rPr>
          <w:rFonts w:ascii="仿宋" w:eastAsia="仿宋" w:cs="仿宋" w:hAnsi="仿宋" w:hint="eastAsia"/>
          <w:b w:val="0"/>
          <w:bCs/>
          <w:color w:val="auto"/>
          <w:sz w:val="32"/>
          <w:szCs w:val="32"/>
          <w:lang w:val="zh-CN"/>
        </w:rPr>
        <w:t>。</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pStyle w:val="15"/>
        <w:rPr>
          <w:rFonts w:ascii="方正小标宋简体" w:eastAsia="方正小标宋简体"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2021年基层武装</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仿宋" w:eastAsia="仿宋"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2021年基层武装项目年初预算1万元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2021年基层武装项目涉及12个村（社区），按照强化宣传，加强引导的工作方针，不断提升全镇适龄青年参军拥军的热情，不断壮大我镇民兵力量，同时为国防力量输送优秀人才。</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2021年基层武装项目</w:t>
      </w:r>
      <w:r>
        <w:rPr>
          <w:rFonts w:ascii="仿宋" w:eastAsia="仿宋" w:cs="仿宋" w:hAnsi="仿宋" w:hint="eastAsia"/>
          <w:b w:val="0"/>
          <w:bCs/>
          <w:color w:val="auto"/>
          <w:sz w:val="32"/>
          <w:szCs w:val="32"/>
          <w:lang w:val="zh-CN"/>
        </w:rPr>
        <w:t>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rPr>
      </w:pPr>
      <w:r>
        <w:rPr>
          <w:rFonts w:ascii="黑体" w:eastAsia="黑体" w:cs="黑体" w:hAnsi="黑体" w:hint="eastAsia"/>
          <w:b w:val="0"/>
          <w:bCs/>
          <w:i w:val="0"/>
          <w:iCs w:val="0"/>
          <w:caps w:val="0"/>
          <w:smallCaps w:val="0"/>
          <w:color w:val="auto"/>
          <w:spacing w:val="0"/>
          <w:kern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2021年基层武装项目年初预算1万元，2021年在大平台全部到位，其来源为区级财政资金。与资金计划相比，该项目资金到位率100%，到位及时率高，配套资金筹措及时。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1</w:t>
      </w:r>
      <w:r>
        <w:rPr>
          <w:rFonts w:ascii="仿宋" w:eastAsia="仿宋" w:cs="仿宋" w:hAnsi="仿宋" w:hint="eastAsia"/>
          <w:b w:val="0"/>
          <w:bCs/>
          <w:color w:val="auto"/>
          <w:sz w:val="32"/>
          <w:szCs w:val="32"/>
          <w:lang w:val="zh-CN" w:eastAsia="zh-CN"/>
        </w:rPr>
        <w:t>万元，主要用于征兵宣传、武装部维修、储备物资采购、民兵训练等费用。资金支付与预算相符，支付依据合规合法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zh-CN"/>
        </w:rPr>
        <w:t>该项目的实施大大提高了我镇适龄青年参军报名的热情，同时也为我镇的民兵力量提供了经费保障，对确保全镇的稳定和谐具有十分重大的意义，群众满意度达到</w:t>
      </w:r>
      <w:r>
        <w:rPr>
          <w:rFonts w:ascii="仿宋" w:eastAsia="仿宋" w:cs="仿宋" w:hAnsi="仿宋" w:hint="eastAsia"/>
          <w:b w:val="0"/>
          <w:bCs/>
          <w:color w:val="auto"/>
          <w:sz w:val="32"/>
          <w:szCs w:val="32"/>
          <w:lang w:val="en-US" w:eastAsia="zh-CN"/>
        </w:rPr>
        <w:t>100%</w:t>
      </w:r>
      <w:r>
        <w:rPr>
          <w:rFonts w:ascii="仿宋" w:eastAsia="仿宋" w:cs="仿宋" w:hAnsi="仿宋" w:hint="eastAsia"/>
          <w:b w:val="0"/>
          <w:bCs/>
          <w:color w:val="auto"/>
          <w:sz w:val="32"/>
          <w:szCs w:val="32"/>
          <w:lang w:val="zh-CN"/>
        </w:rPr>
        <w:t>。</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pStyle w:val="15"/>
        <w:rPr>
          <w:rFonts w:ascii="方正小标宋简体" w:eastAsia="方正小标宋简体"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2021年大调解</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仿宋" w:eastAsia="仿宋"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2021年大调解项目年初预算1万元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2021年大调解项目涉及12个村（社区），按照强化宣传，加强引导，属地治理的工作方针，力争将矛盾和问题化解在属地，不出现矛盾升级上访、越级上访的不良现象。</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2021年大调解项目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2021年大调解项目年初预算1万元，2021年在大平台全部到位，其来源为区级财政资金。与资金计划相比，该项目资金到位率100%，到位及时率高，配套资金筹措及时。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1</w:t>
      </w:r>
      <w:r>
        <w:rPr>
          <w:rFonts w:ascii="仿宋" w:eastAsia="仿宋" w:cs="仿宋" w:hAnsi="仿宋" w:hint="eastAsia"/>
          <w:b w:val="0"/>
          <w:bCs/>
          <w:color w:val="auto"/>
          <w:sz w:val="32"/>
          <w:szCs w:val="32"/>
          <w:lang w:val="zh-CN" w:eastAsia="zh-CN"/>
        </w:rPr>
        <w:t>万元，主要用于矛盾调处、法律宣传等费用。资金支付与预算相符，支付依据合规合法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项目按照财政财务管理制度和资金的使用范围由镇政府统一实施，并根据实际情况进行了资金支付。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该项目的实施为全镇的矛盾纠纷调解提供了经费保障，有力地促进了矛盾纠纷化解在当地，对确保全镇的稳定和谐具有十分重大的意义，群众满意度达到</w:t>
      </w:r>
      <w:r>
        <w:rPr>
          <w:rFonts w:ascii="仿宋" w:eastAsia="仿宋" w:cs="仿宋" w:hAnsi="仿宋" w:hint="eastAsia"/>
          <w:b w:val="0"/>
          <w:bCs/>
          <w:color w:val="auto"/>
          <w:sz w:val="32"/>
          <w:szCs w:val="32"/>
          <w:lang w:val="en-US" w:eastAsia="zh-CN"/>
        </w:rPr>
        <w:t>100%</w:t>
      </w:r>
      <w:r>
        <w:rPr>
          <w:rFonts w:ascii="仿宋" w:eastAsia="仿宋" w:cs="仿宋" w:hAnsi="仿宋" w:hint="eastAsia"/>
          <w:b w:val="0"/>
          <w:bCs/>
          <w:color w:val="auto"/>
          <w:sz w:val="32"/>
          <w:szCs w:val="32"/>
          <w:lang w:val="zh-CN"/>
        </w:rPr>
        <w:t>。</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pStyle w:val="15"/>
        <w:rPr>
          <w:rFonts w:ascii="方正小标宋简体" w:eastAsia="方正小标宋简体"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2021年义务兵优待金</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ascii="仿宋" w:eastAsia="仿宋"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介绍项目基本情况，重点说明以下内容：</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荣山镇</w:t>
      </w:r>
      <w:r>
        <w:rPr>
          <w:rFonts w:ascii="仿宋" w:eastAsia="仿宋" w:cs="仿宋" w:hAnsi="仿宋" w:hint="eastAsia"/>
          <w:b w:val="0"/>
          <w:bCs/>
          <w:color w:val="auto"/>
          <w:sz w:val="32"/>
          <w:szCs w:val="32"/>
          <w:lang w:val="en-US" w:eastAsia="zh-CN"/>
        </w:rPr>
        <w:t>2021年义务兵优待金项目年初预算22.176万元.</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荣山镇</w:t>
      </w:r>
      <w:r>
        <w:rPr>
          <w:rFonts w:ascii="仿宋" w:eastAsia="仿宋" w:cs="仿宋" w:hAnsi="仿宋" w:hint="eastAsia"/>
          <w:b w:val="0"/>
          <w:bCs/>
          <w:color w:val="auto"/>
          <w:sz w:val="32"/>
          <w:szCs w:val="32"/>
          <w:lang w:val="en-US" w:eastAsia="zh-CN"/>
        </w:rPr>
        <w:t>2021年义务兵优待金项目涉及12个村（社区），通过义务兵优待项目的实施，提高了义务兵家属的生活水平，更加激励了义务兵战士保家卫国的积极性。</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2021年义务兵优待金项目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2021年义务兵优待项目年初预算22.176万元，2021年在大平台全部到位，其来源为区级财政资金。与资金计划相比，该项目资金到位率100%，到位及时率高，配套资金筹措及时。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22.176</w:t>
      </w:r>
      <w:r>
        <w:rPr>
          <w:rFonts w:ascii="仿宋" w:eastAsia="仿宋" w:cs="仿宋" w:hAnsi="仿宋" w:hint="eastAsia"/>
          <w:b w:val="0"/>
          <w:bCs/>
          <w:color w:val="auto"/>
          <w:sz w:val="32"/>
          <w:szCs w:val="32"/>
          <w:lang w:val="zh-CN" w:eastAsia="zh-CN"/>
        </w:rPr>
        <w:t>万元，做到了专款专用，项目资金主要用于兑付义务兵优待金等费用。资金支付与预算相符，支付依据合规合法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zh-CN"/>
        </w:rPr>
        <w:t>该项目的实施顺利推进，圆满完成任务，全镇所有义务兵优待金已全部按时、按标发放至义务兵家属手中，群众法律意识大大提高，并经村、社区居民评价，满意度为100%。</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both"/>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r>
        <w:rPr>
          <w:rFonts w:ascii="仿宋" w:eastAsia="仿宋" w:cs="仿宋" w:hAnsi="仿宋" w:hint="eastAsia"/>
          <w:b w:val="0"/>
          <w:bCs/>
          <w:color w:val="auto"/>
          <w:sz w:val="32"/>
          <w:szCs w:val="32"/>
        </w:rPr>
        <w:t xml:space="preserve">              </w:t>
      </w: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pStyle w:val="15"/>
        <w:rPr>
          <w:rFonts w:ascii="方正小标宋简体" w:eastAsia="方正小标宋简体"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2021年人大主席团及代表活动经费</w:t>
      </w:r>
      <w:r>
        <w:rPr>
          <w:rFonts w:ascii="方正小标宋简体" w:eastAsia="方正小标宋简体" w:cs="方正小标宋简体" w:hAnsi="方正小标宋简体" w:hint="eastAsia"/>
          <w:color w:val="auto"/>
          <w:kern w:val="2"/>
          <w:sz w:val="40"/>
          <w:szCs w:val="40"/>
          <w:lang w:val="zh-CN" w:eastAsia="zh-CN" w:bidi="ar-SA"/>
        </w:rPr>
        <w:t>专项预算</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项目支出绩效自评报告</w:t>
      </w:r>
    </w:p>
    <w:p>
      <w:pPr>
        <w:keepNext w:val="0"/>
        <w:keepLines w:val="0"/>
        <w:pageBreakBefore w:val="0"/>
        <w:widowControl w:val="0"/>
        <w:kinsoku/>
        <w:wordWrap/>
        <w:overflowPunct/>
        <w:topLinePunct w:val="0"/>
        <w:autoSpaceDE/>
        <w:autoSpaceDN/>
        <w:bidi w:val="0"/>
        <w:spacing w:line="576" w:lineRule="exact"/>
        <w:jc w:val="both"/>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2021年人大主席团及代表活动经费项目年初预算1.4432万元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2021年人大主席团及代表活动经费项目涉及12个村（社区），分发挥了代表作用，推动了代表小组活动制度化、规范化、经常化，有效发挥了本级人大的职能。</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2021年人大主席团及代表活动项目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2021年人大主席团及代表活动项目年初预算1.4432万元，2021年在大平台全部到位，其来源为区级财政资金。与资金计划相比，该项目资金到位率100%，到位及时率高，配套资金筹措及时。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1.4432</w:t>
      </w:r>
      <w:r>
        <w:rPr>
          <w:rFonts w:ascii="仿宋" w:eastAsia="仿宋" w:cs="仿宋" w:hAnsi="仿宋" w:hint="eastAsia"/>
          <w:b w:val="0"/>
          <w:bCs/>
          <w:color w:val="auto"/>
          <w:sz w:val="32"/>
          <w:szCs w:val="32"/>
          <w:lang w:val="zh-CN" w:eastAsia="zh-CN"/>
        </w:rPr>
        <w:t>万元，资金主要用于代表的培训学习、人大会议的召开、代表活动的开展、氛围营造等方面。资金支付与预算相符，支付依据合规合法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该项目的实施让全镇群众充分发挥监督作用，积极参政议政、建言献策，并经村、社区居民评价，满意度为100%。</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r>
        <w:rPr>
          <w:rFonts w:ascii="仿宋" w:eastAsia="仿宋" w:cs="仿宋" w:hAnsi="仿宋" w:hint="eastAsia"/>
          <w:b w:val="0"/>
          <w:bCs/>
          <w:color w:val="auto"/>
          <w:sz w:val="32"/>
          <w:szCs w:val="32"/>
        </w:rPr>
        <w:t xml:space="preserve">           </w:t>
      </w: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15"/>
        <w:rPr>
          <w:rFonts w:ascii="方正小标宋简体" w:eastAsia="方正小标宋简体"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2021年伙食团补助</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2021年伙食团补助项目年初预算8万元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2021年伙食团补助项目涉及荣山镇政府伙食团建设，旨在方便镇、村两级干部以及办事群众就餐，为职工提供生活便利。</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2021年伙食团补助项目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2021年伙食团补助项目年初预算8万元，2021年在大平台全部到位，其来源为区级财政资金。与资金计划相比，该项目资金到位率100%，到位及时率高，配套资金筹措及时。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8</w:t>
      </w:r>
      <w:r>
        <w:rPr>
          <w:rFonts w:ascii="仿宋" w:eastAsia="仿宋" w:cs="仿宋" w:hAnsi="仿宋" w:hint="eastAsia"/>
          <w:b w:val="0"/>
          <w:bCs/>
          <w:color w:val="auto"/>
          <w:sz w:val="32"/>
          <w:szCs w:val="32"/>
          <w:lang w:val="zh-CN" w:eastAsia="zh-CN"/>
        </w:rPr>
        <w:t>万元，资金主要用于伙食团厨具、灶具等厨房用具的采购、购买蔬菜、肉类等。资金支付与预算相符，支付依据合规合法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zh-CN"/>
        </w:rPr>
        <w:t>该项目的实施为镇、村两级干部的工作开展提供了生活保证，也保障了镇政府的正常运转，同时也大大便利了办事群众的用餐需求。</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center"/>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jc w:val="right"/>
        <w:textAlignment w:val="auto"/>
        <w:rPr>
          <w:rFonts w:ascii="仿宋" w:eastAsia="仿宋" w:cs="仿宋" w:hAnsi="仿宋" w:hint="eastAsia"/>
          <w:b w:val="0"/>
          <w:bCs/>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r>
        <w:rPr>
          <w:rFonts w:ascii="仿宋" w:eastAsia="仿宋" w:cs="仿宋" w:hAnsi="仿宋" w:hint="eastAsia"/>
          <w:b w:val="0"/>
          <w:bCs/>
          <w:color w:val="auto"/>
          <w:sz w:val="32"/>
          <w:szCs w:val="32"/>
        </w:rPr>
        <w:t xml:space="preserve">           </w:t>
      </w: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rPr>
          <w:rFonts w:hint="eastAsia"/>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15"/>
        <w:jc w:val="center"/>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2021年远程教育运行维护</w:t>
      </w:r>
      <w:r>
        <w:rPr>
          <w:rFonts w:ascii="方正小标宋简体" w:eastAsia="方正小标宋简体" w:cs="方正小标宋简体" w:hAnsi="方正小标宋简体" w:hint="eastAsia"/>
          <w:color w:val="auto"/>
          <w:kern w:val="2"/>
          <w:sz w:val="40"/>
          <w:szCs w:val="40"/>
          <w:lang w:val="zh-CN" w:eastAsia="zh-CN" w:bidi="ar-SA"/>
        </w:rPr>
        <w:t>专项预算项目支出</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介绍项目基本情况，重点说明以下内容：</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2021年远程教育运行维护项目年初预算0.2万元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2021年远程教育运行维护项目涉及12个村（社区），旨在保障各村远程教育设备正常运转，进一步强化党员的学习教育，提高党员的政治理论水平。</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2021年远程教育运行维护项目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2021年远程教育运行维护项目年初预算0.2万元，2021年在大平台全部到位，其来源为区级财政资金。与资金计划相比，该项目资金到位率100%，到位及时率高，配套资金筹措及时。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0.2</w:t>
      </w:r>
      <w:r>
        <w:rPr>
          <w:rFonts w:ascii="仿宋" w:eastAsia="仿宋" w:cs="仿宋" w:hAnsi="仿宋" w:hint="eastAsia"/>
          <w:b w:val="0"/>
          <w:bCs/>
          <w:color w:val="auto"/>
          <w:sz w:val="32"/>
          <w:szCs w:val="32"/>
          <w:lang w:val="zh-CN" w:eastAsia="zh-CN"/>
        </w:rPr>
        <w:t>万元，资金主要用于各村远程教育设施设备的维修维护。资金支付与预算相符，支付依据合规合法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该项目的实施确保了各村远程教育设施设备的正常运转，为广大党员提供了学习平台，大大提高了农村党员的政治理论水平，促进了农村党员队伍的壮大，提高了农村党员队伍的质量。</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15"/>
        <w:rPr>
          <w:rFonts w:ascii="方正小标宋简体" w:eastAsia="方正小标宋简体"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2021年宅基地管理</w:t>
      </w:r>
      <w:r>
        <w:rPr>
          <w:rFonts w:ascii="方正小标宋简体" w:eastAsia="方正小标宋简体" w:cs="方正小标宋简体" w:hAnsi="方正小标宋简体" w:hint="eastAsia"/>
          <w:color w:val="auto"/>
          <w:kern w:val="2"/>
          <w:sz w:val="40"/>
          <w:szCs w:val="40"/>
          <w:lang w:val="zh-CN" w:eastAsia="zh-CN" w:bidi="ar-SA"/>
        </w:rPr>
        <w:t>专项预算项目支出</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2021年宅基地管理项目年初预算2万元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2021年宅基地管理项目涉及12个村（社区），旨在保障有序规范宅基地档案，大力宣传宅基地政策和法规，严格执法，维护群众的正当权益。</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2021年远程教育运行维护项目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2021年宅基地管理项目年初预算2万元，2021年在大平台全部到位，其来源为区级财政资金。与资金计划相比，该项目资金到位率100%，到位及时率高，配套资金筹措及时。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2</w:t>
      </w:r>
      <w:r>
        <w:rPr>
          <w:rFonts w:ascii="仿宋" w:eastAsia="仿宋" w:cs="仿宋" w:hAnsi="仿宋" w:hint="eastAsia"/>
          <w:b w:val="0"/>
          <w:bCs/>
          <w:color w:val="auto"/>
          <w:sz w:val="32"/>
          <w:szCs w:val="32"/>
          <w:lang w:val="zh-CN" w:eastAsia="zh-CN"/>
        </w:rPr>
        <w:t>万元，资金主要用于农村宅基地档案的规范整理、有关农村宅基地管理的各项政策法规的宣传、农村宅基地的摸排和建房审批以及有效盘活闲置宅基地等。资金支付与预算相符，支付依据合规合法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zh-CN"/>
        </w:rPr>
        <w:t>宅基地管理项目涉及千家万户，量大面广，政策性强，关系到我辖区的社会稳定和发展大局。从实际出发，采取有效措施，科学处置好、解决好群众在宅基地方面的问题和困难，利用好闲置宅基地有利于妥善解决矛盾问题，维护辖区稳定，促进经济社会发展。</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pStyle w:val="15"/>
        <w:rPr>
          <w:rFonts w:hint="eastAsia"/>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rPr>
      </w:pPr>
    </w:p>
    <w:p>
      <w:pPr>
        <w:pStyle w:val="15"/>
        <w:rPr>
          <w:rFonts w:ascii="方正小标宋简体" w:eastAsia="方正小标宋简体"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2021年文化图书室免费开放</w:t>
      </w:r>
      <w:r>
        <w:rPr>
          <w:rFonts w:ascii="方正小标宋简体" w:eastAsia="方正小标宋简体" w:cs="方正小标宋简体" w:hAnsi="方正小标宋简体" w:hint="eastAsia"/>
          <w:color w:val="auto"/>
          <w:kern w:val="2"/>
          <w:sz w:val="40"/>
          <w:szCs w:val="40"/>
          <w:lang w:val="zh-CN" w:eastAsia="zh-CN" w:bidi="ar-SA"/>
        </w:rPr>
        <w:t>专项预算项目支出</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2021年文化图书室免费开放项目年初预算5万元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2021年文化图书室免费开放项目涉及12个村（社区），旨在保障各村文化图书室正常运转，为群众提供知识更新学习、参与文化活动的载体。</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2021年文化图书室免费开放项目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2021年文化馆免费开放项目年初预算5万元，2021年在大平台全部到位，其来源为区级财政资金。与资金计划相比，该项目资金到位率100%，到位及时率高，配套资金筹措及时。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5</w:t>
      </w:r>
      <w:r>
        <w:rPr>
          <w:rFonts w:ascii="仿宋" w:eastAsia="仿宋" w:cs="仿宋" w:hAnsi="仿宋" w:hint="eastAsia"/>
          <w:b w:val="0"/>
          <w:bCs/>
          <w:color w:val="auto"/>
          <w:sz w:val="32"/>
          <w:szCs w:val="32"/>
          <w:lang w:val="zh-CN" w:eastAsia="zh-CN"/>
        </w:rPr>
        <w:t>万元，资金主要用于</w:t>
      </w:r>
      <w:r>
        <w:rPr>
          <w:rFonts w:ascii="仿宋" w:eastAsia="仿宋" w:cs="仿宋" w:hAnsi="仿宋" w:hint="eastAsia"/>
          <w:b w:val="0"/>
          <w:bCs/>
          <w:color w:val="auto"/>
          <w:sz w:val="32"/>
          <w:szCs w:val="32"/>
          <w:lang w:val="en-US" w:eastAsia="zh-CN"/>
        </w:rPr>
        <w:t>12个村级图书室1个镇级图书文化室的运行维护</w:t>
      </w:r>
      <w:r>
        <w:rPr>
          <w:rFonts w:ascii="仿宋" w:eastAsia="仿宋" w:cs="仿宋" w:hAnsi="仿宋" w:hint="eastAsia"/>
          <w:b w:val="0"/>
          <w:bCs/>
          <w:color w:val="auto"/>
          <w:sz w:val="32"/>
          <w:szCs w:val="32"/>
          <w:lang w:val="zh-CN" w:eastAsia="zh-CN"/>
        </w:rPr>
        <w:t>。涉及图书室、阅览室、储藏室、办公室等文化活动场所的设施设备的采购和维护，图书的购买、管理人员的工资发放以及文化活动的开展。资金支付与预算相符，支付依据合规合法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zh-CN"/>
        </w:rPr>
        <w:t>文化图书室免费开放项目的实施有利于进一步挖掘我镇的特色文化，结合镇村振兴和镇村旅游，不断充实文化内涵，创新文化形式，使其成为先进文化传播的载体，推动镇村旅游业的发展。同时，通过开展多种形式的文化活动、知识下镇活动，寓教于乐，丰富群众的精神生活。</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15"/>
        <w:rPr>
          <w:rFonts w:ascii="方正小标宋简体" w:eastAsia="仿宋_GB2312"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en-US" w:eastAsia="zh-CN" w:bidi="ar-SA"/>
        </w:rPr>
        <w:t>2021年计划生育宣传和免费技术检查</w:t>
      </w:r>
      <w:r>
        <w:rPr>
          <w:rFonts w:ascii="方正小标宋简体" w:eastAsia="方正小标宋简体" w:cs="方正小标宋简体" w:hAnsi="方正小标宋简体" w:hint="eastAsia"/>
          <w:color w:val="auto"/>
          <w:kern w:val="2"/>
          <w:sz w:val="40"/>
          <w:szCs w:val="40"/>
          <w:lang w:val="zh-CN" w:eastAsia="zh-CN" w:bidi="ar-SA"/>
        </w:rPr>
        <w:t>专项预算项目支出绩效自评报告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2021年计划生育宣传和免费技术检查项目年初预算2.4883万元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2021年计划生育宣传和免费技术检查项目涉及12个村（社区），旨在为全镇妇女群众提供免费的妇女检查和知识宣讲。</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2021年计划生育宣传和免费技术检查项目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2021年计划生育宣传和免费技术检查项目年初预算2.4883万元，2021年在大平台全部到位，其来源为区级财政资金。与资金计划相比，该项目资金到位率100%，到位及时率高，配套资金筹措及时。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2.4883</w:t>
      </w:r>
      <w:r>
        <w:rPr>
          <w:rFonts w:ascii="仿宋" w:eastAsia="仿宋" w:cs="仿宋" w:hAnsi="仿宋" w:hint="eastAsia"/>
          <w:b w:val="0"/>
          <w:bCs/>
          <w:color w:val="auto"/>
          <w:sz w:val="32"/>
          <w:szCs w:val="32"/>
          <w:lang w:val="zh-CN" w:eastAsia="zh-CN"/>
        </w:rPr>
        <w:t>万元，资金主要用于妇女计生、生育等方面宣传资料的印发和农村妇女免费检查、</w:t>
      </w:r>
      <w:r>
        <w:rPr>
          <w:rFonts w:ascii="仿宋" w:eastAsia="仿宋" w:cs="仿宋" w:hAnsi="仿宋" w:hint="eastAsia"/>
          <w:b w:val="0"/>
          <w:bCs/>
          <w:color w:val="auto"/>
          <w:sz w:val="32"/>
          <w:szCs w:val="32"/>
          <w:lang w:val="zh-CN"/>
        </w:rPr>
        <w:t>生殖健康系列化服务</w:t>
      </w:r>
      <w:r>
        <w:rPr>
          <w:rFonts w:ascii="仿宋" w:eastAsia="仿宋" w:cs="仿宋" w:hAnsi="仿宋" w:hint="eastAsia"/>
          <w:b w:val="0"/>
          <w:bCs/>
          <w:color w:val="auto"/>
          <w:sz w:val="32"/>
          <w:szCs w:val="32"/>
          <w:lang w:val="zh-CN" w:eastAsia="zh-CN"/>
        </w:rPr>
        <w:t>。资金支付与预算相符，支付依据合规合法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r>
        <w:rPr>
          <w:rFonts w:ascii="仿宋" w:eastAsia="仿宋" w:cs="仿宋" w:hAnsi="仿宋" w:hint="eastAsia"/>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en-US" w:eastAsia="zh-CN"/>
        </w:rPr>
        <w:t>计划生育宣传和免费技术检查</w:t>
      </w:r>
      <w:r>
        <w:rPr>
          <w:rFonts w:ascii="仿宋" w:eastAsia="仿宋" w:cs="仿宋" w:hAnsi="仿宋" w:hint="eastAsia"/>
          <w:b w:val="0"/>
          <w:bCs/>
          <w:color w:val="auto"/>
          <w:sz w:val="32"/>
          <w:szCs w:val="32"/>
          <w:lang w:val="zh-CN"/>
        </w:rPr>
        <w:t>项目的实施对育龄妇女开展查环、查孕、查病工作，既方便了群众  又保障了育龄妇女的身体健康。对育龄妇女提供全方位的医疗、保健、咨询指导服务，有效地保障了妇女的生殖健康。</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15"/>
        <w:rPr>
          <w:rFonts w:ascii="方正小标宋简体" w:eastAsia="仿宋_GB2312"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2021年农房重建贷款清收</w:t>
      </w:r>
      <w:r>
        <w:rPr>
          <w:rFonts w:ascii="方正小标宋简体" w:eastAsia="方正小标宋简体" w:cs="方正小标宋简体" w:hAnsi="方正小标宋简体" w:hint="eastAsia"/>
          <w:color w:val="auto"/>
          <w:kern w:val="2"/>
          <w:sz w:val="40"/>
          <w:szCs w:val="40"/>
          <w:lang w:val="zh-CN" w:eastAsia="zh-CN" w:bidi="ar-SA"/>
        </w:rPr>
        <w:t>专项预算项目支出</w:t>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en-US" w:eastAsia="zh-CN" w:bidi="ar-SA"/>
        </w:rPr>
      </w:pPr>
      <w:r>
        <w:rPr>
          <w:rFonts w:ascii="方正小标宋简体" w:eastAsia="方正小标宋简体" w:cs="方正小标宋简体" w:hAnsi="方正小标宋简体" w:hint="eastAsia"/>
          <w:color w:val="auto"/>
          <w:kern w:val="2"/>
          <w:sz w:val="40"/>
          <w:szCs w:val="40"/>
          <w:lang w:val="zh-CN" w:eastAsia="zh-CN" w:bidi="ar-SA"/>
        </w:rPr>
        <w:t>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2021年农房重建贷款清收项目年初预算0.93万元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农房重建贷款清收项目涉及12个村（社区），旨在通过走访入户、网络通讯等多种方式，深入宣传贷款偿还的重要性与紧迫性，各包村领导、包村干部、信用社工作人员具体负责，各方协调配合，信息互通，积极抓好贷款清收工作。</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2021年农房重建贷款清收项目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2021年农房重建贷款清收项目年初预算0.93万元，2021年在大平台全部到位，其来源为区级财政资金。与资金计划相比，该项目资金到位率100%，到位及时率高，配套资金筹措及时。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0.93</w:t>
      </w:r>
      <w:r>
        <w:rPr>
          <w:rFonts w:ascii="仿宋" w:eastAsia="仿宋" w:cs="仿宋" w:hAnsi="仿宋" w:hint="eastAsia"/>
          <w:b w:val="0"/>
          <w:bCs/>
          <w:color w:val="auto"/>
          <w:sz w:val="32"/>
          <w:szCs w:val="32"/>
          <w:lang w:val="zh-CN" w:eastAsia="zh-CN"/>
        </w:rPr>
        <w:t>万元，资金主要用于农房重建贷款逾期、清收政策的宣传和资料的印发</w:t>
      </w:r>
      <w:r>
        <w:rPr>
          <w:rFonts w:ascii="仿宋" w:eastAsia="仿宋" w:cs="仿宋" w:hAnsi="仿宋" w:hint="eastAsia"/>
          <w:b w:val="0"/>
          <w:bCs/>
          <w:color w:val="auto"/>
          <w:sz w:val="32"/>
          <w:szCs w:val="32"/>
          <w:lang w:val="zh-CN"/>
        </w:rPr>
        <w:t>。</w:t>
      </w:r>
      <w:r>
        <w:rPr>
          <w:rFonts w:ascii="仿宋" w:eastAsia="仿宋" w:cs="仿宋" w:hAnsi="仿宋" w:hint="eastAsia"/>
          <w:b w:val="0"/>
          <w:bCs/>
          <w:color w:val="auto"/>
          <w:sz w:val="32"/>
          <w:szCs w:val="32"/>
          <w:lang w:val="zh-CN" w:eastAsia="zh-CN"/>
        </w:rPr>
        <w:t>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p>
    <w:p>
      <w:pPr>
        <w:pageBreakBefore w:val="0"/>
        <w:widowControl w:val="0"/>
        <w:kinsoku/>
        <w:wordWrap/>
        <w:overflowPunct/>
        <w:topLinePunct w:val="0"/>
        <w:autoSpaceDE/>
        <w:autoSpaceDN/>
        <w:bidi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农</w:t>
      </w:r>
      <w:r>
        <w:rPr>
          <w:rFonts w:ascii="仿宋" w:eastAsia="仿宋" w:cs="仿宋" w:hAnsi="仿宋" w:hint="eastAsia"/>
          <w:b w:val="0"/>
          <w:bCs/>
          <w:color w:val="auto"/>
          <w:sz w:val="32"/>
          <w:szCs w:val="32"/>
          <w:lang w:val="en-US" w:eastAsia="zh-CN"/>
        </w:rPr>
        <w:t>房重建贷款清收项目</w:t>
      </w:r>
      <w:r>
        <w:rPr>
          <w:rFonts w:ascii="仿宋" w:eastAsia="仿宋" w:cs="仿宋" w:hAnsi="仿宋" w:hint="eastAsia"/>
          <w:b w:val="0"/>
          <w:bCs/>
          <w:color w:val="auto"/>
          <w:sz w:val="32"/>
          <w:szCs w:val="32"/>
          <w:lang w:val="zh-CN"/>
        </w:rPr>
        <w:t>的实施让借款百姓充分认识到，要牢固树立“有借有还，再借不难”的诚信意识，不仅能够维护自身的声誉，也能够在以后需要贷款的项目中得到益处。</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pStyle w:val="15"/>
        <w:rPr>
          <w:rFonts w:hint="eastAsia"/>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26"/>
        <w:pageBreakBefore w:val="0"/>
        <w:widowControl w:val="0"/>
        <w:kinsoku/>
        <w:wordWrap/>
        <w:overflowPunct/>
        <w:topLinePunct w:val="0"/>
        <w:autoSpaceDE/>
        <w:autoSpaceDN/>
        <w:bidi w:val="0"/>
        <w:spacing w:line="576" w:lineRule="exact"/>
        <w:ind w:leftChars="0" w:left="0" w:firstLineChars="200" w:firstLine="640"/>
        <w:textAlignment w:val="auto"/>
        <w:rPr>
          <w:rFonts w:ascii="仿宋" w:eastAsia="仿宋" w:cs="仿宋" w:hAnsi="仿宋" w:hint="eastAsia"/>
          <w:b w:val="0"/>
          <w:bCs/>
          <w:color w:val="auto"/>
          <w:sz w:val="32"/>
          <w:szCs w:val="32"/>
          <w:lang w:val="en-US" w:eastAsia="zh-CN"/>
        </w:rPr>
      </w:pPr>
    </w:p>
    <w:p>
      <w:pPr>
        <w:pStyle w:val="15"/>
        <w:rPr>
          <w:rFonts w:ascii="方正小标宋简体" w:eastAsia="仿宋_GB2312"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2021年农村疫情防控</w:t>
      </w:r>
      <w:r>
        <w:rPr>
          <w:rFonts w:ascii="方正小标宋简体" w:eastAsia="方正小标宋简体" w:cs="方正小标宋简体" w:hAnsi="方正小标宋简体" w:hint="eastAsia"/>
          <w:color w:val="auto"/>
          <w:kern w:val="2"/>
          <w:sz w:val="40"/>
          <w:szCs w:val="40"/>
          <w:lang w:val="zh-CN" w:eastAsia="zh-CN" w:bidi="ar-SA"/>
        </w:rPr>
        <w:t>专项预算项目支出绩效</w:t>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en-US" w:eastAsia="zh-CN" w:bidi="ar-SA"/>
        </w:rPr>
      </w:pPr>
      <w:r>
        <w:rPr>
          <w:rFonts w:ascii="方正小标宋简体" w:eastAsia="方正小标宋简体" w:cs="方正小标宋简体" w:hAnsi="方正小标宋简体" w:hint="eastAsia"/>
          <w:color w:val="auto"/>
          <w:kern w:val="2"/>
          <w:sz w:val="40"/>
          <w:szCs w:val="40"/>
          <w:lang w:val="zh-CN" w:eastAsia="zh-CN" w:bidi="ar-SA"/>
        </w:rPr>
        <w:t>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2021年农村疫情防控项目属于指标追加项目，预算资金5万元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农村疫情防控项目涉及12个村（社区），旨在通过流动人口的排查工作做好对返镇人员、外来人员的信息登记及旅居史调查工作，特别是要做好从高风险地区回来的人员排查，同时，通过疫情防控宣传减少群众出行和聚集，积极科学地做好个人防护。</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2021年农村疫情防控项目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2021年农村疫情防控项目年初预算5万元，2021年在大平台全部到位，其来源为区级财政资金。与资金计划相比，该项目资金到位率100%，到位及时率高，配套资金筹措及时。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5</w:t>
      </w:r>
      <w:r>
        <w:rPr>
          <w:rFonts w:ascii="仿宋" w:eastAsia="仿宋" w:cs="仿宋" w:hAnsi="仿宋" w:hint="eastAsia"/>
          <w:b w:val="0"/>
          <w:bCs/>
          <w:color w:val="auto"/>
          <w:sz w:val="32"/>
          <w:szCs w:val="32"/>
          <w:lang w:val="zh-CN" w:eastAsia="zh-CN"/>
        </w:rPr>
        <w:t>万元，资金主要用于各村疫情防控宣传、资料发放、入户排查、物资储备等</w:t>
      </w:r>
      <w:r>
        <w:rPr>
          <w:rFonts w:ascii="仿宋" w:eastAsia="仿宋" w:cs="仿宋" w:hAnsi="仿宋" w:hint="eastAsia"/>
          <w:b w:val="0"/>
          <w:bCs/>
          <w:color w:val="auto"/>
          <w:sz w:val="32"/>
          <w:szCs w:val="32"/>
          <w:lang w:val="zh-CN"/>
        </w:rPr>
        <w:t>。</w:t>
      </w:r>
      <w:r>
        <w:rPr>
          <w:rFonts w:ascii="仿宋" w:eastAsia="仿宋" w:cs="仿宋" w:hAnsi="仿宋" w:hint="eastAsia"/>
          <w:b w:val="0"/>
          <w:bCs/>
          <w:color w:val="auto"/>
          <w:sz w:val="32"/>
          <w:szCs w:val="32"/>
          <w:lang w:val="zh-CN" w:eastAsia="zh-CN"/>
        </w:rPr>
        <w:t>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r>
        <w:rPr>
          <w:rFonts w:ascii="仿宋" w:eastAsia="仿宋" w:cs="仿宋" w:hAnsi="仿宋" w:hint="eastAsia"/>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项目按照财政财务管理制度和资金的使用范围由镇政府统一实施，并根据实际情况进行了资金支付。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en-US" w:eastAsia="zh-CN"/>
        </w:rPr>
        <w:t>农村疫情防控项目</w:t>
      </w:r>
      <w:r>
        <w:rPr>
          <w:rFonts w:ascii="仿宋" w:eastAsia="仿宋" w:cs="仿宋" w:hAnsi="仿宋" w:hint="eastAsia"/>
          <w:b w:val="0"/>
          <w:bCs/>
          <w:color w:val="auto"/>
          <w:sz w:val="32"/>
          <w:szCs w:val="32"/>
          <w:lang w:val="zh-CN"/>
        </w:rPr>
        <w:t>的实施对农村地区防控意识松懈、防控能力薄弱、防控难度大等问题，特别是节日期间农村地区返镇人员增多，聚集性活动频繁，将加大疫情传播的风险，坚决做好早预防、早发现、早报告、早隔离、早救治、强保障，加大宣传引导力度，严控各类聚集性活动，督促落实群众医学观察措施，引导动员广大农民群众积极参与群防群控，防止疫情在农村地区扩散蔓延。</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rPr>
          <w:rFonts w:ascii="方正小标宋简体" w:eastAsia="仿宋_GB2312" w:cs="方正小标宋简体" w:hAnsi="方正小标宋简体"/>
          <w:color w:val="auto"/>
          <w:kern w:val="2"/>
          <w:sz w:val="40"/>
          <w:szCs w:val="40"/>
          <w:lang w:val="en-US" w:eastAsia="zh-CN" w:bidi="ar-SA"/>
        </w:rPr>
      </w:pPr>
      <w:r>
        <w:rPr>
          <w:rFonts w:cs="宋体" w:hAnsi="宋体" w:hint="eastAsia"/>
          <w:color w:val="auto"/>
          <w:kern w:val="0"/>
          <w:sz w:val="32"/>
          <w:szCs w:val="32"/>
          <w:shd w:val="clear" w:color="auto" w:fill="FFFFFF"/>
          <w:lang w:val="zh-CN"/>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仿宋" w:cs="仿宋" w:hAnsi="仿宋" w:hint="eastAsia"/>
          <w:b w:val="0"/>
          <w:bCs/>
          <w:color w:val="auto"/>
          <w:sz w:val="32"/>
          <w:szCs w:val="32"/>
        </w:rPr>
      </w:pPr>
      <w:r>
        <w:rPr>
          <w:rFonts w:ascii="方正小标宋简体" w:eastAsia="方正小标宋简体" w:cs="方正小标宋简体" w:hAnsi="方正小标宋简体" w:hint="eastAsia"/>
          <w:color w:val="auto"/>
          <w:kern w:val="2"/>
          <w:sz w:val="40"/>
          <w:szCs w:val="40"/>
          <w:lang w:val="en-US" w:eastAsia="zh-CN" w:bidi="ar-SA"/>
        </w:rPr>
        <w:t>2021年革命老区建设资金</w:t>
      </w:r>
      <w:r>
        <w:rPr>
          <w:rFonts w:ascii="方正小标宋简体" w:eastAsia="方正小标宋简体" w:cs="方正小标宋简体" w:hAnsi="方正小标宋简体" w:hint="eastAsia"/>
          <w:color w:val="auto"/>
          <w:kern w:val="2"/>
          <w:sz w:val="40"/>
          <w:szCs w:val="40"/>
          <w:lang w:val="zh-CN" w:eastAsia="zh-CN" w:bidi="ar-SA"/>
        </w:rPr>
        <w:t>专项预算项目支出绩效自评报告</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2021年革命老区建设资金项目属于指标追加项目，预算资金186万元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2021年革命老区建设资金项目涉及7个村（社区）。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en-US" w:eastAsia="zh-CN"/>
        </w:rPr>
        <w:t>1.土地整理项目：涉及泉坝村、高坑村、鱼龙村、张坝社区，整治土地325.5亩，需投入资金18.576万元。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en-US" w:eastAsia="zh-CN"/>
        </w:rPr>
        <w:t>2.安全饮水项目：涉及和平村四组，新建蓄水池一口，解决饮水人口200人，需投入资金5万元。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en-US" w:eastAsia="zh-CN"/>
        </w:rPr>
        <w:t>3.道路硬化及吊桥维修项目：涉及高坑村、岩窝村、泉坝村，维修吊桥2座、道路硬化2055米、桥面加宽加高一座，需投入资金152.424万元。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en-US" w:eastAsia="zh-CN"/>
        </w:rPr>
        <w:t>4.公共卫生厕所项目：荣山场镇建50平方米的男女分位厕所一处，需投入资金10万元。</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en-US" w:eastAsia="zh-CN"/>
        </w:rPr>
        <w:t>（三）</w:t>
      </w:r>
      <w:r>
        <w:rPr>
          <w:rFonts w:ascii="仿宋" w:eastAsia="仿宋" w:cs="仿宋" w:hAnsi="仿宋" w:hint="eastAsia"/>
          <w:b w:val="0"/>
          <w:bCs/>
          <w:color w:val="auto"/>
          <w:sz w:val="32"/>
          <w:szCs w:val="32"/>
          <w:lang w:val="zh-CN"/>
        </w:rPr>
        <w:t>项目资金申报相符性。荣山镇</w:t>
      </w:r>
      <w:r>
        <w:rPr>
          <w:rFonts w:ascii="仿宋" w:eastAsia="仿宋" w:cs="仿宋" w:hAnsi="仿宋" w:hint="eastAsia"/>
          <w:b w:val="0"/>
          <w:bCs/>
          <w:color w:val="auto"/>
          <w:sz w:val="32"/>
          <w:szCs w:val="32"/>
          <w:lang w:val="en-US" w:eastAsia="zh-CN"/>
        </w:rPr>
        <w:t>2021年革命老区建设资金项目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2021年革命老区建设资金项目年初预算186万元，2021年在大平台全部到位，其来源为区级财政资金。与资金计划相比，该项目资金到位率100%，到位及时率高，配套资金筹措及时。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48.576</w:t>
      </w:r>
      <w:r>
        <w:rPr>
          <w:rFonts w:ascii="仿宋" w:eastAsia="仿宋" w:cs="仿宋" w:hAnsi="仿宋" w:hint="eastAsia"/>
          <w:b w:val="0"/>
          <w:bCs/>
          <w:color w:val="auto"/>
          <w:sz w:val="32"/>
          <w:szCs w:val="32"/>
          <w:lang w:val="zh-CN" w:eastAsia="zh-CN"/>
        </w:rPr>
        <w:t>万元，资金主要用于一是</w:t>
      </w:r>
      <w:r>
        <w:rPr>
          <w:rFonts w:ascii="仿宋" w:eastAsia="仿宋" w:cs="仿宋" w:hAnsi="仿宋" w:hint="eastAsia"/>
          <w:b w:val="0"/>
          <w:bCs/>
          <w:color w:val="auto"/>
          <w:sz w:val="32"/>
          <w:szCs w:val="32"/>
          <w:lang w:val="en-US" w:eastAsia="zh-CN"/>
        </w:rPr>
        <w:t>土地整理，总面积325.5亩，18.576万元。二是道路建设：支荣和公路建设资金30万元。由于项目实施进度问题，剩余137.424万元项目资金未及时支付，形成2021年度财政应返还额度。</w:t>
      </w:r>
      <w:r>
        <w:rPr>
          <w:rFonts w:ascii="仿宋" w:eastAsia="仿宋" w:cs="仿宋" w:hAnsi="仿宋" w:hint="eastAsia"/>
          <w:b w:val="0"/>
          <w:bCs/>
          <w:color w:val="auto"/>
          <w:sz w:val="32"/>
          <w:szCs w:val="32"/>
          <w:lang w:val="zh-CN" w:eastAsia="zh-CN"/>
        </w:rPr>
        <w:t>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rPr>
      </w:pPr>
      <w:r>
        <w:rPr>
          <w:rFonts w:ascii="仿宋" w:eastAsia="仿宋" w:cs="仿宋" w:hAnsi="仿宋" w:hint="eastAsia"/>
          <w:b w:val="0"/>
          <w:bCs/>
          <w:color w:val="auto"/>
          <w:sz w:val="32"/>
          <w:szCs w:val="32"/>
          <w:lang w:val="en-US" w:eastAsia="zh-CN"/>
        </w:rPr>
        <w:t>革命老区建设资金项目</w:t>
      </w:r>
      <w:r>
        <w:rPr>
          <w:rFonts w:ascii="仿宋" w:eastAsia="仿宋" w:cs="仿宋" w:hAnsi="仿宋" w:hint="eastAsia"/>
          <w:b w:val="0"/>
          <w:bCs/>
          <w:color w:val="auto"/>
          <w:sz w:val="32"/>
          <w:szCs w:val="32"/>
          <w:lang w:val="zh-CN"/>
        </w:rPr>
        <w:t>以实施镇村振兴战略，提升农业生产力、增加农民收入、改善民居生活环境为指导；按照“规划先行、科学治理、分类指导、精心实施”的要求，加快全镇农业农村基础设施建设，改善土地生产及农村道路交通条件，助推镇村振兴。项目建成后，将明显改善荣山镇农业土地生产条件及交通环境，有效促进各村经济及社会事业发展。</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pStyle w:val="15"/>
        <w:rPr>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2021年岩窝村暴雨洪涝灾害后恢复重建</w:t>
      </w:r>
      <w:r>
        <w:rPr>
          <w:rFonts w:ascii="方正小标宋简体" w:eastAsia="方正小标宋简体" w:cs="方正小标宋简体" w:hAnsi="方正小标宋简体" w:hint="eastAsia"/>
          <w:color w:val="auto"/>
          <w:kern w:val="2"/>
          <w:sz w:val="40"/>
          <w:szCs w:val="40"/>
          <w:lang w:val="zh-CN" w:eastAsia="zh-CN" w:bidi="ar-SA"/>
        </w:rPr>
        <w:t>专项</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楷体"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预算项目支出绩效自评报告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2021年岩窝村暴雨洪涝灾害后恢复重建项目属于指标追加项目，预算资金10万元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2021年岩窝村暴雨洪涝灾害后恢复重建项目，旨在多渠道争取和整合资金保障道路应急抢险和灾后恢复重建的顺利实施。</w:t>
      </w:r>
    </w:p>
    <w:p>
      <w:pPr>
        <w:keepNext w:val="0"/>
        <w:keepLines w:val="0"/>
        <w:pageBreakBefore w:val="0"/>
        <w:widowControl w:val="0"/>
        <w:kinsoku/>
        <w:wordWrap/>
        <w:overflowPunct/>
        <w:topLinePunct w:val="0"/>
        <w:autoSpaceDE/>
        <w:autoSpaceDN/>
        <w:bidi w:val="0"/>
        <w:adjustRightInd/>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2021年岩窝村暴雨洪涝灾害后恢复重建项目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2021年岩窝村暴雨洪涝灾害后恢复重建项目年初预算10万元，2021年在大平台全部到位，其来源为区级财政资金。与资金计划相比，该项目资金到位率100%，到位及时率高，配套资金筹措及时。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en-US" w:eastAsia="zh-CN"/>
        </w:rPr>
        <w:t>该项目2021年度支付资金10万元。资金主要用于岩窝村暴雨洪涝灾害后清理土石方、修复路面、恢复堡坎。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en-US" w:eastAsia="zh-CN"/>
        </w:rPr>
        <w:t>因暴雨灾害、地理位置等特殊原因，岩窝通村通组公路多处出现裂缝、路基坍塌、下沉、冲毁等情况，损毁道路，严重威胁过往车辆和行人生命财产安全，并对全镇生产生活和灾后经济社会恢复发展造成严重影响。岩窝村暴雨洪涝灾害后恢复重建项目的实施，加快道路恢复实施进度，保障群众基本安全出行需要，推动岩窝村以及全镇灾后经济恢复发展。</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rPr>
          <w:rFonts w:ascii="方正小标宋简体" w:eastAsia="仿宋_GB2312" w:cs="方正小标宋简体" w:hAnsi="方正小标宋简体"/>
          <w:color w:val="auto"/>
          <w:kern w:val="2"/>
          <w:sz w:val="40"/>
          <w:szCs w:val="40"/>
          <w:lang w:val="en-US" w:eastAsia="zh-CN" w:bidi="ar-SA"/>
        </w:rPr>
      </w:pPr>
      <w:r>
        <w:rPr>
          <w:rFonts w:hint="eastAsia"/>
          <w:lang w:val="en-US" w:eastAsia="zh-CN"/>
        </w:rPr>
        <w:br w:type="page"/>
      </w: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2021年集体经济融合发展工作经费</w:t>
      </w:r>
      <w:r>
        <w:rPr>
          <w:rFonts w:ascii="方正小标宋简体" w:eastAsia="方正小标宋简体" w:cs="方正小标宋简体" w:hAnsi="方正小标宋简体" w:hint="eastAsia"/>
          <w:color w:val="auto"/>
          <w:kern w:val="2"/>
          <w:sz w:val="40"/>
          <w:szCs w:val="40"/>
          <w:lang w:val="zh-CN" w:eastAsia="zh-CN" w:bidi="ar-SA"/>
        </w:rPr>
        <w:t>专项</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楷体"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预算项目支出绩效自评报告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2021年集体经济融合发展工作经费项目属于指标追加项目，预算资金5万元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2021年集体经济融合发展工作经费项目涉及和平村，旨在完成农村集体产权制度改革，建立合并村集体经济组织，在坚持因地制宜、尊重民意的基础上，实现合并村集体经济的完全融合。</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2021年集体经济融合发展工作经费项目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2021年集体经济融合发展工作经费项目年初预算5万元，2021年在大平台全部到位，其来源为区级财政资金。与资金计划相比，该项目资金到位率100%，到位及时率高，配套资金筹措及时。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zh-CN" w:eastAsia="zh-CN"/>
        </w:rPr>
        <w:t>该项目2021年资金支付</w:t>
      </w:r>
      <w:r>
        <w:rPr>
          <w:rFonts w:ascii="仿宋" w:eastAsia="仿宋" w:cs="仿宋" w:hAnsi="仿宋" w:hint="eastAsia"/>
          <w:b w:val="0"/>
          <w:bCs/>
          <w:color w:val="auto"/>
          <w:sz w:val="32"/>
          <w:szCs w:val="32"/>
          <w:lang w:val="en-US" w:eastAsia="zh-CN"/>
        </w:rPr>
        <w:t>5</w:t>
      </w:r>
      <w:r>
        <w:rPr>
          <w:rFonts w:ascii="仿宋" w:eastAsia="仿宋" w:cs="仿宋" w:hAnsi="仿宋" w:hint="eastAsia"/>
          <w:b w:val="0"/>
          <w:bCs/>
          <w:color w:val="auto"/>
          <w:sz w:val="32"/>
          <w:szCs w:val="32"/>
          <w:lang w:val="zh-CN" w:eastAsia="zh-CN"/>
        </w:rPr>
        <w:t>万元，资金主要用于合并村建立集体资产登记、保管、使用、处置、年度清查等，积极探索公司</w:t>
      </w:r>
      <w:r>
        <w:rPr>
          <w:rFonts w:ascii="仿宋" w:eastAsia="仿宋" w:cs="仿宋" w:hAnsi="仿宋" w:hint="eastAsia"/>
          <w:b w:val="0"/>
          <w:bCs/>
          <w:color w:val="auto"/>
          <w:sz w:val="32"/>
          <w:szCs w:val="32"/>
          <w:lang w:val="en-US" w:eastAsia="zh-CN"/>
        </w:rPr>
        <w:t>+农户、合作社+农户等新型产业发展模式，拓宽招商引资渠道，引进多元业主，实现集体经济的发展壮大</w:t>
      </w:r>
      <w:r>
        <w:rPr>
          <w:rFonts w:ascii="仿宋" w:eastAsia="仿宋" w:cs="仿宋" w:hAnsi="仿宋" w:hint="eastAsia"/>
          <w:b w:val="0"/>
          <w:bCs/>
          <w:color w:val="auto"/>
          <w:sz w:val="32"/>
          <w:szCs w:val="32"/>
          <w:lang w:val="zh-CN"/>
        </w:rPr>
        <w:t>。</w:t>
      </w:r>
      <w:r>
        <w:rPr>
          <w:rFonts w:ascii="仿宋" w:eastAsia="仿宋" w:cs="仿宋" w:hAnsi="仿宋" w:hint="eastAsia"/>
          <w:b w:val="0"/>
          <w:bCs/>
          <w:color w:val="auto"/>
          <w:sz w:val="32"/>
          <w:szCs w:val="32"/>
          <w:lang w:val="zh-CN" w:eastAsia="zh-CN"/>
        </w:rPr>
        <w:t>资金支付与预算相符，支付依据合规合法</w:t>
      </w:r>
      <w:r>
        <w:rPr>
          <w:rFonts w:ascii="仿宋" w:eastAsia="仿宋"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项目按照财政财务管理制度和资金的使用范围由乡政府统一实施，并根据实际情况进行了资金支付。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rPr>
      </w:pPr>
      <w:r>
        <w:rPr>
          <w:rFonts w:ascii="仿宋" w:eastAsia="楷体" w:cs="仿宋" w:hAnsi="仿宋" w:hint="eastAsia"/>
          <w:b w:val="0"/>
          <w:bCs/>
          <w:color w:val="auto"/>
          <w:sz w:val="32"/>
          <w:szCs w:val="32"/>
          <w:lang w:val="zh-CN"/>
        </w:rPr>
        <w:t>（二）项目效益情况。</w:t>
      </w:r>
      <w:r>
        <w:rPr>
          <w:rFonts w:ascii="仿宋" w:eastAsia="仿宋" w:cs="仿宋" w:hAnsi="仿宋" w:hint="eastAsia"/>
          <w:b w:val="0"/>
          <w:bCs/>
          <w:color w:val="auto"/>
          <w:sz w:val="32"/>
          <w:szCs w:val="32"/>
          <w:lang w:val="en-US" w:eastAsia="zh-CN"/>
        </w:rPr>
        <w:t>集体经济融合发展工作经费项目</w:t>
      </w:r>
      <w:r>
        <w:rPr>
          <w:rFonts w:ascii="仿宋" w:eastAsia="仿宋" w:cs="仿宋" w:hAnsi="仿宋" w:hint="eastAsia"/>
          <w:b w:val="0"/>
          <w:bCs/>
          <w:color w:val="auto"/>
          <w:sz w:val="32"/>
          <w:szCs w:val="32"/>
          <w:lang w:val="zh-CN"/>
        </w:rPr>
        <w:t>的实施是</w:t>
      </w:r>
      <w:r>
        <w:rPr>
          <w:rFonts w:ascii="仿宋" w:eastAsia="仿宋" w:cs="仿宋" w:hAnsi="仿宋" w:hint="eastAsia"/>
          <w:b w:val="0"/>
          <w:bCs/>
          <w:color w:val="auto"/>
          <w:sz w:val="32"/>
          <w:szCs w:val="32"/>
          <w:lang w:val="en-US" w:eastAsia="zh-CN"/>
        </w:rPr>
        <w:t>深化农村集体产权制度改革，完善集体资产所有权、经营权和收益权实现形式，探索园区建设与村集体经济组织相结合、多元业主相结合、工商资本合作新机制，推动资源变资产、资金变股金、农民变成员，以低风险、可持续的方式获得稳定收入，培育发展新型农村集体经济。</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p>
    <w:p>
      <w:pPr>
        <w:pStyle w:val="15"/>
        <w:rPr>
          <w:rFonts w:ascii="方正小标宋简体" w:eastAsia="仿宋_GB2312" w:cs="方正小标宋简体" w:hAnsi="方正小标宋简体"/>
          <w:color w:val="auto"/>
          <w:kern w:val="2"/>
          <w:sz w:val="40"/>
          <w:szCs w:val="40"/>
          <w:lang w:val="en-US" w:eastAsia="zh-CN" w:bidi="ar-SA"/>
        </w:rPr>
      </w:pPr>
    </w:p>
    <w:p>
      <w:pPr>
        <w:pStyle w:val="15"/>
        <w:rPr>
          <w:rFonts w:ascii="方正小标宋简体" w:eastAsia="仿宋_GB2312" w:cs="方正小标宋简体" w:hAnsi="方正小标宋简体"/>
          <w:color w:val="auto"/>
          <w:kern w:val="2"/>
          <w:sz w:val="40"/>
          <w:szCs w:val="40"/>
          <w:lang w:val="en-US" w:eastAsia="zh-CN" w:bidi="ar-SA"/>
        </w:rPr>
      </w:pPr>
    </w:p>
    <w:p>
      <w:pPr>
        <w:pStyle w:val="15"/>
        <w:rPr>
          <w:rFonts w:ascii="方正小标宋简体" w:eastAsia="仿宋_GB2312" w:cs="方正小标宋简体" w:hAnsi="方正小标宋简体"/>
          <w:color w:val="auto"/>
          <w:kern w:val="2"/>
          <w:sz w:val="40"/>
          <w:szCs w:val="40"/>
          <w:lang w:val="en-US" w:eastAsia="zh-CN" w:bidi="ar-SA"/>
        </w:rPr>
      </w:pPr>
    </w:p>
    <w:p>
      <w:pPr>
        <w:pStyle w:val="15"/>
        <w:rPr>
          <w:rFonts w:ascii="方正小标宋简体" w:eastAsia="仿宋_GB2312" w:cs="方正小标宋简体" w:hAnsi="方正小标宋简体"/>
          <w:color w:val="auto"/>
          <w:kern w:val="2"/>
          <w:sz w:val="40"/>
          <w:szCs w:val="40"/>
          <w:lang w:val="en-US" w:eastAsia="zh-CN" w:bidi="ar-SA"/>
        </w:rPr>
      </w:pPr>
    </w:p>
    <w:p>
      <w:pPr>
        <w:pStyle w:val="15"/>
        <w:rPr>
          <w:rFonts w:ascii="方正小标宋简体" w:eastAsia="仿宋_GB2312" w:cs="方正小标宋简体" w:hAnsi="方正小标宋简体"/>
          <w:color w:val="auto"/>
          <w:kern w:val="2"/>
          <w:sz w:val="40"/>
          <w:szCs w:val="40"/>
          <w:lang w:val="en-US" w:eastAsia="zh-CN" w:bidi="ar-SA"/>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方正小标宋简体" w:eastAsia="方正小标宋简体" w:cs="方正小标宋简体" w:hAnsi="方正小标宋简体" w:hint="eastAsia"/>
          <w:color w:val="auto"/>
          <w:kern w:val="2"/>
          <w:sz w:val="40"/>
          <w:szCs w:val="40"/>
          <w:lang w:val="zh-CN" w:eastAsia="zh-CN" w:bidi="ar-SA"/>
        </w:rPr>
      </w:pPr>
      <w:r>
        <w:rPr>
          <w:rFonts w:ascii="方正小标宋简体" w:eastAsia="方正小标宋简体" w:cs="方正小标宋简体" w:hAnsi="方正小标宋简体" w:hint="eastAsia"/>
          <w:color w:val="auto"/>
          <w:kern w:val="2"/>
          <w:sz w:val="40"/>
          <w:szCs w:val="40"/>
          <w:lang w:val="en-US" w:eastAsia="zh-CN" w:bidi="ar-SA"/>
        </w:rPr>
        <w:t>2021年和平洪灾水毁治理工程</w:t>
      </w:r>
      <w:r>
        <w:rPr>
          <w:rFonts w:ascii="方正小标宋简体" w:eastAsia="方正小标宋简体" w:cs="方正小标宋简体" w:hAnsi="方正小标宋简体" w:hint="eastAsia"/>
          <w:color w:val="auto"/>
          <w:kern w:val="2"/>
          <w:sz w:val="40"/>
          <w:szCs w:val="40"/>
          <w:lang w:val="zh-CN" w:eastAsia="zh-CN" w:bidi="ar-SA"/>
        </w:rPr>
        <w:t>专项</w:t>
      </w:r>
    </w:p>
    <w:p>
      <w:pPr>
        <w:keepNext w:val="0"/>
        <w:keepLines w:val="0"/>
        <w:pageBreakBefore w:val="0"/>
        <w:widowControl w:val="0"/>
        <w:kinsoku/>
        <w:wordWrap/>
        <w:overflowPunct/>
        <w:topLinePunct w:val="0"/>
        <w:autoSpaceDE/>
        <w:autoSpaceDN/>
        <w:bidi w:val="0"/>
        <w:spacing w:line="600" w:lineRule="exact"/>
        <w:jc w:val="center"/>
        <w:textAlignment w:val="auto"/>
        <w:rPr>
          <w:rFonts w:ascii="仿宋" w:eastAsia="楷体" w:cs="仿宋" w:hAnsi="仿宋" w:hint="eastAsia"/>
          <w:b w:val="0"/>
          <w:bCs/>
          <w:color w:val="auto"/>
          <w:sz w:val="32"/>
          <w:szCs w:val="32"/>
          <w:lang w:val="en-US" w:eastAsia="zh-CN"/>
        </w:rPr>
      </w:pPr>
      <w:r>
        <w:rPr>
          <w:rFonts w:ascii="方正小标宋简体" w:eastAsia="方正小标宋简体" w:cs="方正小标宋简体" w:hAnsi="方正小标宋简体" w:hint="eastAsia"/>
          <w:color w:val="auto"/>
          <w:kern w:val="2"/>
          <w:sz w:val="40"/>
          <w:szCs w:val="40"/>
          <w:lang w:val="zh-CN" w:eastAsia="zh-CN" w:bidi="ar-SA"/>
        </w:rPr>
        <w:t>预算项目支出绩效自评报告</w:t>
      </w:r>
    </w:p>
    <w:p>
      <w:pPr>
        <w:keepNext w:val="0"/>
        <w:keepLines w:val="0"/>
        <w:pageBreakBefore w:val="0"/>
        <w:widowControl w:val="0"/>
        <w:kinsoku/>
        <w:wordWrap/>
        <w:overflowPunct/>
        <w:topLinePunct w:val="0"/>
        <w:autoSpaceDE/>
        <w:autoSpaceDN/>
        <w:bidi w:val="0"/>
        <w:spacing w:line="576" w:lineRule="exact"/>
        <w:ind w:left="0" w:firstLineChars="200" w:firstLine="640"/>
        <w:jc w:val="center"/>
        <w:textAlignment w:val="auto"/>
        <w:rPr>
          <w:rFonts w:ascii="仿宋" w:eastAsia="仿宋" w:cs="仿宋" w:hAnsi="仿宋" w:hint="eastAsia"/>
          <w:b w:val="0"/>
          <w:bCs/>
          <w:color w:val="auto"/>
          <w:sz w:val="32"/>
          <w:szCs w:val="32"/>
        </w:rPr>
      </w:pP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zh-CN"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一、</w:t>
      </w:r>
      <w:r>
        <w:rPr>
          <w:rFonts w:ascii="黑体" w:eastAsia="黑体" w:cs="黑体" w:hAnsi="黑体" w:hint="eastAsia"/>
          <w:b w:val="0"/>
          <w:bCs/>
          <w:i w:val="0"/>
          <w:iCs w:val="0"/>
          <w:caps w:val="0"/>
          <w:smallCaps w:val="0"/>
          <w:color w:val="auto"/>
          <w:spacing w:val="0"/>
          <w:sz w:val="32"/>
          <w:szCs w:val="32"/>
          <w:shd w:val="clear" w:color="auto" w:fill="FFFFFF"/>
          <w:lang w:val="zh-CN" w:eastAsia="zh-CN"/>
        </w:rPr>
        <w:t>项目概况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eastAsia="zh-CN"/>
        </w:rPr>
      </w:pPr>
      <w:r>
        <w:rPr>
          <w:rFonts w:ascii="仿宋" w:eastAsia="仿宋" w:cs="仿宋" w:hAnsi="仿宋" w:hint="eastAsia"/>
          <w:b w:val="0"/>
          <w:bCs/>
          <w:color w:val="auto"/>
          <w:sz w:val="32"/>
          <w:szCs w:val="32"/>
          <w:lang w:val="zh-CN"/>
        </w:rPr>
        <w:t>（一）荣山镇</w:t>
      </w:r>
      <w:r>
        <w:rPr>
          <w:rFonts w:ascii="仿宋" w:eastAsia="仿宋" w:cs="仿宋" w:hAnsi="仿宋" w:hint="eastAsia"/>
          <w:b w:val="0"/>
          <w:bCs/>
          <w:color w:val="auto"/>
          <w:sz w:val="32"/>
          <w:szCs w:val="32"/>
          <w:lang w:val="en-US" w:eastAsia="zh-CN"/>
        </w:rPr>
        <w:t>2021年和平洪灾水毁治理工程项目属于指标追加项目，预算资金10.5万元</w:t>
      </w:r>
      <w:r>
        <w:rPr>
          <w:rFonts w:ascii="仿宋" w:eastAsia="仿宋" w:cs="仿宋" w:hAnsi="仿宋" w:hint="eastAsia"/>
          <w:b w:val="0"/>
          <w:bCs/>
          <w:color w:val="auto"/>
          <w:sz w:val="32"/>
          <w:szCs w:val="32"/>
          <w:lang w:val="zh-CN" w:eastAsia="zh-CN"/>
        </w:rPr>
        <w:t>。</w:t>
      </w:r>
    </w:p>
    <w:p>
      <w:pPr>
        <w:keepNext w:val="0"/>
        <w:keepLines w:val="0"/>
        <w:pageBreakBefore w:val="0"/>
        <w:widowControl w:val="0"/>
        <w:kinsoku/>
        <w:wordWrap/>
        <w:overflowPunct/>
        <w:topLinePunct w:val="0"/>
        <w:autoSpaceDE/>
        <w:autoSpaceDN/>
        <w:bidi w:val="0"/>
        <w:adjustRightInd/>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eastAsia="zh-CN"/>
        </w:rPr>
        <w:t>（二）荣山镇</w:t>
      </w:r>
      <w:r>
        <w:rPr>
          <w:rFonts w:ascii="仿宋" w:eastAsia="仿宋" w:cs="仿宋" w:hAnsi="仿宋" w:hint="eastAsia"/>
          <w:b w:val="0"/>
          <w:bCs/>
          <w:color w:val="auto"/>
          <w:sz w:val="32"/>
          <w:szCs w:val="32"/>
          <w:lang w:val="en-US" w:eastAsia="zh-CN"/>
        </w:rPr>
        <w:t>2021年和平洪灾水毁治理工程项目，旨在保障道路应急抢险和灾后恢复重建的顺利实施。</w:t>
      </w:r>
    </w:p>
    <w:p>
      <w:pPr>
        <w:keepNext w:val="0"/>
        <w:keepLines w:val="0"/>
        <w:pageBreakBefore w:val="0"/>
        <w:widowControl w:val="0"/>
        <w:kinsoku/>
        <w:wordWrap/>
        <w:overflowPunct/>
        <w:topLinePunct w:val="0"/>
        <w:autoSpaceDE/>
        <w:autoSpaceDN/>
        <w:bidi w:val="0"/>
        <w:adjustRightInd/>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（三）项目资金申报相符性。荣山镇</w:t>
      </w:r>
      <w:r>
        <w:rPr>
          <w:rFonts w:ascii="仿宋" w:eastAsia="仿宋" w:cs="仿宋" w:hAnsi="仿宋" w:hint="eastAsia"/>
          <w:b w:val="0"/>
          <w:bCs/>
          <w:color w:val="auto"/>
          <w:sz w:val="32"/>
          <w:szCs w:val="32"/>
          <w:lang w:val="en-US" w:eastAsia="zh-CN"/>
        </w:rPr>
        <w:t>2021年和平洪灾水毁治理工程项目</w:t>
      </w:r>
      <w:r>
        <w:rPr>
          <w:rFonts w:ascii="仿宋" w:eastAsia="仿宋" w:cs="仿宋" w:hAnsi="仿宋" w:hint="eastAsia"/>
          <w:b w:val="0"/>
          <w:bCs/>
          <w:color w:val="auto"/>
          <w:sz w:val="32"/>
          <w:szCs w:val="32"/>
          <w:lang w:val="zh-CN"/>
        </w:rPr>
        <w:t>申报内容与具体实施内容相符，申报目标合理可行。</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（一）资金计划、到位及使用情况。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1</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资金计划及到位。荣山镇</w:t>
      </w:r>
      <w:r>
        <w:rPr>
          <w:rFonts w:ascii="仿宋" w:eastAsia="仿宋" w:cs="仿宋" w:hAnsi="仿宋" w:hint="eastAsia"/>
          <w:b w:val="0"/>
          <w:bCs/>
          <w:color w:val="auto"/>
          <w:sz w:val="32"/>
          <w:szCs w:val="32"/>
          <w:lang w:val="en-US" w:eastAsia="zh-CN"/>
        </w:rPr>
        <w:t>2021年和平洪灾水毁治理工程项目年初预算10.5万元，2021年在大平台全部到位，其来源为区级财政资金。与资金计划相比，该项目资金到位率100%，到位及时率高，配套资金筹措及时。</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zh-CN"/>
        </w:rPr>
        <w:t>2</w:t>
      </w:r>
      <w:r>
        <w:rPr>
          <w:rFonts w:ascii="仿宋" w:eastAsia="仿宋" w:cs="仿宋" w:hAnsi="仿宋" w:hint="eastAsia"/>
          <w:b w:val="0"/>
          <w:bCs/>
          <w:color w:val="auto"/>
          <w:sz w:val="32"/>
          <w:szCs w:val="32"/>
          <w:lang w:val="en-US" w:eastAsia="zh-CN"/>
        </w:rPr>
        <w:t>.</w:t>
      </w:r>
      <w:r>
        <w:rPr>
          <w:rFonts w:ascii="仿宋" w:eastAsia="仿宋" w:cs="仿宋" w:hAnsi="仿宋" w:hint="eastAsia"/>
          <w:b w:val="0"/>
          <w:bCs/>
          <w:color w:val="auto"/>
          <w:sz w:val="32"/>
          <w:szCs w:val="32"/>
          <w:lang w:val="zh-CN"/>
        </w:rPr>
        <w:t>资金使用。</w:t>
      </w:r>
      <w:r>
        <w:rPr>
          <w:rFonts w:ascii="仿宋" w:eastAsia="仿宋" w:cs="仿宋" w:hAnsi="仿宋" w:hint="eastAsia"/>
          <w:b w:val="0"/>
          <w:bCs/>
          <w:color w:val="auto"/>
          <w:sz w:val="32"/>
          <w:szCs w:val="32"/>
          <w:lang w:val="en-US" w:eastAsia="zh-CN"/>
        </w:rPr>
        <w:t>该项目2021年度支付资金10.5万元。资金主要用于和平村洪灾后清理土石方、修复路面、恢复堡坎。</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（二）项目财务管理情况。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为切实提高我镇财务科学化、精细化、绩效化管理水平，根据《中华人民共和国预算法》、《中华人民共和国会计法》、《会计基础工作规范》等法律法规，结合全镇财务工作实际，建立了各项财务管理制度，严格按照《广元市利州区乡镇（街道）财政财务管理办法》规范管理，并按《广元市利州区乡镇（街道）财政财务管理办法》的要求设置镇财政所，配备财务人员</w:t>
      </w:r>
      <w:r>
        <w:rPr>
          <w:rFonts w:ascii="仿宋" w:eastAsia="仿宋" w:cs="仿宋" w:hAnsi="仿宋" w:hint="eastAsia"/>
          <w:b w:val="0"/>
          <w:bCs/>
          <w:color w:val="auto"/>
          <w:sz w:val="32"/>
          <w:szCs w:val="32"/>
          <w:lang w:val="en-US" w:eastAsia="zh-CN"/>
        </w:rPr>
        <w:t>3人</w:t>
      </w:r>
      <w:r>
        <w:rPr>
          <w:rFonts w:ascii="仿宋" w:eastAsia="仿宋" w:cs="仿宋" w:hAnsi="仿宋" w:hint="eastAsia"/>
          <w:b w:val="0"/>
          <w:bCs/>
          <w:color w:val="auto"/>
          <w:sz w:val="32"/>
          <w:szCs w:val="32"/>
          <w:lang w:val="zh-CN"/>
        </w:rPr>
        <w:t>。同时，按照行政单位会计制度，及时规范地进行了会计核算和处理。</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（三）项目组织实施情况。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项目按照财务管理制度和资金的使用范围由镇政府统一实施，并根据实际情况进行了资金支付。</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三、项目绩效情况</w:t>
        <w:tab/>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（一）项目完成情况。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仿宋" w:cs="仿宋" w:hAnsi="仿宋" w:hint="eastAsia"/>
          <w:b w:val="0"/>
          <w:bCs/>
          <w:color w:val="auto"/>
          <w:sz w:val="32"/>
          <w:szCs w:val="32"/>
          <w:lang w:val="zh-CN"/>
        </w:rPr>
        <w:t>项目实施进度。对照项目计划目标，截至目前已全部完成支付任务</w:t>
      </w:r>
      <w:r>
        <w:rPr>
          <w:rFonts w:ascii="仿宋" w:eastAsia="楷体" w:cs="仿宋" w:hAnsi="仿宋" w:hint="eastAsia"/>
          <w:b w:val="0"/>
          <w:bCs/>
          <w:color w:val="auto"/>
          <w:sz w:val="32"/>
          <w:szCs w:val="32"/>
          <w:lang w:val="zh-CN"/>
        </w:rPr>
        <w:t>。</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楷体" w:cs="仿宋" w:hAnsi="仿宋" w:hint="eastAsia"/>
          <w:b w:val="0"/>
          <w:bCs/>
          <w:color w:val="auto"/>
          <w:sz w:val="32"/>
          <w:szCs w:val="32"/>
          <w:lang w:val="zh-CN"/>
        </w:rPr>
      </w:pPr>
      <w:r>
        <w:rPr>
          <w:rFonts w:ascii="仿宋" w:eastAsia="楷体" w:cs="仿宋" w:hAnsi="仿宋" w:hint="eastAsia"/>
          <w:b w:val="0"/>
          <w:bCs/>
          <w:color w:val="auto"/>
          <w:sz w:val="32"/>
          <w:szCs w:val="32"/>
          <w:lang w:val="zh-CN"/>
        </w:rPr>
        <w:t>（二）项目效益情况。</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en-US" w:eastAsia="zh-CN"/>
        </w:rPr>
      </w:pPr>
      <w:r>
        <w:rPr>
          <w:rFonts w:ascii="仿宋" w:eastAsia="仿宋" w:cs="仿宋" w:hAnsi="仿宋" w:hint="eastAsia"/>
          <w:b w:val="0"/>
          <w:bCs/>
          <w:color w:val="auto"/>
          <w:sz w:val="32"/>
          <w:szCs w:val="32"/>
          <w:lang w:val="en-US" w:eastAsia="zh-CN"/>
        </w:rPr>
        <w:t>因暴雨灾害、地理位置等特殊原因，和平村通村通组公路多处出现坍塌、下沉、冲毁等情况，严重威胁过往车辆和行人生命财产安全，并对全镇生产生活和灾后经济社会恢复发展造成严重影响。和平洪灾水毁治理工程项目的实施，加快道路恢复实施进度，保障群众基本安全出行需要。</w:t>
      </w:r>
    </w:p>
    <w:p>
      <w:pPr>
        <w:pStyle w:val="25"/>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Chars="200" w:firstLine="640"/>
        <w:jc w:val="both"/>
        <w:textAlignment w:val="auto"/>
        <w:rPr>
          <w:rFonts w:ascii="黑体" w:eastAsia="黑体" w:cs="黑体" w:hAnsi="黑体" w:hint="eastAsia"/>
          <w:b w:val="0"/>
          <w:bCs/>
          <w:i w:val="0"/>
          <w:iCs w:val="0"/>
          <w:caps w:val="0"/>
          <w:smallCaps w:val="0"/>
          <w:color w:val="auto"/>
          <w:spacing w:val="0"/>
          <w:sz w:val="32"/>
          <w:szCs w:val="32"/>
          <w:shd w:val="clear" w:color="auto" w:fill="FFFFFF"/>
          <w:lang w:val="en-US" w:eastAsia="zh-CN"/>
        </w:rPr>
      </w:pPr>
      <w:r>
        <w:rPr>
          <w:rFonts w:ascii="黑体" w:eastAsia="黑体" w:cs="黑体" w:hAnsi="黑体" w:hint="eastAsia"/>
          <w:b w:val="0"/>
          <w:bCs/>
          <w:i w:val="0"/>
          <w:iCs w:val="0"/>
          <w:caps w:val="0"/>
          <w:smallCaps w:val="0"/>
          <w:color w:val="auto"/>
          <w:spacing w:val="0"/>
          <w:sz w:val="32"/>
          <w:szCs w:val="32"/>
          <w:shd w:val="clear" w:color="auto" w:fill="FFFFFF"/>
          <w:lang w:val="en-US" w:eastAsia="zh-CN"/>
        </w:rPr>
        <w:t>四、问题及建议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（一）存在的问题。</w:t>
      </w:r>
      <w:r>
        <w:rPr>
          <w:rFonts w:ascii="仿宋" w:eastAsia="仿宋" w:cs="仿宋" w:hAnsi="仿宋" w:hint="eastAsia"/>
          <w:b w:val="0"/>
          <w:bCs/>
          <w:color w:val="auto"/>
          <w:sz w:val="32"/>
          <w:szCs w:val="32"/>
          <w:lang w:val="zh-CN"/>
        </w:rPr>
        <w:t>通过此次自评我们认识到，财政运行还存在着一些不容忽视的问题，镇财政收入单一，财政预算编制不够细、不够全。随着社会事业的不断发展，所需财政支出压力大，收支矛盾还比较突出，财政管理需更加规范，财经纪律还有待进一步加强。</w:t>
      </w:r>
    </w:p>
    <w:p>
      <w:pPr>
        <w:keepNext w:val="0"/>
        <w:keepLines w:val="0"/>
        <w:pageBreakBefore w:val="0"/>
        <w:widowControl w:val="0"/>
        <w:kinsoku/>
        <w:wordWrap/>
        <w:overflowPunct/>
        <w:topLinePunct w:val="0"/>
        <w:autoSpaceDE/>
        <w:autoSpaceDN/>
        <w:bidi w:val="0"/>
        <w:adjustRightInd w:val="0"/>
        <w:snapToGrid w:val="0"/>
        <w:spacing w:line="576" w:lineRule="exact"/>
        <w:ind w:left="0" w:firstLineChars="200" w:firstLine="640"/>
        <w:textAlignment w:val="auto"/>
        <w:rPr>
          <w:rFonts w:ascii="仿宋" w:eastAsia="仿宋" w:cs="仿宋" w:hAnsi="仿宋" w:hint="eastAsia"/>
          <w:b w:val="0"/>
          <w:bCs/>
          <w:color w:val="auto"/>
          <w:sz w:val="32"/>
          <w:szCs w:val="32"/>
          <w:lang w:val="zh-CN"/>
        </w:rPr>
      </w:pPr>
      <w:r>
        <w:rPr>
          <w:rFonts w:ascii="仿宋" w:eastAsia="楷体" w:cs="仿宋" w:hAnsi="仿宋" w:hint="eastAsia"/>
          <w:b w:val="0"/>
          <w:bCs/>
          <w:color w:val="auto"/>
          <w:sz w:val="32"/>
          <w:szCs w:val="32"/>
          <w:lang w:val="zh-CN"/>
        </w:rPr>
        <w:t>（二）相关建议。</w:t>
      </w:r>
      <w:r>
        <w:rPr>
          <w:rFonts w:ascii="仿宋" w:eastAsia="仿宋" w:cs="仿宋" w:hAnsi="仿宋" w:hint="eastAsia"/>
          <w:b w:val="0"/>
          <w:bCs/>
          <w:color w:val="auto"/>
          <w:sz w:val="32"/>
          <w:szCs w:val="32"/>
          <w:lang w:val="zh-CN"/>
        </w:rPr>
        <w:t>针对上述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pStyle w:val="15"/>
        <w:rPr>
          <w:rFonts w:hint="eastAsia"/>
          <w:color w:val="auto"/>
          <w:lang w:val="zh-CN"/>
        </w:rPr>
      </w:pPr>
    </w:p>
    <w:p>
      <w:pPr>
        <w:pStyle w:val="15"/>
        <w:rPr>
          <w:rFonts w:hint="eastAsia"/>
          <w:color w:val="auto"/>
          <w:lang w:val="zh-CN"/>
        </w:rPr>
      </w:pPr>
    </w:p>
    <w:p>
      <w:pPr>
        <w:pStyle w:val="15"/>
        <w:rPr>
          <w:rFonts w:hint="eastAsia"/>
          <w:color w:val="auto"/>
          <w:lang w:val="zh-CN"/>
        </w:rPr>
      </w:pPr>
    </w:p>
    <w:p>
      <w:pPr>
        <w:pStyle w:val="15"/>
        <w:rPr>
          <w:rFonts w:hint="eastAsia"/>
          <w:color w:val="auto"/>
          <w:lang w:val="zh-CN"/>
        </w:rPr>
      </w:pPr>
    </w:p>
    <w:p>
      <w:pPr>
        <w:keepNext w:val="0"/>
        <w:keepLines w:val="0"/>
        <w:pageBreakBefore w:val="0"/>
        <w:kinsoku/>
        <w:wordWrap/>
        <w:overflowPunct/>
        <w:topLinePunct w:val="0"/>
        <w:autoSpaceDE/>
        <w:autoSpaceDN/>
        <w:bidi w:val="0"/>
        <w:adjustRightInd w:val="0"/>
        <w:snapToGrid w:val="0"/>
        <w:spacing w:line="600" w:lineRule="exact"/>
        <w:textAlignment w:val="auto"/>
        <w:rPr>
          <w:rFonts w:ascii="仿宋_GB2312" w:eastAsia="仿宋_GB2312" w:cs="Times New Roman" w:hAnsi="宋体"/>
          <w:color w:val="auto"/>
          <w:sz w:val="32"/>
          <w:szCs w:val="32"/>
          <w:lang w:val="zh-CN"/>
        </w:rPr>
      </w:pPr>
    </w:p>
    <w:p>
      <w:pPr>
        <w:pStyle w:val="15"/>
        <w:rPr>
          <w:lang w:val="zh-CN"/>
        </w:rPr>
      </w:pPr>
    </w:p>
    <w:p>
      <w:pPr>
        <w:pStyle w:val="15"/>
        <w:rPr>
          <w:lang w:val="zh-CN"/>
        </w:rPr>
      </w:pPr>
    </w:p>
    <w:p>
      <w:pPr>
        <w:pStyle w:val="15"/>
        <w:rPr>
          <w:lang w:val="zh-CN"/>
        </w:rPr>
      </w:pPr>
    </w:p>
    <w:p>
      <w:pPr>
        <w:pStyle w:val="15"/>
        <w:rPr>
          <w:lang w:val="zh-CN"/>
        </w:rPr>
      </w:pPr>
    </w:p>
    <w:p>
      <w:pPr>
        <w:pStyle w:val="15"/>
        <w:rPr>
          <w:lang w:val="zh-CN"/>
        </w:rPr>
      </w:pPr>
    </w:p>
    <w:p>
      <w:pPr>
        <w:pStyle w:val="15"/>
        <w:rPr>
          <w:rFonts w:hint="eastAsia"/>
          <w:color w:val="auto"/>
          <w:lang w:val="zh-CN"/>
        </w:rPr>
      </w:pPr>
    </w:p>
    <w:p>
      <w:pPr>
        <w:pStyle w:val="24"/>
        <w:tabs>
          <w:tab w:val="right" w:leader="dot" w:pos="8296"/>
        </w:tabs>
        <w:adjustRightInd w:val="0"/>
        <w:snapToGrid w:val="0"/>
        <w:spacing w:line="440" w:lineRule="exact"/>
        <w:ind w:leftChars="0" w:left="0" w:firstLineChars="200" w:firstLine="640"/>
        <w:jc w:val="both"/>
        <w:rPr>
          <w:rFonts w:ascii="仿宋" w:eastAsia="仿宋" w:cs="仿宋" w:hAnsi="仿宋" w:hint="eastAsia"/>
          <w:color w:val="auto"/>
          <w:kern w:val="0"/>
          <w:sz w:val="32"/>
          <w:szCs w:val="32"/>
          <w:shd w:val="clear" w:color="auto" w:fill="FFFFFF"/>
          <w:lang w:val="en-US" w:eastAsia="zh-CN" w:bidi="ar-SA"/>
        </w:rPr>
      </w:pPr>
      <w:r>
        <w:rPr>
          <w:rFonts w:ascii="仿宋" w:eastAsia="仿宋" w:cs="仿宋" w:hAnsi="仿宋" w:hint="eastAsia"/>
          <w:color w:val="auto"/>
          <w:kern w:val="0"/>
          <w:sz w:val="32"/>
          <w:szCs w:val="32"/>
          <w:shd w:val="clear" w:color="auto" w:fill="FFFFFF"/>
          <w:lang w:val="en-US" w:eastAsia="zh-CN" w:bidi="ar-SA"/>
        </w:rPr>
        <w:t>三、2021年100万元以上（含）特定目标类部门预算项目绩效目标自评</w:t>
      </w:r>
    </w:p>
    <w:p>
      <w:pPr>
        <w:rPr>
          <w:rFonts w:hint="eastAsia"/>
          <w:lang w:val="en-US" w:eastAsia="zh-CN"/>
        </w:rPr>
      </w:pPr>
      <w:r>
        <w:rPr>
          <w:rFonts w:ascii="仿宋" w:eastAsia="仿宋" w:cs="仿宋" w:hAnsi="仿宋" w:hint="eastAsia"/>
          <w:color w:val="auto"/>
          <w:kern w:val="0"/>
          <w:sz w:val="32"/>
          <w:szCs w:val="32"/>
          <w:shd w:val="clear" w:color="auto" w:fill="FFFFFF"/>
          <w:lang w:val="en-US" w:eastAsia="zh-CN" w:bidi="ar-SA"/>
        </w:rPr>
        <w:t>附表：</w:t>
      </w:r>
    </w:p>
    <w:tbl>
      <w:tblPr>
        <w:tblpPr w:leftFromText="180" w:rightFromText="180" w:vertAnchor="text" w:horzAnchor="page" w:tblpX="1281" w:tblpY="660"/>
        <w:tblOverlap w:val="never"/>
        <w:tblW w:w="9811"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Look w:val="0600" w:firstRow="0" w:lastRow="0" w:firstColumn="0" w:lastColumn="0" w:noHBand="1" w:noVBand="1"/>
      </w:tblPr>
      <w:tblGrid>
        <w:gridCol w:w="1977"/>
        <w:gridCol w:w="1142"/>
        <w:gridCol w:w="1635"/>
        <w:gridCol w:w="1189"/>
        <w:gridCol w:w="1224"/>
        <w:gridCol w:w="2410"/>
        <w:gridCol w:w="234"/>
      </w:tblGrid>
      <w:tr>
        <w:trPr>
          <w:trHeight w:val="675"/>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ascii="宋体" w:eastAsia="宋体" w:cs="宋体" w:hAnsi="宋体" w:hint="eastAsia"/>
                <w:b/>
                <w:i w:val="0"/>
                <w:color w:val="auto"/>
                <w:sz w:val="32"/>
                <w:szCs w:val="32"/>
                <w:u w:val="none"/>
              </w:rPr>
            </w:pPr>
            <w:r>
              <w:rPr>
                <w:rFonts w:ascii="宋体" w:eastAsia="宋体" w:cs="宋体" w:hAnsi="宋体" w:hint="eastAsia"/>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宋体" w:eastAsia="宋体" w:cs="宋体" w:hAnsi="宋体" w:hint="eastAsia"/>
                <w:b/>
                <w:i w:val="0"/>
                <w:color w:val="auto"/>
                <w:kern w:val="0"/>
                <w:sz w:val="32"/>
                <w:szCs w:val="32"/>
                <w:u w:val="none"/>
                <w:lang w:val="en-US" w:eastAsia="zh-CN"/>
              </w:rPr>
            </w:pPr>
          </w:p>
        </w:tc>
      </w:tr>
      <w:tr>
        <w:trPr>
          <w:trHeight w:val="254"/>
          <w:gridAfter w:val="1"/>
          <w:wAfter w:w="234" w:type="dxa"/>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ascii="宋体" w:eastAsia="宋体" w:cs="宋体" w:hAnsi="宋体" w:hint="eastAsia"/>
                <w:i w:val="0"/>
                <w:color w:val="auto"/>
                <w:sz w:val="24"/>
                <w:szCs w:val="24"/>
                <w:u w:val="none"/>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实施单位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sz w:val="24"/>
                <w:szCs w:val="24"/>
                <w:u w:val="none"/>
                <w:lang w:eastAsia="zh-CN"/>
              </w:rPr>
            </w:pPr>
            <w:r>
              <w:rPr>
                <w:rFonts w:ascii="宋体" w:cs="宋体" w:hAnsi="宋体" w:hint="eastAsia"/>
                <w:i w:val="0"/>
                <w:color w:val="auto"/>
                <w:sz w:val="24"/>
                <w:szCs w:val="24"/>
                <w:u w:val="none"/>
                <w:lang w:eastAsia="zh-CN"/>
              </w:rPr>
              <w:t>荣山镇</w:t>
            </w:r>
          </w:p>
        </w:tc>
      </w:tr>
      <w:tr>
        <w:trPr>
          <w:trHeight w:val="341"/>
          <w:gridAfter w:val="1"/>
          <w:wAfter w:w="234" w:type="dxa"/>
        </w:trPr>
        <w:tc>
          <w:tcPr>
            <w:tcW w:w="311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kern w:val="0"/>
                <w:sz w:val="24"/>
                <w:szCs w:val="24"/>
                <w:u w:val="none"/>
                <w:lang w:val="en-US" w:eastAsia="zh-CN"/>
              </w:rPr>
            </w:pPr>
            <w:r>
              <w:rPr>
                <w:rFonts w:ascii="宋体" w:eastAsia="宋体" w:cs="宋体" w:hAnsi="宋体" w:hint="eastAsia"/>
                <w:i w:val="0"/>
                <w:color w:val="auto"/>
                <w:kern w:val="0"/>
                <w:sz w:val="24"/>
                <w:szCs w:val="24"/>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kern w:val="0"/>
                <w:sz w:val="24"/>
                <w:szCs w:val="24"/>
                <w:u w:val="none"/>
                <w:lang w:val="en-US" w:eastAsia="zh-CN"/>
              </w:rPr>
            </w:pPr>
            <w:r>
              <w:rPr>
                <w:rFonts w:ascii="宋体" w:eastAsia="宋体" w:cs="宋体" w:hAnsi="宋体" w:hint="eastAsia"/>
                <w:i w:val="0"/>
                <w:color w:val="auto"/>
                <w:kern w:val="0"/>
                <w:sz w:val="24"/>
                <w:szCs w:val="24"/>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i w:val="0"/>
                <w:color w:val="auto"/>
                <w:sz w:val="24"/>
                <w:szCs w:val="24"/>
                <w:u w:val="none"/>
                <w:lang w:val="en-US" w:eastAsia="zh-CN"/>
              </w:rPr>
            </w:pPr>
            <w:r>
              <w:rPr>
                <w:rFonts w:ascii="宋体" w:cs="宋体" w:hAnsi="宋体" w:hint="eastAsia"/>
                <w:i w:val="0"/>
                <w:color w:val="auto"/>
                <w:sz w:val="24"/>
                <w:szCs w:val="24"/>
                <w:u w:val="none"/>
                <w:lang w:val="en-US" w:eastAsia="zh-CN"/>
              </w:rPr>
              <w:t>186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 xml:space="preserve"> 执行数：</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i w:val="0"/>
                <w:color w:val="auto"/>
                <w:sz w:val="24"/>
                <w:szCs w:val="24"/>
                <w:u w:val="none"/>
                <w:lang w:val="en-US" w:eastAsia="zh-CN"/>
              </w:rPr>
            </w:pPr>
            <w:r>
              <w:rPr>
                <w:rFonts w:ascii="宋体" w:cs="宋体" w:hAnsi="宋体" w:hint="eastAsia"/>
                <w:i w:val="0"/>
                <w:color w:val="auto"/>
                <w:sz w:val="24"/>
                <w:szCs w:val="24"/>
                <w:u w:val="none"/>
                <w:lang w:val="en-US" w:eastAsia="zh-CN"/>
              </w:rPr>
              <w:t>103.576</w:t>
            </w:r>
          </w:p>
        </w:tc>
      </w:tr>
      <w:tr>
        <w:trPr>
          <w:trHeight w:val="555"/>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hint="eastAsia"/>
                <w:i w:val="0"/>
                <w:color w:val="auto"/>
                <w:kern w:val="0"/>
                <w:sz w:val="24"/>
                <w:szCs w:val="24"/>
                <w:u w:val="none"/>
                <w:lang w:val="en-US" w:eastAsia="zh-CN"/>
              </w:rPr>
            </w:pPr>
            <w:r>
              <w:rPr>
                <w:rFonts w:ascii="宋体" w:eastAsia="宋体" w:cs="宋体" w:hAnsi="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i w:val="0"/>
                <w:color w:val="auto"/>
                <w:sz w:val="24"/>
                <w:szCs w:val="24"/>
                <w:u w:val="none"/>
                <w:lang w:val="en-US" w:eastAsia="zh-CN"/>
              </w:rPr>
            </w:pPr>
            <w:r>
              <w:rPr>
                <w:rFonts w:ascii="宋体" w:cs="宋体" w:hAnsi="宋体" w:hint="eastAsia"/>
                <w:i w:val="0"/>
                <w:color w:val="auto"/>
                <w:sz w:val="24"/>
                <w:szCs w:val="24"/>
                <w:u w:val="none"/>
                <w:lang w:val="en-US" w:eastAsia="zh-CN"/>
              </w:rPr>
              <w:t>186</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hint="eastAsia"/>
                <w:i w:val="0"/>
                <w:color w:val="auto"/>
                <w:kern w:val="0"/>
                <w:sz w:val="24"/>
                <w:szCs w:val="24"/>
                <w:u w:val="none"/>
                <w:lang w:val="en-US" w:eastAsia="zh-CN"/>
              </w:rPr>
            </w:pPr>
            <w:r>
              <w:rPr>
                <w:rFonts w:ascii="宋体" w:eastAsia="宋体" w:cs="宋体" w:hAnsi="宋体" w:hint="eastAsia"/>
                <w:i w:val="0"/>
                <w:color w:val="auto"/>
                <w:kern w:val="0"/>
                <w:sz w:val="24"/>
                <w:szCs w:val="24"/>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财政拨款</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i w:val="0"/>
                <w:color w:val="auto"/>
                <w:sz w:val="24"/>
                <w:szCs w:val="24"/>
                <w:u w:val="none"/>
                <w:lang w:val="en-US" w:eastAsia="zh-CN"/>
              </w:rPr>
            </w:pPr>
            <w:r>
              <w:rPr>
                <w:rFonts w:ascii="宋体" w:cs="宋体" w:hAnsi="宋体" w:hint="eastAsia"/>
                <w:i w:val="0"/>
                <w:color w:val="auto"/>
                <w:sz w:val="24"/>
                <w:szCs w:val="24"/>
                <w:u w:val="none"/>
                <w:lang w:val="en-US" w:eastAsia="zh-CN"/>
              </w:rPr>
              <w:t>103.576</w:t>
            </w:r>
          </w:p>
        </w:tc>
      </w:tr>
      <w:tr>
        <w:trPr>
          <w:trHeight w:val="341"/>
          <w:gridAfter w:val="1"/>
          <w:wAfter w:w="234" w:type="dxa"/>
        </w:trPr>
        <w:tc>
          <w:tcPr>
            <w:tcW w:w="311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hint="eastAsia"/>
                <w:i w:val="0"/>
                <w:color w:val="auto"/>
                <w:sz w:val="24"/>
                <w:szCs w:val="24"/>
                <w:u w:val="none"/>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其他资金</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sz w:val="24"/>
                <w:szCs w:val="24"/>
                <w:u w:val="none"/>
              </w:rPr>
            </w:pPr>
          </w:p>
        </w:tc>
      </w:tr>
      <w:tr>
        <w:trPr>
          <w:trHeight w:val="217"/>
          <w:gridAfter w:val="1"/>
          <w:wAfter w:w="234" w:type="dxa"/>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kern w:val="0"/>
                <w:sz w:val="24"/>
                <w:szCs w:val="24"/>
                <w:u w:val="none"/>
                <w:lang w:val="en-US" w:eastAsia="zh-CN"/>
              </w:rPr>
            </w:pPr>
            <w:r>
              <w:rPr>
                <w:rFonts w:ascii="宋体" w:eastAsia="宋体" w:cs="宋体" w:hAnsi="宋体" w:hint="eastAsia"/>
                <w:i w:val="0"/>
                <w:color w:val="auto"/>
                <w:kern w:val="0"/>
                <w:sz w:val="24"/>
                <w:szCs w:val="24"/>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预期目标</w:t>
            </w: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Ansi="宋体" w:hint="eastAsia"/>
                <w:i w:val="0"/>
                <w:color w:val="auto"/>
                <w:sz w:val="24"/>
                <w:szCs w:val="24"/>
                <w:u w:val="none"/>
              </w:rPr>
            </w:pPr>
            <w:r>
              <w:rPr>
                <w:rFonts w:ascii="宋体" w:eastAsia="宋体" w:cs="宋体" w:hAnsi="宋体" w:hint="eastAsia"/>
                <w:i w:val="0"/>
                <w:color w:val="auto"/>
                <w:kern w:val="0"/>
                <w:sz w:val="24"/>
                <w:szCs w:val="24"/>
                <w:u w:val="none"/>
                <w:lang w:val="en-US" w:eastAsia="zh-CN"/>
              </w:rPr>
              <w:t>目标实际完成情况</w:t>
            </w:r>
          </w:p>
        </w:tc>
      </w:tr>
      <w:tr>
        <w:trPr>
          <w:trHeight w:val="2738"/>
          <w:gridAfter w:val="1"/>
          <w:wAfter w:w="234" w:type="dxa"/>
        </w:trPr>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left"/>
              <w:textAlignment w:val="center"/>
              <w:rPr>
                <w:rFonts w:ascii="宋体" w:eastAsia="宋体" w:cs="宋体" w:hAnsi="宋体" w:hint="eastAsia"/>
                <w:color w:val="000000"/>
                <w:kern w:val="0"/>
                <w:szCs w:val="21"/>
                <w:lang w:val="en-US" w:eastAsia="zh-CN"/>
              </w:rPr>
            </w:pPr>
            <w:r>
              <w:rPr>
                <w:rFonts w:ascii="宋体" w:eastAsia="宋体" w:cs="宋体" w:hAnsi="宋体" w:hint="eastAsia"/>
                <w:color w:val="000000"/>
                <w:kern w:val="0"/>
                <w:szCs w:val="21"/>
                <w:lang w:val="en-US" w:eastAsia="zh-CN"/>
              </w:rPr>
              <w:t>有效改善因洪灾受损的基础设施，</w:t>
            </w:r>
            <w:r>
              <w:rPr>
                <w:rFonts w:ascii="宋体" w:cs="宋体" w:hAnsi="宋体" w:hint="eastAsia"/>
                <w:color w:val="000000"/>
                <w:kern w:val="0"/>
                <w:szCs w:val="21"/>
                <w:lang w:val="en-US" w:eastAsia="zh-CN"/>
              </w:rPr>
              <w:t>保障人民群众出行安全，</w:t>
            </w:r>
            <w:r>
              <w:rPr>
                <w:rFonts w:ascii="宋体" w:eastAsia="宋体" w:cs="宋体" w:hAnsi="宋体" w:hint="eastAsia"/>
                <w:color w:val="000000"/>
                <w:kern w:val="0"/>
                <w:szCs w:val="21"/>
                <w:lang w:val="en-US" w:eastAsia="zh-CN"/>
              </w:rPr>
              <w:t>带动当地群众就近务工，提升收入；带动产业发展。</w:t>
            </w:r>
            <w:r>
              <w:rPr>
                <w:rFonts w:ascii="宋体" w:cs="宋体" w:hAnsi="宋体" w:hint="eastAsia"/>
                <w:color w:val="000000"/>
                <w:kern w:val="0"/>
                <w:szCs w:val="21"/>
                <w:lang w:val="en-US" w:eastAsia="zh-CN"/>
              </w:rPr>
              <w:t>有效解决群众生产生活用水问题，</w:t>
            </w:r>
            <w:r>
              <w:rPr>
                <w:rFonts w:ascii="宋体" w:eastAsia="宋体" w:cs="宋体" w:hAnsi="宋体" w:hint="eastAsia"/>
                <w:color w:val="000000"/>
                <w:kern w:val="0"/>
                <w:szCs w:val="21"/>
                <w:lang w:val="en-US" w:eastAsia="zh-CN"/>
              </w:rPr>
              <w:t>改善受益群众的生产生活条件。</w:t>
            </w:r>
            <w:r>
              <w:rPr>
                <w:rFonts w:ascii="宋体" w:cs="宋体" w:hAnsi="宋体" w:hint="eastAsia"/>
                <w:color w:val="000000"/>
                <w:kern w:val="0"/>
                <w:szCs w:val="21"/>
                <w:lang w:val="en-US" w:eastAsia="zh-CN"/>
              </w:rPr>
              <w:t>严格执行好耕地保护制度，形成基本农田开发与利用的良性循环。有效解决场镇群众“入厕难”问题，减少环境污染</w:t>
            </w:r>
            <w:r>
              <w:rPr>
                <w:rFonts w:ascii="宋体" w:eastAsia="宋体" w:cs="宋体" w:hAnsi="宋体" w:hint="eastAsia"/>
                <w:color w:val="000000"/>
                <w:kern w:val="0"/>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ascii="宋体" w:eastAsia="宋体" w:cs="宋体" w:hAnsi="宋体" w:hint="eastAsia"/>
                <w:i w:val="0"/>
                <w:color w:val="auto"/>
                <w:sz w:val="24"/>
                <w:szCs w:val="24"/>
                <w:u w:val="none"/>
              </w:rPr>
            </w:pPr>
          </w:p>
        </w:tc>
        <w:tc>
          <w:tcPr>
            <w:tcW w:w="3634" w:type="dxa"/>
            <w:gridSpan w:val="2"/>
            <w:tcBorders>
              <w:top w:val="single" w:sz="4" w:space="0" w:color="000000"/>
              <w:left w:val="single" w:sz="4" w:space="0" w:color="000000"/>
              <w:bottom w:val="single" w:sz="4" w:space="0" w:color="000000"/>
              <w:right w:val="single" w:sz="4" w:space="0" w:color="000000"/>
            </w:tcBorders>
            <w:shd w:val="clear" w:color="auto" w:fill="auto"/>
          </w:tcPr>
          <w:p>
            <w:pPr>
              <w:widowControl/>
              <w:spacing w:line="320" w:lineRule="exact"/>
              <w:jc w:val="center"/>
              <w:textAlignment w:val="center"/>
              <w:rPr>
                <w:rFonts w:ascii="宋体" w:cs="宋体" w:hAnsi="宋体" w:hint="eastAsia"/>
                <w:color w:val="000000"/>
                <w:kern w:val="0"/>
                <w:szCs w:val="21"/>
                <w:lang w:val="en-US" w:eastAsia="zh-CN"/>
              </w:rPr>
            </w:pPr>
            <w:r>
              <w:rPr>
                <w:rFonts w:ascii="宋体" w:cs="宋体" w:hAnsi="宋体" w:hint="eastAsia"/>
                <w:color w:val="000000"/>
                <w:kern w:val="0"/>
                <w:szCs w:val="21"/>
                <w:lang w:val="en-US" w:eastAsia="zh-CN"/>
              </w:rPr>
              <w:t>7个村社区，涵盖水利设施，土地整理，道路硬化，吊桥维修，场镇卫生厕所建设。有效改善居民生活条件，提高收入，带动产业，保护基本农田。</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ascii="宋体" w:eastAsia="宋体" w:cs="宋体" w:hAnsi="宋体" w:hint="eastAsia"/>
                <w:i w:val="0"/>
                <w:color w:val="auto"/>
                <w:sz w:val="24"/>
                <w:szCs w:val="24"/>
                <w:u w:val="none"/>
              </w:rPr>
            </w:pPr>
          </w:p>
        </w:tc>
      </w:tr>
      <w:tr>
        <w:trPr>
          <w:trHeight w:val="693"/>
          <w:gridAfter w:val="1"/>
          <w:wAfter w:w="234" w:type="dxa"/>
        </w:trPr>
        <w:tc>
          <w:tcPr>
            <w:tcW w:w="1977" w:type="dxa"/>
            <w:vMerge w:val="restart"/>
            <w:tcBorders>
              <w:top w:val="single" w:sz="4" w:space="0" w:color="000000"/>
              <w:left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hAnsi="仿宋_GB2312" w:hint="eastAsia"/>
                <w:i w:val="0"/>
                <w:color w:val="auto"/>
                <w:sz w:val="28"/>
                <w:szCs w:val="28"/>
                <w:u w:val="none"/>
              </w:rPr>
            </w:pPr>
            <w:r>
              <w:rPr>
                <w:rFonts w:ascii="仿宋_GB2312" w:eastAsia="仿宋_GB2312" w:cs="仿宋_GB2312" w:hAnsi="仿宋_GB2312" w:hint="eastAsia"/>
                <w:i w:val="0"/>
                <w:color w:val="auto"/>
                <w:kern w:val="0"/>
                <w:sz w:val="28"/>
                <w:szCs w:val="28"/>
                <w:u w:val="none"/>
                <w:lang w:val="en-US" w:eastAsia="zh-CN"/>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hAnsi="仿宋_GB2312" w:hint="eastAsia"/>
                <w:i w:val="0"/>
                <w:color w:val="auto"/>
                <w:kern w:val="0"/>
                <w:sz w:val="28"/>
                <w:szCs w:val="28"/>
                <w:u w:val="none"/>
                <w:lang w:val="en-US" w:eastAsia="zh-CN"/>
              </w:rPr>
            </w:pPr>
            <w:r>
              <w:rPr>
                <w:rFonts w:ascii="仿宋_GB2312" w:eastAsia="仿宋_GB2312" w:cs="仿宋_GB2312" w:hAnsi="仿宋_GB2312" w:hint="eastAsia"/>
                <w:i w:val="0"/>
                <w:color w:val="auto"/>
                <w:kern w:val="0"/>
                <w:sz w:val="28"/>
                <w:szCs w:val="28"/>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hAnsi="仿宋_GB2312" w:hint="eastAsia"/>
                <w:i w:val="0"/>
                <w:color w:val="auto"/>
                <w:sz w:val="28"/>
                <w:szCs w:val="28"/>
                <w:u w:val="none"/>
              </w:rPr>
            </w:pPr>
            <w:r>
              <w:rPr>
                <w:rFonts w:ascii="仿宋_GB2312" w:eastAsia="仿宋_GB2312" w:cs="仿宋_GB2312" w:hAnsi="仿宋_GB2312" w:hint="eastAsia"/>
                <w:i w:val="0"/>
                <w:color w:val="auto"/>
                <w:kern w:val="0"/>
                <w:sz w:val="28"/>
                <w:szCs w:val="28"/>
                <w:u w:val="none"/>
                <w:lang w:val="en-US" w:eastAsia="zh-CN"/>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hAnsi="仿宋_GB2312" w:hint="eastAsia"/>
                <w:i w:val="0"/>
                <w:color w:val="auto"/>
                <w:kern w:val="0"/>
                <w:sz w:val="28"/>
                <w:szCs w:val="28"/>
                <w:u w:val="none"/>
                <w:lang w:val="en-US" w:eastAsia="zh-CN"/>
              </w:rPr>
            </w:pPr>
            <w:r>
              <w:rPr>
                <w:rFonts w:ascii="仿宋_GB2312" w:eastAsia="仿宋_GB2312" w:cs="仿宋_GB2312" w:hAnsi="仿宋_GB2312" w:hint="eastAsia"/>
                <w:i w:val="0"/>
                <w:color w:val="auto"/>
                <w:kern w:val="0"/>
                <w:sz w:val="28"/>
                <w:szCs w:val="28"/>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hAnsi="仿宋_GB2312" w:hint="eastAsia"/>
                <w:i w:val="0"/>
                <w:color w:val="auto"/>
                <w:sz w:val="28"/>
                <w:szCs w:val="28"/>
                <w:u w:val="none"/>
              </w:rPr>
            </w:pPr>
            <w:r>
              <w:rPr>
                <w:rFonts w:ascii="仿宋_GB2312" w:eastAsia="仿宋_GB2312" w:cs="仿宋_GB2312" w:hAnsi="仿宋_GB2312" w:hint="eastAsia"/>
                <w:i w:val="0"/>
                <w:color w:val="auto"/>
                <w:kern w:val="0"/>
                <w:sz w:val="28"/>
                <w:szCs w:val="28"/>
                <w:u w:val="none"/>
                <w:lang w:val="en-US" w:eastAsia="zh-CN"/>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hAnsi="仿宋_GB2312" w:hint="eastAsia"/>
                <w:i w:val="0"/>
                <w:color w:val="auto"/>
                <w:kern w:val="0"/>
                <w:sz w:val="28"/>
                <w:szCs w:val="28"/>
                <w:u w:val="none"/>
                <w:lang w:val="en-US" w:eastAsia="zh-CN"/>
              </w:rPr>
            </w:pPr>
            <w:r>
              <w:rPr>
                <w:rFonts w:ascii="仿宋_GB2312" w:eastAsia="仿宋_GB2312" w:cs="仿宋_GB2312" w:hAnsi="仿宋_GB2312" w:hint="eastAsia"/>
                <w:i w:val="0"/>
                <w:color w:val="auto"/>
                <w:kern w:val="0"/>
                <w:sz w:val="28"/>
                <w:szCs w:val="28"/>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hAnsi="仿宋_GB2312" w:hint="eastAsia"/>
                <w:i w:val="0"/>
                <w:color w:val="auto"/>
                <w:sz w:val="28"/>
                <w:szCs w:val="28"/>
                <w:u w:val="none"/>
              </w:rPr>
            </w:pPr>
            <w:r>
              <w:rPr>
                <w:rFonts w:ascii="仿宋_GB2312" w:eastAsia="仿宋_GB2312" w:cs="仿宋_GB2312" w:hAnsi="仿宋_GB2312" w:hint="eastAsia"/>
                <w:i w:val="0"/>
                <w:color w:val="auto"/>
                <w:kern w:val="0"/>
                <w:sz w:val="28"/>
                <w:szCs w:val="28"/>
                <w:u w:val="none"/>
                <w:lang w:val="en-US" w:eastAsia="zh-CN"/>
              </w:rPr>
              <w:t>指标</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hAnsi="仿宋_GB2312" w:hint="eastAsia"/>
                <w:i w:val="0"/>
                <w:color w:val="auto"/>
                <w:sz w:val="28"/>
                <w:szCs w:val="28"/>
                <w:u w:val="none"/>
              </w:rPr>
            </w:pPr>
            <w:r>
              <w:rPr>
                <w:rFonts w:ascii="仿宋_GB2312" w:eastAsia="仿宋_GB2312" w:cs="仿宋_GB2312" w:hAnsi="仿宋_GB2312" w:hint="eastAsia"/>
                <w:i w:val="0"/>
                <w:color w:val="auto"/>
                <w:kern w:val="0"/>
                <w:sz w:val="28"/>
                <w:szCs w:val="28"/>
                <w:u w:val="none"/>
                <w:lang w:val="en-US" w:eastAsia="zh-CN"/>
              </w:rPr>
              <w:t>预期指标值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eastAsia="仿宋_GB2312" w:cs="仿宋_GB2312" w:hAnsi="仿宋_GB2312" w:hint="eastAsia"/>
                <w:i w:val="0"/>
                <w:color w:val="auto"/>
                <w:sz w:val="28"/>
                <w:szCs w:val="28"/>
                <w:u w:val="none"/>
              </w:rPr>
            </w:pPr>
            <w:r>
              <w:rPr>
                <w:rFonts w:ascii="仿宋_GB2312" w:eastAsia="仿宋_GB2312" w:cs="仿宋_GB2312" w:hAnsi="仿宋_GB2312" w:hint="eastAsia"/>
                <w:i w:val="0"/>
                <w:color w:val="auto"/>
                <w:kern w:val="0"/>
                <w:sz w:val="28"/>
                <w:szCs w:val="28"/>
                <w:u w:val="none"/>
                <w:lang w:val="en-US" w:eastAsia="zh-CN"/>
              </w:rPr>
              <w:t>实际完成指标值</w:t>
            </w:r>
          </w:p>
        </w:tc>
      </w:tr>
      <w:tr>
        <w:trPr>
          <w:trHeight w:val="415"/>
          <w:gridAfter w:val="1"/>
          <w:wAfter w:w="234" w:type="dxa"/>
        </w:trPr>
        <w:tc>
          <w:tcPr>
            <w:tcW w:w="1977" w:type="dxa"/>
            <w:vMerge/>
            <w:tcBorders>
              <w:left w:val="single" w:sz="4" w:space="0" w:color="000000"/>
              <w:right w:val="single" w:sz="4" w:space="0" w:color="000000"/>
            </w:tcBorders>
            <w:shd w:val="clear" w:color="auto" w:fill="auto"/>
            <w:vAlign w:val="center"/>
          </w:tc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cs="仿宋_GB2312" w:hAnsi="仿宋_GB2312"/>
                <w:color w:val="000000"/>
                <w:kern w:val="0"/>
                <w:szCs w:val="21"/>
              </w:rPr>
            </w:pPr>
            <w:r>
              <w:rPr>
                <w:rFonts w:ascii="仿宋_GB2312" w:cs="仿宋_GB2312" w:hAnsi="仿宋_GB2312" w:hint="eastAsia"/>
                <w:color w:val="000000"/>
                <w:kern w:val="0"/>
                <w:szCs w:val="21"/>
              </w:rPr>
              <w:t>完成</w:t>
            </w:r>
          </w:p>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szCs w:val="21"/>
                <w:lang w:eastAsia="zh-CN"/>
              </w:rPr>
              <w:t>涉及的村社数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7</w:t>
            </w:r>
            <w:r>
              <w:rPr>
                <w:rFonts w:ascii="宋体" w:eastAsia="宋体" w:cs="宋体" w:hAnsi="宋体" w:hint="eastAsia"/>
                <w:color w:val="000000"/>
                <w:szCs w:val="21"/>
                <w14:textFill>
                  <w14:solidFill>
                    <w14:srgbClr w14:val="000000"/>
                  </w14:solidFill>
                </w14:textFill>
                <w:lang w:val="en-US" w:eastAsia="zh-CN"/>
              </w:rPr>
              <w:t>个</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7</w:t>
            </w:r>
            <w:r>
              <w:rPr>
                <w:rFonts w:ascii="宋体" w:eastAsia="宋体" w:cs="宋体" w:hAnsi="宋体" w:hint="eastAsia"/>
                <w:color w:val="000000"/>
                <w:szCs w:val="21"/>
                <w14:textFill>
                  <w14:solidFill>
                    <w14:srgbClr w14:val="000000"/>
                  </w14:solidFill>
                </w14:textFill>
                <w:lang w:val="en-US" w:eastAsia="zh-CN"/>
              </w:rPr>
              <w:t>个</w:t>
            </w:r>
          </w:p>
        </w:tc>
      </w:tr>
      <w:tr>
        <w:trPr>
          <w:trHeight w:val="415"/>
          <w:gridAfter w:val="1"/>
          <w:wAfter w:w="234" w:type="dxa"/>
        </w:trPr>
        <w:tc>
          <w:tcPr>
            <w:tcW w:w="1977"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lang w:eastAsia="zh-CN"/>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szCs w:val="21"/>
                <w:lang w:eastAsia="zh-CN"/>
              </w:rPr>
              <w:t>卫生厕所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eastAsia="宋体" w:cs="宋体" w:hAnsi="宋体" w:hint="eastAsia"/>
                <w:color w:val="000000"/>
                <w:szCs w:val="21"/>
                <w14:textFill>
                  <w14:solidFill>
                    <w14:srgbClr w14:val="000000"/>
                  </w14:solidFill>
                </w14:textFill>
                <w:lang w:val="en-US" w:eastAsia="zh-CN"/>
              </w:rPr>
              <w:t>1个</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eastAsia="宋体" w:cs="宋体" w:hAnsi="宋体" w:hint="eastAsia"/>
                <w:color w:val="000000"/>
                <w:szCs w:val="21"/>
                <w14:textFill>
                  <w14:solidFill>
                    <w14:srgbClr w14:val="000000"/>
                  </w14:solidFill>
                </w14:textFill>
                <w:lang w:val="en-US" w:eastAsia="zh-CN"/>
              </w:rPr>
              <w:t>1个</w:t>
            </w:r>
          </w:p>
        </w:tc>
      </w:tr>
      <w:tr>
        <w:trPr>
          <w:trHeight w:val="415"/>
          <w:gridAfter w:val="1"/>
          <w:wAfter w:w="234" w:type="dxa"/>
        </w:trPr>
        <w:tc>
          <w:tcPr>
            <w:tcW w:w="1977"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lang w:eastAsia="zh-CN"/>
              </w:rPr>
              <w:t>数量指标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szCs w:val="21"/>
                <w:lang w:eastAsia="zh-CN"/>
              </w:rPr>
              <w:t>土地整理亩数</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325.5亩</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325.5亩</w:t>
            </w:r>
          </w:p>
        </w:tc>
      </w:tr>
      <w:tr>
        <w:trPr>
          <w:trHeight w:val="480"/>
          <w:gridAfter w:val="1"/>
          <w:wAfter w:w="234" w:type="dxa"/>
        </w:trPr>
        <w:tc>
          <w:tcPr>
            <w:tcW w:w="1977"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rPr>
              <w:t>质量指标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szCs w:val="21"/>
                <w:lang w:val="en-US" w:eastAsia="zh-CN"/>
              </w:rPr>
              <w:t>项目质量</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eastAsia="宋体" w:cs="宋体" w:hAnsi="宋体" w:hint="eastAsia"/>
                <w:color w:val="000000"/>
                <w:szCs w:val="21"/>
                <w14:textFill>
                  <w14:solidFill>
                    <w14:srgbClr w14:val="000000"/>
                  </w14:solidFill>
                </w14:textFill>
                <w:lang w:eastAsia="zh-CN"/>
              </w:rPr>
              <w:t>合格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eastAsia="宋体" w:cs="宋体" w:hAnsi="宋体" w:hint="eastAsia"/>
                <w:color w:val="000000"/>
                <w:szCs w:val="21"/>
                <w14:textFill>
                  <w14:solidFill>
                    <w14:srgbClr w14:val="000000"/>
                  </w14:solidFill>
                </w14:textFill>
                <w:lang w:eastAsia="zh-CN"/>
              </w:rPr>
              <w:t>合格</w:t>
            </w:r>
          </w:p>
        </w:tc>
      </w:tr>
      <w:tr>
        <w:trPr>
          <w:trHeight w:val="480"/>
          <w:gridAfter w:val="1"/>
          <w:wAfter w:w="234" w:type="dxa"/>
        </w:trPr>
        <w:tc>
          <w:tcPr>
            <w:tcW w:w="1977"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szCs w:val="21"/>
                <w:lang w:val="en-US" w:eastAsia="zh-CN"/>
              </w:rPr>
              <w:t>资金使用时间段</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eastAsia="宋体" w:cs="宋体" w:hAnsi="宋体" w:hint="eastAsia"/>
                <w:color w:val="000000"/>
                <w:szCs w:val="21"/>
                <w14:textFill>
                  <w14:solidFill>
                    <w14:srgbClr w14:val="000000"/>
                  </w14:solidFill>
                </w14:textFill>
                <w:lang w:val="en-US" w:eastAsia="zh-CN"/>
              </w:rPr>
              <w:t>2021年</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eastAsia="宋体" w:cs="宋体" w:hAnsi="宋体" w:hint="eastAsia"/>
                <w:color w:val="000000"/>
                <w:szCs w:val="21"/>
                <w14:textFill>
                  <w14:solidFill>
                    <w14:srgbClr w14:val="000000"/>
                  </w14:solidFill>
                </w14:textFill>
                <w:lang w:val="en-US" w:eastAsia="zh-CN"/>
              </w:rPr>
              <w:t>2021.2022两年</w:t>
            </w:r>
          </w:p>
        </w:tc>
      </w:tr>
      <w:tr>
        <w:trPr>
          <w:trHeight w:val="480"/>
          <w:gridAfter w:val="1"/>
          <w:wAfter w:w="234" w:type="dxa"/>
        </w:trPr>
        <w:tc>
          <w:tcPr>
            <w:tcW w:w="1977"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szCs w:val="21"/>
                <w:lang w:eastAsia="zh-CN"/>
              </w:rPr>
              <w:t>交通基础设施</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152.424</w:t>
            </w:r>
            <w:r>
              <w:rPr>
                <w:rFonts w:ascii="宋体" w:eastAsia="宋体" w:cs="宋体" w:hAnsi="宋体" w:hint="eastAsia"/>
                <w:color w:val="000000"/>
                <w:szCs w:val="21"/>
                <w14:textFill>
                  <w14:solidFill>
                    <w14:srgbClr w14:val="000000"/>
                  </w14:solidFill>
                </w14:textFill>
                <w:lang w:val="en-US" w:eastAsia="zh-CN"/>
              </w:rPr>
              <w:t>万</w:t>
            </w:r>
            <w:r>
              <w:rPr>
                <w:rFonts w:ascii="宋体" w:cs="宋体" w:hAnsi="宋体" w:hint="eastAsia"/>
                <w:color w:val="000000"/>
                <w:szCs w:val="21"/>
                <w14:textFill>
                  <w14:solidFill>
                    <w14:srgbClr w14:val="000000"/>
                  </w14:solidFill>
                </w14:textFill>
                <w:lang w:val="en-US" w:eastAsia="zh-CN"/>
              </w:rPr>
              <w:t>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70万元</w:t>
            </w:r>
          </w:p>
        </w:tc>
      </w:tr>
      <w:tr>
        <w:trPr>
          <w:trHeight w:val="577"/>
          <w:gridAfter w:val="1"/>
          <w:wAfter w:w="234" w:type="dxa"/>
        </w:trPr>
        <w:tc>
          <w:tcPr>
            <w:tcW w:w="1977"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szCs w:val="21"/>
                <w:lang w:eastAsia="zh-CN"/>
              </w:rPr>
              <w:t>安全饮水</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5</w:t>
            </w:r>
            <w:r>
              <w:rPr>
                <w:rFonts w:ascii="宋体" w:eastAsia="宋体" w:cs="宋体" w:hAnsi="宋体" w:hint="eastAsia"/>
                <w:color w:val="000000"/>
                <w:szCs w:val="21"/>
                <w14:textFill>
                  <w14:solidFill>
                    <w14:srgbClr w14:val="000000"/>
                  </w14:solidFill>
                </w14:textFill>
                <w:lang w:val="en-US" w:eastAsia="zh-CN"/>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5万元</w:t>
            </w:r>
          </w:p>
        </w:tc>
      </w:tr>
      <w:tr>
        <w:trPr>
          <w:trHeight w:val="480"/>
          <w:gridAfter w:val="1"/>
          <w:wAfter w:w="234" w:type="dxa"/>
        </w:trPr>
        <w:tc>
          <w:tcPr>
            <w:tcW w:w="1977"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lang w:eastAsia="zh-CN"/>
              </w:rPr>
              <w:t>土地整理</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18.576</w:t>
            </w:r>
            <w:r>
              <w:rPr>
                <w:rFonts w:ascii="宋体" w:eastAsia="宋体" w:cs="宋体" w:hAnsi="宋体" w:hint="eastAsia"/>
                <w:color w:val="000000"/>
                <w:szCs w:val="21"/>
                <w14:textFill>
                  <w14:solidFill>
                    <w14:srgbClr w14:val="000000"/>
                  </w14:solidFill>
                </w14:textFill>
                <w:lang w:val="en-US" w:eastAsia="zh-CN"/>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18.576万元</w:t>
            </w:r>
          </w:p>
        </w:tc>
      </w:tr>
      <w:tr>
        <w:trPr>
          <w:trHeight w:val="530"/>
          <w:gridAfter w:val="1"/>
          <w:wAfter w:w="234" w:type="dxa"/>
        </w:trPr>
        <w:tc>
          <w:tcPr>
            <w:tcW w:w="1977" w:type="dxa"/>
            <w:vMerge/>
            <w:tcBorders>
              <w:left w:val="single" w:sz="4" w:space="0" w:color="000000"/>
              <w:right w:val="single" w:sz="4" w:space="0" w:color="000000"/>
            </w:tcBorders>
            <w:shd w:val="clear" w:color="auto" w:fill="auto"/>
            <w:vAlign w:val="center"/>
          </w:tc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lang w:eastAsia="zh-CN"/>
              </w:rPr>
              <w:t>成本指标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lang w:eastAsia="zh-CN"/>
              </w:rPr>
              <w:t>公共厕所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10</w:t>
            </w:r>
            <w:r>
              <w:rPr>
                <w:rFonts w:ascii="宋体" w:eastAsia="宋体" w:cs="宋体" w:hAnsi="宋体" w:hint="eastAsia"/>
                <w:color w:val="000000"/>
                <w:szCs w:val="21"/>
                <w14:textFill>
                  <w14:solidFill>
                    <w14:srgbClr w14:val="000000"/>
                  </w14:solidFill>
                </w14:textFill>
                <w:lang w:val="en-US" w:eastAsia="zh-CN"/>
              </w:rPr>
              <w:t>万元</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宋体" w:cs="宋体" w:hAnsi="宋体" w:hint="eastAsia"/>
                <w:color w:val="000000"/>
                <w:szCs w:val="21"/>
                <w14:textFill>
                  <w14:solidFill>
                    <w14:srgbClr w14:val="000000"/>
                  </w14:solidFill>
                </w14:textFill>
                <w:lang w:val="en-US" w:eastAsia="zh-CN"/>
              </w:rPr>
              <w:t>10万元</w:t>
            </w:r>
          </w:p>
        </w:tc>
      </w:tr>
      <w:tr>
        <w:trPr>
          <w:trHeight w:val="530"/>
          <w:gridAfter w:val="1"/>
          <w:wAfter w:w="234" w:type="dxa"/>
        </w:trPr>
        <w:tc>
          <w:tcPr>
            <w:tcW w:w="1977" w:type="dxa"/>
            <w:tcBorders>
              <w:left w:val="single" w:sz="4" w:space="0" w:color="000000"/>
              <w:right w:val="single" w:sz="4" w:space="0" w:color="00000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eastAsia="仿宋_GB2312" w:cs="仿宋_GB2312" w:hAnsi="仿宋_GB2312" w:hint="eastAsia"/>
                <w:i w:val="0"/>
                <w:color w:val="auto"/>
                <w:sz w:val="28"/>
                <w:szCs w:val="28"/>
                <w:u w:val="none"/>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rPr>
              <w:t>效益</w:t>
            </w:r>
            <w:r>
              <w:rPr>
                <w:rFonts w:ascii="仿宋_GB2312" w:cs="仿宋_GB2312" w:hAnsi="仿宋_GB2312"/>
                <w:color w:val="000000"/>
                <w:kern w:val="0"/>
                <w:szCs w:val="21"/>
              </w:rPr>
              <w:br/>
            </w:r>
            <w:r>
              <w:rPr>
                <w:rFonts w:ascii="仿宋_GB2312" w:cs="仿宋_GB2312" w:hAnsi="仿宋_GB2312" w:hint="eastAsia"/>
                <w:color w:val="000000"/>
                <w:kern w:val="0"/>
                <w:szCs w:val="21"/>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kern w:val="0"/>
                <w:szCs w:val="21"/>
              </w:rPr>
              <w:t>经济效益指标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both"/>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szCs w:val="21"/>
                <w:lang w:eastAsia="zh-CN"/>
              </w:rPr>
              <w:t>吸收附近居民投入劳力，促进收入</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eastAsia="zh-CN"/>
              </w:rPr>
              <w:t>有所促进</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eastAsia="zh-CN"/>
              </w:rPr>
              <w:t>有所促进</w:t>
            </w:r>
          </w:p>
        </w:tc>
      </w:tr>
      <w:tr>
        <w:trPr>
          <w:trHeight w:val="530"/>
          <w:gridAfter w:val="1"/>
          <w:wAfter w:w="234" w:type="dxa"/>
        </w:trPr>
        <w:tc>
          <w:tcPr>
            <w:tcW w:w="1977" w:type="dxa"/>
            <w:tcBorders>
              <w:left w:val="single" w:sz="4" w:space="0" w:color="000000"/>
              <w:right w:val="single" w:sz="4" w:space="0" w:color="00000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eastAsia="仿宋_GB2312" w:cs="仿宋_GB2312" w:hAnsi="仿宋_GB2312" w:hint="eastAsia"/>
                <w:i w:val="0"/>
                <w:color w:val="auto"/>
                <w:sz w:val="28"/>
                <w:szCs w:val="28"/>
                <w:u w:val="none"/>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kern w:val="0"/>
                <w:szCs w:val="21"/>
              </w:rPr>
              <w:t>社会效益指标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szCs w:val="21"/>
                <w:lang w:eastAsia="zh-CN"/>
              </w:rPr>
              <w:t>解决居民出行生活问题</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有效解决</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val="en-US" w:eastAsia="zh-CN"/>
              </w:rPr>
              <w:t>有效解决</w:t>
            </w:r>
          </w:p>
        </w:tc>
      </w:tr>
      <w:tr>
        <w:trPr>
          <w:trHeight w:val="530"/>
          <w:gridAfter w:val="1"/>
          <w:wAfter w:w="234" w:type="dxa"/>
        </w:trPr>
        <w:tc>
          <w:tcPr>
            <w:tcW w:w="1977" w:type="dxa"/>
            <w:tcBorders>
              <w:left w:val="single" w:sz="4" w:space="0" w:color="000000"/>
              <w:right w:val="single" w:sz="4" w:space="0" w:color="00000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eastAsia="仿宋_GB2312" w:cs="仿宋_GB2312" w:hAnsi="仿宋_GB2312" w:hint="eastAsia"/>
                <w:i w:val="0"/>
                <w:color w:val="auto"/>
                <w:sz w:val="28"/>
                <w:szCs w:val="28"/>
                <w:u w:val="none"/>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kern w:val="0"/>
                <w:szCs w:val="21"/>
              </w:rPr>
              <w:t>生态效益指标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szCs w:val="21"/>
                <w:lang w:eastAsia="zh-CN"/>
              </w:rPr>
              <w:t>环境卫生</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宋体" w:eastAsia="宋体" w:cs="宋体" w:hAnsi="宋体" w:hint="eastAsia"/>
                <w:color w:val="000000"/>
                <w:szCs w:val="21"/>
                <w14:textFill>
                  <w14:solidFill>
                    <w14:srgbClr w14:val="000000"/>
                  </w14:solidFill>
                </w14:textFill>
                <w:lang w:eastAsia="zh-CN"/>
              </w:rPr>
              <w:t>合格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宋体" w:cs="宋体" w:hAnsi="宋体" w:hint="eastAsia"/>
                <w:color w:val="000000"/>
                <w:szCs w:val="21"/>
                <w14:textFill>
                  <w14:solidFill>
                    <w14:srgbClr w14:val="000000"/>
                  </w14:solidFill>
                </w14:textFill>
                <w:lang w:eastAsia="zh-CN"/>
              </w:rPr>
              <w:t>合格</w:t>
            </w:r>
          </w:p>
        </w:tc>
      </w:tr>
      <w:tr>
        <w:trPr>
          <w:trHeight w:val="530"/>
          <w:gridAfter w:val="1"/>
          <w:wAfter w:w="234" w:type="dxa"/>
        </w:trPr>
        <w:tc>
          <w:tcPr>
            <w:tcW w:w="1977" w:type="dxa"/>
            <w:tcBorders>
              <w:left w:val="single" w:sz="4" w:space="0" w:color="000000"/>
              <w:right w:val="single" w:sz="4" w:space="0" w:color="00000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eastAsia="仿宋_GB2312" w:cs="仿宋_GB2312" w:hAnsi="仿宋_GB2312" w:hint="eastAsia"/>
                <w:i w:val="0"/>
                <w:color w:val="auto"/>
                <w:sz w:val="28"/>
                <w:szCs w:val="28"/>
                <w:u w:val="none"/>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kern w:val="0"/>
                <w:szCs w:val="21"/>
              </w:rPr>
              <w:t>可持续影响指标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szCs w:val="21"/>
                <w:lang w:eastAsia="zh-CN"/>
              </w:rPr>
              <w:t>居民出行，饮水安全百姓安居乐业</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仿宋_GB2312" w:cs="仿宋_GB2312" w:hAnsi="仿宋_GB2312" w:hint="eastAsia"/>
                <w:color w:val="000000"/>
                <w:szCs w:val="21"/>
                <w:lang w:eastAsia="zh-CN"/>
              </w:rPr>
              <w:t>有效保障</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仿宋_GB2312" w:cs="仿宋_GB2312" w:hAnsi="仿宋_GB2312" w:hint="eastAsia"/>
                <w:color w:val="000000"/>
                <w:szCs w:val="21"/>
                <w:lang w:eastAsia="zh-CN"/>
              </w:rPr>
              <w:t>有效保障</w:t>
            </w:r>
          </w:p>
        </w:tc>
      </w:tr>
      <w:tr>
        <w:trPr>
          <w:trHeight w:val="530"/>
          <w:gridAfter w:val="1"/>
          <w:wAfter w:w="234" w:type="dxa"/>
        </w:trPr>
        <w:tc>
          <w:tcPr>
            <w:tcW w:w="1977" w:type="dxa"/>
            <w:tcBorders>
              <w:left w:val="single" w:sz="4" w:space="0" w:color="000000"/>
              <w:bottom w:val="single" w:sz="4" w:space="0" w:color="000000"/>
              <w:right w:val="single" w:sz="4" w:space="0" w:color="00000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ascii="仿宋_GB2312" w:eastAsia="仿宋_GB2312" w:cs="仿宋_GB2312" w:hAnsi="仿宋_GB2312" w:hint="eastAsia"/>
                <w:i w:val="0"/>
                <w:color w:val="auto"/>
                <w:sz w:val="28"/>
                <w:szCs w:val="28"/>
                <w:u w:val="none"/>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eastAsia="仿宋_GB2312" w:cs="仿宋_GB2312" w:hAnsi="仿宋_GB2312" w:hint="eastAsia"/>
                <w:i w:val="0"/>
                <w:color w:val="auto"/>
                <w:sz w:val="28"/>
                <w:szCs w:val="28"/>
                <w:u w:val="none"/>
              </w:rPr>
            </w:pPr>
            <w:r>
              <w:rPr>
                <w:rFonts w:ascii="仿宋_GB2312" w:cs="仿宋_GB2312" w:hAnsi="仿宋_GB2312" w:hint="eastAsia"/>
                <w:color w:val="000000"/>
                <w:kern w:val="0"/>
                <w:szCs w:val="21"/>
              </w:rPr>
              <w:t>满意</w:t>
            </w:r>
            <w:r>
              <w:rPr>
                <w:rFonts w:ascii="仿宋_GB2312" w:cs="仿宋_GB2312" w:hAnsi="仿宋_GB2312"/>
                <w:color w:val="000000"/>
                <w:kern w:val="0"/>
                <w:szCs w:val="21"/>
              </w:rPr>
              <w:br/>
            </w:r>
            <w:r>
              <w:rPr>
                <w:rFonts w:ascii="仿宋_GB2312" w:cs="仿宋_GB2312" w:hAnsi="仿宋_GB2312" w:hint="eastAsia"/>
                <w:color w:val="000000"/>
                <w:kern w:val="0"/>
                <w:szCs w:val="21"/>
              </w:rP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cs="仿宋_GB2312" w:hAnsi="仿宋_GB2312"/>
                <w:color w:val="000000"/>
                <w:kern w:val="0"/>
                <w:szCs w:val="21"/>
              </w:rPr>
            </w:pPr>
            <w:r>
              <w:rPr>
                <w:rFonts w:ascii="仿宋_GB2312" w:cs="仿宋_GB2312" w:hAnsi="仿宋_GB2312" w:hint="eastAsia"/>
                <w:color w:val="000000"/>
                <w:kern w:val="0"/>
                <w:szCs w:val="21"/>
              </w:rPr>
              <w:t>满意度</w:t>
            </w:r>
          </w:p>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kern w:val="0"/>
                <w:szCs w:val="21"/>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仿宋_GB2312" w:cs="仿宋_GB2312" w:hAnsi="仿宋_GB2312" w:hint="eastAsia"/>
                <w:color w:val="000000"/>
                <w:kern w:val="0"/>
                <w:szCs w:val="21"/>
                <w:lang w:eastAsia="zh-CN"/>
              </w:rPr>
            </w:pPr>
            <w:r>
              <w:rPr>
                <w:rFonts w:ascii="仿宋_GB2312" w:cs="仿宋_GB2312" w:hAnsi="仿宋_GB2312" w:hint="eastAsia"/>
                <w:color w:val="000000"/>
                <w:szCs w:val="21"/>
                <w:lang w:eastAsia="zh-CN"/>
              </w:rPr>
              <w:t>群众满意度</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仿宋_GB2312" w:cs="仿宋_GB2312" w:hAnsi="仿宋_GB2312" w:hint="eastAsia"/>
                <w:color w:val="000000"/>
                <w:szCs w:val="21"/>
                <w:lang w:val="en-US" w:eastAsia="zh-CN"/>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bottom"/>
          </w:tcPr>
          <w:p>
            <w:pPr>
              <w:widowControl/>
              <w:spacing w:line="320" w:lineRule="exact"/>
              <w:jc w:val="center"/>
              <w:textAlignment w:val="bottom"/>
              <w:rPr>
                <w:rFonts w:ascii="宋体" w:cs="宋体" w:hAnsi="宋体" w:hint="eastAsia"/>
                <w:color w:val="000000"/>
                <w:szCs w:val="21"/>
                <w14:textFill>
                  <w14:solidFill>
                    <w14:srgbClr w14:val="000000"/>
                  </w14:solidFill>
                </w14:textFill>
                <w:lang w:val="en-US" w:eastAsia="zh-CN"/>
              </w:rPr>
            </w:pPr>
            <w:r>
              <w:rPr>
                <w:rFonts w:ascii="仿宋_GB2312" w:cs="仿宋_GB2312" w:hAnsi="仿宋_GB2312" w:hint="eastAsia"/>
                <w:color w:val="000000"/>
                <w:szCs w:val="21"/>
                <w:lang w:val="en-US" w:eastAsia="zh-CN"/>
              </w:rPr>
              <w:t>98%</w:t>
            </w:r>
          </w:p>
        </w:tc>
      </w:tr>
    </w:tbl>
    <w:p>
      <w:pPr>
        <w:widowControl/>
        <w:adjustRightInd w:val="0"/>
        <w:snapToGrid w:val="0"/>
        <w:spacing w:line="580" w:lineRule="exact"/>
        <w:contextualSpacing/>
        <w:jc w:val="left"/>
        <w:rPr>
          <w:color w:val="auto"/>
        </w:rPr>
      </w:pPr>
      <w:r>
        <w:rPr>
          <w:rFonts w:ascii="仿宋_GB2312" w:eastAsia="仿宋_GB2312" w:cs="宋体" w:hAnsi="宋体" w:hint="eastAsia"/>
          <w:color w:val="auto"/>
          <w:kern w:val="0"/>
          <w:sz w:val="32"/>
          <w:szCs w:val="32"/>
          <w:shd w:val="clear" w:color="auto" w:fill="FFFFFF"/>
          <w:lang w:val="en-US" w:eastAsia="zh-CN"/>
        </w:rPr>
        <w:t>（注：有两个及以上100万元以上（含）特定目标类部门预算项目的，需分别开展绩效目标自评并填写附表）</w:t>
      </w:r>
    </w:p>
    <w:p>
      <w:pPr>
        <w:spacing w:line="580" w:lineRule="exact"/>
        <w:rPr>
          <w:rStyle w:val="1Char"/>
          <w:rFonts w:ascii="黑体" w:eastAsia="黑体" w:hAnsi="黑体"/>
          <w:b w:val="0"/>
          <w:color w:val="auto"/>
        </w:rPr>
      </w:pPr>
    </w:p>
    <w:p>
      <w:pPr>
        <w:widowControl/>
        <w:jc w:val="left"/>
        <w:rPr>
          <w:rStyle w:val="1Char"/>
          <w:rFonts w:ascii="黑体" w:eastAsia="黑体" w:hAnsi="黑体"/>
          <w:b w:val="0"/>
          <w:color w:val="auto"/>
        </w:rPr>
      </w:pPr>
      <w:r>
        <w:rPr>
          <w:rStyle w:val="1Char"/>
          <w:rFonts w:ascii="黑体" w:eastAsia="黑体" w:hAnsi="黑体"/>
          <w:b w:val="0"/>
          <w:color w:val="auto"/>
        </w:rPr>
        <w:br w:type="page"/>
      </w:r>
    </w:p>
    <w:p>
      <w:pPr>
        <w:spacing w:line="600" w:lineRule="exact"/>
        <w:jc w:val="center"/>
        <w:outlineLvl w:val="0"/>
        <w:rPr>
          <w:rFonts w:ascii="仿宋" w:eastAsia="仿宋" w:hAnsi="仿宋" w:hint="eastAsia"/>
          <w:b w:val="0"/>
          <w:color w:val="auto"/>
        </w:rPr>
      </w:pPr>
      <w:bookmarkStart w:id="60" w:name="_Toc15396618"/>
      <w:r>
        <w:rPr>
          <w:rFonts w:ascii="黑体" w:eastAsia="黑体" w:hAnsi="黑体" w:hint="eastAsia"/>
          <w:color w:val="auto"/>
          <w:sz w:val="44"/>
          <w:szCs w:val="44"/>
        </w:rPr>
        <w:t>第</w:t>
      </w:r>
      <w:r>
        <w:rPr>
          <w:rStyle w:val="1Char"/>
          <w:rFonts w:ascii="黑体" w:eastAsia="黑体" w:hAnsi="黑体" w:hint="eastAsia"/>
          <w:b w:val="0"/>
          <w:color w:val="auto"/>
        </w:rPr>
        <w:t>五部分 附表</w:t>
      </w:r>
      <w:bookmarkStart w:id="61" w:name="_Toc15396619"/>
      <w:bookmarkEnd w:id="58"/>
      <w:bookmarkEnd w:id="60"/>
    </w:p>
    <w:p>
      <w:pPr>
        <w:pStyle w:val="2"/>
        <w:rPr>
          <w:rFonts w:ascii="仿宋" w:eastAsia="仿宋" w:hAnsi="仿宋"/>
          <w:color w:val="auto"/>
        </w:rPr>
      </w:pPr>
      <w:r>
        <w:rPr>
          <w:rFonts w:ascii="仿宋" w:eastAsia="仿宋" w:hAnsi="仿宋" w:hint="eastAsia"/>
          <w:b w:val="0"/>
          <w:color w:val="auto"/>
        </w:rPr>
        <w:t>一、收</w:t>
      </w:r>
      <w:r>
        <w:rPr>
          <w:rStyle w:val="2Char"/>
          <w:rFonts w:ascii="仿宋" w:eastAsia="仿宋" w:hAnsi="仿宋" w:hint="eastAsia"/>
          <w:b w:val="0"/>
          <w:bCs w:val="0"/>
          <w:color w:val="auto"/>
        </w:rPr>
        <w:t>入支出决算总表</w:t>
      </w:r>
      <w:bookmarkEnd w:id="61"/>
    </w:p>
    <w:p>
      <w:pPr>
        <w:pStyle w:val="2"/>
        <w:rPr>
          <w:rFonts w:ascii="仿宋" w:eastAsia="仿宋" w:hAnsi="仿宋"/>
          <w:color w:val="auto"/>
        </w:rPr>
      </w:pPr>
      <w:bookmarkStart w:id="62" w:name="_Toc15396620"/>
      <w:r>
        <w:rPr>
          <w:rFonts w:ascii="仿宋" w:eastAsia="仿宋" w:hAnsi="仿宋" w:hint="eastAsia"/>
          <w:b w:val="0"/>
          <w:color w:val="auto"/>
        </w:rPr>
        <w:t>二、收</w:t>
      </w:r>
      <w:r>
        <w:rPr>
          <w:rStyle w:val="2Char"/>
          <w:rFonts w:ascii="仿宋" w:eastAsia="仿宋" w:hAnsi="仿宋" w:hint="eastAsia"/>
          <w:b w:val="0"/>
          <w:bCs w:val="0"/>
          <w:color w:val="auto"/>
        </w:rPr>
        <w:t>入决算表</w:t>
      </w:r>
      <w:bookmarkEnd w:id="62"/>
    </w:p>
    <w:p>
      <w:pPr>
        <w:pStyle w:val="2"/>
        <w:rPr>
          <w:rFonts w:ascii="仿宋" w:eastAsia="仿宋" w:hAnsi="仿宋"/>
          <w:color w:val="auto"/>
        </w:rPr>
      </w:pPr>
      <w:bookmarkStart w:id="63" w:name="_Toc15396621"/>
      <w:r>
        <w:rPr>
          <w:rStyle w:val="2Char"/>
          <w:rFonts w:ascii="仿宋" w:eastAsia="仿宋" w:hAnsi="仿宋" w:hint="eastAsia"/>
          <w:b w:val="0"/>
          <w:bCs w:val="0"/>
          <w:color w:val="auto"/>
        </w:rPr>
        <w:t>三、</w:t>
      </w:r>
      <w:r>
        <w:rPr>
          <w:rFonts w:ascii="仿宋" w:eastAsia="仿宋" w:hAnsi="仿宋" w:hint="eastAsia"/>
          <w:b w:val="0"/>
          <w:color w:val="auto"/>
        </w:rPr>
        <w:t>支</w:t>
      </w:r>
      <w:r>
        <w:rPr>
          <w:rStyle w:val="2Char"/>
          <w:rFonts w:ascii="仿宋" w:eastAsia="仿宋" w:hAnsi="仿宋" w:hint="eastAsia"/>
          <w:b w:val="0"/>
          <w:bCs w:val="0"/>
          <w:color w:val="auto"/>
        </w:rPr>
        <w:t>出决算表</w:t>
      </w:r>
      <w:bookmarkEnd w:id="63"/>
    </w:p>
    <w:p>
      <w:pPr>
        <w:pStyle w:val="2"/>
        <w:rPr>
          <w:rFonts w:ascii="仿宋" w:eastAsia="仿宋" w:hAnsi="仿宋"/>
          <w:b w:val="0"/>
          <w:color w:val="auto"/>
        </w:rPr>
      </w:pPr>
      <w:bookmarkStart w:id="64" w:name="_Toc15396622"/>
      <w:r>
        <w:rPr>
          <w:rStyle w:val="2Char"/>
          <w:rFonts w:ascii="仿宋" w:eastAsia="仿宋" w:hAnsi="仿宋" w:hint="eastAsia"/>
          <w:b w:val="0"/>
          <w:bCs w:val="0"/>
          <w:color w:val="auto"/>
        </w:rPr>
        <w:t>四、</w:t>
      </w:r>
      <w:r>
        <w:rPr>
          <w:rFonts w:ascii="仿宋" w:eastAsia="仿宋" w:hAnsi="仿宋" w:hint="eastAsia"/>
          <w:b w:val="0"/>
          <w:color w:val="auto"/>
        </w:rPr>
        <w:t>财</w:t>
      </w:r>
      <w:r>
        <w:rPr>
          <w:rStyle w:val="2Char"/>
          <w:rFonts w:ascii="仿宋" w:eastAsia="仿宋" w:hAnsi="仿宋" w:hint="eastAsia"/>
          <w:b w:val="0"/>
          <w:bCs w:val="0"/>
          <w:color w:val="auto"/>
        </w:rPr>
        <w:t>政拨款收入支出决算总表</w:t>
      </w:r>
      <w:bookmarkEnd w:id="64"/>
    </w:p>
    <w:p>
      <w:pPr>
        <w:pStyle w:val="2"/>
        <w:rPr>
          <w:rStyle w:val="2Char"/>
          <w:rFonts w:ascii="仿宋" w:eastAsia="仿宋" w:hAnsi="仿宋"/>
          <w:b w:val="0"/>
          <w:bCs w:val="0"/>
          <w:color w:val="auto"/>
        </w:rPr>
      </w:pPr>
      <w:bookmarkStart w:id="65" w:name="_Toc15396623"/>
      <w:r>
        <w:rPr>
          <w:rStyle w:val="2Char"/>
          <w:rFonts w:ascii="仿宋" w:eastAsia="仿宋" w:hAnsi="仿宋" w:hint="eastAsia"/>
          <w:b w:val="0"/>
          <w:bCs w:val="0"/>
          <w:color w:val="auto"/>
        </w:rPr>
        <w:t>五、</w:t>
      </w:r>
      <w:r>
        <w:rPr>
          <w:rFonts w:ascii="仿宋" w:eastAsia="仿宋" w:hAnsi="仿宋" w:hint="eastAsia"/>
          <w:b w:val="0"/>
          <w:color w:val="auto"/>
        </w:rPr>
        <w:t>财</w:t>
      </w:r>
      <w:r>
        <w:rPr>
          <w:rStyle w:val="2Char"/>
          <w:rFonts w:ascii="仿宋" w:eastAsia="仿宋" w:hAnsi="仿宋" w:hint="eastAsia"/>
          <w:b w:val="0"/>
          <w:bCs w:val="0"/>
          <w:color w:val="auto"/>
        </w:rPr>
        <w:t>政拨款支出决算明细表</w:t>
      </w:r>
      <w:bookmarkStart w:id="66" w:name="_Toc15396624"/>
      <w:bookmarkEnd w:id="65"/>
    </w:p>
    <w:p>
      <w:pPr>
        <w:pStyle w:val="2"/>
        <w:rPr>
          <w:rFonts w:ascii="仿宋" w:eastAsia="仿宋" w:hAnsi="仿宋"/>
          <w:color w:val="auto"/>
        </w:rPr>
      </w:pPr>
      <w:r>
        <w:rPr>
          <w:rStyle w:val="2Char"/>
          <w:rFonts w:ascii="仿宋" w:eastAsia="仿宋" w:hAnsi="仿宋" w:hint="eastAsia"/>
          <w:b w:val="0"/>
          <w:bCs w:val="0"/>
          <w:color w:val="auto"/>
        </w:rPr>
        <w:t>六、</w:t>
      </w:r>
      <w:r>
        <w:rPr>
          <w:rFonts w:ascii="仿宋" w:eastAsia="仿宋" w:hAnsi="仿宋" w:hint="eastAsia"/>
          <w:b w:val="0"/>
          <w:color w:val="auto"/>
        </w:rPr>
        <w:t>一</w:t>
      </w:r>
      <w:r>
        <w:rPr>
          <w:rStyle w:val="2Char"/>
          <w:rFonts w:ascii="仿宋" w:eastAsia="仿宋" w:hAnsi="仿宋" w:hint="eastAsia"/>
          <w:b w:val="0"/>
          <w:bCs w:val="0"/>
          <w:color w:val="auto"/>
        </w:rPr>
        <w:t>般公共预算财政拨款支出决算表</w:t>
      </w:r>
      <w:bookmarkEnd w:id="66"/>
    </w:p>
    <w:p>
      <w:pPr>
        <w:pStyle w:val="2"/>
        <w:rPr>
          <w:rFonts w:ascii="仿宋" w:eastAsia="仿宋" w:hAnsi="仿宋"/>
          <w:color w:val="auto"/>
        </w:rPr>
      </w:pPr>
      <w:bookmarkStart w:id="67" w:name="_Toc15396625"/>
      <w:r>
        <w:rPr>
          <w:rStyle w:val="2Char"/>
          <w:rFonts w:ascii="仿宋" w:eastAsia="仿宋" w:hAnsi="仿宋" w:hint="eastAsia"/>
          <w:b w:val="0"/>
          <w:bCs w:val="0"/>
          <w:color w:val="auto"/>
        </w:rPr>
        <w:t>七、</w:t>
      </w:r>
      <w:r>
        <w:rPr>
          <w:rFonts w:ascii="仿宋" w:eastAsia="仿宋" w:hAnsi="仿宋" w:hint="eastAsia"/>
          <w:b w:val="0"/>
          <w:color w:val="auto"/>
        </w:rPr>
        <w:t>一</w:t>
      </w:r>
      <w:r>
        <w:rPr>
          <w:rStyle w:val="2Char"/>
          <w:rFonts w:ascii="仿宋" w:eastAsia="仿宋" w:hAnsi="仿宋" w:hint="eastAsia"/>
          <w:b w:val="0"/>
          <w:bCs w:val="0"/>
          <w:color w:val="auto"/>
        </w:rPr>
        <w:t>般公共预算财政拨款支出决算明细表</w:t>
      </w:r>
      <w:bookmarkEnd w:id="67"/>
    </w:p>
    <w:p>
      <w:pPr>
        <w:pStyle w:val="2"/>
        <w:rPr>
          <w:rFonts w:ascii="仿宋" w:eastAsia="仿宋" w:hAnsi="仿宋"/>
          <w:color w:val="auto"/>
        </w:rPr>
      </w:pPr>
      <w:bookmarkStart w:id="68" w:name="_Toc15396626"/>
      <w:r>
        <w:rPr>
          <w:rStyle w:val="2Char"/>
          <w:rFonts w:ascii="仿宋" w:eastAsia="仿宋" w:hAnsi="仿宋" w:hint="eastAsia"/>
          <w:b w:val="0"/>
          <w:bCs w:val="0"/>
          <w:color w:val="auto"/>
        </w:rPr>
        <w:t>八、</w:t>
      </w:r>
      <w:r>
        <w:rPr>
          <w:rFonts w:ascii="仿宋" w:eastAsia="仿宋" w:hAnsi="仿宋" w:hint="eastAsia"/>
          <w:b w:val="0"/>
          <w:color w:val="auto"/>
        </w:rPr>
        <w:t>一</w:t>
      </w:r>
      <w:r>
        <w:rPr>
          <w:rStyle w:val="2Char"/>
          <w:rFonts w:ascii="仿宋" w:eastAsia="仿宋" w:hAnsi="仿宋" w:hint="eastAsia"/>
          <w:b w:val="0"/>
          <w:bCs w:val="0"/>
          <w:color w:val="auto"/>
        </w:rPr>
        <w:t>般公共预算财政拨款基本支出决算表</w:t>
      </w:r>
      <w:bookmarkEnd w:id="68"/>
    </w:p>
    <w:p>
      <w:pPr>
        <w:pStyle w:val="2"/>
        <w:rPr>
          <w:rFonts w:ascii="仿宋" w:eastAsia="仿宋" w:hAnsi="仿宋"/>
          <w:color w:val="auto"/>
        </w:rPr>
      </w:pPr>
      <w:bookmarkStart w:id="69" w:name="_Toc15396627"/>
      <w:r>
        <w:rPr>
          <w:rStyle w:val="2Char"/>
          <w:rFonts w:ascii="仿宋" w:eastAsia="仿宋" w:hAnsi="仿宋" w:hint="eastAsia"/>
          <w:b w:val="0"/>
          <w:bCs w:val="0"/>
          <w:color w:val="auto"/>
        </w:rPr>
        <w:t>九、</w:t>
      </w:r>
      <w:r>
        <w:rPr>
          <w:rFonts w:ascii="仿宋" w:eastAsia="仿宋" w:hAnsi="仿宋" w:hint="eastAsia"/>
          <w:b w:val="0"/>
          <w:color w:val="auto"/>
        </w:rPr>
        <w:t>一</w:t>
      </w:r>
      <w:r>
        <w:rPr>
          <w:rStyle w:val="2Char"/>
          <w:rFonts w:ascii="仿宋" w:eastAsia="仿宋" w:hAnsi="仿宋" w:hint="eastAsia"/>
          <w:b w:val="0"/>
          <w:bCs w:val="0"/>
          <w:color w:val="auto"/>
        </w:rPr>
        <w:t>般公共预算财政拨款项目支出决算表</w:t>
      </w:r>
      <w:bookmarkEnd w:id="69"/>
    </w:p>
    <w:p>
      <w:pPr>
        <w:pStyle w:val="2"/>
        <w:rPr>
          <w:rFonts w:ascii="仿宋" w:eastAsia="仿宋" w:hAnsi="仿宋"/>
          <w:color w:val="auto"/>
        </w:rPr>
      </w:pPr>
      <w:bookmarkStart w:id="70" w:name="_Toc15396628"/>
      <w:r>
        <w:rPr>
          <w:rStyle w:val="2Char"/>
          <w:rFonts w:ascii="仿宋" w:eastAsia="仿宋" w:hAnsi="仿宋" w:hint="eastAsia"/>
          <w:b w:val="0"/>
          <w:bCs w:val="0"/>
          <w:color w:val="auto"/>
        </w:rPr>
        <w:t>十、</w:t>
      </w:r>
      <w:r>
        <w:rPr>
          <w:rFonts w:ascii="仿宋" w:eastAsia="仿宋" w:hAnsi="仿宋" w:hint="eastAsia"/>
          <w:b w:val="0"/>
          <w:color w:val="auto"/>
        </w:rPr>
        <w:t>一</w:t>
      </w:r>
      <w:r>
        <w:rPr>
          <w:rStyle w:val="2Char"/>
          <w:rFonts w:ascii="仿宋" w:eastAsia="仿宋" w:hAnsi="仿宋" w:hint="eastAsia"/>
          <w:b w:val="0"/>
          <w:bCs w:val="0"/>
          <w:color w:val="auto"/>
        </w:rPr>
        <w:t>般公共预算财政拨款“三公”经费支出决算表</w:t>
      </w:r>
      <w:bookmarkEnd w:id="70"/>
    </w:p>
    <w:p>
      <w:pPr>
        <w:pStyle w:val="2"/>
        <w:rPr>
          <w:rFonts w:ascii="仿宋" w:eastAsia="仿宋" w:hAnsi="仿宋"/>
          <w:color w:val="auto"/>
        </w:rPr>
      </w:pPr>
      <w:bookmarkStart w:id="71" w:name="_Toc15396629"/>
      <w:r>
        <w:rPr>
          <w:rStyle w:val="2Char"/>
          <w:rFonts w:ascii="仿宋" w:eastAsia="仿宋" w:hAnsi="仿宋" w:hint="eastAsia"/>
          <w:b w:val="0"/>
          <w:bCs w:val="0"/>
          <w:color w:val="auto"/>
        </w:rPr>
        <w:t>十一、</w:t>
      </w:r>
      <w:r>
        <w:rPr>
          <w:rFonts w:ascii="仿宋" w:eastAsia="仿宋" w:hAnsi="仿宋" w:hint="eastAsia"/>
          <w:b w:val="0"/>
          <w:color w:val="auto"/>
        </w:rPr>
        <w:t>政</w:t>
      </w:r>
      <w:r>
        <w:rPr>
          <w:rStyle w:val="2Char"/>
          <w:rFonts w:ascii="仿宋" w:eastAsia="仿宋" w:hAnsi="仿宋" w:hint="eastAsia"/>
          <w:b w:val="0"/>
          <w:bCs w:val="0"/>
          <w:color w:val="auto"/>
        </w:rPr>
        <w:t>府性基金预算财政拨款收入支出决算表</w:t>
      </w:r>
      <w:bookmarkEnd w:id="71"/>
    </w:p>
    <w:p>
      <w:pPr>
        <w:pStyle w:val="2"/>
        <w:rPr>
          <w:rFonts w:ascii="仿宋" w:eastAsia="仿宋" w:hAnsi="仿宋"/>
          <w:color w:val="auto"/>
        </w:rPr>
      </w:pPr>
      <w:bookmarkStart w:id="72" w:name="_Toc15396630"/>
      <w:r>
        <w:rPr>
          <w:rStyle w:val="2Char"/>
          <w:rFonts w:ascii="仿宋" w:eastAsia="仿宋" w:hAnsi="仿宋" w:hint="eastAsia"/>
          <w:b w:val="0"/>
          <w:bCs w:val="0"/>
          <w:color w:val="auto"/>
        </w:rPr>
        <w:t>十二、</w:t>
      </w:r>
      <w:r>
        <w:rPr>
          <w:rFonts w:ascii="仿宋" w:eastAsia="仿宋" w:hAnsi="仿宋" w:hint="eastAsia"/>
          <w:b w:val="0"/>
          <w:color w:val="auto"/>
        </w:rPr>
        <w:t>政</w:t>
      </w:r>
      <w:r>
        <w:rPr>
          <w:rStyle w:val="2Char"/>
          <w:rFonts w:ascii="仿宋" w:eastAsia="仿宋" w:hAnsi="仿宋" w:hint="eastAsia"/>
          <w:b w:val="0"/>
          <w:bCs w:val="0"/>
          <w:color w:val="auto"/>
        </w:rPr>
        <w:t>府性基金预算财政拨款“三公”经费支出决算表</w:t>
      </w:r>
      <w:bookmarkEnd w:id="72"/>
    </w:p>
    <w:p>
      <w:pPr>
        <w:pStyle w:val="2"/>
        <w:rPr>
          <w:rStyle w:val="2Char"/>
          <w:rFonts w:ascii="仿宋" w:eastAsia="仿宋" w:hAnsi="仿宋" w:hint="eastAsia"/>
          <w:b w:val="0"/>
          <w:bCs w:val="0"/>
          <w:color w:val="auto"/>
        </w:rPr>
      </w:pPr>
      <w:bookmarkStart w:id="73" w:name="_Toc15396631"/>
      <w:r>
        <w:rPr>
          <w:rStyle w:val="2Char"/>
          <w:rFonts w:ascii="仿宋" w:eastAsia="仿宋" w:hAnsi="仿宋" w:hint="eastAsia"/>
          <w:b w:val="0"/>
          <w:bCs w:val="0"/>
          <w:color w:val="auto"/>
        </w:rPr>
        <w:t>十三、</w:t>
      </w:r>
      <w:r>
        <w:rPr>
          <w:rFonts w:ascii="仿宋" w:eastAsia="仿宋" w:hAnsi="仿宋" w:hint="eastAsia"/>
          <w:b w:val="0"/>
          <w:color w:val="auto"/>
        </w:rPr>
        <w:t>国</w:t>
      </w:r>
      <w:r>
        <w:rPr>
          <w:rStyle w:val="2Char"/>
          <w:rFonts w:ascii="仿宋" w:eastAsia="仿宋" w:hAnsi="仿宋" w:hint="eastAsia"/>
          <w:b w:val="0"/>
          <w:bCs w:val="0"/>
          <w:color w:val="auto"/>
        </w:rPr>
        <w:t>有资本经营预算</w:t>
      </w:r>
      <w:r>
        <w:rPr>
          <w:rStyle w:val="2Char"/>
          <w:rFonts w:ascii="仿宋" w:eastAsia="仿宋" w:hAnsi="仿宋" w:hint="eastAsia"/>
          <w:b w:val="0"/>
          <w:bCs w:val="0"/>
          <w:color w:val="auto"/>
          <w:lang w:eastAsia="zh-CN"/>
        </w:rPr>
        <w:t>财政拨款收入</w:t>
      </w:r>
      <w:r>
        <w:rPr>
          <w:rStyle w:val="2Char"/>
          <w:rFonts w:ascii="仿宋" w:eastAsia="仿宋" w:hAnsi="仿宋" w:hint="eastAsia"/>
          <w:b w:val="0"/>
          <w:bCs w:val="0"/>
          <w:color w:val="auto"/>
        </w:rPr>
        <w:t>支出决算表</w:t>
      </w:r>
      <w:bookmarkEnd w:id="73"/>
    </w:p>
    <w:p>
      <w:pPr>
        <w:rPr>
          <w:rFonts w:eastAsia="仿宋" w:hint="eastAsia"/>
          <w:color w:val="auto"/>
          <w:lang w:eastAsia="zh-CN"/>
        </w:rPr>
      </w:pPr>
      <w:r>
        <w:rPr>
          <w:rStyle w:val="2Char"/>
          <w:rFonts w:ascii="仿宋" w:eastAsia="仿宋" w:hAnsi="仿宋" w:hint="eastAsia"/>
          <w:b w:val="0"/>
          <w:bCs w:val="0"/>
          <w:color w:val="auto"/>
          <w:lang w:eastAsia="zh-CN"/>
        </w:rPr>
        <w:t>十四、国有资本经营预算财政拨款支出决算表</w:t>
      </w:r>
    </w:p>
    <w:sectPr>
      <w:headerReference w:type="default" r:id="rId14"/>
      <w:footerReference w:type="default" r:id="rId15"/>
      <w:pgSz w:w="11906" w:h="16838"/>
      <w:pgMar w:top="1440" w:right="1800" w:bottom="1440" w:left="1800" w:header="851" w:footer="992" w:gutter="0"/>
      <w:pgNumType/>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宋体">
    <w:panose1 w:val="02010600030101010101"/>
    <w:charset w:val="7A"/>
    <w:family w:val="auto"/>
    <w:pitch w:val="variable"/>
    <w:sig w:usb0="00000003" w:usb1="288F0000" w:usb2="00000006"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Times New Roman">
    <w:panose1 w:val="02020603050405020304"/>
    <w:charset w:val="86"/>
    <w:family w:val="auto"/>
    <w:pitch w:val="variable"/>
    <w:sig w:usb0="E0002AFF" w:usb1="C00078FB" w:usb2="00000029" w:usb3="00000000" w:csb0="400001FF" w:csb1="FFFF0000"/>
  </w:font>
  <w:font w:name="仿宋">
    <w:altName w:val="宋体"/>
    <w:panose1 w:val="02010609060101010101"/>
    <w:charset w:val="86"/>
    <w:family w:val="modern"/>
    <w:pitch w:val="variable"/>
    <w:sig w:usb0="00000000" w:usb1="00000000" w:usb2="00000016" w:usb3="00000000" w:csb0="00040001" w:csb1="00000000"/>
  </w:font>
  <w:font w:name="微软雅黑">
    <w:altName w:val="黑体"/>
    <w:panose1 w:val="020B0503020204020204"/>
    <w:charset w:val="86"/>
    <w:family w:val="swiss"/>
    <w:pitch w:val="variable"/>
    <w:sig w:usb0="00000000" w:usb1="00000000" w:usb2="00000016" w:usb3="00000000" w:csb0="0004001F" w:csb1="00000000"/>
  </w:font>
  <w:font w:name="仿宋_GB2312">
    <w:panose1 w:val="02010609030101010101"/>
    <w:charset w:val="86"/>
    <w:family w:val="modern"/>
    <w:pitch w:val="variable"/>
    <w:sig w:usb0="00000001" w:usb1="080E0000" w:usb2="00000000" w:usb3="00000000" w:csb0="00040000" w:csb1="00000000"/>
  </w:font>
  <w:font w:name="Calibri">
    <w:altName w:val="Lucida Sans"/>
    <w:panose1 w:val="020F0502020204030204"/>
    <w:charset w:val="00"/>
    <w:family w:val="swiss"/>
    <w:pitch w:val="variable"/>
    <w:sig w:usb0="00000000" w:usb1="00000000" w:usb2="00000001" w:usb3="00000000" w:csb0="0000019F" w:csb1="00000000"/>
  </w:font>
  <w:font w:name="楷体">
    <w:altName w:val="方正楷体_GBK"/>
    <w:panose1 w:val="02010609060101010101"/>
    <w:charset w:val="86"/>
    <w:family w:val="auto"/>
    <w:pitch w:val="variable"/>
    <w:sig w:usb0="00000000" w:usb1="00000000"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mbria">
    <w:altName w:val="Noto Sans Syriac Eastern"/>
    <w:panose1 w:val="02040503050406030204"/>
    <w:charset w:val="00"/>
    <w:family w:val="roman"/>
    <w:pitch w:val="variable"/>
    <w:sig w:usb0="00000000" w:usb1="00000000" w:usb2="00000000" w:usb3="00000000" w:csb0="2000019F" w:csb1="00000000"/>
  </w:font>
  <w:font w:name="Courier New">
    <w:panose1 w:val="020704090202050904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360" w:firstLine="360"/>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360" w:firstLine="360"/>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ind w:right="360" w:firstLine="360"/>
    </w:pPr>
    <w:r>
      <w:rPr>
        <w:sz w:val="18"/>
      </w:rPr>
      <mc:AlternateContent>
        <mc:Choice Requires="wps">
          <w:drawing>
            <wp:anchor distT="0" distB="0" distL="114300" distR="114300" simplePos="0" relativeHeight="34" behindDoc="0" locked="0" layoutInCell="1" hidden="0" allowOverlap="1">
              <wp:simplePos x="0" y="0"/>
              <wp:positionH relativeFrom="margin">
                <wp:align>center</wp:align>
              </wp:positionH>
              <wp:positionV relativeFrom="paragraph">
                <wp:posOffset>0</wp:posOffset>
              </wp:positionV>
              <wp:extent cx="711200" cy="230584"/>
              <wp:effectExtent l="0" t="0" r="0" b="0"/>
              <wp:wrapNone/>
              <wp:docPr id="3" name="文本框 3"/>
              <wp:cNvGraphicFramePr>
                <a:graphicFrameLocks noChangeAspect="0"/>
              </wp:cNvGraphicFramePr>
              <a:graphic>
                <a:graphicData uri="http://schemas.microsoft.com/office/word/2010/wordprocessingShape">
                  <wps:wsp>
                    <wps:cNvSpPr/>
                    <wps:spPr>
                      <a:xfrm rot="0">
                        <a:off x="0" y="0"/>
                        <a:ext cx="711200" cy="230584"/>
                      </a:xfrm>
                      <a:prstGeom prst="rect"/>
                      <a:noFill/>
                      <a:ln w="6350" cmpd="sng" cap="flat">
                        <a:noFill/>
                        <a:prstDash val="solid"/>
                        <a:round/>
                      </a:ln>
                    </wps:spPr>
                    <wps:txbx id="1">
                      <w:txbxContent>
                        <w:p>
                          <w:pPr>
                            <w:pStyle w:val="21"/>
                            <w:tabs>
                              <w:tab w:val="center" w:pos="4153"/>
                              <w:tab w:val="right" w:pos="8306"/>
                            </w:tabs>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 xml:space="preserve">— </w:t>
                          </w:r>
                          <w:r>
                            <w:rPr>
                              <w:rFonts w:ascii="仿宋_GB2312" w:eastAsia="仿宋_GB2312" w:cs="仿宋_GB2312" w:hAnsi="仿宋_GB2312" w:hint="eastAsia"/>
                              <w:sz w:val="28"/>
                              <w:szCs w:val="28"/>
                            </w:rPr>
                            <w:fldChar w:fldCharType="begin"/>
                          </w:r>
                          <w:r>
                            <w:rPr>
                              <w:rFonts w:ascii="仿宋_GB2312" w:eastAsia="仿宋_GB2312" w:cs="仿宋_GB2312" w:hAnsi="仿宋_GB2312" w:hint="eastAsia"/>
                              <w:sz w:val="28"/>
                              <w:szCs w:val="28"/>
                            </w:rPr>
                            <w:instrText xml:space="preserve"> PAGE  \* MERGEFORMAT </w:instrText>
                          </w:r>
                          <w:r>
                            <w:rPr>
                              <w:rFonts w:ascii="仿宋_GB2312" w:eastAsia="仿宋_GB2312" w:cs="仿宋_GB2312" w:hAnsi="仿宋_GB2312" w:hint="eastAsia"/>
                              <w:sz w:val="28"/>
                              <w:szCs w:val="28"/>
                            </w:rPr>
                            <w:fldChar w:fldCharType="separate"/>
                          </w:r>
                          <w:r>
                            <w:rPr>
                              <w:rFonts w:ascii="仿宋_GB2312" w:eastAsia="仿宋_GB2312" w:cs="仿宋_GB2312" w:hAnsi="仿宋_GB2312" w:hint="eastAsia"/>
                              <w:sz w:val="28"/>
                              <w:szCs w:val="28"/>
                            </w:rPr>
                            <w:t>1</w:t>
                          </w:r>
                          <w:r>
                            <w:rPr>
                              <w:rFonts w:ascii="仿宋_GB2312" w:eastAsia="仿宋_GB2312" w:cs="仿宋_GB2312" w:hAnsi="仿宋_GB2312" w:hint="eastAsia"/>
                              <w:sz w:val="28"/>
                              <w:szCs w:val="28"/>
                            </w:rPr>
                            <w:fldChar w:fldCharType="end"/>
                          </w:r>
                          <w:r>
                            <w:rPr>
                              <w:rFonts w:ascii="仿宋_GB2312" w:eastAsia="仿宋_GB2312" w:cs="仿宋_GB2312" w:hAnsi="仿宋_GB2312" w:hint="eastAsia"/>
                              <w:sz w:val="28"/>
                              <w:szCs w:val="28"/>
                            </w:rPr>
                            <w:t xml:space="preserve"> —</w:t>
                          </w:r>
                        </w:p>
                      </w:txbxContent>
                    </wps:txbx>
                    <wps:bodyPr vert="horz" wrap="none" lIns="0" tIns="0" rIns="0" bIns="0" anchor="t" anchorCtr="0" upright="0">
                      <a:spAutoFit/>
                    </wps:bodyPr>
                  </wps:wsp>
                </a:graphicData>
              </a:graphic>
            </wp:anchor>
          </w:drawing>
        </mc:Choice>
        <mc:Fallback>
          <w:pict>
            <v:rect type="#_x0000_t1" id="文本框 3" o:spid="_x0000_s2" filled="f" stroked="f" strokeweight="0.5pt" style="position:absolute;margin-left:0.0pt;margin-top:0.0pt;width:56.000015pt;height:18.15628pt;z-index:34;mso-position-horizontal:center;mso-position-horizontal-relative:margin;mso-position-vertical:absolute;mso-wrap-style:none;">
              <v:stroke/>
              <v:textbox id="848" inset="0mm,0mm,0mm,0mm" o:insetmode="custom" style="layout-flow:horizontal;v-text-anchor:top;mso-fit-shape-to-text:t;">
                <w:txbxContent>
                  <w:p>
                    <w:pPr>
                      <w:pStyle w:val="21"/>
                      <w:tabs>
                        <w:tab w:val="center" w:pos="4153"/>
                        <w:tab w:val="right" w:pos="8306"/>
                      </w:tabs>
                      <w:rPr>
                        <w:rFonts w:ascii="仿宋_GB2312" w:eastAsia="仿宋_GB2312" w:cs="仿宋_GB2312" w:hAnsi="仿宋_GB2312" w:hint="eastAsia"/>
                        <w:sz w:val="28"/>
                        <w:szCs w:val="28"/>
                      </w:rPr>
                    </w:pPr>
                    <w:r>
                      <w:rPr>
                        <w:rFonts w:ascii="仿宋_GB2312" w:eastAsia="仿宋_GB2312" w:cs="仿宋_GB2312" w:hAnsi="仿宋_GB2312" w:hint="eastAsia"/>
                        <w:sz w:val="28"/>
                        <w:szCs w:val="28"/>
                      </w:rPr>
                      <w:t xml:space="preserve">— </w:t>
                    </w:r>
                    <w:r>
                      <w:rPr>
                        <w:rFonts w:ascii="仿宋_GB2312" w:eastAsia="仿宋_GB2312" w:cs="仿宋_GB2312" w:hAnsi="仿宋_GB2312" w:hint="eastAsia"/>
                        <w:sz w:val="28"/>
                        <w:szCs w:val="28"/>
                      </w:rPr>
                      <w:fldChar w:fldCharType="begin"/>
                    </w:r>
                    <w:r>
                      <w:rPr>
                        <w:rFonts w:ascii="仿宋_GB2312" w:eastAsia="仿宋_GB2312" w:cs="仿宋_GB2312" w:hAnsi="仿宋_GB2312" w:hint="eastAsia"/>
                        <w:sz w:val="28"/>
                        <w:szCs w:val="28"/>
                      </w:rPr>
                      <w:instrText xml:space="preserve"> PAGE  \* MERGEFORMAT </w:instrText>
                    </w:r>
                    <w:r>
                      <w:rPr>
                        <w:rFonts w:ascii="仿宋_GB2312" w:eastAsia="仿宋_GB2312" w:cs="仿宋_GB2312" w:hAnsi="仿宋_GB2312" w:hint="eastAsia"/>
                        <w:sz w:val="28"/>
                        <w:szCs w:val="28"/>
                      </w:rPr>
                      <w:fldChar w:fldCharType="separate"/>
                    </w:r>
                    <w:r>
                      <w:rPr>
                        <w:rFonts w:ascii="仿宋_GB2312" w:eastAsia="仿宋_GB2312" w:cs="仿宋_GB2312" w:hAnsi="仿宋_GB2312" w:hint="eastAsia"/>
                        <w:sz w:val="28"/>
                        <w:szCs w:val="28"/>
                      </w:rPr>
                      <w:t>1</w:t>
                    </w:r>
                    <w:r>
                      <w:rPr>
                        <w:rFonts w:ascii="仿宋_GB2312" w:eastAsia="仿宋_GB2312" w:cs="仿宋_GB2312" w:hAnsi="仿宋_GB2312" w:hint="eastAsia"/>
                        <w:sz w:val="28"/>
                        <w:szCs w:val="28"/>
                      </w:rPr>
                      <w:fldChar w:fldCharType="end"/>
                    </w:r>
                    <w:r>
                      <w:rPr>
                        <w:rFonts w:ascii="仿宋_GB2312" w:eastAsia="仿宋_GB2312" w:cs="仿宋_GB2312" w:hAnsi="仿宋_GB2312" w:hint="eastAsia"/>
                        <w:sz w:val="28"/>
                        <w:szCs w:val="28"/>
                      </w:rPr>
                      <w:t xml:space="preserve"> —</w:t>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rPr>
        <w:sz w:val="18"/>
      </w:rPr>
      <mc:AlternateContent>
        <mc:Choice Requires="wps">
          <w:drawing>
            <wp:anchor distT="0" distB="0" distL="114300" distR="114300" simplePos="0" relativeHeight="36" behindDoc="0" locked="0" layoutInCell="1" hidden="0" allowOverlap="1">
              <wp:simplePos x="0" y="0"/>
              <wp:positionH relativeFrom="margin">
                <wp:align>center</wp:align>
              </wp:positionH>
              <wp:positionV relativeFrom="paragraph">
                <wp:posOffset>0</wp:posOffset>
              </wp:positionV>
              <wp:extent cx="171450" cy="437924"/>
              <wp:effectExtent l="0" t="0" r="0" b="0"/>
              <wp:wrapNone/>
              <wp:docPr id="4" name="文本框 4"/>
              <wp:cNvGraphicFramePr>
                <a:graphicFrameLocks noChangeAspect="0"/>
              </wp:cNvGraphicFramePr>
              <a:graphic>
                <a:graphicData uri="http://schemas.microsoft.com/office/word/2010/wordprocessingShape">
                  <wps:wsp>
                    <wps:cNvSpPr/>
                    <wps:spPr>
                      <a:xfrm rot="0">
                        <a:off x="0" y="0"/>
                        <a:ext cx="171450" cy="437924"/>
                      </a:xfrm>
                      <a:prstGeom prst="rect"/>
                      <a:noFill/>
                      <a:ln w="6350" cmpd="sng" cap="flat">
                        <a:noFill/>
                        <a:prstDash val="solid"/>
                        <a:round/>
                      </a:ln>
                    </wps:spPr>
                    <wps:txbx id="3">
                      <w:txbxContent>
                        <w:sdt>
                          <w:sdtPr>
                            <w:id w:val="-443402096"/>
                          </w:sdtPr>
                          <w:sdtContent>
                            <w:p>
                              <w:pPr>
                                <w:pStyle w:val="21"/>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pPr>
                        </w:p>
                      </w:txbxContent>
                    </wps:txbx>
                    <wps:bodyPr vert="horz" wrap="none" lIns="0" tIns="0" rIns="0" bIns="0" anchor="t" anchorCtr="0" upright="0">
                      <a:spAutoFit/>
                    </wps:bodyPr>
                  </wps:wsp>
                </a:graphicData>
              </a:graphic>
            </wp:anchor>
          </w:drawing>
        </mc:Choice>
        <mc:Fallback>
          <w:pict>
            <v:rect type="#_x0000_t1" id="文本框 4" o:spid="_x0000_s4" filled="f" stroked="f" strokeweight="0.5pt" style="position:absolute;margin-left:0.0pt;margin-top:0.0pt;width:13.5pt;height:34.48224pt;z-index:36;mso-position-horizontal:center;mso-position-horizontal-relative:margin;mso-position-vertical:absolute;mso-wrap-style:none;">
              <v:stroke/>
              <v:textbox id="849" inset="0mm,0mm,0mm,0mm" o:insetmode="custom" style="layout-flow:horizontal;v-text-anchor:top;mso-fit-shape-to-text:t;">
                <w:txbxContent>
                  <w:sdt>
                    <w:sdtPr>
                      <w:id w:val="-443402096"/>
                    </w:sdtPr>
                    <w:sdtContent>
                      <w:p>
                        <w:pPr>
                          <w:pStyle w:val="21"/>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15"/>
                    </w:pPr>
                  </w:p>
                </w:txbxContent>
              </v:textbox>
            </v:rect>
          </w:pict>
        </mc:Fallback>
      </mc:AlternateContent>
    </w:r>
  </w:p>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CF652CEC"/>
    <w:multiLevelType w:val="singleLevel"/>
    <w:tmpl w:val="CF652CEC"/>
    <w:lvl w:ilvl="0">
      <w:start w:val="9"/>
      <w:numFmt w:val="chineseCounting"/>
      <w:lvlRestart w:val="0"/>
      <w:suff w:val="nothing"/>
      <w:lvlText w:val="%1、"/>
      <w:lvlJc w:val="left"/>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3">
    <w:nsid w:val="B91C5D05"/>
    <w:multiLevelType w:val="singleLevel"/>
    <w:tmpl w:val="B91C5D05"/>
    <w:lvl w:ilvl="0">
      <w:start w:val="2"/>
      <w:numFmt w:val="chineseCounting"/>
      <w:lvlRestart w:val="0"/>
      <w:suff w:val="nothing"/>
      <w:lvlText w:val="（%1）"/>
      <w:lvlJc w:val="left"/>
      <w:pPr/>
      <w:rPr>
        <w:rFonts w:hint="eastAsia"/>
      </w:rPr>
    </w:lvl>
  </w:abstractNum>
  <w:abstractNum w:abstractNumId="4">
    <w:nsid w:val="F3572D57"/>
    <w:multiLevelType w:val="singleLevel"/>
    <w:tmpl w:val="F3572D57"/>
    <w:lvl w:ilvl="0">
      <w:start w:val="2"/>
      <w:numFmt w:val="chineseCounting"/>
      <w:lvlRestart w:val="0"/>
      <w:suff w:val="nothing"/>
      <w:lvlText w:val="（%1）"/>
      <w:lvlJc w:val="left"/>
      <w:pPr/>
      <w:rPr>
        <w:rFonts w:hint="eastAsia"/>
      </w:rPr>
    </w:lvl>
  </w:abstractNum>
  <w:abstractNum w:abstractNumId="5">
    <w:nsid w:val="568C10CD"/>
    <w:multiLevelType w:val="singleLevel"/>
    <w:tmpl w:val="568C10CD"/>
    <w:lvl w:ilvl="0">
      <w:start w:val="1"/>
      <w:numFmt w:val="chineseCounting"/>
      <w:lvlRestart w:val="0"/>
      <w:suff w:val="nothing"/>
      <w:lvlText w:val="（%1）"/>
      <w:lvlJc w:val="left"/>
      <w:pPr/>
      <w:rPr>
        <w:rFonts w:hint="eastAsia"/>
      </w:rPr>
    </w:lvl>
  </w:abstractNum>
  <w:abstractNum w:abstractNumId="6">
    <w:nsid w:val="0CB74F16"/>
    <w:multiLevelType w:val="singleLevel"/>
    <w:tmpl w:val="0CB74F16"/>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6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MGIyNjA1ZjAzNjM1MmIwZTRhMTljNmE3MmRkNGNjMzI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character" w:default="1" w:styleId="10">
    <w:name w:val="Default Paragraph Font"/>
    <w:qFormat/>
  </w:style>
  <w:style w:type="paragraph" w:styleId="15">
    <w:name w:val="Body Text"/>
    <w:qFormat/>
    <w:basedOn w:val="0"/>
    <w:pPr>
      <w:spacing w:beforeLines="30" w:before="30"/>
    </w:pPr>
    <w:rPr>
      <w:rFonts w:ascii="仿宋_GB2312" w:eastAsia="仿宋_GB2312"/>
      <w:kern w:val="0"/>
      <w:sz w:val="30"/>
    </w:rPr>
  </w:style>
  <w:style w:type="paragraph" w:styleId="16">
    <w:name w:val="Salutation"/>
    <w:qFormat/>
    <w:basedOn w:val="0"/>
    <w:next w:val="0"/>
  </w:style>
  <w:style w:type="paragraph" w:styleId="17">
    <w:name w:val="Body Text Indent"/>
    <w:qFormat/>
    <w:basedOn w:val="0"/>
    <w:pPr>
      <w:ind w:leftChars="200" w:left="200"/>
    </w:pPr>
    <w:rPr>
      <w:rFonts w:ascii="Calibri" w:eastAsia="宋体" w:cs="Times New Roman" w:hAnsi="Calibri"/>
    </w:rPr>
  </w:style>
  <w:style w:type="paragraph" w:styleId="18">
    <w:name w:val="toc 3"/>
    <w:qFormat/>
    <w:basedOn w:val="0"/>
    <w:next w:val="0"/>
    <w:pPr>
      <w:tabs>
        <w:tab w:val="right" w:leader="dot" w:pos="8296"/>
      </w:tabs>
      <w:ind w:leftChars="400" w:left="400"/>
    </w:pPr>
  </w:style>
  <w:style w:type="paragraph" w:styleId="19">
    <w:name w:val="Plain Text"/>
    <w:qFormat/>
    <w:basedOn w:val="0"/>
    <w:next w:val="0"/>
    <w:rPr>
      <w:rFonts w:ascii="宋体" w:eastAsia="仿宋" w:hAnsi="Courier New"/>
      <w:kern w:val="0"/>
      <w:sz w:val="32"/>
      <w:szCs w:val="21"/>
    </w:rPr>
  </w:style>
  <w:style w:type="paragraph" w:styleId="20">
    <w:name w:val="Balloon Text"/>
    <w:qFormat/>
    <w:basedOn w:val="0"/>
    <w:rPr>
      <w:sz w:val="18"/>
      <w:szCs w:val="18"/>
    </w:rPr>
  </w:style>
  <w:style w:type="paragraph" w:styleId="21">
    <w:name w:val="footer"/>
    <w:qFormat/>
    <w:basedOn w:val="0"/>
    <w:pPr>
      <w:tabs>
        <w:tab w:val="center" w:pos="4153"/>
        <w:tab w:val="right" w:pos="8306"/>
      </w:tabs>
      <w:snapToGrid w:val="0"/>
      <w:jc w:val="left"/>
    </w:pPr>
    <w:rPr>
      <w:rFonts w:ascii="Calibri" w:hAnsi="Calibri"/>
      <w:kern w:val="0"/>
      <w:sz w:val="18"/>
      <w:szCs w:val="18"/>
    </w:rPr>
  </w:style>
  <w:style w:type="paragraph" w:styleId="22">
    <w:name w:val="header"/>
    <w:qFormat/>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qFormat/>
    <w:basedOn w:val="0"/>
    <w:next w:val="0"/>
    <w:pPr>
      <w:tabs>
        <w:tab w:val="right" w:leader="dot" w:pos="8296"/>
      </w:tabs>
      <w:spacing w:before="93"/>
      <w:jc w:val="center"/>
    </w:pPr>
    <w:rPr>
      <w:rFonts w:ascii="仿宋" w:eastAsia="仿宋" w:hAnsi="仿宋"/>
      <w:sz w:val="28"/>
      <w:szCs w:val="28"/>
    </w:rPr>
  </w:style>
  <w:style w:type="paragraph" w:styleId="24">
    <w:name w:val="toc 2"/>
    <w:qFormat/>
    <w:basedOn w:val="0"/>
    <w:next w:val="0"/>
    <w:pPr>
      <w:tabs>
        <w:tab w:val="right" w:leader="dot" w:pos="8296"/>
      </w:tabs>
      <w:ind w:leftChars="200" w:left="200"/>
    </w:pPr>
  </w:style>
  <w:style w:type="paragraph" w:styleId="25">
    <w:name w:val="Normal (Web)"/>
    <w:qFormat/>
    <w:basedOn w:val="0"/>
    <w:pPr>
      <w:spacing w:before="100" w:beforeAutospacing="1" w:after="100" w:afterAutospacing="1"/>
      <w:ind w:left="0" w:right="0"/>
      <w:jc w:val="left"/>
    </w:pPr>
    <w:rPr>
      <w:kern w:val="0"/>
      <w:sz w:val="24"/>
      <w:lang w:val="en-US" w:eastAsia="zh-CN"/>
    </w:rPr>
  </w:style>
  <w:style w:type="paragraph" w:styleId="26">
    <w:name w:val="Body Text First Indent 2"/>
    <w:qFormat/>
    <w:basedOn w:val="17"/>
    <w:next w:val="0"/>
    <w:pPr>
      <w:ind w:firstLineChars="200" w:firstLine="200"/>
    </w:pPr>
    <w:rPr>
      <w:rFonts w:ascii="Calibri" w:eastAsia="宋体" w:cs="Times New Roman" w:hAnsi="Calibri"/>
    </w:rPr>
  </w:style>
  <w:style w:type="character" w:styleId="27">
    <w:name w:val="Strong"/>
    <w:qFormat/>
    <w:basedOn w:val="10"/>
    <w:rPr>
      <w:b/>
    </w:rPr>
  </w:style>
  <w:style w:type="character" w:styleId="28">
    <w:name w:val="Hyperlink"/>
    <w:qFormat/>
    <w:basedOn w:val="10"/>
    <w:rPr>
      <w:color w:val="0000FF"/>
      <w:u w:val="single"/>
      <w14:textFill xmlns:w14="http://schemas.microsoft.com/office/word/2010/wordml">
        <w14:solidFill>
          <w14:srgbClr w14:val="0000FF"/>
        </w14:solidFill>
      </w14:textFill>
    </w:rPr>
  </w:style>
  <w:style w:type="character" w:customStyle="1" w:styleId="29">
    <w:name w:val="Header Char"/>
    <w:qFormat/>
    <w:basedOn w:val="10"/>
    <w:rPr>
      <w:rFonts w:ascii="Times New Roman" w:hAnsi="Times New Roman"/>
      <w:sz w:val="18"/>
      <w:szCs w:val="18"/>
    </w:rPr>
  </w:style>
  <w:style w:type="character" w:customStyle="1" w:styleId="30">
    <w:name w:val="Footer Char"/>
    <w:qFormat/>
    <w:basedOn w:val="10"/>
    <w:rPr>
      <w:rFonts w:ascii="Times New Roman" w:hAnsi="Times New Roman"/>
      <w:sz w:val="18"/>
      <w:szCs w:val="18"/>
    </w:rPr>
  </w:style>
  <w:style w:type="character" w:customStyle="1" w:styleId="31">
    <w:name w:val="Body Text Char"/>
    <w:qFormat/>
    <w:basedOn w:val="10"/>
    <w:rPr>
      <w:rFonts w:ascii="Times New Roman" w:hAnsi="Times New Roman"/>
      <w:szCs w:val="24"/>
    </w:rPr>
  </w:style>
  <w:style w:type="paragraph" w:customStyle="1" w:styleId="32">
    <w:name w:val="Default"/>
    <w:qForma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3">
    <w:name w:val="List Paragraph"/>
    <w:qFormat/>
    <w:basedOn w:val="0"/>
    <w:pPr>
      <w:ind w:firstLineChars="200" w:firstLine="200"/>
    </w:pPr>
  </w:style>
  <w:style w:type="paragraph" w:customStyle="1" w:styleId="34">
    <w:name w:val="TOC 标题1"/>
    <w:qFormat/>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TOC Heading"/>
    <w:qFormat/>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header" Target="header1.xml"/><Relationship Id="rId15" Type="http://schemas.openxmlformats.org/officeDocument/2006/relationships/footer" Target="footer6.xml"/><Relationship Id="rId16" Type="http://schemas.openxmlformats.org/officeDocument/2006/relationships/styles" Target="styles.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customXml" Target="../customXml/item1.xml"/><Relationship Id="rId2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800" b="1" i="0" u="none" strike="noStrike" baseline="0">
                <a:solidFill>
                  <a:srgbClr val="000000"/>
                </a:solidFill>
                <a:latin typeface="Times New Roman"/>
                <a:ea typeface="宋体"/>
                <a:cs typeface="Lucida Sans"/>
              </a:defRPr>
            </a:pPr>
            <a:r>
              <a:rPr lang="zh-CN"/>
              <a:t> </a:t>
            </a:r>
          </a:p>
        </c:rich>
      </c:tx>
      <c:layout>
        <c:manualLayout>
          <c:xMode val="edge"/>
          <c:yMode val="edge"/>
          <c:x val="0.34586328"/>
          <c:y val="0.008255366"/>
        </c:manualLayout>
      </c:layout>
      <c:overlay val="0"/>
      <c:spPr>
        <a:noFill/>
        <a:ln>
          <a:noFill/>
        </a:ln>
      </c:spPr>
    </c:title>
    <c:autoTitleDeleted val="1"/>
    <c:plotArea>
      <c:layout>
        <c:manualLayout>
          <c:layoutTarget val="inner"/>
          <c:xMode val="edge"/>
          <c:yMode val="edge"/>
          <c:x val="0.004750594"/>
          <c:y val="0.008255366"/>
          <c:w val="0.9179451"/>
          <c:h val="0.65434957"/>
        </c:manualLayout>
      </c:layout>
      <c:barChart>
        <c:barDir val="col"/>
        <c:grouping val="clustered"/>
        <c:varyColors val="0"/>
        <c:ser>
          <c:idx val="0"/>
          <c:order val="0"/>
          <c:tx>
            <c:strRef>
              <c:f>Sheet1!$B$1</c:f>
              <c:strCache>
                <c:ptCount val="1"/>
                <c:pt idx="0">
                  <c:v>收入</c:v>
                </c:pt>
              </c:strCache>
            </c:strRef>
          </c:tx>
          <c:spPr>
            <a:solidFill>
              <a:srgbClr val="4F81BD">
                <a:alpha val="85000"/>
              </a:srgbClr>
            </a:solidFill>
            <a:ln w="12700">
              <a:solidFill>
                <a:srgbClr val="FFFFFF"/>
              </a:solidFill>
              <a:prstDash val="solid"/>
            </a:ln>
          </c:spPr>
          <c:invertIfNegative val="0"/>
          <c:dLbls>
            <c:spPr>
              <a:noFill/>
              <a:ln>
                <a:noFill/>
              </a:ln>
            </c:spPr>
            <c:txPr>
              <a:bodyPr vert="horz" anchor="ctr"/>
              <a:lstStyle/>
              <a:p>
                <a:pPr algn="ctr">
                  <a:defRPr sz="900" b="1" i="0" u="none" strike="noStrike" baseline="0">
                    <a:solidFill>
                      <a:srgbClr val="FFFFFF"/>
                    </a:solidFill>
                    <a:latin typeface="Calibri"/>
                    <a:ea typeface="宋体"/>
                    <a:cs typeface="Lucida Sans"/>
                  </a:defRPr>
                </a:pPr>
                <a:endParaRPr lang="zh-CN"/>
              </a:p>
            </c:txPr>
            <c:numFmt formatCode="General" sourceLinked="1"/>
            <c:dLblPos val="in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numRef>
              <c:f>Sheet1!$A$2:$A$3</c:f>
              <c:numCache>
                <c:formatCode>General</c:formatCode>
                <c:ptCount val="2"/>
                <c:pt idx="0">
                  <c:v>2020</c:v>
                </c:pt>
                <c:pt idx="1">
                  <c:v>2021</c:v>
                </c:pt>
              </c:numCache>
            </c:numRef>
          </c:cat>
          <c:val>
            <c:numRef>
              <c:f>Sheet1!$B$2:$B$3</c:f>
              <c:numCache>
                <c:formatCode>General</c:formatCode>
                <c:ptCount val="2"/>
                <c:pt idx="0">
                  <c:v>2259.59</c:v>
                </c:pt>
                <c:pt idx="1">
                  <c:v>1920.5</c:v>
                </c:pt>
              </c:numCache>
            </c:numRef>
          </c:val>
        </c:ser>
        <c:ser>
          <c:idx val="1"/>
          <c:order val="1"/>
          <c:tx>
            <c:strRef>
              <c:f>Sheet1!$C$1</c:f>
              <c:strCache>
                <c:ptCount val="1"/>
                <c:pt idx="0">
                  <c:v>支出</c:v>
                </c:pt>
              </c:strCache>
            </c:strRef>
          </c:tx>
          <c:spPr>
            <a:solidFill>
              <a:srgbClr val="C0504D">
                <a:alpha val="85000"/>
              </a:srgbClr>
            </a:solidFill>
            <a:ln w="12700">
              <a:solidFill>
                <a:srgbClr val="FFFFFF"/>
              </a:solidFill>
              <a:prstDash val="solid"/>
            </a:ln>
          </c:spPr>
          <c:invertIfNegative val="0"/>
          <c:dLbls>
            <c:spPr>
              <a:noFill/>
              <a:ln>
                <a:noFill/>
              </a:ln>
            </c:spPr>
            <c:txPr>
              <a:bodyPr vert="horz" anchor="ctr"/>
              <a:lstStyle/>
              <a:p>
                <a:pPr algn="ctr">
                  <a:defRPr sz="900" b="1" i="0" u="none" strike="noStrike" baseline="0">
                    <a:solidFill>
                      <a:srgbClr val="FFFFFF"/>
                    </a:solidFill>
                    <a:latin typeface="Calibri"/>
                    <a:ea typeface="宋体"/>
                    <a:cs typeface="Lucida Sans"/>
                  </a:defRPr>
                </a:pPr>
                <a:endParaRPr lang="zh-CN"/>
              </a:p>
            </c:txPr>
            <c:numFmt formatCode="General" sourceLinked="1"/>
            <c:dLblPos val="in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numRef>
              <c:f>Sheet1!$A$2:$A$3</c:f>
              <c:numCache>
                <c:formatCode>General</c:formatCode>
                <c:ptCount val="2"/>
                <c:pt idx="0">
                  <c:v>2020</c:v>
                </c:pt>
                <c:pt idx="1">
                  <c:v>2021</c:v>
                </c:pt>
              </c:numCache>
            </c:numRef>
          </c:cat>
          <c:val>
            <c:numRef>
              <c:f>Sheet1!$C$2:$C$3</c:f>
              <c:numCache>
                <c:formatCode>General</c:formatCode>
                <c:ptCount val="2"/>
                <c:pt idx="0">
                  <c:v>2259.58</c:v>
                </c:pt>
                <c:pt idx="1">
                  <c:v>1920.5</c:v>
                </c:pt>
              </c:numCache>
            </c:numRef>
          </c:val>
        </c:ser>
        <c:gapWidth val="65"/>
        <c:axId val="0"/>
        <c:axId val="1"/>
      </c:barChart>
      <c:catAx>
        <c:axId val="0"/>
        <c:scaling>
          <c:orientation val="minMax"/>
        </c:scaling>
        <c:delete val="0"/>
        <c:axPos val="b"/>
        <c:numFmt formatCode="General" sourceLinked="1"/>
        <c:majorTickMark val="none"/>
        <c:minorTickMark val="none"/>
        <c:tickLblPos val="nextTo"/>
        <c:spPr>
          <a:ln w="19050">
            <a:solidFill>
              <a:srgbClr val="404040"/>
            </a:solidFill>
            <a:prstDash val="solid"/>
          </a:ln>
        </c:spPr>
        <c:txPr>
          <a:bodyPr/>
          <a:lstStyle/>
          <a:p>
            <a:pPr>
              <a:defRPr sz="900" b="0" i="0" u="none" strike="noStrike" cap="all" baseline="0">
                <a:solidFill>
                  <a:srgbClr val="404040"/>
                </a:solidFill>
                <a:latin typeface="Calibri"/>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12700">
              <a:solidFill>
                <a:srgbClr val="868686"/>
              </a:solidFill>
              <a:prstDash val="solid"/>
            </a:ln>
          </c:spPr>
        </c:majorGridlines>
        <c:numFmt formatCode="General" sourceLinked="1"/>
        <c:majorTickMark val="none"/>
        <c:minorTickMark val="none"/>
        <c:tickLblPos val="nextTo"/>
        <c:txPr>
          <a:bodyPr/>
          <a:lstStyle/>
          <a:p>
            <a:pPr>
              <a:defRPr sz="900" b="0" i="0" u="none" strike="noStrike" baseline="0">
                <a:solidFill>
                  <a:srgbClr val="404040"/>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solidFill>
          <a:srgbClr val="F2F2F2">
            <a:alpha val="39000"/>
          </a:srgbClr>
        </a:solidFill>
        <a:ln>
          <a:noFill/>
        </a:ln>
      </c:spPr>
      <c:txPr>
        <a:bodyPr/>
        <a:lstStyle/>
        <a:p>
          <a:pPr>
            <a:defRPr sz="900" b="0" i="0" u="none" strike="noStrike" baseline="0">
              <a:solidFill>
                <a:srgbClr val="404040"/>
              </a:solidFill>
              <a:latin typeface="Calibri"/>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1270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0"/>
        <c:ser>
          <c:idx val="0"/>
          <c:order val="0"/>
          <c:tx>
            <c:strRef>
              <c:f>Sheet1!$B$1</c:f>
              <c:strCache>
                <c:ptCount val="1"/>
                <c:pt idx="0">
                  <c:v>销售额</c:v>
                </c:pt>
              </c:strCache>
            </c:strRef>
          </c:tx>
          <c:spPr>
            <a:solidFill>
              <a:srgbClr val="4F81BD"/>
            </a:solidFill>
          </c:spPr>
          <c:dPt>
            <c:idx val="0"/>
            <c:bubble3D val="0"/>
            <c:spPr>
              <a:solidFill>
                <a:srgbClr val="4F81BD"/>
              </a:solidFill>
              <a:ln>
                <a:noFill/>
              </a:ln>
              <a:effectLst>
                <a:outerShdw dist="35921" dir="2700000" algn="br">
                  <a:srgbClr val="000000"/>
                </a:outerShdw>
              </a:effectLst>
            </c:spPr>
          </c:dPt>
          <c:dLbls>
            <c:spPr>
              <a:pattFill prst="pct75">
                <a:fgClr>
                  <a:srgbClr val="404040"/>
                </a:fgClr>
                <a:bgClr>
                  <a:srgbClr val="595959"/>
                </a:bgClr>
              </a:pattFill>
              <a:ln>
                <a:noFill/>
              </a:ln>
            </c:spPr>
            <c:txPr>
              <a:bodyPr vert="horz" anchor="ctr"/>
              <a:lstStyle/>
              <a:p>
                <a:pPr algn="ctr">
                  <a:defRPr sz="1000" b="1" i="0" u="none" strike="noStrike" baseline="0">
                    <a:solidFill>
                      <a:srgbClr val="FFFFFF"/>
                    </a:solidFill>
                    <a:latin typeface="Calibri"/>
                    <a:ea typeface="宋体"/>
                    <a:cs typeface="Lucida Sans"/>
                  </a:defRPr>
                </a:pPr>
                <a:endParaRPr lang="zh-CN"/>
              </a:p>
            </c:txPr>
            <c:numFmt formatCode="0%" sourceLinked="0"/>
            <c:dLbl>
              <c:idx val="0"/>
              <c:layout>
                <c:manualLayout>
                  <c:x val="0.009023074"/>
                  <c:y val="-0.2802033"/>
                </c:manualLayout>
              </c:layout>
              <c:numFmt formatCode="0%" sourceLinked="0"/>
              <c:spPr>
                <a:pattFill prst="pct75">
                  <a:fgClr>
                    <a:srgbClr val="404040"/>
                  </a:fgClr>
                  <a:bgClr>
                    <a:srgbClr val="595959"/>
                  </a:bgClr>
                </a:pattFill>
                <a:ln>
                  <a:noFill/>
                </a:ln>
              </c:spPr>
              <c:txPr>
                <a:bodyPr vert="horz" anchor="ctr"/>
                <a:lstStyle/>
                <a:p>
                  <a:pPr algn="ctr">
                    <a:defRPr sz="1000" b="1" i="0" u="none" strike="noStrike" baseline="0">
                      <a:solidFill>
                        <a:srgbClr val="FFFFFF"/>
                      </a:solidFill>
                      <a:latin typeface="Calibri"/>
                      <a:ea typeface="宋体"/>
                      <a:cs typeface="Lucida Sans"/>
                    </a:defRPr>
                  </a:pPr>
                  <a:endParaRPr lang="zh-CN"/>
                </a:p>
              </c:txPr>
              <c:dLblPos val="bestFit"/>
              <c:tx>
                <c:rich>
                  <a:bodyPr vert="horz"/>
                  <a:lstStyle/>
                  <a:p>
                    <a:pPr>
                      <a:defRPr sz="1000" b="1" i="0" u="none" strike="noStrike" baseline="0">
                        <a:solidFill>
                          <a:srgbClr val="FFFFFF"/>
                        </a:solidFill>
                        <a:latin typeface="Calibri"/>
                        <a:ea typeface="宋体"/>
                        <a:cs typeface="Lucida Sans"/>
                      </a:defRPr>
                    </a:pPr>
                    <a:r>
                      <a:rPr lang="zh-CN" sz="1000" b="1" i="0" u="none" strike="noStrike" baseline="0">
                        <a:solidFill>
                          <a:srgbClr val="FFFFFF"/>
                        </a:solidFill>
                        <a:latin typeface="Calibri"/>
                        <a:ea typeface="宋体"/>
                        <a:cs typeface="Lucida Sans"/>
                      </a:rPr>
                      <a:t>100</a:t>
                    </a:r>
                    <a:r>
                      <a:rPr lang="zh-CN" sz="1000" b="1" i="0" u="none" strike="noStrike" baseline="0">
                        <a:solidFill>
                          <a:srgbClr val="FFFFFF"/>
                        </a:solidFill>
                        <a:latin typeface="Calibri"/>
                        <a:ea typeface="宋体"/>
                        <a:cs typeface="Lucida Sans"/>
                      </a:rPr>
                      <a:t>%</a:t>
                    </a:r>
                  </a:p>
                </c:rich>
              </c:tx>
              <c:showLegendKey val="0"/>
              <c:showVal val="0"/>
              <c:showCatName val="0"/>
              <c:showSerName val="0"/>
              <c:showPercent val="1"/>
              <c:showBubbleSize val="0"/>
            </c:dLbl>
            <c:dLblPos val="ctr"/>
            <c:showLegendKey val="0"/>
            <c:showVal val="0"/>
            <c:showCatName val="0"/>
            <c:showSerName val="0"/>
            <c:showPercent val="1"/>
            <c:showBubbleSize val="0"/>
            <c:showLeaderLines val="1"/>
          </c:dLbls>
          <c:cat>
            <c:strRef>
              <c:f>Sheet1!$A$2</c:f>
              <c:strCache>
                <c:ptCount val="1"/>
                <c:pt idx="0">
                  <c:v>一般公共预算财政拨款收入</c:v>
                </c:pt>
              </c:strCache>
            </c:strRef>
          </c:cat>
          <c:val>
            <c:numRef>
              <c:f>Sheet1!$B$2</c:f>
              <c:numCache>
                <c:formatCode>General</c:formatCode>
                <c:ptCount val="1"/>
                <c:pt idx="0">
                  <c:v>1920.5</c:v>
                </c:pt>
              </c:numCache>
            </c:numRef>
          </c:val>
        </c:ser>
        <c:firstSliceAng val="0"/>
      </c:pieChart>
      <c:spPr>
        <a:noFill/>
        <a:ln>
          <a:noFill/>
        </a:ln>
      </c:spPr>
    </c:plotArea>
    <c:legend>
      <c:legendPos val="r"/>
      <c:layout/>
      <c:overlay val="0"/>
      <c:spPr>
        <a:solidFill>
          <a:srgbClr val="F2F2F2">
            <a:alpha val="39000"/>
          </a:srgbClr>
        </a:solidFill>
        <a:ln>
          <a:noFill/>
        </a:ln>
      </c:spPr>
      <c:txPr>
        <a:bodyPr/>
        <a:lstStyle/>
        <a:p>
          <a:pPr>
            <a:defRPr sz="900" b="0" i="0" u="none" strike="noStrike" baseline="0">
              <a:solidFill>
                <a:srgbClr val="404040"/>
              </a:solidFill>
              <a:latin typeface="Calibri"/>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1270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0"/>
        <c:ser>
          <c:idx val="0"/>
          <c:order val="0"/>
          <c:tx>
            <c:strRef>
              <c:f>Sheet1!$B$1</c:f>
              <c:strCache>
                <c:ptCount val="1"/>
                <c:pt idx="0">
                  <c:v>销售额</c:v>
                </c:pt>
              </c:strCache>
            </c:strRef>
          </c:tx>
          <c:spPr>
            <a:solidFill>
              <a:srgbClr val="4F81BD"/>
            </a:solidFill>
          </c:spPr>
          <c:dPt>
            <c:idx val="0"/>
            <c:bubble3D val="0"/>
            <c:spPr>
              <a:solidFill>
                <a:srgbClr val="4F81BD"/>
              </a:solidFill>
              <a:ln>
                <a:noFill/>
              </a:ln>
              <a:effectLst>
                <a:outerShdw dist="35921" dir="2700000" algn="br">
                  <a:srgbClr val="000000"/>
                </a:outerShdw>
              </a:effectLst>
            </c:spPr>
          </c:dPt>
          <c:dPt>
            <c:idx val="1"/>
            <c:bubble3D val="0"/>
            <c:spPr>
              <a:solidFill>
                <a:srgbClr val="C0504D"/>
              </a:solidFill>
              <a:ln>
                <a:noFill/>
              </a:ln>
              <a:effectLst>
                <a:outerShdw dist="35921" dir="2700000" algn="br">
                  <a:srgbClr val="000000"/>
                </a:outerShdw>
              </a:effectLst>
            </c:spPr>
          </c:dPt>
          <c:dLbls>
            <c:spPr>
              <a:pattFill prst="pct75">
                <a:fgClr>
                  <a:srgbClr val="404040"/>
                </a:fgClr>
                <a:bgClr>
                  <a:srgbClr val="595959"/>
                </a:bgClr>
              </a:pattFill>
              <a:ln>
                <a:noFill/>
              </a:ln>
            </c:spPr>
            <c:txPr>
              <a:bodyPr vert="horz" anchor="ctr"/>
              <a:lstStyle/>
              <a:p>
                <a:pPr algn="ctr">
                  <a:defRPr sz="1000" b="1" i="0" u="none" strike="noStrike" baseline="0">
                    <a:solidFill>
                      <a:srgbClr val="FFFFFF"/>
                    </a:solidFill>
                    <a:latin typeface="Calibri"/>
                    <a:ea typeface="宋体"/>
                    <a:cs typeface="Lucida Sans"/>
                  </a:defRPr>
                </a:pPr>
                <a:endParaRPr lang="zh-CN"/>
              </a:p>
            </c:txPr>
            <c:numFmt formatCode="0%" sourceLinked="0"/>
            <c:dLbl>
              <c:idx val="0"/>
              <c:numFmt formatCode="0%" sourceLinked="0"/>
              <c:spPr>
                <a:pattFill prst="pct75">
                  <a:fgClr>
                    <a:srgbClr val="404040"/>
                  </a:fgClr>
                  <a:bgClr>
                    <a:srgbClr val="595959"/>
                  </a:bgClr>
                </a:pattFill>
                <a:ln>
                  <a:noFill/>
                </a:ln>
              </c:spPr>
              <c:txPr>
                <a:bodyPr vert="horz" anchor="ctr"/>
                <a:lstStyle/>
                <a:p>
                  <a:pPr algn="ctr">
                    <a:defRPr sz="1000" b="1" i="0" u="none" strike="noStrike" baseline="0">
                      <a:solidFill>
                        <a:srgbClr val="FFFFFF"/>
                      </a:solidFill>
                      <a:latin typeface="Calibri"/>
                      <a:ea typeface="宋体"/>
                      <a:cs typeface="Lucida Sans"/>
                    </a:defRPr>
                  </a:pPr>
                  <a:endParaRPr lang="zh-CN"/>
                </a:p>
              </c:txPr>
              <c:dLblPos val="ctr"/>
              <c:tx>
                <c:rich>
                  <a:bodyPr vert="horz"/>
                  <a:lstStyle/>
                  <a:p>
                    <a:pPr>
                      <a:defRPr sz="1000" b="1" i="0" u="none" strike="noStrike" baseline="0">
                        <a:solidFill>
                          <a:srgbClr val="FFFFFF"/>
                        </a:solidFill>
                        <a:latin typeface="Calibri"/>
                        <a:ea typeface="宋体"/>
                        <a:cs typeface="Lucida Sans"/>
                      </a:defRPr>
                    </a:pPr>
                    <a:r>
                      <a:rPr lang="zh-CN" sz="1000" b="1" i="0" u="none" strike="noStrike" baseline="0">
                        <a:solidFill>
                          <a:srgbClr val="FFFFFF"/>
                        </a:solidFill>
                        <a:latin typeface="Calibri"/>
                        <a:ea typeface="宋体"/>
                        <a:cs typeface="Lucida Sans"/>
                      </a:rPr>
                      <a:t>87.29</a:t>
                    </a:r>
                    <a:r>
                      <a:rPr lang="zh-CN" sz="1000" b="1" i="0" u="none" strike="noStrike" baseline="0">
                        <a:solidFill>
                          <a:srgbClr val="FFFFFF"/>
                        </a:solidFill>
                        <a:latin typeface="Calibri"/>
                        <a:ea typeface="宋体"/>
                        <a:cs typeface="Lucida Sans"/>
                      </a:rPr>
                      <a:t>%</a:t>
                    </a:r>
                  </a:p>
                </c:rich>
              </c:tx>
              <c:showLegendKey val="0"/>
              <c:showVal val="0"/>
              <c:showCatName val="0"/>
              <c:showSerName val="0"/>
              <c:showPercent val="1"/>
              <c:showBubbleSize val="0"/>
            </c:dLbl>
            <c:dLbl>
              <c:idx val="1"/>
              <c:numFmt formatCode="0%" sourceLinked="0"/>
              <c:spPr>
                <a:pattFill prst="pct75">
                  <a:fgClr>
                    <a:srgbClr val="404040"/>
                  </a:fgClr>
                  <a:bgClr>
                    <a:srgbClr val="595959"/>
                  </a:bgClr>
                </a:pattFill>
                <a:ln>
                  <a:noFill/>
                </a:ln>
              </c:spPr>
              <c:txPr>
                <a:bodyPr vert="horz" anchor="ctr"/>
                <a:lstStyle/>
                <a:p>
                  <a:pPr algn="ctr">
                    <a:defRPr sz="1000" b="1" i="0" u="none" strike="noStrike" baseline="0">
                      <a:solidFill>
                        <a:srgbClr val="FFFFFF"/>
                      </a:solidFill>
                      <a:latin typeface="Calibri"/>
                      <a:ea typeface="宋体"/>
                      <a:cs typeface="Lucida Sans"/>
                    </a:defRPr>
                  </a:pPr>
                  <a:endParaRPr lang="zh-CN"/>
                </a:p>
              </c:txPr>
              <c:dLblPos val="ctr"/>
              <c:tx>
                <c:rich>
                  <a:bodyPr vert="horz"/>
                  <a:lstStyle/>
                  <a:p>
                    <a:pPr>
                      <a:defRPr sz="1000" b="1" i="0" u="none" strike="noStrike" baseline="0">
                        <a:solidFill>
                          <a:srgbClr val="FFFFFF"/>
                        </a:solidFill>
                        <a:latin typeface="Calibri"/>
                        <a:ea typeface="宋体"/>
                        <a:cs typeface="Lucida Sans"/>
                      </a:defRPr>
                    </a:pPr>
                    <a:r>
                      <a:rPr lang="zh-CN" sz="1000" b="1" i="0" u="none" strike="noStrike" baseline="0">
                        <a:solidFill>
                          <a:srgbClr val="FFFFFF"/>
                        </a:solidFill>
                        <a:latin typeface="Calibri"/>
                        <a:ea typeface="宋体"/>
                        <a:cs typeface="Lucida Sans"/>
                      </a:rPr>
                      <a:t>12.71</a:t>
                    </a:r>
                    <a:r>
                      <a:rPr lang="zh-CN" sz="1000" b="1" i="0" u="none" strike="noStrike" baseline="0">
                        <a:solidFill>
                          <a:srgbClr val="FFFFFF"/>
                        </a:solidFill>
                        <a:latin typeface="Calibri"/>
                        <a:ea typeface="宋体"/>
                        <a:cs typeface="Lucida Sans"/>
                      </a:rPr>
                      <a:t>%</a:t>
                    </a:r>
                  </a:p>
                </c:rich>
              </c:tx>
              <c:showLegendKey val="0"/>
              <c:showVal val="0"/>
              <c:showCatName val="0"/>
              <c:showSerName val="0"/>
              <c:showPercent val="1"/>
              <c:showBubbleSize val="0"/>
            </c:dLbl>
            <c:dLblPos val="ctr"/>
            <c:showLegendKey val="0"/>
            <c:showVal val="0"/>
            <c:showCatName val="0"/>
            <c:showSerName val="0"/>
            <c:showPercent val="1"/>
            <c:showBubbleSize val="0"/>
            <c:showLeaderLines val="1"/>
          </c:dLbls>
          <c:cat>
            <c:strRef>
              <c:f>Sheet1!$A$2:$A$3</c:f>
              <c:strCache>
                <c:ptCount val="2"/>
                <c:pt idx="0">
                  <c:v>基本支出</c:v>
                </c:pt>
                <c:pt idx="1">
                  <c:v>项目支出</c:v>
                </c:pt>
              </c:strCache>
            </c:strRef>
          </c:cat>
          <c:val>
            <c:numRef>
              <c:f>Sheet1!$B$2:$B$3</c:f>
              <c:numCache>
                <c:formatCode>General</c:formatCode>
                <c:ptCount val="2"/>
                <c:pt idx="0">
                  <c:v>1529.9</c:v>
                </c:pt>
                <c:pt idx="1">
                  <c:v>222.86</c:v>
                </c:pt>
              </c:numCache>
            </c:numRef>
          </c:val>
        </c:ser>
        <c:firstSliceAng val="0"/>
      </c:pieChart>
      <c:spPr>
        <a:noFill/>
        <a:ln>
          <a:noFill/>
        </a:ln>
      </c:spPr>
    </c:plotArea>
    <c:legend>
      <c:legendPos val="r"/>
      <c:layout>
        <c:manualLayout>
          <c:xMode val="edge"/>
          <c:yMode val="edge"/>
          <c:x val="0.7751692"/>
          <c:y val="0.38678288"/>
          <c:w val="0.20825852"/>
          <c:h val="0.17494425"/>
        </c:manualLayout>
      </c:layout>
      <c:overlay val="0"/>
      <c:spPr>
        <a:solidFill>
          <a:srgbClr val="F2F2F2">
            <a:alpha val="39000"/>
          </a:srgbClr>
        </a:solidFill>
        <a:ln>
          <a:noFill/>
        </a:ln>
      </c:spPr>
      <c:txPr>
        <a:bodyPr/>
        <a:lstStyle/>
        <a:p>
          <a:pPr>
            <a:defRPr sz="900" b="0" i="0" u="none" strike="noStrike" baseline="0">
              <a:solidFill>
                <a:srgbClr val="404040"/>
              </a:solidFill>
              <a:latin typeface="Calibri"/>
              <a:ea typeface="宋体"/>
              <a:cs typeface="Lucida Sans"/>
            </a:defRPr>
          </a:pPr>
          <a:endParaRPr lang="zh-CN"/>
        </a:p>
      </c:txPr>
    </c:legend>
    <c:plotVisOnly val="1"/>
    <c:dispBlanksAs val="gap"/>
    <c:showDLblsOverMax val="0"/>
  </c:chart>
  <c:spPr>
    <a:gradFill rotWithShape="1">
      <a:gsLst>
        <a:gs pos="0">
          <a:srgbClr val="FFFFFF">
            <a:alpha val="100000"/>
          </a:srgbClr>
        </a:gs>
        <a:gs pos="39000">
          <a:srgbClr val="FFFFFF">
            <a:alpha val="100000"/>
          </a:srgbClr>
        </a:gs>
        <a:gs pos="100000">
          <a:srgbClr val="BFBFBF">
            <a:alpha val="100000"/>
          </a:srgbClr>
        </a:gs>
      </a:gsLst>
      <a:path path="circle">
        <a:fillToRect l="100000" t="100000"/>
      </a:path>
      <a:tileRect r="-100000" b="-100000"/>
    </a:gradFill>
    <a:ln w="12700">
      <a:solidFill>
        <a:srgbClr val="BFBFBF"/>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收入</c:v>
                </c:pt>
              </c:strCache>
            </c:strRef>
          </c:tx>
          <c:spPr>
            <a:solidFill>
              <a:srgbClr val="4F81BD"/>
            </a:solidFill>
            <a:ln>
              <a:noFill/>
            </a:ln>
          </c:spPr>
          <c:invertIfNegative val="0"/>
          <c:dLbls>
            <c:showLegendKey val="0"/>
            <c:showVal val="0"/>
            <c:showCatName val="0"/>
            <c:showSerName val="0"/>
            <c:showPercent val="0"/>
            <c:showBubbleSize val="0"/>
            <c:showLeaderLines val="0"/>
          </c:dLbls>
          <c:cat>
            <c:numRef>
              <c:f>Sheet1!$A$2:$A$3</c:f>
              <c:numCache>
                <c:formatCode>General</c:formatCode>
                <c:ptCount val="2"/>
                <c:pt idx="0">
                  <c:v>2020</c:v>
                </c:pt>
                <c:pt idx="1">
                  <c:v>2021</c:v>
                </c:pt>
              </c:numCache>
            </c:numRef>
          </c:cat>
          <c:val>
            <c:numRef>
              <c:f>Sheet1!$B$2:$B$3</c:f>
              <c:numCache>
                <c:formatCode>General</c:formatCode>
                <c:ptCount val="2"/>
                <c:pt idx="0">
                  <c:v>2259.59</c:v>
                </c:pt>
                <c:pt idx="1">
                  <c:v>1920.5</c:v>
                </c:pt>
              </c:numCache>
            </c:numRef>
          </c:val>
        </c:ser>
        <c:ser>
          <c:idx val="1"/>
          <c:order val="1"/>
          <c:tx>
            <c:strRef>
              <c:f>Sheet1!$C$1</c:f>
              <c:strCache>
                <c:ptCount val="1"/>
                <c:pt idx="0">
                  <c:v>支出</c:v>
                </c:pt>
              </c:strCache>
            </c:strRef>
          </c:tx>
          <c:spPr>
            <a:solidFill>
              <a:srgbClr val="C0504D"/>
            </a:solidFill>
            <a:ln>
              <a:noFill/>
            </a:ln>
          </c:spPr>
          <c:invertIfNegative val="0"/>
          <c:dLbls>
            <c:showLegendKey val="0"/>
            <c:showVal val="0"/>
            <c:showCatName val="0"/>
            <c:showSerName val="0"/>
            <c:showPercent val="0"/>
            <c:showBubbleSize val="0"/>
            <c:showLeaderLines val="0"/>
          </c:dLbls>
          <c:cat>
            <c:numRef>
              <c:f>Sheet1!$A$2:$A$3</c:f>
              <c:numCache>
                <c:formatCode>General</c:formatCode>
                <c:ptCount val="2"/>
                <c:pt idx="0">
                  <c:v>2020</c:v>
                </c:pt>
                <c:pt idx="1">
                  <c:v>2021</c:v>
                </c:pt>
              </c:numCache>
            </c:numRef>
          </c:cat>
          <c:val>
            <c:numRef>
              <c:f>Sheet1!$C$2:$C$3</c:f>
              <c:numCache>
                <c:formatCode>General</c:formatCode>
                <c:ptCount val="2"/>
                <c:pt idx="0">
                  <c:v>2259.58</c:v>
                </c:pt>
                <c:pt idx="1">
                  <c:v>1920.5</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manualLayout>
          <c:xMode val="edge"/>
          <c:yMode val="edge"/>
          <c:x val="0.41165653"/>
          <c:y val="0.85379463"/>
          <c:w val="0.26920357"/>
          <c:h val="0.11941964"/>
        </c:manualLayou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71478724"/>
          <c:y val="0.03488889"/>
          <c:w val="0.8892885"/>
          <c:h val="0.7429778"/>
        </c:manualLayout>
      </c:layout>
      <c:barChart>
        <c:barDir val="col"/>
        <c:grouping val="clustered"/>
        <c:varyColors val="0"/>
        <c:ser>
          <c:idx val="0"/>
          <c:order val="0"/>
          <c:tx>
            <c:strRef>
              <c:f>Sheet1!$B$1</c:f>
              <c:strCache>
                <c:ptCount val="1"/>
                <c:pt idx="0">
                  <c:v>2020</c:v>
                </c:pt>
              </c:strCache>
            </c:strRef>
          </c:tx>
          <c:spPr>
            <a:solidFill>
              <a:srgbClr val="4F81BD"/>
            </a:solidFill>
            <a:ln>
              <a:noFill/>
            </a:ln>
          </c:spPr>
          <c:invertIfNegative val="0"/>
          <c:dLbls>
            <c:showLegendKey val="0"/>
            <c:showVal val="0"/>
            <c:showCatName val="0"/>
            <c:showSerName val="0"/>
            <c:showPercent val="0"/>
            <c:showBubbleSize val="0"/>
            <c:showLeaderLines val="0"/>
          </c:dLbls>
          <c:cat>
            <c:strRef>
              <c:f>Sheet1!$A$2</c:f>
              <c:strCache>
                <c:ptCount val="1"/>
                <c:pt idx="0">
                  <c:v>一般公共预算财政拨款支出</c:v>
                </c:pt>
              </c:strCache>
            </c:strRef>
          </c:cat>
          <c:val>
            <c:numRef>
              <c:f>Sheet1!$B$2</c:f>
              <c:numCache>
                <c:formatCode>General</c:formatCode>
                <c:ptCount val="1"/>
                <c:pt idx="0">
                  <c:v>1806.12</c:v>
                </c:pt>
              </c:numCache>
            </c:numRef>
          </c:val>
        </c:ser>
        <c:ser>
          <c:idx val="1"/>
          <c:order val="1"/>
          <c:tx>
            <c:strRef>
              <c:f>Sheet1!$C$1</c:f>
              <c:strCache>
                <c:ptCount val="1"/>
                <c:pt idx="0">
                  <c:v>2021</c:v>
                </c:pt>
              </c:strCache>
            </c:strRef>
          </c:tx>
          <c:spPr>
            <a:solidFill>
              <a:srgbClr val="C0504D"/>
            </a:solidFill>
            <a:ln>
              <a:noFill/>
            </a:ln>
          </c:spPr>
          <c:invertIfNegative val="0"/>
          <c:dLbls>
            <c:showLegendKey val="0"/>
            <c:showVal val="0"/>
            <c:showCatName val="0"/>
            <c:showSerName val="0"/>
            <c:showPercent val="0"/>
            <c:showBubbleSize val="0"/>
            <c:showLeaderLines val="0"/>
          </c:dLbls>
          <c:cat>
            <c:strRef>
              <c:f>Sheet1!$A$2</c:f>
              <c:strCache>
                <c:ptCount val="1"/>
                <c:pt idx="0">
                  <c:v>一般公共预算财政拨款支出</c:v>
                </c:pt>
              </c:strCache>
            </c:strRef>
          </c:cat>
          <c:val>
            <c:numRef>
              <c:f>Sheet1!$C$2</c:f>
              <c:numCache>
                <c:formatCode>General</c:formatCode>
                <c:ptCount val="1"/>
                <c:pt idx="0">
                  <c:v>1752.77</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12700">
            <a:solidFill>
              <a:srgbClr val="D9D9D9"/>
            </a:solidFill>
            <a:prstDash val="solid"/>
          </a:ln>
        </c:spPr>
        <c:txPr>
          <a:bodyPr/>
          <a:lstStyle/>
          <a:p>
            <a:pPr>
              <a:defRPr sz="900" b="0" i="0" u="none" strike="noStrike" baseline="0">
                <a:solidFill>
                  <a:srgbClr val="595959"/>
                </a:solidFill>
                <a:latin typeface="Calibri"/>
                <a:ea typeface="宋体"/>
                <a:cs typeface="Lucida Sans"/>
              </a:defRPr>
            </a:pPr>
            <a:endParaRPr lang="zh-CN"/>
          </a:p>
        </c:txPr>
        <c:crosses val="autoZero"/>
        <c:auto val="0"/>
        <c:lblOffset val="100"/>
        <c:lblAlgn val="ctr"/>
        <c:noMultiLvlLbl val="0"/>
        <c:crossAx val="1"/>
      </c:catAx>
      <c:valAx>
        <c:axId val="1"/>
        <c:scaling>
          <c:orientation val="minMax"/>
        </c:scaling>
        <c:delete val="0"/>
        <c:axPos val="l"/>
        <c:majorGridlines>
          <c:spPr>
            <a:ln w="1270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Calibri"/>
                <a:ea typeface="宋体"/>
                <a:cs typeface="Lucida Sans"/>
              </a:defRPr>
            </a:pPr>
            <a:endParaRPr lang="zh-CN"/>
          </a:p>
        </c:txPr>
        <c:crosses val="autoZero"/>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0"/>
        <c:ser>
          <c:idx val="0"/>
          <c:order val="0"/>
          <c:tx>
            <c:strRef>
              <c:f>Sheet1!$B$1</c:f>
              <c:strCache>
                <c:ptCount val="1"/>
                <c:pt idx="0">
                  <c:v>销售额</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Pt>
            <c:idx val="7"/>
            <c:bubble3D val="0"/>
            <c:spPr>
              <a:solidFill>
                <a:srgbClr val="772C2A"/>
              </a:solidFill>
              <a:ln w="19050">
                <a:solidFill>
                  <a:srgbClr val="FFFFFF"/>
                </a:solidFill>
                <a:prstDash val="solid"/>
              </a:ln>
            </c:spPr>
          </c:dPt>
          <c:dLbls>
            <c:showLegendKey val="0"/>
            <c:showVal val="0"/>
            <c:showCatName val="0"/>
            <c:showSerName val="0"/>
            <c:showPercent val="0"/>
            <c:showBubbleSize val="0"/>
            <c:showLeaderLines val="1"/>
          </c:dLbls>
          <c:cat>
            <c:strRef>
              <c:f>Sheet1!$A$2:$A$9</c:f>
              <c:strCache>
                <c:ptCount val="8"/>
                <c:pt idx="0">
                  <c:v>一般公共服务</c:v>
                </c:pt>
                <c:pt idx="1">
                  <c:v>文化旅游体育与传媒</c:v>
                </c:pt>
                <c:pt idx="2">
                  <c:v>社会保障和就业</c:v>
                </c:pt>
                <c:pt idx="3">
                  <c:v>卫生健康</c:v>
                </c:pt>
                <c:pt idx="4">
                  <c:v>城乡社区</c:v>
                </c:pt>
                <c:pt idx="5">
                  <c:v>农林水</c:v>
                </c:pt>
                <c:pt idx="6">
                  <c:v>住房保障</c:v>
                </c:pt>
                <c:pt idx="7">
                  <c:v>灾害防治及应急管理</c:v>
                </c:pt>
              </c:strCache>
            </c:strRef>
          </c:cat>
          <c:val>
            <c:numRef>
              <c:f>Sheet1!$B$2:$B$9</c:f>
              <c:numCache>
                <c:formatCode>General</c:formatCode>
                <c:ptCount val="8"/>
                <c:pt idx="0">
                  <c:v>745.67</c:v>
                </c:pt>
                <c:pt idx="1">
                  <c:v>21.86</c:v>
                </c:pt>
                <c:pt idx="2">
                  <c:v>95.62</c:v>
                </c:pt>
                <c:pt idx="3">
                  <c:v>63.52</c:v>
                </c:pt>
                <c:pt idx="4">
                  <c:v>86.26</c:v>
                </c:pt>
                <c:pt idx="5">
                  <c:v>680.69</c:v>
                </c:pt>
                <c:pt idx="6">
                  <c:v>49.15</c:v>
                </c:pt>
                <c:pt idx="7">
                  <c:v>10.0</c:v>
                </c:pt>
              </c:numCache>
            </c:numRef>
          </c:val>
        </c:ser>
        <c:firstSliceAng val="0"/>
      </c:pieChart>
      <c:spPr>
        <a:noFill/>
        <a:ln>
          <a:noFill/>
        </a:ln>
      </c:spPr>
    </c:plotArea>
    <c:legend>
      <c:legendPos val="b"/>
      <c:layout>
        <c:manualLayout>
          <c:xMode val="edge"/>
          <c:yMode val="edge"/>
          <c:x val="0.098375"/>
          <c:y val="0.81463796"/>
          <c:w val="0.83825"/>
          <c:h val="0.15616667"/>
        </c:manualLayout>
      </c:layout>
      <c:overlay val="0"/>
      <c:spPr>
        <a:noFill/>
        <a:ln>
          <a:noFill/>
        </a:ln>
      </c:spPr>
      <c:txPr>
        <a:bodyPr/>
        <a:lstStyle/>
        <a:p>
          <a:pPr>
            <a:defRPr sz="900" b="0" i="0" u="none" strike="noStrike" baseline="0">
              <a:solidFill>
                <a:srgbClr val="595959"/>
              </a:solidFill>
              <a:latin typeface="Calibri"/>
              <a:ea typeface="宋体"/>
              <a:cs typeface="Lucida Sans"/>
            </a:defRPr>
          </a:pPr>
          <a:endParaRPr lang="zh-CN"/>
        </a:p>
      </c:txPr>
    </c:legend>
    <c:plotVisOnly val="1"/>
    <c:dispBlanksAs val="gap"/>
    <c:showDLblsOverMax val="0"/>
  </c:chart>
  <c:spPr>
    <a:solidFill>
      <a:srgbClr val="FFFFFF"/>
    </a:solidFill>
    <a:ln w="1270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806742"/>
          <c:y val="0.1991342"/>
          <c:w val="0.4115753"/>
          <c:h val="0.6932638"/>
        </c:manualLayout>
      </c:layout>
      <c:pieChart>
        <c:varyColors val="0"/>
        <c:ser>
          <c:idx val="0"/>
          <c:order val="0"/>
          <c:tx>
            <c:strRef>
              <c:f>Sheet1!$B$1</c:f>
              <c:strCache>
                <c:ptCount val="1"/>
                <c:pt idx="0">
                  <c:v>“三公”经费财政拨款支出</c:v>
                </c:pt>
              </c:strCache>
            </c:strRef>
          </c:tx>
          <c:spPr>
            <a:solidFill>
              <a:srgbClr val="63B1EF">
                <a:alpha val="67000"/>
              </a:srgbClr>
            </a:solidFill>
            <a:ln>
              <a:noFill/>
            </a:ln>
          </c:spPr>
          <c:dPt>
            <c:idx val="0"/>
            <c:bubble3D val="0"/>
            <c:spPr>
              <a:solidFill>
                <a:srgbClr val="63B1EF">
                  <a:alpha val="67000"/>
                </a:srgbClr>
              </a:solidFill>
              <a:ln>
                <a:noFill/>
              </a:ln>
            </c:spPr>
          </c:dPt>
          <c:dPt>
            <c:idx val="1"/>
            <c:bubble3D val="0"/>
            <c:spPr>
              <a:solidFill>
                <a:srgbClr val="75D890">
                  <a:alpha val="67000"/>
                </a:srgbClr>
              </a:solidFill>
              <a:ln>
                <a:noFill/>
              </a:ln>
            </c:spPr>
          </c:dPt>
          <c:dLbls>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numFmt formatCode="0%" sourceLinked="0"/>
            <c:dLbl>
              <c:idx val="0"/>
              <c:numFmt formatCode="0%" sourceLinked="0"/>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dLblPos val="inEnd"/>
              <c:tx>
                <c:rich>
                  <a:bodyPr vert="horz"/>
                  <a:lstStyle/>
                  <a:p>
                    <a:pPr>
                      <a:defRPr sz="900" b="0" i="0" u="none" strike="noStrike" baseline="0">
                        <a:solidFill>
                          <a:srgbClr val="404040"/>
                        </a:solidFill>
                        <a:latin typeface="微软雅黑"/>
                        <a:ea typeface="微软雅黑"/>
                        <a:cs typeface="Lucida Sans"/>
                      </a:defRPr>
                    </a:pPr>
                    <a:r>
                      <a:rPr lang="zh-CN" sz="900" b="0" i="0" u="none" strike="noStrike" baseline="0">
                        <a:solidFill>
                          <a:srgbClr val="404040"/>
                        </a:solidFill>
                        <a:latin typeface="微软雅黑"/>
                        <a:ea typeface="微软雅黑"/>
                        <a:cs typeface="Lucida Sans"/>
                      </a:rPr>
                      <a:t>公务用车购置及</a:t>
                    </a:r>
                    <a:r>
                      <a:rPr lang="zh-CN" sz="900" b="0" i="0" u="none" strike="noStrike" baseline="0">
                        <a:solidFill>
                          <a:srgbClr val="404040"/>
                        </a:solidFill>
                        <a:latin typeface="微软雅黑"/>
                        <a:ea typeface="微软雅黑"/>
                        <a:cs typeface="Lucida Sans"/>
                      </a:rPr>
                      <a:t>
</a:t>
                    </a:r>
                    <a:r>
                      <a:rPr lang="zh-CN" sz="900" b="0" i="0" u="none" strike="noStrike" baseline="0">
                        <a:solidFill>
                          <a:srgbClr val="404040"/>
                        </a:solidFill>
                        <a:latin typeface="微软雅黑"/>
                        <a:ea typeface="微软雅黑"/>
                        <a:cs typeface="Lucida Sans"/>
                      </a:rPr>
                      <a:t>运行维护费</a:t>
                    </a:r>
                    <a:r>
                      <a:rPr lang="zh-CN" sz="900" b="0" i="0" u="none" strike="noStrike" baseline="0">
                        <a:solidFill>
                          <a:srgbClr val="404040"/>
                        </a:solidFill>
                        <a:latin typeface="微软雅黑"/>
                        <a:ea typeface="微软雅黑"/>
                        <a:cs typeface="Lucida Sans"/>
                      </a:rPr>
                      <a:t>
</a:t>
                    </a:r>
                    <a:r>
                      <a:rPr lang="zh-CN" sz="900" b="0" i="0" u="none" strike="noStrike" baseline="0">
                        <a:solidFill>
                          <a:srgbClr val="404040"/>
                        </a:solidFill>
                        <a:latin typeface="微软雅黑"/>
                        <a:ea typeface="微软雅黑"/>
                        <a:cs typeface="Lucida Sans"/>
                      </a:rPr>
                      <a:t>12</a:t>
                    </a:r>
                    <a:r>
                      <a:rPr lang="zh-CN" sz="900" b="0" i="0" u="none" strike="noStrike" baseline="0">
                        <a:solidFill>
                          <a:srgbClr val="404040"/>
                        </a:solidFill>
                        <a:latin typeface="微软雅黑"/>
                        <a:ea typeface="微软雅黑"/>
                        <a:cs typeface="Lucida Sans"/>
                      </a:rPr>
                      <a:t>万元</a:t>
                    </a:r>
                  </a:p>
                </c:rich>
              </c:tx>
              <c:showLegendKey val="0"/>
              <c:showVal val="0"/>
              <c:showCatName val="1"/>
              <c:showSerName val="0"/>
              <c:showPercent val="1"/>
              <c:showBubbleSize val="0"/>
              <c:separator>
</c:separator>
            </c:dLbl>
            <c:dLbl>
              <c:idx val="1"/>
              <c:layout>
                <c:manualLayout>
                  <c:x val="0.21310201"/>
                  <c:y val="0.07551655"/>
                </c:manualLayout>
              </c:layout>
              <c:numFmt formatCode="0%" sourceLinked="0"/>
              <c:spPr>
                <a:noFill/>
                <a:ln>
                  <a:noFill/>
                </a:ln>
              </c:spPr>
              <c:txPr>
                <a:bodyPr vert="horz" anchor="ctr"/>
                <a:lstStyle/>
                <a:p>
                  <a:pPr algn="ctr">
                    <a:defRPr sz="900" b="0" i="0" u="none" strike="noStrike" baseline="0">
                      <a:solidFill>
                        <a:srgbClr val="404040"/>
                      </a:solidFill>
                      <a:latin typeface="微软雅黑"/>
                      <a:ea typeface="微软雅黑"/>
                      <a:cs typeface="Lucida Sans"/>
                    </a:defRPr>
                  </a:pPr>
                  <a:endParaRPr lang="zh-CN"/>
                </a:p>
              </c:txPr>
              <c:dLblPos val="bestFit"/>
              <c:tx>
                <c:rich>
                  <a:bodyPr vert="horz"/>
                  <a:lstStyle/>
                  <a:p>
                    <a:pPr>
                      <a:defRPr sz="900" b="0" i="0" u="none" strike="noStrike" baseline="0">
                        <a:solidFill>
                          <a:srgbClr val="404040"/>
                        </a:solidFill>
                        <a:latin typeface="微软雅黑"/>
                        <a:ea typeface="微软雅黑"/>
                        <a:cs typeface="Lucida Sans"/>
                      </a:defRPr>
                    </a:pPr>
                    <a:r>
                      <a:rPr lang="zh-CN" sz="900" b="0" i="0" u="none" strike="noStrike" baseline="0">
                        <a:solidFill>
                          <a:srgbClr val="404040"/>
                        </a:solidFill>
                        <a:latin typeface="微软雅黑"/>
                        <a:ea typeface="微软雅黑"/>
                        <a:cs typeface="Lucida Sans"/>
                      </a:rPr>
                      <a:t>公务接待费</a:t>
                    </a:r>
                    <a:r>
                      <a:rPr lang="zh-CN" sz="900" b="0" i="0" u="none" strike="noStrike" baseline="0">
                        <a:solidFill>
                          <a:srgbClr val="404040"/>
                        </a:solidFill>
                        <a:latin typeface="微软雅黑"/>
                        <a:ea typeface="微软雅黑"/>
                        <a:cs typeface="Lucida Sans"/>
                      </a:rPr>
                      <a:t>
</a:t>
                    </a:r>
                    <a:r>
                      <a:rPr lang="zh-CN" sz="900" b="0" i="0" u="none" strike="noStrike" baseline="0">
                        <a:solidFill>
                          <a:srgbClr val="404040"/>
                        </a:solidFill>
                        <a:latin typeface="微软雅黑"/>
                        <a:ea typeface="微软雅黑"/>
                        <a:cs typeface="Lucida Sans"/>
                      </a:rPr>
                      <a:t>7.16</a:t>
                    </a:r>
                    <a:r>
                      <a:rPr lang="zh-CN" sz="900" b="0" i="0" u="none" strike="noStrike" baseline="0">
                        <a:solidFill>
                          <a:srgbClr val="404040"/>
                        </a:solidFill>
                        <a:latin typeface="微软雅黑"/>
                        <a:ea typeface="微软雅黑"/>
                        <a:cs typeface="Lucida Sans"/>
                      </a:rPr>
                      <a:t>万元</a:t>
                    </a:r>
                  </a:p>
                </c:rich>
              </c:tx>
              <c:showLegendKey val="0"/>
              <c:showVal val="0"/>
              <c:showCatName val="1"/>
              <c:showSerName val="0"/>
              <c:showPercent val="1"/>
              <c:showBubbleSize val="0"/>
              <c:separator>
</c:separator>
            </c:dLbl>
            <c:dLblPos val="inEnd"/>
            <c:showLegendKey val="0"/>
            <c:showVal val="0"/>
            <c:showCatName val="1"/>
            <c:showSerName val="0"/>
            <c:showPercent val="1"/>
            <c:showBubbleSize val="0"/>
            <c:showLeaderLines val="1"/>
          </c:dLbls>
          <c:cat>
            <c:strRef>
              <c:f>Sheet1!$A$2:$A$3</c:f>
              <c:strCache>
                <c:ptCount val="2"/>
                <c:pt idx="0">
                  <c:v>第一季度</c:v>
                </c:pt>
                <c:pt idx="1">
                  <c:v>第二季度</c:v>
                </c:pt>
              </c:strCache>
            </c:strRef>
          </c:cat>
          <c:val>
            <c:numRef>
              <c:f>Sheet1!$B$2:$B$3</c:f>
              <c:numCache>
                <c:formatCode>General</c:formatCode>
                <c:ptCount val="2"/>
                <c:pt idx="0">
                  <c:v>12.0</c:v>
                </c:pt>
                <c:pt idx="1">
                  <c:v>7.16</c:v>
                </c:pt>
              </c:numCache>
            </c:numRef>
          </c:val>
        </c:ser>
        <c:firstSliceAng val="0"/>
      </c:pieChart>
      <c:spPr>
        <a:pattFill prst="lgGrid">
          <a:fgClr>
            <a:srgbClr val="F8F8F8"/>
          </a:fgClr>
          <a:bgClr>
            <a:srgbClr val="FFFFFF"/>
          </a:bgClr>
        </a:pattFill>
        <a:ln w="3175">
          <a:solidFill>
            <a:srgbClr val="F2F2F2"/>
          </a:solidFill>
          <a:prstDash val="solid"/>
        </a:ln>
      </c:spPr>
    </c:plotArea>
    <c:plotVisOnly val="1"/>
    <c:dispBlanksAs val="gap"/>
    <c:showDLblsOverMax val="0"/>
  </c:chart>
  <c:spPr>
    <a:solidFill>
      <a:srgbClr val="FFFFFF"/>
    </a:solidFill>
    <a:ln w="12700">
      <a:solidFill>
        <a:srgbClr val="D9D9D9"/>
      </a:solidFill>
      <a:prstDash val="solid"/>
    </a:ln>
    <a:effectLst>
      <a:outerShdw sx="0" sy="0" algn="b" rotWithShape="0" blurRad="63500" dist="37357" dir="2700000">
        <a:srgbClr val="000000">
          <a:alpha val="99607"/>
        </a:srgbClr>
      </a:outerShdw>
    </a:effectLst>
  </c:spPr>
  <c:txPr>
    <a:bodyPr/>
    <a:lstStyle/>
    <a:p>
      <a:pPr>
        <a:defRPr sz="1000" b="0" i="0" u="none" strike="noStrike" baseline="0">
          <a:solidFill>
            <a:srgbClr val="000000"/>
          </a:solidFill>
          <a:latin typeface="微软雅黑"/>
          <a:ea typeface="微软雅黑"/>
          <a:cs typeface="Lucida Sans"/>
        </a:defRPr>
      </a:pPr>
      <a:endParaRPr lang="zh-CN"/>
    </a:p>
  </c:txPr>
  <c:printSettings>
    <c:headerFooter/>
    <c:pageMargins b="0.75" l="0.7" r="0.7" t="0.75" header="0.3" footer="0.3"/>
    <c:pageSetup/>
  </c:printSettings>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customProps>
</customData>
</file>

<file path=customXml/itemProps1.xml><?xml version="1.0" encoding="utf-8"?>
<ds:datastoreItem xmlns:ds="http://schemas.openxmlformats.org/officeDocument/2006/customXml" ds:itemID="{8CCD8967-7D52-4883-AD37-0CAC8C6DD0A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WPS_Yozo_Office9.0.5233.191ZH.S1</Application>
  <Pages>113</Pages>
  <Words>0</Words>
  <Characters>37081</Characters>
  <Lines>0</Lines>
  <Paragraphs>1154</Paragraphs>
  <CharactersWithSpaces>49442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2023-09-18T19:47:00Z</cp:lastPrinted>
  <dcterms:created xsi:type="dcterms:W3CDTF">2020-08-05T17:49:00Z</dcterms:created>
  <dcterms:modified xsi:type="dcterms:W3CDTF">2025-02-10T03:51:44Z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2052-11.8.2.9980</vt:lpwstr>
  </property>
  <property fmtid="{D5CDD505-2E9C-101B-9397-08002B2CF9AE}" pid="3" name="ICV">
    <vt:lpwstr>1A4C977AFC354FE7BE21AEE41FA33BDA_12</vt:lpwstr>
  </property>
</Properties>
</file>