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color w:val="000000"/>
          <w:sz w:val="30"/>
          <w:szCs w:val="30"/>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keepNext w:val="0"/>
        <w:keepLines w:val="0"/>
        <w:pageBreakBefore w:val="0"/>
        <w:kinsoku/>
        <w:wordWrap/>
        <w:overflowPunct/>
        <w:topLinePunct w:val="0"/>
        <w:autoSpaceDE/>
        <w:autoSpaceDN/>
        <w:bidi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p>
    <w:p>
      <w:pPr>
        <w:keepNext w:val="0"/>
        <w:keepLines w:val="0"/>
        <w:pageBreakBefore w:val="0"/>
        <w:kinsoku/>
        <w:wordWrap/>
        <w:overflowPunct/>
        <w:topLinePunct w:val="0"/>
        <w:autoSpaceDE/>
        <w:autoSpaceDN/>
        <w:bidi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p>
    <w:p>
      <w:pPr>
        <w:keepNext w:val="0"/>
        <w:keepLines w:val="0"/>
        <w:pageBreakBefore w:val="0"/>
        <w:kinsoku/>
        <w:wordWrap/>
        <w:overflowPunct/>
        <w:topLinePunct w:val="0"/>
        <w:autoSpaceDE/>
        <w:autoSpaceDN/>
        <w:bidi w:val="0"/>
        <w:adjustRightInd w:val="0"/>
        <w:snapToGrid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bookmarkStart w:id="2" w:name="_Toc15378441"/>
      <w:bookmarkStart w:id="3" w:name="_Toc15396475"/>
      <w:bookmarkStart w:id="4" w:name="_Toc15377193"/>
      <w:bookmarkStart w:id="5" w:name="_Toc15396597"/>
      <w:bookmarkStart w:id="6" w:name="_Toc15377425"/>
      <w:r>
        <w:rPr>
          <w:rFonts w:ascii="方正小标宋简体" w:eastAsia="方正小标宋简体" w:cs="方正小标宋简体" w:hAnsi="方正小标宋简体" w:hint="eastAsia"/>
          <w:b w:val="0"/>
          <w:bCs w:val="0"/>
          <w:color w:val="000000"/>
          <w:sz w:val="72"/>
          <w:szCs w:val="72"/>
        </w:rPr>
        <w:t>2020年度</w:t>
      </w:r>
      <w:bookmarkEnd w:id="2"/>
      <w:bookmarkEnd w:id="3"/>
      <w:bookmarkEnd w:id="4"/>
      <w:bookmarkEnd w:id="5"/>
      <w:bookmarkEnd w:id="6"/>
    </w:p>
    <w:p>
      <w:pPr>
        <w:keepNext w:val="0"/>
        <w:keepLines w:val="0"/>
        <w:pageBreakBefore w:val="0"/>
        <w:kinsoku/>
        <w:wordWrap/>
        <w:overflowPunct/>
        <w:topLinePunct w:val="0"/>
        <w:autoSpaceDE/>
        <w:autoSpaceDN/>
        <w:bidi w:val="0"/>
        <w:adjustRightInd w:val="0"/>
        <w:snapToGrid w:val="0"/>
        <w:spacing w:line="1000" w:lineRule="exact"/>
        <w:jc w:val="center"/>
        <w:textAlignment w:val="auto"/>
        <w:outlineLvl w:val="0"/>
        <w:rPr>
          <w:rFonts w:ascii="方正小标宋简体" w:eastAsia="方正小标宋简体" w:cs="方正小标宋简体" w:hAnsi="方正小标宋简体" w:hint="eastAsia"/>
          <w:b w:val="0"/>
          <w:bCs w:val="0"/>
          <w:color w:val="000000"/>
          <w:sz w:val="72"/>
          <w:szCs w:val="72"/>
        </w:rPr>
      </w:pPr>
      <w:bookmarkEnd w:id="0"/>
      <w:r>
        <w:rPr>
          <w:rFonts w:ascii="方正小标宋简体" w:eastAsia="方正小标宋简体" w:cs="方正小标宋简体" w:hAnsi="方正小标宋简体" w:hint="eastAsia"/>
          <w:b w:val="0"/>
          <w:bCs w:val="0"/>
          <w:color w:val="000000"/>
          <w:sz w:val="72"/>
          <w:szCs w:val="72"/>
        </w:rPr>
        <w:t>广元市利州区</w:t>
      </w:r>
      <w:bookmarkStart w:id="7" w:name="_Toc15306268"/>
      <w:r>
        <w:rPr>
          <w:rFonts w:ascii="方正小标宋简体" w:eastAsia="方正小标宋简体" w:cs="方正小标宋简体" w:hAnsi="方正小标宋简体" w:hint="eastAsia"/>
          <w:b w:val="0"/>
          <w:bCs w:val="0"/>
          <w:color w:val="000000"/>
          <w:sz w:val="72"/>
          <w:szCs w:val="72"/>
          <w:lang w:eastAsia="zh-CN"/>
        </w:rPr>
        <w:t>雪峰</w:t>
      </w:r>
      <w:r>
        <w:rPr>
          <w:rFonts w:ascii="方正小标宋简体" w:eastAsia="方正小标宋简体" w:cs="方正小标宋简体" w:hAnsi="方正小标宋简体" w:hint="eastAsia"/>
          <w:b w:val="0"/>
          <w:bCs w:val="0"/>
          <w:color w:val="000000"/>
          <w:sz w:val="72"/>
          <w:szCs w:val="72"/>
        </w:rPr>
        <w:t>社区卫生服务中心部门决算</w:t>
      </w:r>
      <w:bookmarkEnd w:id="7"/>
    </w:p>
    <w:p>
      <w:pPr>
        <w:keepNext w:val="0"/>
        <w:keepLines w:val="0"/>
        <w:pageBreakBefore w:val="0"/>
        <w:widowControl/>
        <w:kinsoku/>
        <w:wordWrap/>
        <w:overflowPunct/>
        <w:topLinePunct w:val="0"/>
        <w:autoSpaceDE/>
        <w:autoSpaceDN/>
        <w:bidi w:val="0"/>
        <w:spacing w:line="576" w:lineRule="exact"/>
        <w:ind w:left="0" w:right="0"/>
        <w:jc w:val="center"/>
        <w:textAlignment w:val="auto"/>
        <w:rPr>
          <w:rFonts w:ascii="方正小标宋简体" w:eastAsia="方正小标宋简体" w:cs="方正小标宋简体" w:hAnsi="方正小标宋简体" w:hint="eastAsia"/>
          <w:color w:val="000000"/>
          <w:sz w:val="48"/>
          <w:szCs w:val="48"/>
        </w:rPr>
      </w:pPr>
      <w:r>
        <w:rPr>
          <w:rFonts w:ascii="方正小标宋简体" w:eastAsia="方正小标宋简体" w:cs="方正小标宋简体" w:hAnsi="方正小标宋简体" w:hint="eastAsia"/>
          <w:b w:val="0"/>
          <w:bCs w:val="0"/>
          <w:color w:val="000000"/>
          <w:sz w:val="72"/>
          <w:szCs w:val="72"/>
        </w:rPr>
        <w:br w:type="page"/>
      </w:r>
      <w:bookmarkStart w:id="8" w:name="_Toc15377196"/>
      <w:bookmarkStart w:id="9" w:name="_Toc15396599"/>
      <w:r>
        <w:rPr>
          <w:rFonts w:ascii="方正小标宋简体" w:eastAsia="方正小标宋简体" w:cs="方正小标宋简体" w:hAnsi="方正小标宋简体" w:hint="eastAsia"/>
          <w:color w:val="000000"/>
          <w:sz w:val="48"/>
          <w:szCs w:val="48"/>
        </w:rPr>
        <w:t>目</w:t>
      </w:r>
      <w:r>
        <w:rPr>
          <w:rFonts w:ascii="方正小标宋简体" w:eastAsia="方正小标宋简体" w:cs="方正小标宋简体" w:hAnsi="方正小标宋简体" w:hint="eastAsia"/>
          <w:color w:val="000000"/>
          <w:sz w:val="48"/>
          <w:szCs w:val="48"/>
          <w:lang w:val="en-US" w:eastAsia="zh-CN"/>
        </w:rPr>
        <w:t xml:space="preserve">  </w:t>
      </w:r>
      <w:r>
        <w:rPr>
          <w:rFonts w:ascii="方正小标宋简体" w:eastAsia="方正小标宋简体" w:cs="方正小标宋简体" w:hAnsi="方正小标宋简体" w:hint="eastAsia"/>
          <w:color w:val="000000"/>
          <w:sz w:val="48"/>
          <w:szCs w:val="48"/>
        </w:rPr>
        <w:t>录</w:t>
      </w:r>
    </w:p>
    <w:p>
      <w:pPr>
        <w:pStyle w:val="20"/>
        <w:pageBreakBefore w:val="0"/>
        <w:widowControl w:val="0"/>
        <w:tabs>
          <w:tab w:val="right" w:leader="dot" w:pos="8296"/>
        </w:tabs>
        <w:kinsoku/>
        <w:wordWrap/>
        <w:overflowPunct/>
        <w:topLinePunct w:val="0"/>
        <w:autoSpaceDE/>
        <w:autoSpaceDN/>
        <w:bidi w:val="0"/>
        <w:spacing w:before="0" w:line="576" w:lineRule="exact"/>
        <w:ind w:left="0" w:right="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公开时间：202</w:t>
      </w:r>
      <w:r>
        <w:rPr>
          <w:rFonts w:ascii="方正楷体简体" w:eastAsia="方正楷体简体" w:cs="方正楷体简体" w:hAnsi="方正楷体简体" w:hint="eastAsia"/>
          <w:sz w:val="32"/>
          <w:szCs w:val="32"/>
          <w:lang w:val="en-US" w:eastAsia="zh-CN"/>
        </w:rPr>
        <w:t>1</w:t>
      </w:r>
      <w:r>
        <w:rPr>
          <w:rFonts w:ascii="方正楷体简体" w:eastAsia="方正楷体简体" w:cs="方正楷体简体" w:hAnsi="方正楷体简体" w:hint="eastAsia"/>
          <w:sz w:val="32"/>
          <w:szCs w:val="32"/>
        </w:rPr>
        <w:t>年</w:t>
      </w:r>
      <w:r>
        <w:rPr>
          <w:rFonts w:ascii="方正楷体简体" w:eastAsia="方正楷体简体" w:cs="方正楷体简体" w:hAnsi="方正楷体简体" w:hint="eastAsia"/>
          <w:sz w:val="32"/>
          <w:szCs w:val="32"/>
          <w:lang w:val="en-US" w:eastAsia="zh-CN"/>
        </w:rPr>
        <w:t>10</w:t>
      </w:r>
      <w:r>
        <w:rPr>
          <w:rFonts w:ascii="方正楷体简体" w:eastAsia="方正楷体简体" w:cs="方正楷体简体" w:hAnsi="方正楷体简体" w:hint="eastAsia"/>
          <w:sz w:val="32"/>
          <w:szCs w:val="32"/>
        </w:rPr>
        <w:t>月</w:t>
      </w:r>
      <w:r>
        <w:rPr>
          <w:rFonts w:ascii="方正楷体简体" w:eastAsia="方正楷体简体" w:cs="方正楷体简体" w:hAnsi="方正楷体简体" w:hint="eastAsia"/>
          <w:sz w:val="32"/>
          <w:szCs w:val="32"/>
          <w:lang w:val="en-US" w:eastAsia="zh-CN"/>
        </w:rPr>
        <w:t>14</w:t>
      </w:r>
      <w:r>
        <w:rPr>
          <w:rFonts w:ascii="方正楷体简体" w:eastAsia="方正楷体简体" w:cs="方正楷体简体" w:hAnsi="方正楷体简体" w:hint="eastAsia"/>
          <w:sz w:val="32"/>
          <w:szCs w:val="32"/>
        </w:rPr>
        <w:t>日</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第一部分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部门概况</w:t>
      </w:r>
      <w:r>
        <w:rPr>
          <w:rFonts w:ascii="方正黑体简体" w:eastAsia="方正黑体简体" w:cs="方正黑体简体" w:hAnsi="方正黑体简体" w:hint="eastAsia"/>
          <w:sz w:val="32"/>
          <w:szCs w:val="32"/>
          <w:lang w:val="en-US" w:eastAsia="zh-CN"/>
        </w:rPr>
        <w:t>.</w:t>
      </w:r>
      <w:r>
        <w:rPr>
          <w:rFonts w:ascii="方正黑体简体" w:eastAsia="方正黑体简体" w:cs="方正黑体简体" w:hAnsi="方正黑体简体" w:hint="eastAsia"/>
          <w:kern w:val="2"/>
          <w:sz w:val="32"/>
          <w:szCs w:val="32"/>
          <w:lang w:val="en-US" w:eastAsia="zh-CN"/>
        </w:rPr>
        <w:t>.......................</w:t>
      </w:r>
      <w:r>
        <w:rPr>
          <w:rFonts w:ascii="方正黑体简体" w:eastAsia="方正黑体简体" w:cs="方正黑体简体" w:hAnsi="方正黑体简体" w:hint="eastAsia"/>
          <w:sz w:val="32"/>
          <w:szCs w:val="32"/>
          <w:lang w:val="en-US" w:eastAsia="zh-CN"/>
        </w:rPr>
        <w:t>...</w:t>
      </w:r>
      <w:r>
        <w:rPr>
          <w:rFonts w:ascii="方正黑体简体" w:eastAsia="方正黑体简体" w:cs="方正黑体简体" w:hAnsi="方正黑体简体" w:hint="eastAsia"/>
          <w:kern w:val="2"/>
          <w:sz w:val="32"/>
          <w:szCs w:val="32"/>
          <w:lang w:val="en-US" w:eastAsia="zh-CN"/>
        </w:rPr>
        <w:t>.............................</w:t>
      </w:r>
      <w:r>
        <w:rPr>
          <w:rFonts w:ascii="方正黑体简体" w:eastAsia="方正黑体简体" w:cs="方正黑体简体" w:hAnsi="方正黑体简体" w:hint="eastAsia"/>
          <w:sz w:val="32"/>
          <w:szCs w:val="32"/>
          <w:lang w:val="en-US" w:eastAsia="zh-CN"/>
        </w:rPr>
        <w:t>.4</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一、基本职能及主要工作</w:t>
      </w:r>
      <w:r>
        <w:rPr>
          <w:rFonts w:ascii="方正仿宋简体" w:eastAsia="方正仿宋简体" w:cs="方正仿宋简体" w:hAnsi="方正仿宋简体" w:hint="eastAsia"/>
          <w:sz w:val="32"/>
          <w:szCs w:val="32"/>
          <w:lang w:val="en-US" w:eastAsia="zh-CN"/>
        </w:rPr>
        <w:t>................................................4</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二、机构设置</w:t>
      </w:r>
      <w:r>
        <w:rPr>
          <w:rFonts w:ascii="方正仿宋简体" w:eastAsia="方正仿宋简体" w:cs="方正仿宋简体" w:hAnsi="方正仿宋简体" w:hint="eastAsia"/>
          <w:sz w:val="32"/>
          <w:szCs w:val="32"/>
          <w:lang w:val="en-US" w:eastAsia="zh-CN"/>
        </w:rPr>
        <w:t>.................................................................8</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第二部分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部门决算情况说明</w:t>
      </w:r>
      <w:r>
        <w:rPr>
          <w:rFonts w:ascii="方正黑体简体" w:eastAsia="方正黑体简体" w:cs="方正黑体简体" w:hAnsi="方正黑体简体" w:hint="eastAsia"/>
          <w:sz w:val="32"/>
          <w:szCs w:val="32"/>
          <w:lang w:val="en-US" w:eastAsia="zh-CN"/>
        </w:rPr>
        <w:t>...........................................9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一、收入支出决算总体情况说明</w:t>
      </w:r>
      <w:r>
        <w:rPr>
          <w:rFonts w:ascii="方正仿宋简体" w:eastAsia="方正仿宋简体" w:cs="方正仿宋简体" w:hAnsi="方正仿宋简体" w:hint="eastAsia"/>
          <w:sz w:val="32"/>
          <w:szCs w:val="32"/>
          <w:lang w:val="en-US" w:eastAsia="zh-CN"/>
        </w:rPr>
        <w:t>......................................9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二、收入决算情况说明</w:t>
      </w:r>
      <w:r>
        <w:rPr>
          <w:rFonts w:ascii="方正仿宋简体" w:eastAsia="方正仿宋简体" w:cs="方正仿宋简体" w:hAnsi="方正仿宋简体" w:hint="eastAsia"/>
          <w:sz w:val="32"/>
          <w:szCs w:val="32"/>
          <w:lang w:val="en-US" w:eastAsia="zh-CN"/>
        </w:rPr>
        <w:t>..................................................10</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三、支出决算情况说明</w:t>
      </w:r>
      <w:r>
        <w:rPr>
          <w:rFonts w:ascii="方正仿宋简体" w:eastAsia="方正仿宋简体" w:cs="方正仿宋简体" w:hAnsi="方正仿宋简体" w:hint="eastAsia"/>
          <w:sz w:val="32"/>
          <w:szCs w:val="32"/>
          <w:lang w:val="en-US" w:eastAsia="zh-CN"/>
        </w:rPr>
        <w:t>..................................................10</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四、财政拨款收入支出决算总体情况说明</w:t>
      </w:r>
      <w:r>
        <w:rPr>
          <w:rFonts w:ascii="方正仿宋简体" w:eastAsia="方正仿宋简体" w:cs="方正仿宋简体" w:hAnsi="方正仿宋简体" w:hint="eastAsia"/>
          <w:sz w:val="32"/>
          <w:szCs w:val="32"/>
          <w:lang w:val="en-US" w:eastAsia="zh-CN"/>
        </w:rPr>
        <w:t>.......................11</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五、一般公共预算财政拨款支出决算情况说明</w:t>
      </w:r>
      <w:r>
        <w:rPr>
          <w:rFonts w:ascii="方正仿宋简体" w:eastAsia="方正仿宋简体" w:cs="方正仿宋简体" w:hAnsi="方正仿宋简体" w:hint="eastAsia"/>
          <w:sz w:val="32"/>
          <w:szCs w:val="32"/>
          <w:lang w:val="en-US" w:eastAsia="zh-CN"/>
        </w:rPr>
        <w:t>...............12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六、一般公共预算财政拨款基本支出决算情况说明</w:t>
      </w:r>
      <w:r>
        <w:rPr>
          <w:rFonts w:ascii="方正仿宋简体" w:eastAsia="方正仿宋简体" w:cs="方正仿宋简体" w:hAnsi="方正仿宋简体" w:hint="eastAsia"/>
          <w:sz w:val="32"/>
          <w:szCs w:val="32"/>
          <w:lang w:val="en-US" w:eastAsia="zh-CN"/>
        </w:rPr>
        <w:t>..........15</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七、“三公”经费财政拨款支出决算情况说明</w:t>
      </w:r>
      <w:r>
        <w:rPr>
          <w:rFonts w:ascii="方正仿宋简体" w:eastAsia="方正仿宋简体" w:cs="方正仿宋简体" w:hAnsi="方正仿宋简体" w:hint="eastAsia"/>
          <w:sz w:val="32"/>
          <w:szCs w:val="32"/>
          <w:lang w:val="en-US" w:eastAsia="zh-CN"/>
        </w:rPr>
        <w:t>...................16</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t>八、政府性基金预算支出决算情况说明</w:t>
      </w:r>
      <w:r>
        <w:rPr>
          <w:rFonts w:ascii="方正仿宋简体" w:eastAsia="方正仿宋简体" w:cs="方正仿宋简体" w:hAnsi="方正仿宋简体" w:hint="eastAsia"/>
          <w:sz w:val="32"/>
          <w:szCs w:val="32"/>
          <w:lang w:val="en-US" w:eastAsia="zh-CN"/>
        </w:rPr>
        <w:t>.........................17</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九、 国有资本经营预算支出决算情况说明</w:t>
      </w:r>
      <w:r>
        <w:rPr>
          <w:rFonts w:ascii="方正仿宋简体" w:eastAsia="方正仿宋简体" w:cs="方正仿宋简体" w:hAnsi="方正仿宋简体" w:hint="eastAsia"/>
          <w:sz w:val="32"/>
          <w:szCs w:val="32"/>
          <w:lang w:val="en-US" w:eastAsia="zh-CN"/>
        </w:rPr>
        <w:t>....................17</w:t>
      </w:r>
    </w:p>
    <w:p>
      <w:pPr>
        <w:pageBreakBefore w:val="0"/>
        <w:widowControl w:val="0"/>
        <w:kinsoku/>
        <w:wordWrap/>
        <w:overflowPunct/>
        <w:topLinePunct w:val="0"/>
        <w:autoSpaceDE/>
        <w:autoSpaceDN/>
        <w:bidi w:val="0"/>
        <w:adjustRightInd w:val="0"/>
        <w:snapToGrid w:val="0"/>
        <w:spacing w:line="576" w:lineRule="exact"/>
        <w:ind w:left="0" w:right="0" w:firstLineChars="200" w:firstLine="640"/>
        <w:jc w:val="distribute"/>
        <w:textAlignment w:val="auto"/>
        <w:rPr>
          <w:rFonts w:ascii="方正仿宋简体" w:eastAsia="方正仿宋简体" w:cs="方正仿宋简体" w:hAnsi="方正仿宋简体"/>
          <w:sz w:val="32"/>
          <w:szCs w:val="32"/>
          <w:lang w:val="en-US"/>
        </w:rPr>
      </w:pPr>
      <w:r>
        <w:rPr>
          <w:rStyle w:val="24"/>
          <w:rFonts w:ascii="方正仿宋简体" w:eastAsia="方正仿宋简体" w:cs="方正仿宋简体" w:hAnsi="方正仿宋简体" w:hint="eastAsia"/>
          <w:color w:val="000000"/>
          <w:sz w:val="32"/>
          <w:szCs w:val="32"/>
          <w:u w:val="none"/>
        </w:rPr>
        <w:t>十、</w:t>
      </w:r>
      <w:r>
        <w:rPr>
          <w:rFonts w:ascii="方正仿宋简体" w:eastAsia="方正仿宋简体" w:cs="方正仿宋简体" w:hAnsi="方正仿宋简体" w:hint="eastAsia"/>
          <w:sz w:val="32"/>
          <w:szCs w:val="32"/>
        </w:rPr>
        <w:t>其他重要事项的情况说明</w:t>
        <w:tab/>
      </w:r>
      <w:r>
        <w:rPr>
          <w:rFonts w:ascii="方正仿宋简体" w:eastAsia="方正仿宋简体" w:cs="方正仿宋简体" w:hAnsi="方正仿宋简体" w:hint="eastAsia"/>
          <w:kern w:val="2"/>
          <w:sz w:val="32"/>
          <w:szCs w:val="32"/>
          <w:lang w:val="en-US" w:eastAsia="zh-CN"/>
        </w:rPr>
        <w:t>....................................</w:t>
      </w:r>
      <w:r>
        <w:rPr>
          <w:rFonts w:ascii="方正仿宋简体" w:eastAsia="方正仿宋简体" w:cs="方正仿宋简体" w:hAnsi="方正仿宋简体" w:hint="eastAsia"/>
          <w:sz w:val="32"/>
          <w:szCs w:val="32"/>
          <w:lang w:val="en-US" w:eastAsia="zh-CN"/>
        </w:rPr>
        <w:t>17</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sz w:val="32"/>
          <w:szCs w:val="32"/>
          <w:lang w:val="en-US" w:eastAsia="zh-CN"/>
        </w:rPr>
      </w:pPr>
      <w:r>
        <w:rPr>
          <w:rFonts w:ascii="方正黑体简体" w:eastAsia="方正黑体简体" w:cs="方正黑体简体" w:hAnsi="方正黑体简体" w:hint="eastAsia"/>
          <w:sz w:val="32"/>
          <w:szCs w:val="32"/>
        </w:rPr>
        <w:t>第三部分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名词解释</w:t>
      </w:r>
      <w:r>
        <w:rPr>
          <w:rFonts w:ascii="方正黑体简体" w:eastAsia="方正黑体简体" w:cs="方正黑体简体" w:hAnsi="方正黑体简体" w:hint="eastAsia"/>
          <w:sz w:val="32"/>
          <w:szCs w:val="32"/>
          <w:lang w:val="en-US" w:eastAsia="zh-CN"/>
        </w:rPr>
        <w:t>.......................................................25</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sz w:val="32"/>
          <w:szCs w:val="32"/>
          <w:lang w:val="en-US"/>
        </w:rPr>
      </w:pPr>
      <w:r>
        <w:rPr>
          <w:rFonts w:ascii="方正黑体简体" w:eastAsia="方正黑体简体" w:cs="方正黑体简体" w:hAnsi="方正黑体简体" w:hint="eastAsia"/>
          <w:sz w:val="32"/>
          <w:szCs w:val="32"/>
        </w:rPr>
        <w:t>第四部分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 xml:space="preserve"> 附件</w:t>
      </w:r>
      <w:r>
        <w:rPr>
          <w:rFonts w:ascii="方正黑体简体" w:eastAsia="方正黑体简体" w:cs="方正黑体简体" w:hAnsi="方正黑体简体" w:hint="eastAsia"/>
          <w:sz w:val="32"/>
          <w:szCs w:val="32"/>
          <w:lang w:val="en-US" w:eastAsia="zh-CN"/>
        </w:rPr>
        <w:t>..............................................................28</w:t>
      </w:r>
    </w:p>
    <w:p>
      <w:pPr>
        <w:pStyle w:val="21"/>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rPr>
        <w:t>附件1</w:t>
      </w:r>
      <w:r>
        <w:rPr>
          <w:rFonts w:ascii="方正仿宋简体" w:eastAsia="方正仿宋简体" w:cs="方正仿宋简体" w:hAnsi="方正仿宋简体" w:hint="eastAsia"/>
          <w:sz w:val="32"/>
          <w:szCs w:val="32"/>
          <w:lang w:val="en-US" w:eastAsia="zh-CN"/>
        </w:rPr>
        <w:t>.........................................................................29</w:t>
      </w:r>
    </w:p>
    <w:p>
      <w:pPr>
        <w:pStyle w:val="21"/>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0"/>
        <w:jc w:val="distribute"/>
        <w:textAlignment w:val="auto"/>
        <w:rPr>
          <w:rFonts w:ascii="方正仿宋简体" w:eastAsia="方正仿宋简体" w:cs="方正仿宋简体" w:hAnsi="方正仿宋简体"/>
          <w:sz w:val="32"/>
          <w:szCs w:val="32"/>
          <w:lang w:val="en-US"/>
        </w:rPr>
      </w:pP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rPr>
        <w:t>附件2</w:t>
      </w:r>
      <w:r>
        <w:rPr>
          <w:rFonts w:ascii="方正仿宋简体" w:eastAsia="方正仿宋简体" w:cs="方正仿宋简体" w:hAnsi="方正仿宋简体" w:hint="eastAsia"/>
          <w:sz w:val="32"/>
          <w:szCs w:val="32"/>
          <w:lang w:val="en-US" w:eastAsia="zh-CN"/>
        </w:rPr>
        <w:t>........................................................................33</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Ansi="方正黑体简体"/>
          <w:sz w:val="32"/>
          <w:szCs w:val="32"/>
          <w:lang w:val="en-US"/>
        </w:rPr>
      </w:pPr>
      <w:r>
        <w:rPr>
          <w:rFonts w:ascii="方正黑体简体" w:eastAsia="方正黑体简体" w:cs="方正黑体简体" w:hAnsi="方正黑体简体" w:hint="eastAsia"/>
          <w:sz w:val="32"/>
          <w:szCs w:val="32"/>
        </w:rPr>
        <w:t>第五部分</w:t>
      </w:r>
      <w:r>
        <w:rPr>
          <w:rFonts w:ascii="方正黑体简体" w:eastAsia="方正黑体简体" w:cs="方正黑体简体" w:hAnsi="方正黑体简体" w:hint="eastAsia"/>
          <w:sz w:val="32"/>
          <w:szCs w:val="32"/>
          <w:lang w:val="en-US" w:eastAsia="zh-CN"/>
        </w:rPr>
        <w:t xml:space="preserve"> </w:t>
      </w:r>
      <w:r>
        <w:rPr>
          <w:rFonts w:ascii="方正黑体简体" w:eastAsia="方正黑体简体" w:cs="方正黑体简体" w:hAnsi="方正黑体简体" w:hint="eastAsia"/>
          <w:sz w:val="32"/>
          <w:szCs w:val="32"/>
        </w:rPr>
        <w:t xml:space="preserve"> 附表</w:t>
      </w:r>
      <w:r>
        <w:rPr>
          <w:rFonts w:ascii="方正黑体简体" w:eastAsia="方正黑体简体" w:cs="方正黑体简体" w:hAnsi="方正黑体简体" w:hint="eastAsia"/>
          <w:sz w:val="32"/>
          <w:szCs w:val="32"/>
          <w:lang w:val="en-US" w:eastAsia="zh-CN"/>
        </w:rPr>
        <w:t>...............................................................51</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b w:val="0"/>
          <w:color w:val="000000"/>
          <w:sz w:val="32"/>
          <w:szCs w:val="32"/>
        </w:rPr>
        <w:t>一、收</w:t>
      </w:r>
      <w:r>
        <w:rPr>
          <w:rStyle w:val="2Char"/>
          <w:rFonts w:ascii="方正仿宋简体" w:eastAsia="方正仿宋简体" w:cs="方正仿宋简体" w:hAnsi="方正仿宋简体" w:hint="eastAsia"/>
          <w:b w:val="0"/>
          <w:bCs w:val="0"/>
          <w:sz w:val="32"/>
          <w:szCs w:val="32"/>
        </w:rPr>
        <w:t>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b w:val="0"/>
          <w:color w:val="000000"/>
          <w:sz w:val="32"/>
          <w:szCs w:val="32"/>
        </w:rPr>
        <w:t>二、收</w:t>
      </w:r>
      <w:r>
        <w:rPr>
          <w:rStyle w:val="2Char"/>
          <w:rFonts w:ascii="方正仿宋简体" w:eastAsia="方正仿宋简体" w:cs="方正仿宋简体" w:hAnsi="方正仿宋简体" w:hint="eastAsia"/>
          <w:b w:val="0"/>
          <w:bCs w:val="0"/>
          <w:sz w:val="32"/>
          <w:szCs w:val="32"/>
        </w:rPr>
        <w:t>入决算表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三、</w:t>
      </w:r>
      <w:r>
        <w:rPr>
          <w:rFonts w:ascii="方正仿宋简体" w:eastAsia="方正仿宋简体" w:cs="方正仿宋简体" w:hAnsi="方正仿宋简体" w:hint="eastAsia"/>
          <w:b w:val="0"/>
          <w:color w:val="000000"/>
          <w:sz w:val="32"/>
          <w:szCs w:val="32"/>
        </w:rPr>
        <w:t>支</w:t>
      </w:r>
      <w:r>
        <w:rPr>
          <w:rStyle w:val="2Char"/>
          <w:rFonts w:ascii="方正仿宋简体" w:eastAsia="方正仿宋简体" w:cs="方正仿宋简体" w:hAnsi="方正仿宋简体" w:hint="eastAsia"/>
          <w:b w:val="0"/>
          <w:bCs w:val="0"/>
          <w:sz w:val="32"/>
          <w:szCs w:val="32"/>
        </w:rPr>
        <w:t>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b w:val="0"/>
          <w:color w:val="000000"/>
          <w:sz w:val="32"/>
          <w:szCs w:val="32"/>
        </w:rPr>
      </w:pPr>
      <w:r>
        <w:rPr>
          <w:rStyle w:val="2Char"/>
          <w:rFonts w:ascii="方正仿宋简体" w:eastAsia="方正仿宋简体" w:cs="方正仿宋简体" w:hAnsi="方正仿宋简体" w:hint="eastAsia"/>
          <w:b w:val="0"/>
          <w:bCs w:val="0"/>
          <w:sz w:val="32"/>
          <w:szCs w:val="32"/>
        </w:rPr>
        <w:t>四、</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政拨款收入支出决算总表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Char"/>
          <w:rFonts w:ascii="方正仿宋简体" w:eastAsia="方正仿宋简体" w:cs="方正仿宋简体" w:hAnsi="方正仿宋简体" w:hint="eastAsia"/>
          <w:b w:val="0"/>
          <w:bCs w:val="0"/>
          <w:sz w:val="32"/>
          <w:szCs w:val="32"/>
        </w:rPr>
      </w:pPr>
      <w:r>
        <w:rPr>
          <w:rStyle w:val="2Char"/>
          <w:rFonts w:ascii="方正仿宋简体" w:eastAsia="方正仿宋简体" w:cs="方正仿宋简体" w:hAnsi="方正仿宋简体" w:hint="eastAsia"/>
          <w:b w:val="0"/>
          <w:bCs w:val="0"/>
          <w:sz w:val="32"/>
          <w:szCs w:val="32"/>
        </w:rPr>
        <w:t>五、</w:t>
      </w:r>
      <w:r>
        <w:rPr>
          <w:rFonts w:ascii="方正仿宋简体" w:eastAsia="方正仿宋简体" w:cs="方正仿宋简体" w:hAnsi="方正仿宋简体" w:hint="eastAsia"/>
          <w:b w:val="0"/>
          <w:color w:val="000000"/>
          <w:sz w:val="32"/>
          <w:szCs w:val="32"/>
        </w:rPr>
        <w:t>财</w:t>
      </w:r>
      <w:r>
        <w:rPr>
          <w:rStyle w:val="2Char"/>
          <w:rFonts w:ascii="方正仿宋简体" w:eastAsia="方正仿宋简体" w:cs="方正仿宋简体" w:hAnsi="方正仿宋简体" w:hint="eastAsia"/>
          <w:b w:val="0"/>
          <w:bCs w:val="0"/>
          <w:sz w:val="32"/>
          <w:szCs w:val="32"/>
        </w:rPr>
        <w:t>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六、</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七、</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般公共预算财政拨款支出决算明细表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八、</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般公共预算财政拨款基本支出决算表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九、</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般公共预算财政拨款项目支出决算表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w:t>
      </w:r>
      <w:r>
        <w:rPr>
          <w:rFonts w:ascii="方正仿宋简体" w:eastAsia="方正仿宋简体" w:cs="方正仿宋简体" w:hAnsi="方正仿宋简体" w:hint="eastAsia"/>
          <w:b w:val="0"/>
          <w:color w:val="000000"/>
          <w:sz w:val="32"/>
          <w:szCs w:val="32"/>
        </w:rPr>
        <w:t>一</w:t>
      </w:r>
      <w:r>
        <w:rPr>
          <w:rStyle w:val="2Char"/>
          <w:rFonts w:ascii="方正仿宋简体" w:eastAsia="方正仿宋简体" w:cs="方正仿宋简体" w:hAnsi="方正仿宋简体" w:hint="eastAsia"/>
          <w:b w:val="0"/>
          <w:bCs w:val="0"/>
          <w:sz w:val="32"/>
          <w:szCs w:val="32"/>
        </w:rPr>
        <w:t>般公共预算财政拨款“三公”经费支出决算表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十一、</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府性基金预算财政拨款收入支出决算表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Fonts w:ascii="方正仿宋简体" w:eastAsia="方正仿宋简体" w:cs="方正仿宋简体" w:hAnsi="方正仿宋简体" w:hint="eastAsia"/>
          <w:color w:val="000000"/>
          <w:sz w:val="32"/>
          <w:szCs w:val="32"/>
        </w:rPr>
      </w:pPr>
      <w:r>
        <w:rPr>
          <w:rStyle w:val="2Char"/>
          <w:rFonts w:ascii="方正仿宋简体" w:eastAsia="方正仿宋简体" w:cs="方正仿宋简体" w:hAnsi="方正仿宋简体" w:hint="eastAsia"/>
          <w:b w:val="0"/>
          <w:bCs w:val="0"/>
          <w:sz w:val="32"/>
          <w:szCs w:val="32"/>
        </w:rPr>
        <w:t>十二、</w:t>
      </w:r>
      <w:r>
        <w:rPr>
          <w:rFonts w:ascii="方正仿宋简体" w:eastAsia="方正仿宋简体" w:cs="方正仿宋简体" w:hAnsi="方正仿宋简体" w:hint="eastAsia"/>
          <w:b w:val="0"/>
          <w:color w:val="000000"/>
          <w:sz w:val="32"/>
          <w:szCs w:val="32"/>
        </w:rPr>
        <w:t>政</w:t>
      </w:r>
      <w:r>
        <w:rPr>
          <w:rStyle w:val="2Char"/>
          <w:rFonts w:ascii="方正仿宋简体" w:eastAsia="方正仿宋简体" w:cs="方正仿宋简体" w:hAnsi="方正仿宋简体" w:hint="eastAsia"/>
          <w:b w:val="0"/>
          <w:bCs w:val="0"/>
          <w:sz w:val="32"/>
          <w:szCs w:val="32"/>
        </w:rPr>
        <w:t>府性基金预算财政拨款“三公”经费支出决算表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9"/>
          <w:rFonts w:ascii="方正仿宋简体" w:eastAsia="方正仿宋简体" w:cs="方正仿宋简体" w:hAnsi="方正仿宋简体" w:hint="eastAsia"/>
          <w:b w:val="0"/>
          <w:bCs w:val="0"/>
          <w:sz w:val="32"/>
          <w:szCs w:val="32"/>
        </w:rPr>
      </w:pPr>
      <w:r>
        <w:rPr>
          <w:rStyle w:val="29"/>
          <w:rFonts w:ascii="方正仿宋简体" w:eastAsia="方正仿宋简体" w:cs="方正仿宋简体" w:hAnsi="方正仿宋简体" w:hint="eastAsia"/>
          <w:b w:val="0"/>
          <w:bCs w:val="0"/>
          <w:sz w:val="32"/>
          <w:szCs w:val="32"/>
        </w:rPr>
        <w:t>十三、</w:t>
      </w:r>
      <w:r>
        <w:rPr>
          <w:rFonts w:ascii="方正仿宋简体" w:eastAsia="方正仿宋简体" w:cs="方正仿宋简体" w:hAnsi="方正仿宋简体" w:hint="eastAsia"/>
          <w:b w:val="0"/>
          <w:color w:val="000000"/>
          <w:sz w:val="32"/>
          <w:szCs w:val="32"/>
        </w:rPr>
        <w:t>国</w:t>
      </w:r>
      <w:r>
        <w:rPr>
          <w:rStyle w:val="29"/>
          <w:rFonts w:ascii="方正仿宋简体" w:eastAsia="方正仿宋简体" w:cs="方正仿宋简体" w:hAnsi="方正仿宋简体" w:hint="eastAsia"/>
          <w:b w:val="0"/>
          <w:bCs w:val="0"/>
          <w:sz w:val="32"/>
          <w:szCs w:val="32"/>
        </w:rPr>
        <w:t>有资本经营预算财政拨款</w:t>
      </w:r>
      <w:r>
        <w:rPr>
          <w:rStyle w:val="29"/>
          <w:rFonts w:ascii="方正仿宋简体" w:eastAsia="方正仿宋简体" w:cs="方正仿宋简体" w:hAnsi="方正仿宋简体" w:hint="eastAsia"/>
          <w:b w:val="0"/>
          <w:bCs w:val="0"/>
          <w:sz w:val="32"/>
          <w:szCs w:val="32"/>
          <w:lang w:eastAsia="zh-CN"/>
        </w:rPr>
        <w:t>收入</w:t>
      </w:r>
      <w:r>
        <w:rPr>
          <w:rStyle w:val="29"/>
          <w:rFonts w:ascii="方正仿宋简体" w:eastAsia="方正仿宋简体" w:cs="方正仿宋简体" w:hAnsi="方正仿宋简体" w:hint="eastAsia"/>
          <w:b w:val="0"/>
          <w:bCs w:val="0"/>
          <w:sz w:val="32"/>
          <w:szCs w:val="32"/>
        </w:rPr>
        <w:t>支出决算表</w:t>
      </w:r>
    </w:p>
    <w:p>
      <w:pPr>
        <w:pStyle w:val="2"/>
        <w:keepNext/>
        <w:keepLines/>
        <w:pageBreakBefore w:val="0"/>
        <w:widowControl w:val="0"/>
        <w:kinsoku/>
        <w:wordWrap/>
        <w:overflowPunct/>
        <w:topLinePunct w:val="0"/>
        <w:autoSpaceDE/>
        <w:autoSpaceDN/>
        <w:bidi w:val="0"/>
        <w:adjustRightInd/>
        <w:snapToGrid/>
        <w:spacing w:before="0" w:after="0" w:line="576" w:lineRule="exact"/>
        <w:ind w:left="0" w:firstLineChars="200" w:firstLine="640"/>
        <w:textAlignment w:val="auto"/>
        <w:rPr>
          <w:rStyle w:val="29"/>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color w:val="000000"/>
          <w:sz w:val="32"/>
          <w:szCs w:val="32"/>
          <w:lang w:eastAsia="zh-CN"/>
        </w:rPr>
        <w:t>十四、</w:t>
      </w:r>
      <w:r>
        <w:rPr>
          <w:rFonts w:ascii="方正仿宋简体" w:eastAsia="方正仿宋简体" w:cs="方正仿宋简体" w:hAnsi="方正仿宋简体" w:hint="eastAsia"/>
          <w:b w:val="0"/>
          <w:color w:val="000000"/>
          <w:sz w:val="32"/>
          <w:szCs w:val="32"/>
        </w:rPr>
        <w:t>国</w:t>
      </w:r>
      <w:r>
        <w:rPr>
          <w:rStyle w:val="29"/>
          <w:rFonts w:ascii="方正仿宋简体" w:eastAsia="方正仿宋简体" w:cs="方正仿宋简体" w:hAnsi="方正仿宋简体" w:hint="eastAsia"/>
          <w:b w:val="0"/>
          <w:bCs w:val="0"/>
          <w:sz w:val="32"/>
          <w:szCs w:val="32"/>
        </w:rPr>
        <w:t>有资本经营预算财政拨款支出决算表</w:t>
      </w:r>
    </w:p>
    <w:p>
      <w:pPr>
        <w:pStyle w:val="21"/>
        <w:tabs>
          <w:tab w:val="right" w:leader="dot" w:pos="8296"/>
        </w:tabs>
        <w:adjustRightInd w:val="0"/>
        <w:snapToGrid w:val="0"/>
        <w:spacing w:line="440" w:lineRule="exact"/>
        <w:jc w:val="left"/>
        <w:rPr>
          <w:rFonts w:ascii="仿宋" w:eastAsia="仿宋" w:hAnsi="仿宋" w:hint="eastAsia"/>
          <w:sz w:val="24"/>
        </w:rPr>
      </w:pPr>
    </w:p>
    <w:p>
      <w:pPr>
        <w:keepNext w:val="0"/>
        <w:keepLines w:val="0"/>
        <w:pageBreakBefore w:val="0"/>
        <w:widowControl w:val="0"/>
        <w:kinsoku/>
        <w:wordWrap/>
        <w:overflowPunct/>
        <w:topLinePunct w:val="0"/>
        <w:autoSpaceDE/>
        <w:autoSpaceDN/>
        <w:bidi w:val="0"/>
        <w:adjustRightInd/>
        <w:snapToGrid/>
        <w:spacing w:line="576" w:lineRule="exact"/>
        <w:ind w:left="0"/>
        <w:jc w:val="left"/>
        <w:textAlignment w:val="auto"/>
        <w:rPr>
          <w:rFonts w:ascii="方正仿宋简体" w:eastAsia="方正仿宋简体" w:cs="方正仿宋简体" w:hAnsi="方正仿宋简体" w:hint="eastAsia"/>
          <w:bCs/>
          <w:kern w:val="44"/>
          <w:sz w:val="32"/>
          <w:szCs w:val="32"/>
        </w:rPr>
      </w:pPr>
    </w:p>
    <w:p>
      <w:pPr>
        <w:pStyle w:val="16"/>
        <w:rPr>
          <w:rFonts w:ascii="方正仿宋简体" w:eastAsia="方正仿宋简体" w:cs="方正仿宋简体" w:hAnsi="方正仿宋简体" w:hint="eastAsia"/>
          <w:bCs/>
          <w:kern w:val="44"/>
          <w:sz w:val="32"/>
          <w:szCs w:val="32"/>
        </w:rPr>
      </w:pPr>
    </w:p>
    <w:p>
      <w:pPr>
        <w:pStyle w:val="16"/>
        <w:rPr>
          <w:rFonts w:ascii="方正仿宋简体" w:eastAsia="方正仿宋简体" w:cs="方正仿宋简体" w:hAnsi="方正仿宋简体" w:hint="eastAsia"/>
          <w:bCs/>
          <w:kern w:val="44"/>
          <w:sz w:val="32"/>
          <w:szCs w:val="32"/>
        </w:rPr>
      </w:pPr>
    </w:p>
    <w:p>
      <w:pPr>
        <w:pStyle w:val="16"/>
        <w:rPr>
          <w:rFonts w:ascii="方正仿宋简体" w:eastAsia="方正仿宋简体" w:cs="方正仿宋简体" w:hAnsi="方正仿宋简体" w:hint="eastAsia"/>
          <w:bCs/>
          <w:kern w:val="44"/>
          <w:sz w:val="32"/>
          <w:szCs w:val="32"/>
        </w:rPr>
      </w:pPr>
    </w:p>
    <w:p>
      <w:pPr>
        <w:widowControl/>
        <w:spacing w:line="440" w:lineRule="exact"/>
        <w:jc w:val="left"/>
        <w:rPr>
          <w:rFonts w:ascii="仿宋" w:eastAsia="仿宋" w:hAnsi="仿宋"/>
          <w:bCs/>
          <w:kern w:val="44"/>
          <w:sz w:val="24"/>
        </w:rPr>
      </w:pPr>
    </w:p>
    <w:p>
      <w:pPr>
        <w:pStyle w:val="1"/>
        <w:keepNext/>
        <w:keepLines/>
        <w:pageBreakBefore w:val="0"/>
        <w:kinsoku/>
        <w:wordWrap/>
        <w:overflowPunct/>
        <w:topLinePunct w:val="0"/>
        <w:autoSpaceDE/>
        <w:autoSpaceDN/>
        <w:bidi w:val="0"/>
        <w:spacing w:before="0" w:after="0" w:line="576" w:lineRule="exact"/>
        <w:ind w:left="0" w:right="0"/>
        <w:jc w:val="center"/>
        <w:textAlignment w:val="auto"/>
        <w:rPr>
          <w:rStyle w:val="1Char"/>
          <w:rFonts w:ascii="方正小标宋简体" w:eastAsia="方正小标宋简体" w:cs="方正小标宋简体" w:hAnsi="方正小标宋简体" w:hint="eastAsia"/>
          <w:b/>
          <w:bCs w:val="0"/>
          <w:sz w:val="48"/>
          <w:szCs w:val="48"/>
        </w:rPr>
      </w:pPr>
      <w:r>
        <w:rPr>
          <w:rFonts w:ascii="方正小标宋简体" w:eastAsia="方正小标宋简体" w:cs="方正小标宋简体" w:hAnsi="方正小标宋简体" w:hint="eastAsia"/>
          <w:b w:val="0"/>
          <w:sz w:val="48"/>
          <w:szCs w:val="48"/>
        </w:rPr>
        <w:t xml:space="preserve">第一部分 </w:t>
      </w:r>
      <w:r>
        <w:rPr>
          <w:rStyle w:val="1Char"/>
          <w:rFonts w:ascii="方正小标宋简体" w:eastAsia="方正小标宋简体" w:cs="方正小标宋简体" w:hAnsi="方正小标宋简体" w:hint="eastAsia"/>
          <w:b w:val="0"/>
          <w:bCs w:val="0"/>
          <w:sz w:val="48"/>
          <w:szCs w:val="48"/>
        </w:rPr>
        <w:t>部门概况</w:t>
      </w:r>
      <w:bookmarkEnd w:id="8"/>
      <w:bookmarkEnd w:id="9"/>
    </w:p>
    <w:p>
      <w:pPr>
        <w:pageBreakBefore w:val="0"/>
        <w:widowControl/>
        <w:kinsoku/>
        <w:wordWrap/>
        <w:overflowPunct/>
        <w:topLinePunct w:val="0"/>
        <w:autoSpaceDE/>
        <w:autoSpaceDN/>
        <w:bidi w:val="0"/>
        <w:spacing w:line="576" w:lineRule="exact"/>
        <w:ind w:left="0" w:right="0"/>
        <w:jc w:val="left"/>
        <w:textAlignment w:val="auto"/>
        <w:rPr>
          <w:rFonts w:ascii="方正仿宋简体" w:eastAsia="方正仿宋简体" w:cs="方正仿宋简体" w:hAnsi="方正仿宋简体" w:hint="eastAsia"/>
          <w:color w:val="000000"/>
          <w:sz w:val="32"/>
          <w:szCs w:val="32"/>
        </w:rPr>
      </w:pPr>
    </w:p>
    <w:p>
      <w:pPr>
        <w:pStyle w:val="2"/>
        <w:keepNext/>
        <w:keepLines/>
        <w:pageBreakBefore w:val="0"/>
        <w:kinsoku/>
        <w:wordWrap/>
        <w:overflowPunct/>
        <w:topLinePunct w:val="0"/>
        <w:autoSpaceDE/>
        <w:autoSpaceDN/>
        <w:bidi w:val="0"/>
        <w:spacing w:before="0" w:after="0" w:line="576" w:lineRule="exact"/>
        <w:ind w:left="0" w:right="0" w:firstLineChars="200" w:firstLine="640"/>
        <w:textAlignment w:val="auto"/>
        <w:rPr>
          <w:rStyle w:val="2Char"/>
          <w:rFonts w:ascii="方正黑体简体" w:eastAsia="方正黑体简体" w:cs="方正黑体简体" w:hAnsi="方正黑体简体" w:hint="eastAsia"/>
          <w:b w:val="0"/>
          <w:bCs w:val="0"/>
          <w:sz w:val="32"/>
          <w:szCs w:val="32"/>
        </w:rPr>
      </w:pPr>
      <w:bookmarkStart w:id="10" w:name="_Toc15377197"/>
      <w:bookmarkStart w:id="11" w:name="_Toc15396600"/>
      <w:r>
        <w:rPr>
          <w:rFonts w:ascii="方正黑体简体" w:eastAsia="方正黑体简体" w:cs="方正黑体简体" w:hAnsi="方正黑体简体" w:hint="eastAsia"/>
          <w:b w:val="0"/>
          <w:color w:val="000000"/>
          <w:sz w:val="32"/>
          <w:szCs w:val="32"/>
        </w:rPr>
        <w:t>一、基</w:t>
      </w:r>
      <w:r>
        <w:rPr>
          <w:rStyle w:val="2Char"/>
          <w:rFonts w:ascii="方正黑体简体" w:eastAsia="方正黑体简体" w:cs="方正黑体简体" w:hAnsi="方正黑体简体" w:hint="eastAsia"/>
          <w:b w:val="0"/>
          <w:bCs w:val="0"/>
          <w:sz w:val="32"/>
          <w:szCs w:val="32"/>
        </w:rPr>
        <w:t>本职能及主要工作</w:t>
      </w:r>
      <w:bookmarkEnd w:id="10"/>
      <w:bookmarkEnd w:id="11"/>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sz w:val="32"/>
          <w:szCs w:val="32"/>
          <w:lang w:eastAsia="zh-CN"/>
        </w:rPr>
      </w:pPr>
      <w:bookmarkStart w:id="12" w:name="_Toc15378445"/>
      <w:bookmarkStart w:id="13" w:name="_Toc15377198"/>
      <w:r>
        <w:rPr>
          <w:rFonts w:ascii="方正楷体简体" w:eastAsia="方正楷体简体" w:cs="方正楷体简体" w:hAnsi="方正楷体简体" w:hint="eastAsia"/>
          <w:bCs/>
          <w:color w:val="000000"/>
          <w:sz w:val="32"/>
          <w:szCs w:val="32"/>
        </w:rPr>
        <w:t>（一）主要职能。</w:t>
      </w:r>
      <w:r>
        <w:rPr>
          <w:rFonts w:ascii="方正仿宋简体" w:eastAsia="方正仿宋简体" w:cs="方正仿宋简体" w:hAnsi="方正仿宋简体" w:hint="eastAsia"/>
          <w:sz w:val="32"/>
          <w:szCs w:val="32"/>
        </w:rPr>
        <w:t>为辖区内的居民身体健康提供医疗与预防保健服务。医疗、常见多发病护理、恢复期病人康复治疗预防保健、卫生技术人员培训、卫生监督与卫生信息管理。</w:t>
      </w:r>
      <w:bookmarkStart w:id="14" w:name="_Toc15377199"/>
      <w:bookmarkStart w:id="15" w:name="_Toc15378446"/>
      <w:bookmarkEnd w:id="12"/>
      <w:bookmarkEnd w:id="13"/>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楷体简体" w:eastAsia="方正楷体简体" w:cs="方正楷体简体" w:hAnsi="方正楷体简体" w:hint="eastAsia"/>
          <w:bCs/>
          <w:color w:val="000000"/>
          <w:sz w:val="32"/>
          <w:szCs w:val="32"/>
        </w:rPr>
      </w:pPr>
      <w:r>
        <w:rPr>
          <w:rFonts w:ascii="方正楷体简体" w:eastAsia="方正楷体简体" w:cs="方正楷体简体" w:hAnsi="方正楷体简体" w:hint="eastAsia"/>
          <w:bCs/>
          <w:color w:val="000000"/>
          <w:sz w:val="32"/>
          <w:szCs w:val="32"/>
        </w:rPr>
        <w:t>（二）2020年重点工作完成情况。</w:t>
      </w:r>
      <w:bookmarkEnd w:id="14"/>
      <w:bookmarkEnd w:id="15"/>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lang w:val="en-US" w:eastAsia="zh-CN"/>
        </w:rPr>
        <w:t>1.</w:t>
      </w:r>
      <w:r>
        <w:rPr>
          <w:rFonts w:ascii="方正仿宋简体" w:eastAsia="方正仿宋简体" w:cs="方正仿宋简体" w:hAnsi="方正仿宋简体" w:hint="eastAsia"/>
          <w:bCs/>
          <w:color w:val="000000"/>
          <w:sz w:val="32"/>
          <w:szCs w:val="32"/>
        </w:rPr>
        <w:t>强化党的领导，引领医院全面发展。</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2020年雪峰社区卫生服务中心全面深入贯彻习近平新时代中国特色社会主义思想和党的十九大精神，全面落实党管意识形态原则，进一步加强和改进我院意识形态工作，明确意识形态工作责任，牢牢把握意识形态工作领导权和主动权，切实抓好医院意识形态工作。医院共有共产党员11名，党支部委员会在雪峰街道党工委及区卫健局党组的领导下，一是把政治思想建设放在首位，利用“三会一课”和各类会议，“学习强国”等学习活动，深入推进理论学习，促使党员牢固树立“四个意识”，坚决做到“两个维护”。今年集中学习讨论8次，理论业务测试1次，组织全体职工听党课两次；参加雪峰街道办事处及区卫健系统“党的十九届五中全会精神”宣讲团10人次，党员e家、“学习强国”分数名列雪峰街道办事处第一名，区卫健系统前三名。二是加强党风廉政建设工作，坚持从细微处、从问题萌芽处抓行业系统治理及作风纪律建设，加强内部督查并从严惩处。先后实施院内通报批评1人，调整岗位1人，绩效考核13人，处罚金12580元人民币。三是积极发展党员，两名预备党员，今年以优异成绩转为合格的正式党员，发展了三名入党积极分子，党组织队伍日益强大。四是创新党建工作思路，医院采用“党员共建结对”“党员积分考评制”“党员测评”，管理党员，教育党员，影响和带动各科室，党员中一名成为省级拔尖人才，两名市级技能大赛一等奖，一名先进共产党员，全面形成党员“头雁效应”。积极响应上级党委关于开展意识形态工作的培训学习和开展形式多样的义诊宣传活动。</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全年微信、QQ、LED显示屏、宣传栏、横幅等宣传标语、资料做到全面审核，宣传播放正常。</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lang w:val="en-US" w:eastAsia="zh-CN"/>
        </w:rPr>
        <w:t>2.</w:t>
      </w:r>
      <w:r>
        <w:rPr>
          <w:rFonts w:ascii="方正仿宋简体" w:eastAsia="方正仿宋简体" w:cs="方正仿宋简体" w:hAnsi="方正仿宋简体" w:hint="eastAsia"/>
          <w:bCs/>
          <w:color w:val="000000"/>
          <w:sz w:val="32"/>
          <w:szCs w:val="32"/>
        </w:rPr>
        <w:t>强化学科建设，促进医院服务提能</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医院在“以人民为中心”的发展理念下，今年我院以医疗、基本公共卫生服务项目、职业健康体检为发展的三驾马车，根据医学技术发展方向和各科室的实际情况，充分发挥市场的调节作用。一是全面推进“医防融合”。按照总书记的“健康中国战略”，全面提升公共卫生的服务能力，医院通过优化服务流程，培训人才队伍，利用全科医生团队将医疗与公卫全面融合起来，创建了两个“四川省家庭医生示范工作室”，两名医生取得了“四川省星级家庭医生培训”合格证，增加了27%的门诊就诊率，增强了辖区群众的满意度。二是发展优势专科。1、医院通过引进成都市的儿保专家成敏老师，联合中心医院的儿童医院建立了“儿童健康管理中心”“儿科专科联盟”，开设了儿童行为门诊、儿童身高门诊、儿童睡眠门诊、儿童早期教育等，培养了三名儿保专科医生，两名儿保专科护士，一名中级职称的儿科医生，儿科门诊量全年1万左右，增加了38%，签订儿童家庭医生有偿包300多个。2、打造产后康复中心，医院克服资金困难，购买了两台产后康复盆底肌，打造了120多平方米的产后康复中心，并选派一名医生在成都锦江妇幼保健院进修学习，已初步形成了妇女的产前、产中、产后的全生命周期的管理。3、继续强化中医康复科建设，在新冠肺炎疫情下，全面提升中医药能力建设，今年引进了一名中医执业医师，一名中医执业助理考取了执业医师。三是建立职业健康体检中心。为了加强利州区的职业病防治工作，按照广元市的统筹安排，我医院作为利州区的职业病健康体检定点医疗机构，今年从年初开始谋划，购买了相关的近300万的设施设备，培养了一名眼科医生，一名五官科医生，一名职业病诊断医生，引进了一名高级职称的诊断医生，一名高级职称的检验师，一名放射科诊断医生。目前已成功取得了资质。四是接受国家级全科住院医师规培实践基地的审核合格。五是免疫规划科取得了三星资质。</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lang w:val="en-US" w:eastAsia="zh-CN"/>
        </w:rPr>
        <w:t>3.</w:t>
      </w:r>
      <w:r>
        <w:rPr>
          <w:rFonts w:ascii="方正仿宋简体" w:eastAsia="方正仿宋简体" w:cs="方正仿宋简体" w:hAnsi="方正仿宋简体" w:hint="eastAsia"/>
          <w:bCs/>
          <w:color w:val="000000"/>
          <w:sz w:val="32"/>
          <w:szCs w:val="32"/>
        </w:rPr>
        <w:t>强化疫情防控，筑牢健康防卫</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rPr>
      </w:pPr>
      <w:r>
        <w:rPr>
          <w:rFonts w:ascii="方正仿宋简体" w:eastAsia="方正仿宋简体" w:cs="方正仿宋简体" w:hAnsi="方正仿宋简体" w:hint="eastAsia"/>
          <w:bCs/>
          <w:color w:val="000000"/>
          <w:sz w:val="32"/>
          <w:szCs w:val="32"/>
        </w:rPr>
        <w:t>新冠疫情发生以来，医院严格落实国家、省、市、区卫健局的工作部署，快速响应，一是成立了以中心主任任组长的新冠疫情防控领导小组，制定了雪峰社区卫生服务中心疫情防控工作方案，成立了疫情防控办公室，设置了医疗组、护理组、感染控制组、后勤物资保障组、宣教组等工作小组。建成了以共产党员为主体的应急梯队。领导小组每两周进行一次专题会议，讨论安排部署防控工作。二是组织全院职工认真学习了新冠诊疗方案、防控方案，医务人员、村医、物业人员及社区网格员进行了多次防控知识培训，就七步洗手法、戴口罩、穿脱隔离衣等防控知识和操作，进行了10次的培训，其中对重点部门发热门诊、预检分诊、入户排查人员进行了一对一培训和考核，做到“培训全覆盖，人人必过关”，在全院进行了疫情防控演练2次，10人培训了核酸取样。三是严格督导检查，全面排查感染隐患。医院督导检查组，不定期的到各科室进行督导检查，特别是重点岗位的工作人员的自我防护、履职情况、劳动纪律、信息报送等事项进行检查，发现问题及时解决，促进了防护工作的落实。四是服从政府统一安排，派出了近300人次，分别在火车站、高速路口等卡口坚守。五是做好居家隔离人员的管控，共管理523人次，转运病人50人次。六是为外出务工返岗农民工做好健康服务，办理外出务工返岗健康证明手续，共办理7284人。同时到辖区复工复产企业进行健康宣教培训、指导防护消杀、员工的健康随访等防控工作。七是做好健康教育工作，共发放宣传单近万份。八是完善了预检分诊流程再造，发热哨点的规范化改造。九是严格落实了各项制度。</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000000"/>
          <w:sz w:val="32"/>
          <w:szCs w:val="32"/>
          <w:lang w:eastAsia="zh-CN"/>
        </w:rPr>
      </w:pPr>
    </w:p>
    <w:p>
      <w:pPr>
        <w:pStyle w:val="2"/>
        <w:keepNext/>
        <w:keepLines/>
        <w:pageBreakBefore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rPr>
      </w:pPr>
      <w:bookmarkStart w:id="16" w:name="_Toc15377200"/>
      <w:bookmarkStart w:id="17" w:name="_Toc15396601"/>
      <w:r>
        <w:rPr>
          <w:rFonts w:ascii="方正黑体简体" w:eastAsia="方正黑体简体" w:cs="方正黑体简体" w:hAnsi="方正黑体简体" w:hint="eastAsia"/>
          <w:b w:val="0"/>
          <w:color w:val="000000"/>
          <w:sz w:val="32"/>
          <w:szCs w:val="32"/>
        </w:rPr>
        <w:t>二、机构设置</w:t>
      </w:r>
      <w:bookmarkEnd w:id="16"/>
      <w:bookmarkEnd w:id="17"/>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社区卫生服务中心无下属二级单位</w:t>
      </w:r>
      <w:r>
        <w:rPr>
          <w:rFonts w:ascii="方正仿宋简体" w:eastAsia="方正仿宋简体" w:cs="方正仿宋简体" w:hAnsi="方正仿宋简体" w:hint="eastAsia"/>
          <w:sz w:val="32"/>
          <w:szCs w:val="32"/>
          <w:lang w:eastAsia="zh-CN"/>
        </w:rPr>
        <w:t>。</w:t>
      </w:r>
    </w:p>
    <w:p>
      <w:pPr>
        <w:pStyle w:val="17"/>
        <w:pageBreakBefore w:val="0"/>
        <w:widowControl w:val="0"/>
        <w:kinsoku/>
        <w:wordWrap/>
        <w:overflowPunct/>
        <w:topLinePunct w:val="0"/>
        <w:autoSpaceDE/>
        <w:autoSpaceDN/>
        <w:bidi w:val="0"/>
        <w:adjustRightInd w:val="0"/>
        <w:snapToGrid w:val="0"/>
        <w:spacing w:beforeLines="0" w:before="30" w:line="576" w:lineRule="exact"/>
        <w:ind w:righ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纳入广元市利州区</w:t>
      </w:r>
      <w:r>
        <w:rPr>
          <w:rFonts w:ascii="方正仿宋简体" w:eastAsia="方正仿宋简体" w:cs="方正仿宋简体" w:hAnsi="方正仿宋简体" w:hint="eastAsia"/>
          <w:color w:val="000000"/>
          <w:sz w:val="32"/>
          <w:szCs w:val="32"/>
          <w:lang w:eastAsia="zh-CN"/>
        </w:rPr>
        <w:t>雪峰</w:t>
      </w:r>
      <w:r>
        <w:rPr>
          <w:rFonts w:ascii="方正仿宋简体" w:eastAsia="方正仿宋简体" w:cs="方正仿宋简体" w:hAnsi="方正仿宋简体" w:hint="eastAsia"/>
          <w:color w:val="000000"/>
          <w:sz w:val="32"/>
          <w:szCs w:val="32"/>
        </w:rPr>
        <w:t>社区卫生服务中心2020年度部门决算编制范围的二级预算单位</w:t>
      </w:r>
      <w:r>
        <w:rPr>
          <w:rFonts w:ascii="方正仿宋简体" w:eastAsia="方正仿宋简体" w:cs="方正仿宋简体" w:hAnsi="方正仿宋简体" w:hint="eastAsia"/>
          <w:color w:val="000000"/>
          <w:sz w:val="32"/>
          <w:szCs w:val="32"/>
          <w:lang w:eastAsia="zh-CN"/>
        </w:rPr>
        <w:t>：无。</w:t>
      </w:r>
    </w:p>
    <w:p>
      <w:pPr>
        <w:pStyle w:val="1"/>
        <w:keepNext/>
        <w:keepLines/>
        <w:pageBreakBefore w:val="0"/>
        <w:kinsoku/>
        <w:wordWrap/>
        <w:overflowPunct/>
        <w:topLinePunct w:val="0"/>
        <w:autoSpaceDE/>
        <w:autoSpaceDN/>
        <w:bidi w:val="0"/>
        <w:spacing w:before="0" w:after="0" w:line="576" w:lineRule="exact"/>
        <w:ind w:left="0" w:right="0"/>
        <w:jc w:val="right"/>
        <w:textAlignment w:val="auto"/>
        <w:rPr>
          <w:rFonts w:ascii="方正仿宋简体" w:eastAsia="方正仿宋简体" w:cs="方正仿宋简体" w:hAnsi="方正仿宋简体" w:hint="eastAsia"/>
          <w:b w:val="0"/>
          <w:color w:val="000000"/>
          <w:sz w:val="32"/>
          <w:szCs w:val="32"/>
        </w:rPr>
      </w:pPr>
      <w:bookmarkStart w:id="18" w:name="_Toc15377204"/>
      <w:bookmarkStart w:id="19" w:name="_Toc15396602"/>
    </w:p>
    <w:p>
      <w:pPr>
        <w:pStyle w:val="1"/>
        <w:keepNext/>
        <w:keepLines/>
        <w:pageBreakBefore w:val="0"/>
        <w:kinsoku/>
        <w:wordWrap/>
        <w:overflowPunct/>
        <w:topLinePunct w:val="0"/>
        <w:autoSpaceDE/>
        <w:autoSpaceDN/>
        <w:bidi w:val="0"/>
        <w:spacing w:before="0" w:after="0" w:line="576" w:lineRule="exact"/>
        <w:ind w:left="0" w:right="0"/>
        <w:jc w:val="both"/>
        <w:textAlignment w:val="auto"/>
        <w:rPr>
          <w:rFonts w:ascii="方正仿宋简体" w:eastAsia="方正仿宋简体" w:cs="方正仿宋简体" w:hAnsi="方正仿宋简体" w:hint="eastAsia"/>
          <w:b w:val="0"/>
          <w:color w:val="000000"/>
          <w:sz w:val="32"/>
          <w:szCs w:val="32"/>
        </w:rPr>
      </w:pPr>
    </w:p>
    <w:p>
      <w:pPr>
        <w:pStyle w:val="1"/>
        <w:keepNext/>
        <w:keepLines/>
        <w:pageBreakBefore w:val="0"/>
        <w:kinsoku/>
        <w:wordWrap/>
        <w:overflowPunct/>
        <w:topLinePunct w:val="0"/>
        <w:autoSpaceDE/>
        <w:autoSpaceDN/>
        <w:bidi w:val="0"/>
        <w:spacing w:before="0" w:after="0" w:line="576" w:lineRule="exact"/>
        <w:ind w:left="0" w:right="0"/>
        <w:jc w:val="right"/>
        <w:textAlignment w:val="auto"/>
        <w:rPr>
          <w:rFonts w:ascii="方正仿宋简体" w:eastAsia="方正仿宋简体" w:cs="方正仿宋简体" w:hAnsi="方正仿宋简体" w:hint="eastAsia"/>
          <w:b w:val="0"/>
          <w:color w:val="000000"/>
          <w:sz w:val="32"/>
          <w:szCs w:val="32"/>
        </w:rPr>
      </w:pPr>
    </w:p>
    <w:p>
      <w:pPr>
        <w:pStyle w:val="1"/>
        <w:keepNext/>
        <w:keepLines/>
        <w:pageBreakBefore w:val="0"/>
        <w:kinsoku/>
        <w:wordWrap/>
        <w:overflowPunct/>
        <w:topLinePunct w:val="0"/>
        <w:autoSpaceDE/>
        <w:autoSpaceDN/>
        <w:bidi w:val="0"/>
        <w:spacing w:before="0" w:after="0" w:line="576" w:lineRule="exact"/>
        <w:ind w:left="0" w:right="0"/>
        <w:jc w:val="both"/>
        <w:textAlignment w:val="auto"/>
        <w:rPr>
          <w:rFonts w:ascii="方正仿宋简体" w:eastAsia="方正仿宋简体" w:cs="方正仿宋简体" w:hAnsi="方正仿宋简体" w:hint="eastAsia"/>
          <w:b w:val="0"/>
          <w:color w:val="000000"/>
          <w:sz w:val="32"/>
          <w:szCs w:val="32"/>
        </w:rPr>
      </w:pPr>
    </w:p>
    <w:p>
      <w:pPr>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6"/>
        <w:rPr>
          <w:rFonts w:ascii="方正仿宋简体" w:eastAsia="方正仿宋简体" w:cs="方正仿宋简体" w:hAnsi="方正仿宋简体" w:hint="eastAsia"/>
          <w:b w:val="0"/>
          <w:color w:val="000000"/>
          <w:sz w:val="32"/>
          <w:szCs w:val="32"/>
        </w:rPr>
      </w:pPr>
    </w:p>
    <w:p>
      <w:pPr>
        <w:pStyle w:val="1"/>
        <w:keepNext w:val="0"/>
        <w:keepLines w:val="0"/>
        <w:pageBreakBefore w:val="0"/>
        <w:widowControl w:val="0"/>
        <w:kinsoku/>
        <w:wordWrap/>
        <w:overflowPunct/>
        <w:topLinePunct w:val="0"/>
        <w:autoSpaceDE/>
        <w:autoSpaceDN/>
        <w:bidi w:val="0"/>
        <w:adjustRightInd/>
        <w:snapToGrid/>
        <w:spacing w:before="0" w:after="0" w:line="576" w:lineRule="exact"/>
        <w:ind w:left="0" w:right="0"/>
        <w:jc w:val="center"/>
        <w:textAlignment w:val="auto"/>
        <w:rPr>
          <w:rFonts w:ascii="方正小标宋简体" w:eastAsia="方正小标宋简体" w:cs="方正小标宋简体" w:hAnsi="方正小标宋简体" w:hint="eastAsia"/>
          <w:b w:val="0"/>
          <w:sz w:val="48"/>
          <w:szCs w:val="48"/>
        </w:rPr>
      </w:pPr>
    </w:p>
    <w:p>
      <w:pPr>
        <w:rPr>
          <w:rFonts w:ascii="方正小标宋简体" w:eastAsia="方正小标宋简体" w:cs="方正小标宋简体" w:hAnsi="方正小标宋简体" w:hint="eastAsia"/>
          <w:b w:val="0"/>
          <w:sz w:val="48"/>
          <w:szCs w:val="48"/>
        </w:rPr>
      </w:pPr>
    </w:p>
    <w:p>
      <w:pPr>
        <w:pStyle w:val="16"/>
        <w:jc w:val="center"/>
        <w:rPr>
          <w:rFonts w:hint="eastAsia"/>
        </w:rPr>
      </w:pPr>
    </w:p>
    <w:p>
      <w:pPr>
        <w:pStyle w:val="1"/>
        <w:keepNext w:val="0"/>
        <w:keepLines w:val="0"/>
        <w:pageBreakBefore w:val="0"/>
        <w:widowControl w:val="0"/>
        <w:kinsoku/>
        <w:wordWrap/>
        <w:overflowPunct/>
        <w:topLinePunct w:val="0"/>
        <w:autoSpaceDE/>
        <w:autoSpaceDN/>
        <w:bidi w:val="0"/>
        <w:adjustRightInd/>
        <w:snapToGrid/>
        <w:spacing w:before="0" w:after="0" w:line="576" w:lineRule="exact"/>
        <w:ind w:left="0" w:right="0"/>
        <w:jc w:val="center"/>
        <w:textAlignment w:val="auto"/>
        <w:rPr>
          <w:rFonts w:ascii="方正小标宋简体" w:eastAsia="方正小标宋简体" w:cs="方正小标宋简体" w:hAnsi="方正小标宋简体" w:hint="eastAsia"/>
          <w:b w:val="0"/>
          <w:sz w:val="48"/>
          <w:szCs w:val="48"/>
        </w:rPr>
      </w:pPr>
      <w:r>
        <w:rPr>
          <w:rFonts w:ascii="方正小标宋简体" w:eastAsia="方正小标宋简体" w:cs="方正小标宋简体" w:hAnsi="方正小标宋简体" w:hint="eastAsia"/>
          <w:b w:val="0"/>
          <w:sz w:val="48"/>
          <w:szCs w:val="48"/>
        </w:rPr>
        <w:t>第二部分 2020年度部门决算情况说明</w:t>
      </w:r>
      <w:bookmarkEnd w:id="18"/>
      <w:bookmarkEnd w:id="19"/>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rPr>
      </w:pPr>
      <w:bookmarkStart w:id="20" w:name="_Toc15377205"/>
      <w:bookmarkStart w:id="21" w:name="_Toc15396603"/>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rPr>
      </w:pPr>
      <w:r>
        <w:rPr>
          <w:rFonts w:ascii="方正黑体简体" w:eastAsia="方正黑体简体" w:cs="方正黑体简体" w:hAnsi="方正黑体简体" w:hint="eastAsia"/>
          <w:b w:val="0"/>
          <w:color w:val="000000"/>
          <w:sz w:val="32"/>
          <w:szCs w:val="32"/>
          <w:lang w:eastAsia="zh-CN"/>
        </w:rPr>
        <w:t>一、</w:t>
      </w:r>
      <w:r>
        <w:rPr>
          <w:rFonts w:ascii="方正黑体简体" w:eastAsia="方正黑体简体" w:cs="方正黑体简体" w:hAnsi="方正黑体简体" w:hint="eastAsia"/>
          <w:b w:val="0"/>
          <w:color w:val="000000"/>
          <w:sz w:val="32"/>
          <w:szCs w:val="32"/>
        </w:rPr>
        <w:t>收入支出决算总体情况说明</w:t>
      </w:r>
      <w:bookmarkEnd w:id="20"/>
      <w:bookmarkEnd w:id="21"/>
    </w:p>
    <w:p>
      <w:pPr>
        <w:pageBreakBefore w:val="0"/>
        <w:widowControl w:val="0"/>
        <w:kinsoku/>
        <w:wordWrap/>
        <w:overflowPunct/>
        <w:topLinePunct w:val="0"/>
        <w:autoSpaceDE/>
        <w:autoSpaceDN/>
        <w:bidi w:val="0"/>
        <w:spacing w:line="576" w:lineRule="exact"/>
        <w:ind w:left="0" w:right="0" w:firstLineChars="200" w:firstLine="640"/>
        <w:textAlignment w:val="auto"/>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2020年度收入、支出总计分别是</w:t>
      </w:r>
      <w:r>
        <w:rPr>
          <w:rFonts w:ascii="方正仿宋简体" w:eastAsia="方正仿宋简体" w:cs="方正仿宋简体" w:hAnsi="方正仿宋简体" w:hint="eastAsia"/>
          <w:color w:val="000000"/>
          <w:sz w:val="32"/>
          <w:szCs w:val="32"/>
          <w:lang w:val="en-US" w:eastAsia="zh-CN"/>
        </w:rPr>
        <w:t>2071.43</w:t>
      </w:r>
      <w:r>
        <w:rPr>
          <w:rFonts w:ascii="方正仿宋简体" w:eastAsia="方正仿宋简体" w:cs="方正仿宋简体" w:hAnsi="方正仿宋简体" w:hint="eastAsia"/>
          <w:color w:val="000000"/>
          <w:sz w:val="32"/>
          <w:szCs w:val="32"/>
        </w:rPr>
        <w:t>万元、</w:t>
      </w:r>
      <w:r>
        <w:rPr>
          <w:rFonts w:ascii="方正仿宋简体" w:eastAsia="方正仿宋简体" w:cs="方正仿宋简体" w:hAnsi="方正仿宋简体" w:hint="eastAsia"/>
          <w:color w:val="000000"/>
          <w:sz w:val="32"/>
          <w:szCs w:val="32"/>
          <w:lang w:val="en-US" w:eastAsia="zh-CN"/>
        </w:rPr>
        <w:t>1961.12</w:t>
      </w:r>
      <w:r>
        <w:rPr>
          <w:rFonts w:ascii="方正仿宋简体" w:eastAsia="方正仿宋简体" w:cs="方正仿宋简体" w:hAnsi="方正仿宋简体" w:hint="eastAsia"/>
          <w:color w:val="000000"/>
          <w:sz w:val="32"/>
          <w:szCs w:val="32"/>
        </w:rPr>
        <w:t>万元。与2019年（</w:t>
      </w:r>
      <w:r>
        <w:rPr>
          <w:rFonts w:ascii="方正仿宋简体" w:eastAsia="方正仿宋简体" w:cs="方正仿宋简体" w:hAnsi="方正仿宋简体" w:hint="eastAsia"/>
          <w:color w:val="000000"/>
          <w:sz w:val="32"/>
          <w:szCs w:val="32"/>
          <w:lang w:eastAsia="zh-CN"/>
        </w:rPr>
        <w:t>收入</w:t>
      </w:r>
      <w:r>
        <w:rPr>
          <w:rFonts w:ascii="方正仿宋简体" w:eastAsia="方正仿宋简体" w:cs="方正仿宋简体" w:hAnsi="方正仿宋简体" w:hint="eastAsia"/>
          <w:color w:val="000000"/>
          <w:sz w:val="32"/>
          <w:szCs w:val="32"/>
          <w:lang w:val="en-US" w:eastAsia="zh-CN"/>
        </w:rPr>
        <w:t>1727.58</w:t>
      </w:r>
      <w:r>
        <w:rPr>
          <w:rFonts w:ascii="方正仿宋简体" w:eastAsia="方正仿宋简体" w:cs="方正仿宋简体" w:hAnsi="方正仿宋简体" w:hint="eastAsia"/>
          <w:color w:val="000000"/>
          <w:sz w:val="32"/>
          <w:szCs w:val="32"/>
        </w:rPr>
        <w:t>万元、</w:t>
      </w:r>
      <w:r>
        <w:rPr>
          <w:rFonts w:ascii="方正仿宋简体" w:eastAsia="方正仿宋简体" w:cs="方正仿宋简体" w:hAnsi="方正仿宋简体" w:hint="eastAsia"/>
          <w:color w:val="000000"/>
          <w:sz w:val="32"/>
          <w:szCs w:val="32"/>
          <w:lang w:eastAsia="zh-CN"/>
        </w:rPr>
        <w:t>支出</w:t>
      </w:r>
      <w:r>
        <w:rPr>
          <w:rFonts w:ascii="方正仿宋简体" w:eastAsia="方正仿宋简体" w:cs="方正仿宋简体" w:hAnsi="方正仿宋简体" w:hint="eastAsia"/>
          <w:color w:val="000000"/>
          <w:sz w:val="32"/>
          <w:szCs w:val="32"/>
          <w:lang w:val="en-US" w:eastAsia="zh-CN"/>
        </w:rPr>
        <w:t>1516.59</w:t>
      </w:r>
      <w:r>
        <w:rPr>
          <w:rFonts w:ascii="方正仿宋简体" w:eastAsia="方正仿宋简体" w:cs="方正仿宋简体" w:hAnsi="方正仿宋简体" w:hint="eastAsia"/>
          <w:color w:val="000000"/>
          <w:sz w:val="32"/>
          <w:szCs w:val="32"/>
        </w:rPr>
        <w:t>万元）相比，收入增加</w:t>
      </w:r>
      <w:r>
        <w:rPr>
          <w:rFonts w:ascii="方正仿宋简体" w:eastAsia="方正仿宋简体" w:cs="方正仿宋简体" w:hAnsi="方正仿宋简体" w:hint="eastAsia"/>
          <w:color w:val="000000"/>
          <w:sz w:val="32"/>
          <w:szCs w:val="32"/>
          <w:lang w:val="en-US" w:eastAsia="zh-CN"/>
        </w:rPr>
        <w:t>343.85</w:t>
      </w:r>
      <w:r>
        <w:rPr>
          <w:rFonts w:ascii="方正仿宋简体" w:eastAsia="方正仿宋简体" w:cs="方正仿宋简体" w:hAnsi="方正仿宋简体" w:hint="eastAsia"/>
          <w:color w:val="000000"/>
          <w:sz w:val="32"/>
          <w:szCs w:val="32"/>
        </w:rPr>
        <w:t>万元，增长</w:t>
      </w:r>
      <w:r>
        <w:rPr>
          <w:rFonts w:ascii="方正仿宋简体" w:eastAsia="方正仿宋简体" w:cs="方正仿宋简体" w:hAnsi="方正仿宋简体" w:hint="eastAsia"/>
          <w:color w:val="000000"/>
          <w:sz w:val="32"/>
          <w:szCs w:val="32"/>
          <w:lang w:val="en-US" w:eastAsia="zh-CN"/>
        </w:rPr>
        <w:t>19.90</w:t>
      </w:r>
      <w:r>
        <w:rPr>
          <w:rFonts w:ascii="方正仿宋简体" w:eastAsia="方正仿宋简体" w:cs="方正仿宋简体" w:hAnsi="方正仿宋简体" w:hint="eastAsia"/>
          <w:color w:val="000000"/>
          <w:sz w:val="32"/>
          <w:szCs w:val="32"/>
        </w:rPr>
        <w:t>%，支出增加</w:t>
      </w:r>
      <w:r>
        <w:rPr>
          <w:rFonts w:ascii="方正仿宋简体" w:eastAsia="方正仿宋简体" w:cs="方正仿宋简体" w:hAnsi="方正仿宋简体" w:hint="eastAsia"/>
          <w:color w:val="000000"/>
          <w:sz w:val="32"/>
          <w:szCs w:val="32"/>
          <w:lang w:val="en-US" w:eastAsia="zh-CN"/>
        </w:rPr>
        <w:t>444.53</w:t>
      </w:r>
      <w:r>
        <w:rPr>
          <w:rFonts w:ascii="方正仿宋简体" w:eastAsia="方正仿宋简体" w:cs="方正仿宋简体" w:hAnsi="方正仿宋简体" w:hint="eastAsia"/>
          <w:color w:val="000000"/>
          <w:sz w:val="32"/>
          <w:szCs w:val="32"/>
        </w:rPr>
        <w:t>万元，增长</w:t>
      </w:r>
      <w:r>
        <w:rPr>
          <w:rFonts w:ascii="方正仿宋简体" w:eastAsia="方正仿宋简体" w:cs="方正仿宋简体" w:hAnsi="方正仿宋简体" w:hint="eastAsia"/>
          <w:color w:val="000000"/>
          <w:sz w:val="32"/>
          <w:szCs w:val="32"/>
          <w:lang w:val="en-US" w:eastAsia="zh-CN"/>
        </w:rPr>
        <w:t>29.31</w:t>
      </w:r>
      <w:r>
        <w:rPr>
          <w:rFonts w:ascii="方正仿宋简体" w:eastAsia="方正仿宋简体" w:cs="方正仿宋简体" w:hAnsi="方正仿宋简体" w:hint="eastAsia"/>
          <w:color w:val="000000"/>
          <w:sz w:val="32"/>
          <w:szCs w:val="32"/>
        </w:rPr>
        <w:t>%，主要增长原因是因</w:t>
      </w:r>
      <w:r>
        <w:rPr>
          <w:rFonts w:ascii="方正仿宋简体" w:eastAsia="方正仿宋简体" w:cs="方正仿宋简体" w:hAnsi="方正仿宋简体" w:hint="eastAsia"/>
          <w:color w:val="000000"/>
          <w:sz w:val="32"/>
          <w:szCs w:val="32"/>
          <w:lang w:eastAsia="zh-CN"/>
        </w:rPr>
        <w:t>医疗业务</w:t>
      </w:r>
      <w:r>
        <w:rPr>
          <w:rFonts w:ascii="方正仿宋简体" w:eastAsia="方正仿宋简体" w:cs="方正仿宋简体" w:hAnsi="方正仿宋简体" w:hint="eastAsia"/>
          <w:color w:val="000000"/>
          <w:sz w:val="32"/>
          <w:szCs w:val="32"/>
        </w:rPr>
        <w:t>收入增加。</w:t>
      </w:r>
    </w:p>
    <w:p>
      <w:pPr>
        <w:spacing w:line="240" w:lineRule="auto"/>
        <w:ind w:firstLineChars="200" w:firstLine="420"/>
        <w:rPr>
          <w:rFonts w:ascii="仿宋" w:eastAsia="仿宋" w:hAnsi="仿宋" w:hint="eastAsia"/>
          <w:color w:val="000000"/>
          <w:sz w:val="32"/>
          <w:szCs w:val="32"/>
          <w:lang w:eastAsia="zh-CN"/>
        </w:rPr>
      </w:pPr>
      <w:r>
        <w:drawing>
          <wp:anchor distT="0" distB="0" distL="114935" distR="114935" simplePos="0" relativeHeight="26" behindDoc="0" locked="0" layoutInCell="1" hidden="0" allowOverlap="1">
            <wp:simplePos x="0" y="0"/>
            <wp:positionH relativeFrom="column">
              <wp:posOffset>181610</wp:posOffset>
            </wp:positionH>
            <wp:positionV relativeFrom="paragraph">
              <wp:posOffset>2694305</wp:posOffset>
            </wp:positionV>
            <wp:extent cx="4912360" cy="2871470"/>
            <wp:effectExtent l="0" t="0" r="2540" b="5080"/>
            <wp:wrapNone/>
            <wp:docPr id="35" name="图片 5"/>
            <wp:cNvGraphicFramePr>
              <a:graphicFrameLocks noChangeAspect="1"/>
            </wp:cNvGraphicFramePr>
            <a:graphic>
              <a:graphicData uri="http://schemas.openxmlformats.org/drawingml/2006/picture">
                <pic:pic>
                  <pic:nvPicPr>
                    <pic:cNvPr id="6" name="图片 5 6"/>
                    <pic:cNvPicPr/>
                  </pic:nvPicPr>
                  <pic:blipFill>
                    <a:blip r:embed="rId6"/>
                    <a:stretch>
                      <a:fillRect/>
                    </a:stretch>
                  </pic:blipFill>
                  <pic:spPr>
                    <a:xfrm rot="0">
                      <a:off x="0" y="0"/>
                      <a:ext cx="4912360" cy="2871470"/>
                    </a:xfrm>
                    <a:prstGeom prst="rect"/>
                    <a:noFill/>
                    <a:ln cmpd="sng" cap="flat">
                      <a:noFill/>
                      <a:prstDash val="solid"/>
                      <a:round/>
                    </a:ln>
                  </pic:spPr>
                </pic:pic>
              </a:graphicData>
            </a:graphic>
          </wp:anchor>
        </w:drawing>
      </w:r>
      <w:r>
        <w:drawing>
          <wp:inline distT="0" distB="0" distL="114300" distR="114300">
            <wp:extent cx="4886959" cy="2580640"/>
            <wp:effectExtent l="0" t="0" r="8889" b="10160"/>
            <wp:docPr id="36" name="图片 4"/>
            <wp:cNvGraphicFramePr>
              <a:graphicFrameLocks noChangeAspect="1"/>
            </wp:cNvGraphicFramePr>
            <a:graphic>
              <a:graphicData uri="http://schemas.openxmlformats.org/drawingml/2006/picture">
                <pic:pic>
                  <pic:nvPicPr>
                    <pic:cNvPr id="8" name="图片 4 8"/>
                    <pic:cNvPicPr/>
                  </pic:nvPicPr>
                  <pic:blipFill>
                    <a:blip r:embed="rId7"/>
                    <a:stretch>
                      <a:fillRect/>
                    </a:stretch>
                  </pic:blipFill>
                  <pic:spPr>
                    <a:xfrm rot="0">
                      <a:off x="0" y="0"/>
                      <a:ext cx="4886959" cy="2580640"/>
                    </a:xfrm>
                    <a:prstGeom prst="rect"/>
                    <a:noFill/>
                    <a:ln cmpd="sng" cap="flat">
                      <a:noFill/>
                      <a:prstDash val="solid"/>
                      <a:round/>
                    </a:ln>
                  </pic:spPr>
                </pic:pic>
              </a:graphicData>
            </a:graphic>
          </wp:inline>
        </w:drawing>
      </w:r>
    </w:p>
    <w:p>
      <w:pPr>
        <w:spacing w:line="600" w:lineRule="exact"/>
        <w:ind w:firstLineChars="200" w:firstLine="640"/>
        <w:rPr>
          <w:rFonts w:ascii="仿宋" w:eastAsia="仿宋" w:hAnsi="仿宋" w:hint="eastAsia"/>
          <w:color w:val="000000"/>
          <w:sz w:val="32"/>
          <w:szCs w:val="32"/>
        </w:rPr>
      </w:pPr>
    </w:p>
    <w:p>
      <w:pPr>
        <w:spacing w:line="600" w:lineRule="exact"/>
        <w:ind w:firstLineChars="200" w:firstLine="640"/>
        <w:rPr>
          <w:rFonts w:ascii="仿宋" w:eastAsia="仿宋" w:hAnsi="仿宋" w:hint="eastAsia"/>
          <w:color w:val="000000"/>
          <w:sz w:val="32"/>
          <w:szCs w:val="32"/>
          <w:lang w:eastAsia="zh-CN"/>
        </w:rPr>
      </w:pPr>
    </w:p>
    <w:p>
      <w:pPr>
        <w:spacing w:line="600" w:lineRule="exact"/>
        <w:ind w:firstLineChars="200" w:firstLine="640"/>
        <w:rPr>
          <w:rFonts w:ascii="仿宋" w:eastAsia="仿宋" w:hAnsi="仿宋" w:hint="eastAsia"/>
          <w:color w:val="000000"/>
          <w:sz w:val="32"/>
          <w:szCs w:val="32"/>
        </w:rPr>
      </w:pPr>
    </w:p>
    <w:p>
      <w:pPr>
        <w:spacing w:line="600" w:lineRule="exact"/>
        <w:ind w:firstLineChars="200" w:firstLine="640"/>
        <w:rPr>
          <w:rFonts w:ascii="仿宋" w:eastAsia="仿宋" w:hAnsi="仿宋" w:hint="eastAsia"/>
          <w:color w:val="000000"/>
          <w:sz w:val="32"/>
          <w:szCs w:val="32"/>
        </w:rPr>
      </w:pPr>
    </w:p>
    <w:p>
      <w:pPr>
        <w:spacing w:line="600" w:lineRule="exact"/>
        <w:ind w:firstLineChars="200" w:firstLine="640"/>
        <w:rPr>
          <w:rFonts w:ascii="仿宋" w:eastAsia="仿宋" w:hAnsi="仿宋" w:hint="eastAsia"/>
          <w:color w:val="000000"/>
          <w:sz w:val="32"/>
          <w:szCs w:val="32"/>
          <w:lang w:eastAsia="zh-CN"/>
        </w:rPr>
      </w:pPr>
    </w:p>
    <w:p>
      <w:pPr>
        <w:spacing w:line="240" w:lineRule="auto"/>
        <w:ind w:firstLine="0"/>
        <w:rPr>
          <w:rFonts w:ascii="仿宋" w:eastAsia="仿宋" w:hAnsi="仿宋" w:hint="eastAsia"/>
          <w:color w:val="000000"/>
          <w:sz w:val="32"/>
          <w:szCs w:val="32"/>
          <w:lang w:eastAsia="zh-CN"/>
        </w:rPr>
      </w:pPr>
    </w:p>
    <w:p>
      <w:pPr>
        <w:spacing w:line="600" w:lineRule="exact"/>
        <w:rPr>
          <w:rFonts w:ascii="仿宋" w:eastAsia="仿宋" w:hAnsi="仿宋" w:hint="eastAsia"/>
          <w:color w:val="000000"/>
          <w:sz w:val="32"/>
          <w:szCs w:val="32"/>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（图1：收、支决算总计变动情况图）（柱状图）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2" w:name="_Toc15396604"/>
      <w:bookmarkStart w:id="23" w:name="_Toc15377206"/>
      <w:r>
        <w:rPr>
          <w:rFonts w:ascii="方正黑体简体" w:eastAsia="方正黑体简体" w:cs="方正黑体简体" w:hAnsi="方正黑体简体" w:hint="eastAsia"/>
          <w:b w:val="0"/>
          <w:color w:val="000000"/>
          <w:sz w:val="32"/>
          <w:szCs w:val="32"/>
          <w:lang w:eastAsia="zh-CN"/>
        </w:rPr>
        <w:t>二、收入决算情况说明</w:t>
      </w:r>
      <w:bookmarkEnd w:id="22"/>
      <w:bookmarkEnd w:id="23"/>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2020年本年收入合计</w:t>
      </w:r>
      <w:r>
        <w:rPr>
          <w:rFonts w:ascii="方正仿宋简体" w:eastAsia="方正仿宋简体" w:cs="方正仿宋简体" w:hAnsi="方正仿宋简体" w:hint="eastAsia"/>
          <w:sz w:val="32"/>
          <w:szCs w:val="32"/>
          <w:lang w:val="en-US" w:eastAsia="zh-CN"/>
        </w:rPr>
        <w:t>2071.43</w:t>
      </w:r>
      <w:r>
        <w:rPr>
          <w:rFonts w:ascii="方正仿宋简体" w:eastAsia="方正仿宋简体" w:cs="方正仿宋简体" w:hAnsi="方正仿宋简体" w:hint="eastAsia"/>
          <w:sz w:val="32"/>
          <w:szCs w:val="32"/>
        </w:rPr>
        <w:t>万元，其中：一般公共预算财政拨款收入</w:t>
      </w:r>
      <w:r>
        <w:rPr>
          <w:rFonts w:ascii="方正仿宋简体" w:eastAsia="方正仿宋简体" w:cs="方正仿宋简体" w:hAnsi="方正仿宋简体" w:hint="eastAsia"/>
          <w:sz w:val="32"/>
          <w:szCs w:val="32"/>
          <w:lang w:val="en-US" w:eastAsia="zh-CN"/>
        </w:rPr>
        <w:t>637.36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30.77</w:t>
      </w:r>
      <w:r>
        <w:rPr>
          <w:rFonts w:ascii="方正仿宋简体" w:eastAsia="方正仿宋简体" w:cs="方正仿宋简体" w:hAnsi="方正仿宋简体" w:hint="eastAsia"/>
          <w:sz w:val="32"/>
          <w:szCs w:val="32"/>
        </w:rPr>
        <w:t>%；政府性基金预算财政拨款收入</w:t>
      </w:r>
      <w:r>
        <w:rPr>
          <w:rFonts w:ascii="方正仿宋简体" w:eastAsia="方正仿宋简体" w:cs="方正仿宋简体" w:hAnsi="方正仿宋简体" w:hint="eastAsia"/>
          <w:sz w:val="32"/>
          <w:szCs w:val="32"/>
          <w:lang w:val="en-US" w:eastAsia="zh-CN"/>
        </w:rPr>
        <w:t>230.28</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11.12</w:t>
      </w:r>
      <w:r>
        <w:rPr>
          <w:rFonts w:ascii="方正仿宋简体" w:eastAsia="方正仿宋简体" w:cs="方正仿宋简体" w:hAnsi="方正仿宋简体" w:hint="eastAsia"/>
          <w:sz w:val="32"/>
          <w:szCs w:val="32"/>
        </w:rPr>
        <w:t>%；上级补助收入0万元，占0%；事业收入</w:t>
      </w:r>
      <w:r>
        <w:rPr>
          <w:rFonts w:ascii="方正仿宋简体" w:eastAsia="方正仿宋简体" w:cs="方正仿宋简体" w:hAnsi="方正仿宋简体" w:hint="eastAsia"/>
          <w:sz w:val="32"/>
          <w:szCs w:val="32"/>
          <w:lang w:val="en-US" w:eastAsia="zh-CN"/>
        </w:rPr>
        <w:t>1203.79</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58.11</w:t>
      </w:r>
      <w:r>
        <w:rPr>
          <w:rFonts w:ascii="方正仿宋简体" w:eastAsia="方正仿宋简体" w:cs="方正仿宋简体" w:hAnsi="方正仿宋简体" w:hint="eastAsia"/>
          <w:sz w:val="32"/>
          <w:szCs w:val="32"/>
        </w:rPr>
        <w:t>%；经营收入0万元，占0%；附属单位上缴收入0万元，占0%；其他收入</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w:t>
      </w:r>
    </w:p>
    <w:p>
      <w:pPr>
        <w:spacing w:line="600" w:lineRule="exact"/>
        <w:rPr>
          <w:rFonts w:ascii="仿宋" w:eastAsia="仿宋" w:hAnsi="仿宋" w:hint="eastAsia"/>
          <w:b/>
          <w:color w:val="FF0000"/>
          <w:sz w:val="32"/>
          <w:szCs w:val="32"/>
          <w:lang w:eastAsia="zh-CN"/>
        </w:rPr>
      </w:pPr>
      <w:r>
        <w:rPr>
          <w:rFonts w:ascii="仿宋" w:eastAsia="仿宋" w:hAnsi="仿宋" w:hint="eastAsia"/>
          <w:color w:val="000000"/>
          <w:sz w:val="32"/>
          <w:szCs w:val="32"/>
          <w:lang w:eastAsia="zh-CN"/>
        </w:rPr>
        <w:drawing>
          <wp:anchor distT="0" distB="0" distL="114935" distR="114935" simplePos="0" relativeHeight="30" behindDoc="0" locked="0" layoutInCell="1" hidden="0" allowOverlap="1">
            <wp:simplePos x="0" y="0"/>
            <wp:positionH relativeFrom="column">
              <wp:posOffset>94615</wp:posOffset>
            </wp:positionH>
            <wp:positionV relativeFrom="paragraph">
              <wp:posOffset>67944</wp:posOffset>
            </wp:positionV>
            <wp:extent cx="4920615" cy="3583940"/>
            <wp:effectExtent l="4444" t="4444" r="8889" b="12064"/>
            <wp:wrapNone/>
            <wp:docPr id="25" name="图表 25"/>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rPr>
      </w:pPr>
    </w:p>
    <w:p>
      <w:pPr>
        <w:spacing w:line="600" w:lineRule="exact"/>
        <w:ind w:firstLineChars="100" w:firstLine="320"/>
        <w:rPr>
          <w:rFonts w:ascii="仿宋" w:eastAsia="仿宋" w:hAnsi="仿宋" w:hint="eastAsia"/>
          <w:color w:val="000000"/>
          <w:sz w:val="32"/>
          <w:szCs w:val="32"/>
          <w:lang w:eastAsia="zh-CN"/>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（图2：收入决算结构图）（饼状图）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4" w:name="_Toc15396605"/>
      <w:bookmarkStart w:id="25" w:name="_Toc15377207"/>
      <w:r>
        <w:rPr>
          <w:rFonts w:ascii="方正黑体简体" w:eastAsia="方正黑体简体" w:cs="方正黑体简体" w:hAnsi="方正黑体简体" w:hint="eastAsia"/>
          <w:b w:val="0"/>
          <w:color w:val="000000"/>
          <w:sz w:val="32"/>
          <w:szCs w:val="32"/>
          <w:lang w:eastAsia="zh-CN"/>
        </w:rPr>
        <w:t>三、支出决算情况说明</w:t>
      </w:r>
      <w:bookmarkEnd w:id="24"/>
      <w:bookmarkEnd w:id="25"/>
    </w:p>
    <w:p>
      <w:pPr>
        <w:pageBreakBefore w:val="0"/>
        <w:widowControl w:val="0"/>
        <w:kinsoku/>
        <w:wordWrap/>
        <w:overflowPunct/>
        <w:topLinePunct w:val="0"/>
        <w:autoSpaceDE/>
        <w:autoSpaceDN/>
        <w:bidi w:val="0"/>
        <w:spacing w:line="576" w:lineRule="exact"/>
        <w:ind w:right="0" w:firstLineChars="200" w:firstLine="640"/>
        <w:textAlignment w:val="auto"/>
        <w:rPr>
          <w:rFonts w:ascii="仿宋" w:eastAsia="仿宋" w:hAnsi="仿宋" w:hint="eastAsia"/>
          <w:color w:val="000000"/>
          <w:sz w:val="32"/>
          <w:szCs w:val="32"/>
          <w:lang w:eastAsia="zh-CN"/>
        </w:rPr>
      </w:pPr>
      <w:r>
        <w:rPr>
          <w:rFonts w:ascii="方正仿宋简体" w:eastAsia="方正仿宋简体" w:cs="方正仿宋简体" w:hAnsi="方正仿宋简体" w:hint="eastAsia"/>
          <w:sz w:val="32"/>
          <w:szCs w:val="32"/>
        </w:rPr>
        <w:t>2020年本年支出合计</w:t>
      </w:r>
      <w:r>
        <w:rPr>
          <w:rFonts w:ascii="方正仿宋简体" w:eastAsia="方正仿宋简体" w:cs="方正仿宋简体" w:hAnsi="方正仿宋简体" w:hint="eastAsia"/>
          <w:sz w:val="32"/>
          <w:szCs w:val="32"/>
          <w:lang w:val="en-US" w:eastAsia="zh-CN"/>
        </w:rPr>
        <w:t>1961.12</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val="en-US" w:eastAsia="zh-CN"/>
        </w:rPr>
        <w:t>1468.66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74.89</w:t>
      </w:r>
      <w:r>
        <w:rPr>
          <w:rFonts w:ascii="方正仿宋简体" w:eastAsia="方正仿宋简体" w:cs="方正仿宋简体" w:hAnsi="方正仿宋简体" w:hint="eastAsia"/>
          <w:sz w:val="32"/>
          <w:szCs w:val="32"/>
        </w:rPr>
        <w:t>%；项目支出</w:t>
      </w:r>
      <w:r>
        <w:rPr>
          <w:rFonts w:ascii="方正仿宋简体" w:eastAsia="方正仿宋简体" w:cs="方正仿宋简体" w:hAnsi="方正仿宋简体" w:hint="eastAsia"/>
          <w:sz w:val="32"/>
          <w:szCs w:val="32"/>
          <w:lang w:val="en-US" w:eastAsia="zh-CN"/>
        </w:rPr>
        <w:t>492.46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25.11</w:t>
      </w:r>
      <w:r>
        <w:rPr>
          <w:rFonts w:ascii="方正仿宋简体" w:eastAsia="方正仿宋简体" w:cs="方正仿宋简体" w:hAnsi="方正仿宋简体" w:hint="eastAsia"/>
          <w:sz w:val="32"/>
          <w:szCs w:val="32"/>
        </w:rPr>
        <w:t>%；上缴上级支出0万元，占0%；经营支出0万元，占0%；对附属单位补助支出0万元，占0%。</w:t>
      </w:r>
    </w:p>
    <w:p>
      <w:pPr>
        <w:pStyle w:val="26"/>
        <w:rPr>
          <w:rFonts w:ascii="仿宋" w:eastAsia="仿宋" w:hAnsi="仿宋" w:hint="eastAsia"/>
          <w:color w:val="000000"/>
          <w:sz w:val="32"/>
          <w:szCs w:val="32"/>
        </w:rPr>
      </w:pPr>
      <w:r>
        <w:rPr>
          <w:rFonts w:ascii="仿宋" w:eastAsia="仿宋" w:hAnsi="仿宋" w:hint="eastAsia"/>
          <w:color w:val="000000"/>
          <w:sz w:val="32"/>
          <w:szCs w:val="32"/>
          <w:lang w:eastAsia="zh-CN"/>
        </w:rPr>
        <w:drawing>
          <wp:inline distT="0" distB="0" distL="114300" distR="114300">
            <wp:extent cx="4910454" cy="3345815"/>
            <wp:effectExtent l="4444" t="4444" r="19050" b="59689"/>
            <wp:docPr id="26" name="图表 26" descr="7b0a202020202263686172745265734964223a20223230343731313234220a7d0a"/>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（图3：支出决算结构图）（饼状图）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6" w:name="_Toc15396606"/>
      <w:bookmarkStart w:id="27" w:name="_Toc15377208"/>
      <w:r>
        <w:rPr>
          <w:rFonts w:ascii="方正黑体简体" w:eastAsia="方正黑体简体" w:cs="方正黑体简体" w:hAnsi="方正黑体简体" w:hint="eastAsia"/>
          <w:b w:val="0"/>
          <w:color w:val="000000"/>
          <w:sz w:val="32"/>
          <w:szCs w:val="32"/>
          <w:lang w:eastAsia="zh-CN"/>
        </w:rPr>
        <w:t>四、财政拨款收入支出决算总体情况说明</w:t>
      </w:r>
      <w:bookmarkEnd w:id="26"/>
      <w:bookmarkEnd w:id="27"/>
    </w:p>
    <w:p>
      <w:pPr>
        <w:spacing w:line="60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020年财政拨款收入、支出总计分别是</w:t>
      </w:r>
      <w:r>
        <w:rPr>
          <w:rFonts w:ascii="方正仿宋简体" w:eastAsia="方正仿宋简体" w:cs="方正仿宋简体" w:hAnsi="方正仿宋简体" w:hint="eastAsia"/>
          <w:sz w:val="32"/>
          <w:szCs w:val="32"/>
          <w:lang w:val="en-US" w:eastAsia="zh-CN"/>
        </w:rPr>
        <w:t>867.63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813.12</w:t>
      </w:r>
      <w:r>
        <w:rPr>
          <w:rFonts w:ascii="方正仿宋简体" w:eastAsia="方正仿宋简体" w:cs="方正仿宋简体" w:hAnsi="方正仿宋简体" w:hint="eastAsia"/>
          <w:sz w:val="32"/>
          <w:szCs w:val="32"/>
        </w:rPr>
        <w:t>万元。与2019年（</w:t>
      </w:r>
      <w:r>
        <w:rPr>
          <w:rFonts w:ascii="方正仿宋简体" w:eastAsia="方正仿宋简体" w:cs="方正仿宋简体" w:hAnsi="方正仿宋简体" w:hint="eastAsia"/>
          <w:sz w:val="32"/>
          <w:szCs w:val="32"/>
          <w:lang w:val="en-US" w:eastAsia="zh-CN"/>
        </w:rPr>
        <w:t>540.28</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629.29</w:t>
      </w:r>
      <w:r>
        <w:rPr>
          <w:rFonts w:ascii="方正仿宋简体" w:eastAsia="方正仿宋简体" w:cs="方正仿宋简体" w:hAnsi="方正仿宋简体" w:hint="eastAsia"/>
          <w:sz w:val="32"/>
          <w:szCs w:val="32"/>
        </w:rPr>
        <w:t>万元）相比，财政拨款收、支总计各增加</w:t>
      </w:r>
      <w:r>
        <w:rPr>
          <w:rFonts w:ascii="方正仿宋简体" w:eastAsia="方正仿宋简体" w:cs="方正仿宋简体" w:hAnsi="方正仿宋简体" w:hint="eastAsia"/>
          <w:sz w:val="32"/>
          <w:szCs w:val="32"/>
          <w:lang w:val="en-US" w:eastAsia="zh-CN"/>
        </w:rPr>
        <w:t>327.35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183.83</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收入</w:t>
      </w:r>
      <w:r>
        <w:rPr>
          <w:rFonts w:ascii="方正仿宋简体" w:eastAsia="方正仿宋简体" w:cs="方正仿宋简体" w:hAnsi="方正仿宋简体" w:hint="eastAsia"/>
          <w:sz w:val="32"/>
          <w:szCs w:val="32"/>
        </w:rPr>
        <w:t>增长</w:t>
      </w:r>
      <w:r>
        <w:rPr>
          <w:rFonts w:ascii="方正仿宋简体" w:eastAsia="方正仿宋简体" w:cs="方正仿宋简体" w:hAnsi="方正仿宋简体" w:hint="eastAsia"/>
          <w:sz w:val="32"/>
          <w:szCs w:val="32"/>
          <w:lang w:val="en-US" w:eastAsia="zh-CN"/>
        </w:rPr>
        <w:t>60.59</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支出增长</w:t>
      </w:r>
      <w:r>
        <w:rPr>
          <w:rFonts w:ascii="方正仿宋简体" w:eastAsia="方正仿宋简体" w:cs="方正仿宋简体" w:hAnsi="方正仿宋简体" w:hint="eastAsia"/>
          <w:sz w:val="32"/>
          <w:szCs w:val="32"/>
          <w:lang w:val="en-US" w:eastAsia="zh-CN"/>
        </w:rPr>
        <w:t>29.21</w:t>
      </w:r>
      <w:r>
        <w:rPr>
          <w:rFonts w:ascii="方正仿宋简体" w:eastAsia="方正仿宋简体" w:cs="方正仿宋简体" w:hAnsi="方正仿宋简体" w:hint="eastAsia"/>
          <w:sz w:val="32"/>
          <w:szCs w:val="32"/>
        </w:rPr>
        <w:t>%。主要变动原因是人员经费、国债项目增加，所以收入支出增加。</w:t>
      </w: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drawing>
          <wp:anchor distT="0" distB="0" distL="114935" distR="114935" simplePos="0" relativeHeight="32" behindDoc="0" locked="0" layoutInCell="1" hidden="0" allowOverlap="1">
            <wp:simplePos x="0" y="0"/>
            <wp:positionH relativeFrom="column">
              <wp:posOffset>256540</wp:posOffset>
            </wp:positionH>
            <wp:positionV relativeFrom="paragraph">
              <wp:posOffset>-34290</wp:posOffset>
            </wp:positionV>
            <wp:extent cx="5216525" cy="3356610"/>
            <wp:effectExtent l="15875" t="15875" r="25400" b="18415"/>
            <wp:wrapNone/>
            <wp:docPr id="29" name="图表 29"/>
            <wp:cNvGraphicFramePr>
              <a:graphicFrameLocks noChangeAspect="0"/>
            </wp:cNvGraphicFramePr>
            <a:graphic>
              <a:graphicData uri="http://schemas.openxmlformats.org/drawingml/2006/chart">
                <c:chart xmlns:c="http://schemas.openxmlformats.org/drawingml/2006/chart" r:id="rId10"/>
              </a:graphicData>
            </a:graphic>
          </wp:anchor>
        </w:drawing>
      </w:r>
    </w:p>
    <w:p>
      <w:pPr>
        <w:pStyle w:val="26"/>
        <w:rPr>
          <w:rFonts w:ascii="仿宋" w:eastAsia="仿宋" w:hAnsi="仿宋" w:hint="eastAsia"/>
          <w:color w:val="000000"/>
          <w:sz w:val="32"/>
          <w:szCs w:val="32"/>
          <w:lang w:eastAsia="zh-CN"/>
        </w:rPr>
      </w:pP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rPr>
      </w:pPr>
    </w:p>
    <w:p>
      <w:pPr>
        <w:pStyle w:val="26"/>
        <w:rPr>
          <w:rFonts w:ascii="仿宋" w:eastAsia="仿宋" w:hAnsi="仿宋" w:hint="eastAsia"/>
          <w:color w:val="000000"/>
          <w:sz w:val="32"/>
          <w:szCs w:val="32"/>
          <w:lang w:eastAsia="zh-CN"/>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（图4：财政拨款收、支决算总计变动情况）（柱状图）</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28" w:name="_Toc15377209"/>
      <w:bookmarkStart w:id="29" w:name="_Toc15396607"/>
      <w:r>
        <w:rPr>
          <w:rFonts w:ascii="方正黑体简体" w:eastAsia="方正黑体简体" w:cs="方正黑体简体" w:hAnsi="方正黑体简体" w:hint="eastAsia"/>
          <w:b w:val="0"/>
          <w:color w:val="000000"/>
          <w:sz w:val="32"/>
          <w:szCs w:val="32"/>
          <w:lang w:eastAsia="zh-CN"/>
        </w:rPr>
        <w:t>五、一般公共预算财政拨款支出决算情况说明</w:t>
      </w:r>
      <w:bookmarkEnd w:id="28"/>
      <w:bookmarkEnd w:id="29"/>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30" w:name="_Toc15377210"/>
      <w:r>
        <w:rPr>
          <w:rFonts w:ascii="方正楷体简体" w:eastAsia="方正楷体简体" w:cs="方正楷体简体" w:hAnsi="方正楷体简体" w:hint="eastAsia"/>
          <w:sz w:val="32"/>
          <w:szCs w:val="32"/>
        </w:rPr>
        <w:t>（一）一般公共预算财政拨款支出决算总体情况</w:t>
      </w:r>
      <w:bookmarkEnd w:id="30"/>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2020年一般公共预算财政拨款支出</w:t>
      </w:r>
      <w:r>
        <w:rPr>
          <w:rFonts w:ascii="方正仿宋简体" w:eastAsia="方正仿宋简体" w:cs="方正仿宋简体" w:hAnsi="方正仿宋简体" w:hint="eastAsia"/>
          <w:sz w:val="32"/>
          <w:szCs w:val="32"/>
          <w:lang w:val="en-US" w:eastAsia="zh-CN"/>
        </w:rPr>
        <w:t>582.84</w:t>
      </w:r>
      <w:r>
        <w:rPr>
          <w:rFonts w:ascii="方正仿宋简体" w:eastAsia="方正仿宋简体" w:cs="方正仿宋简体" w:hAnsi="方正仿宋简体" w:hint="eastAsia"/>
          <w:sz w:val="32"/>
          <w:szCs w:val="32"/>
        </w:rPr>
        <w:t>万元，占本年支出合计的44.29%。与2019年</w:t>
      </w:r>
      <w:r>
        <w:rPr>
          <w:rFonts w:ascii="方正仿宋简体" w:eastAsia="方正仿宋简体" w:cs="方正仿宋简体" w:hAnsi="方正仿宋简体" w:hint="eastAsia"/>
          <w:sz w:val="32"/>
          <w:szCs w:val="32"/>
          <w:lang w:val="en-US" w:eastAsia="zh-CN"/>
        </w:rPr>
        <w:t>629.29</w:t>
      </w:r>
      <w:r>
        <w:rPr>
          <w:rFonts w:ascii="方正仿宋简体" w:eastAsia="方正仿宋简体" w:cs="方正仿宋简体" w:hAnsi="方正仿宋简体" w:hint="eastAsia"/>
          <w:sz w:val="32"/>
          <w:szCs w:val="32"/>
        </w:rPr>
        <w:t>万元相比，一般公共预算财政拨款</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46.45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7.97</w:t>
      </w:r>
      <w:r>
        <w:rPr>
          <w:rFonts w:ascii="方正仿宋简体" w:eastAsia="方正仿宋简体" w:cs="方正仿宋简体" w:hAnsi="方正仿宋简体" w:hint="eastAsia"/>
          <w:sz w:val="32"/>
          <w:szCs w:val="32"/>
        </w:rPr>
        <w:t>%。主要变动原因是</w:t>
      </w:r>
      <w:r>
        <w:rPr>
          <w:rFonts w:ascii="方正仿宋简体" w:eastAsia="方正仿宋简体" w:cs="方正仿宋简体" w:hAnsi="方正仿宋简体" w:hint="eastAsia"/>
          <w:sz w:val="32"/>
          <w:szCs w:val="32"/>
          <w:lang w:eastAsia="zh-CN"/>
        </w:rPr>
        <w:t>建设项目完工</w:t>
      </w:r>
      <w:r>
        <w:rPr>
          <w:rFonts w:ascii="方正仿宋简体" w:eastAsia="方正仿宋简体" w:cs="方正仿宋简体" w:hAnsi="方正仿宋简体" w:hint="eastAsia"/>
          <w:sz w:val="32"/>
          <w:szCs w:val="32"/>
        </w:rPr>
        <w:t>，导致支出</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rPr>
        <w:t>。</w:t>
      </w:r>
    </w:p>
    <w:p>
      <w:pPr>
        <w:pStyle w:val="26"/>
      </w:pPr>
    </w:p>
    <w:p>
      <w:pPr>
        <w:spacing w:line="600" w:lineRule="exact"/>
        <w:ind w:firstLineChars="200" w:firstLine="640"/>
        <w:rPr>
          <w:rFonts w:ascii="仿宋" w:eastAsia="仿宋" w:hAnsi="仿宋" w:hint="eastAsia"/>
          <w:color w:val="000000"/>
          <w:sz w:val="32"/>
          <w:szCs w:val="32"/>
        </w:rPr>
      </w:pPr>
    </w:p>
    <w:p>
      <w:pPr>
        <w:spacing w:line="600" w:lineRule="exact"/>
        <w:rPr>
          <w:rFonts w:ascii="仿宋" w:eastAsia="仿宋" w:hAnsi="仿宋"/>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r>
        <w:rPr>
          <w:rFonts w:ascii="仿宋" w:eastAsia="仿宋" w:hAnsi="仿宋" w:hint="eastAsia"/>
          <w:color w:val="000000"/>
          <w:sz w:val="32"/>
          <w:szCs w:val="32"/>
          <w:lang w:eastAsia="zh-CN"/>
        </w:rPr>
        <w:drawing>
          <wp:anchor distT="0" distB="0" distL="114935" distR="114935" simplePos="0" relativeHeight="34" behindDoc="0" locked="0" layoutInCell="1" hidden="0" allowOverlap="1">
            <wp:simplePos x="0" y="0"/>
            <wp:positionH relativeFrom="column">
              <wp:posOffset>304800</wp:posOffset>
            </wp:positionH>
            <wp:positionV relativeFrom="paragraph">
              <wp:posOffset>-157479</wp:posOffset>
            </wp:positionV>
            <wp:extent cx="5102225" cy="3515995"/>
            <wp:effectExtent l="4444" t="4444" r="17779" b="22860"/>
            <wp:wrapNone/>
            <wp:docPr id="32" name="图表 32"/>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lang w:eastAsia="zh-CN"/>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lang w:eastAsia="zh-CN"/>
        </w:rPr>
      </w:pPr>
    </w:p>
    <w:p>
      <w:pPr>
        <w:pStyle w:val="26"/>
        <w:ind w:leftChars="0" w:left="0" w:firstLineChars="0" w:firstLine="0"/>
        <w:rPr>
          <w:rFonts w:hint="eastAsia"/>
          <w:lang w:eastAsia="zh-CN"/>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（图5：一般公共预算财政拨款支出决算变动情况）（柱状图）</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31" w:name="_Toc15377211"/>
      <w:r>
        <w:rPr>
          <w:rFonts w:ascii="方正楷体简体" w:eastAsia="方正楷体简体" w:cs="方正楷体简体" w:hAnsi="方正楷体简体" w:hint="eastAsia"/>
          <w:sz w:val="32"/>
          <w:szCs w:val="32"/>
        </w:rPr>
        <w:t>（二）一般公共预算财政拨款支出决算结构情况</w:t>
      </w:r>
      <w:bookmarkEnd w:id="3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2020年一般公共预算财政拨款支出</w:t>
      </w:r>
      <w:r>
        <w:rPr>
          <w:rFonts w:ascii="方正仿宋简体" w:eastAsia="方正仿宋简体" w:cs="方正仿宋简体" w:hAnsi="方正仿宋简体" w:hint="eastAsia"/>
          <w:sz w:val="32"/>
          <w:szCs w:val="32"/>
          <w:lang w:val="en-US" w:eastAsia="zh-CN"/>
        </w:rPr>
        <w:t>582.84</w:t>
      </w:r>
      <w:r>
        <w:rPr>
          <w:rFonts w:ascii="方正仿宋简体" w:eastAsia="方正仿宋简体" w:cs="方正仿宋简体" w:hAnsi="方正仿宋简体" w:hint="eastAsia"/>
          <w:sz w:val="32"/>
          <w:szCs w:val="32"/>
        </w:rPr>
        <w:t>万元，主要用于以下方面:一般公共服务（类）支出0万元，占0%；教育支出（类）0万元，占0%；科学技术（类）支出0万元，占0%；文化旅游体育与传媒（类）支出0万元，占0%；社会保障和就业（类）支出</w:t>
      </w:r>
      <w:r>
        <w:rPr>
          <w:rFonts w:ascii="方正仿宋简体" w:eastAsia="方正仿宋简体" w:cs="方正仿宋简体" w:hAnsi="方正仿宋简体" w:hint="eastAsia"/>
          <w:sz w:val="32"/>
          <w:szCs w:val="32"/>
          <w:lang w:val="en-US" w:eastAsia="zh-CN"/>
        </w:rPr>
        <w:t>48.86</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8.38</w:t>
      </w:r>
      <w:r>
        <w:rPr>
          <w:rFonts w:ascii="方正仿宋简体" w:eastAsia="方正仿宋简体" w:cs="方正仿宋简体" w:hAnsi="方正仿宋简体" w:hint="eastAsia"/>
          <w:sz w:val="32"/>
          <w:szCs w:val="32"/>
        </w:rPr>
        <w:t>%；</w:t>
      </w:r>
      <w:bookmarkStart w:id="32" w:name="OLE_LINK1"/>
      <w:r>
        <w:rPr>
          <w:rFonts w:ascii="方正仿宋简体" w:eastAsia="方正仿宋简体" w:cs="方正仿宋简体" w:hAnsi="方正仿宋简体" w:hint="eastAsia"/>
          <w:sz w:val="32"/>
          <w:szCs w:val="32"/>
        </w:rPr>
        <w:t>卫生健康支出</w:t>
      </w:r>
      <w:bookmarkEnd w:id="32"/>
      <w:r>
        <w:rPr>
          <w:rFonts w:ascii="方正仿宋简体" w:eastAsia="方正仿宋简体" w:cs="方正仿宋简体" w:hAnsi="方正仿宋简体" w:hint="eastAsia"/>
          <w:sz w:val="32"/>
          <w:szCs w:val="32"/>
          <w:lang w:val="en-US" w:eastAsia="zh-CN"/>
        </w:rPr>
        <w:t>510.51</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87.59</w:t>
      </w:r>
      <w:r>
        <w:rPr>
          <w:rFonts w:ascii="方正仿宋简体" w:eastAsia="方正仿宋简体" w:cs="方正仿宋简体" w:hAnsi="方正仿宋简体" w:hint="eastAsia"/>
          <w:sz w:val="32"/>
          <w:szCs w:val="32"/>
        </w:rPr>
        <w:t>%；住房保障支出</w:t>
      </w:r>
      <w:r>
        <w:rPr>
          <w:rFonts w:ascii="方正仿宋简体" w:eastAsia="方正仿宋简体" w:cs="方正仿宋简体" w:hAnsi="方正仿宋简体" w:hint="eastAsia"/>
          <w:sz w:val="32"/>
          <w:szCs w:val="32"/>
          <w:lang w:val="en-US" w:eastAsia="zh-CN"/>
        </w:rPr>
        <w:t>23.43</w:t>
      </w:r>
      <w:r>
        <w:rPr>
          <w:rFonts w:ascii="方正仿宋简体" w:eastAsia="方正仿宋简体" w:cs="方正仿宋简体" w:hAnsi="方正仿宋简体" w:hint="eastAsia"/>
          <w:sz w:val="32"/>
          <w:szCs w:val="32"/>
        </w:rPr>
        <w:t>万元，占</w:t>
      </w:r>
      <w:r>
        <w:rPr>
          <w:rFonts w:ascii="方正仿宋简体" w:eastAsia="方正仿宋简体" w:cs="方正仿宋简体" w:hAnsi="方正仿宋简体" w:hint="eastAsia"/>
          <w:sz w:val="32"/>
          <w:szCs w:val="32"/>
          <w:lang w:val="en-US" w:eastAsia="zh-CN"/>
        </w:rPr>
        <w:t>4.03</w:t>
      </w:r>
      <w:r>
        <w:rPr>
          <w:rFonts w:ascii="方正仿宋简体" w:eastAsia="方正仿宋简体" w:cs="方正仿宋简体" w:hAnsi="方正仿宋简体" w:hint="eastAsia"/>
          <w:sz w:val="32"/>
          <w:szCs w:val="32"/>
        </w:rPr>
        <w:t>%。（罗列全部功能分类科目，至类级。）</w:t>
      </w:r>
    </w:p>
    <w:p>
      <w:pPr>
        <w:spacing w:line="600" w:lineRule="exact"/>
        <w:ind w:firstLine="640"/>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r>
        <w:rPr>
          <w:rFonts w:ascii="仿宋" w:eastAsia="仿宋" w:hAnsi="仿宋" w:hint="eastAsia"/>
          <w:color w:val="000000"/>
          <w:sz w:val="32"/>
          <w:szCs w:val="32"/>
          <w:lang w:eastAsia="zh-CN"/>
        </w:rPr>
        <w:drawing>
          <wp:anchor distT="0" distB="0" distL="114935" distR="114935" simplePos="0" relativeHeight="36" behindDoc="0" locked="0" layoutInCell="1" hidden="0" allowOverlap="1">
            <wp:simplePos x="0" y="0"/>
            <wp:positionH relativeFrom="column">
              <wp:posOffset>478155</wp:posOffset>
            </wp:positionH>
            <wp:positionV relativeFrom="paragraph">
              <wp:posOffset>-231140</wp:posOffset>
            </wp:positionV>
            <wp:extent cx="4899660" cy="3333750"/>
            <wp:effectExtent l="4444" t="4444" r="10795" b="14604"/>
            <wp:wrapNone/>
            <wp:docPr id="34" name="图表 34"/>
            <wp:cNvGraphicFramePr>
              <a:graphicFrameLocks noChangeAspect="0"/>
            </wp:cNvGraphicFramePr>
            <a:graphic>
              <a:graphicData uri="http://schemas.openxmlformats.org/drawingml/2006/chart">
                <c:chart xmlns:c="http://schemas.openxmlformats.org/drawingml/2006/chart" r:id="rId12"/>
              </a:graphicData>
            </a:graphic>
          </wp:anchor>
        </w:drawing>
      </w: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rPr>
          <w:rFonts w:ascii="仿宋" w:eastAsia="仿宋" w:hAnsi="仿宋" w:hint="eastAsia"/>
          <w:color w:val="000000"/>
          <w:sz w:val="32"/>
          <w:szCs w:val="32"/>
        </w:rPr>
      </w:pPr>
    </w:p>
    <w:p>
      <w:pPr>
        <w:spacing w:line="600" w:lineRule="exact"/>
        <w:jc w:val="center"/>
        <w:rPr>
          <w:rFonts w:ascii="方正楷体简体" w:eastAsia="方正楷体简体" w:cs="方正楷体简体" w:hAnsi="方正楷体简体" w:hint="eastAsia"/>
          <w:color w:val="000000"/>
          <w:sz w:val="28"/>
          <w:szCs w:val="28"/>
        </w:rPr>
      </w:pPr>
      <w:r>
        <w:rPr>
          <w:rFonts w:ascii="方正楷体简体" w:eastAsia="方正楷体简体" w:cs="方正楷体简体" w:hAnsi="方正楷体简体" w:hint="eastAsia"/>
          <w:color w:val="000000"/>
          <w:sz w:val="28"/>
          <w:szCs w:val="28"/>
        </w:rPr>
        <w:t>（图6：一般公共预算财政拨款支出决算结构）（饼状图）</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33" w:name="_Toc15377212"/>
      <w:r>
        <w:rPr>
          <w:rFonts w:ascii="方正楷体简体" w:eastAsia="方正楷体简体" w:cs="方正楷体简体" w:hAnsi="方正楷体简体" w:hint="eastAsia"/>
          <w:sz w:val="32"/>
          <w:szCs w:val="32"/>
        </w:rPr>
        <w:t>（三）一般公共预算财政拨款支出决算具体情况</w:t>
      </w:r>
      <w:bookmarkEnd w:id="33"/>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34" w:name="_Toc15377213"/>
      <w:bookmarkStart w:id="35" w:name="_Toc15378460"/>
      <w:bookmarkStart w:id="36" w:name="_Toc15377444"/>
      <w:r>
        <w:rPr>
          <w:rFonts w:ascii="方正仿宋简体" w:eastAsia="方正仿宋简体" w:cs="方正仿宋简体" w:hAnsi="方正仿宋简体" w:hint="eastAsia"/>
          <w:sz w:val="32"/>
          <w:szCs w:val="32"/>
        </w:rPr>
        <w:t>2020年一般公共预算支出决算数为911.7万元，完成预算100%。其中：</w:t>
      </w:r>
      <w:bookmarkEnd w:id="34"/>
      <w:bookmarkEnd w:id="35"/>
      <w:bookmarkEnd w:id="3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1.一般公共服务（类）***（款）***（项）: 支出决算为</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万元，完成预算</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2.教育（类）***（款）***（项）: 支出决算为0万元，完成预算0%。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3.科学技术（类）***（款）***（项）: 支出决算为0万元，完成预算0%</w:t>
      </w:r>
      <w:r>
        <w:rPr>
          <w:rFonts w:ascii="方正仿宋简体" w:eastAsia="方正仿宋简体" w:cs="方正仿宋简体" w:hAnsi="方正仿宋简体" w:hint="eastAsia"/>
          <w:sz w:val="32"/>
          <w:szCs w:val="32"/>
          <w:lang w:eastAsia="zh-CN"/>
        </w:rPr>
        <w:t>。</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4.文化旅游体育与传媒（类）***（款）***（项）: 支出决算为0万元，完成预算0%。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5.社会保障和就业（208类）行政事业单位离退休（20805款）机关事业单位基本养老保险缴费支出（2080505项）:支出决算为</w:t>
      </w:r>
      <w:r>
        <w:rPr>
          <w:rFonts w:ascii="方正仿宋简体" w:eastAsia="方正仿宋简体" w:cs="方正仿宋简体" w:hAnsi="方正仿宋简体" w:hint="eastAsia"/>
          <w:sz w:val="32"/>
          <w:szCs w:val="32"/>
          <w:lang w:val="en-US" w:eastAsia="zh-CN"/>
        </w:rPr>
        <w:t>31.25</w:t>
      </w:r>
      <w:r>
        <w:rPr>
          <w:rFonts w:ascii="方正仿宋简体" w:eastAsia="方正仿宋简体" w:cs="方正仿宋简体" w:hAnsi="方正仿宋简体" w:hint="eastAsia"/>
          <w:sz w:val="32"/>
          <w:szCs w:val="32"/>
        </w:rPr>
        <w:t>万元，完成预算100%。其他社会保障和就业支出（20899款）其他社会保障和就业支出（2089901项）：支出决算为</w:t>
      </w:r>
      <w:r>
        <w:rPr>
          <w:rFonts w:ascii="方正仿宋简体" w:eastAsia="方正仿宋简体" w:cs="方正仿宋简体" w:hAnsi="方正仿宋简体" w:hint="eastAsia"/>
          <w:sz w:val="32"/>
          <w:szCs w:val="32"/>
          <w:lang w:val="en-US" w:eastAsia="zh-CN"/>
        </w:rPr>
        <w:t>2.96</w:t>
      </w:r>
      <w:r>
        <w:rPr>
          <w:rFonts w:ascii="方正仿宋简体" w:eastAsia="方正仿宋简体" w:cs="方正仿宋简体" w:hAnsi="方正仿宋简体" w:hint="eastAsia"/>
          <w:sz w:val="32"/>
          <w:szCs w:val="32"/>
        </w:rPr>
        <w:t>万元，完成预算100%。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6.卫生健康（210类）卫生健康管理事务（21001款）一般行政管理事务（2100102项）:支出决算为</w:t>
      </w:r>
      <w:r>
        <w:rPr>
          <w:rFonts w:ascii="方正仿宋简体" w:eastAsia="方正仿宋简体" w:cs="方正仿宋简体" w:hAnsi="方正仿宋简体" w:hint="eastAsia"/>
          <w:sz w:val="32"/>
          <w:szCs w:val="32"/>
          <w:lang w:val="en-US" w:eastAsia="zh-CN"/>
        </w:rPr>
        <w:t>16.76</w:t>
      </w:r>
      <w:r>
        <w:rPr>
          <w:rFonts w:ascii="方正仿宋简体" w:eastAsia="方正仿宋简体" w:cs="方正仿宋简体" w:hAnsi="方正仿宋简体" w:hint="eastAsia"/>
          <w:sz w:val="32"/>
          <w:szCs w:val="32"/>
        </w:rPr>
        <w:t>万元，完成预算100%。基层卫生机构（21003款）城市社区卫生机构（2100301项）支出决算为</w:t>
      </w:r>
      <w:r>
        <w:rPr>
          <w:rFonts w:ascii="方正仿宋简体" w:eastAsia="方正仿宋简体" w:cs="方正仿宋简体" w:hAnsi="方正仿宋简体" w:hint="eastAsia"/>
          <w:sz w:val="32"/>
          <w:szCs w:val="32"/>
          <w:lang w:val="en-US" w:eastAsia="zh-CN"/>
        </w:rPr>
        <w:t>248.38</w:t>
      </w:r>
      <w:r>
        <w:rPr>
          <w:rFonts w:ascii="方正仿宋简体" w:eastAsia="方正仿宋简体" w:cs="方正仿宋简体" w:hAnsi="方正仿宋简体" w:hint="eastAsia"/>
          <w:sz w:val="32"/>
          <w:szCs w:val="32"/>
        </w:rPr>
        <w:t>万元，完成预算100%。其他基层医疗卫生机构支出（2100399项）支出决算为</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万元，完成预算100%。公共卫生（21004款）基本公共卫生服务（2100408项）支出决算为</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rPr>
        <w:t>万元，完成预算100%。行政事业单位医疗（21011款）事业单位医疗（2101102项）支出决算为</w:t>
      </w:r>
      <w:r>
        <w:rPr>
          <w:rFonts w:ascii="方正仿宋简体" w:eastAsia="方正仿宋简体" w:cs="方正仿宋简体" w:hAnsi="方正仿宋简体" w:hint="eastAsia"/>
          <w:sz w:val="32"/>
          <w:szCs w:val="32"/>
          <w:lang w:val="en-US" w:eastAsia="zh-CN"/>
        </w:rPr>
        <w:t>14.64</w:t>
      </w:r>
      <w:r>
        <w:rPr>
          <w:rFonts w:ascii="方正仿宋简体" w:eastAsia="方正仿宋简体" w:cs="方正仿宋简体" w:hAnsi="方正仿宋简体" w:hint="eastAsia"/>
          <w:sz w:val="32"/>
          <w:szCs w:val="32"/>
        </w:rPr>
        <w:t>万元，完成预算100%。其他卫生健康支出（2109901项）5万元，完成预算100%。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7.住房保障支出支出（221类）住房改革支出（22102款）住房公积金（2210201项）：支出决算为</w:t>
      </w:r>
      <w:r>
        <w:rPr>
          <w:rFonts w:ascii="方正仿宋简体" w:eastAsia="方正仿宋简体" w:cs="方正仿宋简体" w:hAnsi="方正仿宋简体" w:hint="eastAsia"/>
          <w:sz w:val="32"/>
          <w:szCs w:val="32"/>
          <w:lang w:val="en-US" w:eastAsia="zh-CN"/>
        </w:rPr>
        <w:t>23.43</w:t>
      </w:r>
      <w:r>
        <w:rPr>
          <w:rFonts w:ascii="方正仿宋简体" w:eastAsia="方正仿宋简体" w:cs="方正仿宋简体" w:hAnsi="方正仿宋简体" w:hint="eastAsia"/>
          <w:sz w:val="32"/>
          <w:szCs w:val="32"/>
        </w:rPr>
        <w:t>万元，完成预算100%。</w:t>
      </w:r>
    </w:p>
    <w:p>
      <w:pPr>
        <w:pageBreakBefore w:val="0"/>
        <w:widowControl w:val="0"/>
        <w:kinsoku/>
        <w:wordWrap/>
        <w:overflowPunct/>
        <w:topLinePunct w:val="0"/>
        <w:autoSpaceDE/>
        <w:autoSpaceDN/>
        <w:bidi w:val="0"/>
        <w:spacing w:line="576" w:lineRule="exact"/>
        <w:ind w:left="0" w:right="0" w:firstLineChars="250" w:firstLine="800"/>
        <w:textAlignment w:val="auto"/>
        <w:rPr>
          <w:rFonts w:ascii="方正仿宋简体" w:eastAsia="方正仿宋简体" w:cs="方正仿宋简体" w:hAnsi="方正仿宋简体" w:hint="eastAsia"/>
          <w:sz w:val="32"/>
          <w:szCs w:val="32"/>
        </w:rPr>
      </w:pPr>
      <w:bookmarkStart w:id="37" w:name="_Toc15396608"/>
      <w:bookmarkStart w:id="38" w:name="_Toc15377214"/>
      <w:r>
        <w:rPr>
          <w:rFonts w:ascii="方正黑体简体" w:eastAsia="方正黑体简体" w:cs="方正黑体简体" w:hAnsi="方正黑体简体" w:hint="eastAsia"/>
          <w:b w:val="0"/>
          <w:bCs/>
          <w:color w:val="000000"/>
          <w:kern w:val="2"/>
          <w:sz w:val="32"/>
          <w:szCs w:val="32"/>
          <w:lang w:val="en-US" w:eastAsia="zh-CN" w:bidi="ar-SA"/>
        </w:rPr>
        <w:t>六、一般公共预算财政拨款基本支出决算情况说明</w:t>
      </w:r>
      <w:bookmarkEnd w:id="37"/>
      <w:bookmarkEnd w:id="38"/>
      <w:r>
        <w:rPr>
          <w:rFonts w:ascii="方正仿宋简体" w:eastAsia="方正仿宋简体" w:cs="方正仿宋简体" w:hAnsi="方正仿宋简体" w:hint="eastAsia"/>
          <w:sz w:val="32"/>
          <w:szCs w:val="32"/>
        </w:rPr>
        <w:tab/>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2020年一般公共预算财政拨款基本支出</w:t>
      </w:r>
      <w:r>
        <w:rPr>
          <w:rFonts w:ascii="方正仿宋简体" w:eastAsia="方正仿宋简体" w:cs="方正仿宋简体" w:hAnsi="方正仿宋简体" w:hint="eastAsia"/>
          <w:sz w:val="32"/>
          <w:szCs w:val="32"/>
          <w:lang w:val="en-US" w:eastAsia="zh-CN"/>
        </w:rPr>
        <w:t>320.66</w:t>
      </w:r>
      <w:r>
        <w:rPr>
          <w:rFonts w:ascii="方正仿宋简体" w:eastAsia="方正仿宋简体" w:cs="方正仿宋简体" w:hAnsi="方正仿宋简体" w:hint="eastAsia"/>
          <w:sz w:val="32"/>
          <w:szCs w:val="32"/>
        </w:rPr>
        <w:t>万元，其中：</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人员经费</w:t>
      </w:r>
      <w:r>
        <w:rPr>
          <w:rFonts w:ascii="方正仿宋简体" w:eastAsia="方正仿宋简体" w:cs="方正仿宋简体" w:hAnsi="方正仿宋简体" w:hint="eastAsia"/>
          <w:sz w:val="32"/>
          <w:szCs w:val="32"/>
          <w:lang w:val="en-US" w:eastAsia="zh-CN"/>
        </w:rPr>
        <w:t>312.85</w:t>
      </w:r>
      <w:r>
        <w:rPr>
          <w:rFonts w:ascii="方正仿宋简体" w:eastAsia="方正仿宋简体" w:cs="方正仿宋简体" w:hAnsi="方正仿宋简体"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br/>
        <w:t>　　日常公用经费</w:t>
      </w:r>
      <w:r>
        <w:rPr>
          <w:rFonts w:ascii="方正仿宋简体" w:eastAsia="方正仿宋简体" w:cs="方正仿宋简体" w:hAnsi="方正仿宋简体" w:hint="eastAsia"/>
          <w:sz w:val="32"/>
          <w:szCs w:val="32"/>
          <w:lang w:val="en-US" w:eastAsia="zh-CN"/>
        </w:rPr>
        <w:t>7.81</w:t>
      </w:r>
      <w:r>
        <w:rPr>
          <w:rFonts w:ascii="方正仿宋简体" w:eastAsia="方正仿宋简体" w:cs="方正仿宋简体" w:hAnsi="方正仿宋简体"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39" w:name="_Toc15396609"/>
      <w:bookmarkStart w:id="40" w:name="_Toc15377215"/>
      <w:r>
        <w:rPr>
          <w:rFonts w:ascii="方正黑体简体" w:eastAsia="方正黑体简体" w:cs="方正黑体简体" w:hAnsi="方正黑体简体" w:hint="eastAsia"/>
          <w:b w:val="0"/>
          <w:color w:val="000000"/>
          <w:sz w:val="32"/>
          <w:szCs w:val="32"/>
          <w:lang w:eastAsia="zh-CN"/>
        </w:rPr>
        <w:t>七、“三公”经费财政拨款支出决算情况说明</w:t>
      </w:r>
      <w:bookmarkEnd w:id="39"/>
      <w:bookmarkEnd w:id="40"/>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41" w:name="_Toc15377216"/>
      <w:r>
        <w:rPr>
          <w:rFonts w:ascii="方正楷体简体" w:eastAsia="方正楷体简体" w:cs="方正楷体简体" w:hAnsi="方正楷体简体" w:hint="eastAsia"/>
          <w:sz w:val="32"/>
          <w:szCs w:val="32"/>
        </w:rPr>
        <w:t>（一）“三公”经费财政拨款支出决算总体情况说明</w:t>
      </w:r>
      <w:bookmarkEnd w:id="4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2020年“三公”经费财政拨款支出决算为0万元，完成预算0%。</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42" w:name="_Toc15377217"/>
      <w:r>
        <w:rPr>
          <w:rFonts w:ascii="方正楷体简体" w:eastAsia="方正楷体简体" w:cs="方正楷体简体" w:hAnsi="方正楷体简体" w:hint="eastAsia"/>
          <w:sz w:val="32"/>
          <w:szCs w:val="32"/>
        </w:rPr>
        <w:t>（二）“三公”经费财政拨款支出决算具体情况说明</w:t>
      </w:r>
      <w:bookmarkEnd w:id="42"/>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2020年“三公”经费财政拨款支出决算中，因公出国（境）费支出决算0万元，占0%；公务用车购置及运行维护费支出决算0万元，占0%；公务接待费支出决算0万元，占0%。具体情况如下：</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1.因公出国（境）经费支出无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2.公务用车购置及运行维护费支出无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公务用车运行维护费支出无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3.公务接待费支出无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国内公务接待支出</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外事接待支出</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无</w:t>
      </w:r>
      <w:bookmarkStart w:id="43" w:name="_Toc15377218"/>
      <w:bookmarkStart w:id="44" w:name="_Toc15396610"/>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r>
        <w:rPr>
          <w:rFonts w:ascii="方正黑体简体" w:eastAsia="方正黑体简体" w:cs="方正黑体简体" w:hAnsi="方正黑体简体" w:hint="eastAsia"/>
          <w:b w:val="0"/>
          <w:color w:val="000000"/>
          <w:sz w:val="32"/>
          <w:szCs w:val="32"/>
          <w:lang w:eastAsia="zh-CN"/>
        </w:rPr>
        <w:t>八、政府性基金预算支出决算情况说明</w:t>
      </w:r>
      <w:bookmarkEnd w:id="43"/>
      <w:bookmarkEnd w:id="44"/>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2020年政府性基金预算拨款支出</w:t>
      </w:r>
      <w:r>
        <w:rPr>
          <w:rFonts w:ascii="方正仿宋简体" w:eastAsia="方正仿宋简体" w:cs="方正仿宋简体" w:hAnsi="方正仿宋简体" w:hint="eastAsia"/>
          <w:sz w:val="32"/>
          <w:szCs w:val="32"/>
          <w:lang w:val="en-US" w:eastAsia="zh-CN"/>
        </w:rPr>
        <w:t>230.28</w:t>
      </w:r>
      <w:r>
        <w:rPr>
          <w:rFonts w:ascii="方正仿宋简体" w:eastAsia="方正仿宋简体" w:cs="方正仿宋简体" w:hAnsi="方正仿宋简体" w:hint="eastAsia"/>
          <w:sz w:val="32"/>
          <w:szCs w:val="32"/>
        </w:rPr>
        <w:t>万元。</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45" w:name="_Toc15377219"/>
      <w:bookmarkStart w:id="46" w:name="_Toc15396611"/>
      <w:r>
        <w:rPr>
          <w:rFonts w:ascii="方正黑体简体" w:eastAsia="方正黑体简体" w:cs="方正黑体简体" w:hAnsi="方正黑体简体" w:hint="eastAsia"/>
          <w:b w:val="0"/>
          <w:color w:val="000000"/>
          <w:sz w:val="32"/>
          <w:szCs w:val="32"/>
          <w:lang w:eastAsia="zh-CN"/>
        </w:rPr>
        <w:t>九、国有资本经营预算支出决算情况说明</w:t>
      </w:r>
      <w:bookmarkEnd w:id="45"/>
      <w:bookmarkEnd w:id="4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2020年国有资本经营预算拨款支出0万元。</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right="0" w:firstLineChars="200" w:firstLine="640"/>
        <w:textAlignment w:val="auto"/>
        <w:rPr>
          <w:rFonts w:ascii="方正黑体简体" w:eastAsia="方正黑体简体" w:cs="方正黑体简体" w:hAnsi="方正黑体简体" w:hint="eastAsia"/>
          <w:b w:val="0"/>
          <w:color w:val="000000"/>
          <w:sz w:val="32"/>
          <w:szCs w:val="32"/>
          <w:lang w:eastAsia="zh-CN"/>
        </w:rPr>
      </w:pPr>
      <w:bookmarkStart w:id="47" w:name="_Toc15396612"/>
      <w:bookmarkStart w:id="48" w:name="_Toc15377221"/>
      <w:r>
        <w:rPr>
          <w:rFonts w:ascii="方正黑体简体" w:eastAsia="方正黑体简体" w:cs="方正黑体简体" w:hAnsi="方正黑体简体" w:hint="eastAsia"/>
          <w:b w:val="0"/>
          <w:color w:val="000000"/>
          <w:sz w:val="32"/>
          <w:szCs w:val="32"/>
          <w:lang w:eastAsia="zh-CN"/>
        </w:rPr>
        <w:t>十、其他重要事项的情况说明</w:t>
      </w:r>
      <w:bookmarkEnd w:id="47"/>
      <w:bookmarkEnd w:id="48"/>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49" w:name="_Toc15377222"/>
      <w:r>
        <w:rPr>
          <w:rFonts w:ascii="方正楷体简体" w:eastAsia="方正楷体简体" w:cs="方正楷体简体" w:hAnsi="方正楷体简体" w:hint="eastAsia"/>
          <w:sz w:val="32"/>
          <w:szCs w:val="32"/>
        </w:rPr>
        <w:t>（一）机关运行经费支出情况</w:t>
      </w:r>
      <w:bookmarkEnd w:id="49"/>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社区卫生服务中心运行经费支出</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50" w:name="_Toc15377223"/>
      <w:r>
        <w:rPr>
          <w:rFonts w:ascii="方正楷体简体" w:eastAsia="方正楷体简体" w:cs="方正楷体简体" w:hAnsi="方正楷体简体" w:hint="eastAsia"/>
          <w:sz w:val="32"/>
          <w:szCs w:val="32"/>
        </w:rPr>
        <w:t>（二）政府采购支出情况</w:t>
      </w:r>
      <w:bookmarkEnd w:id="50"/>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社区卫生服务中心政府采购支出总额</w:t>
      </w:r>
      <w:r>
        <w:rPr>
          <w:rFonts w:ascii="方正仿宋简体" w:eastAsia="方正仿宋简体" w:cs="方正仿宋简体" w:hAnsi="方正仿宋简体" w:hint="eastAsia"/>
          <w:sz w:val="32"/>
          <w:szCs w:val="32"/>
          <w:lang w:val="en-US" w:eastAsia="zh-CN"/>
        </w:rPr>
        <w:t>283.75</w:t>
      </w:r>
      <w:r>
        <w:rPr>
          <w:rFonts w:ascii="方正仿宋简体" w:eastAsia="方正仿宋简体" w:cs="方正仿宋简体" w:hAnsi="方正仿宋简体" w:hint="eastAsia"/>
          <w:sz w:val="32"/>
          <w:szCs w:val="32"/>
        </w:rPr>
        <w:t>万元，其中：政府采购货物支出</w:t>
      </w:r>
      <w:r>
        <w:rPr>
          <w:rFonts w:ascii="方正仿宋简体" w:eastAsia="方正仿宋简体" w:cs="方正仿宋简体" w:hAnsi="方正仿宋简体" w:hint="eastAsia"/>
          <w:sz w:val="32"/>
          <w:szCs w:val="32"/>
          <w:lang w:val="en-US" w:eastAsia="zh-CN"/>
        </w:rPr>
        <w:t>283.75</w:t>
      </w:r>
      <w:r>
        <w:rPr>
          <w:rFonts w:ascii="方正仿宋简体" w:eastAsia="方正仿宋简体" w:cs="方正仿宋简体" w:hAnsi="方正仿宋简体" w:hint="eastAsia"/>
          <w:sz w:val="32"/>
          <w:szCs w:val="32"/>
        </w:rPr>
        <w:t>万元、政府采购工程支出0万元、政府采购服务支出0万元。主要用于办公设备、放射科</w:t>
      </w:r>
      <w:r>
        <w:rPr>
          <w:rFonts w:ascii="方正仿宋简体" w:eastAsia="方正仿宋简体" w:cs="方正仿宋简体" w:hAnsi="方正仿宋简体" w:hint="eastAsia"/>
          <w:sz w:val="32"/>
          <w:szCs w:val="32"/>
          <w:lang w:eastAsia="zh-CN"/>
        </w:rPr>
        <w:t>染色体系统</w:t>
      </w:r>
      <w:r>
        <w:rPr>
          <w:rFonts w:ascii="方正仿宋简体" w:eastAsia="方正仿宋简体" w:cs="方正仿宋简体" w:hAnsi="方正仿宋简体" w:hint="eastAsia"/>
          <w:sz w:val="32"/>
          <w:szCs w:val="32"/>
        </w:rPr>
        <w:t>和B超室彩超。授予中小企业合同金额</w:t>
      </w:r>
      <w:r>
        <w:rPr>
          <w:rFonts w:ascii="方正仿宋简体" w:eastAsia="方正仿宋简体" w:cs="方正仿宋简体" w:hAnsi="方正仿宋简体" w:hint="eastAsia"/>
          <w:sz w:val="32"/>
          <w:szCs w:val="32"/>
          <w:lang w:val="en-US" w:eastAsia="zh-CN"/>
        </w:rPr>
        <w:t>275.08</w:t>
      </w:r>
      <w:r>
        <w:rPr>
          <w:rFonts w:ascii="方正仿宋简体" w:eastAsia="方正仿宋简体" w:cs="方正仿宋简体" w:hAnsi="方正仿宋简体" w:hint="eastAsia"/>
          <w:sz w:val="32"/>
          <w:szCs w:val="32"/>
        </w:rPr>
        <w:t>万元，占政府采购支出总额的96.</w:t>
      </w:r>
      <w:r>
        <w:rPr>
          <w:rFonts w:ascii="方正仿宋简体" w:eastAsia="方正仿宋简体" w:cs="方正仿宋简体" w:hAnsi="方正仿宋简体" w:hint="eastAsia"/>
          <w:sz w:val="32"/>
          <w:szCs w:val="32"/>
          <w:lang w:val="en-US" w:eastAsia="zh-CN"/>
        </w:rPr>
        <w:t>94</w:t>
      </w:r>
      <w:r>
        <w:rPr>
          <w:rFonts w:ascii="方正仿宋简体" w:eastAsia="方正仿宋简体" w:cs="方正仿宋简体" w:hAnsi="方正仿宋简体" w:hint="eastAsia"/>
          <w:sz w:val="32"/>
          <w:szCs w:val="32"/>
        </w:rPr>
        <w:t>%，其中：授予小微企业合同金额</w:t>
      </w:r>
      <w:r>
        <w:rPr>
          <w:rFonts w:ascii="方正仿宋简体" w:eastAsia="方正仿宋简体" w:cs="方正仿宋简体" w:hAnsi="方正仿宋简体" w:hint="eastAsia"/>
          <w:sz w:val="32"/>
          <w:szCs w:val="32"/>
          <w:lang w:val="en-US" w:eastAsia="zh-CN"/>
        </w:rPr>
        <w:t>8.67</w:t>
      </w:r>
      <w:r>
        <w:rPr>
          <w:rFonts w:ascii="方正仿宋简体" w:eastAsia="方正仿宋简体" w:cs="方正仿宋简体" w:hAnsi="方正仿宋简体" w:hint="eastAsia"/>
          <w:sz w:val="32"/>
          <w:szCs w:val="32"/>
        </w:rPr>
        <w:t>万元，占政府采购支出总额的</w:t>
      </w:r>
      <w:r>
        <w:rPr>
          <w:rFonts w:ascii="方正仿宋简体" w:eastAsia="方正仿宋简体" w:cs="方正仿宋简体" w:hAnsi="方正仿宋简体" w:hint="eastAsia"/>
          <w:sz w:val="32"/>
          <w:szCs w:val="32"/>
          <w:lang w:val="en-US" w:eastAsia="zh-CN"/>
        </w:rPr>
        <w:t>3.06</w:t>
      </w:r>
      <w:r>
        <w:rPr>
          <w:rFonts w:ascii="方正仿宋简体" w:eastAsia="方正仿宋简体" w:cs="方正仿宋简体" w:hAnsi="方正仿宋简体" w:hint="eastAsia"/>
          <w:sz w:val="32"/>
          <w:szCs w:val="32"/>
        </w:rPr>
        <w:t>%。</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bookmarkStart w:id="51" w:name="_Toc15377224"/>
      <w:r>
        <w:rPr>
          <w:rFonts w:ascii="方正楷体简体" w:eastAsia="方正楷体简体" w:cs="方正楷体简体" w:hAnsi="方正楷体简体" w:hint="eastAsia"/>
          <w:sz w:val="32"/>
          <w:szCs w:val="32"/>
        </w:rPr>
        <w:t>（三）国有资产占有使用情况</w:t>
      </w:r>
      <w:bookmarkEnd w:id="5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截至2020年12月31日，广元市利州区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社区卫生服务中心共有车辆1辆，其中：主要领导干部用车0辆、机要通信用车0辆、应急保障用车0辆、特种专业技术用车1辆，其他用车0辆，单价50万元以上通用设备</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台（套），单价100万元以上专用设备1台（套）。</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（四）预算绩效管理情况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根据预算绩效管理要求，本单位在年初预算编制阶段，组织对基本公共卫生服务等项目开展了预算事前绩效评估，对2个项目编制了绩效目标，预算执行过程中，选取2个项目开展绩效监控，年终执行完毕后，对2个项目开展了绩效目标完成情况自评。</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本中心按要求对2020年部门整体支出开展绩效自评，从评价情况来看，我中心积极建立健全财务管理制度和约束机制，依法有效地分配、使用财政资金，提高资金使用效率，保证中心工作有效有序地运行，对中心整体支出进行了有效控制和节约，合理安排部门整体经费支出，严格执行中央厉行节约禁止铺张浪费的要求，无“三公经费”超标情况。本单位还自行组织了2个项目支出绩效评价，从评价情况来看各项目运行情况良好。严格资金使用与管理，加大监管力度，做到专款专用，合理有效使用资金，进一步提高了中心服务能力和水平。</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1.项目绩效目标完成情况。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本单位在2020年度部门决算中反映“基本公共卫生服务”、“基层医疗卫生机构实施基本药物制度”2个项目绩效目标实际完成情况。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（1）基本公共卫生服务项目绩效目标完成情况综述。项目全年预算数</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rPr>
        <w:t>万元，执行数为</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rPr>
        <w:t>万元，完成预算的100%。通过项目实施，以“政府主导、部门配合、专业机构技术支撑、全社会参与的”运行模式，使辖区重点人群发现、分类干预、患者自我管理和健康教育与健康教育促进等 各项工作得到了有效推进，收到了较好的效果。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发现的主要问题：</w:t>
      </w:r>
      <w:r>
        <w:rPr>
          <w:rFonts w:ascii="方正仿宋简体" w:eastAsia="方正仿宋简体" w:cs="方正仿宋简体" w:hAnsi="方正仿宋简体" w:hint="eastAsia"/>
          <w:sz w:val="32"/>
          <w:szCs w:val="32"/>
          <w:lang w:eastAsia="zh-CN"/>
        </w:rPr>
        <w:t>一是</w:t>
      </w:r>
      <w:r>
        <w:rPr>
          <w:rFonts w:ascii="方正仿宋简体" w:eastAsia="方正仿宋简体" w:cs="方正仿宋简体" w:hAnsi="方正仿宋简体" w:hint="eastAsia"/>
          <w:sz w:val="32"/>
          <w:szCs w:val="32"/>
        </w:rPr>
        <w:t>健康档案仍然存在重档和死档，信息更新不及时；档案记录欠完善，有缺项（身份证号码、联系电话、既往史等填写缺项）；居民健康档案不能有效的和临床相结合，建档居民就诊后的数据不能及时在档案上进行更新与完善，档案使用效果不显著。</w:t>
      </w:r>
      <w:r>
        <w:rPr>
          <w:rFonts w:ascii="方正仿宋简体" w:eastAsia="方正仿宋简体" w:cs="方正仿宋简体" w:hAnsi="方正仿宋简体" w:hint="eastAsia"/>
          <w:sz w:val="32"/>
          <w:szCs w:val="32"/>
          <w:lang w:eastAsia="zh-CN"/>
        </w:rPr>
        <w:t>二是</w:t>
      </w:r>
      <w:r>
        <w:rPr>
          <w:rFonts w:ascii="方正仿宋简体" w:eastAsia="方正仿宋简体" w:cs="方正仿宋简体" w:hAnsi="方正仿宋简体" w:hint="eastAsia"/>
          <w:sz w:val="32"/>
          <w:szCs w:val="32"/>
        </w:rPr>
        <w:t>部分居民对基本公共卫生服务认识不足，建档和随访主动配合存在一定困难。</w:t>
      </w:r>
      <w:r>
        <w:rPr>
          <w:rFonts w:ascii="方正仿宋简体" w:eastAsia="方正仿宋简体" w:cs="方正仿宋简体" w:hAnsi="方正仿宋简体" w:hint="eastAsia"/>
          <w:sz w:val="32"/>
          <w:szCs w:val="32"/>
          <w:lang w:eastAsia="zh-CN"/>
        </w:rPr>
        <w:t>三是</w:t>
      </w:r>
      <w:r>
        <w:rPr>
          <w:rFonts w:ascii="方正仿宋简体" w:eastAsia="方正仿宋简体" w:cs="方正仿宋简体" w:hAnsi="方正仿宋简体" w:hint="eastAsia"/>
          <w:sz w:val="32"/>
          <w:szCs w:val="32"/>
        </w:rPr>
        <w:t>慢性病患者信息主动搜索意识不够，公卫与临床工作协调性差。</w:t>
      </w:r>
      <w:r>
        <w:rPr>
          <w:rFonts w:ascii="方正仿宋简体" w:eastAsia="方正仿宋简体" w:cs="方正仿宋简体" w:hAnsi="方正仿宋简体" w:hint="eastAsia"/>
          <w:sz w:val="32"/>
          <w:szCs w:val="32"/>
          <w:lang w:eastAsia="zh-CN"/>
        </w:rPr>
        <w:t>四是</w:t>
      </w:r>
      <w:r>
        <w:rPr>
          <w:rFonts w:ascii="方正仿宋简体" w:eastAsia="方正仿宋简体" w:cs="方正仿宋简体" w:hAnsi="方正仿宋简体" w:hint="eastAsia"/>
          <w:sz w:val="32"/>
          <w:szCs w:val="32"/>
        </w:rPr>
        <w:t>全科医师参与社区服务不够，家庭医生签约服务宣传氛围不够，签约服务落实欠佳。</w:t>
      </w:r>
      <w:r>
        <w:rPr>
          <w:rFonts w:ascii="方正仿宋简体" w:eastAsia="方正仿宋简体" w:cs="方正仿宋简体" w:hAnsi="方正仿宋简体" w:hint="eastAsia"/>
          <w:sz w:val="32"/>
          <w:szCs w:val="32"/>
          <w:lang w:eastAsia="zh-CN"/>
        </w:rPr>
        <w:t>五是</w:t>
      </w:r>
      <w:r>
        <w:rPr>
          <w:rFonts w:ascii="方正仿宋简体" w:eastAsia="方正仿宋简体" w:cs="方正仿宋简体" w:hAnsi="方正仿宋简体" w:hint="eastAsia"/>
          <w:sz w:val="32"/>
          <w:szCs w:val="32"/>
        </w:rPr>
        <w:t>人才缺乏，家庭医生团队服务能力培养有待加强，影响了基本公共卫生服务项目的开展进度。</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下一步改进措施：</w:t>
      </w:r>
      <w:r>
        <w:rPr>
          <w:rFonts w:ascii="方正仿宋简体" w:eastAsia="方正仿宋简体" w:cs="方正仿宋简体" w:hAnsi="方正仿宋简体" w:hint="eastAsia"/>
          <w:sz w:val="32"/>
          <w:szCs w:val="32"/>
          <w:lang w:eastAsia="zh-CN"/>
        </w:rPr>
        <w:t>一是</w:t>
      </w:r>
      <w:r>
        <w:rPr>
          <w:rFonts w:ascii="方正仿宋简体" w:eastAsia="方正仿宋简体" w:cs="方正仿宋简体" w:hAnsi="方正仿宋简体" w:hint="eastAsia"/>
          <w:sz w:val="32"/>
          <w:szCs w:val="32"/>
        </w:rPr>
        <w:t>强化服务意识，加强专业技术队伍建设。配套合理的激励机制，提高工作人员工作热情和基本公共卫生服务能力。</w:t>
      </w:r>
      <w:r>
        <w:rPr>
          <w:rFonts w:ascii="方正仿宋简体" w:eastAsia="方正仿宋简体" w:cs="方正仿宋简体" w:hAnsi="方正仿宋简体" w:hint="eastAsia"/>
          <w:sz w:val="32"/>
          <w:szCs w:val="32"/>
          <w:lang w:eastAsia="zh-CN"/>
        </w:rPr>
        <w:t>二是</w:t>
      </w:r>
      <w:r>
        <w:rPr>
          <w:rFonts w:ascii="方正仿宋简体" w:eastAsia="方正仿宋简体" w:cs="方正仿宋简体" w:hAnsi="方正仿宋简体" w:hint="eastAsia"/>
          <w:sz w:val="32"/>
          <w:szCs w:val="32"/>
        </w:rPr>
        <w:t>加大宣传力度，认真开展基本公共卫生服务项目宣传工作，通过进社区、入户访视、门诊就医等多个渠道，采取义诊咨询、健康讲座、电话预约、个体化健康教育等多种宣传形式，通过宣传—吸引—再宣传，以逐步改变社区居民的陈旧观念，促使其自愿参与到社区卫生服务中来。</w:t>
      </w:r>
      <w:r>
        <w:rPr>
          <w:rFonts w:ascii="方正仿宋简体" w:eastAsia="方正仿宋简体" w:cs="方正仿宋简体" w:hAnsi="方正仿宋简体" w:hint="eastAsia"/>
          <w:sz w:val="32"/>
          <w:szCs w:val="32"/>
          <w:lang w:eastAsia="zh-CN"/>
        </w:rPr>
        <w:t>三是</w:t>
      </w:r>
      <w:r>
        <w:rPr>
          <w:rFonts w:ascii="方正仿宋简体" w:eastAsia="方正仿宋简体" w:cs="方正仿宋简体" w:hAnsi="方正仿宋简体" w:hint="eastAsia"/>
          <w:sz w:val="32"/>
          <w:szCs w:val="32"/>
        </w:rPr>
        <w:t>落实责任，加强督导。充分调动公共卫生科、卫生站工作人员的积极性，明确任务、落实责任，加大督促、指导。要严格按照绩效考核办法，认真做好考核工作，严格按考核结果发放补助经费。</w:t>
      </w:r>
      <w:r>
        <w:rPr>
          <w:rFonts w:ascii="方正仿宋简体" w:eastAsia="方正仿宋简体" w:cs="方正仿宋简体" w:hAnsi="方正仿宋简体" w:hint="eastAsia"/>
          <w:sz w:val="32"/>
          <w:szCs w:val="32"/>
          <w:lang w:eastAsia="zh-CN"/>
        </w:rPr>
        <w:t>四是</w:t>
      </w:r>
      <w:r>
        <w:rPr>
          <w:rFonts w:ascii="方正仿宋简体" w:eastAsia="方正仿宋简体" w:cs="方正仿宋简体" w:hAnsi="方正仿宋简体" w:hint="eastAsia"/>
          <w:sz w:val="32"/>
          <w:szCs w:val="32"/>
        </w:rPr>
        <w:t>进一步落实各项规范,强化各项规章制度,推进基本公共卫生服务项目可持续健康发展。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（2）“基层医疗卫生机构实施基本药物制度”项目绩效目标完成情况综述。项目全年预算数</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万元，执行数为</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万元，完成预算的100%。通过项目实施，本中心基本药物的覆盖率、网采率、目录药品质量合格率均达到100%，从根本上有效降低了患者的药品费用支出，群众满意度95%以上。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p>
      <w:pPr>
        <w:pStyle w:val="16"/>
        <w:rPr>
          <w:rFonts w:ascii="方正仿宋简体" w:eastAsia="方正仿宋简体" w:cs="方正仿宋简体" w:hAnsi="方正仿宋简体" w:hint="eastAsia"/>
          <w:sz w:val="32"/>
          <w:szCs w:val="32"/>
        </w:rPr>
      </w:pPr>
    </w:p>
    <w:tbl>
      <w:tblPr>
        <w:jc w:val="cent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90"/>
        <w:gridCol w:w="266"/>
        <w:gridCol w:w="1101"/>
        <w:gridCol w:w="1025"/>
        <w:gridCol w:w="2392"/>
        <w:gridCol w:w="2394"/>
        <w:gridCol w:w="2392"/>
      </w:tblGrid>
      <w:tr>
        <w:trPr>
          <w:trHeight w:val="1034"/>
        </w:trPr>
        <w:tc>
          <w:tcPr>
            <w:tcW w:w="9960" w:type="dxa"/>
            <w:gridSpan w:val="7"/>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cs="宋体"/>
                <w:color w:val="000000"/>
                <w:sz w:val="36"/>
                <w:szCs w:val="36"/>
              </w:rPr>
            </w:pPr>
            <w:r>
              <w:rPr>
                <w:rFonts w:ascii="方正小标宋简体" w:eastAsia="方正小标宋简体" w:cs="方正小标宋简体" w:hAnsi="方正小标宋简体" w:hint="eastAsia"/>
                <w:b w:val="0"/>
                <w:bCs w:val="0"/>
                <w:color w:val="000000"/>
                <w:kern w:val="0"/>
                <w:sz w:val="36"/>
                <w:szCs w:val="36"/>
              </w:rPr>
              <w:t>项目绩效目标完成情况表</w:t>
            </w:r>
            <w:r>
              <w:rPr>
                <w:rFonts w:ascii="方正小标宋简体" w:eastAsia="方正小标宋简体" w:cs="方正小标宋简体" w:hAnsi="方正小标宋简体" w:hint="eastAsia"/>
                <w:b w:val="0"/>
                <w:bCs w:val="0"/>
                <w:color w:val="000000"/>
                <w:kern w:val="0"/>
                <w:sz w:val="36"/>
                <w:szCs w:val="36"/>
                <w:lang w:val="en-US" w:eastAsia="zh-CN"/>
              </w:rPr>
              <w:t>1</w:t>
            </w:r>
            <w:r>
              <w:rPr>
                <w:rFonts w:ascii="方正小标宋简体" w:eastAsia="方正小标宋简体" w:cs="方正小标宋简体" w:hAnsi="方正小标宋简体" w:hint="eastAsia"/>
                <w:b w:val="0"/>
                <w:bCs w:val="0"/>
                <w:color w:val="000000"/>
                <w:kern w:val="0"/>
                <w:sz w:val="36"/>
                <w:szCs w:val="36"/>
              </w:rPr>
              <w:br/>
            </w:r>
            <w:r>
              <w:rPr>
                <w:rFonts w:ascii="方正楷体简体" w:eastAsia="方正楷体简体" w:cs="方正楷体简体" w:hAnsi="方正楷体简体" w:hint="eastAsia"/>
                <w:color w:val="000000"/>
                <w:kern w:val="0"/>
                <w:sz w:val="32"/>
                <w:szCs w:val="32"/>
                <w:lang w:eastAsia="zh-CN"/>
              </w:rPr>
              <w:t>（</w:t>
            </w:r>
            <w:r>
              <w:rPr>
                <w:rFonts w:ascii="方正楷体简体" w:eastAsia="方正楷体简体" w:cs="方正楷体简体" w:hAnsi="方正楷体简体" w:hint="eastAsia"/>
                <w:color w:val="000000"/>
                <w:kern w:val="0"/>
                <w:sz w:val="32"/>
                <w:szCs w:val="32"/>
              </w:rPr>
              <w:t>2020年度</w:t>
            </w:r>
            <w:r>
              <w:rPr>
                <w:rFonts w:ascii="方正楷体简体" w:eastAsia="方正楷体简体" w:cs="方正楷体简体" w:hAnsi="方正楷体简体" w:hint="eastAsia"/>
                <w:color w:val="000000"/>
                <w:kern w:val="0"/>
                <w:sz w:val="32"/>
                <w:szCs w:val="32"/>
                <w:lang w:eastAsia="zh-CN"/>
              </w:rPr>
              <w:t>）</w:t>
            </w:r>
          </w:p>
        </w:tc>
      </w:tr>
      <w:tr>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基本公共卫生服务项目</w:t>
            </w:r>
          </w:p>
        </w:tc>
      </w:tr>
      <w:tr>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广元市利州区</w:t>
            </w:r>
            <w:r>
              <w:rPr>
                <w:rFonts w:ascii="宋体" w:cs="宋体" w:hint="eastAsia"/>
                <w:color w:val="000000"/>
                <w:sz w:val="24"/>
                <w:lang w:eastAsia="zh-CN"/>
              </w:rPr>
              <w:t>雪峰</w:t>
            </w:r>
            <w:r>
              <w:rPr>
                <w:rFonts w:ascii="宋体" w:cs="宋体" w:hint="eastAsia"/>
                <w:color w:val="000000"/>
                <w:sz w:val="24"/>
              </w:rPr>
              <w:t>社区卫生服务中心</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预算执行情况</w:t>
            </w:r>
            <w:r>
              <w:rPr>
                <w:rFonts w:ascii="宋体" w:cs="宋体" w:hAnsi="宋体"/>
                <w:color w:val="000000"/>
                <w:kern w:val="0"/>
                <w:sz w:val="24"/>
              </w:rPr>
              <w:t>(</w:t>
            </w:r>
            <w:r>
              <w:rPr>
                <w:rFonts w:ascii="宋体" w:cs="宋体" w:hAnsi="宋体" w:hint="eastAsia"/>
                <w:color w:val="000000"/>
                <w:kern w:val="0"/>
                <w:sz w:val="24"/>
              </w:rPr>
              <w:t>万元</w:t>
            </w:r>
            <w:r>
              <w:rPr>
                <w:rFonts w:ascii="宋体" w:cs="宋体" w:hAnsi="宋体"/>
                <w:color w:val="000000"/>
                <w:kern w:val="0"/>
                <w:sz w:val="24"/>
              </w:rPr>
              <w:t>)</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执行数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其中</w:t>
            </w:r>
            <w:r>
              <w:rPr>
                <w:rFonts w:ascii="宋体" w:cs="宋体"/>
                <w:color w:val="000000"/>
                <w:kern w:val="0"/>
                <w:sz w:val="24"/>
              </w:rPr>
              <w:t>-</w:t>
            </w:r>
            <w:r>
              <w:rPr>
                <w:rFonts w:ascii="宋体" w:cs="宋体" w:hAnsi="宋体" w:hint="eastAsia"/>
                <w:color w:val="000000"/>
                <w:kern w:val="0"/>
                <w:sz w:val="24"/>
              </w:rPr>
              <w:t>财政拨款</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其中</w:t>
            </w:r>
            <w:r>
              <w:rPr>
                <w:rFonts w:ascii="宋体" w:cs="宋体"/>
                <w:color w:val="000000"/>
                <w:kern w:val="0"/>
                <w:sz w:val="24"/>
              </w:rPr>
              <w:t>-</w:t>
            </w:r>
            <w:r>
              <w:rPr>
                <w:rFonts w:ascii="宋体" w:cs="宋体" w:hAnsi="宋体" w:hint="eastAsia"/>
                <w:color w:val="000000"/>
                <w:kern w:val="0"/>
                <w:sz w:val="24"/>
              </w:rPr>
              <w:t>财政拨款</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lang w:val="en-US" w:eastAsia="zh-CN"/>
              </w:rPr>
              <w:t>202.35</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提高基本公共卫生服务项目均等化水平，规范公共卫生服务行为，推进基本公共卫生服务项目开展，加强孕产妇健康管理和儿童健康管理，把孕产妇和婴儿死亡率控制在指标范围内，全面完成2020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提高基本公共卫生服务项目均等化水平，规范公共卫生服务行为，推进基本公共卫生服务项目开展，加强孕产妇健康管理和儿童健康管理，把孕产妇和婴儿死亡率控制在指标范围内，全面完成2020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预防接种管理率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w:t>
            </w:r>
            <w:r>
              <w:rPr>
                <w:rFonts w:ascii="宋体" w:cs="宋体" w:hAnsi="宋体" w:hint="eastAsia"/>
                <w:color w:val="000000"/>
                <w:kern w:val="0"/>
                <w:sz w:val="24"/>
                <w:lang w:val="en-US" w:eastAsia="zh-CN"/>
              </w:rPr>
              <w:t>6</w:t>
            </w:r>
            <w:r>
              <w:rPr>
                <w:rFonts w:ascii="宋体" w:cs="宋体" w:hAnsi="宋体" w:hint="eastAsia"/>
                <w:color w:val="000000"/>
                <w:kern w:val="0"/>
                <w:sz w:val="24"/>
              </w:rPr>
              <w:t>%</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老年人健康管理率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≥70%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≥67%</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高血压患者健康管理率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≥70%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w:t>
            </w:r>
            <w:r>
              <w:rPr>
                <w:rFonts w:ascii="宋体" w:cs="宋体" w:hAnsi="宋体" w:hint="eastAsia"/>
                <w:color w:val="000000"/>
                <w:sz w:val="24"/>
                <w:lang w:val="en-US" w:eastAsia="zh-CN"/>
              </w:rPr>
              <w:t>73</w:t>
            </w:r>
            <w:r>
              <w:rPr>
                <w:rFonts w:ascii="宋体" w:cs="宋体" w:hAnsi="宋体" w:hint="eastAsia"/>
                <w:color w:val="000000"/>
                <w:sz w:val="24"/>
              </w:rPr>
              <w:t>%</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糖尿病患者健康管理率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≥60%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w:t>
            </w:r>
            <w:r>
              <w:rPr>
                <w:rFonts w:ascii="宋体" w:cs="宋体" w:hAnsi="宋体" w:hint="eastAsia"/>
                <w:color w:val="000000"/>
                <w:sz w:val="24"/>
                <w:lang w:val="en-US" w:eastAsia="zh-CN"/>
              </w:rPr>
              <w:t>70</w:t>
            </w:r>
            <w:r>
              <w:rPr>
                <w:rFonts w:ascii="宋体" w:cs="宋体" w:hAnsi="宋体" w:hint="eastAsia"/>
                <w:color w:val="000000"/>
                <w:sz w:val="24"/>
              </w:rPr>
              <w:t>%</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严重精神障碍患者管理率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w:t>
            </w:r>
            <w:r>
              <w:rPr>
                <w:rFonts w:ascii="宋体" w:cs="宋体" w:hAnsi="宋体" w:hint="eastAsia"/>
                <w:color w:val="000000"/>
                <w:kern w:val="0"/>
                <w:sz w:val="24"/>
                <w:lang w:val="en-US" w:eastAsia="zh-CN"/>
              </w:rPr>
              <w:t>99</w:t>
            </w:r>
            <w:r>
              <w:rPr>
                <w:rFonts w:ascii="宋体" w:cs="宋体" w:hAnsi="宋体" w:hint="eastAsia"/>
                <w:color w:val="000000"/>
                <w:kern w:val="0"/>
                <w:sz w:val="24"/>
              </w:rPr>
              <w:t>%</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传染病及突发公共卫生事件报告和处理率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结核病患者健康管理率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居民健康档案建档管理率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≥93%</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≥95.66%</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儿童健康管理率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w:t>
            </w:r>
            <w:r>
              <w:rPr>
                <w:rFonts w:ascii="宋体" w:cs="宋体" w:hAnsi="宋体" w:hint="eastAsia"/>
                <w:color w:val="000000"/>
                <w:kern w:val="0"/>
                <w:sz w:val="24"/>
                <w:lang w:val="en-US" w:eastAsia="zh-CN"/>
              </w:rPr>
              <w:t>96</w:t>
            </w:r>
            <w:r>
              <w:rPr>
                <w:rFonts w:ascii="宋体" w:cs="宋体" w:hAnsi="宋体" w:hint="eastAsia"/>
                <w:color w:val="000000"/>
                <w:kern w:val="0"/>
                <w:sz w:val="24"/>
              </w:rPr>
              <w:t>%</w:t>
            </w:r>
          </w:p>
        </w:tc>
      </w:tr>
      <w:tr>
        <w:trPr>
          <w:trHeight w:val="1050"/>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孕产妇健康管理率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val="en-US" w:eastAsia="zh-CN"/>
              </w:rPr>
              <w:t>96</w:t>
            </w:r>
            <w:r>
              <w:rPr>
                <w:rFonts w:ascii="宋体" w:cs="宋体" w:hAnsi="宋体" w:hint="eastAsia"/>
                <w:color w:val="000000"/>
                <w:kern w:val="0"/>
                <w:sz w:val="24"/>
              </w:rPr>
              <w:t>%</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卫生监督协管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有专职卫生监督协管员，规范开展卫生监督工作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highlight w:val="yellow"/>
              </w:rPr>
            </w:pPr>
            <w:r>
              <w:rPr>
                <w:rFonts w:ascii="宋体" w:cs="宋体" w:hAnsi="宋体" w:hint="eastAsia"/>
                <w:color w:val="000000"/>
                <w:kern w:val="0"/>
                <w:sz w:val="24"/>
              </w:rPr>
              <w:t>有专职卫生监督协管员，规范开展卫生监督工作</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中医药服务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75%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78.42%</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
              <w:rPr>
                <w:rFonts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 xml:space="preserve">健康教育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100%</w:t>
            </w:r>
          </w:p>
        </w:tc>
      </w:tr>
      <w:tr>
        <w:trPr>
          <w:trHeight w:val="1034"/>
        </w:trPr>
        <w:tc>
          <w:tcPr>
            <w:tcW w:w="9960" w:type="dxa"/>
            <w:gridSpan w:val="7"/>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cs="宋体" w:hAnsi="宋体"/>
                <w:color w:val="000000"/>
                <w:sz w:val="36"/>
                <w:szCs w:val="36"/>
              </w:rPr>
            </w:pPr>
            <w:r>
              <w:rPr>
                <w:rFonts w:ascii="方正小标宋简体" w:eastAsia="方正小标宋简体" w:cs="方正小标宋简体" w:hAnsi="方正小标宋简体" w:hint="eastAsia"/>
                <w:b w:val="0"/>
                <w:bCs w:val="0"/>
                <w:color w:val="000000"/>
                <w:kern w:val="0"/>
                <w:sz w:val="36"/>
                <w:szCs w:val="36"/>
              </w:rPr>
              <w:t>项目绩效目标完成情况表</w:t>
            </w:r>
            <w:r>
              <w:rPr>
                <w:rFonts w:ascii="方正小标宋简体" w:eastAsia="方正小标宋简体" w:cs="方正小标宋简体" w:hAnsi="方正小标宋简体" w:hint="eastAsia"/>
                <w:b w:val="0"/>
                <w:bCs w:val="0"/>
                <w:color w:val="000000"/>
                <w:kern w:val="0"/>
                <w:sz w:val="36"/>
                <w:szCs w:val="36"/>
                <w:lang w:val="en-US" w:eastAsia="zh-CN"/>
              </w:rPr>
              <w:t>2</w:t>
            </w:r>
            <w:r>
              <w:rPr>
                <w:rFonts w:ascii="方正小标宋简体" w:eastAsia="方正小标宋简体" w:cs="方正小标宋简体" w:hAnsi="方正小标宋简体" w:hint="eastAsia"/>
                <w:b w:val="0"/>
                <w:bCs w:val="0"/>
                <w:color w:val="000000"/>
                <w:kern w:val="0"/>
                <w:sz w:val="36"/>
                <w:szCs w:val="36"/>
              </w:rPr>
              <w:br/>
            </w:r>
            <w:r>
              <w:rPr>
                <w:rFonts w:ascii="方正楷体简体" w:eastAsia="方正楷体简体" w:cs="方正楷体简体" w:hAnsi="方正楷体简体" w:hint="eastAsia"/>
                <w:color w:val="000000"/>
                <w:kern w:val="0"/>
                <w:sz w:val="32"/>
                <w:szCs w:val="32"/>
                <w:lang w:eastAsia="zh-CN"/>
              </w:rPr>
              <w:t>（</w:t>
            </w:r>
            <w:r>
              <w:rPr>
                <w:rFonts w:ascii="方正楷体简体" w:eastAsia="方正楷体简体" w:cs="方正楷体简体" w:hAnsi="方正楷体简体" w:hint="eastAsia"/>
                <w:color w:val="000000"/>
                <w:kern w:val="0"/>
                <w:sz w:val="32"/>
                <w:szCs w:val="32"/>
              </w:rPr>
              <w:t>2020年度</w:t>
            </w:r>
            <w:r>
              <w:rPr>
                <w:rFonts w:ascii="方正楷体简体" w:eastAsia="方正楷体简体" w:cs="方正楷体简体" w:hAnsi="方正楷体简体" w:hint="eastAsia"/>
                <w:color w:val="000000"/>
                <w:kern w:val="0"/>
                <w:sz w:val="32"/>
                <w:szCs w:val="32"/>
                <w:lang w:eastAsia="zh-CN"/>
              </w:rPr>
              <w:t>）</w:t>
            </w:r>
          </w:p>
        </w:tc>
      </w:tr>
      <w:tr>
        <w:trPr>
          <w:trHeight w:val="48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 xml:space="preserve">基本药物制度项目 </w:t>
            </w:r>
          </w:p>
        </w:tc>
      </w:tr>
      <w:tr>
        <w:trPr>
          <w:trHeight w:val="504"/>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w:t>
            </w:r>
            <w:r>
              <w:rPr>
                <w:rFonts w:ascii="宋体" w:cs="宋体" w:hAnsi="宋体" w:hint="eastAsia"/>
                <w:color w:val="000000"/>
                <w:sz w:val="24"/>
                <w:lang w:eastAsia="zh-CN"/>
              </w:rPr>
              <w:t>雪峰</w:t>
            </w:r>
            <w:r>
              <w:rPr>
                <w:rFonts w:ascii="宋体" w:cs="宋体" w:hAnsi="宋体" w:hint="eastAsia"/>
                <w:color w:val="000000"/>
                <w:sz w:val="24"/>
              </w:rPr>
              <w:t>社区卫生服务中心</w:t>
            </w:r>
          </w:p>
        </w:tc>
      </w:tr>
      <w:tr>
        <w:trPr>
          <w:trHeight w:val="448"/>
        </w:trPr>
        <w:tc>
          <w:tcPr>
            <w:tcW w:w="65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r>
      <w:tr>
        <w:trPr>
          <w:trHeight w:val="504"/>
        </w:trPr>
        <w:tc>
          <w:tcPr>
            <w:tcW w:w="65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38.07</w:t>
            </w:r>
          </w:p>
        </w:tc>
      </w:tr>
      <w:tr>
        <w:trPr>
          <w:trHeight w:val="409"/>
        </w:trPr>
        <w:tc>
          <w:tcPr>
            <w:tcW w:w="65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392"/>
        </w:trPr>
        <w:tc>
          <w:tcPr>
            <w:tcW w:w="65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5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65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5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1、基层医疗卫生机构实施国家基本药物制度；2、巩固基本药物制度，推进综合改革顺</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1、巩固基本药物制度，推进综合改革顺利进行；2、加强中心医疗机构卫生服务体系建设，不断提升服务能力和水平，筑牢中心医疗卫生服务网底，实现医改“保基本、强基层、建机制”的目标。</w:t>
            </w:r>
          </w:p>
        </w:tc>
      </w:tr>
      <w:tr>
        <w:trPr>
          <w:trHeight w:val="232"/>
        </w:trPr>
        <w:tc>
          <w:tcPr>
            <w:tcW w:w="656"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560"/>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政府办基层医疗卫生机构基本药物制度覆盖率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374"/>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基层医疗卫生机构基本药物网采率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598"/>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目录药品质量合格率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635"/>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基本药物零差率销售率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100%</w:t>
            </w:r>
          </w:p>
        </w:tc>
      </w:tr>
      <w:tr>
        <w:trPr>
          <w:trHeight w:val="599"/>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降低患者的医疗费用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有效</w:t>
            </w:r>
          </w:p>
        </w:tc>
      </w:tr>
      <w:tr>
        <w:trPr>
          <w:trHeight w:val="655"/>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保证药品安全、有效、经济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长期</w:t>
            </w:r>
          </w:p>
        </w:tc>
      </w:tr>
      <w:tr>
        <w:trPr>
          <w:trHeight w:val="598"/>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受益群众满意度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r>
      <w:tr>
        <w:trPr>
          <w:trHeight w:val="683"/>
        </w:trPr>
        <w:tc>
          <w:tcPr>
            <w:tcW w:w="656" w:type="dxa"/>
            <w:gridSpan w:val="2"/>
            <w:vMerge/>
            <w:tcBorders>
              <w:left w:val="single" w:sz="4" w:space="0" w:color="000000"/>
              <w:right w:val="single" w:sz="4" w:space="0" w:color="000000"/>
            </w:tcBorders>
            <w:tcMar>
              <w:top w:w="15" w:type="dxa"/>
              <w:left w:w="15" w:type="dxa"/>
              <w:right w:w="15" w:type="dxa"/>
            </w:tcMar>
            <w:vAlign w:val="center"/>
          </w:tcPr>
          <w:p/>
        </w:tc>
        <w:tc>
          <w:tcPr>
            <w:tcW w:w="1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受益建档立卡贫困人口满意度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≥95%</w:t>
            </w:r>
          </w:p>
        </w:tc>
      </w:tr>
    </w:tbl>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2.部门绩效评价结果。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社区卫生服务中心按要求对2020年部门整体支出绩效评价情况开展自评，《广元市利州区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社区卫生服务中心2020年部门整体支出绩效评价报告》见附件（附件1）。</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社区卫生服务中心自行组织对基本公共卫生服务、基本药物制度等开展了绩效评价，《项目2020年绩效评价报告》见附件（附件2）。</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ageBreakBefore w:val="0"/>
        <w:widowControl w:val="0"/>
        <w:kinsoku/>
        <w:wordWrap/>
        <w:overflowPunct/>
        <w:topLinePunct w:val="0"/>
        <w:autoSpaceDE/>
        <w:autoSpaceDN/>
        <w:bidi w:val="0"/>
        <w:spacing w:line="576" w:lineRule="exact"/>
        <w:ind w:left="0" w:right="0" w:firstLineChars="250" w:firstLine="80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br w:type="page"/>
      </w:r>
    </w:p>
    <w:p>
      <w:pPr>
        <w:spacing w:line="600" w:lineRule="exact"/>
        <w:jc w:val="center"/>
        <w:outlineLvl w:val="0"/>
        <w:rPr>
          <w:rStyle w:val="1Char"/>
          <w:rFonts w:ascii="方正小标宋简体" w:eastAsia="方正小标宋简体" w:cs="方正小标宋简体" w:hAnsi="方正小标宋简体" w:hint="eastAsia"/>
          <w:b w:val="0"/>
          <w:sz w:val="48"/>
          <w:szCs w:val="48"/>
        </w:rPr>
      </w:pPr>
      <w:bookmarkStart w:id="52" w:name="_Toc15396613"/>
      <w:bookmarkStart w:id="53" w:name="_Toc15377225"/>
      <w:r>
        <w:rPr>
          <w:rFonts w:ascii="方正小标宋简体" w:eastAsia="方正小标宋简体" w:cs="方正小标宋简体" w:hAnsi="方正小标宋简体" w:hint="eastAsia"/>
          <w:color w:val="000000"/>
          <w:sz w:val="48"/>
          <w:szCs w:val="48"/>
          <w:lang w:eastAsia="zh-CN"/>
        </w:rPr>
        <w:t>第三部分</w:t>
      </w:r>
      <w:r>
        <w:rPr>
          <w:rFonts w:ascii="方正小标宋简体" w:eastAsia="方正小标宋简体" w:cs="方正小标宋简体" w:hAnsi="方正小标宋简体" w:hint="eastAsia"/>
          <w:color w:val="000000"/>
          <w:sz w:val="48"/>
          <w:szCs w:val="48"/>
          <w:lang w:val="en-US" w:eastAsia="zh-CN"/>
        </w:rPr>
        <w:t xml:space="preserve">  </w:t>
      </w:r>
      <w:r>
        <w:rPr>
          <w:rFonts w:ascii="方正小标宋简体" w:eastAsia="方正小标宋简体" w:cs="方正小标宋简体" w:hAnsi="方正小标宋简体" w:hint="eastAsia"/>
          <w:color w:val="000000"/>
          <w:sz w:val="48"/>
          <w:szCs w:val="48"/>
        </w:rPr>
        <w:t>名</w:t>
      </w:r>
      <w:r>
        <w:rPr>
          <w:rStyle w:val="1Char"/>
          <w:rFonts w:ascii="方正小标宋简体" w:eastAsia="方正小标宋简体" w:cs="方正小标宋简体" w:hAnsi="方正小标宋简体" w:hint="eastAsia"/>
          <w:b w:val="0"/>
          <w:sz w:val="48"/>
          <w:szCs w:val="48"/>
        </w:rPr>
        <w:t>词解释</w:t>
      </w:r>
      <w:bookmarkEnd w:id="52"/>
      <w:bookmarkEnd w:id="53"/>
    </w:p>
    <w:p>
      <w:pPr>
        <w:spacing w:line="600" w:lineRule="exact"/>
        <w:jc w:val="left"/>
        <w:rPr>
          <w:rFonts w:ascii="宋体"/>
          <w:b/>
          <w:color w:val="000000"/>
          <w:sz w:val="44"/>
          <w:szCs w:val="44"/>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1.财政拨款收入：指单位从同级财政部门取得的财政预算资金。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2.事业收入：指事业单位开展专业业务活动及辅助活动取得的收入。如…（二级预算单位事业收入情况）等。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3.经营收入：指事业单位在专业业务活动及其辅助活动之外开展非独立核算经营活动取得的收入。如…（二级预算单位经营收入情况）等。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4.其他收入：指单位取得的除上述收入以外的各项收入。主要是…（收入类型）等。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5.使用非财政拨款结余：指事业单位使用以前年度积累的非财政拨款结余弥补当年收支差额的金额。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6.年初结转和结余：指以前年度尚未完成、结转到本年按有关规定继续使用的资金。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7.结余分配：指事业单位按照会计制度规定缴纳的所得税、提取的专用结余以及转入非财政拨款结余的金额等。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8、年末结转和结余：指单位按有关规定结转到下年或以后年度继续使用的资金。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９.社会保障和就业208（类）05（款）05（项）机关事业单位基本养老保险缴费支出：指事业单位实施养老保险制度由单位缴纳的基本养老保险费支出。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10.卫生健康支出210（类）基层医疗卫生机构03（款）01（项） 城市社区卫生机构：指用于城市社区卫生机构的支出。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11.卫生健康支出210（类）04（款）08（项）基本公共卫生服务：指基本公共卫生支出。</w:t>
        <w:br/>
        <w:t xml:space="preserve">   12.卫生健康支出210（类）04（款）09（项）重大公共卫生专项：指重大疾病预防控制等重大公共卫生服务项目支出。</w:t>
        <w:br/>
        <w:t xml:space="preserve">   13.卫生健康支出210（类）11（款）02（项）行政事业单位医疗：指财政部门安排的事业单位基本医疗保险缴费经费，未参加医疗保险的事业单位的公费医疗经费，按国家规定享受离休人员待遇的医疗经费。</w:t>
        <w:br/>
        <w:t xml:space="preserve">   14.住房保障221（类）02（款）01（项）住房公积金：指事业单位按人力资源 和社会保障部、财政部规定的基本工资和津补贴以及规定比例为职工缴纳的住房公积金。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15.抗疫国债234（类）01（款）02（项）重大疫情防控救治体系建设：指抗疫特别国债资金安排的重大疫情防控救治体系建设支出。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16、卫生健康支出210（类）99（款）01（项）其他卫生健康：除上述项目外其他用于卫生健康方面的支出。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17.基本支出：指为保障机构正常运转、完成日常工作任务而发生的人员支出和公用支出。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18.项目支出：指在基本支出之外为完成特定行政任务和事业发展目标所发生的支出。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19.经营支出：指事业单位在专业业务活动及其辅助活动之外开展非独立核算经营活动发生的支出。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spacing w:line="576" w:lineRule="exact"/>
        <w:ind w:right="0"/>
        <w:jc w:val="center"/>
        <w:textAlignment w:val="auto"/>
        <w:rPr>
          <w:rStyle w:val="1Char"/>
          <w:rFonts w:ascii="黑体" w:eastAsia="黑体" w:hAnsi="黑体"/>
          <w:b w:val="0"/>
        </w:rPr>
      </w:pPr>
      <w:bookmarkStart w:id="54" w:name="_Toc15377226"/>
      <w:r>
        <w:rPr>
          <w:rFonts w:ascii="方正仿宋简体" w:eastAsia="方正仿宋简体" w:cs="方正仿宋简体" w:hAnsi="方正仿宋简体" w:hint="eastAsia"/>
          <w:sz w:val="32"/>
          <w:szCs w:val="32"/>
        </w:rPr>
        <w:br w:type="page"/>
      </w:r>
      <w:bookmarkStart w:id="55" w:name="_Toc15396614"/>
      <w:r>
        <w:rPr>
          <w:rFonts w:ascii="方正小标宋简体" w:eastAsia="方正小标宋简体" w:cs="方正小标宋简体" w:hAnsi="方正小标宋简体" w:hint="eastAsia"/>
          <w:color w:val="000000"/>
          <w:sz w:val="48"/>
          <w:szCs w:val="48"/>
          <w:lang w:eastAsia="zh-CN"/>
        </w:rPr>
        <w:t>第四部分 附件</w:t>
      </w:r>
      <w:bookmarkEnd w:id="55"/>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附件1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广元市利州区</w:t>
      </w:r>
      <w:r>
        <w:rPr>
          <w:rFonts w:ascii="方正小标宋简体" w:eastAsia="方正小标宋简体" w:hAnsi="宋体" w:hint="eastAsia"/>
          <w:color w:val="000000"/>
          <w:kern w:val="0"/>
          <w:sz w:val="44"/>
          <w:szCs w:val="44"/>
          <w:lang w:eastAsia="zh-CN"/>
        </w:rPr>
        <w:t>雪峰</w:t>
      </w:r>
      <w:r>
        <w:rPr>
          <w:rFonts w:ascii="方正小标宋简体" w:eastAsia="方正小标宋简体" w:hAnsi="宋体" w:hint="eastAsia"/>
          <w:color w:val="000000"/>
          <w:kern w:val="0"/>
          <w:sz w:val="44"/>
          <w:szCs w:val="44"/>
        </w:rPr>
        <w:t>社区卫生服务中心</w:t>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20</w:t>
      </w:r>
      <w:r>
        <w:rPr>
          <w:rFonts w:ascii="方正小标宋简体" w:eastAsia="方正小标宋简体" w:hAnsi="宋体"/>
          <w:color w:val="000000"/>
          <w:kern w:val="0"/>
          <w:sz w:val="44"/>
          <w:szCs w:val="44"/>
        </w:rPr>
        <w:t>年部门</w:t>
      </w:r>
      <w:r>
        <w:rPr>
          <w:rFonts w:ascii="方正小标宋简体" w:eastAsia="方正小标宋简体" w:hAnsi="宋体" w:hint="eastAsia"/>
          <w:color w:val="000000"/>
          <w:kern w:val="0"/>
          <w:sz w:val="44"/>
          <w:szCs w:val="44"/>
          <w:lang w:val="zh-CN"/>
        </w:rPr>
        <w:t>整体支出绩效评价报告</w:t>
      </w:r>
    </w:p>
    <w:p>
      <w:pPr>
        <w:widowControl/>
        <w:adjustRightInd w:val="0"/>
        <w:snapToGrid w:val="0"/>
        <w:spacing w:line="580" w:lineRule="exact"/>
        <w:contextualSpacing/>
        <w:jc w:val="left"/>
        <w:rPr>
          <w:rFonts w:ascii="黑体" w:eastAsia="黑体" w:cs="宋体" w:hAnsi="宋体"/>
          <w:color w:val="000000"/>
          <w:kern w:val="0"/>
          <w:sz w:val="24"/>
          <w:szCs w:val="32"/>
          <w:shd w:val="clear" w:color="auto" w:fill="FFFFFF"/>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部门（单位）概况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（一）机构组成。</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社区卫生服务中心位于利州区</w:t>
      </w:r>
      <w:r>
        <w:rPr>
          <w:rFonts w:ascii="方正仿宋简体" w:eastAsia="方正仿宋简体" w:cs="方正仿宋简体" w:hAnsi="方正仿宋简体" w:hint="eastAsia"/>
          <w:sz w:val="32"/>
          <w:szCs w:val="32"/>
          <w:lang w:eastAsia="zh-CN"/>
        </w:rPr>
        <w:t>东坝雪峰办事处对面</w:t>
      </w:r>
      <w:r>
        <w:rPr>
          <w:rFonts w:ascii="方正仿宋简体" w:eastAsia="方正仿宋简体" w:cs="方正仿宋简体" w:hAnsi="方正仿宋简体" w:hint="eastAsia"/>
          <w:sz w:val="32"/>
          <w:szCs w:val="32"/>
        </w:rPr>
        <w:t>，中心环境优美，设置规范，布局合理，是市、区两级医保定点单位。中心业务用房</w:t>
      </w:r>
      <w:r>
        <w:rPr>
          <w:rFonts w:ascii="方正仿宋简体" w:eastAsia="方正仿宋简体" w:cs="方正仿宋简体" w:hAnsi="方正仿宋简体" w:hint="eastAsia"/>
          <w:sz w:val="32"/>
          <w:szCs w:val="32"/>
          <w:lang w:val="en-US" w:eastAsia="zh-CN"/>
        </w:rPr>
        <w:t>4300</w:t>
      </w:r>
      <w:r>
        <w:rPr>
          <w:rFonts w:ascii="方正仿宋简体" w:eastAsia="方正仿宋简体" w:cs="方正仿宋简体" w:hAnsi="方正仿宋简体" w:hint="eastAsia"/>
          <w:sz w:val="32"/>
          <w:szCs w:val="32"/>
        </w:rPr>
        <w:t>平方米，功能分区为基本医疗区、中医药服务区、住院康复区、公共卫生服务区、后勤保障区，科室设置齐全，设备先进，现开设病床位</w:t>
      </w:r>
      <w:r>
        <w:rPr>
          <w:rFonts w:ascii="方正仿宋简体" w:eastAsia="方正仿宋简体" w:cs="方正仿宋简体" w:hAnsi="方正仿宋简体" w:hint="eastAsia"/>
          <w:sz w:val="32"/>
          <w:szCs w:val="32"/>
          <w:lang w:val="en-US" w:eastAsia="zh-CN"/>
        </w:rPr>
        <w:t>33</w:t>
      </w:r>
      <w:r>
        <w:rPr>
          <w:rFonts w:ascii="方正仿宋简体" w:eastAsia="方正仿宋简体" w:cs="方正仿宋简体" w:hAnsi="方正仿宋简体" w:hint="eastAsia"/>
          <w:sz w:val="32"/>
          <w:szCs w:val="32"/>
        </w:rPr>
        <w:t>张。</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2020年门诊</w:t>
      </w:r>
      <w:r>
        <w:rPr>
          <w:rFonts w:ascii="方正仿宋简体" w:eastAsia="方正仿宋简体" w:cs="方正仿宋简体" w:hAnsi="方正仿宋简体" w:hint="eastAsia"/>
          <w:sz w:val="32"/>
          <w:szCs w:val="32"/>
          <w:lang w:val="en-US" w:eastAsia="zh-CN"/>
        </w:rPr>
        <w:t>84534人次</w:t>
      </w:r>
      <w:r>
        <w:rPr>
          <w:rFonts w:ascii="方正仿宋简体" w:eastAsia="方正仿宋简体" w:cs="方正仿宋简体" w:hAnsi="方正仿宋简体" w:hint="eastAsia"/>
          <w:sz w:val="32"/>
          <w:szCs w:val="32"/>
        </w:rPr>
        <w:t>，收治住院</w:t>
      </w:r>
      <w:r>
        <w:rPr>
          <w:rFonts w:ascii="方正仿宋简体" w:eastAsia="方正仿宋简体" w:cs="方正仿宋简体" w:hAnsi="方正仿宋简体" w:hint="eastAsia"/>
          <w:sz w:val="32"/>
          <w:szCs w:val="32"/>
          <w:lang w:val="en-US" w:eastAsia="zh-CN"/>
        </w:rPr>
        <w:t xml:space="preserve"> 642人次</w:t>
      </w:r>
      <w:r>
        <w:rPr>
          <w:rFonts w:ascii="方正仿宋简体" w:eastAsia="方正仿宋简体" w:cs="方正仿宋简体" w:hAnsi="方正仿宋简体" w:hint="eastAsia"/>
          <w:sz w:val="32"/>
          <w:szCs w:val="32"/>
        </w:rPr>
        <w:t>人次，无医疗差错事故现象发生。主要开设有：全科医疗科、内科、外科、妇产科、口腔科、中医科、妇女保健科、</w:t>
      </w:r>
      <w:r>
        <w:rPr>
          <w:rFonts w:ascii="方正仿宋简体" w:eastAsia="方正仿宋简体" w:cs="方正仿宋简体" w:hAnsi="方正仿宋简体" w:hint="eastAsia"/>
          <w:sz w:val="32"/>
          <w:szCs w:val="32"/>
          <w:lang w:eastAsia="zh-CN"/>
        </w:rPr>
        <w:t>免疫规划科</w:t>
      </w:r>
      <w:r>
        <w:rPr>
          <w:rFonts w:ascii="方正仿宋简体" w:eastAsia="方正仿宋简体" w:cs="方正仿宋简体" w:hAnsi="方正仿宋简体" w:hint="eastAsia"/>
          <w:sz w:val="32"/>
          <w:szCs w:val="32"/>
        </w:rPr>
        <w:t>、医学检验科、医学影像科、X线诊断专业、心电诊断专业。</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（二）机构职能。</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rPr>
        <w:t>中心拥有ＤＲ数字摄片系统，彩超，全自动生化分析仪、</w:t>
      </w:r>
      <w:r>
        <w:rPr>
          <w:rFonts w:ascii="方正仿宋简体" w:eastAsia="方正仿宋简体" w:cs="方正仿宋简体" w:hAnsi="方正仿宋简体" w:hint="eastAsia"/>
          <w:sz w:val="32"/>
          <w:szCs w:val="32"/>
          <w:lang w:eastAsia="zh-CN"/>
        </w:rPr>
        <w:t>半自动染色体系统、</w:t>
      </w:r>
      <w:r>
        <w:rPr>
          <w:rFonts w:ascii="方正仿宋简体" w:eastAsia="方正仿宋简体" w:cs="方正仿宋简体" w:hAnsi="方正仿宋简体" w:hint="eastAsia"/>
          <w:sz w:val="32"/>
          <w:szCs w:val="32"/>
        </w:rPr>
        <w:t>全自动电解质分析仪、全自动血球分析仪、</w:t>
      </w:r>
      <w:r>
        <w:rPr>
          <w:rFonts w:ascii="方正仿宋简体" w:eastAsia="方正仿宋简体" w:cs="方正仿宋简体" w:hAnsi="方正仿宋简体" w:hint="eastAsia"/>
          <w:sz w:val="32"/>
          <w:szCs w:val="32"/>
          <w:lang w:eastAsia="zh-CN"/>
        </w:rPr>
        <w:t>盆底康复</w:t>
      </w:r>
      <w:r>
        <w:rPr>
          <w:rFonts w:ascii="方正仿宋简体" w:eastAsia="方正仿宋简体" w:cs="方正仿宋简体" w:hAnsi="方正仿宋简体" w:hint="eastAsia"/>
          <w:sz w:val="32"/>
          <w:szCs w:val="32"/>
        </w:rPr>
        <w:t>检查仪等一大批先进的医疗设备。主要承担</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辖区</w:t>
      </w:r>
      <w:r>
        <w:rPr>
          <w:rFonts w:ascii="方正仿宋简体" w:eastAsia="方正仿宋简体" w:cs="方正仿宋简体" w:hAnsi="方正仿宋简体" w:hint="eastAsia"/>
          <w:sz w:val="32"/>
          <w:szCs w:val="32"/>
          <w:lang w:eastAsia="zh-CN"/>
        </w:rPr>
        <w:t>雪峰村</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泡石村、九华村、金山村、五洲社区、芸香</w:t>
      </w:r>
      <w:r>
        <w:rPr>
          <w:rFonts w:ascii="方正仿宋简体" w:eastAsia="方正仿宋简体" w:cs="方正仿宋简体" w:hAnsi="方正仿宋简体" w:hint="eastAsia"/>
          <w:sz w:val="32"/>
          <w:szCs w:val="32"/>
        </w:rPr>
        <w:t>社区</w:t>
      </w:r>
      <w:r>
        <w:rPr>
          <w:rFonts w:ascii="方正仿宋简体" w:eastAsia="方正仿宋简体" w:cs="方正仿宋简体" w:hAnsi="方正仿宋简体" w:hint="eastAsia"/>
          <w:sz w:val="32"/>
          <w:szCs w:val="32"/>
          <w:lang w:eastAsia="zh-CN"/>
        </w:rPr>
        <w:t>等</w:t>
      </w:r>
      <w:r>
        <w:rPr>
          <w:rFonts w:ascii="方正仿宋简体" w:eastAsia="方正仿宋简体" w:cs="方正仿宋简体" w:hAnsi="方正仿宋简体" w:hint="eastAsia"/>
          <w:sz w:val="32"/>
          <w:szCs w:val="32"/>
          <w:lang w:val="en-US" w:eastAsia="zh-CN"/>
        </w:rPr>
        <w:t>8个村社</w:t>
      </w:r>
      <w:r>
        <w:rPr>
          <w:rFonts w:ascii="方正仿宋简体" w:eastAsia="方正仿宋简体" w:cs="方正仿宋简体" w:hAnsi="方正仿宋简体" w:hint="eastAsia"/>
          <w:sz w:val="32"/>
          <w:szCs w:val="32"/>
        </w:rPr>
        <w:t>（居委会）的基本公共卫生服务和基本医疗服务工作，服务人口</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万余人。同时完成上级指令性任务。中心始终坚持“敬业、诚信、关爱、助人”的服务宗旨。竭诚为辖区居民提供优质的医疗和公共卫生服务，忠诚担当起辖区居民的健康守门人。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（三）人员概况。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中心现有在岗职工</w:t>
      </w:r>
      <w:r>
        <w:rPr>
          <w:rFonts w:ascii="方正仿宋简体" w:eastAsia="方正仿宋简体" w:cs="方正仿宋简体" w:hAnsi="方正仿宋简体" w:hint="eastAsia"/>
          <w:sz w:val="32"/>
          <w:szCs w:val="32"/>
          <w:lang w:val="en-US" w:eastAsia="zh-CN"/>
        </w:rPr>
        <w:t>69</w:t>
      </w:r>
      <w:r>
        <w:rPr>
          <w:rFonts w:ascii="方正仿宋简体" w:eastAsia="方正仿宋简体" w:cs="方正仿宋简体" w:hAnsi="方正仿宋简体" w:hint="eastAsia"/>
          <w:sz w:val="32"/>
          <w:szCs w:val="32"/>
        </w:rPr>
        <w:t>人，其中在编人员</w:t>
      </w:r>
      <w:r>
        <w:rPr>
          <w:rFonts w:ascii="方正仿宋简体" w:eastAsia="方正仿宋简体" w:cs="方正仿宋简体" w:hAnsi="方正仿宋简体" w:hint="eastAsia"/>
          <w:sz w:val="32"/>
          <w:szCs w:val="32"/>
          <w:lang w:val="en-US" w:eastAsia="zh-CN"/>
        </w:rPr>
        <w:t>28</w:t>
      </w:r>
      <w:r>
        <w:rPr>
          <w:rFonts w:ascii="方正仿宋简体" w:eastAsia="方正仿宋简体" w:cs="方正仿宋简体" w:hAnsi="方正仿宋简体" w:hint="eastAsia"/>
          <w:sz w:val="32"/>
          <w:szCs w:val="32"/>
        </w:rPr>
        <w:t>人，聘用人员</w:t>
      </w:r>
      <w:r>
        <w:rPr>
          <w:rFonts w:ascii="方正仿宋简体" w:eastAsia="方正仿宋简体" w:cs="方正仿宋简体" w:hAnsi="方正仿宋简体" w:hint="eastAsia"/>
          <w:sz w:val="32"/>
          <w:szCs w:val="32"/>
          <w:lang w:val="en-US" w:eastAsia="zh-CN"/>
        </w:rPr>
        <w:t>41</w:t>
      </w:r>
      <w:r>
        <w:rPr>
          <w:rFonts w:ascii="方正仿宋简体" w:eastAsia="方正仿宋简体" w:cs="方正仿宋简体" w:hAnsi="方正仿宋简体" w:hint="eastAsia"/>
          <w:sz w:val="32"/>
          <w:szCs w:val="32"/>
        </w:rPr>
        <w:t>人，正高专业技术职称</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人，副高专业技术职称</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人，中级专业技术职称</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人，初级专业技术职称</w:t>
      </w:r>
      <w:r>
        <w:rPr>
          <w:rFonts w:ascii="方正仿宋简体" w:eastAsia="方正仿宋简体" w:cs="方正仿宋简体" w:hAnsi="方正仿宋简体" w:hint="eastAsia"/>
          <w:sz w:val="32"/>
          <w:szCs w:val="32"/>
          <w:lang w:val="en-US" w:eastAsia="zh-CN"/>
        </w:rPr>
        <w:t>42</w:t>
      </w:r>
      <w:r>
        <w:rPr>
          <w:rFonts w:ascii="方正仿宋简体" w:eastAsia="方正仿宋简体" w:cs="方正仿宋简体" w:hAnsi="方正仿宋简体" w:hint="eastAsia"/>
          <w:sz w:val="32"/>
          <w:szCs w:val="32"/>
        </w:rPr>
        <w:t>人；注册护士</w:t>
      </w:r>
      <w:r>
        <w:rPr>
          <w:rFonts w:ascii="方正仿宋简体" w:eastAsia="方正仿宋简体" w:cs="方正仿宋简体" w:hAnsi="方正仿宋简体" w:hint="eastAsia"/>
          <w:sz w:val="32"/>
          <w:szCs w:val="32"/>
          <w:lang w:val="en-US" w:eastAsia="zh-CN"/>
        </w:rPr>
        <w:t>31</w:t>
      </w:r>
      <w:r>
        <w:rPr>
          <w:rFonts w:ascii="方正仿宋简体" w:eastAsia="方正仿宋简体" w:cs="方正仿宋简体" w:hAnsi="方正仿宋简体" w:hint="eastAsia"/>
          <w:sz w:val="32"/>
          <w:szCs w:val="32"/>
        </w:rPr>
        <w:t>人，全科医师</w:t>
      </w:r>
      <w:r>
        <w:rPr>
          <w:rFonts w:ascii="方正仿宋简体" w:eastAsia="方正仿宋简体" w:cs="方正仿宋简体" w:hAnsi="方正仿宋简体" w:hint="eastAsia"/>
          <w:sz w:val="32"/>
          <w:szCs w:val="32"/>
          <w:lang w:val="en-US" w:eastAsia="zh-CN"/>
        </w:rPr>
        <w:t>17</w:t>
      </w:r>
      <w:r>
        <w:rPr>
          <w:rFonts w:ascii="方正仿宋简体" w:eastAsia="方正仿宋简体" w:cs="方正仿宋简体" w:hAnsi="方正仿宋简体" w:hint="eastAsia"/>
          <w:sz w:val="32"/>
          <w:szCs w:val="32"/>
        </w:rPr>
        <w:t>人，全科医师省级骨干医师培训</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人，卫生专业技术人员占员工总数的90%。能满足临床医疗和教学培训等工作需要。</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二、部门财政资金收支情况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（一）部门财政资金收入情况。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2020年，一般公共预算财政拨款收入</w:t>
      </w:r>
      <w:r>
        <w:rPr>
          <w:rFonts w:ascii="方正仿宋简体" w:eastAsia="方正仿宋简体" w:cs="方正仿宋简体" w:hAnsi="方正仿宋简体" w:hint="eastAsia"/>
          <w:sz w:val="32"/>
          <w:szCs w:val="32"/>
          <w:lang w:val="en-US" w:eastAsia="zh-CN"/>
        </w:rPr>
        <w:t>867.63</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（二）部门财政资金支出情况。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2020年财政拨款支出</w:t>
      </w:r>
      <w:r>
        <w:rPr>
          <w:rFonts w:ascii="方正仿宋简体" w:eastAsia="方正仿宋简体" w:cs="方正仿宋简体" w:hAnsi="方正仿宋简体" w:hint="eastAsia"/>
          <w:sz w:val="32"/>
          <w:szCs w:val="32"/>
          <w:lang w:val="en-US" w:eastAsia="zh-CN"/>
        </w:rPr>
        <w:t>813.12</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三、部门整体预算绩效管理情况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（一）部门预算管理。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积极建立健全财务管理制度和约束机制，依法有效地分配、使用财政资金，提高资金使用效率，保证卫生健康工作有效有序地运行，对中心整体支出进行了有效控制和节约，合理安排中心整体经费支出，严格执行中央厉行节约禁止铺张浪费的要求，无“三公经费”超标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基本支出：为贯彻落实节约、降低事业运行经费的要求，根据各级财政部门的相关政策文件规定，我中心制定了财务管理制度、固定资产管理实施办法、中心工会财务管理办法、物资采购管理办法、精简会议规定、中心单位货币资金及发票的管理办法等相关制度；加强了中心资金的使用管理，坚持勤俭节约，反对奢侈浪费，按制度办事，确保每一分钱都落到实处，每一环节按程序进行，中心财务管理工作做到了细、严、实。基本支出用于发放人员工资、办公事业支出，2020年共支出</w:t>
      </w:r>
      <w:r>
        <w:rPr>
          <w:rFonts w:ascii="方正仿宋简体" w:eastAsia="方正仿宋简体" w:cs="方正仿宋简体" w:hAnsi="方正仿宋简体" w:hint="eastAsia"/>
          <w:sz w:val="32"/>
          <w:szCs w:val="32"/>
          <w:lang w:val="en-US" w:eastAsia="zh-CN"/>
        </w:rPr>
        <w:t>320.66</w:t>
      </w:r>
      <w:r>
        <w:rPr>
          <w:rFonts w:ascii="方正仿宋简体" w:eastAsia="方正仿宋简体" w:cs="方正仿宋简体" w:hAnsi="方正仿宋简体" w:hint="eastAsia"/>
          <w:sz w:val="32"/>
          <w:szCs w:val="32"/>
        </w:rPr>
        <w:t>万元。其中：工资福利支出</w:t>
      </w:r>
      <w:r>
        <w:rPr>
          <w:rFonts w:ascii="方正仿宋简体" w:eastAsia="方正仿宋简体" w:cs="方正仿宋简体" w:hAnsi="方正仿宋简体" w:hint="eastAsia"/>
          <w:sz w:val="32"/>
          <w:szCs w:val="32"/>
          <w:lang w:val="en-US" w:eastAsia="zh-CN"/>
        </w:rPr>
        <w:t>312.85</w:t>
      </w:r>
      <w:r>
        <w:rPr>
          <w:rFonts w:ascii="方正仿宋简体" w:eastAsia="方正仿宋简体" w:cs="方正仿宋简体" w:hAnsi="方正仿宋简体" w:hint="eastAsia"/>
          <w:sz w:val="32"/>
          <w:szCs w:val="32"/>
        </w:rPr>
        <w:t>万元；商品和服务支出为</w:t>
      </w:r>
      <w:r>
        <w:rPr>
          <w:rFonts w:ascii="方正仿宋简体" w:eastAsia="方正仿宋简体" w:cs="方正仿宋简体" w:hAnsi="方正仿宋简体" w:hint="eastAsia"/>
          <w:sz w:val="32"/>
          <w:szCs w:val="32"/>
          <w:lang w:val="en-US" w:eastAsia="zh-CN"/>
        </w:rPr>
        <w:t>7.8</w:t>
      </w:r>
      <w:r>
        <w:rPr>
          <w:rFonts w:ascii="方正仿宋简体" w:eastAsia="方正仿宋简体" w:cs="方正仿宋简体" w:hAnsi="方正仿宋简体" w:hint="eastAsia"/>
          <w:sz w:val="32"/>
          <w:szCs w:val="32"/>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项目支出：为把财政拨付的专项资金管理好，我中心制定了专项资金管理办法，确保各项目资金专款专用。2020年项目资金共支出</w:t>
      </w:r>
      <w:r>
        <w:rPr>
          <w:rFonts w:ascii="方正仿宋简体" w:eastAsia="方正仿宋简体" w:cs="方正仿宋简体" w:hAnsi="方正仿宋简体" w:hint="eastAsia"/>
          <w:sz w:val="32"/>
          <w:szCs w:val="32"/>
          <w:lang w:val="en-US" w:eastAsia="zh-CN"/>
        </w:rPr>
        <w:t>492.46</w:t>
      </w:r>
      <w:r>
        <w:rPr>
          <w:rFonts w:ascii="方正仿宋简体" w:eastAsia="方正仿宋简体" w:cs="方正仿宋简体" w:hAnsi="方正仿宋简体" w:hint="eastAsia"/>
          <w:sz w:val="32"/>
          <w:szCs w:val="32"/>
        </w:rPr>
        <w:t>万元。其中：商品和服务支出</w:t>
      </w:r>
      <w:r>
        <w:rPr>
          <w:rFonts w:ascii="方正仿宋简体" w:eastAsia="方正仿宋简体" w:cs="方正仿宋简体" w:hAnsi="方正仿宋简体" w:hint="eastAsia"/>
          <w:sz w:val="32"/>
          <w:szCs w:val="32"/>
          <w:lang w:val="en-US" w:eastAsia="zh-CN"/>
        </w:rPr>
        <w:t>492.46</w:t>
      </w:r>
      <w:r>
        <w:rPr>
          <w:rFonts w:ascii="方正仿宋简体" w:eastAsia="方正仿宋简体" w:cs="方正仿宋简体" w:hAnsi="方正仿宋简体" w:hint="eastAsia"/>
          <w:sz w:val="32"/>
          <w:szCs w:val="32"/>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（二）结果应用情况。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根据自评结果，2020年度广元市利州区</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整体预算绩效质量好，既保障了中心正常办公和生活秩序，又顺利完成各项工作任务，严格履行法定职责，圆满完成了上级业务主管部门的工作任务，准确评价了各项指标的完成情况，群众满意度很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四、评价结论及建议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（一）评价结论。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及时、准确、优质地完成了预算编制；预算执行情况良好，支出管理规范，资金管理制度较为完善，会计核算和账务处理规范，会计资料完整。</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（二）存在问题。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预算不够明确和细化，预算编制的合理性不够。预算执行力度还要进一步加强。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预算编制的前瞻度不够,对当年度新情况、新问题加强前瞻性、针对性研究不多，预算和实际支出调整较大。</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财务管理水平有待提高。财务工作按部就班，缺乏创新，在精度和深度上欠缺，还需要进一步完善，尤其在项目建设方面还需要进一步严格。</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（三）改进建议。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建议财政部门加强对各单位财务人员队伍建设的重视，加强对财务人员做好各项财务工作的指导和培训。</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进一步完善和落实相关管理制度，全局上下应加强学习内部控制管理制度，严格遵照相关制度贯彻落实到位，做到精细化管理。</w:t>
      </w:r>
    </w:p>
    <w:p>
      <w:pPr>
        <w:spacing w:line="600" w:lineRule="exact"/>
        <w:jc w:val="left"/>
        <w:outlineLvl w:val="0"/>
        <w:rPr>
          <w:rFonts w:ascii="方正仿宋简体" w:eastAsia="方正仿宋简体" w:cs="方正仿宋简体" w:hAnsi="方正仿宋简体" w:hint="eastAsia"/>
          <w:sz w:val="32"/>
          <w:szCs w:val="32"/>
        </w:rPr>
      </w:pPr>
    </w:p>
    <w:p>
      <w:pPr>
        <w:pStyle w:val="16"/>
        <w:rPr>
          <w:rFonts w:hint="eastAsia"/>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spacing w:line="600" w:lineRule="exact"/>
        <w:jc w:val="left"/>
        <w:outlineLvl w:val="0"/>
        <w:rPr>
          <w:rFonts w:ascii="方正黑体简体" w:eastAsia="方正黑体简体" w:cs="方正黑体简体" w:hAnsi="方正黑体简体"/>
          <w:sz w:val="32"/>
          <w:szCs w:val="32"/>
          <w:lang w:val="en-US" w:eastAsia="zh-CN"/>
        </w:rPr>
      </w:pPr>
      <w:r>
        <w:rPr>
          <w:rFonts w:ascii="方正黑体简体" w:eastAsia="方正黑体简体" w:cs="方正黑体简体" w:hAnsi="方正黑体简体" w:hint="eastAsia"/>
          <w:sz w:val="32"/>
          <w:szCs w:val="32"/>
        </w:rPr>
        <w:t>附件2</w:t>
      </w:r>
      <w:r>
        <w:rPr>
          <w:rFonts w:ascii="方正黑体简体" w:eastAsia="方正黑体简体" w:cs="方正黑体简体" w:hAnsi="方正黑体简体" w:hint="eastAsia"/>
          <w:sz w:val="32"/>
          <w:szCs w:val="32"/>
          <w:lang w:val="en-US" w:eastAsia="zh-CN"/>
        </w:rPr>
        <w:t>-1</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cs="Times New Roman" w:hAnsi="宋体" w:hint="eastAsia"/>
          <w:color w:val="000000"/>
          <w:kern w:val="0"/>
          <w:sz w:val="44"/>
          <w:szCs w:val="44"/>
        </w:rPr>
      </w:pPr>
      <w:r>
        <w:rPr>
          <w:rFonts w:ascii="方正小标宋简体" w:eastAsia="方正小标宋简体" w:cs="Times New Roman" w:hAnsi="宋体" w:hint="eastAsia"/>
          <w:color w:val="000000"/>
          <w:kern w:val="0"/>
          <w:sz w:val="44"/>
          <w:szCs w:val="44"/>
        </w:rPr>
        <w:t>2020年基本药物制度项目支出</w:t>
      </w:r>
    </w:p>
    <w:p>
      <w:pPr>
        <w:spacing w:line="600" w:lineRule="exact"/>
        <w:jc w:val="center"/>
        <w:rPr>
          <w:rFonts w:ascii="方正小标宋简体" w:eastAsia="方正小标宋简体" w:cs="Times New Roman" w:hAnsi="宋体" w:hint="eastAsia"/>
          <w:color w:val="000000"/>
          <w:kern w:val="0"/>
          <w:sz w:val="44"/>
          <w:szCs w:val="44"/>
          <w:lang w:val="zh-CN"/>
        </w:rPr>
      </w:pPr>
      <w:r>
        <w:rPr>
          <w:rFonts w:ascii="方正小标宋简体" w:eastAsia="方正小标宋简体" w:cs="Times New Roman" w:hAnsi="宋体" w:hint="eastAsia"/>
          <w:color w:val="000000"/>
          <w:kern w:val="0"/>
          <w:sz w:val="44"/>
          <w:szCs w:val="44"/>
          <w:lang w:val="zh-CN"/>
        </w:rPr>
        <w:t>绩效评价报告</w:t>
      </w:r>
    </w:p>
    <w:p>
      <w:pPr>
        <w:spacing w:line="600" w:lineRule="exact"/>
        <w:rPr>
          <w:rFonts w:ascii="宋体"/>
          <w:sz w:val="32"/>
          <w:szCs w:val="32"/>
          <w:lang w:val="zh-CN"/>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项目概况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（一）项目基本情况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该项目资金总投入基本药物补助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（二）项目绩效目标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1．项目主要内容。</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按照国家、省、市、区卫生健康部门工作安排，雪峰社区卫生服务中心属于基层医疗卫生机构，执行国家基本药物制度，根据自身功能定位和服务能力，合理选择配备使用基本药物，严格执行药品零差价率销售工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实施基本药物制度后，政府举办的城市社区卫生服务机构的人员支出和业务支出等运行成本通过服务收费和政府补助补偿。基本医疗服务主要通过医疗保障付费和个人付费补偿。</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2．项目应实现的具体绩效目标，包括目标的量化、细化情况以及项目实施进度计划等。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年度绩效目标：中心实施基本药物零利润销售。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长期绩效目标：实施基本药物制度，有利于保障群众基本用药权益，转变“以药补医”机制，也有利于促进药品流通企业资源优化整合，对于实现人人享有基本医疗卫生服务，维修人民健康，体现社会公平，减轻群众用药负担，推动卫生事业发展，具有十分重要的意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3．分析评价申报内容是否与实际相符，申报目标是否合理可行。</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 2020年基层医疗卫生机构实施基本药物制度补助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万元，并根据中心2020年1-12月基本药物网采购入库总量进行预分配。并对中心实施基本药物制度绩效考核工作的组织实施进行监督管理。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（三）项目自评步骤及方法。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通过预算执行情况、年度目标完成情况、绩效指标完成情况等，分别对一级指标、二级指标、三级指标完成情况进行绩效评价。</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首先成立绩效评价小组，根据四川省基层医疗卫生机构实施国家基本药物制度补助资金管理及考核办法的文件精神，成立了以中心主任为组长，分管副主任及药剂科长为副组长，中心相关部门负责人为成员的基本药物制度工作领导小组，小组设在医务科，由专人负责本单位的基本药物制度实施，落实项目运行及资金使用情况，及时报送相关资料。其次就是认真贯彻落实四川省医改办《关于实施国家基本药物制度》的通知要求，利州区制定了《基层医疗卫生机构实施国家基本药物制度补偿办法》，我中心认真贯彻落实上级文件要求，中心配备专兼职基本药物采购工作人员，进行网上采购，每月统计，逐级上报。每月达到阳光积分标准。2020年中心实行基本药物零差价销售，实施网上统一采购。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二、项目资金申报及使用情况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（一）项目资金申报及批复情况。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2020年中心实施基本药物制度补助项目安排资金为</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万元，由</w:t>
      </w:r>
      <w:r>
        <w:rPr>
          <w:rFonts w:ascii="方正仿宋简体" w:eastAsia="方正仿宋简体" w:cs="方正仿宋简体" w:hAnsi="方正仿宋简体" w:hint="eastAsia"/>
          <w:sz w:val="32"/>
          <w:szCs w:val="32"/>
        </w:rPr>
        <w:t>《广元市利州区卫生健康局关于下达2020年基层医疗机构实施基本药物制度取消药品加成相关补助资金的通知》</w:t>
      </w:r>
      <w:r>
        <w:rPr>
          <w:rFonts w:ascii="方正仿宋简体" w:eastAsia="方正仿宋简体" w:cs="方正仿宋简体" w:hAnsi="方正仿宋简体" w:hint="eastAsia"/>
          <w:sz w:val="32"/>
          <w:szCs w:val="32"/>
          <w:lang w:val="zh-CN"/>
        </w:rPr>
        <w:t>等相关文件精神，下达中心实施基本药物制度补助项目资金</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（二）资金到位及使用情况。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val="zh-CN"/>
        </w:rPr>
        <w:t>．资金到位</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万元。其中中央补助</w:t>
      </w:r>
      <w:r>
        <w:rPr>
          <w:rFonts w:ascii="方正仿宋简体" w:eastAsia="方正仿宋简体" w:cs="方正仿宋简体" w:hAnsi="方正仿宋简体" w:hint="eastAsia"/>
          <w:sz w:val="32"/>
          <w:szCs w:val="32"/>
          <w:lang w:val="en-US" w:eastAsia="zh-CN"/>
        </w:rPr>
        <w:t>18.51</w:t>
      </w:r>
      <w:r>
        <w:rPr>
          <w:rFonts w:ascii="方正仿宋简体" w:eastAsia="方正仿宋简体" w:cs="方正仿宋简体" w:hAnsi="方正仿宋简体" w:hint="eastAsia"/>
          <w:sz w:val="32"/>
          <w:szCs w:val="32"/>
          <w:lang w:val="zh-CN"/>
        </w:rPr>
        <w:t>万元、省级补助</w:t>
      </w:r>
      <w:r>
        <w:rPr>
          <w:rFonts w:ascii="方正仿宋简体" w:eastAsia="方正仿宋简体" w:cs="方正仿宋简体" w:hAnsi="方正仿宋简体" w:hint="eastAsia"/>
          <w:sz w:val="32"/>
          <w:szCs w:val="32"/>
          <w:lang w:val="en-US" w:eastAsia="zh-CN"/>
        </w:rPr>
        <w:t>8.56</w:t>
      </w:r>
      <w:r>
        <w:rPr>
          <w:rFonts w:ascii="方正仿宋简体" w:eastAsia="方正仿宋简体" w:cs="方正仿宋简体" w:hAnsi="方正仿宋简体" w:hint="eastAsia"/>
          <w:sz w:val="32"/>
          <w:szCs w:val="32"/>
          <w:lang w:val="zh-CN"/>
        </w:rPr>
        <w:t>万元、区级11</w:t>
      </w:r>
      <w:r>
        <w:rPr>
          <w:rFonts w:ascii="方正仿宋简体" w:eastAsia="方正仿宋简体" w:cs="方正仿宋简体" w:hAnsi="方正仿宋简体" w:hint="eastAsia"/>
          <w:sz w:val="32"/>
          <w:szCs w:val="32"/>
        </w:rPr>
        <w:t>.00</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val="zh-CN"/>
        </w:rPr>
        <w:t>．资金使用：广元市利州区雪峰社区卫生服务中心收到 2020年基层医疗卫生机构实施基本药物制度项目补助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万元，并根据中心2020年1-12月基本药物网采购入库总量进行分配，并对中心实施基本药物制度绩效考核工作的组织实施进行监督管理。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（三）项目财务管理情况。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支出管理规范，资金管理制度较为完善，会计核算和账务处理规范，会计资料完整真实。</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三、项目实施及管理情况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 2020年基层医疗卫生机构实施基本药物制度补助</w:t>
      </w:r>
      <w:r>
        <w:rPr>
          <w:rFonts w:ascii="方正仿宋简体" w:eastAsia="方正仿宋简体" w:cs="方正仿宋简体" w:hAnsi="方正仿宋简体" w:hint="eastAsia"/>
          <w:sz w:val="32"/>
          <w:szCs w:val="32"/>
          <w:lang w:val="en-US" w:eastAsia="zh-CN"/>
        </w:rPr>
        <w:t>38.07</w:t>
      </w:r>
      <w:r>
        <w:rPr>
          <w:rFonts w:ascii="方正仿宋简体" w:eastAsia="方正仿宋简体" w:cs="方正仿宋简体" w:hAnsi="方正仿宋简体" w:hint="eastAsia"/>
          <w:sz w:val="32"/>
          <w:szCs w:val="32"/>
          <w:lang w:val="zh-CN"/>
        </w:rPr>
        <w:t>万元，并根据中心2020年1-12月基本药物网采购入库总量进行分配。并对中心实施基本药物制度绩效考核工作的组织实施进行监督管理。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（一）项目组织架构及实施流程。</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成立了中心实施基本药物制度工作小组，由分管医疗业务副主任任组长，医务科、药剂科、病区主任、财务科、信息统计科、免疫规划、廉勤监督委负责人为成员，负责基本药物的网上采购、入库验收、零差价价格复核销售工作、信息统计上报等管理工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中心认真贯彻执行国家基本药物制度的各项规章制度，严格执行基本药物的网上采购政策、对配送企业认真审查相关资质，网采药物配送来中心后认真进行入库验收和零差价销售价格复核工作，保障就诊患者权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（三）项目监管情况。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中心党支部、廉勤监督委和聘请的行风监督员不定期对基本药物网采、使用和零差价销售工作情况进行全程监督，中心定期行风建设座谈会，广泛听取病员（家属）代表、配送企业代表、行风监督员、居民代表等的意见和建议，切实改进工作方法，提升服务满意度</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四、项目绩效情况</w:t>
      </w:r>
      <w:r>
        <w:rPr>
          <w:rFonts w:ascii="方正黑体简体" w:eastAsia="方正黑体简体" w:cs="方正黑体简体" w:hAnsi="方正黑体简体" w:hint="eastAsia"/>
          <w:sz w:val="32"/>
          <w:szCs w:val="32"/>
          <w:lang w:val="zh-CN"/>
        </w:rPr>
        <w:tab/>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较好的完成了项目年度绩效目标，通过实施基本药物制度财政项目，弥补了中心实施基本药物制度后药品零差率销售损失的药品利润，确保了中心正常运转和医务人员合理待遇不降低，进一步完善了中心实施基本药物制度的管理工作；保证广大群众用药安全，使药品价格得到合理有效控制，降低城乡居民基本用药负担，提高人民群众健康水平，降低老百姓的就医成本，有效缓解了群众“看病难，看病贵”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（二）项目效益情况。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通过实施基本药物制度财政项目，降低患者的医疗费用，保证药品安全、有效、经济，群众的满意度提高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五、评价结论及建议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（一）评价结论。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实施国家基本药物制度涉及面广、工作难度大，为使中心卫生技术人员更全面、更准确地掌握实施国家基本药物制度规范要求，让广大群众主动参与到工作中来，成立项目绩效考核领导小组，完善了相关管理督查制度，最大限度的将利州区实施国家基本药物制度项目运行好，让广大城乡居民得到实惠，在降低城乡居民就医药品费用和减少就医支出上收到了较好的效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（二）存在的问题。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1.国家基本药物目录内部份药品与基层临床医疗需求不适应、药品目录品种偏少。</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2.省级基本药物采购平台现行目录药品不能满足特殊人需求。很多廉价基药品种厂家已经不生产，一直处于缺货状态，一些疗效好、价格低的药品在省级基本药物采购平台上无法采购。</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3.我中心地处市城区，慢性病患者在大医院看病后所用药物档次高，在基层因受药品品种限制，不能满足慢病患者需求。</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（三）相关建议。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1.加强医务工作人员的业务学习培训，提升服务能力。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2.加大资金监管力度，严格资金使用与管理，充分发挥资金的使用效益。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3.制定科学完善的考核机制，加强项目资金管理，提高资金使用率。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4.基药目录定期增补，不断增加药品种类，考虑医生用药习惯及患者要求。</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Style w:val="16"/>
        <w:rPr>
          <w:rFonts w:hint="eastAsia"/>
        </w:rPr>
      </w:pPr>
    </w:p>
    <w:p>
      <w:pPr>
        <w:spacing w:line="600" w:lineRule="exact"/>
        <w:rPr>
          <w:rFonts w:ascii="方正小标宋简体" w:eastAsia="方正小标宋简体" w:hAnsi="宋体" w:hint="eastAsia"/>
          <w:color w:val="000000"/>
          <w:kern w:val="0"/>
          <w:sz w:val="44"/>
          <w:szCs w:val="44"/>
        </w:rPr>
      </w:pPr>
    </w:p>
    <w:p>
      <w:pPr>
        <w:spacing w:line="600" w:lineRule="exact"/>
        <w:jc w:val="left"/>
        <w:outlineLvl w:val="0"/>
        <w:rPr>
          <w:rFonts w:ascii="方正黑体简体" w:eastAsia="方正黑体简体" w:cs="方正黑体简体" w:hAnsi="方正黑体简体" w:hint="eastAsia"/>
          <w:sz w:val="32"/>
          <w:szCs w:val="32"/>
          <w:lang w:val="en-US" w:eastAsia="zh-CN"/>
        </w:rPr>
      </w:pPr>
      <w:r>
        <w:rPr>
          <w:rFonts w:ascii="方正黑体简体" w:eastAsia="方正黑体简体" w:cs="方正黑体简体" w:hAnsi="方正黑体简体" w:hint="eastAsia"/>
          <w:sz w:val="32"/>
          <w:szCs w:val="32"/>
        </w:rPr>
        <w:t>附件2</w:t>
      </w:r>
      <w:r>
        <w:rPr>
          <w:rFonts w:ascii="方正黑体简体" w:eastAsia="方正黑体简体" w:cs="方正黑体简体" w:hAnsi="方正黑体简体" w:hint="eastAsia"/>
          <w:sz w:val="32"/>
          <w:szCs w:val="32"/>
          <w:lang w:val="en-US" w:eastAsia="zh-CN"/>
        </w:rPr>
        <w:t>-2</w:t>
      </w:r>
    </w:p>
    <w:p>
      <w:pPr>
        <w:pStyle w:val="16"/>
        <w:rPr>
          <w:lang w:val="en-US" w:eastAsia="zh-CN"/>
        </w:rPr>
      </w:pPr>
    </w:p>
    <w:p>
      <w:pPr>
        <w:spacing w:line="600" w:lineRule="exact"/>
        <w:jc w:val="center"/>
        <w:rPr>
          <w:rFonts w:ascii="方正小标宋简体" w:eastAsia="方正小标宋简体" w:cs="Times New Roman" w:hAnsi="宋体" w:hint="eastAsia"/>
          <w:color w:val="000000"/>
          <w:kern w:val="0"/>
          <w:sz w:val="44"/>
          <w:szCs w:val="44"/>
          <w:lang w:val="zh-CN"/>
        </w:rPr>
      </w:pPr>
      <w:r>
        <w:rPr>
          <w:rFonts w:ascii="方正小标宋简体" w:eastAsia="方正小标宋简体" w:cs="Times New Roman" w:hAnsi="宋体" w:hint="eastAsia"/>
          <w:color w:val="000000"/>
          <w:kern w:val="0"/>
          <w:sz w:val="44"/>
          <w:szCs w:val="44"/>
        </w:rPr>
        <w:t>2020年基本公共卫生服务项目</w:t>
      </w:r>
      <w:r>
        <w:rPr>
          <w:rFonts w:ascii="方正小标宋简体" w:eastAsia="方正小标宋简体" w:cs="Times New Roman" w:hAnsi="宋体" w:hint="eastAsia"/>
          <w:color w:val="000000"/>
          <w:kern w:val="0"/>
          <w:sz w:val="44"/>
          <w:szCs w:val="44"/>
          <w:lang w:val="zh-CN"/>
        </w:rPr>
        <w:t>绩效评价报告</w:t>
      </w:r>
    </w:p>
    <w:p>
      <w:pPr>
        <w:spacing w:line="600" w:lineRule="exact"/>
        <w:rPr>
          <w:rFonts w:ascii="宋体" w:hAnsi="宋体"/>
          <w:sz w:val="32"/>
          <w:szCs w:val="32"/>
          <w:lang w:val="zh-CN"/>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项目概况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（一）项目基本情况。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该项目资金总投入</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万元。其中：中央补助</w:t>
      </w:r>
      <w:r>
        <w:rPr>
          <w:rFonts w:ascii="方正仿宋简体" w:eastAsia="方正仿宋简体" w:cs="方正仿宋简体" w:hAnsi="方正仿宋简体" w:hint="eastAsia"/>
          <w:sz w:val="32"/>
          <w:szCs w:val="32"/>
          <w:lang w:val="en-US" w:eastAsia="zh-CN"/>
        </w:rPr>
        <w:t>167.64</w:t>
      </w:r>
      <w:r>
        <w:rPr>
          <w:rFonts w:ascii="方正仿宋简体" w:eastAsia="方正仿宋简体" w:cs="方正仿宋简体" w:hAnsi="方正仿宋简体" w:hint="eastAsia"/>
          <w:sz w:val="32"/>
          <w:szCs w:val="32"/>
          <w:lang w:val="zh-CN"/>
        </w:rPr>
        <w:t>万元、省级补助</w:t>
      </w:r>
      <w:r>
        <w:rPr>
          <w:rFonts w:ascii="方正仿宋简体" w:eastAsia="方正仿宋简体" w:cs="方正仿宋简体" w:hAnsi="方正仿宋简体" w:hint="eastAsia"/>
          <w:sz w:val="32"/>
          <w:szCs w:val="32"/>
          <w:lang w:val="en-US" w:eastAsia="zh-CN"/>
        </w:rPr>
        <w:t>18.48</w:t>
      </w:r>
      <w:r>
        <w:rPr>
          <w:rFonts w:ascii="方正仿宋简体" w:eastAsia="方正仿宋简体" w:cs="方正仿宋简体" w:hAnsi="方正仿宋简体" w:hint="eastAsia"/>
          <w:sz w:val="32"/>
          <w:szCs w:val="32"/>
          <w:lang w:val="zh-CN"/>
        </w:rPr>
        <w:t>万元、市级补助</w:t>
      </w:r>
      <w:r>
        <w:rPr>
          <w:rFonts w:ascii="方正仿宋简体" w:eastAsia="方正仿宋简体" w:cs="方正仿宋简体" w:hAnsi="方正仿宋简体" w:hint="eastAsia"/>
          <w:sz w:val="32"/>
          <w:szCs w:val="32"/>
          <w:lang w:val="en-US" w:eastAsia="zh-CN"/>
        </w:rPr>
        <w:t>10.05</w:t>
      </w:r>
      <w:r>
        <w:rPr>
          <w:rFonts w:ascii="方正仿宋简体" w:eastAsia="方正仿宋简体" w:cs="方正仿宋简体" w:hAnsi="方正仿宋简体" w:hint="eastAsia"/>
          <w:sz w:val="32"/>
          <w:szCs w:val="32"/>
          <w:lang w:val="zh-CN"/>
        </w:rPr>
        <w:t>万元，区级补助</w:t>
      </w:r>
      <w:r>
        <w:rPr>
          <w:rFonts w:ascii="方正仿宋简体" w:eastAsia="方正仿宋简体" w:cs="方正仿宋简体" w:hAnsi="方正仿宋简体" w:hint="eastAsia"/>
          <w:sz w:val="32"/>
          <w:szCs w:val="32"/>
          <w:lang w:val="en-US" w:eastAsia="zh-CN"/>
        </w:rPr>
        <w:t>6.18</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（二）项目绩效目标。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1．项目主要内容。</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依据国家基本公共卫生服务规范（第三版），对城乡居民实施健康档案管理、健康教育服务、预防接种、儿童保健管理、孕产妇健康管理、慢性病患者健康管理、重性精神疾病健康管理、结核病患者健康管理、传染病及突发公共卫生事件报告和处理、卫生监督协管、中医药健康管理、提供避孕药具、健康素养促进行动等14项免费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2．项目应实现的具体绩效目标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免费向居民提供基本公共卫生服务，不断提高居民健康水平。</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通过实施以上14项服务，对影响居民健康的主要卫生问题实施干预，减少主要健康危险因素，有效和控制主要传染病及慢性病，使城乡居民逐步享有均等化的公共卫生服务。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3．分析评价申报内容是否与实际相符，申报目标是否合理可行。</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 2020年基本公共卫生服务项目补助</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万元，并根据中心2020年度开展基本公共卫生服务项目工作具体情况进行。并对中心实施基本公共卫生服务项目绩效考核工作的组织实施进行监督管理，中心对辖区内村卫生室进行年度考核。</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（三）项目自评步骤及方法。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通过预算执行情况、年度目标完成情况、绩效指标完成情况等，分别对一级指标、二级指标、三级指标完成情况进行绩效评价。</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rPr>
        <w:t>为进一步推进辖区基本公共卫生服务项目的规范开展，提高基本公共卫生服务水平，扎实有效实施国家基本公共卫生服务项目。依据《国家基本公共卫生服务规范（第三版）》、四川省卫生健康委员会基层卫生健康处关于对“优质服务基层行”推荐机构和社区医院试点机构采取随机双盲复核工作的通知、</w:t>
      </w:r>
      <w:r>
        <w:rPr>
          <w:rFonts w:ascii="方正仿宋简体" w:eastAsia="方正仿宋简体" w:cs="方正仿宋简体" w:hAnsi="方正仿宋简体" w:hint="eastAsia"/>
          <w:sz w:val="32"/>
          <w:szCs w:val="32"/>
          <w:lang w:val="zh-CN"/>
        </w:rPr>
        <w:t>《广元市利州区卫生健康局关于下达</w:t>
      </w:r>
      <w:r>
        <w:rPr>
          <w:rFonts w:ascii="方正仿宋简体" w:eastAsia="方正仿宋简体" w:cs="方正仿宋简体" w:hAnsi="方正仿宋简体" w:hint="eastAsia"/>
          <w:sz w:val="32"/>
          <w:szCs w:val="32"/>
        </w:rPr>
        <w:t>2020年公共卫生服务中央、省级补助资金和区级配套资金的通知</w:t>
      </w:r>
      <w:r>
        <w:rPr>
          <w:rFonts w:ascii="方正仿宋简体" w:eastAsia="方正仿宋简体" w:cs="方正仿宋简体" w:hAnsi="方正仿宋简体" w:hint="eastAsia"/>
          <w:sz w:val="32"/>
          <w:szCs w:val="32"/>
          <w:lang w:val="zh-CN"/>
        </w:rPr>
        <w:t>》等相关文件下达我中心实施基本公共卫生服务项目补助资金</w:t>
      </w:r>
      <w:r>
        <w:rPr>
          <w:rFonts w:ascii="方正仿宋简体" w:eastAsia="方正仿宋简体" w:cs="方正仿宋简体" w:hAnsi="方正仿宋简体" w:hint="eastAsia"/>
          <w:sz w:val="32"/>
          <w:szCs w:val="32"/>
        </w:rPr>
        <w:t>等文件精神对公共卫生服务项目执行情况进行分项评价考核，对发现存在的问题汇总为整改台账进行逐一整改。</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二、项目资金申报及使用情况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（一）项目资金申报及批复情况。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2020年中心实施基本公共卫生服务项目补助安排资金为</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万元，由</w:t>
      </w:r>
      <w:r>
        <w:rPr>
          <w:rFonts w:ascii="方正仿宋简体" w:eastAsia="方正仿宋简体" w:cs="方正仿宋简体" w:hAnsi="方正仿宋简体" w:hint="eastAsia"/>
          <w:sz w:val="32"/>
          <w:szCs w:val="32"/>
        </w:rPr>
        <w:t>《广元市利州区卫生健康局关于下达2020年公共卫生服务中央、省级补助资金和区级配套资金的通知》等相关文件下达中心实施基本公共卫生服务项目补助资金</w:t>
      </w:r>
      <w:r>
        <w:rPr>
          <w:rFonts w:ascii="方正仿宋简体" w:eastAsia="方正仿宋简体" w:cs="方正仿宋简体" w:hAnsi="方正仿宋简体" w:hint="eastAsia"/>
          <w:sz w:val="32"/>
          <w:szCs w:val="32"/>
          <w:lang w:val="zh-CN"/>
        </w:rPr>
        <w:t>386.43万元。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（二）资金使用情况。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val="zh-CN"/>
        </w:rPr>
        <w:t>．资金到位</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万元。其中中央补助</w:t>
      </w:r>
      <w:r>
        <w:rPr>
          <w:rFonts w:ascii="方正仿宋简体" w:eastAsia="方正仿宋简体" w:cs="方正仿宋简体" w:hAnsi="方正仿宋简体" w:hint="eastAsia"/>
          <w:sz w:val="32"/>
          <w:szCs w:val="32"/>
          <w:lang w:val="en-US" w:eastAsia="zh-CN"/>
        </w:rPr>
        <w:t>167.64</w:t>
      </w:r>
      <w:r>
        <w:rPr>
          <w:rFonts w:ascii="方正仿宋简体" w:eastAsia="方正仿宋简体" w:cs="方正仿宋简体" w:hAnsi="方正仿宋简体" w:hint="eastAsia"/>
          <w:sz w:val="32"/>
          <w:szCs w:val="32"/>
          <w:lang w:val="zh-CN"/>
        </w:rPr>
        <w:t>万元、省级补助</w:t>
      </w:r>
      <w:r>
        <w:rPr>
          <w:rFonts w:ascii="方正仿宋简体" w:eastAsia="方正仿宋简体" w:cs="方正仿宋简体" w:hAnsi="方正仿宋简体" w:hint="eastAsia"/>
          <w:sz w:val="32"/>
          <w:szCs w:val="32"/>
          <w:lang w:val="en-US" w:eastAsia="zh-CN"/>
        </w:rPr>
        <w:t>18.48</w:t>
      </w:r>
      <w:r>
        <w:rPr>
          <w:rFonts w:ascii="方正仿宋简体" w:eastAsia="方正仿宋简体" w:cs="方正仿宋简体" w:hAnsi="方正仿宋简体" w:hint="eastAsia"/>
          <w:sz w:val="32"/>
          <w:szCs w:val="32"/>
          <w:lang w:val="zh-CN"/>
        </w:rPr>
        <w:t>万元、市级补助</w:t>
      </w:r>
      <w:r>
        <w:rPr>
          <w:rFonts w:ascii="方正仿宋简体" w:eastAsia="方正仿宋简体" w:cs="方正仿宋简体" w:hAnsi="方正仿宋简体" w:hint="eastAsia"/>
          <w:sz w:val="32"/>
          <w:szCs w:val="32"/>
          <w:lang w:val="en-US" w:eastAsia="zh-CN"/>
        </w:rPr>
        <w:t>10.05</w:t>
      </w:r>
      <w:r>
        <w:rPr>
          <w:rFonts w:ascii="方正仿宋简体" w:eastAsia="方正仿宋简体" w:cs="方正仿宋简体" w:hAnsi="方正仿宋简体" w:hint="eastAsia"/>
          <w:sz w:val="32"/>
          <w:szCs w:val="32"/>
          <w:lang w:val="zh-CN"/>
        </w:rPr>
        <w:t>万元，区级</w:t>
      </w:r>
      <w:r>
        <w:rPr>
          <w:rFonts w:ascii="方正仿宋简体" w:eastAsia="方正仿宋简体" w:cs="方正仿宋简体" w:hAnsi="方正仿宋简体" w:hint="eastAsia"/>
          <w:sz w:val="32"/>
          <w:szCs w:val="32"/>
          <w:lang w:val="en-US" w:eastAsia="zh-CN"/>
        </w:rPr>
        <w:t>6.18</w:t>
      </w:r>
      <w:r>
        <w:rPr>
          <w:rFonts w:ascii="方正仿宋简体" w:eastAsia="方正仿宋简体" w:cs="方正仿宋简体" w:hAnsi="方正仿宋简体" w:hint="eastAsia"/>
          <w:sz w:val="32"/>
          <w:szCs w:val="32"/>
          <w:lang w:val="zh-CN"/>
        </w:rPr>
        <w:t>万元。</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val="zh-CN"/>
        </w:rPr>
        <w:t>．资金使用：广元市利州区雪峰社区卫生服务中心收到 2020年基本公共卫生服务项目补助</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万元，资金使用根据四川省基本公共卫生服务补助资金管理办法及中心基本公共卫生服务项目资金管理使用制度等进行，并对中心实施基本公共卫生服务项目绩效考核工作的组织实施进行监督管理。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（三）项目财务管理情况。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该项目资金按各项目具体工作量及成本等进行测算，严格按照完成的数量、质量及考核结果拨付到各项目实施单位。项目资金实行专账管理，专款专用。</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三、项目实施及管理情况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广元市利州区雪峰社区卫生服务中心收到2020年基本公共卫生服务项目补助</w:t>
      </w:r>
      <w:r>
        <w:rPr>
          <w:rFonts w:ascii="方正仿宋简体" w:eastAsia="方正仿宋简体" w:cs="方正仿宋简体" w:hAnsi="方正仿宋简体" w:hint="eastAsia"/>
          <w:sz w:val="32"/>
          <w:szCs w:val="32"/>
          <w:lang w:val="en-US" w:eastAsia="zh-CN"/>
        </w:rPr>
        <w:t>202.35</w:t>
      </w:r>
      <w:r>
        <w:rPr>
          <w:rFonts w:ascii="方正仿宋简体" w:eastAsia="方正仿宋简体" w:cs="方正仿宋简体" w:hAnsi="方正仿宋简体" w:hint="eastAsia"/>
          <w:sz w:val="32"/>
          <w:szCs w:val="32"/>
          <w:lang w:val="zh-CN"/>
        </w:rPr>
        <w:t>万元，资金使用根据四川省基本公共卫生服务补助资金管理办法及中心基本公共卫生服务项目资金管理使用制度等进行，并对中心实施基本公共卫生服务项目绩效考核工作的组织实施进行监督管理。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（一）项目组织架构及实施流程。</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在区卫健局的领导下、在区公卫指导中心、区疾控中心业务主管部门指导下及中心领导的大力支持下，2020年，</w:t>
      </w:r>
      <w:r>
        <w:rPr>
          <w:rFonts w:ascii="方正仿宋简体" w:eastAsia="方正仿宋简体" w:cs="方正仿宋简体" w:hAnsi="方正仿宋简体" w:hint="eastAsia"/>
          <w:sz w:val="32"/>
          <w:szCs w:val="32"/>
          <w:lang w:eastAsia="zh-CN"/>
        </w:rPr>
        <w:t>雪峰</w:t>
      </w:r>
      <w:r>
        <w:rPr>
          <w:rFonts w:ascii="方正仿宋简体" w:eastAsia="方正仿宋简体" w:cs="方正仿宋简体" w:hAnsi="方正仿宋简体" w:hint="eastAsia"/>
          <w:sz w:val="32"/>
          <w:szCs w:val="32"/>
        </w:rPr>
        <w:t>社区卫生服务中心严格按照《国家基本公共卫生服务规范（第三版）》，认真贯彻落实上级文件精神和要求，加强内部管理，充分调动公共卫生科人员工作积极性和主动性，完善相关制度，认真负责地开展各项基本公共卫生服务工作，取得了较好的效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中心努力构建“供给足、环境美、服务优、上下联、信息通、医防融”的新型社区卫生服务体系，实施好“优质服务基层行”行动计划，努力实现预防保健、疾病治疗和健康管理的有效融合。一是制度融合。为形成临床与公卫“两不误、两促进”工作体系，建立“医防融合”工作考核机制，将门诊服务、公共卫生服务、家庭医生签约服务三大项进行打包考核，对门诊就诊及住院患者要求建档、签约率分别达到80%和100%，按季度抽查并纳入绩效考核；二是队伍融合。由临床医生、护士、公卫人员等共同组成家庭医生团队，家庭医生签约服务工作可集中、分散进行，灵活机动选择。宣传义诊活动、慢病上门访视等工作以“团队方式”集中开展；基本医疗、门诊随访等工作可在各自岗位的日常工作中分散进行。同时家庭医生服务工作考核以“团队”为单位，各团队成员共享绩效考核好坏结果，形成一荣俱荣，一损俱损的团队精神氛围。三是工作融合。把握中心人群密集区，实现预防、发现、治疗、随访、健康管理的全周期全过程连续服务。全科诊疗与公共工作融合，对每一个就诊、咨询者均要求建档及签约，完成院内建档4056份，新增高血压399人，新增糖尿病149人，按规定进行相应人群的健康管理，切实提高群众的信赖度和依从性；儿童保健与儿科诊疗工作融合，通过儿童生长发育监测、儿童智力筛查、视力筛查、听力筛查等工作，推动儿童身高门诊、儿童睡眠门诊、儿童行为促进门诊的发展，结合儿童早教中心、妈妈课堂等，实现辖区儿童全方位的健康保障服务。四是信息融合。积极做好基本医疗、基本公卫以及家庭医生签约服务等系统数据的互联共享和实时更新，提高服务质量和效率，充分利用互联网与签约居民在线互动，帮助居民实现从“被动医疗”到“主动健康”，推动家庭医生签约服务工作重点向提质增效转变，为群众提供智能、高效的基本公共卫生、慢性病健康管理等家庭医生签约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丰富服务内涵，推进家医签约。</w:t>
      </w:r>
      <w:r>
        <w:rPr>
          <w:rFonts w:ascii="方正仿宋简体" w:eastAsia="方正仿宋简体" w:cs="方正仿宋简体" w:hAnsi="方正仿宋简体" w:hint="eastAsia"/>
          <w:sz w:val="32"/>
          <w:szCs w:val="32"/>
        </w:rPr>
        <w:t>结合中医、儿保等工作，大力推广各类有偿特色服务包，针对居民个体化定制，累计签约有偿服务包399人，获得居民一致好评。。</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（二）项目管理情况。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中心在院内醒目位置设置了《国家基本公共卫生服务项目》公示栏，印发了《国家基本公共卫生服务项目实施方案》，成立了《国家基本公共卫生服务项目工作领导小组》等。根据文件要求，切实做到专款、专用、专账管理，确保项目资金发挥最大的使用效益。</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（三）项目监管情况。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rPr>
        <w:t>中心严格按照《国家基本公共卫生服务规范（第三版）》要求，按照广元市利州区卫生健康局印发的《2020年度全区国家基本公共卫生服务项目实施方案》要求，认真贯彻落实上级文件精神和要求，加强内部管理，中心成立了以中心主任为组长的《国家基本公共卫生服务项目工作领导小组》，制定了《中心工作人员绩效考核实施方案》、《国家基本公共卫生服务项目绩效考核办法》等。充分调动公共卫生科人员工作积极性和主动性，完善相关制度，认真负责开展各项基本公共卫生服务项目工作。</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lang w:val="zh-CN"/>
        </w:rPr>
      </w:pPr>
      <w:r>
        <w:rPr>
          <w:rFonts w:ascii="方正黑体简体" w:eastAsia="方正黑体简体" w:cs="方正黑体简体" w:hAnsi="方正黑体简体" w:hint="eastAsia"/>
          <w:sz w:val="32"/>
          <w:szCs w:val="32"/>
        </w:rPr>
        <w:t>四、项目绩效情况</w:t>
      </w:r>
      <w:r>
        <w:rPr>
          <w:rFonts w:ascii="方正黑体简体" w:eastAsia="方正黑体简体" w:cs="方正黑体简体" w:hAnsi="方正黑体简体" w:hint="eastAsia"/>
          <w:sz w:val="32"/>
          <w:szCs w:val="32"/>
          <w:lang w:val="zh-CN"/>
        </w:rPr>
        <w:tab/>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（一）项目完成情况。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2020年基本公共卫生服务总体指标完成较好，均能完成评价指标，达到预期值。制定《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eastAsia="zh-CN"/>
        </w:rPr>
        <w:t>开展居民健康档案补建、复核、更新工作，已累计建立健康档案</w:t>
      </w:r>
      <w:r>
        <w:rPr>
          <w:rFonts w:ascii="方正仿宋简体" w:eastAsia="方正仿宋简体" w:cs="方正仿宋简体" w:hAnsi="方正仿宋简体" w:hint="eastAsia"/>
          <w:sz w:val="32"/>
          <w:szCs w:val="32"/>
          <w:lang w:val="en-US" w:eastAsia="zh-CN"/>
        </w:rPr>
        <w:t>29274</w:t>
      </w:r>
      <w:r>
        <w:rPr>
          <w:rFonts w:ascii="方正仿宋简体" w:eastAsia="方正仿宋简体" w:cs="方正仿宋简体" w:hAnsi="方正仿宋简体" w:hint="eastAsia"/>
          <w:sz w:val="32"/>
          <w:szCs w:val="32"/>
          <w:lang w:eastAsia="zh-CN"/>
        </w:rPr>
        <w:t>份，包括新建</w:t>
      </w:r>
      <w:r>
        <w:rPr>
          <w:rFonts w:ascii="方正仿宋简体" w:eastAsia="方正仿宋简体" w:cs="方正仿宋简体" w:hAnsi="方正仿宋简体" w:hint="eastAsia"/>
          <w:sz w:val="32"/>
          <w:szCs w:val="32"/>
          <w:lang w:val="en-US" w:eastAsia="zh-CN"/>
        </w:rPr>
        <w:t>4065</w:t>
      </w:r>
      <w:r>
        <w:rPr>
          <w:rFonts w:ascii="方正仿宋简体" w:eastAsia="方正仿宋简体" w:cs="方正仿宋简体" w:hAnsi="方正仿宋简体" w:hint="eastAsia"/>
          <w:sz w:val="32"/>
          <w:szCs w:val="32"/>
          <w:lang w:eastAsia="zh-CN"/>
        </w:rPr>
        <w:t>份、注销死亡档案</w:t>
      </w:r>
      <w:r>
        <w:rPr>
          <w:rFonts w:ascii="方正仿宋简体" w:eastAsia="方正仿宋简体" w:cs="方正仿宋简体" w:hAnsi="方正仿宋简体" w:hint="eastAsia"/>
          <w:sz w:val="32"/>
          <w:szCs w:val="32"/>
          <w:lang w:val="en-US" w:eastAsia="zh-CN"/>
        </w:rPr>
        <w:t>121</w:t>
      </w:r>
      <w:r>
        <w:rPr>
          <w:rFonts w:ascii="方正仿宋简体" w:eastAsia="方正仿宋简体" w:cs="方正仿宋简体" w:hAnsi="方正仿宋简体" w:hint="eastAsia"/>
          <w:sz w:val="32"/>
          <w:szCs w:val="32"/>
          <w:lang w:eastAsia="zh-CN"/>
        </w:rPr>
        <w:t>份；按照上级要求，清理身份证问题档案</w:t>
      </w:r>
      <w:r>
        <w:rPr>
          <w:rFonts w:ascii="方正仿宋简体" w:eastAsia="方正仿宋简体" w:cs="方正仿宋简体" w:hAnsi="方正仿宋简体" w:hint="eastAsia"/>
          <w:sz w:val="32"/>
          <w:szCs w:val="32"/>
          <w:lang w:val="en-US" w:eastAsia="zh-CN"/>
        </w:rPr>
        <w:t>2000余份，</w:t>
      </w:r>
      <w:r>
        <w:rPr>
          <w:rFonts w:ascii="方正仿宋简体" w:eastAsia="方正仿宋简体" w:cs="方正仿宋简体" w:hAnsi="方正仿宋简体" w:hint="eastAsia"/>
          <w:sz w:val="32"/>
          <w:szCs w:val="32"/>
          <w:lang w:eastAsia="zh-CN"/>
        </w:rPr>
        <w:t>新增高血压档案</w:t>
      </w:r>
      <w:r>
        <w:rPr>
          <w:rFonts w:ascii="方正仿宋简体" w:eastAsia="方正仿宋简体" w:cs="方正仿宋简体" w:hAnsi="方正仿宋简体" w:hint="eastAsia"/>
          <w:sz w:val="32"/>
          <w:szCs w:val="32"/>
          <w:lang w:val="en-US" w:eastAsia="zh-CN"/>
        </w:rPr>
        <w:t>399</w:t>
      </w:r>
      <w:r>
        <w:rPr>
          <w:rFonts w:ascii="方正仿宋简体" w:eastAsia="方正仿宋简体" w:cs="方正仿宋简体" w:hAnsi="方正仿宋简体" w:hint="eastAsia"/>
          <w:sz w:val="32"/>
          <w:szCs w:val="32"/>
          <w:lang w:eastAsia="zh-CN"/>
        </w:rPr>
        <w:t>份、糖尿病档案</w:t>
      </w:r>
      <w:r>
        <w:rPr>
          <w:rFonts w:ascii="方正仿宋简体" w:eastAsia="方正仿宋简体" w:cs="方正仿宋简体" w:hAnsi="方正仿宋简体" w:hint="eastAsia"/>
          <w:sz w:val="32"/>
          <w:szCs w:val="32"/>
          <w:lang w:val="en-US" w:eastAsia="zh-CN"/>
        </w:rPr>
        <w:t>149</w:t>
      </w:r>
      <w:r>
        <w:rPr>
          <w:rFonts w:ascii="方正仿宋简体" w:eastAsia="方正仿宋简体" w:cs="方正仿宋简体" w:hAnsi="方正仿宋简体" w:hint="eastAsia"/>
          <w:sz w:val="32"/>
          <w:szCs w:val="32"/>
          <w:lang w:eastAsia="zh-CN"/>
        </w:rPr>
        <w:t>份、重精档案</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lang w:eastAsia="zh-CN"/>
        </w:rPr>
        <w:t>份、老年人档案</w:t>
      </w:r>
      <w:r>
        <w:rPr>
          <w:rFonts w:ascii="方正仿宋简体" w:eastAsia="方正仿宋简体" w:cs="方正仿宋简体" w:hAnsi="方正仿宋简体" w:hint="eastAsia"/>
          <w:sz w:val="32"/>
          <w:szCs w:val="32"/>
          <w:lang w:val="en-US" w:eastAsia="zh-CN"/>
        </w:rPr>
        <w:t>451</w:t>
      </w:r>
      <w:r>
        <w:rPr>
          <w:rFonts w:ascii="方正仿宋简体" w:eastAsia="方正仿宋简体" w:cs="方正仿宋简体" w:hAnsi="方正仿宋简体" w:hint="eastAsia"/>
          <w:sz w:val="32"/>
          <w:szCs w:val="32"/>
          <w:lang w:eastAsia="zh-CN"/>
        </w:rPr>
        <w:t>份。全年共开展健康教育讲座</w:t>
      </w:r>
      <w:r>
        <w:rPr>
          <w:rFonts w:ascii="方正仿宋简体" w:eastAsia="方正仿宋简体" w:cs="方正仿宋简体" w:hAnsi="方正仿宋简体" w:hint="eastAsia"/>
          <w:sz w:val="32"/>
          <w:szCs w:val="32"/>
          <w:lang w:val="en-US" w:eastAsia="zh-CN"/>
        </w:rPr>
        <w:t>11</w:t>
      </w:r>
      <w:r>
        <w:rPr>
          <w:rFonts w:ascii="方正仿宋简体" w:eastAsia="方正仿宋简体" w:cs="方正仿宋简体" w:hAnsi="方正仿宋简体" w:hint="eastAsia"/>
          <w:sz w:val="32"/>
          <w:szCs w:val="32"/>
          <w:lang w:eastAsia="zh-CN"/>
        </w:rPr>
        <w:t>次，共累计受益人</w:t>
      </w:r>
      <w:r>
        <w:rPr>
          <w:rFonts w:ascii="方正仿宋简体" w:eastAsia="方正仿宋简体" w:cs="方正仿宋简体" w:hAnsi="方正仿宋简体" w:hint="eastAsia"/>
          <w:sz w:val="32"/>
          <w:szCs w:val="32"/>
          <w:lang w:val="en-US" w:eastAsia="zh-CN"/>
        </w:rPr>
        <w:t>558余人次</w:t>
      </w:r>
      <w:r>
        <w:rPr>
          <w:rFonts w:ascii="方正仿宋简体" w:eastAsia="方正仿宋简体" w:cs="方正仿宋简体" w:hAnsi="方正仿宋简体" w:hint="eastAsia"/>
          <w:sz w:val="32"/>
          <w:szCs w:val="32"/>
          <w:lang w:eastAsia="zh-CN"/>
        </w:rPr>
        <w:t>；制作并更换宣传栏共6期，受益人共</w:t>
      </w:r>
      <w:r>
        <w:rPr>
          <w:rFonts w:ascii="方正仿宋简体" w:eastAsia="方正仿宋简体" w:cs="方正仿宋简体" w:hAnsi="方正仿宋简体" w:hint="eastAsia"/>
          <w:sz w:val="32"/>
          <w:szCs w:val="32"/>
          <w:lang w:val="en-US" w:eastAsia="zh-CN"/>
        </w:rPr>
        <w:t>71500</w:t>
      </w:r>
      <w:r>
        <w:rPr>
          <w:rFonts w:ascii="方正仿宋简体" w:eastAsia="方正仿宋简体" w:cs="方正仿宋简体" w:hAnsi="方正仿宋简体" w:hint="eastAsia"/>
          <w:sz w:val="32"/>
          <w:szCs w:val="32"/>
          <w:lang w:eastAsia="zh-CN"/>
        </w:rPr>
        <w:t>人次；组织健康教育宣传咨询活动共计</w:t>
      </w:r>
      <w:r>
        <w:rPr>
          <w:rFonts w:ascii="方正仿宋简体" w:eastAsia="方正仿宋简体" w:cs="方正仿宋简体" w:hAnsi="方正仿宋简体" w:hint="eastAsia"/>
          <w:sz w:val="32"/>
          <w:szCs w:val="32"/>
          <w:lang w:val="en-US" w:eastAsia="zh-CN"/>
        </w:rPr>
        <w:t>20次</w:t>
      </w:r>
      <w:r>
        <w:rPr>
          <w:rFonts w:ascii="方正仿宋简体" w:eastAsia="方正仿宋简体" w:cs="方正仿宋简体" w:hAnsi="方正仿宋简体" w:hint="eastAsia"/>
          <w:sz w:val="32"/>
          <w:szCs w:val="32"/>
          <w:lang w:eastAsia="zh-CN"/>
        </w:rPr>
        <w:t>，现场咨询累计</w:t>
      </w:r>
      <w:r>
        <w:rPr>
          <w:rFonts w:ascii="方正仿宋简体" w:eastAsia="方正仿宋简体" w:cs="方正仿宋简体" w:hAnsi="方正仿宋简体" w:hint="eastAsia"/>
          <w:sz w:val="32"/>
          <w:szCs w:val="32"/>
          <w:lang w:val="en-US" w:eastAsia="zh-CN"/>
        </w:rPr>
        <w:t>3833</w:t>
      </w:r>
      <w:r>
        <w:rPr>
          <w:rFonts w:ascii="方正仿宋简体" w:eastAsia="方正仿宋简体" w:cs="方正仿宋简体" w:hAnsi="方正仿宋简体" w:hint="eastAsia"/>
          <w:sz w:val="32"/>
          <w:szCs w:val="32"/>
          <w:lang w:eastAsia="zh-CN"/>
        </w:rPr>
        <w:t>人次；全年累计发放各种宣传材料</w:t>
      </w:r>
      <w:r>
        <w:rPr>
          <w:rFonts w:ascii="方正仿宋简体" w:eastAsia="方正仿宋简体" w:cs="方正仿宋简体" w:hAnsi="方正仿宋简体" w:hint="eastAsia"/>
          <w:sz w:val="32"/>
          <w:szCs w:val="32"/>
          <w:lang w:val="en-US" w:eastAsia="zh-CN"/>
        </w:rPr>
        <w:t>22315余</w:t>
      </w:r>
      <w:r>
        <w:rPr>
          <w:rFonts w:ascii="方正仿宋简体" w:eastAsia="方正仿宋简体" w:cs="方正仿宋简体" w:hAnsi="方正仿宋简体" w:hint="eastAsia"/>
          <w:sz w:val="32"/>
          <w:szCs w:val="32"/>
          <w:lang w:eastAsia="zh-CN"/>
        </w:rPr>
        <w:t>份。</w:t>
      </w:r>
      <w:r>
        <w:rPr>
          <w:rFonts w:ascii="方正仿宋简体" w:eastAsia="方正仿宋简体" w:cs="方正仿宋简体" w:hAnsi="方正仿宋简体" w:hint="eastAsia"/>
          <w:sz w:val="32"/>
          <w:szCs w:val="32"/>
          <w:lang w:val="en-US" w:eastAsia="zh-CN"/>
        </w:rPr>
        <w:t>在中心一楼大厅、二楼预防接种留观区、三楼门诊输液厅累计</w:t>
      </w:r>
      <w:r>
        <w:rPr>
          <w:rFonts w:ascii="方正仿宋简体" w:eastAsia="方正仿宋简体" w:cs="方正仿宋简体" w:hAnsi="方正仿宋简体" w:hint="eastAsia"/>
          <w:sz w:val="32"/>
          <w:szCs w:val="32"/>
          <w:lang w:eastAsia="zh-CN"/>
        </w:rPr>
        <w:t>播放健康教育音影资料共</w:t>
      </w:r>
      <w:r>
        <w:rPr>
          <w:rFonts w:ascii="方正仿宋简体" w:eastAsia="方正仿宋简体" w:cs="方正仿宋简体" w:hAnsi="方正仿宋简体" w:hint="eastAsia"/>
          <w:sz w:val="32"/>
          <w:szCs w:val="32"/>
          <w:lang w:val="en-US" w:eastAsia="zh-CN"/>
        </w:rPr>
        <w:t>2146</w:t>
      </w:r>
      <w:r>
        <w:rPr>
          <w:rFonts w:ascii="方正仿宋简体" w:eastAsia="方正仿宋简体" w:cs="方正仿宋简体" w:hAnsi="方正仿宋简体" w:hint="eastAsia"/>
          <w:sz w:val="32"/>
          <w:szCs w:val="32"/>
          <w:lang w:eastAsia="zh-CN"/>
        </w:rPr>
        <w:t>小时。儿童接种卡建卡</w:t>
      </w:r>
      <w:r>
        <w:rPr>
          <w:rFonts w:ascii="方正仿宋简体" w:eastAsia="方正仿宋简体" w:cs="方正仿宋简体" w:hAnsi="方正仿宋简体" w:hint="eastAsia"/>
          <w:sz w:val="32"/>
          <w:szCs w:val="32"/>
          <w:lang w:val="en-US" w:eastAsia="zh-CN"/>
        </w:rPr>
        <w:t>525</w:t>
      </w:r>
      <w:r>
        <w:rPr>
          <w:rFonts w:ascii="方正仿宋简体" w:eastAsia="方正仿宋简体" w:cs="方正仿宋简体" w:hAnsi="方正仿宋简体" w:hint="eastAsia"/>
          <w:sz w:val="32"/>
          <w:szCs w:val="32"/>
          <w:lang w:eastAsia="zh-CN"/>
        </w:rPr>
        <w:t>人，建卡率100%。接种一类疫苗</w:t>
      </w:r>
      <w:r>
        <w:rPr>
          <w:rFonts w:ascii="方正仿宋简体" w:eastAsia="方正仿宋简体" w:cs="方正仿宋简体" w:hAnsi="方正仿宋简体" w:hint="eastAsia"/>
          <w:sz w:val="32"/>
          <w:szCs w:val="32"/>
          <w:lang w:val="en-US" w:eastAsia="zh-CN"/>
        </w:rPr>
        <w:t>15036</w:t>
      </w:r>
      <w:r>
        <w:rPr>
          <w:rFonts w:ascii="方正仿宋简体" w:eastAsia="方正仿宋简体" w:cs="方正仿宋简体" w:hAnsi="方正仿宋简体" w:hint="eastAsia"/>
          <w:sz w:val="32"/>
          <w:szCs w:val="32"/>
          <w:lang w:eastAsia="zh-CN"/>
        </w:rPr>
        <w:t>剂次，接种二类疫苗</w:t>
      </w:r>
      <w:r>
        <w:rPr>
          <w:rFonts w:ascii="方正仿宋简体" w:eastAsia="方正仿宋简体" w:cs="方正仿宋简体" w:hAnsi="方正仿宋简体" w:hint="eastAsia"/>
          <w:sz w:val="32"/>
          <w:szCs w:val="32"/>
          <w:lang w:val="en-US" w:eastAsia="zh-CN"/>
        </w:rPr>
        <w:t>18510</w:t>
      </w:r>
      <w:r>
        <w:rPr>
          <w:rFonts w:ascii="方正仿宋简体" w:eastAsia="方正仿宋简体" w:cs="方正仿宋简体" w:hAnsi="方正仿宋简体" w:hint="eastAsia"/>
          <w:sz w:val="32"/>
          <w:szCs w:val="32"/>
          <w:lang w:eastAsia="zh-CN"/>
        </w:rPr>
        <w:t>剂次，乙肝接种率</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%，卡介苗接种率是</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%，脊灰接种率9</w:t>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lang w:eastAsia="zh-CN"/>
        </w:rPr>
        <w:t>%，百白破9</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lang w:eastAsia="zh-CN"/>
        </w:rPr>
        <w:t>%，麻腮风</w:t>
      </w:r>
      <w:r>
        <w:rPr>
          <w:rFonts w:ascii="方正仿宋简体" w:eastAsia="方正仿宋简体" w:cs="方正仿宋简体" w:hAnsi="方正仿宋简体" w:hint="eastAsia"/>
          <w:sz w:val="32"/>
          <w:szCs w:val="32"/>
          <w:lang w:val="en-US" w:eastAsia="zh-CN"/>
        </w:rPr>
        <w:t>91.74</w:t>
      </w:r>
      <w:r>
        <w:rPr>
          <w:rFonts w:ascii="方正仿宋简体" w:eastAsia="方正仿宋简体" w:cs="方正仿宋简体" w:hAnsi="方正仿宋简体" w:hint="eastAsia"/>
          <w:sz w:val="32"/>
          <w:szCs w:val="32"/>
          <w:lang w:eastAsia="zh-CN"/>
        </w:rPr>
        <w:t>%，A群9</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%，麻风9</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%，甲肝</w:t>
      </w:r>
      <w:r>
        <w:rPr>
          <w:rFonts w:ascii="方正仿宋简体" w:eastAsia="方正仿宋简体" w:cs="方正仿宋简体" w:hAnsi="方正仿宋简体" w:hint="eastAsia"/>
          <w:sz w:val="32"/>
          <w:szCs w:val="32"/>
          <w:lang w:val="en-US" w:eastAsia="zh-CN"/>
        </w:rPr>
        <w:t>97</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通过</w:t>
      </w:r>
      <w:r>
        <w:rPr>
          <w:rFonts w:ascii="方正仿宋简体" w:eastAsia="方正仿宋简体" w:cs="方正仿宋简体" w:hAnsi="方正仿宋简体" w:hint="eastAsia"/>
          <w:sz w:val="32"/>
          <w:szCs w:val="32"/>
          <w:lang w:eastAsia="zh-CN"/>
        </w:rPr>
        <w:t>新生入托入学预防接种证查验及系统搜索进行查漏补种，共查验儿童</w:t>
      </w:r>
      <w:r>
        <w:rPr>
          <w:rFonts w:ascii="方正仿宋简体" w:eastAsia="方正仿宋简体" w:cs="方正仿宋简体" w:hAnsi="方正仿宋简体" w:hint="eastAsia"/>
          <w:sz w:val="32"/>
          <w:szCs w:val="32"/>
          <w:lang w:val="en-US" w:eastAsia="zh-CN"/>
        </w:rPr>
        <w:t>23842人次，需补种1380人，已补种1256人，补种率达到91%。</w:t>
      </w:r>
      <w:r>
        <w:rPr>
          <w:rFonts w:ascii="方正仿宋简体" w:eastAsia="方正仿宋简体" w:cs="方正仿宋简体" w:hAnsi="方正仿宋简体" w:hint="eastAsia"/>
          <w:sz w:val="32"/>
          <w:szCs w:val="32"/>
          <w:lang w:eastAsia="zh-CN"/>
        </w:rPr>
        <w:t>成人接种</w:t>
      </w:r>
      <w:r>
        <w:rPr>
          <w:rFonts w:ascii="方正仿宋简体" w:eastAsia="方正仿宋简体" w:cs="方正仿宋简体" w:hAnsi="方正仿宋简体" w:hint="eastAsia"/>
          <w:sz w:val="32"/>
          <w:szCs w:val="32"/>
          <w:lang w:val="en-US" w:eastAsia="zh-CN"/>
        </w:rPr>
        <w:t>2000人次；建立了大环境相对安全的免疫屏障，</w:t>
      </w:r>
      <w:r>
        <w:rPr>
          <w:rFonts w:ascii="方正仿宋简体" w:eastAsia="方正仿宋简体" w:cs="方正仿宋简体" w:hAnsi="方正仿宋简体" w:hint="eastAsia"/>
          <w:sz w:val="32"/>
          <w:szCs w:val="32"/>
          <w:lang w:eastAsia="zh-CN"/>
        </w:rPr>
        <w:t>确保了我辖区内无疫苗预防相关疾病的发生。在儿童健康管理方面</w:t>
      </w:r>
      <w:r>
        <w:rPr>
          <w:rFonts w:ascii="方正仿宋简体" w:eastAsia="方正仿宋简体" w:cs="方正仿宋简体" w:hAnsi="方正仿宋简体" w:hint="eastAsia"/>
          <w:sz w:val="32"/>
          <w:szCs w:val="32"/>
          <w:lang w:val="en-US" w:eastAsia="zh-CN"/>
        </w:rPr>
        <w:t>累计建立</w:t>
      </w:r>
      <w:r>
        <w:rPr>
          <w:rFonts w:ascii="方正仿宋简体" w:eastAsia="方正仿宋简体" w:cs="方正仿宋简体" w:hAnsi="方正仿宋简体" w:hint="eastAsia"/>
          <w:sz w:val="32"/>
          <w:szCs w:val="32"/>
          <w:lang w:eastAsia="zh-CN"/>
        </w:rPr>
        <w:t>0-6岁儿童健康档案</w:t>
      </w:r>
      <w:r>
        <w:rPr>
          <w:rFonts w:ascii="方正仿宋简体" w:eastAsia="方正仿宋简体" w:cs="方正仿宋简体" w:hAnsi="方正仿宋简体" w:hint="eastAsia"/>
          <w:sz w:val="32"/>
          <w:szCs w:val="32"/>
          <w:lang w:val="en-US" w:eastAsia="zh-CN"/>
        </w:rPr>
        <w:t>3216</w:t>
      </w:r>
      <w:r>
        <w:rPr>
          <w:rFonts w:ascii="方正仿宋简体" w:eastAsia="方正仿宋简体" w:cs="方正仿宋简体" w:hAnsi="方正仿宋简体" w:hint="eastAsia"/>
          <w:sz w:val="32"/>
          <w:szCs w:val="32"/>
          <w:lang w:eastAsia="zh-CN"/>
        </w:rPr>
        <w:t>份，按要求进行</w:t>
      </w:r>
      <w:r>
        <w:rPr>
          <w:rFonts w:ascii="方正仿宋简体" w:eastAsia="方正仿宋简体" w:cs="方正仿宋简体" w:hAnsi="方正仿宋简体" w:hint="eastAsia"/>
          <w:sz w:val="32"/>
          <w:szCs w:val="32"/>
          <w:lang w:val="en-US" w:eastAsia="zh-CN"/>
        </w:rPr>
        <w:t>健康管理3087人，</w:t>
      </w:r>
      <w:r>
        <w:rPr>
          <w:rFonts w:ascii="方正仿宋简体" w:eastAsia="方正仿宋简体" w:cs="方正仿宋简体" w:hAnsi="方正仿宋简体" w:hint="eastAsia"/>
          <w:sz w:val="32"/>
          <w:szCs w:val="32"/>
          <w:lang w:eastAsia="zh-CN"/>
        </w:rPr>
        <w:t>管理</w:t>
      </w:r>
      <w:r>
        <w:rPr>
          <w:rFonts w:ascii="方正仿宋简体" w:eastAsia="方正仿宋简体" w:cs="方正仿宋简体" w:hAnsi="方正仿宋简体" w:hint="eastAsia"/>
          <w:sz w:val="32"/>
          <w:szCs w:val="32"/>
          <w:lang w:val="en-US" w:eastAsia="zh-CN"/>
        </w:rPr>
        <w:t xml:space="preserve">率达96% </w:t>
      </w:r>
      <w:r>
        <w:rPr>
          <w:rFonts w:ascii="方正仿宋简体" w:eastAsia="方正仿宋简体" w:cs="方正仿宋简体" w:hAnsi="方正仿宋简体" w:hint="eastAsia"/>
          <w:sz w:val="32"/>
          <w:szCs w:val="32"/>
          <w:lang w:eastAsia="zh-CN"/>
        </w:rPr>
        <w:t>；全年出生儿童</w:t>
      </w:r>
      <w:r>
        <w:rPr>
          <w:rFonts w:ascii="方正仿宋简体" w:eastAsia="方正仿宋简体" w:cs="方正仿宋简体" w:hAnsi="方正仿宋简体" w:hint="eastAsia"/>
          <w:sz w:val="32"/>
          <w:szCs w:val="32"/>
          <w:lang w:val="en-US" w:eastAsia="zh-CN"/>
        </w:rPr>
        <w:t>475</w:t>
      </w:r>
      <w:r>
        <w:rPr>
          <w:rFonts w:ascii="方正仿宋简体" w:eastAsia="方正仿宋简体" w:cs="方正仿宋简体" w:hAnsi="方正仿宋简体" w:hint="eastAsia"/>
          <w:sz w:val="32"/>
          <w:szCs w:val="32"/>
          <w:lang w:eastAsia="zh-CN"/>
        </w:rPr>
        <w:t>人，新生儿访视</w:t>
      </w:r>
      <w:r>
        <w:rPr>
          <w:rFonts w:ascii="方正仿宋简体" w:eastAsia="方正仿宋简体" w:cs="方正仿宋简体" w:hAnsi="方正仿宋简体" w:hint="eastAsia"/>
          <w:sz w:val="32"/>
          <w:szCs w:val="32"/>
          <w:lang w:val="en-US" w:eastAsia="zh-CN"/>
        </w:rPr>
        <w:t>456</w:t>
      </w:r>
      <w:r>
        <w:rPr>
          <w:rFonts w:ascii="方正仿宋简体" w:eastAsia="方正仿宋简体" w:cs="方正仿宋简体" w:hAnsi="方正仿宋简体" w:hint="eastAsia"/>
          <w:sz w:val="32"/>
          <w:szCs w:val="32"/>
          <w:lang w:eastAsia="zh-CN"/>
        </w:rPr>
        <w:t>人，新生儿访视率9</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lang w:eastAsia="zh-CN"/>
        </w:rPr>
        <w:t>%，。对</w:t>
      </w:r>
      <w:r>
        <w:rPr>
          <w:rFonts w:ascii="方正仿宋简体" w:eastAsia="方正仿宋简体" w:cs="方正仿宋简体" w:hAnsi="方正仿宋简体" w:hint="eastAsia"/>
          <w:sz w:val="32"/>
          <w:szCs w:val="32"/>
          <w:lang w:val="en-US" w:eastAsia="zh-CN"/>
        </w:rPr>
        <w:t>19</w:t>
      </w:r>
      <w:r>
        <w:rPr>
          <w:rFonts w:ascii="方正仿宋简体" w:eastAsia="方正仿宋简体" w:cs="方正仿宋简体" w:hAnsi="方正仿宋简体" w:hint="eastAsia"/>
          <w:sz w:val="32"/>
          <w:szCs w:val="32"/>
          <w:lang w:eastAsia="zh-CN"/>
        </w:rPr>
        <w:t>名体弱儿进行专案管理；发放了婴幼儿辅食营养包</w:t>
      </w:r>
      <w:r>
        <w:rPr>
          <w:rFonts w:ascii="方正仿宋简体" w:eastAsia="方正仿宋简体" w:cs="方正仿宋简体" w:hAnsi="方正仿宋简体" w:hint="eastAsia"/>
          <w:sz w:val="32"/>
          <w:szCs w:val="32"/>
          <w:lang w:val="en-US" w:eastAsia="zh-CN"/>
        </w:rPr>
        <w:t>392人</w:t>
      </w:r>
      <w:r>
        <w:rPr>
          <w:rFonts w:ascii="方正仿宋简体" w:eastAsia="方正仿宋简体" w:cs="方正仿宋简体" w:hAnsi="方正仿宋简体" w:hint="eastAsia"/>
          <w:sz w:val="32"/>
          <w:szCs w:val="32"/>
          <w:lang w:eastAsia="zh-CN"/>
        </w:rPr>
        <w:t>，共计</w:t>
      </w:r>
      <w:r>
        <w:rPr>
          <w:rFonts w:ascii="方正仿宋简体" w:eastAsia="方正仿宋简体" w:cs="方正仿宋简体" w:hAnsi="方正仿宋简体" w:hint="eastAsia"/>
          <w:sz w:val="32"/>
          <w:szCs w:val="32"/>
          <w:lang w:val="en-US" w:eastAsia="zh-CN"/>
        </w:rPr>
        <w:t>1406</w:t>
      </w:r>
      <w:r>
        <w:rPr>
          <w:rFonts w:ascii="方正仿宋简体" w:eastAsia="方正仿宋简体" w:cs="方正仿宋简体" w:hAnsi="方正仿宋简体" w:hint="eastAsia"/>
          <w:sz w:val="32"/>
          <w:szCs w:val="32"/>
          <w:lang w:eastAsia="zh-CN"/>
        </w:rPr>
        <w:t>盒。辖区孕产妇共</w:t>
      </w:r>
      <w:r>
        <w:rPr>
          <w:rFonts w:ascii="方正仿宋简体" w:eastAsia="方正仿宋简体" w:cs="方正仿宋简体" w:hAnsi="方正仿宋简体" w:hint="eastAsia"/>
          <w:sz w:val="32"/>
          <w:szCs w:val="32"/>
          <w:lang w:val="en-US" w:eastAsia="zh-CN"/>
        </w:rPr>
        <w:t>475</w:t>
      </w:r>
      <w:r>
        <w:rPr>
          <w:rFonts w:ascii="方正仿宋简体" w:eastAsia="方正仿宋简体" w:cs="方正仿宋简体" w:hAnsi="方正仿宋简体" w:hint="eastAsia"/>
          <w:sz w:val="32"/>
          <w:szCs w:val="32"/>
          <w:lang w:eastAsia="zh-CN"/>
        </w:rPr>
        <w:t>人，系统管理</w:t>
      </w:r>
      <w:r>
        <w:rPr>
          <w:rFonts w:ascii="方正仿宋简体" w:eastAsia="方正仿宋简体" w:cs="方正仿宋简体" w:hAnsi="方正仿宋简体" w:hint="eastAsia"/>
          <w:sz w:val="32"/>
          <w:szCs w:val="32"/>
          <w:lang w:val="en-US" w:eastAsia="zh-CN"/>
        </w:rPr>
        <w:t>456</w:t>
      </w:r>
      <w:r>
        <w:rPr>
          <w:rFonts w:ascii="方正仿宋简体" w:eastAsia="方正仿宋简体" w:cs="方正仿宋简体" w:hAnsi="方正仿宋简体" w:hint="eastAsia"/>
          <w:sz w:val="32"/>
          <w:szCs w:val="32"/>
          <w:lang w:eastAsia="zh-CN"/>
        </w:rPr>
        <w:t>人，管理率9</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lang w:eastAsia="zh-CN"/>
        </w:rPr>
        <w:t>%；管理高危产妇数</w:t>
      </w:r>
      <w:r>
        <w:rPr>
          <w:rFonts w:ascii="方正仿宋简体" w:eastAsia="方正仿宋简体" w:cs="方正仿宋简体" w:hAnsi="方正仿宋简体" w:hint="eastAsia"/>
          <w:sz w:val="32"/>
          <w:szCs w:val="32"/>
          <w:lang w:val="en-US" w:eastAsia="zh-CN"/>
        </w:rPr>
        <w:t>223</w:t>
      </w:r>
      <w:r>
        <w:rPr>
          <w:rFonts w:ascii="方正仿宋简体" w:eastAsia="方正仿宋简体" w:cs="方正仿宋简体" w:hAnsi="方正仿宋简体" w:hint="eastAsia"/>
          <w:sz w:val="32"/>
          <w:szCs w:val="32"/>
          <w:lang w:eastAsia="zh-CN"/>
        </w:rPr>
        <w:t>人，高危管理率100%；免费发放叶酸</w:t>
      </w:r>
      <w:r>
        <w:rPr>
          <w:rFonts w:ascii="方正仿宋简体" w:eastAsia="方正仿宋简体" w:cs="方正仿宋简体" w:hAnsi="方正仿宋简体" w:hint="eastAsia"/>
          <w:sz w:val="32"/>
          <w:szCs w:val="32"/>
          <w:lang w:val="en-US" w:eastAsia="zh-CN"/>
        </w:rPr>
        <w:t>144</w:t>
      </w:r>
      <w:r>
        <w:rPr>
          <w:rFonts w:ascii="方正仿宋简体" w:eastAsia="方正仿宋简体" w:cs="方正仿宋简体" w:hAnsi="方正仿宋简体" w:hint="eastAsia"/>
          <w:sz w:val="32"/>
          <w:szCs w:val="32"/>
          <w:lang w:eastAsia="zh-CN"/>
        </w:rPr>
        <w:t>人，发放叶酸</w:t>
      </w:r>
      <w:r>
        <w:rPr>
          <w:rFonts w:ascii="方正仿宋简体" w:eastAsia="方正仿宋简体" w:cs="方正仿宋简体" w:hAnsi="方正仿宋简体" w:hint="eastAsia"/>
          <w:sz w:val="32"/>
          <w:szCs w:val="32"/>
          <w:lang w:val="en-US" w:eastAsia="zh-CN"/>
        </w:rPr>
        <w:t>675</w:t>
      </w:r>
      <w:r>
        <w:rPr>
          <w:rFonts w:ascii="方正仿宋简体" w:eastAsia="方正仿宋简体" w:cs="方正仿宋简体" w:hAnsi="方正仿宋简体" w:hint="eastAsia"/>
          <w:sz w:val="32"/>
          <w:szCs w:val="32"/>
          <w:lang w:eastAsia="zh-CN"/>
        </w:rPr>
        <w:t>瓶。辖区常住65周岁以上老年人</w:t>
      </w:r>
      <w:r>
        <w:rPr>
          <w:rFonts w:ascii="方正仿宋简体" w:eastAsia="方正仿宋简体" w:cs="方正仿宋简体" w:hAnsi="方正仿宋简体" w:hint="eastAsia"/>
          <w:sz w:val="32"/>
          <w:szCs w:val="32"/>
          <w:lang w:val="en-US" w:eastAsia="zh-CN"/>
        </w:rPr>
        <w:t>3370人，</w:t>
      </w:r>
      <w:r>
        <w:rPr>
          <w:rFonts w:ascii="方正仿宋简体" w:eastAsia="方正仿宋简体" w:cs="方正仿宋简体" w:hAnsi="方正仿宋简体" w:hint="eastAsia"/>
          <w:sz w:val="32"/>
          <w:szCs w:val="32"/>
          <w:lang w:eastAsia="zh-CN"/>
        </w:rPr>
        <w:t>共计建档</w:t>
      </w:r>
      <w:r>
        <w:rPr>
          <w:rFonts w:ascii="方正仿宋简体" w:eastAsia="方正仿宋简体" w:cs="方正仿宋简体" w:hAnsi="方正仿宋简体" w:hint="eastAsia"/>
          <w:sz w:val="32"/>
          <w:szCs w:val="32"/>
          <w:lang w:val="en-US" w:eastAsia="zh-CN"/>
        </w:rPr>
        <w:t>3370</w:t>
      </w:r>
      <w:r>
        <w:rPr>
          <w:rFonts w:ascii="方正仿宋简体" w:eastAsia="方正仿宋简体" w:cs="方正仿宋简体" w:hAnsi="方正仿宋简体" w:hint="eastAsia"/>
          <w:sz w:val="32"/>
          <w:szCs w:val="32"/>
          <w:lang w:eastAsia="zh-CN"/>
        </w:rPr>
        <w:t>人，建档率</w:t>
      </w:r>
      <w:r>
        <w:rPr>
          <w:rFonts w:ascii="方正仿宋简体" w:eastAsia="方正仿宋简体" w:cs="方正仿宋简体" w:hAnsi="方正仿宋简体" w:hint="eastAsia"/>
          <w:sz w:val="32"/>
          <w:szCs w:val="32"/>
          <w:lang w:val="en-US" w:eastAsia="zh-CN"/>
        </w:rPr>
        <w:t>100%，</w:t>
      </w:r>
      <w:r>
        <w:rPr>
          <w:rFonts w:ascii="方正仿宋简体" w:eastAsia="方正仿宋简体" w:cs="方正仿宋简体" w:hAnsi="方正仿宋简体" w:hint="eastAsia"/>
          <w:sz w:val="32"/>
          <w:szCs w:val="32"/>
          <w:lang w:eastAsia="zh-CN"/>
        </w:rPr>
        <w:t>为</w:t>
      </w:r>
      <w:r>
        <w:rPr>
          <w:rFonts w:ascii="方正仿宋简体" w:eastAsia="方正仿宋简体" w:cs="方正仿宋简体" w:hAnsi="方正仿宋简体" w:hint="eastAsia"/>
          <w:sz w:val="32"/>
          <w:szCs w:val="32"/>
          <w:lang w:val="en-US" w:eastAsia="zh-CN"/>
        </w:rPr>
        <w:t>1564</w:t>
      </w:r>
      <w:r>
        <w:rPr>
          <w:rFonts w:ascii="方正仿宋简体" w:eastAsia="方正仿宋简体" w:cs="方正仿宋简体" w:hAnsi="方正仿宋简体" w:hint="eastAsia"/>
          <w:sz w:val="32"/>
          <w:szCs w:val="32"/>
          <w:lang w:eastAsia="zh-CN"/>
        </w:rPr>
        <w:t>位老年人进行了免费体检，体检率</w:t>
      </w:r>
      <w:r>
        <w:rPr>
          <w:rFonts w:ascii="方正仿宋简体" w:eastAsia="方正仿宋简体" w:cs="方正仿宋简体" w:hAnsi="方正仿宋简体" w:hint="eastAsia"/>
          <w:sz w:val="32"/>
          <w:szCs w:val="32"/>
          <w:lang w:val="en-US" w:eastAsia="zh-CN"/>
        </w:rPr>
        <w:t>46.4</w:t>
      </w:r>
      <w:r>
        <w:rPr>
          <w:rFonts w:ascii="方正仿宋简体" w:eastAsia="方正仿宋简体" w:cs="方正仿宋简体" w:hAnsi="方正仿宋简体" w:hint="eastAsia"/>
          <w:sz w:val="32"/>
          <w:szCs w:val="32"/>
          <w:lang w:eastAsia="zh-CN"/>
        </w:rPr>
        <w:t>%，中心严格遵守</w:t>
      </w:r>
      <w:r>
        <w:rPr>
          <w:rFonts w:ascii="方正仿宋简体" w:eastAsia="方正仿宋简体" w:cs="方正仿宋简体" w:hAnsi="方正仿宋简体" w:hint="eastAsia"/>
          <w:sz w:val="32"/>
          <w:szCs w:val="32"/>
          <w:lang w:val="en-US" w:eastAsia="zh-CN"/>
        </w:rPr>
        <w:t>35岁首诊测血压制度，不断提高管理率</w:t>
      </w:r>
      <w:r>
        <w:rPr>
          <w:rFonts w:ascii="方正仿宋简体" w:eastAsia="方正仿宋简体" w:cs="方正仿宋简体" w:hAnsi="方正仿宋简体" w:hint="eastAsia"/>
          <w:sz w:val="32"/>
          <w:szCs w:val="32"/>
          <w:lang w:eastAsia="zh-CN"/>
        </w:rPr>
        <w:t>，共管理高血压患者</w:t>
      </w:r>
      <w:r>
        <w:rPr>
          <w:rFonts w:ascii="方正仿宋简体" w:eastAsia="方正仿宋简体" w:cs="方正仿宋简体" w:hAnsi="方正仿宋简体" w:hint="eastAsia"/>
          <w:sz w:val="32"/>
          <w:szCs w:val="32"/>
          <w:lang w:val="en-US" w:eastAsia="zh-CN"/>
        </w:rPr>
        <w:t>1769</w:t>
      </w:r>
      <w:r>
        <w:rPr>
          <w:rFonts w:ascii="方正仿宋简体" w:eastAsia="方正仿宋简体" w:cs="方正仿宋简体" w:hAnsi="方正仿宋简体" w:hint="eastAsia"/>
          <w:sz w:val="32"/>
          <w:szCs w:val="32"/>
          <w:lang w:eastAsia="zh-CN"/>
        </w:rPr>
        <w:t>人，规范化管理</w:t>
      </w:r>
      <w:r>
        <w:rPr>
          <w:rFonts w:ascii="方正仿宋简体" w:eastAsia="方正仿宋简体" w:cs="方正仿宋简体" w:hAnsi="方正仿宋简体" w:hint="eastAsia"/>
          <w:sz w:val="32"/>
          <w:szCs w:val="32"/>
          <w:lang w:val="en-US" w:eastAsia="zh-CN"/>
        </w:rPr>
        <w:t>1373人，管理</w:t>
      </w:r>
      <w:r>
        <w:rPr>
          <w:rFonts w:ascii="方正仿宋简体" w:eastAsia="方正仿宋简体" w:cs="方正仿宋简体" w:hAnsi="方正仿宋简体" w:hint="eastAsia"/>
          <w:sz w:val="32"/>
          <w:szCs w:val="32"/>
          <w:lang w:eastAsia="zh-CN"/>
        </w:rPr>
        <w:t>率</w:t>
      </w:r>
      <w:r>
        <w:rPr>
          <w:rFonts w:ascii="方正仿宋简体" w:eastAsia="方正仿宋简体" w:cs="方正仿宋简体" w:hAnsi="方正仿宋简体" w:hint="eastAsia"/>
          <w:sz w:val="32"/>
          <w:szCs w:val="32"/>
          <w:lang w:val="en-US" w:eastAsia="zh-CN"/>
        </w:rPr>
        <w:t>77.6</w:t>
      </w:r>
      <w:r>
        <w:rPr>
          <w:rFonts w:ascii="方正仿宋简体" w:eastAsia="方正仿宋简体" w:cs="方正仿宋简体" w:hAnsi="方正仿宋简体" w:hint="eastAsia"/>
          <w:sz w:val="32"/>
          <w:szCs w:val="32"/>
          <w:lang w:eastAsia="zh-CN"/>
        </w:rPr>
        <w:t>%；管理糖尿病患者</w:t>
      </w:r>
      <w:r>
        <w:rPr>
          <w:rFonts w:ascii="方正仿宋简体" w:eastAsia="方正仿宋简体" w:cs="方正仿宋简体" w:hAnsi="方正仿宋简体" w:hint="eastAsia"/>
          <w:sz w:val="32"/>
          <w:szCs w:val="32"/>
          <w:lang w:val="en-US" w:eastAsia="zh-CN"/>
        </w:rPr>
        <w:t>652</w:t>
      </w:r>
      <w:r>
        <w:rPr>
          <w:rFonts w:ascii="方正仿宋简体" w:eastAsia="方正仿宋简体" w:cs="方正仿宋简体" w:hAnsi="方正仿宋简体" w:hint="eastAsia"/>
          <w:sz w:val="32"/>
          <w:szCs w:val="32"/>
          <w:lang w:eastAsia="zh-CN"/>
        </w:rPr>
        <w:t>人，规范化管理</w:t>
      </w:r>
      <w:r>
        <w:rPr>
          <w:rFonts w:ascii="方正仿宋简体" w:eastAsia="方正仿宋简体" w:cs="方正仿宋简体" w:hAnsi="方正仿宋简体" w:hint="eastAsia"/>
          <w:sz w:val="32"/>
          <w:szCs w:val="32"/>
          <w:lang w:val="en-US" w:eastAsia="zh-CN"/>
        </w:rPr>
        <w:t>496人，管理</w:t>
      </w:r>
      <w:r>
        <w:rPr>
          <w:rFonts w:ascii="方正仿宋简体" w:eastAsia="方正仿宋简体" w:cs="方正仿宋简体" w:hAnsi="方正仿宋简体" w:hint="eastAsia"/>
          <w:sz w:val="32"/>
          <w:szCs w:val="32"/>
          <w:lang w:eastAsia="zh-CN"/>
        </w:rPr>
        <w:t>率</w:t>
      </w:r>
      <w:r>
        <w:rPr>
          <w:rFonts w:ascii="方正仿宋简体" w:eastAsia="方正仿宋简体" w:cs="方正仿宋简体" w:hAnsi="方正仿宋简体" w:hint="eastAsia"/>
          <w:sz w:val="32"/>
          <w:szCs w:val="32"/>
          <w:lang w:val="en-US" w:eastAsia="zh-CN"/>
        </w:rPr>
        <w:t>76</w:t>
      </w:r>
      <w:r>
        <w:rPr>
          <w:rFonts w:ascii="方正仿宋简体" w:eastAsia="方正仿宋简体" w:cs="方正仿宋简体" w:hAnsi="方正仿宋简体" w:hint="eastAsia"/>
          <w:sz w:val="32"/>
          <w:szCs w:val="32"/>
          <w:lang w:eastAsia="zh-CN"/>
        </w:rPr>
        <w:t>%。高血压随访</w:t>
      </w:r>
      <w:r>
        <w:rPr>
          <w:rFonts w:ascii="方正仿宋简体" w:eastAsia="方正仿宋简体" w:cs="方正仿宋简体" w:hAnsi="方正仿宋简体" w:hint="eastAsia"/>
          <w:sz w:val="32"/>
          <w:szCs w:val="32"/>
          <w:lang w:val="en-US" w:eastAsia="zh-CN"/>
        </w:rPr>
        <w:t>6455</w:t>
      </w:r>
      <w:r>
        <w:rPr>
          <w:rFonts w:ascii="方正仿宋简体" w:eastAsia="方正仿宋简体" w:cs="方正仿宋简体" w:hAnsi="方正仿宋简体" w:hint="eastAsia"/>
          <w:sz w:val="32"/>
          <w:szCs w:val="32"/>
          <w:lang w:eastAsia="zh-CN"/>
        </w:rPr>
        <w:t>人次，血压控制率</w:t>
      </w:r>
      <w:r>
        <w:rPr>
          <w:rFonts w:ascii="方正仿宋简体" w:eastAsia="方正仿宋简体" w:cs="方正仿宋简体" w:hAnsi="方正仿宋简体" w:hint="eastAsia"/>
          <w:sz w:val="32"/>
          <w:szCs w:val="32"/>
          <w:lang w:val="en-US" w:eastAsia="zh-CN"/>
        </w:rPr>
        <w:t>69</w:t>
      </w:r>
      <w:r>
        <w:rPr>
          <w:rFonts w:ascii="方正仿宋简体" w:eastAsia="方正仿宋简体" w:cs="方正仿宋简体" w:hAnsi="方正仿宋简体" w:hint="eastAsia"/>
          <w:sz w:val="32"/>
          <w:szCs w:val="32"/>
          <w:lang w:eastAsia="zh-CN"/>
        </w:rPr>
        <w:t>%；糖尿病随访</w:t>
      </w:r>
      <w:r>
        <w:rPr>
          <w:rFonts w:ascii="方正仿宋简体" w:eastAsia="方正仿宋简体" w:cs="方正仿宋简体" w:hAnsi="方正仿宋简体" w:hint="eastAsia"/>
          <w:sz w:val="32"/>
          <w:szCs w:val="32"/>
          <w:lang w:val="en-US" w:eastAsia="zh-CN"/>
        </w:rPr>
        <w:t>2560</w:t>
      </w:r>
      <w:r>
        <w:rPr>
          <w:rFonts w:ascii="方正仿宋简体" w:eastAsia="方正仿宋简体" w:cs="方正仿宋简体" w:hAnsi="方正仿宋简体" w:hint="eastAsia"/>
          <w:sz w:val="32"/>
          <w:szCs w:val="32"/>
          <w:lang w:eastAsia="zh-CN"/>
        </w:rPr>
        <w:t>人次，血糖控制率为6</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.5%。在严重精神障碍患者管理方面。</w:t>
      </w:r>
      <w:r>
        <w:rPr>
          <w:rFonts w:ascii="方正仿宋简体" w:eastAsia="方正仿宋简体" w:cs="方正仿宋简体" w:hAnsi="方正仿宋简体" w:hint="eastAsia"/>
          <w:sz w:val="32"/>
          <w:szCs w:val="32"/>
          <w:lang w:val="en-US" w:eastAsia="zh-CN"/>
        </w:rPr>
        <w:t>中心</w:t>
      </w:r>
      <w:r>
        <w:rPr>
          <w:rFonts w:ascii="方正仿宋简体" w:eastAsia="方正仿宋简体" w:cs="方正仿宋简体" w:hAnsi="方正仿宋简体" w:hint="eastAsia"/>
          <w:sz w:val="32"/>
          <w:szCs w:val="32"/>
          <w:lang w:eastAsia="zh-CN"/>
        </w:rPr>
        <w:t>加强日常摸排，同时建立了市精神卫生中心、辖区派出所、社区卫生服务中心三方管理模式，目前累计管理患者</w:t>
      </w:r>
      <w:r>
        <w:rPr>
          <w:rFonts w:ascii="方正仿宋简体" w:eastAsia="方正仿宋简体" w:cs="方正仿宋简体" w:hAnsi="方正仿宋简体" w:hint="eastAsia"/>
          <w:sz w:val="32"/>
          <w:szCs w:val="32"/>
          <w:lang w:val="en-US" w:eastAsia="zh-CN"/>
        </w:rPr>
        <w:t>127人，</w:t>
      </w:r>
      <w:r>
        <w:rPr>
          <w:rFonts w:ascii="方正仿宋简体" w:eastAsia="方正仿宋简体" w:cs="方正仿宋简体" w:hAnsi="方正仿宋简体" w:hint="eastAsia"/>
          <w:sz w:val="32"/>
          <w:szCs w:val="32"/>
          <w:lang w:eastAsia="zh-CN"/>
        </w:rPr>
        <w:t>非在管</w:t>
      </w:r>
      <w:r>
        <w:rPr>
          <w:rFonts w:ascii="方正仿宋简体" w:eastAsia="方正仿宋简体" w:cs="方正仿宋简体" w:hAnsi="方正仿宋简体" w:hint="eastAsia"/>
          <w:sz w:val="32"/>
          <w:szCs w:val="32"/>
          <w:lang w:val="en-US" w:eastAsia="zh-CN"/>
        </w:rPr>
        <w:t>1人，</w:t>
      </w:r>
      <w:r>
        <w:rPr>
          <w:rFonts w:ascii="方正仿宋简体" w:eastAsia="方正仿宋简体" w:cs="方正仿宋简体" w:hAnsi="方正仿宋简体" w:hint="eastAsia"/>
          <w:sz w:val="32"/>
          <w:szCs w:val="32"/>
          <w:lang w:eastAsia="zh-CN"/>
        </w:rPr>
        <w:t>规范管理率</w:t>
      </w:r>
      <w:r>
        <w:rPr>
          <w:rFonts w:ascii="方正仿宋简体" w:eastAsia="方正仿宋简体" w:cs="方正仿宋简体" w:hAnsi="方正仿宋简体" w:hint="eastAsia"/>
          <w:sz w:val="32"/>
          <w:szCs w:val="32"/>
          <w:lang w:val="en-US" w:eastAsia="zh-CN"/>
        </w:rPr>
        <w:t>99</w:t>
      </w:r>
      <w:r>
        <w:rPr>
          <w:rFonts w:ascii="方正仿宋简体" w:eastAsia="方正仿宋简体" w:cs="方正仿宋简体" w:hAnsi="方正仿宋简体" w:hint="eastAsia"/>
          <w:sz w:val="32"/>
          <w:szCs w:val="32"/>
          <w:lang w:eastAsia="zh-CN"/>
        </w:rPr>
        <w:t>%，其中精神发育迟滞</w:t>
      </w:r>
      <w:r>
        <w:rPr>
          <w:rFonts w:ascii="方正仿宋简体" w:eastAsia="方正仿宋简体" w:cs="方正仿宋简体" w:hAnsi="方正仿宋简体" w:hint="eastAsia"/>
          <w:sz w:val="32"/>
          <w:szCs w:val="32"/>
          <w:lang w:val="en-US" w:eastAsia="zh-CN"/>
        </w:rPr>
        <w:t>34人，新增26人，体检率100%。</w:t>
      </w:r>
      <w:r>
        <w:rPr>
          <w:rFonts w:ascii="方正仿宋简体" w:eastAsia="方正仿宋简体" w:cs="方正仿宋简体" w:hAnsi="方正仿宋简体" w:hint="eastAsia"/>
          <w:sz w:val="32"/>
          <w:szCs w:val="32"/>
          <w:lang w:eastAsia="zh-CN"/>
        </w:rPr>
        <w:t>中心根据传染病管理各项制度积极开展自查工作，定期开展传染病防治知识、技能的培训；全年传染病共计上报</w:t>
      </w:r>
      <w:r>
        <w:rPr>
          <w:rFonts w:ascii="方正仿宋简体" w:eastAsia="方正仿宋简体" w:cs="方正仿宋简体" w:hAnsi="方正仿宋简体" w:hint="eastAsia"/>
          <w:sz w:val="32"/>
          <w:szCs w:val="32"/>
          <w:lang w:val="en-US" w:eastAsia="zh-CN"/>
        </w:rPr>
        <w:t>15</w:t>
      </w:r>
      <w:r>
        <w:rPr>
          <w:rFonts w:ascii="方正仿宋简体" w:eastAsia="方正仿宋简体" w:cs="方正仿宋简体" w:hAnsi="方正仿宋简体" w:hint="eastAsia"/>
          <w:sz w:val="32"/>
          <w:szCs w:val="32"/>
          <w:lang w:eastAsia="zh-CN"/>
        </w:rPr>
        <w:t>例，无突发公共卫生事件发生；对辖区内学校及幼儿园进行传染病工作督导</w:t>
      </w:r>
      <w:r>
        <w:rPr>
          <w:rFonts w:ascii="方正仿宋简体" w:eastAsia="方正仿宋简体" w:cs="方正仿宋简体" w:hAnsi="方正仿宋简体" w:hint="eastAsia"/>
          <w:sz w:val="32"/>
          <w:szCs w:val="32"/>
          <w:lang w:val="en-US" w:eastAsia="zh-CN"/>
        </w:rPr>
        <w:t>58</w:t>
      </w:r>
      <w:r>
        <w:rPr>
          <w:rFonts w:ascii="方正仿宋简体" w:eastAsia="方正仿宋简体" w:cs="方正仿宋简体" w:hAnsi="方正仿宋简体" w:hint="eastAsia"/>
          <w:sz w:val="32"/>
          <w:szCs w:val="32"/>
          <w:lang w:eastAsia="zh-CN"/>
        </w:rPr>
        <w:t>次，对辖区校园内发生的结核、水痘、手足口病等散发疫情进行处置共</w:t>
      </w: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lang w:eastAsia="zh-CN"/>
        </w:rPr>
        <w:t>次；</w:t>
      </w:r>
      <w:r>
        <w:rPr>
          <w:rFonts w:ascii="方正仿宋简体" w:eastAsia="方正仿宋简体" w:cs="方正仿宋简体" w:hAnsi="方正仿宋简体" w:hint="eastAsia"/>
          <w:sz w:val="32"/>
          <w:szCs w:val="32"/>
          <w:lang w:val="en-US" w:eastAsia="zh-CN"/>
        </w:rPr>
        <w:t>在疫情防控中对辖区66个餐饮店、9个小区、8个企业、8个超市、2个民营医院进行新冠疫情防控督导</w:t>
      </w:r>
      <w:r>
        <w:rPr>
          <w:rFonts w:ascii="方正仿宋简体" w:eastAsia="方正仿宋简体" w:cs="方正仿宋简体" w:hAnsi="方正仿宋简体" w:hint="eastAsia"/>
          <w:sz w:val="32"/>
          <w:szCs w:val="32"/>
          <w:lang w:eastAsia="zh-CN"/>
        </w:rPr>
        <w:t>，累计</w:t>
      </w:r>
      <w:r>
        <w:rPr>
          <w:rFonts w:ascii="方正仿宋简体" w:eastAsia="方正仿宋简体" w:cs="方正仿宋简体" w:hAnsi="方正仿宋简体" w:hint="eastAsia"/>
          <w:sz w:val="32"/>
          <w:szCs w:val="32"/>
          <w:lang w:val="en-US" w:eastAsia="zh-CN"/>
        </w:rPr>
        <w:t>93次。</w:t>
      </w:r>
      <w:r>
        <w:rPr>
          <w:rFonts w:ascii="方正仿宋简体" w:eastAsia="方正仿宋简体" w:cs="方正仿宋简体" w:hAnsi="方正仿宋简体" w:hint="eastAsia"/>
          <w:sz w:val="32"/>
          <w:szCs w:val="32"/>
          <w:lang w:eastAsia="zh-CN"/>
        </w:rPr>
        <w:t>并对辖区内所有的学校和托幼机构、三村三社生活饮用水巡查、打击非法行医巡查、公共场所卫生监督协管工作及村卫生室的督导检查共计</w:t>
      </w:r>
      <w:r>
        <w:rPr>
          <w:rFonts w:ascii="方正仿宋简体" w:eastAsia="方正仿宋简体" w:cs="方正仿宋简体" w:hAnsi="方正仿宋简体" w:hint="eastAsia"/>
          <w:sz w:val="32"/>
          <w:szCs w:val="32"/>
          <w:lang w:val="en-US" w:eastAsia="zh-CN"/>
        </w:rPr>
        <w:t>246次，</w:t>
      </w:r>
      <w:r>
        <w:rPr>
          <w:rFonts w:ascii="方正仿宋简体" w:eastAsia="方正仿宋简体" w:cs="方正仿宋简体" w:hAnsi="方正仿宋简体" w:hint="eastAsia"/>
          <w:sz w:val="32"/>
          <w:szCs w:val="32"/>
          <w:lang w:eastAsia="zh-CN"/>
        </w:rPr>
        <w:t>上报卫生计生监督协管信息</w:t>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lang w:eastAsia="zh-CN"/>
        </w:rPr>
        <w:t>次，全年无安全事故的发生。开展中医药健康管理工作，</w:t>
      </w:r>
      <w:r>
        <w:rPr>
          <w:rFonts w:ascii="方正仿宋简体" w:eastAsia="方正仿宋简体" w:cs="方正仿宋简体" w:hAnsi="方正仿宋简体" w:hint="eastAsia"/>
          <w:sz w:val="32"/>
          <w:szCs w:val="32"/>
          <w:lang w:val="en-US" w:eastAsia="zh-CN"/>
        </w:rPr>
        <w:t>1359</w:t>
      </w:r>
      <w:r>
        <w:rPr>
          <w:rFonts w:ascii="方正仿宋简体" w:eastAsia="方正仿宋简体" w:cs="方正仿宋简体" w:hAnsi="方正仿宋简体" w:hint="eastAsia"/>
          <w:sz w:val="32"/>
          <w:szCs w:val="32"/>
          <w:lang w:eastAsia="zh-CN"/>
        </w:rPr>
        <w:t>位老人进行了中医体质辨识，管理率达</w:t>
      </w:r>
      <w:r>
        <w:rPr>
          <w:rFonts w:ascii="方正仿宋简体" w:eastAsia="方正仿宋简体" w:cs="方正仿宋简体" w:hAnsi="方正仿宋简体" w:hint="eastAsia"/>
          <w:sz w:val="32"/>
          <w:szCs w:val="32"/>
          <w:lang w:val="en-US" w:eastAsia="zh-CN"/>
        </w:rPr>
        <w:t>40.3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1787</w:t>
      </w:r>
      <w:r>
        <w:rPr>
          <w:rFonts w:ascii="方正仿宋简体" w:eastAsia="方正仿宋简体" w:cs="方正仿宋简体" w:hAnsi="方正仿宋简体" w:hint="eastAsia"/>
          <w:sz w:val="32"/>
          <w:szCs w:val="32"/>
          <w:lang w:eastAsia="zh-CN"/>
        </w:rPr>
        <w:t>人儿童进行了中医药健康管理，服务率达</w:t>
      </w:r>
      <w:r>
        <w:rPr>
          <w:rFonts w:ascii="方正仿宋简体" w:eastAsia="方正仿宋简体" w:cs="方正仿宋简体" w:hAnsi="方正仿宋简体" w:hint="eastAsia"/>
          <w:sz w:val="32"/>
          <w:szCs w:val="32"/>
          <w:lang w:val="en-US" w:eastAsia="zh-CN"/>
        </w:rPr>
        <w:t>98</w:t>
      </w:r>
      <w:r>
        <w:rPr>
          <w:rFonts w:ascii="方正仿宋简体" w:eastAsia="方正仿宋简体" w:cs="方正仿宋简体" w:hAnsi="方正仿宋简体" w:hint="eastAsia"/>
          <w:sz w:val="32"/>
          <w:szCs w:val="32"/>
          <w:lang w:eastAsia="zh-CN"/>
        </w:rPr>
        <w:t>%。结核病防治工作主要以预防为主，通过“3.24”结核病防治日宣传结核病防治知识，发放了结核病防治知识宣传单、宣传手册约</w:t>
      </w:r>
      <w:r>
        <w:rPr>
          <w:rFonts w:ascii="方正仿宋简体" w:eastAsia="方正仿宋简体" w:cs="方正仿宋简体" w:hAnsi="方正仿宋简体" w:hint="eastAsia"/>
          <w:sz w:val="32"/>
          <w:szCs w:val="32"/>
          <w:lang w:val="en-US" w:eastAsia="zh-CN"/>
        </w:rPr>
        <w:t>4000</w:t>
      </w:r>
      <w:r>
        <w:rPr>
          <w:rFonts w:ascii="方正仿宋简体" w:eastAsia="方正仿宋简体" w:cs="方正仿宋简体" w:hAnsi="方正仿宋简体" w:hint="eastAsia"/>
          <w:sz w:val="32"/>
          <w:szCs w:val="32"/>
          <w:lang w:eastAsia="zh-CN"/>
        </w:rPr>
        <w:t>余份；对上级医院确诊并进行治疗的</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lang w:eastAsia="zh-CN"/>
        </w:rPr>
        <w:t>名肺结核病人，进行规范化管理，管理率</w:t>
      </w:r>
      <w:r>
        <w:rPr>
          <w:rFonts w:ascii="方正仿宋简体" w:eastAsia="方正仿宋简体" w:cs="方正仿宋简体" w:hAnsi="方正仿宋简体" w:hint="eastAsia"/>
          <w:sz w:val="32"/>
          <w:szCs w:val="32"/>
          <w:lang w:val="en-US" w:eastAsia="zh-CN"/>
        </w:rPr>
        <w:t>100%，累计</w:t>
      </w:r>
      <w:r>
        <w:rPr>
          <w:rFonts w:ascii="方正仿宋简体" w:eastAsia="方正仿宋简体" w:cs="方正仿宋简体" w:hAnsi="方正仿宋简体" w:hint="eastAsia"/>
          <w:sz w:val="32"/>
          <w:szCs w:val="32"/>
          <w:lang w:eastAsia="zh-CN"/>
        </w:rPr>
        <w:t>随访</w:t>
      </w:r>
      <w:r>
        <w:rPr>
          <w:rFonts w:ascii="方正仿宋简体" w:eastAsia="方正仿宋简体" w:cs="方正仿宋简体" w:hAnsi="方正仿宋简体" w:hint="eastAsia"/>
          <w:sz w:val="32"/>
          <w:szCs w:val="32"/>
          <w:lang w:val="en-US" w:eastAsia="zh-CN"/>
        </w:rPr>
        <w:t>132人次</w:t>
      </w:r>
      <w:r>
        <w:rPr>
          <w:rFonts w:ascii="方正仿宋简体" w:eastAsia="方正仿宋简体" w:cs="方正仿宋简体" w:hAnsi="方正仿宋简体" w:hint="eastAsia"/>
          <w:sz w:val="32"/>
          <w:szCs w:val="32"/>
          <w:lang w:eastAsia="zh-CN"/>
        </w:rPr>
        <w:t>，其中</w:t>
      </w:r>
      <w:r>
        <w:rPr>
          <w:rFonts w:ascii="方正仿宋简体" w:eastAsia="方正仿宋简体" w:cs="方正仿宋简体" w:hAnsi="方正仿宋简体" w:hint="eastAsia"/>
          <w:sz w:val="32"/>
          <w:szCs w:val="32"/>
          <w:lang w:val="en-US" w:eastAsia="zh-CN"/>
        </w:rPr>
        <w:t>19</w:t>
      </w:r>
      <w:r>
        <w:rPr>
          <w:rFonts w:ascii="方正仿宋简体" w:eastAsia="方正仿宋简体" w:cs="方正仿宋简体" w:hAnsi="方正仿宋简体" w:hint="eastAsia"/>
          <w:sz w:val="32"/>
          <w:szCs w:val="32"/>
          <w:lang w:eastAsia="zh-CN"/>
        </w:rPr>
        <w:t>名已完成初治疗程。在家庭医生团队签约服务方面。</w:t>
      </w:r>
      <w:r>
        <w:rPr>
          <w:rFonts w:ascii="方正仿宋简体" w:eastAsia="方正仿宋简体" w:cs="方正仿宋简体" w:hAnsi="方正仿宋简体" w:hint="eastAsia"/>
          <w:sz w:val="32"/>
          <w:szCs w:val="32"/>
          <w:lang w:val="en-US" w:eastAsia="zh-CN"/>
        </w:rPr>
        <w:t>加强家庭医生签约服务工作量与质的考核，每季度对4个团队进行抽查并核实服务的真实性，考核结果于绩效挂钩。截止2020年10月底，累计签约23575人，签约率80.7%。</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（二）项目效益情况。</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免费向居民提供基本公共卫生服务，不断提高居民健康水平。通过实施以上14项服务，对影响居民健康的主要卫生问题实施干预，减少主要健康危险因素，有效和控制主要传染病及慢性病，使城乡居民逐步享有均等化的公共卫生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改变服务理念，创新服务模式，推动了基本公共卫生服务工作和家庭医生签约服务工作上新台阶。变“要我服务”为“我要服务”，改“坐堂行医”为“上门服务”，在公卫分管领导的带领下，由公共卫生科牵头，组织各家庭医生团队走进社区、小区、居民家中送服务、送健康。在居民小区悬挂家医服务队旗、宣传横幅、展架，开展义诊服务，现场免费测量血压、血糖、身高、体重、腰围等检查，发放宣传资料，免费为居民建立健康档案和签约家庭医生服务协议。扩大了宣传覆盖面，使项目工作推进取得了实效。</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建立考核激励机制：中心完善了绩效考核方案，定期对各项目执行科室、卫生站进行现场督导考核，及时发现和解决存在的问题和不足，为项目开展提供了技术保障，采取查阅资料、听取汇报、现场查看、电话核查等形式，对随机抽取的科室、卫生站基本公共卫生服务实施情况进行督导检查。考核结果与绩效挂钩，大大提高了职工的工作积极性，推动了各项工作任务的落实，提高了工作效率和服务质量。</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强化培训学习：积极参加上级主管部门组织的各项业务培训，根据自身的实际情况，定期或不定期对中心医务人员和卫生工作人员进行培训。培训人员、培训区域都实现了全覆盖，大大提升了医务人员的业务水平和服务能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积极与街道办事处、派出所、综治办、民政、残联及社区等多部门协作，信息数据的共享，大力推动了基本公共卫生服务项目的实施。尤其是对严重精神障碍患者家庭入户访视、早孕信息的获得、家庭医生签约服务和国家基本公共卫生服务项目的宣传取得了显著成绩。</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积极运用中医药方法为65岁及以上老年人、0-3岁儿童、高血压、糖尿病、孕产妇、残疾人等重点人群提供健康服务，如中医药康复治疗、开展中医药养生保健知识讲座、个体化中医药保健知识指导等。</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五、评价结论及建议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（一）评价结论</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国家基本公共卫生服务项目在中心各科室积极配合下，认真分解任务，落实责任，开展了一系列的项目活动。中心组织精干力量，深入乡镇、社区积极开展项目的指导、培训等工作，以“政府主导、部门配合、专业机构技术支撑、全社会参与”的运行模式，使辖区重点人群发现、分类干预、患者自我管理和健康教育与健康教育促进等各项工作得到了有效推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（二）存在的问题</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rPr>
        <w:t>通过考核、督导情况来看存在一些问题和薄弱环节，归纳起来，主要有以下几个方面：</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val="zh-CN"/>
        </w:rPr>
        <w:t>公共卫生服务的项目多，人群覆盖面大，工作压力较大，工作人员不足，在一定程度上影响了工作质量。</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val="zh-CN"/>
        </w:rPr>
        <w:t>重点人群健康管理工作尚需加强，入户工作相对较少，主要存在部分随访不及时和不规范问题。普通人群健康档案利用度较低，存在死档现象。 </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val="zh-CN"/>
        </w:rPr>
        <w:t>政府部门支持力度有限，居民对社区卫生服务认识存有距离，对国家政策了解不够深入，“居民健康档案”“家庭医生团队签约服务”等这一系例的国家惠民政策还没被理解和接受。</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楷体简体" w:eastAsia="方正楷体简体" w:cs="方正楷体简体" w:hAnsi="方正楷体简体" w:hint="eastAsia"/>
          <w:sz w:val="32"/>
          <w:szCs w:val="32"/>
          <w:lang w:val="zh-CN"/>
        </w:rPr>
      </w:pPr>
      <w:r>
        <w:rPr>
          <w:rFonts w:ascii="方正楷体简体" w:eastAsia="方正楷体简体" w:cs="方正楷体简体" w:hAnsi="方正楷体简体" w:hint="eastAsia"/>
          <w:sz w:val="32"/>
          <w:szCs w:val="32"/>
          <w:lang w:val="zh-CN"/>
        </w:rPr>
        <w:t>（三）相关建议</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创新运行机制，拓宽服务内涵，强化信息化建设，将公共卫生服务与日常诊疗工作相结合，由家庭医生团队对居民健康实行责任制管理，主动上门服务，通过为居民建立健康档案，设立以社区康复和护理为主要内容的家庭病床，探索开展社区卫生服务首诊制，为居民提供综合、连续、人性化服务。</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2.持续加强公卫科人员的业务知识培训学习，提升科室人员的整体素质，健全工作机制，强化工作职责，在工作中探索新模式，提高公共卫生服务能力。</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3.认真对照督导检查中发现的问题，紧密结合上级业务部门的指导意见，及时发现问题并采取有效措施进行整改，力争在年内完成各项公共卫生服务指标。</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加大宣传力度，提高健康意识。利用慢病随访、家庭医生签约服务、发放健康教育服务等入户机会对群众进行相关知识的健康教育，改变部分群众的不良生活习惯，加强宣传基本公共卫生服务项目内容及国家的相关惠民政策，努力提高群众的健康意识。</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5.加强村卫生室管理，形成齐抓共管的局面，推动基本公共卫生服务项目可持续健康发展。</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lang w:val="zh-CN"/>
        </w:rPr>
      </w:pPr>
    </w:p>
    <w:p>
      <w:pPr>
        <w:pStyle w:val="16"/>
        <w:rPr>
          <w:rFonts w:ascii="方正仿宋简体" w:eastAsia="方正仿宋简体" w:cs="方正仿宋简体" w:hAnsi="方正仿宋简体" w:hint="eastAsia"/>
          <w:sz w:val="32"/>
          <w:szCs w:val="32"/>
          <w:lang w:val="zh-CN"/>
        </w:rPr>
      </w:pPr>
    </w:p>
    <w:p>
      <w:pPr>
        <w:pStyle w:val="16"/>
        <w:rPr>
          <w:rFonts w:ascii="方正仿宋简体" w:eastAsia="方正仿宋简体" w:cs="方正仿宋简体" w:hAnsi="方正仿宋简体" w:hint="eastAsia"/>
          <w:sz w:val="32"/>
          <w:szCs w:val="32"/>
          <w:lang w:val="zh-CN"/>
        </w:rPr>
      </w:pPr>
    </w:p>
    <w:p>
      <w:pPr>
        <w:spacing w:line="600" w:lineRule="exact"/>
        <w:jc w:val="center"/>
        <w:outlineLvl w:val="0"/>
        <w:rPr>
          <w:rStyle w:val="1Char"/>
          <w:rFonts w:ascii="黑体" w:eastAsia="黑体" w:hAnsi="黑体"/>
          <w:b w:val="0"/>
        </w:rPr>
      </w:pPr>
      <w:bookmarkEnd w:id="54"/>
    </w:p>
    <w:p>
      <w:pPr>
        <w:spacing w:line="600" w:lineRule="exact"/>
        <w:jc w:val="center"/>
        <w:outlineLvl w:val="0"/>
        <w:rPr>
          <w:rStyle w:val="1Char"/>
          <w:rFonts w:ascii="方正小标宋简体" w:eastAsia="方正小标宋简体" w:cs="方正小标宋简体" w:hAnsi="方正小标宋简体" w:hint="eastAsia"/>
          <w:b w:val="0"/>
          <w:sz w:val="48"/>
          <w:szCs w:val="48"/>
        </w:rPr>
      </w:pPr>
      <w:r>
        <w:rPr>
          <w:rFonts w:ascii="方正小标宋简体" w:eastAsia="方正小标宋简体" w:cs="方正小标宋简体" w:hAnsi="方正小标宋简体" w:hint="eastAsia"/>
          <w:color w:val="000000"/>
          <w:sz w:val="48"/>
          <w:szCs w:val="48"/>
        </w:rPr>
        <w:t>第</w:t>
      </w:r>
      <w:r>
        <w:rPr>
          <w:rStyle w:val="1Char"/>
          <w:rFonts w:ascii="方正小标宋简体" w:eastAsia="方正小标宋简体" w:cs="方正小标宋简体" w:hAnsi="方正小标宋简体" w:hint="eastAsia"/>
          <w:b w:val="0"/>
          <w:sz w:val="48"/>
          <w:szCs w:val="48"/>
        </w:rPr>
        <w:t>五部分 附表</w:t>
      </w: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6" w:name="_Toc15396619"/>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一、收入支出决算总表</w:t>
      </w:r>
      <w:bookmarkEnd w:id="5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7" w:name="_Toc15396620"/>
      <w:r>
        <w:rPr>
          <w:rFonts w:ascii="方正仿宋简体" w:eastAsia="方正仿宋简体" w:cs="方正仿宋简体" w:hAnsi="方正仿宋简体" w:hint="eastAsia"/>
          <w:sz w:val="32"/>
          <w:szCs w:val="32"/>
        </w:rPr>
        <w:t>二、收入决算表</w:t>
      </w:r>
      <w:bookmarkEnd w:id="57"/>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8" w:name="_Toc15396621"/>
      <w:r>
        <w:rPr>
          <w:rFonts w:ascii="方正仿宋简体" w:eastAsia="方正仿宋简体" w:cs="方正仿宋简体" w:hAnsi="方正仿宋简体" w:hint="eastAsia"/>
          <w:sz w:val="32"/>
          <w:szCs w:val="32"/>
        </w:rPr>
        <w:t>三、支出决算表</w:t>
      </w:r>
      <w:bookmarkEnd w:id="58"/>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59" w:name="_Toc15396622"/>
      <w:r>
        <w:rPr>
          <w:rFonts w:ascii="方正仿宋简体" w:eastAsia="方正仿宋简体" w:cs="方正仿宋简体" w:hAnsi="方正仿宋简体" w:hint="eastAsia"/>
          <w:sz w:val="32"/>
          <w:szCs w:val="32"/>
        </w:rPr>
        <w:t>四、财政拨款收入支出决算总表</w:t>
      </w:r>
      <w:bookmarkEnd w:id="59"/>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0" w:name="_Toc15396623"/>
      <w:r>
        <w:rPr>
          <w:rFonts w:ascii="方正仿宋简体" w:eastAsia="方正仿宋简体" w:cs="方正仿宋简体" w:hAnsi="方正仿宋简体" w:hint="eastAsia"/>
          <w:sz w:val="32"/>
          <w:szCs w:val="32"/>
        </w:rPr>
        <w:t>五、财政拨款支出决算明细表</w:t>
      </w:r>
      <w:bookmarkStart w:id="61" w:name="_Toc15396624"/>
      <w:bookmarkEnd w:id="60"/>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六、一般公共预算财政拨款支出决算表</w:t>
      </w:r>
      <w:bookmarkEnd w:id="61"/>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2" w:name="_Toc15396625"/>
      <w:r>
        <w:rPr>
          <w:rFonts w:ascii="方正仿宋简体" w:eastAsia="方正仿宋简体" w:cs="方正仿宋简体" w:hAnsi="方正仿宋简体" w:hint="eastAsia"/>
          <w:sz w:val="32"/>
          <w:szCs w:val="32"/>
        </w:rPr>
        <w:t>七、一般公共预算财政拨款支出决算明细表</w:t>
      </w:r>
      <w:bookmarkEnd w:id="62"/>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3" w:name="_Toc15396626"/>
      <w:r>
        <w:rPr>
          <w:rFonts w:ascii="方正仿宋简体" w:eastAsia="方正仿宋简体" w:cs="方正仿宋简体" w:hAnsi="方正仿宋简体" w:hint="eastAsia"/>
          <w:sz w:val="32"/>
          <w:szCs w:val="32"/>
        </w:rPr>
        <w:t>八、一般公共预算财政拨款基本支出决算表</w:t>
      </w:r>
      <w:bookmarkEnd w:id="63"/>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4" w:name="_Toc15396627"/>
      <w:r>
        <w:rPr>
          <w:rFonts w:ascii="方正仿宋简体" w:eastAsia="方正仿宋简体" w:cs="方正仿宋简体" w:hAnsi="方正仿宋简体" w:hint="eastAsia"/>
          <w:sz w:val="32"/>
          <w:szCs w:val="32"/>
        </w:rPr>
        <w:t>九、一般公共预算财政拨款项目支出决算表</w:t>
      </w:r>
      <w:bookmarkEnd w:id="64"/>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5" w:name="_Toc15396628"/>
      <w:r>
        <w:rPr>
          <w:rFonts w:ascii="方正仿宋简体" w:eastAsia="方正仿宋简体" w:cs="方正仿宋简体" w:hAnsi="方正仿宋简体" w:hint="eastAsia"/>
          <w:sz w:val="32"/>
          <w:szCs w:val="32"/>
        </w:rPr>
        <w:t>十、一般公共预算财政拨款“三公”经费支出决算表</w:t>
      </w:r>
      <w:bookmarkEnd w:id="65"/>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6" w:name="_Toc15396629"/>
      <w:r>
        <w:rPr>
          <w:rFonts w:ascii="方正仿宋简体" w:eastAsia="方正仿宋简体" w:cs="方正仿宋简体" w:hAnsi="方正仿宋简体" w:hint="eastAsia"/>
          <w:sz w:val="32"/>
          <w:szCs w:val="32"/>
        </w:rPr>
        <w:t>十一、政府性基金预算财政拨款收入支出决算表</w:t>
      </w:r>
      <w:bookmarkEnd w:id="66"/>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7" w:name="_Toc15396630"/>
      <w:r>
        <w:rPr>
          <w:rFonts w:ascii="方正仿宋简体" w:eastAsia="方正仿宋简体" w:cs="方正仿宋简体" w:hAnsi="方正仿宋简体" w:hint="eastAsia"/>
          <w:sz w:val="32"/>
          <w:szCs w:val="32"/>
        </w:rPr>
        <w:t>十二、政府性基金预算财政拨款“三公”经费支出决算表</w:t>
      </w:r>
      <w:bookmarkEnd w:id="67"/>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bookmarkStart w:id="68" w:name="_Toc15396631"/>
      <w:r>
        <w:rPr>
          <w:rFonts w:ascii="方正仿宋简体" w:eastAsia="方正仿宋简体" w:cs="方正仿宋简体" w:hAnsi="方正仿宋简体" w:hint="eastAsia"/>
          <w:sz w:val="32"/>
          <w:szCs w:val="32"/>
        </w:rPr>
        <w:t>十三、国有资本经营预算财政拨款支出决算表</w:t>
      </w:r>
      <w:bookmarkEnd w:id="68"/>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p>
      <w:pPr>
        <w:pageBreakBefore w:val="0"/>
        <w:widowControl w:val="0"/>
        <w:kinsoku/>
        <w:wordWrap/>
        <w:overflowPunct/>
        <w:topLinePunct w:val="0"/>
        <w:autoSpaceDE/>
        <w:autoSpaceDN/>
        <w:bidi w:val="0"/>
        <w:spacing w:line="576" w:lineRule="exact"/>
        <w:ind w:right="0" w:firstLineChars="200" w:firstLine="640"/>
        <w:textAlignment w:val="auto"/>
        <w:rPr>
          <w:rFonts w:ascii="方正仿宋简体" w:eastAsia="方正仿宋简体" w:cs="方正仿宋简体" w:hAnsi="方正仿宋简体" w:hint="eastAsia"/>
          <w:sz w:val="32"/>
          <w:szCs w:val="32"/>
        </w:rPr>
      </w:pPr>
    </w:p>
    <w:sectPr>
      <w:headerReference w:type="default" r:id="rId2"/>
      <w:headerReference w:type="first" r:id="rId3"/>
      <w:footerReference w:type="default" r:id="rId4"/>
      <w:footerReference w:type="first" r:id="rId5"/>
      <w:pgSz w:w="11906" w:h="16838"/>
      <w:pgMar w:top="2098" w:right="1531" w:bottom="1984" w:left="1531" w:header="851" w:footer="1417" w:gutter="0"/>
      <w:pgNumType w:fmt="numberInDash" w:start="1"/>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小标宋简体">
    <w:panose1 w:val="02010601030101010101"/>
    <w:charset w:val="86"/>
    <w:family w:val="script"/>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script"/>
    <w:pitch w:val="variable"/>
    <w:sig w:usb0="00000001" w:usb1="080E0000" w:usb2="00000000" w:usb3="00000000" w:csb0="00040000" w:csb1="00000000"/>
  </w:font>
  <w:font w:name="仿宋">
    <w:altName w:val="方正仿宋_GBK"/>
    <w:panose1 w:val="02010609060101010101"/>
    <w:charset w:val="86"/>
    <w:family w:val="auto"/>
    <w:pitch w:val="variable"/>
    <w:sig w:usb0="00000000" w:usb1="00000000" w:usb2="00000000" w:usb3="00000000" w:csb0="0000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00007A87" w:usb1="80000000" w:usb2="00000008"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 w:name="Calibri">
    <w:altName w:val="Times New Roman"/>
    <w:panose1 w:val="020F0502020204030204"/>
    <w:charset w:val="00"/>
    <w:family w:val="swiss"/>
    <w:pitch w:val="variable"/>
    <w:sig w:usb0="A00002EF" w:usb1="4000207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sz w:val="18"/>
      </w:rPr>
      <mc:AlternateContent>
        <mc:Choice Requires="wps">
          <w:drawing>
            <wp:anchor distT="0" distB="0" distL="114300" distR="114300" simplePos="0" relativeHeight="24" behindDoc="0" locked="0" layoutInCell="1" hidden="0" allowOverlap="1">
              <wp:simplePos x="0" y="0"/>
              <wp:positionH relativeFrom="margin">
                <wp:align>outside</wp:align>
              </wp:positionH>
              <wp:positionV relativeFrom="paragraph">
                <wp:posOffset>0</wp:posOffset>
              </wp:positionV>
              <wp:extent cx="533400" cy="23058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33400" cy="230584"/>
                      </a:xfrm>
                      <a:prstGeom prst="rect"/>
                      <a:noFill/>
                      <a:ln w="6350" cmpd="sng" cap="flat">
                        <a:noFill/>
                        <a:prstDash val="solid"/>
                        <a:round/>
                      </a:ln>
                    </wps:spPr>
                    <wps:txbx id="1">
                      <w:txbxContent>
                        <w:p>
                          <w:pPr>
                            <w:pStyle w:val="18"/>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1600.7999pt;margin-top:0.0pt;width:42.0pt;height:18.15628pt;z-index:24;mso-position-horizontal:outside;mso-position-horizontal-relative:margin;mso-position-vertical:absolute;mso-wrap-style:none;">
              <v:stroke/>
              <v:textbox id="850" inset="0mm,0mm,0mm,0mm" o:insetmode="custom" style="layout-flow:horizontal;v-text-anchor:top;mso-fit-shape-to-text:t;">
                <w:txbxContent>
                  <w:p>
                    <w:pPr>
                      <w:pStyle w:val="18"/>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v:textbox>
            </v:rect>
          </w:pict>
        </mc:Fallback>
      </mc:AlternateContent>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300" distR="114300" simplePos="0" relativeHeight="28" behindDoc="0" locked="0" layoutInCell="1" hidden="0"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type="#_x0000_t1" id="文本框 2" o:spid="_x0000_s4" filled="f" stroked="f" strokeweight="0.5pt" style="position:absolute;margin-left:0.0pt;margin-top:0.0pt;width:144.0pt;height:144.0pt;z-index:28;mso-position-horizontal:outside;mso-position-horizontal-relative:margin;mso-position-vertical:absolute;mso-wrap-style:none;">
              <v:stroke/>
              <v:textbox id="85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- 1 -</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Indent"/>
    <w:qFormat/>
    <w:basedOn w:val="0"/>
    <w:pPr>
      <w:spacing w:after="120"/>
      <w:ind w:leftChars="200" w:left="200"/>
    </w:pPr>
  </w:style>
  <w:style w:type="paragraph" w:styleId="16">
    <w:name w:val="Body Text First Indent 2"/>
    <w:qFormat/>
    <w:basedOn w:val="15"/>
    <w:pPr>
      <w:ind w:firstLineChars="200" w:firstLine="200"/>
    </w:pPr>
  </w:style>
  <w:style w:type="paragraph" w:styleId="17">
    <w:name w:val="Body Text"/>
    <w:qFormat/>
    <w:basedOn w:val="0"/>
    <w:pPr>
      <w:spacing w:beforeLines="30" w:before="30"/>
    </w:pPr>
    <w:rPr>
      <w:rFonts w:ascii="仿宋_GB2312" w:eastAsia="仿宋_GB2312"/>
      <w:kern w:val="0"/>
      <w:sz w:val="24"/>
      <w:szCs w:val="20"/>
    </w:rPr>
  </w:style>
  <w:style w:type="paragraph" w:styleId="18">
    <w:name w:val="footer"/>
    <w:qFormat/>
    <w:basedOn w:val="0"/>
    <w:pPr>
      <w:tabs>
        <w:tab w:val="center" w:pos="4153"/>
        <w:tab w:val="right" w:pos="8306"/>
      </w:tabs>
      <w:snapToGrid w:val="0"/>
      <w:jc w:val="left"/>
    </w:pPr>
    <w:rPr>
      <w:rFonts w:ascii="Calibri" w:hAnsi="Calibri"/>
      <w:kern w:val="0"/>
      <w:sz w:val="18"/>
      <w:szCs w:val="20"/>
    </w:rPr>
  </w:style>
  <w:style w:type="paragraph" w:styleId="19">
    <w:name w:val="header"/>
    <w:qFormat/>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0">
    <w:name w:val="toc 1"/>
    <w:qFormat/>
    <w:basedOn w:val="0"/>
    <w:next w:val="0"/>
    <w:pPr>
      <w:tabs>
        <w:tab w:val="right" w:leader="dot" w:pos="8296"/>
      </w:tabs>
      <w:spacing w:before="93"/>
      <w:jc w:val="center"/>
    </w:pPr>
    <w:rPr>
      <w:rFonts w:ascii="仿宋" w:eastAsia="仿宋" w:hAnsi="仿宋"/>
      <w:sz w:val="28"/>
      <w:szCs w:val="28"/>
    </w:rPr>
  </w:style>
  <w:style w:type="paragraph" w:styleId="21">
    <w:name w:val="toc 2"/>
    <w:qFormat/>
    <w:basedOn w:val="0"/>
    <w:next w:val="0"/>
    <w:pPr>
      <w:tabs>
        <w:tab w:val="right" w:leader="dot" w:pos="8296"/>
      </w:tabs>
      <w:ind w:leftChars="200" w:left="200"/>
    </w:pPr>
  </w:style>
  <w:style w:type="paragraph" w:styleId="22">
    <w:name w:val="Normal (Web)"/>
    <w:qFormat/>
    <w:basedOn w:val="0"/>
    <w:pPr>
      <w:widowControl/>
      <w:spacing w:before="100" w:beforeAutospacing="1" w:after="100" w:afterAutospacing="1"/>
      <w:jc w:val="left"/>
    </w:pPr>
    <w:rPr>
      <w:rFonts w:ascii="宋体" w:cs="宋体" w:hAnsi="宋体"/>
      <w:kern w:val="0"/>
      <w:sz w:val="24"/>
    </w:rPr>
  </w:style>
  <w:style w:type="character" w:styleId="23">
    <w:name w:val="Strong"/>
    <w:qFormat/>
    <w:basedOn w:val="10"/>
    <w:rPr>
      <w:rFonts w:cs="Times New Roman"/>
      <w:b/>
    </w:rPr>
  </w:style>
  <w:style w:type="character" w:styleId="24">
    <w:name w:val="Hyperlink"/>
    <w:qFormat/>
    <w:basedOn w:val="10"/>
    <w:rPr>
      <w:rFonts w:cs="Times New Roman"/>
      <w:color w:val="0000FF"/>
      <w:u w:val="single"/>
    </w:rPr>
  </w:style>
  <w:style w:type="paragraph" w:customStyle="1" w:styleId="25">
    <w:name w:val="BodyTextIndent"/>
    <w:qFormat/>
    <w:basedOn w:val="0"/>
    <w:pPr>
      <w:spacing w:after="120"/>
      <w:ind w:leftChars="200" w:left="200"/>
      <w:textAlignment w:val="baseline"/>
    </w:pPr>
  </w:style>
  <w:style w:type="paragraph" w:customStyle="1" w:styleId="26">
    <w:name w:val="BodyText1I2"/>
    <w:qFormat/>
    <w:basedOn w:val="25"/>
    <w:pPr>
      <w:spacing w:before="100" w:beforeAutospacing="1" w:after="100" w:afterAutospacing="1"/>
      <w:ind w:firstLineChars="200" w:firstLine="200"/>
    </w:pPr>
  </w:style>
  <w:style w:type="paragraph" w:customStyle="1" w:styleId="27">
    <w:name w:val="List Paragraph"/>
    <w:qFormat/>
    <w:basedOn w:val="0"/>
    <w:pPr>
      <w:ind w:firstLineChars="200" w:firstLine="200"/>
    </w:pPr>
  </w:style>
  <w:style w:type="paragraph" w:customStyle="1" w:styleId="28">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character" w:customStyle="1" w:styleId="29">
    <w:name w:val="15"/>
    <w:qFormat/>
    <w:basedOn w:val="10"/>
    <w:rPr>
      <w:rFonts w:ascii="Cambria" w:eastAsia="宋体" w:cs="Times New Roman" w:hAnsi="Cambria"/>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5.png"/><Relationship Id="rId7" Type="http://schemas.openxmlformats.org/officeDocument/2006/relationships/image" Target="media/7.png"/><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styles" Target="styles.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收入决算结构图</a:t>
            </a:r>
          </a:p>
        </c:rich>
      </c:tx>
      <c:layout/>
      <c:overlay val="0"/>
      <c:spPr>
        <a:noFill/>
        <a:ln>
          <a:noFill/>
        </a:ln>
      </c:spPr>
    </c:title>
    <c:autoTitleDeleted val="1"/>
    <c:plotArea>
      <c:layout/>
      <c:pieChart>
        <c:varyColors val="1"/>
        <c:ser>
          <c:idx val="0"/>
          <c:order val="0"/>
          <c:tx>
            <c:strRef>
              <c:f>Sheet1!$B$1</c:f>
              <c:strCache>
                <c:ptCount val="1"/>
                <c:pt idx="0">
                  <c:v>收入决算结构图</c:v>
                </c:pt>
              </c:strCache>
            </c:strRef>
          </c:tx>
          <c:spPr>
            <a:solidFill>
              <a:srgbClr val="4F81BD"/>
            </a:solidFill>
          </c:spPr>
          <c:dPt>
            <c:idx val="0"/>
            <c:bubble3D val="0"/>
            <c:spPr>
              <a:solidFill>
                <a:srgbClr val="5B9BD5"/>
              </a:solidFill>
              <a:ln w="19050">
                <a:solidFill>
                  <a:srgbClr val="FFFFFF"/>
                </a:solidFill>
                <a:prstDash val="solid"/>
              </a:ln>
            </c:spPr>
          </c:dPt>
          <c:dPt>
            <c:idx val="1"/>
            <c:bubble3D val="0"/>
            <c:spPr>
              <a:solidFill>
                <a:srgbClr val="ED7D31"/>
              </a:solidFill>
              <a:ln w="19050">
                <a:solidFill>
                  <a:srgbClr val="FFFFFF"/>
                </a:solidFill>
                <a:prstDash val="solid"/>
              </a:ln>
            </c:spPr>
          </c:dPt>
          <c:dPt>
            <c:idx val="2"/>
            <c:bubble3D val="0"/>
            <c:spPr>
              <a:solidFill>
                <a:srgbClr val="A5A5A5"/>
              </a:solidFill>
              <a:ln w="19050">
                <a:solidFill>
                  <a:srgbClr val="FFFFFF"/>
                </a:solidFill>
                <a:prstDash val="solid"/>
              </a:ln>
            </c:spPr>
          </c:dPt>
          <c:dPt>
            <c:idx val="3"/>
            <c:bubble3D val="0"/>
            <c:spPr>
              <a:solidFill>
                <a:srgbClr val="FFC000"/>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
              <c:idx val="0"/>
              <c:layout>
                <c:manualLayout>
                  <c:x val="0.03445606"/>
                  <c:y val="0.009567683"/>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tx>
                <c:rich>
                  <a:bodyPr vert="horz"/>
                  <a:lstStyle/>
                  <a:p>
                    <a:pPr>
                      <a:defRPr sz="900" b="0" i="0" u="none" strike="noStrike" baseline="0">
                        <a:solidFill>
                          <a:srgbClr val="404040"/>
                        </a:solidFill>
                        <a:latin typeface="Calibri"/>
                        <a:ea typeface="宋体"/>
                        <a:cs typeface="Lucida Sans"/>
                      </a:defRPr>
                    </a:pPr>
                    <a:r>
                      <a:rPr lang="zh-CN"/>
                      <a:t>2071.43</a:t>
                    </a:r>
                  </a:p>
                </c:rich>
              </c:tx>
              <c:showLegendKey val="0"/>
              <c:showVal val="1"/>
              <c:showCatName val="0"/>
              <c:showSerName val="0"/>
              <c:showPercent val="0"/>
              <c:showBubbleSize val="0"/>
            </c:dLbl>
            <c:dLbl>
              <c:idx val="1"/>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1023.79</a:t>
                    </a:r>
                  </a:p>
                </c:rich>
              </c:tx>
              <c:showLegendKey val="0"/>
              <c:showVal val="1"/>
              <c:showCatName val="0"/>
              <c:showSerName val="0"/>
              <c:showPercent val="0"/>
              <c:showBubbleSize val="0"/>
            </c:dLbl>
            <c:dLbl>
              <c:idx val="2"/>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637.36</a:t>
                    </a:r>
                  </a:p>
                </c:rich>
              </c:tx>
              <c:showLegendKey val="0"/>
              <c:showVal val="1"/>
              <c:showCatName val="0"/>
              <c:showSerName val="0"/>
              <c:showPercent val="0"/>
              <c:showBubbleSize val="0"/>
            </c:dLbl>
            <c:dLbl>
              <c:idx val="3"/>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230.28</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Sheet1!$A$2:$A$5</c:f>
              <c:strCache>
                <c:ptCount val="4"/>
                <c:pt idx="0">
                  <c:v>本年收入</c:v>
                </c:pt>
                <c:pt idx="1">
                  <c:v>事业收入</c:v>
                </c:pt>
                <c:pt idx="2">
                  <c:v>一般公共预算财政拨款收入</c:v>
                </c:pt>
                <c:pt idx="3">
                  <c:v>政府性基金预算财政拨款收入</c:v>
                </c:pt>
              </c:strCache>
            </c:strRef>
          </c:cat>
          <c:val>
            <c:numRef>
              <c:f>Sheet1!$B$2:$B$5</c:f>
              <c:numCache>
                <c:formatCode>General</c:formatCode>
                <c:ptCount val="4"/>
                <c:pt idx="0">
                  <c:v>8.2</c:v>
                </c:pt>
                <c:pt idx="1">
                  <c:v>3.2</c:v>
                </c:pt>
                <c:pt idx="2">
                  <c:v>1.4</c:v>
                </c:pt>
                <c:pt idx="3">
                  <c:v>1.2</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595959"/>
                </a:solidFill>
                <a:latin typeface="微软雅黑"/>
                <a:ea typeface="微软雅黑"/>
                <a:cs typeface="Lucida Sans"/>
              </a:defRPr>
            </a:pPr>
            <a:r>
              <a:rPr lang="zh-CN"/>
              <a:t>支出决算结构图</a:t>
            </a:r>
          </a:p>
        </c:rich>
      </c:tx>
      <c:layout>
        <c:manualLayout>
          <c:xMode val="edge"/>
          <c:yMode val="edge"/>
          <c:x val="0.3521919"/>
          <c:y val="0.07022205"/>
        </c:manualLayout>
      </c:layout>
      <c:overlay val="0"/>
      <c:spPr>
        <a:noFill/>
        <a:ln>
          <a:noFill/>
        </a:ln>
      </c:spPr>
    </c:title>
    <c:autoTitleDeleted val="1"/>
    <c:plotArea>
      <c:layout>
        <c:manualLayout>
          <c:layoutTarget val="inner"/>
          <c:xMode val="edge"/>
          <c:yMode val="edge"/>
          <c:x val="0.16908817"/>
          <c:y val="0.18056265"/>
          <c:w val="0.41093144"/>
          <c:h val="0.68653715"/>
        </c:manualLayout>
      </c:layout>
      <c:pieChart>
        <c:varyColors val="1"/>
        <c:ser>
          <c:idx val="0"/>
          <c:order val="0"/>
          <c:tx>
            <c:strRef>
              <c:f>Sheet1!$B$1</c:f>
              <c:strCache>
                <c:ptCount val="1"/>
                <c:pt idx="0">
                  <c:v>系列 1</c:v>
                </c:pt>
              </c:strCache>
            </c:strRef>
          </c:tx>
          <c:spPr>
            <a:solidFill>
              <a:srgbClr val="4F81BD"/>
            </a:solidFill>
            <a:ln w="25400">
              <a:solidFill>
                <a:srgbClr val="DF6A0B"/>
              </a:solidFill>
              <a:prstDash val="solid"/>
            </a:ln>
          </c:spPr>
          <c:explosion val="16"/>
          <c:dPt>
            <c:idx val="0"/>
            <c:bubble3D val="0"/>
            <c:spPr>
              <a:solidFill>
                <a:srgbClr val="A6A6A6"/>
              </a:solidFill>
              <a:ln w="25400">
                <a:solidFill>
                  <a:srgbClr val="A6A6A6"/>
                </a:solidFill>
                <a:prstDash val="solid"/>
              </a:ln>
            </c:spPr>
          </c:dPt>
          <c:dPt>
            <c:idx val="1"/>
            <c:bubble3D val="0"/>
            <c:spPr>
              <a:solidFill>
                <a:srgbClr val="FDC300"/>
              </a:solidFill>
              <a:ln w="25400">
                <a:solidFill>
                  <a:srgbClr val="FDC300"/>
                </a:solidFill>
                <a:prstDash val="solid"/>
              </a:ln>
            </c:spPr>
          </c:dPt>
          <c:dPt>
            <c:idx val="2"/>
            <c:bubble3D val="0"/>
            <c:spPr>
              <a:solidFill>
                <a:srgbClr val="26A2AA"/>
              </a:solidFill>
              <a:ln w="25400">
                <a:solidFill>
                  <a:srgbClr val="26A2AA"/>
                </a:solidFill>
                <a:prstDash val="solid"/>
              </a:ln>
            </c:spPr>
          </c:dPt>
          <c:dPt>
            <c:idx val="3"/>
            <c:bubble3D val="0"/>
            <c:spPr>
              <a:solidFill>
                <a:srgbClr val="DF6A0B"/>
              </a:solidFill>
              <a:ln w="25400">
                <a:solidFill>
                  <a:srgbClr val="DF6A0B"/>
                </a:solidFill>
                <a:prstDash val="solid"/>
              </a:ln>
            </c:spPr>
          </c:dPt>
          <c:dLbls>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numFmt formatCode="0%" sourceLinked="0"/>
            <c:dLbl>
              <c:idx val="0"/>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dLblPos val="outEnd"/>
              <c:tx>
                <c:rich>
                  <a:bodyPr vert="horz"/>
                  <a:lstStyle/>
                  <a:p>
                    <a:pPr>
                      <a:defRPr sz="900" b="0" i="0" u="none" strike="noStrike" baseline="0">
                        <a:solidFill>
                          <a:srgbClr val="404040"/>
                        </a:solidFill>
                        <a:latin typeface="微软雅黑"/>
                        <a:ea typeface="微软雅黑"/>
                        <a:cs typeface="Lucida Sans"/>
                      </a:defRPr>
                    </a:pPr>
                    <a:r>
                      <a:rPr lang="zh-CN" sz="900" b="0" i="0" u="none" strike="noStrike" baseline="0">
                        <a:solidFill>
                          <a:srgbClr val="7F7F7F"/>
                        </a:solidFill>
                        <a:latin typeface="微软雅黑"/>
                        <a:ea typeface="微软雅黑"/>
                        <a:cs typeface="Lucida Sans"/>
                      </a:rPr>
                      <a:t>2020</a:t>
                    </a:r>
                    <a:r>
                      <a:rPr lang="zh-CN" sz="900" b="0" i="0" u="none" strike="noStrike" baseline="0">
                        <a:solidFill>
                          <a:srgbClr val="7F7F7F"/>
                        </a:solidFill>
                        <a:latin typeface="微软雅黑"/>
                        <a:ea typeface="微软雅黑"/>
                        <a:cs typeface="Lucida Sans"/>
                      </a:rPr>
                      <a:t>年</a:t>
                    </a:r>
                  </a:p>
                </c:rich>
              </c:tx>
              <c:showLegendKey val="0"/>
              <c:showVal val="0"/>
              <c:showCatName val="1"/>
              <c:showSerName val="0"/>
              <c:showPercent val="1"/>
              <c:showBubbleSize val="0"/>
              <c:separator>
</c:separator>
            </c:dLbl>
            <c:dLbl>
              <c:idx val="1"/>
              <c:spPr>
                <a:noFill/>
                <a:ln>
                  <a:noFill/>
                </a:ln>
              </c:spPr>
              <c:txPr>
                <a:bodyPr vert="horz" anchor="ctr"/>
                <a:lstStyle/>
                <a:p>
                  <a:pPr algn="ctr">
                    <a:defRPr sz="900" b="0" i="0" u="none" strike="noStrike" baseline="0">
                      <a:solidFill>
                        <a:srgbClr val="FDC300"/>
                      </a:solidFill>
                      <a:latin typeface="微软雅黑"/>
                      <a:ea typeface="微软雅黑"/>
                      <a:cs typeface="Lucida Sans"/>
                    </a:defRPr>
                  </a:pPr>
                  <a:endParaRPr lang="zh-CN"/>
                </a:p>
              </c:txPr>
              <c:dLblPos val="outEnd"/>
              <c:tx>
                <c:rich>
                  <a:bodyPr vert="horz"/>
                  <a:lstStyle/>
                  <a:p>
                    <a:pPr>
                      <a:defRPr sz="900" b="0" i="0" u="none" strike="noStrike" baseline="0">
                        <a:solidFill>
                          <a:srgbClr val="FDC300"/>
                        </a:solidFill>
                        <a:latin typeface="微软雅黑"/>
                        <a:ea typeface="微软雅黑"/>
                        <a:cs typeface="Lucida Sans"/>
                      </a:defRPr>
                    </a:pPr>
                    <a:r>
                      <a:rPr lang="zh-CN"/>
                      <a:t>492.46    25.11</a:t>
                    </a:r>
                  </a:p>
                </c:rich>
              </c:tx>
              <c:showLegendKey val="0"/>
              <c:showVal val="0"/>
              <c:showCatName val="1"/>
              <c:showSerName val="0"/>
              <c:showPercent val="1"/>
              <c:showBubbleSize val="0"/>
              <c:separator>
</c:separator>
            </c:dLbl>
            <c:dLbl>
              <c:idx val="2"/>
              <c:spPr>
                <a:noFill/>
                <a:ln>
                  <a:noFill/>
                </a:ln>
              </c:spPr>
              <c:txPr>
                <a:bodyPr vert="horz" anchor="ctr"/>
                <a:lstStyle/>
                <a:p>
                  <a:pPr algn="ctr">
                    <a:defRPr sz="900" b="0" i="0" u="none" strike="noStrike" baseline="0">
                      <a:solidFill>
                        <a:srgbClr val="26A2AA"/>
                      </a:solidFill>
                      <a:latin typeface="微软雅黑"/>
                      <a:ea typeface="微软雅黑"/>
                      <a:cs typeface="Lucida Sans"/>
                    </a:defRPr>
                  </a:pPr>
                  <a:endParaRPr lang="zh-CN"/>
                </a:p>
              </c:txPr>
              <c:dLblPos val="outEnd"/>
              <c:tx>
                <c:rich>
                  <a:bodyPr vert="horz"/>
                  <a:lstStyle/>
                  <a:p>
                    <a:pPr>
                      <a:defRPr sz="900" b="0" i="0" u="none" strike="noStrike" baseline="0">
                        <a:solidFill>
                          <a:srgbClr val="26A2AA"/>
                        </a:solidFill>
                        <a:latin typeface="微软雅黑"/>
                        <a:ea typeface="微软雅黑"/>
                        <a:cs typeface="Lucida Sans"/>
                      </a:defRPr>
                    </a:pPr>
                    <a:r>
                      <a:rPr lang="zh-CN"/>
                      <a:t>1468.66    74.89%</a:t>
                    </a:r>
                  </a:p>
                </c:rich>
              </c:tx>
              <c:showLegendKey val="0"/>
              <c:showVal val="0"/>
              <c:showCatName val="1"/>
              <c:showSerName val="0"/>
              <c:showPercent val="1"/>
              <c:showBubbleSize val="0"/>
              <c:separator>
</c:separator>
            </c:dLbl>
            <c:dLbl>
              <c:idx val="3"/>
              <c:spPr>
                <a:noFill/>
                <a:ln>
                  <a:noFill/>
                </a:ln>
              </c:spPr>
              <c:txPr>
                <a:bodyPr vert="horz" anchor="ctr"/>
                <a:lstStyle/>
                <a:p>
                  <a:pPr algn="ctr">
                    <a:defRPr sz="900" b="0" i="0" u="none" strike="noStrike" baseline="0">
                      <a:solidFill>
                        <a:srgbClr val="DF6A0B"/>
                      </a:solidFill>
                      <a:latin typeface="微软雅黑"/>
                      <a:ea typeface="微软雅黑"/>
                      <a:cs typeface="Lucida Sans"/>
                    </a:defRPr>
                  </a:pPr>
                  <a:endParaRPr lang="zh-CN"/>
                </a:p>
              </c:txPr>
              <c:dLblPos val="outEnd"/>
              <c:tx>
                <c:rich>
                  <a:bodyPr vert="horz"/>
                  <a:lstStyle/>
                  <a:p>
                    <a:pPr>
                      <a:defRPr sz="900" b="0" i="0" u="none" strike="noStrike" baseline="0">
                        <a:solidFill>
                          <a:srgbClr val="DF6A0B"/>
                        </a:solidFill>
                        <a:latin typeface="微软雅黑"/>
                        <a:ea typeface="微软雅黑"/>
                        <a:cs typeface="Lucida Sans"/>
                      </a:defRPr>
                    </a:pPr>
                    <a:r>
                      <a:rPr lang="zh-CN"/>
                      <a:t>1961.12</a:t>
                    </a:r>
                  </a:p>
                </c:rich>
              </c:tx>
              <c:showLegendKey val="0"/>
              <c:showVal val="0"/>
              <c:showCatName val="1"/>
              <c:showSerName val="0"/>
              <c:showPercent val="1"/>
              <c:showBubbleSize val="0"/>
              <c:separator>
</c:separator>
            </c:dLbl>
            <c:dLblPos val="outEnd"/>
            <c:showLegendKey val="0"/>
            <c:showVal val="0"/>
            <c:showCatName val="1"/>
            <c:showSerName val="0"/>
            <c:showPercent val="1"/>
            <c:showBubbleSize val="0"/>
            <c:separator> </c:separator>
            <c:showLeaderLines val="1"/>
          </c:dLbls>
          <c:cat>
            <c:strRef>
              <c:f>Sheet1!$A$2:$A$5</c:f>
              <c:strCache>
                <c:ptCount val="4"/>
                <c:pt idx="0">
                  <c:v>支出结构年份</c:v>
                </c:pt>
                <c:pt idx="1">
                  <c:v>项目支出</c:v>
                </c:pt>
                <c:pt idx="2">
                  <c:v>基本支出</c:v>
                </c:pt>
                <c:pt idx="3">
                  <c:v>本年度总支出</c:v>
                </c:pt>
              </c:strCache>
            </c:strRef>
          </c:cat>
          <c:val>
            <c:numRef>
              <c:f>Sheet1!$B$2:$B$5</c:f>
              <c:numCache>
                <c:formatCode>General</c:formatCode>
                <c:ptCount val="4"/>
                <c:pt idx="0">
                  <c:v>4.3</c:v>
                </c:pt>
                <c:pt idx="1">
                  <c:v>1.5</c:v>
                </c:pt>
                <c:pt idx="2">
                  <c:v>4.0</c:v>
                </c:pt>
                <c:pt idx="3">
                  <c:v>5.5</c:v>
                </c:pt>
              </c:numCache>
            </c:numRef>
          </c:val>
        </c:ser>
        <c:ser>
          <c:idx val="1"/>
          <c:order val="1"/>
          <c:tx>
            <c:strRef>
              <c:f>Sheet1!$C$1</c:f>
              <c:strCache>
                <c:ptCount val="1"/>
                <c:pt idx="0">
                  <c:v>系列 2</c:v>
                </c:pt>
              </c:strCache>
            </c:strRef>
          </c:tx>
          <c:spPr>
            <a:solidFill>
              <a:srgbClr val="C0504D"/>
            </a:solidFill>
            <a:ln w="25400">
              <a:solidFill>
                <a:srgbClr val="DF6A0B"/>
              </a:solidFill>
              <a:prstDash val="solid"/>
            </a:ln>
          </c:spPr>
          <c:explosion val="16"/>
          <c:dPt>
            <c:idx val="0"/>
            <c:invertIfNegative val="0"/>
            <c:bubble3D val="0"/>
            <c:spPr>
              <a:ln w="25400">
                <a:solidFill>
                  <a:srgbClr val="A6A6A6"/>
                </a:solidFill>
                <a:prstDash val="solid"/>
              </a:ln>
            </c:spPr>
          </c:dPt>
          <c:dPt>
            <c:idx val="1"/>
            <c:invertIfNegative val="0"/>
            <c:bubble3D val="0"/>
            <c:spPr>
              <a:ln w="25400">
                <a:solidFill>
                  <a:srgbClr val="FDC300"/>
                </a:solidFill>
                <a:prstDash val="solid"/>
              </a:ln>
            </c:spPr>
          </c:dPt>
          <c:dPt>
            <c:idx val="2"/>
            <c:invertIfNegative val="0"/>
            <c:bubble3D val="0"/>
            <c:spPr>
              <a:ln w="25400">
                <a:solidFill>
                  <a:srgbClr val="26A2AA"/>
                </a:solidFill>
                <a:prstDash val="solid"/>
              </a:ln>
            </c:spPr>
          </c:dPt>
          <c:dPt>
            <c:idx val="3"/>
            <c:invertIfNegative val="0"/>
            <c:bubble3D val="0"/>
            <c:spPr>
              <a:ln w="25400">
                <a:solidFill>
                  <a:srgbClr val="DF6A0B"/>
                </a:solidFill>
                <a:prstDash val="solid"/>
              </a:ln>
            </c:spPr>
          </c:dPt>
          <c:dLbls>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numFmt formatCode="0%" sourceLinked="0"/>
            <c:dLblPos val="outEnd"/>
            <c:showLegendKey val="0"/>
            <c:showVal val="0"/>
            <c:showCatName val="1"/>
            <c:showSerName val="0"/>
            <c:showPercent val="1"/>
            <c:showBubbleSize val="0"/>
            <c:separator> </c:separator>
            <c:showLeaderLines val="1"/>
          </c:dLbls>
          <c:cat>
            <c:strRef>
              <c:f>Sheet1!$A$2:$A$5</c:f>
              <c:strCache>
                <c:ptCount val="4"/>
                <c:pt idx="0">
                  <c:v>支出结构年份</c:v>
                </c:pt>
                <c:pt idx="1">
                  <c:v>项目支出</c:v>
                </c:pt>
                <c:pt idx="2">
                  <c:v>基本支出</c:v>
                </c:pt>
                <c:pt idx="3">
                  <c:v>本年度总支出</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rgbClr val="9BBB59"/>
            </a:solidFill>
            <a:ln w="25400">
              <a:solidFill>
                <a:srgbClr val="DF6A0B"/>
              </a:solidFill>
              <a:prstDash val="solid"/>
            </a:ln>
          </c:spPr>
          <c:explosion val="16"/>
          <c:dPt>
            <c:idx val="0"/>
            <c:invertIfNegative val="0"/>
            <c:bubble3D val="0"/>
            <c:spPr>
              <a:ln w="25400">
                <a:solidFill>
                  <a:srgbClr val="A6A6A6"/>
                </a:solidFill>
                <a:prstDash val="solid"/>
              </a:ln>
            </c:spPr>
          </c:dPt>
          <c:dPt>
            <c:idx val="1"/>
            <c:invertIfNegative val="0"/>
            <c:bubble3D val="0"/>
            <c:spPr>
              <a:ln w="25400">
                <a:solidFill>
                  <a:srgbClr val="FDC300"/>
                </a:solidFill>
                <a:prstDash val="solid"/>
              </a:ln>
            </c:spPr>
          </c:dPt>
          <c:dPt>
            <c:idx val="2"/>
            <c:invertIfNegative val="0"/>
            <c:bubble3D val="0"/>
            <c:spPr>
              <a:ln w="25400">
                <a:solidFill>
                  <a:srgbClr val="26A2AA"/>
                </a:solidFill>
                <a:prstDash val="solid"/>
              </a:ln>
            </c:spPr>
          </c:dPt>
          <c:dPt>
            <c:idx val="3"/>
            <c:invertIfNegative val="0"/>
            <c:bubble3D val="0"/>
            <c:spPr>
              <a:ln w="25400">
                <a:solidFill>
                  <a:srgbClr val="DF6A0B"/>
                </a:solidFill>
                <a:prstDash val="solid"/>
              </a:ln>
            </c:spPr>
          </c:dPt>
          <c:dLbls>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numFmt formatCode="0%" sourceLinked="0"/>
            <c:dLblPos val="outEnd"/>
            <c:showLegendKey val="0"/>
            <c:showVal val="0"/>
            <c:showCatName val="1"/>
            <c:showSerName val="0"/>
            <c:showPercent val="1"/>
            <c:showBubbleSize val="0"/>
            <c:separator> </c:separator>
            <c:showLeaderLines val="1"/>
          </c:dLbls>
          <c:cat>
            <c:strRef>
              <c:f>Sheet1!$A$2:$A$5</c:f>
              <c:strCache>
                <c:ptCount val="4"/>
                <c:pt idx="0">
                  <c:v>支出结构年份</c:v>
                </c:pt>
                <c:pt idx="1">
                  <c:v>项目支出</c:v>
                </c:pt>
                <c:pt idx="2">
                  <c:v>基本支出</c:v>
                </c:pt>
                <c:pt idx="3">
                  <c:v>本年度总支出</c:v>
                </c:pt>
              </c:strCache>
            </c:strRef>
          </c:cat>
          <c:val>
            <c:numRef>
              <c:f>Sheet1!$D$2:$D$5</c:f>
              <c:numCache>
                <c:formatCode>General</c:formatCode>
                <c:ptCount val="4"/>
                <c:pt idx="0">
                  <c:v>2.0</c:v>
                </c:pt>
                <c:pt idx="1">
                  <c:v>2.0</c:v>
                </c:pt>
                <c:pt idx="2">
                  <c:v>3.0</c:v>
                </c:pt>
                <c:pt idx="3">
                  <c:v>5.0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微软雅黑"/>
              <a:ea typeface="微软雅黑"/>
              <a:cs typeface="Lucida Sans"/>
            </a:defRPr>
          </a:pPr>
          <a:endParaRPr lang="zh-CN"/>
        </a:p>
      </c:txPr>
    </c:legend>
    <c:plotVisOnly val="1"/>
    <c:dispBlanksAs val="gap"/>
    <c:showDLblsOverMax val="0"/>
  </c:chart>
  <c:spPr>
    <a:solidFill>
      <a:srgbClr val="FFFFFF"/>
    </a:solidFill>
    <a:ln w="12700">
      <a:solidFill>
        <a:srgbClr val="D9D9D9"/>
      </a:solidFill>
      <a:prstDash val="solid"/>
    </a:ln>
    <a:effectLst>
      <a:outerShdw sx="0" sy="0" algn="b" rotWithShape="0" blurRad="63500" dist="37357" dir="2700000">
        <a:srgbClr val="000000">
          <a:alpha val="99607"/>
        </a:srgbClr>
      </a:outerShdw>
    </a:effectLst>
  </c:spPr>
  <c:txPr>
    <a:bodyPr/>
    <a:lstStyle/>
    <a:p>
      <a:pPr>
        <a:defRPr sz="1000" b="0" i="0" u="none" strike="noStrike" baseline="0">
          <a:solidFill>
            <a:srgbClr val="00000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汉仪旗黑-55简"/>
                <a:ea typeface="汉仪旗黑-55简"/>
                <a:cs typeface="Lucida Sans"/>
              </a:defRPr>
            </a:pPr>
            <a:r>
              <a:rPr lang="zh-CN"/>
              <a:t>财政拨款收、支总计变动情况图</a:t>
            </a:r>
          </a:p>
        </c:rich>
      </c:tx>
      <c:layout>
        <c:manualLayout>
          <c:xMode val="edge"/>
          <c:yMode val="edge"/>
          <c:x val="0.2710336"/>
          <c:y val="0.06497336"/>
        </c:manualLayout>
      </c:layout>
      <c:overlay val="0"/>
      <c:spPr>
        <a:noFill/>
        <a:ln>
          <a:noFill/>
        </a:ln>
      </c:spPr>
    </c:title>
    <c:autoTitleDeleted val="1"/>
    <c:plotArea>
      <c:layout>
        <c:manualLayout>
          <c:layoutTarget val="inner"/>
          <c:xMode val="edge"/>
          <c:yMode val="edge"/>
          <c:x val="0.07033799"/>
          <c:y val="0.28584012"/>
          <c:w val="0.8803341"/>
          <c:h val="0.59370184"/>
        </c:manualLayout>
      </c:layout>
      <c:barChart>
        <c:barDir val="col"/>
        <c:grouping val="clustered"/>
        <c:varyColors val="0"/>
        <c:ser>
          <c:idx val="0"/>
          <c:order val="0"/>
          <c:tx>
            <c:strRef>
              <c:f>Sheet1!$B$1</c:f>
              <c:strCache>
                <c:ptCount val="1"/>
                <c:pt idx="0">
                  <c:v>2020年</c:v>
                </c:pt>
              </c:strCache>
            </c:strRef>
          </c:tx>
          <c:spPr>
            <a:solidFill>
              <a:srgbClr val="6FCAC9"/>
            </a:solidFill>
            <a:ln>
              <a:noFill/>
            </a:ln>
          </c:spPr>
          <c:invertIfNegative val="0"/>
          <c:dLbls>
            <c:spPr>
              <a:noFill/>
              <a:ln>
                <a:noFill/>
              </a:ln>
            </c:spPr>
            <c:txPr>
              <a:bodyPr vert="horz" anchor="ctr"/>
              <a:lstStyle/>
              <a:p>
                <a:pPr algn="ctr">
                  <a:defRPr sz="1000" b="0" i="0" u="none" strike="noStrike" baseline="0">
                    <a:solidFill>
                      <a:srgbClr val="404040"/>
                    </a:solidFill>
                    <a:latin typeface="汉仪旗黑-55简"/>
                    <a:ea typeface="汉仪旗黑-55简"/>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Sheet1!$A$2:$A$5</c:f>
              <c:strCache>
                <c:ptCount val="4"/>
                <c:pt idx="0">
                  <c:v>财政拨款收入</c:v>
                </c:pt>
                <c:pt idx="1">
                  <c:v>财政拨款支出</c:v>
                </c:pt>
                <c:pt idx="2">
                  <c:v>增加金额</c:v>
                </c:pt>
                <c:pt idx="3">
                  <c:v>增加百分比</c:v>
                </c:pt>
              </c:strCache>
            </c:strRef>
          </c:cat>
          <c:val>
            <c:numRef>
              <c:f>Sheet1!$B$2:$B$5</c:f>
              <c:numCache>
                <c:formatCode>General</c:formatCode>
                <c:ptCount val="4"/>
                <c:pt idx="0">
                  <c:v>867.63</c:v>
                </c:pt>
                <c:pt idx="1">
                  <c:v>813.12</c:v>
                </c:pt>
                <c:pt idx="2">
                  <c:v>327.35</c:v>
                </c:pt>
                <c:pt idx="3">
                  <c:v>60.59</c:v>
                </c:pt>
              </c:numCache>
            </c:numRef>
          </c:val>
        </c:ser>
        <c:ser>
          <c:idx val="1"/>
          <c:order val="1"/>
          <c:tx>
            <c:strRef>
              <c:f>Sheet1!$C$1</c:f>
              <c:strCache>
                <c:ptCount val="1"/>
                <c:pt idx="0">
                  <c:v>2019年</c:v>
                </c:pt>
              </c:strCache>
            </c:strRef>
          </c:tx>
          <c:spPr>
            <a:solidFill>
              <a:srgbClr val="B1A5DC"/>
            </a:solidFill>
            <a:ln>
              <a:noFill/>
            </a:ln>
          </c:spPr>
          <c:invertIfNegative val="0"/>
          <c:dLbls>
            <c:spPr>
              <a:noFill/>
              <a:ln>
                <a:noFill/>
              </a:ln>
            </c:spPr>
            <c:txPr>
              <a:bodyPr vert="horz" anchor="ctr"/>
              <a:lstStyle/>
              <a:p>
                <a:pPr algn="ctr">
                  <a:defRPr sz="1000" b="0" i="0" u="none" strike="noStrike" baseline="0">
                    <a:solidFill>
                      <a:srgbClr val="404040"/>
                    </a:solidFill>
                    <a:latin typeface="汉仪旗黑-55简"/>
                    <a:ea typeface="汉仪旗黑-55简"/>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Sheet1!$A$2:$A$5</c:f>
              <c:strCache>
                <c:ptCount val="4"/>
                <c:pt idx="0">
                  <c:v>财政拨款收入</c:v>
                </c:pt>
                <c:pt idx="1">
                  <c:v>财政拨款支出</c:v>
                </c:pt>
                <c:pt idx="2">
                  <c:v>增加金额</c:v>
                </c:pt>
                <c:pt idx="3">
                  <c:v>增加百分比</c:v>
                </c:pt>
              </c:strCache>
            </c:strRef>
          </c:cat>
          <c:val>
            <c:numRef>
              <c:f>Sheet1!$C$2:$C$5</c:f>
              <c:numCache>
                <c:formatCode>General</c:formatCode>
                <c:ptCount val="4"/>
                <c:pt idx="0">
                  <c:v>540.28</c:v>
                </c:pt>
                <c:pt idx="1">
                  <c:v>629.29</c:v>
                </c:pt>
                <c:pt idx="2">
                  <c:v>183.83</c:v>
                </c:pt>
                <c:pt idx="3">
                  <c:v>29.21</c:v>
                </c:pt>
              </c:numCache>
            </c:numRef>
          </c:val>
        </c:ser>
        <c:ser>
          <c:idx val="2"/>
          <c:order val="2"/>
          <c:spPr>
            <a:solidFill>
              <a:srgbClr val="7BB5EB"/>
            </a:solidFill>
            <a:ln>
              <a:noFill/>
            </a:ln>
          </c:spPr>
          <c:invertIfNegative val="0"/>
          <c:dLbls>
            <c:spPr>
              <a:noFill/>
              <a:ln>
                <a:noFill/>
              </a:ln>
            </c:spPr>
            <c:txPr>
              <a:bodyPr vert="horz" anchor="ctr"/>
              <a:lstStyle/>
              <a:p>
                <a:pPr algn="ctr">
                  <a:defRPr sz="1000" b="0" i="0" u="none" strike="noStrike" baseline="0">
                    <a:solidFill>
                      <a:srgbClr val="404040"/>
                    </a:solidFill>
                    <a:latin typeface="汉仪旗黑-55简"/>
                    <a:ea typeface="汉仪旗黑-55简"/>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Sheet1!$A$2:$A$5</c:f>
              <c:strCache>
                <c:ptCount val="4"/>
                <c:pt idx="0">
                  <c:v>财政拨款收入</c:v>
                </c:pt>
                <c:pt idx="1">
                  <c:v>财政拨款支出</c:v>
                </c:pt>
                <c:pt idx="2">
                  <c:v>增加金额</c:v>
                </c:pt>
                <c:pt idx="3">
                  <c:v>增加百分比</c:v>
                </c:pt>
              </c:strCache>
            </c:strRef>
          </c:cat>
          <c:val>
            <c:numRef>
              <c:f/>
              <c:numCache>
                <c:formatCode>General</c:formatCode>
                <c:ptCount val="1"/>
                <c:pt idx="0">
                  <c:v>1.0</c:v>
                </c:pt>
              </c:numCache>
            </c:numRef>
          </c:val>
        </c:ser>
        <c:overlap val="-20"/>
        <c:gapWidth val="220"/>
        <c:axId val="0"/>
        <c:axId val="1"/>
      </c:barChart>
      <c:catAx>
        <c:axId val="0"/>
        <c:scaling>
          <c:orientation val="minMax"/>
        </c:scaling>
        <c:delete val="0"/>
        <c:axPos val="b"/>
        <c:numFmt formatCode="General" sourceLinked="1"/>
        <c:majorTickMark val="none"/>
        <c:minorTickMark val="none"/>
        <c:tickLblPos val="nextTo"/>
        <c:spPr>
          <a:ln w="12700">
            <a:solidFill>
              <a:srgbClr val="F2F2F2"/>
            </a:solidFill>
            <a:prstDash val="solid"/>
          </a:ln>
        </c:spPr>
        <c:txPr>
          <a:bodyPr/>
          <a:lstStyle/>
          <a:p>
            <a:pPr>
              <a:defRPr sz="1000" b="0" i="0" u="none" strike="noStrike" baseline="0">
                <a:solidFill>
                  <a:srgbClr val="595959"/>
                </a:solidFill>
                <a:latin typeface="汉仪旗黑-55简"/>
                <a:ea typeface="汉仪旗黑-55简"/>
                <a:cs typeface="Lucida Sans"/>
              </a:defRPr>
            </a:pPr>
            <a:endParaRPr lang="zh-CN"/>
          </a:p>
        </c:txPr>
        <c:crosses val="autoZero"/>
        <c:auto val="1"/>
        <c:lblOffset val="100"/>
        <c:lblAlgn val="ctr"/>
        <c:noMultiLvlLbl val="0"/>
        <c:crossAx val="1"/>
      </c:catAx>
      <c:valAx>
        <c:axId val="1"/>
        <c:scaling>
          <c:orientation val="minMax"/>
        </c:scaling>
        <c:delete val="1"/>
        <c:axPos val="l"/>
        <c:majorGridlines>
          <c:spPr>
            <a:ln w="12700">
              <a:solidFill>
                <a:srgbClr val="F2F2F2"/>
              </a:solidFill>
              <a:prstDash val="sysDash"/>
            </a:ln>
          </c:spPr>
        </c:majorGridlines>
        <c:numFmt formatCode="General" sourceLinked="1"/>
        <c:majorTickMark val="none"/>
        <c:minorTickMark val="none"/>
        <c:tickLblPos val="nextTo"/>
        <c:txPr>
          <a:bodyPr/>
          <a:lstStyle/>
          <a:p>
            <a:pPr>
              <a:defRPr sz="900" b="0" i="0" u="none" strike="noStrike" baseline="0">
                <a:solidFill>
                  <a:srgbClr val="595959"/>
                </a:solidFill>
                <a:latin typeface="汉仪旗黑-55简"/>
                <a:ea typeface="汉仪旗黑-55简"/>
                <a:cs typeface="Lucida Sans"/>
              </a:defRPr>
            </a:pPr>
            <a:endParaRPr lang="zh-CN"/>
          </a:p>
        </c:txPr>
        <c:crosses val="autoZero"/>
        <c:crossBetween val="between"/>
        <c:crossAx val="0"/>
      </c:valAx>
      <c:spPr>
        <a:noFill/>
        <a:ln w="3175">
          <a:solidFill>
            <a:srgbClr val="F2F2F2"/>
          </a:solidFill>
          <a:prstDash val="solid"/>
        </a:ln>
      </c:spPr>
    </c:plotArea>
    <c:legend>
      <c:legendPos val="b"/>
      <c:layout>
        <c:manualLayout>
          <c:xMode val="edge"/>
          <c:yMode val="edge"/>
          <c:x val="0.39424998"/>
          <c:y val="0.15830544"/>
        </c:manualLayout>
      </c:layout>
      <c:overlay val="0"/>
      <c:spPr>
        <a:noFill/>
        <a:ln>
          <a:noFill/>
        </a:ln>
      </c:spPr>
      <c:txPr>
        <a:bodyPr/>
        <a:lstStyle/>
        <a:p>
          <a:pPr>
            <a:defRPr sz="900" b="0" i="0" u="none" strike="noStrike" baseline="0">
              <a:solidFill>
                <a:srgbClr val="595959"/>
              </a:solidFill>
              <a:latin typeface="汉仪旗黑-55简"/>
              <a:ea typeface="汉仪旗黑-55简"/>
              <a:cs typeface="Lucida Sans"/>
            </a:defRPr>
          </a:pPr>
          <a:endParaRPr lang="zh-CN"/>
        </a:p>
      </c:txPr>
      <c:legendEntry>
        <c:idx val="2"/>
        <c:delete val="1"/>
      </c:legendEntry>
    </c:legend>
    <c:plotVisOnly val="1"/>
    <c:dispBlanksAs val="gap"/>
    <c:showDLblsOverMax val="0"/>
  </c:chart>
  <c:spPr>
    <a:solidFill>
      <a:srgbClr val="FFFFFF"/>
    </a:solidFill>
    <a:ln w="25400">
      <a:solidFill>
        <a:srgbClr val="868686"/>
      </a:solidFill>
      <a:prstDash val="solid"/>
    </a:ln>
  </c:spPr>
  <c:txPr>
    <a:bodyPr/>
    <a:lstStyle/>
    <a:p>
      <a:pPr>
        <a:defRPr sz="1000" b="0" i="0" u="none" strike="noStrike" baseline="0">
          <a:solidFill>
            <a:srgbClr val="000000"/>
          </a:solidFill>
          <a:latin typeface="汉仪旗黑-55简"/>
          <a:ea typeface="汉仪旗黑-55简"/>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800" b="1" i="0" u="none" strike="noStrike" baseline="0">
                <a:solidFill>
                  <a:srgbClr val="000000"/>
                </a:solidFill>
                <a:latin typeface="Times New Roman"/>
                <a:ea typeface="宋体"/>
                <a:cs typeface="Lucida Sans"/>
              </a:defRPr>
            </a:pPr>
            <a:r>
              <a:rPr lang="zh-CN"/>
              <a:t> </a:t>
            </a:r>
          </a:p>
        </c:rich>
      </c:tx>
      <c:layout/>
      <c:overlay val="0"/>
      <c:spPr>
        <a:noFill/>
        <a:ln>
          <a:noFill/>
        </a:ln>
      </c:spPr>
    </c:title>
    <c:autoTitleDeleted val="1"/>
    <c:plotArea>
      <c:layout/>
      <c:barChart>
        <c:barDir val="col"/>
        <c:grouping val="percentStacked"/>
        <c:varyColors val="0"/>
        <c:ser>
          <c:idx val="0"/>
          <c:order val="0"/>
          <c:tx>
            <c:strRef>
              <c:f>Sheet1!$B$1</c:f>
              <c:strCache>
                <c:ptCount val="1"/>
                <c:pt idx="0">
                  <c:v>2020年</c:v>
                </c:pt>
              </c:strCache>
            </c:strRef>
          </c:tx>
          <c:spPr>
            <a:solidFill>
              <a:srgbClr val="5B9BD5"/>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in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Sheet1!$A$2:$A$6</c:f>
              <c:strCache>
                <c:ptCount val="5"/>
                <c:pt idx="0">
                  <c:v>年份</c:v>
                </c:pt>
                <c:pt idx="1">
                  <c:v>一般公共预算财政拨款支出</c:v>
                </c:pt>
                <c:pt idx="2">
                  <c:v>占比</c:v>
                </c:pt>
                <c:pt idx="3">
                  <c:v>一般公共预算财政拨款减少</c:v>
                </c:pt>
                <c:pt idx="4">
                  <c:v>减少比例</c:v>
                </c:pt>
              </c:strCache>
            </c:strRef>
          </c:cat>
          <c:val>
            <c:numRef>
              <c:f>Sheet1!$B$2:$B$6</c:f>
              <c:numCache>
                <c:formatCode>General</c:formatCode>
                <c:ptCount val="5"/>
                <c:pt idx="0">
                  <c:v>3.35</c:v>
                </c:pt>
                <c:pt idx="1">
                  <c:v>582.84</c:v>
                </c:pt>
                <c:pt idx="2">
                  <c:v>44.29</c:v>
                </c:pt>
                <c:pt idx="3">
                  <c:v>46.45</c:v>
                </c:pt>
                <c:pt idx="4">
                  <c:v>7.97</c:v>
                </c:pt>
              </c:numCache>
            </c:numRef>
          </c:val>
        </c:ser>
        <c:ser>
          <c:idx val="1"/>
          <c:order val="1"/>
          <c:tx>
            <c:strRef>
              <c:f>Sheet1!$C$1</c:f>
              <c:strCache>
                <c:ptCount val="1"/>
                <c:pt idx="0">
                  <c:v>2019年</c:v>
                </c:pt>
              </c:strCache>
            </c:strRef>
          </c:tx>
          <c:spPr>
            <a:solidFill>
              <a:srgbClr val="ED7D31"/>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in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Sheet1!$A$2:$A$6</c:f>
              <c:strCache>
                <c:ptCount val="5"/>
                <c:pt idx="0">
                  <c:v>年份</c:v>
                </c:pt>
                <c:pt idx="1">
                  <c:v>一般公共预算财政拨款支出</c:v>
                </c:pt>
                <c:pt idx="2">
                  <c:v>占比</c:v>
                </c:pt>
                <c:pt idx="3">
                  <c:v>一般公共预算财政拨款减少</c:v>
                </c:pt>
                <c:pt idx="4">
                  <c:v>减少比例</c:v>
                </c:pt>
              </c:strCache>
            </c:strRef>
          </c:cat>
          <c:val>
            <c:numRef>
              <c:f>Sheet1!$C$2:$C$6</c:f>
              <c:numCache>
                <c:formatCode>General</c:formatCode>
                <c:ptCount val="5"/>
                <c:pt idx="0">
                  <c:v>3.35</c:v>
                </c:pt>
                <c:pt idx="1">
                  <c:v>629.29</c:v>
                </c:pt>
                <c:pt idx="2">
                  <c:v>0.0</c:v>
                </c:pt>
              </c:numCache>
            </c:numRef>
          </c:val>
        </c:ser>
        <c:overlap val="100"/>
        <c:gapWidth val="150"/>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0%"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一般公共预算财政拨款支出决算结构图</a:t>
            </a:r>
          </a:p>
        </c:rich>
      </c:tx>
      <c:layout/>
      <c:overlay val="0"/>
      <c:spPr>
        <a:noFill/>
        <a:ln>
          <a:noFill/>
        </a:ln>
      </c:spPr>
    </c:title>
    <c:autoTitleDeleted val="1"/>
    <c:plotArea>
      <c:layout>
        <c:manualLayout>
          <c:layoutTarget val="inner"/>
          <c:xMode val="edge"/>
          <c:yMode val="edge"/>
          <c:x val="0.09708139"/>
          <c:y val="0.20420572"/>
          <c:w val="0.48676"/>
          <c:h val="0.7153981"/>
        </c:manualLayout>
      </c:layout>
      <c:pieChart>
        <c:varyColors val="1"/>
        <c:ser>
          <c:idx val="0"/>
          <c:order val="0"/>
          <c:tx>
            <c:strRef>
              <c:f>Sheet1!$B$1</c:f>
              <c:strCache>
                <c:ptCount val="1"/>
                <c:pt idx="0">
                  <c:v>销售额</c:v>
                </c:pt>
              </c:strCache>
            </c:strRef>
          </c:tx>
          <c:spPr>
            <a:solidFill>
              <a:srgbClr val="4F81BD"/>
            </a:solidFill>
          </c:spPr>
          <c:dPt>
            <c:idx val="0"/>
            <c:bubble3D val="0"/>
            <c:spPr>
              <a:solidFill>
                <a:srgbClr val="5B9BD5"/>
              </a:solidFill>
              <a:ln w="19050">
                <a:solidFill>
                  <a:srgbClr val="FFFFFF"/>
                </a:solidFill>
                <a:prstDash val="solid"/>
              </a:ln>
            </c:spPr>
          </c:dPt>
          <c:dPt>
            <c:idx val="1"/>
            <c:bubble3D val="0"/>
            <c:explosion val="6"/>
            <c:spPr>
              <a:solidFill>
                <a:srgbClr val="ED7D31"/>
              </a:solidFill>
              <a:ln w="19050">
                <a:solidFill>
                  <a:srgbClr val="FFFFFF"/>
                </a:solidFill>
                <a:prstDash val="solid"/>
              </a:ln>
            </c:spPr>
          </c:dPt>
          <c:dPt>
            <c:idx val="2"/>
            <c:bubble3D val="0"/>
            <c:explosion val="13"/>
            <c:spPr>
              <a:solidFill>
                <a:srgbClr val="A5A5A5"/>
              </a:solidFill>
              <a:ln w="19050">
                <a:solidFill>
                  <a:srgbClr val="FFFFFF"/>
                </a:solidFill>
                <a:prstDash val="solid"/>
              </a:ln>
            </c:spPr>
          </c:dPt>
          <c:dPt>
            <c:idx val="3"/>
            <c:bubble3D val="0"/>
            <c:explosion val="12"/>
            <c:spPr>
              <a:solidFill>
                <a:srgbClr val="FFC000"/>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
              <c:idx val="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582.84</a:t>
                    </a:r>
                  </a:p>
                </c:rich>
              </c:tx>
              <c:showLegendKey val="0"/>
              <c:showVal val="1"/>
              <c:showCatName val="0"/>
              <c:showSerName val="0"/>
              <c:showPercent val="0"/>
              <c:showBubbleSize val="0"/>
            </c:dLbl>
            <c:dLbl>
              <c:idx val="1"/>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510.51</a:t>
                    </a:r>
                  </a:p>
                </c:rich>
              </c:tx>
              <c:showLegendKey val="0"/>
              <c:showVal val="1"/>
              <c:showCatName val="0"/>
              <c:showSerName val="0"/>
              <c:showPercent val="0"/>
              <c:showBubbleSize val="0"/>
            </c:dLbl>
            <c:dLbl>
              <c:idx val="2"/>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48.86</a:t>
                    </a:r>
                  </a:p>
                </c:rich>
              </c:tx>
              <c:showLegendKey val="0"/>
              <c:showVal val="1"/>
              <c:showCatName val="0"/>
              <c:showSerName val="0"/>
              <c:showPercent val="0"/>
              <c:showBubbleSize val="0"/>
            </c:dLbl>
            <c:dLbl>
              <c:idx val="3"/>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tx>
                <c:rich>
                  <a:bodyPr vert="horz"/>
                  <a:lstStyle/>
                  <a:p>
                    <a:pPr>
                      <a:defRPr sz="900" b="0" i="0" u="none" strike="noStrike" baseline="0">
                        <a:solidFill>
                          <a:srgbClr val="404040"/>
                        </a:solidFill>
                        <a:latin typeface="Calibri"/>
                        <a:ea typeface="宋体"/>
                        <a:cs typeface="Lucida Sans"/>
                      </a:defRPr>
                    </a:pPr>
                    <a:r>
                      <a:rPr lang="zh-CN"/>
                      <a:t>23.43</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Sheet1!$A$2:$A$5</c:f>
              <c:strCache>
                <c:ptCount val="4"/>
                <c:pt idx="0">
                  <c:v>全年支出</c:v>
                </c:pt>
                <c:pt idx="1">
                  <c:v>卫生健康支出</c:v>
                </c:pt>
                <c:pt idx="2">
                  <c:v>社会保障和就业支出</c:v>
                </c:pt>
                <c:pt idx="3">
                  <c:v>住房保障支出</c:v>
                </c:pt>
              </c:strCache>
            </c:strRef>
          </c:cat>
          <c:val>
            <c:numRef>
              <c:f>Sheet1!$B$2:$B$5</c:f>
              <c:numCache>
                <c:formatCode>General</c:formatCode>
                <c:ptCount val="4"/>
                <c:pt idx="0">
                  <c:v>7.0</c:v>
                </c:pt>
                <c:pt idx="1">
                  <c:v>5.0</c:v>
                </c:pt>
                <c:pt idx="2">
                  <c:v>1.2</c:v>
                </c:pt>
                <c:pt idx="3">
                  <c:v>0.8</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D45D82F-9197-4EFE-A067-3EB85729081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WPS_Yozo_Office9.0.5233.191ZH.S1</Application>
  <Pages>51</Pages>
  <Words>0</Words>
  <Characters>17182</Characters>
  <Lines>0</Lines>
  <Paragraphs>431</Paragraphs>
  <CharactersWithSpaces>22910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书虫</dc:creator>
  <cp:lastModifiedBy>user</cp:lastModifiedBy>
  <cp:revision>1</cp:revision>
  <dcterms:created xsi:type="dcterms:W3CDTF">2021-09-28T07:34:00Z</dcterms:created>
  <dcterms:modified xsi:type="dcterms:W3CDTF">2025-01-07T01:50:25Z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ICV">
    <vt:lpwstr>93770C476F0548D5B31C691A9885C4FD</vt:lpwstr>
  </property>
  <property fmtid="{D5CDD505-2E9C-101B-9397-08002B2CF9AE}" pid="4" name="KSOSaveFontToCloudKey">
    <vt:lpwstr>659783407_cloud</vt:lpwstr>
  </property>
</Properties>
</file>