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emf" ContentType="image/e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outlineLvl w:val="0"/>
        <w:rPr>
          <w:rFonts w:ascii="方正小标宋简体" w:eastAsia="方正小标宋简体" w:hAnsi="宋体"/>
          <w:szCs w:val="21"/>
        </w:rPr>
      </w:pPr>
      <w:bookmarkStart w:id="0" w:name="_Toc15306267"/>
      <w:bookmarkStart w:id="1" w:name="_GoBack"/>
      <w:bookmarkEnd w:id="1"/>
    </w:p>
    <w:p>
      <w:pPr>
        <w:pStyle w:val="15"/>
        <w:spacing w:beforeLines="0" w:before="93"/>
      </w:pPr>
    </w:p>
    <w:p>
      <w:pPr>
        <w:spacing w:line="600" w:lineRule="exact"/>
        <w:jc w:val="center"/>
        <w:outlineLvl w:val="0"/>
        <w:rPr>
          <w:rFonts w:ascii="方正小标宋简体" w:eastAsia="方正小标宋简体" w:hAnsi="宋体"/>
          <w:sz w:val="72"/>
          <w:szCs w:val="72"/>
        </w:rPr>
      </w:pPr>
    </w:p>
    <w:p>
      <w:pPr>
        <w:adjustRightInd w:val="0"/>
        <w:snapToGrid w:val="0"/>
        <w:spacing w:line="360" w:lineRule="auto"/>
        <w:jc w:val="center"/>
        <w:outlineLvl w:val="0"/>
        <w:rPr>
          <w:rFonts w:ascii="方正小标宋简体" w:eastAsia="方正小标宋简体" w:cs="方正小标宋简体" w:hAnsi="方正小标宋简体"/>
          <w:sz w:val="72"/>
          <w:szCs w:val="72"/>
        </w:rPr>
      </w:pPr>
      <w:r>
        <w:rPr>
          <w:rFonts w:ascii="方正小标宋简体" w:eastAsia="方正小标宋简体" w:cs="方正小标宋简体" w:hAnsi="方正小标宋简体" w:hint="eastAsia"/>
          <w:sz w:val="72"/>
          <w:szCs w:val="72"/>
        </w:rPr>
        <w:t>2023年度</w:t>
      </w:r>
    </w:p>
    <w:p>
      <w:pPr>
        <w:adjustRightInd w:val="0"/>
        <w:snapToGrid w:val="0"/>
        <w:spacing w:line="360" w:lineRule="auto"/>
        <w:jc w:val="center"/>
        <w:outlineLvl w:val="0"/>
        <w:rPr>
          <w:rFonts w:ascii="方正小标宋简体" w:eastAsia="方正小标宋简体" w:cs="方正小标宋简体" w:hAnsi="方正小标宋简体"/>
          <w:sz w:val="72"/>
          <w:szCs w:val="72"/>
        </w:rPr>
      </w:pPr>
      <w:r>
        <w:rPr>
          <w:rFonts w:ascii="方正小标宋简体" w:eastAsia="方正小标宋简体" w:cs="方正小标宋简体" w:hAnsi="方正小标宋简体" w:hint="eastAsia"/>
          <w:sz w:val="72"/>
          <w:szCs w:val="72"/>
        </w:rPr>
        <w:t>四川省广元市利州区疾病预防控制中心单位决算</w:t>
      </w:r>
    </w:p>
    <w:p>
      <w:pPr>
        <w:spacing w:line="600" w:lineRule="exact"/>
        <w:jc w:val="center"/>
        <w:outlineLvl w:val="0"/>
        <w:rPr>
          <w:rFonts w:ascii="方正小标宋简体" w:eastAsia="方正小标宋简体" w:hAnsi="宋体"/>
          <w:sz w:val="72"/>
          <w:szCs w:val="72"/>
        </w:rPr>
      </w:pPr>
    </w:p>
    <w:p>
      <w:pPr>
        <w:spacing w:line="600" w:lineRule="exact"/>
        <w:jc w:val="center"/>
        <w:outlineLvl w:val="0"/>
        <w:rPr>
          <w:rFonts w:ascii="方正小标宋简体" w:eastAsia="方正小标宋简体" w:hAnsi="宋体"/>
          <w:sz w:val="72"/>
          <w:szCs w:val="72"/>
        </w:rPr>
      </w:pPr>
    </w:p>
    <w:p>
      <w:pPr>
        <w:pStyle w:val="15"/>
        <w:spacing w:beforeLines="0" w:before="93"/>
        <w:jc w:val="center"/>
        <w:rPr>
          <w:rFonts w:ascii="方正小标宋简体" w:eastAsia="方正小标宋简体" w:hAnsi="宋体"/>
          <w:kern w:val="2"/>
          <w:sz w:val="44"/>
          <w:szCs w:val="44"/>
        </w:rPr>
      </w:pPr>
      <w:bookmarkEnd w:id="0"/>
    </w:p>
    <w:p>
      <w:pPr>
        <w:pStyle w:val="15"/>
        <w:spacing w:beforeLines="0" w:before="93"/>
        <w:jc w:val="center"/>
        <w:rPr>
          <w:rFonts w:ascii="方正小标宋简体" w:eastAsia="方正小标宋简体" w:hAnsi="宋体"/>
          <w:kern w:val="2"/>
          <w:sz w:val="44"/>
          <w:szCs w:val="44"/>
        </w:rPr>
      </w:pPr>
    </w:p>
    <w:p>
      <w:pPr>
        <w:widowControl/>
        <w:jc w:val="center"/>
        <w:rPr>
          <w:rFonts w:ascii="黑体" w:eastAsia="黑体" w:hAnsi="黑体"/>
          <w:sz w:val="44"/>
          <w:szCs w:val="44"/>
        </w:rPr>
      </w:pPr>
      <w:r>
        <w:rPr>
          <w:rFonts w:ascii="方正小标宋简体" w:eastAsia="方正小标宋简体" w:hAnsi="宋体"/>
          <w:sz w:val="36"/>
          <w:szCs w:val="36"/>
        </w:rPr>
        <w:br w:type="page"/>
      </w:r>
      <w:r>
        <w:rPr>
          <w:rFonts w:ascii="黑体" w:eastAsia="黑体" w:hAnsi="黑体" w:hint="eastAsia"/>
          <w:sz w:val="44"/>
          <w:szCs w:val="44"/>
        </w:rPr>
        <w:t>目    录</w:t>
      </w:r>
    </w:p>
    <w:p>
      <w:pPr>
        <w:widowControl/>
        <w:jc w:val="center"/>
        <w:rPr>
          <w:rFonts w:ascii="黑体" w:eastAsia="黑体" w:cs="Arial" w:hAnsi="黑体"/>
          <w:sz w:val="28"/>
          <w:szCs w:val="28"/>
        </w:rPr>
      </w:pPr>
    </w:p>
    <w:p>
      <w:pPr>
        <w:pStyle w:val="22"/>
        <w:tabs>
          <w:tab w:val="right" w:leader="dot" w:pos="8296"/>
        </w:tabs>
      </w:pPr>
      <w:r>
        <w:rPr>
          <w:rFonts w:hint="eastAsia"/>
        </w:rPr>
        <w:t>公开时间：2024年9月</w:t>
      </w:r>
      <w:r>
        <w:rPr>
          <w:rFonts w:hint="eastAsia"/>
          <w:lang w:val="en-US" w:eastAsia="zh-CN"/>
        </w:rPr>
        <w:t>29</w:t>
      </w:r>
      <w:r>
        <w:rPr>
          <w:rFonts w:hint="eastAsia"/>
        </w:rPr>
        <w:t>日</w:t>
      </w:r>
    </w:p>
    <w:p>
      <w:pPr>
        <w:rPr>
          <w:rFonts w:ascii="仿宋" w:eastAsia="仿宋" w:hAnsi="仿宋"/>
          <w:sz w:val="24"/>
          <w:szCs w:val="28"/>
        </w:rPr>
      </w:pPr>
    </w:p>
    <w:p>
      <w:pPr>
        <w:pStyle w:val="24"/>
        <w:tabs>
          <w:tab w:val="right" w:leader="dot" w:pos="8296"/>
        </w:tabs>
        <w:adjustRightInd w:val="0"/>
        <w:snapToGrid w:val="0"/>
        <w:spacing w:line="440" w:lineRule="exact"/>
        <w:ind w:leftChars="0" w:left="0"/>
        <w:jc w:val="distribute"/>
        <w:rPr>
          <w:rFonts w:cs="Arial"/>
          <w:sz w:val="24"/>
        </w:rPr>
      </w:pPr>
      <w:r>
        <w:rPr>
          <w:rFonts w:ascii="黑体" w:eastAsia="黑体" w:hAnsi="黑体" w:hint="eastAsia"/>
          <w:sz w:val="24"/>
          <w:szCs w:val="28"/>
        </w:rPr>
        <w:t>第一部分 单位概况</w:t>
      </w:r>
      <w:r>
        <w:rPr>
          <w:rFonts w:ascii="仿宋_GB2312" w:eastAsia="仿宋_GB2312" w:hint="eastAsia"/>
          <w:sz w:val="30"/>
          <w:szCs w:val="30"/>
        </w:rPr>
        <w:t>……………………………………………………1</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一、主要职责</w:t>
      </w:r>
      <w:r>
        <w:rPr>
          <w:rFonts w:ascii="仿宋_GB2312" w:eastAsia="仿宋_GB2312" w:hint="eastAsia"/>
          <w:sz w:val="30"/>
          <w:szCs w:val="30"/>
        </w:rPr>
        <w:t>………………………………………………………1</w:t>
      </w:r>
    </w:p>
    <w:p>
      <w:pPr>
        <w:pStyle w:val="24"/>
        <w:tabs>
          <w:tab w:val="right" w:leader="dot" w:pos="8296"/>
        </w:tabs>
        <w:adjustRightInd w:val="0"/>
        <w:snapToGrid w:val="0"/>
        <w:spacing w:line="440" w:lineRule="exact"/>
        <w:ind w:leftChars="0" w:left="0"/>
        <w:jc w:val="distribute"/>
      </w:pPr>
      <w:r>
        <w:rPr>
          <w:rFonts w:hint="eastAsia"/>
          <w:sz w:val="24"/>
        </w:rPr>
        <w:t xml:space="preserve">    二、机构设置</w:t>
      </w:r>
      <w:r>
        <w:rPr>
          <w:rFonts w:ascii="仿宋_GB2312" w:eastAsia="仿宋_GB2312" w:hint="eastAsia"/>
          <w:sz w:val="30"/>
          <w:szCs w:val="30"/>
        </w:rPr>
        <w:t>………………………………………………………1</w:t>
      </w:r>
    </w:p>
    <w:p>
      <w:pPr>
        <w:pStyle w:val="24"/>
        <w:tabs>
          <w:tab w:val="right" w:leader="dot" w:pos="8296"/>
        </w:tabs>
        <w:adjustRightInd w:val="0"/>
        <w:snapToGrid w:val="0"/>
        <w:spacing w:line="440" w:lineRule="exact"/>
        <w:ind w:leftChars="0" w:left="0"/>
        <w:jc w:val="distribute"/>
        <w:rPr>
          <w:sz w:val="24"/>
        </w:rPr>
      </w:pPr>
      <w:r>
        <w:rPr>
          <w:rFonts w:ascii="黑体" w:eastAsia="黑体" w:hAnsi="黑体" w:hint="eastAsia"/>
          <w:sz w:val="24"/>
          <w:szCs w:val="28"/>
        </w:rPr>
        <w:t>第二部分 2023年度单位决算情况说明</w:t>
      </w:r>
      <w:r>
        <w:rPr>
          <w:rFonts w:ascii="仿宋_GB2312" w:eastAsia="仿宋_GB2312" w:hint="eastAsia"/>
          <w:sz w:val="30"/>
          <w:szCs w:val="30"/>
        </w:rPr>
        <w:t>…………………………………2</w:t>
      </w:r>
    </w:p>
    <w:p>
      <w:pPr>
        <w:pStyle w:val="24"/>
        <w:tabs>
          <w:tab w:val="right" w:leader="dot" w:pos="8296"/>
        </w:tabs>
        <w:adjustRightInd w:val="0"/>
        <w:snapToGrid w:val="0"/>
        <w:spacing w:line="440" w:lineRule="exact"/>
        <w:ind w:leftChars="0" w:left="0"/>
        <w:jc w:val="distribute"/>
        <w:rPr>
          <w:rFonts w:ascii="仿宋" w:cs="Arial" w:hAnsi="仿宋" w:hint="eastAsia"/>
          <w:sz w:val="24"/>
        </w:rPr>
      </w:pPr>
      <w:r>
        <w:rPr>
          <w:rFonts w:hint="eastAsia"/>
          <w:sz w:val="24"/>
        </w:rPr>
        <w:t xml:space="preserve">    一、收入支出决算总体情况说明</w:t>
      </w:r>
      <w:r>
        <w:rPr>
          <w:rFonts w:ascii="仿宋_GB2312" w:eastAsia="仿宋_GB2312" w:hint="eastAsia"/>
          <w:sz w:val="30"/>
          <w:szCs w:val="30"/>
        </w:rPr>
        <w:t>……………………………………2</w:t>
      </w:r>
    </w:p>
    <w:p>
      <w:pPr>
        <w:pStyle w:val="24"/>
        <w:tabs>
          <w:tab w:val="right" w:leader="dot" w:pos="8296"/>
        </w:tabs>
        <w:adjustRightInd w:val="0"/>
        <w:snapToGrid w:val="0"/>
        <w:spacing w:line="440" w:lineRule="exact"/>
        <w:ind w:leftChars="0" w:left="0"/>
        <w:jc w:val="distribute"/>
        <w:rPr>
          <w:rFonts w:ascii="仿宋" w:cs="Arial" w:hAnsi="仿宋" w:hint="eastAsia"/>
          <w:sz w:val="24"/>
        </w:rPr>
      </w:pPr>
      <w:r>
        <w:rPr>
          <w:rFonts w:hint="eastAsia"/>
          <w:sz w:val="24"/>
        </w:rPr>
        <w:t xml:space="preserve">    二、收入决算情况说明</w:t>
      </w:r>
      <w:r>
        <w:rPr>
          <w:rFonts w:ascii="仿宋_GB2312" w:eastAsia="仿宋_GB2312" w:hint="eastAsia"/>
          <w:sz w:val="30"/>
          <w:szCs w:val="30"/>
        </w:rPr>
        <w:t>……………………………………………2</w:t>
      </w:r>
    </w:p>
    <w:p>
      <w:pPr>
        <w:pStyle w:val="24"/>
        <w:tabs>
          <w:tab w:val="right" w:leader="dot" w:pos="8296"/>
        </w:tabs>
        <w:adjustRightInd w:val="0"/>
        <w:snapToGrid w:val="0"/>
        <w:spacing w:line="440" w:lineRule="exact"/>
        <w:ind w:leftChars="0" w:left="0"/>
        <w:jc w:val="distribute"/>
        <w:rPr>
          <w:rFonts w:ascii="仿宋" w:eastAsia="仿宋_GB2312" w:cs="Arial" w:hAnsi="仿宋" w:hint="eastAsia"/>
          <w:sz w:val="24"/>
        </w:rPr>
      </w:pPr>
      <w:r>
        <w:rPr>
          <w:rFonts w:hint="eastAsia"/>
          <w:sz w:val="24"/>
        </w:rPr>
        <w:t xml:space="preserve">    三、支出决算情况说明</w:t>
      </w:r>
      <w:r>
        <w:rPr>
          <w:rFonts w:ascii="仿宋_GB2312" w:eastAsia="仿宋_GB2312" w:hint="eastAsia"/>
          <w:sz w:val="30"/>
          <w:szCs w:val="30"/>
        </w:rPr>
        <w:t>……………………………………………3</w:t>
      </w:r>
    </w:p>
    <w:p>
      <w:pPr>
        <w:pStyle w:val="24"/>
        <w:tabs>
          <w:tab w:val="right" w:leader="dot" w:pos="8296"/>
        </w:tabs>
        <w:adjustRightInd w:val="0"/>
        <w:snapToGrid w:val="0"/>
        <w:spacing w:line="440" w:lineRule="exact"/>
        <w:ind w:leftChars="0" w:left="0"/>
        <w:jc w:val="distribute"/>
        <w:rPr>
          <w:rFonts w:ascii="仿宋" w:eastAsia="仿宋_GB2312" w:cs="Arial" w:hAnsi="仿宋" w:hint="eastAsia"/>
          <w:sz w:val="24"/>
        </w:rPr>
      </w:pPr>
      <w:r>
        <w:rPr>
          <w:rFonts w:hint="eastAsia"/>
          <w:sz w:val="24"/>
        </w:rPr>
        <w:t xml:space="preserve">    四、财政拨款收入支出决算总体情况说明</w:t>
      </w:r>
      <w:r>
        <w:rPr>
          <w:rFonts w:ascii="仿宋_GB2312" w:eastAsia="仿宋_GB2312" w:hint="eastAsia"/>
          <w:sz w:val="30"/>
          <w:szCs w:val="30"/>
        </w:rPr>
        <w:t>……………………………4</w:t>
      </w:r>
    </w:p>
    <w:p>
      <w:pPr>
        <w:pStyle w:val="24"/>
        <w:tabs>
          <w:tab w:val="right" w:leader="dot" w:pos="8296"/>
        </w:tabs>
        <w:adjustRightInd w:val="0"/>
        <w:snapToGrid w:val="0"/>
        <w:spacing w:line="440" w:lineRule="exact"/>
        <w:ind w:leftChars="0" w:left="0"/>
        <w:jc w:val="distribute"/>
        <w:rPr>
          <w:rFonts w:ascii="仿宋" w:eastAsia="仿宋_GB2312" w:cs="Arial" w:hAnsi="仿宋" w:hint="eastAsia"/>
          <w:sz w:val="24"/>
        </w:rPr>
      </w:pPr>
      <w:r>
        <w:rPr>
          <w:rFonts w:hint="eastAsia"/>
          <w:sz w:val="24"/>
        </w:rPr>
        <w:t xml:space="preserve">    五、一般公共预算财政拨款支出决算情况说明</w:t>
      </w:r>
      <w:r>
        <w:rPr>
          <w:rFonts w:ascii="仿宋_GB2312" w:eastAsia="仿宋_GB2312" w:hint="eastAsia"/>
          <w:sz w:val="30"/>
          <w:szCs w:val="30"/>
        </w:rPr>
        <w:t>………………………4</w:t>
      </w:r>
    </w:p>
    <w:p>
      <w:pPr>
        <w:pStyle w:val="24"/>
        <w:tabs>
          <w:tab w:val="right" w:leader="dot" w:pos="8296"/>
        </w:tabs>
        <w:adjustRightInd w:val="0"/>
        <w:snapToGrid w:val="0"/>
        <w:spacing w:line="440" w:lineRule="exact"/>
        <w:ind w:leftChars="0" w:left="0"/>
        <w:jc w:val="distribute"/>
        <w:rPr>
          <w:rFonts w:ascii="仿宋" w:cs="Arial" w:hAnsi="仿宋" w:hint="eastAsia"/>
          <w:sz w:val="24"/>
        </w:rPr>
      </w:pPr>
      <w:r>
        <w:rPr>
          <w:rFonts w:hint="eastAsia"/>
          <w:sz w:val="24"/>
        </w:rPr>
        <w:t xml:space="preserve">    六、一般公共预算财政拨款基本支出决算情况说明</w:t>
      </w:r>
      <w:r>
        <w:rPr>
          <w:rFonts w:ascii="仿宋_GB2312" w:eastAsia="仿宋_GB2312" w:hint="eastAsia"/>
          <w:sz w:val="30"/>
          <w:szCs w:val="30"/>
        </w:rPr>
        <w:t>……………………7</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七、财政拨款“三公”经费支出决算情况说明</w:t>
      </w:r>
      <w:r>
        <w:rPr>
          <w:rFonts w:ascii="仿宋_GB2312" w:eastAsia="仿宋_GB2312" w:hint="eastAsia"/>
          <w:sz w:val="30"/>
          <w:szCs w:val="30"/>
        </w:rPr>
        <w:t>…………………………7</w:t>
      </w:r>
    </w:p>
    <w:p>
      <w:pPr>
        <w:pStyle w:val="24"/>
        <w:tabs>
          <w:tab w:val="right" w:leader="dot" w:pos="8296"/>
        </w:tabs>
        <w:adjustRightInd w:val="0"/>
        <w:snapToGrid w:val="0"/>
        <w:spacing w:line="440" w:lineRule="exact"/>
        <w:ind w:leftChars="0" w:left="0"/>
        <w:jc w:val="distribute"/>
        <w:rPr>
          <w:rFonts w:ascii="仿宋" w:cs="Arial" w:hAnsi="仿宋" w:hint="eastAsia"/>
          <w:sz w:val="24"/>
        </w:rPr>
      </w:pPr>
      <w:r>
        <w:rPr>
          <w:rFonts w:hint="eastAsia"/>
          <w:sz w:val="24"/>
        </w:rPr>
        <w:t xml:space="preserve">    八、政府性基金预算支出决算情况说明</w:t>
      </w:r>
      <w:r>
        <w:rPr>
          <w:rFonts w:ascii="仿宋_GB2312" w:eastAsia="仿宋_GB2312" w:hint="eastAsia"/>
          <w:sz w:val="30"/>
          <w:szCs w:val="30"/>
        </w:rPr>
        <w:t>………………………………8</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九、国有资本经营预算支出决算情况说明</w:t>
      </w:r>
      <w:r>
        <w:rPr>
          <w:rFonts w:ascii="仿宋_GB2312" w:eastAsia="仿宋_GB2312" w:hint="eastAsia"/>
          <w:sz w:val="30"/>
          <w:szCs w:val="30"/>
        </w:rPr>
        <w:t>……………………………9</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十、其他重要事项的情况说明</w:t>
      </w:r>
      <w:r>
        <w:rPr>
          <w:rFonts w:ascii="仿宋_GB2312" w:eastAsia="仿宋_GB2312" w:hint="eastAsia"/>
          <w:sz w:val="30"/>
          <w:szCs w:val="30"/>
        </w:rPr>
        <w:t>………………………………………9</w:t>
      </w:r>
    </w:p>
    <w:p>
      <w:pPr>
        <w:pStyle w:val="22"/>
        <w:tabs>
          <w:tab w:val="right" w:leader="dot" w:pos="8296"/>
        </w:tabs>
        <w:adjustRightInd w:val="0"/>
        <w:snapToGrid w:val="0"/>
        <w:spacing w:before="0" w:line="440" w:lineRule="exact"/>
        <w:jc w:val="distribute"/>
        <w:rPr>
          <w:rFonts w:cs="Arial"/>
          <w:sz w:val="24"/>
          <w:szCs w:val="24"/>
        </w:rPr>
      </w:pPr>
      <w:r>
        <w:rPr>
          <w:rFonts w:ascii="黑体" w:eastAsia="黑体" w:hAnsi="黑体" w:hint="eastAsia"/>
          <w:sz w:val="24"/>
        </w:rPr>
        <w:t>第三部分</w:t>
      </w:r>
      <w:r>
        <w:rPr>
          <w:rFonts w:ascii="黑体" w:eastAsia="黑体" w:hAnsi="黑体"/>
          <w:sz w:val="24"/>
        </w:rPr>
        <w:t xml:space="preserve"> </w:t>
      </w:r>
      <w:r>
        <w:rPr>
          <w:rFonts w:ascii="黑体" w:eastAsia="黑体" w:hAnsi="黑体" w:hint="eastAsia"/>
          <w:sz w:val="24"/>
        </w:rPr>
        <w:t>名词解释</w:t>
      </w:r>
      <w:r>
        <w:rPr>
          <w:rFonts w:ascii="仿宋_GB2312" w:eastAsia="仿宋_GB2312" w:hint="eastAsia"/>
          <w:sz w:val="30"/>
          <w:szCs w:val="30"/>
        </w:rPr>
        <w:t>…………………………………………………11</w:t>
      </w:r>
    </w:p>
    <w:p>
      <w:pPr>
        <w:pStyle w:val="22"/>
        <w:tabs>
          <w:tab w:val="right" w:leader="dot" w:pos="8296"/>
        </w:tabs>
        <w:adjustRightInd w:val="0"/>
        <w:snapToGrid w:val="0"/>
        <w:spacing w:before="0" w:line="440" w:lineRule="exact"/>
        <w:jc w:val="distribute"/>
        <w:rPr>
          <w:rFonts w:cs="Arial"/>
          <w:sz w:val="24"/>
          <w:szCs w:val="24"/>
        </w:rPr>
      </w:pPr>
      <w:r>
        <w:rPr>
          <w:rFonts w:ascii="黑体" w:eastAsia="黑体" w:hAnsi="黑体" w:hint="eastAsia"/>
          <w:sz w:val="24"/>
        </w:rPr>
        <w:t>第四部分</w:t>
      </w:r>
      <w:r>
        <w:rPr>
          <w:rFonts w:ascii="黑体" w:eastAsia="黑体" w:hAnsi="黑体"/>
          <w:sz w:val="24"/>
        </w:rPr>
        <w:t xml:space="preserve"> </w:t>
      </w:r>
      <w:r>
        <w:rPr>
          <w:rFonts w:ascii="黑体" w:eastAsia="黑体" w:hAnsi="黑体" w:hint="eastAsia"/>
          <w:sz w:val="24"/>
        </w:rPr>
        <w:t>附件</w:t>
      </w:r>
      <w:r>
        <w:rPr>
          <w:rFonts w:ascii="仿宋_GB2312" w:eastAsia="仿宋_GB2312" w:hint="eastAsia"/>
          <w:sz w:val="30"/>
          <w:szCs w:val="30"/>
        </w:rPr>
        <w:t>………………………………………………………13</w:t>
      </w:r>
    </w:p>
    <w:p>
      <w:pPr>
        <w:pStyle w:val="22"/>
        <w:tabs>
          <w:tab w:val="right" w:leader="dot" w:pos="8296"/>
        </w:tabs>
        <w:adjustRightInd w:val="0"/>
        <w:snapToGrid w:val="0"/>
        <w:spacing w:before="0" w:line="440" w:lineRule="exact"/>
        <w:jc w:val="distribute"/>
        <w:rPr>
          <w:rFonts w:cs="Arial"/>
          <w:sz w:val="24"/>
          <w:szCs w:val="24"/>
        </w:rPr>
      </w:pPr>
      <w:r>
        <w:rPr>
          <w:rFonts w:ascii="黑体" w:eastAsia="黑体" w:hAnsi="黑体" w:hint="eastAsia"/>
          <w:sz w:val="24"/>
        </w:rPr>
        <w:t>第五部分</w:t>
      </w:r>
      <w:r>
        <w:rPr>
          <w:rFonts w:ascii="黑体" w:eastAsia="黑体" w:hAnsi="黑体"/>
          <w:sz w:val="24"/>
        </w:rPr>
        <w:t xml:space="preserve"> </w:t>
      </w:r>
      <w:r>
        <w:rPr>
          <w:rFonts w:ascii="黑体" w:eastAsia="黑体" w:hAnsi="黑体" w:hint="eastAsia"/>
          <w:sz w:val="24"/>
        </w:rPr>
        <w:t>附表</w:t>
      </w:r>
      <w:r>
        <w:rPr>
          <w:rFonts w:ascii="仿宋_GB2312" w:eastAsia="仿宋_GB2312" w:hint="eastAsia"/>
          <w:sz w:val="30"/>
          <w:szCs w:val="30"/>
        </w:rPr>
        <w:t>………………………………………………………44</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一、收入支出决算总表</w:t>
      </w:r>
      <w:r>
        <w:rPr>
          <w:rFonts w:ascii="仿宋_GB2312" w:eastAsia="仿宋_GB2312" w:hint="eastAsia"/>
          <w:sz w:val="30"/>
          <w:szCs w:val="30"/>
        </w:rPr>
        <w:t>……………………………………………44</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二、收入决算表</w:t>
      </w:r>
      <w:r>
        <w:rPr>
          <w:rFonts w:ascii="仿宋_GB2312" w:eastAsia="仿宋_GB2312" w:hint="eastAsia"/>
          <w:sz w:val="30"/>
          <w:szCs w:val="30"/>
        </w:rPr>
        <w:t>…………………………………………………44</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三、支出决算表</w:t>
      </w:r>
      <w:r>
        <w:rPr>
          <w:rFonts w:ascii="仿宋_GB2312" w:eastAsia="仿宋_GB2312" w:hint="eastAsia"/>
          <w:sz w:val="30"/>
          <w:szCs w:val="30"/>
        </w:rPr>
        <w:t>…………………………………………………44</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四、财政拨款收入支出决算总表</w:t>
      </w:r>
      <w:r>
        <w:rPr>
          <w:rFonts w:ascii="仿宋_GB2312" w:eastAsia="仿宋_GB2312" w:hint="eastAsia"/>
          <w:sz w:val="30"/>
          <w:szCs w:val="30"/>
        </w:rPr>
        <w:t>……………………………………44</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五、财政拨款支出决算明细表</w:t>
      </w:r>
      <w:r>
        <w:rPr>
          <w:rFonts w:ascii="仿宋_GB2312" w:eastAsia="仿宋_GB2312" w:hint="eastAsia"/>
          <w:sz w:val="30"/>
          <w:szCs w:val="30"/>
        </w:rPr>
        <w:t>………………………………………44</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六、一般公共预算财政拨款支出决算表</w:t>
      </w:r>
      <w:r>
        <w:rPr>
          <w:rFonts w:ascii="仿宋_GB2312" w:eastAsia="仿宋_GB2312" w:hint="eastAsia"/>
          <w:sz w:val="30"/>
          <w:szCs w:val="30"/>
        </w:rPr>
        <w:t>……………………………44</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七、一般公共预算财政拨款支出决算明细表</w:t>
      </w:r>
      <w:r>
        <w:rPr>
          <w:rFonts w:ascii="仿宋_GB2312" w:eastAsia="仿宋_GB2312" w:hint="eastAsia"/>
          <w:sz w:val="30"/>
          <w:szCs w:val="30"/>
        </w:rPr>
        <w:t>…………………………44</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八、一般公共预算财政拨款基本支出决算明细表</w:t>
      </w:r>
      <w:r>
        <w:rPr>
          <w:rFonts w:ascii="仿宋_GB2312" w:eastAsia="仿宋_GB2312" w:hint="eastAsia"/>
          <w:sz w:val="30"/>
          <w:szCs w:val="30"/>
        </w:rPr>
        <w:t>……………………44</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九、一般公共预算财政拨款项目支出决算表</w:t>
      </w:r>
      <w:r>
        <w:rPr>
          <w:rFonts w:ascii="仿宋_GB2312" w:eastAsia="仿宋_GB2312" w:hint="eastAsia"/>
          <w:sz w:val="30"/>
          <w:szCs w:val="30"/>
        </w:rPr>
        <w:t>…………………………44</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十、政府性基金预算财政拨款收入支出决算表</w:t>
      </w:r>
      <w:r>
        <w:rPr>
          <w:rFonts w:ascii="仿宋_GB2312" w:eastAsia="仿宋_GB2312" w:hint="eastAsia"/>
          <w:sz w:val="30"/>
          <w:szCs w:val="30"/>
        </w:rPr>
        <w:t>………………………44</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十一、国有资本经营预算财政拨款收入支出决算表</w:t>
      </w:r>
      <w:r>
        <w:rPr>
          <w:rFonts w:ascii="仿宋_GB2312" w:eastAsia="仿宋_GB2312" w:hint="eastAsia"/>
          <w:sz w:val="30"/>
          <w:szCs w:val="30"/>
        </w:rPr>
        <w:t>…………………44</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十二、国有资本经营预算财政拨款支出决算表</w:t>
      </w:r>
      <w:r>
        <w:rPr>
          <w:rFonts w:ascii="仿宋_GB2312" w:eastAsia="仿宋_GB2312" w:hint="eastAsia"/>
          <w:sz w:val="30"/>
          <w:szCs w:val="30"/>
        </w:rPr>
        <w:t>………………………44</w:t>
      </w:r>
    </w:p>
    <w:p>
      <w:pPr>
        <w:pStyle w:val="24"/>
        <w:tabs>
          <w:tab w:val="right" w:leader="dot" w:pos="8296"/>
        </w:tabs>
        <w:adjustRightInd w:val="0"/>
        <w:snapToGrid w:val="0"/>
        <w:spacing w:line="440" w:lineRule="exact"/>
        <w:ind w:leftChars="0" w:left="0"/>
        <w:jc w:val="distribute"/>
        <w:rPr>
          <w:sz w:val="24"/>
        </w:rPr>
      </w:pPr>
      <w:r>
        <w:rPr>
          <w:rFonts w:hint="eastAsia"/>
          <w:sz w:val="24"/>
        </w:rPr>
        <w:t xml:space="preserve">    十三、财政拨款“三公”经费支出决算表</w:t>
      </w:r>
      <w:r>
        <w:rPr>
          <w:rFonts w:ascii="仿宋_GB2312" w:eastAsia="仿宋_GB2312" w:hint="eastAsia"/>
          <w:sz w:val="30"/>
          <w:szCs w:val="30"/>
        </w:rPr>
        <w:t>……………………………44</w:t>
      </w:r>
    </w:p>
    <w:p>
      <w:pPr>
        <w:widowControl/>
        <w:adjustRightInd w:val="0"/>
        <w:snapToGrid w:val="0"/>
        <w:spacing w:line="440" w:lineRule="exact"/>
        <w:ind w:firstLineChars="550" w:firstLine="1320"/>
        <w:jc w:val="left"/>
        <w:rPr>
          <w:rFonts w:ascii="仿宋" w:eastAsia="仿宋" w:hAnsi="仿宋"/>
          <w:sz w:val="24"/>
        </w:rPr>
        <w:sectPr>
          <w:headerReference w:type="default" r:id="rId2"/>
          <w:pgSz w:w="11906" w:h="16838"/>
          <w:pgMar w:top="1440" w:right="1800" w:bottom="1440" w:left="1800" w:header="851" w:footer="992" w:gutter="0"/>
          <w:pgNumType w:start="1"/>
          <w:cols w:num="1" w:space="425"/>
          <w:titlePg/>
          <w:docGrid w:type="lines" w:linePitch="312" w:charSpace="0"/>
        </w:sectPr>
      </w:pPr>
    </w:p>
    <w:p>
      <w:pPr>
        <w:pStyle w:val="1"/>
        <w:jc w:val="center"/>
        <w:rPr>
          <w:rFonts w:ascii="黑体" w:eastAsia="黑体"/>
          <w:sz w:val="32"/>
          <w:szCs w:val="32"/>
        </w:rPr>
      </w:pPr>
      <w:bookmarkStart w:id="2" w:name="_Toc15396599"/>
      <w:bookmarkStart w:id="3" w:name="_Toc15377196"/>
      <w:r>
        <w:rPr>
          <w:rFonts w:ascii="黑体" w:eastAsia="黑体" w:hAnsi="黑体" w:hint="eastAsia"/>
          <w:b w:val="0"/>
        </w:rPr>
        <w:t>第一部分 单位</w:t>
      </w:r>
      <w:r>
        <w:rPr>
          <w:rStyle w:val="1Char"/>
          <w:rFonts w:ascii="黑体" w:eastAsia="黑体" w:hAnsi="黑体" w:hint="eastAsia"/>
          <w:b w:val="0"/>
          <w:bCs w:val="0"/>
        </w:rPr>
        <w:t>概况</w:t>
      </w:r>
      <w:bookmarkEnd w:id="2"/>
      <w:bookmarkEnd w:id="3"/>
    </w:p>
    <w:p>
      <w:pPr>
        <w:pStyle w:val="2"/>
        <w:numPr>
          <w:ilvl w:val="0"/>
          <w:numId w:val="1"/>
        </w:numPr>
        <w:rPr>
          <w:rStyle w:val="2Char"/>
          <w:rFonts w:ascii="黑体" w:eastAsia="黑体" w:hAnsi="黑体"/>
          <w:b w:val="0"/>
          <w:bCs w:val="0"/>
        </w:rPr>
      </w:pPr>
      <w:bookmarkStart w:id="4" w:name="_Toc15377197"/>
      <w:bookmarkStart w:id="5" w:name="_Toc15396600"/>
      <w:r>
        <w:rPr>
          <w:rStyle w:val="2Char"/>
          <w:rFonts w:ascii="黑体" w:eastAsia="黑体" w:hAnsi="黑体" w:hint="eastAsia"/>
          <w:b w:val="0"/>
          <w:bCs w:val="0"/>
        </w:rPr>
        <w:t>主要职责</w:t>
      </w:r>
    </w:p>
    <w:p>
      <w:pPr>
        <w:pStyle w:val="32"/>
        <w:spacing w:line="576" w:lineRule="exact"/>
      </w:pPr>
      <w:r>
        <w:rPr>
          <w:rFonts w:ascii="仿宋" w:eastAsia="仿宋" w:hAnsi="仿宋" w:hint="eastAsia"/>
          <w:sz w:val="32"/>
          <w:szCs w:val="32"/>
        </w:rPr>
        <w:t>我中心作为公共卫生专业机构，承担了辖区62万常住人口和城区10余万流动人口的疾病预防与控制、突发公共卫生事件应急处置、健康危害因素监测与干预、实验室检测检验与评价、健康教育与健康促进等七大项基本职责和212项具体工作任务，主要工作职能包括：传染病防治、传染病预测分析与预警、传染病报告管理、传染病及突发公共卫生事件调查处置、食源性疾病调查处置、艾滋病和结核病防治、麻风病防治、疟疾防治、性传播疾病防治、地方病防治、慢性病防控、免疫规划、农村饮用水卫生监测、公共场所卫生监测、学校卫生监测、学生常见病监测、职业卫生和放射卫生监测、卫生检验、卫生应急演练以及国家和省市下达的各种疾病预防控制项目工作。</w:t>
      </w:r>
    </w:p>
    <w:p>
      <w:pPr>
        <w:pStyle w:val="2"/>
        <w:numPr>
          <w:ilvl w:val="0"/>
          <w:numId w:val="1"/>
        </w:numPr>
        <w:rPr>
          <w:rFonts w:ascii="黑体" w:eastAsia="黑体" w:hAnsi="黑体"/>
          <w:b w:val="0"/>
        </w:rPr>
      </w:pPr>
      <w:r>
        <w:rPr>
          <w:rFonts w:ascii="黑体" w:eastAsia="黑体" w:hAnsi="黑体" w:hint="eastAsia"/>
          <w:b w:val="0"/>
        </w:rPr>
        <w:t>机构设置</w:t>
      </w:r>
    </w:p>
    <w:p>
      <w:pPr>
        <w:ind w:firstLineChars="200" w:firstLine="640"/>
      </w:pPr>
      <w:r>
        <w:rPr>
          <w:rFonts w:ascii="仿宋" w:eastAsia="仿宋" w:hAnsi="仿宋" w:hint="eastAsia"/>
          <w:sz w:val="32"/>
          <w:szCs w:val="32"/>
        </w:rPr>
        <w:t>我中心为区卫生健康局下属二级单位。全额拨款公益一类正科级事业单位。内设业务及后勤科室共14个。核定编制65人，2023年末实际在职在编人员58人，退休人员21人。</w:t>
      </w:r>
    </w:p>
    <w:p>
      <w:pPr>
        <w:widowControl/>
        <w:jc w:val="left"/>
        <w:rPr>
          <w:rFonts w:ascii="仿宋" w:eastAsia="仿宋" w:hAnsi="仿宋"/>
          <w:kern w:val="0"/>
          <w:sz w:val="32"/>
          <w:szCs w:val="32"/>
        </w:rPr>
      </w:pPr>
      <w:bookmarkEnd w:id="4"/>
      <w:bookmarkEnd w:id="5"/>
      <w:r>
        <w:rPr>
          <w:rFonts w:ascii="仿宋" w:eastAsia="仿宋" w:hAnsi="仿宋"/>
          <w:sz w:val="32"/>
          <w:szCs w:val="32"/>
        </w:rPr>
        <w:br w:type="page"/>
      </w:r>
    </w:p>
    <w:p>
      <w:pPr>
        <w:pStyle w:val="1"/>
        <w:ind w:right="440"/>
        <w:jc w:val="center"/>
      </w:pPr>
      <w:bookmarkStart w:id="6" w:name="_Toc15377204"/>
      <w:bookmarkStart w:id="7" w:name="_Toc15396602"/>
      <w:r>
        <w:rPr>
          <w:rFonts w:ascii="黑体" w:eastAsia="黑体" w:hAnsi="黑体" w:hint="eastAsia"/>
          <w:b w:val="0"/>
        </w:rPr>
        <w:t>第二部分 2023年度</w:t>
      </w:r>
      <w:r>
        <w:rPr>
          <w:rStyle w:val="1Char"/>
          <w:rFonts w:ascii="黑体" w:eastAsia="黑体" w:hAnsi="黑体" w:hint="eastAsia"/>
          <w:b w:val="0"/>
          <w:bCs/>
        </w:rPr>
        <w:t>单位决算情况说明</w:t>
      </w:r>
      <w:bookmarkEnd w:id="6"/>
      <w:bookmarkEnd w:id="7"/>
    </w:p>
    <w:p>
      <w:pPr>
        <w:pStyle w:val="32"/>
        <w:numPr>
          <w:ilvl w:val="0"/>
          <w:numId w:val="2"/>
        </w:numPr>
        <w:spacing w:line="600" w:lineRule="exact"/>
        <w:ind w:firstLineChars="0"/>
        <w:outlineLvl w:val="1"/>
        <w:rPr>
          <w:rStyle w:val="2Char"/>
          <w:rFonts w:ascii="黑体" w:eastAsia="黑体" w:hAnsi="黑体"/>
          <w:b w:val="0"/>
        </w:rPr>
      </w:pPr>
      <w:bookmarkStart w:id="8" w:name="_Toc15396603"/>
      <w:bookmarkStart w:id="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8"/>
      <w:bookmarkEnd w:id="9"/>
    </w:p>
    <w:p>
      <w:pPr>
        <w:ind w:firstLineChars="200" w:firstLine="640"/>
        <w:rPr>
          <w:rFonts w:ascii="仿宋_GB2312" w:eastAsia="仿宋_GB2312" w:hAnsi="仿宋" w:hint="eastAsia"/>
          <w:sz w:val="32"/>
          <w:szCs w:val="32"/>
        </w:rPr>
      </w:pPr>
      <w:r>
        <w:rPr>
          <w:rFonts w:ascii="仿宋" w:eastAsia="仿宋" w:hAnsi="仿宋" w:hint="eastAsia"/>
          <w:sz w:val="32"/>
          <w:szCs w:val="32"/>
        </w:rPr>
        <w:drawing>
          <wp:anchor distT="0" distB="0" distL="114300" distR="114300" simplePos="0" relativeHeight="30" behindDoc="0" locked="0" layoutInCell="1" hidden="0" allowOverlap="1">
            <wp:simplePos x="0" y="0"/>
            <wp:positionH relativeFrom="column">
              <wp:posOffset>525780</wp:posOffset>
            </wp:positionH>
            <wp:positionV relativeFrom="paragraph">
              <wp:posOffset>1569720</wp:posOffset>
            </wp:positionV>
            <wp:extent cx="4304029" cy="2580005"/>
            <wp:effectExtent l="19050" t="0" r="20320" b="0"/>
            <wp:wrapNone/>
            <wp:docPr id="1" name="图表 1"/>
            <wp:cNvGraphicFramePr>
              <a:graphicFrameLocks noChangeAspect="0"/>
            </wp:cNvGraphicFramePr>
            <a:graphic>
              <a:graphicData uri="http://schemas.openxmlformats.org/drawingml/2006/chart">
                <c:chart xmlns:c="http://schemas.openxmlformats.org/drawingml/2006/chart" r:id="rId5"/>
              </a:graphicData>
            </a:graphic>
          </wp:anchor>
        </w:drawing>
      </w:r>
      <w:r>
        <w:rPr>
          <w:rFonts w:ascii="仿宋" w:eastAsia="仿宋" w:hAnsi="仿宋" w:hint="eastAsia"/>
          <w:sz w:val="32"/>
          <w:szCs w:val="32"/>
        </w:rPr>
        <w:t>2023年度收、支总计均为</w:t>
      </w:r>
      <w:r>
        <w:rPr>
          <w:rFonts w:ascii="仿宋" w:eastAsia="仿宋" w:hAnsi="仿宋" w:hint="eastAsia"/>
          <w:b/>
          <w:sz w:val="32"/>
          <w:szCs w:val="32"/>
        </w:rPr>
        <w:t>2735.81</w:t>
      </w:r>
      <w:r>
        <w:rPr>
          <w:rFonts w:ascii="仿宋" w:eastAsia="仿宋" w:hAnsi="仿宋" w:hint="eastAsia"/>
          <w:sz w:val="32"/>
          <w:szCs w:val="32"/>
        </w:rPr>
        <w:t>万元。与2022年度相比，收、支总计各减少432.06万元，下降13.64%。主要变动原因是财政对新冠疫情防控投入减少，以及中央投入基建项目经费减少。</w:t>
      </w:r>
    </w:p>
    <w:p>
      <w:pPr>
        <w:spacing w:line="600" w:lineRule="exact"/>
        <w:ind w:firstLineChars="200" w:firstLine="640"/>
        <w:rPr>
          <w:rFonts w:ascii="仿宋" w:eastAsia="仿宋" w:hAnsi="仿宋"/>
          <w:sz w:val="32"/>
          <w:szCs w:val="32"/>
        </w:rPr>
      </w:pPr>
    </w:p>
    <w:p>
      <w:pPr>
        <w:spacing w:line="600" w:lineRule="exact"/>
        <w:ind w:firstLineChars="200" w:firstLine="640"/>
        <w:rPr>
          <w:rFonts w:ascii="仿宋" w:eastAsia="仿宋" w:hAnsi="仿宋"/>
          <w:sz w:val="32"/>
          <w:szCs w:val="32"/>
        </w:rPr>
      </w:pPr>
    </w:p>
    <w:p>
      <w:pPr>
        <w:spacing w:line="600" w:lineRule="exact"/>
        <w:ind w:firstLineChars="200" w:firstLine="640"/>
        <w:rPr>
          <w:rFonts w:ascii="仿宋" w:eastAsia="仿宋" w:hAnsi="仿宋"/>
          <w:sz w:val="32"/>
          <w:szCs w:val="32"/>
        </w:rPr>
      </w:pPr>
    </w:p>
    <w:p>
      <w:pPr>
        <w:spacing w:line="600" w:lineRule="exact"/>
        <w:ind w:firstLineChars="200" w:firstLine="640"/>
        <w:rPr>
          <w:rFonts w:ascii="仿宋" w:eastAsia="仿宋" w:hAnsi="仿宋"/>
          <w:sz w:val="32"/>
          <w:szCs w:val="32"/>
        </w:rPr>
      </w:pPr>
    </w:p>
    <w:p>
      <w:pPr>
        <w:spacing w:line="600" w:lineRule="exact"/>
        <w:ind w:firstLineChars="200" w:firstLine="640"/>
        <w:rPr>
          <w:rFonts w:ascii="仿宋" w:eastAsia="仿宋" w:hAnsi="仿宋"/>
          <w:sz w:val="32"/>
          <w:szCs w:val="32"/>
        </w:rPr>
      </w:pPr>
    </w:p>
    <w:p>
      <w:pPr>
        <w:spacing w:line="600" w:lineRule="exact"/>
        <w:rPr>
          <w:rFonts w:ascii="仿宋" w:eastAsia="仿宋" w:hAnsi="仿宋"/>
          <w:sz w:val="32"/>
          <w:szCs w:val="32"/>
        </w:rPr>
      </w:pPr>
    </w:p>
    <w:p>
      <w:pPr>
        <w:pStyle w:val="23"/>
      </w:pPr>
    </w:p>
    <w:p>
      <w:pPr>
        <w:pStyle w:val="23"/>
      </w:pPr>
    </w:p>
    <w:p>
      <w:pPr>
        <w:spacing w:line="600" w:lineRule="exact"/>
        <w:ind w:firstLineChars="400" w:firstLine="128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pPr>
        <w:spacing w:line="600" w:lineRule="exact"/>
        <w:ind w:firstLineChars="200" w:firstLine="640"/>
        <w:jc w:val="left"/>
        <w:rPr>
          <w:rFonts w:ascii="仿宋_GB2312" w:eastAsia="仿宋_GB2312"/>
          <w:sz w:val="32"/>
          <w:szCs w:val="32"/>
        </w:rPr>
      </w:pPr>
    </w:p>
    <w:p>
      <w:pPr>
        <w:pStyle w:val="32"/>
        <w:numPr>
          <w:ilvl w:val="0"/>
          <w:numId w:val="2"/>
        </w:numPr>
        <w:spacing w:line="600" w:lineRule="exact"/>
        <w:ind w:firstLineChars="0"/>
        <w:outlineLvl w:val="1"/>
        <w:rPr>
          <w:rStyle w:val="2Char"/>
          <w:rFonts w:ascii="黑体" w:eastAsia="黑体" w:hAnsi="黑体"/>
          <w:b w:val="0"/>
        </w:rPr>
      </w:pPr>
      <w:bookmarkStart w:id="10" w:name="_Toc15377206"/>
      <w:bookmarkStart w:id="11"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10"/>
      <w:bookmarkEnd w:id="11"/>
    </w:p>
    <w:p>
      <w:pPr>
        <w:spacing w:line="600" w:lineRule="exact"/>
        <w:ind w:firstLineChars="200" w:firstLine="640"/>
        <w:outlineLvl w:val="1"/>
        <w:rPr>
          <w:rFonts w:ascii="仿宋" w:eastAsia="仿宋" w:hAnsi="仿宋"/>
          <w:b/>
          <w:sz w:val="32"/>
          <w:szCs w:val="32"/>
        </w:rPr>
      </w:pPr>
      <w:r>
        <w:rPr>
          <w:rFonts w:ascii="仿宋" w:eastAsia="仿宋" w:hAnsi="仿宋" w:hint="eastAsia"/>
          <w:sz w:val="32"/>
          <w:szCs w:val="32"/>
        </w:rPr>
        <w:t>2023年度本年收入合计</w:t>
      </w:r>
      <w:r>
        <w:rPr>
          <w:rFonts w:ascii="仿宋" w:eastAsia="仿宋" w:hAnsi="仿宋"/>
          <w:b/>
          <w:sz w:val="32"/>
          <w:szCs w:val="32"/>
        </w:rPr>
        <w:t>2735.81</w:t>
      </w:r>
      <w:r>
        <w:rPr>
          <w:rFonts w:ascii="仿宋" w:eastAsia="仿宋" w:hAnsi="仿宋" w:hint="eastAsia"/>
          <w:sz w:val="32"/>
          <w:szCs w:val="32"/>
        </w:rPr>
        <w:t>万元，其中：一般公共预算财政拨款收入</w:t>
      </w:r>
      <w:r>
        <w:rPr>
          <w:rFonts w:ascii="仿宋" w:eastAsia="仿宋" w:hAnsi="仿宋"/>
          <w:b/>
          <w:sz w:val="32"/>
          <w:szCs w:val="32"/>
        </w:rPr>
        <w:t>2735.81</w:t>
      </w:r>
      <w:r>
        <w:rPr>
          <w:rFonts w:ascii="仿宋" w:eastAsia="仿宋" w:hAnsi="仿宋" w:hint="eastAsia"/>
          <w:sz w:val="32"/>
          <w:szCs w:val="32"/>
        </w:rPr>
        <w:t>万元，占</w:t>
      </w:r>
      <w:r>
        <w:rPr>
          <w:rFonts w:ascii="仿宋" w:eastAsia="仿宋" w:hAnsi="仿宋"/>
          <w:b/>
          <w:sz w:val="32"/>
          <w:szCs w:val="32"/>
        </w:rPr>
        <w:t>100%</w:t>
      </w:r>
      <w:r>
        <w:rPr>
          <w:rFonts w:ascii="仿宋" w:eastAsia="仿宋" w:hAnsi="仿宋" w:hint="eastAsia"/>
          <w:sz w:val="32"/>
          <w:szCs w:val="32"/>
        </w:rPr>
        <w:t>；</w:t>
      </w:r>
    </w:p>
    <w:p>
      <w:pPr>
        <w:spacing w:line="600" w:lineRule="exact"/>
        <w:outlineLvl w:val="1"/>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01表）</w:t>
      </w:r>
    </w:p>
    <w:p>
      <w:pPr>
        <w:spacing w:line="600" w:lineRule="exact"/>
        <w:ind w:firstLineChars="200" w:firstLine="640"/>
        <w:outlineLvl w:val="1"/>
        <w:rPr>
          <w:rFonts w:ascii="仿宋" w:eastAsia="仿宋" w:hAnsi="仿宋"/>
          <w:sz w:val="32"/>
          <w:szCs w:val="32"/>
        </w:rPr>
      </w:pPr>
    </w:p>
    <w:p>
      <w:pPr>
        <w:pStyle w:val="23"/>
      </w:pPr>
    </w:p>
    <w:p>
      <w:pPr>
        <w:spacing w:line="600" w:lineRule="exact"/>
        <w:ind w:firstLineChars="200" w:firstLine="640"/>
        <w:outlineLvl w:val="1"/>
        <w:rPr>
          <w:rFonts w:ascii="仿宋" w:eastAsia="仿宋" w:hAnsi="仿宋"/>
          <w:sz w:val="32"/>
          <w:szCs w:val="32"/>
        </w:rPr>
      </w:pPr>
    </w:p>
    <w:p>
      <w:pPr>
        <w:spacing w:line="600" w:lineRule="exact"/>
        <w:ind w:firstLineChars="200" w:firstLine="640"/>
        <w:outlineLvl w:val="1"/>
        <w:rPr>
          <w:rFonts w:ascii="仿宋" w:eastAsia="仿宋" w:hAnsi="仿宋"/>
          <w:sz w:val="32"/>
          <w:szCs w:val="32"/>
        </w:rPr>
      </w:pPr>
    </w:p>
    <w:p>
      <w:pPr>
        <w:spacing w:line="600" w:lineRule="exact"/>
        <w:ind w:firstLineChars="200" w:firstLine="640"/>
        <w:outlineLvl w:val="1"/>
        <w:rPr>
          <w:rFonts w:ascii="仿宋" w:eastAsia="仿宋" w:hAnsi="仿宋"/>
          <w:sz w:val="32"/>
          <w:szCs w:val="32"/>
        </w:rPr>
      </w:pPr>
      <w:r>
        <w:rPr>
          <w:rFonts w:ascii="仿宋_GB2312" w:eastAsia="仿宋_GB2312" w:hAnsi="仿宋"/>
          <w:sz w:val="32"/>
          <w:szCs w:val="32"/>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filled="f" stroked="f" style="position:absolute;margin-left:50.5pt;margin-top:17.75pt;width:311.95pt;height:230.05pt;z-index:20;mso-position-horizontal:absolute;mso-position-vertical:absolute;" o:ole="">
            <v:stroke color="#000000"/>
            <v:imagedata r:id="rId6" o:title="2"/>
            <o:lock aspectratio="t"/>
          </v:shape>
          <o:OLEObject Type="Embed" ProgID="Package" ShapeID="_x0000_i1025" DrawAspect="Content" ObjectID="_1393063351" r:id="rId7"/>
        </w:object>
      </w:r>
    </w:p>
    <w:p>
      <w:pPr>
        <w:spacing w:line="600" w:lineRule="exact"/>
        <w:ind w:firstLineChars="200" w:firstLine="640"/>
        <w:outlineLvl w:val="1"/>
        <w:rPr>
          <w:rFonts w:ascii="仿宋" w:eastAsia="仿宋" w:hAnsi="仿宋" w:hint="eastAsia"/>
          <w:sz w:val="32"/>
          <w:szCs w:val="32"/>
        </w:rPr>
      </w:pPr>
    </w:p>
    <w:p>
      <w:pPr>
        <w:spacing w:line="600" w:lineRule="exact"/>
        <w:ind w:firstLineChars="200" w:firstLine="640"/>
        <w:outlineLvl w:val="1"/>
        <w:rPr>
          <w:rFonts w:ascii="仿宋" w:eastAsia="仿宋" w:hAnsi="仿宋"/>
          <w:sz w:val="32"/>
          <w:szCs w:val="32"/>
        </w:rPr>
      </w:pPr>
    </w:p>
    <w:p>
      <w:pPr>
        <w:spacing w:line="600" w:lineRule="exact"/>
        <w:ind w:firstLineChars="200" w:firstLine="640"/>
        <w:outlineLvl w:val="1"/>
        <w:rPr>
          <w:rFonts w:ascii="仿宋" w:eastAsia="仿宋" w:hAnsi="仿宋"/>
          <w:sz w:val="32"/>
          <w:szCs w:val="32"/>
        </w:rPr>
      </w:pPr>
    </w:p>
    <w:p>
      <w:pPr>
        <w:spacing w:line="600" w:lineRule="exact"/>
        <w:ind w:firstLineChars="200" w:firstLine="640"/>
        <w:outlineLvl w:val="1"/>
        <w:rPr>
          <w:rFonts w:ascii="仿宋" w:eastAsia="仿宋" w:hAnsi="仿宋"/>
          <w:sz w:val="32"/>
          <w:szCs w:val="32"/>
        </w:rPr>
      </w:pPr>
    </w:p>
    <w:p>
      <w:pPr>
        <w:spacing w:line="600" w:lineRule="exact"/>
        <w:ind w:firstLineChars="200" w:firstLine="640"/>
        <w:outlineLvl w:val="1"/>
        <w:rPr>
          <w:rFonts w:ascii="仿宋" w:eastAsia="仿宋" w:hAnsi="仿宋"/>
          <w:sz w:val="32"/>
          <w:szCs w:val="32"/>
        </w:rPr>
      </w:pPr>
    </w:p>
    <w:p>
      <w:pPr>
        <w:pStyle w:val="23"/>
        <w:rPr>
          <w:rFonts w:ascii="仿宋" w:eastAsia="仿宋" w:hAnsi="仿宋"/>
          <w:sz w:val="32"/>
          <w:szCs w:val="32"/>
        </w:rPr>
      </w:pPr>
    </w:p>
    <w:p>
      <w:pPr>
        <w:pStyle w:val="17"/>
        <w:ind w:leftChars="0" w:left="0" w:firstLineChars="0" w:firstLine="0"/>
        <w:rPr>
          <w:rFonts w:ascii="仿宋" w:eastAsia="仿宋" w:hAnsi="仿宋"/>
          <w:sz w:val="32"/>
        </w:rPr>
      </w:pPr>
    </w:p>
    <w:p>
      <w:pPr>
        <w:spacing w:line="600" w:lineRule="exact"/>
        <w:ind w:firstLineChars="800" w:firstLine="2560"/>
        <w:rPr>
          <w:rFonts w:ascii="仿宋_GB2312" w:eastAsia="仿宋_GB2312"/>
          <w:sz w:val="32"/>
          <w:szCs w:val="32"/>
        </w:rPr>
      </w:pPr>
      <w:r>
        <w:rPr>
          <w:rFonts w:ascii="仿宋" w:eastAsia="仿宋" w:hAnsi="仿宋" w:hint="eastAsia"/>
          <w:sz w:val="32"/>
          <w:szCs w:val="32"/>
        </w:rPr>
        <w:t>（图2：收入决算结构图）</w:t>
      </w:r>
    </w:p>
    <w:p>
      <w:pPr>
        <w:pStyle w:val="32"/>
        <w:numPr>
          <w:ilvl w:val="0"/>
          <w:numId w:val="2"/>
        </w:numPr>
        <w:spacing w:line="600" w:lineRule="exact"/>
        <w:ind w:firstLineChars="0"/>
        <w:outlineLvl w:val="1"/>
        <w:rPr>
          <w:rStyle w:val="2Char"/>
          <w:rFonts w:ascii="黑体" w:eastAsia="黑体" w:hAnsi="黑体"/>
          <w:b w:val="0"/>
        </w:rPr>
      </w:pPr>
      <w:bookmarkStart w:id="12" w:name="_Toc15377207"/>
      <w:bookmarkStart w:id="13"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12"/>
      <w:bookmarkEnd w:id="13"/>
    </w:p>
    <w:p>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2023年度本年支出合计</w:t>
      </w:r>
      <w:r>
        <w:rPr>
          <w:rFonts w:ascii="仿宋" w:eastAsia="仿宋" w:hAnsi="仿宋"/>
          <w:b/>
          <w:sz w:val="32"/>
          <w:szCs w:val="32"/>
        </w:rPr>
        <w:t>2735.81</w:t>
      </w:r>
      <w:r>
        <w:rPr>
          <w:rFonts w:ascii="仿宋" w:eastAsia="仿宋" w:hAnsi="仿宋" w:hint="eastAsia"/>
          <w:sz w:val="32"/>
          <w:szCs w:val="32"/>
        </w:rPr>
        <w:t>万元，其中：基本支出</w:t>
      </w:r>
      <w:r>
        <w:rPr>
          <w:rFonts w:ascii="仿宋" w:eastAsia="仿宋" w:hAnsi="仿宋"/>
          <w:b/>
          <w:sz w:val="32"/>
          <w:szCs w:val="32"/>
        </w:rPr>
        <w:t>1062.66</w:t>
      </w:r>
      <w:r>
        <w:rPr>
          <w:rFonts w:ascii="仿宋" w:eastAsia="仿宋" w:hAnsi="仿宋" w:hint="eastAsia"/>
          <w:sz w:val="32"/>
          <w:szCs w:val="32"/>
        </w:rPr>
        <w:t>万元，占</w:t>
      </w:r>
      <w:r>
        <w:rPr>
          <w:rFonts w:ascii="仿宋" w:eastAsia="仿宋" w:hAnsi="仿宋"/>
          <w:b/>
          <w:sz w:val="32"/>
          <w:szCs w:val="32"/>
        </w:rPr>
        <w:t>38.84</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b/>
          <w:sz w:val="32"/>
          <w:szCs w:val="32"/>
        </w:rPr>
        <w:t>1673.15</w:t>
      </w:r>
      <w:r>
        <w:rPr>
          <w:rFonts w:ascii="仿宋" w:eastAsia="仿宋" w:hAnsi="仿宋" w:hint="eastAsia"/>
          <w:sz w:val="32"/>
          <w:szCs w:val="32"/>
        </w:rPr>
        <w:t>万元，占</w:t>
      </w:r>
      <w:r>
        <w:rPr>
          <w:rFonts w:ascii="仿宋" w:eastAsia="仿宋" w:hAnsi="仿宋"/>
          <w:b/>
          <w:sz w:val="32"/>
          <w:szCs w:val="32"/>
        </w:rPr>
        <w:t>61.15</w:t>
      </w:r>
      <w:r>
        <w:rPr>
          <w:rFonts w:ascii="仿宋" w:eastAsia="仿宋" w:hAnsi="仿宋"/>
          <w:sz w:val="32"/>
          <w:szCs w:val="32"/>
        </w:rPr>
        <w:t>%</w:t>
      </w:r>
      <w:r>
        <w:rPr>
          <w:rFonts w:ascii="仿宋" w:eastAsia="仿宋" w:hAnsi="仿宋" w:hint="eastAsia"/>
          <w:sz w:val="32"/>
          <w:szCs w:val="32"/>
        </w:rPr>
        <w:t>。</w:t>
      </w:r>
    </w:p>
    <w:p>
      <w:pPr>
        <w:spacing w:line="600" w:lineRule="exact"/>
        <w:ind w:firstLineChars="200" w:firstLine="640"/>
        <w:outlineLvl w:val="1"/>
        <w:rPr>
          <w:rFonts w:ascii="仿宋" w:eastAsia="仿宋" w:hAnsi="仿宋"/>
          <w:sz w:val="32"/>
          <w:szCs w:val="32"/>
          <w:shd w:val="pct10" w:color="auto" w:fill="FFFFFF"/>
        </w:rPr>
      </w:pPr>
      <w:r>
        <w:rPr>
          <w:rFonts w:ascii="仿宋" w:eastAsia="仿宋" w:hAnsi="仿宋" w:hint="eastAsia"/>
          <w:b/>
          <w:sz w:val="32"/>
          <w:szCs w:val="32"/>
        </w:rPr>
        <w:t>（注：数据来源于财决</w:t>
      </w:r>
      <w:r>
        <w:rPr>
          <w:rFonts w:ascii="仿宋" w:eastAsia="仿宋" w:hAnsi="仿宋"/>
          <w:b/>
          <w:sz w:val="32"/>
          <w:szCs w:val="32"/>
        </w:rPr>
        <w:t>04</w:t>
      </w:r>
      <w:r>
        <w:rPr>
          <w:rFonts w:ascii="仿宋" w:eastAsia="仿宋" w:hAnsi="仿宋" w:hint="eastAsia"/>
          <w:b/>
          <w:sz w:val="32"/>
          <w:szCs w:val="32"/>
        </w:rPr>
        <w:t>表）</w:t>
      </w:r>
    </w:p>
    <w:p>
      <w:pPr>
        <w:widowControl/>
        <w:spacing w:line="315" w:lineRule="atLeast"/>
        <w:ind w:firstLine="480"/>
        <w:rPr>
          <w:rFonts w:ascii="仿宋" w:eastAsia="仿宋" w:hAnsi="仿宋"/>
          <w:color w:val="000000"/>
          <w:sz w:val="32"/>
          <w:szCs w:val="32"/>
          <w:shd w:val="pct10" w:color="auto" w:fill="FFFFFF"/>
        </w:rPr>
      </w:pPr>
      <w:r>
        <w:rPr>
          <w:rFonts w:ascii="仿宋" w:eastAsia="仿宋" w:hAnsi="仿宋"/>
          <w:color w:val="000000"/>
          <w:sz w:val="32"/>
          <w:szCs w:val="32"/>
          <w:shd w:val="pct10" w:color="auto" w:fill="FFFFFF"/>
        </w:rPr>
        <w:object>
          <v:shape id="_x0000_i1026" type="#_x0000_t75" filled="f" style="width:378.2pt;height:200.40001pt;" o:ole="">
            <v:imagedata r:id="rId8" o:title="4"/>
            <o:lock aspectratio="t"/>
          </v:shape>
          <o:OLEObject Type="Embed" ProgID="Package" ShapeID="_x0000_i1026" DrawAspect="Content" ObjectID="_1393063352" r:id="rId9"/>
        </w:object>
      </w:r>
    </w:p>
    <w:p>
      <w:pPr>
        <w:pStyle w:val="23"/>
      </w:pPr>
    </w:p>
    <w:p>
      <w:pPr>
        <w:spacing w:line="600" w:lineRule="exact"/>
        <w:ind w:firstLineChars="800" w:firstLine="2560"/>
        <w:rPr>
          <w:rFonts w:ascii="仿宋" w:eastAsia="仿宋" w:hAnsi="仿宋"/>
          <w:sz w:val="32"/>
          <w:szCs w:val="32"/>
        </w:rPr>
      </w:pPr>
      <w:r>
        <w:rPr>
          <w:rFonts w:ascii="仿宋" w:eastAsia="仿宋" w:hAnsi="仿宋" w:hint="eastAsia"/>
          <w:sz w:val="32"/>
          <w:szCs w:val="32"/>
        </w:rPr>
        <w:t>（图3：支出决算结构图）</w:t>
      </w:r>
    </w:p>
    <w:p>
      <w:pPr>
        <w:pStyle w:val="23"/>
        <w:rPr>
          <w:rFonts w:hint="eastAsia"/>
        </w:rPr>
      </w:pPr>
    </w:p>
    <w:p>
      <w:pPr>
        <w:pStyle w:val="17"/>
      </w:pPr>
    </w:p>
    <w:p>
      <w:pPr>
        <w:spacing w:line="600" w:lineRule="exact"/>
        <w:ind w:firstLineChars="200" w:firstLine="640"/>
        <w:outlineLvl w:val="1"/>
        <w:rPr>
          <w:rStyle w:val="2Char"/>
          <w:rFonts w:ascii="黑体" w:eastAsia="黑体" w:hAnsi="黑体"/>
          <w:b w:val="0"/>
        </w:rPr>
      </w:pPr>
      <w:bookmarkStart w:id="14" w:name="_Toc15377208"/>
      <w:bookmarkStart w:id="15"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14"/>
      <w:bookmarkEnd w:id="15"/>
    </w:p>
    <w:p>
      <w:pPr>
        <w:spacing w:line="600" w:lineRule="exact"/>
        <w:ind w:firstLine="640"/>
        <w:rPr>
          <w:rFonts w:ascii="仿宋" w:eastAsia="仿宋" w:hAnsi="仿宋"/>
          <w:sz w:val="32"/>
          <w:szCs w:val="32"/>
        </w:rPr>
      </w:pPr>
      <w:r>
        <w:rPr>
          <w:rFonts w:ascii="仿宋" w:eastAsia="仿宋" w:hAnsi="仿宋" w:hint="eastAsia"/>
          <w:sz w:val="32"/>
          <w:szCs w:val="32"/>
        </w:rPr>
        <w:t>2023年度财政拨款收、支总计均为</w:t>
      </w:r>
      <w:r>
        <w:rPr>
          <w:rFonts w:ascii="仿宋" w:eastAsia="仿宋" w:hAnsi="仿宋"/>
          <w:b/>
          <w:sz w:val="32"/>
          <w:szCs w:val="32"/>
        </w:rPr>
        <w:t>2735.81</w:t>
      </w:r>
      <w:r>
        <w:rPr>
          <w:rFonts w:ascii="仿宋" w:eastAsia="仿宋" w:hAnsi="仿宋" w:hint="eastAsia"/>
          <w:sz w:val="32"/>
          <w:szCs w:val="32"/>
        </w:rPr>
        <w:t>万元。与2022年度相比，财政拨款收、支总计各减少432.06万元，下降13.64</w:t>
      </w:r>
      <w:r>
        <w:rPr>
          <w:rFonts w:ascii="仿宋" w:eastAsia="仿宋" w:hAnsi="仿宋"/>
          <w:sz w:val="32"/>
          <w:szCs w:val="32"/>
        </w:rPr>
        <w:t>%</w:t>
      </w:r>
      <w:r>
        <w:rPr>
          <w:rFonts w:ascii="仿宋" w:eastAsia="仿宋" w:hAnsi="仿宋" w:hint="eastAsia"/>
          <w:sz w:val="32"/>
          <w:szCs w:val="32"/>
        </w:rPr>
        <w:t>。主要变动原因是财政对新冠疫情防控投入减少，以及中央投入基建项目经费减少。</w:t>
      </w:r>
    </w:p>
    <w:p>
      <w:pPr>
        <w:spacing w:line="600" w:lineRule="exact"/>
        <w:ind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pPr>
        <w:spacing w:line="600" w:lineRule="exact"/>
        <w:ind w:firstLineChars="200" w:firstLine="640"/>
        <w:rPr>
          <w:rFonts w:ascii="仿宋" w:eastAsia="仿宋" w:hAnsi="仿宋"/>
          <w:sz w:val="32"/>
          <w:szCs w:val="32"/>
        </w:rPr>
      </w:pPr>
      <w:r>
        <w:rPr>
          <w:rFonts w:ascii="仿宋" w:eastAsia="仿宋" w:hAnsi="仿宋" w:hint="eastAsia"/>
          <w:sz w:val="32"/>
          <w:szCs w:val="32"/>
        </w:rPr>
        <w:drawing>
          <wp:anchor distT="0" distB="0" distL="114300" distR="114300" simplePos="0" relativeHeight="22" behindDoc="0" locked="0" layoutInCell="1" hidden="0" allowOverlap="1">
            <wp:simplePos x="0" y="0"/>
            <wp:positionH relativeFrom="column">
              <wp:posOffset>565785</wp:posOffset>
            </wp:positionH>
            <wp:positionV relativeFrom="paragraph">
              <wp:posOffset>156845</wp:posOffset>
            </wp:positionV>
            <wp:extent cx="4207510" cy="2368548"/>
            <wp:effectExtent l="4444" t="4444" r="17145" b="65405"/>
            <wp:wrapSquare wrapText="bothSides"/>
            <wp:docPr id="2" name="图表 2" descr="7b0a202020202263686172745265734964223a20223230343732303435220a7d0a"/>
            <wp:cNvGraphicFramePr>
              <a:graphicFrameLocks noChangeAspect="0"/>
            </wp:cNvGraphicFramePr>
            <a:graphic>
              <a:graphicData uri="http://schemas.openxmlformats.org/drawingml/2006/chart">
                <c:chart xmlns:c="http://schemas.openxmlformats.org/drawingml/2006/chart" r:id="rId10"/>
              </a:graphicData>
            </a:graphic>
          </wp:anchor>
        </w:drawing>
      </w:r>
    </w:p>
    <w:p>
      <w:pPr>
        <w:spacing w:line="600" w:lineRule="exact"/>
        <w:ind w:firstLineChars="200" w:firstLine="640"/>
        <w:rPr>
          <w:rFonts w:ascii="仿宋" w:eastAsia="仿宋" w:hAnsi="仿宋"/>
          <w:sz w:val="32"/>
          <w:szCs w:val="32"/>
        </w:rPr>
      </w:pPr>
    </w:p>
    <w:p>
      <w:pPr>
        <w:spacing w:line="600" w:lineRule="exact"/>
        <w:ind w:firstLineChars="200" w:firstLine="640"/>
        <w:rPr>
          <w:rFonts w:ascii="仿宋" w:eastAsia="仿宋" w:hAnsi="仿宋"/>
          <w:sz w:val="32"/>
          <w:szCs w:val="32"/>
        </w:rPr>
      </w:pPr>
    </w:p>
    <w:p>
      <w:pPr>
        <w:spacing w:line="600" w:lineRule="exact"/>
        <w:ind w:firstLineChars="200" w:firstLine="640"/>
        <w:rPr>
          <w:rFonts w:ascii="仿宋" w:eastAsia="仿宋" w:hAnsi="仿宋"/>
          <w:sz w:val="32"/>
          <w:szCs w:val="32"/>
        </w:rPr>
      </w:pPr>
    </w:p>
    <w:p>
      <w:pPr>
        <w:spacing w:line="600" w:lineRule="exact"/>
        <w:ind w:firstLineChars="200" w:firstLine="640"/>
        <w:rPr>
          <w:rFonts w:ascii="仿宋" w:eastAsia="仿宋" w:hAnsi="仿宋"/>
          <w:sz w:val="32"/>
          <w:szCs w:val="32"/>
        </w:rPr>
      </w:pPr>
    </w:p>
    <w:p>
      <w:pPr>
        <w:spacing w:line="600" w:lineRule="exact"/>
        <w:ind w:firstLineChars="200" w:firstLine="640"/>
        <w:rPr>
          <w:rFonts w:ascii="仿宋" w:eastAsia="仿宋" w:hAnsi="仿宋"/>
          <w:sz w:val="32"/>
          <w:szCs w:val="32"/>
        </w:rPr>
      </w:pPr>
    </w:p>
    <w:p>
      <w:pPr>
        <w:spacing w:line="600" w:lineRule="exact"/>
        <w:ind w:firstLineChars="200" w:firstLine="640"/>
        <w:rPr>
          <w:rFonts w:ascii="仿宋" w:eastAsia="仿宋" w:hAnsi="仿宋"/>
          <w:sz w:val="32"/>
          <w:szCs w:val="32"/>
        </w:rPr>
      </w:pPr>
    </w:p>
    <w:p>
      <w:pPr>
        <w:spacing w:line="600" w:lineRule="exact"/>
        <w:ind w:firstLineChars="400" w:firstLine="1280"/>
        <w:rPr>
          <w:rFonts w:ascii="仿宋" w:eastAsia="仿宋" w:hAnsi="仿宋"/>
          <w:b/>
          <w:sz w:val="32"/>
          <w:szCs w:val="32"/>
        </w:rPr>
      </w:pPr>
      <w:r>
        <w:rPr>
          <w:rFonts w:ascii="仿宋" w:eastAsia="仿宋" w:hAnsi="仿宋" w:hint="eastAsia"/>
          <w:sz w:val="32"/>
          <w:szCs w:val="32"/>
        </w:rPr>
        <w:t>（图4：财政拨款收、支决算总计变动情况）</w:t>
      </w:r>
    </w:p>
    <w:p>
      <w:pPr>
        <w:spacing w:line="600" w:lineRule="exact"/>
        <w:ind w:firstLineChars="200" w:firstLine="640"/>
        <w:outlineLvl w:val="1"/>
        <w:rPr>
          <w:rStyle w:val="2Char"/>
          <w:rFonts w:ascii="黑体" w:eastAsia="黑体" w:hAnsi="黑体"/>
          <w:b w:val="0"/>
        </w:rPr>
      </w:pPr>
      <w:bookmarkStart w:id="16" w:name="_Toc15377209"/>
      <w:bookmarkStart w:id="17"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16"/>
      <w:bookmarkEnd w:id="17"/>
    </w:p>
    <w:p>
      <w:pPr>
        <w:spacing w:line="600" w:lineRule="exact"/>
        <w:ind w:firstLineChars="200" w:firstLine="640"/>
        <w:outlineLvl w:val="2"/>
        <w:rPr>
          <w:rFonts w:ascii="仿宋" w:eastAsia="仿宋" w:hAnsi="仿宋"/>
          <w:b/>
          <w:sz w:val="32"/>
          <w:szCs w:val="32"/>
        </w:rPr>
      </w:pPr>
      <w:bookmarkStart w:id="18" w:name="_Toc15377210"/>
      <w:r>
        <w:rPr>
          <w:rFonts w:ascii="仿宋" w:eastAsia="仿宋" w:hAnsi="仿宋" w:hint="eastAsia"/>
          <w:b/>
          <w:sz w:val="32"/>
          <w:szCs w:val="32"/>
        </w:rPr>
        <w:t>（一）一般公共预算财政拨款支出决算总体情况</w:t>
      </w:r>
      <w:bookmarkEnd w:id="18"/>
    </w:p>
    <w:p>
      <w:pPr>
        <w:widowControl/>
        <w:spacing w:line="315" w:lineRule="atLeast"/>
        <w:ind w:firstLineChars="200" w:firstLine="640"/>
        <w:jc w:val="left"/>
        <w:rPr>
          <w:rFonts w:ascii="仿宋" w:eastAsia="仿宋" w:hAnsi="仿宋"/>
          <w:color w:val="000000"/>
          <w:sz w:val="32"/>
          <w:szCs w:val="32"/>
        </w:rPr>
      </w:pPr>
      <w:r>
        <w:rPr>
          <w:rFonts w:ascii="仿宋" w:eastAsia="仿宋" w:hAnsi="仿宋" w:hint="eastAsia"/>
          <w:sz w:val="32"/>
          <w:szCs w:val="32"/>
        </w:rPr>
        <w:t>2023年度一般公共预算财政拨款支出</w:t>
      </w:r>
      <w:r>
        <w:rPr>
          <w:rFonts w:ascii="仿宋" w:eastAsia="仿宋" w:hAnsi="仿宋"/>
          <w:b/>
          <w:sz w:val="32"/>
          <w:szCs w:val="32"/>
        </w:rPr>
        <w:t>2735.81</w:t>
      </w:r>
      <w:r>
        <w:rPr>
          <w:rFonts w:ascii="仿宋" w:eastAsia="仿宋" w:hAnsi="仿宋" w:hint="eastAsia"/>
          <w:sz w:val="32"/>
          <w:szCs w:val="32"/>
        </w:rPr>
        <w:t>万元，占本年支出合计的</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。与2022年度相比，一般公共预算财政拨款支出减少432.06万元，下降13.64%。主要变动原因是财政对新冠疫情防控投入减少。</w:t>
      </w:r>
    </w:p>
    <w:p>
      <w:pPr>
        <w:spacing w:line="600" w:lineRule="exact"/>
        <w:rPr>
          <w:rFonts w:ascii="仿宋" w:eastAsia="仿宋" w:hAnsi="仿宋"/>
          <w:sz w:val="32"/>
          <w:szCs w:val="32"/>
        </w:rPr>
      </w:pPr>
    </w:p>
    <w:p>
      <w:pPr>
        <w:spacing w:line="600" w:lineRule="exact"/>
        <w:ind w:firstLineChars="200" w:firstLine="640"/>
        <w:rPr>
          <w:rFonts w:ascii="仿宋" w:eastAsia="仿宋" w:hAnsi="仿宋"/>
          <w:sz w:val="32"/>
          <w:szCs w:val="32"/>
        </w:rPr>
      </w:pPr>
    </w:p>
    <w:p>
      <w:pPr>
        <w:pStyle w:val="23"/>
        <w:rPr>
          <w:rFonts w:ascii="仿宋" w:eastAsia="仿宋" w:hAnsi="仿宋"/>
          <w:sz w:val="32"/>
          <w:szCs w:val="32"/>
        </w:rPr>
      </w:pPr>
    </w:p>
    <w:p>
      <w:pPr>
        <w:pStyle w:val="17"/>
        <w:rPr>
          <w:rFonts w:ascii="仿宋" w:eastAsia="仿宋" w:hAnsi="仿宋"/>
          <w:sz w:val="32"/>
        </w:rPr>
      </w:pPr>
    </w:p>
    <w:p>
      <w:pPr>
        <w:pStyle w:val="17"/>
        <w:rPr>
          <w:rFonts w:ascii="仿宋" w:eastAsia="仿宋" w:hAnsi="仿宋"/>
          <w:sz w:val="32"/>
        </w:rPr>
      </w:pPr>
    </w:p>
    <w:p>
      <w:pPr>
        <w:spacing w:line="600" w:lineRule="exact"/>
        <w:ind w:firstLineChars="200" w:firstLine="640"/>
        <w:rPr>
          <w:rFonts w:ascii="仿宋" w:eastAsia="仿宋" w:hAnsi="仿宋"/>
          <w:sz w:val="32"/>
          <w:szCs w:val="32"/>
        </w:rPr>
      </w:pPr>
      <w:r>
        <w:rPr>
          <w:rFonts w:ascii="仿宋" w:eastAsia="仿宋" w:hAnsi="仿宋" w:hint="eastAsia"/>
          <w:sz w:val="32"/>
          <w:szCs w:val="32"/>
        </w:rPr>
        <w:drawing>
          <wp:anchor distT="0" distB="0" distL="114300" distR="114300" simplePos="0" relativeHeight="24" behindDoc="0" locked="0" layoutInCell="1" hidden="0" allowOverlap="1">
            <wp:simplePos x="0" y="0"/>
            <wp:positionH relativeFrom="column">
              <wp:posOffset>439419</wp:posOffset>
            </wp:positionH>
            <wp:positionV relativeFrom="paragraph">
              <wp:posOffset>-804544</wp:posOffset>
            </wp:positionV>
            <wp:extent cx="4626610" cy="2619375"/>
            <wp:effectExtent l="4444" t="5080" r="17145" b="4444"/>
            <wp:wrapTight wrapText="bothSides">
              <wp:wrapPolygon>
                <wp:start x="0" y="0"/>
                <wp:lineTo x="21600" y="21521"/>
                <wp:lineTo x="21600" y="0"/>
                <wp:lineTo x="0" y="0"/>
              </wp:wrapPolygon>
            </wp:wrapTight>
            <wp:docPr id="3" name="图表 3"/>
            <wp:cNvGraphicFramePr>
              <a:graphicFrameLocks noChangeAspect="0"/>
            </wp:cNvGraphicFramePr>
            <a:graphic>
              <a:graphicData uri="http://schemas.openxmlformats.org/drawingml/2006/chart">
                <c:chart xmlns:c="http://schemas.openxmlformats.org/drawingml/2006/chart" r:id="rId11"/>
              </a:graphicData>
            </a:graphic>
          </wp:anchor>
        </w:drawing>
      </w:r>
    </w:p>
    <w:p>
      <w:pPr>
        <w:spacing w:line="600" w:lineRule="exact"/>
        <w:ind w:firstLineChars="200" w:firstLine="640"/>
        <w:rPr>
          <w:rFonts w:ascii="仿宋" w:eastAsia="仿宋" w:hAnsi="仿宋"/>
          <w:sz w:val="32"/>
          <w:szCs w:val="32"/>
        </w:rPr>
      </w:pPr>
    </w:p>
    <w:p>
      <w:pPr>
        <w:spacing w:line="600" w:lineRule="exact"/>
        <w:ind w:firstLineChars="200" w:firstLine="640"/>
        <w:rPr>
          <w:rFonts w:ascii="仿宋" w:eastAsia="仿宋" w:hAnsi="仿宋"/>
          <w:sz w:val="32"/>
          <w:szCs w:val="32"/>
        </w:rPr>
      </w:pPr>
    </w:p>
    <w:p>
      <w:pPr>
        <w:spacing w:line="600" w:lineRule="exact"/>
        <w:ind w:firstLineChars="200" w:firstLine="640"/>
        <w:rPr>
          <w:rFonts w:ascii="仿宋" w:eastAsia="仿宋" w:hAnsi="仿宋"/>
          <w:sz w:val="32"/>
          <w:szCs w:val="32"/>
        </w:rPr>
      </w:pPr>
    </w:p>
    <w:p>
      <w:pPr>
        <w:spacing w:line="600" w:lineRule="exact"/>
        <w:ind w:firstLineChars="200" w:firstLine="640"/>
        <w:rPr>
          <w:rFonts w:ascii="仿宋" w:eastAsia="仿宋" w:hAnsi="仿宋"/>
          <w:sz w:val="32"/>
          <w:szCs w:val="32"/>
        </w:rPr>
      </w:pPr>
    </w:p>
    <w:p>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w:t>
      </w:r>
    </w:p>
    <w:p>
      <w:pPr>
        <w:spacing w:line="600" w:lineRule="exact"/>
        <w:ind w:firstLineChars="200" w:firstLine="640"/>
        <w:outlineLvl w:val="2"/>
        <w:rPr>
          <w:rFonts w:ascii="仿宋" w:eastAsia="仿宋" w:hAnsi="仿宋"/>
          <w:b/>
          <w:sz w:val="32"/>
          <w:szCs w:val="32"/>
        </w:rPr>
      </w:pPr>
      <w:bookmarkStart w:id="19" w:name="_Toc15377211"/>
      <w:r>
        <w:rPr>
          <w:rFonts w:ascii="仿宋" w:eastAsia="仿宋" w:hAnsi="仿宋" w:hint="eastAsia"/>
          <w:b/>
          <w:sz w:val="32"/>
          <w:szCs w:val="32"/>
        </w:rPr>
        <w:t>（二）一般公共预算财政拨款支出决算结构情况</w:t>
      </w:r>
      <w:bookmarkEnd w:id="19"/>
    </w:p>
    <w:p>
      <w:pPr>
        <w:spacing w:line="600" w:lineRule="exact"/>
        <w:ind w:firstLine="640"/>
        <w:rPr>
          <w:rFonts w:ascii="仿宋" w:eastAsia="仿宋" w:hAnsi="仿宋"/>
          <w:b/>
          <w:sz w:val="32"/>
          <w:szCs w:val="32"/>
        </w:rPr>
      </w:pPr>
      <w:r>
        <w:rPr>
          <w:rFonts w:ascii="仿宋" w:eastAsia="仿宋" w:hAnsi="仿宋" w:hint="eastAsia"/>
          <w:sz w:val="32"/>
          <w:szCs w:val="32"/>
        </w:rPr>
        <w:t>2023年度一般公共预算财政拨款支出</w:t>
      </w:r>
      <w:r>
        <w:rPr>
          <w:rFonts w:ascii="仿宋" w:eastAsia="仿宋" w:hAnsi="仿宋"/>
          <w:b/>
          <w:sz w:val="32"/>
          <w:szCs w:val="32"/>
        </w:rPr>
        <w:t>2735.81</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119.94万元，占4.38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2526.08万元，占92.33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89.78万元，占3.28</w:t>
      </w:r>
      <w:r>
        <w:rPr>
          <w:rFonts w:ascii="仿宋" w:eastAsia="仿宋" w:hAnsi="仿宋"/>
          <w:sz w:val="32"/>
          <w:szCs w:val="32"/>
        </w:rPr>
        <w:t>%</w:t>
      </w:r>
      <w:r>
        <w:rPr>
          <w:rFonts w:ascii="仿宋" w:eastAsia="仿宋" w:hAnsi="仿宋" w:hint="eastAsia"/>
          <w:sz w:val="32"/>
          <w:szCs w:val="32"/>
        </w:rPr>
        <w:t>。</w:t>
      </w:r>
    </w:p>
    <w:p>
      <w:pPr>
        <w:spacing w:line="600" w:lineRule="exact"/>
        <w:ind w:firstLine="640"/>
        <w:rPr>
          <w:rFonts w:ascii="仿宋" w:eastAsia="仿宋" w:hAnsi="仿宋"/>
          <w:b/>
          <w:sz w:val="32"/>
          <w:szCs w:val="32"/>
        </w:rPr>
      </w:pPr>
      <w:r>
        <w:rPr>
          <w:rFonts w:ascii="仿宋" w:eastAsia="仿宋" w:hAnsi="仿宋" w:hint="eastAsia"/>
          <w:b/>
          <w:sz w:val="32"/>
          <w:szCs w:val="32"/>
        </w:rPr>
        <w:t>（注：数据来源于财决01-1表）</w:t>
      </w:r>
    </w:p>
    <w:p>
      <w:pPr>
        <w:spacing w:line="600" w:lineRule="exact"/>
        <w:ind w:firstLine="640"/>
        <w:rPr>
          <w:rFonts w:ascii="仿宋" w:eastAsia="仿宋" w:hAnsi="仿宋"/>
          <w:sz w:val="32"/>
          <w:szCs w:val="32"/>
        </w:rPr>
      </w:pPr>
      <w:r>
        <w:rPr>
          <w:rFonts w:ascii="仿宋" w:eastAsia="仿宋" w:hAnsi="仿宋" w:hint="eastAsia"/>
          <w:sz w:val="32"/>
          <w:szCs w:val="32"/>
        </w:rPr>
        <w:drawing>
          <wp:anchor distT="0" distB="0" distL="114300" distR="114300" simplePos="0" relativeHeight="26" behindDoc="0" locked="0" layoutInCell="1" hidden="0" allowOverlap="1">
            <wp:simplePos x="0" y="0"/>
            <wp:positionH relativeFrom="column">
              <wp:posOffset>259080</wp:posOffset>
            </wp:positionH>
            <wp:positionV relativeFrom="paragraph">
              <wp:posOffset>38100</wp:posOffset>
            </wp:positionV>
            <wp:extent cx="4961255" cy="2627630"/>
            <wp:effectExtent l="4444" t="4444" r="6350" b="15875"/>
            <wp:wrapNone/>
            <wp:docPr id="4" name="图表 4"/>
            <wp:cNvGraphicFramePr>
              <a:graphicFrameLocks noChangeAspect="0"/>
            </wp:cNvGraphicFramePr>
            <a:graphic>
              <a:graphicData uri="http://schemas.openxmlformats.org/drawingml/2006/chart">
                <c:chart xmlns:c="http://schemas.openxmlformats.org/drawingml/2006/chart" r:id="rId12"/>
              </a:graphicData>
            </a:graphic>
          </wp:anchor>
        </w:drawing>
      </w: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pacing w:line="600" w:lineRule="exact"/>
        <w:rPr>
          <w:rFonts w:ascii="仿宋" w:eastAsia="仿宋" w:hAnsi="仿宋"/>
          <w:sz w:val="32"/>
          <w:szCs w:val="32"/>
        </w:rPr>
      </w:pPr>
    </w:p>
    <w:p>
      <w:pPr>
        <w:spacing w:line="600" w:lineRule="exact"/>
        <w:ind w:firstLineChars="400" w:firstLine="1280"/>
        <w:rPr>
          <w:rFonts w:ascii="仿宋" w:eastAsia="仿宋" w:hAnsi="仿宋"/>
          <w:sz w:val="32"/>
          <w:szCs w:val="32"/>
        </w:rPr>
      </w:pPr>
      <w:r>
        <w:rPr>
          <w:rFonts w:ascii="仿宋" w:eastAsia="仿宋" w:hAnsi="仿宋" w:hint="eastAsia"/>
          <w:sz w:val="32"/>
          <w:szCs w:val="32"/>
        </w:rPr>
        <w:t>（图6：一般公共预算财政拨款支出决算结构）</w:t>
      </w:r>
    </w:p>
    <w:p>
      <w:pPr>
        <w:spacing w:line="600" w:lineRule="exact"/>
        <w:ind w:firstLineChars="200" w:firstLine="640"/>
        <w:outlineLvl w:val="2"/>
        <w:rPr>
          <w:rFonts w:ascii="仿宋" w:eastAsia="仿宋" w:hAnsi="仿宋"/>
          <w:b/>
          <w:sz w:val="32"/>
          <w:szCs w:val="32"/>
        </w:rPr>
      </w:pPr>
      <w:bookmarkStart w:id="20" w:name="_Toc15377212"/>
      <w:r>
        <w:rPr>
          <w:rFonts w:ascii="仿宋" w:eastAsia="仿宋" w:hAnsi="仿宋" w:hint="eastAsia"/>
          <w:b/>
          <w:sz w:val="32"/>
          <w:szCs w:val="32"/>
        </w:rPr>
        <w:t>（三）一般公共预算财政拨款支出决算具体情况</w:t>
      </w:r>
      <w:bookmarkEnd w:id="20"/>
    </w:p>
    <w:p>
      <w:pPr>
        <w:spacing w:line="600" w:lineRule="exact"/>
        <w:ind w:firstLineChars="200" w:firstLine="640"/>
        <w:outlineLvl w:val="2"/>
        <w:rPr>
          <w:rFonts w:ascii="仿宋" w:eastAsia="仿宋" w:hAnsi="仿宋"/>
          <w:sz w:val="32"/>
          <w:szCs w:val="32"/>
        </w:rPr>
      </w:pPr>
      <w:bookmarkStart w:id="21" w:name="_Toc15377213"/>
      <w:bookmarkStart w:id="22" w:name="_Toc15378460"/>
      <w:bookmarkStart w:id="23" w:name="_Toc15377444"/>
      <w:r>
        <w:rPr>
          <w:rFonts w:ascii="仿宋" w:eastAsia="仿宋" w:hAnsi="仿宋" w:hint="eastAsia"/>
          <w:b/>
          <w:sz w:val="32"/>
          <w:szCs w:val="32"/>
        </w:rPr>
        <w:t>2023年度一般公共预算支出决算数为</w:t>
      </w:r>
      <w:r>
        <w:rPr>
          <w:rFonts w:ascii="仿宋" w:eastAsia="仿宋" w:hAnsi="仿宋"/>
          <w:b/>
          <w:sz w:val="32"/>
          <w:szCs w:val="32"/>
        </w:rPr>
        <w:t>2735.81</w:t>
      </w:r>
      <w:r>
        <w:rPr>
          <w:rFonts w:ascii="仿宋" w:eastAsia="仿宋" w:hAnsi="仿宋" w:hint="eastAsia"/>
          <w:b/>
          <w:sz w:val="32"/>
          <w:szCs w:val="32"/>
        </w:rPr>
        <w:t>万元</w:t>
      </w:r>
      <w:r>
        <w:rPr>
          <w:rFonts w:ascii="仿宋" w:eastAsia="仿宋" w:hAnsi="仿宋" w:hint="eastAsia"/>
          <w:sz w:val="32"/>
          <w:szCs w:val="32"/>
        </w:rPr>
        <w:t>，</w:t>
      </w:r>
      <w:r>
        <w:rPr>
          <w:rStyle w:val="25"/>
          <w:rFonts w:ascii="仿宋" w:eastAsia="仿宋" w:hAnsi="仿宋" w:hint="eastAsia"/>
          <w:bCs/>
          <w:sz w:val="32"/>
          <w:szCs w:val="32"/>
        </w:rPr>
        <w:t>完成预算100</w:t>
      </w:r>
      <w:r>
        <w:rPr>
          <w:rStyle w:val="25"/>
          <w:rFonts w:ascii="仿宋" w:eastAsia="仿宋" w:hAnsi="仿宋"/>
          <w:bCs/>
          <w:sz w:val="32"/>
          <w:szCs w:val="32"/>
        </w:rPr>
        <w:t>%</w:t>
      </w:r>
      <w:r>
        <w:rPr>
          <w:rStyle w:val="25"/>
          <w:rFonts w:ascii="仿宋" w:eastAsia="仿宋" w:hAnsi="仿宋" w:hint="eastAsia"/>
          <w:bCs/>
          <w:sz w:val="32"/>
          <w:szCs w:val="32"/>
        </w:rPr>
        <w:t>。其中：</w:t>
      </w:r>
      <w:bookmarkEnd w:id="21"/>
      <w:bookmarkEnd w:id="22"/>
      <w:bookmarkEnd w:id="23"/>
    </w:p>
    <w:p>
      <w:pPr>
        <w:numPr>
          <w:ilvl w:val="0"/>
          <w:numId w:val="3"/>
        </w:numPr>
        <w:spacing w:line="576" w:lineRule="exact"/>
        <w:ind w:left="0" w:firstLineChars="221" w:firstLine="707"/>
        <w:rPr>
          <w:rStyle w:val="25"/>
          <w:rFonts w:ascii="仿宋" w:eastAsia="仿宋" w:hAnsi="仿宋"/>
          <w:b w:val="0"/>
          <w:bCs/>
          <w:sz w:val="32"/>
          <w:szCs w:val="32"/>
        </w:rPr>
      </w:pPr>
      <w:r>
        <w:rPr>
          <w:rStyle w:val="25"/>
          <w:rFonts w:ascii="仿宋" w:eastAsia="仿宋" w:cs="Arial" w:hAnsi="仿宋" w:hint="eastAsia"/>
          <w:bCs/>
          <w:sz w:val="32"/>
          <w:szCs w:val="32"/>
        </w:rPr>
        <w:t>社会保障和就业(类）行政事业退休（款）机关事业单位基本养老保险缴费支出</w:t>
      </w:r>
      <w:r>
        <w:rPr>
          <w:rStyle w:val="25"/>
          <w:rFonts w:ascii="仿宋" w:eastAsia="仿宋" w:hAnsi="仿宋" w:hint="eastAsia"/>
          <w:bCs/>
          <w:sz w:val="32"/>
          <w:szCs w:val="32"/>
        </w:rPr>
        <w:t>（项）:</w:t>
      </w:r>
      <w:r>
        <w:rPr>
          <w:rStyle w:val="25"/>
          <w:rFonts w:ascii="仿宋" w:eastAsia="仿宋" w:hAnsi="仿宋" w:hint="eastAsia"/>
          <w:b w:val="0"/>
          <w:bCs/>
          <w:sz w:val="32"/>
          <w:szCs w:val="32"/>
        </w:rPr>
        <w:t>支出决算为114.92万元，完成预算100%；完成预算100%。</w:t>
      </w:r>
    </w:p>
    <w:p>
      <w:pPr>
        <w:numPr>
          <w:ilvl w:val="0"/>
          <w:numId w:val="3"/>
        </w:numPr>
        <w:spacing w:line="576" w:lineRule="exact"/>
        <w:ind w:left="0" w:firstLineChars="221" w:firstLine="707"/>
        <w:rPr>
          <w:rStyle w:val="25"/>
          <w:rFonts w:ascii="仿宋" w:eastAsia="仿宋" w:hAnsi="仿宋"/>
          <w:b w:val="0"/>
          <w:bCs/>
          <w:sz w:val="32"/>
          <w:szCs w:val="32"/>
        </w:rPr>
      </w:pPr>
      <w:r>
        <w:rPr>
          <w:rStyle w:val="25"/>
          <w:rFonts w:ascii="仿宋" w:eastAsia="仿宋" w:cs="Arial" w:hAnsi="仿宋" w:hint="eastAsia"/>
          <w:bCs/>
          <w:sz w:val="32"/>
          <w:szCs w:val="32"/>
        </w:rPr>
        <w:t>社会保障和就业(类）其他社会保障和就业支出 （款）其他社会保障和就业支出 （项）支出决</w:t>
      </w:r>
      <w:r>
        <w:rPr>
          <w:rStyle w:val="25"/>
          <w:rFonts w:ascii="仿宋" w:eastAsia="仿宋" w:hAnsi="仿宋" w:hint="eastAsia"/>
          <w:b w:val="0"/>
          <w:bCs/>
          <w:sz w:val="32"/>
          <w:szCs w:val="32"/>
        </w:rPr>
        <w:t>算数为5.02万元，完成预算100%。</w:t>
      </w:r>
    </w:p>
    <w:p>
      <w:pPr>
        <w:numPr>
          <w:ilvl w:val="0"/>
          <w:numId w:val="3"/>
        </w:numPr>
        <w:spacing w:line="576" w:lineRule="exact"/>
        <w:ind w:left="0" w:firstLineChars="221" w:firstLine="707"/>
        <w:rPr>
          <w:rStyle w:val="25"/>
          <w:rFonts w:ascii="仿宋" w:eastAsia="仿宋" w:hAnsi="仿宋"/>
          <w:b w:val="0"/>
          <w:bCs/>
          <w:sz w:val="32"/>
          <w:szCs w:val="32"/>
        </w:rPr>
      </w:pPr>
      <w:r>
        <w:rPr>
          <w:rFonts w:ascii="仿宋" w:eastAsia="仿宋" w:hAnsi="仿宋" w:hint="eastAsia"/>
          <w:b/>
          <w:bCs/>
          <w:sz w:val="32"/>
          <w:szCs w:val="32"/>
        </w:rPr>
        <w:t>卫生健康（类）公共卫生（款）疾病预防控制机构（项）</w:t>
      </w:r>
      <w:r>
        <w:rPr>
          <w:rStyle w:val="25"/>
          <w:rFonts w:ascii="仿宋" w:eastAsia="仿宋" w:cs="Arial" w:hAnsi="仿宋" w:hint="eastAsia"/>
          <w:b w:val="0"/>
          <w:bCs/>
          <w:sz w:val="32"/>
          <w:szCs w:val="32"/>
        </w:rPr>
        <w:t>支出决算为814.29万元，完成预算100%。</w:t>
      </w:r>
    </w:p>
    <w:p>
      <w:pPr>
        <w:numPr>
          <w:ilvl w:val="0"/>
          <w:numId w:val="3"/>
        </w:numPr>
        <w:spacing w:line="576" w:lineRule="exact"/>
        <w:ind w:left="0" w:firstLineChars="221" w:firstLine="707"/>
        <w:rPr>
          <w:rStyle w:val="25"/>
          <w:rFonts w:ascii="仿宋" w:eastAsia="仿宋" w:hAnsi="仿宋"/>
          <w:b w:val="0"/>
          <w:bCs/>
          <w:sz w:val="32"/>
          <w:szCs w:val="32"/>
        </w:rPr>
      </w:pPr>
      <w:r>
        <w:rPr>
          <w:rFonts w:ascii="仿宋" w:eastAsia="仿宋" w:hAnsi="仿宋" w:hint="eastAsia"/>
          <w:b/>
          <w:bCs/>
          <w:sz w:val="32"/>
          <w:szCs w:val="32"/>
        </w:rPr>
        <w:t>卫生健康（类）公共卫生（款）基本公共卫生服务（项）</w:t>
      </w:r>
      <w:r>
        <w:rPr>
          <w:rStyle w:val="25"/>
          <w:rFonts w:ascii="仿宋" w:eastAsia="仿宋" w:hAnsi="仿宋" w:hint="eastAsia"/>
          <w:b w:val="0"/>
          <w:bCs/>
          <w:sz w:val="32"/>
          <w:szCs w:val="32"/>
        </w:rPr>
        <w:t>支出决算数为47.5万元，完成预算100%；</w:t>
      </w:r>
      <w:r>
        <w:rPr>
          <w:rFonts w:ascii="仿宋" w:eastAsia="仿宋" w:hAnsi="仿宋" w:hint="eastAsia"/>
          <w:b/>
          <w:bCs/>
          <w:sz w:val="32"/>
          <w:szCs w:val="32"/>
        </w:rPr>
        <w:t>卫生健康（类）公共卫生（款）重大公共卫生服务支出（项）</w:t>
      </w:r>
      <w:r>
        <w:rPr>
          <w:rStyle w:val="25"/>
          <w:rFonts w:ascii="仿宋" w:eastAsia="仿宋" w:hAnsi="仿宋" w:hint="eastAsia"/>
          <w:b w:val="0"/>
          <w:bCs/>
          <w:sz w:val="32"/>
          <w:szCs w:val="32"/>
        </w:rPr>
        <w:t>决算数为663.59万元，完成预算100%。</w:t>
      </w:r>
    </w:p>
    <w:p>
      <w:pPr>
        <w:numPr>
          <w:ilvl w:val="0"/>
          <w:numId w:val="3"/>
        </w:numPr>
        <w:spacing w:line="576" w:lineRule="exact"/>
        <w:ind w:left="0" w:firstLineChars="221" w:firstLine="707"/>
        <w:rPr>
          <w:rFonts w:ascii="方正仿宋简体" w:eastAsia="方正仿宋简体" w:cs="方正仿宋简体" w:hAnsi="方正仿宋简体"/>
          <w:sz w:val="32"/>
          <w:szCs w:val="32"/>
        </w:rPr>
      </w:pPr>
      <w:r>
        <w:rPr>
          <w:rFonts w:ascii="仿宋" w:eastAsia="仿宋" w:hAnsi="仿宋" w:hint="eastAsia"/>
          <w:b/>
          <w:bCs/>
          <w:sz w:val="32"/>
          <w:szCs w:val="32"/>
        </w:rPr>
        <w:t>卫生健康（类）公共卫生（款）突发公共卫生事件应急处理（项）</w:t>
      </w:r>
      <w:r>
        <w:rPr>
          <w:rStyle w:val="25"/>
          <w:rFonts w:ascii="仿宋" w:eastAsia="仿宋" w:hAnsi="仿宋" w:hint="eastAsia"/>
          <w:b w:val="0"/>
          <w:bCs/>
          <w:sz w:val="32"/>
          <w:szCs w:val="32"/>
        </w:rPr>
        <w:t>决算数为2.36万元，完成预算100%。</w:t>
      </w:r>
    </w:p>
    <w:p>
      <w:pPr>
        <w:numPr>
          <w:ilvl w:val="0"/>
          <w:numId w:val="3"/>
        </w:numPr>
        <w:spacing w:line="576" w:lineRule="exact"/>
        <w:ind w:left="0" w:firstLineChars="221" w:firstLine="707"/>
        <w:rPr>
          <w:rFonts w:ascii="方正仿宋简体" w:eastAsia="方正仿宋简体" w:cs="方正仿宋简体" w:hAnsi="方正仿宋简体"/>
          <w:sz w:val="32"/>
          <w:szCs w:val="32"/>
        </w:rPr>
      </w:pPr>
      <w:r>
        <w:rPr>
          <w:rFonts w:ascii="仿宋" w:eastAsia="仿宋" w:hAnsi="仿宋" w:hint="eastAsia"/>
          <w:b/>
          <w:bCs/>
          <w:sz w:val="32"/>
          <w:szCs w:val="32"/>
        </w:rPr>
        <w:t>卫生健康（类）公共卫生（款）其他卫生健康支出（项）</w:t>
      </w:r>
      <w:r>
        <w:rPr>
          <w:rStyle w:val="25"/>
          <w:rFonts w:ascii="仿宋" w:eastAsia="仿宋" w:hAnsi="仿宋" w:hint="eastAsia"/>
          <w:b w:val="0"/>
          <w:bCs/>
          <w:sz w:val="32"/>
          <w:szCs w:val="32"/>
        </w:rPr>
        <w:t>959.7万元；完成预算100%。</w:t>
      </w:r>
      <w:r>
        <w:rPr>
          <w:rFonts w:ascii="仿宋" w:eastAsia="仿宋" w:hAnsi="仿宋" w:hint="eastAsia"/>
          <w:b/>
          <w:bCs/>
          <w:sz w:val="32"/>
          <w:szCs w:val="32"/>
        </w:rPr>
        <w:t>卫生健康（类）事业单位医疗（款）事业单位医疗支出（项）</w:t>
      </w:r>
      <w:r>
        <w:rPr>
          <w:rStyle w:val="25"/>
          <w:rFonts w:ascii="仿宋" w:eastAsia="仿宋" w:hAnsi="仿宋" w:hint="eastAsia"/>
          <w:b w:val="0"/>
          <w:bCs/>
          <w:sz w:val="32"/>
          <w:szCs w:val="32"/>
        </w:rPr>
        <w:t>决算支出数38.64万元，完成预算100%。</w:t>
      </w:r>
    </w:p>
    <w:p>
      <w:pPr>
        <w:numPr>
          <w:ilvl w:val="0"/>
          <w:numId w:val="3"/>
        </w:numPr>
        <w:spacing w:line="576" w:lineRule="exact"/>
        <w:ind w:left="0" w:firstLineChars="221" w:firstLine="707"/>
        <w:rPr>
          <w:rFonts w:ascii="方正仿宋简体" w:eastAsia="方正仿宋简体" w:cs="方正仿宋简体" w:hAnsi="方正仿宋简体"/>
          <w:sz w:val="32"/>
          <w:szCs w:val="32"/>
        </w:rPr>
      </w:pPr>
      <w:r>
        <w:rPr>
          <w:rStyle w:val="25"/>
          <w:rFonts w:ascii="仿宋" w:eastAsia="仿宋" w:cs="Arial" w:hAnsi="仿宋" w:hint="eastAsia"/>
          <w:bCs/>
          <w:sz w:val="32"/>
          <w:szCs w:val="32"/>
        </w:rPr>
        <w:t>住房保障支出（类）住房改革支出（款）住房保障支出住房公积（项）</w:t>
      </w:r>
      <w:r>
        <w:rPr>
          <w:rStyle w:val="25"/>
          <w:rFonts w:ascii="仿宋" w:eastAsia="仿宋" w:hAnsi="仿宋" w:hint="eastAsia"/>
          <w:b w:val="0"/>
          <w:bCs/>
          <w:sz w:val="32"/>
          <w:szCs w:val="32"/>
        </w:rPr>
        <w:t>支出决算数为89.78万元，完成预算100%</w:t>
      </w:r>
      <w:r>
        <w:rPr>
          <w:rFonts w:ascii="方正仿宋简体" w:eastAsia="方正仿宋简体" w:cs="方正仿宋简体" w:hAnsi="方正仿宋简体" w:hint="eastAsia"/>
          <w:sz w:val="32"/>
          <w:szCs w:val="32"/>
        </w:rPr>
        <w:t>。</w:t>
      </w:r>
    </w:p>
    <w:p>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1-1表和财决08表）</w:t>
      </w:r>
    </w:p>
    <w:p>
      <w:pPr>
        <w:tabs>
          <w:tab w:val="right" w:pos="8306"/>
        </w:tabs>
        <w:spacing w:line="600" w:lineRule="exact"/>
        <w:ind w:firstLine="640"/>
        <w:outlineLvl w:val="1"/>
        <w:rPr>
          <w:rStyle w:val="2Char"/>
        </w:rPr>
      </w:pPr>
      <w:bookmarkStart w:id="24" w:name="_Toc15377214"/>
      <w:bookmarkStart w:id="25"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24"/>
      <w:bookmarkEnd w:id="25"/>
      <w:r>
        <w:rPr>
          <w:rStyle w:val="2Char"/>
          <w:rFonts w:ascii="黑体" w:eastAsia="黑体" w:hAnsi="黑体"/>
          <w:b w:val="0"/>
        </w:rPr>
        <w:tab/>
      </w:r>
    </w:p>
    <w:p>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w:t>
      </w:r>
      <w:r>
        <w:rPr>
          <w:rFonts w:ascii="仿宋" w:eastAsia="仿宋" w:hAnsi="仿宋"/>
          <w:b/>
          <w:sz w:val="32"/>
          <w:szCs w:val="32"/>
        </w:rPr>
        <w:t>1062.66</w:t>
      </w:r>
      <w:r>
        <w:rPr>
          <w:rFonts w:ascii="仿宋" w:eastAsia="仿宋" w:hAnsi="仿宋" w:hint="eastAsia"/>
          <w:sz w:val="32"/>
          <w:szCs w:val="32"/>
        </w:rPr>
        <w:t>万元，其中：</w:t>
      </w:r>
    </w:p>
    <w:p>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b/>
          <w:sz w:val="32"/>
          <w:szCs w:val="32"/>
        </w:rPr>
        <w:t>1017.22</w:t>
      </w:r>
      <w:r>
        <w:rPr>
          <w:rFonts w:ascii="仿宋" w:eastAsia="仿宋" w:hAnsi="仿宋" w:hint="eastAsia"/>
          <w:sz w:val="32"/>
          <w:szCs w:val="32"/>
        </w:rPr>
        <w:t>万元，主要包括：基本工资、津贴补贴、奖金、绩效工资、机关事业单位基本养老保险缴费、其他社会保障缴费、其他工资福利支出、生活补助、住房公积金、其他对个人和家庭的补助支出等。</w:t>
      </w:r>
    </w:p>
    <w:p>
      <w:pPr>
        <w:spacing w:line="600" w:lineRule="exact"/>
        <w:ind w:firstLine="645"/>
        <w:rPr>
          <w:rFonts w:ascii="仿宋" w:eastAsia="仿宋" w:hAnsi="仿宋"/>
          <w:sz w:val="32"/>
          <w:szCs w:val="32"/>
        </w:rPr>
      </w:pPr>
      <w:r>
        <w:rPr>
          <w:rFonts w:ascii="仿宋" w:eastAsia="仿宋" w:hAnsi="仿宋" w:hint="eastAsia"/>
          <w:sz w:val="32"/>
          <w:szCs w:val="32"/>
        </w:rPr>
        <w:t>公用经费</w:t>
      </w:r>
      <w:r>
        <w:rPr>
          <w:rFonts w:ascii="仿宋" w:eastAsia="仿宋" w:hAnsi="仿宋"/>
          <w:b/>
          <w:sz w:val="32"/>
          <w:szCs w:val="32"/>
        </w:rPr>
        <w:t>45.44</w:t>
      </w:r>
      <w:r>
        <w:rPr>
          <w:rFonts w:ascii="仿宋" w:eastAsia="仿宋" w:hAnsi="仿宋" w:hint="eastAsia"/>
          <w:sz w:val="32"/>
          <w:szCs w:val="32"/>
        </w:rPr>
        <w:t>万元，主要包括：办公费、印刷费、咨询费、手续费、水费、电费、邮电费、差旅费、维修（护）费、会议费、培训费、公务接待费、劳务费、工会经费、福利费、其他交通费、其他商品和服务支出、办公设备购置、信息网络及软件购置更新、其他资本性支出等。</w:t>
      </w:r>
    </w:p>
    <w:p>
      <w:pPr>
        <w:spacing w:line="600" w:lineRule="exact"/>
        <w:ind w:firstLine="645"/>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7表和财决08-1表）</w:t>
      </w:r>
    </w:p>
    <w:p>
      <w:pPr>
        <w:spacing w:line="600" w:lineRule="exact"/>
        <w:ind w:firstLine="640"/>
        <w:outlineLvl w:val="1"/>
        <w:rPr>
          <w:rStyle w:val="2Char"/>
          <w:rFonts w:ascii="黑体" w:eastAsia="黑体" w:hAnsi="黑体"/>
          <w:b w:val="0"/>
        </w:rPr>
      </w:pPr>
      <w:bookmarkStart w:id="26" w:name="_Toc15377215"/>
      <w:bookmarkStart w:id="27"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26"/>
      <w:bookmarkEnd w:id="27"/>
    </w:p>
    <w:p>
      <w:pPr>
        <w:spacing w:line="600" w:lineRule="exact"/>
        <w:ind w:firstLine="640"/>
        <w:outlineLvl w:val="2"/>
        <w:rPr>
          <w:rFonts w:ascii="仿宋" w:eastAsia="仿宋" w:hAnsi="仿宋"/>
          <w:b/>
          <w:sz w:val="32"/>
          <w:szCs w:val="32"/>
        </w:rPr>
      </w:pPr>
      <w:bookmarkStart w:id="28" w:name="_Toc15377216"/>
      <w:r>
        <w:rPr>
          <w:rFonts w:ascii="仿宋" w:eastAsia="仿宋" w:hAnsi="仿宋" w:hint="eastAsia"/>
          <w:b/>
          <w:sz w:val="32"/>
          <w:szCs w:val="32"/>
        </w:rPr>
        <w:t>（一）“三公”经费财政拨款支出决算总体情况说明</w:t>
      </w:r>
      <w:bookmarkEnd w:id="28"/>
    </w:p>
    <w:p>
      <w:pPr>
        <w:widowControl/>
        <w:spacing w:line="315" w:lineRule="atLeast"/>
        <w:jc w:val="left"/>
        <w:rPr>
          <w:rFonts w:ascii="仿宋" w:eastAsia="仿宋" w:hAnsi="仿宋"/>
          <w:sz w:val="32"/>
          <w:szCs w:val="32"/>
        </w:rPr>
      </w:pPr>
      <w:r>
        <w:rPr>
          <w:rFonts w:ascii="仿宋" w:eastAsia="仿宋" w:hAnsi="仿宋" w:hint="eastAsia"/>
          <w:sz w:val="32"/>
          <w:szCs w:val="32"/>
        </w:rPr>
        <w:t>2023年度“三公”经费财政拨款支出决算为</w:t>
      </w:r>
      <w:r>
        <w:rPr>
          <w:rFonts w:ascii="仿宋" w:eastAsia="仿宋" w:hAnsi="仿宋"/>
          <w:b/>
          <w:sz w:val="32"/>
          <w:szCs w:val="32"/>
        </w:rPr>
        <w:t>0.67</w:t>
      </w:r>
      <w:r>
        <w:rPr>
          <w:rFonts w:ascii="仿宋" w:eastAsia="仿宋" w:hAnsi="仿宋" w:hint="eastAsia"/>
          <w:sz w:val="32"/>
          <w:szCs w:val="32"/>
        </w:rPr>
        <w:t>万元，完成预算</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，较上年度增加0.34万元，增长103.03%。主要原因是疫情结束工作恢复正常，公务接待相对增多。</w:t>
      </w:r>
    </w:p>
    <w:p>
      <w:pPr>
        <w:spacing w:line="600" w:lineRule="exact"/>
        <w:ind w:firstLine="640"/>
        <w:outlineLvl w:val="2"/>
        <w:rPr>
          <w:rFonts w:ascii="仿宋" w:eastAsia="仿宋" w:hAnsi="仿宋"/>
          <w:b/>
          <w:sz w:val="32"/>
          <w:szCs w:val="32"/>
        </w:rPr>
      </w:pPr>
      <w:bookmarkStart w:id="29" w:name="_Toc15377217"/>
      <w:r>
        <w:rPr>
          <w:rFonts w:ascii="仿宋" w:eastAsia="仿宋" w:hAnsi="仿宋" w:hint="eastAsia"/>
          <w:b/>
          <w:sz w:val="32"/>
          <w:szCs w:val="32"/>
        </w:rPr>
        <w:t>（二）“三公”经费财政拨款支出决算具体情况说明</w:t>
      </w:r>
      <w:bookmarkEnd w:id="29"/>
    </w:p>
    <w:p>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2023年度“三公”经费财政拨款支出决算中，公务接待费支出决算</w:t>
      </w:r>
      <w:r>
        <w:rPr>
          <w:rFonts w:ascii="仿宋" w:eastAsia="仿宋" w:hAnsi="仿宋"/>
          <w:b/>
          <w:sz w:val="32"/>
          <w:szCs w:val="32"/>
        </w:rPr>
        <w:t>0.67</w:t>
      </w:r>
      <w:r>
        <w:rPr>
          <w:rFonts w:ascii="仿宋" w:eastAsia="仿宋" w:hAnsi="仿宋" w:hint="eastAsia"/>
          <w:sz w:val="32"/>
          <w:szCs w:val="32"/>
        </w:rPr>
        <w:t>万元，占</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。具体情况如下：</w:t>
      </w:r>
    </w:p>
    <w:p>
      <w:pPr>
        <w:spacing w:line="600" w:lineRule="exact"/>
        <w:ind w:firstLine="640"/>
        <w:rPr>
          <w:rFonts w:ascii="仿宋" w:eastAsia="仿宋" w:hAnsi="仿宋"/>
          <w:sz w:val="32"/>
          <w:szCs w:val="32"/>
        </w:rPr>
      </w:pPr>
      <w:r>
        <w:rPr>
          <w:rFonts w:ascii="仿宋" w:eastAsia="仿宋" w:hAnsi="仿宋" w:hint="eastAsia"/>
          <w:sz w:val="32"/>
          <w:szCs w:val="32"/>
        </w:rPr>
        <w:drawing>
          <wp:anchor distT="0" distB="0" distL="114300" distR="114300" simplePos="0" relativeHeight="28" behindDoc="0" locked="0" layoutInCell="1" hidden="0" allowOverlap="1">
            <wp:simplePos x="0" y="0"/>
            <wp:positionH relativeFrom="column">
              <wp:posOffset>410844</wp:posOffset>
            </wp:positionH>
            <wp:positionV relativeFrom="paragraph">
              <wp:posOffset>205104</wp:posOffset>
            </wp:positionV>
            <wp:extent cx="4269105" cy="2714625"/>
            <wp:effectExtent l="4444" t="5080" r="12700" b="4444"/>
            <wp:wrapSquare wrapText="bothSides"/>
            <wp:docPr id="5" name="图表 5"/>
            <wp:cNvGraphicFramePr>
              <a:graphicFrameLocks noChangeAspect="0"/>
            </wp:cNvGraphicFramePr>
            <a:graphic>
              <a:graphicData uri="http://schemas.openxmlformats.org/drawingml/2006/chart">
                <c:chart xmlns:c="http://schemas.openxmlformats.org/drawingml/2006/chart" r:id="rId13"/>
              </a:graphicData>
            </a:graphic>
          </wp:anchor>
        </w:drawing>
      </w: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pacing w:line="600" w:lineRule="exact"/>
        <w:rPr>
          <w:rFonts w:ascii="仿宋" w:eastAsia="仿宋" w:hAnsi="仿宋"/>
          <w:sz w:val="32"/>
          <w:szCs w:val="32"/>
        </w:rPr>
      </w:pPr>
    </w:p>
    <w:p>
      <w:pPr>
        <w:spacing w:line="600" w:lineRule="exact"/>
        <w:ind w:firstLineChars="404" w:firstLine="1293"/>
        <w:rPr>
          <w:rFonts w:ascii="仿宋" w:eastAsia="仿宋" w:hAnsi="仿宋"/>
          <w:sz w:val="32"/>
          <w:szCs w:val="32"/>
        </w:rPr>
      </w:pPr>
      <w:r>
        <w:rPr>
          <w:rFonts w:ascii="仿宋" w:eastAsia="仿宋" w:hAnsi="仿宋" w:hint="eastAsia"/>
          <w:sz w:val="32"/>
          <w:szCs w:val="32"/>
        </w:rPr>
        <w:t>（图7：“三公”经费财政拨款支出结构）</w:t>
      </w:r>
    </w:p>
    <w:p>
      <w:pPr>
        <w:spacing w:line="600" w:lineRule="exact"/>
        <w:ind w:firstLine="640"/>
        <w:rPr>
          <w:rStyle w:val="25"/>
          <w:rFonts w:ascii="仿宋" w:eastAsia="仿宋" w:hAnsi="仿宋"/>
          <w:b w:val="0"/>
          <w:bCs/>
          <w:sz w:val="32"/>
          <w:szCs w:val="32"/>
        </w:rPr>
      </w:pPr>
      <w:bookmarkStart w:id="30" w:name="_Toc15377218"/>
      <w:bookmarkStart w:id="31" w:name="_Toc15396610"/>
      <w:r>
        <w:rPr>
          <w:rFonts w:ascii="仿宋" w:eastAsia="仿宋" w:hAnsi="仿宋" w:hint="eastAsia"/>
          <w:b/>
          <w:sz w:val="32"/>
          <w:szCs w:val="32"/>
        </w:rPr>
        <w:t>1.因公出国（境）经费支出0</w:t>
      </w:r>
      <w:r>
        <w:rPr>
          <w:rStyle w:val="25"/>
          <w:rFonts w:ascii="仿宋" w:eastAsia="仿宋" w:hAnsi="仿宋" w:hint="eastAsia"/>
          <w:b w:val="0"/>
          <w:bCs/>
          <w:sz w:val="32"/>
          <w:szCs w:val="32"/>
        </w:rPr>
        <w:t>万元。</w:t>
      </w:r>
    </w:p>
    <w:p>
      <w:pPr>
        <w:spacing w:line="600" w:lineRule="exact"/>
        <w:ind w:firstLine="640"/>
        <w:rPr>
          <w:rFonts w:ascii="仿宋_GB2312" w:eastAsia="仿宋_GB2312"/>
          <w:b/>
          <w:sz w:val="32"/>
          <w:szCs w:val="32"/>
        </w:rPr>
      </w:pPr>
      <w:r>
        <w:rPr>
          <w:rFonts w:ascii="仿宋" w:eastAsia="仿宋" w:hAnsi="仿宋" w:hint="eastAsia"/>
          <w:b/>
          <w:sz w:val="32"/>
          <w:szCs w:val="32"/>
        </w:rPr>
        <w:t>2.公务用车购置及运行维护费支出0</w:t>
      </w:r>
      <w:r>
        <w:rPr>
          <w:rStyle w:val="25"/>
          <w:rFonts w:ascii="仿宋" w:eastAsia="仿宋" w:hAnsi="仿宋" w:hint="eastAsia"/>
          <w:b w:val="0"/>
          <w:bCs/>
          <w:sz w:val="32"/>
          <w:szCs w:val="32"/>
        </w:rPr>
        <w:t>万元。</w:t>
      </w:r>
    </w:p>
    <w:p>
      <w:pPr>
        <w:spacing w:line="600" w:lineRule="exact"/>
        <w:ind w:firstLine="640"/>
        <w:rPr>
          <w:rStyle w:val="25"/>
          <w:rFonts w:ascii="仿宋" w:eastAsia="仿宋" w:hAnsi="仿宋"/>
          <w:b w:val="0"/>
          <w:bCs/>
          <w:sz w:val="32"/>
          <w:szCs w:val="32"/>
        </w:rPr>
      </w:pPr>
      <w:r>
        <w:rPr>
          <w:rFonts w:ascii="仿宋" w:eastAsia="仿宋" w:hAnsi="仿宋" w:hint="eastAsia"/>
          <w:b/>
          <w:sz w:val="32"/>
          <w:szCs w:val="32"/>
        </w:rPr>
        <w:t>公务用车运行维护费支出0</w:t>
      </w:r>
      <w:r>
        <w:rPr>
          <w:rStyle w:val="25"/>
          <w:rFonts w:ascii="仿宋" w:eastAsia="仿宋" w:hAnsi="仿宋" w:hint="eastAsia"/>
          <w:b w:val="0"/>
          <w:bCs/>
          <w:sz w:val="32"/>
          <w:szCs w:val="32"/>
        </w:rPr>
        <w:t>万元。</w:t>
      </w:r>
    </w:p>
    <w:p>
      <w:pPr>
        <w:widowControl/>
        <w:spacing w:line="315" w:lineRule="atLeast"/>
        <w:ind w:firstLineChars="200" w:firstLine="640"/>
        <w:jc w:val="left"/>
        <w:rPr>
          <w:rStyle w:val="25"/>
          <w:rFonts w:ascii="仿宋" w:eastAsia="仿宋" w:hAnsi="仿宋"/>
          <w:b w:val="0"/>
          <w:bCs/>
          <w:sz w:val="32"/>
          <w:szCs w:val="32"/>
        </w:rPr>
      </w:pPr>
      <w:r>
        <w:rPr>
          <w:rFonts w:ascii="仿宋" w:eastAsia="仿宋" w:hAnsi="仿宋" w:hint="eastAsia"/>
          <w:b/>
          <w:sz w:val="32"/>
          <w:szCs w:val="32"/>
        </w:rPr>
        <w:t>3.公务接待费支出0.67</w:t>
      </w:r>
      <w:r>
        <w:rPr>
          <w:rStyle w:val="25"/>
          <w:rFonts w:ascii="仿宋" w:eastAsia="仿宋" w:hAnsi="仿宋" w:hint="eastAsia"/>
          <w:b w:val="0"/>
          <w:bCs/>
          <w:sz w:val="32"/>
          <w:szCs w:val="32"/>
        </w:rPr>
        <w:t>万元，完成预算100%。公务接待费支出决算比2022年度增加0.34万元，增长103.03%。主要原因是疫情结束工作恢复正常，公务接待相对增多。其中：</w:t>
      </w:r>
    </w:p>
    <w:p>
      <w:pPr>
        <w:spacing w:line="600" w:lineRule="exact"/>
        <w:ind w:firstLine="640"/>
        <w:rPr>
          <w:rStyle w:val="25"/>
          <w:rFonts w:ascii="仿宋" w:eastAsia="仿宋" w:hAnsi="仿宋"/>
          <w:b w:val="0"/>
          <w:bCs/>
          <w:sz w:val="32"/>
          <w:szCs w:val="32"/>
        </w:rPr>
      </w:pPr>
      <w:r>
        <w:rPr>
          <w:rFonts w:ascii="仿宋" w:eastAsia="仿宋" w:hAnsi="仿宋" w:hint="eastAsia"/>
          <w:b/>
          <w:sz w:val="32"/>
          <w:szCs w:val="32"/>
        </w:rPr>
        <w:t>国内公务接待支出</w:t>
      </w:r>
      <w:r>
        <w:rPr>
          <w:rFonts w:ascii="仿宋" w:eastAsia="仿宋" w:hAnsi="仿宋"/>
          <w:b/>
          <w:sz w:val="32"/>
          <w:szCs w:val="32"/>
        </w:rPr>
        <w:t>0.67</w:t>
      </w:r>
      <w:r>
        <w:rPr>
          <w:rStyle w:val="25"/>
          <w:rFonts w:ascii="仿宋" w:eastAsia="仿宋" w:hAnsi="仿宋" w:hint="eastAsia"/>
          <w:b w:val="0"/>
          <w:bCs/>
          <w:sz w:val="32"/>
          <w:szCs w:val="32"/>
        </w:rPr>
        <w:t>万元，主要用于开展业务活动开支的交通费、住宿费、用餐费等。国内公务接待10批次，50人次（不包括陪同人员），共计支出0.67万元，具体内容主要是开展业务活动督导等工作的餐饮费。</w:t>
      </w:r>
    </w:p>
    <w:p>
      <w:pPr>
        <w:spacing w:line="600" w:lineRule="exact"/>
        <w:ind w:firstLineChars="200" w:firstLine="640"/>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b/>
          <w:sz w:val="32"/>
          <w:szCs w:val="32"/>
        </w:rPr>
        <w:t>0</w:t>
      </w:r>
      <w:r>
        <w:rPr>
          <w:rStyle w:val="25"/>
          <w:rFonts w:ascii="仿宋" w:eastAsia="仿宋" w:hAnsi="仿宋" w:hint="eastAsia"/>
          <w:b w:val="0"/>
          <w:bCs/>
          <w:sz w:val="32"/>
          <w:szCs w:val="32"/>
        </w:rPr>
        <w:t>万元。</w:t>
      </w:r>
    </w:p>
    <w:p>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30"/>
      <w:bookmarkEnd w:id="31"/>
    </w:p>
    <w:p>
      <w:pPr>
        <w:spacing w:line="600" w:lineRule="exact"/>
        <w:ind w:firstLine="640"/>
        <w:rPr>
          <w:rFonts w:ascii="仿宋_GB2312" w:eastAsia="仿宋_GB2312"/>
          <w:sz w:val="32"/>
          <w:szCs w:val="32"/>
        </w:rPr>
      </w:pPr>
      <w:r>
        <w:rPr>
          <w:rStyle w:val="25"/>
          <w:rFonts w:ascii="仿宋" w:eastAsia="仿宋" w:hAnsi="仿宋" w:hint="eastAsia"/>
          <w:b w:val="0"/>
          <w:bCs/>
          <w:sz w:val="32"/>
          <w:szCs w:val="32"/>
        </w:rPr>
        <w:t>2023年度政府性基金预算财政拨款支出0万元。</w:t>
      </w:r>
    </w:p>
    <w:p>
      <w:pPr>
        <w:numPr>
          <w:ilvl w:val="0"/>
          <w:numId w:val="4"/>
        </w:numPr>
        <w:spacing w:line="600" w:lineRule="exact"/>
        <w:ind w:left="0" w:firstLine="640"/>
        <w:outlineLvl w:val="1"/>
        <w:rPr>
          <w:rStyle w:val="2Char"/>
          <w:rFonts w:ascii="黑体" w:eastAsia="黑体" w:hAnsi="黑体"/>
          <w:b w:val="0"/>
        </w:rPr>
      </w:pPr>
      <w:bookmarkStart w:id="32" w:name="_Toc15396611"/>
      <w:bookmarkStart w:id="33" w:name="_Toc15377219"/>
      <w:r>
        <w:rPr>
          <w:rStyle w:val="2Char"/>
          <w:rFonts w:ascii="黑体" w:eastAsia="黑体" w:hAnsi="黑体" w:hint="eastAsia"/>
          <w:b w:val="0"/>
        </w:rPr>
        <w:t>国有资本经营预算支出决算情况说明</w:t>
      </w:r>
      <w:bookmarkEnd w:id="32"/>
      <w:bookmarkEnd w:id="33"/>
    </w:p>
    <w:p>
      <w:pPr>
        <w:spacing w:line="600" w:lineRule="exact"/>
        <w:ind w:firstLine="640"/>
        <w:rPr>
          <w:rFonts w:ascii="方正小标宋简体" w:eastAsia="方正小标宋简体" w:cs="方正小标宋简体" w:hAnsi="方正小标宋简体"/>
          <w:sz w:val="44"/>
          <w:szCs w:val="44"/>
        </w:rPr>
      </w:pPr>
      <w:r>
        <w:rPr>
          <w:rStyle w:val="25"/>
          <w:rFonts w:ascii="仿宋" w:eastAsia="仿宋" w:hAnsi="仿宋" w:hint="eastAsia"/>
          <w:b w:val="0"/>
          <w:bCs/>
          <w:sz w:val="32"/>
          <w:szCs w:val="32"/>
        </w:rPr>
        <w:t>2023年度国有资本经营预算财政拨款支出0万元。</w:t>
      </w:r>
    </w:p>
    <w:p>
      <w:pPr>
        <w:numPr>
          <w:ilvl w:val="0"/>
          <w:numId w:val="4"/>
        </w:numPr>
        <w:spacing w:line="600" w:lineRule="exact"/>
        <w:ind w:left="0" w:firstLine="640"/>
        <w:outlineLvl w:val="1"/>
        <w:rPr>
          <w:rStyle w:val="2Char"/>
          <w:rFonts w:ascii="黑体" w:eastAsia="黑体" w:hAnsi="黑体"/>
          <w:b w:val="0"/>
        </w:rPr>
      </w:pPr>
      <w:bookmarkStart w:id="34" w:name="_Toc15377221"/>
      <w:bookmarkStart w:id="35" w:name="_Toc15396612"/>
      <w:r>
        <w:rPr>
          <w:rStyle w:val="2Char"/>
          <w:rFonts w:ascii="黑体" w:eastAsia="黑体" w:hAnsi="黑体" w:hint="eastAsia"/>
          <w:b w:val="0"/>
        </w:rPr>
        <w:t>其他重要事项的情况说明</w:t>
      </w:r>
      <w:bookmarkEnd w:id="34"/>
      <w:bookmarkEnd w:id="35"/>
    </w:p>
    <w:p>
      <w:pPr>
        <w:spacing w:line="600" w:lineRule="exact"/>
        <w:ind w:firstLineChars="200" w:firstLine="640"/>
        <w:outlineLvl w:val="2"/>
        <w:rPr>
          <w:rFonts w:ascii="仿宋" w:eastAsia="仿宋" w:hAnsi="仿宋"/>
          <w:sz w:val="32"/>
          <w:szCs w:val="32"/>
        </w:rPr>
      </w:pPr>
      <w:bookmarkStart w:id="36" w:name="_Toc15377222"/>
      <w:r>
        <w:rPr>
          <w:rFonts w:ascii="仿宋" w:eastAsia="仿宋" w:hAnsi="仿宋" w:hint="eastAsia"/>
          <w:b/>
          <w:sz w:val="32"/>
          <w:szCs w:val="32"/>
        </w:rPr>
        <w:t>（一）机关运行经费支出情况</w:t>
      </w:r>
      <w:bookmarkEnd w:id="36"/>
    </w:p>
    <w:p>
      <w:pPr>
        <w:spacing w:line="600" w:lineRule="exact"/>
        <w:ind w:firstLineChars="200" w:firstLine="640"/>
        <w:rPr>
          <w:rStyle w:val="25"/>
          <w:rFonts w:ascii="仿宋" w:eastAsia="仿宋" w:hAnsi="仿宋"/>
          <w:b w:val="0"/>
          <w:bCs/>
          <w:sz w:val="32"/>
          <w:szCs w:val="32"/>
        </w:rPr>
      </w:pPr>
      <w:r>
        <w:rPr>
          <w:rStyle w:val="25"/>
          <w:rFonts w:ascii="仿宋" w:eastAsia="仿宋" w:hAnsi="仿宋" w:hint="eastAsia"/>
          <w:b w:val="0"/>
          <w:bCs/>
          <w:sz w:val="32"/>
          <w:szCs w:val="32"/>
        </w:rPr>
        <w:t>2023年度，</w:t>
      </w:r>
      <w:r>
        <w:rPr>
          <w:rFonts w:ascii="仿宋" w:eastAsia="仿宋" w:hAnsi="仿宋" w:hint="eastAsia"/>
          <w:b/>
          <w:sz w:val="32"/>
          <w:szCs w:val="32"/>
        </w:rPr>
        <w:t>广元市利州区疾病预防控制中心</w:t>
      </w:r>
      <w:r>
        <w:rPr>
          <w:rStyle w:val="25"/>
          <w:rFonts w:ascii="仿宋" w:eastAsia="仿宋" w:hAnsi="仿宋" w:hint="eastAsia"/>
          <w:b w:val="0"/>
          <w:bCs/>
          <w:sz w:val="32"/>
          <w:szCs w:val="32"/>
        </w:rPr>
        <w:t>机关运行经费支出0万元。</w:t>
      </w:r>
    </w:p>
    <w:p>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37" w:name="_Toc15377223"/>
      <w:r>
        <w:rPr>
          <w:rFonts w:ascii="仿宋" w:eastAsia="仿宋" w:hAnsi="仿宋" w:hint="eastAsia"/>
          <w:b/>
          <w:sz w:val="32"/>
          <w:szCs w:val="32"/>
        </w:rPr>
        <w:t>（二）政府采购支出情况</w:t>
      </w:r>
      <w:bookmarkEnd w:id="37"/>
    </w:p>
    <w:p>
      <w:pPr>
        <w:spacing w:line="600" w:lineRule="exact"/>
        <w:ind w:firstLineChars="200" w:firstLine="640"/>
        <w:rPr>
          <w:rStyle w:val="25"/>
          <w:rFonts w:ascii="仿宋" w:eastAsia="仿宋" w:hAnsi="仿宋"/>
          <w:b w:val="0"/>
          <w:bCs/>
          <w:sz w:val="32"/>
          <w:szCs w:val="32"/>
        </w:rPr>
      </w:pPr>
      <w:r>
        <w:rPr>
          <w:rStyle w:val="25"/>
          <w:rFonts w:ascii="仿宋" w:eastAsia="仿宋" w:hAnsi="仿宋" w:hint="eastAsia"/>
          <w:b w:val="0"/>
          <w:bCs/>
          <w:sz w:val="32"/>
          <w:szCs w:val="32"/>
        </w:rPr>
        <w:t>2023年度，</w:t>
      </w:r>
      <w:r>
        <w:rPr>
          <w:rFonts w:ascii="仿宋" w:eastAsia="仿宋" w:hAnsi="仿宋" w:hint="eastAsia"/>
          <w:b/>
          <w:sz w:val="32"/>
          <w:szCs w:val="32"/>
        </w:rPr>
        <w:t>广元市利州区疾病预防控制中心</w:t>
      </w:r>
      <w:r>
        <w:rPr>
          <w:rStyle w:val="25"/>
          <w:rFonts w:ascii="仿宋" w:eastAsia="仿宋" w:hAnsi="仿宋" w:hint="eastAsia"/>
          <w:b w:val="0"/>
          <w:bCs/>
          <w:sz w:val="32"/>
          <w:szCs w:val="32"/>
        </w:rPr>
        <w:t>政府采购支出总额0万元。</w:t>
      </w:r>
    </w:p>
    <w:p>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38" w:name="_Toc15377224"/>
      <w:r>
        <w:rPr>
          <w:rFonts w:ascii="仿宋" w:eastAsia="仿宋" w:hAnsi="仿宋" w:hint="eastAsia"/>
          <w:b/>
          <w:sz w:val="32"/>
          <w:szCs w:val="32"/>
        </w:rPr>
        <w:t>（三）国有资产占有使用情况</w:t>
      </w:r>
      <w:bookmarkEnd w:id="38"/>
    </w:p>
    <w:p>
      <w:pPr>
        <w:autoSpaceDE w:val="0"/>
        <w:autoSpaceDN w:val="0"/>
        <w:adjustRightInd w:val="0"/>
        <w:spacing w:line="600" w:lineRule="exact"/>
        <w:ind w:firstLineChars="200" w:firstLine="640"/>
        <w:jc w:val="left"/>
        <w:rPr>
          <w:rStyle w:val="25"/>
          <w:rFonts w:ascii="仿宋" w:eastAsia="仿宋" w:hAnsi="仿宋"/>
          <w:b w:val="0"/>
          <w:bCs/>
          <w:sz w:val="32"/>
          <w:szCs w:val="32"/>
        </w:rPr>
      </w:pPr>
      <w:r>
        <w:rPr>
          <w:rStyle w:val="25"/>
          <w:rFonts w:ascii="仿宋" w:eastAsia="仿宋" w:hAnsi="仿宋" w:hint="eastAsia"/>
          <w:b w:val="0"/>
          <w:bCs/>
          <w:sz w:val="32"/>
          <w:szCs w:val="32"/>
        </w:rPr>
        <w:t>截至2023年12月31日</w:t>
      </w:r>
      <w:r>
        <w:rPr>
          <w:rFonts w:ascii="仿宋_GB2312" w:eastAsia="仿宋_GB2312" w:hint="eastAsia"/>
          <w:sz w:val="32"/>
          <w:szCs w:val="32"/>
        </w:rPr>
        <w:t>，</w:t>
      </w:r>
      <w:r>
        <w:rPr>
          <w:rFonts w:ascii="仿宋" w:eastAsia="仿宋" w:hAnsi="仿宋" w:hint="eastAsia"/>
          <w:b/>
          <w:sz w:val="32"/>
          <w:szCs w:val="32"/>
        </w:rPr>
        <w:t>广元市利州区疾病预防控制中心</w:t>
      </w:r>
      <w:r>
        <w:rPr>
          <w:rStyle w:val="25"/>
          <w:rFonts w:ascii="仿宋" w:eastAsia="仿宋" w:hAnsi="仿宋" w:hint="eastAsia"/>
          <w:b w:val="0"/>
          <w:bCs/>
          <w:sz w:val="32"/>
          <w:szCs w:val="32"/>
        </w:rPr>
        <w:t>共有其他用车7辆，主要是用于疫苗冷链运输、采水、流行病学调查、疫情防控应急等。单价100万元以上设备（不含车辆）0台（套）。</w:t>
      </w:r>
    </w:p>
    <w:p>
      <w:pPr>
        <w:autoSpaceDE w:val="0"/>
        <w:autoSpaceDN w:val="0"/>
        <w:adjustRightInd w:val="0"/>
        <w:spacing w:line="600" w:lineRule="exact"/>
        <w:ind w:firstLineChars="200" w:firstLine="640"/>
        <w:jc w:val="left"/>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 w:eastAsia="仿宋" w:hAnsi="仿宋" w:hint="eastAsia"/>
          <w:b/>
          <w:sz w:val="32"/>
          <w:szCs w:val="32"/>
        </w:rPr>
        <w:t>（四）预算绩效管理情况</w:t>
      </w:r>
    </w:p>
    <w:p>
      <w:pPr>
        <w:autoSpaceDE w:val="0"/>
        <w:autoSpaceDN w:val="0"/>
        <w:adjustRightInd w:val="0"/>
        <w:spacing w:line="600" w:lineRule="exact"/>
        <w:ind w:firstLineChars="200" w:firstLine="640"/>
        <w:jc w:val="left"/>
        <w:rPr>
          <w:rStyle w:val="25"/>
          <w:rFonts w:ascii="仿宋" w:eastAsia="仿宋" w:hAnsi="仿宋"/>
          <w:b w:val="0"/>
          <w:bCs/>
          <w:sz w:val="32"/>
          <w:szCs w:val="32"/>
        </w:rPr>
      </w:pPr>
      <w:r>
        <w:rPr>
          <w:rStyle w:val="25"/>
          <w:rFonts w:ascii="仿宋" w:eastAsia="仿宋" w:hAnsi="仿宋" w:hint="eastAsia"/>
          <w:b w:val="0"/>
          <w:bCs/>
          <w:sz w:val="32"/>
          <w:szCs w:val="32"/>
        </w:rPr>
        <w:t>根据预算绩效管理要求，本单位在2023年度预算编制阶段，组织对传染病网络直报、结核病、职业病防治、重大公共卫生、麻疹等强化免疫、疫苗冷链项目等项目开展了预算事前绩效评估，</w:t>
      </w:r>
      <w:r>
        <w:rPr>
          <w:rStyle w:val="25"/>
          <w:rFonts w:ascii="仿宋" w:eastAsia="仿宋" w:hAnsi="仿宋" w:hint="eastAsia"/>
          <w:b w:val="0"/>
          <w:bCs/>
          <w:sz w:val="32"/>
          <w:szCs w:val="32"/>
          <w:lang w:eastAsia="zh-CN"/>
        </w:rPr>
        <w:t>并进行编制</w:t>
      </w:r>
      <w:r>
        <w:rPr>
          <w:rStyle w:val="25"/>
          <w:rFonts w:ascii="仿宋" w:eastAsia="仿宋" w:hAnsi="仿宋" w:hint="eastAsia"/>
          <w:b w:val="0"/>
          <w:bCs/>
          <w:sz w:val="32"/>
          <w:szCs w:val="32"/>
        </w:rPr>
        <w:t>绩效目标，预算执行过程中，选取项目开展绩效监控，组织开展绩效自评，绩效自评表详见第四部分附件。</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br w:type="page"/>
      </w:r>
    </w:p>
    <w:p>
      <w:pPr>
        <w:numPr>
          <w:ilvl w:val="0"/>
          <w:numId w:val="5"/>
        </w:numPr>
        <w:spacing w:line="600" w:lineRule="exact"/>
        <w:ind w:left="0" w:firstLineChars="150" w:firstLine="660"/>
        <w:jc w:val="center"/>
        <w:outlineLvl w:val="0"/>
        <w:rPr>
          <w:rStyle w:val="1Char"/>
          <w:rFonts w:ascii="黑体" w:eastAsia="黑体" w:hAnsi="黑体"/>
          <w:b w:val="0"/>
        </w:rPr>
      </w:pPr>
      <w:bookmarkStart w:id="39" w:name="_Toc15377225"/>
      <w:bookmarkStart w:id="40" w:name="_Toc15396613"/>
      <w:r>
        <w:rPr>
          <w:rFonts w:ascii="黑体" w:eastAsia="黑体" w:hAnsi="黑体" w:hint="eastAsia"/>
          <w:sz w:val="44"/>
          <w:szCs w:val="44"/>
        </w:rPr>
        <w:t>名</w:t>
      </w:r>
      <w:r>
        <w:rPr>
          <w:rStyle w:val="1Char"/>
          <w:rFonts w:ascii="黑体" w:eastAsia="黑体" w:hAnsi="黑体" w:hint="eastAsia"/>
          <w:b w:val="0"/>
        </w:rPr>
        <w:t>词解释</w:t>
      </w:r>
      <w:bookmarkEnd w:id="39"/>
      <w:bookmarkEnd w:id="40"/>
    </w:p>
    <w:p>
      <w:pPr>
        <w:spacing w:line="600" w:lineRule="exact"/>
        <w:jc w:val="left"/>
        <w:rPr>
          <w:rFonts w:ascii="宋体"/>
          <w:b/>
          <w:sz w:val="44"/>
          <w:szCs w:val="44"/>
        </w:rPr>
      </w:pPr>
    </w:p>
    <w:p>
      <w:pPr>
        <w:autoSpaceDE w:val="0"/>
        <w:autoSpaceDN w:val="0"/>
        <w:adjustRightInd w:val="0"/>
        <w:spacing w:line="600" w:lineRule="exact"/>
        <w:ind w:firstLineChars="200" w:firstLine="640"/>
        <w:jc w:val="left"/>
        <w:rPr>
          <w:rStyle w:val="25"/>
          <w:rFonts w:ascii="仿宋" w:eastAsia="仿宋" w:hAnsi="仿宋"/>
          <w:b w:val="0"/>
          <w:bCs/>
          <w:sz w:val="32"/>
          <w:szCs w:val="32"/>
        </w:rPr>
      </w:pPr>
      <w:r>
        <w:rPr>
          <w:rStyle w:val="25"/>
          <w:rFonts w:ascii="仿宋" w:eastAsia="仿宋" w:hAnsi="仿宋" w:hint="eastAsia"/>
          <w:b w:val="0"/>
          <w:bCs/>
          <w:sz w:val="32"/>
          <w:szCs w:val="32"/>
        </w:rPr>
        <w:t>1.财政拨款收入：指单位从同级财政部门取得的财政预算资金。</w:t>
      </w:r>
    </w:p>
    <w:p>
      <w:pPr>
        <w:autoSpaceDE w:val="0"/>
        <w:autoSpaceDN w:val="0"/>
        <w:adjustRightInd w:val="0"/>
        <w:spacing w:line="600" w:lineRule="exact"/>
        <w:ind w:firstLineChars="200" w:firstLine="640"/>
        <w:jc w:val="left"/>
        <w:rPr>
          <w:rStyle w:val="25"/>
          <w:rFonts w:ascii="仿宋" w:eastAsia="仿宋" w:hAnsi="仿宋"/>
          <w:b w:val="0"/>
          <w:bCs/>
          <w:sz w:val="32"/>
          <w:szCs w:val="32"/>
        </w:rPr>
      </w:pPr>
      <w:r>
        <w:rPr>
          <w:rStyle w:val="25"/>
          <w:rFonts w:ascii="仿宋" w:eastAsia="仿宋" w:hAnsi="仿宋" w:hint="eastAsia"/>
          <w:b w:val="0"/>
          <w:bCs/>
          <w:sz w:val="32"/>
          <w:szCs w:val="32"/>
        </w:rPr>
        <w:t>2.社会保障和就业（类）：指单位实施养老保险制度由单位缴纳的基本养老保险费支出及失业保险、工伤保险等支出。</w:t>
      </w:r>
    </w:p>
    <w:p>
      <w:pPr>
        <w:autoSpaceDE w:val="0"/>
        <w:autoSpaceDN w:val="0"/>
        <w:adjustRightInd w:val="0"/>
        <w:spacing w:line="600" w:lineRule="exact"/>
        <w:ind w:firstLineChars="200" w:firstLine="640"/>
        <w:jc w:val="left"/>
        <w:rPr>
          <w:rStyle w:val="25"/>
          <w:rFonts w:ascii="仿宋" w:eastAsia="仿宋" w:hAnsi="仿宋"/>
          <w:b w:val="0"/>
          <w:bCs/>
          <w:sz w:val="32"/>
          <w:szCs w:val="32"/>
        </w:rPr>
      </w:pPr>
      <w:r>
        <w:rPr>
          <w:rStyle w:val="25"/>
          <w:rFonts w:ascii="仿宋" w:eastAsia="仿宋" w:hAnsi="仿宋" w:hint="eastAsia"/>
          <w:b w:val="0"/>
          <w:bCs/>
          <w:sz w:val="32"/>
          <w:szCs w:val="32"/>
        </w:rPr>
        <w:t>3.卫生健康支出（类）公共卫生（款）疾病预防控制机构（项）：指疾病预防控制机构的支出。</w:t>
      </w:r>
    </w:p>
    <w:p>
      <w:pPr>
        <w:autoSpaceDE w:val="0"/>
        <w:autoSpaceDN w:val="0"/>
        <w:adjustRightInd w:val="0"/>
        <w:spacing w:line="600" w:lineRule="exact"/>
        <w:ind w:firstLineChars="200" w:firstLine="640"/>
        <w:jc w:val="left"/>
        <w:rPr>
          <w:rStyle w:val="25"/>
          <w:rFonts w:ascii="仿宋" w:eastAsia="仿宋" w:hAnsi="仿宋"/>
          <w:b w:val="0"/>
          <w:bCs/>
          <w:sz w:val="32"/>
          <w:szCs w:val="32"/>
        </w:rPr>
      </w:pPr>
      <w:r>
        <w:rPr>
          <w:rStyle w:val="25"/>
          <w:rFonts w:ascii="仿宋" w:eastAsia="仿宋" w:hAnsi="仿宋" w:hint="eastAsia"/>
          <w:b w:val="0"/>
          <w:bCs/>
          <w:sz w:val="32"/>
          <w:szCs w:val="32"/>
        </w:rPr>
        <w:t>4.卫生健康支出（类）公共卫生（款）基本公共卫生服务（项）：指基本公共卫生支出。</w:t>
      </w:r>
    </w:p>
    <w:p>
      <w:pPr>
        <w:autoSpaceDE w:val="0"/>
        <w:autoSpaceDN w:val="0"/>
        <w:adjustRightInd w:val="0"/>
        <w:spacing w:line="600" w:lineRule="exact"/>
        <w:ind w:firstLineChars="200" w:firstLine="640"/>
        <w:jc w:val="left"/>
        <w:rPr>
          <w:rStyle w:val="25"/>
          <w:rFonts w:ascii="仿宋" w:eastAsia="仿宋" w:hAnsi="仿宋"/>
          <w:b w:val="0"/>
          <w:bCs/>
          <w:sz w:val="32"/>
          <w:szCs w:val="32"/>
        </w:rPr>
      </w:pPr>
      <w:r>
        <w:rPr>
          <w:rStyle w:val="25"/>
          <w:rFonts w:ascii="仿宋" w:eastAsia="仿宋" w:hAnsi="仿宋" w:hint="eastAsia"/>
          <w:b w:val="0"/>
          <w:bCs/>
          <w:sz w:val="32"/>
          <w:szCs w:val="32"/>
        </w:rPr>
        <w:t>5.卫生健康支出（类）公共卫生（款）重大公共卫生专项（项）：指重大疾病预防控制等重大公共卫生服务项目支出。</w:t>
      </w:r>
    </w:p>
    <w:p>
      <w:pPr>
        <w:autoSpaceDE w:val="0"/>
        <w:autoSpaceDN w:val="0"/>
        <w:adjustRightInd w:val="0"/>
        <w:spacing w:line="600" w:lineRule="exact"/>
        <w:ind w:firstLineChars="200" w:firstLine="640"/>
        <w:jc w:val="left"/>
        <w:rPr>
          <w:rStyle w:val="25"/>
          <w:rFonts w:ascii="仿宋" w:eastAsia="仿宋" w:hAnsi="仿宋"/>
          <w:b w:val="0"/>
          <w:bCs/>
          <w:sz w:val="32"/>
          <w:szCs w:val="32"/>
        </w:rPr>
      </w:pPr>
      <w:r>
        <w:rPr>
          <w:rStyle w:val="25"/>
          <w:rFonts w:ascii="仿宋" w:eastAsia="仿宋" w:hAnsi="仿宋" w:hint="eastAsia"/>
          <w:b w:val="0"/>
          <w:bCs/>
          <w:sz w:val="32"/>
          <w:szCs w:val="32"/>
        </w:rPr>
        <w:t>6.卫生健康支出（类）行政事业单位医疗（款）事业单位医疗（项）：指财政部门安排的事业单位基本医疗保险缴费经费。</w:t>
      </w:r>
    </w:p>
    <w:p>
      <w:pPr>
        <w:autoSpaceDE w:val="0"/>
        <w:autoSpaceDN w:val="0"/>
        <w:adjustRightInd w:val="0"/>
        <w:spacing w:line="600" w:lineRule="exact"/>
        <w:ind w:firstLineChars="200" w:firstLine="640"/>
        <w:jc w:val="left"/>
        <w:rPr>
          <w:rStyle w:val="25"/>
          <w:rFonts w:ascii="仿宋" w:eastAsia="仿宋" w:hAnsi="仿宋"/>
          <w:b w:val="0"/>
          <w:bCs/>
          <w:sz w:val="32"/>
          <w:szCs w:val="32"/>
        </w:rPr>
      </w:pPr>
      <w:r>
        <w:rPr>
          <w:rStyle w:val="25"/>
          <w:rFonts w:ascii="仿宋" w:eastAsia="仿宋" w:hAnsi="仿宋" w:hint="eastAsia"/>
          <w:b w:val="0"/>
          <w:bCs/>
          <w:sz w:val="32"/>
          <w:szCs w:val="32"/>
        </w:rPr>
        <w:t>7.住房保障（类）住房改革支出（款）住房公积金（项）：指财政按规定比例为职工缴纳的住房公积金支出。</w:t>
      </w:r>
    </w:p>
    <w:p>
      <w:pPr>
        <w:autoSpaceDE w:val="0"/>
        <w:autoSpaceDN w:val="0"/>
        <w:adjustRightInd w:val="0"/>
        <w:spacing w:line="600" w:lineRule="exact"/>
        <w:ind w:firstLineChars="200" w:firstLine="640"/>
        <w:jc w:val="left"/>
        <w:rPr>
          <w:rStyle w:val="25"/>
          <w:rFonts w:ascii="仿宋" w:eastAsia="仿宋" w:hAnsi="仿宋"/>
          <w:b w:val="0"/>
          <w:bCs/>
          <w:sz w:val="32"/>
          <w:szCs w:val="32"/>
        </w:rPr>
      </w:pPr>
      <w:r>
        <w:rPr>
          <w:rStyle w:val="25"/>
          <w:rFonts w:ascii="仿宋" w:eastAsia="仿宋" w:hAnsi="仿宋" w:hint="eastAsia"/>
          <w:b w:val="0"/>
          <w:bCs/>
          <w:sz w:val="32"/>
          <w:szCs w:val="32"/>
        </w:rPr>
        <w:t>8.基本支出：指为保障机构正常运转、完成日常工作任务而发生的人员支出和公用支出。</w:t>
      </w:r>
    </w:p>
    <w:p>
      <w:pPr>
        <w:autoSpaceDE w:val="0"/>
        <w:autoSpaceDN w:val="0"/>
        <w:adjustRightInd w:val="0"/>
        <w:spacing w:line="600" w:lineRule="exact"/>
        <w:ind w:firstLineChars="200" w:firstLine="640"/>
        <w:jc w:val="left"/>
        <w:rPr>
          <w:rStyle w:val="25"/>
          <w:rFonts w:ascii="仿宋" w:eastAsia="仿宋" w:hAnsi="仿宋"/>
          <w:b w:val="0"/>
          <w:bCs/>
          <w:sz w:val="32"/>
          <w:szCs w:val="32"/>
        </w:rPr>
      </w:pPr>
      <w:r>
        <w:rPr>
          <w:rStyle w:val="25"/>
          <w:rFonts w:ascii="仿宋" w:eastAsia="仿宋" w:hAnsi="仿宋" w:hint="eastAsia"/>
          <w:b w:val="0"/>
          <w:bCs/>
          <w:sz w:val="32"/>
          <w:szCs w:val="32"/>
        </w:rPr>
        <w:t xml:space="preserve">9.项目支出：指在基本支出之外为完成特定行政任务和事业发展目标所发生的支出。 </w:t>
      </w:r>
    </w:p>
    <w:p>
      <w:pPr>
        <w:autoSpaceDE w:val="0"/>
        <w:autoSpaceDN w:val="0"/>
        <w:adjustRightInd w:val="0"/>
        <w:spacing w:line="600" w:lineRule="exact"/>
        <w:ind w:firstLineChars="200" w:firstLine="640"/>
        <w:jc w:val="left"/>
        <w:rPr>
          <w:rStyle w:val="25"/>
          <w:rFonts w:ascii="仿宋" w:eastAsia="仿宋" w:hAnsi="仿宋"/>
          <w:b w:val="0"/>
          <w:bCs/>
          <w:sz w:val="32"/>
          <w:szCs w:val="32"/>
        </w:rPr>
      </w:pPr>
      <w:r>
        <w:rPr>
          <w:rStyle w:val="25"/>
          <w:rFonts w:ascii="仿宋" w:eastAsia="仿宋" w:hAnsi="仿宋" w:hint="eastAsia"/>
          <w:b w:val="0"/>
          <w:bCs/>
          <w:sz w:val="32"/>
          <w:szCs w:val="32"/>
        </w:rPr>
        <w:t>10.“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rPr>
          <w:rStyle w:val="25"/>
          <w:rFonts w:ascii="仿宋" w:eastAsia="仿宋" w:hAnsi="仿宋"/>
          <w:b w:val="0"/>
          <w:bCs/>
          <w:sz w:val="32"/>
          <w:szCs w:val="32"/>
        </w:rPr>
      </w:pPr>
    </w:p>
    <w:p>
      <w:pPr>
        <w:pStyle w:val="17"/>
        <w:rPr>
          <w:rStyle w:val="25"/>
          <w:rFonts w:ascii="仿宋" w:eastAsia="仿宋" w:hAnsi="仿宋"/>
          <w:b w:val="0"/>
          <w:bCs/>
          <w:sz w:val="32"/>
        </w:rPr>
      </w:pPr>
    </w:p>
    <w:p>
      <w:pPr>
        <w:pStyle w:val="17"/>
        <w:rPr>
          <w:rStyle w:val="25"/>
          <w:rFonts w:ascii="仿宋" w:eastAsia="仿宋" w:hAnsi="仿宋"/>
          <w:b w:val="0"/>
          <w:bCs/>
          <w:sz w:val="32"/>
        </w:rPr>
      </w:pPr>
    </w:p>
    <w:p>
      <w:pPr>
        <w:pStyle w:val="17"/>
        <w:rPr>
          <w:rStyle w:val="25"/>
          <w:rFonts w:ascii="仿宋" w:eastAsia="仿宋" w:hAnsi="仿宋"/>
          <w:b w:val="0"/>
          <w:bCs/>
          <w:sz w:val="32"/>
        </w:rPr>
      </w:pPr>
    </w:p>
    <w:p>
      <w:pPr>
        <w:pStyle w:val="17"/>
        <w:rPr>
          <w:rStyle w:val="25"/>
          <w:rFonts w:ascii="仿宋" w:eastAsia="仿宋" w:hAnsi="仿宋"/>
          <w:b w:val="0"/>
          <w:bCs/>
          <w:sz w:val="32"/>
        </w:rPr>
      </w:pPr>
    </w:p>
    <w:p>
      <w:pPr>
        <w:pStyle w:val="17"/>
        <w:rPr>
          <w:rStyle w:val="25"/>
          <w:rFonts w:ascii="仿宋" w:eastAsia="仿宋" w:hAnsi="仿宋"/>
          <w:b w:val="0"/>
          <w:bCs/>
          <w:sz w:val="32"/>
        </w:rPr>
      </w:pPr>
    </w:p>
    <w:p>
      <w:pPr>
        <w:pStyle w:val="17"/>
        <w:rPr>
          <w:rStyle w:val="25"/>
          <w:rFonts w:ascii="仿宋" w:eastAsia="仿宋" w:hAnsi="仿宋"/>
          <w:b w:val="0"/>
          <w:bCs/>
          <w:sz w:val="32"/>
        </w:rPr>
      </w:pPr>
    </w:p>
    <w:p>
      <w:pPr>
        <w:pStyle w:val="17"/>
        <w:rPr>
          <w:rStyle w:val="25"/>
          <w:rFonts w:ascii="仿宋" w:eastAsia="仿宋" w:hAnsi="仿宋"/>
          <w:b w:val="0"/>
          <w:bCs/>
          <w:sz w:val="32"/>
        </w:rPr>
      </w:pPr>
    </w:p>
    <w:p>
      <w:pPr>
        <w:pStyle w:val="17"/>
        <w:rPr>
          <w:rStyle w:val="25"/>
          <w:rFonts w:ascii="仿宋" w:eastAsia="仿宋" w:hAnsi="仿宋"/>
          <w:b w:val="0"/>
          <w:bCs/>
          <w:sz w:val="32"/>
        </w:rPr>
      </w:pPr>
    </w:p>
    <w:p>
      <w:pPr>
        <w:pStyle w:val="17"/>
        <w:rPr>
          <w:rStyle w:val="25"/>
          <w:rFonts w:ascii="仿宋" w:eastAsia="仿宋" w:hAnsi="仿宋"/>
          <w:b w:val="0"/>
          <w:bCs/>
          <w:sz w:val="32"/>
        </w:rPr>
      </w:pPr>
    </w:p>
    <w:p>
      <w:pPr>
        <w:pStyle w:val="17"/>
        <w:rPr>
          <w:rStyle w:val="25"/>
          <w:rFonts w:ascii="仿宋" w:eastAsia="仿宋" w:hAnsi="仿宋"/>
          <w:b w:val="0"/>
          <w:bCs/>
          <w:sz w:val="32"/>
        </w:rPr>
      </w:pPr>
    </w:p>
    <w:p>
      <w:pPr>
        <w:pStyle w:val="17"/>
        <w:rPr>
          <w:rStyle w:val="25"/>
          <w:rFonts w:ascii="仿宋" w:eastAsia="仿宋" w:hAnsi="仿宋"/>
          <w:b w:val="0"/>
          <w:bCs/>
          <w:sz w:val="32"/>
        </w:rPr>
      </w:pPr>
    </w:p>
    <w:p>
      <w:pPr>
        <w:spacing w:line="600" w:lineRule="exact"/>
        <w:jc w:val="center"/>
        <w:outlineLvl w:val="0"/>
        <w:rPr>
          <w:rStyle w:val="1Char"/>
          <w:rFonts w:ascii="黑体" w:eastAsia="黑体" w:hAnsi="黑体"/>
          <w:b w:val="0"/>
        </w:rPr>
      </w:pPr>
      <w:bookmarkStart w:id="41" w:name="_Toc15396614"/>
      <w:bookmarkStart w:id="42" w:name="_Toc15377226"/>
      <w:r>
        <w:rPr>
          <w:rFonts w:ascii="黑体" w:eastAsia="黑体" w:hAnsi="黑体" w:hint="eastAsia"/>
          <w:sz w:val="44"/>
          <w:szCs w:val="44"/>
        </w:rPr>
        <w:t>第</w:t>
      </w:r>
      <w:r>
        <w:rPr>
          <w:rStyle w:val="1Char"/>
          <w:rFonts w:ascii="黑体" w:eastAsia="黑体" w:hAnsi="黑体" w:hint="eastAsia"/>
          <w:b w:val="0"/>
        </w:rPr>
        <w:t>四部分 附件</w:t>
      </w:r>
      <w:bookmarkEnd w:id="41"/>
    </w:p>
    <w:p>
      <w:pPr>
        <w:spacing w:line="572" w:lineRule="exact"/>
        <w:jc w:val="left"/>
        <w:outlineLvl w:val="0"/>
        <w:rPr>
          <w:rFonts w:ascii="仿宋_GB2312" w:eastAsia="仿宋_GB2312" w:cs="仿宋_GB2312" w:hAnsi="仿宋_GB2312"/>
          <w:sz w:val="32"/>
          <w:szCs w:val="32"/>
        </w:rPr>
      </w:pPr>
    </w:p>
    <w:p>
      <w:pPr>
        <w:spacing w:line="600" w:lineRule="exact"/>
        <w:jc w:val="center"/>
        <w:outlineLvl w:val="0"/>
        <w:rPr>
          <w:sz w:val="32"/>
          <w:szCs w:val="32"/>
        </w:rPr>
      </w:pPr>
      <w:bookmarkStart w:id="43" w:name="_Toc15396618"/>
      <w:r>
        <w:rPr>
          <w:rFonts w:hint="eastAsia"/>
          <w:sz w:val="32"/>
          <w:szCs w:val="32"/>
        </w:rPr>
        <w:t>部门预算项目支出绩效自评表（2023年度）</w:t>
      </w:r>
    </w:p>
    <w:p>
      <w:pPr>
        <w:pStyle w:val="23"/>
        <w:rPr>
          <w:sz w:val="32"/>
          <w:szCs w:val="32"/>
        </w:rPr>
      </w:pPr>
    </w:p>
    <w:tbl>
      <w:tblPr>
        <w:jc w:val="center"/>
        <w:tblW w:w="948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76"/>
        <w:gridCol w:w="576"/>
        <w:gridCol w:w="941"/>
        <w:gridCol w:w="970"/>
        <w:gridCol w:w="1216"/>
        <w:gridCol w:w="903"/>
        <w:gridCol w:w="708"/>
        <w:gridCol w:w="810"/>
        <w:gridCol w:w="765"/>
        <w:gridCol w:w="645"/>
        <w:gridCol w:w="1374"/>
      </w:tblGrid>
      <w:tr>
        <w:trPr>
          <w:trHeight w:val="904"/>
        </w:trPr>
        <w:tc>
          <w:tcPr>
            <w:tcW w:w="94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5"/>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51080222T000005841823-结核病区级配套</w:t>
            </w:r>
          </w:p>
        </w:tc>
      </w:tr>
      <w:tr>
        <w:trPr>
          <w:trHeight w:val="514"/>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810" w:type="dxa"/>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广元市利州区疾病预防控制中心</w:t>
            </w:r>
          </w:p>
        </w:tc>
      </w:tr>
      <w:tr>
        <w:trPr>
          <w:trHeight w:val="28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全区积极参与结核病防治宣传教育工作，加大重点人群的宣传筛查工作，提高结核病知识知晓率，有效防止结核病传播，减轻社会负担。为政府的决策起到支撑作用，为保障人民群众的身体健康提供了有力的技术保障。</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对照年度目标，说明相关任务目标的完成情况（100字以内）</w:t>
            </w:r>
          </w:p>
        </w:tc>
      </w:tr>
      <w:tr>
        <w:trPr>
          <w:trHeight w:val="6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全区积极参与结核病防治宣传教育工作，加大重点人群的宣传筛查工作，提高结核病知识知晓率，有效防止结核病传播，减轻社会负担。为政府的决策起到支撑作用，为保障人民群众的身体健康提供了有力的技术保障。</w:t>
            </w:r>
          </w:p>
        </w:tc>
      </w:tr>
      <w:tr>
        <w:trPr>
          <w:trHeight w:val="36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5"/>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10分</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iCs/>
                <w:color w:val="000000"/>
                <w:sz w:val="18"/>
                <w:szCs w:val="18"/>
              </w:rPr>
            </w:pPr>
            <w:r>
              <w:rPr>
                <w:rFonts w:ascii="黑体" w:eastAsia="黑体" w:cs="黑体" w:hAnsi="黑体" w:hint="eastAsia"/>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rPr>
          <w:trHeight w:val="3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4"/>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发现治疗管理结核病人</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300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质量指标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结核病公众知晓率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90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逐年降低结核病发病率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18分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67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健全防病机制、提高防病意识、防止疫情扩散、维护社会稳定</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18分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服务对象满意，辖区居民满意</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95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61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95分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60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结核病项目各项指标都较好达到了相关要求，自评分为95分。自评结果为达标。</w:t>
            </w:r>
          </w:p>
        </w:tc>
      </w:tr>
      <w:tr>
        <w:trPr>
          <w:trHeight w:val="57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存在的问题及扣分点主要在效益指标和服务对象满意度方面。</w:t>
            </w:r>
          </w:p>
        </w:tc>
      </w:tr>
      <w:tr>
        <w:trPr>
          <w:trHeight w:val="63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针对项目自评中发现的问题，下一步工作中继续做好结核病工作，加大重点人群传干预工作力度；从小事、细节做好服务工作，尽量确保服务对象百分百满意。</w:t>
            </w: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kern w:val="0"/>
                <w:sz w:val="18"/>
                <w:szCs w:val="18"/>
              </w:rPr>
            </w:pPr>
          </w:p>
        </w:tc>
        <w:tc>
          <w:tcPr>
            <w:tcW w:w="4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项目负责人：刘芯宇</w:t>
            </w:r>
          </w:p>
        </w:tc>
        <w:tc>
          <w:tcPr>
            <w:tcW w:w="43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财务负责人：樊敏</w:t>
            </w:r>
          </w:p>
        </w:tc>
      </w:tr>
      <w:tr>
        <w:trPr>
          <w:trHeight w:val="285"/>
        </w:trP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r>
        <w:trPr>
          <w:trHeight w:val="285"/>
        </w:trP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r>
        <w:trPr>
          <w:trHeight w:val="904"/>
        </w:trPr>
        <w:tc>
          <w:tcPr>
            <w:tcW w:w="94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5"/>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51080222T000005841894-麻疹等强化免疫项目</w:t>
            </w:r>
          </w:p>
        </w:tc>
      </w:tr>
      <w:tr>
        <w:trPr>
          <w:trHeight w:val="514"/>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810" w:type="dxa"/>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广元市利州区疾病预防控制中心</w:t>
            </w:r>
          </w:p>
        </w:tc>
      </w:tr>
      <w:tr>
        <w:trPr>
          <w:trHeight w:val="28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通过一系列精细化、精准化，科学合理的免疫规划管理项目和措施提高群众满意度。</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对照年度目标，说明相关任务目标的完成情况（100字以内）</w:t>
            </w:r>
          </w:p>
        </w:tc>
      </w:tr>
      <w:tr>
        <w:trPr>
          <w:trHeight w:val="6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自项目开展以来，区疾控中心按相关要求规划设计，结合我区实际情况制订合理、可行、详细和便于操作的技术方案，招标、政府采购按要求进行审批和公示。各项目医疗单位能按要求安排人力、时间，积极沟通协调。整个项目实施过程中区卫健局和疾控中心强化了监督指导，区委、区政府领导经常深入一线调研，确保了项目良性运转。</w:t>
            </w:r>
          </w:p>
        </w:tc>
      </w:tr>
      <w:tr>
        <w:trPr>
          <w:trHeight w:val="36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5"/>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9分</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i/>
                <w:iCs/>
                <w:color w:val="000000"/>
                <w:sz w:val="18"/>
                <w:szCs w:val="18"/>
              </w:rPr>
            </w:pPr>
            <w:r>
              <w:rPr>
                <w:rFonts w:ascii="黑体" w:eastAsia="黑体" w:cs="黑体" w:hAnsi="黑体" w:hint="eastAsia"/>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r>
              <w:rPr>
                <w:rFonts w:ascii="黑体" w:eastAsia="黑体" w:cs="黑体" w:hAnsi="黑体" w:hint="eastAsia"/>
                <w:i/>
                <w:iCs/>
                <w:color w:val="000000"/>
                <w:kern w:val="0"/>
                <w:sz w:val="18"/>
                <w:szCs w:val="18"/>
              </w:rPr>
              <w:t>.</w:t>
            </w:r>
          </w:p>
        </w:tc>
      </w:tr>
      <w:tr>
        <w:trPr>
          <w:trHeight w:val="3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4"/>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麻疹风疹监测</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15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质量指标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麻疹风疹监测处置均达到省级要求</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67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辖区麻风麻疹患者得到疫苗保护，生命安全得到保障</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67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健全防病机制，提供优质安全的疫苗，维护社会稳定</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让患者满意</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96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61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99分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60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麻疹等强化免疫项目各项指标都较好达到了相关要求，自评分为99分。自评结果为达标。</w:t>
            </w:r>
          </w:p>
        </w:tc>
      </w:tr>
      <w:tr>
        <w:trPr>
          <w:trHeight w:val="57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存在的问题及扣分点主要在服务对象满意度和资金到位滞后方面。</w:t>
            </w:r>
          </w:p>
        </w:tc>
      </w:tr>
      <w:tr>
        <w:trPr>
          <w:trHeight w:val="63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针对项目自评中发现的问题，下一步工作中使项目通过数字化门诊建设、家长课堂、精细化管理、质量提升行动等一系列惠民措施的实施进一步提高群众的满意度。同时加强财政联系，尽量确保资金及时到位。</w:t>
            </w: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kern w:val="0"/>
                <w:sz w:val="18"/>
                <w:szCs w:val="18"/>
              </w:rPr>
            </w:pPr>
          </w:p>
        </w:tc>
        <w:tc>
          <w:tcPr>
            <w:tcW w:w="4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项目负责人：文大荣</w:t>
            </w:r>
          </w:p>
        </w:tc>
        <w:tc>
          <w:tcPr>
            <w:tcW w:w="43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财务负责人：樊敏</w:t>
            </w:r>
          </w:p>
        </w:tc>
      </w:tr>
      <w:tr>
        <w:trPr>
          <w:trHeight w:val="285"/>
        </w:trP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r>
        <w:trPr>
          <w:trHeight w:val="285"/>
        </w:trP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r>
        <w:trPr>
          <w:trHeight w:val="904"/>
        </w:trPr>
        <w:tc>
          <w:tcPr>
            <w:tcW w:w="94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5"/>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51080222T000005843224-职业病防治费</w:t>
            </w:r>
          </w:p>
        </w:tc>
      </w:tr>
      <w:tr>
        <w:trPr>
          <w:trHeight w:val="514"/>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810" w:type="dxa"/>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广元市利州区疾病预防控制中心</w:t>
            </w:r>
          </w:p>
        </w:tc>
      </w:tr>
      <w:tr>
        <w:trPr>
          <w:trHeight w:val="28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50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宋体" w:cs="宋体" w:hAnsi="宋体"/>
                <w:color w:val="000000"/>
                <w:sz w:val="18"/>
                <w:szCs w:val="18"/>
              </w:rPr>
            </w:pPr>
            <w:r>
              <w:rPr>
                <w:rFonts w:ascii="宋体" w:cs="宋体" w:hAnsi="宋体"/>
                <w:color w:val="000000"/>
                <w:kern w:val="0"/>
                <w:sz w:val="18"/>
                <w:szCs w:val="18"/>
              </w:rPr>
              <w:t xml:space="preserve">增设职业健康专业技术人员岗位及岗位人数，加强机构职业健康工作人员能力水平培养来适应作为职业健康技术支撑机构职责任务需求；加强疾控机构职业健康现场监测及实验室职业危害因素监测设备配置，建立与疾控机构职责任务相适应、规模适度的职业健康监测能力，为辖区职业健康监测提供技术保障。     </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对照年度目标，说明相关任务目标的完成情况（100字以内）</w:t>
            </w:r>
          </w:p>
        </w:tc>
      </w:tr>
      <w:tr>
        <w:trPr>
          <w:trHeight w:val="54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宋体" w:cs="宋体" w:hAnsi="宋体"/>
                <w:color w:val="000000"/>
                <w:sz w:val="18"/>
                <w:szCs w:val="18"/>
              </w:rPr>
            </w:pPr>
            <w:r>
              <w:rPr>
                <w:rFonts w:ascii="宋体" w:cs="宋体" w:hAnsi="宋体"/>
                <w:color w:val="000000"/>
                <w:kern w:val="0"/>
                <w:sz w:val="18"/>
                <w:szCs w:val="18"/>
              </w:rPr>
              <w:t>坚持预防为主，强化职业病危害源头防控，督促和引导用人单位采取工程技术和管理等措施，不断改善工作场所劳动条件。建立健全职业病防治技术支撑体系和治理体系，显著改善工作场所劳动条件，进一步管理规范劳动用工和劳动工时，积极有效控制尘肺病等重点职业病发病因素。</w:t>
            </w:r>
          </w:p>
        </w:tc>
      </w:tr>
      <w:tr>
        <w:trPr>
          <w:trHeight w:val="36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5"/>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5.05</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5.05</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5.05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10分</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iCs/>
                <w:color w:val="000000"/>
                <w:sz w:val="18"/>
                <w:szCs w:val="18"/>
              </w:rPr>
            </w:pPr>
            <w:r>
              <w:rPr>
                <w:rFonts w:ascii="黑体" w:eastAsia="黑体" w:cs="黑体" w:hAnsi="黑体" w:hint="eastAsia"/>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rPr>
          <w:trHeight w:val="3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5.05</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5.05</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5.05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4"/>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开展职业病防治知识培训</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做好职工病防治，企业危害因素及环境监测</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20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优化工作环境，避免职业病的危害.</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14分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预防职业病，全面提高辖区居民生活水平</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13分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全面提高辖区居民健康生活水平，让群众满意</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95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成本指标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经济成本指标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统筹安排项目经费、严格控制成本</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61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96分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60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职业病项目各项指标都较好达到了相关要求，自评分为96分。自评结果为达标。</w:t>
            </w:r>
          </w:p>
        </w:tc>
      </w:tr>
      <w:tr>
        <w:trPr>
          <w:trHeight w:val="57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存在的问题及扣分点主要在效益指标和服务对象满意度方面。</w:t>
            </w:r>
          </w:p>
        </w:tc>
      </w:tr>
      <w:tr>
        <w:trPr>
          <w:trHeight w:val="63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针对项目自评中发现的问题，下一步工作中提高业务水平，更好地为人民健康提供保障，为政府决策提供数据支持；从小事、细节做好服务工作，尽量确保服务对象百分百满意。</w:t>
            </w: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kern w:val="0"/>
                <w:sz w:val="18"/>
                <w:szCs w:val="18"/>
              </w:rPr>
            </w:pPr>
          </w:p>
        </w:tc>
        <w:tc>
          <w:tcPr>
            <w:tcW w:w="4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项目负责人：蒋中宇</w:t>
            </w:r>
          </w:p>
        </w:tc>
        <w:tc>
          <w:tcPr>
            <w:tcW w:w="43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财务负责人：樊敏</w:t>
            </w:r>
          </w:p>
        </w:tc>
      </w:tr>
      <w:tr>
        <w:trPr>
          <w:trHeight w:val="285"/>
        </w:trP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r>
        <w:trPr>
          <w:trHeight w:val="904"/>
        </w:trPr>
        <w:tc>
          <w:tcPr>
            <w:tcW w:w="94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5"/>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51080223T000009081609-2023年广元市利州区疾病预防控制中心迁建项目</w:t>
            </w:r>
          </w:p>
        </w:tc>
      </w:tr>
      <w:tr>
        <w:trPr>
          <w:trHeight w:val="514"/>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810" w:type="dxa"/>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广元市利州区疾病预防控制中心</w:t>
            </w:r>
          </w:p>
        </w:tc>
      </w:tr>
      <w:tr>
        <w:trPr>
          <w:trHeight w:val="28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58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建筑总面积为6407.75平方米，其中地上计容建筑面积4280.21平方米（含业务用房4218.19平方米、门卫室15.12平方米、污物暂存间及污水处理设备用房46.9平方米)、地下停车库2127.54平方米。</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对照年度目标，说明相关任务目标的完成情况（100字以内）</w:t>
            </w:r>
          </w:p>
        </w:tc>
      </w:tr>
      <w:tr>
        <w:trPr>
          <w:trHeight w:val="54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利州区疾控中心迁建项目于2018年立项。可研批复建筑面积为5373平方米，其中地上4343平方米，地下1030平方米，立项金额为2835万元。已于2021年1月采取EPC模式完成招标，中标价为2500万元。</w:t>
            </w:r>
          </w:p>
        </w:tc>
      </w:tr>
      <w:tr>
        <w:trPr>
          <w:trHeight w:val="36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5"/>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1,952.00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955.37</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48.94%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10分</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黑体" w:eastAsia="黑体" w:cs="黑体" w:hAnsi="黑体"/>
                <w:i/>
                <w:iCs/>
                <w:color w:val="000000"/>
                <w:sz w:val="18"/>
                <w:szCs w:val="18"/>
              </w:rPr>
            </w:pPr>
            <w:r>
              <w:rPr>
                <w:rFonts w:ascii="黑体" w:eastAsia="黑体" w:cs="黑体" w:hAnsi="黑体" w:hint="eastAsia"/>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r>
              <w:rPr>
                <w:rFonts w:ascii="黑体" w:eastAsia="黑体" w:cs="黑体" w:hAnsi="黑体" w:hint="eastAsia"/>
                <w:i/>
                <w:iCs/>
                <w:color w:val="000000"/>
                <w:kern w:val="0"/>
                <w:sz w:val="18"/>
                <w:szCs w:val="18"/>
              </w:rPr>
              <w:t>.</w:t>
            </w:r>
          </w:p>
        </w:tc>
      </w:tr>
      <w:tr>
        <w:trPr>
          <w:trHeight w:val="3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1,952.00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955.37</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48.94%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4"/>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达到国家最新建设标准</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5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质量指标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达到县级疾控中心设置要求，并通过省市有关部门验收合格。</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67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提升区疾控整体办公环境水平，更好地为职工、人民健康提供保障</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106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该迁移项目能够满足利州区疾病预防控制的日常工作需求，基于企业职工不同居住需求，打造有温度、有文化、有品位的职工之家</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疾控中心职工满意，辖区居民满意</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61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97分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2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各项指标都较好达到了相关要求，自评分为97分。自评结果为达标。</w:t>
            </w:r>
          </w:p>
        </w:tc>
      </w:tr>
      <w:tr>
        <w:trPr>
          <w:trHeight w:val="40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存在的问题及扣分点主要在效益指标和服务对象满意度方面。</w:t>
            </w:r>
          </w:p>
        </w:tc>
      </w:tr>
      <w:tr>
        <w:trPr>
          <w:trHeight w:val="38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针对项目自评中发现的问题，协调项目资金，倒排工期，增加施工人员，每天查看施工进度。力争早日竣工验收并投入使用。</w:t>
            </w: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kern w:val="0"/>
                <w:sz w:val="18"/>
                <w:szCs w:val="18"/>
              </w:rPr>
            </w:pPr>
          </w:p>
        </w:tc>
        <w:tc>
          <w:tcPr>
            <w:tcW w:w="4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项目负责人：张金宇</w:t>
            </w:r>
          </w:p>
        </w:tc>
        <w:tc>
          <w:tcPr>
            <w:tcW w:w="43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财务负责人：樊敏</w:t>
            </w:r>
          </w:p>
        </w:tc>
      </w:tr>
      <w:tr>
        <w:trPr>
          <w:trHeight w:val="285"/>
        </w:trP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r>
        <w:trPr>
          <w:trHeight w:val="285"/>
        </w:trP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r>
        <w:trPr>
          <w:trHeight w:val="904"/>
        </w:trPr>
        <w:tc>
          <w:tcPr>
            <w:tcW w:w="94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5"/>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51080223T000009113775-2023年部门履职经费-区疾控中心疫苗冷链工作项目</w:t>
            </w:r>
          </w:p>
        </w:tc>
      </w:tr>
      <w:tr>
        <w:trPr>
          <w:trHeight w:val="514"/>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810" w:type="dxa"/>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广元市利州区疾病预防控制中心</w:t>
            </w:r>
          </w:p>
        </w:tc>
      </w:tr>
      <w:tr>
        <w:trPr>
          <w:trHeight w:val="28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56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严格落实《疫苗管理法》和《预防接种工作规范》的相关要求。全区无因冷链设备及监控设备异常等原因造成疫苗报废浪费现象。</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对照年度目标，说明相关任务目标的完成情况（100字以内）</w:t>
            </w:r>
          </w:p>
        </w:tc>
      </w:tr>
      <w:tr>
        <w:trPr>
          <w:trHeight w:val="6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通过冷链监控平台，使全区所有冷库和冰箱温度全方位全时段无死角监控，这些强有力的冷链运转和疫苗管理措施，确保了全区疫苗的安全，为维护人民群众的生命安全奠定了坚实基础。</w:t>
            </w:r>
          </w:p>
        </w:tc>
      </w:tr>
      <w:tr>
        <w:trPr>
          <w:trHeight w:val="36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5"/>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10分</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i/>
                <w:iCs/>
                <w:color w:val="000000"/>
                <w:sz w:val="18"/>
                <w:szCs w:val="18"/>
              </w:rPr>
            </w:pPr>
            <w:r>
              <w:rPr>
                <w:rFonts w:ascii="黑体" w:eastAsia="黑体" w:cs="黑体" w:hAnsi="黑体" w:hint="eastAsia"/>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r>
              <w:rPr>
                <w:rFonts w:ascii="黑体" w:eastAsia="黑体" w:cs="黑体" w:hAnsi="黑体" w:hint="eastAsia"/>
                <w:i/>
                <w:iCs/>
                <w:color w:val="000000"/>
                <w:kern w:val="0"/>
                <w:sz w:val="18"/>
                <w:szCs w:val="18"/>
              </w:rPr>
              <w:t>.</w:t>
            </w:r>
          </w:p>
        </w:tc>
      </w:tr>
      <w:tr>
        <w:trPr>
          <w:trHeight w:val="3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25.00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4"/>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全区适龄儿童免疫规划</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43000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43000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质量指标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接种目标儿童实际接种率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30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时效指标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全年开展此项工作</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12</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67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规范疫苗冷链管理，杜绝疫苗的浪费及无效；确保疫苗安全有效</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14分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生态效益指标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提高人民健康水平，优化生活环境</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14分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36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减少疫苗可预防疾病的发生，保护人民健康</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67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cs="宋体" w:hAnsi="宋体"/>
                <w:color w:val="000000"/>
                <w:sz w:val="18"/>
                <w:szCs w:val="18"/>
              </w:rPr>
            </w:pPr>
            <w:r>
              <w:rPr>
                <w:rFonts w:ascii="宋体" w:cs="宋体" w:hAnsi="宋体"/>
                <w:color w:val="000000"/>
                <w:kern w:val="0"/>
                <w:sz w:val="18"/>
                <w:szCs w:val="18"/>
              </w:rPr>
              <w:t>健全防病机制，提供优质安全的疫苗，维护社会稳定，居民满意</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61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96分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6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疫苗冷链工作各项指标都较好达到了相关要求，自评分为96分。自评结果为达标。</w:t>
            </w:r>
          </w:p>
        </w:tc>
      </w:tr>
      <w:tr>
        <w:trPr>
          <w:trHeight w:val="36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存在的问题及扣分点主要在服务对象满意度和效益指标方面。</w:t>
            </w:r>
          </w:p>
        </w:tc>
      </w:tr>
      <w:tr>
        <w:trPr>
          <w:trHeight w:val="36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针对项目自评中发现的问题，下一步工作中通过数字化门诊建设、家长课堂、精细化管理、质量提升行动等一系列惠民措施的实施进一步提高了群众的满意度。</w:t>
            </w: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kern w:val="0"/>
                <w:sz w:val="18"/>
                <w:szCs w:val="18"/>
              </w:rPr>
            </w:pPr>
          </w:p>
        </w:tc>
        <w:tc>
          <w:tcPr>
            <w:tcW w:w="4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项目负责人：文大荣</w:t>
            </w:r>
          </w:p>
        </w:tc>
        <w:tc>
          <w:tcPr>
            <w:tcW w:w="43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财务负责人：樊敏</w:t>
            </w:r>
          </w:p>
        </w:tc>
      </w:tr>
      <w:tr>
        <w:trPr>
          <w:trHeight w:val="285"/>
        </w:trP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r>
        <w:trPr>
          <w:trHeight w:val="904"/>
        </w:trPr>
        <w:tc>
          <w:tcPr>
            <w:tcW w:w="94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5"/>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51080223T000009532149-2023年区疾控中心职业病防治中央补助资金</w:t>
            </w:r>
          </w:p>
        </w:tc>
      </w:tr>
      <w:tr>
        <w:trPr>
          <w:trHeight w:val="514"/>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810" w:type="dxa"/>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广元市利州区疾病预防控制中心</w:t>
            </w:r>
          </w:p>
        </w:tc>
      </w:tr>
      <w:tr>
        <w:trPr>
          <w:trHeight w:val="28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4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cs="宋体" w:hAnsi="宋体"/>
                <w:color w:val="000000"/>
                <w:sz w:val="18"/>
                <w:szCs w:val="18"/>
              </w:rPr>
            </w:pPr>
            <w:r>
              <w:rPr>
                <w:rFonts w:ascii="宋体" w:cs="宋体" w:hAnsi="宋体"/>
                <w:color w:val="000000"/>
                <w:kern w:val="0"/>
                <w:sz w:val="18"/>
                <w:szCs w:val="18"/>
              </w:rPr>
              <w:t xml:space="preserve">疾控增设职业健康专业技术人员岗位及岗位人数，加强机构职业健康工作人员能力水平培养来适应作为职业健康技术支撑机构职责任务需求；加强疾控机构职业健康现场监测及实验室职业危害因素监测设备配置，建立与疾控机构职责任务相适应、规模适度的职业健康监测能力，为辖区职业健康监测提供技术保障。     </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对照年度目标，说明相关任务目标的完成情况（100字以内）</w:t>
            </w:r>
          </w:p>
        </w:tc>
      </w:tr>
      <w:tr>
        <w:trPr>
          <w:trHeight w:val="56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宋体" w:cs="宋体" w:hAnsi="宋体"/>
                <w:color w:val="000000"/>
                <w:sz w:val="18"/>
                <w:szCs w:val="18"/>
              </w:rPr>
            </w:pPr>
            <w:r>
              <w:rPr>
                <w:rFonts w:ascii="宋体" w:cs="宋体" w:hAnsi="宋体"/>
                <w:color w:val="000000"/>
                <w:kern w:val="0"/>
                <w:sz w:val="18"/>
                <w:szCs w:val="18"/>
              </w:rPr>
              <w:t>坚持预防为主，强化职业病危害源头防控，督促和引导用人单位采取工程技术和管理等措施，不断改善工作场所劳动条件。建立健全职业病防治技术支撑体系和治理体系，显著改善工作场所劳动条件，进一步管理规范劳动用工和劳动工时，积极有效控制尘肺病等重点职业病发病因素。</w:t>
            </w:r>
          </w:p>
        </w:tc>
      </w:tr>
      <w:tr>
        <w:trPr>
          <w:trHeight w:val="36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5"/>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10.60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10.60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10分</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left"/>
              <w:textAlignment w:val="center"/>
              <w:rPr>
                <w:rFonts w:ascii="黑体" w:eastAsia="黑体" w:cs="黑体" w:hAnsi="黑体"/>
                <w:i/>
                <w:iCs/>
                <w:color w:val="000000"/>
                <w:sz w:val="18"/>
                <w:szCs w:val="18"/>
              </w:rPr>
            </w:pPr>
            <w:r>
              <w:rPr>
                <w:rFonts w:ascii="黑体" w:eastAsia="黑体" w:cs="黑体" w:hAnsi="黑体" w:hint="eastAsia"/>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r>
              <w:rPr>
                <w:rFonts w:ascii="黑体" w:eastAsia="黑体" w:cs="黑体" w:hAnsi="黑体" w:hint="eastAsia"/>
                <w:i/>
                <w:iCs/>
                <w:color w:val="000000"/>
                <w:kern w:val="0"/>
                <w:sz w:val="18"/>
                <w:szCs w:val="18"/>
              </w:rPr>
              <w:t>.</w:t>
            </w:r>
          </w:p>
        </w:tc>
      </w:tr>
      <w:tr>
        <w:trPr>
          <w:trHeight w:val="3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10.60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10.60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4"/>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40" w:lineRule="exact"/>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88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通过有效宣传让《中华人民共和国职业病防治法》在辖区得到更好的宣贯。就业环境监测，防治职工病</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18</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20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开展职业病防治知识培训</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优化工作环境，避免职业病的危害</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13分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预防职业病，全面提高辖区居民生活水平</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提高群众满意度。</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95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成本指标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社会成本指标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统筹安排项目经费、严格控制成本</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61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96分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8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职业病项目各项指标都较好达到了相关要求，自评分为96分。自评结果为达标。</w:t>
            </w:r>
          </w:p>
        </w:tc>
      </w:tr>
      <w:tr>
        <w:trPr>
          <w:trHeight w:val="24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存在的问题及扣分点主要在效益指标和服务对象满意度方面。</w:t>
            </w:r>
          </w:p>
        </w:tc>
      </w:tr>
      <w:tr>
        <w:trPr>
          <w:trHeight w:val="36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针对项目自评中发现的问题，下一步工作中提高业务水平，更好地为人民健康提供保障，为政府决策提供数据支持；从小事、细节做好服务工作，尽量确保服务对象百分百满意。</w:t>
            </w: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kern w:val="0"/>
                <w:sz w:val="18"/>
                <w:szCs w:val="18"/>
              </w:rPr>
            </w:pPr>
          </w:p>
        </w:tc>
        <w:tc>
          <w:tcPr>
            <w:tcW w:w="4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项目负责人：将中宇</w:t>
            </w:r>
          </w:p>
        </w:tc>
        <w:tc>
          <w:tcPr>
            <w:tcW w:w="43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财务负责人：樊敏</w:t>
            </w:r>
          </w:p>
        </w:tc>
      </w:tr>
      <w:tr>
        <w:trPr>
          <w:trHeight w:val="285"/>
        </w:trP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r>
        <w:trPr>
          <w:trHeight w:val="904"/>
        </w:trPr>
        <w:tc>
          <w:tcPr>
            <w:tcW w:w="94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5"/>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51080223T000009546401-2023年区疾控中心地方病项目中央补助资金</w:t>
            </w:r>
          </w:p>
        </w:tc>
      </w:tr>
      <w:tr>
        <w:trPr>
          <w:trHeight w:val="514"/>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810" w:type="dxa"/>
            <w:tcBorders>
              <w:top w:val="nil"/>
              <w:left w:val="nil"/>
              <w:bottom w:val="single" w:sz="4" w:space="0" w:color="000000"/>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广元市利州区疾病预防控制中心</w:t>
            </w:r>
          </w:p>
        </w:tc>
      </w:tr>
      <w:tr>
        <w:trPr>
          <w:trHeight w:val="28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56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免费向城乡居民提供基本公共卫生服务；开展对重点疾病及危害因素检测，有效控制疾病流行，保持重点地方疾病防治措施全面落实，开展职业病检测，最大限度的保护患者和公众的健康权益；同时推进公共卫生、健康素养促进、老年健康服务、卫生应急等方面的工作</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对照年度目标，说明相关任务目标的完成情况（100字以内）</w:t>
            </w:r>
          </w:p>
        </w:tc>
      </w:tr>
      <w:tr>
        <w:trPr>
          <w:trHeight w:val="6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 xml:space="preserve">坚持预防为主，强化地方病危害源头防控，建立健全地方病防治技术支撑体系和治理体系，积极有效控制地方病发病因素。        </w:t>
            </w:r>
          </w:p>
        </w:tc>
      </w:tr>
      <w:tr>
        <w:trPr>
          <w:trHeight w:val="36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5"/>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18.00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18.00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10分</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i/>
                <w:iCs/>
                <w:color w:val="000000"/>
                <w:sz w:val="18"/>
                <w:szCs w:val="18"/>
              </w:rPr>
            </w:pPr>
            <w:r>
              <w:rPr>
                <w:rFonts w:ascii="黑体" w:eastAsia="黑体" w:cs="黑体" w:hAnsi="黑体" w:hint="eastAsia"/>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r>
              <w:rPr>
                <w:rFonts w:ascii="黑体" w:eastAsia="黑体" w:cs="黑体" w:hAnsi="黑体" w:hint="eastAsia"/>
                <w:i/>
                <w:iCs/>
                <w:color w:val="000000"/>
                <w:kern w:val="0"/>
                <w:sz w:val="18"/>
                <w:szCs w:val="18"/>
              </w:rPr>
              <w:t>.</w:t>
            </w:r>
          </w:p>
        </w:tc>
      </w:tr>
      <w:tr>
        <w:trPr>
          <w:trHeight w:val="3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18.00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18.00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4"/>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慢性病防治及地方病、碘缺乏病防治</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99</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数字化门诊建设及疫苗查漏补种</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98</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职业病防治</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18</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20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提高居民健康水平，提高基本公共卫服务能力</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生态效益指标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提高居民健康水平，减少居民疾病危害</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有效传染病传播，杜绝因病致贫，造成社会负担</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14分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营造健康生活环境，让群众满意</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61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96分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34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 xml:space="preserve">地方病项目各项指标都较好达到了相关要求，自评分为96分。自评结果为达标。         </w:t>
            </w:r>
          </w:p>
        </w:tc>
      </w:tr>
      <w:tr>
        <w:trPr>
          <w:trHeight w:val="32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 xml:space="preserve">存在的问题及扣分点主要在效益指标和服务对象满意度方面。         </w:t>
            </w:r>
          </w:p>
        </w:tc>
      </w:tr>
      <w:tr>
        <w:trPr>
          <w:trHeight w:val="30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针对项目自评中发现的问题，下一步工作中提高业务水平，更好地为人民健康提供保障，为政府决策提供数据支持；从小事、细节做好服务工作，尽量确保服务对象百分百满意。</w:t>
            </w: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kern w:val="0"/>
                <w:sz w:val="18"/>
                <w:szCs w:val="18"/>
              </w:rPr>
            </w:pPr>
          </w:p>
        </w:tc>
        <w:tc>
          <w:tcPr>
            <w:tcW w:w="4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项目负责人：杨钦贤</w:t>
            </w:r>
          </w:p>
        </w:tc>
        <w:tc>
          <w:tcPr>
            <w:tcW w:w="43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财务负责人：樊敏</w:t>
            </w:r>
          </w:p>
        </w:tc>
      </w:tr>
      <w:tr>
        <w:trPr>
          <w:trHeight w:val="285"/>
        </w:trP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r>
        <w:trPr>
          <w:trHeight w:val="285"/>
        </w:trP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r>
        <w:trPr>
          <w:trHeight w:val="904"/>
        </w:trPr>
        <w:tc>
          <w:tcPr>
            <w:tcW w:w="94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70"/>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51080223T000009755201-2023年广元市利州区疾病预防控制中心实验室达标建设项目</w:t>
            </w:r>
          </w:p>
        </w:tc>
      </w:tr>
      <w:tr>
        <w:trPr>
          <w:trHeight w:val="360"/>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810" w:type="dxa"/>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广元市利州区疾病预防控制中心</w:t>
            </w:r>
          </w:p>
        </w:tc>
      </w:tr>
      <w:tr>
        <w:trPr>
          <w:trHeight w:val="28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建设规模及内容，建筑总面积为6407.75平方米，其中地上计容建筑面积4280.21平方米（含业务用房4218.19平方米、门卫室15.12平方米、污物暂存间及污水处理设备用房46.9平方米)、地下停车库2127.54平方米。</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对照年度目标，说明相关任务目标的完成情况（100字以内）</w:t>
            </w:r>
          </w:p>
        </w:tc>
      </w:tr>
      <w:tr>
        <w:trPr>
          <w:trHeight w:val="6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由于新冠肺炎疫情防控需要，我中心作为利州区唯一公共卫生机构，在区委区政府的高度重视和大力支持下，2020年建成新冠肺炎核酸检测实验室，需适时完成集中隔离点、宾馆、商场(超市)、进口食品、公共交通、环卫、新冠肺炎密切接触者以及区级相关部门等重点场所的环境和人员核酸采样检测以及区委区政府安排的临时性采样工作任务。</w:t>
            </w:r>
          </w:p>
        </w:tc>
      </w:tr>
      <w:tr>
        <w:trPr>
          <w:trHeight w:val="36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5"/>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500.00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10分</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iCs/>
                <w:color w:val="000000"/>
                <w:sz w:val="18"/>
                <w:szCs w:val="18"/>
              </w:rPr>
            </w:pPr>
            <w:r>
              <w:rPr>
                <w:rFonts w:ascii="黑体" w:eastAsia="黑体" w:cs="黑体" w:hAnsi="黑体" w:hint="eastAsia"/>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rPr>
          <w:trHeight w:val="3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500.00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4"/>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67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达到县级疾控中心设置要求，并通过省市有关部门验收合格。</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达到国家最新建设标准</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95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135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该迁移项目能够满足利州区疾病预防控制的日常工作需求，基于企业职工不同居住需求，打造有温度、有文化、有品位的职工之家</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18分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67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建筑废弃物、污水、废气均达到国家标准排放指标，降低环境污染。</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18分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营造健康生活环境，让群众满意</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95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61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60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项指标都较好达到了相关要求，自评分为95分。自评结果为达标。</w:t>
            </w:r>
          </w:p>
        </w:tc>
      </w:tr>
      <w:tr>
        <w:trPr>
          <w:trHeight w:val="57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存在的问题及扣分点主要在服务对象满意度和效益指标方面。</w:t>
            </w:r>
          </w:p>
        </w:tc>
      </w:tr>
      <w:tr>
        <w:trPr>
          <w:trHeight w:val="63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280" w:lineRule="exact"/>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针对项目自评中发现的问题，下一步工作中年初均结合实际制定有具体的操作性强的项目采样检测实施方案，从而提高预算使用效率和坚决杜绝资金浪费，在降低成本同时，最大限度完成核酸检测任务，使疫情及时得到控制，保障经济社会持续稳定发展。</w:t>
            </w: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kern w:val="0"/>
                <w:sz w:val="18"/>
                <w:szCs w:val="18"/>
              </w:rPr>
            </w:pPr>
          </w:p>
        </w:tc>
        <w:tc>
          <w:tcPr>
            <w:tcW w:w="4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项目负责人：王明玉</w:t>
            </w:r>
          </w:p>
        </w:tc>
        <w:tc>
          <w:tcPr>
            <w:tcW w:w="43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财务负责人：樊敏</w:t>
            </w:r>
          </w:p>
        </w:tc>
      </w:tr>
      <w:tr>
        <w:trPr>
          <w:trHeight w:val="285"/>
        </w:trP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r>
        <w:trPr>
          <w:trHeight w:val="904"/>
        </w:trPr>
        <w:tc>
          <w:tcPr>
            <w:tcW w:w="94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5"/>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51080224T000010540781-区卫健系统--基本公共卫生服务人口因素法分配--中央资金</w:t>
            </w:r>
          </w:p>
        </w:tc>
      </w:tr>
      <w:tr>
        <w:trPr>
          <w:trHeight w:val="514"/>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810" w:type="dxa"/>
            <w:tcBorders>
              <w:top w:val="nil"/>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广元市利州区疾病预防控制中心</w:t>
            </w:r>
          </w:p>
        </w:tc>
      </w:tr>
      <w:tr>
        <w:trPr>
          <w:trHeight w:val="28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112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进一步掌握利州区疫情态势防制措施落实现状，总结防制成功经验，分析目前存在的具体困难和问题，为进一步提高我区社会各界群众对基本公共卫生服务工作的认识，夯实防治机制，持续巩固防治成果，加强和完善防治工作措施提供科学依据。</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对照年度目标，说明相关任务目标的完成情况（100字以内）</w:t>
            </w:r>
          </w:p>
        </w:tc>
      </w:tr>
      <w:tr>
        <w:trPr>
          <w:trHeight w:val="6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根据《四川省财政厅 省人力资源和社会保障厅 省卫生健康委、省中医药局关于完善医务人员临时性工作补助有关政策的通知》（川财社【2023】5号）文件、广财社【2023】12号文件要求，我单位按照规定程序开展工作。</w:t>
            </w:r>
          </w:p>
        </w:tc>
      </w:tr>
      <w:tr>
        <w:trPr>
          <w:trHeight w:val="36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5"/>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19.00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18.90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99.47%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10分</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i/>
                <w:iCs/>
                <w:color w:val="000000"/>
                <w:sz w:val="18"/>
                <w:szCs w:val="18"/>
              </w:rPr>
            </w:pPr>
            <w:r>
              <w:rPr>
                <w:rFonts w:ascii="黑体" w:eastAsia="黑体" w:cs="黑体" w:hAnsi="黑体" w:hint="eastAsia"/>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r>
              <w:rPr>
                <w:rFonts w:ascii="黑体" w:eastAsia="黑体" w:cs="黑体" w:hAnsi="黑体" w:hint="eastAsia"/>
                <w:i/>
                <w:iCs/>
                <w:color w:val="000000"/>
                <w:kern w:val="0"/>
                <w:sz w:val="18"/>
                <w:szCs w:val="18"/>
              </w:rPr>
              <w:t>.</w:t>
            </w:r>
          </w:p>
        </w:tc>
      </w:tr>
      <w:tr>
        <w:trPr>
          <w:trHeight w:val="3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19.00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18.90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99.47%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4"/>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碘缺乏病防治</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600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600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质量指标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甲状腺肿大率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时效指标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2023年12月</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12</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12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67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健全防病机制、提高防病意识、防止疫情扩散、维护社会稳定</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生态效益指标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少地方病危害，提高居民健康水平</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让辖区居民满意</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95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61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95分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40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项目各项指标都较好达到了相关要求，自评分为95分。自评结果为达标。</w:t>
            </w:r>
          </w:p>
        </w:tc>
      </w:tr>
      <w:tr>
        <w:trPr>
          <w:trHeight w:val="36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存在的问题及扣分点主要在服务对象满意度和效益指标方面。</w:t>
            </w:r>
          </w:p>
        </w:tc>
      </w:tr>
      <w:tr>
        <w:trPr>
          <w:trHeight w:val="38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针对项目自评中发现的问题，下一步工作中逐步完善。</w:t>
            </w: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kern w:val="0"/>
                <w:sz w:val="18"/>
                <w:szCs w:val="18"/>
              </w:rPr>
            </w:pPr>
          </w:p>
        </w:tc>
        <w:tc>
          <w:tcPr>
            <w:tcW w:w="4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项目负责人：昝佼君</w:t>
            </w:r>
          </w:p>
        </w:tc>
        <w:tc>
          <w:tcPr>
            <w:tcW w:w="43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财务负责人：樊敏</w:t>
            </w:r>
          </w:p>
        </w:tc>
      </w:tr>
      <w:tr>
        <w:trPr>
          <w:trHeight w:val="200"/>
        </w:trP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r>
        <w:trPr>
          <w:trHeight w:val="904"/>
        </w:trPr>
        <w:tc>
          <w:tcPr>
            <w:tcW w:w="94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宋体"/>
                <w:b/>
                <w:bCs/>
                <w:color w:val="000000"/>
                <w:sz w:val="30"/>
                <w:szCs w:val="30"/>
              </w:rPr>
            </w:pPr>
            <w:r>
              <w:rPr>
                <w:rFonts w:ascii="黑体" w:eastAsia="黑体" w:cs="黑体" w:hAnsi="宋体" w:hint="eastAsia"/>
                <w:b/>
                <w:bCs/>
                <w:color w:val="000000"/>
                <w:kern w:val="0"/>
                <w:sz w:val="30"/>
                <w:szCs w:val="30"/>
              </w:rPr>
              <w:t>部门预算项目支出绩效自评表（2023年度）</w:t>
            </w:r>
          </w:p>
        </w:tc>
      </w:tr>
      <w:tr>
        <w:trPr>
          <w:trHeight w:val="285"/>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项目名称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51080224T000011036096-区疾控中心-医疗服务与保障能力提升-中央资金</w:t>
            </w:r>
          </w:p>
        </w:tc>
      </w:tr>
      <w:tr>
        <w:trPr>
          <w:trHeight w:val="514"/>
        </w:trPr>
        <w:tc>
          <w:tcPr>
            <w:tcW w:w="20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主管部门</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广元市利州区卫生健康局部门</w:t>
            </w:r>
          </w:p>
        </w:tc>
        <w:tc>
          <w:tcPr>
            <w:tcW w:w="810" w:type="dxa"/>
            <w:tcBorders>
              <w:top w:val="single" w:sz="4" w:space="0" w:color="000000"/>
              <w:left w:val="nil"/>
              <w:bottom w:val="nil"/>
              <w:right w:val="nil"/>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实施单位 （盖章）</w:t>
            </w:r>
          </w:p>
        </w:tc>
        <w:tc>
          <w:tcPr>
            <w:tcW w:w="27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广元市利州区疾病预防控制中心</w:t>
            </w:r>
          </w:p>
        </w:tc>
      </w:tr>
      <w:tr>
        <w:trPr>
          <w:trHeight w:val="28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项目基本情况</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1.项目年度目标完成情况</w:t>
            </w: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项目年度目标</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年度目标完成情况</w:t>
            </w:r>
          </w:p>
        </w:tc>
      </w:tr>
      <w:tr>
        <w:trPr>
          <w:trHeight w:val="7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用于实验室建设，进一步提升服务能力</w:t>
            </w:r>
          </w:p>
        </w:tc>
        <w:tc>
          <w:tcPr>
            <w:tcW w:w="3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对照年度目标，说明相关任务目标的完成情况（100字以内）</w:t>
            </w:r>
          </w:p>
        </w:tc>
      </w:tr>
      <w:tr>
        <w:trPr>
          <w:trHeight w:val="69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2.项目实施内容及过程概述</w:t>
            </w:r>
          </w:p>
        </w:tc>
        <w:tc>
          <w:tcPr>
            <w:tcW w:w="73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由于新冠肺炎疫情防控需要，我中心作为利州区唯一公共卫生机构，在区委区政府的高度重视和大力支持下，2020年建成新冠肺炎核酸检测实验室，需适时完成集中隔离点、宾馆、商场(超市)、进口食品、公共交通、环卫、新冠肺炎密切接触者以及区级相关部门等重点场所的环境和人员核酸采样检测以及区委区政府安排的临时性采样工作任务。</w:t>
            </w:r>
          </w:p>
        </w:tc>
      </w:tr>
      <w:tr>
        <w:trPr>
          <w:trHeight w:val="36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预算执行情况（10分）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年度预算数（万元）</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年初预算</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调整后预算数</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预算执行率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原因</w:t>
            </w:r>
          </w:p>
        </w:tc>
      </w:tr>
      <w:tr>
        <w:trPr>
          <w:trHeight w:val="345"/>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总额</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38.00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10分</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i/>
                <w:iCs/>
                <w:color w:val="000000"/>
                <w:sz w:val="18"/>
                <w:szCs w:val="18"/>
              </w:rPr>
            </w:pPr>
            <w:r>
              <w:rPr>
                <w:rFonts w:ascii="黑体" w:eastAsia="黑体" w:cs="黑体" w:hAnsi="黑体" w:hint="eastAsia"/>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r>
              <w:rPr>
                <w:rFonts w:ascii="黑体" w:eastAsia="黑体" w:cs="黑体" w:hAnsi="黑体" w:hint="eastAsia"/>
                <w:i/>
                <w:iCs/>
                <w:color w:val="000000"/>
                <w:kern w:val="0"/>
                <w:sz w:val="18"/>
                <w:szCs w:val="18"/>
              </w:rPr>
              <w:t>.</w:t>
            </w:r>
          </w:p>
        </w:tc>
      </w:tr>
      <w:tr>
        <w:trPr>
          <w:trHeight w:val="39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其中：财政资金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38.00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财政专户管理资金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6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单位资金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其他资金</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4"/>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绩效指标（90分）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一级指标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二级指标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三级指标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指标性质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指标值</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完成值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得分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未完成原因分析</w:t>
            </w: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产出指标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数量指标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设备达到国家最新装备标准</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90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质量指标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实验室达到县级疾控中心设置要求</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338"/>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时效指标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2023年完成</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12</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12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15分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679"/>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效益指标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社会效益指标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hAnsi="宋体"/>
                <w:color w:val="000000"/>
                <w:sz w:val="18"/>
                <w:szCs w:val="18"/>
              </w:rPr>
            </w:pPr>
            <w:r>
              <w:rPr>
                <w:rFonts w:ascii="宋体" w:cs="宋体" w:hAnsi="宋体"/>
                <w:color w:val="000000"/>
                <w:kern w:val="0"/>
                <w:sz w:val="18"/>
                <w:szCs w:val="18"/>
              </w:rPr>
              <w:t>能够更加全面的完成疾病监测任务，更好地为人民健康提供保障</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18分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可持续发展指标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满足利州区未来20年的发展和疾病预防控制需求</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定性</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8分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454"/>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满意度指标</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服务对象满意度指标</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微软雅黑" w:eastAsia="微软雅黑" w:cs="微软雅黑" w:hAnsi="微软雅黑"/>
                <w:i/>
                <w:iCs/>
                <w:color w:val="000000"/>
                <w:sz w:val="16"/>
                <w:szCs w:val="16"/>
              </w:rPr>
            </w:pPr>
            <w:r>
              <w:rPr>
                <w:rFonts w:ascii="微软雅黑" w:eastAsia="微软雅黑" w:cs="微软雅黑" w:hAnsi="微软雅黑" w:hint="eastAsia"/>
                <w:i/>
                <w:iCs/>
                <w:color w:val="000000"/>
                <w:kern w:val="0"/>
                <w:sz w:val="16"/>
                <w:szCs w:val="16"/>
              </w:rPr>
              <w:t>95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9分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i/>
                <w:iCs/>
                <w:color w:val="000000"/>
                <w:sz w:val="16"/>
                <w:szCs w:val="16"/>
              </w:rPr>
            </w:pP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kern w:val="0"/>
                <w:sz w:val="18"/>
                <w:szCs w:val="18"/>
              </w:rPr>
            </w:pPr>
          </w:p>
        </w:tc>
        <w:tc>
          <w:tcPr>
            <w:tcW w:w="61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合计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color w:val="000000"/>
                <w:kern w:val="0"/>
                <w:sz w:val="18"/>
                <w:szCs w:val="18"/>
              </w:rPr>
              <w:t>95分</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38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评价结论</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项目各项指标都较好达到了相关要求，自评分为95分。自评结果为达标。</w:t>
            </w:r>
          </w:p>
        </w:tc>
      </w:tr>
      <w:tr>
        <w:trPr>
          <w:trHeight w:val="36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存在问题</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存在的问题及扣分点主要在服务对象满意度和效益指标方面。</w:t>
            </w:r>
          </w:p>
        </w:tc>
      </w:tr>
      <w:tr>
        <w:trPr>
          <w:trHeight w:val="380"/>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color w:val="000000"/>
                <w:kern w:val="0"/>
                <w:sz w:val="18"/>
                <w:szCs w:val="18"/>
              </w:rPr>
              <w:t>改进措施</w:t>
            </w:r>
          </w:p>
        </w:tc>
        <w:tc>
          <w:tcPr>
            <w:tcW w:w="890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微软雅黑" w:eastAsia="微软雅黑" w:cs="微软雅黑" w:hAnsi="微软雅黑"/>
                <w:iCs/>
                <w:color w:val="000000"/>
                <w:sz w:val="16"/>
                <w:szCs w:val="16"/>
              </w:rPr>
            </w:pPr>
            <w:r>
              <w:rPr>
                <w:rFonts w:ascii="微软雅黑" w:eastAsia="微软雅黑" w:cs="微软雅黑" w:hAnsi="微软雅黑" w:hint="eastAsia"/>
                <w:iCs/>
                <w:color w:val="000000"/>
                <w:kern w:val="0"/>
                <w:sz w:val="16"/>
                <w:szCs w:val="16"/>
              </w:rPr>
              <w:t>针对项目自评中发现的问题，下一步工作中年初均结合实际制定有具体的操作性强的项目采样检测实施方案，从而提高预算使用效率和坚决杜绝资金浪费，在降低成本同时，最大限度完成核酸检测任务，使疫情及时得到控制，保障经济社会持续稳定发展。</w:t>
            </w:r>
          </w:p>
        </w:tc>
      </w:tr>
      <w:tr>
        <w:trPr>
          <w:trHeight w:val="285"/>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kern w:val="0"/>
                <w:sz w:val="18"/>
                <w:szCs w:val="18"/>
              </w:rPr>
            </w:pPr>
          </w:p>
        </w:tc>
        <w:tc>
          <w:tcPr>
            <w:tcW w:w="4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项目负责人：王明玉</w:t>
            </w:r>
          </w:p>
        </w:tc>
        <w:tc>
          <w:tcPr>
            <w:tcW w:w="43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黑体" w:eastAsia="黑体" w:cs="黑体" w:hAnsi="黑体"/>
                <w:color w:val="000000"/>
                <w:sz w:val="18"/>
                <w:szCs w:val="18"/>
              </w:rPr>
            </w:pPr>
            <w:r>
              <w:rPr>
                <w:rFonts w:ascii="黑体" w:eastAsia="黑体" w:cs="黑体" w:hAnsi="黑体" w:hint="eastAsia"/>
                <w:color w:val="000000"/>
                <w:kern w:val="0"/>
                <w:sz w:val="18"/>
                <w:szCs w:val="18"/>
              </w:rPr>
              <w:t>财务负责人：樊敏</w:t>
            </w:r>
          </w:p>
        </w:tc>
      </w:tr>
      <w:tr>
        <w:trPr>
          <w:trHeight w:val="90"/>
        </w:trP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r>
        <w:trPr>
          <w:trHeight w:val="285"/>
        </w:trPr>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57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41"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7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216"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903"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08"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810"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76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645" w:type="dxa"/>
            <w:tcBorders>
              <w:top w:val="nil"/>
              <w:left w:val="nil"/>
              <w:bottom w:val="nil"/>
              <w:right w:val="nil"/>
            </w:tcBorders>
            <w:shd w:val="clear" w:color="auto" w:fill="auto"/>
            <w:vAlign w:val="center"/>
          </w:tcPr>
          <w:p>
            <w:pPr>
              <w:rPr>
                <w:rFonts w:ascii="宋体" w:cs="宋体" w:hAnsi="宋体"/>
                <w:color w:val="000000"/>
                <w:sz w:val="18"/>
                <w:szCs w:val="18"/>
              </w:rPr>
            </w:pPr>
          </w:p>
        </w:tc>
        <w:tc>
          <w:tcPr>
            <w:tcW w:w="1374" w:type="dxa"/>
            <w:tcBorders>
              <w:top w:val="nil"/>
              <w:left w:val="nil"/>
              <w:bottom w:val="nil"/>
              <w:right w:val="nil"/>
            </w:tcBorders>
            <w:shd w:val="clear" w:color="auto" w:fill="auto"/>
            <w:vAlign w:val="center"/>
          </w:tcPr>
          <w:p>
            <w:pPr>
              <w:rPr>
                <w:rFonts w:ascii="宋体" w:cs="宋体" w:hAnsi="宋体"/>
                <w:color w:val="000000"/>
                <w:sz w:val="18"/>
                <w:szCs w:val="18"/>
              </w:rPr>
            </w:pPr>
          </w:p>
        </w:tc>
      </w:tr>
    </w:tbl>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Fonts w:ascii="黑体" w:eastAsia="黑体" w:hAnsi="黑体" w:hint="eastAsia"/>
          <w:sz w:val="44"/>
          <w:szCs w:val="44"/>
        </w:rPr>
      </w:pPr>
    </w:p>
    <w:p>
      <w:pPr>
        <w:spacing w:line="600" w:lineRule="exact"/>
        <w:jc w:val="center"/>
        <w:outlineLvl w:val="0"/>
        <w:rPr>
          <w:rStyle w:val="1Char"/>
          <w:rFonts w:ascii="黑体" w:eastAsia="黑体" w:hAnsi="黑体" w:hint="eastAsia"/>
          <w:b w:val="0"/>
        </w:rPr>
      </w:pPr>
      <w:r>
        <w:rPr>
          <w:rFonts w:ascii="黑体" w:eastAsia="黑体" w:hAnsi="黑体" w:hint="eastAsia"/>
          <w:sz w:val="44"/>
          <w:szCs w:val="44"/>
        </w:rPr>
        <w:t>第</w:t>
      </w:r>
      <w:r>
        <w:rPr>
          <w:rStyle w:val="1Char"/>
          <w:rFonts w:ascii="黑体" w:eastAsia="黑体" w:hAnsi="黑体" w:hint="eastAsia"/>
          <w:b w:val="0"/>
        </w:rPr>
        <w:t>五部分 附表</w:t>
      </w:r>
      <w:bookmarkStart w:id="44" w:name="_Toc15396619"/>
      <w:bookmarkEnd w:id="42"/>
      <w:bookmarkEnd w:id="43"/>
    </w:p>
    <w:p>
      <w:pPr>
        <w:spacing w:line="600" w:lineRule="exact"/>
        <w:jc w:val="center"/>
        <w:outlineLvl w:val="0"/>
        <w:rPr>
          <w:rFonts w:ascii="仿宋" w:eastAsia="仿宋" w:hAnsi="仿宋"/>
        </w:rPr>
      </w:pPr>
    </w:p>
    <w:p>
      <w:pPr>
        <w:pStyle w:val="2"/>
        <w:rPr>
          <w:rFonts w:ascii="仿宋" w:eastAsia="仿宋" w:hAnsi="仿宋"/>
        </w:rPr>
      </w:pPr>
      <w:r>
        <w:rPr>
          <w:rFonts w:ascii="仿宋" w:eastAsia="仿宋" w:hAnsi="仿宋" w:hint="eastAsia"/>
          <w:b w:val="0"/>
        </w:rPr>
        <w:t>一、收</w:t>
      </w:r>
      <w:r>
        <w:rPr>
          <w:rStyle w:val="2Char"/>
          <w:rFonts w:ascii="仿宋" w:eastAsia="仿宋" w:hAnsi="仿宋" w:hint="eastAsia"/>
          <w:b w:val="0"/>
          <w:bCs w:val="0"/>
        </w:rPr>
        <w:t>入支出决算总表</w:t>
      </w:r>
      <w:bookmarkEnd w:id="44"/>
    </w:p>
    <w:p>
      <w:pPr>
        <w:pStyle w:val="2"/>
        <w:rPr>
          <w:rFonts w:ascii="仿宋" w:eastAsia="仿宋" w:hAnsi="仿宋"/>
        </w:rPr>
      </w:pPr>
      <w:bookmarkStart w:id="45" w:name="_Toc15396620"/>
      <w:r>
        <w:rPr>
          <w:rFonts w:ascii="仿宋" w:eastAsia="仿宋" w:hAnsi="仿宋" w:hint="eastAsia"/>
          <w:b w:val="0"/>
        </w:rPr>
        <w:t>二、收</w:t>
      </w:r>
      <w:r>
        <w:rPr>
          <w:rStyle w:val="2Char"/>
          <w:rFonts w:ascii="仿宋" w:eastAsia="仿宋" w:hAnsi="仿宋" w:hint="eastAsia"/>
          <w:b w:val="0"/>
          <w:bCs w:val="0"/>
        </w:rPr>
        <w:t>入决算表</w:t>
      </w:r>
      <w:bookmarkEnd w:id="45"/>
    </w:p>
    <w:p>
      <w:pPr>
        <w:pStyle w:val="2"/>
        <w:rPr>
          <w:rFonts w:ascii="仿宋" w:eastAsia="仿宋" w:hAnsi="仿宋"/>
        </w:rPr>
      </w:pPr>
      <w:bookmarkStart w:id="46" w:name="_Toc15396621"/>
      <w:r>
        <w:rPr>
          <w:rStyle w:val="2Char"/>
          <w:rFonts w:ascii="仿宋" w:eastAsia="仿宋" w:hAnsi="仿宋" w:hint="eastAsia"/>
          <w:b w:val="0"/>
          <w:bCs w:val="0"/>
        </w:rPr>
        <w:t>三、</w:t>
      </w:r>
      <w:r>
        <w:rPr>
          <w:rFonts w:ascii="仿宋" w:eastAsia="仿宋" w:hAnsi="仿宋" w:hint="eastAsia"/>
          <w:b w:val="0"/>
        </w:rPr>
        <w:t>支</w:t>
      </w:r>
      <w:r>
        <w:rPr>
          <w:rStyle w:val="2Char"/>
          <w:rFonts w:ascii="仿宋" w:eastAsia="仿宋" w:hAnsi="仿宋" w:hint="eastAsia"/>
          <w:b w:val="0"/>
          <w:bCs w:val="0"/>
        </w:rPr>
        <w:t>出决算表</w:t>
      </w:r>
      <w:bookmarkEnd w:id="46"/>
    </w:p>
    <w:p>
      <w:pPr>
        <w:pStyle w:val="2"/>
        <w:rPr>
          <w:rFonts w:ascii="仿宋" w:eastAsia="仿宋" w:hAnsi="仿宋"/>
          <w:b w:val="0"/>
        </w:rPr>
      </w:pPr>
      <w:bookmarkStart w:id="47" w:name="_Toc15396622"/>
      <w:r>
        <w:rPr>
          <w:rStyle w:val="2Char"/>
          <w:rFonts w:ascii="仿宋" w:eastAsia="仿宋" w:hAnsi="仿宋" w:hint="eastAsia"/>
          <w:b w:val="0"/>
          <w:bCs w:val="0"/>
        </w:rPr>
        <w:t>四、</w:t>
      </w:r>
      <w:r>
        <w:rPr>
          <w:rFonts w:ascii="仿宋" w:eastAsia="仿宋" w:hAnsi="仿宋" w:hint="eastAsia"/>
          <w:b w:val="0"/>
        </w:rPr>
        <w:t>财</w:t>
      </w:r>
      <w:r>
        <w:rPr>
          <w:rStyle w:val="2Char"/>
          <w:rFonts w:ascii="仿宋" w:eastAsia="仿宋" w:hAnsi="仿宋" w:hint="eastAsia"/>
          <w:b w:val="0"/>
          <w:bCs w:val="0"/>
        </w:rPr>
        <w:t>政拨款收入支出决算总表</w:t>
      </w:r>
      <w:bookmarkEnd w:id="47"/>
    </w:p>
    <w:p>
      <w:pPr>
        <w:pStyle w:val="2"/>
        <w:rPr>
          <w:rStyle w:val="2Char"/>
          <w:rFonts w:ascii="仿宋" w:eastAsia="仿宋" w:hAnsi="仿宋"/>
          <w:b w:val="0"/>
          <w:bCs w:val="0"/>
        </w:rPr>
      </w:pPr>
      <w:bookmarkStart w:id="48" w:name="_Toc15396623"/>
      <w:r>
        <w:rPr>
          <w:rStyle w:val="2Char"/>
          <w:rFonts w:ascii="仿宋" w:eastAsia="仿宋" w:hAnsi="仿宋" w:hint="eastAsia"/>
          <w:b w:val="0"/>
          <w:bCs w:val="0"/>
        </w:rPr>
        <w:t>五、</w:t>
      </w:r>
      <w:r>
        <w:rPr>
          <w:rFonts w:ascii="仿宋" w:eastAsia="仿宋" w:hAnsi="仿宋" w:hint="eastAsia"/>
          <w:b w:val="0"/>
        </w:rPr>
        <w:t>财</w:t>
      </w:r>
      <w:r>
        <w:rPr>
          <w:rStyle w:val="2Char"/>
          <w:rFonts w:ascii="仿宋" w:eastAsia="仿宋" w:hAnsi="仿宋" w:hint="eastAsia"/>
          <w:b w:val="0"/>
          <w:bCs w:val="0"/>
        </w:rPr>
        <w:t>政拨款支出决算明细表</w:t>
      </w:r>
      <w:bookmarkStart w:id="49" w:name="_Toc15396624"/>
      <w:bookmarkEnd w:id="48"/>
    </w:p>
    <w:p>
      <w:pPr>
        <w:pStyle w:val="2"/>
        <w:rPr>
          <w:rFonts w:ascii="仿宋" w:eastAsia="仿宋" w:hAnsi="仿宋"/>
        </w:rPr>
      </w:pPr>
      <w:r>
        <w:rPr>
          <w:rStyle w:val="2Char"/>
          <w:rFonts w:ascii="仿宋" w:eastAsia="仿宋" w:hAnsi="仿宋" w:hint="eastAsia"/>
          <w:b w:val="0"/>
          <w:bCs w:val="0"/>
        </w:rPr>
        <w:t>六、</w:t>
      </w:r>
      <w:r>
        <w:rPr>
          <w:rFonts w:ascii="仿宋" w:eastAsia="仿宋" w:hAnsi="仿宋" w:hint="eastAsia"/>
          <w:b w:val="0"/>
        </w:rPr>
        <w:t>一</w:t>
      </w:r>
      <w:r>
        <w:rPr>
          <w:rStyle w:val="2Char"/>
          <w:rFonts w:ascii="仿宋" w:eastAsia="仿宋" w:hAnsi="仿宋" w:hint="eastAsia"/>
          <w:b w:val="0"/>
          <w:bCs w:val="0"/>
        </w:rPr>
        <w:t>般公共预算财政拨款支出决算表</w:t>
      </w:r>
      <w:bookmarkEnd w:id="49"/>
    </w:p>
    <w:p>
      <w:pPr>
        <w:pStyle w:val="2"/>
        <w:rPr>
          <w:rFonts w:ascii="仿宋" w:eastAsia="仿宋" w:hAnsi="仿宋"/>
        </w:rPr>
      </w:pPr>
      <w:bookmarkStart w:id="50" w:name="_Toc15396625"/>
      <w:r>
        <w:rPr>
          <w:rStyle w:val="2Char"/>
          <w:rFonts w:ascii="仿宋" w:eastAsia="仿宋" w:hAnsi="仿宋" w:hint="eastAsia"/>
          <w:b w:val="0"/>
          <w:bCs w:val="0"/>
        </w:rPr>
        <w:t>七、</w:t>
      </w:r>
      <w:r>
        <w:rPr>
          <w:rFonts w:ascii="仿宋" w:eastAsia="仿宋" w:hAnsi="仿宋" w:hint="eastAsia"/>
          <w:b w:val="0"/>
        </w:rPr>
        <w:t>一</w:t>
      </w:r>
      <w:r>
        <w:rPr>
          <w:rStyle w:val="2Char"/>
          <w:rFonts w:ascii="仿宋" w:eastAsia="仿宋" w:hAnsi="仿宋" w:hint="eastAsia"/>
          <w:b w:val="0"/>
          <w:bCs w:val="0"/>
        </w:rPr>
        <w:t>般公共预算财政拨款支出决算明细表</w:t>
      </w:r>
      <w:bookmarkEnd w:id="50"/>
    </w:p>
    <w:p>
      <w:pPr>
        <w:pStyle w:val="2"/>
        <w:rPr>
          <w:rFonts w:ascii="仿宋" w:eastAsia="仿宋" w:hAnsi="仿宋"/>
        </w:rPr>
      </w:pPr>
      <w:bookmarkStart w:id="51" w:name="_Toc15396626"/>
      <w:r>
        <w:rPr>
          <w:rStyle w:val="2Char"/>
          <w:rFonts w:ascii="仿宋" w:eastAsia="仿宋" w:hAnsi="仿宋" w:hint="eastAsia"/>
          <w:b w:val="0"/>
          <w:bCs w:val="0"/>
        </w:rPr>
        <w:t>八、</w:t>
      </w:r>
      <w:r>
        <w:rPr>
          <w:rFonts w:ascii="仿宋" w:eastAsia="仿宋" w:hAnsi="仿宋" w:hint="eastAsia"/>
          <w:b w:val="0"/>
        </w:rPr>
        <w:t>一</w:t>
      </w:r>
      <w:r>
        <w:rPr>
          <w:rStyle w:val="2Char"/>
          <w:rFonts w:ascii="仿宋" w:eastAsia="仿宋" w:hAnsi="仿宋" w:hint="eastAsia"/>
          <w:b w:val="0"/>
          <w:bCs w:val="0"/>
        </w:rPr>
        <w:t>般公共预算财政拨款基本支出决算表</w:t>
      </w:r>
      <w:bookmarkEnd w:id="51"/>
    </w:p>
    <w:p>
      <w:pPr>
        <w:pStyle w:val="2"/>
        <w:rPr>
          <w:rFonts w:ascii="仿宋" w:eastAsia="仿宋" w:hAnsi="仿宋"/>
        </w:rPr>
      </w:pPr>
      <w:bookmarkStart w:id="52" w:name="_Toc15396627"/>
      <w:r>
        <w:rPr>
          <w:rStyle w:val="2Char"/>
          <w:rFonts w:ascii="仿宋" w:eastAsia="仿宋" w:hAnsi="仿宋" w:hint="eastAsia"/>
          <w:b w:val="0"/>
          <w:bCs w:val="0"/>
        </w:rPr>
        <w:t>九、</w:t>
      </w:r>
      <w:r>
        <w:rPr>
          <w:rFonts w:ascii="仿宋" w:eastAsia="仿宋" w:hAnsi="仿宋" w:hint="eastAsia"/>
          <w:b w:val="0"/>
        </w:rPr>
        <w:t>一</w:t>
      </w:r>
      <w:r>
        <w:rPr>
          <w:rStyle w:val="2Char"/>
          <w:rFonts w:ascii="仿宋" w:eastAsia="仿宋" w:hAnsi="仿宋" w:hint="eastAsia"/>
          <w:b w:val="0"/>
          <w:bCs w:val="0"/>
        </w:rPr>
        <w:t>般公共预算财政拨款项目支出决算表</w:t>
      </w:r>
      <w:bookmarkEnd w:id="52"/>
    </w:p>
    <w:p>
      <w:pPr>
        <w:pStyle w:val="2"/>
        <w:rPr>
          <w:rFonts w:ascii="仿宋" w:eastAsia="仿宋" w:hAnsi="仿宋"/>
        </w:rPr>
      </w:pPr>
      <w:bookmarkStart w:id="53" w:name="_Toc15396628"/>
      <w:r>
        <w:rPr>
          <w:rStyle w:val="2Char"/>
          <w:rFonts w:ascii="仿宋" w:eastAsia="仿宋" w:hAnsi="仿宋" w:hint="eastAsia"/>
          <w:b w:val="0"/>
          <w:bCs w:val="0"/>
        </w:rPr>
        <w:t>十、</w:t>
      </w:r>
      <w:bookmarkEnd w:id="53"/>
      <w:r>
        <w:rPr>
          <w:rFonts w:ascii="仿宋" w:eastAsia="仿宋" w:hAnsi="仿宋" w:hint="eastAsia"/>
          <w:b w:val="0"/>
        </w:rPr>
        <w:t>政</w:t>
      </w:r>
      <w:r>
        <w:rPr>
          <w:rStyle w:val="2Char"/>
          <w:rFonts w:ascii="仿宋" w:eastAsia="仿宋" w:hAnsi="仿宋" w:hint="eastAsia"/>
          <w:b w:val="0"/>
          <w:bCs w:val="0"/>
        </w:rPr>
        <w:t>府性基金预算财政拨款收入支出决算表</w:t>
      </w:r>
    </w:p>
    <w:p>
      <w:pPr>
        <w:pStyle w:val="2"/>
        <w:rPr>
          <w:rFonts w:ascii="仿宋" w:eastAsia="仿宋" w:hAnsi="仿宋"/>
        </w:rPr>
      </w:pPr>
      <w:bookmarkStart w:id="54" w:name="_Toc15396629"/>
      <w:r>
        <w:rPr>
          <w:rStyle w:val="2Char"/>
          <w:rFonts w:ascii="仿宋" w:eastAsia="仿宋" w:hAnsi="仿宋" w:hint="eastAsia"/>
          <w:b w:val="0"/>
          <w:bCs w:val="0"/>
        </w:rPr>
        <w:t>十一、</w:t>
      </w:r>
      <w:bookmarkEnd w:id="54"/>
      <w:r>
        <w:rPr>
          <w:rFonts w:ascii="仿宋" w:eastAsia="仿宋" w:hAnsi="仿宋" w:hint="eastAsia"/>
          <w:b w:val="0"/>
        </w:rPr>
        <w:t>国</w:t>
      </w:r>
      <w:r>
        <w:rPr>
          <w:rStyle w:val="2Char"/>
          <w:rFonts w:ascii="仿宋" w:eastAsia="仿宋" w:hAnsi="仿宋" w:hint="eastAsia"/>
          <w:b w:val="0"/>
          <w:bCs w:val="0"/>
        </w:rPr>
        <w:t>有资本经营预算财政拨款收入支出决算表</w:t>
      </w:r>
    </w:p>
    <w:p>
      <w:pPr>
        <w:pStyle w:val="2"/>
        <w:rPr>
          <w:rFonts w:ascii="仿宋" w:eastAsia="仿宋" w:hAnsi="仿宋"/>
        </w:rPr>
      </w:pPr>
      <w:bookmarkStart w:id="55" w:name="_Toc15396630"/>
      <w:r>
        <w:rPr>
          <w:rStyle w:val="2Char"/>
          <w:rFonts w:ascii="仿宋" w:eastAsia="仿宋" w:hAnsi="仿宋" w:hint="eastAsia"/>
          <w:b w:val="0"/>
          <w:bCs w:val="0"/>
        </w:rPr>
        <w:t>十二、</w:t>
      </w:r>
      <w:bookmarkEnd w:id="55"/>
      <w:r>
        <w:rPr>
          <w:rStyle w:val="2Char"/>
          <w:rFonts w:ascii="仿宋" w:eastAsia="仿宋" w:hAnsi="仿宋" w:hint="eastAsia"/>
          <w:b w:val="0"/>
          <w:bCs w:val="0"/>
        </w:rPr>
        <w:t>国有资本经营预算财政拨款支出决算表</w:t>
      </w:r>
    </w:p>
    <w:p>
      <w:pPr>
        <w:pStyle w:val="2"/>
        <w:rPr>
          <w:rFonts w:eastAsia="仿宋"/>
        </w:rPr>
      </w:pPr>
      <w:bookmarkStart w:id="56" w:name="_Toc15396631"/>
      <w:r>
        <w:rPr>
          <w:rStyle w:val="2Char"/>
          <w:rFonts w:ascii="仿宋" w:eastAsia="仿宋" w:hAnsi="仿宋" w:hint="eastAsia"/>
          <w:b w:val="0"/>
          <w:bCs w:val="0"/>
        </w:rPr>
        <w:t>十三、</w:t>
      </w:r>
      <w:bookmarkEnd w:id="56"/>
      <w:r>
        <w:rPr>
          <w:rStyle w:val="2Char"/>
          <w:rFonts w:ascii="仿宋" w:eastAsia="仿宋" w:hAnsi="仿宋" w:hint="eastAsia"/>
          <w:b w:val="0"/>
          <w:bCs w:val="0"/>
        </w:rPr>
        <w:t>财政拨款“三公”经费支出决算表</w:t>
      </w:r>
    </w:p>
    <w:sectPr>
      <w:footerReference w:type="default" r:id="rId3"/>
      <w:footerReference w:type="first" r:id="rId4"/>
      <w:pgSz w:w="11906" w:h="16838"/>
      <w:pgMar w:top="1440" w:right="1800" w:bottom="1440" w:left="1800" w:header="851" w:footer="992" w:gutter="0"/>
      <w:pgNumType w:start="1"/>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仿宋">
    <w:altName w:val="方正仿宋_GBK"/>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方正仿宋简体">
    <w:panose1 w:val="02010601030101010101"/>
    <w:charset w:val="86"/>
    <w:family w:val="auto"/>
    <w:pitch w:val="variable"/>
    <w:sig w:usb0="00000001" w:usb1="080E0000" w:usb2="0000000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 w:name="Calibri">
    <w:altName w:val="Times New Roman"/>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rPr>
        <w:sz w:val="28"/>
        <w:szCs w:val="28"/>
      </w:rPr>
    </w:pPr>
    <w:r>
      <w:rPr>
        <w:rFonts w:hint="eastAsia"/>
        <w:sz w:val="28"/>
        <w:szCs w:val="28"/>
      </w:rPr>
      <w:t>-</w:t>
    </w:r>
    <w:sdt>
      <w:sdtPr>
        <w:rPr>
          <w:sz w:val="28"/>
          <w:szCs w:val="28"/>
        </w:rPr>
        <w:id w:val="1820821516"/>
        <w:docPartList>
          <w:docPartGallery w:val="autotext"/>
        </w:docPartList>
      </w:sdt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w:t>
        </w:r>
      </w:sdtContent>
    </w:sdt>
  </w:p>
  <w:p>
    <w:pPr>
      <w:pStyle w:val="20"/>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818A09A"/>
    <w:multiLevelType w:val="singleLevel"/>
    <w:tmpl w:val="3818A09A"/>
    <w:lvl w:ilvl="0">
      <w:start w:val="1"/>
      <w:numFmt w:val="chineseCounting"/>
      <w:lvlRestart w:val="0"/>
      <w:suff w:val="nothing"/>
      <w:lvlText w:val="%1、"/>
      <w:lvlJc w:val="left"/>
      <w:pPr/>
      <w:rPr>
        <w:rFonts w:hint="eastAsia"/>
      </w:r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3C488CDC"/>
    <w:multiLevelType w:val="singleLevel"/>
    <w:tmpl w:val="3C488CDC"/>
    <w:lvl w:ilvl="0">
      <w:start w:val="1"/>
      <w:numFmt w:val="decimal"/>
      <w:lvlRestart w:val="0"/>
      <w:lvlText w:val="%1."/>
      <w:lvlJc w:val="left"/>
      <w:pPr>
        <w:tabs>
          <w:tab w:val="num" w:pos="312"/>
        </w:tabs>
      </w:pPr>
    </w:lvl>
  </w:abstractNum>
  <w:abstractNum w:abstractNumId="3">
    <w:nsid w:val="CF652CEC"/>
    <w:multiLevelType w:val="singleLevel"/>
    <w:tmpl w:val="CF652CEC"/>
    <w:lvl w:ilvl="0">
      <w:start w:val="9"/>
      <w:numFmt w:val="chineseCounting"/>
      <w:lvlRestart w:val="0"/>
      <w:suff w:val="nothing"/>
      <w:lvlText w:val="%1、"/>
      <w:lvlJc w:val="left"/>
      <w:pPr/>
      <w:rPr>
        <w:rFonts w:hint="eastAsia"/>
      </w:rPr>
    </w:lvl>
  </w:abstractNum>
  <w:abstractNum w:abstractNumId="4">
    <w:nsid w:val="E2FA047D"/>
    <w:multiLevelType w:val="singleLevel"/>
    <w:tmpl w:val="E2FA047D"/>
    <w:lvl w:ilvl="0">
      <w:start w:val="3"/>
      <w:numFmt w:val="chineseCounting"/>
      <w:lvlRestart w:val="0"/>
      <w:suff w:val="space"/>
      <w:lvlText w:val="第%1部分"/>
      <w:lvlJc w:val="left"/>
      <w:pPr/>
      <w:rPr>
        <w:rFonts w:ascii="黑体" w:hAnsi="黑体" w:eastAsia="黑体" w:cs="黑体" w:hint="eastAsia"/>
        <w:sz w:val="44"/>
        <w:szCs w:val="44"/>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9"/>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ZmIzNWY0ZjZmOTdjMmIyYTJkN2YyZGNlNmI0M2Q0N2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Body Text"/>
    <w:qFormat/>
    <w:basedOn w:val="0"/>
    <w:pPr>
      <w:spacing w:beforeLines="30" w:before="30"/>
    </w:pPr>
    <w:rPr>
      <w:rFonts w:ascii="仿宋_GB2312" w:eastAsia="仿宋_GB2312"/>
      <w:kern w:val="0"/>
      <w:sz w:val="30"/>
    </w:rPr>
  </w:style>
  <w:style w:type="paragraph" w:styleId="16">
    <w:name w:val="Body Text Indent"/>
    <w:qFormat/>
    <w:basedOn w:val="0"/>
    <w:next w:val="17"/>
    <w:pPr>
      <w:spacing w:after="120"/>
      <w:ind w:leftChars="200" w:left="200"/>
    </w:pPr>
    <w:rPr>
      <w:rFonts w:ascii="仿宋_GB2312" w:hAnsi="仿宋_GB2312"/>
      <w:szCs w:val="32"/>
    </w:rPr>
  </w:style>
  <w:style w:type="paragraph" w:styleId="17">
    <w:name w:val="Body Text First Indent 2"/>
    <w:qFormat/>
    <w:basedOn w:val="16"/>
    <w:pPr>
      <w:ind w:firstLineChars="200" w:firstLine="200"/>
    </w:pPr>
  </w:style>
  <w:style w:type="paragraph" w:styleId="18">
    <w:name w:val="toc 3"/>
    <w:qFormat/>
    <w:basedOn w:val="0"/>
    <w:next w:val="0"/>
    <w:pPr>
      <w:tabs>
        <w:tab w:val="right" w:leader="dot" w:pos="8296"/>
      </w:tabs>
      <w:ind w:leftChars="400" w:left="400"/>
    </w:pPr>
  </w:style>
  <w:style w:type="paragraph" w:styleId="19">
    <w:name w:val="Balloon Text"/>
    <w:qFormat/>
    <w:basedOn w:val="0"/>
    <w:rPr>
      <w:sz w:val="18"/>
      <w:szCs w:val="18"/>
    </w:rPr>
  </w:style>
  <w:style w:type="paragraph" w:styleId="20">
    <w:name w:val="footer"/>
    <w:qFormat/>
    <w:basedOn w:val="0"/>
    <w:pPr>
      <w:tabs>
        <w:tab w:val="center" w:pos="4153"/>
        <w:tab w:val="right" w:pos="8306"/>
      </w:tabs>
      <w:snapToGrid w:val="0"/>
      <w:jc w:val="left"/>
    </w:pPr>
    <w:rPr>
      <w:rFonts w:ascii="Calibri" w:hAnsi="Calibri"/>
      <w:kern w:val="0"/>
      <w:sz w:val="18"/>
      <w:szCs w:val="18"/>
    </w:rPr>
  </w:style>
  <w:style w:type="paragraph" w:styleId="21">
    <w:name w:val="header"/>
    <w:qFormat/>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qFormat/>
    <w:basedOn w:val="0"/>
    <w:next w:val="0"/>
    <w:pPr>
      <w:tabs>
        <w:tab w:val="right" w:leader="dot" w:pos="8296"/>
      </w:tabs>
      <w:spacing w:before="93"/>
      <w:jc w:val="center"/>
    </w:pPr>
    <w:rPr>
      <w:rFonts w:ascii="仿宋" w:eastAsia="仿宋" w:hAnsi="仿宋"/>
      <w:sz w:val="28"/>
      <w:szCs w:val="28"/>
    </w:rPr>
  </w:style>
  <w:style w:type="paragraph" w:styleId="23">
    <w:name w:val="footnote text"/>
    <w:qFormat/>
    <w:basedOn w:val="0"/>
    <w:next w:val="17"/>
    <w:pPr>
      <w:snapToGrid w:val="0"/>
      <w:jc w:val="left"/>
    </w:pPr>
    <w:rPr>
      <w:sz w:val="18"/>
      <w:szCs w:val="18"/>
    </w:rPr>
  </w:style>
  <w:style w:type="paragraph" w:styleId="24">
    <w:name w:val="toc 2"/>
    <w:qFormat/>
    <w:basedOn w:val="0"/>
    <w:next w:val="0"/>
    <w:pPr>
      <w:tabs>
        <w:tab w:val="right" w:leader="dot" w:pos="8296"/>
      </w:tabs>
      <w:ind w:leftChars="200" w:left="200"/>
    </w:pPr>
  </w:style>
  <w:style w:type="character" w:styleId="25">
    <w:name w:val="Strong"/>
    <w:qFormat/>
    <w:basedOn w:val="10"/>
    <w:rPr>
      <w:b/>
    </w:rPr>
  </w:style>
  <w:style w:type="character" w:styleId="26">
    <w:name w:val="Hyperlink"/>
    <w:qFormat/>
    <w:basedOn w:val="10"/>
    <w:rPr>
      <w:color w:val="0000FF"/>
      <w:u w:val="single"/>
    </w:rPr>
  </w:style>
  <w:style w:type="paragraph" w:customStyle="1" w:styleId="27">
    <w:name w:val="标题 5（有编号）（绿盟科技）"/>
    <w:qFormat/>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character" w:customStyle="1" w:styleId="28">
    <w:name w:val="Header Char"/>
    <w:qFormat/>
    <w:basedOn w:val="10"/>
    <w:rPr>
      <w:rFonts w:ascii="Times New Roman" w:hAnsi="Times New Roman"/>
      <w:sz w:val="18"/>
      <w:szCs w:val="18"/>
    </w:rPr>
  </w:style>
  <w:style w:type="character" w:customStyle="1" w:styleId="29">
    <w:name w:val="Footer Char"/>
    <w:qFormat/>
    <w:basedOn w:val="10"/>
    <w:rPr>
      <w:rFonts w:ascii="Times New Roman" w:hAnsi="Times New Roman"/>
      <w:sz w:val="18"/>
      <w:szCs w:val="18"/>
    </w:rPr>
  </w:style>
  <w:style w:type="character" w:customStyle="1" w:styleId="30">
    <w:name w:val="Body Text Char"/>
    <w:qFormat/>
    <w:basedOn w:val="10"/>
    <w:rPr>
      <w:rFonts w:ascii="Times New Roman" w:hAnsi="Times New Roman"/>
      <w:szCs w:val="24"/>
    </w:rPr>
  </w:style>
  <w:style w:type="paragraph" w:customStyle="1" w:styleId="31">
    <w:name w:val="Default"/>
    <w:qForma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2">
    <w:name w:val="List Paragraph"/>
    <w:qFormat/>
    <w:basedOn w:val="0"/>
    <w:pPr>
      <w:ind w:firstLineChars="200" w:firstLine="200"/>
    </w:pPr>
  </w:style>
  <w:style w:type="paragraph" w:customStyle="1" w:styleId="33">
    <w:name w:val="TOC 标题1"/>
    <w:qFormat/>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4">
    <w:name w:val="TOC 标题2"/>
    <w:qFormat/>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chart" Target="charts/chart1.xml"/><Relationship Id="rId6" Type="http://schemas.openxmlformats.org/officeDocument/2006/relationships/image" Target="media/2.emf"/><Relationship Id="rId7" Type="http://schemas.openxmlformats.org/officeDocument/2006/relationships/oleObject" Target="embeddings/oleObject1.bin"/><Relationship Id="rId8" Type="http://schemas.openxmlformats.org/officeDocument/2006/relationships/image" Target="media/4.emf"/><Relationship Id="rId9" Type="http://schemas.openxmlformats.org/officeDocument/2006/relationships/oleObject" Target="embeddings/oleObject2.bin"/><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chart" Target="charts/chart5.xml"/><Relationship Id="rId14"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customXml" Target="../customXml/item1.xml"/><Relationship Id="rId1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1" i="0" u="none" strike="noStrike" baseline="0">
                <a:solidFill>
                  <a:srgbClr val="404040"/>
                </a:solidFill>
                <a:latin typeface="Calibri"/>
                <a:ea typeface="宋体"/>
                <a:cs typeface="Lucida Sans"/>
              </a:defRPr>
            </a:pPr>
            <a:r>
              <a:rPr lang="zh-CN"/>
              <a:t>收、支决算总计变动情况图</a:t>
            </a:r>
          </a:p>
        </c:rich>
      </c:tx>
      <c:layout/>
      <c:overlay val="0"/>
      <c:spPr>
        <a:noFill/>
        <a:ln>
          <a:noFill/>
        </a:ln>
      </c:spPr>
    </c:title>
    <c:autoTitleDeleted val="1"/>
    <c:plotArea>
      <c:layout/>
      <c:barChart>
        <c:barDir val="col"/>
        <c:grouping val="clustered"/>
        <c:varyColors val="0"/>
        <c:ser>
          <c:idx val="0"/>
          <c:order val="0"/>
          <c:tx>
            <c:strRef>
              <c:f>Sheet1!$B$1</c:f>
              <c:strCache>
                <c:ptCount val="1"/>
                <c:pt idx="0">
                  <c:v>2022</c:v>
                </c:pt>
              </c:strCache>
            </c:strRef>
          </c:tx>
          <c:spPr>
            <a:solidFill>
              <a:srgbClr val="4F81BD"/>
            </a:solidFill>
            <a:ln>
              <a:noFill/>
            </a:ln>
          </c:spPr>
          <c:invertIfNegative val="0"/>
          <c:dLbls>
            <c:spPr>
              <a:noFill/>
              <a:ln>
                <a:noFill/>
              </a:ln>
            </c:spPr>
            <c:txPr>
              <a:bodyPr vert="horz" anchor="ctr"/>
              <a:lstStyle/>
              <a:p>
                <a:pPr algn="ctr">
                  <a:defRPr sz="1000" b="0" i="0" u="none" strike="noStrike" baseline="0">
                    <a:solidFill>
                      <a:srgbClr val="404040"/>
                    </a:solidFill>
                    <a:latin typeface="Calibri"/>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Sheet1!$A$2:$A$5</c:f>
              <c:strCache>
                <c:ptCount val="4"/>
                <c:pt idx="0">
                  <c:v>收入</c:v>
                </c:pt>
                <c:pt idx="1">
                  <c:v>支出</c:v>
                </c:pt>
              </c:strCache>
            </c:strRef>
          </c:cat>
          <c:val>
            <c:numRef>
              <c:f>Sheet1!$B$2:$B$5</c:f>
              <c:numCache>
                <c:formatCode>General</c:formatCode>
                <c:ptCount val="2"/>
                <c:pt idx="0">
                  <c:v>3167.87</c:v>
                </c:pt>
                <c:pt idx="1">
                  <c:v>3167.87</c:v>
                </c:pt>
              </c:numCache>
            </c:numRef>
          </c:val>
        </c:ser>
        <c:ser>
          <c:idx val="1"/>
          <c:order val="1"/>
          <c:tx>
            <c:strRef>
              <c:f>Sheet1!$C$1</c:f>
              <c:strCache>
                <c:ptCount val="1"/>
                <c:pt idx="0">
                  <c:v>2023</c:v>
                </c:pt>
              </c:strCache>
            </c:strRef>
          </c:tx>
          <c:spPr>
            <a:solidFill>
              <a:srgbClr val="C0504D"/>
            </a:solidFill>
            <a:ln>
              <a:noFill/>
            </a:ln>
          </c:spPr>
          <c:invertIfNegative val="0"/>
          <c:dLbls>
            <c:spPr>
              <a:noFill/>
              <a:ln>
                <a:noFill/>
              </a:ln>
            </c:spPr>
            <c:txPr>
              <a:bodyPr vert="horz" anchor="ctr"/>
              <a:lstStyle/>
              <a:p>
                <a:pPr algn="ctr">
                  <a:defRPr sz="1000" b="0" i="0" u="none" strike="noStrike" baseline="0">
                    <a:solidFill>
                      <a:srgbClr val="404040"/>
                    </a:solidFill>
                    <a:latin typeface="Calibri"/>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Sheet1!$A$2:$A$5</c:f>
              <c:strCache>
                <c:ptCount val="4"/>
                <c:pt idx="0">
                  <c:v>收入</c:v>
                </c:pt>
                <c:pt idx="1">
                  <c:v>支出</c:v>
                </c:pt>
              </c:strCache>
            </c:strRef>
          </c:cat>
          <c:val>
            <c:numRef>
              <c:f>Sheet1!$C$2:$C$5</c:f>
              <c:numCache>
                <c:formatCode>General</c:formatCode>
                <c:ptCount val="2"/>
                <c:pt idx="0">
                  <c:v>2735.81</c:v>
                </c:pt>
                <c:pt idx="1">
                  <c:v>2735.81</c:v>
                </c:pt>
              </c:numCache>
            </c:numRef>
          </c:val>
        </c:ser>
        <c:ser>
          <c:idx val="2"/>
          <c:order val="2"/>
          <c:tx>
            <c:strRef>
              <c:f>Sheet1!$D$1</c:f>
              <c:strCache>
                <c:ptCount val="1"/>
                <c:pt idx="0">
                  <c:v>系列 3</c:v>
                </c:pt>
              </c:strCache>
            </c:strRef>
          </c:tx>
          <c:spPr>
            <a:solidFill>
              <a:srgbClr val="9BBB59"/>
            </a:solidFill>
            <a:ln>
              <a:noFill/>
            </a:ln>
          </c:spPr>
          <c:invertIfNegative val="0"/>
          <c:dLbls>
            <c:showLegendKey val="0"/>
            <c:showVal val="0"/>
            <c:showCatName val="0"/>
            <c:showSerName val="0"/>
            <c:showPercent val="0"/>
            <c:showBubbleSize val="0"/>
            <c:showLeaderLines val="0"/>
          </c:dLbls>
          <c:cat>
            <c:strRef>
              <c:f>Sheet1!$A$2:$A$5</c:f>
              <c:strCache>
                <c:ptCount val="4"/>
                <c:pt idx="0">
                  <c:v>收入</c:v>
                </c:pt>
                <c:pt idx="1">
                  <c:v>支出</c:v>
                </c:pt>
              </c:strCache>
            </c:strRef>
          </c:cat>
          <c:val>
            <c:numRef>
              <c:f>Sheet1!$D$2:$D$5</c:f>
              <c:numCache>
                <c:formatCode>General</c:formatCode>
                <c:ptCount val="2"/>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1" i="0" u="none" strike="noStrike" baseline="0">
                <a:solidFill>
                  <a:srgbClr val="404040"/>
                </a:solidFill>
                <a:latin typeface="Calibri"/>
                <a:ea typeface="宋体"/>
                <a:cs typeface="Lucida Sans"/>
              </a:defRPr>
            </a:pPr>
            <a:r>
              <a:rPr lang="zh-CN"/>
              <a:t>财政拨款收支决算总计变动情况图</a:t>
            </a:r>
          </a:p>
        </c:rich>
      </c:tx>
      <c:layout/>
      <c:overlay val="0"/>
      <c:spPr>
        <a:noFill/>
        <a:ln>
          <a:noFill/>
        </a:ln>
      </c:spPr>
    </c:title>
    <c:autoTitleDeleted val="1"/>
    <c:plotArea>
      <c:layout>
        <c:manualLayout>
          <c:layoutTarget val="inner"/>
          <c:xMode val="edge"/>
          <c:yMode val="edge"/>
          <c:x val="0.098169185"/>
          <c:y val="0.26884478"/>
          <c:w val="0.84797543"/>
          <c:h val="0.6099242"/>
        </c:manualLayout>
      </c:layout>
      <c:barChart>
        <c:barDir val="col"/>
        <c:grouping val="clustered"/>
        <c:varyColors val="0"/>
        <c:ser>
          <c:idx val="0"/>
          <c:order val="0"/>
          <c:tx>
            <c:strRef>
              <c:f>Sheet1!$B$1</c:f>
              <c:strCache>
                <c:ptCount val="1"/>
                <c:pt idx="0">
                  <c:v>2022</c:v>
                </c:pt>
              </c:strCache>
            </c:strRef>
          </c:tx>
          <c:spPr>
            <a:solidFill>
              <a:srgbClr val="4F81BD"/>
            </a:solidFill>
            <a:ln>
              <a:noFill/>
            </a:ln>
          </c:spPr>
          <c:invertIfNegative val="0"/>
          <c:dLbls>
            <c:spPr>
              <a:noFill/>
              <a:ln>
                <a:noFill/>
              </a:ln>
            </c:spPr>
            <c:txPr>
              <a:bodyPr vert="horz" anchor="ctr"/>
              <a:lstStyle/>
              <a:p>
                <a:pPr algn="ctr">
                  <a:defRPr sz="1000" b="0" i="0" u="none" strike="noStrike" baseline="0">
                    <a:solidFill>
                      <a:srgbClr val="404040"/>
                    </a:solidFill>
                    <a:latin typeface="Calibri"/>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总收入</c:v>
                </c:pt>
                <c:pt idx="1">
                  <c:v>总支出</c:v>
                </c:pt>
              </c:strCache>
            </c:strRef>
          </c:cat>
          <c:val>
            <c:numRef>
              <c:f>Sheet1!$B$2:$B$3</c:f>
              <c:numCache>
                <c:formatCode>General</c:formatCode>
                <c:ptCount val="2"/>
                <c:pt idx="0">
                  <c:v>3167.87</c:v>
                </c:pt>
                <c:pt idx="1">
                  <c:v>3167.87</c:v>
                </c:pt>
              </c:numCache>
            </c:numRef>
          </c:val>
        </c:ser>
        <c:ser>
          <c:idx val="1"/>
          <c:order val="1"/>
          <c:tx>
            <c:strRef>
              <c:f>Sheet1!$C$1</c:f>
              <c:strCache>
                <c:ptCount val="1"/>
                <c:pt idx="0">
                  <c:v>2023</c:v>
                </c:pt>
              </c:strCache>
            </c:strRef>
          </c:tx>
          <c:spPr>
            <a:solidFill>
              <a:srgbClr val="C0504D"/>
            </a:solidFill>
            <a:ln>
              <a:noFill/>
            </a:ln>
          </c:spPr>
          <c:invertIfNegative val="0"/>
          <c:dLbls>
            <c:spPr>
              <a:noFill/>
              <a:ln>
                <a:noFill/>
              </a:ln>
            </c:spPr>
            <c:txPr>
              <a:bodyPr vert="horz" anchor="ctr"/>
              <a:lstStyle/>
              <a:p>
                <a:pPr algn="ctr">
                  <a:defRPr sz="1000" b="0" i="0" u="none" strike="noStrike" baseline="0">
                    <a:solidFill>
                      <a:srgbClr val="404040"/>
                    </a:solidFill>
                    <a:latin typeface="Calibri"/>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总收入</c:v>
                </c:pt>
                <c:pt idx="1">
                  <c:v>总支出</c:v>
                </c:pt>
              </c:strCache>
            </c:strRef>
          </c:cat>
          <c:val>
            <c:numRef>
              <c:f>Sheet1!$C$2:$C$3</c:f>
              <c:numCache>
                <c:formatCode>General</c:formatCode>
                <c:ptCount val="2"/>
                <c:pt idx="0">
                  <c:v>2735.81</c:v>
                </c:pt>
                <c:pt idx="1">
                  <c:v>2735.81</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1" i="0" u="none" strike="noStrike" baseline="0">
                <a:solidFill>
                  <a:srgbClr val="404040"/>
                </a:solidFill>
                <a:latin typeface="Calibri"/>
                <a:ea typeface="宋体"/>
                <a:cs typeface="Lucida Sans"/>
              </a:defRPr>
            </a:pPr>
            <a:r>
              <a:rPr lang="zh-CN"/>
              <a:t>一般公共预算财政拨款支出</a:t>
            </a:r>
          </a:p>
        </c:rich>
      </c:tx>
      <c:layout/>
      <c:overlay val="0"/>
      <c:spPr>
        <a:noFill/>
        <a:ln>
          <a:noFill/>
        </a:ln>
      </c:spPr>
    </c:title>
    <c:autoTitleDeleted val="1"/>
    <c:plotArea>
      <c:layout/>
      <c:barChart>
        <c:barDir val="col"/>
        <c:grouping val="clustered"/>
        <c:varyColors val="0"/>
        <c:ser>
          <c:idx val="0"/>
          <c:order val="0"/>
          <c:tx>
            <c:strRef>
              <c:f>Sheet1!$B$1</c:f>
              <c:strCache>
                <c:ptCount val="1"/>
                <c:pt idx="0">
                  <c:v>总支出</c:v>
                </c:pt>
              </c:strCache>
            </c:strRef>
          </c:tx>
          <c:spPr>
            <a:solidFill>
              <a:srgbClr val="4F81BD"/>
            </a:solidFill>
            <a:ln>
              <a:noFill/>
            </a:ln>
          </c:spPr>
          <c:invertIfNegative val="0"/>
          <c:dLbls>
            <c:spPr>
              <a:noFill/>
              <a:ln>
                <a:noFill/>
              </a:ln>
            </c:spPr>
            <c:txPr>
              <a:bodyPr vert="horz" anchor="ctr"/>
              <a:lstStyle/>
              <a:p>
                <a:pPr algn="ctr">
                  <a:defRPr sz="1000" b="0" i="0" u="none" strike="noStrike" baseline="0">
                    <a:solidFill>
                      <a:srgbClr val="404040"/>
                    </a:solidFill>
                    <a:latin typeface="Calibri"/>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numRef>
              <c:f>Sheet1!$A$2:$A$3</c:f>
              <c:numCache>
                <c:formatCode>General</c:formatCode>
                <c:ptCount val="2"/>
                <c:pt idx="0">
                  <c:v>2022</c:v>
                </c:pt>
                <c:pt idx="1">
                  <c:v>2023</c:v>
                </c:pt>
              </c:numCache>
            </c:numRef>
          </c:cat>
          <c:val>
            <c:numRef>
              <c:f>Sheet1!$B$2:$B$3</c:f>
              <c:numCache>
                <c:formatCode>General</c:formatCode>
                <c:ptCount val="2"/>
                <c:pt idx="0">
                  <c:v>3167.87</c:v>
                </c:pt>
                <c:pt idx="1">
                  <c:v>2735.81</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1" i="0" u="none" strike="noStrike" baseline="0">
                <a:solidFill>
                  <a:srgbClr val="404040"/>
                </a:solidFill>
                <a:latin typeface="Calibri"/>
                <a:ea typeface="宋体"/>
                <a:cs typeface="Lucida Sans"/>
              </a:defRPr>
            </a:pPr>
            <a:r>
              <a:rPr lang="zh-CN"/>
              <a:t>一般公共预算财政拨款支出结构图</a:t>
            </a:r>
          </a:p>
        </c:rich>
      </c:tx>
      <c:layout/>
      <c:overlay val="0"/>
      <c:spPr>
        <a:noFill/>
        <a:ln>
          <a:noFill/>
        </a:ln>
      </c:spPr>
    </c:title>
    <c:autoTitleDeleted val="1"/>
    <c:plotArea>
      <c:layout/>
      <c:pieChart>
        <c:varyColors val="1"/>
        <c:ser>
          <c:idx val="0"/>
          <c:order val="0"/>
          <c:tx>
            <c:strRef>
              <c:f>Sheet1!$B$1</c:f>
              <c:strCache>
                <c:ptCount val="1"/>
                <c:pt idx="0">
                  <c:v>一般公共预算财政拨款支出</c:v>
                </c:pt>
              </c:strCache>
            </c:strRef>
          </c:tx>
          <c:spPr>
            <a:solidFill>
              <a:srgbClr val="4F81BD"/>
            </a:solidFill>
          </c:spPr>
          <c:dPt>
            <c:idx val="0"/>
            <c:bubble3D val="0"/>
            <c:spPr>
              <a:solidFill>
                <a:srgbClr val="4F81BD"/>
              </a:solidFill>
              <a:ln w="3175">
                <a:solidFill>
                  <a:srgbClr val="FFFFFF"/>
                </a:solidFill>
                <a:prstDash val="solid"/>
              </a:ln>
            </c:spPr>
          </c:dPt>
          <c:dPt>
            <c:idx val="1"/>
            <c:bubble3D val="0"/>
            <c:spPr>
              <a:solidFill>
                <a:srgbClr val="C0504D"/>
              </a:solidFill>
              <a:ln w="3175">
                <a:solidFill>
                  <a:srgbClr val="FFFFFF"/>
                </a:solidFill>
                <a:prstDash val="solid"/>
              </a:ln>
            </c:spPr>
          </c:dPt>
          <c:dPt>
            <c:idx val="2"/>
            <c:bubble3D val="0"/>
            <c:spPr>
              <a:solidFill>
                <a:srgbClr val="9BBB59"/>
              </a:solidFill>
              <a:ln w="3175">
                <a:solidFill>
                  <a:srgbClr val="FFFFFF"/>
                </a:solidFill>
                <a:prstDash val="solid"/>
              </a:ln>
            </c:spPr>
          </c:dPt>
          <c:dLbls>
            <c:spPr>
              <a:noFill/>
              <a:ln>
                <a:noFill/>
              </a:ln>
            </c:spPr>
            <c:txPr>
              <a:bodyPr vert="horz" anchor="ctr"/>
              <a:lstStyle/>
              <a:p>
                <a:pPr algn="ctr">
                  <a:defRPr sz="1000" b="0" i="0" u="none" strike="noStrike" baseline="0">
                    <a:solidFill>
                      <a:srgbClr val="404040"/>
                    </a:solidFill>
                    <a:latin typeface="Calibri"/>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Sheet1!$A$2:$A$4</c:f>
              <c:strCache>
                <c:ptCount val="3"/>
                <c:pt idx="0">
                  <c:v>社会保障和就业支出</c:v>
                </c:pt>
                <c:pt idx="1">
                  <c:v>卫生健康支出</c:v>
                </c:pt>
                <c:pt idx="2">
                  <c:v>住房保障支出</c:v>
                </c:pt>
              </c:strCache>
            </c:strRef>
          </c:cat>
          <c:val>
            <c:numRef>
              <c:f>Sheet1!$B$2:$B$4</c:f>
              <c:numCache>
                <c:formatCode>0.00%</c:formatCode>
                <c:ptCount val="3"/>
                <c:pt idx="0">
                  <c:v>0.0438</c:v>
                </c:pt>
                <c:pt idx="1">
                  <c:v>0.9233</c:v>
                </c:pt>
                <c:pt idx="2">
                  <c:v>0.0328</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zero"/>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"三公"经费财政拨款支出结构图</c:v>
                </c:pt>
              </c:strCache>
            </c:strRef>
          </c:tx>
          <c:spPr>
            <a:solidFill>
              <a:srgbClr val="4F81BD"/>
            </a:solidFill>
          </c:spPr>
          <c:dPt>
            <c:idx val="0"/>
            <c:bubble3D val="0"/>
            <c:spPr>
              <a:solidFill>
                <a:srgbClr val="4F81BD"/>
              </a:solidFill>
              <a:ln w="3175">
                <a:solidFill>
                  <a:srgbClr val="FFFFFF"/>
                </a:solidFill>
                <a:prstDash val="solid"/>
              </a:ln>
            </c:spPr>
          </c:dPt>
          <c:dPt>
            <c:idx val="1"/>
            <c:bubble3D val="0"/>
            <c:spPr>
              <a:solidFill>
                <a:srgbClr val="C0504D"/>
              </a:solidFill>
              <a:ln w="3175">
                <a:solidFill>
                  <a:srgbClr val="FFFFFF"/>
                </a:solidFill>
                <a:prstDash val="solid"/>
              </a:ln>
            </c:spPr>
          </c:dPt>
          <c:dPt>
            <c:idx val="2"/>
            <c:bubble3D val="0"/>
            <c:spPr>
              <a:solidFill>
                <a:srgbClr val="9BBB59"/>
              </a:solidFill>
              <a:ln w="3175">
                <a:solidFill>
                  <a:srgbClr val="FFFFFF"/>
                </a:solidFill>
                <a:prstDash val="solid"/>
              </a:ln>
            </c:spPr>
          </c:dPt>
          <c:dLbls>
            <c:spPr>
              <a:noFill/>
              <a:ln>
                <a:noFill/>
              </a:ln>
            </c:spPr>
            <c:txPr>
              <a:bodyPr vert="horz" anchor="ctr"/>
              <a:lstStyle/>
              <a:p>
                <a:pPr algn="ctr">
                  <a:defRPr sz="1000" b="0" i="0" u="none" strike="noStrike" baseline="0">
                    <a:solidFill>
                      <a:srgbClr val="404040"/>
                    </a:solidFill>
                    <a:latin typeface="Calibri"/>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0.0</c:v>
                </c:pt>
                <c:pt idx="1">
                  <c:v>0.0</c:v>
                </c:pt>
                <c:pt idx="2">
                  <c:v>1.0</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zero"/>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71C7177D-E5DC-49C0-A019-72AE57A3935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49</TotalTime>
  <Application>WPS_Yozo_Office9.0.5233.191ZH.S1</Application>
  <Pages>22</Pages>
  <Words>0</Words>
  <Characters>13278</Characters>
  <Lines>0</Lines>
  <Paragraphs>236</Paragraphs>
  <CharactersWithSpaces>17705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20</cp:revision>
  <cp:lastPrinted>2023-08-03T02:35:00Z</cp:lastPrinted>
  <dcterms:created xsi:type="dcterms:W3CDTF">2024-09-09T01:04:00Z</dcterms:created>
  <dcterms:modified xsi:type="dcterms:W3CDTF">2025-01-07T02:56:23Z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0E8CFF67901C4FA8B7214604E969B2E2_12</vt:lpwstr>
  </property>
  <property fmtid="{D5CDD505-2E9C-101B-9397-08002B2CF9AE}" pid="4" name="KSOSaveFontToCloudKey">
    <vt:lpwstr>659783407_btnclosed</vt:lpwstr>
  </property>
</Properties>
</file>