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sz w:val="72"/>
          <w:szCs w:val="72"/>
        </w:rPr>
      </w:pPr>
      <w:bookmarkStart w:id="0" w:name="_GoBack"/>
      <w:bookmarkEnd w:id="0"/>
      <w:r>
        <w:rPr>
          <w:rFonts w:hint="eastAsia"/>
        </w:rPr>
        <w:t xml:space="preserve">                                     </w:t>
      </w:r>
      <w:bookmarkStart w:id="1" w:name="_Toc15377425"/>
      <w:bookmarkStart w:id="2" w:name="_Toc15396597"/>
      <w:bookmarkStart w:id="3" w:name="_Toc15378441"/>
      <w:bookmarkStart w:id="4" w:name="_Toc15396475"/>
      <w:bookmarkStart w:id="5" w:name="_Toc15377193"/>
      <w:bookmarkStart w:id="6" w:name="_Toc15306267"/>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黑体" w:eastAsia="黑体" w:cs="黑体" w:hAnsi="黑体"/>
          <w:sz w:val="72"/>
          <w:szCs w:val="72"/>
        </w:rPr>
      </w:pPr>
      <w:r>
        <w:rPr>
          <w:rFonts w:ascii="黑体" w:eastAsia="黑体" w:cs="黑体" w:hAnsi="黑体" w:hint="eastAsia"/>
          <w:sz w:val="72"/>
          <w:szCs w:val="72"/>
        </w:rPr>
        <w:t>2021年度</w:t>
      </w:r>
      <w:bookmarkEnd w:id="1"/>
      <w:bookmarkEnd w:id="2"/>
      <w:bookmarkEnd w:id="3"/>
      <w:bookmarkEnd w:id="4"/>
      <w:bookmarkEnd w:id="5"/>
    </w:p>
    <w:p>
      <w:pPr>
        <w:adjustRightInd w:val="0"/>
        <w:snapToGrid w:val="0"/>
        <w:spacing w:line="360" w:lineRule="auto"/>
        <w:jc w:val="center"/>
        <w:outlineLvl w:val="0"/>
        <w:rPr>
          <w:rFonts w:ascii="黑体" w:eastAsia="黑体" w:cs="黑体" w:hAnsi="黑体"/>
          <w:sz w:val="72"/>
          <w:szCs w:val="72"/>
        </w:rPr>
      </w:pPr>
      <w:bookmarkStart w:id="7" w:name="_Toc15396598"/>
      <w:bookmarkStart w:id="8" w:name="_Toc15396476"/>
      <w:bookmarkStart w:id="9" w:name="_Toc15377194"/>
      <w:bookmarkStart w:id="10" w:name="_Toc15378442"/>
      <w:bookmarkStart w:id="11" w:name="_Toc15306268"/>
      <w:bookmarkStart w:id="12" w:name="_Toc15377426"/>
      <w:bookmarkEnd w:id="6"/>
      <w:r>
        <w:rPr>
          <w:rFonts w:ascii="黑体" w:eastAsia="黑体" w:cs="黑体" w:hAnsi="黑体" w:hint="eastAsia"/>
          <w:sz w:val="72"/>
          <w:szCs w:val="72"/>
        </w:rPr>
        <w:t>广元市利州区盘龙二小</w:t>
      </w:r>
    </w:p>
    <w:p>
      <w:pPr>
        <w:adjustRightInd w:val="0"/>
        <w:snapToGrid w:val="0"/>
        <w:spacing w:line="360" w:lineRule="auto"/>
        <w:jc w:val="center"/>
        <w:outlineLvl w:val="0"/>
        <w:rPr>
          <w:rFonts w:ascii="黑体" w:eastAsia="黑体" w:cs="黑体" w:hAnsi="黑体"/>
          <w:sz w:val="72"/>
          <w:szCs w:val="72"/>
        </w:rPr>
      </w:pPr>
      <w:r>
        <w:rPr>
          <w:rFonts w:ascii="黑体" w:eastAsia="黑体" w:cs="黑体" w:hAnsi="黑体" w:hint="eastAsia"/>
          <w:sz w:val="72"/>
          <w:szCs w:val="72"/>
        </w:rPr>
        <w:t>部门决算</w:t>
      </w:r>
      <w:bookmarkEnd w:id="7"/>
      <w:bookmarkEnd w:id="8"/>
      <w:bookmarkEnd w:id="9"/>
      <w:bookmarkEnd w:id="10"/>
      <w:bookmarkEnd w:id="11"/>
      <w:bookmarkEnd w:id="12"/>
    </w:p>
    <w:p>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t>目     录</w:t>
      </w:r>
    </w:p>
    <w:p>
      <w:pPr>
        <w:widowControl/>
        <w:jc w:val="center"/>
        <w:rPr>
          <w:rFonts w:ascii="黑体" w:eastAsia="黑体" w:hAnsi="黑体"/>
          <w:sz w:val="28"/>
          <w:szCs w:val="28"/>
        </w:rPr>
      </w:pPr>
    </w:p>
    <w:p>
      <w:pPr>
        <w:pStyle w:val="20"/>
        <w:tabs>
          <w:tab w:val="right" w:leader="dot" w:pos="8296"/>
        </w:tabs>
      </w:pPr>
      <w:r>
        <w:rPr>
          <w:rFonts w:hint="eastAsia"/>
        </w:rPr>
        <w:t>公开时间：2022年</w:t>
      </w:r>
      <w:r>
        <w:t>9</w:t>
      </w:r>
      <w:r>
        <w:rPr>
          <w:rFonts w:hint="eastAsia"/>
        </w:rPr>
        <w:t>月</w:t>
      </w:r>
      <w:r>
        <w:t>2</w:t>
      </w:r>
      <w:r>
        <w:rPr>
          <w:rFonts w:hint="eastAsia"/>
        </w:rPr>
        <w:t>2日</w:t>
      </w:r>
    </w:p>
    <w:p>
      <w:pPr>
        <w:snapToGrid w:val="0"/>
        <w:spacing w:line="360" w:lineRule="auto"/>
      </w:pPr>
    </w:p>
    <w:p>
      <w:pPr>
        <w:pStyle w:val="20"/>
        <w:tabs>
          <w:tab w:val="clear" w:pos="8296"/>
          <w:tab w:val="right" w:leader="dot" w:pos="8820"/>
        </w:tabs>
        <w:adjustRightInd w:val="0"/>
        <w:snapToGrid w:val="0"/>
        <w:spacing w:before="0" w:line="300" w:lineRule="auto"/>
        <w:jc w:val="both"/>
        <w:rPr>
          <w:rFonts w:cs="仿宋"/>
          <w:sz w:val="32"/>
          <w:szCs w:val="32"/>
        </w:rPr>
      </w:pPr>
      <w:r>
        <w:rPr>
          <w:rFonts w:ascii="黑体" w:eastAsia="黑体" w:cs="黑体" w:hAnsi="黑体" w:hint="eastAsia"/>
          <w:sz w:val="32"/>
          <w:szCs w:val="32"/>
        </w:rPr>
        <w:t>第一部分 部门概况</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一、基本职能</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二、2</w:t>
      </w:r>
      <w:r>
        <w:rPr>
          <w:rFonts w:ascii="仿宋" w:eastAsia="仿宋" w:cs="仿宋" w:hAnsi="仿宋"/>
          <w:sz w:val="32"/>
          <w:szCs w:val="32"/>
        </w:rPr>
        <w:t>022</w:t>
      </w:r>
      <w:r>
        <w:rPr>
          <w:rFonts w:ascii="仿宋" w:eastAsia="仿宋" w:cs="仿宋" w:hAnsi="仿宋" w:hint="eastAsia"/>
          <w:sz w:val="32"/>
          <w:szCs w:val="32"/>
        </w:rPr>
        <w:t>年主要工作</w:t>
      </w:r>
    </w:p>
    <w:p>
      <w:pPr>
        <w:pStyle w:val="20"/>
        <w:tabs>
          <w:tab w:val="clear" w:pos="8296"/>
          <w:tab w:val="right" w:leader="dot" w:pos="8820"/>
        </w:tabs>
        <w:adjustRightInd w:val="0"/>
        <w:snapToGrid w:val="0"/>
        <w:spacing w:before="0" w:line="300" w:lineRule="auto"/>
        <w:jc w:val="both"/>
        <w:rPr>
          <w:rFonts w:cs="仿宋"/>
          <w:sz w:val="32"/>
          <w:szCs w:val="32"/>
        </w:rPr>
      </w:pPr>
      <w:r>
        <w:rPr>
          <w:rFonts w:ascii="黑体" w:eastAsia="黑体" w:cs="黑体" w:hAnsi="黑体" w:hint="eastAsia"/>
          <w:sz w:val="32"/>
          <w:szCs w:val="32"/>
        </w:rPr>
        <w:t>第二部分 2021年度部门决算情况说明</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一、收入支出决算总体情况说明</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二、收入决算情况说明</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三、支出决算情况说明</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四、财政拨款收入支出决算总体情况说明</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五、一般公共预算财政拨款支出决算情况说明</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六、一般公共预算财政拨款基本支出决算情况说明</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七、“三公”经费财政拨款支出决算情况说明</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八、政府性基金预算支出决算情况说明</w:t>
      </w:r>
    </w:p>
    <w:p>
      <w:pPr>
        <w:pStyle w:val="21"/>
        <w:tabs>
          <w:tab w:val="clear" w:pos="8296"/>
          <w:tab w:val="right" w:leader="dot" w:pos="8820"/>
        </w:tabs>
        <w:adjustRightInd w:val="0"/>
        <w:snapToGrid w:val="0"/>
        <w:spacing w:line="300" w:lineRule="auto"/>
        <w:ind w:leftChars="0" w:left="420"/>
        <w:rPr>
          <w:rFonts w:ascii="仿宋" w:eastAsia="仿宋" w:cs="仿宋" w:hAnsi="仿宋"/>
          <w:sz w:val="32"/>
          <w:szCs w:val="32"/>
        </w:rPr>
      </w:pPr>
      <w:r>
        <w:rPr>
          <w:rFonts w:ascii="仿宋" w:eastAsia="仿宋" w:cs="仿宋" w:hAnsi="仿宋" w:hint="eastAsia"/>
          <w:sz w:val="32"/>
          <w:szCs w:val="32"/>
        </w:rPr>
        <w:t>九、国有资本经营预算支出决算情况说明</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十、其他重要事项的情况说明</w:t>
      </w:r>
    </w:p>
    <w:p>
      <w:pPr>
        <w:pStyle w:val="20"/>
        <w:tabs>
          <w:tab w:val="clear" w:pos="8296"/>
          <w:tab w:val="right" w:leader="dot" w:pos="8820"/>
        </w:tabs>
        <w:adjustRightInd w:val="0"/>
        <w:snapToGrid w:val="0"/>
        <w:spacing w:before="0" w:line="300" w:lineRule="auto"/>
        <w:jc w:val="both"/>
        <w:rPr>
          <w:rFonts w:cs="仿宋"/>
          <w:sz w:val="32"/>
          <w:szCs w:val="32"/>
        </w:rPr>
      </w:pPr>
      <w:r>
        <w:rPr>
          <w:rFonts w:ascii="黑体" w:eastAsia="黑体" w:cs="黑体" w:hAnsi="黑体" w:hint="eastAsia"/>
          <w:sz w:val="32"/>
          <w:szCs w:val="32"/>
        </w:rPr>
        <w:t>第三部分 名词解释</w:t>
      </w:r>
    </w:p>
    <w:p>
      <w:pPr>
        <w:pStyle w:val="20"/>
        <w:tabs>
          <w:tab w:val="clear" w:pos="8296"/>
          <w:tab w:val="right" w:leader="dot" w:pos="8820"/>
        </w:tabs>
        <w:adjustRightInd w:val="0"/>
        <w:snapToGrid w:val="0"/>
        <w:spacing w:before="0" w:line="300" w:lineRule="auto"/>
        <w:jc w:val="both"/>
        <w:rPr>
          <w:rFonts w:cs="仿宋"/>
          <w:sz w:val="32"/>
          <w:szCs w:val="32"/>
        </w:rPr>
      </w:pPr>
      <w:r>
        <w:rPr>
          <w:rFonts w:ascii="黑体" w:eastAsia="黑体" w:cs="黑体" w:hAnsi="黑体" w:hint="eastAsia"/>
          <w:sz w:val="32"/>
          <w:szCs w:val="32"/>
        </w:rPr>
        <w:t>第四部分 附件</w:t>
      </w:r>
    </w:p>
    <w:p>
      <w:pPr>
        <w:pStyle w:val="20"/>
        <w:tabs>
          <w:tab w:val="clear" w:pos="8296"/>
          <w:tab w:val="right" w:leader="dot" w:pos="8820"/>
        </w:tabs>
        <w:adjustRightInd w:val="0"/>
        <w:snapToGrid w:val="0"/>
        <w:spacing w:before="0" w:line="300" w:lineRule="auto"/>
        <w:ind w:firstLineChars="200" w:firstLine="640"/>
        <w:jc w:val="both"/>
        <w:rPr>
          <w:rFonts w:cs="仿宋"/>
          <w:sz w:val="32"/>
          <w:szCs w:val="32"/>
          <w:lang w:val="zh-CN"/>
        </w:rPr>
      </w:pPr>
      <w:r>
        <w:rPr>
          <w:rFonts w:cs="仿宋" w:hint="eastAsia"/>
          <w:sz w:val="32"/>
          <w:szCs w:val="32"/>
        </w:rPr>
        <w:t>一、2021年盘龙二小部门整体绩效评价报告</w:t>
      </w:r>
    </w:p>
    <w:p>
      <w:pPr>
        <w:pStyle w:val="21"/>
        <w:tabs>
          <w:tab w:val="clear" w:pos="8296"/>
          <w:tab w:val="right" w:leader="dot" w:pos="8820"/>
        </w:tabs>
        <w:adjustRightInd w:val="0"/>
        <w:snapToGrid w:val="0"/>
        <w:spacing w:line="300" w:lineRule="auto"/>
        <w:ind w:leftChars="0" w:left="0" w:firstLineChars="200" w:firstLine="640"/>
        <w:rPr>
          <w:rFonts w:ascii="仿宋" w:eastAsia="仿宋" w:cs="仿宋" w:hAnsi="仿宋"/>
          <w:sz w:val="32"/>
          <w:szCs w:val="32"/>
        </w:rPr>
      </w:pPr>
      <w:r>
        <w:rPr>
          <w:rFonts w:ascii="仿宋" w:eastAsia="仿宋" w:cs="仿宋" w:hAnsi="仿宋" w:hint="eastAsia"/>
          <w:sz w:val="32"/>
          <w:szCs w:val="32"/>
        </w:rPr>
        <w:t>二、2021年</w:t>
      </w:r>
      <w:r>
        <w:rPr>
          <w:rFonts w:ascii="仿宋" w:eastAsia="仿宋" w:cs="仿宋" w:hAnsi="仿宋" w:hint="eastAsia"/>
          <w:sz w:val="32"/>
          <w:szCs w:val="32"/>
          <w:lang w:val="zh-CN"/>
        </w:rPr>
        <w:t>专项预算项目支出绩效自评报告</w:t>
      </w:r>
    </w:p>
    <w:p>
      <w:pPr>
        <w:pStyle w:val="21"/>
        <w:tabs>
          <w:tab w:val="clear" w:pos="8296"/>
          <w:tab w:val="right" w:leader="dot" w:pos="8820"/>
        </w:tabs>
        <w:adjustRightInd w:val="0"/>
        <w:snapToGrid w:val="0"/>
        <w:spacing w:line="300" w:lineRule="auto"/>
        <w:ind w:firstLineChars="100" w:firstLine="320"/>
        <w:jc w:val="left"/>
        <w:rPr>
          <w:rFonts w:ascii="仿宋" w:eastAsia="仿宋" w:cs="仿宋" w:hAnsi="仿宋"/>
          <w:sz w:val="32"/>
          <w:szCs w:val="32"/>
        </w:rPr>
      </w:pPr>
      <w:r>
        <w:rPr>
          <w:rFonts w:ascii="仿宋" w:eastAsia="仿宋" w:cs="仿宋" w:hAnsi="仿宋" w:hint="eastAsia"/>
          <w:sz w:val="32"/>
          <w:szCs w:val="32"/>
        </w:rPr>
        <w:t>1、2021年校舍维修改造项目支出绩效自评报告</w:t>
      </w:r>
    </w:p>
    <w:p>
      <w:pPr>
        <w:pStyle w:val="21"/>
        <w:tabs>
          <w:tab w:val="clear" w:pos="8296"/>
          <w:tab w:val="right" w:leader="dot" w:pos="8820"/>
        </w:tabs>
        <w:adjustRightInd w:val="0"/>
        <w:snapToGrid w:val="0"/>
        <w:spacing w:line="300" w:lineRule="auto"/>
        <w:ind w:firstLineChars="100" w:firstLine="320"/>
        <w:jc w:val="left"/>
        <w:rPr>
          <w:rFonts w:ascii="仿宋" w:eastAsia="仿宋" w:cs="仿宋" w:hAnsi="仿宋"/>
          <w:sz w:val="32"/>
          <w:szCs w:val="32"/>
        </w:rPr>
      </w:pPr>
      <w:r>
        <w:rPr>
          <w:rFonts w:ascii="仿宋" w:eastAsia="仿宋" w:cs="仿宋" w:hAnsi="仿宋" w:hint="eastAsia"/>
          <w:sz w:val="32"/>
          <w:szCs w:val="32"/>
        </w:rPr>
        <w:t>2、对家庭经济困难寄宿学生生活补助项目支出绩效自评报告</w:t>
      </w:r>
    </w:p>
    <w:p>
      <w:pPr>
        <w:pStyle w:val="21"/>
        <w:tabs>
          <w:tab w:val="clear" w:pos="8296"/>
          <w:tab w:val="right" w:leader="dot" w:pos="8820"/>
        </w:tabs>
        <w:adjustRightInd w:val="0"/>
        <w:snapToGrid w:val="0"/>
        <w:spacing w:line="300" w:lineRule="auto"/>
        <w:ind w:leftChars="0" w:left="0" w:firstLineChars="200" w:firstLine="640"/>
        <w:jc w:val="left"/>
        <w:rPr>
          <w:rFonts w:ascii="仿宋" w:eastAsia="仿宋" w:cs="仿宋" w:hAnsi="仿宋"/>
          <w:sz w:val="32"/>
          <w:szCs w:val="32"/>
        </w:rPr>
      </w:pPr>
      <w:r>
        <w:rPr>
          <w:rFonts w:ascii="仿宋" w:eastAsia="仿宋" w:cs="仿宋" w:hAnsi="仿宋" w:hint="eastAsia"/>
          <w:sz w:val="32"/>
          <w:szCs w:val="32"/>
        </w:rPr>
        <w:t>3、城乡义务教育学生免除学杂费绩效自评报告</w:t>
      </w:r>
    </w:p>
    <w:p>
      <w:pPr>
        <w:pStyle w:val="34"/>
        <w:snapToGrid w:val="0"/>
        <w:spacing w:line="560" w:lineRule="exact"/>
        <w:ind w:firstLineChars="200" w:firstLine="640"/>
        <w:jc w:val="left"/>
        <w:rPr>
          <w:rFonts w:ascii="仿宋" w:eastAsia="仿宋" w:cs="仿宋" w:hAnsi="仿宋"/>
          <w:color w:val="auto"/>
          <w:kern w:val="2"/>
          <w:sz w:val="32"/>
          <w:szCs w:val="32"/>
        </w:rPr>
      </w:pPr>
      <w:r>
        <w:rPr>
          <w:rFonts w:ascii="仿宋" w:eastAsia="仿宋" w:cs="仿宋" w:hAnsi="仿宋" w:hint="eastAsia"/>
          <w:sz w:val="32"/>
          <w:szCs w:val="32"/>
        </w:rPr>
        <w:t>4、</w:t>
      </w:r>
      <w:r>
        <w:rPr>
          <w:rFonts w:ascii="仿宋" w:eastAsia="仿宋" w:cs="仿宋" w:hAnsi="仿宋" w:hint="eastAsia"/>
          <w:color w:val="auto"/>
          <w:kern w:val="2"/>
          <w:sz w:val="32"/>
          <w:szCs w:val="32"/>
        </w:rPr>
        <w:t>城乡义务教育补助作业本费配套事前绩效评估报告</w:t>
      </w:r>
    </w:p>
    <w:p>
      <w:pPr>
        <w:pStyle w:val="20"/>
        <w:tabs>
          <w:tab w:val="clear" w:pos="8296"/>
          <w:tab w:val="right" w:leader="dot" w:pos="8820"/>
        </w:tabs>
        <w:adjustRightInd w:val="0"/>
        <w:snapToGrid w:val="0"/>
        <w:spacing w:before="0" w:line="300" w:lineRule="auto"/>
        <w:jc w:val="both"/>
        <w:rPr>
          <w:rFonts w:ascii="黑体" w:cs="黑体" w:hAnsi="黑体"/>
          <w:sz w:val="32"/>
          <w:szCs w:val="32"/>
        </w:rPr>
      </w:pPr>
      <w:r>
        <w:rPr>
          <w:rFonts w:ascii="黑体" w:eastAsia="黑体" w:cs="黑体" w:hAnsi="黑体" w:hint="eastAsia"/>
          <w:sz w:val="32"/>
          <w:szCs w:val="32"/>
        </w:rPr>
        <w:t>第五部分 附表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一、收入支出决算总表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二、收入决算表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三、支出决算表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四、财政拨款收入支出决算总表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五、财政拨款支出决算明细表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六、一般公共预算财政拨款支出决算表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七、一般公共预算财政拨款支出决算明细表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八、一般公共预算财政拨款基本支出决算表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九、一般公共预算财政拨款项目支出决算表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十、一般公共预算财政拨款“三公”经费支出决算表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十一、政府性基金预算财政拨款收入支出决算表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十二、政府性基金预算财政拨款“三公”经费支出决算表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十三、国有资本经营预算财政拨款收入支出决算表</w:t>
      </w:r>
    </w:p>
    <w:p>
      <w:pPr>
        <w:pStyle w:val="21"/>
        <w:tabs>
          <w:tab w:val="clear" w:pos="8296"/>
          <w:tab w:val="right" w:leader="dot" w:pos="8820"/>
        </w:tabs>
        <w:adjustRightInd w:val="0"/>
        <w:snapToGrid w:val="0"/>
        <w:spacing w:line="300" w:lineRule="auto"/>
        <w:rPr>
          <w:rFonts w:ascii="仿宋" w:eastAsia="仿宋" w:cs="仿宋" w:hAnsi="仿宋"/>
          <w:sz w:val="32"/>
          <w:szCs w:val="32"/>
        </w:rPr>
      </w:pPr>
      <w:r>
        <w:rPr>
          <w:rFonts w:ascii="仿宋" w:eastAsia="仿宋" w:cs="仿宋" w:hAnsi="仿宋" w:hint="eastAsia"/>
          <w:sz w:val="32"/>
          <w:szCs w:val="32"/>
        </w:rPr>
        <w:t>十四、国有资本经营预算财政拨款支出决算表</w:t>
      </w:r>
    </w:p>
    <w:p>
      <w:pPr>
        <w:rPr>
          <w:rFonts w:ascii="黑体" w:eastAsia="黑体" w:hAnsi="黑体"/>
        </w:rPr>
      </w:pPr>
      <w:bookmarkStart w:id="13" w:name="_Toc15396599"/>
      <w:bookmarkStart w:id="14" w:name="_Toc15377196"/>
    </w:p>
    <w:p>
      <w:pPr>
        <w:sectPr>
          <w:footerReference w:type="default" r:id="rId2"/>
          <w:type w:val="continuous"/>
          <w:pgSz w:w="11906" w:h="16838"/>
          <w:pgMar w:top="1701" w:right="1474" w:bottom="1701" w:left="1587" w:header="851" w:footer="1304" w:gutter="0"/>
          <w:cols w:num="1" w:space="0"/>
          <w:docGrid w:type="lines" w:linePitch="312" w:charSpace="0"/>
        </w:sectPr>
      </w:pPr>
      <w:r>
        <mc:AlternateContent>
          <mc:Choice Requires="wps">
            <w:drawing>
              <wp:anchor distT="0" distB="0" distL="114297" distR="114297" simplePos="0" relativeHeight="40" behindDoc="0" locked="0" layoutInCell="1" hidden="0" allowOverlap="1">
                <wp:simplePos x="0" y="0"/>
                <wp:positionH relativeFrom="column">
                  <wp:posOffset>-73660</wp:posOffset>
                </wp:positionH>
                <wp:positionV relativeFrom="paragraph">
                  <wp:posOffset>8608059</wp:posOffset>
                </wp:positionV>
                <wp:extent cx="828675" cy="333375"/>
                <wp:effectExtent l="0" t="0" r="0" b="0"/>
                <wp:wrapNone/>
                <wp:docPr id="4" name="矩形 12"/>
                <wp:cNvGraphicFramePr>
                  <a:graphicFrameLocks noChangeAspect="0"/>
                </wp:cNvGraphicFramePr>
                <a:graphic>
                  <a:graphicData uri="http://schemas.microsoft.com/office/word/2010/wordprocessingShape">
                    <wps:wsp>
                      <wps:cNvSpPr/>
                      <wps:spPr>
                        <a:xfrm rot="0">
                          <a:off x="0" y="0"/>
                          <a:ext cx="828675" cy="333375"/>
                        </a:xfrm>
                        <a:prstGeom prst="rect"/>
                        <a:solidFill>
                          <a:srgbClr val="FFFFFF"/>
                        </a:solidFill>
                        <a:ln w="25400" cmpd="sng" cap="flat">
                          <a:solidFill>
                            <a:srgbClr val="FFFFFF"/>
                          </a:solidFill>
                          <a:prstDash val="solid"/>
                          <a:round/>
                        </a:ln>
                      </wps:spPr>
                      <wps:bodyPr vert="horz" wrap="square" lIns="91440" tIns="45720" rIns="91440" bIns="45720" anchor="t" anchorCtr="0" upright="1">
                        <a:noAutofit/>
                      </wps:bodyPr>
                    </wps:wsp>
                  </a:graphicData>
                </a:graphic>
              </wp:anchor>
            </w:drawing>
          </mc:Choice>
          <mc:Fallback>
            <w:pict>
              <v:rect type="#_x0000_t1" id="矩形 12" o:spid="_x0000_s3" fillcolor="#FFFFFF" stroked="t" strokeweight="2.0pt" style="position:absolute;margin-left:-5.8pt;margin-top:677.8pt;width:65.25pt;height:26.25pt;z-index:40;mso-position-horizontal:absolute;mso-position-vertical:absolute;mso-wrap-distance-left:8.999843pt;mso-wrap-distance-right:8.999843pt;">
                <v:stroke color="#FFFFFF"/>
              </v:rect>
            </w:pict>
          </mc:Fallback>
        </mc:AlternateContent>
      </w:r>
      <w:r>
        <w:rPr>
          <w:rFonts w:hint="eastAsia"/>
        </w:rPr>
        <w:br w:type="page"/>
      </w:r>
    </w:p>
    <w:p>
      <w:pPr>
        <w:pStyle w:val="1"/>
        <w:snapToGrid w:val="0"/>
        <w:spacing w:before="0" w:after="0" w:line="240" w:lineRule="auto"/>
        <w:jc w:val="center"/>
        <w:rPr>
          <w:rFonts w:ascii="黑体" w:eastAsia="黑体"/>
          <w:sz w:val="32"/>
          <w:szCs w:val="32"/>
        </w:rPr>
      </w:pPr>
      <w:r>
        <w:rPr>
          <w:rFonts w:ascii="黑体" w:eastAsia="黑体" w:hAnsi="黑体" w:hint="eastAsia"/>
          <w:b w:val="0"/>
        </w:rPr>
        <w:t xml:space="preserve">第一部分 </w:t>
      </w:r>
      <w:r>
        <w:rPr>
          <w:rStyle w:val="1Char"/>
          <w:rFonts w:ascii="黑体" w:eastAsia="黑体" w:hAnsi="黑体" w:hint="eastAsia"/>
        </w:rPr>
        <w:t>部门概况</w:t>
      </w:r>
      <w:bookmarkEnd w:id="13"/>
      <w:bookmarkEnd w:id="14"/>
    </w:p>
    <w:p>
      <w:pPr>
        <w:pStyle w:val="2"/>
        <w:snapToGrid w:val="0"/>
        <w:spacing w:before="0" w:after="0" w:line="560" w:lineRule="exact"/>
        <w:ind w:firstLineChars="200" w:firstLine="640"/>
        <w:rPr>
          <w:rFonts w:ascii="黑体" w:eastAsia="黑体" w:hAnsi="黑体"/>
          <w:b w:val="0"/>
        </w:rPr>
      </w:pPr>
      <w:bookmarkStart w:id="15" w:name="_Toc15377197"/>
      <w:bookmarkStart w:id="16" w:name="_Toc15396600"/>
    </w:p>
    <w:p>
      <w:pPr>
        <w:pStyle w:val="2"/>
        <w:snapToGrid w:val="0"/>
        <w:spacing w:before="0" w:after="0" w:line="576" w:lineRule="exact"/>
        <w:ind w:firstLineChars="200" w:firstLine="640"/>
        <w:rPr>
          <w:rStyle w:val="2Char"/>
          <w:rFonts w:ascii="仿宋" w:eastAsia="仿宋" w:hAnsi="仿宋"/>
        </w:rPr>
      </w:pPr>
      <w:r>
        <w:rPr>
          <w:rFonts w:ascii="黑体" w:eastAsia="黑体" w:hAnsi="黑体" w:hint="eastAsia"/>
          <w:b w:val="0"/>
        </w:rPr>
        <w:t>一、基</w:t>
      </w:r>
      <w:r>
        <w:rPr>
          <w:rStyle w:val="2Char"/>
          <w:rFonts w:ascii="黑体" w:eastAsia="黑体" w:hAnsi="黑体" w:hint="eastAsia"/>
        </w:rPr>
        <w:t>本职能及主要工作</w:t>
      </w:r>
      <w:bookmarkEnd w:id="15"/>
      <w:bookmarkEnd w:id="16"/>
    </w:p>
    <w:p>
      <w:pPr>
        <w:pStyle w:val="15"/>
        <w:adjustRightInd w:val="0"/>
        <w:snapToGrid w:val="0"/>
        <w:spacing w:beforeLines="0" w:before="30" w:line="576" w:lineRule="exact"/>
        <w:ind w:firstLineChars="200" w:firstLine="640"/>
        <w:outlineLvl w:val="2"/>
        <w:rPr>
          <w:rFonts w:ascii="楷体" w:eastAsia="楷体" w:cs="楷体" w:hAnsi="楷体"/>
          <w:bCs/>
          <w:sz w:val="32"/>
          <w:szCs w:val="32"/>
        </w:rPr>
      </w:pPr>
      <w:bookmarkStart w:id="17" w:name="_Toc15377198"/>
      <w:bookmarkStart w:id="18" w:name="_Toc15378445"/>
      <w:r>
        <w:rPr>
          <w:rFonts w:ascii="楷体" w:eastAsia="楷体" w:cs="楷体" w:hAnsi="楷体" w:hint="eastAsia"/>
          <w:bCs/>
          <w:sz w:val="32"/>
          <w:szCs w:val="32"/>
        </w:rPr>
        <w:t>（一）主要职能。</w:t>
      </w:r>
      <w:bookmarkEnd w:id="17"/>
      <w:bookmarkEnd w:id="18"/>
    </w:p>
    <w:p>
      <w:pPr>
        <w:pStyle w:val="15"/>
        <w:adjustRightInd w:val="0"/>
        <w:snapToGrid w:val="0"/>
        <w:spacing w:beforeLines="0" w:before="30" w:line="576" w:lineRule="exact"/>
        <w:ind w:firstLineChars="200" w:firstLine="640"/>
        <w:rPr>
          <w:rFonts w:ascii="仿宋" w:eastAsia="仿宋" w:cs="仿宋" w:hAnsi="仿宋"/>
          <w:color w:val="000000"/>
          <w:sz w:val="32"/>
          <w:szCs w:val="32"/>
        </w:rPr>
      </w:pPr>
      <w:bookmarkStart w:id="19" w:name="_Toc15378446"/>
      <w:bookmarkStart w:id="20" w:name="_Toc15377199"/>
      <w:r>
        <w:rPr>
          <w:rFonts w:ascii="仿宋" w:eastAsia="仿宋" w:cs="仿宋" w:hAnsi="仿宋" w:hint="eastAsia"/>
          <w:color w:val="000000"/>
          <w:sz w:val="32"/>
          <w:szCs w:val="32"/>
        </w:rPr>
        <w:t>实施义务教育，促进基础教育发展。</w:t>
      </w:r>
    </w:p>
    <w:p>
      <w:pPr>
        <w:pStyle w:val="2"/>
        <w:snapToGrid w:val="0"/>
        <w:spacing w:before="0" w:after="0" w:line="576" w:lineRule="exact"/>
        <w:ind w:firstLineChars="200" w:firstLine="640"/>
        <w:rPr>
          <w:rStyle w:val="2Char"/>
        </w:rPr>
      </w:pPr>
      <w:r>
        <w:rPr>
          <w:rFonts w:ascii="楷体" w:eastAsia="楷体" w:cs="楷体" w:hAnsi="楷体" w:hint="eastAsia"/>
        </w:rPr>
        <w:t>（二）</w:t>
      </w:r>
      <w:r>
        <w:rPr>
          <w:rFonts w:ascii="黑体" w:eastAsia="黑体" w:hAnsi="黑体" w:hint="eastAsia"/>
          <w:b w:val="0"/>
        </w:rPr>
        <w:t>机</w:t>
      </w:r>
      <w:r>
        <w:rPr>
          <w:rStyle w:val="2Char"/>
          <w:rFonts w:ascii="黑体" w:eastAsia="黑体" w:hAnsi="黑体" w:hint="eastAsia"/>
        </w:rPr>
        <w:t>构设置</w:t>
      </w:r>
    </w:p>
    <w:p>
      <w:pPr>
        <w:pStyle w:val="15"/>
        <w:adjustRightInd w:val="0"/>
        <w:snapToGrid w:val="0"/>
        <w:spacing w:beforeLines="0" w:before="30" w:line="576" w:lineRule="exact"/>
        <w:ind w:firstLineChars="200" w:firstLine="640"/>
        <w:outlineLvl w:val="2"/>
        <w:rPr>
          <w:rFonts w:hint="eastAsia"/>
          <w:sz w:val="32"/>
          <w:szCs w:val="32"/>
        </w:rPr>
      </w:pPr>
      <w:r>
        <w:rPr>
          <w:rFonts w:hint="eastAsia"/>
          <w:sz w:val="32"/>
          <w:szCs w:val="32"/>
        </w:rPr>
        <w:t>广元市利州区盘龙二小下设各处室 10 个，分别是廉勤委、办公室、教务处、德育处、总务处、安全办、教科室、计装室、财务室、医务室。</w:t>
      </w:r>
    </w:p>
    <w:p>
      <w:pPr>
        <w:pStyle w:val="15"/>
        <w:adjustRightInd w:val="0"/>
        <w:snapToGrid w:val="0"/>
        <w:spacing w:beforeLines="0" w:before="30" w:line="576" w:lineRule="exact"/>
        <w:ind w:firstLineChars="200" w:firstLine="640"/>
        <w:outlineLvl w:val="2"/>
        <w:rPr>
          <w:rFonts w:ascii="楷体" w:eastAsia="楷体" w:cs="楷体" w:hAnsi="楷体"/>
          <w:bCs/>
          <w:sz w:val="32"/>
          <w:szCs w:val="32"/>
        </w:rPr>
      </w:pPr>
      <w:r>
        <w:rPr>
          <w:rFonts w:ascii="黑体" w:eastAsia="黑体" w:hint="eastAsia"/>
          <w:sz w:val="32"/>
          <w:szCs w:val="32"/>
        </w:rPr>
        <w:t>二、</w:t>
      </w:r>
      <w:r>
        <w:rPr>
          <w:rFonts w:ascii="宋体" w:eastAsia="宋体" w:cs="楷体" w:hint="eastAsia"/>
          <w:b/>
          <w:sz w:val="32"/>
          <w:szCs w:val="32"/>
        </w:rPr>
        <w:t>2021年重点工作完成情况。</w:t>
      </w:r>
      <w:bookmarkEnd w:id="19"/>
      <w:bookmarkEnd w:id="20"/>
    </w:p>
    <w:p>
      <w:pPr>
        <w:snapToGrid w:val="0"/>
        <w:spacing w:line="576" w:lineRule="exact"/>
        <w:ind w:firstLineChars="200" w:firstLine="640"/>
        <w:rPr>
          <w:rFonts w:ascii="仿宋" w:eastAsia="仿宋" w:hAnsi="仿宋"/>
          <w:b/>
          <w:sz w:val="32"/>
          <w:szCs w:val="32"/>
        </w:rPr>
      </w:pPr>
      <w:bookmarkStart w:id="21" w:name="_Toc15396601"/>
      <w:bookmarkStart w:id="22" w:name="_Toc15377200"/>
      <w:r>
        <w:rPr>
          <w:rFonts w:ascii="仿宋" w:eastAsia="仿宋" w:hAnsi="仿宋" w:hint="eastAsia"/>
          <w:b/>
          <w:sz w:val="32"/>
          <w:szCs w:val="32"/>
        </w:rPr>
        <w:t>（一）凝心聚力，把毕业班工作放在首位。</w:t>
      </w:r>
    </w:p>
    <w:p>
      <w:pPr>
        <w:pStyle w:val="31"/>
        <w:snapToGrid w:val="0"/>
        <w:spacing w:line="576" w:lineRule="exact"/>
        <w:rPr>
          <w:rFonts w:ascii="仿宋" w:eastAsia="仿宋" w:hAnsi="仿宋"/>
          <w:b/>
          <w:sz w:val="32"/>
          <w:szCs w:val="32"/>
        </w:rPr>
      </w:pPr>
      <w:r>
        <w:rPr>
          <w:rFonts w:ascii="仿宋" w:eastAsia="仿宋" w:hAnsi="仿宋" w:hint="eastAsia"/>
          <w:b/>
          <w:sz w:val="32"/>
          <w:szCs w:val="32"/>
        </w:rPr>
        <w:t>1.鼓舞士气，明确目标；自加压力，踏实工作。</w:t>
      </w:r>
    </w:p>
    <w:p>
      <w:pPr>
        <w:pStyle w:val="31"/>
        <w:snapToGrid w:val="0"/>
        <w:spacing w:line="576" w:lineRule="exact"/>
        <w:rPr>
          <w:rFonts w:ascii="仿宋" w:eastAsia="仿宋" w:hAnsi="仿宋"/>
          <w:sz w:val="32"/>
          <w:szCs w:val="32"/>
        </w:rPr>
      </w:pPr>
      <w:r>
        <w:rPr>
          <w:rFonts w:ascii="仿宋" w:eastAsia="仿宋" w:hAnsi="仿宋" w:hint="eastAsia"/>
          <w:sz w:val="32"/>
          <w:szCs w:val="32"/>
        </w:rPr>
        <w:t>本届六年级是近几年比较差的一届，从上学期期末考试可看出发展态势较好，经过努力，有希望能在各方面有所进步、突破，各班要针对本班实际情况找出对策，完成学校制定的目标。要充分估计到可能出现的困难，利用一切有利条件，鼓舞六年级师生士气，营造良好的学习氛围，自加压力，聚精会神踏实工作。</w:t>
      </w:r>
    </w:p>
    <w:p>
      <w:pPr>
        <w:snapToGrid w:val="0"/>
        <w:spacing w:line="576" w:lineRule="exact"/>
        <w:ind w:firstLineChars="200" w:firstLine="640"/>
        <w:rPr>
          <w:rFonts w:ascii="仿宋" w:eastAsia="仿宋" w:hAnsi="仿宋"/>
          <w:b/>
          <w:sz w:val="32"/>
          <w:szCs w:val="32"/>
        </w:rPr>
      </w:pPr>
      <w:r>
        <w:rPr>
          <w:rFonts w:ascii="仿宋" w:eastAsia="仿宋" w:hAnsi="仿宋" w:hint="eastAsia"/>
          <w:b/>
          <w:sz w:val="32"/>
          <w:szCs w:val="32"/>
        </w:rPr>
        <w:t>2.扎扎实实抓过程管理。</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1）抓学风班风建设。良好的学风与班风是取得优异成绩的根本保障。科任教师要与班主任一起加强学生思想教育工作。定期召开学生学习动员会、激励会、谈心会，学生家长会，抓好学生心理疏导工作，因材施教，引导好每一个学生，促进学生学习和行为习惯的转变，进一步培养学生自主管理、自主学习能力。</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2）实施领导挂联班级制度。挂联领导要与该班班主任及科任教师紧密配合，做好本班学生的思想政治工作。挂联领导每周深入班级听课2节以上，每月谈话学生不少于5名，定期召开班级任课教师会和分层召开学生座谈会。</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挂联班级领导安排：张永明（六年级）、张松（五年级）、王静涛（四年级）、李频（三年级）、严桂英（二年级）、朱泽红（一年级）</w:t>
      </w:r>
    </w:p>
    <w:p>
      <w:pPr>
        <w:pStyle w:val="31"/>
        <w:snapToGrid w:val="0"/>
        <w:spacing w:line="576" w:lineRule="exact"/>
        <w:rPr>
          <w:rFonts w:ascii="仿宋" w:eastAsia="仿宋" w:hAnsi="仿宋"/>
          <w:sz w:val="32"/>
          <w:szCs w:val="32"/>
        </w:rPr>
      </w:pPr>
      <w:r>
        <w:rPr>
          <w:rFonts w:ascii="仿宋" w:eastAsia="仿宋" w:hAnsi="仿宋" w:hint="eastAsia"/>
          <w:sz w:val="32"/>
          <w:szCs w:val="32"/>
        </w:rPr>
        <w:t>（3）认真制定各年级各科每轮复习教学计划。各类计划要有针对性、实效性和可操作性。教务处加强对计划实施过程的检查督促。</w:t>
      </w:r>
    </w:p>
    <w:p>
      <w:pPr>
        <w:pStyle w:val="31"/>
        <w:snapToGrid w:val="0"/>
        <w:spacing w:line="576" w:lineRule="exact"/>
        <w:rPr>
          <w:rFonts w:ascii="仿宋" w:eastAsia="仿宋" w:hAnsi="仿宋"/>
          <w:sz w:val="32"/>
          <w:szCs w:val="32"/>
        </w:rPr>
      </w:pPr>
      <w:r>
        <w:rPr>
          <w:rFonts w:ascii="仿宋" w:eastAsia="仿宋" w:hAnsi="仿宋" w:hint="eastAsia"/>
          <w:sz w:val="32"/>
          <w:szCs w:val="32"/>
        </w:rPr>
        <w:t>（4）督促备课组认真研究近几年试题和各科考试说明，吃透精神，把握学科思想及特点，从而做到有的放矢进行复习。加强集体备课，精选统一复习资料，统一测试，统一复习进度。</w:t>
      </w:r>
    </w:p>
    <w:p>
      <w:pPr>
        <w:pStyle w:val="31"/>
        <w:snapToGrid w:val="0"/>
        <w:spacing w:line="576" w:lineRule="exact"/>
        <w:rPr>
          <w:rFonts w:ascii="仿宋" w:eastAsia="仿宋" w:hAnsi="仿宋"/>
          <w:sz w:val="32"/>
          <w:szCs w:val="32"/>
        </w:rPr>
      </w:pPr>
      <w:r>
        <w:rPr>
          <w:rFonts w:ascii="仿宋" w:eastAsia="仿宋" w:hAnsi="仿宋" w:hint="eastAsia"/>
          <w:sz w:val="32"/>
          <w:szCs w:val="32"/>
        </w:rPr>
        <w:t>（5）建立学生跟踪档案，分析每次考试成绩的变化。完善目标责任制，人人明确年级和班级指标，培优补差工作定人、定时。</w:t>
      </w:r>
    </w:p>
    <w:p>
      <w:pPr>
        <w:pStyle w:val="31"/>
        <w:snapToGrid w:val="0"/>
        <w:spacing w:line="576" w:lineRule="exact"/>
        <w:rPr>
          <w:rFonts w:ascii="仿宋" w:eastAsia="仿宋" w:hAnsi="仿宋"/>
          <w:sz w:val="32"/>
          <w:szCs w:val="32"/>
        </w:rPr>
      </w:pPr>
      <w:r>
        <w:rPr>
          <w:rFonts w:ascii="仿宋" w:eastAsia="仿宋" w:hAnsi="仿宋" w:hint="eastAsia"/>
          <w:sz w:val="32"/>
          <w:szCs w:val="32"/>
        </w:rPr>
        <w:t>（6）上好每堂课，提高复习的有效性。上课应重点讲学生未掌握的、学生能掌握的内容。提高作业质量。</w:t>
      </w:r>
    </w:p>
    <w:p>
      <w:pPr>
        <w:pStyle w:val="31"/>
        <w:snapToGrid w:val="0"/>
        <w:spacing w:line="576" w:lineRule="exact"/>
        <w:rPr>
          <w:rFonts w:ascii="仿宋" w:eastAsia="仿宋" w:hAnsi="仿宋"/>
          <w:sz w:val="32"/>
          <w:szCs w:val="32"/>
        </w:rPr>
      </w:pPr>
      <w:r>
        <w:rPr>
          <w:rFonts w:ascii="仿宋" w:eastAsia="仿宋" w:hAnsi="仿宋" w:hint="eastAsia"/>
          <w:sz w:val="32"/>
          <w:szCs w:val="32"/>
        </w:rPr>
        <w:t>（7）保证学生自主学习空间，不挤占学生自习时间，教师做好答疑和个别辅导。</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（8）发扬协作精神，各科协调发展。班主任和任课教师通力合作搞好班级管理和学生思想工作。</w:t>
      </w:r>
    </w:p>
    <w:p>
      <w:pPr>
        <w:snapToGrid w:val="0"/>
        <w:spacing w:line="576" w:lineRule="exact"/>
        <w:ind w:firstLineChars="200" w:firstLine="640"/>
        <w:jc w:val="left"/>
        <w:rPr>
          <w:rFonts w:ascii="仿宋" w:eastAsia="仿宋" w:cs="Tahoma" w:hAnsi="仿宋"/>
          <w:bCs/>
          <w:color w:val="000000"/>
          <w:kern w:val="0"/>
          <w:sz w:val="32"/>
          <w:szCs w:val="32"/>
        </w:rPr>
      </w:pPr>
      <w:r>
        <w:rPr>
          <w:rFonts w:ascii="仿宋" w:eastAsia="仿宋" w:hAnsi="仿宋" w:hint="eastAsia"/>
          <w:sz w:val="32"/>
          <w:szCs w:val="32"/>
        </w:rPr>
        <w:t>（9）</w:t>
      </w:r>
      <w:r>
        <w:rPr>
          <w:rFonts w:ascii="仿宋" w:eastAsia="仿宋" w:cs="Tahoma" w:hAnsi="仿宋" w:hint="eastAsia"/>
          <w:bCs/>
          <w:color w:val="000000"/>
          <w:kern w:val="0"/>
          <w:sz w:val="32"/>
          <w:szCs w:val="32"/>
        </w:rPr>
        <w:t>组织好毕业班考试等常规工作。</w:t>
      </w:r>
    </w:p>
    <w:p>
      <w:pPr>
        <w:pStyle w:val="31"/>
        <w:snapToGrid w:val="0"/>
        <w:spacing w:line="576" w:lineRule="exact"/>
        <w:rPr>
          <w:rFonts w:ascii="仿宋" w:eastAsia="仿宋" w:hAnsi="仿宋"/>
          <w:sz w:val="32"/>
          <w:szCs w:val="32"/>
        </w:rPr>
      </w:pPr>
      <w:r>
        <w:rPr>
          <w:rFonts w:ascii="仿宋" w:eastAsia="仿宋" w:hAnsi="仿宋" w:hint="eastAsia"/>
          <w:sz w:val="32"/>
          <w:szCs w:val="32"/>
        </w:rPr>
        <w:t>（10）加强信息传递，关注中考信息动向，加强与兄弟校之间沟通，研究教学对策。</w:t>
      </w:r>
    </w:p>
    <w:p>
      <w:pPr>
        <w:snapToGrid w:val="0"/>
        <w:spacing w:line="576" w:lineRule="exact"/>
        <w:ind w:firstLineChars="200" w:firstLine="640"/>
        <w:rPr>
          <w:rFonts w:ascii="仿宋" w:eastAsia="仿宋" w:hAnsi="仿宋"/>
          <w:sz w:val="32"/>
          <w:szCs w:val="32"/>
        </w:rPr>
      </w:pPr>
      <w:r>
        <w:rPr>
          <w:rFonts w:ascii="仿宋" w:eastAsia="仿宋" w:hAnsi="仿宋" w:hint="eastAsia"/>
          <w:b/>
          <w:sz w:val="32"/>
          <w:szCs w:val="32"/>
        </w:rPr>
        <w:t>（二）着力教研，助力教学质量提升。</w:t>
      </w:r>
    </w:p>
    <w:p>
      <w:pPr>
        <w:snapToGrid w:val="0"/>
        <w:spacing w:line="576" w:lineRule="exact"/>
        <w:ind w:firstLineChars="200" w:firstLine="640"/>
        <w:rPr>
          <w:rStyle w:val="35"/>
          <w:rFonts w:ascii="仿宋" w:eastAsia="仿宋" w:hAnsi="仿宋"/>
          <w:sz w:val="32"/>
          <w:szCs w:val="32"/>
        </w:rPr>
      </w:pPr>
      <w:r>
        <w:rPr>
          <w:rStyle w:val="35"/>
          <w:rFonts w:ascii="仿宋" w:eastAsia="仿宋" w:hAnsi="仿宋"/>
          <w:sz w:val="32"/>
          <w:szCs w:val="32"/>
        </w:rPr>
        <w:t>1.加强集体备课研讨</w:t>
      </w:r>
      <w:r>
        <w:rPr>
          <w:rStyle w:val="35"/>
          <w:rFonts w:ascii="仿宋" w:eastAsia="仿宋" w:hAnsi="仿宋" w:hint="eastAsia"/>
          <w:sz w:val="32"/>
          <w:szCs w:val="32"/>
        </w:rPr>
        <w:t>，</w:t>
      </w:r>
      <w:r>
        <w:rPr>
          <w:rStyle w:val="35"/>
          <w:rFonts w:ascii="仿宋" w:eastAsia="仿宋" w:hAnsi="仿宋"/>
          <w:sz w:val="32"/>
          <w:szCs w:val="32"/>
        </w:rPr>
        <w:t>促进教学质量提升</w:t>
      </w:r>
      <w:r>
        <w:rPr>
          <w:rStyle w:val="35"/>
          <w:rFonts w:ascii="仿宋" w:eastAsia="仿宋" w:hAnsi="仿宋" w:hint="eastAsia"/>
          <w:sz w:val="32"/>
          <w:szCs w:val="32"/>
        </w:rPr>
        <w:t>。</w:t>
      </w:r>
      <w:r>
        <w:rPr>
          <w:rStyle w:val="35"/>
          <w:rFonts w:ascii="仿宋" w:eastAsia="仿宋" w:hAnsi="仿宋"/>
          <w:sz w:val="32"/>
          <w:szCs w:val="32"/>
        </w:rPr>
        <w:t>以区教研室对我校教学大视导为契机</w:t>
      </w:r>
      <w:r>
        <w:rPr>
          <w:rStyle w:val="35"/>
          <w:rFonts w:ascii="仿宋" w:eastAsia="仿宋" w:hAnsi="仿宋" w:hint="eastAsia"/>
          <w:sz w:val="32"/>
          <w:szCs w:val="32"/>
        </w:rPr>
        <w:t>，</w:t>
      </w:r>
      <w:r>
        <w:rPr>
          <w:rStyle w:val="35"/>
          <w:rFonts w:ascii="仿宋" w:eastAsia="仿宋" w:hAnsi="仿宋"/>
          <w:sz w:val="32"/>
          <w:szCs w:val="32"/>
        </w:rPr>
        <w:t>加强集体备课研讨制度，研讨活动定时间，定地点，严格考勤，充分发挥教师团队合作精神，优化教案、课件，转化研讨成果</w:t>
      </w:r>
      <w:r>
        <w:rPr>
          <w:rStyle w:val="35"/>
          <w:rFonts w:ascii="仿宋" w:eastAsia="仿宋" w:hAnsi="仿宋" w:hint="eastAsia"/>
          <w:sz w:val="32"/>
          <w:szCs w:val="32"/>
        </w:rPr>
        <w:t>，</w:t>
      </w:r>
      <w:r>
        <w:rPr>
          <w:rStyle w:val="35"/>
          <w:rFonts w:ascii="仿宋" w:eastAsia="仿宋" w:hAnsi="仿宋"/>
          <w:sz w:val="32"/>
          <w:szCs w:val="32"/>
        </w:rPr>
        <w:t>提高课堂教学效益，促进教学质量提升。</w:t>
      </w:r>
    </w:p>
    <w:p>
      <w:pPr>
        <w:snapToGrid w:val="0"/>
        <w:spacing w:line="576" w:lineRule="exact"/>
        <w:ind w:firstLineChars="200" w:firstLine="640"/>
        <w:rPr>
          <w:rStyle w:val="35"/>
          <w:rFonts w:ascii="仿宋" w:eastAsia="仿宋" w:hAnsi="仿宋"/>
          <w:sz w:val="32"/>
          <w:szCs w:val="32"/>
        </w:rPr>
      </w:pPr>
      <w:r>
        <w:rPr>
          <w:rStyle w:val="35"/>
          <w:rFonts w:ascii="仿宋" w:eastAsia="仿宋" w:hAnsi="仿宋" w:hint="eastAsia"/>
          <w:sz w:val="32"/>
          <w:szCs w:val="32"/>
        </w:rPr>
        <w:t>2</w:t>
      </w:r>
      <w:r>
        <w:rPr>
          <w:rStyle w:val="35"/>
          <w:rFonts w:ascii="仿宋" w:eastAsia="仿宋" w:hAnsi="仿宋"/>
          <w:sz w:val="32"/>
          <w:szCs w:val="32"/>
        </w:rPr>
        <w:t>.扎实开展课题研究</w:t>
      </w:r>
      <w:r>
        <w:rPr>
          <w:rStyle w:val="35"/>
          <w:rFonts w:ascii="仿宋" w:eastAsia="仿宋" w:hAnsi="仿宋" w:hint="eastAsia"/>
          <w:sz w:val="32"/>
          <w:szCs w:val="32"/>
        </w:rPr>
        <w:t>，</w:t>
      </w:r>
      <w:r>
        <w:rPr>
          <w:rStyle w:val="35"/>
          <w:rFonts w:ascii="仿宋" w:eastAsia="仿宋" w:hAnsi="仿宋"/>
          <w:sz w:val="32"/>
          <w:szCs w:val="32"/>
        </w:rPr>
        <w:t>提升教育科研能力</w:t>
      </w:r>
      <w:r>
        <w:rPr>
          <w:rStyle w:val="35"/>
          <w:rFonts w:ascii="仿宋" w:eastAsia="仿宋" w:hAnsi="仿宋" w:hint="eastAsia"/>
          <w:sz w:val="32"/>
          <w:szCs w:val="32"/>
        </w:rPr>
        <w:t>。</w:t>
      </w:r>
      <w:r>
        <w:rPr>
          <w:rStyle w:val="35"/>
          <w:rFonts w:ascii="仿宋" w:eastAsia="仿宋" w:hAnsi="仿宋"/>
          <w:sz w:val="32"/>
          <w:szCs w:val="32"/>
        </w:rPr>
        <w:t>加强课题的有效研究和过程管理，以课题研究引领校本教研，以校本教研促进课题研究，全面提升教师教育科研能力。</w:t>
      </w:r>
    </w:p>
    <w:p>
      <w:pPr>
        <w:pStyle w:val="31"/>
        <w:snapToGrid w:val="0"/>
        <w:spacing w:line="576" w:lineRule="exact"/>
        <w:rPr>
          <w:rStyle w:val="35"/>
          <w:rFonts w:ascii="仿宋" w:eastAsia="仿宋" w:hAnsi="仿宋"/>
          <w:sz w:val="32"/>
          <w:szCs w:val="32"/>
        </w:rPr>
      </w:pPr>
      <w:r>
        <w:rPr>
          <w:rStyle w:val="35"/>
          <w:rFonts w:ascii="仿宋" w:eastAsia="仿宋" w:hAnsi="仿宋" w:hint="eastAsia"/>
          <w:sz w:val="32"/>
          <w:szCs w:val="32"/>
        </w:rPr>
        <w:t>3</w:t>
      </w:r>
      <w:r>
        <w:rPr>
          <w:rStyle w:val="35"/>
          <w:rFonts w:ascii="仿宋" w:eastAsia="仿宋" w:hAnsi="仿宋"/>
          <w:sz w:val="32"/>
          <w:szCs w:val="32"/>
        </w:rPr>
        <w:t>.继续开展教学大比武活动</w:t>
      </w:r>
      <w:r>
        <w:rPr>
          <w:rStyle w:val="35"/>
          <w:rFonts w:ascii="仿宋" w:eastAsia="仿宋" w:hAnsi="仿宋" w:hint="eastAsia"/>
          <w:sz w:val="32"/>
          <w:szCs w:val="32"/>
        </w:rPr>
        <w:t>，</w:t>
      </w:r>
      <w:r>
        <w:rPr>
          <w:rStyle w:val="35"/>
          <w:rFonts w:ascii="仿宋" w:eastAsia="仿宋" w:hAnsi="仿宋"/>
          <w:sz w:val="32"/>
          <w:szCs w:val="32"/>
        </w:rPr>
        <w:t>切实助推教师专业成长</w:t>
      </w:r>
      <w:r>
        <w:rPr>
          <w:rStyle w:val="35"/>
          <w:rFonts w:ascii="仿宋" w:eastAsia="仿宋" w:hAnsi="仿宋" w:hint="eastAsia"/>
          <w:sz w:val="32"/>
          <w:szCs w:val="32"/>
        </w:rPr>
        <w:t>。</w:t>
      </w:r>
    </w:p>
    <w:p>
      <w:pPr>
        <w:snapToGrid w:val="0"/>
        <w:spacing w:line="576" w:lineRule="exact"/>
        <w:ind w:firstLineChars="200" w:firstLine="640"/>
        <w:rPr>
          <w:rStyle w:val="35"/>
          <w:rFonts w:ascii="仿宋" w:eastAsia="仿宋" w:hAnsi="仿宋"/>
          <w:sz w:val="32"/>
          <w:szCs w:val="32"/>
        </w:rPr>
      </w:pPr>
      <w:r>
        <w:rPr>
          <w:rStyle w:val="35"/>
          <w:rFonts w:ascii="仿宋" w:eastAsia="仿宋" w:hAnsi="仿宋"/>
          <w:sz w:val="32"/>
          <w:szCs w:val="32"/>
        </w:rPr>
        <w:t>本学期将在语文组、</w:t>
      </w:r>
      <w:r>
        <w:rPr>
          <w:rStyle w:val="35"/>
          <w:rFonts w:ascii="仿宋" w:eastAsia="仿宋" w:hAnsi="仿宋" w:hint="eastAsia"/>
          <w:sz w:val="32"/>
          <w:szCs w:val="32"/>
        </w:rPr>
        <w:t>数学组</w:t>
      </w:r>
      <w:r>
        <w:rPr>
          <w:rStyle w:val="35"/>
          <w:rFonts w:ascii="仿宋" w:eastAsia="仿宋" w:hAnsi="仿宋"/>
          <w:sz w:val="32"/>
          <w:szCs w:val="32"/>
        </w:rPr>
        <w:t>、</w:t>
      </w:r>
      <w:r>
        <w:rPr>
          <w:rStyle w:val="35"/>
          <w:rFonts w:ascii="仿宋" w:eastAsia="仿宋" w:hAnsi="仿宋" w:hint="eastAsia"/>
          <w:sz w:val="32"/>
          <w:szCs w:val="32"/>
        </w:rPr>
        <w:t>综合</w:t>
      </w:r>
      <w:r>
        <w:rPr>
          <w:rStyle w:val="35"/>
          <w:rFonts w:ascii="仿宋" w:eastAsia="仿宋" w:hAnsi="仿宋"/>
          <w:sz w:val="32"/>
          <w:szCs w:val="32"/>
        </w:rPr>
        <w:t>组开展教学大比武活动，“以赛促教”，推进课堂教学改革，促进教师专业发展。</w:t>
      </w:r>
    </w:p>
    <w:p>
      <w:pPr>
        <w:snapToGrid w:val="0"/>
        <w:spacing w:line="576" w:lineRule="exact"/>
        <w:ind w:firstLineChars="200" w:firstLine="640"/>
        <w:rPr>
          <w:rStyle w:val="35"/>
          <w:rFonts w:ascii="仿宋" w:eastAsia="仿宋" w:hAnsi="仿宋"/>
          <w:sz w:val="32"/>
          <w:szCs w:val="32"/>
        </w:rPr>
      </w:pPr>
      <w:r>
        <w:rPr>
          <w:rStyle w:val="35"/>
          <w:rFonts w:ascii="仿宋" w:eastAsia="仿宋" w:hAnsi="仿宋"/>
          <w:sz w:val="32"/>
          <w:szCs w:val="32"/>
        </w:rPr>
        <w:t>4.夯实常规教研</w:t>
      </w:r>
      <w:r>
        <w:rPr>
          <w:rStyle w:val="35"/>
          <w:rFonts w:ascii="仿宋" w:eastAsia="仿宋" w:hAnsi="仿宋" w:hint="eastAsia"/>
          <w:sz w:val="32"/>
          <w:szCs w:val="32"/>
        </w:rPr>
        <w:t>。</w:t>
      </w:r>
      <w:r>
        <w:rPr>
          <w:rStyle w:val="35"/>
          <w:rFonts w:ascii="仿宋" w:eastAsia="仿宋" w:hAnsi="仿宋"/>
          <w:sz w:val="32"/>
          <w:szCs w:val="32"/>
        </w:rPr>
        <w:t>开展组内上课、说课、听课、评课活动；开展教育信息化</w:t>
      </w:r>
      <w:r>
        <w:rPr>
          <w:rStyle w:val="35"/>
          <w:rFonts w:ascii="仿宋" w:eastAsia="仿宋" w:hAnsi="仿宋" w:hint="eastAsia"/>
          <w:sz w:val="32"/>
          <w:szCs w:val="32"/>
        </w:rPr>
        <w:t>、</w:t>
      </w:r>
      <w:r>
        <w:rPr>
          <w:rStyle w:val="35"/>
          <w:rFonts w:ascii="仿宋" w:eastAsia="仿宋" w:hAnsi="仿宋"/>
          <w:sz w:val="32"/>
          <w:szCs w:val="32"/>
        </w:rPr>
        <w:t>现代化专题学习活动；开展论文评比活动，择优编辑论文集。</w:t>
      </w:r>
    </w:p>
    <w:p>
      <w:pPr>
        <w:snapToGrid w:val="0"/>
        <w:spacing w:line="576" w:lineRule="exact"/>
        <w:ind w:firstLineChars="200" w:firstLine="640"/>
        <w:rPr>
          <w:rStyle w:val="35"/>
          <w:rFonts w:ascii="仿宋" w:eastAsia="仿宋" w:hAnsi="仿宋"/>
          <w:sz w:val="32"/>
          <w:szCs w:val="32"/>
        </w:rPr>
      </w:pPr>
      <w:r>
        <w:rPr>
          <w:rStyle w:val="35"/>
          <w:rFonts w:ascii="仿宋" w:eastAsia="仿宋" w:hAnsi="仿宋"/>
          <w:sz w:val="32"/>
          <w:szCs w:val="32"/>
        </w:rPr>
        <w:t>5.继续抓好“青蓝工程”。通过“名师引领、培训学习、教学大比武”等平台，打造一批能“走得出去”的真名师。</w:t>
      </w:r>
    </w:p>
    <w:p>
      <w:pPr>
        <w:snapToGrid w:val="0"/>
        <w:spacing w:line="576" w:lineRule="exact"/>
        <w:ind w:firstLineChars="200" w:firstLine="640"/>
        <w:rPr>
          <w:rStyle w:val="35"/>
          <w:rFonts w:ascii="仿宋" w:eastAsia="仿宋" w:hAnsi="仿宋"/>
          <w:sz w:val="32"/>
          <w:szCs w:val="32"/>
        </w:rPr>
      </w:pPr>
      <w:r>
        <w:rPr>
          <w:rStyle w:val="35"/>
          <w:rFonts w:ascii="仿宋" w:eastAsia="仿宋" w:hAnsi="仿宋"/>
          <w:sz w:val="32"/>
          <w:szCs w:val="32"/>
        </w:rPr>
        <w:t>6.加强校际交流。采取“请进来</w:t>
      </w:r>
      <w:r>
        <w:rPr>
          <w:rStyle w:val="35"/>
          <w:rFonts w:ascii="仿宋" w:eastAsia="仿宋" w:hAnsi="仿宋" w:hint="eastAsia"/>
          <w:sz w:val="32"/>
          <w:szCs w:val="32"/>
        </w:rPr>
        <w:t>、</w:t>
      </w:r>
      <w:r>
        <w:rPr>
          <w:rStyle w:val="35"/>
          <w:rFonts w:ascii="仿宋" w:eastAsia="仿宋" w:hAnsi="仿宋"/>
          <w:sz w:val="32"/>
          <w:szCs w:val="32"/>
        </w:rPr>
        <w:t>走出去”的方式，给教师创设学习机会，搭建“充电”平台。组织教师外出培训，开阔视野，增长见识，不断提高课堂教学能力。</w:t>
      </w:r>
    </w:p>
    <w:p>
      <w:pPr>
        <w:snapToGrid w:val="0"/>
        <w:spacing w:line="576" w:lineRule="exact"/>
        <w:ind w:firstLineChars="200" w:firstLine="640"/>
        <w:rPr>
          <w:rStyle w:val="35"/>
          <w:rFonts w:ascii="仿宋" w:eastAsia="仿宋" w:hAnsi="仿宋"/>
          <w:sz w:val="32"/>
          <w:szCs w:val="32"/>
        </w:rPr>
      </w:pPr>
      <w:r>
        <w:rPr>
          <w:rStyle w:val="35"/>
          <w:rFonts w:ascii="仿宋" w:eastAsia="仿宋" w:hAnsi="仿宋"/>
          <w:sz w:val="32"/>
          <w:szCs w:val="32"/>
        </w:rPr>
        <w:t>7.增强校园学术氛围，择优刊发教师教育教学经验文章、教学案及学生作品。</w:t>
      </w:r>
    </w:p>
    <w:p>
      <w:pPr>
        <w:snapToGrid w:val="0"/>
        <w:spacing w:line="576" w:lineRule="exact"/>
        <w:ind w:firstLineChars="200" w:firstLine="640"/>
        <w:rPr>
          <w:rStyle w:val="35"/>
          <w:rFonts w:ascii="仿宋" w:eastAsia="仿宋" w:hAnsi="仿宋"/>
          <w:sz w:val="32"/>
          <w:szCs w:val="32"/>
        </w:rPr>
      </w:pPr>
      <w:r>
        <w:rPr>
          <w:rStyle w:val="35"/>
          <w:rFonts w:ascii="仿宋" w:eastAsia="仿宋" w:hAnsi="仿宋"/>
          <w:sz w:val="32"/>
          <w:szCs w:val="32"/>
        </w:rPr>
        <w:t>8.抓好学校艺体教研工作。以活动为载体，全面提升学校艺体教育水平，凸显学校办学特色。</w:t>
      </w:r>
    </w:p>
    <w:p>
      <w:pPr>
        <w:snapToGrid w:val="0"/>
        <w:spacing w:line="576" w:lineRule="exact"/>
        <w:ind w:firstLineChars="200" w:firstLine="640"/>
        <w:rPr>
          <w:rFonts w:ascii="仿宋" w:eastAsia="仿宋" w:hAnsi="仿宋"/>
          <w:sz w:val="32"/>
          <w:szCs w:val="32"/>
        </w:rPr>
      </w:pPr>
      <w:r>
        <w:rPr>
          <w:rFonts w:ascii="仿宋" w:eastAsia="仿宋" w:hAnsi="仿宋" w:hint="eastAsia"/>
          <w:b/>
          <w:sz w:val="32"/>
          <w:szCs w:val="32"/>
        </w:rPr>
        <w:t>（三）努力做好招生工作，确保学生数量、质量双提升。</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1.做好学校教学质量、师资、教学设施设备、住宿条件、校园环境等软硬件宣传。</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2.成立招生领导小组。实行“定人定校”制度，确保全面覆盖、重点突出。</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3.密切联系毕业班班主任，发挥班主任效应，对毕业班学生提出的任何疑问及时做出合理回复。</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4.将招生工作作为学校重点工作，给全校职工分配招生名额，职工按要求完成招生任务，并将教职工招生情况纳入考核。</w:t>
      </w:r>
    </w:p>
    <w:p>
      <w:pPr>
        <w:snapToGrid w:val="0"/>
        <w:spacing w:line="576" w:lineRule="exact"/>
        <w:ind w:firstLineChars="200" w:firstLine="640"/>
        <w:rPr>
          <w:rFonts w:ascii="仿宋" w:eastAsia="仿宋" w:hAnsi="仿宋"/>
          <w:b/>
          <w:sz w:val="32"/>
          <w:szCs w:val="32"/>
        </w:rPr>
      </w:pPr>
      <w:r>
        <w:rPr>
          <w:rFonts w:ascii="仿宋" w:eastAsia="仿宋" w:hAnsi="仿宋" w:hint="eastAsia"/>
          <w:b/>
          <w:sz w:val="32"/>
          <w:szCs w:val="32"/>
        </w:rPr>
        <w:t>（四）扎实推进师德师风建设，严格做到“以身作则、身正为范”。</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1.加大宣传、学习力度。充分利用“微信群”、“QQ群”、宣传栏、教职工大会等平台，线上线下同时发力，广泛开展师德师风建设教育宣传活动，进一步增强广大教师立德树人的责任感和使命感。</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2.多措并举，开展师德师风建设活动。积极开展“最美教师”评选、师德教育征文、师德演讲比赛等活动，签订师德师风承诺书，召开师德研讨会、座谈会，推动师德师风建设常态化。</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3.及时总结，确保活动实效。活动过程中及时总结、宣传优秀典型和先进事迹，用先进典型鼓舞人、教育人，形成学校重视师德、教师注重师表、学生尊重教师、家长配合学校的良好氛围。</w:t>
      </w:r>
    </w:p>
    <w:p>
      <w:pPr>
        <w:snapToGrid w:val="0"/>
        <w:spacing w:line="576" w:lineRule="exact"/>
        <w:ind w:firstLineChars="200" w:firstLine="640"/>
        <w:rPr>
          <w:rFonts w:ascii="仿宋" w:eastAsia="仿宋" w:hAnsi="仿宋"/>
          <w:b/>
          <w:sz w:val="32"/>
          <w:szCs w:val="32"/>
        </w:rPr>
      </w:pPr>
      <w:r>
        <w:rPr>
          <w:rFonts w:ascii="仿宋" w:eastAsia="仿宋" w:hAnsi="仿宋" w:hint="eastAsia"/>
          <w:color w:val="373535"/>
          <w:sz w:val="32"/>
          <w:szCs w:val="32"/>
          <w:shd w:val="clear" w:color="auto" w:fill="FFFFFF"/>
        </w:rPr>
        <w:t>4.</w:t>
      </w:r>
      <w:r>
        <w:rPr>
          <w:rFonts w:ascii="仿宋" w:eastAsia="仿宋" w:hAnsi="仿宋" w:hint="eastAsia"/>
          <w:sz w:val="32"/>
          <w:szCs w:val="32"/>
        </w:rPr>
        <w:t>自查自纠，建立考核机制。围绕是否向学生推销资料、索要家长礼品、有偿补课办班等内容进行自查，真正用好考核、奖惩、监督“三位一体”师德建设考核机制。</w:t>
      </w:r>
    </w:p>
    <w:p>
      <w:pPr>
        <w:snapToGrid w:val="0"/>
        <w:spacing w:line="576" w:lineRule="exact"/>
        <w:ind w:firstLineChars="200" w:firstLine="640"/>
        <w:rPr>
          <w:rFonts w:ascii="仿宋" w:eastAsia="仿宋" w:hAnsi="仿宋"/>
          <w:b/>
          <w:sz w:val="32"/>
          <w:szCs w:val="32"/>
        </w:rPr>
      </w:pPr>
      <w:r>
        <w:rPr>
          <w:rFonts w:ascii="仿宋" w:eastAsia="仿宋" w:hAnsi="仿宋" w:hint="eastAsia"/>
          <w:b/>
          <w:sz w:val="32"/>
          <w:szCs w:val="32"/>
        </w:rPr>
        <w:t>（五）落实落细意识形态工作。</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1.加强党史的学习。通过学习党史，建立正确的党史观和科学的方法论，提高自身的思想认识与理论涵养；感悟马克思主义的真理力量和实践力量；坚持不懈用党的创新理论成果武装头脑，指导实践，推动工作；增强工作的系统性、预见性、创造性；深刻认识党的宗旨是一切为了人民、一切依靠人民；要总结运用党在不同历史时期成功应对风险挑战的丰富经验，不断增强斗争意识、丰富斗争经验、提升斗争本领；要大力发扬红色传统、传承红色基因，鼓起迈进新征程、奋进新时代的精气神；要从党史中汲取正反两方面历史经验，坚定不移向党中央看齐，确保全党上下拧成一股绳，心往一处想、劲往一处使。概括起来讲就是学史明理、学史增信、学史崇德、学史力行。</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2.理论学习不放松。通过理论学习强化核心价值的主导地位，牢牢掌握意识形态工作的领导权、管理权、话语权。把深入学习贯彻习近平总书记重要讲话精神贯穿到学校工作的始终，坚决贯彻执行党的理论和路线方针政策，在意识形态斗争中要敢抓敢管、善抓善管，敢于负责、敢于亮剑。真正做到在队伍建设上强起来。</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3. 注重舆论引导，加强宣传力度。不断创新意识形态建设载体和方法，利用多种途径，推进社会主义核心价值体系建设，努力培养良好道德风尚。定期召开会议，研讨网络热点和舆论风向，及时做好重要节点和敏感时期的舆论监管。</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4. 按照区教育局党办要求完成月度、季度、年度党建工作。</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color w:val="424242"/>
          <w:sz w:val="32"/>
          <w:szCs w:val="32"/>
          <w:shd w:val="clear" w:color="auto" w:fill="FFFFFF"/>
        </w:rPr>
        <w:t xml:space="preserve"> </w:t>
      </w:r>
      <w:r>
        <w:rPr>
          <w:rFonts w:ascii="仿宋" w:eastAsia="仿宋" w:hAnsi="仿宋" w:hint="eastAsia"/>
          <w:sz w:val="32"/>
          <w:szCs w:val="32"/>
        </w:rPr>
        <w:t>加强网络意识形态管理。</w:t>
      </w:r>
    </w:p>
    <w:p>
      <w:pPr>
        <w:snapToGrid w:val="0"/>
        <w:spacing w:line="576" w:lineRule="exact"/>
        <w:ind w:firstLineChars="200" w:firstLine="640"/>
        <w:rPr>
          <w:rFonts w:ascii="仿宋" w:eastAsia="仿宋" w:hAnsi="仿宋"/>
          <w:b/>
          <w:sz w:val="32"/>
          <w:szCs w:val="32"/>
        </w:rPr>
      </w:pPr>
      <w:r>
        <w:rPr>
          <w:rFonts w:ascii="仿宋" w:eastAsia="仿宋" w:hAnsi="仿宋" w:hint="eastAsia"/>
          <w:b/>
          <w:sz w:val="32"/>
          <w:szCs w:val="32"/>
        </w:rPr>
        <w:t>（六）立德树人，培育和践行社会主义核心价值观。</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1.完善班级常规管理细则，并全面实施考核。</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2.继续抓好“文明”、“规范”两大主题教育。</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3.全面开展全员育人、全过程育人、全方位育人的“三全德育”工作。</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4.组织“献礼新校园 争当好少年”评选系列活动。</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5.开展励志教育活动。</w:t>
      </w:r>
    </w:p>
    <w:p>
      <w:pPr>
        <w:snapToGrid w:val="0"/>
        <w:spacing w:line="576" w:lineRule="exact"/>
        <w:ind w:firstLineChars="200" w:firstLine="640"/>
        <w:rPr>
          <w:rFonts w:ascii="仿宋" w:eastAsia="仿宋" w:hAnsi="仿宋"/>
          <w:b/>
          <w:sz w:val="32"/>
          <w:szCs w:val="32"/>
        </w:rPr>
      </w:pPr>
      <w:r>
        <w:rPr>
          <w:rFonts w:ascii="仿宋" w:eastAsia="仿宋" w:hAnsi="仿宋" w:hint="eastAsia"/>
          <w:b/>
          <w:sz w:val="32"/>
          <w:szCs w:val="32"/>
        </w:rPr>
        <w:t>（七）强化素质教育，推动学校特色发展。</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1. 认真贯彻落实《学校体育工作条例》、《学校艺术教育工作规程》，开齐、开足体育课、艺术课，艺体教师制定工作计划，上好体育课、艺术课，提高艺体学科教学质量。</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2.召开春季运动会，包括田径类（跳高、跳远、投掷、跑步）和球类（篮球、乒乓球、排球、羽毛球）。达到以赛促教，培养学生全面发展的目的。</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3.通过歌咏比赛、美术作品展、载体，培养学生爱国、进步、民主、科学的精神，提高学生对美的追求。</w:t>
      </w:r>
    </w:p>
    <w:p>
      <w:pPr>
        <w:snapToGrid w:val="0"/>
        <w:spacing w:line="576" w:lineRule="exact"/>
        <w:ind w:firstLineChars="200" w:firstLine="640"/>
        <w:rPr>
          <w:rFonts w:ascii="仿宋" w:eastAsia="仿宋" w:hAnsi="仿宋"/>
          <w:b/>
          <w:sz w:val="32"/>
          <w:szCs w:val="32"/>
        </w:rPr>
      </w:pPr>
      <w:r>
        <w:rPr>
          <w:rFonts w:ascii="仿宋" w:eastAsia="仿宋" w:hAnsi="仿宋" w:hint="eastAsia"/>
          <w:b/>
          <w:sz w:val="32"/>
          <w:szCs w:val="32"/>
        </w:rPr>
        <w:t>（八）确保学校安全，提升后勤服务质量。</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1. 加强校园及周边治安综合治理，确保学校不出现安全事故。定期开展应急疏散演练，把安全教育纳入全校学生日常活动范畴。</w:t>
      </w:r>
    </w:p>
    <w:p>
      <w:pPr>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2.定期对食堂、宿舍、教室及功能用房进行多次全面消杀；全校各班及时召开季节性传染病防控专题班会；设置卫生健康知识专栏；开展禁毒防艾滋病知识讲座和班会；加强学生“三检”工作，细化疫情报告制度；严把校园检测关，对来访人员及外出返校教职工、学生严格按照疫情防控要求进行相关检测，符合相关要求才能入校、上班、上学。</w:t>
      </w:r>
    </w:p>
    <w:p>
      <w:pPr>
        <w:adjustRightInd w:val="0"/>
        <w:snapToGrid w:val="0"/>
        <w:spacing w:line="576" w:lineRule="exact"/>
        <w:ind w:firstLineChars="200" w:firstLine="640"/>
        <w:rPr>
          <w:rFonts w:ascii="仿宋" w:eastAsia="仿宋" w:cs="仿宋" w:hAnsi="仿宋"/>
          <w:sz w:val="32"/>
          <w:szCs w:val="32"/>
        </w:rPr>
      </w:pPr>
      <w:r>
        <w:rPr>
          <w:rFonts w:ascii="仿宋" w:eastAsia="仿宋" w:hAnsi="仿宋" w:hint="eastAsia"/>
          <w:sz w:val="32"/>
          <w:szCs w:val="32"/>
        </w:rPr>
        <w:t>3.</w:t>
      </w:r>
      <w:r>
        <w:rPr>
          <w:rFonts w:ascii="仿宋" w:eastAsia="仿宋" w:cs="仿宋" w:hAnsi="仿宋" w:hint="eastAsia"/>
          <w:sz w:val="32"/>
          <w:szCs w:val="32"/>
        </w:rPr>
        <w:t xml:space="preserve"> 对学校食堂加强监管，全面提升服务水平，保障学生健康成长。加强师生食堂、宿舍等管理，提高师生满意度。</w:t>
      </w:r>
    </w:p>
    <w:p>
      <w:pPr>
        <w:widowControl/>
        <w:jc w:val="left"/>
        <w:rPr>
          <w:rFonts w:ascii="仿宋" w:eastAsia="仿宋" w:hAnsi="仿宋"/>
          <w:kern w:val="0"/>
          <w:sz w:val="32"/>
          <w:szCs w:val="32"/>
        </w:rPr>
      </w:pPr>
      <w:bookmarkEnd w:id="21"/>
      <w:bookmarkEnd w:id="22"/>
      <w:r>
        <w:rPr>
          <w:rFonts w:ascii="仿宋" w:eastAsia="仿宋" w:hAnsi="仿宋"/>
          <w:sz w:val="32"/>
          <w:szCs w:val="32"/>
        </w:rPr>
        <w:br w:type="page"/>
      </w:r>
    </w:p>
    <w:p>
      <w:pPr>
        <w:pStyle w:val="1"/>
        <w:tabs>
          <w:tab w:val="left" w:pos="8620"/>
        </w:tabs>
        <w:ind w:right="25"/>
        <w:jc w:val="center"/>
        <w:rPr>
          <w:rStyle w:val="1Char"/>
          <w:rFonts w:ascii="黑体" w:eastAsia="黑体" w:hAnsi="黑体"/>
          <w:bCs/>
        </w:rPr>
      </w:pPr>
      <w:bookmarkStart w:id="23" w:name="_Toc15377204"/>
      <w:bookmarkStart w:id="24" w:name="_Toc15396602"/>
      <w:r>
        <w:rPr>
          <w:rFonts w:ascii="黑体" w:eastAsia="黑体" w:hAnsi="黑体" w:hint="eastAsia"/>
          <w:b w:val="0"/>
        </w:rPr>
        <w:t>第二部分 2021年度</w:t>
      </w:r>
      <w:r>
        <w:rPr>
          <w:rStyle w:val="1Char"/>
          <w:rFonts w:ascii="黑体" w:eastAsia="黑体" w:hAnsi="黑体" w:hint="eastAsia"/>
        </w:rPr>
        <w:t>部门决算情况说明</w:t>
      </w:r>
      <w:bookmarkEnd w:id="23"/>
      <w:bookmarkEnd w:id="24"/>
    </w:p>
    <w:p/>
    <w:p>
      <w:pPr>
        <w:pStyle w:val="31"/>
        <w:numPr>
          <w:ilvl w:val="0"/>
          <w:numId w:val="1"/>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sz w:val="32"/>
          <w:szCs w:val="32"/>
        </w:rPr>
        <w:t>收</w:t>
      </w:r>
      <w:r>
        <w:rPr>
          <w:rStyle w:val="2Char"/>
          <w:rFonts w:ascii="黑体" w:eastAsia="黑体" w:hAnsi="黑体" w:hint="eastAsia"/>
        </w:rPr>
        <w:t>入支出决算总体情况说明</w:t>
      </w:r>
      <w:bookmarkEnd w:id="25"/>
      <w:bookmarkEnd w:id="26"/>
    </w:p>
    <w:p>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2021年度收、支总计879.42万元。与2020年相比，收、支总计各增加95.18万元，增长12.13</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color w:val="000000"/>
          <w:sz w:val="32"/>
          <w:szCs w:val="32"/>
        </w:rPr>
        <w:t>教职工工资收入年度正常增长。</w:t>
      </w:r>
    </w:p>
    <w:p>
      <w:pPr>
        <w:pStyle w:val="15"/>
        <w:spacing w:beforeLines="0" w:before="93"/>
        <w:ind w:firstLineChars="200" w:firstLine="640"/>
        <w:rPr>
          <w:sz w:val="32"/>
          <w:szCs w:val="32"/>
        </w:rPr>
      </w:pPr>
      <w:r>
        <w:rPr>
          <w:sz w:val="32"/>
          <w:szCs w:val="32"/>
        </w:rPr>
        <w:drawing>
          <wp:anchor distT="0" distB="0" distL="114300" distR="114300" simplePos="0" relativeHeight="22" behindDoc="0" locked="0" layoutInCell="1" hidden="0" allowOverlap="1">
            <wp:simplePos x="0" y="0"/>
            <wp:positionH relativeFrom="column">
              <wp:posOffset>266065</wp:posOffset>
            </wp:positionH>
            <wp:positionV relativeFrom="paragraph">
              <wp:posOffset>164464</wp:posOffset>
            </wp:positionV>
            <wp:extent cx="5118100" cy="2514600"/>
            <wp:effectExtent l="0" t="0" r="0" b="0"/>
            <wp:wrapTight wrapText="bothSides">
              <wp:wrapPolygon>
                <wp:start x="0" y="0"/>
                <wp:lineTo x="0" y="21600"/>
                <wp:lineTo x="21600" y="21600"/>
                <wp:lineTo x="21600" y="0"/>
                <wp:lineTo x="0" y="0"/>
              </wp:wrapPolygon>
            </wp:wrapTight>
            <wp:docPr id="9" name="图表 1"/>
            <wp:cNvGraphicFramePr>
              <a:graphicFrameLocks noChangeAspect="0"/>
            </wp:cNvGraphicFramePr>
            <a:graphic>
              <a:graphicData uri="http://schemas.openxmlformats.org/drawingml/2006/chart">
                <c:chart xmlns:c="http://schemas.openxmlformats.org/drawingml/2006/chart" r:id="rId4"/>
              </a:graphicData>
            </a:graphic>
          </wp:anchor>
        </w:drawing>
      </w: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pPr>
        <w:pStyle w:val="31"/>
        <w:numPr>
          <w:ilvl w:val="0"/>
          <w:numId w:val="1"/>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sz w:val="32"/>
          <w:szCs w:val="32"/>
        </w:rPr>
        <w:t>收</w:t>
      </w:r>
      <w:r>
        <w:rPr>
          <w:rStyle w:val="2Char"/>
          <w:rFonts w:ascii="黑体" w:eastAsia="黑体" w:hAnsi="黑体" w:hint="eastAsia"/>
        </w:rPr>
        <w:t>入决算情况说明</w:t>
      </w:r>
      <w:bookmarkEnd w:id="27"/>
      <w:bookmarkEnd w:id="28"/>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21年本年收入合计701.41万元，其中：一般公共预算财政拨款收入693.52万元，占98.87</w:t>
      </w:r>
      <w:r>
        <w:rPr>
          <w:rFonts w:ascii="仿宋" w:eastAsia="仿宋" w:hAnsi="仿宋"/>
          <w:sz w:val="32"/>
          <w:szCs w:val="32"/>
        </w:rPr>
        <w:t>%</w:t>
      </w:r>
      <w:r>
        <w:rPr>
          <w:rFonts w:ascii="仿宋" w:eastAsia="仿宋" w:hAnsi="仿宋" w:hint="eastAsia"/>
          <w:sz w:val="32"/>
          <w:szCs w:val="32"/>
        </w:rPr>
        <w:t>；政府性基金预算财政拨款收入0.00万元，占0.00</w:t>
      </w:r>
      <w:r>
        <w:rPr>
          <w:rFonts w:ascii="仿宋" w:eastAsia="仿宋" w:hAnsi="仿宋"/>
          <w:sz w:val="32"/>
          <w:szCs w:val="32"/>
        </w:rPr>
        <w:t>%</w:t>
      </w:r>
      <w:r>
        <w:rPr>
          <w:rFonts w:ascii="仿宋" w:eastAsia="仿宋" w:hAnsi="仿宋" w:hint="eastAsia"/>
          <w:sz w:val="32"/>
          <w:szCs w:val="32"/>
        </w:rPr>
        <w:t>；国有资本经营预算财政拨款收入0.00万元，占0.00</w:t>
      </w:r>
      <w:r>
        <w:rPr>
          <w:rFonts w:ascii="仿宋" w:eastAsia="仿宋" w:hAnsi="仿宋"/>
          <w:sz w:val="32"/>
          <w:szCs w:val="32"/>
        </w:rPr>
        <w:t>%</w:t>
      </w:r>
      <w:r>
        <w:rPr>
          <w:rFonts w:ascii="仿宋" w:eastAsia="仿宋" w:hAnsi="仿宋" w:hint="eastAsia"/>
          <w:sz w:val="32"/>
          <w:szCs w:val="32"/>
        </w:rPr>
        <w:t>；上级补助收入0.00万元，占0.00</w:t>
      </w:r>
      <w:r>
        <w:rPr>
          <w:rFonts w:ascii="仿宋" w:eastAsia="仿宋" w:hAnsi="仿宋"/>
          <w:sz w:val="32"/>
          <w:szCs w:val="32"/>
        </w:rPr>
        <w:t>%</w:t>
      </w:r>
      <w:r>
        <w:rPr>
          <w:rFonts w:ascii="仿宋" w:eastAsia="仿宋" w:hAnsi="仿宋" w:hint="eastAsia"/>
          <w:sz w:val="32"/>
          <w:szCs w:val="32"/>
        </w:rPr>
        <w:t>；事业收入0.00万元，占0.00</w:t>
      </w:r>
      <w:r>
        <w:rPr>
          <w:rFonts w:ascii="仿宋" w:eastAsia="仿宋" w:hAnsi="仿宋"/>
          <w:sz w:val="32"/>
          <w:szCs w:val="32"/>
        </w:rPr>
        <w:t>%</w:t>
      </w:r>
      <w:r>
        <w:rPr>
          <w:rFonts w:ascii="仿宋" w:eastAsia="仿宋" w:hAnsi="仿宋" w:hint="eastAsia"/>
          <w:sz w:val="32"/>
          <w:szCs w:val="32"/>
        </w:rPr>
        <w:t>；经营收入0.00万元，占0.00</w:t>
      </w:r>
      <w:r>
        <w:rPr>
          <w:rFonts w:ascii="仿宋" w:eastAsia="仿宋" w:hAnsi="仿宋"/>
          <w:sz w:val="32"/>
          <w:szCs w:val="32"/>
        </w:rPr>
        <w:t>%</w:t>
      </w:r>
      <w:r>
        <w:rPr>
          <w:rFonts w:ascii="仿宋" w:eastAsia="仿宋" w:hAnsi="仿宋" w:hint="eastAsia"/>
          <w:sz w:val="32"/>
          <w:szCs w:val="32"/>
        </w:rPr>
        <w:t>；附属单位上缴收入0.00万元，占0.00</w:t>
      </w:r>
      <w:r>
        <w:rPr>
          <w:rFonts w:ascii="仿宋" w:eastAsia="仿宋" w:hAnsi="仿宋"/>
          <w:sz w:val="32"/>
          <w:szCs w:val="32"/>
        </w:rPr>
        <w:t>%</w:t>
      </w:r>
      <w:r>
        <w:rPr>
          <w:rFonts w:ascii="仿宋" w:eastAsia="仿宋" w:hAnsi="仿宋" w:hint="eastAsia"/>
          <w:sz w:val="32"/>
          <w:szCs w:val="32"/>
        </w:rPr>
        <w:t>；其他收入7.89万元，占1.13</w:t>
      </w:r>
      <w:r>
        <w:rPr>
          <w:rFonts w:ascii="仿宋" w:eastAsia="仿宋" w:hAnsi="仿宋"/>
          <w:sz w:val="32"/>
          <w:szCs w:val="32"/>
        </w:rPr>
        <w:t>%</w:t>
      </w:r>
      <w:r>
        <w:rPr>
          <w:rFonts w:ascii="仿宋" w:eastAsia="仿宋" w:hAnsi="仿宋" w:hint="eastAsia"/>
          <w:sz w:val="32"/>
          <w:szCs w:val="32"/>
        </w:rPr>
        <w:t>。</w:t>
      </w:r>
    </w:p>
    <w:p>
      <w:pPr>
        <w:spacing w:line="600" w:lineRule="exact"/>
        <w:ind w:firstLineChars="200" w:firstLine="640"/>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01表</w:t>
      </w:r>
      <w:r>
        <w:rPr>
          <w:rFonts w:ascii="仿宋" w:eastAsia="仿宋" w:hAnsi="仿宋" w:hint="eastAsia"/>
          <w:b/>
          <w:sz w:val="32"/>
          <w:szCs w:val="32"/>
        </w:rPr>
        <w:t>，仅罗列本部门涉及的收入。</w:t>
      </w:r>
      <w:r>
        <w:rPr>
          <w:rFonts w:ascii="仿宋" w:eastAsia="仿宋" w:hAnsi="仿宋"/>
          <w:b/>
          <w:sz w:val="32"/>
          <w:szCs w:val="32"/>
        </w:rPr>
        <w:t>）</w:t>
      </w:r>
    </w:p>
    <w:p>
      <w:pPr>
        <w:spacing w:line="600" w:lineRule="exact"/>
        <w:jc w:val="center"/>
        <w:rPr>
          <w:rFonts w:ascii="仿宋" w:eastAsia="仿宋" w:hAnsi="仿宋"/>
          <w:sz w:val="32"/>
          <w:szCs w:val="32"/>
        </w:rPr>
      </w:pPr>
      <w:r>
        <w:rPr>
          <w:rFonts w:ascii="仿宋_GB2312" w:eastAsia="仿宋_GB2312"/>
          <w:sz w:val="32"/>
          <w:szCs w:val="32"/>
        </w:rPr>
        <w:drawing>
          <wp:anchor distT="0" distB="0" distL="114300" distR="114300" simplePos="0" relativeHeight="26" behindDoc="0" locked="0" layoutInCell="1" hidden="0" allowOverlap="1">
            <wp:simplePos x="0" y="0"/>
            <wp:positionH relativeFrom="column">
              <wp:posOffset>311784</wp:posOffset>
            </wp:positionH>
            <wp:positionV relativeFrom="paragraph">
              <wp:posOffset>192405</wp:posOffset>
            </wp:positionV>
            <wp:extent cx="5144770" cy="2150745"/>
            <wp:effectExtent l="0" t="0" r="15" b="33"/>
            <wp:wrapSquare wrapText="bothSides"/>
            <wp:docPr id="10" name="图表 2"/>
            <wp:cNvGraphicFramePr>
              <a:graphicFrameLocks noChangeAspect="0"/>
            </wp:cNvGraphicFramePr>
            <a:graphic>
              <a:graphicData uri="http://schemas.openxmlformats.org/drawingml/2006/chart">
                <c:chart xmlns:c="http://schemas.openxmlformats.org/drawingml/2006/chart" r:id="rId5"/>
              </a:graphicData>
            </a:graphic>
          </wp:anchor>
        </w:drawing>
      </w:r>
      <w:bookmarkStart w:id="29" w:name="_Toc15377207"/>
      <w:bookmarkStart w:id="30" w:name="_Toc15396605"/>
      <w:r>
        <w:rPr>
          <w:rFonts w:ascii="仿宋" w:eastAsia="仿宋" w:hAnsi="仿宋" w:hint="eastAsia"/>
          <w:sz w:val="32"/>
          <w:szCs w:val="32"/>
        </w:rPr>
        <w:t>（图2：收入决算结构图）（饼状图）</w:t>
      </w:r>
    </w:p>
    <w:p>
      <w:pPr>
        <w:pStyle w:val="31"/>
        <w:numPr>
          <w:ilvl w:val="0"/>
          <w:numId w:val="1"/>
        </w:numPr>
        <w:spacing w:line="600" w:lineRule="exact"/>
        <w:ind w:firstLineChars="0"/>
        <w:outlineLvl w:val="1"/>
        <w:rPr>
          <w:rStyle w:val="2Char"/>
          <w:rFonts w:ascii="黑体" w:eastAsia="黑体" w:hAnsi="黑体"/>
          <w:b w:val="0"/>
        </w:rPr>
      </w:pPr>
      <w:r>
        <w:rPr>
          <w:rFonts w:ascii="黑体" w:eastAsia="黑体" w:hAnsi="黑体" w:hint="eastAsia"/>
          <w:sz w:val="32"/>
          <w:szCs w:val="32"/>
        </w:rPr>
        <w:t>支</w:t>
      </w:r>
      <w:r>
        <w:rPr>
          <w:rStyle w:val="2Char"/>
          <w:rFonts w:ascii="黑体" w:eastAsia="黑体" w:hAnsi="黑体" w:hint="eastAsia"/>
        </w:rPr>
        <w:t>出决算情况说明</w:t>
      </w:r>
      <w:bookmarkEnd w:id="29"/>
      <w:bookmarkEnd w:id="30"/>
      <w:r>
        <w:rPr>
          <w:rStyle w:val="2Char"/>
          <w:rFonts w:ascii="黑体" w:eastAsia="黑体" w:hAnsi="黑体" w:hint="eastAsia"/>
        </w:rPr>
        <w:t xml:space="preserve"> </w:t>
      </w:r>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21年本年支出合计763.45万元，其中：基本支出696.6万元，占91.24</w:t>
      </w:r>
      <w:r>
        <w:rPr>
          <w:rFonts w:ascii="仿宋" w:eastAsia="仿宋" w:hAnsi="仿宋"/>
          <w:sz w:val="32"/>
          <w:szCs w:val="32"/>
        </w:rPr>
        <w:t>%</w:t>
      </w:r>
      <w:r>
        <w:rPr>
          <w:rFonts w:ascii="仿宋" w:eastAsia="仿宋" w:hAnsi="仿宋" w:hint="eastAsia"/>
          <w:sz w:val="32"/>
          <w:szCs w:val="32"/>
        </w:rPr>
        <w:t>；项目支出66.85万元，占8.76</w:t>
      </w:r>
      <w:r>
        <w:rPr>
          <w:rFonts w:ascii="仿宋" w:eastAsia="仿宋" w:hAnsi="仿宋"/>
          <w:sz w:val="32"/>
          <w:szCs w:val="32"/>
        </w:rPr>
        <w:t>%</w:t>
      </w:r>
      <w:r>
        <w:rPr>
          <w:rFonts w:ascii="仿宋" w:eastAsia="仿宋" w:hAnsi="仿宋" w:hint="eastAsia"/>
          <w:sz w:val="32"/>
          <w:szCs w:val="32"/>
        </w:rPr>
        <w:t>；上缴上级支出0.00万元，占0.00</w:t>
      </w:r>
      <w:r>
        <w:rPr>
          <w:rFonts w:ascii="仿宋" w:eastAsia="仿宋" w:hAnsi="仿宋"/>
          <w:sz w:val="32"/>
          <w:szCs w:val="32"/>
        </w:rPr>
        <w:t>%</w:t>
      </w:r>
      <w:r>
        <w:rPr>
          <w:rFonts w:ascii="仿宋" w:eastAsia="仿宋" w:hAnsi="仿宋" w:hint="eastAsia"/>
          <w:sz w:val="32"/>
          <w:szCs w:val="32"/>
        </w:rPr>
        <w:t>；经营支出0.00万元，占0.00</w:t>
      </w:r>
      <w:r>
        <w:rPr>
          <w:rFonts w:ascii="仿宋" w:eastAsia="仿宋" w:hAnsi="仿宋"/>
          <w:sz w:val="32"/>
          <w:szCs w:val="32"/>
        </w:rPr>
        <w:t>%</w:t>
      </w:r>
      <w:r>
        <w:rPr>
          <w:rFonts w:ascii="仿宋" w:eastAsia="仿宋" w:hAnsi="仿宋" w:hint="eastAsia"/>
          <w:sz w:val="32"/>
          <w:szCs w:val="32"/>
        </w:rPr>
        <w:t>；对附属单位补助支出0.00万元，占0.00</w:t>
      </w:r>
      <w:r>
        <w:rPr>
          <w:rFonts w:ascii="仿宋" w:eastAsia="仿宋" w:hAnsi="仿宋"/>
          <w:sz w:val="32"/>
          <w:szCs w:val="32"/>
        </w:rPr>
        <w:t>%</w:t>
      </w:r>
      <w:r>
        <w:rPr>
          <w:rFonts w:ascii="仿宋" w:eastAsia="仿宋" w:hAnsi="仿宋" w:hint="eastAsia"/>
          <w:sz w:val="32"/>
          <w:szCs w:val="32"/>
        </w:rPr>
        <w:t>。</w:t>
      </w:r>
    </w:p>
    <w:p>
      <w:pPr>
        <w:spacing w:line="600" w:lineRule="exact"/>
        <w:ind w:firstLineChars="200" w:firstLine="640"/>
        <w:outlineLvl w:val="1"/>
        <w:rPr>
          <w:rFonts w:ascii="仿宋" w:eastAsia="仿宋" w:hAnsi="仿宋"/>
          <w:sz w:val="32"/>
          <w:szCs w:val="32"/>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表，仅罗列本部门涉及的支出。）</w:t>
      </w:r>
    </w:p>
    <w:p>
      <w:pPr>
        <w:spacing w:line="600" w:lineRule="exact"/>
        <w:jc w:val="center"/>
      </w:pPr>
      <w:r>
        <w:rPr>
          <w:rFonts w:ascii="仿宋_GB2312" w:eastAsia="仿宋_GB2312"/>
          <w:sz w:val="32"/>
          <w:szCs w:val="32"/>
        </w:rPr>
        <w:drawing>
          <wp:anchor distT="0" distB="0" distL="114300" distR="114300" simplePos="0" relativeHeight="30" behindDoc="0" locked="0" layoutInCell="1" hidden="0" allowOverlap="1">
            <wp:simplePos x="0" y="0"/>
            <wp:positionH relativeFrom="column">
              <wp:posOffset>245110</wp:posOffset>
            </wp:positionH>
            <wp:positionV relativeFrom="paragraph">
              <wp:posOffset>58419</wp:posOffset>
            </wp:positionV>
            <wp:extent cx="5298440" cy="1892935"/>
            <wp:effectExtent l="0" t="0" r="46" b="34"/>
            <wp:wrapSquare wrapText="bothSides"/>
            <wp:docPr id="11" name="图表 3"/>
            <wp:cNvGraphicFramePr>
              <a:graphicFrameLocks noChangeAspect="0"/>
            </wp:cNvGraphicFramePr>
            <a:graphic>
              <a:graphicData uri="http://schemas.openxmlformats.org/drawingml/2006/chart">
                <c:chart xmlns:c="http://schemas.openxmlformats.org/drawingml/2006/chart" r:id="rId6"/>
              </a:graphicData>
            </a:graphic>
          </wp:anchor>
        </w:drawing>
      </w:r>
      <w:bookmarkStart w:id="31" w:name="_Toc15377208"/>
      <w:bookmarkStart w:id="32" w:name="_Toc15396606"/>
      <w:r>
        <w:rPr>
          <w:rFonts w:ascii="仿宋" w:eastAsia="仿宋" w:hAnsi="仿宋" w:hint="eastAsia"/>
          <w:sz w:val="32"/>
          <w:szCs w:val="32"/>
        </w:rPr>
        <w:t>（图3：支出决算结构图）（饼状图）</w:t>
      </w:r>
    </w:p>
    <w:p>
      <w:pPr>
        <w:spacing w:line="600" w:lineRule="exact"/>
        <w:ind w:firstLineChars="200" w:firstLine="640"/>
        <w:outlineLvl w:val="1"/>
        <w:rPr>
          <w:rFonts w:ascii="黑体" w:eastAsia="黑体" w:hAnsi="黑体"/>
          <w:sz w:val="32"/>
          <w:szCs w:val="32"/>
        </w:rPr>
      </w:pPr>
    </w:p>
    <w:p>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四、财</w:t>
      </w:r>
      <w:r>
        <w:rPr>
          <w:rStyle w:val="2Char"/>
          <w:rFonts w:ascii="黑体" w:eastAsia="黑体" w:hAnsi="黑体" w:hint="eastAsia"/>
        </w:rPr>
        <w:t>政拨款收入支出决算总体情况说明</w:t>
      </w:r>
      <w:bookmarkEnd w:id="31"/>
      <w:bookmarkEnd w:id="32"/>
    </w:p>
    <w:p>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21年财政拨款收、支总计871.54万元。与</w:t>
      </w:r>
      <w:r>
        <w:rPr>
          <w:rFonts w:ascii="仿宋" w:eastAsia="仿宋" w:hAnsi="仿宋"/>
          <w:sz w:val="32"/>
          <w:szCs w:val="32"/>
        </w:rPr>
        <w:t>20</w:t>
      </w:r>
      <w:r>
        <w:rPr>
          <w:rFonts w:ascii="仿宋" w:eastAsia="仿宋" w:hAnsi="仿宋" w:hint="eastAsia"/>
          <w:sz w:val="32"/>
          <w:szCs w:val="32"/>
        </w:rPr>
        <w:t>20年相比，财政拨款收、</w:t>
      </w:r>
      <w:r>
        <w:rPr>
          <w:rFonts w:ascii="仿宋" w:eastAsia="仿宋" w:hAnsi="仿宋" w:hint="eastAsia"/>
          <w:color w:val="000000"/>
          <w:sz w:val="32"/>
          <w:szCs w:val="32"/>
        </w:rPr>
        <w:t>支总计各增加87.95万元，增长11.22</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sz w:val="32"/>
          <w:szCs w:val="32"/>
        </w:rPr>
        <w:t>主要变动原因是</w:t>
      </w:r>
      <w:r>
        <w:rPr>
          <w:rFonts w:ascii="仿宋" w:eastAsia="仿宋" w:hAnsi="仿宋" w:hint="eastAsia"/>
          <w:color w:val="000000"/>
          <w:sz w:val="32"/>
          <w:szCs w:val="32"/>
        </w:rPr>
        <w:t>教职工工资收入年度正常增长。</w:t>
      </w: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pPr>
        <w:spacing w:line="600" w:lineRule="exact"/>
        <w:ind w:firstLineChars="400" w:firstLine="1280"/>
        <w:rPr>
          <w:rFonts w:ascii="仿宋" w:eastAsia="仿宋" w:hAnsi="仿宋"/>
          <w:sz w:val="32"/>
          <w:szCs w:val="32"/>
        </w:rPr>
      </w:pPr>
      <w:r>
        <w:rPr>
          <w:rFonts w:ascii="仿宋_GB2312" w:eastAsia="仿宋_GB2312"/>
          <w:sz w:val="32"/>
          <w:szCs w:val="32"/>
        </w:rPr>
        <w:drawing>
          <wp:anchor distT="0" distB="0" distL="114300" distR="114300" simplePos="0" relativeHeight="34" behindDoc="0" locked="0" layoutInCell="1" hidden="0" allowOverlap="1">
            <wp:simplePos x="0" y="0"/>
            <wp:positionH relativeFrom="column">
              <wp:posOffset>421005</wp:posOffset>
            </wp:positionH>
            <wp:positionV relativeFrom="paragraph">
              <wp:posOffset>105410</wp:posOffset>
            </wp:positionV>
            <wp:extent cx="5377815" cy="2782570"/>
            <wp:effectExtent l="0" t="0" r="0" b="0"/>
            <wp:wrapTight wrapText="bothSides">
              <wp:wrapPolygon>
                <wp:start x="0" y="0"/>
                <wp:lineTo x="0" y="21590"/>
                <wp:lineTo x="21600" y="21590"/>
                <wp:lineTo x="21600" y="0"/>
                <wp:lineTo x="0" y="0"/>
              </wp:wrapPolygon>
            </wp:wrapTight>
            <wp:docPr id="12" name="图表 5"/>
            <wp:cNvGraphicFramePr>
              <a:graphicFrameLocks noChangeAspect="0"/>
            </wp:cNvGraphicFramePr>
            <a:graphic>
              <a:graphicData uri="http://schemas.openxmlformats.org/drawingml/2006/chart">
                <c:chart xmlns:c="http://schemas.openxmlformats.org/drawingml/2006/chart" r:id="rId7"/>
              </a:graphicData>
            </a:graphic>
          </wp:anchor>
        </w:drawing>
      </w:r>
      <w:r>
        <w:rPr>
          <w:rFonts w:ascii="仿宋" w:eastAsia="仿宋" w:hAnsi="仿宋" w:hint="eastAsia"/>
          <w:sz w:val="32"/>
          <w:szCs w:val="32"/>
        </w:rPr>
        <w:t>（图4：财政拨款收、支决算总计变动情况）（柱状图）</w:t>
      </w:r>
    </w:p>
    <w:p>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rPr>
        <w:t>般公共预算财政拨款支出决算情况说明</w:t>
      </w:r>
      <w:bookmarkEnd w:id="33"/>
      <w:bookmarkEnd w:id="34"/>
    </w:p>
    <w:p>
      <w:pPr>
        <w:spacing w:line="600" w:lineRule="exact"/>
        <w:ind w:firstLineChars="200" w:firstLine="640"/>
        <w:outlineLvl w:val="2"/>
        <w:rPr>
          <w:rFonts w:ascii="楷体" w:eastAsia="楷体" w:cs="楷体" w:hAnsi="楷体"/>
          <w:bCs/>
          <w:sz w:val="32"/>
          <w:szCs w:val="32"/>
        </w:rPr>
      </w:pPr>
      <w:bookmarkStart w:id="35" w:name="_Toc15377210"/>
      <w:r>
        <w:rPr>
          <w:rFonts w:ascii="楷体" w:eastAsia="楷体" w:cs="楷体" w:hAnsi="楷体" w:hint="eastAsia"/>
          <w:bCs/>
          <w:sz w:val="32"/>
          <w:szCs w:val="32"/>
        </w:rPr>
        <w:t>（一）一般公共预算财政拨款支出决算总体情况</w:t>
      </w:r>
      <w:bookmarkEnd w:id="35"/>
    </w:p>
    <w:p>
      <w:pPr>
        <w:spacing w:line="600" w:lineRule="exact"/>
        <w:ind w:firstLineChars="200" w:firstLine="640"/>
        <w:rPr>
          <w:rFonts w:ascii="仿宋" w:eastAsia="仿宋" w:hAnsi="仿宋"/>
          <w:color w:val="000000"/>
          <w:sz w:val="32"/>
          <w:szCs w:val="32"/>
        </w:rPr>
      </w:pPr>
      <w:r>
        <w:rPr>
          <w:rFonts w:ascii="仿宋" w:eastAsia="仿宋" w:hAnsi="仿宋"/>
          <w:sz w:val="32"/>
          <w:szCs w:val="32"/>
        </w:rPr>
        <w:t>20</w:t>
      </w:r>
      <w:r>
        <w:rPr>
          <w:rFonts w:ascii="仿宋" w:eastAsia="仿宋" w:hAnsi="仿宋" w:hint="eastAsia"/>
          <w:sz w:val="32"/>
          <w:szCs w:val="32"/>
        </w:rPr>
        <w:t>21年一般公共预算财政拨款支出755.56万元，占本年支出合计的86.69</w:t>
      </w:r>
      <w:r>
        <w:rPr>
          <w:rFonts w:ascii="仿宋" w:eastAsia="仿宋" w:hAnsi="仿宋"/>
          <w:sz w:val="32"/>
          <w:szCs w:val="32"/>
        </w:rPr>
        <w:t>%</w:t>
      </w:r>
      <w:r>
        <w:rPr>
          <w:rFonts w:ascii="仿宋" w:eastAsia="仿宋" w:hAnsi="仿宋" w:hint="eastAsia"/>
          <w:sz w:val="32"/>
          <w:szCs w:val="32"/>
        </w:rPr>
        <w:t>。主要变动原因</w:t>
      </w:r>
      <w:r>
        <w:rPr>
          <w:rFonts w:ascii="仿宋" w:eastAsia="仿宋" w:hAnsi="仿宋" w:hint="eastAsia"/>
          <w:color w:val="000000"/>
          <w:sz w:val="32"/>
          <w:szCs w:val="32"/>
        </w:rPr>
        <w:t>是教职工工资收入年度正常增长。</w:t>
      </w:r>
    </w:p>
    <w:p>
      <w:pPr>
        <w:spacing w:line="600" w:lineRule="exact"/>
        <w:rPr>
          <w:rFonts w:ascii="仿宋" w:eastAsia="仿宋" w:hAnsi="仿宋"/>
          <w:sz w:val="32"/>
          <w:szCs w:val="32"/>
        </w:rPr>
      </w:pPr>
      <w:r>
        <w:rPr>
          <w:rFonts w:ascii="仿宋_GB2312" w:eastAsia="仿宋_GB2312"/>
          <w:sz w:val="32"/>
          <w:szCs w:val="32"/>
        </w:rPr>
        <w:drawing>
          <wp:anchor distT="0" distB="0" distL="114300" distR="114300" simplePos="0" relativeHeight="36" behindDoc="0" locked="0" layoutInCell="1" hidden="0" allowOverlap="1">
            <wp:simplePos x="0" y="0"/>
            <wp:positionH relativeFrom="column">
              <wp:posOffset>420369</wp:posOffset>
            </wp:positionH>
            <wp:positionV relativeFrom="paragraph">
              <wp:posOffset>31749</wp:posOffset>
            </wp:positionV>
            <wp:extent cx="5309235" cy="1728470"/>
            <wp:effectExtent l="0" t="0" r="0" b="0"/>
            <wp:wrapTight wrapText="bothSides">
              <wp:wrapPolygon>
                <wp:start x="0" y="0"/>
                <wp:lineTo x="0" y="21544"/>
                <wp:lineTo x="21600" y="21544"/>
                <wp:lineTo x="21600" y="0"/>
                <wp:lineTo x="0" y="0"/>
              </wp:wrapPolygon>
            </wp:wrapTight>
            <wp:docPr id="13" name="图表 6"/>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仿宋" w:eastAsia="仿宋" w:hAnsi="仿宋" w:hint="eastAsia"/>
          <w:sz w:val="32"/>
          <w:szCs w:val="32"/>
        </w:rPr>
        <w:t>（图5：一般公共预算财政拨款支出决算变动情况）（柱状图）</w:t>
      </w:r>
    </w:p>
    <w:p>
      <w:pPr>
        <w:spacing w:line="600" w:lineRule="exact"/>
        <w:ind w:firstLineChars="200" w:firstLine="640"/>
        <w:outlineLvl w:val="2"/>
        <w:rPr>
          <w:rFonts w:ascii="楷体" w:eastAsia="楷体" w:cs="楷体" w:hAnsi="楷体"/>
          <w:bCs/>
          <w:sz w:val="32"/>
          <w:szCs w:val="32"/>
        </w:rPr>
      </w:pPr>
      <w:bookmarkStart w:id="36" w:name="_Toc15377211"/>
      <w:r>
        <w:rPr>
          <w:rFonts w:ascii="楷体" w:eastAsia="楷体" w:cs="楷体" w:hAnsi="楷体" w:hint="eastAsia"/>
          <w:bCs/>
          <w:sz w:val="32"/>
          <w:szCs w:val="32"/>
        </w:rPr>
        <w:t>（二）一般公共预算财政拨款支出决算结构情况</w:t>
      </w:r>
      <w:bookmarkEnd w:id="36"/>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21年一般公共预算财政拨款支出755.56万元，主要用于以下方面:教育支出（类）671.36万元，占88.85%；社会保障和就业（类）支出59.66万元，占7.89%；卫生健康（类）支出24.55万元，占3.24%。</w:t>
      </w:r>
    </w:p>
    <w:p>
      <w:pPr>
        <w:spacing w:line="600" w:lineRule="exact"/>
        <w:rPr>
          <w:rFonts w:ascii="仿宋" w:eastAsia="仿宋" w:hAnsi="仿宋"/>
          <w:b/>
          <w:sz w:val="32"/>
          <w:szCs w:val="32"/>
        </w:rPr>
      </w:pPr>
      <w:r>
        <w:rPr>
          <w:rFonts w:ascii="仿宋" w:eastAsia="仿宋" w:hAnsi="仿宋" w:hint="eastAsia"/>
          <w:b/>
          <w:sz w:val="32"/>
          <w:szCs w:val="32"/>
        </w:rPr>
        <w:t>（注：数据来源于财决01-1表，仅罗列本部门涉及的全部功能分类科目，至类级。）</w:t>
      </w:r>
    </w:p>
    <w:p>
      <w:pPr>
        <w:spacing w:line="600" w:lineRule="exact"/>
        <w:ind w:firstLineChars="200" w:firstLine="640"/>
        <w:rPr>
          <w:rFonts w:ascii="仿宋" w:eastAsia="仿宋" w:hAnsi="仿宋"/>
          <w:sz w:val="32"/>
          <w:szCs w:val="32"/>
        </w:rPr>
      </w:pPr>
      <w:r>
        <w:rPr>
          <w:rFonts w:ascii="仿宋_GB2312" w:eastAsia="仿宋_GB2312"/>
          <w:sz w:val="32"/>
          <w:szCs w:val="32"/>
        </w:rPr>
        <w:drawing>
          <wp:anchor distT="0" distB="0" distL="114300" distR="114300" simplePos="0" relativeHeight="38" behindDoc="0" locked="0" layoutInCell="1" hidden="0" allowOverlap="1">
            <wp:simplePos x="0" y="0"/>
            <wp:positionH relativeFrom="column">
              <wp:posOffset>309245</wp:posOffset>
            </wp:positionH>
            <wp:positionV relativeFrom="paragraph">
              <wp:posOffset>132080</wp:posOffset>
            </wp:positionV>
            <wp:extent cx="5332730" cy="2404745"/>
            <wp:effectExtent l="0" t="0" r="46" b="4"/>
            <wp:wrapSquare wrapText="bothSides"/>
            <wp:docPr id="14" name="图表 7"/>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仿宋" w:eastAsia="仿宋" w:hAnsi="仿宋" w:hint="eastAsia"/>
          <w:sz w:val="32"/>
          <w:szCs w:val="32"/>
        </w:rPr>
        <w:t>（图6：一般公共预算财政拨款支出决算结构）（饼状图）</w:t>
      </w:r>
    </w:p>
    <w:p>
      <w:pPr>
        <w:snapToGrid w:val="0"/>
        <w:spacing w:line="560" w:lineRule="exact"/>
        <w:ind w:firstLineChars="200" w:firstLine="640"/>
        <w:outlineLvl w:val="2"/>
        <w:rPr>
          <w:rFonts w:ascii="楷体" w:eastAsia="楷体" w:cs="楷体" w:hAnsi="楷体"/>
          <w:bCs/>
          <w:sz w:val="32"/>
          <w:szCs w:val="32"/>
        </w:rPr>
      </w:pPr>
      <w:bookmarkStart w:id="37" w:name="_Toc15377212"/>
      <w:r>
        <w:rPr>
          <w:rFonts w:ascii="楷体" w:eastAsia="楷体" w:cs="楷体" w:hAnsi="楷体" w:hint="eastAsia"/>
          <w:bCs/>
          <w:sz w:val="32"/>
          <w:szCs w:val="32"/>
        </w:rPr>
        <w:t>（三）一般公共预算财政拨款支出决算具体情况</w:t>
      </w:r>
      <w:bookmarkEnd w:id="37"/>
    </w:p>
    <w:p>
      <w:pPr>
        <w:snapToGrid w:val="0"/>
        <w:spacing w:line="560" w:lineRule="exact"/>
        <w:ind w:firstLineChars="200" w:firstLine="640"/>
        <w:outlineLvl w:val="2"/>
        <w:rPr>
          <w:rFonts w:ascii="仿宋" w:eastAsia="仿宋" w:hAnsi="仿宋"/>
          <w:sz w:val="32"/>
          <w:szCs w:val="32"/>
        </w:rPr>
      </w:pPr>
      <w:bookmarkStart w:id="38" w:name="_Toc15378460"/>
      <w:bookmarkStart w:id="39" w:name="_Toc15377444"/>
      <w:bookmarkStart w:id="40" w:name="_Toc15377213"/>
      <w:r>
        <w:rPr>
          <w:rFonts w:ascii="仿宋" w:eastAsia="仿宋" w:hAnsi="仿宋" w:hint="eastAsia"/>
          <w:b/>
          <w:sz w:val="32"/>
          <w:szCs w:val="32"/>
        </w:rPr>
        <w:t>2021年一般公共预算支出决算数为763.45</w:t>
      </w:r>
      <w:r>
        <w:rPr>
          <w:rFonts w:ascii="仿宋" w:eastAsia="仿宋" w:hAnsi="仿宋" w:hint="eastAsia"/>
          <w:sz w:val="32"/>
          <w:szCs w:val="32"/>
        </w:rPr>
        <w:t>，</w:t>
      </w:r>
      <w:r>
        <w:rPr>
          <w:rStyle w:val="24"/>
          <w:rFonts w:ascii="仿宋" w:eastAsia="仿宋" w:hAnsi="仿宋" w:hint="eastAsia"/>
          <w:bCs/>
          <w:sz w:val="32"/>
          <w:szCs w:val="32"/>
        </w:rPr>
        <w:t>完成预算79.28</w:t>
      </w:r>
      <w:r>
        <w:rPr>
          <w:rStyle w:val="24"/>
          <w:rFonts w:ascii="仿宋" w:eastAsia="仿宋" w:hAnsi="仿宋"/>
          <w:bCs/>
          <w:sz w:val="32"/>
          <w:szCs w:val="32"/>
        </w:rPr>
        <w:t>%</w:t>
      </w:r>
      <w:r>
        <w:rPr>
          <w:rStyle w:val="24"/>
          <w:rFonts w:ascii="仿宋" w:eastAsia="仿宋" w:hAnsi="仿宋" w:hint="eastAsia"/>
          <w:bCs/>
          <w:sz w:val="32"/>
          <w:szCs w:val="32"/>
        </w:rPr>
        <w:t>。其中：</w:t>
      </w:r>
      <w:bookmarkEnd w:id="38"/>
      <w:bookmarkEnd w:id="39"/>
      <w:bookmarkEnd w:id="40"/>
    </w:p>
    <w:p>
      <w:pPr>
        <w:pStyle w:val="15"/>
        <w:snapToGrid w:val="0"/>
        <w:spacing w:beforeLines="0" w:before="30" w:line="560" w:lineRule="exact"/>
        <w:ind w:firstLineChars="200" w:firstLine="640"/>
        <w:rPr>
          <w:color w:val="000000"/>
          <w:sz w:val="32"/>
          <w:szCs w:val="32"/>
        </w:rPr>
      </w:pPr>
      <w:r>
        <w:rPr>
          <w:rStyle w:val="24"/>
          <w:rFonts w:ascii="仿宋" w:eastAsia="仿宋" w:cs="Arial" w:hAnsi="仿宋" w:hint="eastAsia"/>
          <w:bCs/>
          <w:kern w:val="2"/>
          <w:sz w:val="32"/>
          <w:szCs w:val="32"/>
        </w:rPr>
        <w:t>1.教育支出（类）普通教育（款）学前教育（项）</w:t>
      </w:r>
      <w:r>
        <w:rPr>
          <w:rStyle w:val="24"/>
          <w:rFonts w:ascii="仿宋" w:eastAsia="仿宋" w:cs="Arial" w:hAnsi="仿宋"/>
          <w:bCs/>
          <w:kern w:val="2"/>
          <w:sz w:val="32"/>
          <w:szCs w:val="32"/>
        </w:rPr>
        <w:t>:</w:t>
      </w:r>
      <w:r>
        <w:rPr>
          <w:rStyle w:val="24"/>
          <w:rFonts w:ascii="仿宋" w:eastAsia="仿宋" w:hAnsi="仿宋" w:hint="eastAsia"/>
          <w:bCs/>
          <w:sz w:val="32"/>
          <w:szCs w:val="32"/>
        </w:rPr>
        <w:t>支出决算为12.67万元，完成预算100</w:t>
      </w:r>
      <w:r>
        <w:rPr>
          <w:rStyle w:val="24"/>
          <w:rFonts w:ascii="仿宋" w:eastAsia="仿宋" w:hAnsi="仿宋"/>
          <w:bCs/>
          <w:sz w:val="32"/>
          <w:szCs w:val="32"/>
        </w:rPr>
        <w:t>%</w:t>
      </w:r>
      <w:r>
        <w:rPr>
          <w:rStyle w:val="24"/>
          <w:rFonts w:ascii="仿宋" w:eastAsia="仿宋" w:hAnsi="仿宋" w:hint="eastAsia"/>
          <w:bCs/>
          <w:color w:val="000000"/>
          <w:sz w:val="32"/>
          <w:szCs w:val="32"/>
        </w:rPr>
        <w:t>。</w:t>
      </w:r>
      <w:r>
        <w:rPr>
          <w:rStyle w:val="24"/>
          <w:rFonts w:ascii="仿宋" w:eastAsia="仿宋" w:hAnsi="仿宋" w:hint="eastAsia"/>
          <w:bCs/>
          <w:sz w:val="32"/>
          <w:szCs w:val="32"/>
        </w:rPr>
        <w:t>决算数等于预算数的主要原因是</w:t>
      </w:r>
      <w:r>
        <w:rPr>
          <w:rStyle w:val="24"/>
          <w:rFonts w:ascii="仿宋" w:eastAsia="仿宋" w:hAnsi="仿宋" w:hint="eastAsia"/>
          <w:bCs/>
          <w:color w:val="000000"/>
          <w:sz w:val="32"/>
          <w:szCs w:val="32"/>
        </w:rPr>
        <w:t>年初预算根据实际编列，预算执行中根据实际支出情况调整预算</w:t>
      </w:r>
      <w:r>
        <w:rPr>
          <w:rStyle w:val="24"/>
          <w:rFonts w:ascii="仿宋" w:eastAsia="仿宋" w:cs="Arial" w:hAnsi="仿宋" w:hint="eastAsia"/>
          <w:bCs/>
          <w:color w:val="000000"/>
          <w:sz w:val="32"/>
          <w:szCs w:val="32"/>
        </w:rPr>
        <w:t>。</w:t>
      </w:r>
    </w:p>
    <w:p>
      <w:pPr>
        <w:snapToGrid w:val="0"/>
        <w:spacing w:line="560" w:lineRule="exact"/>
        <w:ind w:firstLineChars="200" w:firstLine="640"/>
        <w:rPr>
          <w:rStyle w:val="24"/>
          <w:rFonts w:ascii="仿宋" w:eastAsia="仿宋" w:hAnsi="仿宋"/>
          <w:bCs/>
          <w:color w:val="000000"/>
          <w:sz w:val="32"/>
          <w:szCs w:val="32"/>
        </w:rPr>
      </w:pPr>
      <w:r>
        <w:rPr>
          <w:rStyle w:val="24"/>
          <w:rFonts w:ascii="仿宋" w:eastAsia="仿宋" w:hAnsi="仿宋" w:hint="eastAsia"/>
          <w:bCs/>
          <w:sz w:val="32"/>
          <w:szCs w:val="32"/>
        </w:rPr>
        <w:t>2</w:t>
      </w:r>
      <w:r>
        <w:rPr>
          <w:rStyle w:val="24"/>
          <w:rFonts w:ascii="仿宋" w:eastAsia="仿宋" w:hAnsi="仿宋"/>
          <w:bCs/>
          <w:sz w:val="32"/>
          <w:szCs w:val="32"/>
        </w:rPr>
        <w:t>.</w:t>
      </w:r>
      <w:r>
        <w:rPr>
          <w:rStyle w:val="24"/>
          <w:rFonts w:ascii="仿宋" w:eastAsia="仿宋" w:hAnsi="仿宋" w:hint="eastAsia"/>
          <w:bCs/>
          <w:sz w:val="32"/>
          <w:szCs w:val="32"/>
        </w:rPr>
        <w:t>教育支出（类）普通教育（款）小学教育（项）</w:t>
      </w:r>
      <w:r>
        <w:rPr>
          <w:rStyle w:val="24"/>
          <w:rFonts w:ascii="仿宋" w:eastAsia="仿宋" w:hAnsi="仿宋"/>
          <w:bCs/>
          <w:sz w:val="32"/>
          <w:szCs w:val="32"/>
        </w:rPr>
        <w:t>:</w:t>
      </w:r>
      <w:r>
        <w:rPr>
          <w:rStyle w:val="24"/>
          <w:rFonts w:ascii="仿宋" w:eastAsia="仿宋" w:hAnsi="仿宋" w:hint="eastAsia"/>
          <w:bCs/>
          <w:sz w:val="32"/>
          <w:szCs w:val="32"/>
        </w:rPr>
        <w:t>支出决算为643.16万元，完成预算100</w:t>
      </w:r>
      <w:r>
        <w:rPr>
          <w:rStyle w:val="24"/>
          <w:rFonts w:ascii="仿宋" w:eastAsia="仿宋" w:hAnsi="仿宋"/>
          <w:bCs/>
          <w:sz w:val="32"/>
          <w:szCs w:val="32"/>
        </w:rPr>
        <w:t>%</w:t>
      </w:r>
      <w:r>
        <w:rPr>
          <w:rStyle w:val="24"/>
          <w:rFonts w:ascii="仿宋" w:eastAsia="仿宋" w:hAnsi="仿宋" w:hint="eastAsia"/>
          <w:bCs/>
          <w:color w:val="000000"/>
          <w:kern w:val="0"/>
          <w:sz w:val="32"/>
          <w:szCs w:val="32"/>
        </w:rPr>
        <w:t>。</w:t>
      </w:r>
      <w:r>
        <w:rPr>
          <w:rStyle w:val="24"/>
          <w:rFonts w:ascii="仿宋" w:eastAsia="仿宋" w:hAnsi="仿宋" w:hint="eastAsia"/>
          <w:bCs/>
          <w:sz w:val="32"/>
          <w:szCs w:val="32"/>
        </w:rPr>
        <w:t>决算数等于预算数的主要原因是</w:t>
      </w:r>
      <w:r>
        <w:rPr>
          <w:rStyle w:val="24"/>
          <w:rFonts w:ascii="仿宋" w:eastAsia="仿宋" w:hAnsi="仿宋" w:hint="eastAsia"/>
          <w:bCs/>
          <w:color w:val="000000"/>
          <w:sz w:val="32"/>
          <w:szCs w:val="32"/>
        </w:rPr>
        <w:t>年初预算根据实际编列，预算执行中根据实际支出情况调整预算。</w:t>
      </w:r>
    </w:p>
    <w:p>
      <w:pPr>
        <w:snapToGrid w:val="0"/>
        <w:spacing w:line="560" w:lineRule="exact"/>
        <w:ind w:firstLineChars="200" w:firstLine="640"/>
        <w:rPr>
          <w:rStyle w:val="24"/>
          <w:rFonts w:ascii="仿宋" w:eastAsia="仿宋" w:hAnsi="仿宋"/>
          <w:bCs/>
          <w:sz w:val="32"/>
          <w:szCs w:val="32"/>
        </w:rPr>
      </w:pPr>
      <w:r>
        <w:rPr>
          <w:rStyle w:val="24"/>
          <w:rFonts w:ascii="仿宋" w:eastAsia="仿宋" w:hAnsi="仿宋" w:hint="eastAsia"/>
          <w:bCs/>
          <w:sz w:val="32"/>
          <w:szCs w:val="32"/>
        </w:rPr>
        <w:t>3</w:t>
      </w:r>
      <w:r>
        <w:rPr>
          <w:rStyle w:val="24"/>
          <w:rFonts w:ascii="仿宋" w:eastAsia="仿宋" w:hAnsi="仿宋"/>
          <w:bCs/>
          <w:sz w:val="32"/>
          <w:szCs w:val="32"/>
        </w:rPr>
        <w:t>.</w:t>
      </w:r>
      <w:r>
        <w:rPr>
          <w:rStyle w:val="24"/>
          <w:rFonts w:ascii="仿宋" w:eastAsia="仿宋" w:hAnsi="仿宋" w:hint="eastAsia"/>
          <w:bCs/>
          <w:sz w:val="32"/>
          <w:szCs w:val="32"/>
        </w:rPr>
        <w:t>教育支出（类）普通教育（款）初中教育（项）</w:t>
      </w:r>
      <w:r>
        <w:rPr>
          <w:rStyle w:val="24"/>
          <w:rFonts w:ascii="仿宋" w:eastAsia="仿宋" w:hAnsi="仿宋"/>
          <w:bCs/>
          <w:sz w:val="32"/>
          <w:szCs w:val="32"/>
        </w:rPr>
        <w:t>:</w:t>
      </w:r>
      <w:r>
        <w:rPr>
          <w:rStyle w:val="24"/>
          <w:rFonts w:ascii="仿宋" w:eastAsia="仿宋" w:hAnsi="仿宋" w:hint="eastAsia"/>
          <w:bCs/>
          <w:sz w:val="32"/>
          <w:szCs w:val="32"/>
        </w:rPr>
        <w:t>支出决算为17.91万元，完成预算100</w:t>
      </w:r>
      <w:r>
        <w:rPr>
          <w:rStyle w:val="24"/>
          <w:rFonts w:ascii="仿宋" w:eastAsia="仿宋" w:hAnsi="仿宋"/>
          <w:bCs/>
          <w:sz w:val="32"/>
          <w:szCs w:val="32"/>
        </w:rPr>
        <w:t>%</w:t>
      </w:r>
      <w:r>
        <w:rPr>
          <w:rStyle w:val="24"/>
          <w:rFonts w:ascii="仿宋" w:eastAsia="仿宋" w:hAnsi="仿宋" w:hint="eastAsia"/>
          <w:bCs/>
          <w:color w:val="000000"/>
          <w:kern w:val="0"/>
          <w:sz w:val="32"/>
          <w:szCs w:val="32"/>
        </w:rPr>
        <w:t>。</w:t>
      </w:r>
      <w:r>
        <w:rPr>
          <w:rStyle w:val="24"/>
          <w:rFonts w:ascii="仿宋" w:eastAsia="仿宋" w:hAnsi="仿宋" w:hint="eastAsia"/>
          <w:bCs/>
          <w:sz w:val="32"/>
          <w:szCs w:val="32"/>
        </w:rPr>
        <w:t>决算数等于预算数的主要原因是</w:t>
      </w:r>
      <w:r>
        <w:rPr>
          <w:rStyle w:val="24"/>
          <w:rFonts w:ascii="仿宋" w:eastAsia="仿宋" w:hAnsi="仿宋" w:hint="eastAsia"/>
          <w:bCs/>
          <w:color w:val="000000"/>
          <w:sz w:val="32"/>
          <w:szCs w:val="32"/>
        </w:rPr>
        <w:t>年初预算根据实际编列，预算执行中根据实际支出情况调整预算。</w:t>
      </w:r>
    </w:p>
    <w:p>
      <w:pPr>
        <w:snapToGrid w:val="0"/>
        <w:spacing w:line="560" w:lineRule="exact"/>
        <w:ind w:firstLineChars="200" w:firstLine="640"/>
        <w:rPr>
          <w:rStyle w:val="24"/>
          <w:rFonts w:ascii="仿宋" w:eastAsia="仿宋" w:hAnsi="仿宋"/>
          <w:bCs/>
          <w:color w:val="000000"/>
          <w:sz w:val="32"/>
          <w:szCs w:val="32"/>
        </w:rPr>
      </w:pPr>
      <w:r>
        <w:rPr>
          <w:rFonts w:hint="eastAsia"/>
          <w:sz w:val="32"/>
          <w:szCs w:val="32"/>
        </w:rPr>
        <w:t xml:space="preserve"> 4</w:t>
      </w:r>
      <w:r>
        <w:rPr>
          <w:rStyle w:val="24"/>
          <w:rFonts w:ascii="仿宋" w:eastAsia="仿宋" w:hAnsi="仿宋"/>
          <w:bCs/>
          <w:sz w:val="32"/>
          <w:szCs w:val="32"/>
        </w:rPr>
        <w:t>.</w:t>
      </w:r>
      <w:r>
        <w:rPr>
          <w:rStyle w:val="24"/>
          <w:rFonts w:ascii="仿宋" w:eastAsia="仿宋" w:hAnsi="仿宋" w:hint="eastAsia"/>
          <w:bCs/>
          <w:sz w:val="32"/>
          <w:szCs w:val="32"/>
        </w:rPr>
        <w:t>教育支出（类）普通教育（款）其他普通教育（项）</w:t>
      </w:r>
      <w:r>
        <w:rPr>
          <w:rStyle w:val="24"/>
          <w:rFonts w:ascii="仿宋" w:eastAsia="仿宋" w:hAnsi="仿宋"/>
          <w:bCs/>
          <w:sz w:val="32"/>
          <w:szCs w:val="32"/>
        </w:rPr>
        <w:t xml:space="preserve">: </w:t>
      </w:r>
      <w:r>
        <w:rPr>
          <w:rStyle w:val="24"/>
          <w:rFonts w:ascii="仿宋" w:eastAsia="仿宋" w:hAnsi="仿宋" w:hint="eastAsia"/>
          <w:bCs/>
          <w:sz w:val="32"/>
          <w:szCs w:val="32"/>
        </w:rPr>
        <w:t>支出决算为5.5万元，完成预算100</w:t>
      </w:r>
      <w:r>
        <w:rPr>
          <w:rStyle w:val="24"/>
          <w:rFonts w:ascii="仿宋" w:eastAsia="仿宋" w:hAnsi="仿宋"/>
          <w:bCs/>
          <w:sz w:val="32"/>
          <w:szCs w:val="32"/>
        </w:rPr>
        <w:t>%</w:t>
      </w:r>
      <w:r>
        <w:rPr>
          <w:rStyle w:val="24"/>
          <w:rFonts w:ascii="仿宋" w:eastAsia="仿宋" w:hAnsi="仿宋" w:hint="eastAsia"/>
          <w:bCs/>
          <w:color w:val="000000"/>
          <w:kern w:val="0"/>
          <w:sz w:val="32"/>
          <w:szCs w:val="32"/>
        </w:rPr>
        <w:t>。</w:t>
      </w:r>
      <w:r>
        <w:rPr>
          <w:rStyle w:val="24"/>
          <w:rFonts w:ascii="仿宋" w:eastAsia="仿宋" w:hAnsi="仿宋" w:hint="eastAsia"/>
          <w:bCs/>
          <w:sz w:val="32"/>
          <w:szCs w:val="32"/>
        </w:rPr>
        <w:t>决算数等于预算数的主要原因是</w:t>
      </w:r>
      <w:r>
        <w:rPr>
          <w:rStyle w:val="24"/>
          <w:rFonts w:ascii="仿宋" w:eastAsia="仿宋" w:hAnsi="仿宋" w:hint="eastAsia"/>
          <w:bCs/>
          <w:color w:val="000000"/>
          <w:sz w:val="32"/>
          <w:szCs w:val="32"/>
        </w:rPr>
        <w:t>年初预算根据实际编列，预算执行中根据实际支出情况调整预算。</w:t>
      </w:r>
    </w:p>
    <w:p>
      <w:pPr>
        <w:snapToGrid w:val="0"/>
        <w:spacing w:line="560" w:lineRule="exact"/>
        <w:ind w:firstLineChars="200" w:firstLine="640"/>
        <w:rPr>
          <w:color w:val="000000"/>
          <w:sz w:val="32"/>
          <w:szCs w:val="32"/>
        </w:rPr>
      </w:pPr>
      <w:r>
        <w:rPr>
          <w:rStyle w:val="24"/>
          <w:rFonts w:ascii="仿宋" w:eastAsia="仿宋" w:hAnsi="仿宋" w:hint="eastAsia"/>
          <w:bCs/>
          <w:sz w:val="32"/>
          <w:szCs w:val="32"/>
        </w:rPr>
        <w:t>5</w:t>
      </w:r>
      <w:r>
        <w:rPr>
          <w:rStyle w:val="24"/>
          <w:rFonts w:ascii="仿宋" w:eastAsia="仿宋" w:hAnsi="仿宋"/>
          <w:bCs/>
          <w:sz w:val="32"/>
          <w:szCs w:val="32"/>
        </w:rPr>
        <w:t>.</w:t>
      </w:r>
      <w:r>
        <w:rPr>
          <w:rStyle w:val="24"/>
          <w:rFonts w:ascii="仿宋" w:eastAsia="仿宋" w:hAnsi="仿宋" w:hint="eastAsia"/>
          <w:bCs/>
          <w:sz w:val="32"/>
          <w:szCs w:val="32"/>
        </w:rPr>
        <w:t>社会保障和就业（类）行政事业单位养老支出（款）机关事业单位基本养老保险缴费支出（项）</w:t>
      </w:r>
      <w:r>
        <w:rPr>
          <w:rStyle w:val="24"/>
          <w:rFonts w:ascii="仿宋" w:eastAsia="仿宋" w:hAnsi="仿宋"/>
          <w:bCs/>
          <w:sz w:val="32"/>
          <w:szCs w:val="32"/>
        </w:rPr>
        <w:t xml:space="preserve">: </w:t>
      </w:r>
      <w:r>
        <w:rPr>
          <w:rStyle w:val="24"/>
          <w:rFonts w:ascii="仿宋" w:eastAsia="仿宋" w:hAnsi="仿宋" w:hint="eastAsia"/>
          <w:bCs/>
          <w:sz w:val="32"/>
          <w:szCs w:val="32"/>
        </w:rPr>
        <w:t>支出决算为46.69万元，完成预算100.00</w:t>
      </w:r>
      <w:r>
        <w:rPr>
          <w:rStyle w:val="24"/>
          <w:rFonts w:ascii="仿宋" w:eastAsia="仿宋" w:hAnsi="仿宋"/>
          <w:bCs/>
          <w:sz w:val="32"/>
          <w:szCs w:val="32"/>
        </w:rPr>
        <w:t>%</w:t>
      </w:r>
      <w:r>
        <w:rPr>
          <w:rStyle w:val="24"/>
          <w:rFonts w:ascii="仿宋" w:eastAsia="仿宋" w:hAnsi="仿宋" w:hint="eastAsia"/>
          <w:bCs/>
          <w:sz w:val="32"/>
          <w:szCs w:val="32"/>
        </w:rPr>
        <w:t>，决算数等于预算数的主要原因是</w:t>
      </w:r>
      <w:r>
        <w:rPr>
          <w:rStyle w:val="24"/>
          <w:rFonts w:ascii="仿宋" w:eastAsia="仿宋" w:hAnsi="仿宋" w:hint="eastAsia"/>
          <w:bCs/>
          <w:color w:val="000000"/>
          <w:kern w:val="0"/>
          <w:sz w:val="32"/>
          <w:szCs w:val="32"/>
        </w:rPr>
        <w:t>年初预算根据实际编列，</w:t>
      </w:r>
      <w:r>
        <w:rPr>
          <w:rStyle w:val="24"/>
          <w:rFonts w:ascii="仿宋" w:eastAsia="仿宋" w:hAnsi="仿宋" w:hint="eastAsia"/>
          <w:bCs/>
          <w:color w:val="000000"/>
          <w:sz w:val="32"/>
          <w:szCs w:val="32"/>
        </w:rPr>
        <w:t>预算执行中根据实际支出情况调整预算。</w:t>
      </w:r>
    </w:p>
    <w:p>
      <w:pPr>
        <w:snapToGrid w:val="0"/>
        <w:spacing w:line="560" w:lineRule="exact"/>
        <w:ind w:firstLineChars="200" w:firstLine="640"/>
        <w:rPr>
          <w:rStyle w:val="24"/>
          <w:rFonts w:ascii="仿宋" w:eastAsia="仿宋" w:hAnsi="仿宋"/>
          <w:bCs/>
          <w:color w:val="000000"/>
          <w:sz w:val="32"/>
          <w:szCs w:val="32"/>
        </w:rPr>
      </w:pPr>
      <w:r>
        <w:rPr>
          <w:rStyle w:val="24"/>
          <w:rFonts w:ascii="仿宋" w:eastAsia="仿宋" w:hAnsi="仿宋" w:hint="eastAsia"/>
          <w:bCs/>
          <w:sz w:val="32"/>
          <w:szCs w:val="32"/>
        </w:rPr>
        <w:t>6</w:t>
      </w:r>
      <w:r>
        <w:rPr>
          <w:rStyle w:val="24"/>
          <w:rFonts w:ascii="仿宋" w:eastAsia="仿宋" w:hAnsi="仿宋"/>
          <w:bCs/>
          <w:sz w:val="32"/>
          <w:szCs w:val="32"/>
        </w:rPr>
        <w:t>.</w:t>
      </w:r>
      <w:r>
        <w:rPr>
          <w:rStyle w:val="24"/>
          <w:rFonts w:ascii="仿宋" w:eastAsia="仿宋" w:hAnsi="仿宋" w:hint="eastAsia"/>
          <w:bCs/>
          <w:sz w:val="32"/>
          <w:szCs w:val="32"/>
        </w:rPr>
        <w:t>社会保障和就业（类）抚恤（款）死亡抚恤（项）</w:t>
      </w:r>
      <w:r>
        <w:rPr>
          <w:rStyle w:val="24"/>
          <w:rFonts w:ascii="仿宋" w:eastAsia="仿宋" w:hAnsi="仿宋"/>
          <w:bCs/>
          <w:sz w:val="32"/>
          <w:szCs w:val="32"/>
        </w:rPr>
        <w:t xml:space="preserve">: </w:t>
      </w:r>
      <w:r>
        <w:rPr>
          <w:rStyle w:val="24"/>
          <w:rFonts w:ascii="仿宋" w:eastAsia="仿宋" w:hAnsi="仿宋" w:hint="eastAsia"/>
          <w:bCs/>
          <w:sz w:val="32"/>
          <w:szCs w:val="32"/>
        </w:rPr>
        <w:t>支出决算为3.66万元，完成预算100.00</w:t>
      </w:r>
      <w:r>
        <w:rPr>
          <w:rStyle w:val="24"/>
          <w:rFonts w:ascii="仿宋" w:eastAsia="仿宋" w:hAnsi="仿宋"/>
          <w:bCs/>
          <w:sz w:val="32"/>
          <w:szCs w:val="32"/>
        </w:rPr>
        <w:t>%</w:t>
      </w:r>
      <w:r>
        <w:rPr>
          <w:rStyle w:val="24"/>
          <w:rFonts w:ascii="仿宋" w:eastAsia="仿宋" w:hAnsi="仿宋" w:hint="eastAsia"/>
          <w:bCs/>
          <w:sz w:val="32"/>
          <w:szCs w:val="32"/>
        </w:rPr>
        <w:t>，决算数等于预算数的主要原因是</w:t>
      </w:r>
      <w:r>
        <w:rPr>
          <w:rStyle w:val="24"/>
          <w:rFonts w:ascii="仿宋" w:eastAsia="仿宋" w:hAnsi="仿宋" w:hint="eastAsia"/>
          <w:bCs/>
          <w:color w:val="000000"/>
          <w:kern w:val="0"/>
          <w:sz w:val="32"/>
          <w:szCs w:val="32"/>
        </w:rPr>
        <w:t>预算执行中根据实际情况调整预算。</w:t>
      </w:r>
    </w:p>
    <w:p>
      <w:pPr>
        <w:snapToGrid w:val="0"/>
        <w:spacing w:line="560" w:lineRule="exact"/>
        <w:ind w:firstLineChars="200" w:firstLine="640"/>
        <w:rPr>
          <w:rStyle w:val="24"/>
          <w:rFonts w:ascii="仿宋" w:eastAsia="仿宋" w:hAnsi="仿宋"/>
          <w:bCs/>
          <w:color w:val="000000"/>
          <w:sz w:val="32"/>
          <w:szCs w:val="32"/>
        </w:rPr>
      </w:pPr>
      <w:r>
        <w:rPr>
          <w:rStyle w:val="24"/>
          <w:rFonts w:ascii="仿宋" w:eastAsia="仿宋" w:hAnsi="仿宋" w:hint="eastAsia"/>
          <w:bCs/>
          <w:sz w:val="32"/>
          <w:szCs w:val="32"/>
        </w:rPr>
        <w:t>7</w:t>
      </w:r>
      <w:r>
        <w:rPr>
          <w:rStyle w:val="24"/>
          <w:rFonts w:ascii="仿宋" w:eastAsia="仿宋" w:hAnsi="仿宋"/>
          <w:bCs/>
          <w:sz w:val="32"/>
          <w:szCs w:val="32"/>
        </w:rPr>
        <w:t>.</w:t>
      </w:r>
      <w:r>
        <w:rPr>
          <w:rStyle w:val="24"/>
          <w:rFonts w:ascii="仿宋" w:eastAsia="仿宋" w:hAnsi="仿宋" w:hint="eastAsia"/>
          <w:bCs/>
          <w:sz w:val="32"/>
          <w:szCs w:val="32"/>
        </w:rPr>
        <w:t>社会保障和就业（类）其他社会保障和就业支出（款）其他社会保障和就业支出（项）</w:t>
      </w:r>
      <w:r>
        <w:rPr>
          <w:rStyle w:val="24"/>
          <w:rFonts w:ascii="仿宋" w:eastAsia="仿宋" w:hAnsi="仿宋"/>
          <w:bCs/>
          <w:sz w:val="32"/>
          <w:szCs w:val="32"/>
        </w:rPr>
        <w:t xml:space="preserve">: </w:t>
      </w:r>
      <w:r>
        <w:rPr>
          <w:rStyle w:val="24"/>
          <w:rFonts w:ascii="仿宋" w:eastAsia="仿宋" w:hAnsi="仿宋" w:hint="eastAsia"/>
          <w:bCs/>
          <w:sz w:val="32"/>
          <w:szCs w:val="32"/>
        </w:rPr>
        <w:t>支出决算为9.31万元，完成预算100</w:t>
      </w:r>
      <w:r>
        <w:rPr>
          <w:rStyle w:val="24"/>
          <w:rFonts w:ascii="仿宋" w:eastAsia="仿宋" w:hAnsi="仿宋"/>
          <w:bCs/>
          <w:sz w:val="32"/>
          <w:szCs w:val="32"/>
        </w:rPr>
        <w:t>%</w:t>
      </w:r>
      <w:r>
        <w:rPr>
          <w:rStyle w:val="24"/>
          <w:rFonts w:ascii="仿宋" w:eastAsia="仿宋" w:hAnsi="仿宋" w:hint="eastAsia"/>
          <w:bCs/>
          <w:color w:val="000000"/>
          <w:sz w:val="32"/>
          <w:szCs w:val="32"/>
        </w:rPr>
        <w:t>。</w:t>
      </w:r>
      <w:r>
        <w:rPr>
          <w:rStyle w:val="24"/>
          <w:rFonts w:ascii="仿宋" w:eastAsia="仿宋" w:hAnsi="仿宋" w:hint="eastAsia"/>
          <w:bCs/>
          <w:sz w:val="32"/>
          <w:szCs w:val="32"/>
        </w:rPr>
        <w:t>决算数等于预算数的主要原因是</w:t>
      </w:r>
      <w:r>
        <w:rPr>
          <w:rStyle w:val="24"/>
          <w:rFonts w:ascii="仿宋" w:eastAsia="仿宋" w:hAnsi="仿宋" w:hint="eastAsia"/>
          <w:bCs/>
          <w:color w:val="000000"/>
          <w:sz w:val="32"/>
          <w:szCs w:val="32"/>
        </w:rPr>
        <w:t>年初预算根据实际编列，预算执行中根据实际支出情况调整预算。</w:t>
      </w:r>
    </w:p>
    <w:p>
      <w:pPr>
        <w:snapToGrid w:val="0"/>
        <w:spacing w:line="560" w:lineRule="exact"/>
        <w:ind w:firstLineChars="200" w:firstLine="640"/>
        <w:rPr>
          <w:rStyle w:val="24"/>
          <w:rFonts w:ascii="仿宋" w:eastAsia="仿宋" w:hAnsi="仿宋"/>
          <w:bCs/>
          <w:color w:val="000000"/>
          <w:sz w:val="32"/>
          <w:szCs w:val="32"/>
        </w:rPr>
      </w:pPr>
      <w:r>
        <w:rPr>
          <w:rStyle w:val="24"/>
          <w:rFonts w:ascii="仿宋" w:eastAsia="仿宋" w:hAnsi="仿宋" w:hint="eastAsia"/>
          <w:bCs/>
          <w:sz w:val="32"/>
          <w:szCs w:val="32"/>
        </w:rPr>
        <w:t>8</w:t>
      </w:r>
      <w:r>
        <w:rPr>
          <w:rStyle w:val="24"/>
          <w:rFonts w:ascii="仿宋" w:eastAsia="仿宋" w:hAnsi="仿宋"/>
          <w:bCs/>
          <w:sz w:val="32"/>
          <w:szCs w:val="32"/>
        </w:rPr>
        <w:t>.</w:t>
      </w:r>
      <w:r>
        <w:rPr>
          <w:rStyle w:val="24"/>
          <w:rFonts w:ascii="仿宋" w:eastAsia="仿宋" w:hAnsi="仿宋" w:hint="eastAsia"/>
          <w:bCs/>
          <w:sz w:val="32"/>
          <w:szCs w:val="32"/>
        </w:rPr>
        <w:t>卫生健康支出（类）行政事业单位医疗（款）事业单位医疗（项）</w:t>
      </w:r>
      <w:r>
        <w:rPr>
          <w:rStyle w:val="24"/>
          <w:rFonts w:ascii="仿宋" w:eastAsia="仿宋" w:hAnsi="仿宋"/>
          <w:bCs/>
          <w:sz w:val="32"/>
          <w:szCs w:val="32"/>
        </w:rPr>
        <w:t xml:space="preserve">: </w:t>
      </w:r>
      <w:r>
        <w:rPr>
          <w:rStyle w:val="24"/>
          <w:rFonts w:ascii="仿宋" w:eastAsia="仿宋" w:hAnsi="仿宋" w:hint="eastAsia"/>
          <w:bCs/>
          <w:sz w:val="32"/>
          <w:szCs w:val="32"/>
        </w:rPr>
        <w:t>支出决算为24.55万元，完成预算100</w:t>
      </w:r>
      <w:r>
        <w:rPr>
          <w:rStyle w:val="24"/>
          <w:rFonts w:ascii="仿宋" w:eastAsia="仿宋" w:hAnsi="仿宋"/>
          <w:bCs/>
          <w:sz w:val="32"/>
          <w:szCs w:val="32"/>
        </w:rPr>
        <w:t>%</w:t>
      </w:r>
      <w:r>
        <w:rPr>
          <w:rStyle w:val="24"/>
          <w:rFonts w:ascii="仿宋" w:eastAsia="仿宋" w:hAnsi="仿宋" w:hint="eastAsia"/>
          <w:bCs/>
          <w:color w:val="000000"/>
          <w:sz w:val="32"/>
          <w:szCs w:val="32"/>
        </w:rPr>
        <w:t>。</w:t>
      </w:r>
      <w:r>
        <w:rPr>
          <w:rStyle w:val="24"/>
          <w:rFonts w:ascii="仿宋" w:eastAsia="仿宋" w:hAnsi="仿宋" w:hint="eastAsia"/>
          <w:bCs/>
          <w:sz w:val="32"/>
          <w:szCs w:val="32"/>
        </w:rPr>
        <w:t>决算数等于预算数的主要原因是</w:t>
      </w:r>
      <w:r>
        <w:rPr>
          <w:rStyle w:val="24"/>
          <w:rFonts w:ascii="仿宋" w:eastAsia="仿宋" w:hAnsi="仿宋" w:hint="eastAsia"/>
          <w:bCs/>
          <w:color w:val="000000"/>
          <w:sz w:val="32"/>
          <w:szCs w:val="32"/>
        </w:rPr>
        <w:t>年初预算根据实际编列，预算执行中根据实际支出情况调整预算。</w:t>
      </w:r>
    </w:p>
    <w:p>
      <w:pPr>
        <w:snapToGrid w:val="0"/>
        <w:spacing w:line="560" w:lineRule="exact"/>
        <w:ind w:firstLineChars="200"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1-1表和财决08表，仅罗列本部门涉及的全部功能分类科目，至项级。上述“预算”口径为调整预算数。增减变动原因为决算数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和调整预算数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pPr>
        <w:tabs>
          <w:tab w:val="right" w:pos="8306"/>
        </w:tabs>
        <w:snapToGrid w:val="0"/>
        <w:spacing w:line="560" w:lineRule="exact"/>
        <w:ind w:firstLine="640"/>
        <w:outlineLvl w:val="1"/>
        <w:rPr>
          <w:rStyle w:val="2Char"/>
        </w:rPr>
      </w:pPr>
      <w:bookmarkStart w:id="41" w:name="_Toc15377214"/>
      <w:bookmarkStart w:id="42"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rPr>
        <w:t>般公共预算财政拨款基本支出决算情况说明</w:t>
      </w:r>
      <w:bookmarkEnd w:id="41"/>
      <w:bookmarkEnd w:id="42"/>
      <w:r>
        <w:rPr>
          <w:rStyle w:val="2Char"/>
          <w:rFonts w:ascii="黑体" w:eastAsia="黑体" w:hAnsi="黑体"/>
        </w:rPr>
        <w:tab/>
      </w:r>
    </w:p>
    <w:p>
      <w:pPr>
        <w:snapToGrid w:val="0"/>
        <w:spacing w:line="560" w:lineRule="exact"/>
        <w:ind w:firstLine="645"/>
        <w:rPr>
          <w:rFonts w:ascii="仿宋" w:eastAsia="仿宋" w:hAnsi="仿宋"/>
          <w:spacing w:val="-6"/>
          <w:sz w:val="32"/>
          <w:szCs w:val="32"/>
        </w:rPr>
      </w:pPr>
      <w:r>
        <w:rPr>
          <w:rFonts w:ascii="仿宋" w:eastAsia="仿宋" w:hAnsi="仿宋"/>
          <w:sz w:val="32"/>
          <w:szCs w:val="32"/>
        </w:rPr>
        <w:t>2</w:t>
      </w:r>
      <w:r>
        <w:rPr>
          <w:rFonts w:ascii="仿宋" w:eastAsia="仿宋" w:hAnsi="仿宋"/>
          <w:spacing w:val="-6"/>
          <w:sz w:val="32"/>
          <w:szCs w:val="32"/>
        </w:rPr>
        <w:t>0</w:t>
      </w:r>
      <w:r>
        <w:rPr>
          <w:rFonts w:ascii="仿宋" w:eastAsia="仿宋" w:hAnsi="仿宋" w:hint="eastAsia"/>
          <w:spacing w:val="-6"/>
          <w:sz w:val="32"/>
          <w:szCs w:val="32"/>
        </w:rPr>
        <w:t>21年一般公共预算财政拨款基本支出688.71万元，其中：</w:t>
      </w:r>
    </w:p>
    <w:p>
      <w:pPr>
        <w:snapToGrid w:val="0"/>
        <w:spacing w:line="560" w:lineRule="exact"/>
        <w:ind w:firstLine="645"/>
        <w:rPr>
          <w:rFonts w:ascii="仿宋" w:eastAsia="仿宋" w:hAnsi="仿宋"/>
          <w:sz w:val="32"/>
          <w:szCs w:val="32"/>
        </w:rPr>
      </w:pPr>
      <w:r>
        <w:rPr>
          <w:rFonts w:ascii="仿宋" w:eastAsia="仿宋" w:hAnsi="仿宋" w:hint="eastAsia"/>
          <w:sz w:val="32"/>
          <w:szCs w:val="32"/>
        </w:rPr>
        <w:t>人员经费688.71万元，主要包括：基本工资、津贴补贴、奖金、绩效工资、机关事业单位基本养老保险缴费、职业年金缴费、其他社会保障缴费、其他工资福利支出、抚恤金、生活补助、助学金、奖励金、其他对个人和家庭的补助支出等。</w:t>
      </w:r>
    </w:p>
    <w:p>
      <w:pPr>
        <w:snapToGrid w:val="0"/>
        <w:spacing w:line="560" w:lineRule="exact"/>
        <w:ind w:firstLine="645"/>
        <w:rPr>
          <w:rFonts w:ascii="仿宋" w:eastAsia="仿宋" w:hAnsi="仿宋"/>
          <w:sz w:val="32"/>
          <w:szCs w:val="32"/>
        </w:rPr>
      </w:pPr>
      <w:r>
        <w:rPr>
          <w:rFonts w:ascii="仿宋" w:eastAsia="仿宋" w:hAnsi="仿宋" w:hint="eastAsia"/>
          <w:sz w:val="32"/>
          <w:szCs w:val="32"/>
        </w:rPr>
        <w:t>公用经费60.79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napToGrid w:val="0"/>
        <w:spacing w:line="56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7表和财决08-1表，仅罗列本部门实际支出涉及的经济分类科目。）</w:t>
      </w:r>
    </w:p>
    <w:p>
      <w:pPr>
        <w:snapToGrid w:val="0"/>
        <w:spacing w:line="560" w:lineRule="exact"/>
        <w:ind w:firstLine="640"/>
        <w:outlineLvl w:val="1"/>
        <w:rPr>
          <w:rStyle w:val="2Char"/>
          <w:rFonts w:ascii="黑体" w:eastAsia="黑体" w:hAnsi="黑体"/>
          <w:b w:val="0"/>
        </w:rPr>
      </w:pPr>
      <w:bookmarkStart w:id="43" w:name="_Toc15377215"/>
      <w:bookmarkStart w:id="44" w:name="_Toc15396609"/>
      <w:r>
        <w:rPr>
          <w:rFonts w:ascii="黑体" w:eastAsia="黑体" w:hint="eastAsia"/>
          <w:sz w:val="32"/>
          <w:szCs w:val="32"/>
        </w:rPr>
        <w:t>七、</w:t>
      </w:r>
      <w:r>
        <w:rPr>
          <w:rStyle w:val="2Char"/>
          <w:rFonts w:ascii="黑体" w:eastAsia="黑体" w:hAnsi="黑体" w:hint="eastAsia"/>
        </w:rPr>
        <w:t>“三公”经费财政拨款支出决算情况说明</w:t>
      </w:r>
      <w:bookmarkEnd w:id="43"/>
      <w:bookmarkEnd w:id="44"/>
    </w:p>
    <w:p>
      <w:pPr>
        <w:snapToGrid w:val="0"/>
        <w:spacing w:line="550" w:lineRule="exact"/>
        <w:ind w:firstLine="640"/>
        <w:outlineLvl w:val="2"/>
        <w:rPr>
          <w:rFonts w:ascii="楷体" w:eastAsia="楷体" w:cs="楷体" w:hAnsi="楷体"/>
          <w:bCs/>
          <w:sz w:val="32"/>
          <w:szCs w:val="32"/>
        </w:rPr>
      </w:pPr>
      <w:bookmarkStart w:id="45" w:name="_Toc15377216"/>
      <w:bookmarkStart w:id="46" w:name="_Toc15396610"/>
      <w:bookmarkStart w:id="47" w:name="_Toc15377218"/>
      <w:r>
        <w:rPr>
          <w:rFonts w:ascii="楷体" w:eastAsia="楷体" w:cs="楷体" w:hAnsi="楷体" w:hint="eastAsia"/>
          <w:bCs/>
          <w:sz w:val="32"/>
          <w:szCs w:val="32"/>
        </w:rPr>
        <w:t>（一）“三公”经费财政拨款支出决算总体情况说明</w:t>
      </w:r>
      <w:bookmarkEnd w:id="45"/>
    </w:p>
    <w:p>
      <w:pPr>
        <w:snapToGrid w:val="0"/>
        <w:spacing w:line="550" w:lineRule="exact"/>
        <w:ind w:firstLineChars="200" w:firstLine="640"/>
        <w:outlineLvl w:val="2"/>
        <w:rPr>
          <w:rFonts w:ascii="仿宋" w:eastAsia="仿宋" w:hAnsi="仿宋"/>
          <w:color w:val="000000"/>
          <w:sz w:val="32"/>
          <w:szCs w:val="32"/>
        </w:rPr>
      </w:pPr>
      <w:r>
        <w:rPr>
          <w:rFonts w:ascii="仿宋" w:eastAsia="仿宋" w:hAnsi="仿宋"/>
          <w:sz w:val="32"/>
          <w:szCs w:val="32"/>
        </w:rPr>
        <w:t>20</w:t>
      </w:r>
      <w:r>
        <w:rPr>
          <w:rFonts w:ascii="仿宋" w:eastAsia="仿宋" w:hAnsi="仿宋" w:hint="eastAsia"/>
          <w:sz w:val="32"/>
          <w:szCs w:val="32"/>
        </w:rPr>
        <w:t>21年“三公”经费财政拨款支出决算为0.00万元，完成预算100</w:t>
      </w:r>
      <w:r>
        <w:rPr>
          <w:rFonts w:ascii="仿宋" w:eastAsia="仿宋" w:hAnsi="仿宋"/>
          <w:sz w:val="32"/>
          <w:szCs w:val="32"/>
        </w:rPr>
        <w:t>%</w:t>
      </w:r>
      <w:r>
        <w:rPr>
          <w:rFonts w:ascii="仿宋" w:eastAsia="仿宋" w:hAnsi="仿宋" w:hint="eastAsia"/>
          <w:sz w:val="32"/>
          <w:szCs w:val="32"/>
        </w:rPr>
        <w:t>，与2020年相比持平。</w:t>
      </w:r>
      <w:r>
        <w:rPr>
          <w:rStyle w:val="24"/>
          <w:rFonts w:ascii="仿宋" w:eastAsia="仿宋" w:hAnsi="仿宋" w:hint="eastAsia"/>
          <w:b w:val="0"/>
          <w:bCs/>
          <w:sz w:val="32"/>
          <w:szCs w:val="32"/>
        </w:rPr>
        <w:t>决算数等于预算数的主要原因是</w:t>
      </w:r>
      <w:r>
        <w:rPr>
          <w:rStyle w:val="24"/>
          <w:rFonts w:ascii="仿宋" w:eastAsia="仿宋" w:hAnsi="仿宋" w:hint="eastAsia"/>
          <w:b w:val="0"/>
          <w:bCs/>
          <w:color w:val="000000"/>
          <w:sz w:val="32"/>
          <w:szCs w:val="32"/>
        </w:rPr>
        <w:t>未预算此项资金，</w:t>
      </w:r>
      <w:r>
        <w:rPr>
          <w:rFonts w:ascii="仿宋" w:eastAsia="仿宋" w:hAnsi="仿宋" w:hint="eastAsia"/>
          <w:color w:val="000000"/>
          <w:sz w:val="32"/>
          <w:szCs w:val="32"/>
        </w:rPr>
        <w:t>年度也未发生公务接待活动。</w:t>
      </w:r>
    </w:p>
    <w:p>
      <w:pPr>
        <w:snapToGrid w:val="0"/>
        <w:spacing w:line="550" w:lineRule="exact"/>
        <w:ind w:firstLine="640"/>
        <w:outlineLvl w:val="2"/>
        <w:rPr>
          <w:rFonts w:ascii="仿宋" w:eastAsia="仿宋" w:hAnsi="仿宋"/>
          <w:b/>
          <w:sz w:val="32"/>
          <w:szCs w:val="32"/>
        </w:rPr>
      </w:pPr>
      <w:r>
        <w:rPr>
          <w:rFonts w:ascii="仿宋" w:eastAsia="仿宋" w:hAnsi="仿宋" w:hint="eastAsia"/>
          <w:b/>
          <w:sz w:val="32"/>
          <w:szCs w:val="32"/>
        </w:rPr>
        <w:t>（注：上述“预算”口径为调整预算数，包括一般公共预算和政府性基金预算财政拨款支出决算情况。）</w:t>
      </w:r>
    </w:p>
    <w:p>
      <w:pPr>
        <w:snapToGrid w:val="0"/>
        <w:spacing w:line="550" w:lineRule="exact"/>
        <w:ind w:firstLine="640"/>
        <w:outlineLvl w:val="2"/>
        <w:rPr>
          <w:rFonts w:ascii="楷体" w:eastAsia="楷体" w:cs="楷体" w:hAnsi="楷体"/>
          <w:bCs/>
          <w:sz w:val="32"/>
          <w:szCs w:val="32"/>
        </w:rPr>
      </w:pPr>
      <w:bookmarkStart w:id="48" w:name="_Toc15377217"/>
      <w:r>
        <w:rPr>
          <w:rFonts w:ascii="楷体" w:eastAsia="楷体" w:cs="楷体" w:hAnsi="楷体" w:hint="eastAsia"/>
          <w:bCs/>
          <w:sz w:val="32"/>
          <w:szCs w:val="32"/>
        </w:rPr>
        <w:t>（二）“三公”经费财政拨款支出决算具体情况说明</w:t>
      </w:r>
      <w:bookmarkEnd w:id="48"/>
    </w:p>
    <w:p>
      <w:pPr>
        <w:snapToGrid w:val="0"/>
        <w:spacing w:line="550" w:lineRule="exact"/>
        <w:ind w:firstLine="640"/>
        <w:outlineLvl w:val="2"/>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21年“三公”经费财政拨款支出决算中，因公出国（境）费支出决算0.00万元，占0.00</w:t>
      </w:r>
      <w:r>
        <w:rPr>
          <w:rFonts w:ascii="仿宋" w:eastAsia="仿宋" w:hAnsi="仿宋"/>
          <w:sz w:val="32"/>
          <w:szCs w:val="32"/>
        </w:rPr>
        <w:t>%</w:t>
      </w:r>
      <w:r>
        <w:rPr>
          <w:rFonts w:ascii="仿宋" w:eastAsia="仿宋" w:hAnsi="仿宋" w:hint="eastAsia"/>
          <w:sz w:val="32"/>
          <w:szCs w:val="32"/>
        </w:rPr>
        <w:t>；与2020年相比持平。公务用车购置及运行维护费支出决算0.00万元，占0.00</w:t>
      </w:r>
      <w:r>
        <w:rPr>
          <w:rFonts w:ascii="仿宋" w:eastAsia="仿宋" w:hAnsi="仿宋"/>
          <w:sz w:val="32"/>
          <w:szCs w:val="32"/>
        </w:rPr>
        <w:t>%</w:t>
      </w:r>
      <w:r>
        <w:rPr>
          <w:rFonts w:ascii="仿宋" w:eastAsia="仿宋" w:hAnsi="仿宋" w:hint="eastAsia"/>
          <w:sz w:val="32"/>
          <w:szCs w:val="32"/>
        </w:rPr>
        <w:t>；公务接待费支出决算0.00万元，占0.00</w:t>
      </w:r>
      <w:r>
        <w:rPr>
          <w:rFonts w:ascii="仿宋" w:eastAsia="仿宋" w:hAnsi="仿宋"/>
          <w:sz w:val="32"/>
          <w:szCs w:val="32"/>
        </w:rPr>
        <w:t>%</w:t>
      </w:r>
      <w:r>
        <w:rPr>
          <w:rFonts w:ascii="仿宋" w:eastAsia="仿宋" w:hAnsi="仿宋" w:hint="eastAsia"/>
          <w:sz w:val="32"/>
          <w:szCs w:val="32"/>
        </w:rPr>
        <w:t>。具体情况如下：</w:t>
      </w:r>
    </w:p>
    <w:p>
      <w:pPr>
        <w:spacing w:line="600" w:lineRule="exact"/>
        <w:ind w:firstLine="640"/>
        <w:rPr>
          <w:rFonts w:ascii="仿宋" w:eastAsia="仿宋" w:hAnsi="仿宋"/>
          <w:sz w:val="32"/>
          <w:szCs w:val="32"/>
        </w:rPr>
      </w:pPr>
      <w:r>
        <w:rPr>
          <w:rFonts w:ascii="仿宋" w:eastAsia="仿宋" w:hAnsi="仿宋"/>
          <w:sz w:val="32"/>
          <w:szCs w:val="32"/>
        </w:rPr>
        <w:drawing>
          <wp:anchor distT="0" distB="0" distL="114300" distR="114300" simplePos="0" relativeHeight="42" behindDoc="0" locked="0" layoutInCell="1" hidden="0" allowOverlap="1">
            <wp:simplePos x="0" y="0"/>
            <wp:positionH relativeFrom="column">
              <wp:posOffset>167004</wp:posOffset>
            </wp:positionH>
            <wp:positionV relativeFrom="paragraph">
              <wp:posOffset>78105</wp:posOffset>
            </wp:positionV>
            <wp:extent cx="5073650" cy="2672715"/>
            <wp:effectExtent l="0" t="0" r="46" b="41"/>
            <wp:wrapSquare wrapText="bothSides"/>
            <wp:docPr id="15" name="图表 9"/>
            <wp:cNvGraphicFramePr>
              <a:graphicFrameLocks noChangeAspect="0"/>
            </wp:cNvGraphicFramePr>
            <a:graphic>
              <a:graphicData uri="http://schemas.openxmlformats.org/drawingml/2006/chart">
                <c:chart xmlns:c="http://schemas.openxmlformats.org/drawingml/2006/chart" r:id="rId10"/>
              </a:graphicData>
            </a:graphic>
          </wp:anchor>
        </w:drawing>
      </w: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pacing w:line="600" w:lineRule="exact"/>
        <w:ind w:firstLine="640"/>
        <w:rPr>
          <w:rFonts w:ascii="仿宋" w:eastAsia="仿宋" w:hAnsi="仿宋"/>
          <w:sz w:val="32"/>
          <w:szCs w:val="32"/>
        </w:rPr>
      </w:pPr>
    </w:p>
    <w:p>
      <w:pPr>
        <w:snapToGrid w:val="0"/>
        <w:spacing w:line="500" w:lineRule="exact"/>
        <w:ind w:firstLineChars="200" w:firstLine="640"/>
        <w:outlineLvl w:val="1"/>
        <w:rPr>
          <w:rFonts w:ascii="仿宋" w:eastAsia="仿宋" w:hAnsi="仿宋"/>
          <w:sz w:val="32"/>
          <w:szCs w:val="32"/>
        </w:rPr>
      </w:pPr>
      <w:bookmarkStart w:id="49" w:name="_Toc1682"/>
    </w:p>
    <w:p>
      <w:pPr>
        <w:snapToGrid w:val="0"/>
        <w:spacing w:line="500" w:lineRule="exact"/>
        <w:ind w:firstLineChars="200" w:firstLine="640"/>
        <w:outlineLvl w:val="1"/>
        <w:rPr>
          <w:rFonts w:ascii="仿宋" w:eastAsia="仿宋" w:hAnsi="仿宋"/>
          <w:sz w:val="32"/>
          <w:szCs w:val="32"/>
        </w:rPr>
      </w:pPr>
    </w:p>
    <w:p>
      <w:pPr>
        <w:snapToGrid w:val="0"/>
        <w:spacing w:line="500" w:lineRule="exact"/>
        <w:ind w:firstLineChars="200" w:firstLine="640"/>
        <w:outlineLvl w:val="1"/>
        <w:rPr>
          <w:rFonts w:ascii="仿宋" w:eastAsia="仿宋" w:hAnsi="仿宋"/>
          <w:sz w:val="32"/>
          <w:szCs w:val="32"/>
        </w:rPr>
      </w:pPr>
      <w:r>
        <w:rPr>
          <w:rFonts w:ascii="仿宋" w:eastAsia="仿宋" w:hAnsi="仿宋" w:hint="eastAsia"/>
          <w:sz w:val="32"/>
          <w:szCs w:val="32"/>
        </w:rPr>
        <w:t>（图7：“三公”经费财政拨款支出结构）</w:t>
      </w:r>
      <w:bookmarkEnd w:id="49"/>
    </w:p>
    <w:p>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0.00万元，</w:t>
      </w:r>
      <w:r>
        <w:rPr>
          <w:rStyle w:val="24"/>
          <w:rFonts w:ascii="仿宋" w:eastAsia="仿宋" w:hAnsi="仿宋" w:hint="eastAsia"/>
          <w:b w:val="0"/>
          <w:bCs/>
          <w:sz w:val="32"/>
          <w:szCs w:val="32"/>
        </w:rPr>
        <w:t>完成预算</w:t>
      </w:r>
      <w:r>
        <w:rPr>
          <w:rFonts w:ascii="仿宋_GB2312" w:eastAsia="仿宋_GB2312" w:hint="eastAsia"/>
          <w:sz w:val="32"/>
          <w:szCs w:val="32"/>
        </w:rPr>
        <w:t>0.00</w:t>
      </w:r>
      <w:r>
        <w:rPr>
          <w:rStyle w:val="24"/>
          <w:rFonts w:ascii="仿宋" w:eastAsia="仿宋" w:hAnsi="仿宋"/>
          <w:b w:val="0"/>
          <w:bCs/>
          <w:sz w:val="32"/>
          <w:szCs w:val="32"/>
        </w:rPr>
        <w:t>%</w:t>
      </w:r>
      <w:r>
        <w:rPr>
          <w:rStyle w:val="24"/>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_GB2312" w:eastAsia="仿宋_GB2312"/>
          <w:sz w:val="32"/>
          <w:szCs w:val="32"/>
        </w:rPr>
        <w:t>20</w:t>
      </w:r>
      <w:r>
        <w:rPr>
          <w:rFonts w:ascii="仿宋_GB2312" w:eastAsia="仿宋_GB2312" w:hint="eastAsia"/>
          <w:sz w:val="32"/>
          <w:szCs w:val="32"/>
        </w:rPr>
        <w:t>20年持平。主要原因是当年未安排因公出国（境）支出预算，无因公出国（境）支出。</w:t>
      </w:r>
    </w:p>
    <w:p>
      <w:pPr>
        <w:spacing w:line="560" w:lineRule="exact"/>
        <w:ind w:firstLine="640"/>
        <w:outlineLvl w:val="2"/>
        <w:rPr>
          <w:rFonts w:ascii="仿宋_GB2312" w:eastAsia="仿宋_GB2312"/>
          <w:sz w:val="32"/>
          <w:szCs w:val="32"/>
        </w:rPr>
      </w:pPr>
      <w:r>
        <w:rPr>
          <w:rFonts w:ascii="仿宋_GB2312" w:eastAsia="仿宋_GB2312" w:hint="eastAsia"/>
          <w:sz w:val="32"/>
          <w:szCs w:val="32"/>
        </w:rPr>
        <w:t>开支内容包括：本年度未安排因公出国。</w:t>
      </w:r>
    </w:p>
    <w:p>
      <w:pPr>
        <w:spacing w:line="560" w:lineRule="exact"/>
        <w:ind w:firstLine="640"/>
        <w:outlineLvl w:val="2"/>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0.00万元,</w:t>
      </w:r>
      <w:r>
        <w:rPr>
          <w:rStyle w:val="24"/>
          <w:rFonts w:ascii="仿宋" w:eastAsia="仿宋" w:hAnsi="仿宋" w:hint="eastAsia"/>
          <w:b w:val="0"/>
          <w:bCs/>
          <w:sz w:val="32"/>
          <w:szCs w:val="32"/>
        </w:rPr>
        <w:t>完成预算100</w:t>
      </w:r>
      <w:r>
        <w:rPr>
          <w:rStyle w:val="24"/>
          <w:rFonts w:ascii="仿宋" w:eastAsia="仿宋" w:hAnsi="仿宋"/>
          <w:b w:val="0"/>
          <w:bCs/>
          <w:sz w:val="32"/>
          <w:szCs w:val="32"/>
        </w:rPr>
        <w:t>%</w:t>
      </w:r>
      <w:r>
        <w:rPr>
          <w:rStyle w:val="24"/>
          <w:rFonts w:ascii="仿宋" w:eastAsia="仿宋" w:hAnsi="仿宋" w:hint="eastAsia"/>
          <w:b w:val="0"/>
          <w:bCs/>
          <w:sz w:val="32"/>
          <w:szCs w:val="32"/>
        </w:rPr>
        <w:t>。</w:t>
      </w:r>
      <w:r>
        <w:rPr>
          <w:rFonts w:ascii="仿宋_GB2312" w:eastAsia="仿宋_GB2312" w:hint="eastAsia"/>
          <w:sz w:val="32"/>
          <w:szCs w:val="32"/>
        </w:rPr>
        <w:t>公务用车购置及运行维护费支出决算与</w:t>
      </w:r>
      <w:r>
        <w:rPr>
          <w:rFonts w:ascii="仿宋_GB2312" w:eastAsia="仿宋_GB2312"/>
          <w:sz w:val="32"/>
          <w:szCs w:val="32"/>
        </w:rPr>
        <w:t>20</w:t>
      </w:r>
      <w:r>
        <w:rPr>
          <w:rFonts w:ascii="仿宋_GB2312" w:eastAsia="仿宋_GB2312" w:hint="eastAsia"/>
          <w:sz w:val="32"/>
          <w:szCs w:val="32"/>
        </w:rPr>
        <w:t>20年持平。主要原因是无公务用车购置及运行维护费支出。</w:t>
      </w:r>
    </w:p>
    <w:p>
      <w:pPr>
        <w:spacing w:line="560" w:lineRule="exact"/>
        <w:ind w:firstLineChars="200" w:firstLine="640"/>
        <w:outlineLvl w:val="2"/>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0.00万元。全年按规定更新购置公务用车0辆，其中：轿车0辆、金额0.00万元，越野车0辆、金额0.00万元，载客汽车0辆、金额0.00万元。截至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月底，单位共有公务用车0辆，其中：轿车0辆、越野车0辆、载客汽车0辆。</w:t>
      </w:r>
    </w:p>
    <w:p>
      <w:pPr>
        <w:spacing w:line="560" w:lineRule="exact"/>
        <w:ind w:firstLine="640"/>
        <w:outlineLvl w:val="2"/>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0.00万元。主要用于公务用车的燃料费、维修费、过路过桥费、保险费等支出。</w:t>
      </w:r>
    </w:p>
    <w:p>
      <w:pPr>
        <w:snapToGrid w:val="0"/>
        <w:spacing w:line="550" w:lineRule="exact"/>
        <w:ind w:firstLineChars="200" w:firstLine="640"/>
        <w:outlineLvl w:val="2"/>
        <w:rPr>
          <w:rFonts w:ascii="仿宋" w:eastAsia="仿宋" w:hAnsi="仿宋"/>
          <w:color w:val="000000"/>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0.00万元，</w:t>
      </w:r>
      <w:r>
        <w:rPr>
          <w:rStyle w:val="24"/>
          <w:rFonts w:ascii="仿宋" w:eastAsia="仿宋" w:hAnsi="仿宋" w:hint="eastAsia"/>
          <w:b w:val="0"/>
          <w:bCs/>
          <w:sz w:val="32"/>
          <w:szCs w:val="32"/>
        </w:rPr>
        <w:t>完成预算100</w:t>
      </w:r>
      <w:r>
        <w:rPr>
          <w:rStyle w:val="24"/>
          <w:rFonts w:ascii="仿宋" w:eastAsia="仿宋" w:hAnsi="仿宋"/>
          <w:b w:val="0"/>
          <w:bCs/>
          <w:sz w:val="32"/>
          <w:szCs w:val="32"/>
        </w:rPr>
        <w:t>%</w:t>
      </w:r>
      <w:r>
        <w:rPr>
          <w:rStyle w:val="24"/>
          <w:rFonts w:ascii="仿宋" w:eastAsia="仿宋" w:hAnsi="仿宋" w:hint="eastAsia"/>
          <w:b w:val="0"/>
          <w:bCs/>
          <w:sz w:val="32"/>
          <w:szCs w:val="32"/>
        </w:rPr>
        <w:t>。决算数等于预算数的主要原因是</w:t>
      </w:r>
      <w:r>
        <w:rPr>
          <w:rStyle w:val="24"/>
          <w:rFonts w:ascii="仿宋" w:eastAsia="仿宋" w:hAnsi="仿宋" w:hint="eastAsia"/>
          <w:b w:val="0"/>
          <w:bCs/>
          <w:color w:val="000000"/>
          <w:sz w:val="32"/>
          <w:szCs w:val="32"/>
        </w:rPr>
        <w:t>未预算此项资金，</w:t>
      </w:r>
      <w:r>
        <w:rPr>
          <w:rFonts w:ascii="仿宋" w:eastAsia="仿宋" w:hAnsi="仿宋" w:hint="eastAsia"/>
          <w:color w:val="000000"/>
          <w:sz w:val="32"/>
          <w:szCs w:val="32"/>
        </w:rPr>
        <w:t>年度也未发生公务接待活动。</w:t>
      </w:r>
    </w:p>
    <w:p>
      <w:pPr>
        <w:spacing w:line="560" w:lineRule="exact"/>
        <w:ind w:firstLineChars="200" w:firstLine="640"/>
        <w:outlineLvl w:val="2"/>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0.00</w:t>
      </w:r>
      <w:r>
        <w:rPr>
          <w:rFonts w:ascii="仿宋_GB2312" w:eastAsia="仿宋_GB2312" w:hint="eastAsia"/>
          <w:sz w:val="32"/>
          <w:szCs w:val="32"/>
        </w:rPr>
        <w:t>万元，外事接待0批次，0人，共计支出0.00万元。</w:t>
      </w:r>
    </w:p>
    <w:p>
      <w:pPr>
        <w:spacing w:line="56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rPr>
        <w:t>政府性基金预算支出决算情况说明</w:t>
      </w:r>
      <w:bookmarkEnd w:id="46"/>
      <w:bookmarkEnd w:id="47"/>
    </w:p>
    <w:p>
      <w:pPr>
        <w:spacing w:line="56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21年政府性基金预算财政拨款支出0.00万元。</w:t>
      </w:r>
    </w:p>
    <w:p>
      <w:pPr>
        <w:numPr>
          <w:ilvl w:val="0"/>
          <w:numId w:val="2"/>
        </w:numPr>
        <w:spacing w:line="560" w:lineRule="exact"/>
        <w:ind w:left="-10" w:firstLine="640"/>
        <w:outlineLvl w:val="1"/>
        <w:rPr>
          <w:rStyle w:val="2Char"/>
          <w:rFonts w:ascii="黑体" w:eastAsia="黑体" w:hAnsi="黑体"/>
          <w:b w:val="0"/>
        </w:rPr>
      </w:pPr>
      <w:bookmarkStart w:id="50" w:name="_Toc15396611"/>
      <w:bookmarkStart w:id="51" w:name="_Toc15377219"/>
      <w:r>
        <w:rPr>
          <w:rStyle w:val="2Char"/>
          <w:rFonts w:ascii="黑体" w:eastAsia="黑体" w:hAnsi="黑体" w:hint="eastAsia"/>
        </w:rPr>
        <w:t>国有资本经营预算支出决算情况说明</w:t>
      </w:r>
      <w:bookmarkEnd w:id="50"/>
      <w:bookmarkEnd w:id="51"/>
    </w:p>
    <w:p>
      <w:pPr>
        <w:spacing w:line="560" w:lineRule="exact"/>
        <w:ind w:firstLine="640"/>
        <w:rPr>
          <w:rFonts w:ascii="方正小标宋简体" w:eastAsia="方正小标宋简体" w:cs="方正小标宋简体" w:hAnsi="方正小标宋简体"/>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21年国有资本经营预算财政拨款支出0.00万元。</w:t>
      </w:r>
    </w:p>
    <w:p>
      <w:pPr>
        <w:numPr>
          <w:ilvl w:val="0"/>
          <w:numId w:val="3"/>
        </w:numPr>
        <w:spacing w:line="560" w:lineRule="exact"/>
        <w:ind w:left="0" w:firstLine="640"/>
        <w:outlineLvl w:val="1"/>
        <w:rPr>
          <w:rStyle w:val="2Char"/>
          <w:rFonts w:ascii="黑体" w:eastAsia="黑体" w:hAnsi="黑体"/>
          <w:b w:val="0"/>
          <w:color w:val="000000"/>
        </w:rPr>
      </w:pPr>
      <w:bookmarkStart w:id="52" w:name="_Toc15396613"/>
      <w:bookmarkStart w:id="53" w:name="_Toc15377225"/>
      <w:bookmarkStart w:id="54" w:name="_Toc15396612"/>
      <w:bookmarkStart w:id="55" w:name="_Toc10003"/>
      <w:bookmarkStart w:id="56" w:name="_Toc15377221"/>
      <w:r>
        <w:rPr>
          <w:rStyle w:val="2Char"/>
          <w:rFonts w:ascii="黑体" w:eastAsia="黑体" w:hAnsi="黑体" w:hint="eastAsia"/>
          <w:color w:val="000000"/>
        </w:rPr>
        <w:t>其他重要事项的情况说明</w:t>
      </w:r>
      <w:bookmarkEnd w:id="54"/>
      <w:bookmarkEnd w:id="55"/>
      <w:bookmarkEnd w:id="56"/>
    </w:p>
    <w:p>
      <w:pPr>
        <w:spacing w:line="560" w:lineRule="exact"/>
        <w:ind w:firstLineChars="200" w:firstLine="640"/>
        <w:outlineLvl w:val="2"/>
        <w:rPr>
          <w:rFonts w:ascii="楷体" w:eastAsia="楷体" w:cs="楷体" w:hAnsi="楷体"/>
          <w:bCs/>
          <w:color w:val="000000"/>
          <w:sz w:val="32"/>
          <w:szCs w:val="32"/>
        </w:rPr>
      </w:pPr>
      <w:bookmarkStart w:id="57" w:name="_Toc15377222"/>
      <w:r>
        <w:rPr>
          <w:rFonts w:ascii="楷体" w:eastAsia="楷体" w:cs="楷体" w:hAnsi="楷体" w:hint="eastAsia"/>
          <w:bCs/>
          <w:color w:val="000000"/>
          <w:sz w:val="32"/>
          <w:szCs w:val="32"/>
        </w:rPr>
        <w:t>（一）机关运行经费支出情况</w:t>
      </w:r>
      <w:bookmarkEnd w:id="57"/>
    </w:p>
    <w:p>
      <w:pPr>
        <w:spacing w:line="560" w:lineRule="exact"/>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2021年运行经费支出0万元，比2020年持平。</w:t>
      </w:r>
    </w:p>
    <w:p>
      <w:pPr>
        <w:spacing w:line="560" w:lineRule="exact"/>
        <w:ind w:firstLineChars="200" w:firstLine="640"/>
        <w:outlineLvl w:val="2"/>
        <w:rPr>
          <w:rFonts w:ascii="仿宋" w:eastAsia="仿宋" w:hAnsi="仿宋"/>
          <w:b/>
          <w:color w:val="000000"/>
          <w:sz w:val="32"/>
          <w:szCs w:val="32"/>
        </w:rPr>
      </w:pPr>
      <w:r>
        <w:rPr>
          <w:rFonts w:ascii="仿宋_GB2312" w:eastAsia="仿宋_GB2312" w:hint="eastAsia"/>
          <w:color w:val="000000"/>
          <w:sz w:val="32"/>
          <w:szCs w:val="32"/>
        </w:rPr>
        <w:t>（注：数据来源于财决附03表）</w:t>
      </w:r>
      <w:r>
        <w:rPr>
          <w:rFonts w:ascii="仿宋" w:eastAsia="仿宋" w:hAnsi="仿宋" w:hint="eastAsia"/>
          <w:b/>
          <w:color w:val="000000"/>
          <w:sz w:val="32"/>
          <w:szCs w:val="32"/>
        </w:rPr>
        <w:t>（注：数据来源于财决附</w:t>
      </w:r>
      <w:r>
        <w:rPr>
          <w:rFonts w:ascii="仿宋" w:eastAsia="仿宋" w:hAnsi="仿宋"/>
          <w:b/>
          <w:color w:val="000000"/>
          <w:sz w:val="32"/>
          <w:szCs w:val="32"/>
        </w:rPr>
        <w:t>03</w:t>
      </w:r>
      <w:r>
        <w:rPr>
          <w:rFonts w:ascii="仿宋" w:eastAsia="仿宋" w:hAnsi="仿宋" w:hint="eastAsia"/>
          <w:b/>
          <w:color w:val="000000"/>
          <w:sz w:val="32"/>
          <w:szCs w:val="32"/>
        </w:rPr>
        <w:t>表）</w:t>
      </w:r>
    </w:p>
    <w:p>
      <w:pPr>
        <w:spacing w:line="560" w:lineRule="exact"/>
        <w:ind w:firstLineChars="200" w:firstLine="640"/>
        <w:outlineLvl w:val="2"/>
        <w:rPr>
          <w:rFonts w:ascii="楷体" w:eastAsia="楷体" w:cs="楷体" w:hAnsi="楷体"/>
          <w:bCs/>
          <w:color w:val="000000"/>
          <w:sz w:val="32"/>
          <w:szCs w:val="32"/>
        </w:rPr>
      </w:pPr>
      <w:bookmarkStart w:id="58" w:name="_Toc15377223"/>
      <w:r>
        <w:rPr>
          <w:rFonts w:ascii="楷体" w:eastAsia="楷体" w:cs="楷体" w:hAnsi="楷体" w:hint="eastAsia"/>
          <w:bCs/>
          <w:color w:val="000000"/>
          <w:sz w:val="32"/>
          <w:szCs w:val="32"/>
        </w:rPr>
        <w:t>（二）政府采购支出情况</w:t>
      </w:r>
      <w:bookmarkEnd w:id="58"/>
    </w:p>
    <w:p>
      <w:pPr>
        <w:spacing w:line="560" w:lineRule="exact"/>
        <w:ind w:firstLineChars="200" w:firstLine="640"/>
        <w:outlineLvl w:val="2"/>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21年，区教育局政府采购支出总额0.00万元，其中：政府采购货物支出0.00万元、政府采购工程支出0.00万元、政府采购服务支出0.00万元。授予中小企业合同金额0.00万元，占政府采购支出总额的0.00</w:t>
      </w:r>
      <w:r>
        <w:rPr>
          <w:rFonts w:ascii="仿宋_GB2312" w:eastAsia="仿宋_GB2312"/>
          <w:color w:val="000000"/>
          <w:sz w:val="32"/>
          <w:szCs w:val="32"/>
        </w:rPr>
        <w:t>%</w:t>
      </w:r>
      <w:r>
        <w:rPr>
          <w:rFonts w:ascii="仿宋_GB2312" w:eastAsia="仿宋_GB2312" w:hint="eastAsia"/>
          <w:color w:val="000000"/>
          <w:sz w:val="32"/>
          <w:szCs w:val="32"/>
        </w:rPr>
        <w:t>，其中：授予小微企业合同金额0.00万元，占政府采购支出总额的0.00</w:t>
      </w:r>
      <w:r>
        <w:rPr>
          <w:rFonts w:ascii="仿宋_GB2312" w:eastAsia="仿宋_GB2312"/>
          <w:color w:val="000000"/>
          <w:sz w:val="32"/>
          <w:szCs w:val="32"/>
        </w:rPr>
        <w:t>%</w:t>
      </w:r>
      <w:r>
        <w:rPr>
          <w:rFonts w:ascii="仿宋_GB2312" w:eastAsia="仿宋_GB2312" w:hint="eastAsia"/>
          <w:color w:val="000000"/>
          <w:sz w:val="32"/>
          <w:szCs w:val="32"/>
        </w:rPr>
        <w:t>。</w:t>
      </w:r>
    </w:p>
    <w:p>
      <w:pPr>
        <w:spacing w:line="560" w:lineRule="exact"/>
        <w:ind w:firstLineChars="200" w:firstLine="640"/>
        <w:outlineLvl w:val="2"/>
        <w:rPr>
          <w:rFonts w:ascii="仿宋" w:eastAsia="仿宋" w:hAnsi="仿宋"/>
          <w:b/>
          <w:color w:val="000000"/>
          <w:sz w:val="32"/>
          <w:szCs w:val="32"/>
        </w:rPr>
      </w:pPr>
      <w:r>
        <w:rPr>
          <w:rFonts w:ascii="仿宋" w:eastAsia="仿宋" w:hAnsi="仿宋" w:hint="eastAsia"/>
          <w:b/>
          <w:color w:val="000000"/>
          <w:sz w:val="32"/>
          <w:szCs w:val="32"/>
        </w:rPr>
        <w:t>（注：数据来源于财决附</w:t>
      </w:r>
      <w:r>
        <w:rPr>
          <w:rFonts w:ascii="仿宋" w:eastAsia="仿宋" w:hAnsi="仿宋"/>
          <w:b/>
          <w:color w:val="000000"/>
          <w:sz w:val="32"/>
          <w:szCs w:val="32"/>
        </w:rPr>
        <w:t>03</w:t>
      </w:r>
      <w:r>
        <w:rPr>
          <w:rFonts w:ascii="仿宋" w:eastAsia="仿宋" w:hAnsi="仿宋" w:hint="eastAsia"/>
          <w:b/>
          <w:color w:val="000000"/>
          <w:sz w:val="32"/>
          <w:szCs w:val="32"/>
        </w:rPr>
        <w:t>表）</w:t>
      </w:r>
    </w:p>
    <w:p>
      <w:pPr>
        <w:spacing w:line="560" w:lineRule="exact"/>
        <w:ind w:firstLineChars="200" w:firstLine="640"/>
        <w:outlineLvl w:val="2"/>
        <w:rPr>
          <w:rFonts w:ascii="楷体" w:eastAsia="楷体" w:cs="楷体" w:hAnsi="楷体"/>
          <w:bCs/>
          <w:color w:val="000000"/>
          <w:sz w:val="32"/>
          <w:szCs w:val="32"/>
        </w:rPr>
      </w:pPr>
      <w:bookmarkStart w:id="59" w:name="_Toc15377224"/>
      <w:r>
        <w:rPr>
          <w:rFonts w:ascii="楷体" w:eastAsia="楷体" w:cs="楷体" w:hAnsi="楷体" w:hint="eastAsia"/>
          <w:bCs/>
          <w:color w:val="000000"/>
          <w:sz w:val="32"/>
          <w:szCs w:val="32"/>
        </w:rPr>
        <w:t>（三）国有资产占有使用情况</w:t>
      </w:r>
      <w:bookmarkEnd w:id="59"/>
    </w:p>
    <w:p>
      <w:pPr>
        <w:autoSpaceDE w:val="0"/>
        <w:autoSpaceDN w:val="0"/>
        <w:adjustRightInd w:val="0"/>
        <w:spacing w:line="560" w:lineRule="exact"/>
        <w:ind w:firstLineChars="200" w:firstLine="640"/>
        <w:jc w:val="left"/>
        <w:outlineLvl w:val="2"/>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w:t>
      </w:r>
      <w:r>
        <w:rPr>
          <w:rFonts w:ascii="仿宋_GB2312" w:eastAsia="仿宋_GB2312" w:hint="eastAsia"/>
          <w:color w:val="000000"/>
          <w:sz w:val="32"/>
          <w:szCs w:val="32"/>
        </w:rPr>
        <w:t>21年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日，利州区教育局共有车辆0辆，其中：主要领导干部用车0辆、机要通信用车0辆、应急保障用车0辆、其他用车0辆,单价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pPr>
        <w:autoSpaceDE w:val="0"/>
        <w:autoSpaceDN w:val="0"/>
        <w:adjustRightInd w:val="0"/>
        <w:spacing w:line="56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（注：数据来源于财决附</w:t>
      </w:r>
      <w:r>
        <w:rPr>
          <w:rFonts w:ascii="仿宋" w:eastAsia="仿宋" w:hAnsi="仿宋"/>
          <w:b/>
          <w:color w:val="000000"/>
          <w:sz w:val="32"/>
          <w:szCs w:val="32"/>
        </w:rPr>
        <w:t>03</w:t>
      </w:r>
      <w:r>
        <w:rPr>
          <w:rFonts w:ascii="仿宋" w:eastAsia="仿宋" w:hAnsi="仿宋" w:hint="eastAsia"/>
          <w:b/>
          <w:color w:val="000000"/>
          <w:sz w:val="32"/>
          <w:szCs w:val="32"/>
        </w:rPr>
        <w:t>表，按单位决算报表填报数据罗列车辆情况。）</w:t>
      </w:r>
    </w:p>
    <w:p>
      <w:pPr>
        <w:spacing w:line="560" w:lineRule="exact"/>
        <w:ind w:firstLineChars="200" w:firstLine="640"/>
        <w:outlineLvl w:val="2"/>
        <w:rPr>
          <w:rFonts w:ascii="楷体" w:eastAsia="楷体" w:cs="楷体" w:hAnsi="楷体"/>
          <w:bCs/>
          <w:color w:val="000000"/>
          <w:sz w:val="32"/>
          <w:szCs w:val="32"/>
        </w:rPr>
      </w:pPr>
      <w:r>
        <w:rPr>
          <w:rFonts w:ascii="楷体" w:eastAsia="楷体" w:cs="楷体" w:hAnsi="楷体" w:hint="eastAsia"/>
          <w:bCs/>
          <w:color w:val="000000"/>
          <w:sz w:val="32"/>
          <w:szCs w:val="32"/>
        </w:rPr>
        <w:t>（四）预算绩效管理情况</w:t>
      </w:r>
    </w:p>
    <w:p>
      <w:pPr>
        <w:spacing w:line="560" w:lineRule="exact"/>
        <w:ind w:firstLineChars="200" w:firstLine="640"/>
        <w:outlineLvl w:val="2"/>
        <w:rPr>
          <w:rFonts w:ascii="仿宋_GB2312" w:eastAsia="仿宋_GB2312" w:cs="仿宋_GB2312" w:hAnsi="仿宋_GB2312"/>
          <w:color w:val="000000"/>
          <w:sz w:val="32"/>
          <w:szCs w:val="32"/>
        </w:rPr>
      </w:pPr>
      <w:r>
        <w:rPr>
          <w:rFonts w:ascii="仿宋_GB2312" w:eastAsia="仿宋_GB2312" w:cs="仿宋_GB2312" w:hAnsi="仿宋_GB2312" w:hint="eastAsia"/>
          <w:color w:val="000000"/>
          <w:sz w:val="32"/>
          <w:szCs w:val="32"/>
        </w:rPr>
        <w:t>根据预算绩效管理要求，本单位在2021年度预算编制阶段，组织对作业本项目等</w:t>
      </w:r>
      <w:r>
        <w:rPr>
          <w:rFonts w:ascii="仿宋_GB2312" w:eastAsia="仿宋_GB2312" w:cs="仿宋_GB2312" w:hAnsi="仿宋_GB2312"/>
          <w:color w:val="000000"/>
          <w:sz w:val="32"/>
          <w:szCs w:val="32"/>
        </w:rPr>
        <w:t>8</w:t>
      </w:r>
      <w:r>
        <w:rPr>
          <w:rFonts w:ascii="仿宋_GB2312" w:eastAsia="仿宋_GB2312" w:cs="仿宋_GB2312" w:hAnsi="仿宋_GB2312" w:hint="eastAsia"/>
          <w:color w:val="000000"/>
          <w:sz w:val="32"/>
          <w:szCs w:val="32"/>
        </w:rPr>
        <w:t>个项目开展了预算事前绩效评估，对</w:t>
      </w:r>
      <w:r>
        <w:rPr>
          <w:rFonts w:ascii="仿宋_GB2312" w:eastAsia="仿宋_GB2312" w:cs="仿宋_GB2312" w:hAnsi="仿宋_GB2312"/>
          <w:color w:val="000000"/>
          <w:sz w:val="32"/>
          <w:szCs w:val="32"/>
        </w:rPr>
        <w:t>8</w:t>
      </w:r>
      <w:r>
        <w:rPr>
          <w:rFonts w:ascii="仿宋_GB2312" w:eastAsia="仿宋_GB2312" w:cs="仿宋_GB2312" w:hAnsi="仿宋_GB2312" w:hint="eastAsia"/>
          <w:color w:val="000000"/>
          <w:sz w:val="32"/>
          <w:szCs w:val="32"/>
        </w:rPr>
        <w:t>个项目编制了绩效目标，预算执行过程中，选取</w:t>
      </w:r>
      <w:r>
        <w:rPr>
          <w:rFonts w:ascii="仿宋_GB2312" w:eastAsia="仿宋_GB2312" w:cs="仿宋_GB2312" w:hAnsi="仿宋_GB2312"/>
          <w:color w:val="000000"/>
          <w:sz w:val="32"/>
          <w:szCs w:val="32"/>
        </w:rPr>
        <w:t>8</w:t>
      </w:r>
      <w:r>
        <w:rPr>
          <w:rFonts w:ascii="仿宋_GB2312" w:eastAsia="仿宋_GB2312" w:cs="仿宋_GB2312" w:hAnsi="仿宋_GB2312" w:hint="eastAsia"/>
          <w:color w:val="000000"/>
          <w:sz w:val="32"/>
          <w:szCs w:val="32"/>
        </w:rPr>
        <w:t>个项目开展绩效监控，年终执行完毕后，对</w:t>
      </w:r>
      <w:r>
        <w:rPr>
          <w:rFonts w:ascii="仿宋_GB2312" w:eastAsia="仿宋_GB2312" w:cs="仿宋_GB2312" w:hAnsi="仿宋_GB2312"/>
          <w:color w:val="000000"/>
          <w:sz w:val="32"/>
          <w:szCs w:val="32"/>
        </w:rPr>
        <w:t>8</w:t>
      </w:r>
      <w:r>
        <w:rPr>
          <w:rFonts w:ascii="仿宋_GB2312" w:eastAsia="仿宋_GB2312" w:cs="仿宋_GB2312" w:hAnsi="仿宋_GB2312" w:hint="eastAsia"/>
          <w:color w:val="000000"/>
          <w:sz w:val="32"/>
          <w:szCs w:val="32"/>
        </w:rPr>
        <w:t>个项目开展了绩效自评，2021年特定目标类部门预算项目绩效目标自评表见附件（第四部分）。</w:t>
      </w:r>
    </w:p>
    <w:p>
      <w:pPr>
        <w:autoSpaceDE w:val="0"/>
        <w:autoSpaceDN w:val="0"/>
        <w:adjustRightInd w:val="0"/>
        <w:spacing w:line="560" w:lineRule="exact"/>
        <w:ind w:firstLineChars="200" w:firstLine="640"/>
        <w:outlineLvl w:val="2"/>
        <w:rPr>
          <w:rFonts w:ascii="仿宋" w:eastAsia="仿宋" w:hAnsi="仿宋"/>
          <w:b/>
          <w:color w:val="000000"/>
          <w:sz w:val="32"/>
          <w:szCs w:val="32"/>
        </w:rPr>
      </w:pPr>
      <w:r>
        <w:rPr>
          <w:rFonts w:ascii="仿宋" w:eastAsia="仿宋" w:hAnsi="仿宋" w:hint="eastAsia"/>
          <w:b/>
          <w:color w:val="000000"/>
          <w:sz w:val="32"/>
          <w:szCs w:val="32"/>
        </w:rPr>
        <w:t>（</w:t>
      </w:r>
      <w:r>
        <w:rPr>
          <w:rFonts w:ascii="仿宋" w:eastAsia="仿宋" w:hAnsi="仿宋" w:hint="eastAsia"/>
          <w:b/>
          <w:color w:val="000000"/>
          <w:sz w:val="30"/>
          <w:szCs w:val="30"/>
        </w:rPr>
        <w:t>注：单位</w:t>
      </w:r>
      <w:r>
        <w:rPr>
          <w:rFonts w:ascii="仿宋_GB2312" w:eastAsia="仿宋_GB2312" w:cs="仿宋_GB2312" w:hAnsi="仿宋_GB2312" w:hint="eastAsia"/>
          <w:b/>
          <w:color w:val="000000"/>
          <w:sz w:val="30"/>
          <w:szCs w:val="30"/>
        </w:rPr>
        <w:t>2021年特定目标类部门预算项目绩效目标自评表为本部门2021年部门整体支出绩效评价报告中涉及本单位的附表</w:t>
      </w:r>
      <w:r>
        <w:rPr>
          <w:rFonts w:ascii="仿宋" w:eastAsia="仿宋" w:hAnsi="仿宋" w:hint="eastAsia"/>
          <w:b/>
          <w:color w:val="000000"/>
          <w:sz w:val="30"/>
          <w:szCs w:val="30"/>
        </w:rPr>
        <w:t>）</w:t>
      </w:r>
    </w:p>
    <w:p>
      <w:pPr>
        <w:numPr>
          <w:ilvl w:val="0"/>
          <w:numId w:val="3"/>
        </w:numPr>
        <w:spacing w:line="600" w:lineRule="exact"/>
        <w:jc w:val="center"/>
        <w:outlineLvl w:val="0"/>
        <w:rPr>
          <w:rStyle w:val="1Char"/>
          <w:rFonts w:ascii="黑体" w:eastAsia="黑体" w:hAnsi="黑体"/>
          <w:b w:val="0"/>
        </w:rPr>
      </w:pPr>
      <w:r>
        <w:rPr>
          <w:rFonts w:ascii="仿宋_GB2312" w:eastAsia="仿宋_GB2312"/>
          <w:b/>
          <w:color w:val="000000"/>
          <w:sz w:val="32"/>
          <w:szCs w:val="32"/>
        </w:rPr>
        <w:br w:type="page"/>
      </w:r>
      <w:r>
        <w:rPr>
          <w:rFonts w:ascii="黑体" w:eastAsia="黑体" w:hAnsi="黑体" w:hint="eastAsia"/>
          <w:sz w:val="44"/>
          <w:szCs w:val="44"/>
        </w:rPr>
        <w:t>名</w:t>
      </w:r>
      <w:r>
        <w:rPr>
          <w:rStyle w:val="1Char"/>
          <w:rFonts w:ascii="黑体" w:eastAsia="黑体" w:hAnsi="黑体" w:hint="eastAsia"/>
        </w:rPr>
        <w:t>词解释</w:t>
      </w:r>
      <w:bookmarkEnd w:id="52"/>
      <w:bookmarkEnd w:id="53"/>
    </w:p>
    <w:p>
      <w:pPr>
        <w:spacing w:line="600" w:lineRule="exact"/>
        <w:jc w:val="left"/>
        <w:rPr>
          <w:rFonts w:ascii="宋体"/>
          <w:b/>
          <w:sz w:val="44"/>
          <w:szCs w:val="44"/>
        </w:rPr>
      </w:pPr>
    </w:p>
    <w:p>
      <w:pPr>
        <w:snapToGrid w:val="0"/>
        <w:spacing w:line="560" w:lineRule="exact"/>
        <w:ind w:firstLineChars="200" w:firstLine="640"/>
        <w:rPr>
          <w:rFonts w:ascii="仿宋_GB2312" w:eastAsia="仿宋_GB2312"/>
          <w:sz w:val="32"/>
          <w:szCs w:val="32"/>
        </w:rPr>
      </w:pPr>
      <w:bookmarkStart w:id="60" w:name="_Toc15377226"/>
      <w:r>
        <w:rPr>
          <w:rFonts w:ascii="仿宋_GB2312" w:eastAsia="仿宋_GB2312" w:hint="eastAsia"/>
          <w:sz w:val="32"/>
          <w:szCs w:val="32"/>
        </w:rPr>
        <w:t>1.财政拨款收入：指单位从同级财政部门取得的财政预算资金。</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2.事业收入：指事业单位开展专业业务活动及辅助活动取得的收入。</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3.经营收入：指事业单位在专业业务活动及其辅助活动之外开展非独立核算经营活动取得的收入。。</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4.其他收入：指单位取得的除上述收入以外的各项收入。主要是学前教育保育教育费收入、银行存款利息收入等。 </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6.年初结转和结余：指以前年度尚未完成、结转到本年按有关规定继续使用的资金。 </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7.结余分配：指事业单位按照事业单位会计制度的规定从非财政补助结余中分配的事业基金和职工福利基金等。</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8、年末结转和结余：指单位按有关规定结转到下年或以后年度继续使用的资金。</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9.教育支出（类）教育管理事务（款）行政运行（项）:反映教育行政单位（包括实行公务员管理的事业单位）的基本支出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10. 教育支出（类）教育管理事务（款）一般行政管理事务（项）:反映行政单位（包括实行公务员管理的事业单位）未单独设置项级科目的其它项目支出。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11. 教育支出（类）教育管理事务（款）其它教育管理事务支出（项）:反映除上述项目以外其它用户教育管理事务方面的支出。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12. 教育支出（类）普通教育（款）学前教育（项）:反映各部门举办的学前教育支出。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13. 教育支出（类）普通教育（款）小学教育（项）:反映各部门举办的小学教育支出。政府各部门对社会中介组织等举办的小学的资助，如各类捐赠、补贴等，也在本科目中反映。</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14. 教育支出（类）普通教育（款）初中教育（项）: 反映各部门举办的初中教育支出。政府各部门对社会中介组织等举办的初中教育的资助，如捐赠、补贴等，也在本科目中反映。</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15. 教育支出（类）普通教育（款）高中教育（项）: 反映各部门举办的高级中学教育支出。政府各部门对社会中介组织等举办的高级中学的资助，如捐赠、补贴等，也在本科目中反映。</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16. 教育支出（类）普通教育（款）其它普通教育（项）: 反映除上述项目以外其他用于普通教育方面的支出。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17. 教育支出（类）职业教育（款）职业高中教育（项）: 反映各部门举办的职业中学、农业中学（含普通高中改制的）、半工（农）半读中学的支出或补助费</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18. 教育支出（类）职业教育（款）高等职业教育（项）:反映经国家批准设立的高等职业大学、专科职业教育等方面的支出。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19. 教育支出（类）特殊教育（款）特殊学校教育（项）: 指各部门举办的盲童学校、聋哑学校、智力落后儿童学校、其它生理缺陷儿童学校的支出。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 教育支出（类）特殊教育（款）工读学校教育（项）:指各部门举办的工读学校的支出。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21. 教育支出（类）教育附加费安排的支出（款）农村中小学校舍建设（项）:反映教育附加费安排用于农村中小学校舍新建、改建、修缮和维护的支出。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22. 教育支出（类）教育附加费安排的支出（款）城市中小学校舍建设（项）: 反映教育附加费安排用于城市中小学校舍新建、改建、修缮和维护的支出。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23. 教育支出（类）教育附加费安排的支出（款）其它教育附加费安排的支出（项）: 指除上述项目以外的教育附加费支出。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24. 教育支出（类）其它教育支出（款）其他教育支出（项）: 指上述项目以外其他用于教育方面的支出。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25. 社会保障和就业支出（类）行政事业单位离退休（款）机关事业单位基本养老保险缴费支出（项）: 指机关事业单位实施养老保险制度由单位缴纳的基本养老保险费支出。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26. 社会保障和就业支出（类）行政事业单位离退休（款）机关事业单位职业年金缴费支出（项）: 指机关事业单位实施养老保险制度由单位实际缴纳的职业年金支出。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27. 社会保障和就业支出（类）抚恤（款）死亡抚恤（项）: 指按规定用于烈士和牺牲、病故人员家属的一次性和定期抚恤金以及丧葬补助费。</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30. 农林水支出（类）扶贫（款）其它扶贫支出（项）: 指除上述项目以外其他用于扶贫方面的支出。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31. 住房保障支出（类）住房改革支出（款）住房公积金（项）: 指行政事业单位按人力资源和社会保障部、财政部规定的基本工资和津贴补贴以及规定比例为职工缴纳的住房公积金。</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32. 其他支出（类）其他支出（款）其他支出（项）: 指上述项目以外其他不能划分到具体功能科目中的支出项目。</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33. 基本支出：指为保障机构正常运转、完成日常工作任务而发生的人员支出和公用支出。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34. 项目支出：指在基本支出之外为完成特定行政任务和事业发展目标所发生的支出。 </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35. 经营支出：指事业单位在专业业务活动及其辅助活动之外开展非独立核算经营活动发生的支出。</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36.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napToGrid w:val="0"/>
        <w:spacing w:line="560" w:lineRule="exact"/>
        <w:ind w:firstLineChars="200" w:firstLine="640"/>
        <w:rPr>
          <w:rFonts w:ascii="仿宋" w:eastAsia="仿宋" w:hAnsi="仿宋"/>
          <w:b/>
          <w:sz w:val="32"/>
          <w:szCs w:val="32"/>
        </w:rPr>
      </w:pPr>
      <w:r>
        <w:rPr>
          <w:rFonts w:ascii="仿宋" w:eastAsia="仿宋" w:hAnsi="仿宋" w:hint="eastAsia"/>
          <w:b/>
          <w:sz w:val="32"/>
          <w:szCs w:val="32"/>
        </w:rPr>
        <w:t>（名词解释部分请根据各部门实际列支情况罗列，并根据本部门职责职能增减名词解释内容。）</w:t>
      </w:r>
    </w:p>
    <w:p>
      <w:pPr>
        <w:numPr>
          <w:ilvl w:val="0"/>
          <w:numId w:val="3"/>
        </w:numPr>
        <w:spacing w:line="600" w:lineRule="exact"/>
        <w:jc w:val="center"/>
        <w:outlineLvl w:val="0"/>
        <w:rPr>
          <w:rStyle w:val="1Char"/>
          <w:rFonts w:ascii="黑体" w:eastAsia="黑体" w:hAnsi="黑体"/>
          <w:b w:val="0"/>
        </w:rPr>
      </w:pPr>
      <w:r>
        <w:rPr>
          <w:rFonts w:ascii="宋体"/>
          <w:b/>
          <w:sz w:val="44"/>
          <w:szCs w:val="44"/>
        </w:rPr>
        <w:br w:type="page"/>
      </w:r>
      <w:bookmarkStart w:id="61" w:name="_Toc15396614"/>
      <w:r>
        <w:rPr>
          <w:rStyle w:val="1Char"/>
          <w:rFonts w:ascii="黑体" w:eastAsia="黑体" w:hAnsi="黑体" w:hint="eastAsia"/>
        </w:rPr>
        <w:t>附件</w:t>
      </w:r>
      <w:bookmarkEnd w:id="61"/>
    </w:p>
    <w:p>
      <w:pPr>
        <w:pStyle w:val="15"/>
        <w:spacing w:beforeLines="0" w:before="93"/>
      </w:pPr>
    </w:p>
    <w:p>
      <w:pPr>
        <w:widowControl/>
        <w:spacing w:line="580" w:lineRule="exact"/>
        <w:contextualSpacing/>
        <w:jc w:val="center"/>
        <w:rPr>
          <w:rFonts w:ascii="宋体" w:cs="宋体"/>
          <w:sz w:val="44"/>
          <w:szCs w:val="44"/>
          <w:shd w:val="clear" w:color="auto" w:fill="FFFFFF"/>
        </w:rPr>
      </w:pPr>
      <w:r>
        <w:rPr>
          <w:rFonts w:ascii="宋体" w:cs="宋体" w:hint="eastAsia"/>
          <w:sz w:val="44"/>
          <w:szCs w:val="44"/>
          <w:shd w:val="clear" w:color="auto" w:fill="FFFFFF"/>
        </w:rPr>
        <w:t>2021年盘龙二小整体支出绩效评价报告</w:t>
      </w:r>
    </w:p>
    <w:p>
      <w:pPr>
        <w:pStyle w:val="15"/>
        <w:snapToGrid w:val="0"/>
        <w:spacing w:beforeLines="0" w:before="30" w:line="540" w:lineRule="exact"/>
        <w:ind w:firstLineChars="200" w:firstLine="600"/>
      </w:pPr>
    </w:p>
    <w:p>
      <w:pPr>
        <w:snapToGrid w:val="0"/>
        <w:spacing w:line="520" w:lineRule="exact"/>
        <w:ind w:firstLineChars="200" w:firstLine="640"/>
        <w:contextualSpacing/>
        <w:rPr>
          <w:rFonts w:ascii="仿宋_GB2312" w:eastAsia="仿宋_GB2312" w:cs="仿宋" w:hAnsi="Calibri"/>
          <w:kern w:val="0"/>
          <w:sz w:val="32"/>
          <w:szCs w:val="32"/>
        </w:rPr>
      </w:pPr>
      <w:r>
        <w:rPr>
          <w:rFonts w:ascii="仿宋_GB2312" w:eastAsia="仿宋_GB2312" w:cs="仿宋" w:hAnsi="Calibri" w:hint="eastAsia"/>
          <w:kern w:val="0"/>
          <w:sz w:val="32"/>
          <w:szCs w:val="32"/>
        </w:rPr>
        <w:t>根据广元市利州区财政局《关于开展2022年部门、政策和项目支出绩效评价工作的通知》（广利财发〔2022〕7号）要求，我校高度重视，及时组织各处室（中心）对2021年度我校整体支出绩效评价进行了自评，现将有关情况报告如下：</w:t>
      </w:r>
    </w:p>
    <w:p>
      <w:pPr>
        <w:numPr>
          <w:ilvl w:val="0"/>
          <w:numId w:val="4"/>
        </w:numPr>
        <w:adjustRightInd w:val="0"/>
        <w:snapToGrid w:val="0"/>
        <w:spacing w:line="520" w:lineRule="exact"/>
        <w:ind w:left="0" w:firstLineChars="200" w:firstLine="640"/>
        <w:contextualSpacing/>
        <w:rPr>
          <w:rFonts w:ascii="方正黑体简体" w:eastAsia="方正黑体简体" w:cs="宋体" w:hAnsi="宋体"/>
          <w:color w:val="000000"/>
          <w:kern w:val="0"/>
          <w:sz w:val="32"/>
          <w:szCs w:val="32"/>
          <w:shd w:val="clear" w:color="auto" w:fill="FFFFFF"/>
          <w:lang w:val="zh-CN"/>
        </w:rPr>
      </w:pPr>
      <w:r>
        <w:rPr>
          <w:rFonts w:ascii="方正黑体简体" w:eastAsia="方正黑体简体" w:cs="宋体" w:hAnsi="宋体" w:hint="eastAsia"/>
          <w:color w:val="000000"/>
          <w:kern w:val="0"/>
          <w:sz w:val="32"/>
          <w:szCs w:val="32"/>
          <w:shd w:val="clear" w:color="auto" w:fill="FFFFFF"/>
          <w:lang w:val="zh-CN"/>
        </w:rPr>
        <w:t>部门（单位）概况</w:t>
      </w:r>
    </w:p>
    <w:p>
      <w:pPr>
        <w:snapToGrid w:val="0"/>
        <w:spacing w:line="520" w:lineRule="exact"/>
        <w:ind w:firstLineChars="200" w:firstLine="640"/>
        <w:rPr>
          <w:rFonts w:ascii="楷体" w:eastAsia="楷体" w:cs="楷体" w:hAnsi="楷体"/>
          <w:sz w:val="32"/>
          <w:szCs w:val="32"/>
        </w:rPr>
      </w:pPr>
      <w:r>
        <w:rPr>
          <w:rFonts w:ascii="楷体" w:eastAsia="楷体" w:cs="楷体" w:hAnsi="楷体" w:hint="eastAsia"/>
          <w:sz w:val="32"/>
          <w:szCs w:val="32"/>
        </w:rPr>
        <w:t>（一）机构组成</w:t>
      </w:r>
    </w:p>
    <w:p>
      <w:pPr>
        <w:snapToGrid w:val="0"/>
        <w:spacing w:line="520" w:lineRule="exact"/>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rPr>
        <w:t>广元市利州区盘龙二小下设各处室 10 个，分别是廉勤委、办公室、教务处、德育处、总务处、安全办、教科室、计装室、财务室、医务室。</w:t>
      </w:r>
    </w:p>
    <w:p>
      <w:pPr>
        <w:snapToGrid w:val="0"/>
        <w:spacing w:line="520" w:lineRule="exact"/>
        <w:ind w:firstLineChars="200" w:firstLine="640"/>
        <w:rPr>
          <w:rFonts w:ascii="楷体" w:eastAsia="楷体" w:cs="楷体" w:hAnsi="楷体"/>
          <w:sz w:val="32"/>
          <w:szCs w:val="32"/>
        </w:rPr>
      </w:pPr>
      <w:r>
        <w:rPr>
          <w:rFonts w:ascii="楷体" w:eastAsia="楷体" w:cs="楷体" w:hAnsi="楷体" w:hint="eastAsia"/>
          <w:sz w:val="32"/>
          <w:szCs w:val="32"/>
        </w:rPr>
        <w:t>（二）机构职能</w:t>
      </w:r>
    </w:p>
    <w:p>
      <w:pPr>
        <w:snapToGrid w:val="0"/>
        <w:spacing w:line="520" w:lineRule="exact"/>
        <w:ind w:firstLineChars="200" w:firstLine="560"/>
      </w:pPr>
      <w:r>
        <w:rPr>
          <w:rFonts w:ascii="仿宋" w:eastAsia="仿宋" w:cs="仿宋" w:hAnsi="仿宋" w:hint="eastAsia"/>
          <w:color w:val="000000"/>
          <w:sz w:val="28"/>
          <w:szCs w:val="28"/>
        </w:rPr>
        <w:t>实施义务教育，促进基础教育发展。</w:t>
      </w:r>
    </w:p>
    <w:p>
      <w:pPr>
        <w:snapToGrid w:val="0"/>
        <w:spacing w:line="52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（三）</w:t>
      </w:r>
      <w:r>
        <w:rPr>
          <w:rFonts w:ascii="楷体" w:eastAsia="楷体" w:cs="楷体" w:hAnsi="楷体" w:hint="eastAsia"/>
          <w:sz w:val="32"/>
          <w:szCs w:val="32"/>
        </w:rPr>
        <w:t>人员概况</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广元市利州区盘龙二小现有学生259人，教职工39人。</w:t>
      </w:r>
    </w:p>
    <w:p>
      <w:pPr>
        <w:adjustRightInd w:val="0"/>
        <w:snapToGrid w:val="0"/>
        <w:spacing w:line="520" w:lineRule="exact"/>
        <w:ind w:firstLineChars="200" w:firstLine="640"/>
        <w:contextualSpacing/>
        <w:rPr>
          <w:rFonts w:ascii="方正黑体简体" w:eastAsia="方正黑体简体" w:cs="宋体" w:hAnsi="宋体"/>
          <w:color w:val="000000"/>
          <w:kern w:val="0"/>
          <w:sz w:val="32"/>
          <w:szCs w:val="32"/>
          <w:shd w:val="clear" w:color="auto" w:fill="FFFFFF"/>
        </w:rPr>
      </w:pPr>
      <w:r>
        <w:rPr>
          <w:rFonts w:ascii="方正黑体简体" w:eastAsia="方正黑体简体" w:cs="宋体" w:hAnsi="宋体" w:hint="eastAsia"/>
          <w:color w:val="000000"/>
          <w:kern w:val="0"/>
          <w:sz w:val="32"/>
          <w:szCs w:val="32"/>
          <w:shd w:val="clear" w:color="auto" w:fill="FFFFFF"/>
        </w:rPr>
        <w:t>二、部门财政资金收支情况</w:t>
      </w:r>
    </w:p>
    <w:p>
      <w:pPr>
        <w:snapToGrid w:val="0"/>
        <w:spacing w:line="52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（一）部门财政资金收入情况</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2021年度盘龙二小本年一般公共预算财政拨款收693.53万元。</w:t>
      </w:r>
    </w:p>
    <w:p>
      <w:pPr>
        <w:snapToGrid w:val="0"/>
        <w:spacing w:line="52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（二）部门财政资金支出情况</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lang w:val="zh-CN"/>
        </w:rPr>
        <w:t>20</w:t>
      </w:r>
      <w:r>
        <w:rPr>
          <w:rFonts w:ascii="仿宋" w:eastAsia="仿宋" w:cs="仿宋_GB2312" w:hAnsi="仿宋" w:hint="eastAsia"/>
          <w:sz w:val="32"/>
          <w:szCs w:val="32"/>
        </w:rPr>
        <w:t>21</w:t>
      </w:r>
      <w:r>
        <w:rPr>
          <w:rFonts w:ascii="仿宋" w:eastAsia="仿宋" w:cs="仿宋_GB2312" w:hAnsi="仿宋" w:hint="eastAsia"/>
          <w:sz w:val="32"/>
          <w:szCs w:val="32"/>
          <w:lang w:val="zh-CN"/>
        </w:rPr>
        <w:t>年度一般公共预算财政拨款支出</w:t>
      </w:r>
      <w:r>
        <w:rPr>
          <w:rFonts w:ascii="仿宋" w:eastAsia="仿宋" w:cs="仿宋_GB2312" w:hAnsi="仿宋" w:hint="eastAsia"/>
          <w:sz w:val="32"/>
          <w:szCs w:val="32"/>
        </w:rPr>
        <w:t>755.56万元。其中人员经费支出627.92万元；公用经费支出60.79万元；项目支出66.85万元。</w:t>
      </w:r>
    </w:p>
    <w:p>
      <w:pPr>
        <w:adjustRightInd w:val="0"/>
        <w:snapToGrid w:val="0"/>
        <w:spacing w:line="520" w:lineRule="exact"/>
        <w:ind w:firstLineChars="200" w:firstLine="640"/>
        <w:contextualSpacing/>
        <w:rPr>
          <w:rFonts w:ascii="方正仿宋简体" w:eastAsia="方正仿宋简体" w:cs="宋体" w:hAnsi="宋体"/>
          <w:color w:val="000000"/>
          <w:kern w:val="0"/>
          <w:sz w:val="32"/>
          <w:szCs w:val="32"/>
          <w:shd w:val="clear" w:color="auto" w:fill="FFFFFF"/>
        </w:rPr>
      </w:pPr>
      <w:r>
        <w:rPr>
          <w:rFonts w:ascii="方正黑体简体" w:eastAsia="方正黑体简体" w:cs="宋体" w:hAnsi="宋体" w:hint="eastAsia"/>
          <w:color w:val="000000"/>
          <w:kern w:val="0"/>
          <w:sz w:val="32"/>
          <w:szCs w:val="32"/>
          <w:shd w:val="clear" w:color="auto" w:fill="FFFFFF"/>
        </w:rPr>
        <w:t>三、部门整体预算绩效管理情况</w:t>
      </w:r>
    </w:p>
    <w:p>
      <w:pPr>
        <w:snapToGrid w:val="0"/>
        <w:spacing w:line="520" w:lineRule="exact"/>
        <w:ind w:firstLineChars="200" w:firstLine="640"/>
        <w:rPr>
          <w:rFonts w:ascii="楷体" w:eastAsia="楷体" w:cs="楷体" w:hAnsi="楷体"/>
          <w:sz w:val="32"/>
          <w:szCs w:val="32"/>
        </w:rPr>
      </w:pPr>
      <w:r>
        <w:rPr>
          <w:rFonts w:ascii="楷体" w:eastAsia="楷体" w:cs="楷体" w:hAnsi="楷体" w:hint="eastAsia"/>
          <w:sz w:val="32"/>
          <w:szCs w:val="32"/>
        </w:rPr>
        <w:t>（一）部门预算管理</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w:t>
      </w:r>
      <w:r>
        <w:rPr>
          <w:rFonts w:ascii="仿宋" w:eastAsia="仿宋" w:cs="仿宋_GB2312" w:hAnsi="仿宋"/>
          <w:sz w:val="32"/>
          <w:szCs w:val="32"/>
        </w:rPr>
        <w:t>部门绩效目标制定</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（1）部门绩效目标充分考虑到各项资金的使用内容、范围、方向和预期效果，符合国民经济和社会发展规划，符合部门职能及事业发展规划。</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（2）部门绩效目标从数量、质量、成本、时效以及经济效益、社会效益、生态效益、可持续影响、满意度等方面进行了细化和定量表述，具有可衡量性。</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（3）绩效目标的设定经过了调查研究和科学论证，符合客观实际，能够在一定期限内如期实现。</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（4）绩效目标相关指标设定与预算安排金额相对应，未超预算安排资金。</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w:t>
      </w:r>
      <w:r>
        <w:rPr>
          <w:rFonts w:ascii="仿宋" w:eastAsia="仿宋" w:cs="仿宋_GB2312" w:hAnsi="仿宋"/>
          <w:sz w:val="32"/>
          <w:szCs w:val="32"/>
        </w:rPr>
        <w:t>预算编制</w:t>
      </w:r>
      <w:r>
        <w:rPr>
          <w:rFonts w:ascii="仿宋" w:eastAsia="仿宋" w:cs="仿宋_GB2312" w:hAnsi="仿宋" w:hint="eastAsia"/>
          <w:sz w:val="32"/>
          <w:szCs w:val="32"/>
        </w:rPr>
        <w:t>和执行</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（1）部门预算报送时间严格按照财政部门预算编制要求的时间及时报送部门预算。预算编制完整、准确，基础信息和科目使用准确。</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（2）严格执行预算，执行中一般不调整预算项目。年度预算收支平衡，人员支出按时间表进度执行，无挪用情况，完成部门经济和社会事业发展职能职责。</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（4）按时送部门决算，决算数据真实准确、帐表一致，部门决算编制人员与供养人员系统一致。</w:t>
      </w:r>
    </w:p>
    <w:p>
      <w:pPr>
        <w:snapToGrid w:val="0"/>
        <w:spacing w:line="520" w:lineRule="exact"/>
        <w:ind w:firstLineChars="200" w:firstLine="640"/>
        <w:rPr>
          <w:rFonts w:ascii="楷体" w:eastAsia="楷体" w:cs="楷体" w:hAnsi="楷体"/>
          <w:sz w:val="32"/>
          <w:szCs w:val="32"/>
        </w:rPr>
      </w:pPr>
      <w:r>
        <w:rPr>
          <w:rFonts w:ascii="楷体" w:eastAsia="楷体" w:cs="楷体" w:hAnsi="楷体" w:hint="eastAsia"/>
          <w:sz w:val="32"/>
          <w:szCs w:val="32"/>
        </w:rPr>
        <w:t>（二）专项预算管理。</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1.专项预算编制情况</w:t>
      </w:r>
    </w:p>
    <w:p>
      <w:pPr>
        <w:snapToGrid w:val="0"/>
        <w:spacing w:line="520" w:lineRule="exact"/>
        <w:ind w:firstLineChars="200" w:firstLine="640"/>
        <w:rPr>
          <w:rFonts w:ascii="仿宋" w:eastAsia="仿宋" w:cs="仿宋_GB2312" w:hAnsi="仿宋"/>
          <w:color w:val="000000"/>
          <w:sz w:val="32"/>
          <w:szCs w:val="32"/>
        </w:rPr>
      </w:pPr>
      <w:r>
        <w:rPr>
          <w:rFonts w:ascii="仿宋" w:eastAsia="仿宋" w:cs="仿宋_GB2312" w:hAnsi="仿宋" w:hint="eastAsia"/>
          <w:color w:val="000000"/>
          <w:sz w:val="32"/>
          <w:szCs w:val="32"/>
        </w:rPr>
        <w:t>各项专项预算的编制严格按照“二上二下”的程序，先由学校根据年度工作目标提出当年的专项预算项目建议方案，经领导审核后由财务室汇总编制并呈教育局批准上报区财政。根据区财政下达的年度各类专项资金年度预算指标，分解下达学校，进一步完善专项预算方案。方案完善后，财务室统一汇总再次上报区财政。</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2.专项预算执行</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adjustRightInd w:val="0"/>
        <w:snapToGrid w:val="0"/>
        <w:spacing w:line="520" w:lineRule="exact"/>
        <w:ind w:firstLineChars="200" w:firstLine="640"/>
        <w:contextualSpacing/>
        <w:rPr>
          <w:rFonts w:ascii="方正黑体简体" w:eastAsia="方正黑体简体" w:cs="宋体" w:hAnsi="宋体"/>
          <w:color w:val="000000"/>
          <w:kern w:val="0"/>
          <w:sz w:val="32"/>
          <w:szCs w:val="32"/>
          <w:shd w:val="clear" w:color="auto" w:fill="FFFFFF"/>
        </w:rPr>
      </w:pPr>
      <w:r>
        <w:rPr>
          <w:rFonts w:ascii="方正黑体简体" w:eastAsia="方正黑体简体" w:cs="宋体" w:hAnsi="宋体" w:hint="eastAsia"/>
          <w:color w:val="000000"/>
          <w:kern w:val="0"/>
          <w:sz w:val="32"/>
          <w:szCs w:val="32"/>
          <w:shd w:val="clear" w:color="auto" w:fill="FFFFFF"/>
        </w:rPr>
        <w:t>四、评价结论及建议</w:t>
      </w:r>
    </w:p>
    <w:p>
      <w:pPr>
        <w:snapToGrid w:val="0"/>
        <w:spacing w:line="52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（一）评价结论</w:t>
      </w:r>
    </w:p>
    <w:p>
      <w:pPr>
        <w:snapToGrid w:val="0"/>
        <w:spacing w:line="520" w:lineRule="exact"/>
        <w:ind w:firstLineChars="200" w:firstLine="640"/>
        <w:rPr>
          <w:rFonts w:ascii="仿宋" w:eastAsia="仿宋" w:cs="仿宋_GB2312" w:hAnsi="仿宋"/>
          <w:sz w:val="32"/>
          <w:szCs w:val="32"/>
        </w:rPr>
      </w:pPr>
      <w:r>
        <w:rPr>
          <w:rFonts w:ascii="仿宋" w:eastAsia="仿宋" w:cs="仿宋_GB2312" w:hAnsi="仿宋" w:hint="eastAsia"/>
          <w:sz w:val="32"/>
          <w:szCs w:val="32"/>
          <w:lang w:val="zh-CN"/>
        </w:rPr>
        <w:t>经过202</w:t>
      </w:r>
      <w:r>
        <w:rPr>
          <w:rFonts w:ascii="仿宋" w:eastAsia="仿宋" w:cs="仿宋_GB2312" w:hAnsi="仿宋" w:hint="eastAsia"/>
          <w:sz w:val="32"/>
          <w:szCs w:val="32"/>
        </w:rPr>
        <w:t>1</w:t>
      </w:r>
      <w:r>
        <w:rPr>
          <w:rFonts w:ascii="仿宋" w:eastAsia="仿宋" w:cs="仿宋_GB2312" w:hAnsi="仿宋" w:hint="eastAsia"/>
          <w:sz w:val="32"/>
          <w:szCs w:val="32"/>
          <w:lang w:val="zh-CN"/>
        </w:rPr>
        <w:t>年整体支出绩效自我评价，综合得分为</w:t>
      </w:r>
      <w:r>
        <w:rPr>
          <w:rFonts w:ascii="仿宋" w:eastAsia="仿宋" w:cs="仿宋_GB2312" w:hAnsi="仿宋" w:hint="eastAsia"/>
          <w:sz w:val="32"/>
          <w:szCs w:val="32"/>
        </w:rPr>
        <w:t>98分。</w:t>
      </w:r>
    </w:p>
    <w:p>
      <w:pPr>
        <w:snapToGrid w:val="0"/>
        <w:spacing w:line="52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（二）存在问题</w:t>
      </w:r>
    </w:p>
    <w:p>
      <w:pPr>
        <w:snapToGrid w:val="0"/>
        <w:spacing w:line="520"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经过整体支出绩效自评，发现存在一些问题：</w:t>
      </w:r>
    </w:p>
    <w:p>
      <w:pPr>
        <w:snapToGrid w:val="0"/>
        <w:spacing w:line="520"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评价绩效目标未纳入党组（委）会（办公会）集体决策范围；</w:t>
      </w:r>
    </w:p>
    <w:p>
      <w:pPr>
        <w:adjustRightInd w:val="0"/>
        <w:snapToGrid w:val="0"/>
        <w:spacing w:line="520" w:lineRule="exact"/>
        <w:ind w:firstLineChars="200" w:firstLine="640"/>
        <w:contextualSpacing/>
        <w:rPr>
          <w:rFonts w:ascii="仿宋" w:eastAsia="仿宋" w:cs="仿宋_GB2312" w:hAnsi="仿宋"/>
          <w:sz w:val="32"/>
          <w:szCs w:val="32"/>
        </w:rPr>
      </w:pPr>
      <w:r>
        <w:rPr>
          <w:rFonts w:ascii="仿宋" w:eastAsia="仿宋" w:cs="仿宋_GB2312" w:hAnsi="仿宋" w:hint="eastAsia"/>
          <w:sz w:val="32"/>
          <w:szCs w:val="32"/>
        </w:rPr>
        <w:t>1.</w:t>
      </w:r>
      <w:r>
        <w:rPr>
          <w:rFonts w:ascii="仿宋" w:eastAsia="仿宋" w:cs="仿宋_GB2312" w:hAnsi="仿宋" w:hint="eastAsia"/>
          <w:sz w:val="32"/>
          <w:szCs w:val="32"/>
          <w:lang w:val="zh-CN"/>
        </w:rPr>
        <w:t>部门日常公用经费、项目支出中“办公费、印刷费、水费、电费、物业管理费”等科目年初预算数与决算数偏差程度在</w:t>
      </w:r>
      <w:r>
        <w:rPr>
          <w:rFonts w:ascii="仿宋" w:eastAsia="仿宋" w:cs="仿宋_GB2312" w:hAnsi="仿宋" w:hint="eastAsia"/>
          <w:sz w:val="32"/>
          <w:szCs w:val="32"/>
        </w:rPr>
        <w:t>10%-20%之间；</w:t>
      </w:r>
    </w:p>
    <w:p>
      <w:pPr>
        <w:adjustRightInd w:val="0"/>
        <w:snapToGrid w:val="0"/>
        <w:spacing w:line="520" w:lineRule="exact"/>
        <w:ind w:firstLineChars="200" w:firstLine="640"/>
        <w:contextualSpacing/>
        <w:rPr>
          <w:rFonts w:ascii="仿宋" w:eastAsia="仿宋" w:cs="仿宋_GB2312" w:hAnsi="仿宋"/>
          <w:sz w:val="32"/>
          <w:szCs w:val="32"/>
        </w:rPr>
      </w:pPr>
      <w:r>
        <w:rPr>
          <w:rFonts w:ascii="仿宋" w:eastAsia="仿宋" w:cs="仿宋_GB2312" w:hAnsi="仿宋" w:hint="eastAsia"/>
          <w:sz w:val="32"/>
          <w:szCs w:val="32"/>
        </w:rPr>
        <w:t>2.</w:t>
      </w:r>
      <w:r>
        <w:rPr>
          <w:rFonts w:ascii="仿宋" w:eastAsia="仿宋" w:cs="仿宋_GB2312" w:hAnsi="仿宋" w:hint="eastAsia"/>
          <w:sz w:val="32"/>
          <w:szCs w:val="32"/>
          <w:lang w:val="zh-CN"/>
        </w:rPr>
        <w:t>部门预算项目12月预算执行进度未达到100%；</w:t>
      </w:r>
    </w:p>
    <w:p>
      <w:pPr>
        <w:adjustRightInd w:val="0"/>
        <w:snapToGrid w:val="0"/>
        <w:spacing w:line="520" w:lineRule="exact"/>
        <w:ind w:firstLineChars="200" w:firstLine="640"/>
        <w:contextualSpacing/>
        <w:rPr>
          <w:rFonts w:ascii="仿宋" w:eastAsia="仿宋" w:cs="仿宋_GB2312" w:hAnsi="仿宋"/>
          <w:sz w:val="32"/>
          <w:szCs w:val="32"/>
        </w:rPr>
      </w:pPr>
      <w:r>
        <w:rPr>
          <w:rFonts w:ascii="仿宋" w:eastAsia="仿宋" w:cs="仿宋_GB2312" w:hAnsi="仿宋" w:hint="eastAsia"/>
          <w:sz w:val="32"/>
          <w:szCs w:val="32"/>
        </w:rPr>
        <w:t>3.</w:t>
      </w:r>
      <w:r>
        <w:rPr>
          <w:rFonts w:ascii="仿宋" w:eastAsia="仿宋" w:cs="仿宋_GB2312" w:hAnsi="仿宋" w:hint="eastAsia"/>
          <w:sz w:val="32"/>
          <w:szCs w:val="32"/>
          <w:lang w:val="zh-CN"/>
        </w:rPr>
        <w:t>部门预算项目资金有结余率较大；</w:t>
      </w:r>
    </w:p>
    <w:p>
      <w:pPr>
        <w:adjustRightInd w:val="0"/>
        <w:snapToGrid w:val="0"/>
        <w:spacing w:line="520" w:lineRule="exact"/>
        <w:ind w:firstLineChars="200" w:firstLine="640"/>
        <w:contextualSpacing/>
        <w:rPr>
          <w:rFonts w:ascii="方正仿宋简体" w:eastAsia="方正仿宋简体" w:cs="宋体" w:hAnsi="宋体"/>
          <w:color w:val="000000"/>
          <w:kern w:val="0"/>
          <w:sz w:val="32"/>
          <w:szCs w:val="32"/>
          <w:shd w:val="clear" w:color="auto" w:fill="FFFFFF"/>
        </w:rPr>
      </w:pPr>
      <w:r>
        <w:rPr>
          <w:rFonts w:ascii="仿宋" w:eastAsia="仿宋" w:cs="仿宋_GB2312" w:hAnsi="仿宋" w:hint="eastAsia"/>
          <w:sz w:val="32"/>
          <w:szCs w:val="32"/>
        </w:rPr>
        <w:t>4.</w:t>
      </w:r>
      <w:r>
        <w:rPr>
          <w:rFonts w:ascii="仿宋" w:eastAsia="仿宋" w:cs="仿宋_GB2312" w:hAnsi="仿宋" w:hint="eastAsia"/>
          <w:sz w:val="32"/>
          <w:szCs w:val="32"/>
          <w:lang w:val="zh-CN"/>
        </w:rPr>
        <w:t>部门未按要求将部门整体绩效自评情况和自行组织的评价情况向社会公开</w:t>
      </w:r>
      <w:r>
        <w:rPr>
          <w:rFonts w:ascii="方正仿宋简体" w:eastAsia="方正仿宋简体" w:cs="宋体" w:hAnsi="宋体" w:hint="eastAsia"/>
          <w:color w:val="000000"/>
          <w:kern w:val="0"/>
          <w:sz w:val="32"/>
          <w:szCs w:val="32"/>
          <w:shd w:val="clear" w:color="auto" w:fill="FFFFFF"/>
          <w:lang w:val="zh-CN"/>
        </w:rPr>
        <w:t>。</w:t>
      </w:r>
    </w:p>
    <w:p>
      <w:pPr>
        <w:snapToGrid w:val="0"/>
        <w:spacing w:line="52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（三）改进建议</w:t>
      </w:r>
    </w:p>
    <w:p>
      <w:pPr>
        <w:adjustRightInd w:val="0"/>
        <w:snapToGrid w:val="0"/>
        <w:spacing w:line="520" w:lineRule="exact"/>
        <w:ind w:firstLineChars="200" w:firstLine="640"/>
        <w:contextualSpacing/>
        <w:rPr>
          <w:rFonts w:ascii="仿宋" w:eastAsia="仿宋" w:cs="仿宋" w:hAnsi="仿宋"/>
          <w:color w:val="000000"/>
          <w:kern w:val="0"/>
          <w:sz w:val="32"/>
          <w:szCs w:val="32"/>
          <w:shd w:val="clear" w:color="auto" w:fill="FFFFFF"/>
          <w:lang w:val="zh-CN"/>
        </w:rPr>
      </w:pPr>
      <w:r>
        <w:rPr>
          <w:rFonts w:ascii="仿宋" w:eastAsia="仿宋" w:cs="仿宋" w:hAnsi="仿宋" w:hint="eastAsia"/>
          <w:color w:val="000000"/>
          <w:kern w:val="0"/>
          <w:sz w:val="32"/>
          <w:szCs w:val="32"/>
          <w:shd w:val="clear" w:color="auto" w:fill="FFFFFF"/>
        </w:rPr>
        <w:t>1.</w:t>
      </w:r>
      <w:r>
        <w:rPr>
          <w:rFonts w:ascii="仿宋" w:eastAsia="仿宋" w:cs="仿宋" w:hAnsi="仿宋" w:hint="eastAsia"/>
          <w:color w:val="000000"/>
          <w:kern w:val="0"/>
          <w:sz w:val="32"/>
          <w:szCs w:val="32"/>
          <w:shd w:val="clear" w:color="auto" w:fill="FFFFFF"/>
          <w:lang w:val="zh-CN"/>
        </w:rPr>
        <w:t>评价部门绩效目标纳入党组（委）会（办公会）集体决策范围；</w:t>
      </w:r>
    </w:p>
    <w:p>
      <w:pPr>
        <w:adjustRightInd w:val="0"/>
        <w:snapToGrid w:val="0"/>
        <w:spacing w:line="520" w:lineRule="exact"/>
        <w:ind w:firstLineChars="200" w:firstLine="640"/>
        <w:contextualSpacing/>
        <w:rPr>
          <w:rFonts w:ascii="仿宋" w:eastAsia="仿宋" w:cs="仿宋" w:hAnsi="仿宋"/>
          <w:color w:val="000000"/>
          <w:kern w:val="0"/>
          <w:sz w:val="32"/>
          <w:szCs w:val="32"/>
          <w:shd w:val="clear" w:color="auto" w:fill="FFFFFF"/>
        </w:rPr>
      </w:pPr>
      <w:r>
        <w:rPr>
          <w:rFonts w:ascii="仿宋" w:eastAsia="仿宋" w:cs="仿宋" w:hAnsi="仿宋" w:hint="eastAsia"/>
          <w:color w:val="000000"/>
          <w:kern w:val="0"/>
          <w:sz w:val="32"/>
          <w:szCs w:val="32"/>
          <w:shd w:val="clear" w:color="auto" w:fill="FFFFFF"/>
        </w:rPr>
        <w:t>2.严格执行预算，减小</w:t>
      </w:r>
      <w:r>
        <w:rPr>
          <w:rFonts w:ascii="仿宋" w:eastAsia="仿宋" w:cs="仿宋" w:hAnsi="仿宋" w:hint="eastAsia"/>
          <w:color w:val="000000"/>
          <w:kern w:val="0"/>
          <w:sz w:val="32"/>
          <w:szCs w:val="32"/>
          <w:shd w:val="clear" w:color="auto" w:fill="FFFFFF"/>
          <w:lang w:val="zh-CN"/>
        </w:rPr>
        <w:t>部门日常公用经费、项目支出中“办公费、印刷费、水费、电费、物业管理费”等科目年初预算数与决算数偏差程度</w:t>
      </w:r>
      <w:r>
        <w:rPr>
          <w:rFonts w:ascii="仿宋" w:eastAsia="仿宋" w:cs="仿宋" w:hAnsi="仿宋" w:hint="eastAsia"/>
          <w:color w:val="000000"/>
          <w:kern w:val="0"/>
          <w:sz w:val="32"/>
          <w:szCs w:val="32"/>
          <w:shd w:val="clear" w:color="auto" w:fill="FFFFFF"/>
        </w:rPr>
        <w:t>；</w:t>
      </w:r>
    </w:p>
    <w:p>
      <w:pPr>
        <w:adjustRightInd w:val="0"/>
        <w:snapToGrid w:val="0"/>
        <w:spacing w:line="520" w:lineRule="exact"/>
        <w:ind w:firstLineChars="200" w:firstLine="640"/>
        <w:contextualSpacing/>
        <w:rPr>
          <w:rFonts w:ascii="仿宋" w:eastAsia="仿宋" w:cs="仿宋" w:hAnsi="仿宋"/>
          <w:color w:val="000000"/>
          <w:kern w:val="0"/>
          <w:sz w:val="32"/>
          <w:szCs w:val="32"/>
          <w:shd w:val="clear" w:color="auto" w:fill="FFFFFF"/>
        </w:rPr>
      </w:pPr>
      <w:r>
        <w:rPr>
          <w:rFonts w:ascii="仿宋" w:eastAsia="仿宋" w:cs="仿宋" w:hAnsi="仿宋" w:hint="eastAsia"/>
          <w:color w:val="000000"/>
          <w:kern w:val="0"/>
          <w:sz w:val="32"/>
          <w:szCs w:val="32"/>
          <w:shd w:val="clear" w:color="auto" w:fill="FFFFFF"/>
        </w:rPr>
        <w:t>3.</w:t>
      </w:r>
      <w:r>
        <w:rPr>
          <w:rFonts w:ascii="仿宋" w:eastAsia="仿宋" w:cs="仿宋" w:hAnsi="仿宋" w:hint="eastAsia"/>
          <w:color w:val="000000"/>
          <w:kern w:val="0"/>
          <w:sz w:val="32"/>
          <w:szCs w:val="32"/>
          <w:shd w:val="clear" w:color="auto" w:fill="FFFFFF"/>
          <w:lang w:val="zh-CN"/>
        </w:rPr>
        <w:t>加快部门预算项目12月预算执行进度，尽量未达到100%；</w:t>
      </w:r>
    </w:p>
    <w:p>
      <w:pPr>
        <w:adjustRightInd w:val="0"/>
        <w:snapToGrid w:val="0"/>
        <w:spacing w:line="520" w:lineRule="exact"/>
        <w:ind w:firstLineChars="200" w:firstLine="640"/>
        <w:contextualSpacing/>
        <w:rPr>
          <w:rFonts w:ascii="仿宋" w:eastAsia="仿宋" w:cs="仿宋" w:hAnsi="仿宋"/>
          <w:color w:val="000000"/>
          <w:kern w:val="0"/>
          <w:sz w:val="32"/>
          <w:szCs w:val="32"/>
          <w:shd w:val="clear" w:color="auto" w:fill="FFFFFF"/>
        </w:rPr>
      </w:pPr>
      <w:r>
        <w:rPr>
          <w:rFonts w:ascii="仿宋" w:eastAsia="仿宋" w:cs="仿宋" w:hAnsi="仿宋" w:hint="eastAsia"/>
          <w:color w:val="000000"/>
          <w:kern w:val="0"/>
          <w:sz w:val="32"/>
          <w:szCs w:val="32"/>
          <w:shd w:val="clear" w:color="auto" w:fill="FFFFFF"/>
        </w:rPr>
        <w:t>4.</w:t>
      </w:r>
      <w:r>
        <w:rPr>
          <w:rFonts w:ascii="仿宋" w:eastAsia="仿宋" w:cs="仿宋" w:hAnsi="仿宋" w:hint="eastAsia"/>
          <w:color w:val="000000"/>
          <w:kern w:val="0"/>
          <w:sz w:val="32"/>
          <w:szCs w:val="32"/>
          <w:shd w:val="clear" w:color="auto" w:fill="FFFFFF"/>
          <w:lang w:val="zh-CN"/>
        </w:rPr>
        <w:t>合理安排资金使用进度，减小部门预算项目资金结余率；</w:t>
      </w:r>
    </w:p>
    <w:p>
      <w:pPr>
        <w:adjustRightInd w:val="0"/>
        <w:snapToGrid w:val="0"/>
        <w:spacing w:line="520" w:lineRule="exact"/>
        <w:ind w:firstLineChars="200" w:firstLine="640"/>
        <w:contextualSpacing/>
        <w:rPr>
          <w:rFonts w:ascii="仿宋" w:eastAsia="仿宋" w:cs="仿宋" w:hAnsi="仿宋"/>
          <w:color w:val="000000"/>
          <w:kern w:val="0"/>
          <w:sz w:val="32"/>
          <w:szCs w:val="32"/>
          <w:shd w:val="clear" w:color="auto" w:fill="FFFFFF"/>
        </w:rPr>
      </w:pPr>
      <w:r>
        <w:rPr>
          <w:rFonts w:ascii="仿宋" w:eastAsia="仿宋" w:cs="仿宋" w:hAnsi="仿宋" w:hint="eastAsia"/>
          <w:color w:val="000000"/>
          <w:kern w:val="0"/>
          <w:sz w:val="32"/>
          <w:szCs w:val="32"/>
          <w:shd w:val="clear" w:color="auto" w:fill="FFFFFF"/>
        </w:rPr>
        <w:t>5.</w:t>
      </w:r>
      <w:r>
        <w:rPr>
          <w:rFonts w:ascii="仿宋" w:eastAsia="仿宋" w:cs="仿宋" w:hAnsi="仿宋" w:hint="eastAsia"/>
          <w:color w:val="000000"/>
          <w:kern w:val="0"/>
          <w:sz w:val="32"/>
          <w:szCs w:val="32"/>
          <w:shd w:val="clear" w:color="auto" w:fill="FFFFFF"/>
          <w:lang w:val="zh-CN"/>
        </w:rPr>
        <w:t>部门按要求将部门整体绩效自评情况和自行组织的评价情况向社会公开。</w:t>
      </w:r>
    </w:p>
    <w:p>
      <w:pPr>
        <w:widowControl/>
        <w:adjustRightInd w:val="0"/>
        <w:snapToGrid w:val="0"/>
        <w:spacing w:line="520" w:lineRule="exact"/>
        <w:ind w:firstLine="420"/>
        <w:contextualSpacing/>
        <w:jc w:val="left"/>
        <w:rPr>
          <w:rFonts w:ascii="仿宋" w:eastAsia="仿宋" w:cs="仿宋" w:hAnsi="仿宋"/>
          <w:color w:val="000000"/>
          <w:kern w:val="0"/>
          <w:sz w:val="32"/>
          <w:szCs w:val="32"/>
          <w:shd w:val="clear" w:color="auto" w:fill="FFFFFF"/>
        </w:rPr>
      </w:pPr>
    </w:p>
    <w:p>
      <w:pPr>
        <w:pStyle w:val="15"/>
        <w:spacing w:beforeLines="0" w:before="93"/>
        <w:jc w:val="right"/>
        <w:rPr>
          <w:rFonts w:ascii="宋体" w:cs="宋体" w:hAnsi="宋体"/>
          <w:color w:val="000000"/>
          <w:sz w:val="28"/>
          <w:szCs w:val="28"/>
          <w:shd w:val="clear" w:color="auto" w:fill="FFFFFF"/>
        </w:rPr>
      </w:pPr>
    </w:p>
    <w:p>
      <w:pPr>
        <w:pStyle w:val="15"/>
        <w:spacing w:beforeLines="0" w:before="93"/>
        <w:jc w:val="right"/>
        <w:rPr>
          <w:rFonts w:ascii="仿宋" w:eastAsia="仿宋" w:cs="仿宋" w:hAnsi="仿宋"/>
          <w:color w:val="000000"/>
          <w:sz w:val="32"/>
          <w:szCs w:val="32"/>
          <w:shd w:val="clear" w:color="auto" w:fill="FFFFFF"/>
        </w:rPr>
      </w:pPr>
      <w:r>
        <w:rPr>
          <w:rFonts w:ascii="宋体" w:cs="宋体" w:hAnsi="宋体" w:hint="eastAsia"/>
          <w:color w:val="000000"/>
          <w:sz w:val="28"/>
          <w:szCs w:val="28"/>
          <w:shd w:val="clear" w:color="auto" w:fill="FFFFFF"/>
        </w:rPr>
        <w:t xml:space="preserve">                                     </w:t>
      </w:r>
    </w:p>
    <w:p>
      <w:pPr>
        <w:spacing w:line="360" w:lineRule="exact"/>
        <w:jc w:val="center"/>
        <w:rPr>
          <w:rFonts w:ascii="宋体" w:cs="宋体" w:hAnsi="宋体"/>
          <w:b/>
          <w:sz w:val="32"/>
          <w:szCs w:val="32"/>
        </w:rPr>
        <w:sectPr>
          <w:footerReference w:type="default" r:id="rId3"/>
          <w:type w:val="continuous"/>
          <w:pgSz w:w="11906" w:h="16838"/>
          <w:pgMar w:top="1701" w:right="1474" w:bottom="1701" w:left="1587" w:header="851" w:footer="1304" w:gutter="0"/>
          <w:cols w:num="1" w:space="0"/>
          <w:docGrid w:type="lines" w:linePitch="312" w:charSpace="0"/>
        </w:sectPr>
      </w:pPr>
    </w:p>
    <w:p>
      <w:pPr>
        <w:snapToGrid w:val="0"/>
        <w:jc w:val="center"/>
        <w:rPr>
          <w:rFonts w:ascii="宋体" w:cs="宋体"/>
          <w:bCs/>
          <w:sz w:val="40"/>
          <w:szCs w:val="40"/>
        </w:rPr>
      </w:pPr>
      <w:r>
        <w:rPr>
          <w:rFonts w:ascii="宋体" w:cs="宋体" w:hint="eastAsia"/>
          <w:bCs/>
          <w:sz w:val="40"/>
          <w:szCs w:val="40"/>
        </w:rPr>
        <w:t>2021年盘龙二小整体支出绩效评价自评得分</w:t>
      </w:r>
    </w:p>
    <w:tbl>
      <w:tblPr>
        <w:jc w:val="center"/>
        <w:tblW w:w="14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17"/>
        <w:gridCol w:w="1141"/>
        <w:gridCol w:w="991"/>
        <w:gridCol w:w="585"/>
        <w:gridCol w:w="1681"/>
        <w:gridCol w:w="2304"/>
        <w:gridCol w:w="3568"/>
        <w:gridCol w:w="585"/>
        <w:gridCol w:w="526"/>
        <w:gridCol w:w="561"/>
        <w:gridCol w:w="532"/>
        <w:gridCol w:w="547"/>
      </w:tblGrid>
      <w:tr>
        <w:trPr>
          <w:trHeight w:val="283"/>
          <w:tblHeader/>
        </w:trPr>
        <w:tc>
          <w:tcPr>
            <w:tcW w:w="3249" w:type="dxa"/>
            <w:gridSpan w:val="3"/>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绩效指标</w:t>
            </w:r>
          </w:p>
        </w:tc>
        <w:tc>
          <w:tcPr>
            <w:tcW w:w="585" w:type="dxa"/>
            <w:vMerge w:val="restart"/>
            <w:vAlign w:val="center"/>
          </w:tcPr>
          <w:p>
            <w:pPr>
              <w:snapToGrid w:val="0"/>
              <w:ind w:leftChars="-50" w:left="-105" w:rightChars="-50" w:right="-105"/>
              <w:jc w:val="center"/>
              <w:rPr>
                <w:rFonts w:ascii="宋体" w:cs="宋体" w:hAnsi="宋体"/>
                <w:b/>
                <w:bCs/>
                <w:kern w:val="0"/>
                <w:sz w:val="20"/>
                <w:szCs w:val="20"/>
              </w:rPr>
            </w:pPr>
            <w:r>
              <w:rPr>
                <w:rFonts w:ascii="宋体" w:cs="宋体" w:hAnsi="宋体" w:hint="eastAsia"/>
                <w:b/>
                <w:bCs/>
                <w:kern w:val="0"/>
                <w:sz w:val="20"/>
                <w:szCs w:val="20"/>
              </w:rPr>
              <w:t>指标分值</w:t>
            </w:r>
          </w:p>
        </w:tc>
        <w:tc>
          <w:tcPr>
            <w:tcW w:w="1681" w:type="dxa"/>
            <w:vMerge w:val="restart"/>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指标解释</w:t>
            </w:r>
          </w:p>
        </w:tc>
        <w:tc>
          <w:tcPr>
            <w:tcW w:w="5872" w:type="dxa"/>
            <w:gridSpan w:val="2"/>
            <w:vMerge w:val="restart"/>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计分标准</w:t>
            </w:r>
          </w:p>
        </w:tc>
        <w:tc>
          <w:tcPr>
            <w:tcW w:w="1111" w:type="dxa"/>
            <w:gridSpan w:val="2"/>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评价方式</w:t>
            </w:r>
          </w:p>
        </w:tc>
        <w:tc>
          <w:tcPr>
            <w:tcW w:w="1093" w:type="dxa"/>
            <w:gridSpan w:val="2"/>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评价属性</w:t>
            </w:r>
          </w:p>
        </w:tc>
        <w:tc>
          <w:tcPr>
            <w:tcW w:w="547" w:type="dxa"/>
            <w:vMerge w:val="restart"/>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自评得分</w:t>
            </w:r>
          </w:p>
        </w:tc>
      </w:tr>
      <w:tr>
        <w:trPr>
          <w:trHeight w:val="555"/>
          <w:tblHeader/>
        </w:trPr>
        <w:tc>
          <w:tcPr>
            <w:tcW w:w="1117" w:type="dxa"/>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一级指标</w:t>
            </w:r>
          </w:p>
        </w:tc>
        <w:tc>
          <w:tcPr>
            <w:tcW w:w="1141" w:type="dxa"/>
            <w:tcBorders>
              <w:top w:val="single" w:sz="4" w:space="0" w:color="auto"/>
              <w:left w:val="single" w:sz="4" w:space="0" w:color="auto"/>
              <w:right w:val="single" w:sz="4" w:space="0" w:color="auto"/>
            </w:tcBorders>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二级指标</w:t>
            </w:r>
          </w:p>
        </w:tc>
        <w:tc>
          <w:tcPr>
            <w:tcW w:w="991" w:type="dxa"/>
            <w:tcBorders>
              <w:top w:val="single" w:sz="4" w:space="0" w:color="auto"/>
              <w:left w:val="single" w:sz="4" w:space="0" w:color="auto"/>
              <w:right w:val="single" w:sz="4" w:space="0" w:color="auto"/>
            </w:tcBorders>
            <w:vAlign w:val="center"/>
          </w:tcPr>
          <w:p>
            <w:pPr>
              <w:snapToGrid w:val="0"/>
              <w:jc w:val="center"/>
              <w:rPr>
                <w:rFonts w:ascii="宋体" w:cs="宋体" w:hAnsi="宋体"/>
                <w:b/>
                <w:bCs/>
                <w:kern w:val="0"/>
                <w:sz w:val="20"/>
                <w:szCs w:val="20"/>
              </w:rPr>
            </w:pPr>
            <w:r>
              <w:rPr>
                <w:rFonts w:ascii="宋体" w:cs="宋体" w:hAnsi="宋体" w:hint="eastAsia"/>
                <w:b/>
                <w:bCs/>
                <w:kern w:val="0"/>
                <w:sz w:val="20"/>
                <w:szCs w:val="20"/>
              </w:rPr>
              <w:t>三级</w:t>
            </w:r>
          </w:p>
          <w:p>
            <w:pPr>
              <w:snapToGrid w:val="0"/>
              <w:jc w:val="center"/>
              <w:rPr>
                <w:rFonts w:ascii="宋体" w:cs="宋体" w:hAnsi="宋体"/>
                <w:b/>
                <w:bCs/>
                <w:kern w:val="0"/>
                <w:sz w:val="20"/>
                <w:szCs w:val="20"/>
              </w:rPr>
            </w:pPr>
            <w:r>
              <w:rPr>
                <w:rFonts w:ascii="宋体" w:cs="宋体" w:hAnsi="宋体" w:hint="eastAsia"/>
                <w:b/>
                <w:bCs/>
                <w:kern w:val="0"/>
                <w:sz w:val="20"/>
                <w:szCs w:val="20"/>
              </w:rPr>
              <w:t>指标</w:t>
            </w:r>
          </w:p>
        </w:tc>
        <w:tc>
          <w:tcPr>
            <w:tcW w:w="585" w:type="dxa"/>
            <w:vMerge/>
            <w:tcBorders>
              <w:top w:val="single" w:sz="4" w:space="0" w:color="auto"/>
              <w:left w:val="single" w:sz="4" w:space="0" w:color="auto"/>
              <w:right w:val="single" w:sz="4" w:space="0" w:color="auto"/>
            </w:tcBorders>
            <w:vAlign w:val="center"/>
          </w:tcPr>
          <w:p/>
        </w:tc>
        <w:tc>
          <w:tcPr>
            <w:tcW w:w="1681" w:type="dxa"/>
            <w:vMerge/>
            <w:tcBorders>
              <w:top w:val="single" w:sz="4" w:space="0" w:color="auto"/>
              <w:left w:val="single" w:sz="4" w:space="0" w:color="auto"/>
              <w:right w:val="single" w:sz="4" w:space="0" w:color="auto"/>
            </w:tcBorders>
            <w:vAlign w:val="center"/>
          </w:tcPr>
          <w:p/>
        </w:tc>
        <w:tc>
          <w:tcPr>
            <w:tcW w:w="5872" w:type="dxa"/>
            <w:gridSpan w:val="2"/>
            <w:vMerge/>
            <w:tcBorders>
              <w:top w:val="single" w:sz="4" w:space="0" w:color="auto"/>
              <w:left w:val="single" w:sz="4" w:space="0" w:color="auto"/>
              <w:right w:val="single" w:sz="4" w:space="0" w:color="auto"/>
            </w:tcBorders>
            <w:vAlign w:val="center"/>
          </w:tcPr>
          <w:p/>
        </w:tc>
        <w:tc>
          <w:tcPr>
            <w:tcW w:w="585" w:type="dxa"/>
            <w:tcBorders>
              <w:top w:val="single" w:sz="4" w:space="0" w:color="auto"/>
              <w:left w:val="single" w:sz="4" w:space="0" w:color="auto"/>
              <w:right w:val="single" w:sz="4" w:space="0" w:color="auto"/>
            </w:tcBorders>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整体评价</w:t>
            </w:r>
          </w:p>
        </w:tc>
        <w:tc>
          <w:tcPr>
            <w:tcW w:w="526" w:type="dxa"/>
            <w:tcBorders>
              <w:top w:val="single" w:sz="4" w:space="0" w:color="auto"/>
              <w:left w:val="single" w:sz="4" w:space="0" w:color="auto"/>
              <w:right w:val="single" w:sz="4" w:space="0" w:color="auto"/>
            </w:tcBorders>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样本评价</w:t>
            </w:r>
          </w:p>
        </w:tc>
        <w:tc>
          <w:tcPr>
            <w:tcW w:w="561" w:type="dxa"/>
            <w:tcBorders>
              <w:top w:val="single" w:sz="4" w:space="0" w:color="auto"/>
              <w:left w:val="single" w:sz="4" w:space="0" w:color="auto"/>
              <w:right w:val="single" w:sz="4" w:space="0" w:color="auto"/>
            </w:tcBorders>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定性评价</w:t>
            </w:r>
          </w:p>
        </w:tc>
        <w:tc>
          <w:tcPr>
            <w:tcW w:w="532" w:type="dxa"/>
            <w:tcBorders>
              <w:top w:val="single" w:sz="4" w:space="0" w:color="auto"/>
              <w:left w:val="single" w:sz="4" w:space="0" w:color="auto"/>
              <w:right w:val="single" w:sz="4" w:space="0" w:color="auto"/>
            </w:tcBorders>
            <w:vAlign w:val="center"/>
          </w:tcPr>
          <w:p>
            <w:pPr>
              <w:snapToGrid w:val="0"/>
              <w:ind w:leftChars="-30" w:left="-63" w:rightChars="-30" w:right="-63"/>
              <w:jc w:val="center"/>
              <w:rPr>
                <w:rFonts w:ascii="宋体" w:cs="宋体" w:hAnsi="宋体"/>
                <w:b/>
                <w:bCs/>
                <w:kern w:val="0"/>
                <w:sz w:val="20"/>
                <w:szCs w:val="20"/>
              </w:rPr>
            </w:pPr>
            <w:r>
              <w:rPr>
                <w:rFonts w:ascii="宋体" w:cs="宋体" w:hAnsi="宋体" w:hint="eastAsia"/>
                <w:b/>
                <w:bCs/>
                <w:kern w:val="0"/>
                <w:sz w:val="20"/>
                <w:szCs w:val="20"/>
              </w:rPr>
              <w:t>定量评价</w:t>
            </w:r>
          </w:p>
        </w:tc>
        <w:tc>
          <w:tcPr>
            <w:tcW w:w="547" w:type="dxa"/>
            <w:vMerge/>
            <w:tcBorders>
              <w:left w:val="single" w:sz="4" w:space="0" w:color="auto"/>
            </w:tcBorders>
            <w:vAlign w:val="center"/>
          </w:tcPr>
          <w:p/>
        </w:tc>
      </w:tr>
      <w:tr>
        <w:trPr>
          <w:trHeight w:val="1525"/>
        </w:trPr>
        <w:tc>
          <w:tcPr>
            <w:tcW w:w="1117" w:type="dxa"/>
            <w:vMerge w:val="restart"/>
            <w:vAlign w:val="center"/>
          </w:tcPr>
          <w:p>
            <w:pPr>
              <w:snapToGrid w:val="0"/>
              <w:jc w:val="center"/>
              <w:rPr>
                <w:rFonts w:ascii="宋体" w:cs="宋体" w:hAnsi="宋体"/>
                <w:kern w:val="0"/>
                <w:sz w:val="20"/>
                <w:szCs w:val="20"/>
              </w:rPr>
            </w:pPr>
            <w:r>
              <w:rPr>
                <w:rFonts w:ascii="宋体" w:cs="宋体" w:hAnsi="宋体" w:hint="eastAsia"/>
                <w:kern w:val="0"/>
                <w:sz w:val="20"/>
                <w:szCs w:val="20"/>
              </w:rPr>
              <w:t>部门预算项目绩效管理（40分）</w:t>
            </w:r>
          </w:p>
        </w:tc>
        <w:tc>
          <w:tcPr>
            <w:tcW w:w="1141" w:type="dxa"/>
            <w:vMerge w:val="restart"/>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目标管理（15分）</w:t>
            </w:r>
          </w:p>
        </w:tc>
        <w:tc>
          <w:tcPr>
            <w:tcW w:w="991" w:type="dxa"/>
            <w:tcBorders>
              <w:top w:val="single" w:sz="4" w:space="0" w:color="auto"/>
              <w:left w:val="single" w:sz="4" w:space="0" w:color="auto"/>
              <w:right w:val="single" w:sz="4" w:space="0" w:color="auto"/>
            </w:tcBorders>
            <w:vAlign w:val="center"/>
          </w:tcPr>
          <w:p>
            <w:pPr>
              <w:snapToGrid w:val="0"/>
              <w:ind w:leftChars="-20" w:left="-42" w:rightChars="-20" w:right="-42"/>
              <w:jc w:val="center"/>
              <w:rPr>
                <w:rFonts w:ascii="宋体" w:cs="宋体" w:hAnsi="宋体"/>
                <w:kern w:val="0"/>
                <w:sz w:val="20"/>
                <w:szCs w:val="20"/>
              </w:rPr>
            </w:pPr>
            <w:r>
              <w:rPr>
                <w:rFonts w:ascii="宋体" w:cs="宋体" w:hAnsi="宋体" w:hint="eastAsia"/>
                <w:kern w:val="0"/>
                <w:sz w:val="20"/>
                <w:szCs w:val="20"/>
              </w:rPr>
              <w:t>目标制定</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5</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评价部门绩效目标是否要素完整、细化量化并集体决策。</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1.绩效目标编制要素完整的，得2分，否则酌情扣分。</w:t>
            </w:r>
          </w:p>
          <w:p>
            <w:pPr>
              <w:snapToGrid w:val="0"/>
              <w:spacing w:line="240" w:lineRule="exact"/>
              <w:rPr>
                <w:rFonts w:ascii="宋体" w:cs="宋体" w:hAnsi="宋体"/>
                <w:kern w:val="0"/>
                <w:sz w:val="20"/>
                <w:szCs w:val="20"/>
              </w:rPr>
            </w:pPr>
            <w:r>
              <w:rPr>
                <w:rFonts w:ascii="宋体" w:cs="宋体" w:hAnsi="宋体" w:hint="eastAsia"/>
                <w:kern w:val="0"/>
                <w:sz w:val="20"/>
                <w:szCs w:val="20"/>
              </w:rPr>
              <w:t>2.绩效指标细化量化的，得2分，否则酌情扣分。</w:t>
            </w:r>
          </w:p>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3.评价部门绩效目标纳入部门党组（委）会（办公会）集体决策范围的得1分，否则不得分。有项目绩效目标的部门（单位），根据项目绩效目标编制质量打分，无项目绩效目标的部门，根据部门整体支出绩效目标打分。                                                                    </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61"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lef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5</w:t>
            </w:r>
          </w:p>
        </w:tc>
      </w:tr>
      <w:tr>
        <w:trPr>
          <w:trHeight w:val="1273"/>
        </w:trPr>
        <w:tc>
          <w:tcPr>
            <w:tcW w:w="1117" w:type="dxa"/>
            <w:vMerge/>
            <w:vAlign w:val="center"/>
          </w:tcPr>
          <w:p/>
        </w:tc>
        <w:tc>
          <w:tcPr>
            <w:tcW w:w="1141" w:type="dxa"/>
            <w:vMerge/>
            <w:tcBorders>
              <w:top w:val="single" w:sz="4" w:space="0" w:color="auto"/>
              <w:left w:val="single" w:sz="4" w:space="0" w:color="auto"/>
              <w:right w:val="single" w:sz="4" w:space="0" w:color="auto"/>
            </w:tcBorders>
            <w:vAlign w:val="center"/>
          </w:tcPr>
          <w:p/>
        </w:tc>
        <w:tc>
          <w:tcPr>
            <w:tcW w:w="991" w:type="dxa"/>
            <w:tcBorders>
              <w:top w:val="single" w:sz="4" w:space="0" w:color="auto"/>
              <w:left w:val="single" w:sz="4" w:space="0" w:color="auto"/>
              <w:right w:val="single" w:sz="4" w:space="0" w:color="auto"/>
            </w:tcBorders>
            <w:vAlign w:val="center"/>
          </w:tcPr>
          <w:p>
            <w:pPr>
              <w:snapToGrid w:val="0"/>
              <w:ind w:leftChars="-20" w:left="-42" w:rightChars="-20" w:right="-42"/>
              <w:jc w:val="center"/>
              <w:rPr>
                <w:rFonts w:ascii="宋体" w:cs="宋体" w:hAnsi="宋体"/>
                <w:kern w:val="0"/>
                <w:sz w:val="20"/>
                <w:szCs w:val="20"/>
              </w:rPr>
            </w:pPr>
            <w:r>
              <w:rPr>
                <w:rFonts w:ascii="宋体" w:cs="宋体" w:hAnsi="宋体" w:hint="eastAsia"/>
                <w:kern w:val="0"/>
                <w:sz w:val="20"/>
                <w:szCs w:val="20"/>
              </w:rPr>
              <w:t>目标实现</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10</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评价部门绩效目标实际实现程度与预期目标的偏离度。</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color w:val="000000"/>
                <w:kern w:val="0"/>
                <w:sz w:val="20"/>
                <w:szCs w:val="20"/>
              </w:rPr>
            </w:pPr>
            <w:r>
              <w:rPr>
                <w:rFonts w:ascii="宋体" w:cs="宋体" w:hAnsi="宋体" w:hint="eastAsia"/>
                <w:color w:val="000000"/>
                <w:kern w:val="0"/>
                <w:sz w:val="20"/>
                <w:szCs w:val="20"/>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　</w:t>
            </w:r>
          </w:p>
        </w:tc>
        <w:tc>
          <w:tcPr>
            <w:tcW w:w="526"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61"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lef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10</w:t>
            </w:r>
          </w:p>
        </w:tc>
      </w:tr>
      <w:tr>
        <w:trPr>
          <w:trHeight w:val="1020"/>
        </w:trPr>
        <w:tc>
          <w:tcPr>
            <w:tcW w:w="1117" w:type="dxa"/>
            <w:vMerge/>
            <w:vAlign w:val="center"/>
          </w:tcPr>
          <w:p/>
        </w:tc>
        <w:tc>
          <w:tcPr>
            <w:tcW w:w="1141" w:type="dxa"/>
            <w:vMerge w:val="restart"/>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 xml:space="preserve">                                                                   动态调整（10分）</w:t>
            </w:r>
          </w:p>
        </w:tc>
        <w:tc>
          <w:tcPr>
            <w:tcW w:w="991" w:type="dxa"/>
            <w:tcBorders>
              <w:top w:val="single" w:sz="4" w:space="0" w:color="auto"/>
              <w:left w:val="single" w:sz="4" w:space="0" w:color="auto"/>
              <w:right w:val="single" w:sz="4" w:space="0" w:color="auto"/>
            </w:tcBorders>
            <w:vAlign w:val="center"/>
          </w:tcPr>
          <w:p>
            <w:pPr>
              <w:snapToGrid w:val="0"/>
              <w:ind w:leftChars="-20" w:left="-42" w:rightChars="-20" w:right="-42"/>
              <w:jc w:val="center"/>
              <w:rPr>
                <w:rFonts w:ascii="宋体" w:cs="宋体" w:hAnsi="宋体"/>
                <w:kern w:val="0"/>
                <w:sz w:val="20"/>
                <w:szCs w:val="20"/>
              </w:rPr>
            </w:pPr>
            <w:r>
              <w:rPr>
                <w:rFonts w:ascii="宋体" w:cs="宋体" w:hAnsi="宋体" w:hint="eastAsia"/>
                <w:kern w:val="0"/>
                <w:sz w:val="20"/>
                <w:szCs w:val="20"/>
              </w:rPr>
              <w:t>支出控制</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2</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部门公用经费及非定额公用支出控制情况。</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lef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2</w:t>
            </w:r>
          </w:p>
        </w:tc>
      </w:tr>
      <w:tr>
        <w:trPr>
          <w:trHeight w:val="1778"/>
        </w:trPr>
        <w:tc>
          <w:tcPr>
            <w:tcW w:w="1117" w:type="dxa"/>
            <w:vMerge/>
            <w:vAlign w:val="center"/>
          </w:tcPr>
          <w:p/>
        </w:tc>
        <w:tc>
          <w:tcPr>
            <w:tcW w:w="1141" w:type="dxa"/>
            <w:vMerge/>
            <w:tcBorders>
              <w:top w:val="single" w:sz="4" w:space="0" w:color="auto"/>
              <w:left w:val="single" w:sz="4" w:space="0" w:color="auto"/>
              <w:right w:val="single" w:sz="4" w:space="0" w:color="auto"/>
            </w:tcBorders>
            <w:vAlign w:val="center"/>
          </w:tcPr>
          <w:p/>
        </w:tc>
        <w:tc>
          <w:tcPr>
            <w:tcW w:w="991" w:type="dxa"/>
            <w:tcBorders>
              <w:top w:val="single" w:sz="4" w:space="0" w:color="auto"/>
              <w:left w:val="single" w:sz="4" w:space="0" w:color="auto"/>
              <w:right w:val="single" w:sz="4" w:space="0" w:color="auto"/>
            </w:tcBorders>
            <w:vAlign w:val="center"/>
          </w:tcPr>
          <w:p>
            <w:pPr>
              <w:snapToGrid w:val="0"/>
              <w:ind w:leftChars="-20" w:left="-42" w:rightChars="-20" w:right="-42"/>
              <w:jc w:val="center"/>
              <w:rPr>
                <w:rFonts w:ascii="宋体" w:cs="宋体" w:hAnsi="宋体"/>
                <w:kern w:val="0"/>
                <w:sz w:val="20"/>
                <w:szCs w:val="20"/>
              </w:rPr>
            </w:pPr>
            <w:r>
              <w:rPr>
                <w:rFonts w:ascii="宋体" w:cs="宋体" w:hAnsi="宋体" w:hint="eastAsia"/>
                <w:kern w:val="0"/>
                <w:sz w:val="20"/>
                <w:szCs w:val="20"/>
              </w:rPr>
              <w:t>及时处置</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4</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评价部门开展绩效运行监控后，将绩效监控结果应用到预算调整的情况。</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1.当部门绩效监控调整取消额和结余注销额均不为零时，指标得分=部门项目支出绩效监控调整取消额÷(部门绩效监控调整取消额+预算结余注销额）*4。</w:t>
            </w:r>
          </w:p>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2.当部门绩效监控调整取消额为零，结余注销额不为零时，指标得分=（1-10*结余注销额/年度预算总额）*4，结余注销额超过部门年度预算总额10%的，指标不得分。                  </w:t>
            </w:r>
          </w:p>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3.当部门绩效监控调整取消额与结余注销额均为零时，得4分。                                                             </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lef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3</w:t>
            </w:r>
          </w:p>
        </w:tc>
      </w:tr>
      <w:tr>
        <w:trPr>
          <w:trHeight w:val="1020"/>
        </w:trPr>
        <w:tc>
          <w:tcPr>
            <w:tcW w:w="1117" w:type="dxa"/>
            <w:vMerge/>
            <w:vAlign w:val="center"/>
          </w:tcPr>
          <w:p/>
        </w:tc>
        <w:tc>
          <w:tcPr>
            <w:tcW w:w="1141" w:type="dxa"/>
            <w:vMerge/>
            <w:tcBorders>
              <w:top w:val="single" w:sz="4" w:space="0" w:color="auto"/>
              <w:left w:val="single" w:sz="4" w:space="0" w:color="auto"/>
              <w:right w:val="single" w:sz="4" w:space="0" w:color="auto"/>
            </w:tcBorders>
            <w:vAlign w:val="center"/>
          </w:tcPr>
          <w:p/>
        </w:tc>
        <w:tc>
          <w:tcPr>
            <w:tcW w:w="991" w:type="dxa"/>
            <w:tcBorders>
              <w:top w:val="single" w:sz="4" w:space="0" w:color="auto"/>
              <w:left w:val="single" w:sz="4" w:space="0" w:color="auto"/>
              <w:right w:val="single" w:sz="4" w:space="0" w:color="auto"/>
            </w:tcBorders>
            <w:vAlign w:val="center"/>
          </w:tcPr>
          <w:p>
            <w:pPr>
              <w:snapToGrid w:val="0"/>
              <w:ind w:leftChars="-20" w:left="-42" w:rightChars="-20" w:right="-42"/>
              <w:jc w:val="center"/>
              <w:rPr>
                <w:rFonts w:ascii="宋体" w:cs="宋体" w:hAnsi="宋体"/>
                <w:kern w:val="0"/>
                <w:sz w:val="20"/>
                <w:szCs w:val="20"/>
              </w:rPr>
            </w:pPr>
            <w:r>
              <w:rPr>
                <w:rFonts w:ascii="宋体" w:cs="宋体" w:hAnsi="宋体" w:hint="eastAsia"/>
                <w:kern w:val="0"/>
                <w:sz w:val="20"/>
                <w:szCs w:val="20"/>
              </w:rPr>
              <w:t>执行进度</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4</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评价部门在6、9、11月的预算执行情况。</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部门预算执行进度在6、9、11月应达到序时进度的80%、90%、90%，即实际支出进度分别达到40%、67.5%、82.5%。6、9、11月部门预算执行进度达到量化指标的分别得1分、1分、2分，未达到目标进度的按其实际进度占目标进度的比重计算得分。                                             </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lef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3</w:t>
            </w:r>
          </w:p>
        </w:tc>
      </w:tr>
      <w:tr>
        <w:trPr>
          <w:trHeight w:val="768"/>
        </w:trPr>
        <w:tc>
          <w:tcPr>
            <w:tcW w:w="1117" w:type="dxa"/>
            <w:vMerge/>
            <w:vAlign w:val="center"/>
          </w:tcPr>
          <w:p/>
        </w:tc>
        <w:tc>
          <w:tcPr>
            <w:tcW w:w="1141" w:type="dxa"/>
            <w:vMerge w:val="restart"/>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完成效率（15分）</w:t>
            </w:r>
          </w:p>
        </w:tc>
        <w:tc>
          <w:tcPr>
            <w:tcW w:w="99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预算完成</w:t>
            </w:r>
          </w:p>
        </w:tc>
        <w:tc>
          <w:tcPr>
            <w:tcW w:w="585" w:type="dxa"/>
            <w:tcBorders>
              <w:top w:val="single" w:sz="4" w:space="0" w:color="auto"/>
              <w:left w:val="single" w:sz="4" w:space="0" w:color="auto"/>
              <w:right w:val="single" w:sz="4" w:space="0" w:color="auto"/>
            </w:tcBorders>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5</w:t>
            </w:r>
          </w:p>
        </w:tc>
        <w:tc>
          <w:tcPr>
            <w:tcW w:w="168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rPr>
                <w:rFonts w:ascii="宋体" w:cs="宋体" w:hAnsi="宋体"/>
                <w:kern w:val="0"/>
                <w:sz w:val="20"/>
                <w:szCs w:val="20"/>
              </w:rPr>
            </w:pPr>
            <w:r>
              <w:rPr>
                <w:rFonts w:ascii="宋体" w:cs="宋体" w:hAnsi="宋体" w:hint="eastAsia"/>
                <w:kern w:val="0"/>
                <w:sz w:val="20"/>
                <w:szCs w:val="20"/>
              </w:rPr>
              <w:t>评价部门预算项目年终预算执行情况。</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部门预算项目12月预算执行进度达到100%的，得5分，未达100%的，按照实际进度量化计算得分。</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lef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5</w:t>
            </w:r>
          </w:p>
        </w:tc>
      </w:tr>
      <w:tr>
        <w:trPr>
          <w:trHeight w:val="768"/>
        </w:trPr>
        <w:tc>
          <w:tcPr>
            <w:tcW w:w="1117" w:type="dxa"/>
            <w:vMerge/>
            <w:vAlign w:val="center"/>
          </w:tcPr>
          <w:p/>
        </w:tc>
        <w:tc>
          <w:tcPr>
            <w:tcW w:w="1141" w:type="dxa"/>
            <w:vMerge/>
            <w:tcBorders>
              <w:top w:val="single" w:sz="4" w:space="0" w:color="auto"/>
              <w:left w:val="single" w:sz="4" w:space="0" w:color="auto"/>
              <w:right w:val="single" w:sz="4" w:space="0" w:color="auto"/>
            </w:tcBorders>
            <w:vAlign w:val="center"/>
          </w:tcPr>
          <w:p/>
        </w:tc>
        <w:tc>
          <w:tcPr>
            <w:tcW w:w="99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资金结余率（低效无效率）</w:t>
            </w:r>
          </w:p>
        </w:tc>
        <w:tc>
          <w:tcPr>
            <w:tcW w:w="585" w:type="dxa"/>
            <w:tcBorders>
              <w:top w:val="single" w:sz="4" w:space="0" w:color="auto"/>
              <w:left w:val="single" w:sz="4" w:space="0" w:color="auto"/>
              <w:right w:val="single" w:sz="4" w:space="0" w:color="auto"/>
            </w:tcBorders>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8</w:t>
            </w:r>
          </w:p>
        </w:tc>
        <w:tc>
          <w:tcPr>
            <w:tcW w:w="1681" w:type="dxa"/>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评价部门预算项目年终资金结余情况。                 </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部门预算项目资金结余率小于0.1的项目数/部门预算项目总数*8。</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lef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8</w:t>
            </w:r>
          </w:p>
        </w:tc>
      </w:tr>
      <w:tr>
        <w:trPr>
          <w:trHeight w:val="1273"/>
        </w:trPr>
        <w:tc>
          <w:tcPr>
            <w:tcW w:w="1117" w:type="dxa"/>
            <w:vMerge/>
            <w:vAlign w:val="center"/>
          </w:tcPr>
          <w:p/>
        </w:tc>
        <w:tc>
          <w:tcPr>
            <w:tcW w:w="1141" w:type="dxa"/>
            <w:vMerge/>
            <w:tcBorders>
              <w:top w:val="single" w:sz="4" w:space="0" w:color="auto"/>
              <w:left w:val="single" w:sz="4" w:space="0" w:color="auto"/>
              <w:right w:val="single" w:sz="4" w:space="0" w:color="auto"/>
            </w:tcBorders>
            <w:vAlign w:val="center"/>
          </w:tcPr>
          <w:p/>
        </w:tc>
        <w:tc>
          <w:tcPr>
            <w:tcW w:w="991" w:type="dxa"/>
            <w:tcBorders>
              <w:top w:val="single" w:sz="4" w:space="0" w:color="auto"/>
              <w:left w:val="single" w:sz="4" w:space="0" w:color="auto"/>
              <w:right w:val="single" w:sz="4" w:space="0" w:color="auto"/>
            </w:tcBorders>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违规记录</w:t>
            </w:r>
          </w:p>
        </w:tc>
        <w:tc>
          <w:tcPr>
            <w:tcW w:w="585" w:type="dxa"/>
            <w:tcBorders>
              <w:top w:val="single" w:sz="4" w:space="0" w:color="auto"/>
              <w:left w:val="single" w:sz="4" w:space="0" w:color="auto"/>
              <w:right w:val="single" w:sz="4" w:space="0" w:color="auto"/>
            </w:tcBorders>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2</w:t>
            </w:r>
          </w:p>
        </w:tc>
        <w:tc>
          <w:tcPr>
            <w:tcW w:w="1681" w:type="dxa"/>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根据审计监督、财政检查结果反映部门上一年度部门预算管理是否合规。</w:t>
            </w:r>
          </w:p>
        </w:tc>
        <w:tc>
          <w:tcPr>
            <w:tcW w:w="5872" w:type="dxa"/>
            <w:gridSpan w:val="2"/>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依据评价年度审计监督、财政检查结果，出现部门预算管理方面违纪违规问题的，每个问题扣0.2分，直至扣完。</w:t>
            </w:r>
          </w:p>
        </w:tc>
        <w:tc>
          <w:tcPr>
            <w:tcW w:w="585"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single" w:sz="4" w:space="0" w:color="auto"/>
              <w:left w:val="single" w:sz="4" w:space="0" w:color="auto"/>
              <w:right w:val="single" w:sz="4" w:space="0" w:color="auto"/>
            </w:tcBorders>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32" w:type="dxa"/>
            <w:tcBorders>
              <w:top w:val="single" w:sz="4" w:space="0" w:color="auto"/>
              <w:left w:val="single" w:sz="4" w:space="0" w:color="auto"/>
              <w:righ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lef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2</w:t>
            </w:r>
          </w:p>
        </w:tc>
      </w:tr>
      <w:tr>
        <w:trPr>
          <w:trHeight w:val="641"/>
        </w:trPr>
        <w:tc>
          <w:tcPr>
            <w:tcW w:w="1117" w:type="dxa"/>
            <w:vAlign w:val="center"/>
          </w:tcPr>
          <w:p>
            <w:pPr>
              <w:snapToGrid w:val="0"/>
              <w:spacing w:line="200" w:lineRule="exact"/>
              <w:ind w:leftChars="-40" w:left="-84" w:rightChars="-40" w:right="-84"/>
              <w:jc w:val="center"/>
              <w:rPr>
                <w:rFonts w:ascii="宋体" w:cs="宋体" w:hAnsi="宋体"/>
                <w:kern w:val="0"/>
                <w:sz w:val="20"/>
                <w:szCs w:val="20"/>
              </w:rPr>
            </w:pPr>
            <w:r>
              <w:rPr>
                <w:rFonts w:ascii="宋体" w:cs="宋体" w:hAnsi="宋体" w:hint="eastAsia"/>
                <w:kern w:val="0"/>
                <w:sz w:val="20"/>
                <w:szCs w:val="20"/>
              </w:rPr>
              <w:t>专项预算项目绩效管理（40分）</w:t>
            </w:r>
          </w:p>
        </w:tc>
        <w:tc>
          <w:tcPr>
            <w:tcW w:w="12474" w:type="dxa"/>
            <w:gridSpan w:val="10"/>
            <w:tcBorders>
              <w:top w:val="single" w:sz="4" w:space="0" w:color="auto"/>
              <w:left w:val="single" w:sz="4" w:space="0" w:color="auto"/>
              <w:right w:val="single" w:sz="4" w:space="0" w:color="auto"/>
            </w:tcBorders>
            <w:vAlign w:val="center"/>
          </w:tcPr>
          <w:p>
            <w:pPr>
              <w:snapToGrid w:val="0"/>
              <w:spacing w:line="240" w:lineRule="exact"/>
              <w:rPr>
                <w:rFonts w:ascii="宋体" w:cs="宋体" w:hAnsi="宋体"/>
                <w:kern w:val="0"/>
                <w:sz w:val="20"/>
                <w:szCs w:val="20"/>
              </w:rPr>
            </w:pPr>
            <w:r>
              <w:rPr>
                <w:rFonts w:ascii="宋体" w:cs="宋体" w:hAnsi="宋体" w:hint="eastAsia"/>
                <w:kern w:val="0"/>
                <w:sz w:val="20"/>
                <w:szCs w:val="20"/>
              </w:rPr>
              <w:t xml:space="preserve">部门按照专项预算项目自评工作要求对本部门管理的专项预算项目进行自评并打分，形成自评报告；有两个及以上专项预算项目的，以平均分作为自评得分                                              </w:t>
            </w:r>
          </w:p>
        </w:tc>
        <w:tc>
          <w:tcPr>
            <w:tcW w:w="547" w:type="dxa"/>
            <w:tcBorders>
              <w:left w:val="single" w:sz="4" w:space="0" w:color="auto"/>
            </w:tcBorders>
            <w:vAlign w:val="center"/>
          </w:tcPr>
          <w:p>
            <w:pPr>
              <w:snapToGrid w:val="0"/>
              <w:jc w:val="center"/>
              <w:rPr>
                <w:rFonts w:ascii="宋体" w:cs="宋体" w:hAnsi="宋体"/>
                <w:kern w:val="0"/>
                <w:sz w:val="20"/>
                <w:szCs w:val="20"/>
              </w:rPr>
            </w:pPr>
            <w:r>
              <w:rPr>
                <w:rFonts w:ascii="宋体" w:cs="宋体" w:hAnsi="宋体" w:hint="eastAsia"/>
                <w:kern w:val="0"/>
                <w:sz w:val="20"/>
                <w:szCs w:val="20"/>
              </w:rPr>
              <w:t>39</w:t>
            </w:r>
          </w:p>
        </w:tc>
      </w:tr>
      <w:tr>
        <w:trPr>
          <w:trHeight w:val="1020"/>
        </w:trPr>
        <w:tc>
          <w:tcPr>
            <w:tcW w:w="1117" w:type="dxa"/>
            <w:vMerge w:val="restart"/>
            <w:tcBorders>
              <w:top w:val="single" w:sz="4" w:space="0" w:color="auto"/>
              <w:left w:val="single" w:sz="4" w:space="0" w:color="auto"/>
              <w:bottom w:val="single" w:sz="4" w:space="0" w:color="000000"/>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绩效结果应用（10分）</w:t>
            </w:r>
          </w:p>
        </w:tc>
        <w:tc>
          <w:tcPr>
            <w:tcW w:w="114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内部应用（4分）</w:t>
            </w:r>
          </w:p>
        </w:tc>
        <w:tc>
          <w:tcPr>
            <w:tcW w:w="991" w:type="dxa"/>
            <w:tcBorders>
              <w:top w:val="nil"/>
              <w:left w:val="nil"/>
              <w:bottom w:val="single" w:sz="4" w:space="0" w:color="auto"/>
              <w:right w:val="single" w:sz="4" w:space="0" w:color="auto"/>
            </w:tcBorders>
            <w:noWrap/>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预算挂钩</w:t>
            </w:r>
          </w:p>
        </w:tc>
        <w:tc>
          <w:tcPr>
            <w:tcW w:w="585" w:type="dxa"/>
            <w:tcBorders>
              <w:top w:val="nil"/>
              <w:left w:val="nil"/>
              <w:bottom w:val="single" w:sz="4" w:space="0" w:color="auto"/>
              <w:right w:val="single" w:sz="4" w:space="0" w:color="auto"/>
            </w:tcBorders>
            <w:noWrap/>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4</w:t>
            </w:r>
          </w:p>
        </w:tc>
        <w:tc>
          <w:tcPr>
            <w:tcW w:w="3985" w:type="dxa"/>
            <w:gridSpan w:val="2"/>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部门内部绩效结果与预算挂钩情况。</w:t>
            </w:r>
          </w:p>
        </w:tc>
        <w:tc>
          <w:tcPr>
            <w:tcW w:w="3568" w:type="dxa"/>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 xml:space="preserve">将内设机构和下属单位绩效自评纳入考核体系，建立对内设机构和下属单位预算与绩效挂钩机制的，得4分，否则酌情扣分。    </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　</w:t>
            </w:r>
          </w:p>
        </w:tc>
        <w:tc>
          <w:tcPr>
            <w:tcW w:w="547" w:type="dxa"/>
            <w:tcBorders>
              <w:top w:val="nil"/>
              <w:left w:val="nil"/>
              <w:bottom w:val="single" w:sz="4" w:space="0" w:color="auto"/>
              <w:right w:val="single" w:sz="4" w:space="0" w:color="auto"/>
            </w:tcBorders>
            <w:noWrap/>
            <w:vAlign w:val="center"/>
          </w:tcPr>
          <w:p>
            <w:pPr>
              <w:snapToGrid w:val="0"/>
              <w:ind w:firstLineChars="100" w:firstLine="200"/>
              <w:rPr>
                <w:rFonts w:ascii="宋体" w:cs="宋体" w:hAnsi="宋体"/>
                <w:kern w:val="0"/>
                <w:sz w:val="20"/>
                <w:szCs w:val="20"/>
              </w:rPr>
            </w:pPr>
            <w:r>
              <w:rPr>
                <w:rFonts w:ascii="宋体" w:cs="宋体" w:hAnsi="宋体" w:hint="eastAsia"/>
                <w:kern w:val="0"/>
                <w:sz w:val="20"/>
                <w:szCs w:val="20"/>
              </w:rPr>
              <w:t>4</w:t>
            </w:r>
          </w:p>
        </w:tc>
      </w:tr>
      <w:tr>
        <w:trPr>
          <w:trHeight w:val="555"/>
        </w:trPr>
        <w:tc>
          <w:tcPr>
            <w:tcW w:w="1117" w:type="dxa"/>
            <w:vMerge/>
            <w:tcBorders>
              <w:top w:val="single" w:sz="4" w:space="0" w:color="auto"/>
              <w:left w:val="single" w:sz="4" w:space="0" w:color="auto"/>
              <w:bottom w:val="single" w:sz="4" w:space="0" w:color="000000"/>
              <w:right w:val="single" w:sz="4" w:space="0" w:color="auto"/>
            </w:tcBorders>
            <w:noWrap/>
            <w:vAlign w:val="center"/>
          </w:tcPr>
          <w:p/>
        </w:tc>
        <w:tc>
          <w:tcPr>
            <w:tcW w:w="114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信息公开（2分）</w:t>
            </w:r>
          </w:p>
        </w:tc>
        <w:tc>
          <w:tcPr>
            <w:tcW w:w="991" w:type="dxa"/>
            <w:tcBorders>
              <w:top w:val="nil"/>
              <w:left w:val="nil"/>
              <w:bottom w:val="single" w:sz="4" w:space="0" w:color="auto"/>
              <w:right w:val="single" w:sz="4" w:space="0" w:color="auto"/>
            </w:tcBorders>
            <w:noWrap/>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自评公开</w:t>
            </w:r>
          </w:p>
        </w:tc>
        <w:tc>
          <w:tcPr>
            <w:tcW w:w="585" w:type="dxa"/>
            <w:tcBorders>
              <w:top w:val="nil"/>
              <w:left w:val="nil"/>
              <w:bottom w:val="single" w:sz="4" w:space="0" w:color="auto"/>
              <w:right w:val="single" w:sz="4" w:space="0" w:color="auto"/>
            </w:tcBorders>
            <w:noWrap/>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2</w:t>
            </w:r>
          </w:p>
        </w:tc>
        <w:tc>
          <w:tcPr>
            <w:tcW w:w="3985" w:type="dxa"/>
            <w:gridSpan w:val="2"/>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评价部门是否按要求将部门整体绩效自评情况和自行组织的评价情况向社会公开。</w:t>
            </w:r>
          </w:p>
        </w:tc>
        <w:tc>
          <w:tcPr>
            <w:tcW w:w="3568" w:type="dxa"/>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按要求将相关绩效信息随同决算公开的，得2分，否则不得分。</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47"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2</w:t>
            </w:r>
          </w:p>
        </w:tc>
      </w:tr>
      <w:tr>
        <w:trPr>
          <w:trHeight w:val="1020"/>
        </w:trPr>
        <w:tc>
          <w:tcPr>
            <w:tcW w:w="1117" w:type="dxa"/>
            <w:vMerge/>
            <w:tcBorders>
              <w:top w:val="single" w:sz="4" w:space="0" w:color="auto"/>
              <w:left w:val="single" w:sz="4" w:space="0" w:color="auto"/>
              <w:bottom w:val="single" w:sz="4" w:space="0" w:color="000000"/>
              <w:right w:val="single" w:sz="4" w:space="0" w:color="auto"/>
            </w:tcBorders>
            <w:noWrap/>
            <w:vAlign w:val="center"/>
          </w:tcPr>
          <w:p/>
        </w:tc>
        <w:tc>
          <w:tcPr>
            <w:tcW w:w="1141" w:type="dxa"/>
            <w:tcBorders>
              <w:top w:val="nil"/>
              <w:left w:val="single" w:sz="4" w:space="0" w:color="auto"/>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整改反馈（4分）</w:t>
            </w:r>
          </w:p>
        </w:tc>
        <w:tc>
          <w:tcPr>
            <w:tcW w:w="991" w:type="dxa"/>
            <w:tcBorders>
              <w:top w:val="nil"/>
              <w:left w:val="nil"/>
              <w:bottom w:val="single" w:sz="4" w:space="0" w:color="auto"/>
              <w:right w:val="single" w:sz="4" w:space="0" w:color="auto"/>
            </w:tcBorders>
            <w:noWrap/>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问题整改</w:t>
            </w:r>
          </w:p>
        </w:tc>
        <w:tc>
          <w:tcPr>
            <w:tcW w:w="585" w:type="dxa"/>
            <w:tcBorders>
              <w:top w:val="nil"/>
              <w:left w:val="nil"/>
              <w:bottom w:val="single" w:sz="4" w:space="0" w:color="auto"/>
              <w:right w:val="single" w:sz="4" w:space="0" w:color="auto"/>
            </w:tcBorders>
            <w:noWrap/>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2</w:t>
            </w:r>
          </w:p>
        </w:tc>
        <w:tc>
          <w:tcPr>
            <w:tcW w:w="3985" w:type="dxa"/>
            <w:gridSpan w:val="2"/>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评价部门根据绩效管理结果整改问题、完善政策、改进管理的情况。</w:t>
            </w:r>
          </w:p>
        </w:tc>
        <w:tc>
          <w:tcPr>
            <w:tcW w:w="3568" w:type="dxa"/>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针对绩效管理过程中（包括绩效目标核查、绩效监控核查和重点绩效评价）提出的问题进行整改，得2分，否则酌情扣分。</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2</w:t>
            </w:r>
          </w:p>
        </w:tc>
      </w:tr>
      <w:tr>
        <w:trPr>
          <w:trHeight w:val="768"/>
        </w:trPr>
        <w:tc>
          <w:tcPr>
            <w:tcW w:w="1117" w:type="dxa"/>
            <w:vMerge/>
            <w:tcBorders>
              <w:top w:val="single" w:sz="4" w:space="0" w:color="auto"/>
              <w:left w:val="single" w:sz="4" w:space="0" w:color="auto"/>
              <w:bottom w:val="single" w:sz="4" w:space="0" w:color="000000"/>
              <w:right w:val="single" w:sz="4" w:space="0" w:color="auto"/>
            </w:tcBorders>
            <w:noWrap/>
            <w:vAlign w:val="center"/>
          </w:tcPr>
          <w:p/>
        </w:tc>
        <w:tc>
          <w:tcPr>
            <w:tcW w:w="1141" w:type="dxa"/>
            <w:tcBorders>
              <w:top w:val="nil"/>
              <w:left w:val="single" w:sz="4" w:space="0" w:color="auto"/>
              <w:right w:val="single" w:sz="4" w:space="0" w:color="auto"/>
            </w:tcBorders>
            <w:noWrap/>
            <w:vAlign w:val="center"/>
          </w:tcPr>
          <w:p>
            <w:pPr>
              <w:snapToGrid w:val="0"/>
              <w:jc w:val="left"/>
              <w:rPr>
                <w:rFonts w:ascii="宋体" w:cs="宋体" w:hAnsi="宋体"/>
                <w:kern w:val="0"/>
                <w:sz w:val="20"/>
                <w:szCs w:val="20"/>
              </w:rPr>
            </w:pPr>
          </w:p>
        </w:tc>
        <w:tc>
          <w:tcPr>
            <w:tcW w:w="991" w:type="dxa"/>
            <w:tcBorders>
              <w:top w:val="nil"/>
              <w:left w:val="nil"/>
              <w:bottom w:val="single" w:sz="4" w:space="0" w:color="auto"/>
              <w:right w:val="single" w:sz="4" w:space="0" w:color="auto"/>
            </w:tcBorders>
            <w:noWrap/>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应用反馈</w:t>
            </w:r>
          </w:p>
        </w:tc>
        <w:tc>
          <w:tcPr>
            <w:tcW w:w="585" w:type="dxa"/>
            <w:tcBorders>
              <w:top w:val="nil"/>
              <w:left w:val="nil"/>
              <w:bottom w:val="single" w:sz="4" w:space="0" w:color="auto"/>
              <w:right w:val="single" w:sz="4" w:space="0" w:color="auto"/>
            </w:tcBorders>
            <w:noWrap/>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2</w:t>
            </w:r>
          </w:p>
        </w:tc>
        <w:tc>
          <w:tcPr>
            <w:tcW w:w="3985" w:type="dxa"/>
            <w:gridSpan w:val="2"/>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评价部门按要求及时向财政部门反馈结果应用情况。</w:t>
            </w:r>
          </w:p>
        </w:tc>
        <w:tc>
          <w:tcPr>
            <w:tcW w:w="3568" w:type="dxa"/>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部门在规定时间内向财政部门反馈应用绩效结果报告的，得2分，否则不得分。</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r>
              <w:rPr>
                <w:rFonts w:ascii="宋体" w:cs="宋体" w:hAnsi="宋体" w:hint="eastAsia"/>
                <w:kern w:val="0"/>
                <w:sz w:val="20"/>
                <w:szCs w:val="20"/>
              </w:rPr>
              <w:t>　</w:t>
            </w: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2</w:t>
            </w:r>
          </w:p>
        </w:tc>
      </w:tr>
      <w:tr>
        <w:trPr>
          <w:trHeight w:val="1530"/>
        </w:trPr>
        <w:tc>
          <w:tcPr>
            <w:tcW w:w="1117" w:type="dxa"/>
            <w:tcBorders>
              <w:top w:val="nil"/>
              <w:left w:val="single" w:sz="4" w:space="0" w:color="auto"/>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自评质量（10分）</w:t>
            </w:r>
          </w:p>
        </w:tc>
        <w:tc>
          <w:tcPr>
            <w:tcW w:w="114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自评质量</w:t>
            </w:r>
          </w:p>
        </w:tc>
        <w:tc>
          <w:tcPr>
            <w:tcW w:w="991" w:type="dxa"/>
            <w:tcBorders>
              <w:top w:val="nil"/>
              <w:left w:val="nil"/>
              <w:bottom w:val="single" w:sz="4" w:space="0" w:color="auto"/>
              <w:right w:val="single" w:sz="4" w:space="0" w:color="auto"/>
            </w:tcBorders>
            <w:noWrap/>
            <w:vAlign w:val="center"/>
          </w:tcPr>
          <w:p>
            <w:pPr>
              <w:snapToGrid w:val="0"/>
              <w:spacing w:line="240" w:lineRule="exact"/>
              <w:ind w:leftChars="-20" w:left="-42" w:rightChars="-20" w:right="-42"/>
              <w:jc w:val="center"/>
              <w:rPr>
                <w:rFonts w:ascii="宋体" w:cs="宋体" w:hAnsi="宋体"/>
                <w:kern w:val="0"/>
                <w:sz w:val="20"/>
                <w:szCs w:val="20"/>
              </w:rPr>
            </w:pPr>
            <w:r>
              <w:rPr>
                <w:rFonts w:ascii="宋体" w:cs="宋体" w:hAnsi="宋体" w:hint="eastAsia"/>
                <w:kern w:val="0"/>
                <w:sz w:val="20"/>
                <w:szCs w:val="20"/>
              </w:rPr>
              <w:t>自评质量</w:t>
            </w:r>
          </w:p>
        </w:tc>
        <w:tc>
          <w:tcPr>
            <w:tcW w:w="585" w:type="dxa"/>
            <w:tcBorders>
              <w:top w:val="nil"/>
              <w:left w:val="nil"/>
              <w:bottom w:val="single" w:sz="4" w:space="0" w:color="auto"/>
              <w:right w:val="single" w:sz="4" w:space="0" w:color="auto"/>
            </w:tcBorders>
            <w:noWrap/>
            <w:vAlign w:val="center"/>
          </w:tcPr>
          <w:p>
            <w:pPr>
              <w:snapToGrid w:val="0"/>
              <w:spacing w:line="240" w:lineRule="exact"/>
              <w:jc w:val="center"/>
              <w:rPr>
                <w:rFonts w:ascii="宋体" w:cs="宋体" w:hAnsi="宋体"/>
                <w:kern w:val="0"/>
                <w:sz w:val="20"/>
                <w:szCs w:val="20"/>
              </w:rPr>
            </w:pPr>
            <w:r>
              <w:rPr>
                <w:rFonts w:ascii="宋体" w:cs="宋体" w:hAnsi="宋体" w:hint="eastAsia"/>
                <w:kern w:val="0"/>
                <w:sz w:val="20"/>
                <w:szCs w:val="20"/>
              </w:rPr>
              <w:t>10</w:t>
            </w:r>
          </w:p>
        </w:tc>
        <w:tc>
          <w:tcPr>
            <w:tcW w:w="3985" w:type="dxa"/>
            <w:gridSpan w:val="2"/>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评价部门整体支出自评准确率。</w:t>
            </w:r>
          </w:p>
        </w:tc>
        <w:tc>
          <w:tcPr>
            <w:tcW w:w="3568" w:type="dxa"/>
            <w:tcBorders>
              <w:top w:val="nil"/>
              <w:left w:val="nil"/>
              <w:bottom w:val="single" w:sz="4" w:space="0" w:color="auto"/>
              <w:right w:val="single" w:sz="4" w:space="0" w:color="auto"/>
            </w:tcBorders>
            <w:noWrap/>
            <w:vAlign w:val="center"/>
          </w:tcPr>
          <w:p>
            <w:pPr>
              <w:snapToGrid w:val="0"/>
              <w:spacing w:line="240" w:lineRule="exact"/>
              <w:jc w:val="left"/>
              <w:rPr>
                <w:rFonts w:ascii="宋体" w:cs="宋体" w:hAnsi="宋体"/>
                <w:kern w:val="0"/>
                <w:sz w:val="20"/>
                <w:szCs w:val="20"/>
              </w:rPr>
            </w:pPr>
            <w:r>
              <w:rPr>
                <w:rFonts w:ascii="宋体" w:cs="宋体" w:hAnsi="宋体" w:hint="eastAsia"/>
                <w:kern w:val="0"/>
                <w:sz w:val="20"/>
                <w:szCs w:val="20"/>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26"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　</w:t>
            </w: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32"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w:t>
            </w:r>
          </w:p>
        </w:tc>
        <w:tc>
          <w:tcPr>
            <w:tcW w:w="547"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10</w:t>
            </w:r>
          </w:p>
        </w:tc>
      </w:tr>
      <w:tr>
        <w:trPr>
          <w:trHeight w:val="407"/>
        </w:trPr>
        <w:tc>
          <w:tcPr>
            <w:tcW w:w="3249" w:type="dxa"/>
            <w:gridSpan w:val="3"/>
            <w:tcBorders>
              <w:top w:val="single" w:sz="4" w:space="0" w:color="auto"/>
              <w:left w:val="single" w:sz="4" w:space="0" w:color="auto"/>
              <w:bottom w:val="single" w:sz="4" w:space="0" w:color="auto"/>
              <w:right w:val="single" w:sz="4" w:space="0" w:color="000000"/>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总分</w:t>
            </w: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p>
        </w:tc>
        <w:tc>
          <w:tcPr>
            <w:tcW w:w="3985" w:type="dxa"/>
            <w:gridSpan w:val="2"/>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p>
        </w:tc>
        <w:tc>
          <w:tcPr>
            <w:tcW w:w="3568" w:type="dxa"/>
            <w:tcBorders>
              <w:top w:val="nil"/>
              <w:left w:val="nil"/>
              <w:bottom w:val="single" w:sz="4" w:space="0" w:color="auto"/>
              <w:right w:val="single" w:sz="4" w:space="0" w:color="auto"/>
            </w:tcBorders>
            <w:noWrap/>
            <w:vAlign w:val="center"/>
          </w:tcPr>
          <w:p>
            <w:pPr>
              <w:snapToGrid w:val="0"/>
              <w:jc w:val="left"/>
              <w:rPr>
                <w:rFonts w:ascii="宋体" w:cs="宋体" w:hAnsi="宋体"/>
                <w:kern w:val="0"/>
                <w:sz w:val="20"/>
                <w:szCs w:val="20"/>
              </w:rPr>
            </w:pPr>
          </w:p>
        </w:tc>
        <w:tc>
          <w:tcPr>
            <w:tcW w:w="585"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p>
        </w:tc>
        <w:tc>
          <w:tcPr>
            <w:tcW w:w="526"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p>
        </w:tc>
        <w:tc>
          <w:tcPr>
            <w:tcW w:w="561"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p>
        </w:tc>
        <w:tc>
          <w:tcPr>
            <w:tcW w:w="532"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p>
        </w:tc>
        <w:tc>
          <w:tcPr>
            <w:tcW w:w="547" w:type="dxa"/>
            <w:tcBorders>
              <w:top w:val="nil"/>
              <w:left w:val="nil"/>
              <w:bottom w:val="single" w:sz="4" w:space="0" w:color="auto"/>
              <w:right w:val="single" w:sz="4" w:space="0" w:color="auto"/>
            </w:tcBorders>
            <w:noWrap/>
            <w:vAlign w:val="center"/>
          </w:tcPr>
          <w:p>
            <w:pPr>
              <w:snapToGrid w:val="0"/>
              <w:jc w:val="center"/>
              <w:rPr>
                <w:rFonts w:ascii="宋体" w:cs="宋体" w:hAnsi="宋体"/>
                <w:kern w:val="0"/>
                <w:sz w:val="20"/>
                <w:szCs w:val="20"/>
              </w:rPr>
            </w:pPr>
            <w:r>
              <w:rPr>
                <w:rFonts w:ascii="宋体" w:cs="宋体" w:hAnsi="宋体" w:hint="eastAsia"/>
                <w:kern w:val="0"/>
                <w:sz w:val="20"/>
                <w:szCs w:val="20"/>
              </w:rPr>
              <w:t>98</w:t>
            </w:r>
          </w:p>
        </w:tc>
      </w:tr>
    </w:tbl>
    <w:p>
      <w:pPr>
        <w:pStyle w:val="34"/>
        <w:snapToGrid w:val="0"/>
        <w:spacing w:line="20" w:lineRule="exact"/>
        <w:jc w:val="center"/>
        <w:rPr>
          <w:rFonts w:ascii="方正小标宋简体" w:eastAsia="方正小标宋简体" w:cs="方正小标宋简体" w:hAnsi="方正小标宋简体"/>
          <w:bCs/>
          <w:sz w:val="21"/>
        </w:rPr>
      </w:pPr>
    </w:p>
    <w:p>
      <w:pPr>
        <w:pStyle w:val="21"/>
        <w:tabs>
          <w:tab w:val="right" w:leader="dot" w:pos="8296"/>
        </w:tabs>
        <w:adjustRightInd w:val="0"/>
        <w:snapToGrid w:val="0"/>
        <w:spacing w:line="20" w:lineRule="exact"/>
        <w:jc w:val="center"/>
        <w:rPr>
          <w:rFonts w:ascii="方正小标宋简体" w:eastAsia="方正小标宋简体" w:cs="方正小标宋简体" w:hAnsi="方正小标宋简体"/>
          <w:bCs/>
          <w:color w:val="000000"/>
          <w:kern w:val="0"/>
          <w:sz w:val="44"/>
          <w:szCs w:val="44"/>
        </w:rPr>
      </w:pPr>
    </w:p>
    <w:p>
      <w:pPr>
        <w:pStyle w:val="21"/>
        <w:tabs>
          <w:tab w:val="right" w:leader="dot" w:pos="8296"/>
        </w:tabs>
        <w:adjustRightInd w:val="0"/>
        <w:snapToGrid w:val="0"/>
        <w:spacing w:line="20" w:lineRule="exact"/>
        <w:jc w:val="center"/>
        <w:rPr>
          <w:rFonts w:ascii="方正小标宋简体" w:eastAsia="方正小标宋简体" w:hAnsi="宋体"/>
          <w:sz w:val="20"/>
          <w:szCs w:val="20"/>
          <w:shd w:val="clear" w:color="auto" w:fill="FFFFFF"/>
        </w:rPr>
      </w:pPr>
    </w:p>
    <w:p>
      <w:pPr>
        <w:pStyle w:val="21"/>
        <w:tabs>
          <w:tab w:val="right" w:leader="dot" w:pos="8296"/>
        </w:tabs>
        <w:adjustRightInd w:val="0"/>
        <w:jc w:val="center"/>
        <w:rPr>
          <w:rFonts w:ascii="方正小标宋简体" w:eastAsia="方正小标宋简体" w:hAnsi="宋体"/>
          <w:sz w:val="48"/>
          <w:szCs w:val="48"/>
          <w:shd w:val="clear" w:color="auto" w:fill="FFFFFF"/>
        </w:rPr>
        <w:sectPr>
          <w:pgSz w:w="16839" w:h="11906" w:orient="landscape"/>
          <w:pgMar w:top="1304" w:right="1417" w:bottom="1304" w:left="1417" w:header="0" w:footer="1134" w:gutter="0"/>
          <w:cols w:num="1" w:space="0"/>
          <w:docGrid w:linePitch="286" w:charSpace="0"/>
        </w:sectPr>
      </w:pPr>
    </w:p>
    <w:p>
      <w:pPr>
        <w:pStyle w:val="21"/>
        <w:tabs>
          <w:tab w:val="right" w:leader="dot" w:pos="8296"/>
        </w:tabs>
        <w:adjustRightInd w:val="0"/>
        <w:jc w:val="center"/>
        <w:rPr>
          <w:rFonts w:ascii="方正小标宋简体" w:eastAsia="方正小标宋简体" w:cs="方正小标宋简体" w:hAnsi="方正小标宋简体"/>
          <w:bCs/>
          <w:color w:val="000000"/>
          <w:kern w:val="0"/>
          <w:sz w:val="48"/>
          <w:szCs w:val="48"/>
          <w:lang w:val="zh-CN"/>
        </w:rPr>
      </w:pPr>
      <w:r>
        <w:rPr>
          <w:rFonts w:ascii="方正小标宋简体" w:eastAsia="方正小标宋简体" w:hAnsi="宋体" w:hint="eastAsia"/>
          <w:sz w:val="48"/>
          <w:szCs w:val="48"/>
          <w:shd w:val="clear" w:color="auto" w:fill="FFFFFF"/>
        </w:rPr>
        <w:t>2021年</w:t>
      </w:r>
      <w:r>
        <w:rPr>
          <w:rFonts w:ascii="方正小标宋简体" w:eastAsia="方正小标宋简体" w:hAnsi="宋体" w:hint="eastAsia"/>
          <w:sz w:val="48"/>
          <w:szCs w:val="48"/>
          <w:shd w:val="clear" w:color="auto" w:fill="FFFFFF"/>
          <w:lang w:val="zh-CN"/>
        </w:rPr>
        <w:t>专</w:t>
      </w:r>
      <w:r>
        <w:rPr>
          <w:rFonts w:ascii="方正小标宋简体" w:eastAsia="方正小标宋简体" w:cs="方正小标宋简体" w:hAnsi="方正小标宋简体" w:hint="eastAsia"/>
          <w:bCs/>
          <w:color w:val="000000"/>
          <w:kern w:val="0"/>
          <w:sz w:val="48"/>
          <w:szCs w:val="48"/>
          <w:lang w:val="zh-CN"/>
        </w:rPr>
        <w:t>项预算项目支出绩效自评报告</w:t>
      </w:r>
    </w:p>
    <w:p>
      <w:pPr>
        <w:pStyle w:val="15"/>
        <w:snapToGrid w:val="0"/>
        <w:spacing w:beforeLines="0" w:before="30" w:line="550" w:lineRule="exact"/>
        <w:rPr>
          <w:rFonts w:ascii="仿宋" w:eastAsia="仿宋" w:cs="仿宋" w:hAnsi="仿宋"/>
          <w:kern w:val="2"/>
          <w:sz w:val="32"/>
          <w:szCs w:val="32"/>
          <w:lang w:val="zh-CN"/>
        </w:rPr>
      </w:pPr>
    </w:p>
    <w:p>
      <w:pPr>
        <w:pStyle w:val="34"/>
        <w:snapToGrid w:val="0"/>
        <w:spacing w:line="550" w:lineRule="exact"/>
        <w:jc w:val="center"/>
        <w:rPr>
          <w:rFonts w:ascii="黑体" w:eastAsia="黑体" w:cs="黑体" w:hAnsi="黑体"/>
          <w:b/>
          <w:color w:val="auto"/>
          <w:kern w:val="2"/>
          <w:sz w:val="36"/>
          <w:szCs w:val="36"/>
        </w:rPr>
      </w:pPr>
      <w:r>
        <w:rPr>
          <w:rFonts w:ascii="黑体" w:eastAsia="黑体" w:cs="黑体" w:hAnsi="黑体" w:hint="eastAsia"/>
          <w:b/>
          <w:color w:val="auto"/>
          <w:kern w:val="2"/>
          <w:sz w:val="36"/>
          <w:szCs w:val="36"/>
        </w:rPr>
        <w:t>1、2021年校舍维修改造项目支出绩效自评报告</w:t>
      </w:r>
    </w:p>
    <w:p>
      <w:pPr>
        <w:snapToGrid w:val="0"/>
        <w:spacing w:line="550" w:lineRule="exact"/>
        <w:ind w:firstLineChars="200" w:firstLine="640"/>
        <w:jc w:val="center"/>
        <w:rPr>
          <w:rFonts w:ascii="仿宋_GB2312" w:eastAsia="仿宋_GB2312" w:cs="仿宋_GB2312" w:hAnsi="仿宋_GB2312"/>
          <w:sz w:val="32"/>
          <w:szCs w:val="32"/>
        </w:rPr>
      </w:pPr>
    </w:p>
    <w:p>
      <w:pPr>
        <w:adjustRightInd w:val="0"/>
        <w:snapToGrid w:val="0"/>
        <w:spacing w:line="550" w:lineRule="exact"/>
        <w:ind w:firstLineChars="200" w:firstLine="640"/>
        <w:rPr>
          <w:rFonts w:ascii="黑体" w:eastAsia="黑体" w:cs="黑体" w:hAnsi="黑体"/>
          <w:bCs/>
          <w:sz w:val="32"/>
          <w:szCs w:val="32"/>
          <w:lang w:val="zh-CN"/>
        </w:rPr>
      </w:pPr>
      <w:r>
        <w:rPr>
          <w:rFonts w:ascii="黑体" w:eastAsia="黑体" w:cs="黑体" w:hAnsi="黑体" w:hint="eastAsia"/>
          <w:bCs/>
          <w:sz w:val="32"/>
          <w:szCs w:val="32"/>
          <w:lang w:val="zh-CN"/>
        </w:rPr>
        <w:t>一、项目概况</w:t>
      </w:r>
    </w:p>
    <w:p>
      <w:pPr>
        <w:adjustRightInd w:val="0"/>
        <w:snapToGrid w:val="0"/>
        <w:spacing w:line="550" w:lineRule="exact"/>
        <w:ind w:firstLineChars="200" w:firstLine="640"/>
        <w:rPr>
          <w:rFonts w:ascii="黑体" w:eastAsia="黑体" w:cs="黑体" w:hAnsi="黑体"/>
          <w:bCs/>
          <w:sz w:val="32"/>
          <w:szCs w:val="32"/>
          <w:lang w:val="zh-CN"/>
        </w:rPr>
      </w:pPr>
      <w:r>
        <w:rPr>
          <w:rFonts w:ascii="仿宋_GB2312" w:eastAsia="仿宋_GB2312" w:hAnsi="宋体" w:hint="eastAsia"/>
          <w:sz w:val="32"/>
          <w:szCs w:val="32"/>
        </w:rPr>
        <w:t>在整合农村义务教育经费保障机制和城市义务教育奖补政策的基础上，建立城乡统一、重在农村的义务教育经费保障机制，是教育领域健全城乡发展一体化体制机制的重大举措。这有利于推动省级政府统筹教育改革，优化教育布局，实现城乡义务教育在更高层次的均衡发展，促进教育公平、提高教育质量；有利于深化财税体制改革，推动实现财政转移支付同农业转移人口市民化挂钩，促进劳动力合理流动，推动经济结构调整和产业转型升级；有利于促进基本公共服务均等化，构建社会主义和谐社会，建设人力资源强国。</w:t>
      </w:r>
    </w:p>
    <w:p>
      <w:pPr>
        <w:adjustRightInd w:val="0"/>
        <w:snapToGrid w:val="0"/>
        <w:spacing w:line="550" w:lineRule="exact"/>
        <w:ind w:firstLineChars="200" w:firstLine="640"/>
        <w:rPr>
          <w:rFonts w:ascii="仿宋_GB2312" w:eastAsia="仿宋_GB2312" w:cs="仿宋_GB2312" w:hAnsi="仿宋_GB2312"/>
          <w:bCs/>
          <w:sz w:val="32"/>
          <w:szCs w:val="32"/>
          <w:lang w:val="zh-CN"/>
        </w:rPr>
      </w:pPr>
      <w:r>
        <w:rPr>
          <w:rFonts w:ascii="仿宋_GB2312" w:eastAsia="仿宋_GB2312" w:hAnsi="宋体" w:hint="eastAsia"/>
          <w:sz w:val="32"/>
          <w:szCs w:val="32"/>
        </w:rPr>
        <w:t>城乡义务教育校舍安全保障资金作为贯彻义务教育经费保障机制的重要举措，多年来一直得到区委、区政府的大力关注和支持。其经费用途包括：</w:t>
      </w:r>
      <w:r>
        <w:rPr>
          <w:rFonts w:ascii="仿宋_GB2312" w:eastAsia="仿宋_GB2312" w:cs="仿宋_GB2312" w:hAnsi="仿宋_GB2312" w:hint="eastAsia"/>
          <w:bCs/>
          <w:sz w:val="32"/>
          <w:szCs w:val="32"/>
          <w:lang w:val="zh-CN"/>
        </w:rPr>
        <w:t>保障全区义务教育阶段学校正常运转、完成教育教学活动和其他日常工作任务等方面的支出，该经费的具体开支范围是：学生课桌凳、床铺、食堂设施设备的零星补充购置及维修维护，房屋、建筑物、校园内道路、围墙、大门、运动场地、教室内教师讲台及仪器设备的日常维修维护，校园绿化美化、校园文化建设等。</w:t>
      </w:r>
    </w:p>
    <w:p>
      <w:pPr>
        <w:adjustRightInd w:val="0"/>
        <w:snapToGrid w:val="0"/>
        <w:spacing w:line="550"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向区财政申请</w:t>
      </w:r>
      <w:r>
        <w:rPr>
          <w:rFonts w:ascii="仿宋_GB2312" w:eastAsia="仿宋_GB2312" w:cs="仿宋_GB2312" w:hAnsi="仿宋_GB2312" w:hint="eastAsia"/>
          <w:sz w:val="32"/>
          <w:szCs w:val="32"/>
        </w:rPr>
        <w:t>60</w:t>
      </w:r>
      <w:r>
        <w:rPr>
          <w:rFonts w:ascii="仿宋_GB2312" w:eastAsia="仿宋_GB2312" w:cs="仿宋_GB2312" w:hAnsi="仿宋_GB2312" w:hint="eastAsia"/>
          <w:bCs/>
          <w:sz w:val="32"/>
          <w:szCs w:val="32"/>
        </w:rPr>
        <w:t>万元，用于学校校舍维修改造，利州区政府年度批复预算</w:t>
      </w:r>
      <w:r>
        <w:rPr>
          <w:rFonts w:ascii="仿宋_GB2312" w:eastAsia="仿宋_GB2312" w:cs="仿宋_GB2312" w:hAnsi="仿宋_GB2312" w:hint="eastAsia"/>
          <w:sz w:val="32"/>
          <w:szCs w:val="32"/>
        </w:rPr>
        <w:t>60</w:t>
      </w:r>
      <w:r>
        <w:rPr>
          <w:rFonts w:ascii="仿宋_GB2312" w:eastAsia="仿宋_GB2312" w:cs="仿宋_GB2312" w:hAnsi="仿宋_GB2312" w:hint="eastAsia"/>
          <w:bCs/>
          <w:sz w:val="32"/>
          <w:szCs w:val="32"/>
        </w:rPr>
        <w:t>万元。主要涉及盘龙二小学校。</w:t>
      </w:r>
    </w:p>
    <w:p>
      <w:pPr>
        <w:adjustRightInd w:val="0"/>
        <w:snapToGrid w:val="0"/>
        <w:spacing w:line="55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该项目</w:t>
      </w:r>
      <w:r>
        <w:rPr>
          <w:rFonts w:ascii="仿宋_GB2312" w:eastAsia="仿宋_GB2312" w:cs="仿宋_GB2312" w:hAnsi="仿宋_GB2312" w:hint="eastAsia"/>
          <w:sz w:val="32"/>
          <w:szCs w:val="32"/>
          <w:lang w:val="zh-CN"/>
        </w:rPr>
        <w:t>申报内容</w:t>
      </w:r>
      <w:r>
        <w:rPr>
          <w:rFonts w:ascii="仿宋_GB2312" w:eastAsia="仿宋_GB2312" w:cs="仿宋_GB2312" w:hAnsi="仿宋_GB2312" w:hint="eastAsia"/>
          <w:sz w:val="32"/>
          <w:szCs w:val="32"/>
        </w:rPr>
        <w:t>与</w:t>
      </w:r>
      <w:r>
        <w:rPr>
          <w:rFonts w:ascii="仿宋_GB2312" w:eastAsia="仿宋_GB2312" w:cs="仿宋_GB2312" w:hAnsi="仿宋_GB2312" w:hint="eastAsia"/>
          <w:sz w:val="32"/>
          <w:szCs w:val="32"/>
          <w:lang w:val="zh-CN"/>
        </w:rPr>
        <w:t>具体实施内容相符，</w:t>
      </w:r>
      <w:r>
        <w:rPr>
          <w:rFonts w:ascii="仿宋_GB2312" w:eastAsia="仿宋_GB2312" w:cs="仿宋_GB2312" w:hAnsi="仿宋_GB2312" w:hint="eastAsia"/>
          <w:sz w:val="32"/>
          <w:szCs w:val="32"/>
        </w:rPr>
        <w:t>不存在改变项目资金用途的现象，</w:t>
      </w:r>
      <w:r>
        <w:rPr>
          <w:rFonts w:ascii="仿宋_GB2312" w:eastAsia="仿宋_GB2312" w:cs="仿宋_GB2312" w:hAnsi="仿宋_GB2312" w:hint="eastAsia"/>
          <w:sz w:val="32"/>
          <w:szCs w:val="32"/>
          <w:lang w:val="zh-CN"/>
        </w:rPr>
        <w:t>申报目标合理可行。</w:t>
      </w:r>
    </w:p>
    <w:p>
      <w:pPr>
        <w:adjustRightInd w:val="0"/>
        <w:snapToGrid w:val="0"/>
        <w:spacing w:line="550" w:lineRule="exact"/>
        <w:ind w:firstLineChars="200" w:firstLine="64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5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（一）资金计划、到位及使用情况</w:t>
      </w:r>
    </w:p>
    <w:p>
      <w:pPr>
        <w:adjustRightInd w:val="0"/>
        <w:snapToGrid w:val="0"/>
        <w:spacing w:line="550"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1．资金计划及到位。</w:t>
      </w:r>
    </w:p>
    <w:p>
      <w:pPr>
        <w:adjustRightInd w:val="0"/>
        <w:snapToGrid w:val="0"/>
        <w:spacing w:line="55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2021年年初将该项目资金纳入区级财政资金预算，并及时下达该项目资金，资金到位及时，</w:t>
      </w:r>
      <w:r>
        <w:rPr>
          <w:rFonts w:ascii="仿宋_GB2312" w:eastAsia="仿宋_GB2312" w:cs="仿宋_GB2312" w:hAnsi="仿宋_GB2312" w:hint="eastAsia"/>
          <w:sz w:val="32"/>
          <w:szCs w:val="32"/>
          <w:lang w:val="zh-CN"/>
        </w:rPr>
        <w:t>资金到位率</w:t>
      </w:r>
      <w:r>
        <w:rPr>
          <w:rFonts w:ascii="仿宋_GB2312" w:eastAsia="仿宋_GB2312" w:cs="仿宋_GB2312" w:hAnsi="仿宋_GB2312" w:hint="eastAsia"/>
          <w:sz w:val="32"/>
          <w:szCs w:val="32"/>
        </w:rPr>
        <w:t>100%。</w:t>
      </w:r>
    </w:p>
    <w:p>
      <w:pPr>
        <w:adjustRightInd w:val="0"/>
        <w:snapToGrid w:val="0"/>
        <w:spacing w:line="550"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资金使用。</w:t>
      </w:r>
    </w:p>
    <w:p>
      <w:pPr>
        <w:adjustRightInd w:val="0"/>
        <w:snapToGrid w:val="0"/>
        <w:spacing w:line="550" w:lineRule="exact"/>
        <w:ind w:firstLineChars="200" w:firstLine="640"/>
        <w:jc w:val="lef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在校舍维修资金使用过程中，我</w:t>
      </w:r>
      <w:r>
        <w:rPr>
          <w:rFonts w:ascii="仿宋_GB2312" w:eastAsia="仿宋_GB2312" w:cs="仿宋_GB2312" w:hAnsi="仿宋_GB2312" w:hint="eastAsia"/>
          <w:sz w:val="32"/>
          <w:szCs w:val="32"/>
        </w:rPr>
        <w:t>校</w:t>
      </w:r>
      <w:r>
        <w:rPr>
          <w:rFonts w:ascii="仿宋_GB2312" w:eastAsia="仿宋_GB2312" w:cs="仿宋_GB2312" w:hAnsi="仿宋_GB2312" w:hint="eastAsia"/>
          <w:sz w:val="32"/>
          <w:szCs w:val="32"/>
          <w:lang w:val="zh-CN"/>
        </w:rPr>
        <w:t>坚持专款专用，设立校舍维修资金专帐，不挤占、不挪用。坚持校舍维修资金项目预算申报制度，对需要从校舍维修资金中列支的项目，年初做出预算申报。坚持工程质量跟踪管理制度，确保工程项目质量。2</w:t>
      </w:r>
      <w:r>
        <w:rPr>
          <w:rFonts w:ascii="仿宋_GB2312" w:eastAsia="仿宋_GB2312" w:cs="仿宋_GB2312" w:hAnsi="仿宋_GB2312" w:hint="eastAsia"/>
          <w:sz w:val="32"/>
          <w:szCs w:val="32"/>
        </w:rPr>
        <w:t>021</w:t>
      </w:r>
      <w:r>
        <w:rPr>
          <w:rFonts w:ascii="仿宋_GB2312" w:eastAsia="仿宋_GB2312" w:cs="仿宋_GB2312" w:hAnsi="仿宋_GB2312" w:hint="eastAsia"/>
          <w:sz w:val="32"/>
          <w:szCs w:val="32"/>
          <w:lang w:val="zh-CN"/>
        </w:rPr>
        <w:t>年,校舍维修资金中列支</w:t>
      </w:r>
      <w:r>
        <w:rPr>
          <w:rFonts w:ascii="仿宋_GB2312" w:eastAsia="仿宋_GB2312" w:cs="仿宋_GB2312" w:hAnsi="仿宋_GB2312" w:hint="eastAsia"/>
          <w:sz w:val="32"/>
          <w:szCs w:val="32"/>
        </w:rPr>
        <w:t>60</w:t>
      </w:r>
      <w:r>
        <w:rPr>
          <w:rFonts w:ascii="仿宋_GB2312" w:eastAsia="仿宋_GB2312" w:cs="仿宋_GB2312" w:hAnsi="仿宋_GB2312" w:hint="eastAsia"/>
          <w:sz w:val="32"/>
          <w:szCs w:val="32"/>
          <w:lang w:val="zh-CN"/>
        </w:rPr>
        <w:t>万元。用于</w:t>
      </w:r>
      <w:r>
        <w:rPr>
          <w:rFonts w:ascii="仿宋_GB2312" w:eastAsia="仿宋_GB2312" w:cs="仿宋_GB2312" w:hAnsi="仿宋_GB2312" w:hint="eastAsia"/>
          <w:sz w:val="32"/>
          <w:szCs w:val="32"/>
        </w:rPr>
        <w:t>盘龙二小</w:t>
      </w:r>
      <w:r>
        <w:rPr>
          <w:rFonts w:ascii="仿宋_GB2312" w:eastAsia="仿宋_GB2312" w:cs="仿宋_GB2312" w:hAnsi="仿宋_GB2312" w:hint="eastAsia"/>
          <w:sz w:val="32"/>
          <w:szCs w:val="32"/>
          <w:lang w:val="zh-CN"/>
        </w:rPr>
        <w:t>校舍维修资金项目，使用资金</w:t>
      </w:r>
      <w:r>
        <w:rPr>
          <w:rFonts w:ascii="仿宋_GB2312" w:eastAsia="仿宋_GB2312" w:cs="仿宋_GB2312" w:hAnsi="仿宋_GB2312" w:hint="eastAsia"/>
          <w:sz w:val="32"/>
          <w:szCs w:val="32"/>
        </w:rPr>
        <w:t>60万元</w:t>
      </w:r>
      <w:r>
        <w:rPr>
          <w:rFonts w:ascii="仿宋_GB2312" w:eastAsia="仿宋_GB2312" w:cs="仿宋_GB2312" w:hAnsi="仿宋_GB2312" w:hint="eastAsia"/>
          <w:sz w:val="32"/>
          <w:szCs w:val="32"/>
          <w:lang w:val="zh-CN"/>
        </w:rPr>
        <w:t>。</w:t>
      </w:r>
    </w:p>
    <w:p>
      <w:pPr>
        <w:adjustRightInd w:val="0"/>
        <w:snapToGrid w:val="0"/>
        <w:spacing w:line="55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（二）项目财务管理情况</w:t>
      </w:r>
    </w:p>
    <w:p>
      <w:pPr>
        <w:adjustRightInd w:val="0"/>
        <w:snapToGrid w:val="0"/>
        <w:spacing w:line="550"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rPr>
        <w:t>项目财务管理制度建设健全、机构设置合理合规、会计核算及账务处理合理。该项目严格执行财务管理制度、财务处理及时、会计核算规范。</w:t>
      </w:r>
    </w:p>
    <w:p>
      <w:pPr>
        <w:adjustRightInd w:val="0"/>
        <w:snapToGrid w:val="0"/>
        <w:spacing w:line="55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（三）项目组织实施情况</w:t>
      </w:r>
    </w:p>
    <w:p>
      <w:pPr>
        <w:adjustRightInd w:val="0"/>
        <w:snapToGrid w:val="0"/>
        <w:spacing w:line="550"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利州区教育局成立了区计财股为主体的财务工作领导小组，指导和检查资金的使用情况，经检查，该专项资金使用合法合规，严格执行相关资金管理制度。</w:t>
      </w:r>
    </w:p>
    <w:p>
      <w:pPr>
        <w:adjustRightInd w:val="0"/>
        <w:snapToGrid w:val="0"/>
        <w:spacing w:line="550" w:lineRule="exact"/>
        <w:ind w:firstLineChars="200" w:firstLine="640"/>
        <w:rPr>
          <w:rFonts w:ascii="黑体" w:eastAsia="黑体" w:cs="黑体" w:hAnsi="黑体"/>
          <w:bCs/>
          <w:sz w:val="32"/>
          <w:szCs w:val="32"/>
        </w:rPr>
      </w:pPr>
      <w:r>
        <w:rPr>
          <w:rFonts w:ascii="黑体" w:eastAsia="黑体" w:cs="黑体" w:hAnsi="黑体" w:hint="eastAsia"/>
          <w:bCs/>
          <w:sz w:val="32"/>
          <w:szCs w:val="32"/>
        </w:rPr>
        <w:t>三、项目绩效情况</w:t>
      </w:r>
    </w:p>
    <w:p>
      <w:pPr>
        <w:adjustRightInd w:val="0"/>
        <w:snapToGrid w:val="0"/>
        <w:spacing w:line="55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（一）项目完成情况</w:t>
      </w:r>
    </w:p>
    <w:p>
      <w:pPr>
        <w:adjustRightInd w:val="0"/>
        <w:snapToGrid w:val="0"/>
        <w:spacing w:line="550"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1.完成</w:t>
      </w:r>
      <w:r>
        <w:rPr>
          <w:rFonts w:ascii="仿宋" w:eastAsia="仿宋" w:cs="仿宋" w:hAnsi="仿宋" w:hint="eastAsia"/>
          <w:sz w:val="32"/>
          <w:szCs w:val="32"/>
        </w:rPr>
        <w:t>盘龙二小</w:t>
      </w:r>
      <w:r>
        <w:rPr>
          <w:rFonts w:ascii="仿宋_GB2312" w:eastAsia="仿宋_GB2312" w:cs="仿宋_GB2312" w:hAnsi="仿宋_GB2312" w:hint="eastAsia"/>
          <w:sz w:val="32"/>
          <w:szCs w:val="32"/>
          <w:lang w:val="zh-CN"/>
        </w:rPr>
        <w:t>校舍维修</w:t>
      </w:r>
      <w:r>
        <w:rPr>
          <w:rFonts w:ascii="仿宋_GB2312" w:eastAsia="仿宋_GB2312" w:cs="仿宋_GB2312" w:hAnsi="仿宋_GB2312" w:hint="eastAsia"/>
          <w:bCs/>
          <w:sz w:val="32"/>
          <w:szCs w:val="32"/>
        </w:rPr>
        <w:t>。</w:t>
      </w:r>
    </w:p>
    <w:p>
      <w:pPr>
        <w:adjustRightInd w:val="0"/>
        <w:snapToGrid w:val="0"/>
        <w:spacing w:line="550" w:lineRule="exact"/>
        <w:ind w:firstLineChars="200" w:firstLine="640"/>
        <w:rPr>
          <w:rFonts w:ascii="仿宋_GB2312" w:eastAsia="仿宋_GB2312" w:cs="仿宋_GB2312" w:hAnsi="仿宋_GB2312"/>
          <w:bCs/>
          <w:spacing w:val="-6"/>
          <w:sz w:val="32"/>
          <w:szCs w:val="32"/>
        </w:rPr>
      </w:pPr>
      <w:r>
        <w:rPr>
          <w:rFonts w:ascii="仿宋_GB2312" w:eastAsia="仿宋_GB2312" w:cs="仿宋_GB2312" w:hAnsi="仿宋_GB2312" w:hint="eastAsia"/>
          <w:bCs/>
          <w:sz w:val="32"/>
          <w:szCs w:val="32"/>
        </w:rPr>
        <w:t>2</w:t>
      </w:r>
      <w:r>
        <w:rPr>
          <w:rFonts w:ascii="仿宋_GB2312" w:eastAsia="仿宋_GB2312" w:cs="仿宋_GB2312" w:hAnsi="仿宋_GB2312" w:hint="eastAsia"/>
          <w:bCs/>
          <w:spacing w:val="-6"/>
          <w:sz w:val="32"/>
          <w:szCs w:val="32"/>
        </w:rPr>
        <w:t>021年12月底已按年初制订的</w:t>
      </w:r>
      <w:r>
        <w:rPr>
          <w:rFonts w:ascii="仿宋_GB2312" w:eastAsia="仿宋_GB2312" w:cs="仿宋_GB2312" w:hAnsi="仿宋_GB2312" w:hint="eastAsia"/>
          <w:spacing w:val="-6"/>
          <w:sz w:val="32"/>
          <w:szCs w:val="32"/>
          <w:lang w:val="zh-CN"/>
        </w:rPr>
        <w:t>实施进度计划</w:t>
      </w:r>
      <w:r>
        <w:rPr>
          <w:rFonts w:ascii="仿宋_GB2312" w:eastAsia="仿宋_GB2312" w:cs="仿宋_GB2312" w:hAnsi="仿宋_GB2312" w:hint="eastAsia"/>
          <w:spacing w:val="-6"/>
          <w:sz w:val="32"/>
          <w:szCs w:val="32"/>
        </w:rPr>
        <w:t>分步顺利完成。</w:t>
      </w:r>
    </w:p>
    <w:p>
      <w:pPr>
        <w:adjustRightInd w:val="0"/>
        <w:snapToGrid w:val="0"/>
        <w:spacing w:line="550"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（二）项目效益情况</w:t>
      </w:r>
    </w:p>
    <w:p>
      <w:pPr>
        <w:adjustRightInd w:val="0"/>
        <w:snapToGrid w:val="0"/>
        <w:spacing w:line="550"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一是切实减轻家庭教育负担；二是有效解决城区学生入学难的问题；三是在校家长满意率95%。解决学生就读环境改善。</w:t>
      </w:r>
    </w:p>
    <w:p>
      <w:pPr>
        <w:adjustRightInd w:val="0"/>
        <w:snapToGrid w:val="0"/>
        <w:spacing w:line="550"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napToGrid w:val="0"/>
        <w:spacing w:line="550"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加大政策的宣传力度，让家长认识到政府对基础教育投入，解决学生入学难的问题。</w:t>
      </w:r>
    </w:p>
    <w:p>
      <w:pPr>
        <w:pStyle w:val="15"/>
        <w:snapToGrid w:val="0"/>
        <w:spacing w:beforeLines="0" w:before="30" w:line="550" w:lineRule="exact"/>
        <w:ind w:firstLineChars="200" w:firstLine="640"/>
        <w:rPr>
          <w:rFonts w:cs="仿宋_GB2312" w:hAnsi="仿宋_GB2312"/>
          <w:bCs/>
          <w:sz w:val="32"/>
          <w:szCs w:val="32"/>
        </w:rPr>
      </w:pPr>
    </w:p>
    <w:p>
      <w:pPr>
        <w:adjustRightInd w:val="0"/>
        <w:snapToGrid w:val="0"/>
        <w:spacing w:line="560" w:lineRule="exact"/>
        <w:ind w:firstLineChars="200" w:firstLine="640"/>
        <w:rPr>
          <w:rFonts w:ascii="仿宋_GB2312" w:eastAsia="仿宋_GB2312" w:cs="仿宋_GB2312" w:hAnsi="仿宋_GB2312"/>
          <w:bCs/>
          <w:sz w:val="32"/>
          <w:szCs w:val="32"/>
        </w:rPr>
      </w:pPr>
    </w:p>
    <w:p>
      <w:pPr>
        <w:pStyle w:val="34"/>
        <w:spacing w:beforeLines="100" w:before="240" w:line="560" w:lineRule="exact"/>
        <w:jc w:val="center"/>
        <w:rPr>
          <w:rFonts w:ascii="黑体" w:eastAsia="黑体" w:cs="黑体" w:hAnsi="黑体"/>
          <w:b/>
          <w:sz w:val="36"/>
          <w:szCs w:val="36"/>
        </w:rPr>
      </w:pPr>
      <w:r>
        <w:rPr>
          <w:rFonts w:ascii="黑体" w:eastAsia="黑体" w:cs="黑体" w:hAnsi="黑体" w:hint="eastAsia"/>
          <w:b/>
          <w:sz w:val="36"/>
          <w:szCs w:val="36"/>
        </w:rPr>
        <w:t>2、对家庭经济困难寄宿学生生活补助项目支出绩效自评报告</w:t>
      </w:r>
    </w:p>
    <w:p>
      <w:pPr>
        <w:spacing w:line="458" w:lineRule="auto"/>
        <w:rPr>
          <w:rFonts w:ascii="Malgun Gothic" w:hAnsi="Malgun Gothic"/>
        </w:rPr>
      </w:pPr>
    </w:p>
    <w:p>
      <w:pPr>
        <w:adjustRightInd w:val="0"/>
        <w:snapToGrid w:val="0"/>
        <w:spacing w:line="560" w:lineRule="exact"/>
        <w:ind w:firstLineChars="200" w:firstLine="640"/>
        <w:rPr>
          <w:rFonts w:ascii="黑体" w:eastAsia="黑体" w:cs="黑体" w:hAnsi="黑体"/>
          <w:bCs/>
          <w:sz w:val="32"/>
          <w:szCs w:val="32"/>
        </w:rPr>
      </w:pPr>
      <w:r>
        <w:rPr>
          <w:rFonts w:ascii="黑体" w:eastAsia="黑体" w:cs="黑体" w:hAnsi="黑体" w:hint="eastAsia"/>
          <w:bCs/>
          <w:sz w:val="32"/>
          <w:szCs w:val="32"/>
        </w:rPr>
        <w:t>一、重大政策或项目基本情况</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根据广元市人民政府关于进一步完善城乡义务教育经费保障机制的实施意见广府办发（2017） 36 号的要求，利州区全面推行“三免一补政策”，更好的满足社会需求，减轻家庭经济负担，保障家庭经济困难学生能够顺利完成义务教育。</w:t>
      </w:r>
    </w:p>
    <w:p>
      <w:pPr>
        <w:adjustRightInd w:val="0"/>
        <w:snapToGrid w:val="0"/>
        <w:spacing w:line="560" w:lineRule="exact"/>
        <w:ind w:firstLineChars="200" w:firstLine="640"/>
        <w:rPr>
          <w:rFonts w:ascii="黑体" w:eastAsia="黑体" w:cs="黑体" w:hAnsi="黑体"/>
          <w:bCs/>
          <w:sz w:val="32"/>
          <w:szCs w:val="32"/>
        </w:rPr>
      </w:pPr>
      <w:r>
        <w:rPr>
          <w:rFonts w:ascii="黑体" w:eastAsia="黑体" w:cs="黑体" w:hAnsi="黑体" w:hint="eastAsia"/>
          <w:bCs/>
          <w:sz w:val="32"/>
          <w:szCs w:val="32"/>
        </w:rPr>
        <w:t>二、立项必要性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利州区学前教育以“乡镇公办为主，城区公民办并举， 分类规划，分层建设，同步推进”的发展思路，切实规范办 学行为，提高教育质量，逐步形成了覆盖城乡、群众满意的 教育公共服务体系。按照中央、省、市的相关政策,义务教 育家庭经济困难学生享受寄宿生活补助。区教育局和县财政局密切配合,对补助人数进行育经费开支的范围和标准，经费支出规范、合理，无虚列、 虚报冒领和挤占挪用现象，票据规范、合法有效。财务信息公开透明，对预算批复，主动公示并接受师生和群众监督。 在区财政和教育主管部门定期组织对学校经费使用情况的检查、审计中未发现重大违规、违纪现象。</w:t>
      </w:r>
    </w:p>
    <w:p>
      <w:pPr>
        <w:adjustRightInd w:val="0"/>
        <w:snapToGrid w:val="0"/>
        <w:spacing w:line="560" w:lineRule="exact"/>
        <w:ind w:firstLineChars="200" w:firstLine="640"/>
        <w:rPr>
          <w:rFonts w:ascii="黑体" w:eastAsia="黑体" w:cs="黑体" w:hAnsi="黑体"/>
          <w:bCs/>
          <w:sz w:val="32"/>
          <w:szCs w:val="32"/>
        </w:rPr>
      </w:pPr>
      <w:r>
        <w:rPr>
          <w:rFonts w:ascii="黑体" w:eastAsia="黑体" w:cs="黑体" w:hAnsi="黑体" w:hint="eastAsia"/>
          <w:bCs/>
          <w:sz w:val="32"/>
          <w:szCs w:val="32"/>
        </w:rPr>
        <w:t>三、绩效目标合理性</w:t>
      </w:r>
    </w:p>
    <w:p>
      <w:pPr>
        <w:snapToGrid w:val="0"/>
        <w:spacing w:line="560" w:lineRule="exact"/>
        <w:ind w:firstLineChars="200" w:firstLine="640"/>
        <w:rPr>
          <w:rFonts w:ascii="楷体" w:eastAsia="楷体" w:cs="楷体" w:hAnsi="楷体"/>
          <w:sz w:val="32"/>
          <w:szCs w:val="32"/>
        </w:rPr>
      </w:pPr>
      <w:r>
        <w:rPr>
          <w:rFonts w:ascii="楷体" w:eastAsia="楷体" w:cs="楷体" w:hAnsi="楷体" w:hint="eastAsia"/>
          <w:sz w:val="32"/>
          <w:szCs w:val="32"/>
        </w:rPr>
        <w:t>（一）绩效目标设置情况</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绩效评价指标是指衡量绩效目标实现程度的考核工具。绩效评价指标的确定应当遵循以下原则： 相关性原则、重要性原则、可比性原则、系统性原则、经济性原则。绩效评价指标分为共性指标和个性指标，共性指标由财政部门统一制 定个性指标由财政部门会同预算部门制定。</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被评价项目绩效评价指标体系设置 3个一级指标、8个二级指标、23 个三级指标。</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1</w:t>
      </w:r>
      <w:r>
        <w:rPr>
          <w:rFonts w:ascii="仿宋" w:eastAsia="仿宋" w:cs="仿宋" w:hAnsi="仿宋" w:hint="eastAsia"/>
          <w:sz w:val="32"/>
          <w:szCs w:val="32"/>
        </w:rPr>
        <w:t>.</w:t>
      </w:r>
      <w:r>
        <w:rPr>
          <w:rFonts w:ascii="仿宋" w:eastAsia="仿宋" w:cs="仿宋" w:hAnsi="仿宋"/>
          <w:sz w:val="32"/>
          <w:szCs w:val="32"/>
        </w:rPr>
        <w:t>一级指标：设置项目完成、项目效益、满意度指标3个 。</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2</w:t>
      </w:r>
      <w:r>
        <w:rPr>
          <w:rFonts w:ascii="仿宋" w:eastAsia="仿宋" w:cs="仿宋" w:hAnsi="仿宋" w:hint="eastAsia"/>
          <w:sz w:val="32"/>
          <w:szCs w:val="32"/>
        </w:rPr>
        <w:t>.</w:t>
      </w:r>
      <w:r>
        <w:rPr>
          <w:rFonts w:ascii="仿宋" w:eastAsia="仿宋" w:cs="仿宋" w:hAnsi="仿宋"/>
          <w:sz w:val="32"/>
          <w:szCs w:val="32"/>
        </w:rPr>
        <w:t>二级指标：项目完成设置数量目标、质量指标、时效指标、成本指标4个，项目效益设置社会效益、经济效益和可持续影响指标3个，满意度指标设置服务对象满意度指标1个。</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3</w:t>
      </w:r>
      <w:r>
        <w:rPr>
          <w:rFonts w:ascii="仿宋" w:eastAsia="仿宋" w:cs="仿宋" w:hAnsi="仿宋" w:hint="eastAsia"/>
          <w:sz w:val="32"/>
          <w:szCs w:val="32"/>
        </w:rPr>
        <w:t>.</w:t>
      </w:r>
      <w:r>
        <w:rPr>
          <w:rFonts w:ascii="仿宋" w:eastAsia="仿宋" w:cs="仿宋" w:hAnsi="仿宋"/>
          <w:sz w:val="32"/>
          <w:szCs w:val="32"/>
        </w:rPr>
        <w:t>三级指标：数量指标设置小学阶段补助人数等指标3个，质量指标设置建档立卡贫困家庭学生占补助学生比例等指标3个； 时效指标设置 2022年11月秋季补助兑付到位等指标2个； 成本指标设置义务教育阶段小学寄宿学生每学年人均补助标准补助标准等指标4个； 社会效益设置义务教育阶段寄宿学生得到补助的比例等指标2个；可持续影响指标设置小学教育学生受助年限等指标2个；社会满意度指标设置义务教育学校教师满意度等指标3个。</w:t>
      </w:r>
    </w:p>
    <w:p>
      <w:pPr>
        <w:snapToGrid w:val="0"/>
        <w:spacing w:line="560" w:lineRule="exact"/>
        <w:ind w:firstLineChars="200" w:firstLine="640"/>
        <w:rPr>
          <w:rFonts w:ascii="楷体" w:eastAsia="楷体" w:cs="楷体" w:hAnsi="楷体"/>
          <w:sz w:val="32"/>
          <w:szCs w:val="32"/>
        </w:rPr>
      </w:pPr>
      <w:r>
        <w:rPr>
          <w:rFonts w:ascii="楷体" w:eastAsia="楷体" w:cs="楷体" w:hAnsi="楷体" w:hint="eastAsia"/>
          <w:sz w:val="32"/>
          <w:szCs w:val="32"/>
        </w:rPr>
        <w:t>（二）绩效指标合理性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该项目绩效评价指标设置完整、科学、合理，各项绩效 指标可量化可考核，契合政策或项目实质，符合部门的长期 规划目标和年度工作目标要求。</w:t>
      </w:r>
    </w:p>
    <w:p>
      <w:pPr>
        <w:adjustRightInd w:val="0"/>
        <w:snapToGrid w:val="0"/>
        <w:spacing w:line="560" w:lineRule="exact"/>
        <w:ind w:firstLineChars="200" w:firstLine="640"/>
        <w:rPr>
          <w:rFonts w:ascii="黑体" w:eastAsia="黑体" w:cs="黑体" w:hAnsi="黑体"/>
          <w:bCs/>
          <w:sz w:val="32"/>
          <w:szCs w:val="32"/>
        </w:rPr>
      </w:pPr>
      <w:r>
        <w:rPr>
          <w:rFonts w:ascii="黑体" w:eastAsia="黑体" w:cs="黑体" w:hAnsi="黑体" w:hint="eastAsia"/>
          <w:bCs/>
          <w:sz w:val="32"/>
          <w:szCs w:val="32"/>
        </w:rPr>
        <w:t>四、实施方案可行性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为保障该项目顺利实施，我</w:t>
      </w:r>
      <w:r>
        <w:rPr>
          <w:rFonts w:ascii="仿宋" w:eastAsia="仿宋" w:cs="仿宋" w:hAnsi="仿宋" w:hint="eastAsia"/>
          <w:sz w:val="32"/>
          <w:szCs w:val="32"/>
        </w:rPr>
        <w:t>校</w:t>
      </w:r>
      <w:r>
        <w:rPr>
          <w:rFonts w:ascii="仿宋" w:eastAsia="仿宋" w:cs="仿宋" w:hAnsi="仿宋"/>
          <w:sz w:val="32"/>
          <w:szCs w:val="32"/>
        </w:rPr>
        <w:t>成立了以党组书记、</w:t>
      </w:r>
      <w:r>
        <w:rPr>
          <w:rFonts w:ascii="仿宋" w:eastAsia="仿宋" w:cs="仿宋" w:hAnsi="仿宋" w:hint="eastAsia"/>
          <w:sz w:val="32"/>
          <w:szCs w:val="32"/>
        </w:rPr>
        <w:t>校长</w:t>
      </w:r>
      <w:r>
        <w:rPr>
          <w:rFonts w:ascii="仿宋" w:eastAsia="仿宋" w:cs="仿宋" w:hAnsi="仿宋"/>
          <w:sz w:val="32"/>
          <w:szCs w:val="32"/>
        </w:rPr>
        <w:t>任组长，班子成员任副组长，各</w:t>
      </w:r>
      <w:r>
        <w:rPr>
          <w:rFonts w:ascii="仿宋" w:eastAsia="仿宋" w:cs="仿宋" w:hAnsi="仿宋" w:hint="eastAsia"/>
          <w:sz w:val="32"/>
          <w:szCs w:val="32"/>
        </w:rPr>
        <w:t>班主任</w:t>
      </w:r>
      <w:r>
        <w:rPr>
          <w:rFonts w:ascii="仿宋" w:eastAsia="仿宋" w:cs="仿宋" w:hAnsi="仿宋"/>
          <w:sz w:val="32"/>
          <w:szCs w:val="32"/>
        </w:rPr>
        <w:t>为成员的工作领导小组，将项目实施的各项绩效目标纳入部门年度工作计划，并要求严格执行国家、省和市、区教育经费开支的范围和标准，资金总量严格控制在预算标准内，经费支出规范、合理。</w:t>
      </w:r>
    </w:p>
    <w:p>
      <w:pPr>
        <w:adjustRightInd w:val="0"/>
        <w:snapToGrid w:val="0"/>
        <w:spacing w:line="560" w:lineRule="exact"/>
        <w:ind w:firstLineChars="200" w:firstLine="640"/>
        <w:rPr>
          <w:rFonts w:ascii="黑体" w:eastAsia="黑体" w:cs="黑体" w:hAnsi="黑体"/>
          <w:bCs/>
          <w:sz w:val="32"/>
          <w:szCs w:val="32"/>
        </w:rPr>
      </w:pPr>
      <w:r>
        <w:rPr>
          <w:rFonts w:ascii="黑体" w:eastAsia="黑体" w:cs="黑体" w:hAnsi="黑体" w:hint="eastAsia"/>
          <w:bCs/>
          <w:sz w:val="32"/>
          <w:szCs w:val="32"/>
        </w:rPr>
        <w:t>五、筹资合规性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该项目为公益性项目，属于公共财政支持范围，所需资金有财政预算全额保障。</w:t>
      </w:r>
    </w:p>
    <w:p>
      <w:pPr>
        <w:adjustRightInd w:val="0"/>
        <w:snapToGrid w:val="0"/>
        <w:spacing w:line="560" w:lineRule="exact"/>
        <w:ind w:firstLineChars="200" w:firstLine="640"/>
        <w:rPr>
          <w:rFonts w:ascii="黑体" w:eastAsia="黑体" w:cs="黑体" w:hAnsi="黑体"/>
          <w:bCs/>
          <w:sz w:val="32"/>
          <w:szCs w:val="32"/>
        </w:rPr>
      </w:pPr>
      <w:r>
        <w:rPr>
          <w:rFonts w:ascii="黑体" w:eastAsia="黑体" w:cs="黑体" w:hAnsi="黑体" w:hint="eastAsia"/>
          <w:bCs/>
          <w:sz w:val="32"/>
          <w:szCs w:val="32"/>
        </w:rPr>
        <w:t>六、可持续性分析</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相关资金纳入部门预算，经费的来源能够得到有效保障。区教育局为合理、有效、规范使用专项资金，根据国家统一的财务制度，制订了《学校财务管理制度》等规范性文件。规范了财务管理，确保经费使用合规合法。</w:t>
      </w:r>
    </w:p>
    <w:p>
      <w:pPr>
        <w:adjustRightInd w:val="0"/>
        <w:snapToGrid w:val="0"/>
        <w:spacing w:line="560" w:lineRule="exact"/>
        <w:ind w:firstLineChars="200" w:firstLine="640"/>
        <w:rPr>
          <w:rFonts w:ascii="黑体" w:eastAsia="黑体" w:cs="黑体" w:hAnsi="黑体"/>
          <w:bCs/>
          <w:sz w:val="32"/>
          <w:szCs w:val="32"/>
        </w:rPr>
      </w:pPr>
      <w:r>
        <w:rPr>
          <w:rFonts w:ascii="黑体" w:eastAsia="黑体" w:cs="黑体" w:hAnsi="黑体" w:hint="eastAsia"/>
          <w:bCs/>
          <w:sz w:val="32"/>
          <w:szCs w:val="32"/>
        </w:rPr>
        <w:t>七、其他需要说明的内容</w:t>
      </w:r>
    </w:p>
    <w:p>
      <w:pPr>
        <w:adjustRightInd w:val="0"/>
        <w:snapToGrid w:val="0"/>
        <w:spacing w:line="560" w:lineRule="exact"/>
        <w:ind w:firstLineChars="200" w:firstLine="640"/>
        <w:rPr>
          <w:rFonts w:ascii="黑体" w:eastAsia="黑体" w:cs="黑体" w:hAnsi="黑体"/>
          <w:bCs/>
          <w:sz w:val="32"/>
          <w:szCs w:val="32"/>
        </w:rPr>
        <w:sectPr>
          <w:footerReference w:type="default" r:id="rId11"/>
          <w:type w:val="continuous"/>
          <w:pgSz w:w="11906" w:h="16838"/>
          <w:pgMar w:top="1701" w:right="1474" w:bottom="1701" w:left="1587" w:header="0" w:footer="1304" w:gutter="0"/>
          <w:cols w:num="1" w:space="720"/>
          <w:docGrid w:linePitch="286" w:charSpace="0"/>
        </w:sectPr>
      </w:pPr>
    </w:p>
    <w:p>
      <w:pPr>
        <w:adjustRightInd w:val="0"/>
        <w:snapToGrid w:val="0"/>
        <w:spacing w:line="560" w:lineRule="exact"/>
        <w:ind w:firstLineChars="200" w:firstLine="640"/>
        <w:rPr>
          <w:rFonts w:ascii="黑体" w:eastAsia="黑体" w:cs="黑体" w:hAnsi="黑体"/>
          <w:bCs/>
          <w:sz w:val="32"/>
          <w:szCs w:val="32"/>
        </w:rPr>
      </w:pPr>
      <w:r>
        <w:rPr>
          <w:rFonts w:ascii="黑体" w:eastAsia="黑体" w:cs="黑体" w:hAnsi="黑体" w:hint="eastAsia"/>
          <w:bCs/>
          <w:sz w:val="32"/>
          <w:szCs w:val="32"/>
        </w:rPr>
        <w:t>八、综合评估结论</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该项目总体评价得分为 89 分，评估等级为“良”。预期产出和效果充分满足利州区学前教育发展的相关需求。</w:t>
      </w:r>
    </w:p>
    <w:p>
      <w:pPr>
        <w:snapToGrid w:val="0"/>
        <w:spacing w:line="560" w:lineRule="exact"/>
        <w:ind w:firstLineChars="200" w:firstLine="640"/>
        <w:rPr>
          <w:rFonts w:ascii="仿宋" w:eastAsia="仿宋" w:cs="仿宋" w:hAnsi="仿宋"/>
          <w:sz w:val="32"/>
          <w:szCs w:val="32"/>
        </w:rPr>
      </w:pPr>
    </w:p>
    <w:p>
      <w:pPr>
        <w:pStyle w:val="34"/>
        <w:snapToGrid w:val="0"/>
        <w:spacing w:line="560" w:lineRule="exact"/>
        <w:jc w:val="center"/>
        <w:rPr>
          <w:rFonts w:ascii="黑体" w:eastAsia="黑体" w:cs="黑体" w:hAnsi="黑体"/>
          <w:b/>
          <w:sz w:val="36"/>
          <w:szCs w:val="36"/>
        </w:rPr>
      </w:pPr>
      <w:r>
        <w:rPr>
          <w:rFonts w:ascii="黑体" w:eastAsia="黑体" w:cs="黑体" w:hAnsi="黑体" w:hint="eastAsia"/>
          <w:b/>
          <w:sz w:val="36"/>
          <w:szCs w:val="36"/>
        </w:rPr>
        <w:t>3、城乡义务教育学生免除学杂费绩效自评报告</w:t>
      </w:r>
    </w:p>
    <w:p>
      <w:pPr>
        <w:snapToGrid w:val="0"/>
        <w:spacing w:line="560" w:lineRule="exact"/>
        <w:ind w:firstLineChars="200" w:firstLine="640"/>
        <w:outlineLvl w:val="0"/>
        <w:rPr>
          <w:rFonts w:ascii="仿宋" w:eastAsia="仿宋" w:cs="仿宋" w:hAnsi="仿宋"/>
          <w:sz w:val="32"/>
          <w:szCs w:val="32"/>
          <w14:textOutline w14:w="5753" w14:cap="sq">
            <w14:solidFill>
              <w14:srgbClr w14:val="000000"/>
            </w14:solidFill>
            <w14:prstDash w14:val="solid"/>
            <w14:bevel/>
          </w14:textOutline>
        </w:rPr>
      </w:pP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一、重大政策或项目基本情况</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义务教育是教育工作的重中之重，在全面建成小康社会进程中具有基础性、先导性和全局性的重要作用。自2006年实施农村义务教育经费保障机制改革以来，义务教育逐步纳入公共财政保障范围，城乡免费义务教育全面实现，稳定增长的经费保障机制基本建立，九年义务教育全面普及，县域内义务教育均衡发展水平不断提高。但随着我国新型城镇化建设和户籍制度改革不断推进，学生流动性加大，现行义务教育经费保障机制已不能很好适应新形势要求。城乡义 教育经费保障机制有关政策不统一、经费可携带性不强、资源配置不够均衡、综合改革有待深化等问题，都需要进一步采取措施，切实加以解决。</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在整合农村义务教育经费保障机制和城市义务教育奖补政策的基础上，建立城乡统一、重在农村的义务教育经费保障机制，是教育领域健全城乡发展一体化体制机制的重大举措。这有利于推动省级政府统筹教育改革，优化教育布局，实现城乡义务教育在更高层次的均衡发展，促进教育公平、提高教育质量；有利于深化财税体制改革，推动实现财政转 移支付同农业转移人口市民化挂钩，促进劳动力合理流动</w:t>
      </w:r>
      <w:r>
        <w:rPr>
          <w:rFonts w:ascii="仿宋" w:eastAsia="仿宋" w:cs="仿宋" w:hAnsi="仿宋" w:hint="eastAsia"/>
          <w:sz w:val="32"/>
          <w:szCs w:val="32"/>
        </w:rPr>
        <w:t>，</w:t>
      </w:r>
      <w:r>
        <w:rPr>
          <w:rFonts w:ascii="仿宋" w:eastAsia="仿宋" w:cs="仿宋" w:hAnsi="仿宋"/>
          <w:sz w:val="32"/>
          <w:szCs w:val="32"/>
        </w:rPr>
        <w:t>推动经济结构调整和产业转型升级； 有利于促进基本公共服务均等化，构建社会主义和谐社会，建设人力资源强国。</w:t>
      </w:r>
    </w:p>
    <w:p>
      <w:pPr>
        <w:snapToGrid w:val="0"/>
        <w:spacing w:line="560" w:lineRule="exact"/>
        <w:ind w:firstLineChars="200" w:firstLine="640"/>
        <w:rPr>
          <w:rFonts w:ascii="仿宋" w:eastAsia="仿宋" w:cs="仿宋" w:hAnsi="仿宋"/>
          <w:sz w:val="32"/>
          <w:szCs w:val="32"/>
        </w:rPr>
      </w:pPr>
      <w:r>
        <w:rPr>
          <w:rFonts w:ascii="黑体" w:eastAsia="黑体" w:hAnsi="黑体" w:hint="eastAsia"/>
          <w:sz w:val="32"/>
          <w:szCs w:val="32"/>
        </w:rPr>
        <w:t>二、立项必要性</w:t>
      </w:r>
      <w:r>
        <w:rPr>
          <w:rFonts w:ascii="仿宋" w:eastAsia="仿宋" w:cs="仿宋" w:hAnsi="仿宋"/>
          <w:sz w:val="32"/>
          <w:szCs w:val="32"/>
        </w:rPr>
        <w:t>（主要说明立项依据，评估内容包括是 否符合中央哪些决策部署，是否符合省委、省政府的哪些重 点任务要求、发展规划、优先发展重点以及部门的职能分工， 是否具有现实需求，是否具有明显的经济、社会、环境或可 持续性效益等必要性）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对城乡义务教育学生免除学杂费作为贯彻义务教育经 费保障机制的重要举措，多年来一直得到区委、区政府的大 力关注和支持。其经费用途包括： 保障全区义务教育阶段学 校正常运转、完成教育教学活动和其他日常工作任务等方面 的支出，该经费的具体开支范围是： 教学业务与管理、教学 竞赛、教学质量提升及第三方评价的政府购买服务、办公、会议、印刷、教师培训、实验实习、文体活动、水电、取暖、交通差旅、邮电、教育信息化网络费用、仪器设备及图书资 料等购置、学生课桌凳、床铺、食堂设施设备的零星补充购 置及维修维护，房屋、建筑物、校园内道路、围墙、大门、运动场地、教室内教师讲台及仪器设备的日常维修维护，校 园绿化美化、校园文化建设、学生健康体检、校方责任保险、公务接待费，非财政供养人员经费等。</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三、投入经济性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据测算，城乡义务教育免学杂费补助配套项目义务教育阶段小学生人均补助标准：670 元/年/生，义务教育阶段初中学生人均补助标准：890元/年/生，义务教育寄宿制学校公用经费补助标准 200 元/年/生。</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财务管理制度建设健全、机构设置合理合规、会计核算及账务处理合理。要求下属学校严格按照公用经费管理办支出，做到坚持以服务教育教学为中心，以保障正常开展各项日常教育教学活动为重点，为学校日常运转提供有力保障，财务处理做到及时、核算规范。</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四、绩效目标合理性</w:t>
      </w:r>
    </w:p>
    <w:p>
      <w:pPr>
        <w:snapToGrid w:val="0"/>
        <w:spacing w:line="560" w:lineRule="exact"/>
        <w:ind w:firstLineChars="200" w:firstLine="640"/>
        <w:rPr>
          <w:rFonts w:ascii="楷体" w:eastAsia="楷体" w:cs="楷体" w:hAnsi="楷体"/>
          <w:sz w:val="32"/>
          <w:szCs w:val="32"/>
        </w:rPr>
      </w:pPr>
      <w:r>
        <w:rPr>
          <w:rFonts w:ascii="楷体" w:eastAsia="楷体" w:cs="楷体" w:hAnsi="楷体" w:hint="eastAsia"/>
          <w:sz w:val="32"/>
          <w:szCs w:val="32"/>
        </w:rPr>
        <w:t>（一）绩效目标设置情况</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被评价项目绩效评价指标体系设置3个一级指标、7个二级指标、24 个三级指标。</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1</w:t>
      </w:r>
      <w:r>
        <w:rPr>
          <w:rFonts w:ascii="仿宋" w:eastAsia="仿宋" w:cs="仿宋" w:hAnsi="仿宋" w:hint="eastAsia"/>
          <w:sz w:val="32"/>
          <w:szCs w:val="32"/>
        </w:rPr>
        <w:t>.</w:t>
      </w:r>
      <w:r>
        <w:rPr>
          <w:rFonts w:ascii="仿宋" w:eastAsia="仿宋" w:cs="仿宋" w:hAnsi="仿宋"/>
          <w:sz w:val="32"/>
          <w:szCs w:val="32"/>
        </w:rPr>
        <w:t>一级指标：设置项目完成、项目效益、满意度指标3个。</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2</w:t>
      </w:r>
      <w:r>
        <w:rPr>
          <w:rFonts w:ascii="仿宋" w:eastAsia="仿宋" w:cs="仿宋" w:hAnsi="仿宋" w:hint="eastAsia"/>
          <w:sz w:val="32"/>
          <w:szCs w:val="32"/>
        </w:rPr>
        <w:t>.</w:t>
      </w:r>
      <w:r>
        <w:rPr>
          <w:rFonts w:ascii="仿宋" w:eastAsia="仿宋" w:cs="仿宋" w:hAnsi="仿宋"/>
          <w:sz w:val="32"/>
          <w:szCs w:val="32"/>
        </w:rPr>
        <w:t xml:space="preserve"> 二级指标：项目完成设置数量目标、质量指标、时效指标、成本指标4个，项目效益设置社会效益和可持续影响指标 2 个，满意度指标设置服务对象满意度指标1个。</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3</w:t>
      </w:r>
      <w:r>
        <w:rPr>
          <w:rFonts w:ascii="仿宋" w:eastAsia="仿宋" w:cs="仿宋" w:hAnsi="仿宋" w:hint="eastAsia"/>
          <w:sz w:val="32"/>
          <w:szCs w:val="32"/>
        </w:rPr>
        <w:t>.</w:t>
      </w:r>
      <w:r>
        <w:rPr>
          <w:rFonts w:ascii="仿宋" w:eastAsia="仿宋" w:cs="仿宋" w:hAnsi="仿宋"/>
          <w:sz w:val="32"/>
          <w:szCs w:val="32"/>
        </w:rPr>
        <w:t xml:space="preserve"> 三级指标：数量指标设置受益学生人数等指标5个，质量指标设置入学率等指标6个；时效指标设置资金及时到位指标2个；成本指标设置补助标准等指标3个；社会效益设置受益学生数等指标2个；可持续影响指标设置政策知晓率、受益年限等指标3个； 社会满意度指标设置家长满意度等指标3个。</w:t>
      </w:r>
    </w:p>
    <w:p>
      <w:pPr>
        <w:snapToGrid w:val="0"/>
        <w:spacing w:line="560" w:lineRule="exact"/>
        <w:ind w:firstLineChars="200" w:firstLine="640"/>
        <w:rPr>
          <w:rFonts w:ascii="楷体" w:eastAsia="楷体" w:cs="楷体" w:hAnsi="楷体"/>
          <w:sz w:val="32"/>
          <w:szCs w:val="32"/>
        </w:rPr>
      </w:pPr>
      <w:r>
        <w:rPr>
          <w:rFonts w:ascii="楷体" w:eastAsia="楷体" w:cs="楷体" w:hAnsi="楷体" w:hint="eastAsia"/>
          <w:sz w:val="32"/>
          <w:szCs w:val="32"/>
        </w:rPr>
        <w:t>（二）绩效指标合理性</w:t>
      </w:r>
    </w:p>
    <w:p>
      <w:pPr>
        <w:snapToGrid w:val="0"/>
        <w:spacing w:line="560" w:lineRule="exact"/>
        <w:ind w:firstLineChars="200" w:firstLine="640"/>
        <w:rPr>
          <w:rFonts w:ascii="楷体" w:eastAsia="楷体" w:cs="楷体" w:hAnsi="楷体"/>
          <w:sz w:val="32"/>
          <w:szCs w:val="32"/>
        </w:rPr>
        <w:sectPr>
          <w:type w:val="continuous"/>
          <w:pgSz w:w="11906" w:h="16838"/>
          <w:pgMar w:top="1701" w:right="1474" w:bottom="1701" w:left="1587" w:header="0" w:footer="1304" w:gutter="0"/>
          <w:cols w:num="1" w:space="720"/>
          <w:docGrid w:linePitch="286" w:charSpace="0"/>
        </w:sectPr>
      </w:pP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该项目绩效评价指标设置完整、科学、合理，各项绩效 指标可量化可考核，契合政策或项目实质，符合部门的长期 规划目标和年度工作目标要求。</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五、实施方案可行性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编制部门预算时，严格按照“二上二下”得编制流程进行，预算方案经区人大会议审议通过后及时下达到各单位。为加强对公用经费使用得管理，区教育局出台了《广元市利州区公用经费管理办法》 等一系列教育管理制度，转发了《差旅费管理办法》、《培训费管理办法》等一系列规 范公用经费管理方面的文件，并将相关文件下发到各学校，要求各学校认真贯彻执行文件精神，全面规范财务管理，确保公用经费按规定用途使用。</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在公用经费收支预算执行过程中，严格按照预算批复数分月按进度拨付到校，学校严格执行国家与省市区有关公用经费开支得范围与标准，经费支出规范、合理，无虚列、虚报冒领与挤占挪用得现象，票据规范、合法有效。教师培训经费每年按不低于公用经费支出总额得 5%计入年初支出预算，专项用于教师培训。严格按照预算批复数分期拨付到校，学校严格执行国家与省市区有关公用经费开支得范围与标准，经费支出规范、合理，无虚列、虚报冒领与挤占挪用得现象，票据规范、合法有效。建立了公务招待用餐管理制度，严格控制招待费支出。财务信息公开透明，对公用经费预算</w:t>
      </w:r>
    </w:p>
    <w:p>
      <w:pPr>
        <w:snapToGrid w:val="0"/>
        <w:spacing w:line="560" w:lineRule="exact"/>
        <w:ind w:firstLineChars="200" w:firstLine="640"/>
        <w:rPr>
          <w:sz w:val="32"/>
          <w:szCs w:val="32"/>
        </w:rPr>
        <w:sectPr>
          <w:type w:val="continuous"/>
          <w:pgSz w:w="11906" w:h="16838"/>
          <w:pgMar w:top="1701" w:right="1474" w:bottom="1701" w:left="1587" w:header="0" w:footer="1304" w:gutter="0"/>
          <w:cols w:num="1" w:space="720"/>
          <w:docGrid w:linePitch="286" w:charSpace="0"/>
        </w:sectPr>
      </w:pP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批复情况、预算执行、“三公”经费等基本支出以及设备采 购与校舍维修等项目支出情况，在每年的教职工大会上予以公布并在学校公示栏进行公示，主动接受师生与群众监督。区教育局、财政局定期组织对学校公用经费使用情况进行审计，对学校财务管理进行检查指导。</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六、筹资合规性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该项目为公益性项目，属于公共财政支持范围，所需资金有财政预算全额保障。</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七、可持续性分析</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根据国务院《于进一步完善城乡义务教育经费保障机制的通知》等文件从制度层面保证教师培训项目的可持续性。 此外，相关资金纳入部门预算，经费的来源能够得到有效保障。区教育局为合理、有效、规范使用专项资金，根据国家统一的财务制度，制订了《学校财务管理制度》 等规范性文件。 规范了财务管理，确保经费使用合规合法。</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八、其他需要说明的内容 无</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九、综合评估结论</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该项目总体评价得分为 85 分，评估等级为“ 良”。预期产出和效果充分满足利州区义务教育发展的相关需求。</w:t>
      </w:r>
    </w:p>
    <w:p>
      <w:pPr>
        <w:snapToGrid w:val="0"/>
        <w:spacing w:line="560" w:lineRule="exact"/>
        <w:ind w:firstLineChars="200" w:firstLine="640"/>
        <w:rPr>
          <w:rFonts w:ascii="仿宋" w:eastAsia="仿宋" w:cs="仿宋" w:hAnsi="仿宋"/>
          <w:sz w:val="32"/>
          <w:szCs w:val="32"/>
        </w:rPr>
      </w:pPr>
    </w:p>
    <w:p>
      <w:pPr>
        <w:pStyle w:val="34"/>
        <w:snapToGrid w:val="0"/>
        <w:spacing w:line="560" w:lineRule="exact"/>
        <w:jc w:val="center"/>
        <w:rPr>
          <w:rFonts w:ascii="黑体" w:eastAsia="黑体" w:cs="黑体" w:hAnsi="黑体"/>
          <w:b/>
          <w:sz w:val="36"/>
          <w:szCs w:val="36"/>
        </w:rPr>
      </w:pPr>
    </w:p>
    <w:p>
      <w:pPr>
        <w:pStyle w:val="34"/>
        <w:snapToGrid w:val="0"/>
        <w:spacing w:line="560" w:lineRule="exact"/>
        <w:jc w:val="center"/>
        <w:rPr>
          <w:rFonts w:ascii="黑体" w:eastAsia="黑体" w:cs="黑体" w:hAnsi="黑体"/>
          <w:b/>
          <w:sz w:val="36"/>
          <w:szCs w:val="36"/>
        </w:rPr>
      </w:pPr>
    </w:p>
    <w:p>
      <w:pPr>
        <w:pStyle w:val="34"/>
        <w:snapToGrid w:val="0"/>
        <w:spacing w:line="560" w:lineRule="exact"/>
        <w:jc w:val="center"/>
        <w:rPr>
          <w:rFonts w:ascii="黑体" w:eastAsia="黑体" w:cs="黑体" w:hAnsi="黑体"/>
          <w:b/>
          <w:sz w:val="36"/>
          <w:szCs w:val="36"/>
        </w:rPr>
      </w:pPr>
      <w:r>
        <w:rPr>
          <w:rFonts w:ascii="黑体" w:eastAsia="黑体" w:cs="黑体" w:hAnsi="黑体" w:hint="eastAsia"/>
          <w:b/>
          <w:sz w:val="36"/>
          <w:szCs w:val="36"/>
        </w:rPr>
        <w:t>4、城乡义务教育补助作业本费配套事前绩效评估报告</w:t>
      </w:r>
    </w:p>
    <w:p>
      <w:pPr>
        <w:snapToGrid w:val="0"/>
        <w:spacing w:line="560" w:lineRule="exact"/>
        <w:ind w:firstLineChars="200" w:firstLine="640"/>
        <w:rPr>
          <w:rFonts w:ascii="Malgun Gothic" w:hAnsi="Malgun Gothic"/>
          <w:sz w:val="32"/>
          <w:szCs w:val="32"/>
        </w:rPr>
      </w:pPr>
    </w:p>
    <w:p>
      <w:pPr>
        <w:snapToGrid w:val="0"/>
        <w:spacing w:line="560" w:lineRule="exact"/>
        <w:ind w:firstLineChars="200" w:firstLine="640"/>
        <w:rPr>
          <w:rFonts w:ascii="仿宋" w:eastAsia="仿宋" w:cs="仿宋" w:hAnsi="仿宋"/>
          <w:sz w:val="32"/>
          <w:szCs w:val="32"/>
        </w:rPr>
      </w:pPr>
      <w:r>
        <w:rPr>
          <w:rFonts w:ascii="黑体" w:eastAsia="黑体" w:hAnsi="黑体" w:hint="eastAsia"/>
          <w:sz w:val="32"/>
          <w:szCs w:val="32"/>
        </w:rPr>
        <w:t>一、重大政策或项目基本情况</w:t>
      </w:r>
      <w:r>
        <w:rPr>
          <w:rFonts w:ascii="仿宋" w:eastAsia="仿宋" w:cs="仿宋" w:hAnsi="仿宋"/>
          <w:sz w:val="32"/>
          <w:szCs w:val="32"/>
        </w:rPr>
        <w:t>（背景、主要内容等）</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义务教育是教育工作的重中之重，在全面建成小康社会 进程中具有基础性、先导性和全局性的重要作用。 自 2006 年实施农村义务教育经费保障机制改革以来，义务教育逐步纳入公共财政保障范围，城乡免费义务教育全面实现，稳定增长的经费保障机制基本建立，九年义务教育全面普及，县域内义务教育均衡发展水平不断提高。但随着我国新型城镇化建设和户籍制度改革不断推进，学生流动性加大，现行义务教育经费保障机制已不能很好适应新形势要求。城乡义务教育经费保障机制有关政策不统一、经费可携带性不强、资源配置不够均衡、综合</w:t>
      </w:r>
      <w:r>
        <w:rPr>
          <w:rFonts w:ascii="仿宋" w:eastAsia="仿宋" w:cs="仿宋" w:hAnsi="仿宋"/>
          <w:spacing w:val="-11"/>
          <w:sz w:val="32"/>
          <w:szCs w:val="32"/>
        </w:rPr>
        <w:t>改革有待深化等问题，都需要进一步采取措施，切实加以解决</w:t>
      </w:r>
      <w:r>
        <w:rPr>
          <w:rFonts w:ascii="仿宋" w:eastAsia="仿宋" w:cs="仿宋" w:hAnsi="仿宋"/>
          <w:sz w:val="32"/>
          <w:szCs w:val="32"/>
        </w:rPr>
        <w:t>。</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在整合农村义务教育经费保障机制和城市义务教育奖补政策的基础上，建立城乡统一、重在农村的义务教育经费保障机制，是教育领域健全城乡发展一体化体制机制的重大举措。这有利于推动省级政府统筹教育改革，优化教育布局，实现城乡义务教育在更高层次的均衡发展，促进教育公平、提高教育质量； 有利于深化财税体制改革，推动实现财政转移支付同农业转移人口市民化挂钩，促进劳动力合理流动，推动经济结构调整和产业转型升级；有利于促进基本公共</w:t>
      </w:r>
      <w:r>
        <w:rPr>
          <w:rFonts w:ascii="仿宋" w:eastAsia="仿宋" w:cs="仿宋" w:hAnsi="仿宋" w:hint="eastAsia"/>
          <w:sz w:val="32"/>
          <w:szCs w:val="32"/>
        </w:rPr>
        <w:t>服</w:t>
      </w:r>
      <w:r>
        <w:rPr>
          <w:rFonts w:ascii="仿宋" w:eastAsia="仿宋" w:cs="仿宋" w:hAnsi="仿宋"/>
          <w:sz w:val="32"/>
          <w:szCs w:val="32"/>
        </w:rPr>
        <w:t>务均等化，构建社会主义和谐社会，建设人力资源强国。</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利州区高度重视义务教育，将义务教育阶段学校免除学生作业本费作为一项重要的民生实施工程，该项目主要是对义务教育阶段学生按“三免一补”政策标准进行资助的惠民政策，减轻家庭经济负担，保障义务教育阶段学生能够顺利完成学业。项目内容及范围包括：义务教育阶段小学生人均补助标准：30元/年/生，义务教育阶段初中学生人均补助标准：40元/年/生。</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二、立项必要性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该项目已实施多年，有效贯彻了中央、省、市有关教师对于建设的决策部署，有效促进区内教学水平和人才培养质量稳步提升，促进各类教育事业有序、健康、协调发展。具有明显的经济效益和社会效益。</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三、投入经济性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在实施过程中，严格执行国家、省和市、区教育经费开支的范围和标准，资金总量严格控制在预算标准内，经费支出规范、合理，无虚列、虚报冒领和挤占挪用现象，票据规范、合法有效。财务信息公开透明，对预算批复、执行和“三公”经费等支出情况，主动公示并接受师生和群众监督。在区财政和教育主管部门定期组织对学校经费使用情 况的检查、审计中未发现重大违规、违纪现象。</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四、绩效目标合理性</w:t>
      </w:r>
    </w:p>
    <w:p>
      <w:pPr>
        <w:snapToGrid w:val="0"/>
        <w:spacing w:line="560" w:lineRule="exact"/>
        <w:ind w:firstLineChars="200" w:firstLine="640"/>
        <w:rPr>
          <w:rFonts w:ascii="楷体" w:eastAsia="楷体" w:cs="楷体" w:hAnsi="楷体"/>
          <w:sz w:val="32"/>
          <w:szCs w:val="32"/>
        </w:rPr>
      </w:pPr>
      <w:r>
        <w:rPr>
          <w:rFonts w:ascii="楷体" w:eastAsia="楷体" w:cs="楷体" w:hAnsi="楷体" w:hint="eastAsia"/>
          <w:sz w:val="32"/>
          <w:szCs w:val="32"/>
        </w:rPr>
        <w:t>（一）绩效目标设置情况</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绩效评价指标是指衡量绩效目标实现程度的考核工具。绩效评价指标的确定应当遵循以下原则： 相关性原则、重要性原则、可比性原则、系统性原则、经济性原则。绩效评价指标分为共性指标和个性指标，共性指标由财政部门统一制定，个性指标由财政部门会同预算部门制定。</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被评价项目绩效评价指标体系设置3个一级指标、9 个二级指标、19 个三级指标。</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1</w:t>
      </w:r>
      <w:r>
        <w:rPr>
          <w:rFonts w:ascii="仿宋" w:eastAsia="仿宋" w:cs="仿宋" w:hAnsi="仿宋" w:hint="eastAsia"/>
          <w:sz w:val="32"/>
          <w:szCs w:val="32"/>
        </w:rPr>
        <w:t>.</w:t>
      </w:r>
      <w:r>
        <w:rPr>
          <w:rFonts w:ascii="仿宋" w:eastAsia="仿宋" w:cs="仿宋" w:hAnsi="仿宋"/>
          <w:sz w:val="32"/>
          <w:szCs w:val="32"/>
        </w:rPr>
        <w:t>一级指标：设置项目完成、项目效益、满意度指标3 个 。</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2</w:t>
      </w:r>
      <w:r>
        <w:rPr>
          <w:rFonts w:ascii="仿宋" w:eastAsia="仿宋" w:cs="仿宋" w:hAnsi="仿宋" w:hint="eastAsia"/>
          <w:sz w:val="32"/>
          <w:szCs w:val="32"/>
        </w:rPr>
        <w:t>.</w:t>
      </w:r>
      <w:r>
        <w:rPr>
          <w:rFonts w:ascii="仿宋" w:eastAsia="仿宋" w:cs="仿宋" w:hAnsi="仿宋"/>
          <w:sz w:val="32"/>
          <w:szCs w:val="32"/>
        </w:rPr>
        <w:t>二级指标：项目完成设置数量目标、质量指标、时效指标、效果指标和成本指标5个，项目效益设置社会效益、可持续发展指标和可持续影响指标3个，满意度指标设置服务对象满意度指标1个。</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3</w:t>
      </w:r>
      <w:r>
        <w:rPr>
          <w:rFonts w:ascii="仿宋" w:eastAsia="仿宋" w:cs="仿宋" w:hAnsi="仿宋" w:hint="eastAsia"/>
          <w:sz w:val="32"/>
          <w:szCs w:val="32"/>
        </w:rPr>
        <w:t>.</w:t>
      </w:r>
      <w:r>
        <w:rPr>
          <w:rFonts w:ascii="仿宋" w:eastAsia="仿宋" w:cs="仿宋" w:hAnsi="仿宋"/>
          <w:sz w:val="32"/>
          <w:szCs w:val="32"/>
        </w:rPr>
        <w:t>三级指标： 数量指标设置专题受助人数等指标9个，质量指标设置受助覆盖面等指标3个；时效指标设置资金到位等指标2个，成本指标执行设置支出按规定标准等指标2个，效果指标设置受助对象合规率指标1个； 社会效益设置促进教育公平等指标2个； 可持续影响和发展指标设置政策知晓率、持续受助年限等指标 3 个；社会满意度指标设置学生满意度、学校满意度等指标3个。</w:t>
      </w:r>
    </w:p>
    <w:p>
      <w:pPr>
        <w:snapToGrid w:val="0"/>
        <w:spacing w:line="560" w:lineRule="exact"/>
        <w:ind w:firstLineChars="200" w:firstLine="640"/>
        <w:rPr>
          <w:rFonts w:ascii="楷体" w:eastAsia="楷体" w:cs="楷体" w:hAnsi="楷体"/>
          <w:sz w:val="32"/>
          <w:szCs w:val="32"/>
        </w:rPr>
      </w:pPr>
      <w:r>
        <w:rPr>
          <w:rFonts w:ascii="楷体" w:eastAsia="楷体" w:cs="楷体" w:hAnsi="楷体" w:hint="eastAsia"/>
          <w:sz w:val="32"/>
          <w:szCs w:val="32"/>
        </w:rPr>
        <w:t>（二）绩效指标合理性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该项目绩效评价指标设置完整、科学、合理，各项绩效 指标可量化可考核，契合政策或项目实质，符合部门的长期 规划目标和年度工作目标要求。</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五、实施方案可行性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编制部门预算时，严格按照“二上二下”</w:t>
      </w:r>
      <w:r>
        <w:rPr>
          <w:rFonts w:ascii="仿宋" w:eastAsia="仿宋" w:cs="仿宋" w:hAnsi="仿宋" w:hint="eastAsia"/>
          <w:sz w:val="32"/>
          <w:szCs w:val="32"/>
        </w:rPr>
        <w:t>的</w:t>
      </w:r>
      <w:r>
        <w:rPr>
          <w:rFonts w:ascii="仿宋" w:eastAsia="仿宋" w:cs="仿宋" w:hAnsi="仿宋"/>
          <w:sz w:val="32"/>
          <w:szCs w:val="32"/>
        </w:rPr>
        <w:t>编制流程进行，预算方案经区人大会议审议通过后及时下达到各 单位。为加强对公用经费使用得管理，区教育局出台了《广 元市利州区公用经费管理办法》 等一系列教育管理制度，转 发了《差旅费管理办法》、《培训费管理办法》 等一系列规范 公用经费管理方面的文件，并将相关文件下发到各学校，要 求各学校认真贯彻执行文件精神，全面规范财务管理，确保 公用经费按规定用途使用。</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在公用经费收支预算执行过程中，严格按照预算批复数 分月按进度拨付到校，学校严格执行国家与省市区有关公用 经费开支得范围与标准，经费支出规范、合理，无虚列、虚 报冒领与挤占挪用得现象，票据规范、合法有效。教师培训 经费每年按不低于公用经费支出总额得 5%计入年初支出预 算，专项用于教师培训。严格按照预算批复数分期拨付到校， 学校严格执行国家与省市区有关公用经费开支得范围与标 准，经费支出规范、合理，无虚列、虚报冒领与挤占挪用得 现象，票据规范、合法有效。建立了公务招待用餐管理制度， 严格控制招待费支出。财务信息公开透明，对公用经费预算 批复情况、预算执行、“三公”经费等基本支出以及设备采 购与校舍维修等项目支出情况，在每年的教职工大会上予以 公布并在学校公示栏进行公示，主动接受师生与群众监督。 区教育局、财政局定期组织对学校公用经费使用情况进行审 计，对学校财务管理进行检查指导。</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该项目为公益性项目，属于公共财政支持范围，所需资 金有财政预算全额保障。</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六、可持续性分析</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根据国务院《于进一步完善城乡义务教育经费保障机制的通知》 等文件从制度层面保证教师培训项目的可持续性。</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此外，相关资金纳入部门预算，经费的来源能够得到有效保 障。区教育局为合理、有效、规范使用专项资金，根据国家统 一的财务制度，制订了《学校财务管理制度》 等规范性文件。</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规范了财务管理，确保经费使用合规合法。</w:t>
      </w:r>
    </w:p>
    <w:p>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七、其他需要说明的内容 无</w:t>
      </w:r>
    </w:p>
    <w:p>
      <w:pPr>
        <w:snapToGrid w:val="0"/>
        <w:spacing w:line="560" w:lineRule="exact"/>
        <w:ind w:firstLineChars="200" w:firstLine="640"/>
        <w:rPr>
          <w:rFonts w:ascii="仿宋" w:eastAsia="仿宋" w:cs="仿宋" w:hAnsi="仿宋"/>
          <w:sz w:val="32"/>
          <w:szCs w:val="32"/>
        </w:rPr>
      </w:pPr>
      <w:r>
        <w:rPr>
          <w:rFonts w:ascii="黑体" w:eastAsia="黑体" w:hAnsi="黑体" w:hint="eastAsia"/>
          <w:sz w:val="32"/>
          <w:szCs w:val="32"/>
        </w:rPr>
        <w:t>八、综合评估结论</w:t>
      </w:r>
      <w:r>
        <w:rPr>
          <w:rFonts w:ascii="仿宋" w:eastAsia="仿宋" w:cs="仿宋" w:hAnsi="仿宋"/>
          <w:sz w:val="32"/>
          <w:szCs w:val="32"/>
        </w:rPr>
        <w:t>（包括评估总得分、评估等级、得分情况简要分析、预期产出和效果是否能满足需求、是否需要核减预算安排、是否支持该政策出台、持续、保留或项目新增的意见等）</w:t>
      </w:r>
    </w:p>
    <w:p>
      <w:pPr>
        <w:snapToGrid w:val="0"/>
        <w:spacing w:line="560" w:lineRule="exact"/>
        <w:ind w:firstLineChars="200" w:firstLine="640"/>
        <w:rPr>
          <w:rFonts w:ascii="仿宋" w:eastAsia="仿宋" w:cs="仿宋" w:hAnsi="仿宋"/>
          <w:sz w:val="32"/>
          <w:szCs w:val="32"/>
        </w:rPr>
      </w:pPr>
      <w:r>
        <w:rPr>
          <w:rFonts w:ascii="仿宋" w:eastAsia="仿宋" w:cs="仿宋" w:hAnsi="仿宋"/>
          <w:sz w:val="32"/>
          <w:szCs w:val="32"/>
        </w:rPr>
        <w:t>该项目总体评价得分为 83 分，评估等级为“良”。预期产出和效果充分满足利州区教育改革各相关需求。</w:t>
      </w:r>
    </w:p>
    <w:p>
      <w:pPr>
        <w:snapToGrid w:val="0"/>
        <w:spacing w:line="560" w:lineRule="exact"/>
        <w:ind w:firstLineChars="200" w:firstLine="640"/>
        <w:rPr>
          <w:rFonts w:ascii="仿宋" w:eastAsia="仿宋" w:cs="仿宋" w:hAnsi="仿宋"/>
          <w:sz w:val="32"/>
          <w:szCs w:val="32"/>
        </w:rPr>
        <w:sectPr>
          <w:type w:val="continuous"/>
          <w:pgSz w:w="11906" w:h="16838"/>
          <w:pgMar w:top="1701" w:right="1474" w:bottom="1701" w:left="1587" w:header="0" w:footer="1304" w:gutter="0"/>
          <w:cols w:num="1" w:space="720"/>
          <w:docGrid w:linePitch="286" w:charSpace="0"/>
        </w:sectPr>
      </w:pPr>
    </w:p>
    <w:p>
      <w:pPr>
        <w:rPr>
          <w:rFonts w:ascii="黑体" w:eastAsia="黑体" w:cs="黑体" w:hAnsi="黑体"/>
          <w:b/>
          <w:bCs/>
          <w:color w:val="000000"/>
          <w:sz w:val="28"/>
          <w:szCs w:val="28"/>
        </w:rPr>
      </w:pPr>
      <w:r>
        <w:rPr>
          <w:rFonts w:ascii="黑体" w:eastAsia="黑体" w:cs="黑体" w:hAnsi="黑体" w:hint="eastAsia"/>
          <w:b/>
          <w:bCs/>
          <w:color w:val="000000"/>
          <w:sz w:val="28"/>
          <w:szCs w:val="28"/>
        </w:rPr>
        <w:br w:type="page"/>
      </w:r>
    </w:p>
    <w:p>
      <w:pPr>
        <w:spacing w:beforeLines="50" w:before="156" w:afterLines="50" w:after="156"/>
        <w:ind w:leftChars="153" w:left="601" w:hangingChars="100" w:hanging="280"/>
        <w:jc w:val="left"/>
        <w:rPr>
          <w:rFonts w:ascii="方正黑体简体" w:eastAsia="方正黑体简体" w:cs="宋体" w:hAnsi="宋体"/>
          <w:b/>
          <w:bCs/>
          <w:color w:val="000000"/>
          <w:sz w:val="28"/>
          <w:szCs w:val="28"/>
        </w:rPr>
      </w:pPr>
      <w:bookmarkStart w:id="62" w:name="_Toc15396618"/>
      <w:r>
        <w:rPr>
          <w:rFonts w:ascii="方正黑体简体" w:eastAsia="方正黑体简体" w:cs="宋体" w:hAnsi="宋体" w:hint="eastAsia"/>
          <w:b/>
          <w:bCs/>
          <w:color w:val="000000"/>
          <w:sz w:val="28"/>
          <w:szCs w:val="28"/>
        </w:rPr>
        <w:t>2021年舍维修改造特定目标类部门预算项目绩效目标自评表校</w:t>
      </w:r>
    </w:p>
    <w:tbl>
      <w:tblPr>
        <w:jc w:val="left"/>
        <w:tblW w:w="4987"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207"/>
        <w:gridCol w:w="878"/>
        <w:gridCol w:w="1464"/>
        <w:gridCol w:w="2348"/>
        <w:gridCol w:w="1410"/>
        <w:gridCol w:w="1728"/>
      </w:tblGrid>
      <w:tr>
        <w:trPr>
          <w:trHeight w:val="630"/>
        </w:trPr>
        <w:tc>
          <w:tcPr>
            <w:tcW w:w="1154" w:type="pct"/>
            <w:gridSpan w:val="2"/>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kern w:val="0"/>
                <w:szCs w:val="21"/>
              </w:rPr>
            </w:pPr>
          </w:p>
          <w:p>
            <w:pPr>
              <w:snapToGrid w:val="0"/>
              <w:jc w:val="center"/>
              <w:textAlignment w:val="center"/>
              <w:rPr>
                <w:rFonts w:ascii="宋体" w:cs="宋体"/>
                <w:color w:val="000000"/>
                <w:szCs w:val="21"/>
              </w:rPr>
            </w:pPr>
            <w:r>
              <w:rPr>
                <w:rFonts w:ascii="宋体" w:cs="宋体" w:hint="eastAsia"/>
                <w:color w:val="000000"/>
                <w:kern w:val="0"/>
                <w:szCs w:val="21"/>
              </w:rPr>
              <w:t>主管部门及代码</w:t>
            </w:r>
          </w:p>
        </w:tc>
        <w:tc>
          <w:tcPr>
            <w:tcW w:w="2109" w:type="pct"/>
            <w:gridSpan w:val="2"/>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szCs w:val="21"/>
              </w:rPr>
              <w:t>广元市利州区教育局</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实施单位</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szCs w:val="21"/>
              </w:rPr>
              <w:t>盘龙二小</w:t>
            </w:r>
          </w:p>
        </w:tc>
      </w:tr>
      <w:tr>
        <w:trPr>
          <w:trHeight w:val="357"/>
        </w:trPr>
        <w:tc>
          <w:tcPr>
            <w:tcW w:w="1154" w:type="pct"/>
            <w:gridSpan w:val="2"/>
            <w:vMerge w:val="restar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kern w:val="0"/>
                <w:szCs w:val="21"/>
              </w:rPr>
            </w:pPr>
            <w:r>
              <w:rPr>
                <w:rFonts w:ascii="宋体" w:cs="宋体" w:hint="eastAsia"/>
                <w:color w:val="000000"/>
                <w:kern w:val="0"/>
                <w:szCs w:val="21"/>
              </w:rPr>
              <w:t>项目预算</w:t>
            </w:r>
          </w:p>
          <w:p>
            <w:pPr>
              <w:snapToGrid w:val="0"/>
              <w:jc w:val="center"/>
              <w:textAlignment w:val="center"/>
              <w:rPr>
                <w:rFonts w:ascii="宋体" w:cs="宋体"/>
                <w:color w:val="000000"/>
                <w:kern w:val="0"/>
                <w:szCs w:val="21"/>
              </w:rPr>
            </w:pPr>
            <w:r>
              <w:rPr>
                <w:rFonts w:ascii="宋体" w:cs="宋体" w:hint="eastAsia"/>
                <w:color w:val="000000"/>
                <w:kern w:val="0"/>
                <w:szCs w:val="21"/>
              </w:rPr>
              <w:t>执行情况</w:t>
            </w:r>
          </w:p>
          <w:p>
            <w:pPr>
              <w:snapToGrid w:val="0"/>
              <w:jc w:val="center"/>
              <w:textAlignment w:val="center"/>
              <w:rPr>
                <w:rFonts w:ascii="宋体" w:cs="宋体"/>
                <w:color w:val="000000"/>
                <w:szCs w:val="21"/>
              </w:rPr>
            </w:pPr>
            <w:r>
              <w:rPr>
                <w:rFonts w:ascii="宋体" w:cs="宋体" w:hint="eastAsia"/>
                <w:color w:val="000000"/>
                <w:kern w:val="0"/>
                <w:szCs w:val="21"/>
              </w:rPr>
              <w:t>（万元）</w:t>
            </w:r>
          </w:p>
        </w:tc>
        <w:tc>
          <w:tcPr>
            <w:tcW w:w="81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预算数：</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szCs w:val="21"/>
              </w:rPr>
              <w:t>60</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执行数：</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szCs w:val="21"/>
              </w:rPr>
              <w:t>60</w:t>
            </w:r>
          </w:p>
        </w:tc>
      </w:tr>
      <w:tr>
        <w:trPr>
          <w:trHeight w:val="630"/>
        </w:trPr>
        <w:tc>
          <w:tcPr>
            <w:tcW w:w="1154" w:type="pct"/>
            <w:gridSpan w:val="2"/>
            <w:vMerge/>
            <w:tcBorders>
              <w:top w:val="single" w:sz="4" w:space="0" w:color="000000"/>
              <w:left w:val="single" w:sz="4" w:space="0" w:color="000000"/>
              <w:bottom w:val="single" w:sz="4" w:space="0" w:color="000000"/>
              <w:right w:val="single" w:sz="4" w:space="0" w:color="000000"/>
            </w:tcBorders>
            <w:vAlign w:val="center"/>
          </w:tcPr>
          <w:p/>
        </w:tc>
        <w:tc>
          <w:tcPr>
            <w:tcW w:w="81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kern w:val="0"/>
                <w:szCs w:val="21"/>
              </w:rPr>
            </w:pPr>
            <w:r>
              <w:rPr>
                <w:rFonts w:ascii="宋体" w:cs="宋体" w:hint="eastAsia"/>
                <w:color w:val="000000"/>
                <w:kern w:val="0"/>
                <w:szCs w:val="21"/>
              </w:rPr>
              <w:t>其中：</w:t>
            </w:r>
          </w:p>
          <w:p>
            <w:pPr>
              <w:snapToGrid w:val="0"/>
              <w:jc w:val="center"/>
              <w:textAlignment w:val="center"/>
              <w:rPr>
                <w:rFonts w:ascii="宋体" w:cs="宋体"/>
                <w:color w:val="000000"/>
                <w:szCs w:val="21"/>
              </w:rPr>
            </w:pPr>
            <w:r>
              <w:rPr>
                <w:rFonts w:ascii="宋体" w:cs="宋体" w:hint="eastAsia"/>
                <w:color w:val="000000"/>
                <w:kern w:val="0"/>
                <w:szCs w:val="21"/>
              </w:rPr>
              <w:t>财政拨款</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szCs w:val="21"/>
              </w:rPr>
              <w:t>60</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kern w:val="0"/>
                <w:szCs w:val="21"/>
              </w:rPr>
            </w:pPr>
            <w:r>
              <w:rPr>
                <w:rFonts w:ascii="宋体" w:cs="宋体" w:hint="eastAsia"/>
                <w:color w:val="000000"/>
                <w:kern w:val="0"/>
                <w:szCs w:val="21"/>
              </w:rPr>
              <w:t>其中：</w:t>
            </w:r>
          </w:p>
          <w:p>
            <w:pPr>
              <w:snapToGrid w:val="0"/>
              <w:jc w:val="center"/>
              <w:textAlignment w:val="center"/>
              <w:rPr>
                <w:rFonts w:ascii="宋体" w:cs="宋体"/>
                <w:color w:val="000000"/>
                <w:szCs w:val="21"/>
              </w:rPr>
            </w:pPr>
            <w:r>
              <w:rPr>
                <w:rFonts w:ascii="宋体" w:cs="宋体" w:hint="eastAsia"/>
                <w:color w:val="000000"/>
                <w:kern w:val="0"/>
                <w:szCs w:val="21"/>
              </w:rPr>
              <w:t>财政拨款</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szCs w:val="21"/>
              </w:rPr>
              <w:t>60</w:t>
            </w:r>
          </w:p>
        </w:tc>
      </w:tr>
      <w:tr>
        <w:trPr>
          <w:trHeight w:val="357"/>
        </w:trPr>
        <w:tc>
          <w:tcPr>
            <w:tcW w:w="1154" w:type="pct"/>
            <w:gridSpan w:val="2"/>
            <w:vMerge/>
            <w:tcBorders>
              <w:top w:val="single" w:sz="4" w:space="0" w:color="000000"/>
              <w:left w:val="single" w:sz="4" w:space="0" w:color="000000"/>
              <w:bottom w:val="single" w:sz="4" w:space="0" w:color="000000"/>
              <w:right w:val="single" w:sz="4" w:space="0" w:color="000000"/>
            </w:tcBorders>
            <w:vAlign w:val="center"/>
          </w:tcPr>
          <w:p/>
        </w:tc>
        <w:tc>
          <w:tcPr>
            <w:tcW w:w="81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其他资金</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szCs w:val="21"/>
              </w:rPr>
              <w:t>0</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其他资金</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szCs w:val="21"/>
              </w:rPr>
              <w:t>0</w:t>
            </w:r>
          </w:p>
        </w:tc>
      </w:tr>
      <w:tr>
        <w:trPr>
          <w:trHeight w:val="325"/>
        </w:trPr>
        <w:tc>
          <w:tcPr>
            <w:tcW w:w="668" w:type="pct"/>
            <w:vMerge w:val="restar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kern w:val="0"/>
                <w:szCs w:val="21"/>
              </w:rPr>
            </w:pPr>
            <w:r>
              <w:rPr>
                <w:rFonts w:ascii="宋体" w:cs="宋体" w:hint="eastAsia"/>
                <w:color w:val="000000"/>
                <w:kern w:val="0"/>
                <w:szCs w:val="21"/>
              </w:rPr>
              <w:t>年度总体目标</w:t>
            </w:r>
          </w:p>
          <w:p>
            <w:pPr>
              <w:snapToGrid w:val="0"/>
              <w:jc w:val="center"/>
              <w:textAlignment w:val="center"/>
              <w:rPr>
                <w:rFonts w:ascii="宋体" w:cs="宋体"/>
                <w:color w:val="000000"/>
                <w:szCs w:val="21"/>
              </w:rPr>
            </w:pPr>
            <w:r>
              <w:rPr>
                <w:rFonts w:ascii="宋体" w:cs="宋体" w:hint="eastAsia"/>
                <w:color w:val="000000"/>
                <w:kern w:val="0"/>
                <w:szCs w:val="21"/>
              </w:rPr>
              <w:t>完成情况</w:t>
            </w:r>
          </w:p>
        </w:tc>
        <w:tc>
          <w:tcPr>
            <w:tcW w:w="2595" w:type="pct"/>
            <w:gridSpan w:val="3"/>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预期目标</w:t>
            </w:r>
          </w:p>
        </w:tc>
        <w:tc>
          <w:tcPr>
            <w:tcW w:w="1736" w:type="pct"/>
            <w:gridSpan w:val="2"/>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目标实际完成情况</w:t>
            </w:r>
          </w:p>
        </w:tc>
      </w:tr>
      <w:tr>
        <w:trPr>
          <w:trHeight w:val="618"/>
        </w:trPr>
        <w:tc>
          <w:tcPr>
            <w:tcW w:w="668" w:type="pct"/>
            <w:vMerge/>
            <w:tcBorders>
              <w:top w:val="single" w:sz="4" w:space="0" w:color="000000"/>
              <w:left w:val="single" w:sz="4" w:space="0" w:color="000000"/>
              <w:bottom w:val="single" w:sz="4" w:space="0" w:color="000000"/>
              <w:right w:val="single" w:sz="4" w:space="0" w:color="000000"/>
            </w:tcBorders>
            <w:vAlign w:val="center"/>
          </w:tcPr>
          <w:p/>
        </w:tc>
        <w:tc>
          <w:tcPr>
            <w:tcW w:w="2595" w:type="pct"/>
            <w:gridSpan w:val="3"/>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top"/>
              <w:rPr>
                <w:rFonts w:ascii="宋体" w:cs="宋体"/>
                <w:color w:val="000000"/>
                <w:szCs w:val="21"/>
              </w:rPr>
            </w:pPr>
            <w:r>
              <w:rPr>
                <w:rFonts w:ascii="宋体" w:cs="宋体" w:hint="eastAsia"/>
                <w:color w:val="000000"/>
                <w:szCs w:val="21"/>
              </w:rPr>
              <w:t>预期完成率100%</w:t>
            </w:r>
          </w:p>
        </w:tc>
        <w:tc>
          <w:tcPr>
            <w:tcW w:w="1736" w:type="pct"/>
            <w:gridSpan w:val="2"/>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top"/>
              <w:rPr>
                <w:rFonts w:ascii="宋体" w:cs="宋体"/>
                <w:color w:val="000000"/>
                <w:szCs w:val="21"/>
              </w:rPr>
            </w:pPr>
            <w:r>
              <w:rPr>
                <w:rFonts w:ascii="宋体" w:cs="宋体" w:hint="eastAsia"/>
                <w:color w:val="000000"/>
                <w:szCs w:val="21"/>
              </w:rPr>
              <w:t>实际完成率100%</w:t>
            </w:r>
          </w:p>
        </w:tc>
      </w:tr>
      <w:tr>
        <w:trPr>
          <w:trHeight w:val="749"/>
        </w:trPr>
        <w:tc>
          <w:tcPr>
            <w:tcW w:w="668" w:type="pct"/>
            <w:vMerge w:val="restart"/>
            <w:tcBorders>
              <w:top w:val="single" w:sz="4" w:space="0" w:color="000000"/>
              <w:left w:val="single" w:sz="4" w:space="0" w:color="000000"/>
              <w:right w:val="single" w:sz="4" w:space="0" w:color="000000"/>
            </w:tcBorders>
            <w:textDirection w:val="tbRlV"/>
            <w:vAlign w:val="center"/>
          </w:tcPr>
          <w:p>
            <w:pPr>
              <w:snapToGrid w:val="0"/>
              <w:jc w:val="center"/>
              <w:textAlignment w:val="center"/>
              <w:rPr>
                <w:rFonts w:ascii="宋体" w:cs="宋体"/>
                <w:color w:val="000000"/>
                <w:szCs w:val="21"/>
              </w:rPr>
            </w:pPr>
            <w:r>
              <w:rPr>
                <w:rFonts w:ascii="宋体" w:cs="宋体" w:hint="eastAsia"/>
                <w:color w:val="000000"/>
                <w:kern w:val="0"/>
                <w:szCs w:val="21"/>
              </w:rPr>
              <w:t>绩效指标</w:t>
            </w:r>
          </w:p>
        </w:tc>
        <w:tc>
          <w:tcPr>
            <w:tcW w:w="485" w:type="pct"/>
            <w:tcBorders>
              <w:top w:val="single" w:sz="4" w:space="0" w:color="000000"/>
              <w:left w:val="nil"/>
              <w:bottom w:val="single" w:sz="4" w:space="0" w:color="000000"/>
              <w:right w:val="single" w:sz="4" w:space="0" w:color="000000"/>
            </w:tcBorders>
            <w:vAlign w:val="center"/>
          </w:tcPr>
          <w:p>
            <w:pPr>
              <w:snapToGrid w:val="0"/>
              <w:jc w:val="center"/>
              <w:textAlignment w:val="center"/>
              <w:rPr>
                <w:rFonts w:ascii="宋体" w:cs="宋体"/>
                <w:color w:val="000000"/>
                <w:kern w:val="0"/>
                <w:szCs w:val="21"/>
              </w:rPr>
            </w:pPr>
            <w:r>
              <w:rPr>
                <w:rFonts w:ascii="宋体" w:cs="宋体" w:hint="eastAsia"/>
                <w:color w:val="000000"/>
                <w:kern w:val="0"/>
                <w:szCs w:val="21"/>
              </w:rPr>
              <w:t>一级</w:t>
            </w:r>
          </w:p>
          <w:p>
            <w:pPr>
              <w:snapToGrid w:val="0"/>
              <w:jc w:val="center"/>
              <w:textAlignment w:val="center"/>
              <w:rPr>
                <w:rFonts w:ascii="宋体" w:cs="宋体"/>
                <w:color w:val="000000"/>
                <w:szCs w:val="21"/>
              </w:rPr>
            </w:pPr>
            <w:r>
              <w:rPr>
                <w:rFonts w:ascii="宋体" w:cs="宋体" w:hint="eastAsia"/>
                <w:color w:val="000000"/>
                <w:kern w:val="0"/>
                <w:szCs w:val="21"/>
              </w:rPr>
              <w:t>指标</w:t>
            </w:r>
          </w:p>
        </w:tc>
        <w:tc>
          <w:tcPr>
            <w:tcW w:w="81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二级指标</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三级指标</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指标值</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全年实际完成值</w:t>
            </w:r>
          </w:p>
        </w:tc>
      </w:tr>
      <w:tr>
        <w:trPr>
          <w:trHeight w:val="630"/>
        </w:trPr>
        <w:tc>
          <w:tcPr>
            <w:tcW w:w="668" w:type="pct"/>
            <w:vMerge/>
            <w:tcBorders>
              <w:left w:val="single" w:sz="4" w:space="0" w:color="000000"/>
              <w:right w:val="single" w:sz="4" w:space="0" w:color="000000"/>
            </w:tcBorders>
            <w:textDirection w:val="tbRlV"/>
            <w:vAlign w:val="center"/>
          </w:tcPr>
          <w:p/>
        </w:tc>
        <w:tc>
          <w:tcPr>
            <w:tcW w:w="485" w:type="pct"/>
            <w:vMerge w:val="restart"/>
            <w:tcBorders>
              <w:top w:val="single" w:sz="4" w:space="0" w:color="000000"/>
              <w:left w:val="single" w:sz="4" w:space="0" w:color="000000"/>
              <w:right w:val="single" w:sz="4" w:space="0" w:color="000000"/>
            </w:tcBorders>
            <w:vAlign w:val="center"/>
          </w:tcPr>
          <w:p>
            <w:pPr>
              <w:snapToGrid w:val="0"/>
              <w:jc w:val="center"/>
              <w:rPr>
                <w:rFonts w:ascii="宋体" w:cs="宋体"/>
                <w:color w:val="000000"/>
                <w:szCs w:val="21"/>
              </w:rPr>
            </w:pPr>
          </w:p>
        </w:tc>
        <w:tc>
          <w:tcPr>
            <w:tcW w:w="81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kern w:val="0"/>
                <w:szCs w:val="21"/>
              </w:rPr>
              <w:t>数量指标</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建设操场等活动场地（≥**平方米）</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1000</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1000</w:t>
            </w:r>
          </w:p>
        </w:tc>
      </w:tr>
      <w:tr>
        <w:trPr>
          <w:trHeight w:val="630"/>
        </w:trPr>
        <w:tc>
          <w:tcPr>
            <w:tcW w:w="668" w:type="pct"/>
            <w:vMerge/>
            <w:tcBorders>
              <w:left w:val="single" w:sz="4" w:space="0" w:color="000000"/>
              <w:right w:val="single" w:sz="4" w:space="0" w:color="000000"/>
            </w:tcBorders>
            <w:textDirection w:val="tbRlV"/>
            <w:vAlign w:val="center"/>
          </w:tcPr>
          <w:p/>
        </w:tc>
        <w:tc>
          <w:tcPr>
            <w:tcW w:w="485" w:type="pct"/>
            <w:vMerge/>
            <w:tcBorders>
              <w:top w:val="single" w:sz="4" w:space="0" w:color="000000"/>
              <w:left w:val="single" w:sz="4" w:space="0" w:color="000000"/>
              <w:bottom w:val="single" w:sz="4" w:space="0" w:color="000000"/>
              <w:right w:val="single" w:sz="4" w:space="0" w:color="000000"/>
            </w:tcBorders>
            <w:vAlign w:val="center"/>
          </w:tcPr>
          <w:p/>
        </w:tc>
        <w:tc>
          <w:tcPr>
            <w:tcW w:w="81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质量指标</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改造校舍质量达标率（≥**%）</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100%</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100%</w:t>
            </w:r>
          </w:p>
        </w:tc>
      </w:tr>
      <w:tr>
        <w:trPr>
          <w:trHeight w:val="630"/>
        </w:trPr>
        <w:tc>
          <w:tcPr>
            <w:tcW w:w="668" w:type="pct"/>
            <w:vMerge/>
            <w:tcBorders>
              <w:left w:val="single" w:sz="4" w:space="0" w:color="000000"/>
              <w:right w:val="single" w:sz="4" w:space="0" w:color="000000"/>
            </w:tcBorders>
            <w:textDirection w:val="tbRlV"/>
            <w:vAlign w:val="center"/>
          </w:tcPr>
          <w:p/>
        </w:tc>
        <w:tc>
          <w:tcPr>
            <w:tcW w:w="485" w:type="pct"/>
            <w:vMerge/>
            <w:tcBorders>
              <w:top w:val="single" w:sz="4" w:space="0" w:color="000000"/>
              <w:left w:val="single" w:sz="4" w:space="0" w:color="000000"/>
              <w:bottom w:val="single" w:sz="4" w:space="0" w:color="000000"/>
              <w:right w:val="single" w:sz="4" w:space="0" w:color="000000"/>
            </w:tcBorders>
            <w:vAlign w:val="center"/>
          </w:tcPr>
          <w:p/>
        </w:tc>
        <w:tc>
          <w:tcPr>
            <w:tcW w:w="810" w:type="pct"/>
            <w:vMerge w:val="restar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时效指标</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完成实施期投资计划任务（≥**%）</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≥90%</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≥90%</w:t>
            </w:r>
          </w:p>
        </w:tc>
      </w:tr>
      <w:tr>
        <w:trPr>
          <w:trHeight w:val="495"/>
        </w:trPr>
        <w:tc>
          <w:tcPr>
            <w:tcW w:w="668" w:type="pct"/>
            <w:vMerge/>
            <w:tcBorders>
              <w:left w:val="single" w:sz="4" w:space="0" w:color="000000"/>
              <w:right w:val="single" w:sz="4" w:space="0" w:color="000000"/>
            </w:tcBorders>
            <w:textDirection w:val="tbRlV"/>
            <w:vAlign w:val="center"/>
          </w:tcPr>
          <w:p/>
        </w:tc>
        <w:tc>
          <w:tcPr>
            <w:tcW w:w="485" w:type="pct"/>
            <w:vMerge/>
            <w:tcBorders>
              <w:top w:val="single" w:sz="4" w:space="0" w:color="000000"/>
              <w:left w:val="single" w:sz="4" w:space="0" w:color="000000"/>
              <w:bottom w:val="single" w:sz="4" w:space="0" w:color="000000"/>
              <w:right w:val="single" w:sz="4" w:space="0" w:color="000000"/>
            </w:tcBorders>
            <w:vAlign w:val="center"/>
          </w:tcPr>
          <w:p/>
        </w:tc>
        <w:tc>
          <w:tcPr>
            <w:tcW w:w="810" w:type="pct"/>
            <w:vMerge/>
            <w:tcBorders>
              <w:top w:val="single" w:sz="4" w:space="0" w:color="000000"/>
              <w:left w:val="single" w:sz="4" w:space="0" w:color="000000"/>
              <w:bottom w:val="single" w:sz="4" w:space="0" w:color="000000"/>
              <w:right w:val="single" w:sz="4" w:space="0" w:color="000000"/>
            </w:tcBorders>
            <w:vAlign w:val="center"/>
          </w:tcP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资金支付进度（≥**%）</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≥90%</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≥90%</w:t>
            </w:r>
          </w:p>
        </w:tc>
      </w:tr>
      <w:tr>
        <w:trPr>
          <w:trHeight w:val="495"/>
        </w:trPr>
        <w:tc>
          <w:tcPr>
            <w:tcW w:w="668" w:type="pct"/>
            <w:vMerge/>
            <w:tcBorders>
              <w:left w:val="single" w:sz="4" w:space="0" w:color="000000"/>
              <w:right w:val="single" w:sz="4" w:space="0" w:color="000000"/>
            </w:tcBorders>
            <w:textDirection w:val="tbRlV"/>
            <w:vAlign w:val="center"/>
          </w:tcPr>
          <w:p/>
        </w:tc>
        <w:tc>
          <w:tcPr>
            <w:tcW w:w="485" w:type="pct"/>
            <w:vMerge/>
            <w:tcBorders>
              <w:top w:val="single" w:sz="4" w:space="0" w:color="000000"/>
              <w:left w:val="single" w:sz="4" w:space="0" w:color="000000"/>
              <w:bottom w:val="single" w:sz="4" w:space="0" w:color="000000"/>
              <w:right w:val="single" w:sz="4" w:space="0" w:color="000000"/>
            </w:tcBorders>
            <w:vAlign w:val="center"/>
          </w:tcPr>
          <w:p/>
        </w:tc>
        <w:tc>
          <w:tcPr>
            <w:tcW w:w="810" w:type="pct"/>
            <w:vMerge/>
            <w:tcBorders>
              <w:top w:val="single" w:sz="4" w:space="0" w:color="000000"/>
              <w:left w:val="single" w:sz="4" w:space="0" w:color="000000"/>
              <w:bottom w:val="single" w:sz="4" w:space="0" w:color="000000"/>
              <w:right w:val="single" w:sz="4" w:space="0" w:color="000000"/>
            </w:tcBorders>
            <w:vAlign w:val="center"/>
          </w:tcP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p>
        </w:tc>
      </w:tr>
      <w:tr>
        <w:trPr>
          <w:trHeight w:val="630"/>
        </w:trPr>
        <w:tc>
          <w:tcPr>
            <w:tcW w:w="668" w:type="pct"/>
            <w:vMerge/>
            <w:tcBorders>
              <w:left w:val="single" w:sz="4" w:space="0" w:color="000000"/>
              <w:right w:val="single" w:sz="4" w:space="0" w:color="000000"/>
            </w:tcBorders>
            <w:textDirection w:val="tbRlV"/>
            <w:vAlign w:val="center"/>
          </w:tcPr>
          <w:p/>
        </w:tc>
        <w:tc>
          <w:tcPr>
            <w:tcW w:w="485" w:type="pct"/>
            <w:vMerge/>
            <w:tcBorders>
              <w:top w:val="single" w:sz="4" w:space="0" w:color="000000"/>
              <w:left w:val="single" w:sz="4" w:space="0" w:color="000000"/>
              <w:bottom w:val="single" w:sz="4" w:space="0" w:color="000000"/>
              <w:right w:val="single" w:sz="4" w:space="0" w:color="000000"/>
            </w:tcBorders>
            <w:vAlign w:val="center"/>
          </w:tcPr>
          <w:p/>
        </w:tc>
        <w:tc>
          <w:tcPr>
            <w:tcW w:w="810" w:type="pct"/>
            <w:vMerge w:val="restar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成本指标</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校舍建设资金投入（≥**万元）</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60</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60</w:t>
            </w:r>
          </w:p>
        </w:tc>
      </w:tr>
      <w:tr>
        <w:trPr>
          <w:trHeight w:val="495"/>
        </w:trPr>
        <w:tc>
          <w:tcPr>
            <w:tcW w:w="668" w:type="pct"/>
            <w:vMerge/>
            <w:tcBorders>
              <w:left w:val="single" w:sz="4" w:space="0" w:color="000000"/>
              <w:right w:val="single" w:sz="4" w:space="0" w:color="000000"/>
            </w:tcBorders>
            <w:textDirection w:val="tbRlV"/>
            <w:vAlign w:val="center"/>
          </w:tcPr>
          <w:p/>
        </w:tc>
        <w:tc>
          <w:tcPr>
            <w:tcW w:w="485" w:type="pct"/>
            <w:vMerge/>
            <w:tcBorders>
              <w:top w:val="single" w:sz="4" w:space="0" w:color="000000"/>
              <w:left w:val="single" w:sz="4" w:space="0" w:color="000000"/>
              <w:bottom w:val="single" w:sz="4" w:space="0" w:color="000000"/>
              <w:right w:val="single" w:sz="4" w:space="0" w:color="000000"/>
            </w:tcBorders>
            <w:vAlign w:val="center"/>
          </w:tcPr>
          <w:p/>
        </w:tc>
        <w:tc>
          <w:tcPr>
            <w:tcW w:w="810" w:type="pct"/>
            <w:vMerge/>
            <w:tcBorders>
              <w:top w:val="single" w:sz="4" w:space="0" w:color="000000"/>
              <w:left w:val="single" w:sz="4" w:space="0" w:color="000000"/>
              <w:bottom w:val="single" w:sz="4" w:space="0" w:color="000000"/>
              <w:right w:val="single" w:sz="4" w:space="0" w:color="000000"/>
            </w:tcBorders>
            <w:vAlign w:val="center"/>
          </w:tcP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投资完成率（≥**%）</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100%</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textAlignment w:val="center"/>
              <w:rPr>
                <w:rFonts w:ascii="宋体" w:cs="宋体"/>
                <w:color w:val="000000"/>
                <w:szCs w:val="21"/>
              </w:rPr>
            </w:pPr>
            <w:r>
              <w:rPr>
                <w:rFonts w:ascii="宋体" w:cs="宋体" w:hint="eastAsia"/>
                <w:color w:val="000000"/>
                <w:kern w:val="0"/>
                <w:szCs w:val="21"/>
              </w:rPr>
              <w:t>100%</w:t>
            </w:r>
          </w:p>
        </w:tc>
      </w:tr>
      <w:tr>
        <w:trPr>
          <w:trHeight w:val="495"/>
        </w:trPr>
        <w:tc>
          <w:tcPr>
            <w:tcW w:w="668" w:type="pct"/>
            <w:vMerge/>
            <w:tcBorders>
              <w:left w:val="single" w:sz="4" w:space="0" w:color="000000"/>
              <w:right w:val="single" w:sz="4" w:space="0" w:color="000000"/>
            </w:tcBorders>
            <w:textDirection w:val="tbRlV"/>
            <w:vAlign w:val="center"/>
          </w:tcPr>
          <w:p/>
        </w:tc>
        <w:tc>
          <w:tcPr>
            <w:tcW w:w="485" w:type="pct"/>
            <w:vMerge/>
            <w:tcBorders>
              <w:top w:val="single" w:sz="4" w:space="0" w:color="000000"/>
              <w:left w:val="single" w:sz="4" w:space="0" w:color="000000"/>
              <w:bottom w:val="single" w:sz="4" w:space="0" w:color="000000"/>
              <w:right w:val="single" w:sz="4" w:space="0" w:color="000000"/>
            </w:tcBorders>
            <w:vAlign w:val="center"/>
          </w:tcPr>
          <w:p/>
        </w:tc>
        <w:tc>
          <w:tcPr>
            <w:tcW w:w="810" w:type="pct"/>
            <w:vMerge/>
            <w:tcBorders>
              <w:top w:val="single" w:sz="4" w:space="0" w:color="000000"/>
              <w:left w:val="single" w:sz="4" w:space="0" w:color="000000"/>
              <w:bottom w:val="single" w:sz="4" w:space="0" w:color="000000"/>
              <w:right w:val="single" w:sz="4" w:space="0" w:color="000000"/>
            </w:tcBorders>
            <w:vAlign w:val="center"/>
          </w:tcP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p>
        </w:tc>
      </w:tr>
      <w:tr>
        <w:trPr>
          <w:trHeight w:val="630"/>
        </w:trPr>
        <w:tc>
          <w:tcPr>
            <w:tcW w:w="668" w:type="pct"/>
            <w:vMerge/>
            <w:tcBorders>
              <w:left w:val="single" w:sz="4" w:space="0" w:color="000000"/>
              <w:right w:val="single" w:sz="4" w:space="0" w:color="000000"/>
            </w:tcBorders>
            <w:textDirection w:val="tbRlV"/>
            <w:vAlign w:val="center"/>
          </w:tcPr>
          <w:p/>
        </w:tc>
        <w:tc>
          <w:tcPr>
            <w:tcW w:w="485" w:type="pct"/>
            <w:vMerge w:val="restart"/>
            <w:tcBorders>
              <w:top w:val="single" w:sz="4" w:space="0" w:color="000000"/>
              <w:left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效</w:t>
            </w:r>
          </w:p>
          <w:p>
            <w:pPr>
              <w:snapToGrid w:val="0"/>
              <w:jc w:val="center"/>
              <w:rPr>
                <w:rFonts w:ascii="宋体" w:cs="宋体"/>
                <w:color w:val="000000"/>
                <w:szCs w:val="21"/>
              </w:rPr>
            </w:pPr>
            <w:r>
              <w:rPr>
                <w:rFonts w:ascii="宋体" w:cs="宋体" w:hint="eastAsia"/>
                <w:color w:val="000000"/>
                <w:szCs w:val="21"/>
              </w:rPr>
              <w:t>益</w:t>
            </w:r>
          </w:p>
          <w:p>
            <w:pPr>
              <w:snapToGrid w:val="0"/>
              <w:jc w:val="center"/>
              <w:rPr>
                <w:rFonts w:ascii="宋体" w:cs="宋体"/>
                <w:color w:val="000000"/>
                <w:szCs w:val="21"/>
              </w:rPr>
            </w:pPr>
            <w:r>
              <w:rPr>
                <w:rFonts w:ascii="宋体" w:cs="宋体" w:hint="eastAsia"/>
                <w:color w:val="000000"/>
                <w:szCs w:val="21"/>
              </w:rPr>
              <w:t>指</w:t>
            </w:r>
          </w:p>
          <w:p>
            <w:pPr>
              <w:snapToGrid w:val="0"/>
              <w:jc w:val="center"/>
              <w:rPr>
                <w:rFonts w:ascii="宋体" w:cs="宋体"/>
                <w:color w:val="000000"/>
                <w:szCs w:val="21"/>
              </w:rPr>
            </w:pPr>
            <w:r>
              <w:rPr>
                <w:rFonts w:ascii="宋体" w:cs="宋体" w:hint="eastAsia"/>
                <w:color w:val="000000"/>
                <w:szCs w:val="21"/>
              </w:rPr>
              <w:t>标</w:t>
            </w:r>
          </w:p>
        </w:tc>
        <w:tc>
          <w:tcPr>
            <w:tcW w:w="81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经济效益</w:t>
            </w:r>
          </w:p>
          <w:p>
            <w:pPr>
              <w:snapToGrid w:val="0"/>
              <w:jc w:val="center"/>
              <w:rPr>
                <w:rFonts w:ascii="宋体" w:cs="宋体"/>
                <w:color w:val="000000"/>
                <w:szCs w:val="21"/>
              </w:rPr>
            </w:pPr>
            <w:r>
              <w:rPr>
                <w:rFonts w:ascii="宋体" w:cs="宋体" w:hint="eastAsia"/>
                <w:color w:val="000000"/>
                <w:szCs w:val="21"/>
              </w:rPr>
              <w:t>指标</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项目验收合格率（≥**%）</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100%</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100%</w:t>
            </w:r>
          </w:p>
        </w:tc>
      </w:tr>
      <w:tr>
        <w:trPr>
          <w:trHeight w:val="936"/>
        </w:trPr>
        <w:tc>
          <w:tcPr>
            <w:tcW w:w="668" w:type="pct"/>
            <w:vMerge/>
            <w:tcBorders>
              <w:left w:val="single" w:sz="4" w:space="0" w:color="000000"/>
              <w:right w:val="single" w:sz="4" w:space="0" w:color="000000"/>
            </w:tcBorders>
            <w:textDirection w:val="tbRlV"/>
            <w:vAlign w:val="center"/>
          </w:tcPr>
          <w:p/>
        </w:tc>
        <w:tc>
          <w:tcPr>
            <w:tcW w:w="485" w:type="pct"/>
            <w:vMerge/>
            <w:tcBorders>
              <w:left w:val="single" w:sz="4" w:space="0" w:color="000000"/>
              <w:right w:val="single" w:sz="4" w:space="0" w:color="000000"/>
            </w:tcBorders>
            <w:vAlign w:val="center"/>
          </w:tcPr>
          <w:p/>
        </w:tc>
        <w:tc>
          <w:tcPr>
            <w:tcW w:w="810" w:type="pct"/>
            <w:vMerge w:val="restart"/>
            <w:tcBorders>
              <w:top w:val="single" w:sz="4" w:space="0" w:color="000000"/>
              <w:left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社会效益</w:t>
            </w:r>
          </w:p>
          <w:p>
            <w:pPr>
              <w:snapToGrid w:val="0"/>
              <w:jc w:val="center"/>
              <w:rPr>
                <w:rFonts w:ascii="宋体" w:cs="宋体"/>
                <w:color w:val="000000"/>
                <w:szCs w:val="21"/>
              </w:rPr>
            </w:pPr>
            <w:r>
              <w:rPr>
                <w:rFonts w:ascii="宋体" w:cs="宋体" w:hint="eastAsia"/>
                <w:color w:val="000000"/>
                <w:szCs w:val="21"/>
              </w:rPr>
              <w:t>指标</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加快主城区维修改造进度，按期投入使用（≥**%）</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100%</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100%</w:t>
            </w:r>
          </w:p>
        </w:tc>
      </w:tr>
      <w:tr>
        <w:trPr>
          <w:trHeight w:val="630"/>
        </w:trPr>
        <w:tc>
          <w:tcPr>
            <w:tcW w:w="668" w:type="pct"/>
            <w:vMerge/>
            <w:tcBorders>
              <w:left w:val="single" w:sz="4" w:space="0" w:color="000000"/>
              <w:right w:val="single" w:sz="4" w:space="0" w:color="000000"/>
            </w:tcBorders>
            <w:textDirection w:val="tbRlV"/>
            <w:vAlign w:val="center"/>
          </w:tcPr>
          <w:p/>
        </w:tc>
        <w:tc>
          <w:tcPr>
            <w:tcW w:w="485" w:type="pct"/>
            <w:vMerge/>
            <w:tcBorders>
              <w:left w:val="single" w:sz="4" w:space="0" w:color="000000"/>
              <w:right w:val="single" w:sz="4" w:space="0" w:color="000000"/>
            </w:tcBorders>
            <w:vAlign w:val="center"/>
          </w:tcPr>
          <w:p/>
        </w:tc>
        <w:tc>
          <w:tcPr>
            <w:tcW w:w="810" w:type="pct"/>
            <w:vMerge/>
            <w:tcBorders>
              <w:left w:val="single" w:sz="4" w:space="0" w:color="000000"/>
              <w:right w:val="single" w:sz="4" w:space="0" w:color="000000"/>
            </w:tcBorders>
            <w:vAlign w:val="center"/>
          </w:tcP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消除66人以上超大班额（≥**%）</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100%</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100%</w:t>
            </w:r>
          </w:p>
        </w:tc>
      </w:tr>
      <w:tr>
        <w:trPr>
          <w:trHeight w:val="495"/>
        </w:trPr>
        <w:tc>
          <w:tcPr>
            <w:tcW w:w="668" w:type="pct"/>
            <w:vMerge/>
            <w:tcBorders>
              <w:left w:val="single" w:sz="4" w:space="0" w:color="000000"/>
              <w:right w:val="single" w:sz="4" w:space="0" w:color="000000"/>
            </w:tcBorders>
            <w:textDirection w:val="tbRlV"/>
            <w:vAlign w:val="center"/>
          </w:tcPr>
          <w:p/>
        </w:tc>
        <w:tc>
          <w:tcPr>
            <w:tcW w:w="485" w:type="pct"/>
            <w:vMerge/>
            <w:tcBorders>
              <w:left w:val="single" w:sz="4" w:space="0" w:color="000000"/>
              <w:right w:val="single" w:sz="4" w:space="0" w:color="000000"/>
            </w:tcBorders>
            <w:vAlign w:val="center"/>
          </w:tcPr>
          <w:p/>
        </w:tc>
        <w:tc>
          <w:tcPr>
            <w:tcW w:w="810" w:type="pct"/>
            <w:vMerge/>
            <w:tcBorders>
              <w:left w:val="single" w:sz="4" w:space="0" w:color="000000"/>
              <w:bottom w:val="single" w:sz="4" w:space="0" w:color="000000"/>
              <w:right w:val="single" w:sz="4" w:space="0" w:color="000000"/>
            </w:tcBorders>
            <w:vAlign w:val="center"/>
          </w:tcP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受益学生数量（≥**人）</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259</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259</w:t>
            </w:r>
          </w:p>
        </w:tc>
      </w:tr>
      <w:tr>
        <w:trPr>
          <w:trHeight w:val="630"/>
        </w:trPr>
        <w:tc>
          <w:tcPr>
            <w:tcW w:w="668" w:type="pct"/>
            <w:vMerge/>
            <w:tcBorders>
              <w:left w:val="single" w:sz="4" w:space="0" w:color="000000"/>
              <w:right w:val="single" w:sz="4" w:space="0" w:color="000000"/>
            </w:tcBorders>
            <w:textDirection w:val="tbRlV"/>
            <w:vAlign w:val="center"/>
          </w:tcPr>
          <w:p/>
        </w:tc>
        <w:tc>
          <w:tcPr>
            <w:tcW w:w="485" w:type="pct"/>
            <w:vMerge/>
            <w:tcBorders>
              <w:left w:val="single" w:sz="4" w:space="0" w:color="000000"/>
              <w:right w:val="single" w:sz="4" w:space="0" w:color="000000"/>
            </w:tcBorders>
            <w:vAlign w:val="center"/>
          </w:tcPr>
          <w:p/>
        </w:tc>
        <w:tc>
          <w:tcPr>
            <w:tcW w:w="81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可持续影响指标</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义务教育薄弱环节改善与能力提升（≥**%）</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100%</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100%</w:t>
            </w:r>
          </w:p>
        </w:tc>
      </w:tr>
      <w:tr>
        <w:trPr>
          <w:trHeight w:val="651"/>
        </w:trPr>
        <w:tc>
          <w:tcPr>
            <w:tcW w:w="668" w:type="pct"/>
            <w:vMerge/>
            <w:tcBorders>
              <w:left w:val="single" w:sz="4" w:space="0" w:color="000000"/>
              <w:bottom w:val="single" w:sz="4" w:space="0" w:color="000000"/>
              <w:right w:val="single" w:sz="4" w:space="0" w:color="000000"/>
            </w:tcBorders>
            <w:textDirection w:val="tbRlV"/>
            <w:vAlign w:val="center"/>
          </w:tcPr>
          <w:p/>
        </w:tc>
        <w:tc>
          <w:tcPr>
            <w:tcW w:w="485" w:type="pct"/>
            <w:tcBorders>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满意度指标</w:t>
            </w:r>
          </w:p>
        </w:tc>
        <w:tc>
          <w:tcPr>
            <w:tcW w:w="81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服务对象</w:t>
            </w:r>
          </w:p>
          <w:p>
            <w:pPr>
              <w:snapToGrid w:val="0"/>
              <w:jc w:val="center"/>
              <w:rPr>
                <w:rFonts w:ascii="宋体" w:cs="宋体"/>
                <w:color w:val="000000"/>
                <w:szCs w:val="21"/>
              </w:rPr>
            </w:pPr>
            <w:r>
              <w:rPr>
                <w:rFonts w:ascii="宋体" w:cs="宋体" w:hint="eastAsia"/>
                <w:color w:val="000000"/>
                <w:szCs w:val="21"/>
              </w:rPr>
              <w:t>满意度指标</w:t>
            </w:r>
          </w:p>
        </w:tc>
        <w:tc>
          <w:tcPr>
            <w:tcW w:w="1299"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师生和家长满意度（≥**%）</w:t>
            </w:r>
          </w:p>
        </w:tc>
        <w:tc>
          <w:tcPr>
            <w:tcW w:w="780"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90%</w:t>
            </w:r>
          </w:p>
        </w:tc>
        <w:tc>
          <w:tcPr>
            <w:tcW w:w="955" w:type="pct"/>
            <w:tcBorders>
              <w:top w:val="single" w:sz="4" w:space="0" w:color="000000"/>
              <w:left w:val="single" w:sz="4" w:space="0" w:color="000000"/>
              <w:bottom w:val="single" w:sz="4" w:space="0" w:color="000000"/>
              <w:right w:val="single" w:sz="4" w:space="0" w:color="000000"/>
            </w:tcBorders>
            <w:vAlign w:val="center"/>
          </w:tcPr>
          <w:p>
            <w:pPr>
              <w:snapToGrid w:val="0"/>
              <w:jc w:val="center"/>
              <w:rPr>
                <w:rFonts w:ascii="宋体" w:cs="宋体"/>
                <w:color w:val="000000"/>
                <w:szCs w:val="21"/>
              </w:rPr>
            </w:pPr>
            <w:r>
              <w:rPr>
                <w:rFonts w:ascii="宋体" w:cs="宋体" w:hint="eastAsia"/>
                <w:color w:val="000000"/>
                <w:szCs w:val="21"/>
              </w:rPr>
              <w:t>90%</w:t>
            </w:r>
          </w:p>
        </w:tc>
      </w:tr>
    </w:tbl>
    <w:p/>
    <w:p>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rPr>
        <w:t>五部分 附表</w:t>
      </w:r>
      <w:bookmarkStart w:id="63" w:name="_Toc15396619"/>
      <w:bookmarkEnd w:id="60"/>
      <w:bookmarkEnd w:id="62"/>
    </w:p>
    <w:p>
      <w:pPr>
        <w:pStyle w:val="2"/>
        <w:snapToGrid w:val="0"/>
        <w:spacing w:before="0" w:after="0" w:line="360" w:lineRule="auto"/>
        <w:rPr>
          <w:rFonts w:ascii="仿宋" w:eastAsia="仿宋" w:hAnsi="仿宋"/>
          <w:b w:val="0"/>
        </w:rPr>
      </w:pPr>
    </w:p>
    <w:p>
      <w:pPr>
        <w:pStyle w:val="2"/>
        <w:snapToGrid w:val="0"/>
        <w:spacing w:before="0" w:after="0" w:line="360" w:lineRule="auto"/>
        <w:ind w:firstLineChars="200" w:firstLine="640"/>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63"/>
    </w:p>
    <w:p>
      <w:pPr>
        <w:pStyle w:val="2"/>
        <w:snapToGrid w:val="0"/>
        <w:spacing w:before="0" w:after="0" w:line="360" w:lineRule="auto"/>
        <w:ind w:firstLineChars="200" w:firstLine="640"/>
        <w:rPr>
          <w:rFonts w:ascii="仿宋" w:eastAsia="仿宋" w:hAnsi="仿宋"/>
        </w:rPr>
      </w:pPr>
      <w:bookmarkStart w:id="64" w:name="_Toc15396620"/>
      <w:r>
        <w:rPr>
          <w:rFonts w:ascii="仿宋" w:eastAsia="仿宋" w:hAnsi="仿宋" w:hint="eastAsia"/>
          <w:b w:val="0"/>
        </w:rPr>
        <w:t>二、收</w:t>
      </w:r>
      <w:r>
        <w:rPr>
          <w:rStyle w:val="2Char"/>
          <w:rFonts w:ascii="仿宋" w:eastAsia="仿宋" w:hAnsi="仿宋" w:hint="eastAsia"/>
        </w:rPr>
        <w:t>入决算表</w:t>
      </w:r>
      <w:bookmarkEnd w:id="64"/>
    </w:p>
    <w:p>
      <w:pPr>
        <w:pStyle w:val="2"/>
        <w:snapToGrid w:val="0"/>
        <w:spacing w:before="0" w:after="0" w:line="360" w:lineRule="auto"/>
        <w:ind w:firstLineChars="200" w:firstLine="640"/>
        <w:rPr>
          <w:rFonts w:ascii="仿宋" w:eastAsia="仿宋" w:hAnsi="仿宋"/>
        </w:rPr>
      </w:pPr>
      <w:bookmarkStart w:id="65"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5"/>
    </w:p>
    <w:p>
      <w:pPr>
        <w:pStyle w:val="2"/>
        <w:snapToGrid w:val="0"/>
        <w:spacing w:before="0" w:after="0" w:line="360" w:lineRule="auto"/>
        <w:ind w:firstLineChars="200" w:firstLine="640"/>
        <w:rPr>
          <w:rFonts w:ascii="仿宋" w:eastAsia="仿宋" w:hAnsi="仿宋"/>
          <w:b w:val="0"/>
        </w:rPr>
      </w:pPr>
      <w:bookmarkStart w:id="66"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6"/>
    </w:p>
    <w:p>
      <w:pPr>
        <w:pStyle w:val="2"/>
        <w:snapToGrid w:val="0"/>
        <w:spacing w:before="0" w:after="0" w:line="360" w:lineRule="auto"/>
        <w:ind w:firstLineChars="200" w:firstLine="640"/>
        <w:rPr>
          <w:rStyle w:val="2Char"/>
          <w:rFonts w:ascii="仿宋" w:eastAsia="仿宋" w:hAnsi="仿宋"/>
        </w:rPr>
      </w:pPr>
      <w:bookmarkStart w:id="67"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8" w:name="_Toc15396624"/>
      <w:bookmarkEnd w:id="67"/>
    </w:p>
    <w:p>
      <w:pPr>
        <w:pStyle w:val="2"/>
        <w:snapToGrid w:val="0"/>
        <w:spacing w:before="0" w:after="0" w:line="360" w:lineRule="auto"/>
        <w:ind w:firstLineChars="200" w:firstLine="640"/>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8"/>
    </w:p>
    <w:p>
      <w:pPr>
        <w:pStyle w:val="2"/>
        <w:snapToGrid w:val="0"/>
        <w:spacing w:before="0" w:after="0" w:line="360" w:lineRule="auto"/>
        <w:ind w:firstLineChars="200" w:firstLine="640"/>
        <w:rPr>
          <w:rFonts w:ascii="仿宋" w:eastAsia="仿宋" w:hAnsi="仿宋"/>
        </w:rPr>
      </w:pPr>
      <w:bookmarkStart w:id="69"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9"/>
    </w:p>
    <w:p>
      <w:pPr>
        <w:pStyle w:val="2"/>
        <w:snapToGrid w:val="0"/>
        <w:spacing w:before="0" w:after="0" w:line="360" w:lineRule="auto"/>
        <w:ind w:firstLineChars="200" w:firstLine="640"/>
        <w:rPr>
          <w:rFonts w:ascii="仿宋" w:eastAsia="仿宋" w:hAnsi="仿宋"/>
        </w:rPr>
      </w:pPr>
      <w:bookmarkStart w:id="70"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70"/>
    </w:p>
    <w:p>
      <w:pPr>
        <w:pStyle w:val="2"/>
        <w:snapToGrid w:val="0"/>
        <w:spacing w:before="0" w:after="0" w:line="360" w:lineRule="auto"/>
        <w:ind w:firstLineChars="200" w:firstLine="640"/>
        <w:rPr>
          <w:rFonts w:ascii="仿宋" w:eastAsia="仿宋" w:hAnsi="仿宋"/>
        </w:rPr>
      </w:pPr>
      <w:bookmarkStart w:id="71"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71"/>
    </w:p>
    <w:p>
      <w:pPr>
        <w:pStyle w:val="2"/>
        <w:snapToGrid w:val="0"/>
        <w:spacing w:before="0" w:after="0" w:line="360" w:lineRule="auto"/>
        <w:ind w:firstLineChars="200" w:firstLine="640"/>
        <w:rPr>
          <w:rFonts w:ascii="仿宋" w:eastAsia="仿宋" w:hAnsi="仿宋"/>
        </w:rPr>
      </w:pPr>
      <w:bookmarkStart w:id="72"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2"/>
    </w:p>
    <w:p>
      <w:pPr>
        <w:pStyle w:val="2"/>
        <w:snapToGrid w:val="0"/>
        <w:spacing w:before="0" w:after="0" w:line="360" w:lineRule="auto"/>
        <w:ind w:firstLineChars="200" w:firstLine="640"/>
        <w:rPr>
          <w:rFonts w:ascii="仿宋" w:eastAsia="仿宋" w:hAnsi="仿宋"/>
        </w:rPr>
      </w:pPr>
      <w:bookmarkStart w:id="73"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3"/>
    </w:p>
    <w:p>
      <w:pPr>
        <w:pStyle w:val="2"/>
        <w:snapToGrid w:val="0"/>
        <w:spacing w:before="0" w:after="0" w:line="360" w:lineRule="auto"/>
        <w:ind w:firstLineChars="200" w:firstLine="640"/>
        <w:rPr>
          <w:rFonts w:ascii="仿宋" w:eastAsia="仿宋" w:hAnsi="仿宋"/>
        </w:rPr>
      </w:pPr>
      <w:bookmarkStart w:id="74"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4"/>
    </w:p>
    <w:p>
      <w:pPr>
        <w:pStyle w:val="2"/>
        <w:snapToGrid w:val="0"/>
        <w:spacing w:before="0" w:after="0" w:line="360" w:lineRule="auto"/>
        <w:ind w:firstLineChars="200" w:firstLine="640"/>
        <w:rPr>
          <w:rStyle w:val="2Char"/>
          <w:rFonts w:ascii="仿宋" w:eastAsia="仿宋" w:hAnsi="仿宋"/>
        </w:rPr>
      </w:pPr>
      <w:bookmarkStart w:id="75"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5"/>
    </w:p>
    <w:p>
      <w:pPr>
        <w:snapToGrid w:val="0"/>
        <w:spacing w:line="360" w:lineRule="auto"/>
        <w:ind w:firstLineChars="200" w:firstLine="640"/>
      </w:pPr>
      <w:r>
        <w:rPr>
          <w:rStyle w:val="2Char"/>
          <w:rFonts w:ascii="仿宋" w:eastAsia="仿宋" w:hAnsi="仿宋" w:hint="eastAsia"/>
        </w:rPr>
        <w:t>十四、国有资本经营预算财政拨款支出决算表</w:t>
      </w:r>
    </w:p>
    <w:p/>
    <w:sectPr>
      <w:type w:val="continuous"/>
      <w:pgSz w:w="11906" w:h="16838"/>
      <w:pgMar w:top="1701" w:right="1474" w:bottom="1701" w:left="1587" w:header="851" w:footer="1304"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0000000000000000000"/>
    <w:charset w:val="86"/>
    <w:family w:val="auto"/>
    <w:pitch w:val="variable"/>
    <w:sig w:usb0="00000000" w:usb1="0000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楷体">
    <w:altName w:val="楷体_GB2312"/>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0000000000000000000"/>
    <w:charset w:val="86"/>
    <w:family w:val="modern"/>
    <w:pitch w:val="variable"/>
    <w:sig w:usb0="00000000" w:usb1="00000000" w:usb2="00000010" w:usb3="00000000" w:csb0="00040000" w:csb1="00000000"/>
  </w:font>
  <w:font w:name="Arial">
    <w:panose1 w:val="020B0604020202020204"/>
    <w:charset w:val="00"/>
    <w:family w:val="auto"/>
    <w:pitch w:val="variable"/>
    <w:sig w:usb0="00007A87" w:usb1="80000000" w:usb2="00000008" w:usb3="00000000" w:csb0="400001FF" w:csb1="FFFF0000"/>
  </w:font>
  <w:font w:name="Calibri">
    <w:altName w:val="Times New Roman"/>
    <w:panose1 w:val="020F0502020204030204"/>
    <w:charset w:val="00"/>
    <w:family w:val="swiss"/>
    <w:pitch w:val="variable"/>
    <w:sig w:usb0="E4002EFF" w:usb1="C200247B" w:usb2="00000009" w:usb3="00000000" w:csb0="000001FF" w:csb1="00000000"/>
  </w:font>
  <w:font w:name="方正黑体简体">
    <w:altName w:val="微软雅黑"/>
    <w:panose1 w:val="00000000000000000000"/>
    <w:charset w:val="86"/>
    <w:family w:val="auto"/>
    <w:pitch w:val="variable"/>
    <w:sig w:usb0="00000000" w:usb1="00000000" w:usb2="00000010" w:usb3="00000000" w:csb0="00040000" w:csb1="00000000"/>
  </w:font>
  <w:font w:name="方正仿宋简体">
    <w:altName w:val="微软雅黑"/>
    <w:panose1 w:val="00000000000000000000"/>
    <w:charset w:val="86"/>
    <w:family w:val="auto"/>
    <w:pitch w:val="variable"/>
    <w:sig w:usb0="00000000" w:usb1="00000000" w:usb2="00000010" w:usb3="00000000" w:csb0="00040000" w:csb1="00000000"/>
  </w:font>
  <w:font w:name="Malgun Gothic">
    <w:altName w:val="楷体_GB2312"/>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6FF" w:usb1="420024FF" w:usb2="02000000" w:usb3="00000000" w:csb0="0000019F" w:csb1="00000000"/>
  </w:font>
  <w:font w:name="??">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ind w:right="360" w:firstLine="360"/>
    </w:pPr>
    <w:r>
      <mc:AlternateContent>
        <mc:Choice Requires="wps">
          <w:drawing>
            <wp:anchor distT="0" distB="0" distL="114297" distR="114297" simplePos="0" relativeHeight="24" behindDoc="0" locked="0" layoutInCell="1" hidden="0" allowOverlap="1">
              <wp:simplePos x="0" y="0"/>
              <wp:positionH relativeFrom="margin">
                <wp:align>outside</wp:align>
              </wp:positionH>
              <wp:positionV relativeFrom="paragraph">
                <wp:posOffset>0</wp:posOffset>
              </wp:positionV>
              <wp:extent cx="622300" cy="230250"/>
              <wp:effectExtent l="0" t="0" r="0" b="0"/>
              <wp:wrapNone/>
              <wp:docPr id="1" name="文本框 4"/>
              <wp:cNvGraphicFramePr>
                <a:graphicFrameLocks noChangeAspect="0"/>
              </wp:cNvGraphicFramePr>
              <a:graphic>
                <a:graphicData uri="http://schemas.microsoft.com/office/word/2010/wordprocessingShape">
                  <wps:wsp>
                    <wps:cNvSpPr/>
                    <wps:spPr>
                      <a:xfrm rot="0">
                        <a:off x="0" y="0"/>
                        <a:ext cx="622300" cy="230250"/>
                      </a:xfrm>
                      <a:prstGeom prst="rect"/>
                      <a:noFill/>
                      <a:ln w="6350" cmpd="sng" cap="flat">
                        <a:noFill/>
                        <a:prstDash val="solid"/>
                        <a:round/>
                      </a:ln>
                    </wps:spPr>
                    <wps:txbx id="1">
                      <w:txbxContent>
                        <w:p>
                          <w:pPr>
                            <w:pStyle w:val="18"/>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7</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0">
                      <a:spAutoFit/>
                    </wps:bodyPr>
                  </wps:wsp>
                </a:graphicData>
              </a:graphic>
            </wp:anchor>
          </w:drawing>
        </mc:Choice>
        <mc:Fallback>
          <w:pict>
            <v:rect type="#_x0000_t1" id="文本框 4" o:spid="_x0000_s2" filled="f" stroked="f" strokeweight="0.5pt" style="position:absolute;margin-left:0.0pt;margin-top:0.0pt;width:49.0pt;height:18.13pt;z-index:24;mso-position-horizontal:outside;mso-position-horizontal-relative:margin;mso-position-vertical:absolute;mso-wrap-distance-left:8.999843pt;mso-wrap-distance-right:8.999843pt;mso-wrap-style:none;">
              <v:stroke/>
              <v:textbox id="848" inset="0mm,0mm,0mm,0mm" o:insetmode="custom" style="layout-flow:horizontal;v-text-anchor:top;mso-fit-shape-to-text:t;">
                <w:txbxContent>
                  <w:p>
                    <w:pPr>
                      <w:pStyle w:val="18"/>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7</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ind w:right="360" w:firstLine="360"/>
    </w:pPr>
    <w:r>
      <mc:AlternateContent>
        <mc:Choice Requires="wps">
          <w:drawing>
            <wp:anchor distT="0" distB="0" distL="114297" distR="114297" simplePos="0" relativeHeight="28" behindDoc="0" locked="0" layoutInCell="1" hidden="0" allowOverlap="1">
              <wp:simplePos x="0" y="0"/>
              <wp:positionH relativeFrom="margin">
                <wp:align>outside</wp:align>
              </wp:positionH>
              <wp:positionV relativeFrom="paragraph">
                <wp:posOffset>0</wp:posOffset>
              </wp:positionV>
              <wp:extent cx="711200" cy="230584"/>
              <wp:effectExtent l="0" t="0" r="0" b="0"/>
              <wp:wrapNone/>
              <wp:docPr id="6" name="文本框 11"/>
              <wp:cNvGraphicFramePr>
                <a:graphicFrameLocks noChangeAspect="0"/>
              </wp:cNvGraphicFramePr>
              <a:graphic>
                <a:graphicData uri="http://schemas.microsoft.com/office/word/2010/wordprocessingShape">
                  <wps:wsp>
                    <wps:cNvSpPr/>
                    <wps:spPr>
                      <a:xfrm rot="0">
                        <a:off x="0" y="0"/>
                        <a:ext cx="711200" cy="230584"/>
                      </a:xfrm>
                      <a:prstGeom prst="rect"/>
                      <a:noFill/>
                      <a:ln w="6350" cmpd="sng" cap="flat">
                        <a:noFill/>
                        <a:prstDash val="solid"/>
                        <a:round/>
                      </a:ln>
                    </wps:spPr>
                    <wps:txbx id="4">
                      <w:txbxContent>
                        <w:p>
                          <w:pPr>
                            <w:pStyle w:val="18"/>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37</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0">
                      <a:spAutoFit/>
                    </wps:bodyPr>
                  </wps:wsp>
                </a:graphicData>
              </a:graphic>
            </wp:anchor>
          </w:drawing>
        </mc:Choice>
        <mc:Fallback>
          <w:pict>
            <v:rect type="#_x0000_t1" id="文本框 11" o:spid="_x0000_s5" filled="f" stroked="f" strokeweight="0.5pt" style="position:absolute;margin-left:0.0pt;margin-top:0.0pt;width:56.000015pt;height:18.15628pt;z-index:28;mso-position-horizontal:outside;mso-position-horizontal-relative:margin;mso-position-vertical:absolute;mso-wrap-distance-left:8.999843pt;mso-wrap-distance-right:8.999843pt;mso-wrap-style:none;">
              <v:stroke/>
              <v:textbox id="849" inset="0mm,0mm,0mm,0mm" o:insetmode="custom" style="layout-flow:horizontal;v-text-anchor:top;mso-fit-shape-to-text:t;">
                <w:txbxContent>
                  <w:p>
                    <w:pPr>
                      <w:pStyle w:val="18"/>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37</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87" w:lineRule="auto"/>
      <w:ind w:firstLine="679"/>
      <w:rPr>
        <w:rFonts w:ascii="仿宋" w:eastAsia="仿宋" w:cs="仿宋" w:hAnsi="仿宋"/>
        <w:sz w:val="32"/>
        <w:szCs w:val="32"/>
      </w:rPr>
    </w:pPr>
    <w:r>
      <w:rPr>
        <w:sz w:val="32"/>
      </w:rPr>
      <mc:AlternateContent>
        <mc:Choice Requires="wps">
          <w:drawing>
            <wp:anchor distT="0" distB="0" distL="114297" distR="114297" simplePos="0" relativeHeight="32" behindDoc="0" locked="0" layoutInCell="1" hidden="0" allowOverlap="1">
              <wp:simplePos x="0" y="0"/>
              <wp:positionH relativeFrom="margin">
                <wp:align>outside</wp:align>
              </wp:positionH>
              <wp:positionV relativeFrom="paragraph">
                <wp:posOffset>0</wp:posOffset>
              </wp:positionV>
              <wp:extent cx="711200" cy="230250"/>
              <wp:effectExtent l="0" t="0" r="0" b="0"/>
              <wp:wrapNone/>
              <wp:docPr id="16" name="文本框 8"/>
              <wp:cNvGraphicFramePr>
                <a:graphicFrameLocks noChangeAspect="0"/>
              </wp:cNvGraphicFramePr>
              <a:graphic>
                <a:graphicData uri="http://schemas.microsoft.com/office/word/2010/wordprocessingShape">
                  <wps:wsp>
                    <wps:cNvSpPr/>
                    <wps:spPr>
                      <a:xfrm rot="0">
                        <a:off x="0" y="0"/>
                        <a:ext cx="711200" cy="230250"/>
                      </a:xfrm>
                      <a:prstGeom prst="rect"/>
                      <a:noFill/>
                      <a:ln w="6350" cmpd="sng" cap="flat">
                        <a:noFill/>
                        <a:prstDash val="solid"/>
                        <a:round/>
                      </a:ln>
                    </wps:spPr>
                    <wps:txbx id="6">
                      <w:txbxContent>
                        <w:p>
                          <w:pPr>
                            <w:pStyle w:val="18"/>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hint="eastAsia"/>
                              <w:sz w:val="28"/>
                              <w:szCs w:val="28"/>
                            </w:rPr>
                            <w:t>49</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0">
                      <a:spAutoFit/>
                    </wps:bodyPr>
                  </wps:wsp>
                </a:graphicData>
              </a:graphic>
            </wp:anchor>
          </w:drawing>
        </mc:Choice>
        <mc:Fallback>
          <w:pict>
            <v:rect type="#_x0000_t1" id="文本框 8" o:spid="_x0000_s7" filled="f" stroked="f" strokeweight="0.5pt" style="position:absolute;margin-left:0.0pt;margin-top:0.0pt;width:56.000004pt;height:18.13pt;z-index:32;mso-position-horizontal:outside;mso-position-horizontal-relative:margin;mso-position-vertical:absolute;mso-wrap-distance-left:8.999843pt;mso-wrap-distance-right:8.999843pt;mso-wrap-style:none;">
              <v:stroke/>
              <v:textbox id="850" inset="0mm,0mm,0mm,0mm" o:insetmode="custom" style="layout-flow:horizontal;v-text-anchor:top;mso-fit-shape-to-text:t;">
                <w:txbxContent>
                  <w:p>
                    <w:pPr>
                      <w:pStyle w:val="18"/>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hint="eastAsia"/>
                        <w:sz w:val="28"/>
                        <w:szCs w:val="28"/>
                      </w:rPr>
                      <w:t>49</w:t>
                    </w:r>
                    <w:r>
                      <w:rPr>
                        <w:rFonts w:ascii="宋体" w:cs="宋体" w:hAnsi="宋体" w:hint="eastAsia"/>
                        <w:sz w:val="28"/>
                        <w:szCs w:val="28"/>
                      </w:rPr>
                      <w:fldChar w:fldCharType="end"/>
                    </w:r>
                    <w:r>
                      <w:rPr>
                        <w:rFonts w:ascii="宋体" w:cs="宋体" w:hAnsi="宋体" w:hint="eastAsia"/>
                        <w:sz w:val="28"/>
                        <w:szCs w:val="28"/>
                      </w:rPr>
                      <w:t xml:space="preserve"> —</w:t>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3">
    <w:nsid w:val="68EF85FF"/>
    <w:multiLevelType w:val="singleLevel"/>
    <w:tmpl w:val="68EF85FF"/>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TE1YWNhNGU3MTRiMzk3NWYyMGRhMmMxMDdhYzgzZjM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rFonts w:ascii="Times New Roman" w:eastAsia="宋体" w:cs="Times New Roman" w:hAnsi="Times New Roman"/>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rFonts w:ascii="Times New Roman" w:eastAsia="宋体" w:cs="Times New Roman" w:hAnsi="Times New Roman"/>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w:qFormat/>
    <w:basedOn w:val="0"/>
    <w:pPr>
      <w:spacing w:beforeLines="30" w:before="30"/>
    </w:pPr>
    <w:rPr>
      <w:rFonts w:ascii="仿宋_GB2312" w:eastAsia="仿宋_GB2312" w:cs="Times New Roman" w:hAnsi="Times New Roman"/>
      <w:kern w:val="0"/>
      <w:sz w:val="30"/>
      <w:szCs w:val="24"/>
    </w:rPr>
  </w:style>
  <w:style w:type="paragraph" w:styleId="16">
    <w:name w:val="toc 3"/>
    <w:qFormat/>
    <w:basedOn w:val="0"/>
    <w:next w:val="0"/>
    <w:pPr>
      <w:tabs>
        <w:tab w:val="right" w:leader="dot" w:pos="8296"/>
      </w:tabs>
      <w:ind w:leftChars="400" w:left="400"/>
    </w:pPr>
    <w:rPr>
      <w:rFonts w:ascii="Times New Roman" w:eastAsia="宋体" w:cs="Times New Roman" w:hAnsi="Times New Roman"/>
      <w:szCs w:val="24"/>
    </w:rPr>
  </w:style>
  <w:style w:type="paragraph" w:styleId="17">
    <w:name w:val="Balloon Text"/>
    <w:qFormat/>
    <w:basedOn w:val="0"/>
    <w:rPr>
      <w:rFonts w:ascii="Times New Roman" w:eastAsia="宋体" w:cs="Times New Roman" w:hAnsi="Times New Roman"/>
      <w:sz w:val="18"/>
      <w:szCs w:val="18"/>
    </w:rPr>
  </w:style>
  <w:style w:type="paragraph" w:styleId="18">
    <w:name w:val="footer"/>
    <w:qFormat/>
    <w:basedOn w:val="0"/>
    <w:pPr>
      <w:tabs>
        <w:tab w:val="center" w:pos="4153"/>
        <w:tab w:val="right" w:pos="8306"/>
      </w:tabs>
      <w:snapToGrid w:val="0"/>
      <w:jc w:val="left"/>
    </w:pPr>
    <w:rPr>
      <w:rFonts w:ascii="Calibri" w:eastAsia="宋体" w:cs="Times New Roman" w:hAnsi="Calibri"/>
      <w:kern w:val="0"/>
      <w:sz w:val="18"/>
      <w:szCs w:val="18"/>
    </w:rPr>
  </w:style>
  <w:style w:type="paragraph" w:styleId="19">
    <w:name w:val="header"/>
    <w:qFormat/>
    <w:basedOn w:val="0"/>
    <w:pPr>
      <w:pBdr>
        <w:bottom w:val="single" w:sz="6" w:space="1" w:color="auto"/>
      </w:pBdr>
      <w:tabs>
        <w:tab w:val="center" w:pos="4153"/>
        <w:tab w:val="right" w:pos="8306"/>
      </w:tabs>
      <w:snapToGrid w:val="0"/>
      <w:jc w:val="center"/>
    </w:pPr>
    <w:rPr>
      <w:rFonts w:ascii="Calibri" w:eastAsia="宋体" w:cs="Times New Roman" w:hAnsi="Calibri"/>
      <w:kern w:val="0"/>
      <w:sz w:val="18"/>
      <w:szCs w:val="18"/>
    </w:rPr>
  </w:style>
  <w:style w:type="paragraph" w:styleId="20">
    <w:name w:val="toc 1"/>
    <w:qFormat/>
    <w:basedOn w:val="0"/>
    <w:next w:val="0"/>
    <w:pPr>
      <w:tabs>
        <w:tab w:val="right" w:leader="dot" w:pos="8296"/>
      </w:tabs>
      <w:spacing w:before="93"/>
      <w:jc w:val="center"/>
    </w:pPr>
    <w:rPr>
      <w:rFonts w:ascii="仿宋" w:eastAsia="仿宋" w:cs="Times New Roman" w:hAnsi="仿宋"/>
      <w:sz w:val="28"/>
      <w:szCs w:val="28"/>
    </w:rPr>
  </w:style>
  <w:style w:type="paragraph" w:styleId="21">
    <w:name w:val="toc 2"/>
    <w:qFormat/>
    <w:basedOn w:val="0"/>
    <w:next w:val="0"/>
    <w:pPr>
      <w:tabs>
        <w:tab w:val="right" w:leader="dot" w:pos="8296"/>
      </w:tabs>
      <w:ind w:leftChars="200" w:left="200"/>
    </w:pPr>
    <w:rPr>
      <w:rFonts w:ascii="Times New Roman" w:eastAsia="宋体" w:cs="Times New Roman" w:hAnsi="Times New Roman"/>
      <w:szCs w:val="24"/>
    </w:rPr>
  </w:style>
  <w:style w:type="paragraph" w:styleId="22">
    <w:name w:val="Body Text 2"/>
    <w:qFormat/>
    <w:basedOn w:val="0"/>
    <w:pPr>
      <w:spacing w:before="120" w:after="120"/>
      <w:ind w:firstLine="640"/>
      <w:jc w:val="center"/>
    </w:pPr>
    <w:rPr>
      <w:rFonts w:ascii="宋体" w:eastAsia="方正仿宋简体" w:cs="Times New Roman" w:hAnsi="宋体"/>
      <w:szCs w:val="20"/>
    </w:rPr>
  </w:style>
  <w:style w:type="paragraph" w:styleId="23">
    <w:name w:val="Normal (Web)"/>
    <w:qFormat/>
    <w:basedOn w:val="0"/>
    <w:pPr>
      <w:widowControl/>
      <w:spacing w:before="100" w:beforeAutospacing="1" w:after="100" w:afterAutospacing="1"/>
      <w:jc w:val="left"/>
    </w:pPr>
    <w:rPr>
      <w:rFonts w:ascii="宋体" w:eastAsia="宋体" w:cs="宋体" w:hAnsi="宋体"/>
      <w:kern w:val="0"/>
      <w:sz w:val="24"/>
      <w:szCs w:val="24"/>
    </w:rPr>
  </w:style>
  <w:style w:type="character" w:styleId="24">
    <w:name w:val="Strong"/>
    <w:qFormat/>
    <w:basedOn w:val="10"/>
    <w:rPr>
      <w:b/>
    </w:rPr>
  </w:style>
  <w:style w:type="character" w:styleId="25">
    <w:name w:val="page number"/>
    <w:qFormat/>
    <w:basedOn w:val="10"/>
  </w:style>
  <w:style w:type="character" w:styleId="26">
    <w:name w:val="Hyperlink"/>
    <w:qFormat/>
    <w:basedOn w:val="10"/>
    <w:rPr>
      <w:color w:val="0000FF"/>
      <w:u w:val="single"/>
    </w:rPr>
  </w:style>
  <w:style w:type="character" w:customStyle="1" w:styleId="27">
    <w:name w:val="Header Char"/>
    <w:qFormat/>
    <w:basedOn w:val="10"/>
    <w:rPr>
      <w:rFonts w:ascii="Times New Roman" w:hAnsi="Times New Roman"/>
      <w:sz w:val="18"/>
      <w:szCs w:val="18"/>
    </w:rPr>
  </w:style>
  <w:style w:type="character" w:customStyle="1" w:styleId="28">
    <w:name w:val="Footer Char"/>
    <w:qFormat/>
    <w:basedOn w:val="10"/>
    <w:rPr>
      <w:rFonts w:ascii="Times New Roman" w:hAnsi="Times New Roman"/>
      <w:sz w:val="18"/>
      <w:szCs w:val="18"/>
    </w:rPr>
  </w:style>
  <w:style w:type="character" w:customStyle="1" w:styleId="29">
    <w:name w:val="Body Text Char"/>
    <w:qFormat/>
    <w:basedOn w:val="10"/>
    <w:rPr>
      <w:rFonts w:ascii="Times New Roman" w:hAnsi="Times New Roman"/>
      <w:szCs w:val="24"/>
    </w:rPr>
  </w:style>
  <w:style w:type="paragraph" w:customStyle="1" w:styleId="30">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1">
    <w:name w:val="List Paragraph"/>
    <w:qFormat/>
    <w:basedOn w:val="0"/>
    <w:pPr>
      <w:ind w:firstLineChars="200" w:firstLine="200"/>
    </w:pPr>
    <w:rPr>
      <w:rFonts w:ascii="Times New Roman" w:eastAsia="宋体" w:cs="Times New Roman" w:hAnsi="Times New Roman"/>
      <w:szCs w:val="24"/>
    </w:rPr>
  </w:style>
  <w:style w:type="paragraph" w:customStyle="1" w:styleId="32">
    <w:name w:val="TOC 标题1"/>
    <w:qFormat/>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3">
    <w:name w:val="TOC 标题2"/>
    <w:qFormat/>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4">
    <w:name w:val="四号正文"/>
    <w:qFormat/>
    <w:basedOn w:val="0"/>
    <w:pPr>
      <w:spacing w:line="360" w:lineRule="auto"/>
    </w:pPr>
    <w:rPr>
      <w:rFonts w:ascii="??" w:eastAsia="Times New Roman" w:cs="Times New Roman" w:hAnsi="??"/>
      <w:color w:val="000000"/>
      <w:kern w:val="0"/>
      <w:sz w:val="28"/>
      <w:szCs w:val="21"/>
    </w:rPr>
  </w:style>
  <w:style w:type="character" w:customStyle="1" w:styleId="35">
    <w:name w:val="NormalCharacter"/>
    <w:qForma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footer" Target="footer3.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customXml" Target="../customXml/item1.xml"/><Relationship Id="rId16"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5"/>
          <c:y val="0.025191"/>
          <c:w val="0.80216634"/>
          <c:h val="0.8474752"/>
        </c:manualLayout>
      </c:layout>
      <c:barChart>
        <c:barDir val="col"/>
        <c:grouping val="clustered"/>
        <c:varyColors val="0"/>
        <c:ser>
          <c:idx val="1"/>
          <c:order val="0"/>
          <c:spPr>
            <a:solidFill>
              <a:srgbClr val="C0504D"/>
            </a:solidFill>
          </c:spPr>
          <c:invertIfNegative val="0"/>
          <c:dLbls>
            <c:showLegendKey val="0"/>
            <c:showVal val="0"/>
            <c:showCatName val="0"/>
            <c:showSerName val="0"/>
            <c:showPercent val="0"/>
            <c:showBubbleSize val="0"/>
            <c:showLeaderLines val="0"/>
          </c:dLbls>
          <c:cat>
            <c:strRef>
              <c:f>Sheet1!$A$2:$A$3</c:f>
              <c:strCache>
                <c:ptCount val="2"/>
                <c:pt idx="0">
                  <c:v>2020年</c:v>
                </c:pt>
                <c:pt idx="1">
                  <c:v>2021年</c:v>
                </c:pt>
              </c:strCache>
            </c:strRef>
          </c:cat>
          <c:val>
            <c:numRef>
              <c:f/>
              <c:numCache>
                <c:formatCode>General</c:formatCode>
                <c:ptCount val="1"/>
                <c:pt idx="0">
                  <c:v>1.0</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crossBetween val="between"/>
        <c:crossAx val="0"/>
      </c:valAx>
      <c:spPr>
        <a:solidFill>
          <a:srgbClr val="FFFFFF"/>
        </a:solidFill>
      </c:spPr>
    </c:plotArea>
    <c:legend>
      <c:legendPos val="r"/>
      <c:layout>
        <c:manualLayout>
          <c:xMode val="edge"/>
          <c:yMode val="edge"/>
          <c:x val="0.9150124"/>
          <c:y val="0.067171715"/>
          <c:w val="0.05719603"/>
          <c:h val="0.829798"/>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a:noFill/>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(2)'!$B$1</c:f>
              <c:strCache>
                <c:ptCount val="1"/>
                <c:pt idx="0">
                  <c:v>收入额（万元）</c:v>
                </c:pt>
              </c:strCache>
            </c:strRef>
          </c:tx>
          <c:spPr>
            <a:solidFill>
              <a:srgbClr val="4F81BD"/>
            </a:solidFill>
          </c:spPr>
          <c:dPt>
            <c:idx val="0"/>
            <c:bubble3D val="0"/>
            <c:spPr>
              <a:solidFill>
                <a:srgbClr val="4572A7"/>
              </a:solidFill>
            </c:spPr>
          </c:dPt>
          <c:dPt>
            <c:idx val="1"/>
            <c:bubble3D val="0"/>
            <c:spPr>
              <a:solidFill>
                <a:srgbClr val="AA4643"/>
              </a:solidFill>
            </c:spPr>
          </c:dPt>
          <c:dPt>
            <c:idx val="2"/>
            <c:bubble3D val="0"/>
            <c:spPr>
              <a:solidFill>
                <a:srgbClr val="89A54E"/>
              </a:solidFill>
            </c:spPr>
          </c:dPt>
          <c:dPt>
            <c:idx val="3"/>
            <c:bubble3D val="0"/>
            <c:spPr>
              <a:solidFill>
                <a:srgbClr val="71588F"/>
              </a:solidFill>
            </c:spPr>
          </c:dPt>
          <c:dPt>
            <c:idx val="4"/>
            <c:bubble3D val="0"/>
            <c:spPr>
              <a:solidFill>
                <a:srgbClr val="4198AF"/>
              </a:solidFill>
            </c:spPr>
          </c:dPt>
          <c:dPt>
            <c:idx val="5"/>
            <c:bubble3D val="0"/>
            <c:spPr>
              <a:solidFill>
                <a:srgbClr val="DB843D"/>
              </a:solidFill>
            </c:spPr>
          </c:dPt>
          <c:dPt>
            <c:idx val="6"/>
            <c:bubble3D val="0"/>
            <c:spPr>
              <a:solidFill>
                <a:srgbClr val="93A9CF"/>
              </a:solidFill>
            </c:spPr>
          </c:dPt>
          <c:dLbls>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16201805"/>
                  <c:y val="-0.0085328985"/>
                </c:manualLayout>
              </c:layout>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一般公共预算财政拨款收入</a:t>
                    </a:r>
                    <a:r>
                      <a:rPr lang="zh-CN" sz="1000" b="0" i="0" u="none" strike="noStrike" baseline="0">
                        <a:solidFill>
                          <a:srgbClr val="000000"/>
                        </a:solidFill>
                        <a:latin typeface="Times New Roman"/>
                        <a:ea typeface="宋体"/>
                        <a:cs typeface="Lucida Sans"/>
                      </a:rPr>
                      <a:t>, 693.52</a:t>
                    </a:r>
                    <a:r>
                      <a:rPr lang="zh-CN" sz="1000" b="0" i="0" u="none" strike="noStrike" baseline="0">
                        <a:solidFill>
                          <a:srgbClr val="000000"/>
                        </a:solidFill>
                        <a:latin typeface="Times New Roman"/>
                        <a:ea typeface="宋体"/>
                        <a:cs typeface="Lucida Sans"/>
                      </a:rPr>
                      <a:t>万元</a:t>
                    </a:r>
                    <a:r>
                      <a:rPr lang="zh-CN" sz="1000" b="0" i="0" u="none" strike="noStrike" baseline="0">
                        <a:solidFill>
                          <a:srgbClr val="000000"/>
                        </a:solidFill>
                        <a:latin typeface="Times New Roman"/>
                        <a:ea typeface="宋体"/>
                        <a:cs typeface="Lucida Sans"/>
                      </a:rPr>
                      <a:t>, 98.87%</a:t>
                    </a:r>
                  </a:p>
                </c:rich>
              </c:tx>
              <c:showLegendKey val="0"/>
              <c:showVal val="1"/>
              <c:showCatName val="1"/>
              <c:showSerName val="0"/>
              <c:showPercent val="1"/>
              <c:showBubbleSize val="0"/>
            </c:dLbl>
            <c:dLbl>
              <c:idx val="1"/>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dLbl>
              <c:idx val="2"/>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dLbl>
              <c:idx val="3"/>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dLbl>
              <c:idx val="4"/>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dLbl>
              <c:idx val="5"/>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dLbl>
              <c:idx val="6"/>
              <c:layout>
                <c:manualLayout>
                  <c:x val="-0.19289134"/>
                  <c:y val="0.001472325"/>
                </c:manualLayout>
              </c:layout>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其它收入</a:t>
                    </a:r>
                    <a:r>
                      <a:rPr lang="zh-CN" sz="1000" b="0" i="0" u="none" strike="noStrike" baseline="0">
                        <a:solidFill>
                          <a:srgbClr val="000000"/>
                        </a:solidFill>
                        <a:latin typeface="Times New Roman"/>
                        <a:ea typeface="宋体"/>
                        <a:cs typeface="Lucida Sans"/>
                      </a:rPr>
                      <a:t>, 7.89</a:t>
                    </a:r>
                    <a:r>
                      <a:rPr lang="zh-CN" sz="1000" b="0" i="0" u="none" strike="noStrike" baseline="0">
                        <a:solidFill>
                          <a:srgbClr val="000000"/>
                        </a:solidFill>
                        <a:latin typeface="Times New Roman"/>
                        <a:ea typeface="宋体"/>
                        <a:cs typeface="Lucida Sans"/>
                      </a:rPr>
                      <a:t>万元</a:t>
                    </a:r>
                    <a:r>
                      <a:rPr lang="zh-CN" sz="1000" b="0" i="0" u="none" strike="noStrike" baseline="0">
                        <a:solidFill>
                          <a:srgbClr val="000000"/>
                        </a:solidFill>
                        <a:latin typeface="Times New Roman"/>
                        <a:ea typeface="宋体"/>
                        <a:cs typeface="Lucida Sans"/>
                      </a:rPr>
                      <a:t>, 1.13%</a:t>
                    </a:r>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'Sheet1 (2)'!$A$2:$A$8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 (2)'!$B$2:$B$8</c:f>
              <c:numCache>
                <c:formatCode>General</c:formatCode>
                <c:ptCount val="7"/>
                <c:pt idx="0">
                  <c:v>75128.06</c:v>
                </c:pt>
                <c:pt idx="1">
                  <c:v>0.0</c:v>
                </c:pt>
                <c:pt idx="2">
                  <c:v>0.0</c:v>
                </c:pt>
                <c:pt idx="3">
                  <c:v>0.0</c:v>
                </c:pt>
                <c:pt idx="4">
                  <c:v>0.0</c:v>
                </c:pt>
                <c:pt idx="5">
                  <c:v>0.0</c:v>
                </c:pt>
                <c:pt idx="6">
                  <c:v>3602.52</c:v>
                </c:pt>
              </c:numCache>
            </c:numRef>
          </c:val>
        </c:ser>
        <c:firstSliceAng val="307"/>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a:effectLst>
      <a:outerShdw sx="100000" sy="100000" algn="tl" rotWithShape="0" blurRad="50800" dist="38100" dir="2700000">
        <a:srgbClr val="000000">
          <a:alpha val="39607"/>
        </a:srgbClr>
      </a:outerShdw>
    </a:effectLs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(3)'!$B$1</c:f>
              <c:strCache>
                <c:ptCount val="1"/>
                <c:pt idx="0">
                  <c:v>支出数（万元）</c:v>
                </c:pt>
              </c:strCache>
            </c:strRef>
          </c:tx>
          <c:spPr>
            <a:solidFill>
              <a:srgbClr val="4F81BD"/>
            </a:solidFill>
          </c:spPr>
          <c:dPt>
            <c:idx val="0"/>
            <c:bubble3D val="0"/>
            <c:spPr>
              <a:solidFill>
                <a:srgbClr val="D99694"/>
              </a:solidFill>
            </c:spPr>
          </c:dPt>
          <c:dPt>
            <c:idx val="1"/>
            <c:bubble3D val="0"/>
            <c:spPr>
              <a:solidFill>
                <a:srgbClr val="D7E4B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13395073"/>
                  <c:y val="-0.20755196"/>
                </c:manualLayout>
              </c:layout>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基本支出</a:t>
                    </a:r>
                    <a:r>
                      <a:rPr lang="zh-CN" sz="1000" b="0" i="0" u="none" strike="noStrike" baseline="0">
                        <a:solidFill>
                          <a:srgbClr val="000000"/>
                        </a:solidFill>
                        <a:latin typeface="Times New Roman"/>
                        <a:ea typeface="宋体"/>
                        <a:cs typeface="Lucida Sans"/>
                      </a:rPr>
                      <a:t>, 696.6</a:t>
                    </a:r>
                    <a:r>
                      <a:rPr lang="zh-CN" sz="1000" b="0" i="0" u="none" strike="noStrike" baseline="0">
                        <a:solidFill>
                          <a:srgbClr val="000000"/>
                        </a:solidFill>
                        <a:latin typeface="Times New Roman"/>
                        <a:ea typeface="宋体"/>
                        <a:cs typeface="Lucida Sans"/>
                      </a:rPr>
                      <a:t>万元</a:t>
                    </a:r>
                    <a:r>
                      <a:rPr lang="zh-CN" sz="1000" b="0" i="0" u="none" strike="noStrike" baseline="0">
                        <a:solidFill>
                          <a:srgbClr val="000000"/>
                        </a:solidFill>
                        <a:latin typeface="Times New Roman"/>
                        <a:ea typeface="宋体"/>
                        <a:cs typeface="Lucida Sans"/>
                      </a:rPr>
                      <a:t>, 91.24%</a:t>
                    </a:r>
                  </a:p>
                </c:rich>
              </c:tx>
              <c:showLegendKey val="0"/>
              <c:showVal val="1"/>
              <c:showCatName val="1"/>
              <c:showSerName val="0"/>
              <c:showPercent val="1"/>
              <c:showBubbleSize val="0"/>
            </c:dLbl>
            <c:dLbl>
              <c:idx val="1"/>
              <c:layout>
                <c:manualLayout>
                  <c:x val="-0.06244756"/>
                  <c:y val="0.070685156"/>
                </c:manualLayout>
              </c:layout>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项目支出</a:t>
                    </a:r>
                    <a:r>
                      <a:rPr lang="zh-CN" sz="1000" b="0" i="0" u="none" strike="noStrike" baseline="0">
                        <a:solidFill>
                          <a:srgbClr val="000000"/>
                        </a:solidFill>
                        <a:latin typeface="Times New Roman"/>
                        <a:ea typeface="宋体"/>
                        <a:cs typeface="Lucida Sans"/>
                      </a:rPr>
                      <a:t>, 66.85</a:t>
                    </a:r>
                    <a:r>
                      <a:rPr lang="zh-CN" sz="1000" b="0" i="0" u="none" strike="noStrike" baseline="0">
                        <a:solidFill>
                          <a:srgbClr val="000000"/>
                        </a:solidFill>
                        <a:latin typeface="Times New Roman"/>
                        <a:ea typeface="宋体"/>
                        <a:cs typeface="Lucida Sans"/>
                      </a:rPr>
                      <a:t>万元</a:t>
                    </a:r>
                    <a:r>
                      <a:rPr lang="zh-CN" sz="1000" b="0" i="0" u="none" strike="noStrike" baseline="0">
                        <a:solidFill>
                          <a:srgbClr val="000000"/>
                        </a:solidFill>
                        <a:latin typeface="Times New Roman"/>
                        <a:ea typeface="宋体"/>
                        <a:cs typeface="Lucida Sans"/>
                      </a:rPr>
                      <a:t>, 8.76%</a:t>
                    </a:r>
                  </a:p>
                </c:rich>
              </c:tx>
              <c:showLegendKey val="0"/>
              <c:showVal val="1"/>
              <c:showCatName val="1"/>
              <c:showSerName val="0"/>
              <c:showPercent val="1"/>
              <c:showBubbleSize val="0"/>
            </c:dLbl>
            <c:dLbl>
              <c:idx val="2"/>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dLbl>
              <c:idx val="3"/>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dLbl>
              <c:idx val="4"/>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showLegendKey val="0"/>
            <c:showVal val="1"/>
            <c:showCatName val="1"/>
            <c:showSerName val="0"/>
            <c:showPercent val="1"/>
            <c:showBubbleSize val="0"/>
            <c:showLeaderLines val="1"/>
          </c:dLbls>
          <c:cat>
            <c:strRef>
              <c:f>'Sheet1 (3)'!$A$2:$A$6</c:f>
              <c:strCache>
                <c:ptCount val="5"/>
                <c:pt idx="0">
                  <c:v>基本支出</c:v>
                </c:pt>
                <c:pt idx="1">
                  <c:v>项目支出</c:v>
                </c:pt>
                <c:pt idx="2">
                  <c:v>上缴上级支出</c:v>
                </c:pt>
                <c:pt idx="3">
                  <c:v>经营支出</c:v>
                </c:pt>
                <c:pt idx="4">
                  <c:v>对附属单位补助支出</c:v>
                </c:pt>
              </c:strCache>
            </c:strRef>
          </c:cat>
          <c:val>
            <c:numRef>
              <c:f>'Sheet1 (3)'!$B$2:$B$6</c:f>
              <c:numCache>
                <c:formatCode>General</c:formatCode>
                <c:ptCount val="5"/>
                <c:pt idx="0">
                  <c:v>1713.39</c:v>
                </c:pt>
                <c:pt idx="1">
                  <c:v>408.44</c:v>
                </c:pt>
                <c:pt idx="2">
                  <c:v>0.0</c:v>
                </c:pt>
                <c:pt idx="3">
                  <c:v>0.0</c:v>
                </c:pt>
                <c:pt idx="4">
                  <c:v>0.0</c:v>
                </c:pt>
              </c:numCache>
            </c:numRef>
          </c:val>
        </c:ser>
        <c:firstSliceAng val="0"/>
      </c:pieChart>
      <c:spPr>
        <a:noFill/>
      </c:spPr>
    </c:plotArea>
    <c:legend>
      <c:legendPos val="r"/>
      <c:layout>
        <c:manualLayout>
          <c:xMode val="edge"/>
          <c:yMode val="edge"/>
          <c:x val="0.7082675"/>
          <c:y val="0.26838148"/>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a:noFill/>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5"/>
          <c:y val="0.025191"/>
          <c:w val="0.80216634"/>
          <c:h val="0.8474752"/>
        </c:manualLayout>
      </c:layout>
      <c:barChart>
        <c:barDir val="col"/>
        <c:grouping val="clustered"/>
        <c:varyColors val="0"/>
        <c:ser>
          <c:idx val="1"/>
          <c:order val="0"/>
          <c:spPr>
            <a:solidFill>
              <a:srgbClr val="C0504D"/>
            </a:solidFill>
          </c:spPr>
          <c:invertIfNegative val="0"/>
          <c:dLbls>
            <c:showLegendKey val="0"/>
            <c:showVal val="0"/>
            <c:showCatName val="0"/>
            <c:showSerName val="0"/>
            <c:showPercent val="0"/>
            <c:showBubbleSize val="0"/>
            <c:showLeaderLines val="0"/>
          </c:dLbls>
          <c:cat>
            <c:strRef>
              <c:f>'Sheet1 (4)'!$A$2:$A$3</c:f>
              <c:strCache>
                <c:ptCount val="2"/>
                <c:pt idx="0">
                  <c:v>2020年</c:v>
                </c:pt>
                <c:pt idx="1">
                  <c:v>2021年</c:v>
                </c:pt>
              </c:strCache>
            </c:strRef>
          </c:cat>
          <c:val>
            <c:numRef>
              <c:f/>
              <c:numCache>
                <c:formatCode>General</c:formatCode>
                <c:ptCount val="1"/>
                <c:pt idx="0">
                  <c:v>1.0</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crossBetween val="between"/>
        <c:crossAx val="0"/>
      </c:valAx>
      <c:spPr>
        <a:solidFill>
          <a:srgbClr val="FFFFFF"/>
        </a:solidFill>
      </c:spPr>
    </c:plotArea>
    <c:legend>
      <c:legendPos val="r"/>
      <c:layout>
        <c:manualLayout>
          <c:xMode val="edge"/>
          <c:yMode val="edge"/>
          <c:x val="0.57959574"/>
          <c:y val="0.057678178"/>
          <c:w val="0.39110154"/>
          <c:h val="0.2244673"/>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5"/>
          <c:y val="0.025191"/>
          <c:w val="0.80216634"/>
          <c:h val="0.8474752"/>
        </c:manualLayout>
      </c:layout>
      <c:barChart>
        <c:barDir val="col"/>
        <c:grouping val="clustered"/>
        <c:varyColors val="0"/>
        <c:ser>
          <c:idx val="1"/>
          <c:order val="0"/>
          <c:spPr>
            <a:solidFill>
              <a:srgbClr val="C0504D"/>
            </a:solidFill>
          </c:spPr>
          <c:invertIfNegative val="0"/>
          <c:dLbls>
            <c:showLegendKey val="0"/>
            <c:showVal val="0"/>
            <c:showCatName val="0"/>
            <c:showSerName val="0"/>
            <c:showPercent val="0"/>
            <c:showBubbleSize val="0"/>
            <c:showLeaderLines val="0"/>
          </c:dLbls>
          <c:cat>
            <c:strRef>
              <c:f>'Sheet1 (5)'!$A$2:$A$3</c:f>
              <c:strCache>
                <c:ptCount val="2"/>
                <c:pt idx="0">
                  <c:v>2020年</c:v>
                </c:pt>
                <c:pt idx="1">
                  <c:v>2021年</c:v>
                </c:pt>
              </c:strCache>
            </c:strRef>
          </c:cat>
          <c:val>
            <c:numRef>
              <c:f/>
              <c:numCache>
                <c:formatCode>General</c:formatCode>
                <c:ptCount val="1"/>
                <c:pt idx="0">
                  <c:v>1.0</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crossBetween val="between"/>
        <c:crossAx val="0"/>
      </c:valAx>
      <c:spPr>
        <a:solidFill>
          <a:srgbClr val="FFFFFF"/>
        </a:solidFill>
      </c:spPr>
    </c:plotArea>
    <c:legend>
      <c:legendPos val="r"/>
      <c:layout>
        <c:manualLayout>
          <c:xMode val="edge"/>
          <c:yMode val="edge"/>
          <c:x val="0.89462984"/>
          <c:y val="0.016531961"/>
          <c:w val="0.09783519"/>
          <c:h val="0.9041146"/>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(6)'!$B$1</c:f>
              <c:strCache>
                <c:ptCount val="1"/>
                <c:pt idx="0">
                  <c:v>支出数（万元）</c:v>
                </c:pt>
              </c:strCache>
            </c:strRef>
          </c:tx>
          <c:spPr>
            <a:solidFill>
              <a:srgbClr val="4F81BD"/>
            </a:solidFill>
          </c:spPr>
          <c:dPt>
            <c:idx val="0"/>
            <c:bubble3D val="0"/>
            <c:spPr>
              <a:solidFill>
                <a:srgbClr val="4F81BD"/>
              </a:solidFill>
              <a:effectLst>
                <a:outerShdw dist="35921" dir="2700000" algn="br">
                  <a:srgbClr val="000000"/>
                </a:outerShdw>
              </a:effectLst>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0041568563"/>
                  <c:y val="-0.26080388"/>
                </c:manualLayout>
              </c:layout>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教育支出</a:t>
                    </a:r>
                    <a:r>
                      <a:rPr lang="zh-CN" sz="1000" b="0" i="0" u="none" strike="noStrike" baseline="0">
                        <a:solidFill>
                          <a:srgbClr val="000000"/>
                        </a:solidFill>
                        <a:latin typeface="Times New Roman"/>
                        <a:ea typeface="宋体"/>
                        <a:cs typeface="Lucida Sans"/>
                      </a:rPr>
                      <a:t>, 671.36,88.85%</a:t>
                    </a:r>
                  </a:p>
                </c:rich>
              </c:tx>
              <c:showLegendKey val="0"/>
              <c:showVal val="1"/>
              <c:showCatName val="1"/>
              <c:showSerName val="0"/>
              <c:showPercent val="1"/>
              <c:showBubbleSize val="0"/>
            </c:dLbl>
            <c:dLbl>
              <c:idx val="1"/>
              <c:layout>
                <c:manualLayout>
                  <c:x val="0.012860205"/>
                  <c:y val="0.23395827"/>
                </c:manualLayout>
              </c:layout>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社会保障和就业支出</a:t>
                    </a:r>
                    <a:r>
                      <a:rPr lang="zh-CN" sz="1000" b="0" i="0" u="none" strike="noStrike" baseline="0">
                        <a:solidFill>
                          <a:srgbClr val="000000"/>
                        </a:solidFill>
                        <a:latin typeface="Times New Roman"/>
                        <a:ea typeface="宋体"/>
                        <a:cs typeface="Lucida Sans"/>
                      </a:rPr>
                      <a:t>, 59.66,7.89%</a:t>
                    </a:r>
                  </a:p>
                </c:rich>
              </c:tx>
              <c:showLegendKey val="0"/>
              <c:showVal val="1"/>
              <c:showCatName val="1"/>
              <c:showSerName val="0"/>
              <c:showPercent val="1"/>
              <c:showBubbleSize val="0"/>
            </c:dLbl>
            <c:dLbl>
              <c:idx val="2"/>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dLbl>
              <c:idx val="3"/>
              <c:numFmt formatCode="0.00%" sourceLinked="0"/>
              <c:spPr>
                <a:noFill/>
                <a:ln>
                  <a:noFill/>
                </a:ln>
              </c:spPr>
              <c:txPr>
                <a:bodyPr vert="horz" anchor="ctr"/>
                <a:lstStyle/>
                <a:p>
                  <a:pPr algn="ctr">
                    <a:defRPr sz="1000" b="0" i="0" u="none" strike="noStrike" baseline="0">
                      <a:solidFill>
                        <a:srgbClr val="000000"/>
                      </a:solidFill>
                      <a:latin typeface="Times New Roman"/>
                      <a:ea typeface="宋体"/>
                      <a:cs typeface="Lucida Sans"/>
                    </a:defRPr>
                  </a:pPr>
                  <a:endParaRPr lang="zh-CN"/>
                </a:p>
              </c:txPr>
              <c:delete val="1"/>
            </c:dLbl>
            <c:showLegendKey val="0"/>
            <c:showVal val="1"/>
            <c:showCatName val="1"/>
            <c:showSerName val="0"/>
            <c:showPercent val="1"/>
            <c:showBubbleSize val="0"/>
            <c:showLeaderLines val="1"/>
          </c:dLbls>
          <c:cat>
            <c:strRef>
              <c:f>'Sheet1 (6)'!$A$2:$A$5</c:f>
              <c:strCache>
                <c:ptCount val="4"/>
                <c:pt idx="0">
                  <c:v>教育支出</c:v>
                </c:pt>
                <c:pt idx="1">
                  <c:v>社会保障和就业支出</c:v>
                </c:pt>
                <c:pt idx="2">
                  <c:v>卫生健康支出</c:v>
                </c:pt>
                <c:pt idx="3">
                  <c:v>农林水支出</c:v>
                </c:pt>
              </c:strCache>
            </c:strRef>
          </c:cat>
          <c:val>
            <c:numRef>
              <c:f>'Sheet1 (6)'!$B$2:$B$5</c:f>
              <c:numCache>
                <c:formatCode>General</c:formatCode>
                <c:ptCount val="4"/>
                <c:pt idx="0">
                  <c:v>1633.05</c:v>
                </c:pt>
                <c:pt idx="1">
                  <c:v>105.93</c:v>
                </c:pt>
                <c:pt idx="2">
                  <c:v>0.0</c:v>
                </c:pt>
                <c:pt idx="3">
                  <c:v>0.0</c:v>
                </c:pt>
              </c:numCache>
            </c:numRef>
          </c:val>
        </c:ser>
        <c:firstSliceAng val="271"/>
      </c:pieChart>
      <c:spPr>
        <a:noFill/>
      </c:spPr>
    </c:plotArea>
    <c:legend>
      <c:legendPos val="r"/>
      <c:layout>
        <c:manualLayout>
          <c:xMode val="edge"/>
          <c:yMode val="edge"/>
          <c:x val="0.7311582"/>
          <c:y val="0.3384933"/>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(7)'!$B$1</c:f>
              <c:strCache>
                <c:ptCount val="1"/>
                <c:pt idx="0">
                  <c:v>“三公”经费财政拨款支出（万元）</c:v>
                </c:pt>
              </c:strCache>
            </c:strRef>
          </c:tx>
          <c:spPr>
            <a:solidFill>
              <a:srgbClr val="4F81BD"/>
            </a:solidFill>
          </c:spPr>
          <c:dPt>
            <c:idx val="0"/>
            <c:bubble3D val="0"/>
            <c:spPr>
              <a:solidFill>
                <a:srgbClr val="4F81BD"/>
              </a:solidFill>
              <a:ln>
                <a:noFill/>
              </a:ln>
              <a:effectLst>
                <a:outerShdw dist="35921" dir="2700000" algn="br">
                  <a:srgbClr val="000000"/>
                </a:outerShdw>
              </a:effectLst>
            </c:spPr>
          </c:dPt>
          <c:dPt>
            <c:idx val="1"/>
            <c:bubble3D val="0"/>
            <c:spPr>
              <a:solidFill>
                <a:srgbClr val="C0504D"/>
              </a:solidFill>
              <a:ln>
                <a:noFill/>
              </a:ln>
              <a:effectLst>
                <a:outerShdw dist="35921" dir="2700000" algn="br">
                  <a:srgbClr val="000000"/>
                </a:outerShdw>
              </a:effectLst>
            </c:spPr>
          </c:dPt>
          <c:dPt>
            <c:idx val="2"/>
            <c:bubble3D val="0"/>
            <c:spPr>
              <a:solidFill>
                <a:srgbClr val="9BBB59"/>
              </a:solidFill>
              <a:ln>
                <a:noFill/>
              </a:ln>
              <a:effectLst>
                <a:outerShdw dist="35921" dir="2700000" algn="br">
                  <a:srgbClr val="000000"/>
                </a:outerShdw>
              </a:effectLst>
            </c:spPr>
          </c:dPt>
          <c:dLbls>
            <c:spPr>
              <a:pattFill prst="pct75">
                <a:fgClr>
                  <a:srgbClr val="404040"/>
                </a:fgClr>
                <a:bgClr>
                  <a:srgbClr val="595959"/>
                </a:bgClr>
              </a:pattFill>
              <a:ln>
                <a:noFill/>
              </a:ln>
            </c:spPr>
            <c:txPr>
              <a:bodyPr vert="horz" anchor="ctr"/>
              <a:lstStyle/>
              <a:p>
                <a:pPr algn="ctr">
                  <a:defRPr sz="1000" b="1" i="0" u="none" strike="noStrike" baseline="0">
                    <a:solidFill>
                      <a:srgbClr val="FFFFFF"/>
                    </a:solidFill>
                    <a:latin typeface="Times New Roman"/>
                    <a:ea typeface="宋体"/>
                    <a:cs typeface="Lucida Sans"/>
                  </a:defRPr>
                </a:pPr>
                <a:endParaRPr lang="zh-CN"/>
              </a:p>
            </c:txPr>
            <c:numFmt formatCode="0.00%" sourceLinked="0"/>
            <c:dLbl>
              <c:idx val="0"/>
              <c:layout>
                <c:manualLayout>
                  <c:x val="-0.024405608"/>
                  <c:y val="0.28682584"/>
                </c:manualLayout>
              </c:layout>
              <c:numFmt formatCode="0.00%" sourceLinked="0"/>
              <c:spPr>
                <a:pattFill prst="pct75">
                  <a:fgClr>
                    <a:srgbClr val="404040"/>
                  </a:fgClr>
                  <a:bgClr>
                    <a:srgbClr val="595959"/>
                  </a:bgClr>
                </a:pattFill>
                <a:ln>
                  <a:noFill/>
                </a:ln>
              </c:spPr>
              <c:txPr>
                <a:bodyPr vert="horz" anchor="ctr"/>
                <a:lstStyle/>
                <a:p>
                  <a:pPr algn="ctr">
                    <a:defRPr sz="1000" b="1" i="0" u="none" strike="noStrike" baseline="0">
                      <a:solidFill>
                        <a:srgbClr val="FFFFFF"/>
                      </a:solidFill>
                      <a:latin typeface="Times New Roman"/>
                      <a:ea typeface="宋体"/>
                      <a:cs typeface="Lucida Sans"/>
                    </a:defRPr>
                  </a:pPr>
                  <a:endParaRPr lang="zh-CN"/>
                </a:p>
              </c:txPr>
              <c:dLblPos val="bestFit"/>
              <c:showLegendKey val="0"/>
              <c:showVal val="1"/>
              <c:showCatName val="1"/>
              <c:showSerName val="0"/>
              <c:showPercent val="1"/>
              <c:showBubbleSize val="0"/>
            </c:dLbl>
            <c:dLbl>
              <c:idx val="1"/>
              <c:layout>
                <c:manualLayout>
                  <c:x val="0.013141325"/>
                  <c:y val="0.49352577"/>
                </c:manualLayout>
              </c:layout>
              <c:numFmt formatCode="0.00%" sourceLinked="0"/>
              <c:spPr>
                <a:pattFill prst="pct75">
                  <a:fgClr>
                    <a:srgbClr val="404040"/>
                  </a:fgClr>
                  <a:bgClr>
                    <a:srgbClr val="595959"/>
                  </a:bgClr>
                </a:pattFill>
                <a:ln>
                  <a:noFill/>
                </a:ln>
              </c:spPr>
              <c:txPr>
                <a:bodyPr vert="horz" anchor="ctr"/>
                <a:lstStyle/>
                <a:p>
                  <a:pPr algn="ctr">
                    <a:defRPr sz="1000" b="1" i="0" u="none" strike="noStrike" baseline="0">
                      <a:solidFill>
                        <a:srgbClr val="FFFFFF"/>
                      </a:solidFill>
                      <a:latin typeface="Times New Roman"/>
                      <a:ea typeface="宋体"/>
                      <a:cs typeface="Lucida Sans"/>
                    </a:defRPr>
                  </a:pPr>
                  <a:endParaRPr lang="zh-CN"/>
                </a:p>
              </c:txPr>
              <c:dLblPos val="bestFit"/>
              <c:showLegendKey val="0"/>
              <c:showVal val="1"/>
              <c:showCatName val="1"/>
              <c:showSerName val="0"/>
              <c:showPercent val="1"/>
              <c:showBubbleSize val="0"/>
            </c:dLbl>
            <c:dLbl>
              <c:idx val="2"/>
              <c:layout>
                <c:manualLayout>
                  <c:x val="-0.04505642"/>
                  <c:y val="0.08345213"/>
                </c:manualLayout>
              </c:layout>
              <c:numFmt formatCode="0.00%" sourceLinked="0"/>
              <c:spPr>
                <a:pattFill prst="pct75">
                  <a:fgClr>
                    <a:srgbClr val="404040"/>
                  </a:fgClr>
                  <a:bgClr>
                    <a:srgbClr val="595959"/>
                  </a:bgClr>
                </a:pattFill>
                <a:ln>
                  <a:noFill/>
                </a:ln>
              </c:spPr>
              <c:txPr>
                <a:bodyPr vert="horz" anchor="ctr"/>
                <a:lstStyle/>
                <a:p>
                  <a:pPr algn="ctr">
                    <a:defRPr sz="1000" b="1" i="0" u="none" strike="noStrike" baseline="0">
                      <a:solidFill>
                        <a:srgbClr val="FFFFFF"/>
                      </a:solidFill>
                      <a:latin typeface="Times New Roman"/>
                      <a:ea typeface="宋体"/>
                      <a:cs typeface="Lucida Sans"/>
                    </a:defRPr>
                  </a:pPr>
                  <a:endParaRPr lang="zh-CN"/>
                </a:p>
              </c:txPr>
              <c:dLblPos val="bestFit"/>
              <c:showLegendKey val="0"/>
              <c:showVal val="1"/>
              <c:showCatName val="1"/>
              <c:showSerName val="0"/>
              <c:showPercent val="1"/>
              <c:showBubbleSize val="0"/>
            </c:dLbl>
            <c:dLblPos val="ctr"/>
            <c:showLegendKey val="0"/>
            <c:showVal val="1"/>
            <c:showCatName val="1"/>
            <c:showSerName val="0"/>
            <c:showPercent val="1"/>
            <c:showBubbleSize val="0"/>
            <c:showLeaderLines val="1"/>
          </c:dLbls>
          <c:cat>
            <c:strRef>
              <c:f>'Sheet1 (7)'!$A$2:$A$4</c:f>
              <c:strCache>
                <c:ptCount val="3"/>
                <c:pt idx="0">
                  <c:v>因公出国（境）费支出</c:v>
                </c:pt>
                <c:pt idx="1">
                  <c:v>公务用车购置及运行维护费支出</c:v>
                </c:pt>
                <c:pt idx="2">
                  <c:v>公务接待费支出</c:v>
                </c:pt>
              </c:strCache>
            </c:strRef>
          </c:cat>
          <c:val>
            <c:numRef>
              <c:f>'Sheet1 (7)'!$B$2:$B$4</c:f>
              <c:numCache>
                <c:formatCode>General</c:formatCode>
                <c:ptCount val="3"/>
                <c:pt idx="0">
                  <c:v>0.0</c:v>
                </c:pt>
                <c:pt idx="1">
                  <c:v>0.0</c:v>
                </c:pt>
                <c:pt idx="2">
                  <c:v>0.0</c:v>
                </c:pt>
              </c:numCache>
            </c:numRef>
          </c:val>
        </c:ser>
        <c:firstSliceAng val="0"/>
      </c:pieChart>
      <c:spPr>
        <a:noFill/>
        <a:ln>
          <a:noFill/>
        </a:ln>
      </c:spPr>
    </c:plotArea>
    <c:legend>
      <c:legendPos val="r"/>
      <c:layout/>
      <c:overlay val="0"/>
      <c:spPr>
        <a:solidFill>
          <a:srgbClr val="F2F2F2">
            <a:alpha val="39000"/>
          </a:srgbClr>
        </a:solidFill>
        <a:ln>
          <a:noFill/>
        </a:ln>
      </c:spPr>
      <c:txPr>
        <a:bodyPr/>
        <a:lstStyle/>
        <a:p>
          <a:pPr>
            <a:defRPr sz="900" b="0" i="0" u="none" strike="noStrike" baseline="0">
              <a:solidFill>
                <a:srgbClr val="404040"/>
              </a:solidFill>
              <a:latin typeface="Times New Roman"/>
              <a:ea typeface="宋体"/>
              <a:cs typeface="Lucida Sans"/>
            </a:defRPr>
          </a:pPr>
          <a:endParaRPr lang="zh-CN"/>
        </a:p>
      </c:txPr>
    </c:legend>
    <c:plotVisOnly val="1"/>
    <c:dispBlanksAs val="gap"/>
    <c:showDLblsOverMax val="0"/>
  </c:chart>
  <c:spPr>
    <a:gradFill rotWithShape="1">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12700">
      <a:solidFill>
        <a:srgbClr val="BFBFBF"/>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customProps>
</customData>
</file>

<file path=customXml/itemProps1.xml><?xml version="1.0" encoding="utf-8"?>
<ds:datastoreItem xmlns:ds="http://schemas.openxmlformats.org/officeDocument/2006/customXml" ds:itemID="{7EB58196-1623-4CAF-9A95-FD6D99B23C5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Yozo_Office9.0.5233.191ZH.S1</Application>
  <Pages>48</Pages>
  <Words>0</Words>
  <Characters>17390</Characters>
  <Lines>0</Lines>
  <Paragraphs>435</Paragraphs>
  <CharactersWithSpaces>23187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user</cp:lastModifiedBy>
  <cp:revision>37</cp:revision>
  <dcterms:created xsi:type="dcterms:W3CDTF">2022-09-30T02:01:00Z</dcterms:created>
  <dcterms:modified xsi:type="dcterms:W3CDTF">2024-12-03T09:17:00Z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2052-12.1.0.15673</vt:lpwstr>
  </property>
  <property fmtid="{D5CDD505-2E9C-101B-9397-08002B2CF9AE}" pid="3" name="ICV">
    <vt:lpwstr>F729E5074B254F5CB4E7A4BE497C03DA_13</vt:lpwstr>
  </property>
</Properties>
</file>