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6" w:lineRule="exact"/>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附件2</w:t>
      </w:r>
    </w:p>
    <w:p>
      <w:pPr>
        <w:pStyle w:val="15"/>
        <w:rPr>
          <w:rFonts w:hint="eastAsia"/>
        </w:rPr>
      </w:pPr>
    </w:p>
    <w:p>
      <w:pPr>
        <w:pStyle w:val="16"/>
        <w:keepNext w:val="0"/>
        <w:keepLines w:val="0"/>
        <w:widowControl w:val="0"/>
        <w:suppressLineNumbers w:val="0"/>
        <w:spacing w:before="0" w:beforeAutospacing="0" w:after="0" w:afterAutospacing="0" w:line="576" w:lineRule="exact"/>
        <w:jc w:val="center"/>
        <w:rPr>
          <w:rFonts w:ascii="方正黑体简体" w:eastAsia="方正黑体简体" w:cs="方正黑体简体" w:hAnsi="方正黑体简体"/>
          <w:sz w:val="18"/>
          <w:szCs w:val="18"/>
        </w:rPr>
      </w:pPr>
      <w:r>
        <w:rPr>
          <w:rFonts w:ascii="方正小标宋简体" w:eastAsia="方正小标宋简体" w:cs="方正小标宋简体" w:hAnsi="方正小标宋简体"/>
          <w:sz w:val="44"/>
          <w:szCs w:val="44"/>
        </w:rPr>
        <w:t>广元市利州区交通运输局随机抽查事项清单（第二版）</w:t>
      </w:r>
    </w:p>
    <w:tbl>
      <w:tblPr>
        <w:jc w:val="cente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63"/>
        <w:gridCol w:w="2044"/>
        <w:gridCol w:w="3001"/>
        <w:gridCol w:w="1325"/>
        <w:gridCol w:w="1078"/>
        <w:gridCol w:w="1238"/>
        <w:gridCol w:w="2024"/>
        <w:gridCol w:w="2265"/>
      </w:tblGrid>
      <w:tr>
        <w:trPr>
          <w:trHeight w:val="94"/>
          <w:tblHeader/>
        </w:trPr>
        <w:tc>
          <w:tcPr>
            <w:tcW w:w="363"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方正黑体简体" w:eastAsia="方正黑体简体" w:cs="方正黑体简体" w:hAnsi="方正黑体简体" w:hint="eastAsia"/>
                <w:sz w:val="24"/>
              </w:rPr>
            </w:pPr>
            <w:r>
              <w:rPr>
                <w:rFonts w:ascii="方正黑体简体" w:eastAsia="方正黑体简体" w:cs="方正黑体简体" w:hAnsi="方正黑体简体" w:hint="eastAsia"/>
                <w:sz w:val="24"/>
              </w:rPr>
              <w:t>序</w:t>
            </w:r>
          </w:p>
          <w:p>
            <w:pPr>
              <w:snapToGrid w:val="0"/>
              <w:jc w:val="center"/>
              <w:rPr>
                <w:rFonts w:ascii="方正黑体简体" w:eastAsia="方正黑体简体" w:cs="方正黑体简体" w:hAnsi="方正黑体简体" w:hint="eastAsia"/>
                <w:sz w:val="24"/>
              </w:rPr>
            </w:pPr>
            <w:r>
              <w:rPr>
                <w:rFonts w:ascii="方正黑体简体" w:eastAsia="方正黑体简体" w:cs="方正黑体简体" w:hAnsi="方正黑体简体" w:hint="eastAsia"/>
                <w:sz w:val="24"/>
              </w:rPr>
              <w:t>号</w:t>
            </w:r>
          </w:p>
        </w:tc>
        <w:tc>
          <w:tcPr>
            <w:tcW w:w="504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方正黑体简体" w:eastAsia="方正黑体简体" w:cs="方正黑体简体" w:hAnsi="方正黑体简体" w:hint="eastAsia"/>
                <w:sz w:val="24"/>
              </w:rPr>
            </w:pPr>
            <w:r>
              <w:rPr>
                <w:rFonts w:ascii="方正黑体简体" w:eastAsia="方正黑体简体" w:cs="方正黑体简体" w:hAnsi="方正黑体简体" w:hint="eastAsia"/>
                <w:sz w:val="24"/>
              </w:rPr>
              <w:t>抽查项目</w:t>
            </w:r>
          </w:p>
        </w:tc>
        <w:tc>
          <w:tcPr>
            <w:tcW w:w="132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方正黑体简体" w:eastAsia="方正黑体简体" w:cs="方正黑体简体" w:hAnsi="方正黑体简体" w:hint="eastAsia"/>
                <w:sz w:val="24"/>
              </w:rPr>
            </w:pPr>
            <w:r>
              <w:rPr>
                <w:rFonts w:ascii="方正黑体简体" w:eastAsia="方正黑体简体" w:cs="方正黑体简体" w:hAnsi="方正黑体简体" w:hint="eastAsia"/>
                <w:sz w:val="24"/>
              </w:rPr>
              <w:t>检查对象</w:t>
            </w:r>
          </w:p>
        </w:tc>
        <w:tc>
          <w:tcPr>
            <w:tcW w:w="107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方正黑体简体" w:eastAsia="方正黑体简体" w:cs="方正黑体简体" w:hAnsi="方正黑体简体" w:hint="eastAsia"/>
                <w:sz w:val="24"/>
              </w:rPr>
            </w:pPr>
            <w:r>
              <w:rPr>
                <w:rFonts w:ascii="方正黑体简体" w:eastAsia="方正黑体简体" w:cs="方正黑体简体" w:hAnsi="方正黑体简体" w:hint="eastAsia"/>
                <w:sz w:val="24"/>
              </w:rPr>
              <w:t>事项类别</w:t>
            </w:r>
          </w:p>
        </w:tc>
        <w:tc>
          <w:tcPr>
            <w:tcW w:w="123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方正黑体简体" w:eastAsia="方正黑体简体" w:cs="方正黑体简体" w:hAnsi="方正黑体简体" w:hint="eastAsia"/>
                <w:sz w:val="24"/>
              </w:rPr>
            </w:pPr>
            <w:r>
              <w:rPr>
                <w:rFonts w:ascii="方正黑体简体" w:eastAsia="方正黑体简体" w:cs="方正黑体简体" w:hAnsi="方正黑体简体" w:hint="eastAsia"/>
                <w:sz w:val="24"/>
              </w:rPr>
              <w:t>检查方式</w:t>
            </w:r>
          </w:p>
        </w:tc>
        <w:tc>
          <w:tcPr>
            <w:tcW w:w="202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方正黑体简体" w:eastAsia="方正黑体简体" w:cs="方正黑体简体" w:hAnsi="方正黑体简体" w:hint="eastAsia"/>
                <w:sz w:val="24"/>
              </w:rPr>
            </w:pPr>
            <w:r>
              <w:rPr>
                <w:rFonts w:ascii="方正黑体简体" w:eastAsia="方正黑体简体" w:cs="方正黑体简体" w:hAnsi="方正黑体简体" w:hint="eastAsia"/>
                <w:sz w:val="24"/>
              </w:rPr>
              <w:t>检查主体</w:t>
            </w:r>
          </w:p>
        </w:tc>
        <w:tc>
          <w:tcPr>
            <w:tcW w:w="226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方正黑体简体" w:eastAsia="方正黑体简体" w:cs="方正黑体简体" w:hAnsi="方正黑体简体" w:hint="eastAsia"/>
                <w:sz w:val="24"/>
              </w:rPr>
            </w:pPr>
            <w:r>
              <w:rPr>
                <w:rFonts w:ascii="方正黑体简体" w:eastAsia="方正黑体简体" w:cs="方正黑体简体" w:hAnsi="方正黑体简体" w:hint="eastAsia"/>
                <w:sz w:val="24"/>
              </w:rPr>
              <w:t>检查依据</w:t>
            </w:r>
          </w:p>
        </w:tc>
      </w:tr>
      <w:tr>
        <w:trPr>
          <w:trHeight w:val="94"/>
          <w:tblHeader/>
        </w:trPr>
        <w:tc>
          <w:tcPr>
            <w:tcW w:w="36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tc>
        <w:tc>
          <w:tcPr>
            <w:tcW w:w="204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方正黑体简体" w:eastAsia="方正黑体简体" w:cs="方正黑体简体" w:hAnsi="方正黑体简体" w:hint="eastAsia"/>
                <w:sz w:val="24"/>
              </w:rPr>
            </w:pPr>
            <w:r>
              <w:rPr>
                <w:rFonts w:ascii="方正黑体简体" w:eastAsia="方正黑体简体" w:cs="方正黑体简体" w:hAnsi="方正黑体简体" w:hint="eastAsia"/>
                <w:sz w:val="24"/>
              </w:rPr>
              <w:t>抽查类别</w:t>
            </w:r>
          </w:p>
        </w:tc>
        <w:tc>
          <w:tcPr>
            <w:tcW w:w="30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方正黑体简体" w:eastAsia="方正黑体简体" w:cs="方正黑体简体" w:hAnsi="方正黑体简体" w:hint="eastAsia"/>
                <w:sz w:val="24"/>
              </w:rPr>
            </w:pPr>
            <w:r>
              <w:rPr>
                <w:rFonts w:ascii="方正黑体简体" w:eastAsia="方正黑体简体" w:cs="方正黑体简体" w:hAnsi="方正黑体简体" w:hint="eastAsia"/>
                <w:sz w:val="24"/>
              </w:rPr>
              <w:t>抽查事项</w:t>
            </w:r>
          </w:p>
        </w:tc>
        <w:tc>
          <w:tcPr>
            <w:tcW w:w="132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tc>
        <w:tc>
          <w:tcPr>
            <w:tcW w:w="107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tc>
        <w:tc>
          <w:tcPr>
            <w:tcW w:w="123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tc>
        <w:tc>
          <w:tcPr>
            <w:tcW w:w="202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tc>
        <w:tc>
          <w:tcPr>
            <w:tcW w:w="22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tc>
      </w:tr>
      <w:tr>
        <w:trPr>
          <w:trHeight w:val="326"/>
        </w:trPr>
        <w:tc>
          <w:tcPr>
            <w:tcW w:w="3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1</w:t>
            </w:r>
          </w:p>
        </w:tc>
        <w:tc>
          <w:tcPr>
            <w:tcW w:w="204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对未及时清除影响航道通航条件的临时设施及其残留物行为的监管</w:t>
            </w:r>
          </w:p>
        </w:tc>
        <w:tc>
          <w:tcPr>
            <w:tcW w:w="30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对未及时清除影响航道通航条件的临时设施及其残留物行为的行政检查</w:t>
            </w:r>
          </w:p>
        </w:tc>
        <w:tc>
          <w:tcPr>
            <w:tcW w:w="1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《中华人民共和国航道法》第四十条。</w:t>
            </w:r>
          </w:p>
        </w:tc>
      </w:tr>
      <w:tr>
        <w:trPr>
          <w:trHeight w:val="407"/>
        </w:trPr>
        <w:tc>
          <w:tcPr>
            <w:tcW w:w="3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2</w:t>
            </w:r>
          </w:p>
        </w:tc>
        <w:tc>
          <w:tcPr>
            <w:tcW w:w="204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对触碰航标不报告行为的监管</w:t>
            </w:r>
          </w:p>
        </w:tc>
        <w:tc>
          <w:tcPr>
            <w:tcW w:w="30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对触碰航标不报告行为的行政检查</w:t>
            </w:r>
          </w:p>
        </w:tc>
        <w:tc>
          <w:tcPr>
            <w:tcW w:w="1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《中华人民共和国航标条例》第十四条第二款。第二十一条、第五十一条。</w:t>
            </w:r>
          </w:p>
        </w:tc>
      </w:tr>
      <w:tr>
        <w:trPr>
          <w:trHeight w:val="326"/>
        </w:trPr>
        <w:tc>
          <w:tcPr>
            <w:tcW w:w="3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3</w:t>
            </w:r>
          </w:p>
        </w:tc>
        <w:tc>
          <w:tcPr>
            <w:tcW w:w="204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对危害航道通通航安全行为的监管</w:t>
            </w:r>
          </w:p>
        </w:tc>
        <w:tc>
          <w:tcPr>
            <w:tcW w:w="30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对危害航道通通航安全行为的行政检查</w:t>
            </w:r>
          </w:p>
        </w:tc>
        <w:tc>
          <w:tcPr>
            <w:tcW w:w="1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《中华人民共和国航道法》第四十二条。</w:t>
            </w:r>
          </w:p>
        </w:tc>
      </w:tr>
      <w:tr>
        <w:trPr>
          <w:trHeight w:val="487"/>
        </w:trPr>
        <w:tc>
          <w:tcPr>
            <w:tcW w:w="3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4</w:t>
            </w:r>
          </w:p>
        </w:tc>
        <w:tc>
          <w:tcPr>
            <w:tcW w:w="204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对侵占、破坏航道或航道设施行为的监管</w:t>
            </w:r>
          </w:p>
        </w:tc>
        <w:tc>
          <w:tcPr>
            <w:tcW w:w="30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对侵占、破坏航道或航道设施行为的行政检查</w:t>
            </w:r>
          </w:p>
        </w:tc>
        <w:tc>
          <w:tcPr>
            <w:tcW w:w="1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1、《中华人民共和国航道管理条例实施细则》第三十八条、2、《中华人民共和国航道管理条例》第十三条。</w:t>
            </w:r>
          </w:p>
        </w:tc>
      </w:tr>
      <w:tr>
        <w:trPr>
          <w:trHeight w:val="649"/>
        </w:trPr>
        <w:tc>
          <w:tcPr>
            <w:tcW w:w="3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5</w:t>
            </w:r>
          </w:p>
        </w:tc>
        <w:tc>
          <w:tcPr>
            <w:tcW w:w="204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对未经河道主管部门会同航道主管部门批准，或不按照批准的水域范围和作业方式在通航河道内挖取砂石泥土、开采砂金、堆放材料行为的监管</w:t>
            </w:r>
          </w:p>
        </w:tc>
        <w:tc>
          <w:tcPr>
            <w:tcW w:w="30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对未经河道主管部门会同航道主管部门批准，或不按照批准的水域范围和作业方式在通航河道内挖取砂石泥土、开采砂金、堆放材料行为的行政检查</w:t>
            </w:r>
          </w:p>
        </w:tc>
        <w:tc>
          <w:tcPr>
            <w:tcW w:w="1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1、《中华人民共和国航道管理条例实施细则》第三十八条第四款、2、《中华人民共和国航道管理条例》第二十二条第二款。</w:t>
            </w:r>
          </w:p>
        </w:tc>
      </w:tr>
      <w:tr>
        <w:trPr>
          <w:trHeight w:val="1589"/>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6</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对水路运输辅助业经营者经营行为的监管</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对水路运输辅助业务经营者为未依法取得水路运输业务经营许可或者超越许可范围的经营者提供水路运输辅助服务等的行政检查</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《国内水路运输辅助业管理规定》第三十六条。</w:t>
            </w:r>
          </w:p>
        </w:tc>
      </w:tr>
      <w:tr>
        <w:trPr>
          <w:trHeight w:val="407"/>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7</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对水路运输辅助业经营者经营行为的监管</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对未按规定报送从业人员信息行为的行政检查</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《危险货物水路运输从业人员考核和从业资格管理规定》第二十五条。</w:t>
            </w:r>
          </w:p>
        </w:tc>
      </w:tr>
      <w:tr>
        <w:trPr>
          <w:trHeight w:val="1337"/>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8</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对水路运输辅助业经营者经营行为的监管</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对未将报废船舶的船舶营业证或者国际船舶备案证明书交回原发证机关行为的行政检查</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《老旧运输船舶管理规定》第三十条、第三十五条。</w:t>
            </w:r>
          </w:p>
        </w:tc>
      </w:tr>
      <w:tr>
        <w:trPr>
          <w:trHeight w:val="1010"/>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9</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对水路运输经营者经营行为的监管</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对水路运输经营者使用未取得船舶营运证件的船舶从事水路运输行为的行政检查</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《国内水路运输管理条例》第三十四条第一款。</w:t>
            </w:r>
          </w:p>
        </w:tc>
      </w:tr>
      <w:tr>
        <w:trPr>
          <w:trHeight w:val="326"/>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10</w:t>
            </w:r>
          </w:p>
        </w:tc>
        <w:tc>
          <w:tcPr>
            <w:tcW w:w="2044"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对水路运输经营者经营行为的监管</w:t>
            </w:r>
          </w:p>
        </w:tc>
        <w:tc>
          <w:tcPr>
            <w:tcW w:w="3001"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对班轮运输业务经营者未提前向社会公布所使用的船舶、班期、班次和运价或者其变更信息行为的行政检查</w:t>
            </w:r>
          </w:p>
        </w:tc>
        <w:tc>
          <w:tcPr>
            <w:tcW w:w="1325"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80" w:lineRule="exac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8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《国内水路运输管理条例》第四十条。</w:t>
            </w:r>
          </w:p>
        </w:tc>
      </w:tr>
      <w:tr>
        <w:trPr>
          <w:trHeight w:val="649"/>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11</w:t>
            </w:r>
          </w:p>
        </w:tc>
        <w:tc>
          <w:tcPr>
            <w:tcW w:w="2044"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对水路运输经营者经营行为的监管</w:t>
            </w:r>
          </w:p>
        </w:tc>
        <w:tc>
          <w:tcPr>
            <w:tcW w:w="3001"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对未以公布的票价或者变相变更公布的票价销售客票行为的行政检查</w:t>
            </w:r>
          </w:p>
        </w:tc>
        <w:tc>
          <w:tcPr>
            <w:tcW w:w="1325"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80" w:lineRule="exac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8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1、《国内水路运输管理规定》第四十九条第（二）项。2、《国内水路运输辅助业管理规定》。第三十六条第（九）项。</w:t>
            </w:r>
          </w:p>
        </w:tc>
      </w:tr>
      <w:tr>
        <w:trPr>
          <w:trHeight w:val="568"/>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12</w:t>
            </w:r>
          </w:p>
        </w:tc>
        <w:tc>
          <w:tcPr>
            <w:tcW w:w="2044"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对水路运输辅助业经营者经营行为的监管</w:t>
            </w:r>
          </w:p>
        </w:tc>
        <w:tc>
          <w:tcPr>
            <w:tcW w:w="3001"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对以不正当方式或者不规范行为争抢客源、货源及提供水路运输或水路运输辅助服务扰乱市场秩序行为的行政检查</w:t>
            </w:r>
          </w:p>
        </w:tc>
        <w:tc>
          <w:tcPr>
            <w:tcW w:w="1325"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80" w:lineRule="exac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8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1、《国内水路运输管理规定》第四十九条第（四）项。2、《国内水路运输辅助业管理规定》第三十六条第（七）项。</w:t>
            </w:r>
          </w:p>
        </w:tc>
      </w:tr>
      <w:tr>
        <w:trPr>
          <w:trHeight w:val="407"/>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13</w:t>
            </w:r>
          </w:p>
        </w:tc>
        <w:tc>
          <w:tcPr>
            <w:tcW w:w="2044"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对水路运输辅助业经营者经营行为的监管</w:t>
            </w:r>
          </w:p>
        </w:tc>
        <w:tc>
          <w:tcPr>
            <w:tcW w:w="3001"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对老旧运输船舶所有人或者经营人违反《老旧运输船舶管理规定》第十三条第（四）项的规定，使用未取得船舶营运证的船舶从事水路运输行为的行政检查</w:t>
            </w:r>
          </w:p>
        </w:tc>
        <w:tc>
          <w:tcPr>
            <w:tcW w:w="1325"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80" w:lineRule="exac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8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1、《老旧运输船舶管理规定》第十三条第（四）项、第三十四条2、《国内水路运输管理条例》第三十四条第一款。</w:t>
            </w:r>
          </w:p>
        </w:tc>
      </w:tr>
      <w:tr>
        <w:trPr>
          <w:trHeight w:val="568"/>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14</w:t>
            </w:r>
          </w:p>
        </w:tc>
        <w:tc>
          <w:tcPr>
            <w:tcW w:w="2044"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对水路运输辅助业经营者经营行为的监管</w:t>
            </w:r>
          </w:p>
        </w:tc>
        <w:tc>
          <w:tcPr>
            <w:tcW w:w="3001"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对使用的运输单证不符合有关规定行为的行政检查</w:t>
            </w:r>
          </w:p>
        </w:tc>
        <w:tc>
          <w:tcPr>
            <w:tcW w:w="1325"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80" w:lineRule="exac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8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1、《国内水路运输管理规定》第四十九条第（五）项。2、《国内水路运输辅助业管理规定》第三十六条第（十）项。</w:t>
            </w:r>
          </w:p>
        </w:tc>
      </w:tr>
      <w:tr>
        <w:trPr>
          <w:trHeight w:val="407"/>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15</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对水路运输辅助业经营者经营行为的监管</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对水路旅客运输经营者或者其委托的船票销售单位、港口经营人未按对客户身份进行查验，或者对身份不明、拒绝身份查验的客户提供服务行为的行政检查</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《水路旅客运输实名制管理规定》第五条、第六条、第十三条。</w:t>
            </w:r>
          </w:p>
        </w:tc>
      </w:tr>
      <w:tr>
        <w:trPr>
          <w:trHeight w:val="326"/>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16</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对水路运输辅助业经营者经营行为的监管</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对船舶管理业务经营者与委托人订立虚假协议或者名义上接收委托实际不承担船舶海务、机务管理责任行为的行政检查</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《国内水路运输辅助业管理规定》第三十五条。</w:t>
            </w:r>
          </w:p>
        </w:tc>
      </w:tr>
      <w:tr>
        <w:trPr>
          <w:trHeight w:val="407"/>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17</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对水路运输经营者经营行为的监管</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对出租、出借、倒卖</w:t>
            </w:r>
            <w:bookmarkStart w:id="0" w:name="_GoBack"/>
            <w:r>
              <w:rPr>
                <w:rFonts w:ascii="仿宋_GB2312" w:eastAsia="仿宋_GB2312" w:cs="仿宋_GB2312" w:hAnsi="仿宋_GB2312" w:hint="eastAsia"/>
                <w:sz w:val="24"/>
              </w:rPr>
              <w:t>《国内水路运输管理条</w:t>
            </w:r>
            <w:bookmarkEnd w:id="0"/>
            <w:r>
              <w:rPr>
                <w:rFonts w:ascii="仿宋_GB2312" w:eastAsia="仿宋_GB2312" w:cs="仿宋_GB2312" w:hAnsi="仿宋_GB2312" w:hint="eastAsia"/>
                <w:sz w:val="24"/>
              </w:rPr>
              <w:t>例》规定的行政许可证件或者以其他方式非法转让《国内水路运输管理条例》规定的行政许可行为的行政检查</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《国内水路运输管理条例》第三十七条第一款。</w:t>
            </w:r>
          </w:p>
        </w:tc>
      </w:tr>
      <w:tr>
        <w:trPr>
          <w:trHeight w:val="90"/>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18</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对水路运输经营者经营行为的监管</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对伪造、变造</w:t>
            </w:r>
            <w:r>
              <w:rPr>
                <w:rFonts w:ascii="仿宋_GB2312" w:eastAsia="仿宋_GB2312" w:cs="仿宋_GB2312" w:hAnsi="仿宋_GB2312" w:hint="eastAsia"/>
                <w:spacing w:val="-6"/>
                <w:sz w:val="24"/>
              </w:rPr>
              <w:t>、涂改《国内水路运输管理条例》规定的行政许可证件行为的行政检查</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《国内水路运输管理条例》第三十七条第二款。</w:t>
            </w:r>
          </w:p>
        </w:tc>
      </w:tr>
      <w:tr>
        <w:trPr>
          <w:trHeight w:val="326"/>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19</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对水路运输经营者经营行为的监管</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对水路旅客运输业务经营者未为其经营的客运船舶投保承运人责任保险或者取得相应的财务担保行为的行政检查</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《国内水路运输管理条例》第三十九条。</w:t>
            </w:r>
          </w:p>
        </w:tc>
      </w:tr>
      <w:tr>
        <w:trPr>
          <w:trHeight w:val="623"/>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20</w:t>
            </w:r>
          </w:p>
        </w:tc>
        <w:tc>
          <w:tcPr>
            <w:tcW w:w="2044"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对水路运输经营者经营行为的监管</w:t>
            </w:r>
          </w:p>
        </w:tc>
        <w:tc>
          <w:tcPr>
            <w:tcW w:w="3001"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对以不正当方式或者不规范行为争抢客源、货源及提供水路运输或水路运输辅助服务扰乱市场秩序行为的行政检查</w:t>
            </w:r>
          </w:p>
        </w:tc>
        <w:tc>
          <w:tcPr>
            <w:tcW w:w="1325"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70" w:lineRule="exac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7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1、《国内水路运输管理规定》第四十九条第（四）项。2、《国内水路运输辅助业管理规定》第三十六条第（七）项。</w:t>
            </w:r>
          </w:p>
        </w:tc>
      </w:tr>
      <w:tr>
        <w:trPr>
          <w:trHeight w:val="90"/>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21</w:t>
            </w:r>
          </w:p>
        </w:tc>
        <w:tc>
          <w:tcPr>
            <w:tcW w:w="2044"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对水路运输经营者经营行为的监管</w:t>
            </w:r>
          </w:p>
        </w:tc>
        <w:tc>
          <w:tcPr>
            <w:tcW w:w="3001"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对虚假宣传，误导旅客或者托运人、委托人行为的行政检查</w:t>
            </w:r>
          </w:p>
        </w:tc>
        <w:tc>
          <w:tcPr>
            <w:tcW w:w="1325"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70" w:lineRule="exac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7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1、《国内水路运输管理规定》第四十九条第（三）项。2、《国内水路运输辅助业管理规定》第三十六条第（六）项。</w:t>
            </w:r>
          </w:p>
        </w:tc>
      </w:tr>
      <w:tr>
        <w:trPr>
          <w:trHeight w:val="90"/>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22</w:t>
            </w:r>
          </w:p>
        </w:tc>
        <w:tc>
          <w:tcPr>
            <w:tcW w:w="2044"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对水路运输经营者经营行为的监管</w:t>
            </w:r>
          </w:p>
        </w:tc>
        <w:tc>
          <w:tcPr>
            <w:tcW w:w="3001"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对拒绝管理部门依据《国内水路运输管理规定》《国内水路运输辅助业管理规定》进行的监督检查或者隐匿有关资料或者瞒报、谎报有关情况行为的行政检查</w:t>
            </w:r>
          </w:p>
        </w:tc>
        <w:tc>
          <w:tcPr>
            <w:tcW w:w="1325"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70" w:lineRule="exac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7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1、《国内水路运输管理规定》第五十条。2、《国内水路运输辅助业管理规定》第三十七条。</w:t>
            </w:r>
          </w:p>
        </w:tc>
      </w:tr>
      <w:tr>
        <w:trPr>
          <w:trHeight w:val="90"/>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23</w:t>
            </w:r>
          </w:p>
        </w:tc>
        <w:tc>
          <w:tcPr>
            <w:tcW w:w="2044"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对水路运输经营者经营资质保持情况的监管</w:t>
            </w:r>
          </w:p>
        </w:tc>
        <w:tc>
          <w:tcPr>
            <w:tcW w:w="3001"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对未按照规定要求配备海务、机务管理人员行为的行政检查</w:t>
            </w:r>
          </w:p>
        </w:tc>
        <w:tc>
          <w:tcPr>
            <w:tcW w:w="1325"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70" w:lineRule="exac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7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1、《国内水路运输管理规定》第四十六条。2、《国内水路运输辅助业管理规定》第三十四条。</w:t>
            </w:r>
          </w:p>
        </w:tc>
      </w:tr>
      <w:tr>
        <w:trPr>
          <w:trHeight w:val="568"/>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24</w:t>
            </w:r>
          </w:p>
        </w:tc>
        <w:tc>
          <w:tcPr>
            <w:tcW w:w="2044"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对水路运输经营者、辅助业经营者经营行为的监管</w:t>
            </w:r>
          </w:p>
        </w:tc>
        <w:tc>
          <w:tcPr>
            <w:tcW w:w="3001"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对未履行备案义务或者报告义务行为的行政检查</w:t>
            </w:r>
          </w:p>
        </w:tc>
        <w:tc>
          <w:tcPr>
            <w:tcW w:w="1325"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7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70" w:lineRule="exac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7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《国内水路运输管理规定》第四十九条第（一）项。2、《国内水路运输辅助业管理规定》第三十六条第（一）项。</w:t>
            </w:r>
          </w:p>
        </w:tc>
      </w:tr>
      <w:tr>
        <w:trPr>
          <w:trHeight w:val="568"/>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25</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对船舶进出港报告的监管</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对船舶进出港报告的行政</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检查</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水路运输</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企业及运输船舶</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1、《中华人民共和国海上交通安全法》第十二条。2、《中华人民共和国内河交通安全管理条例》第十八条。</w:t>
            </w:r>
          </w:p>
        </w:tc>
      </w:tr>
      <w:tr>
        <w:trPr>
          <w:trHeight w:val="245"/>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26</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道路交通运输安全检查</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客运、货运企业安全生产</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情况</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辖区客运</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企业、货运企业</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《中华人民共和国安全生产法》第二章第二十五条、第二十七条</w:t>
            </w:r>
          </w:p>
        </w:tc>
      </w:tr>
      <w:tr>
        <w:trPr>
          <w:trHeight w:val="326"/>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27</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水路交通运输安全检查</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水运企业、船舶、码头安全生产情况</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辖区水运</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企业、码头</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《中华人民共和国安全生产法》第二章第二十五条、第二十七条</w:t>
            </w:r>
          </w:p>
        </w:tc>
      </w:tr>
      <w:tr>
        <w:trPr>
          <w:trHeight w:val="326"/>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28</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交通在建项目安全检查</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在建工地施工方安全生产</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情况</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在建工地、业主</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《中华人民共和国安全生产法》第二章第二十五条、第二十七条</w:t>
            </w:r>
          </w:p>
        </w:tc>
      </w:tr>
      <w:tr>
        <w:trPr>
          <w:trHeight w:val="649"/>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29</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对巡游出租汽车经营服务的监管</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对巡游出租汽车经营者、巡游出租汽车车辆、巡游出租汽车驾驶员经营服务行为的行政检查</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巡游出租汽车经营企业</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《交通运输部关于修改〈出租汽车经营服务管理规定〉的决定》（中华人民共和国交通运输部令2016年第64号）第四十条</w:t>
            </w:r>
          </w:p>
        </w:tc>
      </w:tr>
      <w:tr>
        <w:trPr>
          <w:trHeight w:val="649"/>
        </w:trPr>
        <w:tc>
          <w:tcPr>
            <w:tcW w:w="363" w:type="dxa"/>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30</w:t>
            </w:r>
          </w:p>
        </w:tc>
        <w:tc>
          <w:tcPr>
            <w:tcW w:w="2044"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对巡游出租汽车经营服务的监管</w:t>
            </w:r>
          </w:p>
        </w:tc>
        <w:tc>
          <w:tcPr>
            <w:tcW w:w="3001"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对对巡游出租汽车经营者履行经营协议情况的行政检查</w:t>
            </w:r>
          </w:p>
        </w:tc>
        <w:tc>
          <w:tcPr>
            <w:tcW w:w="1325"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巡游出租汽车经营企业</w:t>
            </w:r>
          </w:p>
        </w:tc>
        <w:tc>
          <w:tcPr>
            <w:tcW w:w="107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80" w:lineRule="exac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8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《交通运输部关于修改〈出租汽车经营服务管理规定〉的决定》（中华人民共和国交通运输部令2016年第64号）第四十一条。</w:t>
            </w:r>
          </w:p>
        </w:tc>
      </w:tr>
      <w:tr>
        <w:trPr>
          <w:trHeight w:val="487"/>
        </w:trPr>
        <w:tc>
          <w:tcPr>
            <w:tcW w:w="363" w:type="dxa"/>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31</w:t>
            </w:r>
          </w:p>
        </w:tc>
        <w:tc>
          <w:tcPr>
            <w:tcW w:w="2044"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维修企业二级维护作业检查.</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维修档案检查</w:t>
            </w:r>
          </w:p>
        </w:tc>
        <w:tc>
          <w:tcPr>
            <w:tcW w:w="3001"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维修企业维修车辆情况的检查维修企业车辆维修档案</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检查</w:t>
            </w:r>
          </w:p>
        </w:tc>
        <w:tc>
          <w:tcPr>
            <w:tcW w:w="1325"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广元市顶峰汽车维修有限公司</w:t>
            </w:r>
          </w:p>
        </w:tc>
        <w:tc>
          <w:tcPr>
            <w:tcW w:w="1078" w:type="dxa"/>
            <w:tcBorders>
              <w:left w:val="single" w:sz="4" w:space="0" w:color="auto"/>
            </w:tcBorders>
            <w:tcMar>
              <w:left w:w="57" w:type="dxa"/>
              <w:right w:w="57" w:type="dxa"/>
            </w:tcMar>
            <w:vAlign w:val="center"/>
          </w:tcPr>
          <w:p>
            <w:pPr>
              <w:pStyle w:val="15"/>
              <w:spacing w:line="280" w:lineRule="exact"/>
              <w:ind w:leftChars="0" w:left="0" w:firstLineChars="0" w:firstLine="0"/>
              <w:jc w:val="center"/>
              <w:rPr>
                <w:rFonts w:hint="eastAsia"/>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80" w:lineRule="exact"/>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80" w:lineRule="exact"/>
              <w:rPr>
                <w:rFonts w:ascii="仿宋_GB2312" w:eastAsia="仿宋_GB2312" w:cs="仿宋_GB2312" w:hAnsi="仿宋_GB2312" w:hint="eastAsia"/>
                <w:sz w:val="24"/>
              </w:rPr>
            </w:pPr>
            <w:r>
              <w:rPr>
                <w:rFonts w:ascii="仿宋_GB2312" w:eastAsia="仿宋_GB2312" w:cs="仿宋_GB2312" w:hAnsi="仿宋_GB2312" w:hint="eastAsia"/>
                <w:sz w:val="24"/>
              </w:rPr>
              <w:t>抽样检查</w:t>
            </w:r>
          </w:p>
        </w:tc>
        <w:tc>
          <w:tcPr>
            <w:tcW w:w="2024" w:type="dxa"/>
            <w:tcBorders>
              <w:left w:val="single" w:sz="4" w:space="0" w:color="auto"/>
            </w:tcBorders>
            <w:tcMar>
              <w:left w:w="57" w:type="dxa"/>
              <w:right w:w="57" w:type="dxa"/>
            </w:tcMar>
            <w:vAlign w:val="center"/>
          </w:tcPr>
          <w:p>
            <w:pPr>
              <w:snapToGrid w:val="0"/>
              <w:spacing w:line="280" w:lineRule="exac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8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1、《中华人民共和国道路运输管理条例》第58条第2项。2、《车辆技术管理规定》第6条。</w:t>
            </w:r>
          </w:p>
        </w:tc>
      </w:tr>
      <w:tr>
        <w:trPr>
          <w:trHeight w:val="487"/>
        </w:trPr>
        <w:tc>
          <w:tcPr>
            <w:tcW w:w="363" w:type="dxa"/>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32</w:t>
            </w:r>
          </w:p>
        </w:tc>
        <w:tc>
          <w:tcPr>
            <w:tcW w:w="2044"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color w:val="000000"/>
                <w:sz w:val="24"/>
                <w:highlight w:val="white"/>
              </w:rPr>
              <w:t>维修档案检查.</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color w:val="000000"/>
                <w:sz w:val="24"/>
                <w:highlight w:val="white"/>
              </w:rPr>
              <w:t>维修企业二级维护作业检查.</w:t>
            </w:r>
          </w:p>
        </w:tc>
        <w:tc>
          <w:tcPr>
            <w:tcW w:w="3001"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color w:val="000000"/>
                <w:sz w:val="24"/>
                <w:highlight w:val="white"/>
              </w:rPr>
              <w:t>维修企业车辆维修档案检查.维修企业维修车辆情况的检查</w:t>
            </w:r>
          </w:p>
        </w:tc>
        <w:tc>
          <w:tcPr>
            <w:tcW w:w="1325"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color w:val="000000"/>
                <w:sz w:val="24"/>
                <w:highlight w:val="white"/>
              </w:rPr>
              <w:t>四川广运集团维修服务有限公司</w:t>
            </w:r>
          </w:p>
        </w:tc>
        <w:tc>
          <w:tcPr>
            <w:tcW w:w="107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color w:val="000000"/>
                <w:sz w:val="24"/>
                <w:highlight w:val="white"/>
              </w:rPr>
              <w:t>一般事项检查</w:t>
            </w:r>
          </w:p>
        </w:tc>
        <w:tc>
          <w:tcPr>
            <w:tcW w:w="1238" w:type="dxa"/>
            <w:tcBorders>
              <w:left w:val="single" w:sz="4" w:space="0" w:color="auto"/>
            </w:tcBorders>
            <w:tcMar>
              <w:left w:w="57" w:type="dxa"/>
              <w:right w:w="57" w:type="dxa"/>
            </w:tcMar>
            <w:vAlign w:val="center"/>
          </w:tcPr>
          <w:p>
            <w:pPr>
              <w:snapToGrid w:val="0"/>
              <w:spacing w:line="280" w:lineRule="exact"/>
              <w:jc w:val="left"/>
              <w:rPr>
                <w:rFonts w:ascii="仿宋_GB2312" w:eastAsia="仿宋_GB2312" w:cs="仿宋_GB2312" w:hAnsi="仿宋_GB2312" w:hint="eastAsia"/>
                <w:color w:val="000000"/>
                <w:sz w:val="24"/>
                <w:highlight w:val="white"/>
              </w:rPr>
            </w:pPr>
            <w:r>
              <w:rPr>
                <w:rFonts w:ascii="仿宋_GB2312" w:eastAsia="仿宋_GB2312" w:cs="仿宋_GB2312" w:hAnsi="仿宋_GB2312" w:hint="eastAsia"/>
                <w:color w:val="000000"/>
                <w:sz w:val="24"/>
                <w:highlight w:val="white"/>
              </w:rPr>
              <w:t>现场检查</w:t>
            </w:r>
          </w:p>
          <w:p>
            <w:pPr>
              <w:snapToGrid w:val="0"/>
              <w:spacing w:line="280" w:lineRule="exact"/>
              <w:jc w:val="left"/>
              <w:rPr>
                <w:rFonts w:ascii="仿宋_GB2312" w:eastAsia="仿宋_GB2312" w:cs="仿宋_GB2312" w:hAnsi="仿宋_GB2312" w:hint="eastAsia"/>
                <w:sz w:val="24"/>
              </w:rPr>
            </w:pPr>
            <w:r>
              <w:rPr>
                <w:rFonts w:ascii="仿宋_GB2312" w:eastAsia="仿宋_GB2312" w:cs="仿宋_GB2312" w:hAnsi="仿宋_GB2312" w:hint="eastAsia"/>
                <w:color w:val="000000"/>
                <w:sz w:val="24"/>
                <w:highlight w:val="white"/>
              </w:rPr>
              <w:t>抽样检查</w:t>
            </w:r>
          </w:p>
        </w:tc>
        <w:tc>
          <w:tcPr>
            <w:tcW w:w="2024" w:type="dxa"/>
            <w:tcBorders>
              <w:left w:val="single" w:sz="4" w:space="0" w:color="auto"/>
            </w:tcBorders>
            <w:tcMar>
              <w:left w:w="57" w:type="dxa"/>
              <w:right w:w="57" w:type="dxa"/>
            </w:tcMar>
            <w:vAlign w:val="center"/>
          </w:tcPr>
          <w:p>
            <w:pPr>
              <w:snapToGrid w:val="0"/>
              <w:spacing w:line="280" w:lineRule="exact"/>
              <w:jc w:val="lef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80" w:lineRule="exact"/>
              <w:jc w:val="both"/>
              <w:rPr>
                <w:rFonts w:ascii="仿宋_GB2312" w:eastAsia="仿宋_GB2312" w:cs="仿宋_GB2312" w:hAnsi="仿宋_GB2312" w:hint="eastAsia"/>
                <w:sz w:val="24"/>
              </w:rPr>
            </w:pPr>
            <w:r>
              <w:rPr>
                <w:rFonts w:ascii="仿宋_GB2312" w:eastAsia="仿宋_GB2312" w:cs="仿宋_GB2312" w:hAnsi="仿宋_GB2312" w:hint="eastAsia"/>
                <w:color w:val="000000"/>
                <w:sz w:val="24"/>
                <w:highlight w:val="white"/>
              </w:rPr>
              <w:t>1、《中华人民共和国道路运输管理条例》第58条第2项。2、《车辆技术管理规定》第6条。</w:t>
            </w:r>
          </w:p>
        </w:tc>
      </w:tr>
      <w:tr>
        <w:trPr>
          <w:trHeight w:val="487"/>
        </w:trPr>
        <w:tc>
          <w:tcPr>
            <w:tcW w:w="363" w:type="dxa"/>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33</w:t>
            </w:r>
          </w:p>
        </w:tc>
        <w:tc>
          <w:tcPr>
            <w:tcW w:w="2044"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对放射性物品道路运输经营许可的</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监管</w:t>
            </w:r>
          </w:p>
        </w:tc>
        <w:tc>
          <w:tcPr>
            <w:tcW w:w="3001"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对放射性物品道路运输车辆的行政检查</w:t>
            </w:r>
          </w:p>
        </w:tc>
        <w:tc>
          <w:tcPr>
            <w:tcW w:w="1325"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货运经营者</w:t>
            </w:r>
          </w:p>
        </w:tc>
        <w:tc>
          <w:tcPr>
            <w:tcW w:w="107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80" w:lineRule="exact"/>
              <w:jc w:val="distribute"/>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80" w:lineRule="exact"/>
              <w:jc w:val="distribute"/>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80" w:lineRule="exact"/>
              <w:jc w:val="lef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8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《中华人民共和国道路运输条例》第五十八条 四川省道路运输条例》第五十三条第一款</w:t>
            </w:r>
          </w:p>
        </w:tc>
      </w:tr>
      <w:tr>
        <w:trPr>
          <w:trHeight w:val="568"/>
        </w:trPr>
        <w:tc>
          <w:tcPr>
            <w:tcW w:w="363" w:type="dxa"/>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34</w:t>
            </w:r>
          </w:p>
        </w:tc>
        <w:tc>
          <w:tcPr>
            <w:tcW w:w="2044"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对放射性物品道路运输经营许可的</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监管</w:t>
            </w:r>
          </w:p>
        </w:tc>
        <w:tc>
          <w:tcPr>
            <w:tcW w:w="3001"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从事放射性物品道路运输的行政检查</w:t>
            </w:r>
          </w:p>
        </w:tc>
        <w:tc>
          <w:tcPr>
            <w:tcW w:w="1325"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货运经营者</w:t>
            </w:r>
          </w:p>
        </w:tc>
        <w:tc>
          <w:tcPr>
            <w:tcW w:w="107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28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280" w:lineRule="exact"/>
              <w:jc w:val="lef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28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《放射性物品运输安全管理条例》（2009）第三十一条、第四十条《道路运输条例》（2019）第二十五条</w:t>
            </w:r>
          </w:p>
        </w:tc>
      </w:tr>
      <w:tr>
        <w:trPr>
          <w:trHeight w:val="326"/>
        </w:trPr>
        <w:tc>
          <w:tcPr>
            <w:tcW w:w="363" w:type="dxa"/>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35</w:t>
            </w:r>
          </w:p>
        </w:tc>
        <w:tc>
          <w:tcPr>
            <w:tcW w:w="2044"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对道路货运经营的监管</w:t>
            </w:r>
          </w:p>
        </w:tc>
        <w:tc>
          <w:tcPr>
            <w:tcW w:w="3001"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对道路货物运输车辆的行政检查</w:t>
            </w:r>
          </w:p>
        </w:tc>
        <w:tc>
          <w:tcPr>
            <w:tcW w:w="1325"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货运经营者</w:t>
            </w:r>
          </w:p>
        </w:tc>
        <w:tc>
          <w:tcPr>
            <w:tcW w:w="1078"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320" w:lineRule="exact"/>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320" w:lineRule="exact"/>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320" w:lineRule="exact"/>
              <w:jc w:val="lef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32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《中华人民共和国道路运输条例》第五十八条</w:t>
            </w:r>
          </w:p>
        </w:tc>
      </w:tr>
      <w:tr>
        <w:trPr>
          <w:trHeight w:val="568"/>
        </w:trPr>
        <w:tc>
          <w:tcPr>
            <w:tcW w:w="363" w:type="dxa"/>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36</w:t>
            </w:r>
          </w:p>
        </w:tc>
        <w:tc>
          <w:tcPr>
            <w:tcW w:w="2044"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对道路货运经营的监管</w:t>
            </w:r>
          </w:p>
        </w:tc>
        <w:tc>
          <w:tcPr>
            <w:tcW w:w="3001"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对从事货物道路运输企业经营行为的行政检查</w:t>
            </w:r>
          </w:p>
        </w:tc>
        <w:tc>
          <w:tcPr>
            <w:tcW w:w="1325"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货运经营者</w:t>
            </w:r>
          </w:p>
        </w:tc>
        <w:tc>
          <w:tcPr>
            <w:tcW w:w="1078"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320" w:lineRule="exact"/>
              <w:jc w:val="lef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32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《道路运输条例》第二十六条、第二十八条、第二十九条、第三十条、第三十一条、第三十二条、第三十三条。</w:t>
            </w:r>
          </w:p>
        </w:tc>
      </w:tr>
      <w:tr>
        <w:trPr>
          <w:trHeight w:val="326"/>
        </w:trPr>
        <w:tc>
          <w:tcPr>
            <w:tcW w:w="363" w:type="dxa"/>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37</w:t>
            </w:r>
          </w:p>
        </w:tc>
        <w:tc>
          <w:tcPr>
            <w:tcW w:w="2044"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对危险货物道路运输从业人员资格的监管</w:t>
            </w:r>
          </w:p>
        </w:tc>
        <w:tc>
          <w:tcPr>
            <w:tcW w:w="3001"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对从事危险货物道路运输的人员从业行为的行政检查</w:t>
            </w:r>
          </w:p>
        </w:tc>
        <w:tc>
          <w:tcPr>
            <w:tcW w:w="1325"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货运经营者</w:t>
            </w:r>
          </w:p>
        </w:tc>
        <w:tc>
          <w:tcPr>
            <w:tcW w:w="1078"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320" w:lineRule="exact"/>
              <w:jc w:val="lef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32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《道路运输条例》（2019）第二十三条、第二十七条</w:t>
            </w:r>
          </w:p>
        </w:tc>
      </w:tr>
      <w:tr>
        <w:trPr>
          <w:trHeight w:val="730"/>
        </w:trPr>
        <w:tc>
          <w:tcPr>
            <w:tcW w:w="363" w:type="dxa"/>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38</w:t>
            </w:r>
          </w:p>
        </w:tc>
        <w:tc>
          <w:tcPr>
            <w:tcW w:w="2044"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道路运输</w:t>
            </w:r>
          </w:p>
        </w:tc>
        <w:tc>
          <w:tcPr>
            <w:tcW w:w="3001"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道路运输客货运站场（含道路危险货物运输）中经营者、车辆、停车场地等与道路交通运输安全活动有关的档案资料</w:t>
            </w:r>
          </w:p>
        </w:tc>
        <w:tc>
          <w:tcPr>
            <w:tcW w:w="1325"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货运经营者</w:t>
            </w:r>
          </w:p>
        </w:tc>
        <w:tc>
          <w:tcPr>
            <w:tcW w:w="1078"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320" w:lineRule="exact"/>
              <w:jc w:val="lef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32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《道路危险货物运输管理规定》第八条第二款《道路旅客运输及客运站管理规定》第四十九条《道路货物运输及站场管理规定》第二条</w:t>
            </w:r>
          </w:p>
        </w:tc>
      </w:tr>
      <w:tr>
        <w:trPr>
          <w:trHeight w:val="90"/>
        </w:trPr>
        <w:tc>
          <w:tcPr>
            <w:tcW w:w="363" w:type="dxa"/>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39</w:t>
            </w:r>
          </w:p>
        </w:tc>
        <w:tc>
          <w:tcPr>
            <w:tcW w:w="2044"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对道路旅客运输的监管</w:t>
            </w:r>
          </w:p>
        </w:tc>
        <w:tc>
          <w:tcPr>
            <w:tcW w:w="3001"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对道路旅客运输经营者经营行为的行政检查</w:t>
            </w:r>
          </w:p>
        </w:tc>
        <w:tc>
          <w:tcPr>
            <w:tcW w:w="1325"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客运企业</w:t>
            </w:r>
          </w:p>
        </w:tc>
        <w:tc>
          <w:tcPr>
            <w:tcW w:w="1078"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spacing w:line="320" w:lineRule="exact"/>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spacing w:line="320" w:lineRule="exact"/>
              <w:jc w:val="lef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spacing w:line="320" w:lineRule="exact"/>
              <w:jc w:val="both"/>
              <w:rPr>
                <w:rFonts w:ascii="仿宋_GB2312" w:eastAsia="仿宋_GB2312" w:cs="仿宋_GB2312" w:hAnsi="仿宋_GB2312" w:hint="eastAsia"/>
                <w:sz w:val="24"/>
              </w:rPr>
            </w:pPr>
            <w:r>
              <w:rPr>
                <w:rFonts w:ascii="仿宋_GB2312" w:eastAsia="仿宋_GB2312" w:cs="仿宋_GB2312" w:hAnsi="仿宋_GB2312" w:hint="eastAsia"/>
                <w:sz w:val="24"/>
              </w:rPr>
              <w:t>《道路运输条例》第十条、第十八条、第二十条、第三十条、第三十一条、第三十五条。</w:t>
            </w:r>
          </w:p>
        </w:tc>
      </w:tr>
      <w:tr>
        <w:trPr>
          <w:trHeight w:val="326"/>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40</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对道路旅客运输的监管</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对道路旅客运输车辆的行政检查</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客运企业</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jc w:val="lef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《中华人民共和国道路运输条例》第五十八条</w:t>
            </w:r>
          </w:p>
        </w:tc>
      </w:tr>
      <w:tr>
        <w:trPr>
          <w:trHeight w:val="1055"/>
        </w:trPr>
        <w:tc>
          <w:tcPr>
            <w:tcW w:w="363" w:type="dxa"/>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41</w:t>
            </w:r>
          </w:p>
        </w:tc>
        <w:tc>
          <w:tcPr>
            <w:tcW w:w="2044"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道路运输</w:t>
            </w:r>
          </w:p>
        </w:tc>
        <w:tc>
          <w:tcPr>
            <w:tcW w:w="3001"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道路运输经营者、机动车维修经营者、网约车平台公司、机动车驾驶员培训经营者等安全生产法律法规、执行情况和许可证、车辆人员档案</w:t>
            </w:r>
            <w:r>
              <w:rPr>
                <w:rFonts w:ascii="仿宋_GB2312" w:eastAsia="仿宋_GB2312" w:cs="仿宋_GB2312" w:hAnsi="仿宋_GB2312" w:hint="eastAsia"/>
                <w:sz w:val="24"/>
                <w:lang w:eastAsia="zh-CN"/>
              </w:rPr>
              <w:t>等</w:t>
            </w:r>
            <w:r>
              <w:rPr>
                <w:rFonts w:ascii="仿宋_GB2312" w:eastAsia="仿宋_GB2312" w:cs="仿宋_GB2312" w:hAnsi="仿宋_GB2312" w:hint="eastAsia"/>
                <w:sz w:val="24"/>
              </w:rPr>
              <w:t>工作</w:t>
            </w:r>
          </w:p>
        </w:tc>
        <w:tc>
          <w:tcPr>
            <w:tcW w:w="1325"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企业/驾校</w:t>
            </w:r>
          </w:p>
        </w:tc>
        <w:tc>
          <w:tcPr>
            <w:tcW w:w="107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一般检查事项</w:t>
            </w:r>
          </w:p>
        </w:tc>
        <w:tc>
          <w:tcPr>
            <w:tcW w:w="1238" w:type="dxa"/>
            <w:tcBorders>
              <w:left w:val="single" w:sz="4" w:space="0" w:color="auto"/>
            </w:tcBorders>
            <w:tcMar>
              <w:left w:w="57" w:type="dxa"/>
              <w:right w:w="57" w:type="dxa"/>
            </w:tcMar>
            <w:vAlign w:val="center"/>
          </w:tcPr>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现场检查、</w:t>
            </w:r>
          </w:p>
          <w:p>
            <w:pPr>
              <w:snapToGrid w:val="0"/>
              <w:jc w:val="center"/>
              <w:rPr>
                <w:rFonts w:ascii="仿宋_GB2312" w:eastAsia="仿宋_GB2312" w:cs="仿宋_GB2312" w:hAnsi="仿宋_GB2312" w:hint="eastAsia"/>
                <w:sz w:val="24"/>
              </w:rPr>
            </w:pPr>
            <w:r>
              <w:rPr>
                <w:rFonts w:ascii="仿宋_GB2312" w:eastAsia="仿宋_GB2312" w:cs="仿宋_GB2312" w:hAnsi="仿宋_GB2312" w:hint="eastAsia"/>
                <w:sz w:val="24"/>
              </w:rPr>
              <w:t>网络检查</w:t>
            </w:r>
          </w:p>
        </w:tc>
        <w:tc>
          <w:tcPr>
            <w:tcW w:w="2024" w:type="dxa"/>
            <w:tcBorders>
              <w:left w:val="single" w:sz="4" w:space="0" w:color="auto"/>
            </w:tcBorders>
            <w:tcMar>
              <w:left w:w="57" w:type="dxa"/>
              <w:right w:w="57" w:type="dxa"/>
            </w:tcMar>
            <w:vAlign w:val="center"/>
          </w:tcPr>
          <w:p>
            <w:pPr>
              <w:snapToGrid w:val="0"/>
              <w:jc w:val="left"/>
              <w:rPr>
                <w:rFonts w:ascii="仿宋_GB2312" w:eastAsia="仿宋_GB2312" w:cs="仿宋_GB2312" w:hAnsi="仿宋_GB2312" w:hint="eastAsia"/>
                <w:sz w:val="24"/>
              </w:rPr>
            </w:pPr>
            <w:r>
              <w:rPr>
                <w:rFonts w:ascii="仿宋_GB2312" w:eastAsia="仿宋_GB2312" w:cs="仿宋_GB2312" w:hAnsi="仿宋_GB2312" w:hint="eastAsia"/>
                <w:sz w:val="24"/>
              </w:rPr>
              <w:t>县级以上交通主管部门、利州区交通运输事务中心</w:t>
            </w:r>
          </w:p>
        </w:tc>
        <w:tc>
          <w:tcPr>
            <w:tcW w:w="2265" w:type="dxa"/>
            <w:tcBorders>
              <w:left w:val="single" w:sz="4" w:space="0" w:color="auto"/>
            </w:tcBorders>
            <w:tcMar>
              <w:left w:w="57" w:type="dxa"/>
              <w:right w:w="57" w:type="dxa"/>
            </w:tcMar>
            <w:vAlign w:val="center"/>
          </w:tcPr>
          <w:p>
            <w:pPr>
              <w:snapToGrid w:val="0"/>
              <w:jc w:val="both"/>
              <w:rPr>
                <w:rFonts w:ascii="仿宋_GB2312" w:eastAsia="仿宋_GB2312" w:cs="仿宋_GB2312" w:hAnsi="仿宋_GB2312" w:hint="eastAsia"/>
                <w:sz w:val="24"/>
              </w:rPr>
            </w:pPr>
            <w:r>
              <w:rPr>
                <w:rFonts w:ascii="仿宋_GB2312" w:eastAsia="仿宋_GB2312" w:cs="仿宋_GB2312" w:hAnsi="仿宋_GB2312" w:hint="eastAsia"/>
                <w:sz w:val="24"/>
              </w:rPr>
              <w:t>《中华人民共和国道路运输</w:t>
            </w:r>
            <w:r>
              <w:rPr>
                <w:rFonts w:ascii="仿宋_GB2312" w:eastAsia="仿宋_GB2312" w:cs="仿宋_GB2312" w:hAnsi="仿宋_GB2312" w:hint="eastAsia"/>
                <w:spacing w:val="6"/>
                <w:sz w:val="24"/>
              </w:rPr>
              <w:t>条例》第七条</w:t>
            </w:r>
            <w:r>
              <w:rPr>
                <w:rFonts w:ascii="仿宋_GB2312" w:eastAsia="仿宋_GB2312" w:cs="仿宋_GB2312" w:hAnsi="仿宋_GB2312" w:hint="eastAsia"/>
                <w:spacing w:val="6"/>
                <w:sz w:val="24"/>
                <w:lang w:val="en-US" w:eastAsia="zh-CN"/>
              </w:rPr>
              <w:t xml:space="preserve">  </w:t>
            </w:r>
            <w:r>
              <w:rPr>
                <w:rFonts w:ascii="仿宋_GB2312" w:eastAsia="仿宋_GB2312" w:cs="仿宋_GB2312" w:hAnsi="仿宋_GB2312" w:hint="eastAsia"/>
                <w:spacing w:val="6"/>
                <w:sz w:val="24"/>
              </w:rPr>
              <w:t>《机动车维修管理规定》第六条《机动车驾驶员培训管理规定》第五条《道路运输从业人员管理规定》第五条《出租汽车驾驶员从业人员管理</w:t>
            </w:r>
            <w:r>
              <w:rPr>
                <w:rFonts w:ascii="仿宋_GB2312" w:eastAsia="仿宋_GB2312" w:cs="仿宋_GB2312" w:hAnsi="仿宋_GB2312" w:hint="eastAsia"/>
                <w:sz w:val="24"/>
              </w:rPr>
              <w:t>规定》第六条</w:t>
            </w:r>
          </w:p>
        </w:tc>
      </w:tr>
    </w:tbl>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简体">
    <w:panose1 w:val="02010601030101010101"/>
    <w:charset w:val="86"/>
    <w:family w:val="auto"/>
    <w:pitch w:val="variable"/>
    <w:sig w:usb0="00000001" w:usb1="080E0000" w:usb2="00000000" w:usb3="00000000" w:csb0="00040000" w:csb1="00000000"/>
  </w:font>
  <w:font w:name="方正小标宋简体">
    <w:panose1 w:val="02010601030101010101"/>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table of figures"/>
    <w:qFormat/>
    <w:basedOn w:val="0"/>
    <w:next w:val="0"/>
    <w:pPr>
      <w:ind w:leftChars="200" w:left="400" w:hangingChars="200" w:hanging="200"/>
    </w:pPr>
  </w:style>
  <w:style w:type="paragraph" w:customStyle="1" w:styleId="16">
    <w:name w:val="p0"/>
    <w:qFormat/>
    <w:basedOn w:val="0"/>
    <w:pPr>
      <w:keepNext w:val="0"/>
      <w:keepLines w:val="0"/>
      <w:widowControl/>
      <w:suppressLineNumbers w:val="0"/>
      <w:spacing w:before="100" w:beforeAutospacing="1" w:after="100" w:afterAutospacing="1"/>
      <w:ind w:left="0" w:right="0"/>
      <w:jc w:val="left"/>
    </w:pPr>
    <w:rPr>
      <w:rFonts w:ascii="宋体" w:eastAsia="宋体" w:cs="宋体" w:hAnsi="宋体"/>
      <w:kern w:val="0"/>
      <w:sz w:val="24"/>
      <w:szCs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2CE45CA-ECE5-49C8-93D3-C249C4F5124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WPS_Yozo_Office9.0.5233.191ZH.S1</Application>
  <Pages>9</Pages>
  <Words>0</Words>
  <Characters>4529</Characters>
  <Lines>0</Lines>
  <Paragraphs>5</Paragraphs>
  <CharactersWithSpaces>6039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1</cp:revision>
  <dcterms:created xsi:type="dcterms:W3CDTF">2023-04-06T09:35:00Z</dcterms:created>
  <dcterms:modified xsi:type="dcterms:W3CDTF">2024-12-02T04:10:31Z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2052-10.8.0.6206</vt:lpwstr>
  </property>
</Properties>
</file>