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eastAsia="仿宋" w:cs="仿宋" w:hAnsi="仿宋" w:hint="eastAsia"/>
          <w:sz w:val="32"/>
          <w:szCs w:val="32"/>
        </w:rPr>
      </w:pPr>
      <w:r>
        <w:rPr>
          <w:rFonts w:ascii="仿宋" w:eastAsia="仿宋" w:cs="仿宋" w:hAnsi="仿宋" w:hint="eastAsia"/>
          <w:sz w:val="32"/>
          <w:szCs w:val="32"/>
        </w:rPr>
        <w:t>川府规</w:t>
      </w:r>
      <w:r>
        <w:rPr>
          <w:rFonts w:ascii="宋体" w:eastAsia="宋体" w:cs="仿宋" w:hAnsi="仿宋" w:hint="eastAsia"/>
          <w:sz w:val="32"/>
          <w:szCs w:val="32"/>
        </w:rPr>
        <w:t>〔</w:t>
      </w:r>
      <w:r>
        <w:rPr>
          <w:rFonts w:ascii="宋体" w:eastAsia="宋体" w:cs="仿宋" w:hAnsi="仿宋"/>
          <w:sz w:val="32"/>
          <w:szCs w:val="32"/>
        </w:rPr>
        <w:t>2023</w:t>
      </w:r>
      <w:r>
        <w:rPr>
          <w:rFonts w:ascii="宋体" w:eastAsia="宋体" w:cs="仿宋" w:hAnsi="仿宋" w:hint="eastAsia"/>
          <w:sz w:val="32"/>
          <w:szCs w:val="32"/>
        </w:rPr>
        <w:t>〕</w:t>
      </w:r>
      <w:r>
        <w:rPr>
          <w:rFonts w:ascii="仿宋" w:eastAsia="仿宋" w:cs="仿宋" w:hAnsi="仿宋" w:hint="eastAsia"/>
          <w:sz w:val="32"/>
          <w:szCs w:val="32"/>
        </w:rPr>
        <w:t>4号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四川省人民政府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关于规范农村宅基地范围及面积标准的通告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为进一步规范我省农村宅基地审批管理工作，保障农民安居乐业</w:t>
      </w:r>
      <w:r>
        <w:rPr>
          <w:rFonts w:ascii="仿宋" w:eastAsia="仿宋" w:cs="仿宋" w:hAnsi="仿宋"/>
          <w:sz w:val="32"/>
          <w:szCs w:val="32"/>
        </w:rPr>
        <w:t>，</w:t>
      </w:r>
      <w:r>
        <w:rPr>
          <w:rFonts w:ascii="仿宋" w:eastAsia="仿宋" w:cs="仿宋" w:hAnsi="仿宋" w:hint="eastAsia"/>
          <w:sz w:val="32"/>
          <w:szCs w:val="32"/>
        </w:rPr>
        <w:t>全面推进乡村振兴，根据《中华人民共和国土地管理法》《四川省〈中华人民共和国土地管理法)实施办法》《中央农村工作领导小组办公室农业农村部关于进一步加强农村宅基地管理的通知》</w:t>
      </w:r>
      <w:r>
        <w:rPr>
          <w:rFonts w:ascii="仿宋" w:eastAsia="仿宋" w:cs="仿宋" w:hAnsi="仿宋"/>
          <w:sz w:val="32"/>
          <w:szCs w:val="32"/>
        </w:rPr>
        <w:t>（</w:t>
      </w:r>
      <w:r>
        <w:rPr>
          <w:rFonts w:ascii="仿宋" w:eastAsia="仿宋" w:cs="仿宋" w:hAnsi="仿宋" w:hint="eastAsia"/>
          <w:sz w:val="32"/>
          <w:szCs w:val="32"/>
        </w:rPr>
        <w:t>中农发</w:t>
      </w:r>
      <w:r>
        <w:rPr>
          <w:rFonts w:ascii="宋体" w:eastAsia="宋体" w:cs="仿宋" w:hAnsi="仿宋" w:hint="eastAsia"/>
          <w:sz w:val="32"/>
          <w:szCs w:val="32"/>
        </w:rPr>
        <w:t>〔</w:t>
      </w:r>
      <w:r>
        <w:rPr>
          <w:rFonts w:ascii="宋体" w:eastAsia="宋体" w:cs="仿宋" w:hAnsi="仿宋"/>
          <w:sz w:val="32"/>
          <w:szCs w:val="32"/>
        </w:rPr>
        <w:t>2019</w:t>
      </w:r>
      <w:r>
        <w:rPr>
          <w:rFonts w:ascii="宋体" w:eastAsia="宋体" w:cs="仿宋" w:hAnsi="仿宋" w:hint="eastAsia"/>
          <w:sz w:val="32"/>
          <w:szCs w:val="32"/>
        </w:rPr>
        <w:t>〕</w:t>
      </w:r>
      <w:r>
        <w:rPr>
          <w:rFonts w:ascii="仿宋" w:eastAsia="仿宋" w:cs="仿宋" w:hAnsi="仿宋" w:hint="eastAsia"/>
          <w:sz w:val="32"/>
          <w:szCs w:val="32"/>
        </w:rPr>
        <w:t>11号</w:t>
      </w:r>
      <w:r>
        <w:rPr>
          <w:rFonts w:ascii="仿宋" w:eastAsia="仿宋" w:cs="仿宋" w:hAnsi="仿宋"/>
          <w:sz w:val="32"/>
          <w:szCs w:val="32"/>
        </w:rPr>
        <w:t>）</w:t>
      </w:r>
      <w:r>
        <w:rPr>
          <w:rFonts w:ascii="仿宋" w:eastAsia="仿宋" w:cs="仿宋" w:hAnsi="仿宋" w:hint="eastAsia"/>
          <w:sz w:val="32"/>
          <w:szCs w:val="32"/>
        </w:rPr>
        <w:t>等规定要求</w:t>
      </w:r>
      <w:r>
        <w:rPr>
          <w:rFonts w:ascii="仿宋" w:eastAsia="仿宋" w:cs="仿宋" w:hAnsi="仿宋"/>
          <w:sz w:val="32"/>
          <w:szCs w:val="32"/>
        </w:rPr>
        <w:t>，</w:t>
      </w:r>
      <w:r>
        <w:rPr>
          <w:rFonts w:ascii="仿宋" w:eastAsia="仿宋" w:cs="仿宋" w:hAnsi="仿宋" w:hint="eastAsia"/>
          <w:sz w:val="32"/>
          <w:szCs w:val="32"/>
        </w:rPr>
        <w:t>现就有关事项通告如下</w:t>
      </w:r>
      <w:r>
        <w:rPr>
          <w:rFonts w:ascii="仿宋" w:eastAsia="仿宋" w:cs="仿宋" w:hAnsi="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一、农村村民一户只能拥有一处宅基地。</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二、宅基地是农村村民用于建造住宅及其附属设施的集体建设用地，包括住房、附属用房和庭院用地。</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三、鼓励农村村民住宅建设充分利用原有宅基地、空闲地等存量集体建设用地或未利用地</w:t>
      </w:r>
      <w:r>
        <w:rPr>
          <w:rFonts w:ascii="仿宋" w:eastAsia="仿宋" w:cs="仿宋" w:hAnsi="仿宋"/>
          <w:sz w:val="32"/>
          <w:szCs w:val="32"/>
        </w:rPr>
        <w:t>，</w:t>
      </w:r>
      <w:r>
        <w:rPr>
          <w:rFonts w:ascii="仿宋" w:eastAsia="仿宋" w:cs="仿宋" w:hAnsi="仿宋" w:hint="eastAsia"/>
          <w:sz w:val="32"/>
          <w:szCs w:val="32"/>
        </w:rPr>
        <w:t>不占或少占耕地</w:t>
      </w:r>
      <w:r>
        <w:rPr>
          <w:rFonts w:ascii="仿宋" w:eastAsia="仿宋" w:cs="仿宋" w:hAnsi="仿宋"/>
          <w:sz w:val="32"/>
          <w:szCs w:val="32"/>
        </w:rPr>
        <w:t>，</w:t>
      </w:r>
      <w:r>
        <w:rPr>
          <w:rFonts w:ascii="仿宋" w:eastAsia="仿宋" w:cs="仿宋" w:hAnsi="仿宋" w:hint="eastAsia"/>
          <w:sz w:val="32"/>
          <w:szCs w:val="32"/>
        </w:rPr>
        <w:t>禁止占用永久基本农田。</w:t>
      </w:r>
    </w:p>
    <w:p>
      <w:pPr>
        <w:keepNext w:val="0"/>
        <w:keepLines w:val="0"/>
        <w:pageBreakBefore w:val="0"/>
        <w:widowControl w:val="0"/>
        <w:kinsoku/>
        <w:wordWrap/>
        <w:overflowPunct/>
        <w:topLinePunct w:val="0"/>
        <w:autoSpaceDE/>
        <w:autoSpaceDN/>
        <w:adjustRightInd/>
        <w:snapToGrid/>
        <w:spacing w:line="576"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四、住房用地面积标准为</w:t>
      </w:r>
      <w:r>
        <w:rPr>
          <w:rFonts w:ascii="仿宋" w:eastAsia="仿宋" w:cs="仿宋" w:hAnsi="仿宋"/>
          <w:sz w:val="32"/>
          <w:szCs w:val="32"/>
        </w:rPr>
        <w:t>：</w:t>
      </w:r>
      <w:r>
        <w:rPr>
          <w:rFonts w:ascii="仿宋" w:eastAsia="仿宋" w:cs="仿宋" w:hAnsi="仿宋" w:hint="eastAsia"/>
          <w:sz w:val="32"/>
          <w:szCs w:val="32"/>
        </w:rPr>
        <w:t>平原地区每人不超过30平方米</w:t>
      </w:r>
      <w:r>
        <w:rPr>
          <w:rFonts w:ascii="仿宋" w:eastAsia="仿宋" w:cs="仿宋" w:hAnsi="仿宋"/>
          <w:sz w:val="32"/>
          <w:szCs w:val="32"/>
        </w:rPr>
        <w:t>，</w:t>
      </w:r>
      <w:r>
        <w:rPr>
          <w:rFonts w:ascii="仿宋" w:eastAsia="仿宋" w:cs="仿宋" w:hAnsi="仿宋" w:hint="eastAsia"/>
          <w:sz w:val="32"/>
          <w:szCs w:val="32"/>
        </w:rPr>
        <w:t>丘陵地区每人不超过40平方米</w:t>
      </w:r>
      <w:r>
        <w:rPr>
          <w:rFonts w:ascii="仿宋" w:eastAsia="仿宋" w:cs="仿宋" w:hAnsi="仿宋"/>
          <w:sz w:val="32"/>
          <w:szCs w:val="32"/>
        </w:rPr>
        <w:t>，</w:t>
      </w:r>
      <w:r>
        <w:rPr>
          <w:rFonts w:ascii="仿宋" w:eastAsia="仿宋" w:cs="仿宋" w:hAnsi="仿宋" w:hint="eastAsia"/>
          <w:sz w:val="32"/>
          <w:szCs w:val="32"/>
        </w:rPr>
        <w:t>山区每人不超过50平方米。住房、附属用房和庭院用地总面积为每人不超过70平方米。3人以下的户按3人计算</w:t>
      </w:r>
      <w:r>
        <w:rPr>
          <w:rFonts w:ascii="仿宋" w:eastAsia="仿宋" w:cs="仿宋" w:hAnsi="仿宋"/>
          <w:sz w:val="32"/>
          <w:szCs w:val="32"/>
        </w:rPr>
        <w:t>，</w:t>
      </w:r>
      <w:r>
        <w:rPr>
          <w:rFonts w:ascii="仿宋" w:eastAsia="仿宋" w:cs="仿宋" w:hAnsi="仿宋" w:hint="eastAsia"/>
          <w:sz w:val="32"/>
          <w:szCs w:val="32"/>
        </w:rPr>
        <w:t>4人的户按4人计算</w:t>
      </w:r>
      <w:r>
        <w:rPr>
          <w:rFonts w:ascii="仿宋" w:eastAsia="仿宋" w:cs="仿宋" w:hAnsi="仿宋"/>
          <w:sz w:val="32"/>
          <w:szCs w:val="32"/>
        </w:rPr>
        <w:t>，</w:t>
      </w:r>
      <w:r>
        <w:rPr>
          <w:rFonts w:ascii="仿宋" w:eastAsia="仿宋" w:cs="仿宋" w:hAnsi="仿宋" w:hint="eastAsia"/>
          <w:sz w:val="32"/>
          <w:szCs w:val="32"/>
        </w:rPr>
        <w:t>5人以上的户按5人计算。宅基地所属地域类型，由县级人民政府结合国土调查、地形地貌等情况确定。</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五、新建</w:t>
      </w:r>
      <w:r>
        <w:rPr>
          <w:rFonts w:ascii="仿宋" w:eastAsia="仿宋" w:cs="仿宋" w:hAnsi="仿宋"/>
          <w:sz w:val="32"/>
          <w:szCs w:val="32"/>
        </w:rPr>
        <w:t>（</w:t>
      </w:r>
      <w:r>
        <w:rPr>
          <w:rFonts w:ascii="仿宋" w:eastAsia="仿宋" w:cs="仿宋" w:hAnsi="仿宋" w:hint="eastAsia"/>
          <w:sz w:val="32"/>
          <w:szCs w:val="32"/>
        </w:rPr>
        <w:t>改建、扩建、翻建</w:t>
      </w:r>
      <w:r>
        <w:rPr>
          <w:rFonts w:ascii="仿宋" w:eastAsia="仿宋" w:cs="仿宋" w:hAnsi="仿宋"/>
          <w:sz w:val="32"/>
          <w:szCs w:val="32"/>
        </w:rPr>
        <w:t>）</w:t>
      </w:r>
      <w:r>
        <w:rPr>
          <w:rFonts w:ascii="仿宋" w:eastAsia="仿宋" w:cs="仿宋" w:hAnsi="仿宋" w:hint="eastAsia"/>
          <w:sz w:val="32"/>
          <w:szCs w:val="32"/>
        </w:rPr>
        <w:t>住房、附属用房、庭院均不占用耕地的，在宅基地总面积标准内，住房用地面积可适当增加，增加部分每户不超过30平方米。</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六、民族自治地方农村村民的宅基地面积标准可适当增加，具体标准由自治州或者自治县制定。</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七、扩建住房、附属用房、庭院所占的土地面积连同原宅基地面积一并计算。</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八、鼓励农村村民在规定面积标准范围内，合理确定拟申请使用宅基地面积，节约集约用地。</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九、坚决落实最严格的耕地保护制度，严格宅基地审批管理，加强动态巡查监管，依法查处未批先建、骗取批准、违建超占等违法行为。</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十、本通告自2023年11月7日起施行，有效期5年。</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特此通告。</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jc w:val="right"/>
        <w:textAlignment w:val="auto"/>
        <w:rPr>
          <w:rFonts w:ascii="仿宋" w:eastAsia="仿宋" w:cs="仿宋" w:hAnsi="仿宋" w:hint="eastAsia"/>
          <w:sz w:val="32"/>
          <w:szCs w:val="32"/>
        </w:rPr>
      </w:pPr>
      <w:r>
        <w:rPr>
          <w:rFonts w:ascii="仿宋" w:eastAsia="仿宋" w:cs="仿宋" w:hAnsi="仿宋" w:hint="eastAsia"/>
          <w:sz w:val="32"/>
          <w:szCs w:val="32"/>
        </w:rPr>
        <w:t>四川省人民政府办公厅</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jc w:val="right"/>
        <w:textAlignment w:val="auto"/>
        <w:rPr>
          <w:rFonts w:ascii="仿宋" w:eastAsia="仿宋" w:cs="仿宋" w:hAnsi="仿宋" w:hint="eastAsia"/>
          <w:sz w:val="32"/>
          <w:szCs w:val="32"/>
        </w:rPr>
      </w:pPr>
      <w:r>
        <w:rPr>
          <w:rFonts w:ascii="仿宋" w:eastAsia="仿宋" w:cs="仿宋" w:hAnsi="仿宋" w:hint="eastAsia"/>
          <w:sz w:val="32"/>
          <w:szCs w:val="32"/>
        </w:rPr>
        <w:t>2023年11月6日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eastAsia="仿宋" w:cs="仿宋" w:hAnsi="仿宋" w:hint="eastAsia"/>
          <w:sz w:val="32"/>
          <w:szCs w:val="32"/>
          <w:lang w:val="en-US" w:eastAsia="zh-CN"/>
        </w:rPr>
      </w:pPr>
    </w:p>
    <w:sectPr>
      <w:pgSz w:w="11900" w:h="16840"/>
      <w:pgMar w:top="2098" w:right="1474" w:bottom="1984" w:left="1587" w:header="0" w:footer="0" w:gutter="0"/>
      <w:cols w:num="1" w:space="0"/>
      <w:rtlGutter/>
      <w:docGrid w:linePitch="316" w:charSpace="0"/>
    </w:sectPr>
  </w:body>
</w:document>
</file>

<file path=word/fontTable.xml><?xml version="1.0" encoding="utf-8"?>
<w:fonts xmlns:w="http://schemas.openxmlformats.org/wordprocessingml/2006/main" xmlns:r="http://schemas.openxmlformats.org/officeDocument/2006/relationships">
  <w:font w:name="仿宋">
    <w:altName w:val="方正仿宋_GBK"/>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A9B3BDE-B081-4B15-A6D5-5BECA8A8EC4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TotalTime>
  <Application>WPS_Yozo_Office9.0.5233.191ZH.S1</Application>
  <Pages>2</Pages>
  <Words>0</Words>
  <Characters>581</Characters>
  <Lines>0</Lines>
  <Paragraphs>23</Paragraphs>
  <CharactersWithSpaces>775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杜一笔</dc:creator>
  <cp:lastModifiedBy>user</cp:lastModifiedBy>
  <cp:revision>1</cp:revision>
  <dcterms:created xsi:type="dcterms:W3CDTF">2024-11-22T09:39:00Z</dcterms:created>
  <dcterms:modified xsi:type="dcterms:W3CDTF">2024-11-26T02:37:11Z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C71EB42854874F289BBB9A1B80FBFB39_11</vt:lpwstr>
  </property>
</Properties>
</file>