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96597"/>
      <w:bookmarkStart w:id="3" w:name="_Toc15378441"/>
      <w:bookmarkStart w:id="4" w:name="_Toc15377193"/>
      <w:bookmarkStart w:id="5" w:name="_Toc15306267"/>
      <w:bookmarkStart w:id="6" w:name="_GoBack"/>
      <w:bookmarkEnd w:id="6"/>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2023年度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7" w:name="_Toc15396598"/>
      <w:bookmarkStart w:id="8" w:name="_Toc15396476"/>
      <w:bookmarkStart w:id="9" w:name="_Toc15377426"/>
      <w:bookmarkStart w:id="10" w:name="_Toc15306268"/>
      <w:bookmarkStart w:id="11" w:name="_Toc15377194"/>
      <w:bookmarkStart w:id="12" w:name="_Toc15378442"/>
      <w:bookmarkEnd w:id="5"/>
      <w:r>
        <w:rPr>
          <w:rFonts w:ascii="方正小标宋简体" w:eastAsia="方正小标宋简体" w:cs="方正小标宋简体" w:hAnsi="方正小标宋简体" w:hint="eastAsia"/>
          <w:sz w:val="72"/>
          <w:szCs w:val="72"/>
        </w:rPr>
        <w:t>广元市利州区三堆小学</w:t>
      </w: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单位决算</w:t>
      </w:r>
      <w:bookmarkEnd w:id="7"/>
      <w:bookmarkEnd w:id="8"/>
      <w:bookmarkEnd w:id="9"/>
      <w:bookmarkEnd w:id="10"/>
      <w:bookmarkEnd w:id="11"/>
      <w:bookmarkEnd w:id="12"/>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     录</w:t>
      </w:r>
    </w:p>
    <w:p>
      <w:pPr>
        <w:widowControl/>
        <w:jc w:val="center"/>
        <w:rPr>
          <w:rFonts w:ascii="黑体" w:eastAsia="黑体" w:cs="Arial" w:hAnsi="黑体"/>
          <w:sz w:val="28"/>
          <w:szCs w:val="28"/>
        </w:rPr>
      </w:pPr>
    </w:p>
    <w:p>
      <w:pPr>
        <w:pStyle w:val="21"/>
        <w:tabs>
          <w:tab w:val="right" w:leader="dot" w:pos="8296"/>
        </w:tabs>
      </w:pPr>
      <w:r>
        <w:rPr>
          <w:rFonts w:hint="eastAsia"/>
        </w:rPr>
        <w:t>公开时间：2024年10月1</w:t>
      </w:r>
      <w:r>
        <w:rPr>
          <w:rFonts w:hint="eastAsia"/>
          <w:lang w:val="en-US" w:eastAsia="zh-CN"/>
        </w:rPr>
        <w:t>4</w:t>
      </w:r>
      <w:r>
        <w:rPr>
          <w:rFonts w:hint="eastAsia"/>
        </w:rPr>
        <w:t>日</w:t>
      </w:r>
    </w:p>
    <w:p>
      <w:pPr>
        <w:snapToGrid w:val="0"/>
        <w:spacing w:line="360" w:lineRule="auto"/>
      </w:pPr>
    </w:p>
    <w:p>
      <w:pPr>
        <w:pStyle w:val="21"/>
        <w:tabs>
          <w:tab w:val="clear" w:pos="8296"/>
          <w:tab w:val="right" w:leader="dot" w:pos="8820"/>
        </w:tabs>
        <w:adjustRightInd w:val="0"/>
        <w:snapToGrid w:val="0"/>
        <w:spacing w:before="0" w:line="300" w:lineRule="auto"/>
        <w:jc w:val="both"/>
        <w:rPr>
          <w:rFonts w:ascii="仿宋_GB2312" w:eastAsia="仿宋_GB2312" w:cs="仿宋"/>
        </w:rPr>
      </w:pPr>
      <w:r>
        <w:rPr>
          <w:rFonts w:ascii="黑体" w:eastAsia="黑体" w:cs="黑体" w:hAnsi="黑体" w:hint="eastAsia"/>
          <w:sz w:val="32"/>
          <w:szCs w:val="32"/>
        </w:rPr>
        <w:t>第一部分 单位概况</w:t>
      </w:r>
      <w:r>
        <w:rPr>
          <w:rFonts w:ascii="仿宋_GB2312" w:eastAsia="仿宋_GB2312" w:hint="eastAsia"/>
        </w:rPr>
        <w:t xml:space="preserve"> </w:t>
      </w:r>
    </w:p>
    <w:p>
      <w:pPr>
        <w:pStyle w:val="22"/>
        <w:tabs>
          <w:tab w:val="clear" w:pos="8296"/>
          <w:tab w:val="right" w:leader="dot" w:pos="8820"/>
        </w:tabs>
        <w:adjustRightInd w:val="0"/>
        <w:snapToGrid w:val="0"/>
        <w:spacing w:line="300" w:lineRule="auto"/>
        <w:rPr>
          <w:rFonts w:ascii="仿宋_GB2312" w:eastAsia="仿宋_GB2312" w:cs="仿宋" w:hAnsi="仿宋"/>
          <w:sz w:val="28"/>
          <w:szCs w:val="28"/>
        </w:rPr>
      </w:pPr>
      <w:r>
        <w:rPr>
          <w:rFonts w:ascii="仿宋_GB2312" w:eastAsia="仿宋_GB2312" w:cs="仿宋" w:hAnsi="仿宋" w:hint="eastAsia"/>
          <w:sz w:val="28"/>
          <w:szCs w:val="28"/>
        </w:rPr>
        <w:t>一、主要职责</w:t>
      </w:r>
    </w:p>
    <w:p>
      <w:pPr>
        <w:pStyle w:val="22"/>
        <w:tabs>
          <w:tab w:val="clear" w:pos="8296"/>
          <w:tab w:val="right" w:leader="dot" w:pos="8820"/>
        </w:tabs>
        <w:adjustRightInd w:val="0"/>
        <w:snapToGrid w:val="0"/>
        <w:spacing w:line="300" w:lineRule="auto"/>
        <w:rPr>
          <w:rFonts w:ascii="仿宋_GB2312" w:eastAsia="仿宋_GB2312" w:cs="仿宋" w:hAnsi="仿宋"/>
          <w:sz w:val="28"/>
          <w:szCs w:val="28"/>
        </w:rPr>
      </w:pPr>
      <w:r>
        <w:rPr>
          <w:rFonts w:ascii="仿宋_GB2312" w:eastAsia="仿宋_GB2312" w:cs="仿宋" w:hAnsi="仿宋" w:hint="eastAsia"/>
          <w:sz w:val="28"/>
          <w:szCs w:val="28"/>
        </w:rPr>
        <w:t>二、机构设置</w:t>
      </w:r>
      <w:r>
        <w:rPr>
          <w:rFonts w:ascii="仿宋_GB2312" w:eastAsia="仿宋_GB2312" w:hint="eastAsia"/>
          <w:sz w:val="28"/>
          <w:szCs w:val="28"/>
        </w:rPr>
        <w:t xml:space="preserve"> </w:t>
      </w:r>
    </w:p>
    <w:p>
      <w:pPr>
        <w:widowControl/>
        <w:jc w:val="left"/>
        <w:rPr>
          <w:rFonts w:ascii="仿宋_GB2312" w:eastAsia="仿宋_GB2312" w:hAnsi="仿宋"/>
          <w:sz w:val="28"/>
          <w:szCs w:val="28"/>
        </w:rPr>
      </w:pPr>
      <w:bookmarkStart w:id="13" w:name="_Toc15396599"/>
      <w:bookmarkStart w:id="14" w:name="_Toc15377196"/>
      <w:r>
        <w:rPr>
          <w:rFonts w:ascii="黑体" w:eastAsia="黑体" w:hAnsi="黑体" w:hint="eastAsia"/>
          <w:sz w:val="32"/>
          <w:szCs w:val="32"/>
        </w:rPr>
        <w:t xml:space="preserve">第二部分 </w:t>
      </w:r>
      <w:r>
        <w:rPr>
          <w:rFonts w:ascii="黑体" w:eastAsia="黑体" w:hAnsi="黑体"/>
          <w:sz w:val="32"/>
          <w:szCs w:val="32"/>
        </w:rPr>
        <w:t>202</w:t>
      </w:r>
      <w:r>
        <w:rPr>
          <w:rFonts w:ascii="黑体" w:eastAsia="黑体" w:hAnsi="黑体" w:hint="eastAsia"/>
          <w:sz w:val="32"/>
          <w:szCs w:val="32"/>
        </w:rPr>
        <w:t>3年度单位决算情况说明</w:t>
      </w:r>
      <w:r>
        <w:rPr>
          <w:rFonts w:ascii="仿宋_GB2312" w:eastAsia="仿宋_GB2312" w:hint="eastAsia"/>
          <w:sz w:val="28"/>
          <w:szCs w:val="28"/>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一、收入支出决算总体情况说明</w:t>
      </w:r>
      <w:r>
        <w:rPr>
          <w:rFonts w:ascii="仿宋_GB2312" w:eastAsia="仿宋_GB2312" w:hint="eastAsia"/>
          <w:sz w:val="28"/>
          <w:szCs w:val="28"/>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二、收入决算情况说明</w:t>
      </w:r>
      <w:r>
        <w:rPr>
          <w:rFonts w:ascii="仿宋_GB2312" w:eastAsia="仿宋_GB2312" w:hint="eastAsia"/>
          <w:sz w:val="28"/>
          <w:szCs w:val="28"/>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hint="eastAsia"/>
          <w:sz w:val="32"/>
          <w:szCs w:val="32"/>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hint="eastAsia"/>
          <w:sz w:val="32"/>
          <w:szCs w:val="32"/>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hint="eastAsia"/>
          <w:sz w:val="32"/>
          <w:szCs w:val="32"/>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hint="eastAsia"/>
          <w:sz w:val="32"/>
          <w:szCs w:val="32"/>
        </w:rPr>
        <w:t xml:space="preserve"> </w:t>
      </w:r>
    </w:p>
    <w:p>
      <w:pPr>
        <w:pStyle w:val="22"/>
        <w:tabs>
          <w:tab w:val="right" w:leader="dot" w:pos="8296"/>
        </w:tabs>
        <w:adjustRightInd w:val="0"/>
        <w:snapToGrid w:val="0"/>
        <w:spacing w:line="440" w:lineRule="exact"/>
        <w:jc w:val="left"/>
        <w:rPr>
          <w:rFonts w:ascii="仿宋" w:eastAsia="仿宋" w:cs="Arial" w:hAnsi="仿宋"/>
          <w:sz w:val="28"/>
          <w:szCs w:val="28"/>
        </w:rPr>
      </w:pPr>
      <w:r>
        <w:rPr>
          <w:rFonts w:ascii="仿宋" w:eastAsia="仿宋" w:hAnsi="仿宋" w:hint="eastAsia"/>
          <w:sz w:val="28"/>
          <w:szCs w:val="28"/>
        </w:rPr>
        <w:t>七、财政拨款“三公”经费支出决算情况说明</w:t>
      </w:r>
    </w:p>
    <w:p>
      <w:pPr>
        <w:widowControl/>
        <w:ind w:firstLineChars="150" w:firstLine="420"/>
        <w:jc w:val="left"/>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hint="eastAsia"/>
          <w:sz w:val="32"/>
          <w:szCs w:val="32"/>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九、国有资本经营预算支出决算情况说明</w:t>
      </w:r>
      <w:r>
        <w:rPr>
          <w:rFonts w:ascii="仿宋" w:eastAsia="仿宋" w:hAnsi="仿宋" w:hint="eastAsia"/>
          <w:sz w:val="32"/>
          <w:szCs w:val="32"/>
        </w:rPr>
        <w:t xml:space="preserve"> </w:t>
      </w:r>
    </w:p>
    <w:p>
      <w:pPr>
        <w:widowControl/>
        <w:ind w:firstLineChars="150" w:firstLine="420"/>
        <w:jc w:val="left"/>
        <w:rPr>
          <w:rFonts w:ascii="仿宋" w:eastAsia="仿宋" w:hAnsi="仿宋"/>
          <w:sz w:val="28"/>
          <w:szCs w:val="28"/>
        </w:rPr>
      </w:pPr>
      <w:r>
        <w:rPr>
          <w:rFonts w:ascii="仿宋" w:eastAsia="仿宋" w:hAnsi="仿宋" w:hint="eastAsia"/>
          <w:sz w:val="28"/>
          <w:szCs w:val="28"/>
        </w:rPr>
        <w:t>十、其他重要事项的情况说明</w:t>
      </w:r>
      <w:r>
        <w:rPr>
          <w:rFonts w:ascii="仿宋" w:eastAsia="仿宋" w:hAnsi="仿宋" w:hint="eastAsia"/>
          <w:sz w:val="32"/>
          <w:szCs w:val="32"/>
        </w:rPr>
        <w:t xml:space="preserve"> </w:t>
      </w:r>
    </w:p>
    <w:p>
      <w:pPr>
        <w:widowControl/>
        <w:jc w:val="left"/>
        <w:rPr>
          <w:rFonts w:ascii="黑体" w:eastAsia="黑体" w:hAnsi="黑体"/>
          <w:sz w:val="32"/>
          <w:szCs w:val="32"/>
        </w:rPr>
      </w:pPr>
      <w:r>
        <w:rPr>
          <w:rFonts w:ascii="黑体" w:eastAsia="黑体" w:hAnsi="黑体" w:hint="eastAsia"/>
          <w:sz w:val="32"/>
          <w:szCs w:val="32"/>
        </w:rPr>
        <w:t>第三部分 名词解释</w:t>
        <w:tab/>
        <w:t xml:space="preserve"> </w:t>
      </w:r>
    </w:p>
    <w:p>
      <w:pPr>
        <w:widowControl/>
        <w:jc w:val="left"/>
        <w:rPr>
          <w:rFonts w:ascii="黑体" w:eastAsia="黑体" w:hAnsi="黑体"/>
          <w:sz w:val="32"/>
          <w:szCs w:val="32"/>
        </w:rPr>
      </w:pPr>
      <w:r>
        <w:rPr>
          <w:rFonts w:ascii="黑体" w:eastAsia="黑体" w:hAnsi="黑体" w:hint="eastAsia"/>
          <w:sz w:val="32"/>
          <w:szCs w:val="32"/>
        </w:rPr>
        <w:t>第四部分 附件</w:t>
        <w:tab/>
        <w:t xml:space="preserve"> </w:t>
      </w:r>
    </w:p>
    <w:p>
      <w:pPr>
        <w:widowControl/>
        <w:jc w:val="left"/>
        <w:rPr>
          <w:rFonts w:ascii="黑体" w:eastAsia="黑体" w:hAnsi="黑体"/>
          <w:sz w:val="32"/>
          <w:szCs w:val="32"/>
        </w:rPr>
      </w:pPr>
      <w:r>
        <w:rPr>
          <w:rFonts w:ascii="黑体" w:eastAsia="黑体" w:hAnsi="黑体" w:hint="eastAsia"/>
          <w:sz w:val="32"/>
          <w:szCs w:val="32"/>
        </w:rPr>
        <w:t xml:space="preserve">第五部分 附表 </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一、收入支出决算总表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二、收入决算表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三、支出决算表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四、财政拨款收入支出决算总表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五、财政拨款支出决算明细表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六、一般公共预算财政拨款支出决算表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七、一般公共预算财政拨款支出决算明细表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八、一般公共预算财政拨款基本支出决算表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九、一般公共预算财政拨款项目支出决算表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十、政府性基金预算财政拨款收入支出决算表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十一、国有资本经营预算财政拨款收入支出决算表</w:t>
      </w:r>
    </w:p>
    <w:p>
      <w:pPr>
        <w:pStyle w:val="22"/>
        <w:tabs>
          <w:tab w:val="right" w:leader="dot" w:pos="8296"/>
        </w:tabs>
        <w:adjustRightInd w:val="0"/>
        <w:snapToGrid w:val="0"/>
        <w:spacing w:line="440" w:lineRule="exact"/>
        <w:jc w:val="left"/>
        <w:rPr>
          <w:rFonts w:ascii="仿宋" w:eastAsia="仿宋" w:hAnsi="仿宋"/>
          <w:sz w:val="28"/>
          <w:szCs w:val="28"/>
        </w:rPr>
      </w:pPr>
      <w:r>
        <w:rPr>
          <w:rFonts w:ascii="仿宋" w:eastAsia="仿宋" w:hAnsi="仿宋" w:hint="eastAsia"/>
          <w:sz w:val="28"/>
          <w:szCs w:val="28"/>
        </w:rPr>
        <w:t>十二、国有资本经营预算财政拨款支出决算表</w:t>
      </w:r>
    </w:p>
    <w:p>
      <w:pPr>
        <w:pStyle w:val="22"/>
        <w:tabs>
          <w:tab w:val="right" w:leader="dot" w:pos="8296"/>
        </w:tabs>
        <w:adjustRightInd w:val="0"/>
        <w:snapToGrid w:val="0"/>
        <w:spacing w:line="440" w:lineRule="exact"/>
        <w:jc w:val="left"/>
        <w:rPr>
          <w:rFonts w:ascii="仿宋" w:eastAsia="仿宋" w:hAnsi="仿宋"/>
          <w:sz w:val="28"/>
          <w:szCs w:val="28"/>
        </w:rPr>
        <w:sectPr>
          <w:footerReference w:type="default" r:id="rId2"/>
          <w:pgSz w:w="11906" w:h="16838"/>
          <w:pgMar w:top="1701" w:right="1474" w:bottom="1701" w:left="1587" w:header="851" w:footer="1304" w:gutter="0"/>
          <w:cols w:num="1" w:space="0"/>
          <w:docGrid w:type="lines" w:linePitch="312" w:charSpace="0"/>
        </w:sectPr>
      </w:pPr>
      <w:r>
        <w:rPr>
          <w:rFonts w:ascii="仿宋" w:eastAsia="仿宋" w:hAnsi="仿宋" w:hint="eastAsia"/>
          <w:sz w:val="28"/>
          <w:szCs w:val="28"/>
        </w:rPr>
        <w:t>十三、财政拨款“三公”经费支出决算表</w:t>
      </w:r>
      <w:r>
        <mc:AlternateContent>
          <mc:Choice Requires="wps">
            <w:drawing>
              <wp:anchor distT="0" distB="0" distL="114300" distR="114300" simplePos="0" relativeHeight="39" behindDoc="0" locked="0" layoutInCell="1" hidden="0" allowOverlap="1">
                <wp:simplePos x="0" y="0"/>
                <wp:positionH relativeFrom="column">
                  <wp:posOffset>-73660</wp:posOffset>
                </wp:positionH>
                <wp:positionV relativeFrom="paragraph">
                  <wp:posOffset>8608059</wp:posOffset>
                </wp:positionV>
                <wp:extent cx="828675" cy="333375"/>
                <wp:effectExtent l="0" t="0" r="0" b="0"/>
                <wp:wrapNone/>
                <wp:docPr id="1026" name="_x0000_s1026"/>
                <wp:cNvGraphicFramePr>
                  <a:graphicFrameLocks noChangeAspect="0"/>
                </wp:cNvGraphicFramePr>
                <a:graphic>
                  <a:graphicData uri="http://schemas.microsoft.com/office/word/2010/wordprocessingShape">
                    <wps:wsp>
                      <wps:cNvSpPr/>
                      <wps:spPr>
                        <a:xfrm rot="0">
                          <a:off x="0" y="0"/>
                          <a:ext cx="828675" cy="333375"/>
                        </a:xfrm>
                        <a:prstGeom prst="rect"/>
                        <a:solidFill>
                          <a:srgbClr val="FFFFFF"/>
                        </a:solidFill>
                        <a:ln w="25400" cmpd="sng" cap="flat">
                          <a:solidFill>
                            <a:srgbClr val="FFFFFF"/>
                          </a:solidFill>
                          <a:prstDash val="solid"/>
                          <a:miter/>
                        </a:ln>
                      </wps:spPr>
                      <wps:bodyPr vert="horz" wrap="square" lIns="91440" tIns="45720" rIns="91440" bIns="45720" anchor="ctr" anchorCtr="0" upright="1">
                        <a:noAutofit/>
                      </wps:bodyPr>
                    </wps:wsp>
                  </a:graphicData>
                </a:graphic>
              </wp:anchor>
            </w:drawing>
          </mc:Choice>
          <mc:Fallback>
            <w:pict>
              <v:rect type="#_x0000_t1" id="_x0000_s1026" o:spid="_x0000_s3" fillcolor="#FFFFFF" stroked="t" strokeweight="2.0pt" style="position:absolute;margin-left:-5.8pt;margin-top:677.8pt;width:65.25pt;height:26.25pt;z-index:39;mso-position-horizontal:absolute;mso-position-vertical:absolute;">
                <v:stroke color="#FFFFFF"/>
              </v:rect>
            </w:pict>
          </mc:Fallback>
        </mc:AlternateContent>
      </w:r>
    </w:p>
    <w:p>
      <w:pPr>
        <w:pStyle w:val="1"/>
        <w:jc w:val="center"/>
        <w:rPr>
          <w:rFonts w:ascii="黑体" w:eastAsia="黑体" w:hAnsi="黑体"/>
          <w:bCs w:val="0"/>
        </w:rPr>
      </w:pPr>
      <w:bookmarkStart w:id="15" w:name="_Toc19089861"/>
      <w:r>
        <w:rPr>
          <w:rFonts w:ascii="黑体" w:eastAsia="黑体" w:hAnsi="黑体" w:hint="eastAsia"/>
          <w:b w:val="0"/>
        </w:rPr>
        <w:t xml:space="preserve">第一部分 </w:t>
      </w:r>
      <w:r>
        <w:rPr>
          <w:rStyle w:val="1Char"/>
          <w:rFonts w:ascii="黑体" w:eastAsia="黑体" w:hAnsi="黑体" w:hint="eastAsia"/>
          <w:b w:val="0"/>
          <w:bCs w:val="0"/>
        </w:rPr>
        <w:t>单位概况</w:t>
      </w:r>
      <w:bookmarkEnd w:id="15"/>
    </w:p>
    <w:p>
      <w:pPr>
        <w:pStyle w:val="2"/>
        <w:snapToGrid w:val="0"/>
        <w:spacing w:before="0" w:after="0" w:line="540" w:lineRule="exact"/>
        <w:ind w:firstLineChars="200" w:firstLine="640"/>
        <w:rPr>
          <w:rStyle w:val="36"/>
          <w:rFonts w:ascii="仿宋" w:eastAsia="仿宋" w:hAnsi="仿宋"/>
          <w:b w:val="0"/>
          <w:bCs w:val="0"/>
        </w:rPr>
      </w:pPr>
      <w:bookmarkStart w:id="16" w:name="_Toc19089864"/>
      <w:r>
        <w:rPr>
          <w:rFonts w:ascii="黑体" w:eastAsia="黑体" w:hAnsi="黑体" w:hint="eastAsia"/>
          <w:b w:val="0"/>
        </w:rPr>
        <w:t>一、主要职责</w:t>
      </w:r>
    </w:p>
    <w:p>
      <w:pPr>
        <w:snapToGrid w:val="0"/>
        <w:spacing w:line="540" w:lineRule="exact"/>
        <w:ind w:firstLineChars="200" w:firstLine="560"/>
        <w:rPr>
          <w:rFonts w:ascii="仿宋" w:eastAsia="仿宋" w:cs="楷体" w:hAnsi="仿宋"/>
          <w:sz w:val="28"/>
          <w:szCs w:val="28"/>
        </w:rPr>
      </w:pPr>
      <w:r>
        <w:rPr>
          <w:rFonts w:ascii="仿宋" w:eastAsia="仿宋" w:cs="楷体" w:hAnsi="仿宋" w:hint="eastAsia"/>
          <w:bCs/>
          <w:sz w:val="28"/>
          <w:szCs w:val="28"/>
        </w:rPr>
        <w:t>（一）主要职责</w:t>
      </w:r>
    </w:p>
    <w:p>
      <w:pPr>
        <w:pStyle w:val="15"/>
        <w:adjustRightInd w:val="0"/>
        <w:snapToGrid w:val="0"/>
        <w:spacing w:beforeLines="0" w:before="30" w:line="520" w:lineRule="exact"/>
        <w:ind w:firstLineChars="200" w:firstLine="560"/>
        <w:outlineLvl w:val="2"/>
        <w:rPr>
          <w:rFonts w:ascii="仿宋" w:eastAsia="仿宋" w:hAnsi="仿宋"/>
          <w:bCs/>
          <w:color w:val="000000"/>
          <w:sz w:val="28"/>
          <w:szCs w:val="28"/>
        </w:rPr>
      </w:pPr>
      <w:r>
        <w:rPr>
          <w:rFonts w:ascii="仿宋" w:eastAsia="仿宋" w:hAnsi="仿宋" w:hint="eastAsia"/>
          <w:bCs/>
          <w:color w:val="000000"/>
          <w:sz w:val="28"/>
          <w:szCs w:val="28"/>
        </w:rPr>
        <w:t>1.负责贯彻党的教育方针，坚持社会主义办学方向，实行教育与生产劳动相结合，对学生进行德育、智育、体育、美育和劳动等方面的教育。</w:t>
        <w:br/>
        <w:t xml:space="preserve">    2.负责依法制定学校章程，并按照章程自主管理。</w:t>
        <w:br/>
        <w:t xml:space="preserve">    3.负责配合各级人民政府依法动员、组织适龄儿童、少年入学，严格控制学生辍学，依法保证适龄儿童、少年接受九年义务教育。</w:t>
        <w:br/>
        <w:t xml:space="preserve">    4.负责制定学校教育发展规划，并抓好组织实施和落实工作。</w:t>
        <w:br/>
        <w:t xml:space="preserve">    5.负责按照教育主管单位发布的指导性教学计划、教学大纲，组织实施教育教学活动。</w:t>
        <w:br/>
        <w:t xml:space="preserve">    6.负责依据国家教育单位有关教学计划、课程设置等方面的规定，决定和实施本校的教学计划，组织教学评比、集体评课，对学生进行统一考核、考试等。</w:t>
        <w:br/>
        <w:t xml:space="preserve">    7.负责学籍管理，并对学生实施奖励或处分。</w:t>
        <w:br/>
        <w:t xml:space="preserve">    8.负责依法制定本校教师及其他职工出任办法并对教师及其他员工实施包括奖励、处分在内的具体管理活动，依法聘任、解聘有关教师和其他职工。</w:t>
        <w:br/>
        <w:t xml:space="preserve">    9.负责聘任、培训、考核教师，依法奖励或处分教师和其他职工。</w:t>
      </w:r>
    </w:p>
    <w:p>
      <w:pPr>
        <w:pStyle w:val="15"/>
        <w:adjustRightInd w:val="0"/>
        <w:snapToGrid w:val="0"/>
        <w:spacing w:beforeLines="0" w:before="30" w:line="520" w:lineRule="exact"/>
        <w:ind w:firstLineChars="200" w:firstLine="560"/>
        <w:outlineLvl w:val="2"/>
        <w:rPr>
          <w:rFonts w:ascii="仿宋" w:eastAsia="仿宋" w:hAnsi="仿宋"/>
          <w:bCs/>
          <w:color w:val="000000"/>
          <w:sz w:val="28"/>
          <w:szCs w:val="28"/>
        </w:rPr>
      </w:pPr>
      <w:r>
        <w:rPr>
          <w:rFonts w:ascii="仿宋" w:eastAsia="仿宋" w:hAnsi="仿宋" w:hint="eastAsia"/>
          <w:bCs/>
          <w:color w:val="000000"/>
          <w:sz w:val="28"/>
          <w:szCs w:val="28"/>
        </w:rPr>
        <w:t>10.负责科学管理、合理使用学校的设施和经费，并积极筹措资金，改善办学条件。</w:t>
        <w:br/>
        <w:t xml:space="preserve">    11.负责维护学校、师生的合法权益，有权拒绝任何组织和个人对教育教学活动进行非法干扰。</w:t>
        <w:br/>
        <w:t xml:space="preserve">    12.依法接受各级教育行政单位的检查指导和人民群众的监督。</w:t>
      </w:r>
    </w:p>
    <w:p>
      <w:pPr>
        <w:snapToGrid w:val="0"/>
        <w:spacing w:line="540" w:lineRule="exact"/>
        <w:ind w:firstLineChars="200" w:firstLine="560"/>
        <w:rPr>
          <w:rFonts w:ascii="仿宋" w:eastAsia="仿宋" w:hAnsi="仿宋"/>
          <w:bCs/>
          <w:sz w:val="28"/>
          <w:szCs w:val="28"/>
        </w:rPr>
      </w:pPr>
      <w:r>
        <w:rPr>
          <w:rFonts w:ascii="仿宋" w:eastAsia="仿宋" w:hAnsi="仿宋" w:hint="eastAsia"/>
          <w:bCs/>
          <w:sz w:val="28"/>
          <w:szCs w:val="28"/>
        </w:rPr>
        <w:t>（二）2023年重点工作完成情况</w:t>
      </w:r>
    </w:p>
    <w:p>
      <w:pPr>
        <w:spacing w:line="360" w:lineRule="auto"/>
        <w:ind w:firstLineChars="200" w:firstLine="560"/>
        <w:rPr>
          <w:rFonts w:ascii="仿宋" w:eastAsia="仿宋" w:cs="仿宋_GB2312" w:hAnsi="仿宋"/>
          <w:sz w:val="28"/>
          <w:szCs w:val="28"/>
        </w:rPr>
      </w:pPr>
      <w:r>
        <w:rPr>
          <w:rFonts w:ascii="仿宋" w:eastAsia="仿宋" w:hAnsi="仿宋" w:hint="eastAsia"/>
          <w:bCs/>
          <w:sz w:val="28"/>
          <w:szCs w:val="28"/>
        </w:rPr>
        <w:t xml:space="preserve"> </w:t>
      </w:r>
      <w:r>
        <w:rPr>
          <w:rFonts w:ascii="仿宋" w:eastAsia="仿宋" w:cs="仿宋_GB2312" w:hAnsi="仿宋" w:hint="eastAsia"/>
          <w:sz w:val="28"/>
          <w:szCs w:val="28"/>
        </w:rPr>
        <w:t>2023年在三堆小学发展史上迎来了百年华诞荣耀时刻。我校工作在区教育局、地方党委政府的指导关心下，全体教职工激情满怀地工作，全面完成了各项工作目标任务。</w:t>
      </w:r>
    </w:p>
    <w:p>
      <w:pPr>
        <w:spacing w:line="360" w:lineRule="auto"/>
        <w:ind w:firstLineChars="200" w:firstLine="560"/>
        <w:rPr>
          <w:rFonts w:ascii="仿宋" w:eastAsia="仿宋" w:cs="宋体" w:hAnsi="仿宋"/>
          <w:sz w:val="28"/>
          <w:szCs w:val="28"/>
        </w:rPr>
      </w:pPr>
      <w:r>
        <w:rPr>
          <w:rFonts w:ascii="仿宋" w:eastAsia="仿宋" w:cs="黑体" w:hAnsi="仿宋" w:hint="eastAsia"/>
          <w:sz w:val="28"/>
          <w:szCs w:val="28"/>
        </w:rPr>
        <w:t>一、齐心协力，求实创新，促进学校提质增效</w:t>
      </w:r>
    </w:p>
    <w:p>
      <w:pPr>
        <w:spacing w:line="560" w:lineRule="exact"/>
        <w:ind w:firstLineChars="200" w:firstLine="560"/>
        <w:rPr>
          <w:rFonts w:ascii="仿宋" w:eastAsia="仿宋" w:cs="仿宋" w:hAnsi="仿宋"/>
          <w:b/>
          <w:bCs/>
          <w:sz w:val="28"/>
          <w:szCs w:val="28"/>
        </w:rPr>
      </w:pPr>
      <w:r>
        <w:rPr>
          <w:rFonts w:ascii="仿宋" w:eastAsia="仿宋" w:cs="黑体" w:hAnsi="仿宋" w:hint="eastAsia"/>
          <w:sz w:val="28"/>
          <w:szCs w:val="28"/>
        </w:rPr>
        <w:t>（一）抓实党建，优化师德，贯彻落实党的二十大精神</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2023年，是全面贯彻党的二十大精神的开局之年，是实施“十四五”规划承前启后的关键一年。我校对照党中央、省委、市委、区委各级决策部署,认真落实全面从严治党任务要求，保持政治清醒，提高政治站位，坚定信心和决心，深入学习二十大精神，抓实党建工作。以基层党组织主题教育活动为重心，坚持组织党员红色星期五、“三会一课”、专题组织生活会等学习实践。如：到广元红星公园、龙潭开展了缅怀先烈，热爱家乡文化主题研学活动；到广元剧院观看主题话剧《其美多吉》、《信仰之城》；多次开展党员志愿者清洁校园周边环境、交通劝导、家访及扶贫政策宣传，资金兑现了解等下基层活动。通过丰富多彩的活动引导全体党员修身励志。学校不断推进党风廉政建设，健全廉政体系，严格按照三重一大程序办事，严肃作风纪律，充分发挥党支部战斗堡垒和党员先锋模范作用。</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继续推进“学党史、正师风、强师魂”师德师风建设和作风纪律专项整治活动，落实“养师德、振师风、立师表”师德师风建设深化年工作。扎实开展师德师风学习，学习内容充实，安排有序，做到了有学习材料、个人有专项笔记本、有交流、有建议。对工作中违反工作纪律的进行约谈和绩效问责处理，确保工作中做到有令必行，有禁必止。开展教师民主评议、学生及家长评议，选优树典，同时坚持标本兼治、惩防并举原则，坚决执行师德师风铁律，对师德违规问题相关责任人依规依纪从重处理。涵养良好师德，强化行为规范，师德师风建设永远在路上。</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坚持做好意识形态工作专项研究，检查和总结工作。将意识形态工作和学校整体工作同部署，每期专项拟定意识形态工作计划，每期开展专项检查活动2次，进一步规范学校校园文化建设，图书馆用书，校内讲座，网络监管、师生社会言行等工作。</w:t>
      </w:r>
    </w:p>
    <w:p>
      <w:pPr>
        <w:spacing w:line="560" w:lineRule="exact"/>
        <w:ind w:leftChars="200" w:left="420"/>
        <w:rPr>
          <w:rFonts w:ascii="仿宋" w:eastAsia="仿宋" w:cs="黑体" w:hAnsi="仿宋"/>
          <w:sz w:val="28"/>
          <w:szCs w:val="28"/>
        </w:rPr>
      </w:pPr>
      <w:r>
        <w:rPr>
          <w:rFonts w:ascii="仿宋" w:eastAsia="仿宋" w:cs="黑体" w:hAnsi="仿宋" w:hint="eastAsia"/>
          <w:sz w:val="28"/>
          <w:szCs w:val="28"/>
        </w:rPr>
        <w:t>（二）夯实安全工作，为校园平安护航</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学校安全工作无小事，认真落实 “一岗双责”，制定实施全面的安全工作考评细则。建立和完善应急处理机制，制定应急预案，加强各类演练指导，落实安全清单责任制。学校建起了地震自动报警装置，安装了体外自动除颤仪，食堂安全管理平台接进省平台。通过细致入微地教育、防范、监管、整改落实等安全措施，今年我校没有发生过任何一起安全责任事故。在全省安全交叉大检查中，我校的门卫护校岗等安全工作得到了认可，学校没有出现安全责任事故。</w:t>
      </w:r>
    </w:p>
    <w:p>
      <w:pPr>
        <w:spacing w:line="560" w:lineRule="exact"/>
        <w:ind w:firstLineChars="200" w:firstLine="560"/>
        <w:rPr>
          <w:rFonts w:ascii="仿宋" w:eastAsia="仿宋" w:cs="黑体" w:hAnsi="仿宋"/>
          <w:sz w:val="28"/>
          <w:szCs w:val="28"/>
        </w:rPr>
      </w:pPr>
      <w:r>
        <w:rPr>
          <w:rFonts w:ascii="仿宋" w:eastAsia="仿宋" w:cs="黑体" w:hAnsi="仿宋" w:hint="eastAsia"/>
          <w:sz w:val="28"/>
          <w:szCs w:val="28"/>
        </w:rPr>
        <w:t>（三）巩固脱贫攻坚成果和乡村振兴有效衔接，不断创设高品质育人环境。</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我校千方百计加大资金投入，完善硬件设施，为师生创设高品质的学习工作环境。</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1.学校智园处新建了攀爬墙、滑滑梯，给低段学生提供了一项很好的运动项目。</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2.教学楼、综艺楼的楼道上全面安装了防护网，进一步保障了学生安全。</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3.完善功能室设备，新换了会议室投影仪，更换升级了8个教室的班班通多媒体，食堂建立了智能化网络管理系统。</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4.维修了学校食堂顶部，确保用餐环境整洁。时常维修学校的破旧设施，进行环境整治美化，保持校园面貌常新。</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5.原井田小学资产进行了处置，部分办公用品、图书等有用设备转移到我校。</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6.调整学校空调安装在六年级教室，解决暑热问题，为学生学习创造舒适环境。</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7.学校室外、室内操场维修翻新上报了立项计划。</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8.学校庆百年</w:t>
      </w:r>
      <w:r>
        <w:rPr>
          <w:rFonts w:ascii="仿宋" w:eastAsia="仿宋" w:cs="宋体" w:hAnsi="仿宋" w:hint="eastAsia"/>
          <w:sz w:val="28"/>
          <w:szCs w:val="28"/>
        </w:rPr>
        <w:t>.</w:t>
      </w:r>
      <w:r>
        <w:rPr>
          <w:rFonts w:ascii="仿宋" w:eastAsia="仿宋" w:cs="仿宋" w:hAnsi="仿宋" w:hint="eastAsia"/>
          <w:sz w:val="28"/>
          <w:szCs w:val="28"/>
        </w:rPr>
        <w:t>迎新年活动上开展“妈妈的味道”劳动实践项目捐赠活动，募集到现金18</w:t>
      </w:r>
      <w:r>
        <w:rPr>
          <w:rFonts w:ascii="仿宋" w:eastAsia="仿宋" w:cs="宋体" w:hAnsi="仿宋" w:hint="eastAsia"/>
          <w:sz w:val="28"/>
          <w:szCs w:val="28"/>
        </w:rPr>
        <w:t>.</w:t>
      </w:r>
      <w:r>
        <w:rPr>
          <w:rFonts w:ascii="仿宋" w:eastAsia="仿宋" w:cs="仿宋" w:hAnsi="仿宋" w:hint="eastAsia"/>
          <w:sz w:val="28"/>
          <w:szCs w:val="28"/>
        </w:rPr>
        <w:t>53万元、价值12万余元物资，来年即将按程序启动该项目建设。</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在两考核一评估工作中，继续精准识别建档立卡贫困学生等九类儿童，理清增减情况，调查清楚就学信息。做到脱贫不脱帮，确保各类资助政策资金按时兑现。坚持做好教育救助及关爱，抓好义务教育控辍保学。对各类贫困学生，留守儿童，学校和社会爱心人士给予帮扶关爱，认真开展好残疾儿童送教上门活动。开学典礼、六一儿童节上，三堆商会爱心捐赠了1万多元的帮扶资金和学习用品。广元市、利州区关工委2023暖冬行动上，给贫困儿童捐赠了50套冬季防寒棉衣。</w:t>
      </w:r>
    </w:p>
    <w:p>
      <w:pPr>
        <w:spacing w:line="560" w:lineRule="exact"/>
        <w:ind w:firstLineChars="200" w:firstLine="560"/>
        <w:rPr>
          <w:rFonts w:ascii="仿宋" w:eastAsia="仿宋" w:cs="黑体" w:hAnsi="仿宋"/>
          <w:sz w:val="28"/>
          <w:szCs w:val="28"/>
        </w:rPr>
      </w:pPr>
      <w:r>
        <w:rPr>
          <w:rFonts w:ascii="仿宋" w:eastAsia="仿宋" w:cs="黑体" w:hAnsi="仿宋" w:hint="eastAsia"/>
          <w:sz w:val="28"/>
          <w:szCs w:val="28"/>
        </w:rPr>
        <w:t>（四）立德树人，引领童心向党，培养学生良好行为习惯</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坚持德育工作为首位。学校继续以品格教育为重点，抓好学生的行为习惯教育，培养学生良好品质。通过文化宣传，制度建设，激励评价，实践改进等措施，严格训练，德育工作从校内向校外及家里延伸，校风校貌进一步优化。</w:t>
      </w:r>
    </w:p>
    <w:p>
      <w:pPr>
        <w:spacing w:line="560" w:lineRule="exact"/>
        <w:ind w:firstLineChars="200" w:firstLine="560"/>
        <w:rPr>
          <w:rFonts w:ascii="仿宋" w:eastAsia="仿宋" w:cs="仿宋" w:hAnsi="仿宋"/>
          <w:kern w:val="0"/>
          <w:sz w:val="28"/>
          <w:szCs w:val="28"/>
        </w:rPr>
      </w:pPr>
      <w:r>
        <w:rPr>
          <w:rFonts w:ascii="仿宋" w:eastAsia="仿宋" w:cs="仿宋" w:hAnsi="仿宋" w:hint="eastAsia"/>
          <w:kern w:val="0"/>
          <w:sz w:val="28"/>
          <w:szCs w:val="28"/>
        </w:rPr>
        <w:t>积极开展德育实践活动。利用节假日及有特殊意义的重要日子，举行各种纪念、庆祝活动。本年中主要开展了文明城市创建知识竞答、征文，农家文化研学，致敬英雄，风筝节、体育节，利州区球类、田径竞赛，主题书画展，土豆丰收节劳动实践，六一艺术节展演、募捐感恩、庆百年迎新年文艺展演等活动。</w:t>
      </w:r>
    </w:p>
    <w:p>
      <w:pPr>
        <w:spacing w:line="560" w:lineRule="exact"/>
        <w:ind w:firstLineChars="200" w:firstLine="560"/>
        <w:rPr>
          <w:rFonts w:ascii="仿宋" w:eastAsia="仿宋" w:cs="仿宋" w:hAnsi="仿宋"/>
          <w:kern w:val="0"/>
          <w:sz w:val="28"/>
          <w:szCs w:val="28"/>
        </w:rPr>
      </w:pPr>
      <w:r>
        <w:rPr>
          <w:rFonts w:ascii="仿宋" w:eastAsia="仿宋" w:cs="仿宋" w:hAnsi="仿宋" w:hint="eastAsia"/>
          <w:kern w:val="0"/>
          <w:sz w:val="28"/>
          <w:szCs w:val="28"/>
        </w:rPr>
        <w:t>继续加大学生文明礼仪等德育素质培养，积极践行社会主义核心价值观。邀请法院、疾控、交警队专业辅导员讲座，加强法治教育，禁毒教育，防电信诈骗、防性侵，杜绝校园欺凌事件，心理减压辅导，净化校园风气，呵护少年儿童健康成长。</w:t>
      </w:r>
    </w:p>
    <w:p>
      <w:pPr>
        <w:spacing w:line="560" w:lineRule="exact"/>
        <w:ind w:firstLineChars="200" w:firstLine="560"/>
        <w:rPr>
          <w:rFonts w:ascii="仿宋" w:eastAsia="仿宋" w:cs="黑体" w:hAnsi="仿宋"/>
          <w:sz w:val="28"/>
          <w:szCs w:val="28"/>
        </w:rPr>
      </w:pPr>
      <w:r>
        <w:rPr>
          <w:rFonts w:ascii="仿宋" w:eastAsia="仿宋" w:cs="黑体" w:hAnsi="仿宋" w:hint="eastAsia"/>
          <w:sz w:val="28"/>
          <w:szCs w:val="28"/>
        </w:rPr>
        <w:t>（五）聚焦教学中心工作，加大教育科研力度，提升教育教学质量</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上一年的疫情线上教学，留下了很多欠账。学校想尽一切办法推进教学工作。继续落实好双减工作，不断规范五项管理，以素质教育为核心，坚持义务教育发展方向，强化教学常规管理。严格执行国家课程设置标准，开齐课程、开足课时。积极开展课外活动，强化体育艺术教育，注重核心素养的培养，不断提高学科教学成绩。</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1.改进和加强学校教学常规管理。定期检查、临时抽查教学六认真各环节工作。创新教案模式，尝试在线教育微视频、电子教案与手写教案相结合，体现出教案的实用性，组织教师对改革后的新课标新教材的学习钻研。作业检查与展评相结合。重点抓学生的书写训练，师生们相互观摩，相互学习，提高作业质量。教学质量是一所学校的生命线，学校增强质量意识，老师们呈现出追赶进步的激励氛围。</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2.开展教育科研，激发创新意识。积极开展乡村名师工作室活动，开展多人次、多主题教研公开课，网络在线教研活动。积极参加课堂教学精品课、微课、论文等活动。</w:t>
      </w:r>
    </w:p>
    <w:p>
      <w:pPr>
        <w:spacing w:line="560" w:lineRule="exact"/>
        <w:ind w:firstLineChars="200" w:firstLine="560"/>
        <w:rPr>
          <w:rFonts w:ascii="仿宋" w:eastAsia="仿宋" w:cs="仿宋" w:hAnsi="仿宋"/>
          <w:kern w:val="0"/>
          <w:sz w:val="28"/>
          <w:szCs w:val="28"/>
        </w:rPr>
      </w:pPr>
      <w:r>
        <w:rPr>
          <w:rFonts w:ascii="仿宋" w:eastAsia="仿宋" w:cs="仿宋" w:hAnsi="仿宋" w:hint="eastAsia"/>
          <w:kern w:val="0"/>
          <w:sz w:val="28"/>
          <w:szCs w:val="28"/>
        </w:rPr>
        <w:t>3.强化体育运动和艺术教育，加强劳动实践教育。坚持每天阳光体育锻炼一小时。大课间新增了韵律操、体能训练操项目。大力开展乡村少年宫兴趣小组活动，培养学生的个性特长。加强劳动实践教育，坚持上好劳动课，利用学校“半亩苑”劳动实践基地，开展了丰富的农作物种植、管理、收获，品尝实践活动。</w:t>
      </w:r>
    </w:p>
    <w:p>
      <w:pPr>
        <w:spacing w:line="560" w:lineRule="exact"/>
        <w:ind w:firstLineChars="200" w:firstLine="560"/>
        <w:rPr>
          <w:rFonts w:ascii="仿宋" w:eastAsia="仿宋" w:cs="仿宋" w:hAnsi="仿宋"/>
          <w:kern w:val="0"/>
          <w:sz w:val="28"/>
          <w:szCs w:val="28"/>
        </w:rPr>
      </w:pPr>
      <w:r>
        <w:rPr>
          <w:rFonts w:ascii="仿宋" w:eastAsia="仿宋" w:cs="仿宋" w:hAnsi="仿宋" w:hint="eastAsia"/>
          <w:kern w:val="0"/>
          <w:sz w:val="28"/>
          <w:szCs w:val="28"/>
        </w:rPr>
        <w:t>4.全面做好课后服务工作。认真制定工作方案 ，科学设置课后服务内容。根据教师个人特色专长，安排好辅导教师，开展丰富的艺术体育科技活动，学业培优辅差活动。促进了学生的特长发展，成绩提升，减轻了家长管理负担。</w:t>
      </w:r>
    </w:p>
    <w:p>
      <w:pPr>
        <w:spacing w:line="560" w:lineRule="exact"/>
        <w:ind w:firstLineChars="200" w:firstLine="560"/>
        <w:rPr>
          <w:rFonts w:ascii="仿宋" w:eastAsia="仿宋" w:cs="仿宋" w:hAnsi="仿宋"/>
          <w:kern w:val="0"/>
          <w:sz w:val="28"/>
          <w:szCs w:val="28"/>
        </w:rPr>
      </w:pPr>
      <w:r>
        <w:rPr>
          <w:rFonts w:ascii="仿宋" w:eastAsia="仿宋" w:cs="仿宋" w:hAnsi="仿宋" w:hint="eastAsia"/>
          <w:kern w:val="0"/>
          <w:sz w:val="28"/>
          <w:szCs w:val="28"/>
        </w:rPr>
        <w:t>5.开展四定教育，推进陈一心阅读项目。每天定时组织学生开展10分钟诵读、10分钟速算、10分钟写字、10分钟唱歌。以陈一心阅读项目安徽站学习活动为契机，学校在“时间、人、书、环境”阅读四要素上全新规划，迅速落实，实质性推进阅读工作。</w:t>
      </w:r>
    </w:p>
    <w:p>
      <w:pPr>
        <w:spacing w:line="560" w:lineRule="exact"/>
        <w:ind w:firstLineChars="200" w:firstLine="560"/>
        <w:rPr>
          <w:rFonts w:ascii="仿宋" w:eastAsia="仿宋" w:cs="仿宋" w:hAnsi="仿宋"/>
          <w:kern w:val="0"/>
          <w:sz w:val="28"/>
          <w:szCs w:val="28"/>
        </w:rPr>
      </w:pPr>
      <w:r>
        <w:rPr>
          <w:rFonts w:ascii="仿宋" w:eastAsia="仿宋" w:cs="仿宋" w:hAnsi="仿宋" w:hint="eastAsia"/>
          <w:kern w:val="0"/>
          <w:sz w:val="28"/>
          <w:szCs w:val="28"/>
        </w:rPr>
        <w:t>6.认真开展家校共育。本期召开了家长代表会，成立了新一届家长委员会，家委会工作开展积极有序。各班级继续</w:t>
      </w:r>
      <w:r>
        <w:rPr>
          <w:rFonts w:ascii="仿宋" w:eastAsia="仿宋" w:cs="仿宋" w:hAnsi="仿宋" w:hint="eastAsia"/>
          <w:sz w:val="28"/>
          <w:szCs w:val="28"/>
        </w:rPr>
        <w:t>以QQ群、微信、电话平台，充分调动家长的工作积极性，发挥好社会、家长、学校三结合教育的凝聚作用。</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7.教学现状上，年级、班级之间教育教学质量发展不平衡，优差生两级分化严重。差生转化教育不足，年级升高，差生率不断上升。教学成绩整体提升不明显。城乡教育差距大，生源巩固难，这些问题是农村教育发展的突破口。我们要认真反思，改进教育教学方法，创新思路，适应新的教育教学发展形势。我们要抓住全区开始推行的城乡结合一体化发展学区制、集团化办学的良好机遇，虚心求教，快速成长进步。我们要迎面而上，借助集团、学区的力量，切实提振乡村教育质量。</w:t>
      </w:r>
    </w:p>
    <w:p>
      <w:pPr>
        <w:spacing w:line="560" w:lineRule="exact"/>
        <w:ind w:firstLineChars="200" w:firstLine="560"/>
        <w:rPr>
          <w:rFonts w:ascii="仿宋" w:eastAsia="仿宋" w:cs="黑体" w:hAnsi="仿宋"/>
          <w:sz w:val="28"/>
          <w:szCs w:val="28"/>
        </w:rPr>
      </w:pPr>
      <w:r>
        <w:rPr>
          <w:rFonts w:ascii="仿宋" w:eastAsia="仿宋" w:cs="黑体" w:hAnsi="仿宋" w:hint="eastAsia"/>
          <w:sz w:val="28"/>
          <w:szCs w:val="28"/>
        </w:rPr>
        <w:t>（六）抓好人才发展第一资源要素，整体提高教师队伍素质。</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以市级课题“农村小学青年教师培养策略研究”为突破口，大力推行青蓝结对。充分发挥优秀教师辐射作用，经过传帮带，达到优势互补效果。积极参加各级各类培训活动，扩大教师视野，消除教师职业倦怠感，不断学习前沿教学思想及方法。</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巩固教师信息技术应用能力提升工程2.0提升学习，动态对接智慧广元教育信息化工程。在电子白板、电脑、多媒体、课件微课制作、网络教学资源运用上分期分批进行指导。深入推进录播课、网络智慧课堂，名师对接同步课堂、一师一优课等现代课堂教学。注重学校管理后备人才的培养。近年学校拟聘的五位中层干部，在学校班子成员的引领指导下，工作中勤于学习，主动作为，负责的部门工作推进有序并获得上级各部门的一致好评。</w:t>
      </w:r>
    </w:p>
    <w:p>
      <w:pPr>
        <w:spacing w:line="560" w:lineRule="exact"/>
        <w:ind w:firstLineChars="200" w:firstLine="560"/>
        <w:rPr>
          <w:rFonts w:ascii="仿宋" w:eastAsia="仿宋" w:cs="黑体" w:hAnsi="仿宋"/>
          <w:sz w:val="28"/>
          <w:szCs w:val="28"/>
        </w:rPr>
      </w:pPr>
      <w:r>
        <w:rPr>
          <w:rFonts w:ascii="仿宋" w:eastAsia="仿宋" w:cs="黑体" w:hAnsi="仿宋" w:hint="eastAsia"/>
          <w:sz w:val="28"/>
          <w:szCs w:val="28"/>
        </w:rPr>
        <w:t>（七）总务后勤工作上全面保障，规范操作，悉心服务。</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学校后勤工作坚持为全校师生服好务，尽好职。进一步完善管理制度，明确岗位职责，加大培训力度，做好内部管控。从业人员规范操作，提高服务质量。做好物品的接收、储存、出库、发放、饮食制作各环节的工作，实行食堂智能化建设系统管理，以此带动食堂链接整体工作，保证食品卫生、安全、营养、可口。办好食堂开放日活动，保持明厨亮灶过程，主动接受外界监督评议。在本年的利州区食堂专项整治活动中，我校受到了高度赞扬。其中有四个管理方面的举措检查组评价为所检查学校中的最好。</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进一步加强财务管理，财产管理。落实各项措施，严格执行财务制度，规范物品采购申报审批制度，票据规范，帐目清楚。实行校务公开，“三重一大”议事，内控风险化解，加大对财务收支、基建维修、教育用品采购等方面的科学管理和监督。实现物资优化配置，节能减排，贯彻落实反浪费法，过紧日子，保证物尽其用。今年的经费运转有史以来最为艰难，学校支付欠账很大，这还要和上级部门一道，拿出有效的解决办法，及时化解学校债务。</w:t>
      </w:r>
    </w:p>
    <w:p>
      <w:pPr>
        <w:spacing w:line="560" w:lineRule="exact"/>
        <w:ind w:firstLineChars="200" w:firstLine="560"/>
        <w:rPr>
          <w:rFonts w:ascii="仿宋" w:eastAsia="仿宋" w:cs="黑体" w:hAnsi="仿宋"/>
          <w:sz w:val="28"/>
          <w:szCs w:val="28"/>
        </w:rPr>
      </w:pPr>
      <w:r>
        <w:rPr>
          <w:rFonts w:ascii="仿宋" w:eastAsia="仿宋" w:cs="黑体" w:hAnsi="仿宋" w:hint="eastAsia"/>
          <w:sz w:val="28"/>
          <w:szCs w:val="28"/>
        </w:rPr>
        <w:t>（八）支部引领，群团活跃，管理民主，办学充满活力 。</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在学校党支部领导下，工会、教代会发挥好桥梁纽带作用，充分调动了广大教师的主人翁精神。在校务公开、离退休人员、工会事务、学校重大决策、重大支出、评优晋级、矛盾化解等工作中发挥了积极作用。学校各部门团结协作，联动管理，深入一线，体察入微。学校多方为教师谋福利，广泛采纳合理化建议，体现公开公正公平原则。教职工们上下团结一致，凝聚力强，校园风清气正，人际关系非常和谐。</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 xml:space="preserve">依托报刊杂志、网络美篇、微信公众号、抖音等宣传媒体，广泛宣传报道学校有价值的新闻。积极同周边单位开展篮球友谊赛、业务交流等活动。提高学校的知名度，为学校发展营造了良好的社会环境。 </w:t>
      </w:r>
    </w:p>
    <w:p>
      <w:pPr>
        <w:numPr>
          <w:ilvl w:val="0"/>
          <w:numId w:val="1"/>
        </w:numPr>
        <w:spacing w:line="560" w:lineRule="exact"/>
        <w:ind w:left="0" w:firstLineChars="200" w:firstLine="560"/>
        <w:rPr>
          <w:rFonts w:ascii="仿宋" w:eastAsia="仿宋" w:cs="黑体" w:hAnsi="仿宋"/>
          <w:sz w:val="28"/>
          <w:szCs w:val="28"/>
        </w:rPr>
      </w:pPr>
      <w:r>
        <w:rPr>
          <w:rFonts w:ascii="仿宋" w:eastAsia="仿宋" w:cs="黑体" w:hAnsi="仿宋" w:hint="eastAsia"/>
          <w:sz w:val="28"/>
          <w:szCs w:val="28"/>
        </w:rPr>
        <w:t>本年学校获得的主要奖</w:t>
      </w:r>
    </w:p>
    <w:p>
      <w:pPr>
        <w:spacing w:line="560" w:lineRule="exact"/>
        <w:ind w:firstLineChars="200" w:firstLine="560"/>
        <w:rPr>
          <w:rFonts w:ascii="仿宋" w:eastAsia="仿宋" w:cs="仿宋" w:hAnsi="仿宋"/>
          <w:sz w:val="28"/>
          <w:szCs w:val="28"/>
        </w:rPr>
      </w:pPr>
      <w:r>
        <w:rPr>
          <w:rFonts w:ascii="仿宋" w:eastAsia="仿宋" w:cs="仿宋" w:hAnsi="仿宋" w:hint="eastAsia"/>
          <w:sz w:val="28"/>
          <w:szCs w:val="28"/>
        </w:rPr>
        <w:t>本年，学校被授予四川省陶行知研究会小学教育会员单位；学校被广元市教育基金会、北京情系远山公益基金会评为“2023年度远山乡村科学课项目”优秀学校；学校大队部获广元市优秀少先队集体称号；参加广元市教育局、体育局举行的2023年万东杯青少年航模赛获得穿越机目视飞行小学组高级、初级团体一二等奖；参加全区2023年球类、田径竞赛，学生男子篮球队获得校园篮球联赛小学男子甲组第一名、女子足球队获得校园足球联赛小学女子甲组第三名、男子甲组获得全区田径4X100米接力赛第五名的历史性好成绩；参加利州区教研室“品读陶行知，争做好少年”朗读比赛中获小学组二等奖；教师个人25人次获得区级以上荣誉竞赛奖项。学生31人次获区级以上荣誉竞赛奖项。</w:t>
      </w:r>
    </w:p>
    <w:p>
      <w:pPr>
        <w:pStyle w:val="2"/>
        <w:snapToGrid w:val="0"/>
        <w:spacing w:before="0" w:after="0" w:line="540" w:lineRule="exact"/>
        <w:ind w:firstLineChars="150" w:firstLine="420"/>
        <w:rPr>
          <w:rFonts w:ascii="黑体" w:eastAsia="黑体" w:hAnsi="黑体"/>
          <w:b w:val="0"/>
          <w:sz w:val="28"/>
          <w:szCs w:val="28"/>
        </w:rPr>
      </w:pPr>
      <w:r>
        <w:rPr>
          <w:rFonts w:ascii="黑体" w:eastAsia="黑体" w:hAnsi="黑体" w:hint="eastAsia"/>
          <w:b w:val="0"/>
          <w:sz w:val="28"/>
          <w:szCs w:val="28"/>
        </w:rPr>
        <w:t>二、机构设置</w:t>
      </w:r>
    </w:p>
    <w:p>
      <w:pPr>
        <w:snapToGrid w:val="0"/>
        <w:spacing w:line="500" w:lineRule="exact"/>
        <w:ind w:firstLineChars="200" w:firstLine="560"/>
        <w:rPr>
          <w:rFonts w:ascii="仿宋" w:eastAsia="仿宋" w:hAnsi="仿宋"/>
          <w:bCs/>
          <w:color w:val="000000"/>
          <w:sz w:val="28"/>
          <w:szCs w:val="28"/>
        </w:rPr>
      </w:pPr>
      <w:r>
        <w:rPr>
          <w:rFonts w:ascii="仿宋" w:eastAsia="仿宋" w:hAnsi="仿宋" w:hint="eastAsia"/>
          <w:color w:val="000000"/>
          <w:sz w:val="28"/>
          <w:szCs w:val="28"/>
        </w:rPr>
        <w:t>广元市利州区三堆小学是广元市利州区教育局下属二级单位，</w:t>
      </w:r>
      <w:r>
        <w:rPr>
          <w:rFonts w:ascii="仿宋" w:eastAsia="仿宋" w:hAnsi="仿宋" w:hint="eastAsia"/>
          <w:bCs/>
          <w:color w:val="000000"/>
          <w:spacing w:val="14"/>
          <w:sz w:val="28"/>
          <w:szCs w:val="28"/>
        </w:rPr>
        <w:t>单位性质</w:t>
      </w:r>
      <w:r>
        <w:rPr>
          <w:rFonts w:ascii="仿宋" w:eastAsia="仿宋" w:hAnsi="仿宋" w:hint="eastAsia"/>
          <w:bCs/>
          <w:color w:val="000000"/>
          <w:sz w:val="28"/>
          <w:szCs w:val="28"/>
        </w:rPr>
        <w:t>为财政补助事业单位。下设工会、廉勤委、办公室、教导处，技装室、安办、少先队大队部、总务处共8个部门。</w:t>
      </w:r>
    </w:p>
    <w:p>
      <w:pPr>
        <w:pStyle w:val="1"/>
        <w:snapToGrid w:val="0"/>
        <w:spacing w:before="0" w:after="0" w:line="240" w:lineRule="auto"/>
        <w:jc w:val="center"/>
        <w:rPr>
          <w:rFonts w:ascii="黑体" w:eastAsia="黑体" w:hAnsi="黑体"/>
          <w:b w:val="0"/>
          <w:color w:val="000000"/>
        </w:rPr>
      </w:pPr>
    </w:p>
    <w:p>
      <w:pPr>
        <w:pStyle w:val="1"/>
        <w:snapToGrid w:val="0"/>
        <w:spacing w:before="0" w:after="0" w:line="240" w:lineRule="auto"/>
        <w:jc w:val="center"/>
        <w:rPr>
          <w:rFonts w:ascii="黑体" w:eastAsia="黑体" w:hAnsi="黑体" w:hint="eastAsia"/>
          <w:b w:val="0"/>
          <w:color w:val="000000"/>
        </w:rPr>
      </w:pPr>
    </w:p>
    <w:p>
      <w:pPr>
        <w:pStyle w:val="1"/>
        <w:snapToGrid w:val="0"/>
        <w:spacing w:before="0" w:after="0" w:line="240" w:lineRule="auto"/>
        <w:jc w:val="center"/>
        <w:rPr>
          <w:rFonts w:ascii="黑体" w:eastAsia="黑体" w:hAnsi="黑体" w:hint="eastAsia"/>
          <w:b w:val="0"/>
          <w:color w:val="000000"/>
        </w:rPr>
      </w:pPr>
    </w:p>
    <w:p>
      <w:pPr>
        <w:pStyle w:val="1"/>
        <w:snapToGrid w:val="0"/>
        <w:spacing w:before="0" w:after="0" w:line="240" w:lineRule="auto"/>
        <w:jc w:val="center"/>
        <w:rPr>
          <w:rFonts w:ascii="黑体" w:eastAsia="黑体" w:hAnsi="黑体" w:hint="eastAsia"/>
          <w:b w:val="0"/>
          <w:color w:val="000000"/>
        </w:rPr>
      </w:pPr>
    </w:p>
    <w:p>
      <w:pPr>
        <w:rPr>
          <w:rFonts w:hint="eastAsia"/>
        </w:rPr>
      </w:pPr>
    </w:p>
    <w:p>
      <w:pPr>
        <w:pStyle w:val="15"/>
        <w:spacing w:beforeLines="0" w:before="93"/>
        <w:rPr>
          <w:rFonts w:hint="eastAsia"/>
        </w:rPr>
      </w:pPr>
    </w:p>
    <w:p>
      <w:pPr>
        <w:pStyle w:val="15"/>
        <w:spacing w:beforeLines="0" w:before="93"/>
        <w:rPr>
          <w:rFonts w:hint="eastAsia"/>
        </w:rPr>
      </w:pPr>
    </w:p>
    <w:p>
      <w:pPr>
        <w:pStyle w:val="1"/>
        <w:snapToGrid w:val="0"/>
        <w:spacing w:before="0" w:after="0" w:line="240" w:lineRule="auto"/>
        <w:jc w:val="center"/>
        <w:rPr>
          <w:rFonts w:ascii="黑体" w:eastAsia="黑体" w:hAnsi="黑体" w:hint="eastAsia"/>
          <w:b w:val="0"/>
          <w:color w:val="000000"/>
        </w:rPr>
      </w:pPr>
    </w:p>
    <w:p>
      <w:pPr>
        <w:pStyle w:val="1"/>
        <w:snapToGrid w:val="0"/>
        <w:spacing w:before="0" w:after="0" w:line="240" w:lineRule="auto"/>
        <w:jc w:val="center"/>
        <w:rPr>
          <w:rFonts w:ascii="黑体" w:eastAsia="黑体" w:hAnsi="黑体" w:hint="eastAsia"/>
          <w:b w:val="0"/>
          <w:color w:val="000000"/>
        </w:rPr>
      </w:pPr>
    </w:p>
    <w:p>
      <w:pPr>
        <w:pStyle w:val="1"/>
        <w:snapToGrid w:val="0"/>
        <w:spacing w:before="0" w:after="0" w:line="240" w:lineRule="auto"/>
        <w:jc w:val="center"/>
        <w:rPr>
          <w:rFonts w:ascii="黑体" w:eastAsia="黑体" w:hAnsi="黑体" w:hint="eastAsia"/>
          <w:b w:val="0"/>
          <w:color w:val="000000"/>
        </w:rPr>
      </w:pPr>
    </w:p>
    <w:p>
      <w:pPr>
        <w:pStyle w:val="1"/>
        <w:snapToGrid w:val="0"/>
        <w:spacing w:before="0" w:after="0" w:line="240" w:lineRule="auto"/>
        <w:jc w:val="center"/>
        <w:rPr>
          <w:rFonts w:ascii="黑体" w:eastAsia="黑体" w:hAnsi="黑体" w:hint="eastAsia"/>
          <w:b w:val="0"/>
          <w:color w:val="000000"/>
        </w:rPr>
      </w:pPr>
    </w:p>
    <w:p>
      <w:pPr>
        <w:pStyle w:val="1"/>
        <w:snapToGrid w:val="0"/>
        <w:spacing w:before="0" w:after="0" w:line="240" w:lineRule="auto"/>
        <w:jc w:val="center"/>
        <w:rPr>
          <w:rFonts w:ascii="黑体" w:eastAsia="黑体" w:hAnsi="黑体" w:hint="eastAsia"/>
          <w:b w:val="0"/>
          <w:color w:val="000000"/>
        </w:rPr>
      </w:pPr>
    </w:p>
    <w:p>
      <w:pPr>
        <w:pStyle w:val="1"/>
        <w:snapToGrid w:val="0"/>
        <w:spacing w:before="0" w:after="0" w:line="240" w:lineRule="auto"/>
        <w:jc w:val="center"/>
        <w:rPr>
          <w:rFonts w:ascii="黑体" w:eastAsia="黑体" w:hAnsi="黑体" w:hint="eastAsia"/>
          <w:b w:val="0"/>
          <w:color w:val="000000"/>
        </w:rPr>
      </w:pPr>
    </w:p>
    <w:p>
      <w:pPr>
        <w:rPr>
          <w:rFonts w:hint="eastAsia"/>
        </w:rPr>
      </w:pPr>
    </w:p>
    <w:p>
      <w:pPr>
        <w:pStyle w:val="15"/>
        <w:spacing w:beforeLines="0" w:before="93"/>
        <w:rPr>
          <w:rFonts w:hint="eastAsia"/>
        </w:rPr>
      </w:pPr>
    </w:p>
    <w:p>
      <w:pPr>
        <w:pStyle w:val="1"/>
        <w:snapToGrid w:val="0"/>
        <w:spacing w:before="0" w:after="0" w:line="240" w:lineRule="auto"/>
        <w:jc w:val="center"/>
        <w:rPr>
          <w:rStyle w:val="1Char"/>
          <w:rFonts w:ascii="黑体" w:eastAsia="黑体" w:hAnsi="黑体"/>
          <w:b w:val="0"/>
          <w:bCs/>
        </w:rP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b w:val="0"/>
          <w:bCs w:val="0"/>
          <w:color w:val="000000"/>
        </w:rPr>
        <w:t>202</w:t>
      </w:r>
      <w:r>
        <w:rPr>
          <w:rStyle w:val="1Char"/>
          <w:rFonts w:ascii="黑体" w:eastAsia="黑体" w:hAnsi="黑体" w:hint="eastAsia"/>
          <w:b w:val="0"/>
          <w:bCs w:val="0"/>
          <w:color w:val="000000"/>
        </w:rPr>
        <w:t>3年度单位决算情况说明</w:t>
      </w:r>
      <w:bookmarkStart w:id="17" w:name="_Toc15396602"/>
      <w:bookmarkStart w:id="18" w:name="_Toc15377204"/>
      <w:bookmarkEnd w:id="13"/>
      <w:bookmarkEnd w:id="14"/>
      <w:bookmarkEnd w:id="16"/>
    </w:p>
    <w:p>
      <w:pPr>
        <w:pStyle w:val="32"/>
        <w:spacing w:line="600" w:lineRule="exact"/>
        <w:ind w:firstLineChars="0" w:firstLine="0"/>
        <w:outlineLvl w:val="1"/>
        <w:rPr>
          <w:rFonts w:ascii="黑体" w:eastAsia="黑体" w:hAnsi="黑体"/>
          <w:sz w:val="32"/>
          <w:szCs w:val="32"/>
        </w:rPr>
      </w:pPr>
      <w:bookmarkStart w:id="19" w:name="_Toc15396603"/>
      <w:bookmarkStart w:id="20" w:name="_Toc15377205"/>
      <w:bookmarkEnd w:id="17"/>
      <w:bookmarkEnd w:id="18"/>
    </w:p>
    <w:p>
      <w:pPr>
        <w:pStyle w:val="32"/>
        <w:spacing w:line="600" w:lineRule="exact"/>
        <w:outlineLvl w:val="1"/>
        <w:rPr>
          <w:rStyle w:val="2Char"/>
          <w:rFonts w:ascii="黑体" w:eastAsia="黑体" w:hAnsi="黑体"/>
          <w:b w:val="0"/>
        </w:rPr>
      </w:pPr>
      <w:r>
        <w:rPr>
          <w:rFonts w:ascii="黑体" w:eastAsia="黑体" w:hAnsi="黑体" w:hint="eastAsia"/>
          <w:sz w:val="32"/>
          <w:szCs w:val="32"/>
        </w:rPr>
        <w:t>一、收</w:t>
      </w:r>
      <w:r>
        <w:rPr>
          <w:rStyle w:val="2Char"/>
          <w:rFonts w:ascii="黑体" w:eastAsia="黑体" w:hAnsi="黑体" w:hint="eastAsia"/>
          <w:b w:val="0"/>
        </w:rPr>
        <w:t>入支出决算总体情况说明</w:t>
      </w:r>
      <w:bookmarkEnd w:id="19"/>
      <w:bookmarkEnd w:id="20"/>
    </w:p>
    <w:p>
      <w:pPr>
        <w:spacing w:line="600" w:lineRule="exact"/>
        <w:ind w:firstLineChars="200" w:firstLine="560"/>
        <w:rPr>
          <w:rFonts w:ascii="仿宋" w:eastAsia="仿宋" w:hAnsi="仿宋"/>
          <w:color w:val="000000"/>
          <w:sz w:val="28"/>
          <w:szCs w:val="28"/>
        </w:rPr>
      </w:pPr>
      <w:r>
        <w:rPr>
          <w:rFonts w:ascii="仿宋" w:eastAsia="仿宋" w:hAnsi="仿宋" w:hint="eastAsia"/>
          <w:sz w:val="28"/>
          <w:szCs w:val="28"/>
        </w:rPr>
        <w:t>2023年度收、支总计万元</w:t>
      </w:r>
      <w:r>
        <w:rPr>
          <w:rFonts w:ascii="仿宋" w:eastAsia="仿宋" w:hAnsi="仿宋"/>
          <w:sz w:val="28"/>
          <w:szCs w:val="28"/>
        </w:rPr>
        <w:t>1438.15</w:t>
      </w:r>
      <w:r>
        <w:rPr>
          <w:rFonts w:ascii="仿宋" w:eastAsia="仿宋" w:hAnsi="仿宋" w:hint="eastAsia"/>
          <w:sz w:val="28"/>
          <w:szCs w:val="28"/>
        </w:rPr>
        <w:t>万元。与2022年相比，收、支总计各减少56.67万元，下降3.79%。主要变动原因是人员调动减少</w:t>
      </w:r>
      <w:r>
        <w:rPr>
          <w:rFonts w:ascii="仿宋" w:eastAsia="仿宋" w:hAnsi="仿宋" w:hint="eastAsia"/>
          <w:color w:val="000000"/>
          <w:sz w:val="28"/>
          <w:szCs w:val="28"/>
        </w:rPr>
        <w:t>。</w:t>
      </w:r>
    </w:p>
    <w:p>
      <w:pPr>
        <w:pStyle w:val="15"/>
        <w:spacing w:beforeLines="0" w:before="93"/>
        <w:jc w:val="center"/>
      </w:pPr>
      <w:r>
        <w:rPr>
          <w:rFonts w:hint="eastAsia"/>
        </w:rPr>
        <w:drawing>
          <wp:anchor distT="0" distB="0" distL="114300" distR="114300" simplePos="0" relativeHeight="23" behindDoc="0" locked="0" layoutInCell="1" hidden="0" allowOverlap="1">
            <wp:simplePos x="0" y="0"/>
            <wp:positionH relativeFrom="column">
              <wp:posOffset>167640</wp:posOffset>
            </wp:positionH>
            <wp:positionV relativeFrom="paragraph">
              <wp:posOffset>163830</wp:posOffset>
            </wp:positionV>
            <wp:extent cx="5117465" cy="2341245"/>
            <wp:effectExtent l="19050" t="0" r="26034" b="1905"/>
            <wp:wrapTight wrapText="bothSides">
              <wp:wrapPolygon>
                <wp:start x="0" y="0"/>
                <wp:lineTo x="0" y="21529"/>
                <wp:lineTo x="21599" y="21529"/>
                <wp:lineTo x="21599" y="0"/>
                <wp:lineTo x="0" y="0"/>
              </wp:wrapPolygon>
            </wp:wrapTight>
            <wp:docPr id="1" name="图表 1"/>
            <wp:cNvGraphicFramePr>
              <a:graphicFrameLocks noChangeAspect="0"/>
            </wp:cNvGraphicFramePr>
            <a:graphic>
              <a:graphicData uri="http://schemas.openxmlformats.org/drawingml/2006/chart">
                <c:chart xmlns:c="http://schemas.openxmlformats.org/drawingml/2006/chart" r:id="rId6"/>
              </a:graphicData>
            </a:graphic>
          </wp:anchor>
        </w:drawing>
      </w:r>
      <w:r>
        <w:rPr>
          <w:rFonts w:hAnsi="仿宋" w:hint="eastAsia"/>
          <w:sz w:val="28"/>
          <w:szCs w:val="28"/>
        </w:rPr>
        <w:t>（图1：收、支决算总计变动情况图）（柱状图）</w:t>
      </w:r>
      <w:bookmarkStart w:id="21" w:name="_Toc15396604"/>
      <w:bookmarkStart w:id="22" w:name="_Toc15377206"/>
    </w:p>
    <w:p>
      <w:pPr>
        <w:pStyle w:val="32"/>
        <w:spacing w:line="600" w:lineRule="exact"/>
        <w:ind w:left="640" w:firstLineChars="0" w:firstLine="0"/>
        <w:outlineLvl w:val="1"/>
        <w:rPr>
          <w:rStyle w:val="2Char"/>
          <w:rFonts w:ascii="黑体" w:eastAsia="黑体" w:hAnsi="黑体"/>
          <w:b w:val="0"/>
        </w:rPr>
      </w:pPr>
      <w:r>
        <w:rPr>
          <w:rFonts w:ascii="黑体" w:eastAsia="黑体" w:hAnsi="黑体" w:hint="eastAsia"/>
          <w:sz w:val="32"/>
          <w:szCs w:val="32"/>
        </w:rPr>
        <w:t>二、收</w:t>
      </w:r>
      <w:r>
        <w:rPr>
          <w:rStyle w:val="2Char"/>
          <w:rFonts w:ascii="黑体" w:eastAsia="黑体" w:hAnsi="黑体" w:hint="eastAsia"/>
          <w:b w:val="0"/>
        </w:rPr>
        <w:t>入决算情况说明</w:t>
      </w:r>
      <w:bookmarkEnd w:id="21"/>
      <w:bookmarkEnd w:id="22"/>
    </w:p>
    <w:p>
      <w:pPr>
        <w:spacing w:line="600" w:lineRule="exact"/>
        <w:ind w:firstLineChars="200" w:firstLine="560"/>
        <w:outlineLvl w:val="1"/>
        <w:rPr>
          <w:rFonts w:ascii="仿宋_GB2312" w:eastAsia="仿宋_GB2312" w:hAnsi="仿宋"/>
          <w:sz w:val="28"/>
          <w:szCs w:val="28"/>
        </w:rPr>
      </w:pPr>
      <w:r>
        <w:rPr>
          <w:rFonts w:ascii="仿宋_GB2312" w:eastAsia="仿宋_GB2312" w:hAnsi="仿宋" w:hint="eastAsia"/>
          <w:sz w:val="28"/>
          <w:szCs w:val="28"/>
        </w:rPr>
        <w:drawing>
          <wp:anchor distT="0" distB="0" distL="114300" distR="114300" simplePos="0" relativeHeight="27" behindDoc="0" locked="0" layoutInCell="1" hidden="0" allowOverlap="1">
            <wp:simplePos x="0" y="0"/>
            <wp:positionH relativeFrom="column">
              <wp:posOffset>166370</wp:posOffset>
            </wp:positionH>
            <wp:positionV relativeFrom="paragraph">
              <wp:posOffset>848994</wp:posOffset>
            </wp:positionV>
            <wp:extent cx="5144770" cy="1835149"/>
            <wp:effectExtent l="38100" t="0" r="74930" b="69850"/>
            <wp:wrapSquare wrapText="bothSides"/>
            <wp:docPr id="2" name="图表 2"/>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仿宋_GB2312" w:eastAsia="仿宋_GB2312" w:hAnsi="仿宋" w:hint="eastAsia"/>
          <w:sz w:val="28"/>
          <w:szCs w:val="28"/>
        </w:rPr>
        <w:t>2023年本年收入合计1438.15万元，其中：一般公共预算财政拨款收入</w:t>
      </w:r>
      <w:r>
        <w:rPr>
          <w:rFonts w:ascii="仿宋_GB2312" w:eastAsia="仿宋_GB2312" w:hAnsi="仿宋"/>
          <w:sz w:val="28"/>
          <w:szCs w:val="28"/>
        </w:rPr>
        <w:t>1382.03</w:t>
      </w:r>
      <w:r>
        <w:rPr>
          <w:rFonts w:ascii="仿宋_GB2312" w:eastAsia="仿宋_GB2312" w:hAnsi="仿宋" w:hint="eastAsia"/>
          <w:sz w:val="28"/>
          <w:szCs w:val="28"/>
        </w:rPr>
        <w:t>万元，占96.1%；其他收入</w:t>
      </w:r>
      <w:r>
        <w:rPr>
          <w:rFonts w:ascii="仿宋_GB2312" w:eastAsia="仿宋_GB2312" w:hAnsi="仿宋"/>
          <w:sz w:val="28"/>
          <w:szCs w:val="28"/>
        </w:rPr>
        <w:t>56.12</w:t>
      </w:r>
      <w:r>
        <w:rPr>
          <w:rFonts w:ascii="仿宋_GB2312" w:eastAsia="仿宋_GB2312" w:hAnsi="仿宋" w:hint="eastAsia"/>
          <w:sz w:val="28"/>
          <w:szCs w:val="28"/>
        </w:rPr>
        <w:t>万元，占3.9%。</w:t>
      </w:r>
    </w:p>
    <w:p>
      <w:pPr>
        <w:spacing w:line="600" w:lineRule="exact"/>
        <w:jc w:val="center"/>
        <w:rPr>
          <w:rFonts w:ascii="仿宋" w:eastAsia="仿宋" w:hAnsi="仿宋"/>
          <w:sz w:val="32"/>
          <w:szCs w:val="32"/>
        </w:rPr>
      </w:pPr>
      <w:bookmarkStart w:id="23" w:name="_Toc15377207"/>
      <w:bookmarkStart w:id="24" w:name="_Toc15396605"/>
      <w:r>
        <w:rPr>
          <w:rFonts w:ascii="仿宋" w:eastAsia="仿宋" w:hAnsi="仿宋" w:hint="eastAsia"/>
          <w:sz w:val="32"/>
          <w:szCs w:val="32"/>
        </w:rPr>
        <w:t>（图2：收入决算结构图）（饼状图）</w:t>
      </w:r>
    </w:p>
    <w:p>
      <w:pPr>
        <w:pStyle w:val="32"/>
        <w:spacing w:line="600" w:lineRule="exact"/>
        <w:ind w:left="640" w:firstLineChars="0" w:firstLine="0"/>
        <w:outlineLvl w:val="1"/>
        <w:rPr>
          <w:rStyle w:val="2Char"/>
          <w:rFonts w:ascii="黑体" w:eastAsia="黑体" w:hAnsi="黑体"/>
          <w:b w:val="0"/>
        </w:rPr>
      </w:pPr>
      <w:r>
        <w:rPr>
          <w:rFonts w:ascii="黑体" w:eastAsia="黑体" w:hAnsi="黑体" w:hint="eastAsia"/>
          <w:sz w:val="32"/>
          <w:szCs w:val="32"/>
        </w:rPr>
        <w:t>三、支</w:t>
      </w:r>
      <w:r>
        <w:rPr>
          <w:rStyle w:val="2Char"/>
          <w:rFonts w:ascii="黑体" w:eastAsia="黑体" w:hAnsi="黑体" w:hint="eastAsia"/>
          <w:b w:val="0"/>
        </w:rPr>
        <w:t>出决算情况说明</w:t>
      </w:r>
      <w:bookmarkEnd w:id="23"/>
      <w:bookmarkEnd w:id="24"/>
      <w:r>
        <w:rPr>
          <w:rStyle w:val="2Char"/>
          <w:rFonts w:ascii="黑体" w:eastAsia="黑体" w:hAnsi="黑体" w:hint="eastAsia"/>
          <w:b w:val="0"/>
        </w:rPr>
        <w:t xml:space="preserve"> </w:t>
      </w:r>
    </w:p>
    <w:p>
      <w:pPr>
        <w:spacing w:line="600" w:lineRule="exact"/>
        <w:ind w:firstLineChars="200" w:firstLine="560"/>
        <w:outlineLvl w:val="1"/>
        <w:rPr>
          <w:rFonts w:ascii="仿宋_GB2312" w:eastAsia="仿宋_GB2312" w:hAnsi="仿宋"/>
          <w:sz w:val="28"/>
          <w:szCs w:val="28"/>
        </w:rPr>
      </w:pPr>
      <w:r>
        <w:rPr>
          <w:rFonts w:ascii="仿宋_GB2312" w:eastAsia="仿宋_GB2312" w:hAnsi="仿宋" w:hint="eastAsia"/>
          <w:sz w:val="28"/>
          <w:szCs w:val="28"/>
        </w:rPr>
        <w:t>2023年本年支出合计1438.15万元，其中：基本支出1249.91万元，占86.91%；项目支出188.24万元，占13.09%。</w:t>
      </w:r>
    </w:p>
    <w:p>
      <w:pPr>
        <w:spacing w:line="600" w:lineRule="exact"/>
        <w:jc w:val="center"/>
        <w:rPr>
          <w:rFonts w:ascii="仿宋_GB2312" w:eastAsia="仿宋_GB2312"/>
          <w:sz w:val="28"/>
          <w:szCs w:val="28"/>
        </w:rPr>
      </w:pPr>
      <w:r>
        <w:rPr>
          <w:rFonts w:ascii="仿宋_GB2312" w:eastAsia="仿宋_GB2312" w:hint="eastAsia"/>
          <w:sz w:val="28"/>
          <w:szCs w:val="28"/>
        </w:rPr>
        <w:drawing>
          <wp:anchor distT="0" distB="0" distL="114300" distR="114300" simplePos="0" relativeHeight="31" behindDoc="0" locked="0" layoutInCell="1" hidden="0" allowOverlap="1">
            <wp:simplePos x="0" y="0"/>
            <wp:positionH relativeFrom="column">
              <wp:posOffset>245110</wp:posOffset>
            </wp:positionH>
            <wp:positionV relativeFrom="paragraph">
              <wp:posOffset>58419</wp:posOffset>
            </wp:positionV>
            <wp:extent cx="5298440" cy="1892935"/>
            <wp:effectExtent l="19050" t="0" r="16510" b="0"/>
            <wp:wrapSquare wrapText="bothSides"/>
            <wp:docPr id="3" name="图表 3"/>
            <wp:cNvGraphicFramePr>
              <a:graphicFrameLocks noChangeAspect="0"/>
            </wp:cNvGraphicFramePr>
            <a:graphic>
              <a:graphicData uri="http://schemas.openxmlformats.org/drawingml/2006/chart">
                <c:chart xmlns:c="http://schemas.openxmlformats.org/drawingml/2006/chart" r:id="rId8"/>
              </a:graphicData>
            </a:graphic>
          </wp:anchor>
        </w:drawing>
      </w:r>
      <w:bookmarkStart w:id="25" w:name="_Toc15396606"/>
      <w:bookmarkStart w:id="26" w:name="_Toc15377208"/>
      <w:r>
        <w:rPr>
          <w:rFonts w:ascii="仿宋_GB2312" w:eastAsia="仿宋_GB2312" w:hAnsi="仿宋" w:hint="eastAsia"/>
          <w:sz w:val="28"/>
          <w:szCs w:val="28"/>
        </w:rPr>
        <w:t>（图3：支出决算结构图）（饼状图）</w:t>
      </w:r>
    </w:p>
    <w:p>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pPr>
        <w:spacing w:line="600" w:lineRule="exact"/>
        <w:ind w:firstLineChars="200" w:firstLine="560"/>
        <w:rPr>
          <w:rFonts w:ascii="仿宋" w:eastAsia="仿宋" w:hAnsi="仿宋"/>
          <w:color w:val="000000"/>
          <w:sz w:val="32"/>
          <w:szCs w:val="32"/>
        </w:rPr>
      </w:pPr>
      <w:r>
        <w:rPr>
          <w:rFonts w:ascii="仿宋_GB2312" w:eastAsia="仿宋_GB2312" w:hAnsi="仿宋" w:hint="eastAsia"/>
          <w:sz w:val="28"/>
          <w:szCs w:val="28"/>
        </w:rPr>
        <w:t>2023年财政拨款收、支总计均为</w:t>
      </w:r>
      <w:r>
        <w:rPr>
          <w:rFonts w:ascii="仿宋_GB2312" w:eastAsia="仿宋_GB2312" w:hAnsi="仿宋"/>
          <w:sz w:val="28"/>
          <w:szCs w:val="28"/>
        </w:rPr>
        <w:t>1382.03</w:t>
      </w:r>
      <w:r>
        <w:rPr>
          <w:rFonts w:ascii="仿宋_GB2312" w:eastAsia="仿宋_GB2312" w:hAnsi="仿宋" w:hint="eastAsia"/>
          <w:sz w:val="28"/>
          <w:szCs w:val="28"/>
        </w:rPr>
        <w:t>万元。与2022年相比，财政拨款收、</w:t>
      </w:r>
      <w:r>
        <w:rPr>
          <w:rFonts w:ascii="仿宋_GB2312" w:eastAsia="仿宋_GB2312" w:hAnsi="仿宋" w:hint="eastAsia"/>
          <w:color w:val="000000"/>
          <w:sz w:val="28"/>
          <w:szCs w:val="28"/>
        </w:rPr>
        <w:t>支总计各减少102.31万元，</w:t>
      </w:r>
      <w:r>
        <w:rPr>
          <w:rFonts w:ascii="仿宋" w:eastAsia="仿宋" w:hAnsi="仿宋" w:hint="eastAsia"/>
          <w:color w:val="000000"/>
          <w:sz w:val="28"/>
          <w:szCs w:val="28"/>
        </w:rPr>
        <w:t>下降6.89</w:t>
      </w:r>
      <w:r>
        <w:rPr>
          <w:rFonts w:ascii="仿宋" w:eastAsia="仿宋" w:hAnsi="仿宋"/>
          <w:color w:val="000000"/>
          <w:sz w:val="28"/>
          <w:szCs w:val="28"/>
        </w:rPr>
        <w:t>%</w:t>
      </w:r>
      <w:r>
        <w:rPr>
          <w:rFonts w:ascii="仿宋" w:eastAsia="仿宋" w:hAnsi="仿宋" w:hint="eastAsia"/>
          <w:color w:val="000000"/>
          <w:sz w:val="28"/>
          <w:szCs w:val="28"/>
        </w:rPr>
        <w:t>。主要变动原因是</w:t>
      </w:r>
      <w:r>
        <w:rPr>
          <w:rFonts w:ascii="仿宋" w:eastAsia="仿宋" w:hAnsi="仿宋" w:hint="eastAsia"/>
          <w:sz w:val="28"/>
          <w:szCs w:val="28"/>
        </w:rPr>
        <w:t>人员调动减少</w:t>
      </w:r>
      <w:r>
        <w:rPr>
          <w:rFonts w:ascii="仿宋" w:eastAsia="仿宋" w:hAnsi="仿宋" w:hint="eastAsia"/>
          <w:color w:val="000000"/>
          <w:sz w:val="28"/>
          <w:szCs w:val="28"/>
        </w:rPr>
        <w:t>。</w:t>
      </w:r>
    </w:p>
    <w:p>
      <w:pPr>
        <w:spacing w:line="600" w:lineRule="exact"/>
        <w:ind w:firstLine="640"/>
        <w:rPr>
          <w:rFonts w:ascii="仿宋_GB2312" w:eastAsia="仿宋_GB2312" w:hAnsi="仿宋" w:hint="eastAsia"/>
          <w:sz w:val="28"/>
          <w:szCs w:val="28"/>
        </w:rPr>
      </w:pPr>
      <w:r>
        <w:rPr>
          <w:rFonts w:ascii="仿宋_GB2312" w:eastAsia="仿宋_GB2312" w:hAnsi="仿宋" w:hint="eastAsia"/>
          <w:sz w:val="28"/>
          <w:szCs w:val="28"/>
        </w:rPr>
        <w:drawing>
          <wp:anchor distT="0" distB="0" distL="114300" distR="114300" simplePos="0" relativeHeight="33" behindDoc="0" locked="0" layoutInCell="1" hidden="0" allowOverlap="1">
            <wp:simplePos x="0" y="0"/>
            <wp:positionH relativeFrom="column">
              <wp:posOffset>327025</wp:posOffset>
            </wp:positionH>
            <wp:positionV relativeFrom="paragraph">
              <wp:posOffset>57785</wp:posOffset>
            </wp:positionV>
            <wp:extent cx="5175885" cy="2403475"/>
            <wp:effectExtent l="19050" t="0" r="24765" b="0"/>
            <wp:wrapTight wrapText="bothSides">
              <wp:wrapPolygon>
                <wp:start x="0" y="0"/>
                <wp:lineTo x="0" y="21571"/>
                <wp:lineTo x="21600" y="21571"/>
                <wp:lineTo x="21600" y="0"/>
                <wp:lineTo x="0" y="0"/>
              </wp:wrapPolygon>
            </wp:wrapTight>
            <wp:docPr id="5" name="图表 5"/>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640"/>
        <w:rPr>
          <w:rFonts w:ascii="仿宋_GB2312" w:eastAsia="仿宋_GB2312" w:hAnsi="仿宋"/>
          <w:sz w:val="28"/>
          <w:szCs w:val="28"/>
        </w:rPr>
      </w:pPr>
      <w:r>
        <w:rPr>
          <w:rFonts w:ascii="仿宋_GB2312" w:eastAsia="仿宋_GB2312" w:hAnsi="仿宋" w:hint="eastAsia"/>
          <w:sz w:val="28"/>
          <w:szCs w:val="28"/>
        </w:rPr>
        <w:t>（图4：财政拨款收、支决算总计变动情况）（柱状图）</w:t>
      </w:r>
      <w:bookmarkStart w:id="27" w:name="_Toc15377209"/>
      <w:bookmarkStart w:id="28" w:name="_Toc15396607"/>
    </w:p>
    <w:p>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pPr>
        <w:spacing w:line="600" w:lineRule="exact"/>
        <w:ind w:firstLineChars="200" w:firstLine="560"/>
        <w:outlineLvl w:val="2"/>
        <w:rPr>
          <w:rFonts w:ascii="仿宋_GB2312" w:eastAsia="仿宋_GB2312" w:cs="楷体" w:hAnsi="楷体"/>
          <w:bCs/>
          <w:sz w:val="28"/>
          <w:szCs w:val="28"/>
        </w:rPr>
      </w:pPr>
      <w:bookmarkStart w:id="29" w:name="_Toc15377210"/>
      <w:r>
        <w:rPr>
          <w:rFonts w:ascii="仿宋_GB2312" w:eastAsia="仿宋_GB2312" w:cs="楷体" w:hAnsi="楷体" w:hint="eastAsia"/>
          <w:bCs/>
          <w:sz w:val="28"/>
          <w:szCs w:val="28"/>
        </w:rPr>
        <w:t>（一）一般公共预算财政拨款支出决算总体情况</w:t>
      </w:r>
      <w:bookmarkEnd w:id="29"/>
    </w:p>
    <w:p>
      <w:pPr>
        <w:spacing w:line="600" w:lineRule="exact"/>
        <w:ind w:firstLineChars="200" w:firstLine="560"/>
        <w:rPr>
          <w:rFonts w:ascii="仿宋" w:eastAsia="仿宋" w:hAnsi="仿宋"/>
          <w:color w:val="000000"/>
          <w:sz w:val="32"/>
          <w:szCs w:val="32"/>
        </w:rPr>
      </w:pPr>
      <w:r>
        <w:rPr>
          <w:rFonts w:ascii="仿宋_GB2312" w:eastAsia="仿宋_GB2312" w:hAnsi="仿宋" w:hint="eastAsia"/>
          <w:sz w:val="28"/>
          <w:szCs w:val="28"/>
        </w:rPr>
        <w:drawing>
          <wp:anchor distT="0" distB="0" distL="114300" distR="114300" simplePos="0" relativeHeight="35" behindDoc="0" locked="0" layoutInCell="1" hidden="0" allowOverlap="1">
            <wp:simplePos x="0" y="0"/>
            <wp:positionH relativeFrom="column">
              <wp:posOffset>361950</wp:posOffset>
            </wp:positionH>
            <wp:positionV relativeFrom="paragraph">
              <wp:posOffset>1475740</wp:posOffset>
            </wp:positionV>
            <wp:extent cx="5310504" cy="1726565"/>
            <wp:effectExtent l="19050" t="0" r="23495" b="6985"/>
            <wp:wrapTight wrapText="bothSides">
              <wp:wrapPolygon>
                <wp:start x="0" y="0"/>
                <wp:lineTo x="0" y="21568"/>
                <wp:lineTo x="21600" y="21568"/>
                <wp:lineTo x="21600" y="0"/>
                <wp:lineTo x="0" y="0"/>
              </wp:wrapPolygon>
            </wp:wrapTight>
            <wp:docPr id="6" name="图表 6"/>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_GB2312" w:eastAsia="仿宋_GB2312" w:hAnsi="仿宋" w:hint="eastAsia"/>
          <w:sz w:val="28"/>
          <w:szCs w:val="28"/>
        </w:rPr>
        <w:t>2023年一般公共预算财政拨款支出1382.03万元，占本年支出合计的99.21%。与2022年相比，一般公共预算财政拨款支出减少了102.31万元，下降6.89%。主要变动原因</w:t>
      </w:r>
      <w:r>
        <w:rPr>
          <w:rFonts w:ascii="仿宋_GB2312" w:eastAsia="仿宋_GB2312" w:hAnsi="仿宋" w:hint="eastAsia"/>
          <w:color w:val="000000"/>
          <w:sz w:val="28"/>
          <w:szCs w:val="28"/>
        </w:rPr>
        <w:t>是教职工减少。</w:t>
      </w:r>
    </w:p>
    <w:p>
      <w:pPr>
        <w:spacing w:line="600" w:lineRule="exact"/>
        <w:jc w:val="center"/>
        <w:rPr>
          <w:rFonts w:ascii="仿宋_GB2312" w:eastAsia="仿宋_GB2312" w:hAnsi="仿宋"/>
          <w:sz w:val="28"/>
          <w:szCs w:val="28"/>
        </w:rPr>
      </w:pPr>
      <w:r>
        <w:rPr>
          <w:rFonts w:ascii="仿宋_GB2312" w:eastAsia="仿宋_GB2312" w:hAnsi="仿宋" w:hint="eastAsia"/>
          <w:sz w:val="28"/>
          <w:szCs w:val="28"/>
        </w:rPr>
        <w:t>（图5：一般公共预算财政拨款支出决算变动情况）（柱状图）</w:t>
      </w:r>
      <w:bookmarkStart w:id="30" w:name="_Toc15377211"/>
    </w:p>
    <w:p>
      <w:pPr>
        <w:spacing w:line="600" w:lineRule="exact"/>
        <w:ind w:firstLineChars="200" w:firstLine="560"/>
        <w:outlineLvl w:val="2"/>
        <w:rPr>
          <w:rFonts w:ascii="仿宋_GB2312" w:eastAsia="仿宋_GB2312" w:cs="楷体" w:hAnsi="楷体"/>
          <w:bCs/>
          <w:sz w:val="28"/>
          <w:szCs w:val="28"/>
        </w:rPr>
      </w:pPr>
      <w:r>
        <w:rPr>
          <w:rFonts w:ascii="仿宋_GB2312" w:eastAsia="仿宋_GB2312" w:cs="楷体" w:hAnsi="楷体" w:hint="eastAsia"/>
          <w:bCs/>
          <w:sz w:val="28"/>
          <w:szCs w:val="28"/>
        </w:rPr>
        <w:t>（二）一般公共预算财政拨款支出决算结构情况</w:t>
      </w:r>
      <w:bookmarkEnd w:id="30"/>
    </w:p>
    <w:p>
      <w:pPr>
        <w:spacing w:line="600" w:lineRule="exact"/>
        <w:ind w:firstLine="640"/>
        <w:rPr>
          <w:rFonts w:ascii="仿宋_GB2312" w:eastAsia="仿宋_GB2312" w:hAnsi="仿宋" w:hint="eastAsia"/>
          <w:sz w:val="28"/>
          <w:szCs w:val="28"/>
        </w:rPr>
      </w:pPr>
      <w:r>
        <w:rPr>
          <w:rFonts w:ascii="仿宋_GB2312" w:eastAsia="仿宋_GB2312" w:hAnsi="仿宋" w:hint="eastAsia"/>
          <w:sz w:val="28"/>
          <w:szCs w:val="28"/>
        </w:rPr>
        <w:drawing>
          <wp:anchor distT="0" distB="0" distL="114300" distR="114300" simplePos="0" relativeHeight="37" behindDoc="0" locked="0" layoutInCell="1" hidden="0" allowOverlap="1">
            <wp:simplePos x="0" y="0"/>
            <wp:positionH relativeFrom="column">
              <wp:posOffset>285750</wp:posOffset>
            </wp:positionH>
            <wp:positionV relativeFrom="paragraph">
              <wp:posOffset>1524000</wp:posOffset>
            </wp:positionV>
            <wp:extent cx="5210809" cy="1849120"/>
            <wp:effectExtent l="19050" t="0" r="27940" b="0"/>
            <wp:wrapSquare wrapText="bothSides"/>
            <wp:docPr id="7" name="图表 7"/>
            <wp:cNvGraphicFramePr>
              <a:graphicFrameLocks noChangeAspect="0"/>
            </wp:cNvGraphicFramePr>
            <a:graphic>
              <a:graphicData uri="http://schemas.openxmlformats.org/drawingml/2006/chart">
                <c:chart xmlns:c="http://schemas.openxmlformats.org/drawingml/2006/chart" r:id="rId11"/>
              </a:graphicData>
            </a:graphic>
          </wp:anchor>
        </w:drawing>
      </w:r>
      <w:r>
        <w:rPr>
          <w:rFonts w:ascii="仿宋_GB2312" w:eastAsia="仿宋_GB2312" w:hAnsi="仿宋" w:hint="eastAsia"/>
          <w:sz w:val="28"/>
          <w:szCs w:val="28"/>
        </w:rPr>
        <w:t>2023年一般公共预算财政拨款支出1382.03万元，主要用于以下方面:教育支出</w:t>
      </w:r>
      <w:r>
        <w:rPr>
          <w:rFonts w:ascii="仿宋_GB2312" w:eastAsia="仿宋_GB2312" w:hAnsi="仿宋"/>
          <w:sz w:val="28"/>
          <w:szCs w:val="28"/>
        </w:rPr>
        <w:t>1337.43</w:t>
      </w:r>
      <w:r>
        <w:rPr>
          <w:rFonts w:ascii="仿宋_GB2312" w:eastAsia="仿宋_GB2312" w:hAnsi="仿宋" w:hint="eastAsia"/>
          <w:sz w:val="28"/>
          <w:szCs w:val="28"/>
        </w:rPr>
        <w:t>万元，占96.77%；社会保障和就业支出</w:t>
      </w:r>
      <w:r>
        <w:rPr>
          <w:rFonts w:ascii="仿宋_GB2312" w:eastAsia="仿宋_GB2312" w:hAnsi="仿宋"/>
          <w:sz w:val="28"/>
          <w:szCs w:val="28"/>
        </w:rPr>
        <w:t>34.22</w:t>
      </w:r>
      <w:r>
        <w:rPr>
          <w:rFonts w:ascii="仿宋_GB2312" w:eastAsia="仿宋_GB2312" w:hAnsi="仿宋" w:hint="eastAsia"/>
          <w:sz w:val="28"/>
          <w:szCs w:val="28"/>
        </w:rPr>
        <w:t>万元，占2.48%；卫生健康支出3.95万元，占0.29%；住房保障支出6.44万元，占0.46%。</w:t>
      </w:r>
    </w:p>
    <w:p>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（图6：一般公共预算财政拨款支出决算结构）（饼状图）</w:t>
      </w:r>
      <w:bookmarkStart w:id="31" w:name="_Toc15377212"/>
    </w:p>
    <w:p>
      <w:pPr>
        <w:snapToGrid w:val="0"/>
        <w:spacing w:line="560" w:lineRule="exact"/>
        <w:ind w:firstLineChars="200" w:firstLine="560"/>
        <w:outlineLvl w:val="2"/>
        <w:rPr>
          <w:rFonts w:ascii="仿宋_GB2312" w:eastAsia="仿宋_GB2312" w:cs="楷体" w:hAnsi="楷体"/>
          <w:bCs/>
          <w:sz w:val="28"/>
          <w:szCs w:val="28"/>
        </w:rPr>
      </w:pPr>
      <w:r>
        <w:rPr>
          <w:rFonts w:ascii="仿宋_GB2312" w:eastAsia="仿宋_GB2312" w:cs="楷体" w:hAnsi="楷体" w:hint="eastAsia"/>
          <w:bCs/>
          <w:sz w:val="28"/>
          <w:szCs w:val="28"/>
        </w:rPr>
        <w:t>（三）一般公共预算财政拨款支出决算具体情况</w:t>
      </w:r>
      <w:bookmarkEnd w:id="31"/>
    </w:p>
    <w:p>
      <w:pPr>
        <w:snapToGrid w:val="0"/>
        <w:spacing w:line="560" w:lineRule="exact"/>
        <w:ind w:firstLineChars="200" w:firstLine="560"/>
        <w:outlineLvl w:val="2"/>
        <w:rPr>
          <w:rStyle w:val="25"/>
          <w:rFonts w:ascii="仿宋_GB2312" w:eastAsia="仿宋_GB2312" w:hAnsi="仿宋"/>
          <w:bCs/>
          <w:color w:val="000000"/>
          <w:sz w:val="28"/>
          <w:szCs w:val="28"/>
        </w:rPr>
      </w:pPr>
      <w:bookmarkStart w:id="32" w:name="_Toc15378460"/>
      <w:bookmarkStart w:id="33" w:name="_Toc15377444"/>
      <w:bookmarkStart w:id="34" w:name="_Toc15377213"/>
      <w:r>
        <w:rPr>
          <w:rFonts w:ascii="仿宋_GB2312" w:eastAsia="仿宋_GB2312" w:hAnsi="仿宋" w:hint="eastAsia"/>
          <w:b/>
          <w:sz w:val="28"/>
          <w:szCs w:val="28"/>
        </w:rPr>
        <w:t>2023年一般公共预算支出决算数为1382.03万元</w:t>
      </w:r>
      <w:r>
        <w:rPr>
          <w:rFonts w:ascii="仿宋_GB2312" w:eastAsia="仿宋_GB2312" w:hAnsi="仿宋" w:hint="eastAsia"/>
          <w:sz w:val="28"/>
          <w:szCs w:val="28"/>
        </w:rPr>
        <w:t>，</w:t>
      </w:r>
      <w:r>
        <w:rPr>
          <w:rStyle w:val="25"/>
          <w:rFonts w:ascii="仿宋_GB2312" w:eastAsia="仿宋_GB2312" w:hAnsi="仿宋" w:hint="eastAsia"/>
          <w:bCs/>
          <w:sz w:val="28"/>
          <w:szCs w:val="28"/>
        </w:rPr>
        <w:t>完成预算100%。其中：</w:t>
      </w:r>
      <w:bookmarkEnd w:id="32"/>
      <w:bookmarkEnd w:id="33"/>
      <w:bookmarkEnd w:id="34"/>
    </w:p>
    <w:p>
      <w:pPr>
        <w:snapToGrid w:val="0"/>
        <w:spacing w:line="560" w:lineRule="exact"/>
        <w:ind w:firstLineChars="200" w:firstLine="560"/>
        <w:rPr>
          <w:rStyle w:val="25"/>
          <w:rFonts w:ascii="仿宋_GB2312" w:eastAsia="仿宋_GB2312" w:hAnsi="仿宋"/>
          <w:b w:val="0"/>
          <w:bCs/>
          <w:color w:val="000000"/>
          <w:sz w:val="28"/>
          <w:szCs w:val="28"/>
        </w:rPr>
      </w:pPr>
      <w:r>
        <w:rPr>
          <w:rStyle w:val="25"/>
          <w:rFonts w:ascii="仿宋_GB2312" w:eastAsia="仿宋_GB2312" w:cs="Arial" w:hAnsi="仿宋" w:hint="eastAsia"/>
          <w:bCs/>
          <w:sz w:val="28"/>
          <w:szCs w:val="28"/>
        </w:rPr>
        <w:t>1.教育支出（类）普通教育（款）小学教育（项）:</w:t>
      </w:r>
      <w:r>
        <w:rPr>
          <w:rStyle w:val="25"/>
          <w:rFonts w:ascii="仿宋_GB2312" w:eastAsia="仿宋_GB2312" w:hAnsi="仿宋" w:hint="eastAsia"/>
          <w:b w:val="0"/>
          <w:bCs/>
          <w:sz w:val="28"/>
          <w:szCs w:val="28"/>
        </w:rPr>
        <w:t>支出决算为</w:t>
      </w:r>
      <w:r>
        <w:rPr>
          <w:rStyle w:val="25"/>
          <w:rFonts w:ascii="仿宋_GB2312" w:eastAsia="仿宋_GB2312" w:hAnsi="仿宋"/>
          <w:b w:val="0"/>
          <w:bCs/>
          <w:sz w:val="28"/>
          <w:szCs w:val="28"/>
        </w:rPr>
        <w:t>1337.43</w:t>
      </w:r>
      <w:r>
        <w:rPr>
          <w:rStyle w:val="25"/>
          <w:rFonts w:ascii="仿宋_GB2312" w:eastAsia="仿宋_GB2312" w:hAnsi="仿宋" w:hint="eastAsia"/>
          <w:b w:val="0"/>
          <w:bCs/>
          <w:sz w:val="28"/>
          <w:szCs w:val="28"/>
        </w:rPr>
        <w:t>万元，完成预算100%，决算数等于预算数的主要原因是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Style w:val="25"/>
          <w:rFonts w:ascii="仿宋_GB2312" w:eastAsia="仿宋_GB2312" w:hAnsi="仿宋"/>
          <w:b w:val="0"/>
          <w:bCs/>
          <w:color w:val="000000"/>
          <w:sz w:val="28"/>
          <w:szCs w:val="28"/>
        </w:rPr>
      </w:pPr>
      <w:r>
        <w:rPr>
          <w:rStyle w:val="25"/>
          <w:rFonts w:ascii="仿宋_GB2312" w:eastAsia="仿宋_GB2312" w:cs="Arial" w:hAnsi="仿宋" w:hint="eastAsia"/>
          <w:bCs/>
          <w:sz w:val="28"/>
          <w:szCs w:val="28"/>
        </w:rPr>
        <w:t>2.</w:t>
      </w:r>
      <w:r>
        <w:rPr>
          <w:rStyle w:val="25"/>
          <w:rFonts w:ascii="仿宋_GB2312" w:eastAsia="仿宋_GB2312" w:hAnsi="仿宋" w:hint="eastAsia"/>
          <w:bCs/>
          <w:sz w:val="28"/>
          <w:szCs w:val="28"/>
        </w:rPr>
        <w:t xml:space="preserve"> 社会保障和就业（类）行政事业单位养老支出（款）事业单位离退休（项）:</w:t>
      </w:r>
      <w:r>
        <w:rPr>
          <w:rStyle w:val="25"/>
          <w:rFonts w:ascii="仿宋_GB2312" w:eastAsia="仿宋_GB2312" w:hAnsi="仿宋" w:hint="eastAsia"/>
          <w:b w:val="0"/>
          <w:bCs/>
          <w:sz w:val="28"/>
          <w:szCs w:val="28"/>
        </w:rPr>
        <w:t xml:space="preserve"> 支出决算为5.13万元，完成预算100.00%，决算数等于预算数的主要原因是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Fonts w:ascii="仿宋_GB2312" w:eastAsia="仿宋_GB2312" w:hAnsi="仿宋"/>
          <w:b/>
          <w:bCs/>
          <w:color w:val="000000"/>
          <w:sz w:val="28"/>
          <w:szCs w:val="28"/>
        </w:rPr>
      </w:pPr>
      <w:r>
        <w:rPr>
          <w:rStyle w:val="25"/>
          <w:rFonts w:ascii="仿宋_GB2312" w:eastAsia="仿宋_GB2312" w:cs="Arial" w:hAnsi="仿宋" w:hint="eastAsia"/>
          <w:bCs/>
          <w:sz w:val="28"/>
          <w:szCs w:val="28"/>
        </w:rPr>
        <w:t>3.</w:t>
      </w:r>
      <w:r>
        <w:rPr>
          <w:rStyle w:val="25"/>
          <w:rFonts w:ascii="仿宋_GB2312" w:eastAsia="仿宋_GB2312" w:hAnsi="仿宋" w:hint="eastAsia"/>
          <w:bCs/>
          <w:sz w:val="28"/>
          <w:szCs w:val="28"/>
        </w:rPr>
        <w:t xml:space="preserve"> 社会保障和就业（类）行政事业单位养老支出（款）机关事业单位基本养老保险缴费支出（项）:</w:t>
      </w:r>
      <w:r>
        <w:rPr>
          <w:rStyle w:val="25"/>
          <w:rFonts w:ascii="仿宋_GB2312" w:eastAsia="仿宋_GB2312" w:hAnsi="仿宋" w:hint="eastAsia"/>
          <w:b w:val="0"/>
          <w:bCs/>
          <w:sz w:val="28"/>
          <w:szCs w:val="28"/>
        </w:rPr>
        <w:t xml:space="preserve"> 支出决算为8.58万元，完成预算100.00%，决算数等于预算数的主要原因是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Style w:val="25"/>
          <w:rFonts w:ascii="仿宋_GB2312" w:eastAsia="仿宋_GB2312" w:hAnsi="仿宋"/>
          <w:b w:val="0"/>
          <w:bCs/>
          <w:color w:val="000000"/>
          <w:sz w:val="28"/>
          <w:szCs w:val="28"/>
        </w:rPr>
      </w:pPr>
      <w:r>
        <w:rPr>
          <w:rStyle w:val="25"/>
          <w:rFonts w:ascii="仿宋_GB2312" w:eastAsia="仿宋_GB2312" w:hAnsi="仿宋" w:hint="eastAsia"/>
          <w:bCs/>
          <w:sz w:val="28"/>
          <w:szCs w:val="28"/>
        </w:rPr>
        <w:t>4.社会保障和就业（类）行政事业单位养老支出（款）机关事业单位职业年金缴费支出（项）:</w:t>
      </w:r>
      <w:r>
        <w:rPr>
          <w:rStyle w:val="25"/>
          <w:rFonts w:ascii="仿宋_GB2312" w:eastAsia="仿宋_GB2312" w:hAnsi="仿宋" w:hint="eastAsia"/>
          <w:b w:val="0"/>
          <w:bCs/>
          <w:sz w:val="28"/>
          <w:szCs w:val="28"/>
        </w:rPr>
        <w:t xml:space="preserve"> 支出决算为5.92万元，完成预算100.00%，决算数等于预算数的主要原因是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Style w:val="25"/>
          <w:rFonts w:ascii="仿宋_GB2312" w:eastAsia="仿宋_GB2312" w:hAnsi="仿宋"/>
          <w:bCs/>
          <w:color w:val="000000"/>
          <w:sz w:val="28"/>
          <w:szCs w:val="28"/>
        </w:rPr>
      </w:pPr>
      <w:r>
        <w:rPr>
          <w:rStyle w:val="25"/>
          <w:rFonts w:ascii="仿宋_GB2312" w:eastAsia="仿宋_GB2312" w:hAnsi="仿宋" w:hint="eastAsia"/>
          <w:bCs/>
          <w:sz w:val="28"/>
          <w:szCs w:val="28"/>
        </w:rPr>
        <w:t>5.社会保障和就业（类）抚恤（款）死亡抚恤（项）:</w:t>
      </w:r>
      <w:r>
        <w:rPr>
          <w:rStyle w:val="25"/>
          <w:rFonts w:ascii="仿宋_GB2312" w:eastAsia="仿宋_GB2312" w:hAnsi="仿宋" w:hint="eastAsia"/>
          <w:b w:val="0"/>
          <w:bCs/>
          <w:sz w:val="28"/>
          <w:szCs w:val="28"/>
        </w:rPr>
        <w:t xml:space="preserve"> 支出决算为14.12万元，完成预算100.00%，决算数等于预算数的主要原因是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Fonts w:ascii="仿宋_GB2312" w:eastAsia="仿宋_GB2312" w:hAnsi="仿宋"/>
          <w:b/>
          <w:bCs/>
          <w:color w:val="000000"/>
          <w:sz w:val="28"/>
          <w:szCs w:val="28"/>
        </w:rPr>
      </w:pPr>
      <w:r>
        <w:rPr>
          <w:rStyle w:val="25"/>
          <w:rFonts w:ascii="仿宋_GB2312" w:eastAsia="仿宋_GB2312" w:hAnsi="仿宋" w:hint="eastAsia"/>
          <w:bCs/>
          <w:sz w:val="28"/>
          <w:szCs w:val="28"/>
        </w:rPr>
        <w:t>6.社会保障和就业（类）其他社会保障和就业支出（款）其他社会保障和就业支出（项）:</w:t>
      </w:r>
      <w:r>
        <w:rPr>
          <w:rStyle w:val="25"/>
          <w:rFonts w:ascii="仿宋_GB2312" w:eastAsia="仿宋_GB2312" w:hAnsi="仿宋" w:hint="eastAsia"/>
          <w:b w:val="0"/>
          <w:bCs/>
          <w:sz w:val="28"/>
          <w:szCs w:val="28"/>
        </w:rPr>
        <w:t xml:space="preserve"> 支出决算为0.47万元，完成预算100.00%，决算数等于预算数的主要原因是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Style w:val="25"/>
          <w:rFonts w:ascii="仿宋_GB2312" w:eastAsia="仿宋_GB2312" w:hAnsi="仿宋"/>
          <w:b w:val="0"/>
          <w:bCs/>
          <w:color w:val="000000"/>
          <w:sz w:val="28"/>
          <w:szCs w:val="28"/>
        </w:rPr>
      </w:pPr>
      <w:r>
        <w:rPr>
          <w:rStyle w:val="25"/>
          <w:rFonts w:ascii="仿宋_GB2312" w:eastAsia="仿宋_GB2312" w:hAnsi="仿宋" w:hint="eastAsia"/>
          <w:bCs/>
          <w:sz w:val="28"/>
          <w:szCs w:val="28"/>
        </w:rPr>
        <w:t>7.卫生健康支出（类）行政事业单位医疗（款）事业单位医疗（项）:</w:t>
      </w:r>
      <w:r>
        <w:rPr>
          <w:rStyle w:val="25"/>
          <w:rFonts w:ascii="仿宋_GB2312" w:eastAsia="仿宋_GB2312" w:hAnsi="仿宋" w:hint="eastAsia"/>
          <w:b w:val="0"/>
          <w:bCs/>
          <w:sz w:val="28"/>
          <w:szCs w:val="28"/>
        </w:rPr>
        <w:t xml:space="preserve"> 支出决算为3.79万元，完成预算100%，决算数等于预算数的主要原因是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Fonts w:ascii="仿宋_GB2312" w:eastAsia="仿宋_GB2312" w:hAnsi="仿宋"/>
          <w:bCs/>
          <w:color w:val="000000"/>
          <w:sz w:val="28"/>
          <w:szCs w:val="28"/>
        </w:rPr>
      </w:pPr>
      <w:r>
        <w:rPr>
          <w:rStyle w:val="25"/>
          <w:rFonts w:ascii="仿宋_GB2312" w:eastAsia="仿宋_GB2312" w:hAnsi="仿宋" w:hint="eastAsia"/>
          <w:bCs/>
          <w:sz w:val="28"/>
          <w:szCs w:val="28"/>
        </w:rPr>
        <w:t>8.卫生健康支出（类）其他卫生健康支出（款）其他卫生健康支出（项）:</w:t>
      </w:r>
      <w:r>
        <w:rPr>
          <w:rStyle w:val="25"/>
          <w:rFonts w:ascii="仿宋_GB2312" w:eastAsia="仿宋_GB2312" w:hAnsi="仿宋" w:hint="eastAsia"/>
          <w:b w:val="0"/>
          <w:bCs/>
          <w:sz w:val="28"/>
          <w:szCs w:val="28"/>
        </w:rPr>
        <w:t xml:space="preserve"> 支出决算为3.95万元，完成预算100%，决算数等于预算数的主要原因是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snapToGrid w:val="0"/>
        <w:spacing w:line="560" w:lineRule="exact"/>
        <w:ind w:firstLineChars="200" w:firstLine="560"/>
        <w:rPr>
          <w:rFonts w:ascii="仿宋_GB2312" w:eastAsia="仿宋_GB2312" w:hAnsi="仿宋"/>
          <w:b/>
          <w:bCs/>
          <w:color w:val="000000"/>
          <w:sz w:val="28"/>
          <w:szCs w:val="28"/>
        </w:rPr>
      </w:pPr>
      <w:bookmarkStart w:id="35" w:name="_Toc15377214"/>
      <w:bookmarkStart w:id="36" w:name="_Toc15396608"/>
      <w:r>
        <w:rPr>
          <w:rStyle w:val="25"/>
          <w:rFonts w:ascii="仿宋_GB2312" w:eastAsia="仿宋_GB2312" w:hAnsi="仿宋" w:hint="eastAsia"/>
          <w:bCs/>
          <w:sz w:val="28"/>
          <w:szCs w:val="28"/>
        </w:rPr>
        <w:t>8.住房保障支出（类）住房改革支出（款）住房公积金（项）:</w:t>
      </w:r>
      <w:r>
        <w:rPr>
          <w:rStyle w:val="25"/>
          <w:rFonts w:ascii="仿宋_GB2312" w:eastAsia="仿宋_GB2312" w:hAnsi="仿宋" w:hint="eastAsia"/>
          <w:b w:val="0"/>
          <w:bCs/>
          <w:sz w:val="28"/>
          <w:szCs w:val="28"/>
        </w:rPr>
        <w:t xml:space="preserve"> 支出决算为6.44万元，完成预算100%，决算数等于预算数的主要原因是</w:t>
      </w:r>
      <w:r>
        <w:rPr>
          <w:rStyle w:val="25"/>
          <w:rFonts w:ascii="仿宋_GB2312" w:eastAsia="仿宋_GB2312" w:cs="Arial" w:hAnsi="仿宋" w:hint="eastAsia"/>
          <w:b w:val="0"/>
          <w:bCs/>
          <w:color w:val="000000"/>
          <w:kern w:val="0"/>
          <w:sz w:val="28"/>
          <w:szCs w:val="28"/>
        </w:rPr>
        <w:t>年初预算根据实际编列，</w:t>
      </w:r>
      <w:r>
        <w:rPr>
          <w:rStyle w:val="25"/>
          <w:rFonts w:ascii="仿宋_GB2312" w:eastAsia="仿宋_GB2312" w:hAnsi="仿宋" w:hint="eastAsia"/>
          <w:b w:val="0"/>
          <w:bCs/>
          <w:color w:val="000000"/>
          <w:sz w:val="28"/>
          <w:szCs w:val="28"/>
        </w:rPr>
        <w:t>预算执行中根据实际支出情况调整预算。</w:t>
      </w:r>
    </w:p>
    <w:p>
      <w:pPr>
        <w:tabs>
          <w:tab w:val="right" w:pos="8306"/>
        </w:tabs>
        <w:snapToGrid w:val="0"/>
        <w:spacing w:line="56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pPr>
        <w:snapToGrid w:val="0"/>
        <w:spacing w:line="560" w:lineRule="exact"/>
        <w:ind w:firstLine="645"/>
        <w:rPr>
          <w:rFonts w:ascii="仿宋_GB2312" w:eastAsia="仿宋_GB2312" w:hAnsi="仿宋"/>
          <w:spacing w:val="-6"/>
          <w:sz w:val="28"/>
          <w:szCs w:val="28"/>
        </w:rPr>
      </w:pPr>
      <w:r>
        <w:rPr>
          <w:rFonts w:ascii="仿宋_GB2312" w:eastAsia="仿宋_GB2312" w:hAnsi="仿宋" w:hint="eastAsia"/>
          <w:sz w:val="28"/>
          <w:szCs w:val="28"/>
        </w:rPr>
        <w:t>2</w:t>
      </w:r>
      <w:r>
        <w:rPr>
          <w:rFonts w:ascii="仿宋_GB2312" w:eastAsia="仿宋_GB2312" w:hAnsi="仿宋" w:hint="eastAsia"/>
          <w:spacing w:val="-6"/>
          <w:sz w:val="28"/>
          <w:szCs w:val="28"/>
        </w:rPr>
        <w:t>023年一般公共预算财政拨款基本支出1249.16万元，其中：</w:t>
      </w:r>
    </w:p>
    <w:p>
      <w:pPr>
        <w:snapToGrid w:val="0"/>
        <w:spacing w:line="560" w:lineRule="exact"/>
        <w:ind w:firstLine="645"/>
        <w:rPr>
          <w:rFonts w:ascii="仿宋_GB2312" w:eastAsia="仿宋_GB2312" w:hAnsi="仿宋"/>
          <w:sz w:val="28"/>
          <w:szCs w:val="28"/>
        </w:rPr>
      </w:pPr>
      <w:r>
        <w:rPr>
          <w:rFonts w:ascii="仿宋_GB2312" w:eastAsia="仿宋_GB2312" w:hAnsi="仿宋" w:hint="eastAsia"/>
          <w:sz w:val="28"/>
          <w:szCs w:val="28"/>
        </w:rPr>
        <w:t>人员经费1133.79万元，主要包括：基本工资311.08万元、津贴补贴79.25万元、绩效工资161.48万元、基础绩效奖161.72万元、机关事业单位基本养老保险缴费116.58万元、职业年金缴费13.45万元，其他社会保障缴费20.49万元、抚恤金14.12万元、生活补助131.04万元、独子奖励金0.02万元、医疗保险42.33万元、住房公积金82.24万元。</w:t>
      </w:r>
    </w:p>
    <w:p>
      <w:pPr>
        <w:snapToGrid w:val="0"/>
        <w:spacing w:line="560" w:lineRule="exact"/>
        <w:ind w:firstLine="645"/>
        <w:rPr>
          <w:rFonts w:ascii="仿宋_GB2312" w:eastAsia="仿宋_GB2312" w:hAnsi="仿宋"/>
          <w:sz w:val="28"/>
          <w:szCs w:val="28"/>
        </w:rPr>
      </w:pPr>
      <w:r>
        <w:rPr>
          <w:rFonts w:ascii="仿宋_GB2312" w:eastAsia="仿宋_GB2312" w:hAnsi="仿宋" w:hint="eastAsia"/>
          <w:sz w:val="28"/>
          <w:szCs w:val="28"/>
        </w:rPr>
        <w:t>公用经费115.37万元，主要包括：办公费33.02万元、印刷费0.00万元、手续费0.00万元、水费3.27万元、电费5.40万元、邮电费3.89万元、差旅费2.00万元、维修（护）费12.56万元、会议费0.00万元、培训费3.00万元、劳务费24.63万元、工会经费1.09万元、福利费19.86万元。</w:t>
      </w:r>
    </w:p>
    <w:p>
      <w:pPr>
        <w:pStyle w:val="15"/>
        <w:spacing w:beforeLines="0" w:before="93"/>
        <w:ind w:firstLineChars="200" w:firstLine="560"/>
        <w:rPr>
          <w:sz w:val="28"/>
          <w:szCs w:val="28"/>
        </w:rPr>
      </w:pPr>
      <w:r>
        <w:rPr>
          <w:rFonts w:hint="eastAsia"/>
          <w:sz w:val="28"/>
          <w:szCs w:val="28"/>
        </w:rPr>
        <w:t>资本性支出6.66万元，</w:t>
      </w:r>
      <w:r>
        <w:rPr>
          <w:rFonts w:hAnsi="仿宋" w:hint="eastAsia"/>
          <w:sz w:val="28"/>
          <w:szCs w:val="28"/>
        </w:rPr>
        <w:t>主要包括：办公设备购置3.11万元、专用设备购置3.55万元。</w:t>
      </w:r>
    </w:p>
    <w:p>
      <w:pPr>
        <w:spacing w:line="600" w:lineRule="exact"/>
        <w:ind w:firstLine="640"/>
        <w:outlineLvl w:val="1"/>
        <w:rPr>
          <w:rStyle w:val="2Char"/>
          <w:rFonts w:ascii="黑体" w:eastAsia="黑体" w:hAnsi="黑体"/>
          <w:b w:val="0"/>
        </w:rPr>
      </w:pPr>
      <w:bookmarkStart w:id="37" w:name="_Toc15377215"/>
      <w:bookmarkStart w:id="38" w:name="_Toc15396609"/>
      <w:r>
        <w:rPr>
          <w:rFonts w:ascii="黑体" w:eastAsia="黑体" w:hint="eastAsia"/>
          <w:sz w:val="32"/>
          <w:szCs w:val="32"/>
        </w:rPr>
        <w:t>七、</w:t>
      </w:r>
      <w:bookmarkEnd w:id="37"/>
      <w:bookmarkEnd w:id="38"/>
      <w:r>
        <w:rPr>
          <w:rStyle w:val="2Char"/>
          <w:rFonts w:ascii="黑体" w:eastAsia="黑体" w:hAnsi="黑体" w:hint="eastAsia"/>
        </w:rPr>
        <w:t>财政拨款“三公”经费支出决算情况说明</w:t>
      </w:r>
    </w:p>
    <w:p>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pPr>
        <w:snapToGrid w:val="0"/>
        <w:spacing w:line="560" w:lineRule="exact"/>
        <w:ind w:firstLine="640"/>
        <w:rPr>
          <w:rFonts w:ascii="仿宋" w:eastAsia="仿宋" w:hAnsi="仿宋"/>
          <w:sz w:val="28"/>
          <w:szCs w:val="28"/>
        </w:rPr>
      </w:pPr>
      <w:r>
        <w:rPr>
          <w:rFonts w:ascii="仿宋" w:eastAsia="仿宋" w:hAnsi="仿宋" w:hint="eastAsia"/>
          <w:sz w:val="28"/>
          <w:szCs w:val="28"/>
        </w:rPr>
        <w:t>2023年“三公”经费财政拨款支出0万元，</w:t>
      </w:r>
      <w:bookmarkStart w:id="40" w:name="_Toc15377217"/>
      <w:r>
        <w:rPr>
          <w:rFonts w:ascii="仿宋" w:eastAsia="仿宋" w:hAnsi="仿宋" w:hint="eastAsia"/>
          <w:sz w:val="28"/>
          <w:szCs w:val="28"/>
        </w:rPr>
        <w:t>完成预算0.00</w:t>
      </w:r>
      <w:r>
        <w:rPr>
          <w:rFonts w:ascii="仿宋" w:eastAsia="仿宋" w:hAnsi="仿宋"/>
          <w:sz w:val="28"/>
          <w:szCs w:val="28"/>
        </w:rPr>
        <w:t>%</w:t>
      </w:r>
      <w:r>
        <w:rPr>
          <w:rFonts w:ascii="仿宋" w:eastAsia="仿宋" w:hAnsi="仿宋" w:hint="eastAsia"/>
          <w:sz w:val="28"/>
          <w:szCs w:val="28"/>
        </w:rPr>
        <w:t>，较上年增加/减少0万元，增长/下降0%。决算数与预算数持平。</w:t>
      </w:r>
    </w:p>
    <w:p>
      <w:pPr>
        <w:spacing w:line="600" w:lineRule="exact"/>
        <w:ind w:firstLine="640"/>
        <w:outlineLvl w:val="2"/>
        <w:rPr>
          <w:rFonts w:ascii="仿宋" w:eastAsia="仿宋" w:hAnsi="仿宋"/>
          <w:b/>
          <w:sz w:val="32"/>
          <w:szCs w:val="32"/>
        </w:rPr>
      </w:pPr>
      <w:bookmarkEnd w:id="40"/>
      <w:r>
        <w:rPr>
          <w:rFonts w:ascii="仿宋" w:eastAsia="仿宋" w:hAnsi="仿宋" w:hint="eastAsia"/>
          <w:b/>
          <w:sz w:val="32"/>
          <w:szCs w:val="32"/>
        </w:rPr>
        <w:t>（二）“三公”经费财政拨款支出决算具体情况说明</w:t>
      </w:r>
    </w:p>
    <w:p>
      <w:pPr>
        <w:spacing w:line="600" w:lineRule="exact"/>
        <w:ind w:firstLine="640"/>
        <w:rPr>
          <w:rFonts w:ascii="仿宋" w:eastAsia="仿宋" w:hAnsi="仿宋"/>
          <w:sz w:val="28"/>
          <w:szCs w:val="28"/>
        </w:rPr>
      </w:pPr>
      <w:bookmarkStart w:id="41" w:name="_Toc15377218"/>
      <w:bookmarkStart w:id="42" w:name="_Toc15396610"/>
      <w:r>
        <w:rPr>
          <w:rFonts w:ascii="仿宋" w:eastAsia="仿宋" w:hAnsi="仿宋"/>
          <w:sz w:val="28"/>
          <w:szCs w:val="28"/>
        </w:rPr>
        <w:t>20</w:t>
      </w:r>
      <w:r>
        <w:rPr>
          <w:rFonts w:ascii="仿宋" w:eastAsia="仿宋" w:hAnsi="仿宋" w:hint="eastAsia"/>
          <w:sz w:val="28"/>
          <w:szCs w:val="28"/>
        </w:rPr>
        <w:t>23年“三公”经费财政拨款支出决算中，因公出国（境）费支出决算0万元，占0</w:t>
      </w:r>
      <w:r>
        <w:rPr>
          <w:rFonts w:ascii="仿宋" w:eastAsia="仿宋" w:hAnsi="仿宋"/>
          <w:sz w:val="28"/>
          <w:szCs w:val="28"/>
        </w:rPr>
        <w:t>%</w:t>
      </w:r>
      <w:r>
        <w:rPr>
          <w:rFonts w:ascii="仿宋" w:eastAsia="仿宋" w:hAnsi="仿宋" w:hint="eastAsia"/>
          <w:sz w:val="28"/>
          <w:szCs w:val="28"/>
        </w:rPr>
        <w:t>；公务用车购置及运行维护费支出决算0万元，占0</w:t>
      </w:r>
      <w:r>
        <w:rPr>
          <w:rFonts w:ascii="仿宋" w:eastAsia="仿宋" w:hAnsi="仿宋"/>
          <w:sz w:val="28"/>
          <w:szCs w:val="28"/>
        </w:rPr>
        <w:t>%</w:t>
      </w:r>
      <w:r>
        <w:rPr>
          <w:rFonts w:ascii="仿宋" w:eastAsia="仿宋" w:hAnsi="仿宋" w:hint="eastAsia"/>
          <w:sz w:val="28"/>
          <w:szCs w:val="28"/>
        </w:rPr>
        <w:t>；公务接待费支出决算0万元，占0</w:t>
      </w:r>
      <w:r>
        <w:rPr>
          <w:rFonts w:ascii="仿宋" w:eastAsia="仿宋" w:hAnsi="仿宋"/>
          <w:sz w:val="28"/>
          <w:szCs w:val="28"/>
        </w:rPr>
        <w:t>%</w:t>
      </w:r>
      <w:r>
        <w:rPr>
          <w:rFonts w:ascii="仿宋" w:eastAsia="仿宋" w:hAnsi="仿宋" w:hint="eastAsia"/>
          <w:sz w:val="28"/>
          <w:szCs w:val="28"/>
        </w:rPr>
        <w:t>。具体情况如下：</w:t>
      </w:r>
    </w:p>
    <w:p>
      <w:pPr>
        <w:spacing w:line="600" w:lineRule="exact"/>
        <w:ind w:firstLine="640"/>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因公出国（境）经费支出</w:t>
      </w:r>
      <w:r>
        <w:rPr>
          <w:rFonts w:ascii="仿宋" w:eastAsia="仿宋" w:hAnsi="仿宋" w:hint="eastAsia"/>
          <w:sz w:val="28"/>
          <w:szCs w:val="28"/>
        </w:rPr>
        <w:t>0万元，</w:t>
      </w:r>
      <w:r>
        <w:rPr>
          <w:rStyle w:val="25"/>
          <w:rFonts w:ascii="仿宋" w:eastAsia="仿宋" w:hAnsi="仿宋" w:hint="eastAsia"/>
          <w:bCs/>
          <w:sz w:val="28"/>
          <w:szCs w:val="28"/>
        </w:rPr>
        <w:t>完成预算0</w:t>
      </w:r>
      <w:r>
        <w:rPr>
          <w:rStyle w:val="25"/>
          <w:rFonts w:ascii="仿宋" w:eastAsia="仿宋" w:hAnsi="仿宋"/>
          <w:bCs/>
          <w:sz w:val="28"/>
          <w:szCs w:val="28"/>
        </w:rPr>
        <w:t>%</w:t>
      </w:r>
      <w:r>
        <w:rPr>
          <w:rStyle w:val="25"/>
          <w:rFonts w:ascii="仿宋" w:eastAsia="仿宋" w:hAnsi="仿宋" w:hint="eastAsia"/>
          <w:bCs/>
          <w:sz w:val="28"/>
          <w:szCs w:val="28"/>
        </w:rPr>
        <w:t>。</w:t>
      </w:r>
      <w:r>
        <w:rPr>
          <w:rFonts w:ascii="仿宋" w:eastAsia="仿宋" w:hAnsi="仿宋" w:hint="eastAsia"/>
          <w:sz w:val="28"/>
          <w:szCs w:val="28"/>
        </w:rPr>
        <w:t>全年安排因公出国（境）团组0次，出国（境）0人。因公出国（境）支出决算比</w:t>
      </w:r>
      <w:r>
        <w:rPr>
          <w:rFonts w:ascii="仿宋" w:eastAsia="仿宋" w:hAnsi="仿宋"/>
          <w:sz w:val="28"/>
          <w:szCs w:val="28"/>
        </w:rPr>
        <w:t>20</w:t>
      </w:r>
      <w:r>
        <w:rPr>
          <w:rFonts w:ascii="仿宋" w:eastAsia="仿宋" w:hAnsi="仿宋" w:hint="eastAsia"/>
          <w:sz w:val="28"/>
          <w:szCs w:val="28"/>
        </w:rPr>
        <w:t>22年增加</w:t>
      </w:r>
      <w:r>
        <w:rPr>
          <w:rFonts w:ascii="仿宋" w:eastAsia="仿宋" w:hAnsi="仿宋"/>
          <w:sz w:val="28"/>
          <w:szCs w:val="28"/>
        </w:rPr>
        <w:t>/</w:t>
      </w:r>
      <w:r>
        <w:rPr>
          <w:rFonts w:ascii="仿宋" w:eastAsia="仿宋" w:hAnsi="仿宋" w:hint="eastAsia"/>
          <w:sz w:val="28"/>
          <w:szCs w:val="28"/>
        </w:rPr>
        <w:t>减少0万元，增长</w:t>
      </w:r>
      <w:r>
        <w:rPr>
          <w:rFonts w:ascii="仿宋" w:eastAsia="仿宋" w:hAnsi="仿宋"/>
          <w:sz w:val="28"/>
          <w:szCs w:val="28"/>
        </w:rPr>
        <w:t>/</w:t>
      </w:r>
      <w:r>
        <w:rPr>
          <w:rFonts w:ascii="仿宋" w:eastAsia="仿宋" w:hAnsi="仿宋" w:hint="eastAsia"/>
          <w:sz w:val="28"/>
          <w:szCs w:val="28"/>
        </w:rPr>
        <w:t>下降0</w:t>
      </w:r>
      <w:r>
        <w:rPr>
          <w:rFonts w:ascii="仿宋" w:eastAsia="仿宋" w:hAnsi="仿宋"/>
          <w:sz w:val="28"/>
          <w:szCs w:val="28"/>
        </w:rPr>
        <w:t>%</w:t>
      </w:r>
      <w:r>
        <w:rPr>
          <w:rFonts w:ascii="仿宋" w:eastAsia="仿宋" w:hAnsi="仿宋" w:hint="eastAsia"/>
          <w:sz w:val="28"/>
          <w:szCs w:val="28"/>
        </w:rPr>
        <w:t>。</w:t>
      </w:r>
    </w:p>
    <w:p>
      <w:pPr>
        <w:spacing w:line="600" w:lineRule="exact"/>
        <w:ind w:firstLine="640"/>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公务用车购置及运行维护费支出</w:t>
      </w:r>
      <w:r>
        <w:rPr>
          <w:rFonts w:ascii="仿宋" w:eastAsia="仿宋" w:hAnsi="仿宋" w:hint="eastAsia"/>
          <w:sz w:val="28"/>
          <w:szCs w:val="28"/>
        </w:rPr>
        <w:t>0万元,</w:t>
      </w:r>
      <w:r>
        <w:rPr>
          <w:rStyle w:val="25"/>
          <w:rFonts w:ascii="仿宋" w:eastAsia="仿宋" w:hAnsi="仿宋" w:hint="eastAsia"/>
          <w:bCs/>
          <w:sz w:val="28"/>
          <w:szCs w:val="28"/>
        </w:rPr>
        <w:t>完成预算0</w:t>
      </w:r>
      <w:r>
        <w:rPr>
          <w:rStyle w:val="25"/>
          <w:rFonts w:ascii="仿宋" w:eastAsia="仿宋" w:hAnsi="仿宋"/>
          <w:bCs/>
          <w:sz w:val="28"/>
          <w:szCs w:val="28"/>
        </w:rPr>
        <w:t>%</w:t>
      </w:r>
      <w:r>
        <w:rPr>
          <w:rStyle w:val="25"/>
          <w:rFonts w:ascii="仿宋" w:eastAsia="仿宋" w:hAnsi="仿宋" w:hint="eastAsia"/>
          <w:bCs/>
          <w:sz w:val="28"/>
          <w:szCs w:val="28"/>
        </w:rPr>
        <w:t>。</w:t>
      </w:r>
      <w:r>
        <w:rPr>
          <w:rFonts w:ascii="仿宋" w:eastAsia="仿宋" w:hAnsi="仿宋" w:hint="eastAsia"/>
          <w:sz w:val="28"/>
          <w:szCs w:val="28"/>
        </w:rPr>
        <w:t>公务用车购置及运行维护费支出决算比</w:t>
      </w:r>
      <w:r>
        <w:rPr>
          <w:rFonts w:ascii="仿宋" w:eastAsia="仿宋" w:hAnsi="仿宋"/>
          <w:sz w:val="28"/>
          <w:szCs w:val="28"/>
        </w:rPr>
        <w:t>20</w:t>
      </w:r>
      <w:r>
        <w:rPr>
          <w:rFonts w:ascii="仿宋" w:eastAsia="仿宋" w:hAnsi="仿宋" w:hint="eastAsia"/>
          <w:sz w:val="28"/>
          <w:szCs w:val="28"/>
        </w:rPr>
        <w:t>22年增加</w:t>
      </w:r>
      <w:r>
        <w:rPr>
          <w:rFonts w:ascii="仿宋" w:eastAsia="仿宋" w:hAnsi="仿宋"/>
          <w:sz w:val="28"/>
          <w:szCs w:val="28"/>
        </w:rPr>
        <w:t>/</w:t>
      </w:r>
      <w:r>
        <w:rPr>
          <w:rFonts w:ascii="仿宋" w:eastAsia="仿宋" w:hAnsi="仿宋" w:hint="eastAsia"/>
          <w:sz w:val="28"/>
          <w:szCs w:val="28"/>
        </w:rPr>
        <w:t>减少0万元，增长</w:t>
      </w:r>
      <w:r>
        <w:rPr>
          <w:rFonts w:ascii="仿宋" w:eastAsia="仿宋" w:hAnsi="仿宋"/>
          <w:sz w:val="28"/>
          <w:szCs w:val="28"/>
        </w:rPr>
        <w:t>/</w:t>
      </w:r>
      <w:r>
        <w:rPr>
          <w:rFonts w:ascii="仿宋" w:eastAsia="仿宋" w:hAnsi="仿宋" w:hint="eastAsia"/>
          <w:sz w:val="28"/>
          <w:szCs w:val="28"/>
        </w:rPr>
        <w:t>下降0</w:t>
      </w:r>
      <w:r>
        <w:rPr>
          <w:rFonts w:ascii="仿宋" w:eastAsia="仿宋" w:hAnsi="仿宋"/>
          <w:sz w:val="28"/>
          <w:szCs w:val="28"/>
        </w:rPr>
        <w:t>%</w:t>
      </w:r>
      <w:r>
        <w:rPr>
          <w:rFonts w:ascii="仿宋" w:eastAsia="仿宋" w:hAnsi="仿宋" w:hint="eastAsia"/>
          <w:sz w:val="28"/>
          <w:szCs w:val="28"/>
        </w:rPr>
        <w:t>。</w:t>
      </w:r>
    </w:p>
    <w:p>
      <w:pPr>
        <w:spacing w:line="600" w:lineRule="exact"/>
        <w:ind w:firstLine="640"/>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公务接待费支出</w:t>
      </w:r>
      <w:r>
        <w:rPr>
          <w:rFonts w:ascii="仿宋" w:eastAsia="仿宋" w:hAnsi="仿宋" w:hint="eastAsia"/>
          <w:sz w:val="28"/>
          <w:szCs w:val="28"/>
        </w:rPr>
        <w:t>0万元，</w:t>
      </w:r>
      <w:r>
        <w:rPr>
          <w:rStyle w:val="25"/>
          <w:rFonts w:ascii="仿宋" w:eastAsia="仿宋" w:hAnsi="仿宋" w:hint="eastAsia"/>
          <w:bCs/>
          <w:sz w:val="28"/>
          <w:szCs w:val="28"/>
        </w:rPr>
        <w:t>完成预算0</w:t>
      </w:r>
      <w:r>
        <w:rPr>
          <w:rStyle w:val="25"/>
          <w:rFonts w:ascii="仿宋" w:eastAsia="仿宋" w:hAnsi="仿宋"/>
          <w:bCs/>
          <w:sz w:val="28"/>
          <w:szCs w:val="28"/>
        </w:rPr>
        <w:t>%</w:t>
      </w:r>
      <w:r>
        <w:rPr>
          <w:rStyle w:val="25"/>
          <w:rFonts w:ascii="仿宋" w:eastAsia="仿宋" w:hAnsi="仿宋" w:hint="eastAsia"/>
          <w:bCs/>
          <w:sz w:val="28"/>
          <w:szCs w:val="28"/>
        </w:rPr>
        <w:t>。</w:t>
      </w:r>
      <w:r>
        <w:rPr>
          <w:rFonts w:ascii="仿宋" w:eastAsia="仿宋" w:hAnsi="仿宋" w:hint="eastAsia"/>
          <w:sz w:val="28"/>
          <w:szCs w:val="28"/>
        </w:rPr>
        <w:t>公务接待费支出决算比</w:t>
      </w:r>
      <w:r>
        <w:rPr>
          <w:rFonts w:ascii="仿宋" w:eastAsia="仿宋" w:hAnsi="仿宋"/>
          <w:sz w:val="28"/>
          <w:szCs w:val="28"/>
        </w:rPr>
        <w:t>20</w:t>
      </w:r>
      <w:r>
        <w:rPr>
          <w:rFonts w:ascii="仿宋" w:eastAsia="仿宋" w:hAnsi="仿宋" w:hint="eastAsia"/>
          <w:sz w:val="28"/>
          <w:szCs w:val="28"/>
        </w:rPr>
        <w:t>22年增加</w:t>
      </w:r>
      <w:r>
        <w:rPr>
          <w:rFonts w:ascii="仿宋" w:eastAsia="仿宋" w:hAnsi="仿宋"/>
          <w:sz w:val="28"/>
          <w:szCs w:val="28"/>
        </w:rPr>
        <w:t>/</w:t>
      </w:r>
      <w:r>
        <w:rPr>
          <w:rFonts w:ascii="仿宋" w:eastAsia="仿宋" w:hAnsi="仿宋" w:hint="eastAsia"/>
          <w:sz w:val="28"/>
          <w:szCs w:val="28"/>
        </w:rPr>
        <w:t>减少0万元，增长</w:t>
      </w:r>
      <w:r>
        <w:rPr>
          <w:rFonts w:ascii="仿宋" w:eastAsia="仿宋" w:hAnsi="仿宋"/>
          <w:sz w:val="28"/>
          <w:szCs w:val="28"/>
        </w:rPr>
        <w:t>/</w:t>
      </w:r>
      <w:r>
        <w:rPr>
          <w:rFonts w:ascii="仿宋" w:eastAsia="仿宋" w:hAnsi="仿宋" w:hint="eastAsia"/>
          <w:sz w:val="28"/>
          <w:szCs w:val="28"/>
        </w:rPr>
        <w:t>下降0</w:t>
      </w:r>
      <w:r>
        <w:rPr>
          <w:rFonts w:ascii="仿宋" w:eastAsia="仿宋" w:hAnsi="仿宋"/>
          <w:sz w:val="28"/>
          <w:szCs w:val="28"/>
        </w:rPr>
        <w:t>%</w:t>
      </w:r>
      <w:r>
        <w:rPr>
          <w:rFonts w:ascii="仿宋" w:eastAsia="仿宋" w:hAnsi="仿宋" w:hint="eastAsia"/>
          <w:sz w:val="28"/>
          <w:szCs w:val="28"/>
        </w:rPr>
        <w:t>。</w:t>
      </w:r>
    </w:p>
    <w:p>
      <w:pPr>
        <w:spacing w:line="56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pPr>
        <w:spacing w:line="56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23年政府性基金预算财政拨款支出0.00万元。</w:t>
      </w:r>
    </w:p>
    <w:p>
      <w:pPr>
        <w:numPr>
          <w:ilvl w:val="0"/>
          <w:numId w:val="2"/>
        </w:numPr>
        <w:spacing w:line="560" w:lineRule="exact"/>
        <w:ind w:left="-10"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pPr>
        <w:spacing w:line="56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23年国有资本经营预算财政拨款支出0.00万元。</w:t>
      </w:r>
    </w:p>
    <w:p>
      <w:pPr>
        <w:numPr>
          <w:ilvl w:val="0"/>
          <w:numId w:val="2"/>
        </w:numPr>
        <w:spacing w:line="560" w:lineRule="exact"/>
        <w:ind w:left="-10"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pPr>
        <w:snapToGrid w:val="0"/>
        <w:spacing w:line="560" w:lineRule="exact"/>
        <w:ind w:firstLineChars="200" w:firstLine="560"/>
        <w:outlineLvl w:val="2"/>
        <w:rPr>
          <w:rFonts w:ascii="仿宋_GB2312" w:eastAsia="仿宋_GB2312" w:cs="楷体" w:hAnsi="楷体"/>
          <w:bCs/>
          <w:sz w:val="28"/>
          <w:szCs w:val="28"/>
        </w:rPr>
      </w:pPr>
      <w:bookmarkStart w:id="47" w:name="_Toc15377222"/>
      <w:r>
        <w:rPr>
          <w:rFonts w:ascii="仿宋_GB2312" w:eastAsia="仿宋_GB2312" w:cs="楷体" w:hAnsi="楷体" w:hint="eastAsia"/>
          <w:bCs/>
          <w:sz w:val="28"/>
          <w:szCs w:val="28"/>
        </w:rPr>
        <w:t>（一）机关运行经费支出情况</w:t>
      </w:r>
      <w:bookmarkEnd w:id="47"/>
    </w:p>
    <w:p>
      <w:pPr>
        <w:snapToGrid w:val="0"/>
        <w:spacing w:line="560" w:lineRule="exact"/>
        <w:ind w:firstLine="645"/>
        <w:rPr>
          <w:rFonts w:ascii="仿宋_GB2312" w:eastAsia="仿宋_GB2312" w:hAnsi="仿宋"/>
          <w:sz w:val="28"/>
          <w:szCs w:val="28"/>
        </w:rPr>
      </w:pPr>
      <w:r>
        <w:rPr>
          <w:rFonts w:ascii="仿宋_GB2312" w:eastAsia="仿宋_GB2312" w:hint="eastAsia"/>
          <w:color w:val="000000"/>
          <w:sz w:val="28"/>
          <w:szCs w:val="28"/>
        </w:rPr>
        <w:t xml:space="preserve">  </w:t>
      </w:r>
      <w:r>
        <w:rPr>
          <w:rFonts w:ascii="仿宋_GB2312" w:eastAsia="仿宋_GB2312" w:hint="eastAsia"/>
          <w:sz w:val="28"/>
          <w:szCs w:val="28"/>
        </w:rPr>
        <w:t>2023年，</w:t>
      </w:r>
      <w:r>
        <w:rPr>
          <w:rFonts w:ascii="仿宋_GB2312" w:eastAsia="仿宋_GB2312" w:hint="eastAsia"/>
          <w:color w:val="000000"/>
          <w:sz w:val="28"/>
          <w:szCs w:val="28"/>
        </w:rPr>
        <w:t>广元市利州区三堆小学</w:t>
      </w:r>
      <w:r>
        <w:rPr>
          <w:rFonts w:ascii="仿宋_GB2312" w:eastAsia="仿宋_GB2312" w:hint="eastAsia"/>
          <w:sz w:val="28"/>
          <w:szCs w:val="28"/>
        </w:rPr>
        <w:t>机关运行经费支出</w:t>
      </w:r>
      <w:r>
        <w:rPr>
          <w:rFonts w:ascii="仿宋_GB2312" w:eastAsia="仿宋_GB2312" w:hAnsi="仿宋" w:hint="eastAsia"/>
          <w:sz w:val="28"/>
          <w:szCs w:val="28"/>
        </w:rPr>
        <w:t>0.00万元。</w:t>
      </w:r>
      <w:r>
        <w:rPr>
          <w:rFonts w:ascii="仿宋_GB2312" w:eastAsia="仿宋_GB2312" w:hint="eastAsia"/>
          <w:sz w:val="28"/>
          <w:szCs w:val="28"/>
        </w:rPr>
        <w:t>比</w:t>
      </w:r>
      <w:r>
        <w:rPr>
          <w:rFonts w:ascii="仿宋_GB2312" w:eastAsia="仿宋_GB2312"/>
          <w:sz w:val="28"/>
          <w:szCs w:val="28"/>
        </w:rPr>
        <w:t>20</w:t>
      </w:r>
      <w:r>
        <w:rPr>
          <w:rFonts w:ascii="仿宋_GB2312" w:eastAsia="仿宋_GB2312" w:hint="eastAsia"/>
          <w:sz w:val="28"/>
          <w:szCs w:val="28"/>
        </w:rPr>
        <w:t>22年增加</w:t>
      </w:r>
      <w:r>
        <w:rPr>
          <w:rFonts w:ascii="仿宋_GB2312" w:eastAsia="仿宋_GB2312"/>
          <w:sz w:val="28"/>
          <w:szCs w:val="28"/>
        </w:rPr>
        <w:t>/</w:t>
      </w:r>
      <w:r>
        <w:rPr>
          <w:rFonts w:ascii="仿宋_GB2312" w:eastAsia="仿宋_GB2312" w:hint="eastAsia"/>
          <w:sz w:val="28"/>
          <w:szCs w:val="28"/>
        </w:rPr>
        <w:t>减少0万元，与</w:t>
      </w:r>
      <w:r>
        <w:rPr>
          <w:rFonts w:ascii="仿宋_GB2312" w:eastAsia="仿宋_GB2312"/>
          <w:sz w:val="28"/>
          <w:szCs w:val="28"/>
        </w:rPr>
        <w:t>20</w:t>
      </w:r>
      <w:r>
        <w:rPr>
          <w:rFonts w:ascii="仿宋_GB2312" w:eastAsia="仿宋_GB2312" w:hint="eastAsia"/>
          <w:sz w:val="28"/>
          <w:szCs w:val="28"/>
        </w:rPr>
        <w:t>22年决算数持平。</w:t>
      </w:r>
    </w:p>
    <w:p>
      <w:pPr>
        <w:numPr>
          <w:ilvl w:val="0"/>
          <w:numId w:val="3"/>
        </w:numPr>
        <w:snapToGrid w:val="0"/>
        <w:spacing w:line="560" w:lineRule="exact"/>
        <w:ind w:left="0" w:firstLineChars="200" w:firstLine="560"/>
        <w:outlineLvl w:val="2"/>
        <w:rPr>
          <w:rFonts w:ascii="仿宋_GB2312" w:eastAsia="仿宋_GB2312" w:cs="楷体" w:hAnsi="楷体"/>
          <w:bCs/>
          <w:sz w:val="28"/>
          <w:szCs w:val="28"/>
        </w:rPr>
      </w:pPr>
      <w:bookmarkStart w:id="48" w:name="_Toc15377223"/>
      <w:r>
        <w:rPr>
          <w:rFonts w:ascii="仿宋_GB2312" w:eastAsia="仿宋_GB2312" w:cs="楷体" w:hAnsi="楷体" w:hint="eastAsia"/>
          <w:bCs/>
          <w:sz w:val="28"/>
          <w:szCs w:val="28"/>
        </w:rPr>
        <w:t>政府采购支出情况</w:t>
      </w:r>
      <w:bookmarkEnd w:id="48"/>
    </w:p>
    <w:p>
      <w:pPr>
        <w:spacing w:line="600" w:lineRule="exact"/>
        <w:ind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color w:val="000000"/>
          <w:sz w:val="28"/>
          <w:szCs w:val="28"/>
        </w:rPr>
        <w:t>2023年，广元市利州区三堆小学政府采购支出总额0.00万元。</w:t>
      </w:r>
    </w:p>
    <w:p>
      <w:pPr>
        <w:snapToGrid w:val="0"/>
        <w:spacing w:line="560" w:lineRule="exact"/>
        <w:ind w:firstLineChars="200" w:firstLine="560"/>
        <w:outlineLvl w:val="2"/>
        <w:rPr>
          <w:rFonts w:ascii="仿宋_GB2312" w:eastAsia="仿宋_GB2312" w:cs="楷体" w:hAnsi="楷体"/>
          <w:bCs/>
          <w:sz w:val="28"/>
          <w:szCs w:val="28"/>
        </w:rPr>
      </w:pPr>
      <w:bookmarkStart w:id="49" w:name="_Toc15377224"/>
      <w:r>
        <w:rPr>
          <w:rFonts w:ascii="仿宋_GB2312" w:eastAsia="仿宋_GB2312" w:cs="楷体" w:hAnsi="楷体" w:hint="eastAsia"/>
          <w:bCs/>
          <w:sz w:val="28"/>
          <w:szCs w:val="28"/>
        </w:rPr>
        <w:t>（三）国有资产占有使用情况</w:t>
      </w:r>
      <w:bookmarkEnd w:id="49"/>
    </w:p>
    <w:p>
      <w:pPr>
        <w:autoSpaceDE w:val="0"/>
        <w:autoSpaceDN w:val="0"/>
        <w:adjustRightInd w:val="0"/>
        <w:spacing w:line="560" w:lineRule="exact"/>
        <w:ind w:firstLineChars="250" w:firstLine="700"/>
        <w:jc w:val="left"/>
        <w:rPr>
          <w:rFonts w:ascii="仿宋_GB2312" w:eastAsia="仿宋_GB2312"/>
          <w:sz w:val="28"/>
          <w:szCs w:val="28"/>
        </w:rPr>
      </w:pPr>
      <w:r>
        <w:rPr>
          <w:rFonts w:ascii="仿宋_GB2312" w:eastAsia="仿宋_GB2312" w:hint="eastAsia"/>
          <w:sz w:val="28"/>
          <w:szCs w:val="28"/>
        </w:rPr>
        <w:t>截至2023年12月31日，广元市利州区三堆小学共有车辆0辆。</w:t>
      </w:r>
    </w:p>
    <w:p>
      <w:pPr>
        <w:pStyle w:val="15"/>
        <w:spacing w:beforeLines="0" w:before="93"/>
        <w:rPr>
          <w:sz w:val="32"/>
          <w:szCs w:val="32"/>
        </w:rPr>
      </w:pPr>
    </w:p>
    <w:p>
      <w:pPr>
        <w:pStyle w:val="15"/>
        <w:spacing w:beforeLines="0" w:before="93"/>
        <w:rPr>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rFonts w:hint="eastAsia"/>
          <w:sz w:val="32"/>
          <w:szCs w:val="32"/>
        </w:rPr>
      </w:pPr>
    </w:p>
    <w:p>
      <w:pPr>
        <w:pStyle w:val="15"/>
        <w:spacing w:beforeLines="0" w:before="93"/>
        <w:rPr>
          <w:sz w:val="32"/>
          <w:szCs w:val="32"/>
        </w:rPr>
      </w:pPr>
    </w:p>
    <w:p>
      <w:pPr>
        <w:numPr>
          <w:ilvl w:val="0"/>
          <w:numId w:val="4"/>
        </w:numPr>
        <w:spacing w:line="600" w:lineRule="exact"/>
        <w:ind w:left="0" w:firstLineChars="150" w:firstLine="660"/>
        <w:jc w:val="center"/>
        <w:outlineLvl w:val="0"/>
        <w:rPr>
          <w:rStyle w:val="1Char"/>
          <w:rFonts w:ascii="黑体" w:eastAsia="黑体" w:hAnsi="黑体"/>
          <w:b w:val="0"/>
        </w:rPr>
      </w:pPr>
      <w:bookmarkStart w:id="50" w:name="_Toc15377225"/>
      <w:bookmarkStart w:id="51" w:name="_Toc15396613"/>
      <w:bookmarkStart w:id="52" w:name="_Toc32389"/>
      <w:r>
        <w:rPr>
          <w:rFonts w:ascii="黑体" w:eastAsia="黑体" w:hAnsi="黑体" w:hint="eastAsia"/>
          <w:sz w:val="44"/>
          <w:szCs w:val="44"/>
        </w:rPr>
        <w:t>名</w:t>
      </w:r>
      <w:r>
        <w:rPr>
          <w:rStyle w:val="1Char"/>
          <w:rFonts w:ascii="黑体" w:eastAsia="黑体" w:hAnsi="黑体" w:hint="eastAsia"/>
          <w:b w:val="0"/>
        </w:rPr>
        <w:t>词解释</w:t>
      </w:r>
      <w:bookmarkEnd w:id="50"/>
      <w:bookmarkEnd w:id="51"/>
      <w:bookmarkEnd w:id="52"/>
    </w:p>
    <w:p>
      <w:pPr>
        <w:snapToGrid w:val="0"/>
        <w:spacing w:line="560" w:lineRule="exact"/>
        <w:jc w:val="left"/>
        <w:rPr>
          <w:rFonts w:ascii="宋体"/>
          <w:b/>
          <w:sz w:val="44"/>
          <w:szCs w:val="44"/>
        </w:rPr>
      </w:pPr>
    </w:p>
    <w:p>
      <w:pPr>
        <w:pStyle w:val="31"/>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31"/>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pPr>
        <w:pStyle w:val="31"/>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pPr>
        <w:ind w:firstLineChars="200" w:firstLine="640"/>
        <w:rPr>
          <w:rFonts w:ascii="仿宋_GB2312" w:eastAsia="仿宋_GB2312"/>
          <w:sz w:val="32"/>
          <w:szCs w:val="32"/>
        </w:rPr>
      </w:pPr>
      <w:r>
        <w:rPr>
          <w:rStyle w:val="25"/>
          <w:rFonts w:ascii="仿宋_GB2312" w:eastAsia="仿宋_GB2312" w:cs="Arial" w:hAnsi="仿宋" w:hint="eastAsia"/>
          <w:b w:val="0"/>
          <w:bCs/>
          <w:sz w:val="32"/>
          <w:szCs w:val="32"/>
        </w:rPr>
        <w:t>4.教育支出（类）普通教育（款）小学教育（项）:</w:t>
      </w:r>
      <w:r>
        <w:rPr>
          <w:rFonts w:ascii="仿宋_GB2312" w:eastAsia="仿宋_GB2312" w:hint="eastAsia"/>
          <w:b/>
          <w:sz w:val="32"/>
          <w:szCs w:val="32"/>
        </w:rPr>
        <w:t xml:space="preserve"> </w:t>
      </w:r>
      <w:r>
        <w:rPr>
          <w:rFonts w:ascii="仿宋_GB2312" w:eastAsia="仿宋_GB2312" w:hint="eastAsia"/>
          <w:sz w:val="32"/>
          <w:szCs w:val="32"/>
        </w:rPr>
        <w:t>反映各部门举办的小学教育支出。政府各部门对社会中介组织等举办的小学的资助，如各类捐赠、补贴等，也在本科目中反映。</w:t>
      </w:r>
    </w:p>
    <w:p>
      <w:pPr>
        <w:snapToGrid w:val="0"/>
        <w:spacing w:line="560" w:lineRule="exact"/>
        <w:ind w:firstLineChars="200" w:firstLine="640"/>
        <w:rPr>
          <w:rFonts w:ascii="仿宋_GB2312" w:eastAsia="仿宋_GB2312" w:hAnsi="仿宋" w:hint="eastAsia"/>
          <w:bCs/>
          <w:color w:val="000000"/>
          <w:sz w:val="32"/>
          <w:szCs w:val="32"/>
        </w:rPr>
      </w:pPr>
      <w:r>
        <w:rPr>
          <w:rStyle w:val="25"/>
          <w:rFonts w:ascii="仿宋_GB2312" w:eastAsia="仿宋_GB2312" w:cs="Arial" w:hAnsi="仿宋" w:hint="eastAsia"/>
          <w:b w:val="0"/>
          <w:bCs/>
          <w:sz w:val="32"/>
          <w:szCs w:val="32"/>
        </w:rPr>
        <w:t>5.</w:t>
      </w:r>
      <w:r>
        <w:rPr>
          <w:rStyle w:val="25"/>
          <w:rFonts w:ascii="仿宋_GB2312" w:eastAsia="仿宋_GB2312" w:hAnsi="仿宋" w:hint="eastAsia"/>
          <w:b w:val="0"/>
          <w:bCs/>
          <w:sz w:val="32"/>
          <w:szCs w:val="32"/>
        </w:rPr>
        <w:t xml:space="preserve">社会保障和就业（类）行政事业单位养老支出（款）事业单位离退休（项）: </w:t>
      </w:r>
      <w:r>
        <w:rPr>
          <w:rFonts w:ascii="仿宋_GB2312" w:eastAsia="仿宋_GB2312" w:hint="eastAsia"/>
          <w:sz w:val="32"/>
          <w:szCs w:val="32"/>
        </w:rPr>
        <w:t>指按规定用于烈士和牺牲、病故人员家属的的生活困难补助费。</w:t>
      </w:r>
    </w:p>
    <w:p>
      <w:pPr>
        <w:snapToGrid w:val="0"/>
        <w:spacing w:line="560" w:lineRule="exact"/>
        <w:ind w:firstLineChars="200" w:firstLine="640"/>
        <w:rPr>
          <w:rFonts w:ascii="仿宋_GB2312" w:eastAsia="仿宋_GB2312" w:hint="eastAsia"/>
          <w:sz w:val="32"/>
          <w:szCs w:val="32"/>
        </w:rPr>
      </w:pPr>
      <w:r>
        <w:rPr>
          <w:rStyle w:val="25"/>
          <w:rFonts w:ascii="仿宋_GB2312" w:eastAsia="仿宋_GB2312" w:cs="Arial" w:hAnsi="仿宋" w:hint="eastAsia"/>
          <w:b w:val="0"/>
          <w:bCs/>
          <w:sz w:val="32"/>
          <w:szCs w:val="32"/>
        </w:rPr>
        <w:t>6.</w:t>
      </w:r>
      <w:r>
        <w:rPr>
          <w:rStyle w:val="25"/>
          <w:rFonts w:ascii="仿宋_GB2312" w:eastAsia="仿宋_GB2312" w:hAnsi="仿宋" w:hint="eastAsia"/>
          <w:b w:val="0"/>
          <w:bCs/>
          <w:sz w:val="32"/>
          <w:szCs w:val="32"/>
        </w:rPr>
        <w:t xml:space="preserve">社会保障和就业（类）行政事业单位养老支出（款）机关事业单位基本养老保险缴费支出（项）: </w:t>
      </w:r>
      <w:r>
        <w:rPr>
          <w:rFonts w:ascii="仿宋_GB2312" w:eastAsia="仿宋_GB2312" w:hint="eastAsia"/>
          <w:sz w:val="32"/>
          <w:szCs w:val="32"/>
        </w:rPr>
        <w:t>指机关事业单位实施养老保险制度由单位缴纳的基本养老保险费支出。</w:t>
      </w:r>
    </w:p>
    <w:p>
      <w:pPr>
        <w:snapToGrid w:val="0"/>
        <w:spacing w:line="560" w:lineRule="exact"/>
        <w:ind w:firstLineChars="200" w:firstLine="640"/>
        <w:rPr>
          <w:rFonts w:ascii="仿宋_GB2312" w:eastAsia="仿宋_GB2312" w:hint="eastAsia"/>
          <w:sz w:val="32"/>
          <w:szCs w:val="32"/>
        </w:rPr>
      </w:pPr>
      <w:r>
        <w:rPr>
          <w:rStyle w:val="25"/>
          <w:rFonts w:ascii="仿宋_GB2312" w:eastAsia="仿宋_GB2312" w:hAnsi="仿宋" w:hint="eastAsia"/>
          <w:b w:val="0"/>
          <w:bCs/>
          <w:sz w:val="32"/>
          <w:szCs w:val="32"/>
        </w:rPr>
        <w:t>7.社会保障和就业（类）行政事业单位养老支出（款）机关事业单位职业年金缴费支出（项）:</w:t>
      </w:r>
      <w:r>
        <w:rPr>
          <w:rStyle w:val="25"/>
          <w:rFonts w:ascii="仿宋_GB2312" w:eastAsia="仿宋_GB2312" w:hAnsi="仿宋" w:hint="eastAsia"/>
          <w:bCs/>
          <w:sz w:val="32"/>
          <w:szCs w:val="32"/>
        </w:rPr>
        <w:t xml:space="preserve"> </w:t>
      </w:r>
      <w:r>
        <w:rPr>
          <w:rFonts w:ascii="仿宋_GB2312" w:eastAsia="仿宋_GB2312" w:hint="eastAsia"/>
          <w:sz w:val="32"/>
          <w:szCs w:val="32"/>
        </w:rPr>
        <w:t>指机关事业单位实施养老保险制度由单位实际缴纳的职业年金支出。</w:t>
      </w:r>
    </w:p>
    <w:p>
      <w:pPr>
        <w:snapToGrid w:val="0"/>
        <w:spacing w:line="560" w:lineRule="exact"/>
        <w:ind w:firstLineChars="200" w:firstLine="640"/>
        <w:rPr>
          <w:rStyle w:val="25"/>
          <w:rFonts w:ascii="仿宋_GB2312" w:eastAsia="仿宋_GB2312" w:hAnsi="仿宋"/>
          <w:bCs/>
          <w:color w:val="000000"/>
          <w:sz w:val="32"/>
          <w:szCs w:val="32"/>
        </w:rPr>
      </w:pPr>
      <w:r>
        <w:rPr>
          <w:rStyle w:val="25"/>
          <w:rFonts w:ascii="仿宋_GB2312" w:eastAsia="仿宋_GB2312" w:hAnsi="仿宋" w:hint="eastAsia"/>
          <w:b w:val="0"/>
          <w:bCs/>
          <w:sz w:val="32"/>
          <w:szCs w:val="32"/>
        </w:rPr>
        <w:t xml:space="preserve">8.社会保障和就业（类）抚恤（款）死亡抚恤（项）: </w:t>
      </w:r>
      <w:r>
        <w:rPr>
          <w:rFonts w:ascii="仿宋_GB2312" w:eastAsia="仿宋_GB2312" w:hint="eastAsia"/>
          <w:b/>
          <w:sz w:val="32"/>
          <w:szCs w:val="32"/>
        </w:rPr>
        <w:t>指</w:t>
      </w:r>
      <w:r>
        <w:rPr>
          <w:rFonts w:ascii="仿宋_GB2312" w:eastAsia="仿宋_GB2312" w:hint="eastAsia"/>
          <w:sz w:val="32"/>
          <w:szCs w:val="32"/>
        </w:rPr>
        <w:t>按规定用于烈士和牺牲、病故人员家属的</w:t>
      </w:r>
      <w:r>
        <w:rPr>
          <w:rFonts w:ascii="仿宋_GB2312" w:eastAsia="仿宋_GB2312" w:hint="eastAsia"/>
          <w:b/>
          <w:sz w:val="32"/>
          <w:szCs w:val="32"/>
        </w:rPr>
        <w:t>一</w:t>
      </w:r>
      <w:r>
        <w:rPr>
          <w:rFonts w:ascii="仿宋_GB2312" w:eastAsia="仿宋_GB2312" w:hint="eastAsia"/>
          <w:sz w:val="32"/>
          <w:szCs w:val="32"/>
        </w:rPr>
        <w:t>次性和定期抚恤金以及丧葬补助费。</w:t>
      </w:r>
    </w:p>
    <w:p>
      <w:pPr>
        <w:snapToGrid w:val="0"/>
        <w:spacing w:line="560" w:lineRule="exact"/>
        <w:ind w:firstLineChars="200" w:firstLine="640"/>
        <w:rPr>
          <w:rFonts w:ascii="仿宋_GB2312" w:eastAsia="仿宋_GB2312" w:hint="eastAsia"/>
          <w:sz w:val="32"/>
          <w:szCs w:val="32"/>
        </w:rPr>
      </w:pPr>
      <w:r>
        <w:rPr>
          <w:rStyle w:val="25"/>
          <w:rFonts w:ascii="仿宋_GB2312" w:eastAsia="仿宋_GB2312" w:hAnsi="仿宋" w:hint="eastAsia"/>
          <w:b w:val="0"/>
          <w:bCs/>
          <w:sz w:val="32"/>
          <w:szCs w:val="32"/>
        </w:rPr>
        <w:t xml:space="preserve">9.社会保障和就业（类）其他社会保障和就业支出（款）其他社会保障和就业支出（项）: </w:t>
      </w:r>
      <w:r>
        <w:rPr>
          <w:rFonts w:ascii="仿宋_GB2312" w:eastAsia="仿宋_GB2312" w:hint="eastAsia"/>
          <w:sz w:val="32"/>
          <w:szCs w:val="32"/>
        </w:rPr>
        <w:t>指机关事业单位实施养老保险制度由单位缴纳的工伤、事业保险费支出。</w:t>
      </w:r>
    </w:p>
    <w:p>
      <w:pPr>
        <w:snapToGrid w:val="0"/>
        <w:spacing w:line="560" w:lineRule="exact"/>
        <w:ind w:firstLineChars="200" w:firstLine="640"/>
        <w:rPr>
          <w:rStyle w:val="25"/>
          <w:rFonts w:ascii="仿宋_GB2312" w:eastAsia="仿宋_GB2312" w:hAnsi="仿宋"/>
          <w:bCs/>
          <w:color w:val="000000"/>
          <w:sz w:val="32"/>
          <w:szCs w:val="32"/>
        </w:rPr>
      </w:pPr>
      <w:r>
        <w:rPr>
          <w:rStyle w:val="25"/>
          <w:rFonts w:ascii="仿宋_GB2312" w:eastAsia="仿宋_GB2312" w:hAnsi="仿宋" w:hint="eastAsia"/>
          <w:b w:val="0"/>
          <w:bCs/>
          <w:sz w:val="32"/>
          <w:szCs w:val="32"/>
        </w:rPr>
        <w:t xml:space="preserve">10.卫生健康支出（类）行政事业单位医疗（款）事业单位医疗（项）: </w:t>
      </w:r>
      <w:r>
        <w:rPr>
          <w:rFonts w:ascii="仿宋_GB2312" w:eastAsia="仿宋_GB2312" w:hint="eastAsia"/>
          <w:sz w:val="32"/>
          <w:szCs w:val="32"/>
        </w:rPr>
        <w:t>指财政部门安排的事业单位基本医疗保险缴费经费，未参加医疗保险的事业单位的公费医疗经费，按国家规定享受离休人员待遇的医疗经费。</w:t>
      </w:r>
    </w:p>
    <w:p>
      <w:pPr>
        <w:snapToGrid w:val="0"/>
        <w:spacing w:line="560" w:lineRule="exact"/>
        <w:ind w:firstLineChars="200" w:firstLine="640"/>
        <w:rPr>
          <w:rFonts w:ascii="仿宋_GB2312" w:eastAsia="仿宋_GB2312" w:hAnsi="仿宋" w:hint="eastAsia"/>
          <w:bCs/>
          <w:color w:val="000000"/>
          <w:sz w:val="32"/>
          <w:szCs w:val="32"/>
        </w:rPr>
      </w:pPr>
      <w:r>
        <w:rPr>
          <w:rStyle w:val="25"/>
          <w:rFonts w:ascii="仿宋_GB2312" w:eastAsia="仿宋_GB2312" w:hAnsi="仿宋" w:hint="eastAsia"/>
          <w:b w:val="0"/>
          <w:bCs/>
          <w:sz w:val="32"/>
          <w:szCs w:val="32"/>
        </w:rPr>
        <w:t>11.卫生健康支出（类）其他卫生健康支出（款）其他卫生健康支出（项）:</w:t>
      </w:r>
      <w:r>
        <w:rPr>
          <w:rStyle w:val="25"/>
          <w:rFonts w:ascii="仿宋_GB2312" w:eastAsia="仿宋_GB2312" w:hAnsi="仿宋" w:hint="eastAsia"/>
          <w:bCs/>
          <w:sz w:val="32"/>
          <w:szCs w:val="32"/>
        </w:rPr>
        <w:t xml:space="preserve"> </w:t>
      </w:r>
      <w:r>
        <w:rPr>
          <w:rFonts w:ascii="仿宋_GB2312" w:eastAsia="仿宋_GB2312" w:hint="eastAsia"/>
          <w:sz w:val="32"/>
          <w:szCs w:val="32"/>
        </w:rPr>
        <w:t>指财政部门安排的事业单位基本医疗公共服务相关经费。</w:t>
      </w:r>
    </w:p>
    <w:p>
      <w:pPr>
        <w:snapToGrid w:val="0"/>
        <w:spacing w:line="560" w:lineRule="exact"/>
        <w:ind w:firstLineChars="200" w:firstLine="640"/>
        <w:rPr>
          <w:rFonts w:ascii="仿宋_GB2312" w:eastAsia="仿宋_GB2312"/>
          <w:sz w:val="32"/>
          <w:szCs w:val="32"/>
        </w:rPr>
      </w:pPr>
      <w:r>
        <w:rPr>
          <w:rStyle w:val="25"/>
          <w:rFonts w:ascii="仿宋_GB2312" w:eastAsia="仿宋_GB2312" w:hAnsi="仿宋" w:hint="eastAsia"/>
          <w:b w:val="0"/>
          <w:bCs/>
          <w:sz w:val="32"/>
          <w:szCs w:val="32"/>
        </w:rPr>
        <w:t>12.住房保障支出（类）住房改革支出（款）住房公积金（项）:</w:t>
      </w:r>
      <w:r>
        <w:rPr>
          <w:rStyle w:val="25"/>
          <w:rFonts w:ascii="仿宋_GB2312" w:eastAsia="仿宋_GB2312" w:hAnsi="仿宋" w:hint="eastAsia"/>
          <w:bCs/>
          <w:sz w:val="32"/>
          <w:szCs w:val="32"/>
        </w:rPr>
        <w:t xml:space="preserve"> </w:t>
      </w:r>
      <w:r>
        <w:rPr>
          <w:rFonts w:ascii="仿宋_GB2312" w:eastAsia="仿宋_GB2312" w:hint="eastAsia"/>
          <w:sz w:val="32"/>
          <w:szCs w:val="32"/>
        </w:rPr>
        <w:t>指行政事业单位按人力资源和社会保障部、财政部规定的基本工资和津贴补贴以及规定比例为职工缴纳的住房公积金。</w:t>
      </w:r>
    </w:p>
    <w:p>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pPr>
        <w:pStyle w:val="31"/>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16</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rPr>
          <w:rFonts w:hint="eastAsia"/>
        </w:rPr>
      </w:pPr>
    </w:p>
    <w:p>
      <w:pPr>
        <w:pStyle w:val="15"/>
        <w:spacing w:beforeLines="0" w:before="93"/>
      </w:pPr>
    </w:p>
    <w:p>
      <w:pPr>
        <w:numPr>
          <w:ilvl w:val="0"/>
          <w:numId w:val="4"/>
        </w:numPr>
        <w:spacing w:line="600" w:lineRule="exact"/>
        <w:jc w:val="center"/>
        <w:outlineLvl w:val="0"/>
        <w:rPr>
          <w:rStyle w:val="1Char"/>
          <w:rFonts w:ascii="黑体" w:eastAsia="黑体" w:hAnsi="黑体"/>
          <w:b w:val="0"/>
        </w:rPr>
      </w:pPr>
      <w:bookmarkStart w:id="53" w:name="_Toc15396614"/>
      <w:bookmarkStart w:id="54" w:name="_Toc24843"/>
      <w:bookmarkStart w:id="55" w:name="_Toc15377226"/>
      <w:r>
        <w:rPr>
          <w:rStyle w:val="1Char"/>
          <w:rFonts w:ascii="黑体" w:eastAsia="黑体" w:hAnsi="黑体" w:hint="eastAsia"/>
          <w:b w:val="0"/>
        </w:rPr>
        <w:t>附件</w:t>
      </w:r>
      <w:bookmarkEnd w:id="53"/>
      <w:bookmarkEnd w:id="54"/>
    </w:p>
    <w:p>
      <w:pPr>
        <w:pStyle w:val="15"/>
        <w:spacing w:beforeLines="0" w:before="93"/>
      </w:pPr>
    </w:p>
    <w:p>
      <w:pPr>
        <w:spacing w:line="580" w:lineRule="exact"/>
        <w:ind w:firstLineChars="200" w:firstLine="640"/>
        <w:rPr>
          <w:rFonts w:ascii="黑体" w:eastAsia="黑体" w:cs="黑体" w:hAnsi="黑体"/>
          <w:sz w:val="32"/>
          <w:szCs w:val="32"/>
        </w:rPr>
      </w:pPr>
      <w:r>
        <w:rPr>
          <w:rFonts w:ascii="宋体" w:cs="宋体" w:hAnsi="宋体" w:hint="eastAsia"/>
          <w:kern w:val="0"/>
          <w:sz w:val="32"/>
          <w:szCs w:val="32"/>
        </w:rPr>
        <w:t>部门预算项目支出绩效自评表（2023年度）</w:t>
      </w:r>
      <w:bookmarkStart w:id="56" w:name="_Toc15396618"/>
      <w:bookmarkStart w:id="57" w:name="_Toc25694"/>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spacing w:line="600" w:lineRule="exact"/>
        <w:ind w:firstLineChars="600" w:firstLine="2640"/>
        <w:outlineLvl w:val="0"/>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五部分 附表</w:t>
      </w:r>
      <w:bookmarkEnd w:id="55"/>
      <w:bookmarkEnd w:id="56"/>
      <w:bookmarkEnd w:id="57"/>
    </w:p>
    <w:p>
      <w:pPr>
        <w:spacing w:line="600" w:lineRule="exact"/>
        <w:outlineLvl w:val="0"/>
        <w:rPr>
          <w:rFonts w:ascii="仿宋" w:eastAsia="仿宋" w:hAnsi="仿宋"/>
          <w:b/>
        </w:rPr>
      </w:pPr>
      <w:r>
        <w:rPr>
          <w:rFonts w:ascii="仿宋" w:eastAsia="仿宋" w:hAnsi="仿宋" w:hint="eastAsia"/>
          <w:b/>
          <w:sz w:val="32"/>
          <w:szCs w:val="32"/>
        </w:rPr>
        <w:t>一、收</w:t>
      </w:r>
      <w:r>
        <w:rPr>
          <w:rStyle w:val="2Char"/>
          <w:rFonts w:ascii="仿宋" w:eastAsia="仿宋" w:hAnsi="仿宋" w:hint="eastAsia"/>
        </w:rPr>
        <w:t>入支出决算总表</w:t>
      </w:r>
    </w:p>
    <w:p>
      <w:pPr>
        <w:pStyle w:val="2"/>
        <w:rPr>
          <w:rFonts w:ascii="仿宋" w:eastAsia="仿宋" w:hAnsi="仿宋"/>
        </w:rPr>
      </w:pPr>
      <w:r>
        <w:rPr>
          <w:rFonts w:ascii="仿宋" w:eastAsia="仿宋" w:hAnsi="仿宋" w:hint="eastAsia"/>
        </w:rPr>
        <w:t>二、收</w:t>
      </w:r>
      <w:r>
        <w:rPr>
          <w:rStyle w:val="2Char"/>
          <w:rFonts w:ascii="仿宋" w:eastAsia="仿宋" w:hAnsi="仿宋" w:hint="eastAsia"/>
          <w:b/>
          <w:bCs/>
        </w:rPr>
        <w:t>入决算表</w:t>
      </w:r>
    </w:p>
    <w:p>
      <w:pPr>
        <w:pStyle w:val="2"/>
        <w:rPr>
          <w:rFonts w:ascii="仿宋" w:eastAsia="仿宋" w:hAnsi="仿宋"/>
        </w:rPr>
      </w:pPr>
      <w:r>
        <w:rPr>
          <w:rStyle w:val="2Char"/>
          <w:rFonts w:ascii="仿宋" w:eastAsia="仿宋" w:hAnsi="仿宋" w:hint="eastAsia"/>
          <w:b/>
          <w:bCs/>
        </w:rPr>
        <w:t>三、</w:t>
      </w:r>
      <w:r>
        <w:rPr>
          <w:rFonts w:ascii="仿宋" w:eastAsia="仿宋" w:hAnsi="仿宋" w:hint="eastAsia"/>
        </w:rPr>
        <w:t>支</w:t>
      </w:r>
      <w:r>
        <w:rPr>
          <w:rStyle w:val="2Char"/>
          <w:rFonts w:ascii="仿宋" w:eastAsia="仿宋" w:hAnsi="仿宋" w:hint="eastAsia"/>
          <w:b/>
          <w:bCs/>
        </w:rPr>
        <w:t>出决算表</w:t>
      </w:r>
    </w:p>
    <w:p>
      <w:pPr>
        <w:pStyle w:val="2"/>
        <w:rPr>
          <w:rFonts w:ascii="仿宋" w:eastAsia="仿宋" w:hAnsi="仿宋"/>
          <w:b w:val="0"/>
        </w:rPr>
      </w:pPr>
      <w:r>
        <w:rPr>
          <w:rStyle w:val="2Char"/>
          <w:rFonts w:ascii="仿宋" w:eastAsia="仿宋" w:hAnsi="仿宋" w:hint="eastAsia"/>
          <w:b/>
          <w:bCs/>
        </w:rPr>
        <w:t>四、</w:t>
      </w:r>
      <w:r>
        <w:rPr>
          <w:rFonts w:ascii="仿宋" w:eastAsia="仿宋" w:hAnsi="仿宋" w:hint="eastAsia"/>
          <w:b w:val="0"/>
        </w:rPr>
        <w:t>财</w:t>
      </w:r>
      <w:r>
        <w:rPr>
          <w:rStyle w:val="2Char"/>
          <w:rFonts w:ascii="仿宋" w:eastAsia="仿宋" w:hAnsi="仿宋" w:hint="eastAsia"/>
          <w:b/>
          <w:bCs/>
        </w:rPr>
        <w:t>政拨款收入支出决算总表</w:t>
      </w:r>
    </w:p>
    <w:p>
      <w:pPr>
        <w:pStyle w:val="2"/>
        <w:rPr>
          <w:rStyle w:val="2Char"/>
          <w:rFonts w:ascii="仿宋" w:eastAsia="仿宋" w:hAnsi="仿宋"/>
          <w:b/>
          <w:bCs/>
        </w:rPr>
      </w:pPr>
      <w:r>
        <w:rPr>
          <w:rStyle w:val="2Char"/>
          <w:rFonts w:ascii="仿宋" w:eastAsia="仿宋" w:hAnsi="仿宋" w:hint="eastAsia"/>
          <w:b/>
          <w:bCs/>
        </w:rPr>
        <w:t>五、</w:t>
      </w:r>
      <w:r>
        <w:rPr>
          <w:rFonts w:ascii="仿宋" w:eastAsia="仿宋" w:hAnsi="仿宋" w:hint="eastAsia"/>
          <w:b w:val="0"/>
        </w:rPr>
        <w:t>财</w:t>
      </w:r>
      <w:r>
        <w:rPr>
          <w:rStyle w:val="2Char"/>
          <w:rFonts w:ascii="仿宋" w:eastAsia="仿宋" w:hAnsi="仿宋" w:hint="eastAsia"/>
          <w:b/>
          <w:bCs/>
        </w:rPr>
        <w:t>政拨款支出决算明细表</w:t>
      </w:r>
    </w:p>
    <w:p>
      <w:pPr>
        <w:pStyle w:val="2"/>
        <w:rPr>
          <w:rFonts w:ascii="仿宋" w:eastAsia="仿宋" w:hAnsi="仿宋"/>
        </w:rPr>
      </w:pPr>
      <w:r>
        <w:rPr>
          <w:rStyle w:val="2Char"/>
          <w:rFonts w:ascii="仿宋" w:eastAsia="仿宋" w:hAnsi="仿宋" w:hint="eastAsia"/>
          <w:b/>
          <w:bCs/>
        </w:rPr>
        <w:t>六、</w:t>
      </w:r>
      <w:r>
        <w:rPr>
          <w:rFonts w:ascii="仿宋" w:eastAsia="仿宋" w:hAnsi="仿宋" w:hint="eastAsia"/>
          <w:b w:val="0"/>
        </w:rPr>
        <w:t>一</w:t>
      </w:r>
      <w:r>
        <w:rPr>
          <w:rStyle w:val="2Char"/>
          <w:rFonts w:ascii="仿宋" w:eastAsia="仿宋" w:hAnsi="仿宋" w:hint="eastAsia"/>
          <w:b/>
          <w:bCs/>
        </w:rPr>
        <w:t>般公共预算财政拨款支出决算表</w:t>
      </w:r>
    </w:p>
    <w:p>
      <w:pPr>
        <w:pStyle w:val="2"/>
        <w:rPr>
          <w:rFonts w:ascii="仿宋" w:eastAsia="仿宋" w:hAnsi="仿宋"/>
        </w:rPr>
      </w:pPr>
      <w:r>
        <w:rPr>
          <w:rStyle w:val="2Char"/>
          <w:rFonts w:ascii="仿宋" w:eastAsia="仿宋" w:hAnsi="仿宋" w:hint="eastAsia"/>
          <w:b/>
          <w:bCs/>
        </w:rPr>
        <w:t>七、</w:t>
      </w:r>
      <w:r>
        <w:rPr>
          <w:rFonts w:ascii="仿宋" w:eastAsia="仿宋" w:hAnsi="仿宋" w:hint="eastAsia"/>
          <w:b w:val="0"/>
        </w:rPr>
        <w:t>一</w:t>
      </w:r>
      <w:r>
        <w:rPr>
          <w:rStyle w:val="2Char"/>
          <w:rFonts w:ascii="仿宋" w:eastAsia="仿宋" w:hAnsi="仿宋" w:hint="eastAsia"/>
          <w:b/>
          <w:bCs/>
        </w:rPr>
        <w:t>般公共预算财政拨款支出决算明细表</w:t>
      </w:r>
    </w:p>
    <w:p>
      <w:pPr>
        <w:pStyle w:val="2"/>
        <w:rPr>
          <w:rFonts w:ascii="仿宋" w:eastAsia="仿宋" w:hAnsi="仿宋"/>
        </w:rPr>
      </w:pPr>
      <w:r>
        <w:rPr>
          <w:rStyle w:val="2Char"/>
          <w:rFonts w:ascii="仿宋" w:eastAsia="仿宋" w:hAnsi="仿宋" w:hint="eastAsia"/>
          <w:b/>
          <w:bCs/>
        </w:rPr>
        <w:t>八、</w:t>
      </w:r>
      <w:r>
        <w:rPr>
          <w:rFonts w:ascii="仿宋" w:eastAsia="仿宋" w:hAnsi="仿宋" w:hint="eastAsia"/>
          <w:b w:val="0"/>
        </w:rPr>
        <w:t>一</w:t>
      </w:r>
      <w:r>
        <w:rPr>
          <w:rStyle w:val="2Char"/>
          <w:rFonts w:ascii="仿宋" w:eastAsia="仿宋" w:hAnsi="仿宋" w:hint="eastAsia"/>
          <w:b/>
          <w:bCs/>
        </w:rPr>
        <w:t>般公共预算财政拨款基本支出决算表</w:t>
      </w:r>
    </w:p>
    <w:p>
      <w:pPr>
        <w:pStyle w:val="2"/>
        <w:rPr>
          <w:rFonts w:ascii="仿宋" w:eastAsia="仿宋" w:hAnsi="仿宋"/>
        </w:rPr>
      </w:pPr>
      <w:r>
        <w:rPr>
          <w:rStyle w:val="2Char"/>
          <w:rFonts w:ascii="仿宋" w:eastAsia="仿宋" w:hAnsi="仿宋" w:hint="eastAsia"/>
          <w:b/>
          <w:bCs/>
        </w:rPr>
        <w:t>九、</w:t>
      </w:r>
      <w:r>
        <w:rPr>
          <w:rFonts w:ascii="仿宋" w:eastAsia="仿宋" w:hAnsi="仿宋" w:hint="eastAsia"/>
          <w:b w:val="0"/>
        </w:rPr>
        <w:t>一</w:t>
      </w:r>
      <w:r>
        <w:rPr>
          <w:rStyle w:val="2Char"/>
          <w:rFonts w:ascii="仿宋" w:eastAsia="仿宋" w:hAnsi="仿宋" w:hint="eastAsia"/>
          <w:b/>
          <w:bCs/>
        </w:rPr>
        <w:t>般公共预算财政拨款项目支出决算表</w:t>
      </w:r>
    </w:p>
    <w:p>
      <w:pPr>
        <w:pStyle w:val="2"/>
        <w:rPr>
          <w:rFonts w:ascii="仿宋" w:eastAsia="仿宋" w:hAnsi="仿宋"/>
        </w:rPr>
      </w:pPr>
      <w:r>
        <w:rPr>
          <w:rStyle w:val="2Char"/>
          <w:rFonts w:ascii="仿宋" w:eastAsia="仿宋" w:hAnsi="仿宋" w:hint="eastAsia"/>
          <w:b/>
          <w:bCs/>
        </w:rPr>
        <w:t>十、</w:t>
      </w:r>
      <w:r>
        <w:rPr>
          <w:rFonts w:ascii="仿宋" w:eastAsia="仿宋" w:hAnsi="仿宋" w:hint="eastAsia"/>
          <w:b w:val="0"/>
        </w:rPr>
        <w:t>政</w:t>
      </w:r>
      <w:r>
        <w:rPr>
          <w:rStyle w:val="2Char"/>
          <w:rFonts w:ascii="仿宋" w:eastAsia="仿宋" w:hAnsi="仿宋" w:hint="eastAsia"/>
          <w:b/>
          <w:bCs/>
        </w:rPr>
        <w:t>府性基金预算财政拨款收入支出决算表</w:t>
      </w:r>
    </w:p>
    <w:p>
      <w:pPr>
        <w:pStyle w:val="2"/>
        <w:rPr>
          <w:rFonts w:ascii="仿宋" w:eastAsia="仿宋" w:hAnsi="仿宋"/>
        </w:rPr>
      </w:pPr>
      <w:r>
        <w:rPr>
          <w:rStyle w:val="2Char"/>
          <w:rFonts w:ascii="仿宋" w:eastAsia="仿宋" w:hAnsi="仿宋" w:hint="eastAsia"/>
          <w:b/>
          <w:bCs/>
        </w:rPr>
        <w:t>十一、</w:t>
      </w:r>
      <w:r>
        <w:rPr>
          <w:rFonts w:ascii="仿宋" w:eastAsia="仿宋" w:hAnsi="仿宋" w:hint="eastAsia"/>
          <w:b w:val="0"/>
        </w:rPr>
        <w:t>国</w:t>
      </w:r>
      <w:r>
        <w:rPr>
          <w:rStyle w:val="2Char"/>
          <w:rFonts w:ascii="仿宋" w:eastAsia="仿宋" w:hAnsi="仿宋" w:hint="eastAsia"/>
          <w:b/>
          <w:bCs/>
        </w:rPr>
        <w:t>有资本经营预算财政拨款收入支出决算表</w:t>
      </w:r>
    </w:p>
    <w:p>
      <w:pPr>
        <w:pStyle w:val="2"/>
        <w:rPr>
          <w:rFonts w:ascii="仿宋" w:eastAsia="仿宋" w:hAnsi="仿宋"/>
        </w:rPr>
      </w:pPr>
      <w:r>
        <w:rPr>
          <w:rStyle w:val="2Char"/>
          <w:rFonts w:ascii="仿宋" w:eastAsia="仿宋" w:hAnsi="仿宋" w:hint="eastAsia"/>
          <w:b/>
          <w:bCs/>
        </w:rPr>
        <w:t>十二、国有资本经营预算财政拨款支出决算表</w:t>
      </w:r>
    </w:p>
    <w:p>
      <w:pPr>
        <w:pStyle w:val="2"/>
        <w:rPr>
          <w:rFonts w:eastAsia="仿宋"/>
        </w:rPr>
      </w:pPr>
      <w:r>
        <w:rPr>
          <w:rStyle w:val="2Char"/>
          <w:rFonts w:ascii="仿宋" w:eastAsia="仿宋" w:hAnsi="仿宋" w:hint="eastAsia"/>
          <w:b/>
          <w:bCs/>
        </w:rPr>
        <w:t>十三、财政拨款“三公”经费支出决算表</w:t>
      </w:r>
    </w:p>
    <w:p>
      <w:pPr>
        <w:pStyle w:val="15"/>
        <w:spacing w:beforeLines="0" w:before="93"/>
      </w:pPr>
      <w:r>
        <w:rPr>
          <w:rFonts w:hint="eastAsia"/>
        </w:rPr>
        <w:t xml:space="preserve">                    </w:t>
      </w:r>
    </w:p>
    <w:sectPr>
      <w:headerReference w:type="default" r:id="rId3"/>
      <w:footerReference w:type="default" r:id="rId4"/>
      <w:footerReference w:type="first" r:id="rId5"/>
      <w:pgSz w:w="11906" w:h="16838"/>
      <w:pgMar w:top="1701" w:right="1474" w:bottom="1701" w:left="1587" w:header="851" w:footer="1304" w:gutter="0"/>
      <w:cols w:num="1" w:space="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altName w:val="黑体"/>
    <w:panose1 w:val="03000509000000000000"/>
    <w:charset w:val="86"/>
    <w:family w:val="auto"/>
    <w:pitch w:val="variable"/>
    <w:sig w:usb0="00000000" w:usb1="00000000" w:usb2="00000012"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仿宋">
    <w:altName w:val="方正仿宋_GBK"/>
    <w:panose1 w:val="02010609060101010101"/>
    <w:charset w:val="86"/>
    <w:family w:val="modern"/>
    <w:pitch w:val="variable"/>
    <w:sig w:usb0="800002BF" w:usb1="38CF7CFA" w:usb2="00000016" w:usb3="00000000" w:csb0="00040001" w:csb1="00000000"/>
  </w:font>
  <w:font w:name="楷体">
    <w:altName w:val="方正楷体_GBK"/>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方正兰亭黑_GBK">
    <w:panose1 w:val="02000000000000000000"/>
    <w:charset w:val="86"/>
    <w:family w:val="script"/>
    <w:pitch w:val="variable"/>
    <w:sig w:usb0="A00002BF" w:usb1="3ACF7CFA" w:usb2="0008001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方正仿宋简体">
    <w:altName w:val="微软雅黑"/>
    <w:panose1 w:val="00000000000000000000"/>
    <w:charset w:val="86"/>
    <w:family w:val="auto"/>
    <w:pitch w:val="variable"/>
    <w:sig w:usb0="00000000" w:usb1="00000000" w:usb2="00000000" w:usb3="00000000" w:csb0="00040000" w:csb1="0000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right="360" w:firstLine="360"/>
    </w:pPr>
    <w:r>
      <mc:AlternateContent>
        <mc:Choice Requires="wps">
          <w:drawing>
            <wp:anchor distT="0" distB="0" distL="114300" distR="114300" simplePos="0" relativeHeight="21" behindDoc="0" locked="0" layoutInCell="1" hidden="0" allowOverlap="1">
              <wp:simplePos x="0" y="0"/>
              <wp:positionH relativeFrom="margin">
                <wp:align>outside</wp:align>
              </wp:positionH>
              <wp:positionV relativeFrom="paragraph">
                <wp:posOffset>0</wp:posOffset>
              </wp:positionV>
              <wp:extent cx="622300" cy="230584"/>
              <wp:effectExtent l="0" t="0" r="0" b="0"/>
              <wp:wrapNone/>
              <wp:docPr id="2051" name="_x0000_s2051"/>
              <wp:cNvGraphicFramePr>
                <a:graphicFrameLocks noChangeAspect="0"/>
              </wp:cNvGraphicFramePr>
              <a:graphic>
                <a:graphicData uri="http://schemas.microsoft.com/office/word/2010/wordprocessingShape">
                  <wps:wsp>
                    <wps:cNvSpPr/>
                    <wps:spPr>
                      <a:xfrm rot="0">
                        <a:off x="0" y="0"/>
                        <a:ext cx="622300" cy="230584"/>
                      </a:xfrm>
                      <a:prstGeom prst="rect"/>
                      <a:noFill/>
                      <a:ln w="9525" cmpd="sng" cap="flat">
                        <a:noFill/>
                        <a:prstDash val="solid"/>
                        <a:miter/>
                      </a:ln>
                    </wps:spPr>
                    <wps:txbx id="1">
                      <w:txbxContent>
                        <w:p>
                          <w:pPr>
                            <w:pStyle w:val="19"/>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3</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_x0000_s2051" o:spid="_x0000_s2" filled="f" stroked="f" style="position:absolute;margin-left:0.0pt;margin-top:0.0pt;width:49.000008pt;height:18.156258pt;z-index:21;mso-position-horizontal:outside;mso-position-horizontal-relative:margin;mso-position-vertical:absolute;mso-wrap-style:none;">
              <v:stroke color="#000000"/>
              <v:textbox id="848" inset="0mm,0mm,0mm,0mm" o:insetmode="custom" style="layout-flow:horizontal;v-text-anchor:top;mso-fit-shape-to-text:t;">
                <w:txbxContent>
                  <w:p>
                    <w:pPr>
                      <w:pStyle w:val="19"/>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3</w:t>
                    </w:r>
                    <w:r>
                      <w:rPr>
                        <w:rFonts w:ascii="宋体" w:cs="宋体" w:hAnsi="宋体" w:hint="eastAsia"/>
                        <w:sz w:val="28"/>
                        <w:szCs w:val="28"/>
                      </w:rPr>
                      <w:fldChar w:fldCharType="end"/>
                    </w:r>
                    <w:r>
                      <w:rPr>
                        <w:rFonts w:ascii="宋体" w:cs="宋体" w:hAnsi="宋体" w:hint="eastAsia"/>
                        <w:sz w:val="28"/>
                        <w:szCs w:val="28"/>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300" distR="114300" simplePos="0" relativeHeight="25" behindDoc="0" locked="0" layoutInCell="1" hidden="0" allowOverlap="1">
              <wp:simplePos x="0" y="0"/>
              <wp:positionH relativeFrom="margin">
                <wp:align>outside</wp:align>
              </wp:positionH>
              <wp:positionV relativeFrom="paragraph">
                <wp:posOffset>0</wp:posOffset>
              </wp:positionV>
              <wp:extent cx="711200" cy="230584"/>
              <wp:effectExtent l="0" t="0" r="0" b="0"/>
              <wp:wrapNone/>
              <wp:docPr id="2049" name="_x0000_s2049"/>
              <wp:cNvGraphicFramePr>
                <a:graphicFrameLocks noChangeAspect="0"/>
              </wp:cNvGraphicFramePr>
              <a:graphic>
                <a:graphicData uri="http://schemas.microsoft.com/office/word/2010/wordprocessingShape">
                  <wps:wsp>
                    <wps:cNvSpPr/>
                    <wps:spPr>
                      <a:xfrm rot="0">
                        <a:off x="0" y="0"/>
                        <a:ext cx="711200" cy="230584"/>
                      </a:xfrm>
                      <a:prstGeom prst="rect"/>
                      <a:noFill/>
                      <a:ln w="9525" cmpd="sng" cap="flat">
                        <a:noFill/>
                        <a:prstDash val="solid"/>
                        <a:miter/>
                      </a:ln>
                    </wps:spPr>
                    <wps:txbx id="4">
                      <w:txbxContent>
                        <w:p>
                          <w:pPr>
                            <w:pStyle w:val="19"/>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24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_x0000_s2049" o:spid="_x0000_s5" filled="f" stroked="f" style="position:absolute;margin-left:0.0pt;margin-top:0.0pt;width:56.000004pt;height:18.15628pt;z-index:25;mso-position-horizontal:outside;mso-position-horizontal-relative:margin;mso-position-vertical:absolute;mso-wrap-style:none;">
              <v:stroke color="#000000"/>
              <v:textbox id="849" inset="0mm,0mm,0mm,0mm" o:insetmode="custom" style="layout-flow:horizontal;v-text-anchor:top;mso-fit-shape-to-text:t;">
                <w:txbxContent>
                  <w:p>
                    <w:pPr>
                      <w:pStyle w:val="19"/>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24</w:t>
                    </w:r>
                    <w:r>
                      <w:rPr>
                        <w:rFonts w:ascii="宋体" w:cs="宋体" w:hAnsi="宋体" w:hint="eastAsia"/>
                        <w:sz w:val="28"/>
                        <w:szCs w:val="28"/>
                      </w:rPr>
                      <w:fldChar w:fldCharType="end"/>
                    </w:r>
                    <w:r>
                      <w:rPr>
                        <w:rFonts w:ascii="宋体" w:cs="宋体" w:hAnsi="宋体" w:hint="eastAsia"/>
                        <w:sz w:val="28"/>
                        <w:szCs w:val="28"/>
                      </w:rPr>
                      <w:t xml:space="preserve"> —</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300" distR="114300" simplePos="0" relativeHeight="29" behindDoc="0" locked="0" layoutInCell="1" hidden="0" allowOverlap="1">
              <wp:simplePos x="0" y="0"/>
              <wp:positionH relativeFrom="margin">
                <wp:align>outside</wp:align>
              </wp:positionH>
              <wp:positionV relativeFrom="paragraph">
                <wp:posOffset>0</wp:posOffset>
              </wp:positionV>
              <wp:extent cx="622300" cy="230584"/>
              <wp:effectExtent l="0" t="0" r="0" b="0"/>
              <wp:wrapNone/>
              <wp:docPr id="2050" name="_x0000_s2050"/>
              <wp:cNvGraphicFramePr>
                <a:graphicFrameLocks noChangeAspect="0"/>
              </wp:cNvGraphicFramePr>
              <a:graphic>
                <a:graphicData uri="http://schemas.microsoft.com/office/word/2010/wordprocessingShape">
                  <wps:wsp>
                    <wps:cNvSpPr/>
                    <wps:spPr>
                      <a:xfrm rot="0">
                        <a:off x="0" y="0"/>
                        <a:ext cx="622300" cy="230584"/>
                      </a:xfrm>
                      <a:prstGeom prst="rect"/>
                      <a:noFill/>
                      <a:ln w="9525" cmpd="sng" cap="flat">
                        <a:noFill/>
                        <a:prstDash val="solid"/>
                        <a:miter/>
                      </a:ln>
                    </wps:spPr>
                    <wps:txbx id="6">
                      <w:txbxContent>
                        <w:p>
                          <w:pPr>
                            <w:pStyle w:val="19"/>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w:t>
                          </w:r>
                          <w:r>
                            <w:rPr>
                              <w:rFonts w:ascii="宋体" w:cs="宋体" w:hAnsi="宋体" w:hint="eastAsia"/>
                              <w:sz w:val="28"/>
                              <w:szCs w:val="28"/>
                            </w:rPr>
                            <w:fldChar w:fldCharType="end"/>
                          </w:r>
                          <w:r>
                            <w:rPr>
                              <w:rFonts w:ascii="宋体" w:cs="宋体" w:hAnsi="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_x0000_s2050" o:spid="_x0000_s7" filled="f" stroked="f" style="position:absolute;margin-left:0.0pt;margin-top:0.0pt;width:49.000008pt;height:18.156258pt;z-index:29;mso-position-horizontal:outside;mso-position-horizontal-relative:margin;mso-position-vertical:absolute;mso-wrap-style:none;">
              <v:stroke color="#000000"/>
              <v:textbox id="850" inset="0mm,0mm,0mm,0mm" o:insetmode="custom" style="layout-flow:horizontal;v-text-anchor:top;mso-fit-shape-to-text:t;">
                <w:txbxContent>
                  <w:p>
                    <w:pPr>
                      <w:pStyle w:val="19"/>
                      <w:tabs>
                        <w:tab w:val="center" w:pos="4153"/>
                        <w:tab w:val="right" w:pos="8306"/>
                      </w:tabs>
                      <w:rPr>
                        <w:rFonts w:ascii="宋体" w:cs="宋体" w:hAnsi="宋体"/>
                        <w:sz w:val="28"/>
                        <w:szCs w:val="28"/>
                      </w:rPr>
                    </w:pPr>
                    <w:r>
                      <w:rPr>
                        <w:rFonts w:ascii="宋体" w:cs="宋体" w:hAnsi="宋体" w:hint="eastAsia"/>
                        <w:sz w:val="28"/>
                        <w:szCs w:val="28"/>
                      </w:rPr>
                      <w:t xml:space="preserve">— </w:t>
                    </w:r>
                    <w:r>
                      <w:rPr>
                        <w:rFonts w:ascii="宋体" w:cs="宋体" w:hAnsi="宋体" w:hint="eastAsia"/>
                        <w:sz w:val="28"/>
                        <w:szCs w:val="28"/>
                      </w:rPr>
                      <w:fldChar w:fldCharType="begin"/>
                    </w:r>
                    <w:r>
                      <w:rPr>
                        <w:rFonts w:ascii="宋体" w:cs="宋体" w:hAnsi="宋体" w:hint="eastAsia"/>
                        <w:sz w:val="28"/>
                        <w:szCs w:val="28"/>
                      </w:rPr>
                      <w:instrText xml:space="preserve"> PAGE  \* MERGEFORMAT </w:instrText>
                    </w:r>
                    <w:r>
                      <w:rPr>
                        <w:rFonts w:ascii="宋体" w:cs="宋体" w:hAnsi="宋体" w:hint="eastAsia"/>
                        <w:sz w:val="28"/>
                        <w:szCs w:val="28"/>
                      </w:rPr>
                      <w:fldChar w:fldCharType="separate"/>
                    </w:r>
                    <w:r>
                      <w:rPr>
                        <w:rFonts w:ascii="宋体" w:cs="宋体" w:hAnsi="宋体"/>
                        <w:sz w:val="28"/>
                        <w:szCs w:val="28"/>
                      </w:rPr>
                      <w:t>4</w:t>
                    </w:r>
                    <w:r>
                      <w:rPr>
                        <w:rFonts w:ascii="宋体" w:cs="宋体" w:hAnsi="宋体" w:hint="eastAsia"/>
                        <w:sz w:val="28"/>
                        <w:szCs w:val="28"/>
                      </w:rPr>
                      <w:fldChar w:fldCharType="end"/>
                    </w:r>
                    <w:r>
                      <w:rPr>
                        <w:rFonts w:ascii="宋体" w:cs="宋体" w:hAnsi="宋体" w:hint="eastAsia"/>
                        <w:sz w:val="28"/>
                        <w:szCs w:val="28"/>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52A477F"/>
    <w:multiLevelType w:val="singleLevel"/>
    <w:tmpl w:val="552A477F"/>
    <w:lvl w:ilvl="0">
      <w:start w:val="3"/>
      <w:numFmt w:val="chineseCounting"/>
      <w:lvlRestart w:val="0"/>
      <w:suff w:val="nothing"/>
      <w:lvlText w:val="%1、"/>
      <w:lvlJc w:val="left"/>
      <w:pPr/>
      <w:rPr>
        <w:rFonts w:hint="eastAsia"/>
      </w:r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6C83EA7F"/>
    <w:multiLevelType w:val="singleLevel"/>
    <w:tmpl w:val="6C83EA7F"/>
    <w:lvl w:ilvl="0">
      <w:start w:val="2"/>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ZDJmZjI3ZDU1OTJmNDI2YzllOWViNmU2MjE5Y2RlZjg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kern w:val="0"/>
      <w:sz w:val="30"/>
    </w:rPr>
  </w:style>
  <w:style w:type="paragraph" w:styleId="16">
    <w:name w:val="Document Map"/>
    <w:qFormat/>
    <w:basedOn w:val="0"/>
    <w:rPr>
      <w:rFonts w:ascii="方正兰亭黑_GBK" w:hAnsi="方正兰亭黑_GBK"/>
      <w:sz w:val="18"/>
      <w:szCs w:val="18"/>
    </w:rPr>
  </w:style>
  <w:style w:type="paragraph" w:styleId="17">
    <w:name w:val="toc 3"/>
    <w:qFormat/>
    <w:basedOn w:val="0"/>
    <w:next w:val="0"/>
    <w:pPr>
      <w:tabs>
        <w:tab w:val="right" w:leader="dot" w:pos="8296"/>
      </w:tabs>
      <w:ind w:leftChars="400" w:left="400"/>
    </w:pPr>
  </w:style>
  <w:style w:type="paragraph" w:styleId="18">
    <w:name w:val="Balloon Text"/>
    <w:qFormat/>
    <w:basedOn w:val="0"/>
    <w:rPr>
      <w:sz w:val="18"/>
      <w:szCs w:val="18"/>
    </w:rPr>
  </w:style>
  <w:style w:type="paragraph" w:styleId="19">
    <w:name w:val="footer"/>
    <w:qFormat/>
    <w:basedOn w:val="0"/>
    <w:pPr>
      <w:tabs>
        <w:tab w:val="center" w:pos="4153"/>
        <w:tab w:val="right" w:pos="8306"/>
      </w:tabs>
      <w:snapToGrid w:val="0"/>
      <w:jc w:val="left"/>
    </w:pPr>
    <w:rPr>
      <w:rFonts w:ascii="Calibri" w:hAnsi="Calibri"/>
      <w:kern w:val="0"/>
      <w:sz w:val="18"/>
      <w:szCs w:val="18"/>
    </w:rPr>
  </w:style>
  <w:style w:type="paragraph" w:styleId="20">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qFormat/>
    <w:basedOn w:val="0"/>
    <w:next w:val="0"/>
    <w:pPr>
      <w:tabs>
        <w:tab w:val="right" w:leader="dot" w:pos="8296"/>
      </w:tabs>
      <w:spacing w:before="93"/>
      <w:jc w:val="center"/>
    </w:pPr>
    <w:rPr>
      <w:rFonts w:ascii="仿宋" w:eastAsia="仿宋" w:hAnsi="仿宋"/>
      <w:sz w:val="28"/>
      <w:szCs w:val="28"/>
    </w:rPr>
  </w:style>
  <w:style w:type="paragraph" w:styleId="22">
    <w:name w:val="toc 2"/>
    <w:qFormat/>
    <w:basedOn w:val="0"/>
    <w:next w:val="0"/>
    <w:pPr>
      <w:tabs>
        <w:tab w:val="right" w:leader="dot" w:pos="8296"/>
      </w:tabs>
      <w:ind w:leftChars="200" w:left="200"/>
    </w:pPr>
  </w:style>
  <w:style w:type="paragraph" w:styleId="23">
    <w:name w:val="Body Text 2"/>
    <w:qFormat/>
    <w:basedOn w:val="0"/>
    <w:pPr>
      <w:spacing w:before="120" w:after="120"/>
      <w:ind w:firstLine="640"/>
      <w:jc w:val="center"/>
    </w:pPr>
    <w:rPr>
      <w:rFonts w:ascii="宋体" w:eastAsia="方正仿宋简体" w:hAnsi="宋体"/>
      <w:szCs w:val="20"/>
    </w:rPr>
  </w:style>
  <w:style w:type="paragraph" w:styleId="24">
    <w:name w:val="Normal (Web)"/>
    <w:qFormat/>
    <w:basedOn w:val="0"/>
    <w:pPr>
      <w:widowControl/>
      <w:spacing w:before="100" w:beforeAutospacing="1" w:after="100" w:afterAutospacing="1"/>
      <w:jc w:val="left"/>
    </w:pPr>
    <w:rPr>
      <w:rFonts w:ascii="宋体" w:cs="宋体" w:hAnsi="宋体"/>
      <w:kern w:val="0"/>
      <w:sz w:val="24"/>
    </w:rPr>
  </w:style>
  <w:style w:type="character" w:styleId="25">
    <w:name w:val="Strong"/>
    <w:qFormat/>
    <w:basedOn w:val="10"/>
    <w:rPr>
      <w:b/>
    </w:rPr>
  </w:style>
  <w:style w:type="character" w:styleId="26">
    <w:name w:val="page number"/>
    <w:qFormat/>
    <w:basedOn w:val="10"/>
  </w:style>
  <w:style w:type="character" w:styleId="27">
    <w:name w:val="Hyperlink"/>
    <w:qFormat/>
    <w:basedOn w:val="10"/>
    <w:rPr>
      <w:color w:val="0000FF"/>
      <w:u w:val="single"/>
    </w:rPr>
  </w:style>
  <w:style w:type="character" w:customStyle="1" w:styleId="28">
    <w:name w:val="Header Char"/>
    <w:qFormat/>
    <w:basedOn w:val="10"/>
    <w:rPr>
      <w:rFonts w:ascii="Times New Roman" w:hAnsi="Times New Roman"/>
      <w:sz w:val="18"/>
      <w:szCs w:val="18"/>
    </w:rPr>
  </w:style>
  <w:style w:type="character" w:customStyle="1" w:styleId="29">
    <w:name w:val="Footer Char"/>
    <w:qFormat/>
    <w:basedOn w:val="10"/>
    <w:rPr>
      <w:rFonts w:ascii="Times New Roman" w:hAnsi="Times New Roman"/>
      <w:sz w:val="18"/>
      <w:szCs w:val="18"/>
    </w:rPr>
  </w:style>
  <w:style w:type="character" w:customStyle="1" w:styleId="30">
    <w:name w:val="Body Text Char"/>
    <w:qFormat/>
    <w:basedOn w:val="10"/>
    <w:rPr>
      <w:rFonts w:ascii="Times New Roman" w:hAnsi="Times New Roman"/>
      <w:szCs w:val="24"/>
    </w:rPr>
  </w:style>
  <w:style w:type="paragraph" w:customStyle="1" w:styleId="31">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2">
    <w:name w:val="List Paragraph"/>
    <w:qFormat/>
    <w:basedOn w:val="0"/>
    <w:pPr>
      <w:ind w:firstLineChars="200" w:firstLine="200"/>
    </w:pPr>
  </w:style>
  <w:style w:type="paragraph" w:customStyle="1" w:styleId="33">
    <w:name w:val="TOC 标题1"/>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4">
    <w:name w:val="TOC 标题2"/>
    <w:qFormat/>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5">
    <w:name w:val="四号正文"/>
    <w:qFormat/>
    <w:basedOn w:val="0"/>
    <w:pPr>
      <w:spacing w:line="360" w:lineRule="auto"/>
    </w:pPr>
    <w:rPr>
      <w:rFonts w:ascii="??" w:eastAsia="Times New Roman" w:hAnsi="??"/>
      <w:color w:val="000000"/>
      <w:kern w:val="0"/>
      <w:sz w:val="28"/>
      <w:szCs w:val="21"/>
    </w:rPr>
  </w:style>
  <w:style w:type="character" w:customStyle="1" w:styleId="36">
    <w:name w:val="15"/>
    <w:qFormat/>
    <w:basedOn w:val="10"/>
    <w:rPr>
      <w:rFonts w:ascii="Cambria" w:eastAsia="宋体" w:cs="Times New Roman" w:hAnsi="Cambria"/>
      <w:b/>
      <w:bCs/>
      <w:kern w:val="2"/>
      <w:sz w:val="32"/>
      <w:szCs w:val="32"/>
    </w:rPr>
  </w:style>
  <w:style w:type="paragraph" w:customStyle="1" w:styleId="37">
    <w:name w:val="Char Char Char Char"/>
    <w:qFormat/>
    <w:basedOn w:val="15"/>
    <w:next w:val="23"/>
    <w:pPr>
      <w:shd w:val="clear" w:color="auto" w:fill="000080"/>
      <w:spacing w:beforeLines="0" w:before="30"/>
    </w:pPr>
    <w:rPr>
      <w:rFonts w:ascii="Times New Roman" w:eastAsia="宋体" w:hAnsi="Times New Roman"/>
      <w:kern w:val="2"/>
      <w:sz w:val="21"/>
    </w:rPr>
  </w:style>
  <w:style w:type="paragraph" w:customStyle="1" w:styleId="38">
    <w:name w:val="Char Char Char Char1"/>
    <w:qFormat/>
    <w:basedOn w:val="16"/>
    <w:pPr>
      <w:shd w:val="clear" w:color="auto" w:fill="000080"/>
    </w:pPr>
    <w:rPr>
      <w:rFonts w:ascii="Times New Roman" w:hAnsi="Times New Roman"/>
      <w:sz w:val="21"/>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 Id="rId1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xterna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0903"/>
          <c:y val="0.035871312"/>
          <c:w val="0.80216634"/>
          <c:h val="0.8474752"/>
        </c:manualLayout>
      </c:layout>
      <c:barChart>
        <c:barDir val="col"/>
        <c:grouping val="clustered"/>
        <c:varyColors val="0"/>
        <c:ser>
          <c:idx val="1"/>
          <c:order val="0"/>
          <c:tx>
            <c:v/>
          </c:tx>
          <c:spPr>
            <a:solidFill>
              <a:srgbClr val="C0504D"/>
            </a:solidFill>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={"2020年","2021年"}</c:f>
              <c:strCache>
                <c:ptCount val="1"/>
                <c:pt idx="0">
                  <c:v>2020年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crossBetween val="between"/>
        <c:crossAx val="0"/>
      </c:valAx>
      <c:spPr>
        <a:solidFill>
          <a:srgbClr val="FFFFFF"/>
        </a:solidFill>
      </c:spPr>
    </c:plotArea>
    <c:legend>
      <c:legendPos val="r"/>
      <c:layout>
        <c:manualLayout>
          <c:xMode val="edge"/>
          <c:yMode val="edge"/>
          <c:x val="0.87840515"/>
          <c:y val="0.32807326"/>
          <c:w val="0.12159485"/>
          <c:h val="0.3337521"/>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gap"/>
    <c:showDLblsOverMax val="0"/>
  </c:chart>
  <c:spPr>
    <a:noFill/>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77854"/>
          <c:y val="0.12745397"/>
          <c:w val="0.2793911"/>
          <c:h val="0.6683279"/>
        </c:manualLayout>
      </c:layout>
      <c:pieChart>
        <c:varyColors val="1"/>
        <c:ser>
          <c:idx val="0"/>
          <c:order val="0"/>
          <c:tx>
            <c:v>收入额（万元）</c:v>
          </c:tx>
          <c:spPr>
            <a:solidFill>
              <a:srgbClr val="4F81BD"/>
            </a:solidFill>
          </c:spPr>
          <c:dPt>
            <c:idx val="0"/>
            <c:bubble3D val="0"/>
            <c:spPr>
              <a:solidFill>
                <a:srgbClr val="4572A7"/>
              </a:solidFill>
            </c:spPr>
          </c:dPt>
          <c:dPt>
            <c:idx val="1"/>
            <c:bubble3D val="0"/>
            <c:spPr>
              <a:solidFill>
                <a:srgbClr val="AA4643"/>
              </a:solidFill>
            </c:spPr>
          </c:dPt>
          <c:dPt>
            <c:idx val="2"/>
            <c:bubble3D val="0"/>
            <c:spPr>
              <a:solidFill>
                <a:srgbClr val="89A54E"/>
              </a:solidFill>
            </c:spPr>
          </c:dPt>
          <c:dPt>
            <c:idx val="3"/>
            <c:bubble3D val="0"/>
            <c:spPr>
              <a:solidFill>
                <a:srgbClr val="71588F"/>
              </a:solidFill>
            </c:spPr>
          </c:dPt>
          <c:dPt>
            <c:idx val="4"/>
            <c:bubble3D val="0"/>
            <c:spPr>
              <a:solidFill>
                <a:srgbClr val="4198AF"/>
              </a:solidFill>
            </c:spPr>
          </c:dPt>
          <c:dPt>
            <c:idx val="5"/>
            <c:bubble3D val="0"/>
            <c:spPr>
              <a:solidFill>
                <a:srgbClr val="DB843D"/>
              </a:solidFill>
            </c:spPr>
          </c:dPt>
          <c:dPt>
            <c:idx val="6"/>
            <c:bubble3D val="0"/>
            <c:spPr>
              <a:solidFill>
                <a:srgbClr val="93A9CF"/>
              </a:solidFill>
            </c:spPr>
          </c:dPt>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0.00%" sourceLinked="0"/>
            <c:dLbl>
              <c:idx val="0"/>
              <c:layout>
                <c:manualLayout>
                  <c:x val="0.02558987"/>
                  <c:y val="-0.03805751"/>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一般公共预算财政拨款收入, </a:t>
                    </a:r>
                    <a:r>
                      <a:rPr lang="zh-CN" sz="1000" b="0" i="0" u="none" strike="noStrike" baseline="0">
                        <a:solidFill>
                          <a:srgbClr val="000000"/>
                        </a:solidFill>
                        <a:latin typeface="Calibri"/>
                        <a:ea typeface="宋体"/>
                        <a:cs typeface="Lucida Sans"/>
                      </a:rPr>
                      <a:t>1382.03</a:t>
                    </a:r>
                    <a:r>
                      <a:rPr lang="zh-CN" sz="1000" b="0" i="0" u="none" strike="noStrike" baseline="0">
                        <a:solidFill>
                          <a:srgbClr val="000000"/>
                        </a:solidFill>
                        <a:latin typeface="Calibri"/>
                        <a:ea typeface="宋体"/>
                        <a:cs typeface="Lucida Sans"/>
                      </a:rPr>
                      <a:t>万元, </a:t>
                    </a:r>
                    <a:r>
                      <a:rPr lang="zh-CN" sz="1000" b="0" i="0" u="none" strike="noStrike" baseline="0">
                        <a:solidFill>
                          <a:srgbClr val="000000"/>
                        </a:solidFill>
                        <a:latin typeface="Calibri"/>
                        <a:ea typeface="宋体"/>
                        <a:cs typeface="Lucida Sans"/>
                      </a:rPr>
                      <a:t>96.1</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1"/>
              <c:showBubbleSize val="0"/>
            </c:dLbl>
            <c:dLbl>
              <c:idx val="1"/>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2"/>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3"/>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4"/>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5"/>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6"/>
              <c:layout>
                <c:manualLayout>
                  <c:x val="-0.19289134"/>
                  <c:y val="0.001472325"/>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其它收入, </a:t>
                    </a:r>
                    <a:r>
                      <a:rPr lang="zh-CN" sz="1000" b="0" i="0" u="none" strike="noStrike" baseline="0">
                        <a:solidFill>
                          <a:srgbClr val="000000"/>
                        </a:solidFill>
                        <a:latin typeface="Calibri"/>
                        <a:ea typeface="宋体"/>
                        <a:cs typeface="Lucida Sans"/>
                      </a:rPr>
                      <a:t>56.12</a:t>
                    </a:r>
                    <a:r>
                      <a:rPr lang="zh-CN" sz="1000" b="0" i="0" u="none" strike="noStrike" baseline="0">
                        <a:solidFill>
                          <a:srgbClr val="000000"/>
                        </a:solidFill>
                        <a:latin typeface="Calibri"/>
                        <a:ea typeface="宋体"/>
                        <a:cs typeface="Lucida Sans"/>
                      </a:rPr>
                      <a:t>万元, </a:t>
                    </a:r>
                    <a:r>
                      <a:rPr lang="zh-CN" sz="1000" b="0" i="0" u="none" strike="noStrike" baseline="0">
                        <a:solidFill>
                          <a:srgbClr val="000000"/>
                        </a:solidFill>
                        <a:latin typeface="Calibri"/>
                        <a:ea typeface="宋体"/>
                        <a:cs typeface="Lucida Sans"/>
                      </a:rPr>
                      <a:t>3.9</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={"一般公共预算财政拨款收入","政府性基金预算财政拨款收入","国有资本经营预算财政拨款收入","事业收入","经营收入","附属单位上缴收入","其它收入"}</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
              <c:numCache>
                <c:formatCode>General</c:formatCode>
                <c:ptCount val="7"/>
                <c:pt idx="0">
                  <c:v>1382.03</c:v>
                </c:pt>
                <c:pt idx="1">
                  <c:v>0.0</c:v>
                </c:pt>
                <c:pt idx="2">
                  <c:v>0.0</c:v>
                </c:pt>
                <c:pt idx="3">
                  <c:v>0.0</c:v>
                </c:pt>
                <c:pt idx="4">
                  <c:v>0.0</c:v>
                </c:pt>
                <c:pt idx="5">
                  <c:v>0.0</c:v>
                </c:pt>
                <c:pt idx="6">
                  <c:v>56.12</c:v>
                </c:pt>
              </c:numCache>
            </c:numRef>
          </c:val>
        </c:ser>
        <c:firstSliceAng val="307"/>
      </c:pieChart>
      <c:spPr>
        <a:noFill/>
      </c:spPr>
    </c:plotArea>
    <c:legend>
      <c:legendPos val="r"/>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zero"/>
    <c:showDLblsOverMax val="0"/>
  </c:chart>
  <c:spPr>
    <a:effectLst>
      <a:outerShdw sx="100000" sy="100000" algn="ctr" rotWithShape="0" blurRad="50800" dist="50800" dir="4680000">
        <a:srgbClr val="000000">
          <a:alpha val="42745"/>
        </a:srgbClr>
      </a:outerShdw>
    </a:effectLs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支出数（万元）</c:v>
          </c:tx>
          <c:spPr>
            <a:solidFill>
              <a:srgbClr val="4F81BD"/>
            </a:solidFill>
          </c:spPr>
          <c:dPt>
            <c:idx val="0"/>
            <c:bubble3D val="0"/>
            <c:spPr>
              <a:solidFill>
                <a:srgbClr val="D99694"/>
              </a:solidFill>
            </c:spPr>
          </c:dPt>
          <c:dPt>
            <c:idx val="1"/>
            <c:bubble3D val="0"/>
            <c:spPr>
              <a:solidFill>
                <a:srgbClr val="D7E4B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0.00%" sourceLinked="0"/>
            <c:dLbl>
              <c:idx val="0"/>
              <c:layout>
                <c:manualLayout>
                  <c:x val="-0.13395073"/>
                  <c:y val="-0.20755196"/>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基本支出</a:t>
                    </a:r>
                    <a:r>
                      <a:rPr lang="zh-CN" sz="1000" b="0" i="0" u="none" strike="noStrike" baseline="0">
                        <a:solidFill>
                          <a:srgbClr val="000000"/>
                        </a:solidFill>
                        <a:latin typeface="Calibri"/>
                        <a:ea typeface="宋体"/>
                        <a:cs typeface="Lucida Sans"/>
                      </a:rPr>
                      <a:t>1249.91</a:t>
                    </a:r>
                    <a:r>
                      <a:rPr lang="zh-CN" sz="1000" b="0" i="0" u="none" strike="noStrike" baseline="0">
                        <a:solidFill>
                          <a:srgbClr val="000000"/>
                        </a:solidFill>
                        <a:latin typeface="Calibri"/>
                        <a:ea typeface="宋体"/>
                        <a:cs typeface="Lucida Sans"/>
                      </a:rPr>
                      <a:t>万元, </a:t>
                    </a:r>
                    <a:r>
                      <a:rPr lang="zh-CN" sz="1000" b="0" i="0" u="none" strike="noStrike" baseline="0">
                        <a:solidFill>
                          <a:srgbClr val="000000"/>
                        </a:solidFill>
                        <a:latin typeface="Calibri"/>
                        <a:ea typeface="宋体"/>
                        <a:cs typeface="Lucida Sans"/>
                      </a:rPr>
                      <a:t>86.91</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1"/>
              <c:showBubbleSize val="0"/>
            </c:dLbl>
            <c:dLbl>
              <c:idx val="1"/>
              <c:layout>
                <c:manualLayout>
                  <c:x val="-0.06244756"/>
                  <c:y val="0.070685156"/>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项目支出</a:t>
                    </a:r>
                    <a:r>
                      <a:rPr lang="zh-CN" sz="1000" b="0" i="0" u="none" strike="noStrike" baseline="0">
                        <a:solidFill>
                          <a:srgbClr val="000000"/>
                        </a:solidFill>
                        <a:latin typeface="Calibri"/>
                        <a:ea typeface="宋体"/>
                        <a:cs typeface="Lucida Sans"/>
                      </a:rPr>
                      <a:t>188.24</a:t>
                    </a:r>
                    <a:r>
                      <a:rPr lang="zh-CN" sz="1000" b="0" i="0" u="none" strike="noStrike" baseline="0">
                        <a:solidFill>
                          <a:srgbClr val="000000"/>
                        </a:solidFill>
                        <a:latin typeface="Calibri"/>
                        <a:ea typeface="宋体"/>
                        <a:cs typeface="Lucida Sans"/>
                      </a:rPr>
                      <a:t>万元,</a:t>
                    </a:r>
                    <a:r>
                      <a:rPr lang="zh-CN" sz="1000" b="0" i="0" u="none" strike="noStrike" baseline="0">
                        <a:solidFill>
                          <a:srgbClr val="000000"/>
                        </a:solidFill>
                        <a:latin typeface="Calibri"/>
                        <a:ea typeface="宋体"/>
                        <a:cs typeface="Lucida Sans"/>
                      </a:rPr>
                      <a:t>13.09</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1"/>
              <c:showBubbleSize val="0"/>
            </c:dLbl>
            <c:dLbl>
              <c:idx val="2"/>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3"/>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dLbl>
              <c:idx val="4"/>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delete val="1"/>
            </c:dLbl>
            <c:showLegendKey val="0"/>
            <c:showVal val="1"/>
            <c:showCatName val="1"/>
            <c:showSerName val="0"/>
            <c:showPercent val="1"/>
            <c:showBubbleSize val="0"/>
            <c:showLeaderLines val="1"/>
          </c:dLbls>
          <c:cat>
            <c:strRef>
              <c:f>={"基本支出","项目支出","上缴上级支出","经营支出","对附属单位补助支出"}</c:f>
              <c:strCache>
                <c:ptCount val="5"/>
                <c:pt idx="0">
                  <c:v>基本支出</c:v>
                </c:pt>
                <c:pt idx="1">
                  <c:v>项目支出</c:v>
                </c:pt>
                <c:pt idx="2">
                  <c:v>上缴上级支出</c:v>
                </c:pt>
                <c:pt idx="3">
                  <c:v>经营支出</c:v>
                </c:pt>
                <c:pt idx="4">
                  <c:v>对附属单位补助支出</c:v>
                </c:pt>
              </c:strCache>
            </c:strRef>
          </c:cat>
          <c:val>
            <c:numRef>
              <c:f/>
              <c:numCache>
                <c:formatCode>General</c:formatCode>
                <c:ptCount val="5"/>
                <c:pt idx="0">
                  <c:v>1249.91</c:v>
                </c:pt>
                <c:pt idx="1">
                  <c:v>188.24</c:v>
                </c:pt>
                <c:pt idx="2">
                  <c:v>0.0</c:v>
                </c:pt>
                <c:pt idx="3">
                  <c:v>0.0</c:v>
                </c:pt>
                <c:pt idx="4">
                  <c:v>0.0</c:v>
                </c:pt>
              </c:numCache>
            </c:numRef>
          </c:val>
        </c:ser>
        <c:firstSliceAng val="0"/>
      </c:pieChart>
      <c:spPr>
        <a:noFill/>
      </c:spPr>
    </c:plotArea>
    <c:legend>
      <c:legendPos val="r"/>
      <c:layout>
        <c:manualLayout>
          <c:xMode val="edge"/>
          <c:yMode val="edge"/>
          <c:x val="0.7082675"/>
          <c:y val="0.26838148"/>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zero"/>
    <c:showDLblsOverMax val="0"/>
  </c:chart>
  <c:spPr>
    <a:noFill/>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5"/>
          <c:y val="0.025191"/>
          <c:w val="0.80216634"/>
          <c:h val="0.8474752"/>
        </c:manualLayout>
      </c:layout>
      <c:barChart>
        <c:barDir val="col"/>
        <c:grouping val="clustered"/>
        <c:varyColors val="0"/>
        <c:ser>
          <c:idx val="1"/>
          <c:order val="0"/>
          <c:tx>
            <c:v/>
          </c:tx>
          <c:spPr>
            <a:solidFill>
              <a:srgbClr val="C0504D"/>
            </a:solidFill>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={"2020年","2021年"}</c:f>
              <c:strCache>
                <c:ptCount val="1"/>
                <c:pt idx="0">
                  <c:v>2020年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crossBetween val="between"/>
        <c:crossAx val="0"/>
      </c:valAx>
      <c:spPr>
        <a:noFill/>
      </c:spPr>
    </c:plotArea>
    <c:legend>
      <c:legendPos val="r"/>
      <c:layout>
        <c:manualLayout>
          <c:xMode val="edge"/>
          <c:yMode val="edge"/>
          <c:x val="0.87176377"/>
          <c:y val="0.42227525"/>
          <c:w val="0.12594076"/>
          <c:h val="0.55207646"/>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5"/>
          <c:y val="0.025191"/>
          <c:w val="0.80216634"/>
          <c:h val="0.8474752"/>
        </c:manualLayout>
      </c:layout>
      <c:barChart>
        <c:barDir val="col"/>
        <c:grouping val="clustered"/>
        <c:varyColors val="0"/>
        <c:ser>
          <c:idx val="1"/>
          <c:order val="0"/>
          <c:tx>
            <c:v/>
          </c:tx>
          <c:spPr>
            <a:solidFill>
              <a:srgbClr val="C0504D"/>
            </a:solidFill>
          </c:spPr>
          <c:invertIfNegative val="0"/>
          <c:dLbls>
            <c:txPr>
              <a:bodyPr/>
              <a:lstStyle/>
              <a:p>
                <a:pPr algn="ct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Ref>
              <c:f>={"2020年","2021年"}</c:f>
              <c:strCache>
                <c:ptCount val="1"/>
                <c:pt idx="0">
                  <c:v>2020年</c:v>
                </c:pt>
              </c:strCache>
            </c:strRef>
          </c:cat>
          <c:val>
            <c:numRef>
              <c:f/>
              <c:numCache>
                <c:formatCode>General</c:formatCode>
                <c:ptCount val="1"/>
                <c:pt idx="0">
                  <c:v>1.0</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Calibri"/>
                <a:ea typeface="宋体"/>
                <a:cs typeface="Lucida Sans"/>
              </a:defRPr>
            </a:pPr>
            <a:endParaRPr lang="zh-CN"/>
          </a:p>
        </c:txPr>
        <c:crosses val="autoZero"/>
        <c:crossBetween val="between"/>
        <c:crossAx val="0"/>
      </c:valAx>
      <c:spPr>
        <a:noFill/>
      </c:spPr>
    </c:plotArea>
    <c:legend>
      <c:legendPos val="r"/>
      <c:layout>
        <c:manualLayout>
          <c:xMode val="edge"/>
          <c:yMode val="edge"/>
          <c:x val="0.89462984"/>
          <c:y val="0.016531961"/>
          <c:w val="0.09783519"/>
          <c:h val="0.9041146"/>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3458"/>
          <c:y val="0.11112226"/>
          <c:w val="0.3507216"/>
          <c:h val="0.7777555"/>
        </c:manualLayout>
      </c:layout>
      <c:pieChart>
        <c:varyColors val="1"/>
        <c:ser>
          <c:idx val="0"/>
          <c:order val="0"/>
          <c:tx>
            <c:v>支出数（万元）</c:v>
          </c:tx>
          <c:spPr>
            <a:solidFill>
              <a:srgbClr val="4F81BD"/>
            </a:solidFill>
          </c:spPr>
          <c:dPt>
            <c:idx val="0"/>
            <c:bubble3D val="0"/>
            <c:spPr>
              <a:solidFill>
                <a:srgbClr val="4F81BD"/>
              </a:solidFill>
              <a:effectLst>
                <a:outerShdw dist="35921" dir="2700000" algn="br">
                  <a:srgbClr val="000000"/>
                </a:outerShdw>
              </a:effectLst>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numFmt formatCode="0.00%" sourceLinked="0"/>
            <c:dLbl>
              <c:idx val="0"/>
              <c:layout>
                <c:manualLayout>
                  <c:x val="-0.0024897926"/>
                  <c:y val="-0.14678925"/>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教育支出</a:t>
                    </a:r>
                    <a:r>
                      <a:rPr lang="zh-CN" sz="1000" b="0" i="0" u="none" strike="noStrike" baseline="0">
                        <a:solidFill>
                          <a:srgbClr val="000000"/>
                        </a:solidFill>
                        <a:latin typeface="Calibri"/>
                        <a:ea typeface="宋体"/>
                        <a:cs typeface="Lucida Sans"/>
                      </a:rPr>
                      <a:t>1337.43</a:t>
                    </a:r>
                    <a:r>
                      <a:rPr lang="zh-CN" sz="1000" b="0" i="0" u="none" strike="noStrike" baseline="0">
                        <a:solidFill>
                          <a:srgbClr val="000000"/>
                        </a:solidFill>
                        <a:latin typeface="Calibri"/>
                        <a:ea typeface="宋体"/>
                        <a:cs typeface="Lucida Sans"/>
                      </a:rPr>
                      <a:t>, </a:t>
                    </a:r>
                    <a:r>
                      <a:rPr lang="zh-CN" sz="1000" b="0" i="0" u="none" strike="noStrike" baseline="0">
                        <a:solidFill>
                          <a:srgbClr val="000000"/>
                        </a:solidFill>
                        <a:latin typeface="Calibri"/>
                        <a:ea typeface="宋体"/>
                        <a:cs typeface="Lucida Sans"/>
                      </a:rPr>
                      <a:t>96.77</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1"/>
              <c:showBubbleSize val="0"/>
            </c:dLbl>
            <c:dLbl>
              <c:idx val="1"/>
              <c:layout>
                <c:manualLayout>
                  <c:x val="0.012860205"/>
                  <c:y val="0.23395827"/>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社会保障和就业支出, </a:t>
                    </a:r>
                    <a:r>
                      <a:rPr lang="zh-CN" sz="1000" b="0" i="0" u="none" strike="noStrike" baseline="0">
                        <a:solidFill>
                          <a:srgbClr val="000000"/>
                        </a:solidFill>
                        <a:latin typeface="Calibri"/>
                        <a:ea typeface="宋体"/>
                        <a:cs typeface="Lucida Sans"/>
                      </a:rPr>
                      <a:t>34.22</a:t>
                    </a:r>
                    <a:r>
                      <a:rPr lang="zh-CN" sz="1000" b="0" i="0" u="none" strike="noStrike" baseline="0">
                        <a:solidFill>
                          <a:srgbClr val="000000"/>
                        </a:solidFill>
                        <a:latin typeface="Calibri"/>
                        <a:ea typeface="宋体"/>
                        <a:cs typeface="Lucida Sans"/>
                      </a:rPr>
                      <a:t>万元, </a:t>
                    </a:r>
                    <a:r>
                      <a:rPr lang="zh-CN" sz="1000" b="0" i="0" u="none" strike="noStrike" baseline="0">
                        <a:solidFill>
                          <a:srgbClr val="000000"/>
                        </a:solidFill>
                        <a:latin typeface="Calibri"/>
                        <a:ea typeface="宋体"/>
                        <a:cs typeface="Lucida Sans"/>
                      </a:rPr>
                      <a:t>2.48</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1"/>
              <c:showBubbleSize val="0"/>
            </c:dLbl>
            <c:dLbl>
              <c:idx val="2"/>
              <c:layout>
                <c:manualLayout>
                  <c:x val="-0.053187657"/>
                  <c:y val="0.010562451"/>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卫生健康支出 </a:t>
                    </a:r>
                    <a:r>
                      <a:rPr lang="zh-CN" sz="1000" b="0" i="0" u="none" strike="noStrike" baseline="0">
                        <a:solidFill>
                          <a:srgbClr val="000000"/>
                        </a:solidFill>
                        <a:latin typeface="Calibri"/>
                        <a:ea typeface="宋体"/>
                        <a:cs typeface="Lucida Sans"/>
                      </a:rPr>
                      <a:t>3.95</a:t>
                    </a:r>
                    <a:r>
                      <a:rPr lang="zh-CN" sz="1000" b="0" i="0" u="none" strike="noStrike" baseline="0">
                        <a:solidFill>
                          <a:srgbClr val="000000"/>
                        </a:solidFill>
                        <a:latin typeface="Calibri"/>
                        <a:ea typeface="宋体"/>
                        <a:cs typeface="Lucida Sans"/>
                      </a:rPr>
                      <a:t>万元</a:t>
                    </a:r>
                    <a:r>
                      <a:rPr lang="zh-CN" sz="1000" b="0" i="0" u="none" strike="noStrike" baseline="0">
                        <a:solidFill>
                          <a:srgbClr val="000000"/>
                        </a:solidFill>
                        <a:latin typeface="Calibri"/>
                        <a:ea typeface="宋体"/>
                        <a:cs typeface="Lucida Sans"/>
                      </a:rPr>
                      <a:t>,0.29</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0"/>
              <c:showBubbleSize val="0"/>
            </c:dLbl>
            <c:dLbl>
              <c:idx val="3"/>
              <c:layout>
                <c:manualLayout>
                  <c:x val="0.0"/>
                  <c:y val="-0.3781311"/>
                </c:manualLayout>
              </c:layout>
              <c:numFmt formatCode="0.00%" sourceLinked="0"/>
              <c:spPr>
                <a:noFill/>
                <a:ln>
                  <a:noFill/>
                </a:ln>
              </c:spPr>
              <c:txPr>
                <a:bodyPr vert="horz" anchor="ctr"/>
                <a:lstStyle/>
                <a:p>
                  <a:pPr algn="ctr">
                    <a:defRPr sz="1000" b="0" i="0" u="none" strike="noStrike" baseline="0">
                      <a:solidFill>
                        <a:srgbClr val="000000"/>
                      </a:solidFill>
                      <a:latin typeface="Calibri"/>
                      <a:ea typeface="宋体"/>
                      <a:cs typeface="Lucida Sans"/>
                    </a:defRPr>
                  </a:pPr>
                  <a:endParaRPr lang="zh-CN"/>
                </a:p>
              </c:txPr>
              <c:tx>
                <c:rich>
                  <a:bodyPr vert="horz"/>
                  <a:lstStyle/>
                  <a:p>
                    <a:pPr>
                      <a:defRPr sz="1000" b="0" i="0" u="none" strike="noStrike" baseline="0">
                        <a:solidFill>
                          <a:srgbClr val="000000"/>
                        </a:solidFill>
                        <a:latin typeface="Calibri"/>
                        <a:ea typeface="宋体"/>
                        <a:cs typeface="Lucida Sans"/>
                      </a:defRPr>
                    </a:pPr>
                    <a:r>
                      <a:rPr lang="zh-CN" sz="1000" b="0" i="0" u="none" strike="noStrike" baseline="0">
                        <a:solidFill>
                          <a:srgbClr val="000000"/>
                        </a:solidFill>
                        <a:latin typeface="Calibri"/>
                        <a:ea typeface="宋体"/>
                        <a:cs typeface="Lucida Sans"/>
                      </a:rPr>
                      <a:t>住房保障</a:t>
                    </a:r>
                    <a:r>
                      <a:rPr lang="zh-CN" sz="1000" b="0" i="0" u="none" strike="noStrike" baseline="0">
                        <a:solidFill>
                          <a:srgbClr val="000000"/>
                        </a:solidFill>
                        <a:latin typeface="Calibri"/>
                        <a:ea typeface="宋体"/>
                        <a:cs typeface="Lucida Sans"/>
                      </a:rPr>
                      <a:t>支出, </a:t>
                    </a:r>
                    <a:r>
                      <a:rPr lang="zh-CN" sz="1000" b="0" i="0" u="none" strike="noStrike" baseline="0">
                        <a:solidFill>
                          <a:srgbClr val="000000"/>
                        </a:solidFill>
                        <a:latin typeface="Calibri"/>
                        <a:ea typeface="宋体"/>
                        <a:cs typeface="Lucida Sans"/>
                      </a:rPr>
                      <a:t>6.44</a:t>
                    </a:r>
                    <a:r>
                      <a:rPr lang="zh-CN" sz="1000" b="0" i="0" u="none" strike="noStrike" baseline="0">
                        <a:solidFill>
                          <a:srgbClr val="000000"/>
                        </a:solidFill>
                        <a:latin typeface="Calibri"/>
                        <a:ea typeface="宋体"/>
                        <a:cs typeface="Lucida Sans"/>
                      </a:rPr>
                      <a:t>万元, </a:t>
                    </a:r>
                    <a:r>
                      <a:rPr lang="zh-CN" sz="1000" b="0" i="0" u="none" strike="noStrike" baseline="0">
                        <a:solidFill>
                          <a:srgbClr val="000000"/>
                        </a:solidFill>
                        <a:latin typeface="Calibri"/>
                        <a:ea typeface="宋体"/>
                        <a:cs typeface="Lucida Sans"/>
                      </a:rPr>
                      <a:t>0.46</a:t>
                    </a:r>
                    <a:r>
                      <a:rPr lang="zh-CN" sz="1000" b="0" i="0" u="none" strike="noStrike" baseline="0">
                        <a:solidFill>
                          <a:srgbClr val="000000"/>
                        </a:solidFill>
                        <a:latin typeface="Calibri"/>
                        <a:ea typeface="宋体"/>
                        <a:cs typeface="Lucida Sans"/>
                      </a:rPr>
                      <a:t>%</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={"教育支出","社会保障和就业支出","卫生健康支出","住房保障支出"}</c:f>
              <c:strCache>
                <c:ptCount val="4"/>
                <c:pt idx="0">
                  <c:v>教育支出</c:v>
                </c:pt>
                <c:pt idx="1">
                  <c:v>社会保障和就业支出</c:v>
                </c:pt>
                <c:pt idx="2">
                  <c:v>卫生健康支出</c:v>
                </c:pt>
                <c:pt idx="3">
                  <c:v>住房保障支出</c:v>
                </c:pt>
              </c:strCache>
            </c:strRef>
          </c:cat>
          <c:val>
            <c:numRef>
              <c:f/>
              <c:numCache>
                <c:formatCode>General</c:formatCode>
                <c:ptCount val="4"/>
                <c:pt idx="0">
                  <c:v>1337.43</c:v>
                </c:pt>
                <c:pt idx="1">
                  <c:v>34.22</c:v>
                </c:pt>
                <c:pt idx="2">
                  <c:v>3.95</c:v>
                </c:pt>
                <c:pt idx="3">
                  <c:v>6.44</c:v>
                </c:pt>
              </c:numCache>
            </c:numRef>
          </c:val>
        </c:ser>
        <c:firstSliceAng val="271"/>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Calibri"/>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AB286438-1136-44B1-B58A-90FC1C252E3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1029</TotalTime>
  <Application>WPS_Yozo_Office9.0.5233.191ZH.S1</Application>
  <Pages>24</Pages>
  <Words>0</Words>
  <Characters>7610</Characters>
  <Lines>0</Lines>
  <Paragraphs>246</Paragraphs>
  <CharactersWithSpaces>10147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61</cp:revision>
  <cp:lastPrinted>2023-10-12T09:56:00Z</cp:lastPrinted>
  <dcterms:created xsi:type="dcterms:W3CDTF">2023-09-18T02:14:00Z</dcterms:created>
  <dcterms:modified xsi:type="dcterms:W3CDTF">2024-10-23T08:11:58Z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F8EC8C083A8449708CF3BFAC7EDA1A21</vt:lpwstr>
  </property>
</Properties>
</file>