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jc w:val="center"/>
        <w:textAlignment w:val="baseline"/>
        <w:rPr>
          <w:rFonts w:ascii="黑体" w:eastAsia="黑体" w:cs="黑体" w:hAnsi="黑体" w:hint="eastAsia"/>
          <w:sz w:val="44"/>
          <w:szCs w:val="44"/>
        </w:rPr>
      </w:pPr>
      <w:r>
        <w:rPr>
          <w:rFonts w:ascii="黑体" w:eastAsia="黑体" w:cs="黑体" w:hAnsi="黑体" w:hint="eastAsia"/>
          <w:spacing w:val="9"/>
          <w:sz w:val="44"/>
          <w:szCs w:val="44"/>
        </w:rPr>
        <w:t>广元市</w:t>
      </w:r>
      <w:r>
        <w:rPr>
          <w:rFonts w:ascii="黑体" w:eastAsia="黑体" w:cs="黑体" w:hAnsi="黑体" w:hint="eastAsia"/>
          <w:spacing w:val="9"/>
          <w:sz w:val="44"/>
          <w:szCs w:val="44"/>
          <w:lang w:val="en-US" w:eastAsia="zh-CN"/>
        </w:rPr>
        <w:t>利州</w:t>
      </w:r>
      <w:r>
        <w:rPr>
          <w:rFonts w:ascii="黑体" w:eastAsia="黑体" w:cs="黑体" w:hAnsi="黑体" w:hint="eastAsia"/>
          <w:spacing w:val="9"/>
          <w:sz w:val="44"/>
          <w:szCs w:val="44"/>
        </w:rPr>
        <w:t>区市场监督管理局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jc w:val="center"/>
        <w:textAlignment w:val="baseline"/>
        <w:rPr>
          <w:rFonts w:ascii="黑体" w:eastAsia="黑体" w:cs="黑体" w:hAnsi="黑体" w:hint="eastAsia"/>
          <w:spacing w:val="8"/>
          <w:sz w:val="44"/>
          <w:szCs w:val="44"/>
        </w:rPr>
      </w:pPr>
      <w:r>
        <w:rPr>
          <w:rFonts w:ascii="黑体" w:eastAsia="黑体" w:cs="黑体" w:hAnsi="黑体" w:hint="eastAsia"/>
          <w:spacing w:val="-2"/>
          <w:sz w:val="44"/>
          <w:szCs w:val="44"/>
        </w:rPr>
        <w:t>2024年重点工业产品质量</w:t>
      </w:r>
      <w:r>
        <w:rPr>
          <w:rFonts w:ascii="黑体" w:eastAsia="黑体" w:cs="黑体" w:hAnsi="黑体" w:hint="eastAsia"/>
          <w:spacing w:val="8"/>
          <w:sz w:val="44"/>
          <w:szCs w:val="44"/>
        </w:rPr>
        <w:t>监督抽查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jc w:val="center"/>
        <w:textAlignment w:val="baseline"/>
        <w:rPr>
          <w:rFonts w:ascii="微软雅黑" w:eastAsia="黑体" w:cs="微软雅黑" w:hAnsi="微软雅黑" w:hint="eastAsia"/>
          <w:spacing w:val="8"/>
          <w:sz w:val="44"/>
          <w:szCs w:val="44"/>
          <w:lang w:eastAsia="zh-CN"/>
        </w:rPr>
      </w:pPr>
      <w:r>
        <w:rPr>
          <w:rFonts w:ascii="黑体" w:eastAsia="黑体" w:cs="黑体" w:hAnsi="黑体" w:hint="eastAsia"/>
          <w:spacing w:val="8"/>
          <w:sz w:val="44"/>
          <w:szCs w:val="44"/>
        </w:rPr>
        <w:t>工作</w:t>
      </w:r>
      <w:r>
        <w:rPr>
          <w:rFonts w:ascii="黑体" w:eastAsia="黑体" w:cs="黑体" w:hAnsi="黑体" w:hint="eastAsia"/>
          <w:spacing w:val="8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jc w:val="center"/>
        <w:textAlignment w:val="baseline"/>
        <w:rPr>
          <w:rFonts w:ascii="微软雅黑" w:eastAsia="微软雅黑" w:cs="微软雅黑" w:hAnsi="微软雅黑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56"/>
        <w:jc w:val="both"/>
        <w:textAlignment w:val="baseline"/>
        <w:rPr>
          <w:rFonts w:ascii="仿宋_GB2312" w:eastAsia="仿宋_GB2312" w:cs="仿宋_GB2312" w:hAnsi="仿宋_GB2312" w:hint="eastAsia"/>
          <w:spacing w:val="8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4"/>
          <w:sz w:val="32"/>
          <w:szCs w:val="32"/>
        </w:rPr>
        <w:t>为认真落实市委市政府有关安全工作要求，进一步加强产品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质量监管，推动重点工业产品质量持续提升，牢牢守住产品质量安全底线，根据《中华人民共和国产品质量法》《中华人民共和国消费者权益保护法》《产品质量监督抽查管理暂行办法》等有</w:t>
      </w:r>
      <w:r>
        <w:rPr>
          <w:rFonts w:ascii="仿宋_GB2312" w:eastAsia="仿宋_GB2312" w:cs="仿宋_GB2312" w:hAnsi="仿宋_GB2312" w:hint="eastAsia"/>
          <w:spacing w:val="9"/>
          <w:sz w:val="32"/>
          <w:szCs w:val="32"/>
        </w:rPr>
        <w:t>关法律法规，结合</w:t>
      </w:r>
      <w:r>
        <w:rPr>
          <w:rFonts w:ascii="仿宋_GB2312" w:eastAsia="仿宋_GB2312" w:cs="仿宋_GB2312" w:hAnsi="仿宋_GB2312" w:hint="eastAsia"/>
          <w:spacing w:val="9"/>
          <w:sz w:val="32"/>
          <w:szCs w:val="32"/>
          <w:lang w:eastAsia="zh-CN"/>
        </w:rPr>
        <w:t>利州</w:t>
      </w:r>
      <w:r>
        <w:rPr>
          <w:rFonts w:ascii="仿宋_GB2312" w:eastAsia="仿宋_GB2312" w:cs="仿宋_GB2312" w:hAnsi="仿宋_GB2312" w:hint="eastAsia"/>
          <w:spacing w:val="9"/>
          <w:sz w:val="32"/>
          <w:szCs w:val="32"/>
        </w:rPr>
        <w:t>区实际，我局决定组织开</w:t>
      </w:r>
      <w:r>
        <w:rPr>
          <w:rFonts w:ascii="仿宋_GB2312" w:eastAsia="仿宋_GB2312" w:cs="仿宋_GB2312" w:hAnsi="仿宋_GB2312" w:hint="eastAsia"/>
          <w:spacing w:val="8"/>
          <w:sz w:val="32"/>
          <w:szCs w:val="32"/>
        </w:rPr>
        <w:t>展</w:t>
      </w:r>
      <w:r>
        <w:rPr>
          <w:rFonts w:ascii="仿宋_GB2312" w:eastAsia="仿宋_GB2312" w:cs="仿宋_GB2312" w:hAnsi="仿宋_GB2312" w:hint="eastAsia"/>
          <w:spacing w:val="8"/>
          <w:sz w:val="32"/>
          <w:szCs w:val="32"/>
          <w:lang w:val="en-US" w:eastAsia="zh-CN"/>
        </w:rPr>
        <w:t>2024</w:t>
      </w:r>
      <w:r>
        <w:rPr>
          <w:rFonts w:ascii="仿宋_GB2312" w:eastAsia="仿宋_GB2312" w:cs="仿宋_GB2312" w:hAnsi="仿宋_GB2312" w:hint="eastAsia"/>
          <w:spacing w:val="8"/>
          <w:sz w:val="32"/>
          <w:szCs w:val="32"/>
        </w:rPr>
        <w:t>年度重</w:t>
      </w:r>
      <w:r>
        <w:rPr>
          <w:rFonts w:ascii="仿宋_GB2312" w:eastAsia="仿宋_GB2312" w:cs="仿宋_GB2312" w:hAnsi="仿宋_GB2312" w:hint="eastAsia"/>
          <w:spacing w:val="9"/>
          <w:sz w:val="32"/>
          <w:szCs w:val="32"/>
        </w:rPr>
        <w:t>点工业产品质量监督抽查，现</w:t>
      </w:r>
      <w:r>
        <w:rPr>
          <w:rFonts w:ascii="仿宋_GB2312" w:eastAsia="仿宋_GB2312" w:cs="仿宋_GB2312" w:hAnsi="仿宋_GB2312" w:hint="eastAsia"/>
          <w:spacing w:val="9"/>
          <w:sz w:val="32"/>
          <w:szCs w:val="32"/>
          <w:lang w:eastAsia="zh-CN"/>
        </w:rPr>
        <w:t>制定方案如下</w:t>
      </w:r>
      <w:r>
        <w:rPr>
          <w:rFonts w:ascii="仿宋_GB2312" w:eastAsia="仿宋_GB2312" w:cs="仿宋_GB2312" w:hAnsi="仿宋_GB2312" w:hint="eastAsia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6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68"/>
        <w:jc w:val="both"/>
        <w:textAlignment w:val="baseline"/>
        <w:rPr>
          <w:rFonts w:ascii="黑体" w:eastAsia="黑体" w:cs="黑体" w:hAnsi="黑体" w:hint="eastAsia"/>
          <w:spacing w:val="7"/>
          <w:sz w:val="31"/>
          <w:szCs w:val="31"/>
        </w:rPr>
      </w:pPr>
      <w:r>
        <w:rPr>
          <w:rFonts w:ascii="黑体" w:eastAsia="黑体" w:cs="黑体" w:hAnsi="黑体" w:hint="eastAsia"/>
          <w:spacing w:val="7"/>
          <w:sz w:val="32"/>
          <w:szCs w:val="32"/>
        </w:rPr>
        <w:t>一、监督抽查产品类别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60"/>
        <w:jc w:val="both"/>
        <w:textAlignment w:val="baseline"/>
        <w:rPr>
          <w:rFonts w:ascii="仿宋_GB2312" w:eastAsia="仿宋_GB2312" w:cs="仿宋_GB2312" w:hAnsi="仿宋_GB2312" w:hint="eastAsia"/>
          <w:spacing w:val="5"/>
          <w:sz w:val="32"/>
          <w:szCs w:val="32"/>
        </w:rPr>
      </w:pP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车用汽油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车用柴油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燃气用品、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  <w:t>电动自行车、儿童及婴幼儿服装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  <w:t>肥料、农膜、塑料购物袋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等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类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val="en-US" w:eastAsia="zh-CN"/>
        </w:rPr>
        <w:t>28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批次产品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  <w:t>，根据实际情况可进行调整</w:t>
      </w:r>
      <w:r>
        <w:rPr>
          <w:rFonts w:ascii="仿宋_GB2312" w:eastAsia="仿宋_GB2312" w:cs="仿宋_GB2312" w:hAnsi="仿宋_GB2312" w:hint="eastAsia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60"/>
        <w:jc w:val="both"/>
        <w:textAlignment w:val="baseline"/>
        <w:rPr>
          <w:rFonts w:ascii="仿宋_GB2312" w:eastAsia="仿宋_GB2312" w:cs="仿宋_GB2312" w:hAnsi="仿宋_GB2312" w:hint="eastAsia"/>
          <w:spacing w:val="5"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spacing w:val="5"/>
          <w:sz w:val="32"/>
          <w:szCs w:val="32"/>
          <w:lang w:eastAsia="zh-CN"/>
        </w:rPr>
        <w:t>二、抽检时间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60"/>
        <w:jc w:val="both"/>
        <w:textAlignment w:val="baseline"/>
        <w:rPr>
          <w:rFonts w:ascii="仿宋_GB2312" w:eastAsia="仿宋_GB2312" w:cs="仿宋_GB2312" w:hAnsi="仿宋_GB2312" w:hint="eastAsia"/>
          <w:spacing w:val="5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5"/>
          <w:sz w:val="32"/>
          <w:szCs w:val="32"/>
          <w:lang w:val="en-US" w:eastAsia="zh-CN"/>
        </w:rPr>
        <w:t>2024年10月16日至11月30日。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68"/>
        <w:jc w:val="both"/>
        <w:textAlignment w:val="baseline"/>
        <w:rPr>
          <w:rFonts w:ascii="黑体" w:eastAsia="黑体" w:cs="黑体" w:hAnsi="黑体" w:hint="eastAsia"/>
          <w:spacing w:val="7"/>
          <w:sz w:val="32"/>
          <w:szCs w:val="32"/>
        </w:rPr>
      </w:pPr>
      <w:r>
        <w:rPr>
          <w:rFonts w:ascii="黑体" w:eastAsia="黑体" w:cs="黑体" w:hAnsi="黑体" w:hint="eastAsia"/>
          <w:spacing w:val="7"/>
          <w:sz w:val="32"/>
          <w:szCs w:val="32"/>
          <w:lang w:eastAsia="zh-CN"/>
        </w:rPr>
        <w:t>三、</w:t>
      </w:r>
      <w:r>
        <w:rPr>
          <w:rFonts w:ascii="黑体" w:eastAsia="黑体" w:cs="黑体" w:hAnsi="黑体" w:hint="eastAsia"/>
          <w:spacing w:val="7"/>
          <w:sz w:val="32"/>
          <w:szCs w:val="32"/>
        </w:rPr>
        <w:t>工作内容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56"/>
        <w:jc w:val="both"/>
        <w:textAlignment w:val="baseline"/>
        <w:rPr>
          <w:rFonts w:ascii="方正楷体_GB2312" w:eastAsia="方正楷体_GB2312" w:cs="方正楷体_GB2312" w:hAnsi="方正楷体_GB2312" w:hint="eastAsia"/>
          <w:sz w:val="32"/>
          <w:szCs w:val="32"/>
        </w:rPr>
      </w:pPr>
      <w:r>
        <w:rPr>
          <w:rFonts w:ascii="方正楷体_GB2312" w:eastAsia="方正楷体_GB2312" w:cs="方正楷体_GB2312" w:hAnsi="方正楷体_GB2312" w:hint="eastAsia"/>
          <w:spacing w:val="4"/>
          <w:sz w:val="32"/>
          <w:szCs w:val="32"/>
        </w:rPr>
        <w:t>（一）工作程序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40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通过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公开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询价</w:t>
      </w:r>
      <w:r>
        <w:rPr>
          <w:rFonts w:ascii="仿宋_GB2312" w:eastAsia="仿宋_GB2312" w:cs="仿宋_GB2312" w:hAnsi="仿宋_GB2312" w:hint="eastAsia"/>
          <w:sz w:val="32"/>
          <w:szCs w:val="32"/>
        </w:rPr>
        <w:t>方式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确定本年度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质量监督抽检</w:t>
      </w:r>
      <w:r>
        <w:rPr>
          <w:rFonts w:ascii="仿宋_GB2312" w:eastAsia="仿宋_GB2312" w:cs="仿宋_GB2312" w:hAnsi="仿宋_GB2312" w:hint="eastAsia"/>
          <w:sz w:val="32"/>
          <w:szCs w:val="32"/>
        </w:rPr>
        <w:t>第三方承检机构。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eastAsia="zh-CN"/>
        </w:rPr>
        <w:t>承检机构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</w:rPr>
        <w:t>严格按照下达的监督抽查任务，制订《抽查实施方案》，工作程序及相关文书严格按照《四川省产品质量监督抽查工作指南》要求执行，在抽样和检验中遇到问题要及时反馈和沟通。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eastAsia="zh-CN"/>
        </w:rPr>
        <w:t>承检机构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</w:rPr>
        <w:t>要合理配置资源，严格按照监督抽查工作程序和时间要求，完成抽样、检验、协助结论告知、相关数据资料上报等工作。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60"/>
        <w:jc w:val="both"/>
        <w:textAlignment w:val="baseline"/>
        <w:rPr>
          <w:rFonts w:ascii="楷体" w:eastAsia="楷体" w:cs="楷体" w:hAnsi="楷体"/>
          <w:sz w:val="32"/>
          <w:szCs w:val="32"/>
        </w:rPr>
      </w:pPr>
      <w:r>
        <w:rPr>
          <w:rFonts w:ascii="方正楷体_GB2312" w:eastAsia="方正楷体_GB2312" w:cs="方正楷体_GB2312" w:hAnsi="方正楷体_GB2312" w:hint="eastAsia"/>
          <w:spacing w:val="5"/>
          <w:sz w:val="32"/>
          <w:szCs w:val="32"/>
        </w:rPr>
        <w:t>（二）确定抽查对象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Chars="200" w:firstLine="656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</w:rPr>
      </w:pPr>
      <w:r>
        <w:rPr>
          <w:rFonts w:ascii="仿宋_GB2312" w:eastAsia="仿宋_GB2312" w:cs="仿宋_GB2312" w:hAnsi="仿宋_GB2312" w:hint="eastAsia"/>
          <w:spacing w:val="4"/>
          <w:sz w:val="32"/>
          <w:szCs w:val="32"/>
        </w:rPr>
        <w:t>按照“双随机、一公开”监管工作要求，坚持问题导向，重点关注发现存在质量安全隐患的市场主体、农村及城乡结合部集贸市场以及舆情信息、消费投诉和民生关注集中的市场主体，结合当地实际，科学确定本辖区抽查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56"/>
        <w:jc w:val="both"/>
        <w:textAlignment w:val="baseline"/>
        <w:rPr>
          <w:rFonts w:ascii="方正楷体_GB2312" w:eastAsia="方正楷体_GB2312" w:cs="方正楷体_GB2312" w:hAnsi="方正楷体_GB2312" w:hint="eastAsia"/>
          <w:sz w:val="32"/>
          <w:szCs w:val="32"/>
        </w:rPr>
      </w:pPr>
      <w:r>
        <w:rPr>
          <w:rFonts w:ascii="方正楷体_GB2312" w:eastAsia="方正楷体_GB2312" w:cs="方正楷体_GB2312" w:hAnsi="方正楷体_GB2312" w:hint="eastAsia"/>
          <w:spacing w:val="4"/>
          <w:sz w:val="32"/>
          <w:szCs w:val="32"/>
        </w:rPr>
        <w:t>（三）抽样检验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Chars="200" w:firstLine="656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 w:eastAsia="zh-CN"/>
        </w:rPr>
        <w:t>承检机构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要加强对抽查市场主体名单保密，不得随意泄露或提前告知抽查对象。在抽样过程中，主动向抽查对象宣贯“两个规定”，认真核实样品信息，规范填写相关文书，并采取有效防拆封措施完成封样。</w:t>
      </w:r>
      <w:r>
        <w:rPr>
          <w:rFonts w:ascii="仿宋_GB2312" w:eastAsia="仿宋_GB2312" w:cs="仿宋_GB2312" w:hAnsi="仿宋_GB2312" w:hint="eastAsia"/>
          <w:sz w:val="32"/>
          <w:szCs w:val="32"/>
        </w:rPr>
        <w:t>在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抽样检验</w:t>
      </w:r>
      <w:r>
        <w:rPr>
          <w:rFonts w:ascii="仿宋_GB2312" w:eastAsia="仿宋_GB2312" w:cs="仿宋_GB2312" w:hAnsi="仿宋_GB2312" w:hint="eastAsia"/>
          <w:sz w:val="32"/>
          <w:szCs w:val="32"/>
        </w:rPr>
        <w:t>过程中，涉及抽样、检验、复检、结果报送、不合格样品后续处理等工作，应严格按照《中华人民共和国产品质量法》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《产品质量监督抽查管理办法》等法律法规的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相关要求</w:t>
      </w:r>
      <w:r>
        <w:rPr>
          <w:rFonts w:ascii="仿宋_GB2312" w:eastAsia="仿宋_GB2312" w:cs="仿宋_GB2312" w:hAnsi="仿宋_GB2312" w:hint="eastAsia"/>
          <w:sz w:val="32"/>
          <w:szCs w:val="32"/>
        </w:rPr>
        <w:t>，做到程序合规</w:t>
      </w:r>
      <w:r>
        <w:rPr>
          <w:rFonts w:ascii="仿宋_GB2312" w:eastAsia="仿宋_GB2312" w:cs="仿宋_GB2312" w:hAnsi="仿宋_GB2312"/>
          <w:sz w:val="32"/>
          <w:szCs w:val="32"/>
        </w:rPr>
        <w:t>、环环</w:t>
      </w:r>
      <w:r>
        <w:rPr>
          <w:rFonts w:ascii="仿宋_GB2312" w:eastAsia="仿宋_GB2312" w:cs="仿宋_GB2312" w:hAnsi="仿宋_GB2312" w:hint="eastAsia"/>
          <w:sz w:val="32"/>
          <w:szCs w:val="32"/>
        </w:rPr>
        <w:t>相扣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实施有序。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64"/>
        <w:jc w:val="both"/>
        <w:textAlignment w:val="baseline"/>
        <w:rPr>
          <w:rFonts w:ascii="方正楷体_GB2312" w:eastAsia="方正楷体_GB2312" w:cs="方正楷体_GB2312" w:hAnsi="方正楷体_GB2312" w:hint="eastAsia"/>
          <w:sz w:val="32"/>
          <w:szCs w:val="32"/>
        </w:rPr>
      </w:pPr>
      <w:r>
        <w:rPr>
          <w:rFonts w:ascii="方正楷体_GB2312" w:eastAsia="方正楷体_GB2312" w:cs="方正楷体_GB2312" w:hAnsi="方正楷体_GB2312" w:hint="eastAsia"/>
          <w:spacing w:val="6"/>
          <w:sz w:val="32"/>
          <w:szCs w:val="32"/>
        </w:rPr>
        <w:t>（四）结论告知与异议处理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Chars="200" w:firstLine="656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检验报告出具后5个工作日内，承检机构将《产品质量监督抽查/复查通知书》《产品质量监督抽查检验结论告知书》、抽样单、检验报告等相关资料依法寄送或直接送达生产者或销售者。对于不合格产品相关资料的寄送或直接送达时，应全程录像并妥善保存影像资料，被抽样</w:t>
      </w:r>
      <w:r>
        <w:rPr>
          <w:rFonts w:ascii="仿宋_GB2312" w:eastAsia="仿宋_GB2312" w:cs="仿宋_GB2312" w:hAnsi="仿宋_GB2312"/>
          <w:spacing w:val="4"/>
          <w:sz w:val="32"/>
          <w:szCs w:val="32"/>
          <w:lang w:val="en-US"/>
        </w:rPr>
        <w:t>的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生产者、销售者须100%送达。对检验结果提出异议并符合复检要求的，我局将组织进行复检。对逾期无异议的，承检机构5日内将不合格产品相关资料统一报送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 w:eastAsia="zh-CN"/>
        </w:rPr>
        <w:t>利州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区市场监管局开展后处理工作。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304" w:left="1621" w:right="0" w:hangingChars="300" w:hanging="983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</w:pP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附件：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 w:eastAsia="zh-CN"/>
        </w:rPr>
        <w:t>2024年</w:t>
      </w:r>
      <w:r>
        <w:rPr>
          <w:rFonts w:ascii="仿宋_GB2312" w:eastAsia="仿宋_GB2312" w:cs="仿宋_GB2312" w:hAnsi="仿宋_GB2312" w:hint="eastAsia"/>
          <w:spacing w:val="4"/>
          <w:sz w:val="32"/>
          <w:szCs w:val="32"/>
          <w:lang w:val="en-US"/>
        </w:rPr>
        <w:t>工业产品质量监督抽查计划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304" w:left="1621" w:right="0" w:hangingChars="300" w:hanging="983"/>
        <w:jc w:val="both"/>
        <w:textAlignment w:val="baseline"/>
        <w:rPr>
          <w:rFonts w:ascii="仿宋_GB2312" w:eastAsia="仿宋_GB2312" w:cs="仿宋_GB2312" w:hAnsi="仿宋_GB2312" w:hint="eastAsia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6" w:lineRule="exact"/>
        <w:ind w:right="985" w:firstLineChars="1000" w:firstLine="3080"/>
        <w:jc w:val="both"/>
        <w:textAlignment w:val="baseline"/>
        <w:rPr>
          <w:rFonts w:ascii="仿宋_GB2312" w:eastAsia="仿宋_GB2312" w:cs="仿宋_GB2312" w:hAnsi="仿宋_GB2312" w:hint="eastAsia"/>
          <w:sz w:val="31"/>
          <w:szCs w:val="31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-6"/>
          <w:sz w:val="32"/>
          <w:szCs w:val="32"/>
          <w:lang w:val="en-US" w:eastAsia="zh-CN"/>
        </w:rPr>
        <w:t xml:space="preserve"> 广元市利州区市场监督管理局                              2024年10月9日</w:t>
      </w: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/>
          <w:spacing w:val="-6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黑体" w:eastAsia="黑体" w:cs="黑体" w:hAnsi="黑体" w:hint="eastAsia"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39" w:line="576" w:lineRule="exact"/>
        <w:jc w:val="center"/>
        <w:textAlignment w:val="baseline"/>
        <w:rPr>
          <w:rFonts w:ascii="宋体" w:eastAsia="宋体" w:cs="宋体" w:hAnsi="宋体"/>
          <w:b/>
          <w:bCs/>
          <w:spacing w:val="-26"/>
          <w:sz w:val="43"/>
          <w:szCs w:val="43"/>
        </w:rPr>
      </w:pPr>
      <w:r>
        <w:rPr>
          <w:rFonts w:ascii="宋体" w:eastAsia="宋体" w:cs="宋体" w:hAnsi="宋体"/>
          <w:b/>
          <w:bCs/>
          <w:spacing w:val="-26"/>
          <w:sz w:val="43"/>
          <w:szCs w:val="43"/>
        </w:rPr>
        <w:t>2024年工业产品质量监督抽查计划</w:t>
      </w:r>
    </w:p>
    <w:p>
      <w:pPr>
        <w:pStyle w:val="15"/>
        <w:rPr>
          <w:rFonts w:hint="eastAsia"/>
          <w:lang w:eastAsia="zh-CN"/>
        </w:rPr>
      </w:pPr>
    </w:p>
    <w:tbl>
      <w:tblPr>
        <w:jc w:val="left"/>
        <w:tblInd w:w="0" w:type="dxa"/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09"/>
        <w:gridCol w:w="3241"/>
        <w:gridCol w:w="1198"/>
        <w:gridCol w:w="884"/>
        <w:gridCol w:w="884"/>
        <w:gridCol w:w="1601"/>
      </w:tblGrid>
      <w:tr>
        <w:tc>
          <w:tcPr>
            <w:tcW w:w="3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6"/>
                <w:sz w:val="28"/>
                <w:szCs w:val="28"/>
              </w:rPr>
              <w:t>产品名称</w:t>
            </w:r>
          </w:p>
        </w:tc>
        <w:tc>
          <w:tcPr>
            <w:tcW w:w="7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-3"/>
                <w:sz w:val="28"/>
                <w:szCs w:val="28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5"/>
                <w:sz w:val="28"/>
                <w:szCs w:val="28"/>
              </w:rPr>
              <w:t>批次数</w:t>
            </w:r>
          </w:p>
        </w:tc>
        <w:tc>
          <w:tcPr>
            <w:tcW w:w="10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6"/>
                <w:sz w:val="28"/>
                <w:szCs w:val="28"/>
              </w:rPr>
              <w:t>执行环节</w:t>
            </w:r>
          </w:p>
        </w:tc>
        <w:tc>
          <w:tcPr>
            <w:tcW w:w="9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6"/>
                <w:sz w:val="28"/>
                <w:szCs w:val="28"/>
                <w:lang w:eastAsia="zh-CN"/>
              </w:rPr>
              <w:t>完成时限</w:t>
            </w:r>
          </w:p>
        </w:tc>
      </w:tr>
      <w:tr>
        <w:tc>
          <w:tcPr>
            <w:tcW w:w="306" w:type="pct"/>
            <w:vMerge/>
            <w:vAlign w:val="center"/>
          </w:tcPr>
          <w:p/>
        </w:tc>
        <w:tc>
          <w:tcPr>
            <w:tcW w:w="1947" w:type="pct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720" w:type="pct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5"/>
                <w:sz w:val="28"/>
                <w:szCs w:val="28"/>
                <w:lang w:val="en-US" w:eastAsia="zh-CN"/>
              </w:rPr>
              <w:t>生产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pacing w:val="5"/>
                <w:sz w:val="28"/>
                <w:szCs w:val="28"/>
                <w:lang w:val="en-US" w:eastAsia="zh-CN"/>
              </w:rPr>
              <w:t>流通</w:t>
            </w:r>
          </w:p>
        </w:tc>
        <w:tc>
          <w:tcPr>
            <w:tcW w:w="962" w:type="pct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hRule="exact" w:val="10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电动自行车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电动自行车充电器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90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电动自行车用动力电池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9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手提式干粉灭火器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燃气用具连接用软管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儿童及婴幼儿服装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学生文具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腻子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胶粘剂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88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新型墙体材料（砖和砌块）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混凝土输水管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68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车用汽油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770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车用柴油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78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肥料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56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农用薄膜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56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塑料购物袋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56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校服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  <w:tr>
        <w:trPr>
          <w:trHeight w:hRule="exact" w:val="565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床上用品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宋体" w:hint="eastAsia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cs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 w:hAnsi="仿宋" w:hint="eastAsia"/>
                <w:sz w:val="28"/>
                <w:szCs w:val="28"/>
                <w:vertAlign w:val="baseline"/>
                <w:lang w:val="en-US" w:eastAsia="zh-CN"/>
              </w:rPr>
              <w:t>11月30日</w:t>
            </w:r>
          </w:p>
        </w:tc>
      </w:tr>
    </w:tbl>
    <w:p>
      <w:pPr>
        <w:pStyle w:val="15"/>
        <w:rPr>
          <w:rFonts w:eastAsia="宋体"/>
          <w:lang w:val="en-US" w:eastAsia="zh-CN"/>
        </w:rPr>
        <w:sectPr>
          <w:headerReference w:type="default" r:id="rId2"/>
          <w:pgSz w:w="11906" w:h="16839"/>
          <w:pgMar w:top="1440" w:right="1689" w:bottom="1440" w:left="1689" w:header="0" w:footer="1374" w:gutter="0"/>
          <w:cols w:num="1" w:space="720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</w:pPr>
    </w:p>
    <w:sectPr>
      <w:headerReference w:type="default" r:id="rId3"/>
      <w:footerReference w:type="default" r:id="rId4"/>
      <w:pgSz w:w="11906" w:h="16839"/>
      <w:pgMar w:top="400" w:right="1335" w:bottom="400" w:left="1510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spacing w:line="14" w:lineRule="auto"/>
      <w:rPr>
        <w:sz w:val="2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spacing w:line="14" w:lineRule="auto"/>
      <w:rPr>
        <w:sz w:val="2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spacing w:line="14" w:lineRule="auto"/>
      <w:rPr>
        <w:sz w:val="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UyMzdjZjFiZTVjZjk4MDQzMTA5MDk3MTc3MTVmNTk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Arial" w:eastAsia="Arial" w:cs="Arial" w:hAnsi="Arial"/>
      <w:b/>
      <w:bCs/>
      <w:snapToGrid w:val="0"/>
      <w:color w:val="000000"/>
      <w:kern w:val="44"/>
      <w:sz w:val="44"/>
      <w:szCs w:val="44"/>
      <w:lang w:val="en-US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Arial"/>
      <w:b/>
      <w:bCs/>
      <w:snapToGrid w:val="0"/>
      <w:color w:val="000000"/>
      <w:kern w:val="0"/>
      <w:sz w:val="32"/>
      <w:szCs w:val="32"/>
      <w:lang w:val="en-US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kern w:val="0"/>
      <w:sz w:val="32"/>
      <w:szCs w:val="32"/>
      <w:lang w:val="en-US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Arial" w:eastAsia="Arial" w:cs="Arial" w:hAnsi="Arial"/>
      <w:sz w:val="21"/>
      <w:szCs w:val="21"/>
      <w:lang w:val="en-US" w:bidi="ar-SA"/>
    </w:rPr>
  </w:style>
  <w:style w:type="paragraph" w:customStyle="1" w:styleId="16">
    <w:name w:val="Table Text"/>
    <w:qFormat/>
    <w:basedOn w:val="0"/>
    <w:rPr>
      <w:rFonts w:ascii="宋体" w:eastAsia="宋体" w:cs="宋体" w:hAnsi="宋体"/>
      <w:sz w:val="20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A844AAA1-7D74-436E-83DC-B14D2A32335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WPS_Yozo_Office9.0.5233.191ZH.S1</Application>
  <Pages>6</Pages>
  <Words>0</Words>
  <Characters>1178</Characters>
  <Lines>0</Lines>
  <Paragraphs>45</Paragraphs>
  <CharactersWithSpaces>1571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Dtah</dc:creator>
  <cp:lastModifiedBy>user</cp:lastModifiedBy>
  <cp:revision>1</cp:revision>
  <cp:lastPrinted>2024-10-10T05:42:00Z</cp:lastPrinted>
  <dcterms:created xsi:type="dcterms:W3CDTF">2024-07-25T02:29:00Z</dcterms:created>
  <dcterms:modified xsi:type="dcterms:W3CDTF">2024-10-14T08:56:19Z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A00DEA9ABB2D43BF9944BE6EA196EF98_13</vt:lpwstr>
  </property>
</Properties>
</file>