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sz w:val="72"/>
          <w:szCs w:val="72"/>
        </w:rPr>
      </w:pPr>
      <w:bookmarkStart w:id="0" w:name="_Toc15377425"/>
      <w:bookmarkStart w:id="1" w:name="_Toc15377193"/>
      <w:bookmarkStart w:id="2" w:name="_Toc15396597"/>
      <w:bookmarkStart w:id="3" w:name="_Toc15396475"/>
      <w:bookmarkStart w:id="4" w:name="_Toc15378441"/>
      <w:bookmarkStart w:id="5" w:name="_Toc15306267"/>
    </w:p>
    <w:p>
      <w:pPr>
        <w:spacing w:line="600" w:lineRule="exact"/>
        <w:jc w:val="center"/>
        <w:outlineLvl w:val="0"/>
        <w:rPr>
          <w:rFonts w:ascii="方正小标宋简体" w:eastAsia="方正小标宋简体" w:hAnsi="宋体"/>
          <w:sz w:val="72"/>
          <w:szCs w:val="72"/>
        </w:rPr>
      </w:pPr>
    </w:p>
    <w:p>
      <w:pPr>
        <w:spacing w:line="600" w:lineRule="exact"/>
        <w:jc w:val="center"/>
        <w:outlineLvl w:val="0"/>
        <w:rPr>
          <w:rFonts w:ascii="方正小标宋简体" w:eastAsia="方正小标宋简体" w:hAnsi="宋体"/>
          <w:sz w:val="72"/>
          <w:szCs w:val="72"/>
        </w:rPr>
      </w:pPr>
    </w:p>
    <w:p>
      <w:pPr>
        <w:adjustRightInd w:val="0"/>
        <w:snapToGrid w:val="0"/>
        <w:spacing w:line="360" w:lineRule="auto"/>
        <w:jc w:val="center"/>
        <w:outlineLvl w:val="0"/>
        <w:rPr>
          <w:rFonts w:ascii="方正小标宋简体" w:eastAsia="方正小标宋简体" w:cs="方正小标宋简体" w:hAnsi="方正小标宋简体"/>
          <w:sz w:val="72"/>
          <w:szCs w:val="72"/>
        </w:rPr>
      </w:pPr>
      <w:r>
        <w:rPr>
          <w:rFonts w:ascii="方正小标宋简体" w:eastAsia="方正小标宋简体" w:cs="方正小标宋简体" w:hAnsi="方正小标宋简体" w:hint="eastAsia"/>
          <w:sz w:val="72"/>
          <w:szCs w:val="72"/>
        </w:rPr>
        <w:t>2022年度</w:t>
      </w:r>
      <w:bookmarkEnd w:id="0"/>
      <w:bookmarkEnd w:id="1"/>
      <w:bookmarkEnd w:id="2"/>
      <w:bookmarkEnd w:id="3"/>
      <w:bookmarkEnd w:id="4"/>
    </w:p>
    <w:p>
      <w:pPr>
        <w:adjustRightInd w:val="0"/>
        <w:snapToGrid w:val="0"/>
        <w:spacing w:line="360" w:lineRule="auto"/>
        <w:jc w:val="center"/>
        <w:outlineLvl w:val="0"/>
        <w:rPr>
          <w:rFonts w:ascii="方正小标宋简体" w:eastAsia="方正小标宋简体" w:cs="方正小标宋简体" w:hAnsi="方正小标宋简体"/>
          <w:sz w:val="52"/>
          <w:szCs w:val="52"/>
        </w:rPr>
      </w:pPr>
      <w:bookmarkStart w:id="6" w:name="_Toc15306268"/>
      <w:bookmarkStart w:id="7" w:name="_Toc15396476"/>
      <w:bookmarkStart w:id="8" w:name="_Toc15377194"/>
      <w:bookmarkStart w:id="9" w:name="_Toc15396598"/>
      <w:bookmarkStart w:id="10" w:name="_Toc15378442"/>
      <w:bookmarkStart w:id="11" w:name="_Toc15377426"/>
      <w:bookmarkEnd w:id="5"/>
      <w:r>
        <w:rPr>
          <w:rFonts w:ascii="方正小标宋简体" w:eastAsia="方正小标宋简体" w:cs="方正小标宋简体" w:hAnsi="方正小标宋简体" w:hint="eastAsia"/>
          <w:sz w:val="52"/>
          <w:szCs w:val="52"/>
        </w:rPr>
        <w:t>广元市利州区审计局</w:t>
      </w:r>
    </w:p>
    <w:p>
      <w:pPr>
        <w:adjustRightInd w:val="0"/>
        <w:snapToGrid w:val="0"/>
        <w:spacing w:line="360" w:lineRule="auto"/>
        <w:jc w:val="center"/>
        <w:outlineLvl w:val="0"/>
        <w:rPr>
          <w:rFonts w:ascii="方正小标宋简体" w:eastAsia="方正小标宋简体" w:cs="方正小标宋简体" w:hAnsi="方正小标宋简体"/>
          <w:sz w:val="52"/>
          <w:szCs w:val="52"/>
        </w:rPr>
      </w:pPr>
      <w:r>
        <w:rPr>
          <w:rFonts w:ascii="方正小标宋简体" w:eastAsia="方正小标宋简体" w:cs="方正小标宋简体" w:hAnsi="方正小标宋简体" w:hint="eastAsia"/>
          <w:sz w:val="52"/>
          <w:szCs w:val="52"/>
        </w:rPr>
        <w:t>部门决算</w:t>
      </w:r>
      <w:bookmarkEnd w:id="6"/>
      <w:bookmarkEnd w:id="7"/>
      <w:bookmarkEnd w:id="8"/>
      <w:bookmarkEnd w:id="9"/>
      <w:bookmarkEnd w:id="10"/>
      <w:bookmarkEnd w:id="11"/>
      <w:r>
        <w:rPr>
          <w:rFonts w:ascii="方正小标宋简体" w:eastAsia="方正小标宋简体" w:cs="方正小标宋简体" w:hAnsi="方正小标宋简体" w:hint="eastAsia"/>
          <w:sz w:val="52"/>
          <w:szCs w:val="52"/>
        </w:rPr>
        <w:t>公开编制说明</w:t>
      </w:r>
    </w:p>
    <w:p>
      <w:pPr>
        <w:widowControl/>
        <w:jc w:val="center"/>
        <w:rPr>
          <w:rFonts w:ascii="方正小标宋简体" w:eastAsia="方正小标宋简体" w:hAnsi="宋体"/>
          <w:sz w:val="52"/>
          <w:szCs w:val="52"/>
        </w:rPr>
      </w:pPr>
      <w:r>
        <w:rPr>
          <w:rFonts w:ascii="方正小标宋简体" w:eastAsia="方正小标宋简体" w:hAnsi="宋体" w:hint="eastAsia"/>
          <w:sz w:val="52"/>
          <w:szCs w:val="52"/>
        </w:rPr>
        <w:t xml:space="preserve"> </w:t>
      </w:r>
    </w:p>
    <w:p>
      <w:pPr>
        <w:widowControl/>
        <w:jc w:val="center"/>
        <w:rPr>
          <w:rFonts w:ascii="方正小标宋简体" w:eastAsia="方正小标宋简体" w:hAnsi="宋体"/>
          <w:sz w:val="52"/>
          <w:szCs w:val="52"/>
        </w:rPr>
      </w:pPr>
    </w:p>
    <w:p>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t>目录</w:t>
      </w:r>
    </w:p>
    <w:p>
      <w:pPr>
        <w:widowControl/>
        <w:jc w:val="center"/>
        <w:rPr>
          <w:rFonts w:ascii="黑体" w:eastAsia="黑体" w:cs="Arial" w:hAnsi="黑体"/>
          <w:sz w:val="28"/>
          <w:szCs w:val="28"/>
        </w:rPr>
      </w:pPr>
    </w:p>
    <w:p>
      <w:pPr>
        <w:pStyle w:val="22"/>
        <w:tabs>
          <w:tab w:val="right" w:leader="dot" w:pos="8296"/>
        </w:tabs>
      </w:pPr>
      <w:r>
        <w:rPr>
          <w:rFonts w:hint="eastAsia"/>
        </w:rPr>
        <w:t>公开时间：2023年9月27日</w:t>
      </w:r>
    </w:p>
    <w:p/>
    <w:p>
      <w:pPr>
        <w:pStyle w:val="22"/>
        <w:tabs>
          <w:tab w:val="right" w:leader="dot" w:pos="8296"/>
        </w:tabs>
        <w:adjustRightInd w:val="0"/>
        <w:snapToGrid w:val="0"/>
        <w:spacing w:before="0" w:line="440" w:lineRule="exact"/>
        <w:jc w:val="left"/>
        <w:rPr>
          <w:rFonts w:cs="Arial"/>
          <w:sz w:val="24"/>
          <w:szCs w:val="24"/>
        </w:rPr>
      </w:pPr>
      <w:r>
        <w:rPr>
          <w:rFonts w:ascii="宋体" w:eastAsia="宋体" w:hAnsi="宋体" w:hint="eastAsia"/>
          <w:sz w:val="24"/>
        </w:rPr>
        <w:t>第一部分</w:t>
      </w:r>
      <w:r>
        <w:rPr>
          <w:rFonts w:ascii="宋体" w:eastAsia="宋体" w:hAnsi="宋体"/>
          <w:sz w:val="24"/>
        </w:rPr>
        <w:t xml:space="preserve"> </w:t>
      </w:r>
      <w:r>
        <w:rPr>
          <w:rFonts w:ascii="宋体" w:eastAsia="宋体" w:hAnsi="宋体" w:hint="eastAsia"/>
          <w:sz w:val="24"/>
        </w:rPr>
        <w:t>部门概况.</w:t>
      </w:r>
      <w:r>
        <w:rPr>
          <w:rFonts w:ascii="宋体" w:eastAsia="宋体" w:hAnsi="宋体" w:hint="eastAsia"/>
          <w:sz w:val="24"/>
          <w:szCs w:val="24"/>
        </w:rPr>
        <w:t>.</w:t>
      </w:r>
      <w:r>
        <w:rPr>
          <w:rFonts w:ascii="Times New Roman" w:eastAsia="宋体" w:hAnsi="Times New Roman" w:hint="eastAsia"/>
          <w:sz w:val="24"/>
          <w:szCs w:val="24"/>
        </w:rPr>
        <w:t>..................................................................................................</w:t>
      </w:r>
      <w:r>
        <w:rPr>
          <w:rFonts w:hint="eastAsia"/>
          <w:sz w:val="24"/>
        </w:rPr>
        <w:t>4</w:t>
      </w:r>
    </w:p>
    <w:p>
      <w:pPr>
        <w:pStyle w:val="24"/>
        <w:tabs>
          <w:tab w:val="right" w:leader="dot" w:pos="8296"/>
        </w:tabs>
        <w:adjustRightInd w:val="0"/>
        <w:snapToGrid w:val="0"/>
        <w:spacing w:line="440" w:lineRule="exact"/>
        <w:jc w:val="left"/>
        <w:rPr>
          <w:rFonts w:ascii="仿宋" w:eastAsia="仿宋" w:hAnsi="仿宋"/>
          <w:sz w:val="24"/>
        </w:rPr>
      </w:pPr>
      <w:r>
        <w:rPr>
          <w:rFonts w:hint="eastAsia"/>
          <w:sz w:val="24"/>
        </w:rPr>
        <w:t>一、部门职责.........................................................................................................4</w:t>
      </w:r>
    </w:p>
    <w:p>
      <w:pPr>
        <w:pStyle w:val="24"/>
        <w:tabs>
          <w:tab w:val="right" w:leader="dot" w:pos="8296"/>
        </w:tabs>
        <w:adjustRightInd w:val="0"/>
        <w:snapToGrid w:val="0"/>
        <w:spacing w:line="440" w:lineRule="exact"/>
        <w:jc w:val="left"/>
        <w:rPr>
          <w:rFonts w:ascii="仿宋" w:cs="Arial" w:hAnsi="仿宋"/>
          <w:sz w:val="24"/>
        </w:rPr>
      </w:pPr>
      <w:r>
        <w:rPr>
          <w:rFonts w:hint="eastAsia"/>
          <w:sz w:val="24"/>
        </w:rPr>
        <w:t>二、机构设置........................................................................................................ 7</w:t>
      </w:r>
    </w:p>
    <w:p>
      <w:pPr>
        <w:pStyle w:val="22"/>
        <w:tabs>
          <w:tab w:val="right" w:leader="dot" w:pos="8296"/>
        </w:tabs>
        <w:adjustRightInd w:val="0"/>
        <w:snapToGrid w:val="0"/>
        <w:spacing w:before="0" w:line="440" w:lineRule="exact"/>
        <w:jc w:val="left"/>
        <w:rPr>
          <w:sz w:val="24"/>
          <w:szCs w:val="24"/>
        </w:rPr>
      </w:pPr>
      <w:r>
        <w:rPr>
          <w:rFonts w:ascii="宋体" w:eastAsia="宋体" w:hAnsi="宋体" w:hint="eastAsia"/>
          <w:sz w:val="24"/>
        </w:rPr>
        <w:t>第二部分 2022年度部门决算情况说明</w:t>
      </w:r>
      <w:r>
        <w:rPr>
          <w:rFonts w:ascii="Times New Roman" w:eastAsia="宋体" w:hAnsi="Times New Roman" w:hint="eastAsia"/>
          <w:sz w:val="24"/>
          <w:szCs w:val="24"/>
        </w:rPr>
        <w:t>.....................................................................8</w:t>
      </w:r>
    </w:p>
    <w:p>
      <w:pPr>
        <w:pStyle w:val="24"/>
        <w:tabs>
          <w:tab w:val="right" w:leader="dot" w:pos="8296"/>
        </w:tabs>
        <w:adjustRightInd w:val="0"/>
        <w:snapToGrid w:val="0"/>
        <w:spacing w:line="440" w:lineRule="exact"/>
        <w:jc w:val="left"/>
        <w:rPr>
          <w:rFonts w:ascii="仿宋" w:cs="Arial" w:hAnsi="仿宋"/>
          <w:sz w:val="24"/>
        </w:rPr>
      </w:pPr>
      <w:r>
        <w:rPr>
          <w:rFonts w:hint="eastAsia"/>
          <w:sz w:val="24"/>
        </w:rPr>
        <w:t>一、收入支出决算总体情况说明.........................................................................8</w:t>
      </w:r>
    </w:p>
    <w:p>
      <w:pPr>
        <w:pStyle w:val="24"/>
        <w:tabs>
          <w:tab w:val="right" w:leader="dot" w:pos="8296"/>
        </w:tabs>
        <w:adjustRightInd w:val="0"/>
        <w:snapToGrid w:val="0"/>
        <w:spacing w:line="440" w:lineRule="exact"/>
        <w:jc w:val="left"/>
        <w:rPr>
          <w:rFonts w:ascii="仿宋" w:cs="Arial" w:hAnsi="仿宋"/>
          <w:sz w:val="24"/>
        </w:rPr>
      </w:pPr>
      <w:r>
        <w:rPr>
          <w:rFonts w:hint="eastAsia"/>
          <w:sz w:val="24"/>
        </w:rPr>
        <w:t>二、收入决算情况说明.........................................................................................8</w:t>
      </w:r>
    </w:p>
    <w:p>
      <w:pPr>
        <w:pStyle w:val="24"/>
        <w:tabs>
          <w:tab w:val="right" w:leader="dot" w:pos="8296"/>
        </w:tabs>
        <w:adjustRightInd w:val="0"/>
        <w:snapToGrid w:val="0"/>
        <w:spacing w:line="440" w:lineRule="exact"/>
        <w:jc w:val="left"/>
        <w:rPr>
          <w:rFonts w:ascii="仿宋" w:cs="Arial" w:hAnsi="仿宋"/>
          <w:sz w:val="24"/>
        </w:rPr>
      </w:pPr>
      <w:r>
        <w:rPr>
          <w:rFonts w:hint="eastAsia"/>
          <w:sz w:val="24"/>
        </w:rPr>
        <w:t>三、支出决算情况说明........................................................................................ 9</w:t>
      </w:r>
    </w:p>
    <w:p>
      <w:pPr>
        <w:pStyle w:val="24"/>
        <w:tabs>
          <w:tab w:val="right" w:leader="dot" w:pos="8296"/>
        </w:tabs>
        <w:adjustRightInd w:val="0"/>
        <w:snapToGrid w:val="0"/>
        <w:spacing w:line="440" w:lineRule="exact"/>
        <w:jc w:val="left"/>
        <w:rPr>
          <w:rFonts w:ascii="仿宋" w:cs="Arial" w:hAnsi="仿宋"/>
          <w:sz w:val="24"/>
        </w:rPr>
      </w:pPr>
      <w:r>
        <w:rPr>
          <w:rFonts w:hint="eastAsia"/>
          <w:sz w:val="24"/>
        </w:rPr>
        <w:t>四、财政拨款收入支出决算总体情况说明.........................................................9</w:t>
      </w:r>
    </w:p>
    <w:p>
      <w:pPr>
        <w:pStyle w:val="24"/>
        <w:tabs>
          <w:tab w:val="right" w:leader="dot" w:pos="8296"/>
        </w:tabs>
        <w:adjustRightInd w:val="0"/>
        <w:snapToGrid w:val="0"/>
        <w:spacing w:line="440" w:lineRule="exact"/>
        <w:jc w:val="left"/>
        <w:rPr>
          <w:rFonts w:ascii="仿宋" w:cs="Arial" w:hAnsi="仿宋"/>
          <w:sz w:val="24"/>
        </w:rPr>
      </w:pPr>
      <w:r>
        <w:rPr>
          <w:rFonts w:hint="eastAsia"/>
          <w:sz w:val="24"/>
        </w:rPr>
        <w:t>五、一般公共预算财政拨款支出决算情况说明...............................................10</w:t>
      </w:r>
    </w:p>
    <w:p>
      <w:pPr>
        <w:pStyle w:val="24"/>
        <w:tabs>
          <w:tab w:val="right" w:leader="dot" w:pos="8296"/>
        </w:tabs>
        <w:adjustRightInd w:val="0"/>
        <w:snapToGrid w:val="0"/>
        <w:spacing w:line="440" w:lineRule="exact"/>
        <w:jc w:val="left"/>
        <w:rPr>
          <w:rFonts w:ascii="仿宋" w:cs="Arial" w:hAnsi="仿宋"/>
          <w:sz w:val="24"/>
        </w:rPr>
      </w:pPr>
      <w:r>
        <w:rPr>
          <w:rFonts w:hint="eastAsia"/>
          <w:sz w:val="24"/>
        </w:rPr>
        <w:t>六、一般公共预算财政拨款基本支出决算情况说明.......................................12</w:t>
      </w:r>
    </w:p>
    <w:p>
      <w:pPr>
        <w:pStyle w:val="24"/>
        <w:tabs>
          <w:tab w:val="right" w:leader="dot" w:pos="8296"/>
        </w:tabs>
        <w:adjustRightInd w:val="0"/>
        <w:snapToGrid w:val="0"/>
        <w:spacing w:line="440" w:lineRule="exact"/>
        <w:jc w:val="left"/>
        <w:rPr>
          <w:rFonts w:ascii="仿宋" w:cs="Arial" w:hAnsi="仿宋"/>
          <w:sz w:val="24"/>
        </w:rPr>
      </w:pPr>
      <w:r>
        <w:rPr>
          <w:rFonts w:hint="eastAsia"/>
          <w:sz w:val="24"/>
        </w:rPr>
        <w:t>七、财政拨款“三公”经费支出决算情况明..................................................13</w:t>
      </w:r>
    </w:p>
    <w:p>
      <w:pPr>
        <w:pStyle w:val="24"/>
        <w:tabs>
          <w:tab w:val="right" w:leader="dot" w:pos="8296"/>
        </w:tabs>
        <w:adjustRightInd w:val="0"/>
        <w:snapToGrid w:val="0"/>
        <w:spacing w:line="440" w:lineRule="exact"/>
        <w:jc w:val="left"/>
        <w:rPr>
          <w:rFonts w:ascii="仿宋" w:cs="Arial" w:hAnsi="仿宋"/>
          <w:sz w:val="24"/>
        </w:rPr>
      </w:pPr>
      <w:r>
        <w:rPr>
          <w:rFonts w:hint="eastAsia"/>
          <w:sz w:val="24"/>
        </w:rPr>
        <w:t>八、政府性基金预算支出决算情况说明...........................................................14</w:t>
      </w:r>
    </w:p>
    <w:p>
      <w:pPr>
        <w:pStyle w:val="24"/>
        <w:tabs>
          <w:tab w:val="right" w:leader="dot" w:pos="8296"/>
        </w:tabs>
        <w:adjustRightInd w:val="0"/>
        <w:snapToGrid w:val="0"/>
        <w:spacing w:line="440" w:lineRule="exact"/>
        <w:ind w:leftChars="0" w:left="420"/>
        <w:jc w:val="left"/>
        <w:rPr>
          <w:sz w:val="24"/>
        </w:rPr>
      </w:pPr>
      <w:r>
        <w:rPr>
          <w:rFonts w:ascii="宋体" w:cs="宋体" w:hint="eastAsia"/>
          <w:sz w:val="24"/>
        </w:rPr>
        <w:t>九、国有资本经营预算支出决算情况明</w:t>
      </w:r>
      <w:r>
        <w:rPr>
          <w:rFonts w:hint="eastAsia"/>
          <w:sz w:val="24"/>
        </w:rPr>
        <w:t>..........................................................14</w:t>
      </w:r>
    </w:p>
    <w:p>
      <w:pPr>
        <w:adjustRightInd w:val="0"/>
        <w:snapToGrid w:val="0"/>
        <w:spacing w:line="440" w:lineRule="exact"/>
        <w:ind w:firstLineChars="175" w:firstLine="420"/>
        <w:jc w:val="left"/>
        <w:rPr>
          <w:sz w:val="24"/>
        </w:rPr>
      </w:pPr>
      <w:r>
        <w:rPr>
          <w:rStyle w:val="27"/>
          <w:rFonts w:ascii="宋体" w:cs="宋体" w:hint="eastAsia"/>
          <w:color w:val="auto"/>
          <w:sz w:val="24"/>
          <w:u w:val="none"/>
        </w:rPr>
        <w:t>十、</w:t>
      </w:r>
      <w:r>
        <w:rPr>
          <w:rFonts w:ascii="宋体" w:cs="宋体" w:hint="eastAsia"/>
          <w:sz w:val="24"/>
        </w:rPr>
        <w:t>其他重要事项的情况说明</w:t>
        <w:tab/>
      </w:r>
      <w:r>
        <w:rPr>
          <w:sz w:val="24"/>
        </w:rPr>
        <w:t>……………………………………………</w:t>
      </w:r>
      <w:r>
        <w:rPr>
          <w:rFonts w:hint="eastAsia"/>
          <w:sz w:val="24"/>
        </w:rPr>
        <w:t>..14</w:t>
      </w:r>
    </w:p>
    <w:p>
      <w:pPr>
        <w:pStyle w:val="22"/>
        <w:tabs>
          <w:tab w:val="right" w:leader="dot" w:pos="8296"/>
        </w:tabs>
        <w:adjustRightInd w:val="0"/>
        <w:snapToGrid w:val="0"/>
        <w:spacing w:before="0" w:line="440" w:lineRule="exact"/>
        <w:jc w:val="left"/>
        <w:rPr>
          <w:rFonts w:ascii="宋体" w:eastAsia="宋体" w:cs="Arial" w:hAnsi="宋体"/>
          <w:sz w:val="24"/>
          <w:szCs w:val="24"/>
        </w:rPr>
      </w:pPr>
      <w:r>
        <w:rPr>
          <w:rFonts w:ascii="宋体" w:eastAsia="宋体" w:hAnsi="宋体" w:hint="eastAsia"/>
          <w:sz w:val="24"/>
        </w:rPr>
        <w:t>第三部分</w:t>
      </w:r>
      <w:r>
        <w:rPr>
          <w:rFonts w:ascii="宋体" w:eastAsia="宋体" w:hAnsi="宋体"/>
          <w:sz w:val="24"/>
        </w:rPr>
        <w:t xml:space="preserve"> </w:t>
      </w:r>
      <w:r>
        <w:rPr>
          <w:rFonts w:ascii="宋体" w:eastAsia="宋体" w:hAnsi="宋体" w:hint="eastAsia"/>
          <w:sz w:val="24"/>
        </w:rPr>
        <w:t>名词解释</w:t>
      </w:r>
      <w:r>
        <w:rPr>
          <w:rFonts w:ascii="Times New Roman" w:eastAsia="宋体" w:hAnsi="Times New Roman"/>
          <w:sz w:val="24"/>
          <w:szCs w:val="24"/>
        </w:rPr>
        <w:t>…………………………………………………………………</w:t>
      </w:r>
      <w:r>
        <w:rPr>
          <w:rFonts w:ascii="宋体" w:eastAsia="宋体" w:hAnsi="宋体" w:hint="eastAsia"/>
          <w:sz w:val="24"/>
          <w:szCs w:val="24"/>
        </w:rPr>
        <w:t>1</w:t>
      </w:r>
      <w:r>
        <w:rPr>
          <w:rFonts w:ascii="宋体" w:eastAsia="宋体" w:hAnsi="宋体" w:hint="eastAsia"/>
          <w:sz w:val="24"/>
        </w:rPr>
        <w:t>9</w:t>
      </w:r>
    </w:p>
    <w:p>
      <w:pPr>
        <w:pStyle w:val="22"/>
        <w:tabs>
          <w:tab w:val="right" w:leader="dot" w:pos="8296"/>
        </w:tabs>
        <w:adjustRightInd w:val="0"/>
        <w:snapToGrid w:val="0"/>
        <w:spacing w:before="0" w:line="440" w:lineRule="exact"/>
        <w:jc w:val="left"/>
        <w:rPr>
          <w:sz w:val="24"/>
        </w:rPr>
      </w:pPr>
      <w:r>
        <w:rPr>
          <w:rFonts w:ascii="宋体" w:eastAsia="宋体" w:hAnsi="宋体" w:hint="eastAsia"/>
          <w:sz w:val="24"/>
        </w:rPr>
        <w:t>第四部分</w:t>
      </w:r>
      <w:r>
        <w:rPr>
          <w:rFonts w:ascii="宋体" w:eastAsia="宋体" w:hAnsi="宋体"/>
          <w:sz w:val="24"/>
        </w:rPr>
        <w:t xml:space="preserve"> </w:t>
      </w:r>
      <w:r>
        <w:rPr>
          <w:rFonts w:ascii="宋体" w:eastAsia="宋体" w:hAnsi="宋体" w:hint="eastAsia"/>
          <w:sz w:val="24"/>
        </w:rPr>
        <w:t>附件</w:t>
      </w:r>
      <w:r>
        <w:rPr>
          <w:rFonts w:ascii="宋体" w:eastAsia="宋体" w:hAnsi="宋体" w:hint="eastAsia"/>
          <w:sz w:val="24"/>
          <w:szCs w:val="24"/>
        </w:rPr>
        <w:t>..........</w:t>
      </w:r>
      <w:r>
        <w:rPr>
          <w:rFonts w:ascii="Times New Roman" w:eastAsia="宋体" w:hAnsi="Times New Roman" w:hint="eastAsia"/>
          <w:sz w:val="24"/>
          <w:szCs w:val="24"/>
        </w:rPr>
        <w:t>........................................................................................</w:t>
      </w:r>
      <w:r>
        <w:rPr>
          <w:rFonts w:hint="eastAsia"/>
          <w:sz w:val="24"/>
        </w:rPr>
        <w:t>22</w:t>
      </w:r>
    </w:p>
    <w:p>
      <w:pPr>
        <w:rPr>
          <w:sz w:val="24"/>
        </w:rPr>
      </w:pPr>
      <w:r>
        <w:rPr>
          <w:rFonts w:hint="eastAsia"/>
          <w:sz w:val="24"/>
        </w:rPr>
        <w:t xml:space="preserve">  一、2022年部门整体支出绩效评价报告.............................................................22</w:t>
      </w:r>
    </w:p>
    <w:p>
      <w:pPr>
        <w:ind w:firstLineChars="100" w:firstLine="240"/>
        <w:rPr>
          <w:sz w:val="24"/>
        </w:rPr>
      </w:pPr>
      <w:r>
        <w:rPr>
          <w:rFonts w:hint="eastAsia"/>
          <w:sz w:val="24"/>
        </w:rPr>
        <w:t>二、2022年专项预算项目支出绩效自评表.........................................................36</w:t>
      </w:r>
    </w:p>
    <w:p>
      <w:pPr>
        <w:ind w:firstLineChars="100" w:firstLine="240"/>
        <w:rPr>
          <w:sz w:val="24"/>
        </w:rPr>
      </w:pPr>
      <w:r>
        <w:rPr>
          <w:rFonts w:hint="eastAsia"/>
          <w:sz w:val="24"/>
        </w:rPr>
        <w:t>三、2022年专项预算项目支出绩效自评报告.....................................................53</w:t>
      </w:r>
    </w:p>
    <w:p>
      <w:pPr>
        <w:pStyle w:val="24"/>
        <w:tabs>
          <w:tab w:val="right" w:leader="dot" w:pos="8296"/>
        </w:tabs>
        <w:adjustRightInd w:val="0"/>
        <w:snapToGrid w:val="0"/>
        <w:spacing w:line="440" w:lineRule="exact"/>
        <w:jc w:val="left"/>
        <w:rPr>
          <w:sz w:val="24"/>
        </w:rPr>
      </w:pPr>
      <w:r>
        <w:rPr>
          <w:rFonts w:hint="eastAsia"/>
          <w:sz w:val="24"/>
        </w:rPr>
        <w:t>1.2022年参加全国、省、市统一审计项目支出绩效自评报告.......................54</w:t>
      </w:r>
    </w:p>
    <w:p>
      <w:pPr>
        <w:pStyle w:val="24"/>
        <w:tabs>
          <w:tab w:val="right" w:leader="dot" w:pos="8296"/>
        </w:tabs>
        <w:adjustRightInd w:val="0"/>
        <w:snapToGrid w:val="0"/>
        <w:spacing w:line="440" w:lineRule="exact"/>
        <w:jc w:val="left"/>
        <w:rPr>
          <w:sz w:val="24"/>
        </w:rPr>
      </w:pPr>
      <w:r>
        <w:rPr>
          <w:rFonts w:hint="eastAsia"/>
          <w:sz w:val="24"/>
        </w:rPr>
        <w:t>2.2022年审计事务外调项目</w:t>
      </w:r>
      <w:r>
        <w:rPr>
          <w:rFonts w:hint="eastAsia"/>
          <w:sz w:val="24"/>
          <w:lang w:val="zh-CN"/>
        </w:rPr>
        <w:t>支出绩效自评报告</w:t>
      </w:r>
      <w:r>
        <w:rPr>
          <w:rFonts w:hint="eastAsia"/>
          <w:sz w:val="24"/>
        </w:rPr>
        <w:t>...............................................58</w:t>
      </w:r>
    </w:p>
    <w:p>
      <w:pPr>
        <w:pStyle w:val="24"/>
        <w:tabs>
          <w:tab w:val="right" w:leader="dot" w:pos="8296"/>
        </w:tabs>
        <w:adjustRightInd w:val="0"/>
        <w:snapToGrid w:val="0"/>
        <w:spacing w:line="440" w:lineRule="exact"/>
        <w:jc w:val="left"/>
        <w:rPr>
          <w:sz w:val="24"/>
        </w:rPr>
      </w:pPr>
      <w:r>
        <w:rPr>
          <w:rFonts w:hint="eastAsia"/>
          <w:sz w:val="24"/>
        </w:rPr>
        <w:t>3.2022年</w:t>
      </w:r>
      <w:r>
        <w:rPr>
          <w:rFonts w:hint="eastAsia"/>
          <w:sz w:val="24"/>
          <w:lang w:val="zh-CN"/>
        </w:rPr>
        <w:t>政府重大投资跟踪审计服务项目支出绩效自评报告</w:t>
      </w:r>
      <w:r>
        <w:rPr>
          <w:rFonts w:hint="eastAsia"/>
          <w:sz w:val="24"/>
        </w:rPr>
        <w:t>.......................63</w:t>
      </w:r>
    </w:p>
    <w:p>
      <w:pPr>
        <w:pStyle w:val="24"/>
        <w:tabs>
          <w:tab w:val="right" w:leader="dot" w:pos="8296"/>
        </w:tabs>
        <w:adjustRightInd w:val="0"/>
        <w:snapToGrid w:val="0"/>
        <w:spacing w:line="440" w:lineRule="exact"/>
        <w:jc w:val="left"/>
        <w:rPr>
          <w:sz w:val="24"/>
        </w:rPr>
      </w:pPr>
      <w:r>
        <w:rPr>
          <w:rFonts w:hint="eastAsia"/>
          <w:sz w:val="24"/>
        </w:rPr>
        <w:t>4.2022年</w:t>
      </w:r>
      <w:r>
        <w:rPr>
          <w:rFonts w:hint="eastAsia"/>
          <w:sz w:val="24"/>
          <w:lang w:val="zh-CN"/>
        </w:rPr>
        <w:t>中介机构财务审计项目支出绩效自评报告</w:t>
      </w:r>
      <w:r>
        <w:rPr>
          <w:rFonts w:hint="eastAsia"/>
          <w:sz w:val="24"/>
        </w:rPr>
        <w:t>.......................................67</w:t>
      </w:r>
    </w:p>
    <w:p>
      <w:pPr>
        <w:pStyle w:val="24"/>
        <w:tabs>
          <w:tab w:val="right" w:leader="dot" w:pos="8296"/>
        </w:tabs>
        <w:adjustRightInd w:val="0"/>
        <w:snapToGrid w:val="0"/>
        <w:spacing w:line="440" w:lineRule="exact"/>
        <w:jc w:val="left"/>
        <w:rPr>
          <w:sz w:val="24"/>
        </w:rPr>
      </w:pPr>
      <w:r>
        <w:rPr>
          <w:rFonts w:hint="eastAsia"/>
          <w:sz w:val="24"/>
        </w:rPr>
        <w:t>5.2022年</w:t>
      </w:r>
      <w:r>
        <w:rPr>
          <w:rFonts w:hint="eastAsia"/>
          <w:sz w:val="24"/>
          <w:lang w:val="zh-CN"/>
        </w:rPr>
        <w:t>政府投资审计聘请中介机构项目支出绩效自评报告</w:t>
      </w:r>
      <w:r>
        <w:rPr>
          <w:rFonts w:hint="eastAsia"/>
          <w:sz w:val="24"/>
        </w:rPr>
        <w:t>.......................71</w:t>
      </w:r>
    </w:p>
    <w:p>
      <w:pPr>
        <w:pStyle w:val="24"/>
        <w:tabs>
          <w:tab w:val="right" w:leader="dot" w:pos="8296"/>
        </w:tabs>
        <w:adjustRightInd w:val="0"/>
        <w:snapToGrid w:val="0"/>
        <w:spacing w:line="440" w:lineRule="exact"/>
        <w:jc w:val="left"/>
        <w:rPr>
          <w:sz w:val="24"/>
        </w:rPr>
      </w:pPr>
      <w:r>
        <w:rPr>
          <w:rFonts w:hint="eastAsia"/>
          <w:sz w:val="24"/>
        </w:rPr>
        <w:t>6.2022年</w:t>
      </w:r>
      <w:r>
        <w:rPr>
          <w:rFonts w:hint="eastAsia"/>
          <w:sz w:val="24"/>
          <w:lang w:val="zh-CN"/>
        </w:rPr>
        <w:t>政府重大投资跟踪审计管理项目支出绩效自评报告</w:t>
      </w:r>
      <w:r>
        <w:rPr>
          <w:rFonts w:hint="eastAsia"/>
          <w:sz w:val="24"/>
        </w:rPr>
        <w:t>.......................76</w:t>
      </w:r>
    </w:p>
    <w:p>
      <w:pPr>
        <w:pStyle w:val="22"/>
        <w:tabs>
          <w:tab w:val="right" w:leader="dot" w:pos="8296"/>
        </w:tabs>
        <w:adjustRightInd w:val="0"/>
        <w:snapToGrid w:val="0"/>
        <w:spacing w:before="0" w:line="440" w:lineRule="exact"/>
        <w:jc w:val="left"/>
        <w:rPr>
          <w:rFonts w:cs="Arial"/>
          <w:sz w:val="24"/>
          <w:szCs w:val="24"/>
        </w:rPr>
      </w:pPr>
      <w:r>
        <w:rPr>
          <w:rFonts w:ascii="宋体" w:eastAsia="宋体" w:hAnsi="宋体" w:hint="eastAsia"/>
          <w:sz w:val="24"/>
        </w:rPr>
        <w:t>第五部分</w:t>
      </w:r>
      <w:r>
        <w:rPr>
          <w:rFonts w:ascii="宋体" w:eastAsia="宋体" w:hAnsi="宋体"/>
          <w:sz w:val="24"/>
        </w:rPr>
        <w:t xml:space="preserve"> </w:t>
      </w:r>
      <w:r>
        <w:rPr>
          <w:rFonts w:ascii="宋体" w:eastAsia="宋体" w:hAnsi="宋体" w:hint="eastAsia"/>
          <w:sz w:val="24"/>
        </w:rPr>
        <w:t>附表</w:t>
      </w:r>
      <w:r>
        <w:rPr>
          <w:rFonts w:ascii="Times New Roman" w:eastAsia="宋体" w:hAnsi="Times New Roman" w:hint="eastAsia"/>
          <w:sz w:val="24"/>
          <w:szCs w:val="24"/>
        </w:rPr>
        <w:t>............................................................................................................8</w:t>
      </w:r>
      <w:r>
        <w:rPr>
          <w:rFonts w:hint="eastAsia"/>
          <w:sz w:val="24"/>
        </w:rPr>
        <w:t>1</w:t>
      </w:r>
    </w:p>
    <w:p>
      <w:pPr>
        <w:pStyle w:val="24"/>
        <w:tabs>
          <w:tab w:val="right" w:leader="dot" w:pos="8296"/>
        </w:tabs>
        <w:adjustRightInd w:val="0"/>
        <w:snapToGrid w:val="0"/>
        <w:spacing w:line="440" w:lineRule="exact"/>
        <w:jc w:val="left"/>
        <w:rPr>
          <w:sz w:val="24"/>
        </w:rPr>
      </w:pPr>
      <w:r>
        <w:rPr>
          <w:rFonts w:hint="eastAsia"/>
          <w:sz w:val="24"/>
        </w:rPr>
        <w:t>一、收入支出决算总表</w:t>
      </w:r>
    </w:p>
    <w:p>
      <w:pPr>
        <w:pStyle w:val="24"/>
        <w:tabs>
          <w:tab w:val="right" w:leader="dot" w:pos="8296"/>
        </w:tabs>
        <w:adjustRightInd w:val="0"/>
        <w:snapToGrid w:val="0"/>
        <w:spacing w:line="440" w:lineRule="exact"/>
        <w:jc w:val="left"/>
        <w:rPr>
          <w:sz w:val="24"/>
        </w:rPr>
      </w:pPr>
      <w:r>
        <w:rPr>
          <w:rFonts w:hint="eastAsia"/>
          <w:sz w:val="24"/>
        </w:rPr>
        <w:t>二、收入决算表</w:t>
      </w:r>
    </w:p>
    <w:p>
      <w:pPr>
        <w:pStyle w:val="24"/>
        <w:tabs>
          <w:tab w:val="right" w:leader="dot" w:pos="8296"/>
        </w:tabs>
        <w:adjustRightInd w:val="0"/>
        <w:snapToGrid w:val="0"/>
        <w:spacing w:line="440" w:lineRule="exact"/>
        <w:jc w:val="left"/>
        <w:rPr>
          <w:sz w:val="24"/>
        </w:rPr>
      </w:pPr>
      <w:r>
        <w:rPr>
          <w:rFonts w:hint="eastAsia"/>
          <w:sz w:val="24"/>
        </w:rPr>
        <w:t>三、支出决算表</w:t>
      </w:r>
    </w:p>
    <w:p>
      <w:pPr>
        <w:pStyle w:val="24"/>
        <w:tabs>
          <w:tab w:val="right" w:leader="dot" w:pos="8296"/>
        </w:tabs>
        <w:adjustRightInd w:val="0"/>
        <w:snapToGrid w:val="0"/>
        <w:spacing w:line="440" w:lineRule="exact"/>
        <w:jc w:val="left"/>
        <w:rPr>
          <w:sz w:val="24"/>
        </w:rPr>
      </w:pPr>
      <w:r>
        <w:rPr>
          <w:rFonts w:hint="eastAsia"/>
          <w:sz w:val="24"/>
        </w:rPr>
        <w:t>四、财政拨款收入支出决算总表</w:t>
      </w:r>
    </w:p>
    <w:p>
      <w:pPr>
        <w:pStyle w:val="24"/>
        <w:tabs>
          <w:tab w:val="right" w:leader="dot" w:pos="8296"/>
        </w:tabs>
        <w:adjustRightInd w:val="0"/>
        <w:snapToGrid w:val="0"/>
        <w:spacing w:line="440" w:lineRule="exact"/>
        <w:jc w:val="left"/>
        <w:rPr>
          <w:sz w:val="24"/>
        </w:rPr>
      </w:pPr>
      <w:r>
        <w:rPr>
          <w:rFonts w:hint="eastAsia"/>
          <w:sz w:val="24"/>
        </w:rPr>
        <w:t>五、财政拨款支出决算明细表</w:t>
      </w:r>
    </w:p>
    <w:p>
      <w:pPr>
        <w:pStyle w:val="24"/>
        <w:tabs>
          <w:tab w:val="right" w:leader="dot" w:pos="8296"/>
        </w:tabs>
        <w:adjustRightInd w:val="0"/>
        <w:snapToGrid w:val="0"/>
        <w:spacing w:line="440" w:lineRule="exact"/>
        <w:jc w:val="left"/>
        <w:rPr>
          <w:sz w:val="24"/>
        </w:rPr>
      </w:pPr>
      <w:r>
        <w:rPr>
          <w:rFonts w:hint="eastAsia"/>
          <w:sz w:val="24"/>
        </w:rPr>
        <w:t>六、一般公共预算财政拨款支出决算表</w:t>
      </w:r>
    </w:p>
    <w:p>
      <w:pPr>
        <w:pStyle w:val="24"/>
        <w:tabs>
          <w:tab w:val="right" w:leader="dot" w:pos="8296"/>
        </w:tabs>
        <w:adjustRightInd w:val="0"/>
        <w:snapToGrid w:val="0"/>
        <w:spacing w:line="440" w:lineRule="exact"/>
        <w:jc w:val="left"/>
        <w:rPr>
          <w:sz w:val="24"/>
        </w:rPr>
      </w:pPr>
      <w:r>
        <w:rPr>
          <w:rFonts w:hint="eastAsia"/>
          <w:sz w:val="24"/>
        </w:rPr>
        <w:t>七、一般公共预算财政拨款支出决算明细表</w:t>
      </w:r>
    </w:p>
    <w:p>
      <w:pPr>
        <w:pStyle w:val="24"/>
        <w:tabs>
          <w:tab w:val="right" w:leader="dot" w:pos="8296"/>
        </w:tabs>
        <w:adjustRightInd w:val="0"/>
        <w:snapToGrid w:val="0"/>
        <w:spacing w:line="440" w:lineRule="exact"/>
        <w:jc w:val="left"/>
        <w:rPr>
          <w:sz w:val="24"/>
        </w:rPr>
      </w:pPr>
      <w:r>
        <w:rPr>
          <w:rFonts w:hint="eastAsia"/>
          <w:sz w:val="24"/>
        </w:rPr>
        <w:t>八、一般公共预算财政拨款基本支出决算明细表</w:t>
      </w:r>
    </w:p>
    <w:p>
      <w:pPr>
        <w:pStyle w:val="24"/>
        <w:tabs>
          <w:tab w:val="right" w:leader="dot" w:pos="8296"/>
        </w:tabs>
        <w:adjustRightInd w:val="0"/>
        <w:snapToGrid w:val="0"/>
        <w:spacing w:line="440" w:lineRule="exact"/>
        <w:jc w:val="left"/>
        <w:rPr>
          <w:sz w:val="24"/>
        </w:rPr>
      </w:pPr>
      <w:r>
        <w:rPr>
          <w:rFonts w:hint="eastAsia"/>
          <w:sz w:val="24"/>
        </w:rPr>
        <w:t>九、一般公共预算财政拨款项目支出决算表</w:t>
      </w:r>
    </w:p>
    <w:p>
      <w:pPr>
        <w:pStyle w:val="24"/>
        <w:tabs>
          <w:tab w:val="right" w:leader="dot" w:pos="8296"/>
        </w:tabs>
        <w:adjustRightInd w:val="0"/>
        <w:snapToGrid w:val="0"/>
        <w:spacing w:line="440" w:lineRule="exact"/>
        <w:jc w:val="left"/>
        <w:rPr>
          <w:sz w:val="24"/>
        </w:rPr>
      </w:pPr>
      <w:r>
        <w:rPr>
          <w:rFonts w:hint="eastAsia"/>
          <w:sz w:val="24"/>
        </w:rPr>
        <w:t>十、政府性基金预算财政拨款收入支出决算表</w:t>
      </w:r>
    </w:p>
    <w:p>
      <w:pPr>
        <w:pStyle w:val="24"/>
        <w:tabs>
          <w:tab w:val="right" w:leader="dot" w:pos="8296"/>
        </w:tabs>
        <w:adjustRightInd w:val="0"/>
        <w:snapToGrid w:val="0"/>
        <w:spacing w:line="440" w:lineRule="exact"/>
        <w:jc w:val="left"/>
        <w:rPr>
          <w:sz w:val="24"/>
        </w:rPr>
      </w:pPr>
      <w:r>
        <w:rPr>
          <w:rFonts w:hint="eastAsia"/>
          <w:sz w:val="24"/>
        </w:rPr>
        <w:t>十一、国有资本经营预算财政拨款收入支出决算表</w:t>
      </w:r>
    </w:p>
    <w:p>
      <w:pPr>
        <w:pStyle w:val="24"/>
        <w:tabs>
          <w:tab w:val="right" w:leader="dot" w:pos="8296"/>
        </w:tabs>
        <w:adjustRightInd w:val="0"/>
        <w:snapToGrid w:val="0"/>
        <w:spacing w:line="440" w:lineRule="exact"/>
        <w:jc w:val="left"/>
        <w:rPr>
          <w:sz w:val="24"/>
        </w:rPr>
      </w:pPr>
      <w:r>
        <w:rPr>
          <w:rFonts w:hint="eastAsia"/>
          <w:sz w:val="24"/>
        </w:rPr>
        <w:t>十二、国有资本经营预算财政拨款支出决算表</w:t>
      </w:r>
    </w:p>
    <w:p>
      <w:pPr>
        <w:pStyle w:val="24"/>
        <w:tabs>
          <w:tab w:val="right" w:leader="dot" w:pos="8296"/>
        </w:tabs>
        <w:adjustRightInd w:val="0"/>
        <w:snapToGrid w:val="0"/>
        <w:spacing w:line="440" w:lineRule="exact"/>
        <w:jc w:val="left"/>
        <w:rPr>
          <w:sz w:val="24"/>
        </w:rPr>
      </w:pPr>
      <w:r>
        <w:rPr>
          <w:rFonts w:hint="eastAsia"/>
          <w:sz w:val="24"/>
        </w:rPr>
        <w:t>十三、财政拨款“三公”经费支出决算表</w:t>
      </w:r>
      <w:bookmarkStart w:id="12" w:name="_Toc15377196"/>
      <w:bookmarkStart w:id="13" w:name="_Toc15396599"/>
    </w:p>
    <w:p>
      <w:pPr>
        <w:rPr>
          <w:sz w:val="24"/>
        </w:rPr>
      </w:pPr>
    </w:p>
    <w:p>
      <w:pPr>
        <w:pStyle w:val="15"/>
        <w:spacing w:beforeLines="0" w:before="93"/>
        <w:rPr>
          <w:sz w:val="24"/>
        </w:rPr>
      </w:pPr>
    </w:p>
    <w:p>
      <w:pPr>
        <w:pStyle w:val="15"/>
        <w:spacing w:beforeLines="0" w:before="93"/>
        <w:rPr>
          <w:sz w:val="24"/>
        </w:rPr>
      </w:pPr>
    </w:p>
    <w:p>
      <w:pPr>
        <w:pStyle w:val="15"/>
        <w:spacing w:beforeLines="0" w:before="93"/>
        <w:rPr>
          <w:sz w:val="24"/>
        </w:rPr>
      </w:pPr>
    </w:p>
    <w:p>
      <w:pPr>
        <w:pStyle w:val="15"/>
        <w:spacing w:beforeLines="0" w:before="93"/>
        <w:rPr>
          <w:sz w:val="24"/>
        </w:rPr>
      </w:pPr>
    </w:p>
    <w:p>
      <w:pPr>
        <w:pStyle w:val="15"/>
        <w:spacing w:beforeLines="0" w:before="93"/>
        <w:rPr>
          <w:sz w:val="24"/>
        </w:rPr>
      </w:pPr>
    </w:p>
    <w:p>
      <w:pPr>
        <w:pStyle w:val="15"/>
        <w:spacing w:beforeLines="0" w:before="93"/>
        <w:rPr>
          <w:sz w:val="24"/>
        </w:rPr>
      </w:pPr>
    </w:p>
    <w:p>
      <w:pPr>
        <w:pStyle w:val="15"/>
        <w:spacing w:beforeLines="0" w:before="93"/>
        <w:rPr>
          <w:sz w:val="24"/>
        </w:rPr>
      </w:pPr>
    </w:p>
    <w:p>
      <w:pPr>
        <w:pStyle w:val="15"/>
        <w:spacing w:beforeLines="0" w:before="93"/>
        <w:rPr>
          <w:sz w:val="24"/>
        </w:rPr>
      </w:pPr>
    </w:p>
    <w:p>
      <w:pPr>
        <w:pStyle w:val="15"/>
        <w:spacing w:beforeLines="0" w:before="93"/>
        <w:rPr>
          <w:sz w:val="24"/>
        </w:rPr>
      </w:pPr>
    </w:p>
    <w:p>
      <w:pPr>
        <w:pStyle w:val="15"/>
        <w:spacing w:beforeLines="0" w:before="93"/>
        <w:rPr>
          <w:sz w:val="24"/>
        </w:rPr>
      </w:pPr>
    </w:p>
    <w:p>
      <w:pPr>
        <w:pStyle w:val="15"/>
        <w:spacing w:beforeLines="0" w:before="93"/>
        <w:rPr>
          <w:sz w:val="24"/>
        </w:rPr>
      </w:pPr>
    </w:p>
    <w:p>
      <w:pPr>
        <w:pStyle w:val="15"/>
        <w:spacing w:beforeLines="0" w:before="93"/>
        <w:rPr>
          <w:sz w:val="24"/>
        </w:rPr>
      </w:pPr>
    </w:p>
    <w:p>
      <w:pPr>
        <w:pStyle w:val="15"/>
        <w:spacing w:beforeLines="0" w:before="93"/>
        <w:rPr>
          <w:sz w:val="24"/>
        </w:rPr>
      </w:pPr>
    </w:p>
    <w:p>
      <w:pPr>
        <w:pStyle w:val="15"/>
        <w:spacing w:beforeLines="0" w:before="93"/>
        <w:rPr>
          <w:sz w:val="24"/>
        </w:rPr>
      </w:pPr>
    </w:p>
    <w:p>
      <w:pPr>
        <w:pStyle w:val="15"/>
        <w:spacing w:beforeLines="0" w:before="93"/>
        <w:rPr>
          <w:sz w:val="24"/>
        </w:rPr>
      </w:pPr>
    </w:p>
    <w:p>
      <w:pPr>
        <w:pStyle w:val="15"/>
        <w:spacing w:beforeLines="0" w:before="93"/>
        <w:rPr>
          <w:sz w:val="24"/>
        </w:rPr>
      </w:pPr>
    </w:p>
    <w:p>
      <w:pPr>
        <w:pStyle w:val="1"/>
        <w:jc w:val="center"/>
        <w:rPr>
          <w:rStyle w:val="1Char"/>
          <w:rFonts w:ascii="黑体" w:eastAsia="黑体" w:hAnsi="黑体"/>
          <w:b/>
        </w:rPr>
      </w:pPr>
      <w:r>
        <w:rPr>
          <w:rFonts w:ascii="黑体" w:eastAsia="黑体" w:hAnsi="黑体" w:hint="eastAsia"/>
          <w:b w:val="0"/>
        </w:rPr>
        <w:t xml:space="preserve">第一部分 </w:t>
      </w:r>
      <w:r>
        <w:rPr>
          <w:rStyle w:val="1Char"/>
          <w:rFonts w:ascii="黑体" w:eastAsia="黑体" w:hAnsi="黑体" w:hint="eastAsia"/>
        </w:rPr>
        <w:t>部门概况</w:t>
      </w:r>
      <w:bookmarkEnd w:id="12"/>
      <w:bookmarkEnd w:id="13"/>
    </w:p>
    <w:p>
      <w:pPr>
        <w:widowControl/>
        <w:jc w:val="left"/>
        <w:rPr>
          <w:rFonts w:ascii="黑体" w:eastAsia="黑体"/>
          <w:sz w:val="32"/>
          <w:szCs w:val="32"/>
        </w:rPr>
      </w:pPr>
    </w:p>
    <w:p>
      <w:pPr>
        <w:pStyle w:val="2"/>
        <w:rPr>
          <w:rStyle w:val="2Char"/>
          <w:rFonts w:ascii="仿宋" w:eastAsia="黑体" w:hAnsi="仿宋"/>
        </w:rPr>
      </w:pPr>
      <w:bookmarkStart w:id="14" w:name="_Toc15396600"/>
      <w:bookmarkStart w:id="15" w:name="_Toc15377197"/>
      <w:r>
        <w:rPr>
          <w:rFonts w:ascii="黑体" w:eastAsia="黑体" w:hAnsi="黑体" w:hint="eastAsia"/>
          <w:b w:val="0"/>
        </w:rPr>
        <w:t>一、</w:t>
      </w:r>
      <w:bookmarkEnd w:id="14"/>
      <w:bookmarkEnd w:id="15"/>
      <w:r>
        <w:rPr>
          <w:rFonts w:ascii="黑体" w:eastAsia="黑体" w:hAnsi="黑体" w:hint="eastAsia"/>
          <w:b w:val="0"/>
        </w:rPr>
        <w:t>部门职责</w:t>
      </w:r>
    </w:p>
    <w:p>
      <w:pPr>
        <w:pStyle w:val="15"/>
        <w:adjustRightInd w:val="0"/>
        <w:snapToGrid w:val="0"/>
        <w:spacing w:beforeLines="0" w:before="93" w:line="600" w:lineRule="exact"/>
        <w:ind w:firstLineChars="200" w:firstLine="640"/>
        <w:outlineLvl w:val="2"/>
        <w:rPr>
          <w:rFonts w:ascii="仿宋" w:eastAsia="仿宋" w:cs="方正仿宋简体" w:hAnsi="仿宋"/>
          <w:bCs/>
          <w:color w:val="000000"/>
          <w:sz w:val="32"/>
          <w:szCs w:val="32"/>
        </w:rPr>
      </w:pPr>
      <w:bookmarkStart w:id="16" w:name="_Toc15396601"/>
      <w:bookmarkStart w:id="17" w:name="_Toc15377200"/>
      <w:r>
        <w:rPr>
          <w:rFonts w:ascii="仿宋" w:eastAsia="仿宋" w:cs="方正仿宋简体" w:hAnsi="仿宋" w:hint="eastAsia"/>
          <w:bCs/>
          <w:color w:val="000000"/>
          <w:sz w:val="32"/>
          <w:szCs w:val="32"/>
        </w:rPr>
        <w:t>1.主管全区审计工作。负责对区级财政收支和法律法规规定属于审计监督范围的财务收支的真实、合法和效益进行审计监督，对公共资金、国有资产、国有资源和领导干部履行经济责任情况实行审计全覆盖，对领导干部实行自然资源资产离任(任中)审计，对国家、省、市、区有关重大政策措施贯彻落实情况进行跟踪审计。对审计、专项审计调查和核查社会审计机构相关审计报告的结果承担责任，并负有督促被审计单位整改的责任。</w:t>
      </w:r>
    </w:p>
    <w:p>
      <w:pPr>
        <w:pStyle w:val="15"/>
        <w:adjustRightInd w:val="0"/>
        <w:snapToGrid w:val="0"/>
        <w:spacing w:beforeLines="0" w:before="93" w:line="600" w:lineRule="exact"/>
        <w:ind w:firstLineChars="200" w:firstLine="640"/>
        <w:outlineLvl w:val="2"/>
        <w:rPr>
          <w:rFonts w:ascii="仿宋" w:eastAsia="仿宋" w:cs="方正仿宋简体" w:hAnsi="仿宋"/>
          <w:bCs/>
          <w:color w:val="000000"/>
          <w:sz w:val="32"/>
          <w:szCs w:val="32"/>
        </w:rPr>
      </w:pPr>
      <w:r>
        <w:rPr>
          <w:rFonts w:ascii="仿宋" w:eastAsia="仿宋" w:cs="方正仿宋简体" w:hAnsi="仿宋" w:hint="eastAsia"/>
          <w:bCs/>
          <w:color w:val="000000"/>
          <w:sz w:val="32"/>
          <w:szCs w:val="32"/>
        </w:rPr>
        <w:t>2.贯彻执行国家有关审计工作的方针政策和法律法规。拟订全区审计规范性文件，负责本系统、本部门依法行政工作。制定并组织实施全区专业领域审计工作规划。对直接审计、调查和核查的事项依法进行审计评价，作出审计决定或提出审计建议。</w:t>
      </w:r>
    </w:p>
    <w:p>
      <w:pPr>
        <w:pStyle w:val="15"/>
        <w:adjustRightInd w:val="0"/>
        <w:snapToGrid w:val="0"/>
        <w:spacing w:beforeLines="0" w:before="93" w:line="600" w:lineRule="exact"/>
        <w:ind w:firstLineChars="200" w:firstLine="640"/>
        <w:outlineLvl w:val="2"/>
        <w:rPr>
          <w:rFonts w:ascii="仿宋" w:eastAsia="仿宋" w:cs="方正仿宋简体" w:hAnsi="仿宋"/>
          <w:bCs/>
          <w:color w:val="000000"/>
          <w:sz w:val="32"/>
          <w:szCs w:val="32"/>
        </w:rPr>
      </w:pPr>
      <w:r>
        <w:rPr>
          <w:rFonts w:ascii="仿宋" w:eastAsia="仿宋" w:cs="方正仿宋简体" w:hAnsi="仿宋" w:hint="eastAsia"/>
          <w:bCs/>
          <w:color w:val="000000"/>
          <w:sz w:val="32"/>
          <w:szCs w:val="32"/>
        </w:rPr>
        <w:t>3.向区委审计委员会提出年度区级预算执行和其他财政支出情况审计报告。向区政府和市审计局提出年度区级预算执行和其他财政收支情况的审计结果报告。受区政府委托向区人大常委会提出区级预算执行和其他财政收支情况的审计工作报告、审计查出问题整改情况报告。向区委、区政府报告对其他事项的审计和专项审计调查情况及结果。依法向社会公布审计结果。向区直有关部门和乡镇党委、政府，街道党工委、办事处通报审计情况和审计结果。</w:t>
      </w:r>
    </w:p>
    <w:p>
      <w:pPr>
        <w:pStyle w:val="15"/>
        <w:adjustRightInd w:val="0"/>
        <w:snapToGrid w:val="0"/>
        <w:spacing w:beforeLines="0" w:before="93" w:line="600" w:lineRule="exact"/>
        <w:ind w:firstLineChars="200" w:firstLine="640"/>
        <w:outlineLvl w:val="2"/>
        <w:rPr>
          <w:rFonts w:ascii="仿宋" w:eastAsia="仿宋" w:cs="方正仿宋简体" w:hAnsi="仿宋"/>
          <w:bCs/>
          <w:color w:val="000000"/>
          <w:sz w:val="32"/>
          <w:szCs w:val="32"/>
        </w:rPr>
      </w:pPr>
      <w:r>
        <w:rPr>
          <w:rFonts w:ascii="仿宋" w:eastAsia="仿宋" w:cs="方正仿宋简体" w:hAnsi="仿宋" w:hint="eastAsia"/>
          <w:bCs/>
          <w:color w:val="000000"/>
          <w:sz w:val="32"/>
          <w:szCs w:val="32"/>
        </w:rPr>
        <w:t>4.直接审计下列事项，出具审计报告，在法定职权范围内作出审计决定，包括国家、省、市、区有关重大政策措施贯彻落实情况；区级预算执行情况和其他财政收支，区直各部门（含直属单位）预算执行情况、决算草案和其他财政收支；乡镇（街道）预算执行情况、财政决算和其他财政收支；使用区级财政资金的事业单位（含直属单位）和社会团体的财务收支；区级政府投资和以区级政府投资为主的建设项目的预算执行情况和决算，区级重大公共工程项目的资金管理使用和建设运营情况；自然资源管理、污染防治和生态保护与修复情况；区属国有企业、国有资本占控股或主导地位的企业境内外资产、负债和损益；有关社会保障基金、社会捐赠资金、安全生产和职业健康财政资金以及其他基金、资金的财务收支；法律法规规定的其他事项。</w:t>
      </w:r>
    </w:p>
    <w:p>
      <w:pPr>
        <w:pStyle w:val="15"/>
        <w:adjustRightInd w:val="0"/>
        <w:snapToGrid w:val="0"/>
        <w:spacing w:beforeLines="0" w:before="93" w:line="600" w:lineRule="exact"/>
        <w:ind w:firstLineChars="200" w:firstLine="640"/>
        <w:outlineLvl w:val="2"/>
        <w:rPr>
          <w:rFonts w:ascii="仿宋" w:eastAsia="仿宋" w:cs="方正仿宋简体" w:hAnsi="仿宋"/>
          <w:bCs/>
          <w:color w:val="000000"/>
          <w:sz w:val="32"/>
          <w:szCs w:val="32"/>
        </w:rPr>
      </w:pPr>
      <w:r>
        <w:rPr>
          <w:rFonts w:ascii="仿宋" w:eastAsia="仿宋" w:cs="方正仿宋简体" w:hAnsi="仿宋" w:hint="eastAsia"/>
          <w:bCs/>
          <w:color w:val="000000"/>
          <w:sz w:val="32"/>
          <w:szCs w:val="32"/>
        </w:rPr>
        <w:t>5.按规定对区管党政主要领导干部及其他单位主要负责人实施经济责任审计和自然资源资产离任(任中)审计。</w:t>
      </w:r>
    </w:p>
    <w:p>
      <w:pPr>
        <w:pStyle w:val="15"/>
        <w:adjustRightInd w:val="0"/>
        <w:snapToGrid w:val="0"/>
        <w:spacing w:beforeLines="0" w:before="93" w:line="600" w:lineRule="exact"/>
        <w:ind w:firstLineChars="200" w:firstLine="640"/>
        <w:outlineLvl w:val="2"/>
        <w:rPr>
          <w:rFonts w:ascii="仿宋" w:eastAsia="仿宋" w:cs="方正仿宋简体" w:hAnsi="仿宋"/>
          <w:bCs/>
          <w:color w:val="000000"/>
          <w:sz w:val="32"/>
          <w:szCs w:val="32"/>
        </w:rPr>
      </w:pPr>
      <w:r>
        <w:rPr>
          <w:rFonts w:ascii="仿宋" w:eastAsia="仿宋" w:cs="方正仿宋简体" w:hAnsi="仿宋" w:hint="eastAsia"/>
          <w:bCs/>
          <w:color w:val="000000"/>
          <w:sz w:val="32"/>
          <w:szCs w:val="32"/>
        </w:rPr>
        <w:t>6.组织实施对国家财经法律法规、规章、政策和宏观调控措施执行情况、财政预算管理及国有资产管理使用等与区级财政收支有关的特定事项进行专项审计调查。</w:t>
      </w:r>
    </w:p>
    <w:p>
      <w:pPr>
        <w:pStyle w:val="15"/>
        <w:adjustRightInd w:val="0"/>
        <w:snapToGrid w:val="0"/>
        <w:spacing w:beforeLines="0" w:before="93" w:line="600" w:lineRule="exact"/>
        <w:ind w:firstLineChars="200" w:firstLine="640"/>
        <w:outlineLvl w:val="2"/>
        <w:rPr>
          <w:rFonts w:ascii="仿宋" w:eastAsia="仿宋" w:cs="方正仿宋简体" w:hAnsi="仿宋"/>
          <w:bCs/>
          <w:color w:val="000000"/>
          <w:sz w:val="32"/>
          <w:szCs w:val="32"/>
        </w:rPr>
      </w:pPr>
      <w:r>
        <w:rPr>
          <w:rFonts w:ascii="仿宋" w:eastAsia="仿宋" w:cs="方正仿宋简体" w:hAnsi="仿宋" w:hint="eastAsia"/>
          <w:bCs/>
          <w:color w:val="000000"/>
          <w:sz w:val="32"/>
          <w:szCs w:val="32"/>
        </w:rPr>
        <w:t>7.依法检查审计决定执行情况，督促整改审计查出的问题，依法办理被审计单位对审计决定提请行政复议、行政诉讼或区政府裁决中的有关事项，协助配合有关部门查处相关重大案件。</w:t>
      </w:r>
    </w:p>
    <w:p>
      <w:pPr>
        <w:pStyle w:val="15"/>
        <w:adjustRightInd w:val="0"/>
        <w:snapToGrid w:val="0"/>
        <w:spacing w:beforeLines="0" w:before="93" w:line="600" w:lineRule="exact"/>
        <w:ind w:firstLineChars="200" w:firstLine="640"/>
        <w:outlineLvl w:val="2"/>
        <w:rPr>
          <w:rFonts w:ascii="仿宋" w:eastAsia="仿宋" w:cs="方正仿宋简体" w:hAnsi="仿宋"/>
          <w:bCs/>
          <w:color w:val="000000"/>
          <w:sz w:val="32"/>
          <w:szCs w:val="32"/>
        </w:rPr>
      </w:pPr>
      <w:r>
        <w:rPr>
          <w:rFonts w:ascii="仿宋" w:eastAsia="仿宋" w:cs="方正仿宋简体" w:hAnsi="仿宋" w:hint="eastAsia"/>
          <w:bCs/>
          <w:color w:val="000000"/>
          <w:sz w:val="32"/>
          <w:szCs w:val="32"/>
        </w:rPr>
        <w:t>8.指导和监督内部审计工作，核查社会审计机构对依法属于审计监督对象的单位出具的相关审计报告。</w:t>
      </w:r>
    </w:p>
    <w:p>
      <w:pPr>
        <w:pStyle w:val="15"/>
        <w:adjustRightInd w:val="0"/>
        <w:snapToGrid w:val="0"/>
        <w:spacing w:beforeLines="0" w:before="93" w:line="600" w:lineRule="exact"/>
        <w:ind w:firstLineChars="200" w:firstLine="640"/>
        <w:outlineLvl w:val="2"/>
        <w:rPr>
          <w:rFonts w:ascii="仿宋" w:eastAsia="仿宋" w:cs="方正仿宋简体" w:hAnsi="仿宋"/>
          <w:bCs/>
          <w:color w:val="000000"/>
          <w:sz w:val="32"/>
          <w:szCs w:val="32"/>
        </w:rPr>
      </w:pPr>
      <w:r>
        <w:rPr>
          <w:rFonts w:ascii="仿宋" w:eastAsia="仿宋" w:cs="方正仿宋简体" w:hAnsi="仿宋" w:hint="eastAsia"/>
          <w:bCs/>
          <w:color w:val="000000"/>
          <w:sz w:val="32"/>
          <w:szCs w:val="32"/>
        </w:rPr>
        <w:t>9.依法组织开展国际组织和外国政府援助、贷款项目审计。</w:t>
      </w:r>
    </w:p>
    <w:p>
      <w:pPr>
        <w:pStyle w:val="15"/>
        <w:adjustRightInd w:val="0"/>
        <w:snapToGrid w:val="0"/>
        <w:spacing w:beforeLines="0" w:before="93" w:line="600" w:lineRule="exact"/>
        <w:ind w:firstLineChars="200" w:firstLine="640"/>
        <w:outlineLvl w:val="2"/>
        <w:rPr>
          <w:rFonts w:ascii="仿宋" w:eastAsia="仿宋" w:cs="方正仿宋简体" w:hAnsi="仿宋"/>
          <w:bCs/>
          <w:color w:val="000000"/>
          <w:sz w:val="32"/>
          <w:szCs w:val="32"/>
        </w:rPr>
      </w:pPr>
      <w:r>
        <w:rPr>
          <w:rFonts w:ascii="仿宋" w:eastAsia="仿宋" w:cs="方正仿宋简体" w:hAnsi="仿宋" w:hint="eastAsia"/>
          <w:bCs/>
          <w:color w:val="000000"/>
          <w:sz w:val="32"/>
          <w:szCs w:val="32"/>
        </w:rPr>
        <w:t>10.组织开展信息技术在审计领域的应用。</w:t>
      </w:r>
    </w:p>
    <w:p>
      <w:pPr>
        <w:pStyle w:val="15"/>
        <w:adjustRightInd w:val="0"/>
        <w:snapToGrid w:val="0"/>
        <w:spacing w:beforeLines="0" w:before="93" w:line="600" w:lineRule="exact"/>
        <w:ind w:firstLineChars="200" w:firstLine="640"/>
        <w:outlineLvl w:val="2"/>
        <w:rPr>
          <w:rFonts w:ascii="仿宋" w:eastAsia="仿宋" w:cs="方正仿宋简体" w:hAnsi="仿宋"/>
          <w:bCs/>
          <w:color w:val="000000"/>
          <w:sz w:val="32"/>
          <w:szCs w:val="32"/>
        </w:rPr>
      </w:pPr>
      <w:r>
        <w:rPr>
          <w:rFonts w:ascii="仿宋" w:eastAsia="仿宋" w:cs="方正仿宋简体" w:hAnsi="仿宋" w:hint="eastAsia"/>
          <w:bCs/>
          <w:color w:val="000000"/>
          <w:sz w:val="32"/>
          <w:szCs w:val="32"/>
        </w:rPr>
        <w:t>11.负责职责范围内的安全生产和职业健康、生态环境保护、审批服务便民化等工作。</w:t>
      </w:r>
    </w:p>
    <w:p>
      <w:pPr>
        <w:ind w:firstLineChars="200" w:firstLine="640"/>
        <w:rPr>
          <w:rFonts w:ascii="仿宋" w:eastAsia="仿宋" w:cs="方正仿宋简体" w:hAnsi="仿宋"/>
          <w:bCs/>
          <w:color w:val="000000"/>
          <w:kern w:val="0"/>
          <w:sz w:val="32"/>
          <w:szCs w:val="32"/>
        </w:rPr>
      </w:pPr>
      <w:r>
        <w:rPr>
          <w:rFonts w:ascii="仿宋" w:eastAsia="仿宋" w:cs="方正仿宋简体" w:hAnsi="仿宋" w:hint="eastAsia"/>
          <w:bCs/>
          <w:color w:val="000000"/>
          <w:kern w:val="0"/>
          <w:sz w:val="32"/>
          <w:szCs w:val="32"/>
        </w:rPr>
        <w:t>12.完成区委、区政府交办的其他任务。</w:t>
      </w:r>
    </w:p>
    <w:p>
      <w:pPr>
        <w:spacing w:line="576" w:lineRule="exact"/>
        <w:ind w:firstLineChars="200" w:firstLine="640"/>
        <w:outlineLvl w:val="1"/>
        <w:rPr>
          <w:rFonts w:ascii="仿宋" w:eastAsia="仿宋" w:hAnsi="仿宋"/>
        </w:rPr>
      </w:pPr>
      <w:r>
        <w:rPr>
          <w:rFonts w:ascii="仿宋" w:eastAsia="仿宋" w:cs="方正仿宋简体" w:hAnsi="仿宋" w:hint="eastAsia"/>
          <w:bCs/>
          <w:color w:val="000000"/>
          <w:kern w:val="0"/>
          <w:sz w:val="32"/>
          <w:szCs w:val="32"/>
        </w:rPr>
        <w:t>13.职能转变。进一步完善审计管理体制，加强全区审计工作统筹，明晰审计机关职能定位，理顺内部职责关系，优化审计资源配置，充实加强一线审计力量，构建集中统一、全面覆盖、权威高效的审计监督体系。优化审计工作机制，坚持科技强审，完善业务流程，改进工作方式，加强与有关部门的沟通协调，充分调动内部审计和社会审计力量，增强监督合力。</w:t>
      </w:r>
    </w:p>
    <w:p>
      <w:pPr>
        <w:pStyle w:val="2"/>
        <w:rPr>
          <w:rFonts w:ascii="仿宋" w:eastAsia="仿宋" w:hAnsi="仿宋"/>
        </w:rPr>
      </w:pPr>
      <w:r>
        <w:rPr>
          <w:rFonts w:ascii="仿宋" w:eastAsia="仿宋" w:hAnsi="仿宋" w:hint="eastAsia"/>
          <w:b w:val="0"/>
        </w:rPr>
        <w:t>二、机</w:t>
      </w:r>
      <w:r>
        <w:rPr>
          <w:rStyle w:val="2Char"/>
          <w:rFonts w:ascii="仿宋" w:eastAsia="仿宋" w:hAnsi="仿宋" w:hint="eastAsia"/>
        </w:rPr>
        <w:t>构设置</w:t>
      </w:r>
      <w:bookmarkEnd w:id="16"/>
      <w:bookmarkEnd w:id="17"/>
    </w:p>
    <w:p>
      <w:pPr>
        <w:pStyle w:val="33"/>
        <w:spacing w:line="576" w:lineRule="exact"/>
        <w:jc w:val="left"/>
        <w:rPr>
          <w:rFonts w:ascii="仿宋" w:eastAsia="仿宋" w:cs="方正仿宋简体" w:hAnsi="仿宋"/>
          <w:sz w:val="32"/>
          <w:szCs w:val="32"/>
        </w:rPr>
      </w:pPr>
      <w:r>
        <w:rPr>
          <w:rFonts w:ascii="仿宋" w:eastAsia="仿宋" w:cs="方正仿宋简体" w:hAnsi="仿宋" w:hint="eastAsia"/>
          <w:sz w:val="32"/>
          <w:szCs w:val="32"/>
        </w:rPr>
        <w:t>1.区审计局下属二级单位0个。</w:t>
      </w:r>
    </w:p>
    <w:p>
      <w:pPr>
        <w:pStyle w:val="15"/>
        <w:adjustRightInd w:val="0"/>
        <w:snapToGrid w:val="0"/>
        <w:spacing w:beforeLines="0" w:before="93" w:line="576" w:lineRule="exact"/>
        <w:ind w:firstLineChars="200" w:firstLine="640"/>
        <w:rPr>
          <w:rFonts w:ascii="仿宋" w:eastAsia="仿宋" w:cs="方正仿宋简体" w:hAnsi="仿宋"/>
          <w:kern w:val="2"/>
          <w:sz w:val="32"/>
          <w:szCs w:val="32"/>
        </w:rPr>
      </w:pPr>
      <w:r>
        <w:rPr>
          <w:rFonts w:ascii="仿宋" w:eastAsia="仿宋" w:cs="方正仿宋简体" w:hAnsi="仿宋" w:hint="eastAsia"/>
          <w:kern w:val="2"/>
          <w:sz w:val="32"/>
          <w:szCs w:val="32"/>
        </w:rPr>
        <w:t>2.纳入区审计局2022年度部门决算编制范围的二级预算单位0个。</w:t>
      </w:r>
    </w:p>
    <w:p>
      <w:pPr>
        <w:widowControl/>
        <w:jc w:val="left"/>
        <w:rPr>
          <w:rFonts w:ascii="仿宋" w:eastAsia="仿宋" w:hAnsi="仿宋"/>
          <w:kern w:val="0"/>
          <w:sz w:val="32"/>
          <w:szCs w:val="32"/>
        </w:rPr>
      </w:pPr>
      <w:r>
        <w:rPr>
          <w:rFonts w:ascii="仿宋" w:eastAsia="仿宋" w:cs="方正仿宋简体" w:hAnsi="仿宋" w:hint="eastAsia"/>
          <w:sz w:val="32"/>
          <w:szCs w:val="32"/>
        </w:rPr>
        <w:t xml:space="preserve"> </w:t>
      </w:r>
      <w:r>
        <w:rPr>
          <w:rFonts w:ascii="仿宋" w:eastAsia="仿宋" w:hAnsi="仿宋"/>
          <w:sz w:val="32"/>
          <w:szCs w:val="32"/>
        </w:rPr>
        <w:br w:type="page"/>
      </w:r>
    </w:p>
    <w:p>
      <w:pPr>
        <w:pStyle w:val="1"/>
        <w:ind w:right="440"/>
        <w:jc w:val="center"/>
      </w:pPr>
      <w:bookmarkStart w:id="18" w:name="_Toc15396602"/>
      <w:bookmarkStart w:id="19" w:name="_Toc15377204"/>
      <w:r>
        <w:rPr>
          <w:rFonts w:ascii="黑体" w:eastAsia="黑体" w:hAnsi="黑体" w:hint="eastAsia"/>
          <w:b w:val="0"/>
        </w:rPr>
        <w:t>第二部分 2022年度</w:t>
      </w:r>
      <w:r>
        <w:rPr>
          <w:rStyle w:val="1Char"/>
          <w:rFonts w:ascii="黑体" w:eastAsia="黑体" w:hAnsi="黑体" w:hint="eastAsia"/>
          <w:bCs/>
        </w:rPr>
        <w:t>部门决算情况说明</w:t>
      </w:r>
      <w:bookmarkEnd w:id="18"/>
      <w:bookmarkEnd w:id="19"/>
    </w:p>
    <w:p>
      <w:pPr>
        <w:pStyle w:val="33"/>
        <w:numPr>
          <w:ilvl w:val="0"/>
          <w:numId w:val="1"/>
        </w:numPr>
        <w:spacing w:line="600" w:lineRule="exact"/>
        <w:ind w:firstLineChars="0"/>
        <w:outlineLvl w:val="1"/>
        <w:rPr>
          <w:rStyle w:val="2Char"/>
          <w:rFonts w:ascii="仿宋" w:eastAsia="仿宋" w:hAnsi="仿宋"/>
          <w:b w:val="0"/>
        </w:rPr>
      </w:pPr>
      <w:bookmarkStart w:id="20" w:name="_Toc15377205"/>
      <w:bookmarkStart w:id="21" w:name="_Toc15396603"/>
      <w:r>
        <w:rPr>
          <w:rFonts w:ascii="仿宋" w:eastAsia="仿宋" w:hAnsi="仿宋" w:hint="eastAsia"/>
          <w:sz w:val="32"/>
          <w:szCs w:val="32"/>
        </w:rPr>
        <w:t>收</w:t>
      </w:r>
      <w:r>
        <w:rPr>
          <w:rStyle w:val="2Char"/>
          <w:rFonts w:ascii="仿宋" w:eastAsia="仿宋" w:hAnsi="仿宋" w:hint="eastAsia"/>
          <w:b w:val="0"/>
        </w:rPr>
        <w:t>入支出决算总体情况说明</w:t>
      </w:r>
      <w:bookmarkEnd w:id="20"/>
      <w:bookmarkEnd w:id="21"/>
    </w:p>
    <w:p>
      <w:pPr>
        <w:spacing w:line="600"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rPr>
        <w:t>2022年度收、支总计1169.75万元。与2021年相比，收、支各减少269.13万元。收支主要变动原因是：2022年无政府投资审计、政府重大工程投资跟踪审计和区属国有企业财务审计上年结转收入及支出</w:t>
      </w:r>
      <w:bookmarkStart w:id="22" w:name="_Toc15377206"/>
      <w:bookmarkStart w:id="23" w:name="_Toc15396604"/>
      <w:r>
        <w:rPr>
          <w:rFonts w:ascii="仿宋" w:eastAsia="仿宋" w:cs="方正仿宋简体" w:hAnsi="仿宋" w:hint="eastAsia"/>
          <w:sz w:val="32"/>
          <w:szCs w:val="32"/>
        </w:rPr>
        <w:t>。</w:t>
      </w:r>
    </w:p>
    <w:p>
      <w:pPr>
        <w:spacing w:line="600" w:lineRule="exact"/>
        <w:ind w:firstLineChars="200" w:firstLine="640"/>
        <w:rPr>
          <w:rFonts w:ascii="方正仿宋简体" w:eastAsia="方正仿宋简体" w:cs="方正仿宋简体" w:hAnsi="方正仿宋简体"/>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：收、支决算总计变动情况图）（单位：万元）</w:t>
      </w:r>
    </w:p>
    <w:p>
      <w:pPr>
        <w:spacing w:line="600" w:lineRule="exact"/>
        <w:rPr>
          <w:rFonts w:ascii="仿宋" w:eastAsia="仿宋" w:hAnsi="仿宋"/>
          <w:color w:val="000000"/>
          <w:sz w:val="32"/>
          <w:szCs w:val="32"/>
        </w:rPr>
      </w:pPr>
      <w:r>
        <w:rPr>
          <w:rFonts w:ascii="仿宋" w:eastAsia="仿宋" w:hAnsi="仿宋"/>
          <w:color w:val="000000"/>
          <w:sz w:val="32"/>
          <w:szCs w:val="32"/>
        </w:rPr>
        <w:drawing>
          <wp:anchor distT="0" distB="0" distL="114300" distR="114300" simplePos="0" relativeHeight="22" behindDoc="0" locked="0" layoutInCell="1" hidden="0" allowOverlap="1">
            <wp:simplePos x="0" y="0"/>
            <wp:positionH relativeFrom="column">
              <wp:posOffset>-95885</wp:posOffset>
            </wp:positionH>
            <wp:positionV relativeFrom="paragraph">
              <wp:posOffset>314325</wp:posOffset>
            </wp:positionV>
            <wp:extent cx="5274310" cy="3076575"/>
            <wp:effectExtent l="0" t="0" r="0" b="0"/>
            <wp:wrapNone/>
            <wp:docPr id="7" name="图表 2"/>
            <wp:cNvGraphicFramePr>
              <a:graphicFrameLocks noChangeAspect="0"/>
            </wp:cNvGraphicFramePr>
            <a:graphic>
              <a:graphicData uri="http://schemas.openxmlformats.org/drawingml/2006/chart">
                <c:chart xmlns:c="http://schemas.openxmlformats.org/drawingml/2006/chart" r:id="rId5"/>
              </a:graphicData>
            </a:graphic>
          </wp:anchor>
        </w:drawing>
      </w:r>
    </w:p>
    <w:p>
      <w:pPr>
        <w:pStyle w:val="15"/>
        <w:spacing w:beforeLines="0" w:before="93"/>
        <w:rPr>
          <w:rFonts w:ascii="仿宋" w:eastAsia="仿宋" w:hAnsi="仿宋"/>
          <w:color w:val="000000"/>
          <w:sz w:val="32"/>
          <w:szCs w:val="32"/>
        </w:rPr>
      </w:pPr>
    </w:p>
    <w:p>
      <w:pPr>
        <w:pStyle w:val="15"/>
        <w:spacing w:beforeLines="0" w:before="93"/>
        <w:rPr>
          <w:rFonts w:ascii="仿宋" w:eastAsia="仿宋" w:hAnsi="仿宋"/>
          <w:sz w:val="32"/>
          <w:szCs w:val="32"/>
        </w:rPr>
      </w:pPr>
    </w:p>
    <w:p>
      <w:pPr>
        <w:pStyle w:val="15"/>
        <w:spacing w:beforeLines="0" w:before="93"/>
        <w:rPr>
          <w:rFonts w:ascii="仿宋" w:eastAsia="仿宋" w:hAnsi="仿宋"/>
          <w:sz w:val="32"/>
          <w:szCs w:val="32"/>
        </w:rPr>
      </w:pPr>
    </w:p>
    <w:p>
      <w:pPr>
        <w:pStyle w:val="15"/>
        <w:spacing w:beforeLines="0" w:before="93"/>
        <w:rPr>
          <w:rFonts w:ascii="仿宋" w:eastAsia="仿宋" w:hAnsi="仿宋"/>
          <w:sz w:val="32"/>
          <w:szCs w:val="32"/>
        </w:rPr>
      </w:pPr>
    </w:p>
    <w:p>
      <w:pPr>
        <w:pStyle w:val="15"/>
        <w:spacing w:beforeLines="0" w:before="93"/>
        <w:rPr>
          <w:rFonts w:ascii="仿宋" w:eastAsia="仿宋" w:hAnsi="仿宋"/>
          <w:sz w:val="32"/>
          <w:szCs w:val="32"/>
        </w:rPr>
      </w:pPr>
    </w:p>
    <w:p>
      <w:pPr>
        <w:pStyle w:val="33"/>
        <w:spacing w:line="600" w:lineRule="exact"/>
        <w:ind w:leftChars="200" w:left="420"/>
        <w:outlineLvl w:val="1"/>
        <w:rPr>
          <w:rFonts w:ascii="黑体" w:eastAsia="黑体" w:hAnsi="黑体"/>
          <w:sz w:val="32"/>
          <w:szCs w:val="32"/>
        </w:rPr>
      </w:pPr>
    </w:p>
    <w:p>
      <w:pPr>
        <w:pStyle w:val="24"/>
        <w:tabs>
          <w:tab w:val="right" w:leader="dot" w:pos="8296"/>
        </w:tabs>
        <w:adjustRightInd w:val="0"/>
        <w:snapToGrid w:val="0"/>
        <w:spacing w:line="440" w:lineRule="exact"/>
        <w:ind w:leftChars="0" w:left="0"/>
        <w:jc w:val="left"/>
        <w:rPr>
          <w:sz w:val="24"/>
        </w:rPr>
      </w:pPr>
    </w:p>
    <w:p>
      <w:pPr>
        <w:pStyle w:val="33"/>
        <w:numPr>
          <w:ilvl w:val="0"/>
          <w:numId w:val="1"/>
        </w:numPr>
        <w:spacing w:line="600" w:lineRule="exact"/>
        <w:ind w:firstLineChars="0"/>
        <w:outlineLvl w:val="1"/>
        <w:rPr>
          <w:rStyle w:val="2Char"/>
          <w:rFonts w:ascii="黑体" w:eastAsia="黑体" w:hAnsi="黑体"/>
          <w:b w:val="0"/>
        </w:rPr>
      </w:pPr>
      <w:r>
        <w:rPr>
          <w:rFonts w:ascii="黑体" w:eastAsia="黑体" w:hAnsi="黑体" w:hint="eastAsia"/>
          <w:sz w:val="32"/>
          <w:szCs w:val="32"/>
        </w:rPr>
        <w:t>收</w:t>
      </w:r>
      <w:r>
        <w:rPr>
          <w:rStyle w:val="2Char"/>
          <w:rFonts w:ascii="黑体" w:eastAsia="黑体" w:hAnsi="黑体" w:hint="eastAsia"/>
          <w:b w:val="0"/>
        </w:rPr>
        <w:t>入决算情况说明</w:t>
      </w:r>
      <w:bookmarkEnd w:id="22"/>
      <w:bookmarkEnd w:id="23"/>
    </w:p>
    <w:p>
      <w:pPr>
        <w:spacing w:line="600" w:lineRule="exact"/>
        <w:ind w:firstLineChars="200" w:firstLine="420"/>
        <w:outlineLvl w:val="1"/>
        <w:rPr>
          <w:rFonts w:ascii="仿宋" w:eastAsia="仿宋" w:hAnsi="仿宋"/>
          <w:sz w:val="32"/>
          <w:szCs w:val="32"/>
        </w:rPr>
      </w:pPr>
      <w:r>
        <w:rPr>
          <w:rFonts w:hint="eastAsia"/>
        </w:rPr>
        <w:t xml:space="preserve"> </w:t>
      </w:r>
      <w:r>
        <w:rPr>
          <w:rFonts w:ascii="仿宋" w:eastAsia="仿宋" w:cs="方正仿宋简体" w:hAnsi="仿宋" w:hint="eastAsia"/>
          <w:sz w:val="32"/>
          <w:szCs w:val="32"/>
        </w:rPr>
        <w:t>2022年本年收入合计1001.81万元，其中：一般公共预算财政拨款收入993.81万元，占99.2%；其他收入8.03万元，占0.8%。</w:t>
      </w:r>
    </w:p>
    <w:p>
      <w:pPr>
        <w:pStyle w:val="15"/>
        <w:spacing w:beforeLines="0" w:before="93"/>
        <w:rPr>
          <w:rFonts w:ascii="仿宋" w:eastAsia="仿宋" w:hAnsi="仿宋"/>
          <w:sz w:val="32"/>
          <w:szCs w:val="32"/>
        </w:rPr>
      </w:pPr>
      <w:r>
        <w:rPr>
          <w:rFonts w:ascii="仿宋" w:eastAsia="仿宋" w:hAnsi="仿宋" w:hint="eastAsia"/>
          <w:sz w:val="32"/>
          <w:szCs w:val="32"/>
        </w:rPr>
        <w:t>（图2：收入决算结构图）（单位：万元）</w:t>
      </w:r>
      <w:r>
        <w:rPr>
          <w:rFonts w:ascii="仿宋" w:eastAsia="仿宋" w:hAnsi="仿宋" w:hint="eastAsia"/>
          <w:color w:val="000000"/>
          <w:sz w:val="32"/>
          <w:szCs w:val="32"/>
        </w:rPr>
        <w:drawing>
          <wp:anchor distT="0" distB="0" distL="114300" distR="114300" simplePos="0" relativeHeight="26" behindDoc="0" locked="0" layoutInCell="1" hidden="0" allowOverlap="1">
            <wp:simplePos x="0" y="0"/>
            <wp:positionH relativeFrom="column">
              <wp:posOffset>-29209</wp:posOffset>
            </wp:positionH>
            <wp:positionV relativeFrom="paragraph">
              <wp:posOffset>417194</wp:posOffset>
            </wp:positionV>
            <wp:extent cx="5276850" cy="1828800"/>
            <wp:effectExtent l="0" t="0" r="0" b="0"/>
            <wp:wrapNone/>
            <wp:docPr id="8" name="图表 3"/>
            <wp:cNvGraphicFramePr>
              <a:graphicFrameLocks noChangeAspect="0"/>
            </wp:cNvGraphicFramePr>
            <a:graphic>
              <a:graphicData uri="http://schemas.openxmlformats.org/drawingml/2006/chart">
                <c:chart xmlns:c="http://schemas.openxmlformats.org/drawingml/2006/chart" r:id="rId6"/>
              </a:graphicData>
            </a:graphic>
          </wp:anchor>
        </w:drawing>
      </w:r>
    </w:p>
    <w:p>
      <w:pPr>
        <w:pStyle w:val="33"/>
        <w:numPr>
          <w:ilvl w:val="0"/>
          <w:numId w:val="1"/>
        </w:numPr>
        <w:spacing w:line="600" w:lineRule="exact"/>
        <w:ind w:firstLineChars="0"/>
        <w:outlineLvl w:val="1"/>
        <w:rPr>
          <w:rFonts w:ascii="黑体" w:eastAsia="黑体" w:cs="黑体" w:hAnsi="宋体"/>
          <w:color w:val="000000"/>
          <w:kern w:val="0"/>
          <w:sz w:val="31"/>
          <w:szCs w:val="31"/>
        </w:rPr>
      </w:pPr>
      <w:bookmarkStart w:id="24" w:name="_Toc15377207"/>
      <w:bookmarkStart w:id="25"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24"/>
      <w:bookmarkEnd w:id="25"/>
    </w:p>
    <w:p>
      <w:pPr>
        <w:widowControl/>
        <w:ind w:firstLineChars="200" w:firstLine="620"/>
        <w:jc w:val="left"/>
        <w:rPr>
          <w:rFonts w:ascii="黑体" w:eastAsia="黑体" w:cs="黑体" w:hAnsi="宋体"/>
          <w:color w:val="000000"/>
          <w:kern w:val="0"/>
          <w:sz w:val="31"/>
          <w:szCs w:val="31"/>
        </w:rPr>
      </w:pPr>
      <w:r>
        <w:rPr>
          <w:rFonts w:ascii="黑体" w:eastAsia="黑体" w:cs="黑体" w:hAnsi="宋体" w:hint="eastAsia"/>
          <w:color w:val="000000"/>
          <w:kern w:val="0"/>
          <w:sz w:val="31"/>
          <w:szCs w:val="31"/>
        </w:rPr>
        <w:t>三、支出决算情况说明</w:t>
      </w:r>
    </w:p>
    <w:p>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22年本年支出合计1165.76万元，其中：基本支出678.41万元，占58</w:t>
      </w:r>
      <w:r>
        <w:rPr>
          <w:rFonts w:ascii="仿宋" w:eastAsia="仿宋" w:hAnsi="仿宋"/>
          <w:sz w:val="32"/>
          <w:szCs w:val="32"/>
        </w:rPr>
        <w:t>%</w:t>
      </w:r>
      <w:r>
        <w:rPr>
          <w:rFonts w:ascii="仿宋" w:eastAsia="仿宋" w:hAnsi="仿宋" w:hint="eastAsia"/>
          <w:sz w:val="32"/>
          <w:szCs w:val="32"/>
        </w:rPr>
        <w:t>；项目支出487.35万元，占41.66</w:t>
      </w:r>
      <w:r>
        <w:rPr>
          <w:rFonts w:ascii="仿宋" w:eastAsia="仿宋" w:hAnsi="仿宋"/>
          <w:sz w:val="32"/>
          <w:szCs w:val="32"/>
        </w:rPr>
        <w:t>%</w:t>
      </w:r>
      <w:r>
        <w:rPr>
          <w:rFonts w:ascii="仿宋" w:eastAsia="仿宋" w:hAnsi="仿宋" w:hint="eastAsia"/>
          <w:sz w:val="32"/>
          <w:szCs w:val="32"/>
        </w:rPr>
        <w:t>。</w:t>
      </w:r>
      <w:bookmarkStart w:id="26" w:name="_Toc15396606"/>
      <w:bookmarkStart w:id="27" w:name="_Toc15377208"/>
    </w:p>
    <w:p>
      <w:pPr>
        <w:pStyle w:val="15"/>
        <w:spacing w:beforeLines="0" w:before="93"/>
      </w:pPr>
      <w:r>
        <w:rPr>
          <w:rFonts w:ascii="仿宋" w:eastAsia="仿宋" w:hAnsi="仿宋" w:hint="eastAsia"/>
          <w:sz w:val="32"/>
          <w:szCs w:val="32"/>
        </w:rPr>
        <w:t>（图3：支出决算结构图）（单位：万元）</w:t>
      </w:r>
    </w:p>
    <w:p>
      <w:pPr>
        <w:pStyle w:val="15"/>
        <w:spacing w:beforeLines="0" w:before="93"/>
        <w:rPr>
          <w:rFonts w:ascii="仿宋" w:eastAsia="仿宋" w:hAnsi="仿宋"/>
          <w:sz w:val="32"/>
          <w:szCs w:val="32"/>
        </w:rPr>
      </w:pPr>
      <w:r>
        <w:rPr>
          <w:rFonts w:ascii="仿宋" w:eastAsia="仿宋" w:hAnsi="仿宋" w:hint="eastAsia"/>
          <w:color w:val="000000"/>
          <w:sz w:val="32"/>
          <w:szCs w:val="32"/>
        </w:rPr>
        <w:drawing>
          <wp:anchor distT="0" distB="0" distL="114300" distR="114300" simplePos="0" relativeHeight="36" behindDoc="0" locked="0" layoutInCell="1" hidden="0" allowOverlap="1">
            <wp:simplePos x="0" y="0"/>
            <wp:positionH relativeFrom="column">
              <wp:posOffset>232408</wp:posOffset>
            </wp:positionH>
            <wp:positionV relativeFrom="paragraph">
              <wp:posOffset>186055</wp:posOffset>
            </wp:positionV>
            <wp:extent cx="5276850" cy="1809750"/>
            <wp:effectExtent l="0" t="0" r="0" b="0"/>
            <wp:wrapNone/>
            <wp:docPr id="9" name="图表 4"/>
            <wp:cNvGraphicFramePr>
              <a:graphicFrameLocks noChangeAspect="0"/>
            </wp:cNvGraphicFramePr>
            <a:graphic>
              <a:graphicData uri="http://schemas.openxmlformats.org/drawingml/2006/chart">
                <c:chart xmlns:c="http://schemas.openxmlformats.org/drawingml/2006/chart" r:id="rId7"/>
              </a:graphicData>
            </a:graphic>
          </wp:anchor>
        </w:drawing>
      </w:r>
    </w:p>
    <w:p>
      <w:pPr>
        <w:spacing w:line="600" w:lineRule="exact"/>
        <w:outlineLvl w:val="1"/>
        <w:rPr>
          <w:rFonts w:ascii="黑体" w:eastAsia="黑体" w:hAnsi="黑体"/>
          <w:sz w:val="32"/>
          <w:szCs w:val="32"/>
        </w:rPr>
      </w:pPr>
    </w:p>
    <w:p>
      <w:pPr>
        <w:spacing w:line="600" w:lineRule="exact"/>
        <w:ind w:firstLineChars="200" w:firstLine="640"/>
        <w:outlineLvl w:val="1"/>
        <w:rPr>
          <w:rStyle w:val="2Char"/>
          <w:rFonts w:ascii="黑体" w:eastAsia="黑体" w:hAnsi="黑体"/>
          <w:b w:val="0"/>
        </w:rPr>
      </w:pPr>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6"/>
      <w:bookmarkEnd w:id="27"/>
    </w:p>
    <w:p>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22年财政拨款收1152.48万元、支出1152.48万元</w:t>
      </w:r>
    </w:p>
    <w:p>
      <w:pPr>
        <w:spacing w:line="600" w:lineRule="exact"/>
        <w:ind w:firstLineChars="200" w:firstLine="640"/>
        <w:rPr>
          <w:rFonts w:ascii="仿宋" w:eastAsia="仿宋" w:hAnsi="仿宋"/>
          <w:sz w:val="32"/>
          <w:szCs w:val="32"/>
        </w:rPr>
      </w:pPr>
    </w:p>
    <w:p>
      <w:pPr>
        <w:widowControl/>
        <w:ind w:firstLineChars="100" w:firstLine="310"/>
        <w:jc w:val="left"/>
      </w:pPr>
      <w:r>
        <w:rPr>
          <w:rFonts w:ascii="黑体" w:eastAsia="黑体" w:cs="黑体" w:hAnsi="宋体"/>
          <w:color w:val="000000"/>
          <w:kern w:val="0"/>
          <w:sz w:val="31"/>
          <w:szCs w:val="31"/>
        </w:rPr>
        <w:t xml:space="preserve">四、财政拨款收入支出决算总体情况说明 </w:t>
      </w:r>
    </w:p>
    <w:p>
      <w:pPr>
        <w:widowControl/>
        <w:ind w:firstLineChars="200" w:firstLine="620"/>
        <w:jc w:val="left"/>
        <w:rPr>
          <w:rFonts w:ascii="仿宋" w:eastAsia="仿宋" w:cs="仿宋_GB2312" w:hAnsi="仿宋"/>
          <w:color w:val="000000"/>
          <w:kern w:val="0"/>
          <w:sz w:val="31"/>
          <w:szCs w:val="31"/>
        </w:rPr>
      </w:pPr>
      <w:r>
        <w:rPr>
          <w:rFonts w:ascii="仿宋" w:eastAsia="仿宋" w:cs="仿宋_GB2312" w:hAnsi="仿宋"/>
          <w:color w:val="000000"/>
          <w:kern w:val="0"/>
          <w:sz w:val="31"/>
          <w:szCs w:val="31"/>
        </w:rPr>
        <w:t>2022年度财政拨款收、支总计</w:t>
      </w:r>
      <w:r>
        <w:rPr>
          <w:rFonts w:ascii="仿宋" w:eastAsia="仿宋" w:cs="仿宋_GB2312" w:hAnsi="仿宋" w:hint="eastAsia"/>
          <w:color w:val="000000"/>
          <w:kern w:val="0"/>
          <w:sz w:val="31"/>
          <w:szCs w:val="31"/>
        </w:rPr>
        <w:t>1152.48</w:t>
      </w:r>
      <w:r>
        <w:rPr>
          <w:rFonts w:ascii="仿宋" w:eastAsia="仿宋" w:cs="仿宋_GB2312" w:hAnsi="仿宋"/>
          <w:color w:val="000000"/>
          <w:kern w:val="0"/>
          <w:sz w:val="31"/>
          <w:szCs w:val="31"/>
        </w:rPr>
        <w:t>万元。与2021年度相比，财政拨款收、支总计各</w:t>
      </w:r>
      <w:r>
        <w:rPr>
          <w:rFonts w:ascii="仿宋" w:eastAsia="仿宋" w:cs="仿宋_GB2312" w:hAnsi="仿宋" w:hint="eastAsia"/>
          <w:color w:val="000000"/>
          <w:kern w:val="0"/>
          <w:sz w:val="31"/>
          <w:szCs w:val="31"/>
        </w:rPr>
        <w:t>减少275.63</w:t>
      </w:r>
      <w:r>
        <w:rPr>
          <w:rFonts w:ascii="仿宋" w:eastAsia="仿宋" w:cs="仿宋_GB2312" w:hAnsi="仿宋"/>
          <w:color w:val="000000"/>
          <w:kern w:val="0"/>
          <w:sz w:val="31"/>
          <w:szCs w:val="31"/>
        </w:rPr>
        <w:t>万元，</w:t>
      </w:r>
      <w:r>
        <w:rPr>
          <w:rFonts w:ascii="仿宋" w:eastAsia="仿宋" w:cs="仿宋_GB2312" w:hAnsi="仿宋" w:hint="eastAsia"/>
          <w:color w:val="000000"/>
          <w:kern w:val="0"/>
          <w:sz w:val="31"/>
          <w:szCs w:val="31"/>
        </w:rPr>
        <w:t>下降19.3</w:t>
      </w:r>
      <w:r>
        <w:rPr>
          <w:rFonts w:ascii="仿宋" w:eastAsia="仿宋" w:cs="仿宋_GB2312" w:hAnsi="仿宋"/>
          <w:color w:val="000000"/>
          <w:kern w:val="0"/>
          <w:sz w:val="31"/>
          <w:szCs w:val="31"/>
        </w:rPr>
        <w:t>%。主要</w:t>
      </w:r>
      <w:r>
        <w:rPr>
          <w:rFonts w:ascii="仿宋" w:eastAsia="仿宋" w:cs="仿宋_GB2312" w:hAnsi="仿宋" w:hint="eastAsia"/>
          <w:color w:val="000000"/>
          <w:kern w:val="0"/>
          <w:sz w:val="31"/>
          <w:szCs w:val="31"/>
        </w:rPr>
        <w:t>2022年度项目收支减少。</w:t>
      </w:r>
    </w:p>
    <w:p>
      <w:pPr>
        <w:spacing w:line="600" w:lineRule="exact"/>
        <w:ind w:firstLineChars="200" w:firstLine="640"/>
        <w:rPr>
          <w:rFonts w:ascii="仿宋" w:eastAsia="仿宋" w:hAnsi="仿宋"/>
        </w:rPr>
      </w:pPr>
      <w:r>
        <w:rPr>
          <w:rFonts w:ascii="仿宋" w:eastAsia="仿宋" w:hAnsi="仿宋" w:hint="eastAsia"/>
          <w:sz w:val="32"/>
          <w:szCs w:val="32"/>
        </w:rPr>
        <w:t>（图4：财政拨款收、支决算总计变动情况）（单位：万元）</w:t>
      </w:r>
    </w:p>
    <w:p>
      <w:pPr>
        <w:pStyle w:val="15"/>
        <w:spacing w:beforeLines="0" w:before="93"/>
        <w:rPr>
          <w:rFonts w:ascii="仿宋" w:eastAsia="仿宋" w:hAnsi="仿宋"/>
          <w:sz w:val="32"/>
          <w:szCs w:val="32"/>
        </w:rPr>
      </w:pPr>
      <w:r>
        <w:rPr>
          <w:rFonts w:ascii="仿宋" w:eastAsia="仿宋" w:hAnsi="仿宋" w:hint="eastAsia"/>
          <w:color w:val="000000"/>
          <w:sz w:val="32"/>
          <w:szCs w:val="32"/>
        </w:rPr>
        <w:drawing>
          <wp:anchor distT="0" distB="0" distL="114300" distR="114300" simplePos="0" relativeHeight="28" behindDoc="0" locked="0" layoutInCell="1" hidden="0" allowOverlap="1">
            <wp:simplePos x="0" y="0"/>
            <wp:positionH relativeFrom="column">
              <wp:posOffset>274955</wp:posOffset>
            </wp:positionH>
            <wp:positionV relativeFrom="paragraph">
              <wp:posOffset>188595</wp:posOffset>
            </wp:positionV>
            <wp:extent cx="4787900" cy="2178050"/>
            <wp:effectExtent l="0" t="0" r="0" b="0"/>
            <wp:wrapNone/>
            <wp:docPr id="10" name="图表 5"/>
            <wp:cNvGraphicFramePr>
              <a:graphicFrameLocks noChangeAspect="0"/>
            </wp:cNvGraphicFramePr>
            <a:graphic>
              <a:graphicData uri="http://schemas.openxmlformats.org/drawingml/2006/chart">
                <c:chart xmlns:c="http://schemas.openxmlformats.org/drawingml/2006/chart" r:id="rId8"/>
              </a:graphicData>
            </a:graphic>
          </wp:anchor>
        </w:drawing>
      </w:r>
    </w:p>
    <w:p/>
    <w:p>
      <w:pPr>
        <w:ind w:leftChars="200" w:left="420"/>
      </w:pPr>
      <w:r>
        <w:rPr>
          <w:rFonts w:hint="eastAsia"/>
        </w:rPr>
        <w:t xml:space="preserve">  </w:t>
      </w:r>
    </w:p>
    <w:p>
      <w:pPr>
        <w:pStyle w:val="24"/>
        <w:tabs>
          <w:tab w:val="right" w:leader="dot" w:pos="8296"/>
        </w:tabs>
        <w:adjustRightInd w:val="0"/>
        <w:snapToGrid w:val="0"/>
        <w:spacing w:line="440" w:lineRule="exact"/>
        <w:jc w:val="left"/>
        <w:rPr>
          <w:rFonts w:ascii="仿宋" w:eastAsia="仿宋" w:cs="Arial" w:hAnsi="仿宋"/>
          <w:sz w:val="24"/>
        </w:rPr>
      </w:pPr>
      <w:r>
        <w:rPr>
          <w:rFonts w:hint="eastAsia"/>
          <w:sz w:val="24"/>
        </w:rPr>
        <w:t>五、一般公共预算财政拨款支出决算情况说明</w:t>
      </w:r>
    </w:p>
    <w:p>
      <w:pPr>
        <w:pStyle w:val="24"/>
        <w:tabs>
          <w:tab w:val="right" w:leader="dot" w:pos="8296"/>
        </w:tabs>
        <w:adjustRightInd w:val="0"/>
        <w:snapToGrid w:val="0"/>
        <w:spacing w:line="440" w:lineRule="exact"/>
        <w:jc w:val="left"/>
        <w:rPr>
          <w:rFonts w:ascii="仿宋" w:eastAsia="仿宋" w:cs="Arial" w:hAnsi="仿宋"/>
          <w:sz w:val="24"/>
        </w:rPr>
      </w:pPr>
      <w:r>
        <w:rPr>
          <w:rFonts w:hint="eastAsia"/>
          <w:sz w:val="24"/>
        </w:rPr>
        <w:t>六、一般公共预算财政拨款基本支出决算情况说明</w:t>
      </w:r>
    </w:p>
    <w:p>
      <w:pPr>
        <w:pStyle w:val="24"/>
        <w:tabs>
          <w:tab w:val="right" w:leader="dot" w:pos="8296"/>
        </w:tabs>
        <w:adjustRightInd w:val="0"/>
        <w:snapToGrid w:val="0"/>
        <w:spacing w:line="440" w:lineRule="exact"/>
        <w:jc w:val="left"/>
        <w:rPr>
          <w:rFonts w:ascii="仿宋" w:eastAsia="仿宋" w:cs="Arial" w:hAnsi="仿宋"/>
          <w:sz w:val="24"/>
        </w:rPr>
      </w:pPr>
      <w:r>
        <w:rPr>
          <w:rFonts w:hint="eastAsia"/>
          <w:sz w:val="24"/>
        </w:rPr>
        <w:t>七、财政拨款“三公”经费支出决算情况说明</w:t>
      </w:r>
    </w:p>
    <w:p>
      <w:pPr>
        <w:pStyle w:val="24"/>
        <w:tabs>
          <w:tab w:val="right" w:leader="dot" w:pos="8296"/>
        </w:tabs>
        <w:adjustRightInd w:val="0"/>
        <w:snapToGrid w:val="0"/>
        <w:spacing w:line="440" w:lineRule="exact"/>
        <w:jc w:val="left"/>
        <w:rPr>
          <w:rFonts w:ascii="仿宋" w:eastAsia="仿宋" w:cs="Arial" w:hAnsi="仿宋"/>
          <w:sz w:val="24"/>
        </w:rPr>
      </w:pPr>
      <w:r>
        <w:rPr>
          <w:rFonts w:hint="eastAsia"/>
          <w:sz w:val="24"/>
        </w:rPr>
        <w:t>八、政府性基金预算支出决算情况说明</w:t>
      </w:r>
    </w:p>
    <w:p>
      <w:pPr>
        <w:pStyle w:val="24"/>
        <w:tabs>
          <w:tab w:val="right" w:leader="dot" w:pos="8296"/>
        </w:tabs>
        <w:adjustRightInd w:val="0"/>
        <w:snapToGrid w:val="0"/>
        <w:spacing w:line="440" w:lineRule="exact"/>
        <w:ind w:leftChars="0" w:left="420"/>
        <w:jc w:val="left"/>
        <w:rPr>
          <w:rFonts w:ascii="仿宋" w:eastAsia="仿宋" w:hAnsi="仿宋"/>
          <w:b/>
          <w:sz w:val="32"/>
          <w:szCs w:val="32"/>
        </w:rPr>
      </w:pPr>
      <w:r>
        <w:rPr>
          <w:rFonts w:ascii="宋体" w:cs="宋体" w:hint="eastAsia"/>
          <w:sz w:val="24"/>
        </w:rPr>
        <w:t>九、国有资本经营预算支出决算情况说明</w:t>
      </w:r>
    </w:p>
    <w:p>
      <w:pPr>
        <w:spacing w:line="600" w:lineRule="exact"/>
        <w:ind w:firstLineChars="200" w:firstLine="640"/>
        <w:outlineLvl w:val="1"/>
        <w:rPr>
          <w:rFonts w:ascii="黑体" w:eastAsia="黑体" w:hAnsi="黑体"/>
          <w:sz w:val="32"/>
          <w:szCs w:val="32"/>
        </w:rPr>
      </w:pPr>
      <w:bookmarkStart w:id="28" w:name="_Toc15396607"/>
      <w:bookmarkStart w:id="29" w:name="_Toc15377209"/>
    </w:p>
    <w:p>
      <w:pPr>
        <w:spacing w:line="600" w:lineRule="exact"/>
        <w:ind w:firstLineChars="200" w:firstLine="640"/>
        <w:outlineLvl w:val="1"/>
        <w:rPr>
          <w:rStyle w:val="2Char"/>
          <w:rFonts w:ascii="黑体" w:eastAsia="黑体" w:hAnsi="黑体"/>
          <w:b w:val="0"/>
        </w:rPr>
      </w:pPr>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8"/>
      <w:bookmarkEnd w:id="29"/>
    </w:p>
    <w:p>
      <w:pPr>
        <w:spacing w:line="600" w:lineRule="exact"/>
        <w:ind w:firstLineChars="200" w:firstLine="640"/>
        <w:outlineLvl w:val="2"/>
        <w:rPr>
          <w:rFonts w:ascii="仿宋" w:eastAsia="仿宋" w:hAnsi="仿宋"/>
          <w:b/>
          <w:sz w:val="32"/>
          <w:szCs w:val="32"/>
        </w:rPr>
      </w:pPr>
      <w:bookmarkStart w:id="30" w:name="_Toc15377210"/>
      <w:r>
        <w:rPr>
          <w:rFonts w:ascii="仿宋" w:eastAsia="仿宋" w:hAnsi="仿宋" w:hint="eastAsia"/>
          <w:b/>
          <w:sz w:val="32"/>
          <w:szCs w:val="32"/>
        </w:rPr>
        <w:t>（一）一般公共预算财政拨款支出决算总体情况</w:t>
      </w:r>
      <w:bookmarkEnd w:id="30"/>
    </w:p>
    <w:p>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22年一般公共预算财政拨款支出1152.48万元，占本年支出合计的100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21年相比，一般公共预算财政拨款支出减少275.63万元，下降19.3</w:t>
      </w:r>
      <w:r>
        <w:rPr>
          <w:rFonts w:ascii="仿宋" w:eastAsia="仿宋" w:hAnsi="仿宋"/>
          <w:sz w:val="32"/>
          <w:szCs w:val="32"/>
        </w:rPr>
        <w:t>%</w:t>
      </w:r>
      <w:r>
        <w:rPr>
          <w:rFonts w:ascii="仿宋" w:eastAsia="仿宋" w:hAnsi="仿宋" w:hint="eastAsia"/>
          <w:sz w:val="32"/>
          <w:szCs w:val="32"/>
        </w:rPr>
        <w:t>。主要变动原因是2022年度固定资产投资审计项目支出减少。</w:t>
      </w:r>
    </w:p>
    <w:p>
      <w:pPr>
        <w:pStyle w:val="15"/>
        <w:spacing w:beforeLines="0" w:before="93"/>
        <w:rPr>
          <w:rFonts w:eastAsia="仿宋"/>
        </w:rPr>
      </w:pPr>
      <w:r>
        <w:rPr>
          <w:rFonts w:ascii="仿宋" w:eastAsia="仿宋" w:hAnsi="仿宋" w:hint="eastAsia"/>
          <w:sz w:val="32"/>
          <w:szCs w:val="32"/>
        </w:rPr>
        <w:t>（图5：一般公共预算财政拨款支出决算变动情况）（单位：万元）</w:t>
      </w:r>
    </w:p>
    <w:p>
      <w:pPr>
        <w:pStyle w:val="15"/>
        <w:spacing w:beforeLines="0" w:before="93"/>
        <w:rPr>
          <w:rFonts w:ascii="仿宋" w:eastAsia="仿宋" w:hAnsi="仿宋"/>
          <w:sz w:val="32"/>
          <w:szCs w:val="32"/>
        </w:rPr>
      </w:pPr>
      <w:r>
        <w:rPr>
          <w:rFonts w:ascii="仿宋" w:eastAsia="仿宋" w:hAnsi="仿宋" w:hint="eastAsia"/>
          <w:color w:val="000000"/>
          <w:sz w:val="32"/>
          <w:szCs w:val="32"/>
        </w:rPr>
        <w:drawing>
          <wp:anchor distT="0" distB="0" distL="114300" distR="114300" simplePos="0" relativeHeight="32" behindDoc="0" locked="0" layoutInCell="1" hidden="0" allowOverlap="1">
            <wp:simplePos x="0" y="0"/>
            <wp:positionH relativeFrom="column">
              <wp:posOffset>-53340</wp:posOffset>
            </wp:positionH>
            <wp:positionV relativeFrom="paragraph">
              <wp:posOffset>101600</wp:posOffset>
            </wp:positionV>
            <wp:extent cx="5276850" cy="2143125"/>
            <wp:effectExtent l="0" t="0" r="0" b="0"/>
            <wp:wrapNone/>
            <wp:docPr id="11" name="图表 6"/>
            <wp:cNvGraphicFramePr>
              <a:graphicFrameLocks noChangeAspect="0"/>
            </wp:cNvGraphicFramePr>
            <a:graphic>
              <a:graphicData uri="http://schemas.openxmlformats.org/drawingml/2006/chart">
                <c:chart xmlns:c="http://schemas.openxmlformats.org/drawingml/2006/chart" r:id="rId9"/>
              </a:graphicData>
            </a:graphic>
          </wp:anchor>
        </w:drawing>
      </w:r>
    </w:p>
    <w:p>
      <w:pPr>
        <w:pStyle w:val="15"/>
        <w:spacing w:beforeLines="0" w:before="93"/>
        <w:rPr>
          <w:rFonts w:ascii="仿宋" w:eastAsia="仿宋" w:hAnsi="仿宋"/>
          <w:sz w:val="32"/>
          <w:szCs w:val="32"/>
        </w:rPr>
      </w:pPr>
    </w:p>
    <w:p>
      <w:pPr>
        <w:pStyle w:val="15"/>
        <w:spacing w:beforeLines="0" w:before="93"/>
        <w:rPr>
          <w:rFonts w:ascii="仿宋" w:eastAsia="仿宋" w:hAnsi="仿宋"/>
          <w:sz w:val="32"/>
          <w:szCs w:val="32"/>
        </w:rPr>
      </w:pPr>
    </w:p>
    <w:p>
      <w:pPr>
        <w:pStyle w:val="15"/>
        <w:spacing w:beforeLines="0" w:before="93"/>
        <w:rPr>
          <w:rFonts w:ascii="仿宋" w:eastAsia="仿宋" w:hAnsi="仿宋"/>
          <w:sz w:val="32"/>
          <w:szCs w:val="32"/>
        </w:rPr>
      </w:pPr>
    </w:p>
    <w:p>
      <w:pPr>
        <w:pStyle w:val="15"/>
        <w:spacing w:beforeLines="0" w:before="93"/>
        <w:rPr>
          <w:rFonts w:ascii="仿宋" w:eastAsia="仿宋" w:hAnsi="仿宋"/>
          <w:sz w:val="32"/>
          <w:szCs w:val="32"/>
        </w:rPr>
      </w:pPr>
    </w:p>
    <w:p>
      <w:pPr>
        <w:spacing w:line="600" w:lineRule="exact"/>
        <w:ind w:firstLineChars="200" w:firstLine="640"/>
        <w:outlineLvl w:val="2"/>
        <w:rPr>
          <w:rFonts w:ascii="仿宋" w:eastAsia="仿宋" w:hAnsi="仿宋"/>
          <w:b/>
          <w:sz w:val="32"/>
          <w:szCs w:val="32"/>
        </w:rPr>
      </w:pPr>
      <w:bookmarkStart w:id="31" w:name="_Toc15377211"/>
      <w:r>
        <w:rPr>
          <w:rFonts w:ascii="仿宋" w:eastAsia="仿宋" w:hAnsi="仿宋" w:hint="eastAsia"/>
          <w:b/>
          <w:sz w:val="32"/>
          <w:szCs w:val="32"/>
        </w:rPr>
        <w:t>（二）一般公共预算财政拨款支出决算结构情况</w:t>
      </w:r>
      <w:bookmarkEnd w:id="31"/>
    </w:p>
    <w:p>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22年一般公共预算财政拨款支出1152.48万元，主要用于以下方面</w:t>
      </w:r>
      <w:r>
        <w:rPr>
          <w:rFonts w:ascii="仿宋" w:eastAsia="仿宋" w:hAnsi="仿宋"/>
          <w:sz w:val="32"/>
          <w:szCs w:val="32"/>
        </w:rPr>
        <w:t>:</w:t>
      </w:r>
      <w:r>
        <w:rPr>
          <w:rFonts w:ascii="仿宋" w:eastAsia="仿宋" w:hAnsi="仿宋" w:hint="eastAsia"/>
          <w:b/>
          <w:sz w:val="32"/>
          <w:szCs w:val="32"/>
        </w:rPr>
        <w:t>一般公共服务</w:t>
      </w:r>
      <w:r>
        <w:rPr>
          <w:rFonts w:ascii="仿宋" w:eastAsia="仿宋" w:hAnsi="仿宋" w:hint="eastAsia"/>
          <w:b/>
          <w:bCs/>
          <w:sz w:val="32"/>
          <w:szCs w:val="32"/>
        </w:rPr>
        <w:t>支出</w:t>
      </w:r>
      <w:r>
        <w:rPr>
          <w:rFonts w:ascii="仿宋" w:eastAsia="仿宋" w:hAnsi="仿宋" w:hint="eastAsia"/>
          <w:sz w:val="32"/>
          <w:szCs w:val="32"/>
        </w:rPr>
        <w:t>1041.48万元，占90.37</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hint="eastAsia"/>
          <w:sz w:val="32"/>
          <w:szCs w:val="32"/>
        </w:rPr>
        <w:t>44.87万元，占3.89</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20万元，占1.74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hint="eastAsia"/>
          <w:sz w:val="32"/>
          <w:szCs w:val="32"/>
        </w:rPr>
        <w:t>46.13万元，占4</w:t>
      </w:r>
      <w:r>
        <w:rPr>
          <w:rFonts w:ascii="仿宋" w:eastAsia="仿宋" w:hAnsi="仿宋"/>
          <w:sz w:val="32"/>
          <w:szCs w:val="32"/>
        </w:rPr>
        <w:t>%</w:t>
      </w:r>
      <w:r>
        <w:rPr>
          <w:rFonts w:ascii="仿宋" w:eastAsia="仿宋" w:hAnsi="仿宋" w:hint="eastAsia"/>
          <w:sz w:val="32"/>
          <w:szCs w:val="32"/>
        </w:rPr>
        <w:t>。</w:t>
      </w:r>
    </w:p>
    <w:p>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（图6：一般公共预算财政拨款支出决算结构）（单位：万元）</w:t>
      </w:r>
    </w:p>
    <w:p>
      <w:pPr>
        <w:pStyle w:val="15"/>
        <w:spacing w:beforeLines="0" w:before="93"/>
        <w:rPr>
          <w:rFonts w:ascii="仿宋" w:eastAsia="仿宋" w:hAnsi="仿宋"/>
          <w:sz w:val="32"/>
          <w:szCs w:val="32"/>
        </w:rPr>
      </w:pPr>
    </w:p>
    <w:p>
      <w:pPr>
        <w:pStyle w:val="15"/>
        <w:spacing w:beforeLines="0" w:before="93"/>
        <w:rPr>
          <w:rFonts w:ascii="仿宋" w:eastAsia="仿宋" w:hAnsi="仿宋"/>
          <w:sz w:val="32"/>
          <w:szCs w:val="32"/>
        </w:rPr>
      </w:pPr>
    </w:p>
    <w:p>
      <w:pPr>
        <w:spacing w:line="60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drawing>
          <wp:anchor distT="0" distB="0" distL="114300" distR="114300" simplePos="0" relativeHeight="30" behindDoc="0" locked="0" layoutInCell="1" hidden="0" allowOverlap="1">
            <wp:simplePos x="0" y="0"/>
            <wp:positionH relativeFrom="column">
              <wp:posOffset>116204</wp:posOffset>
            </wp:positionH>
            <wp:positionV relativeFrom="paragraph">
              <wp:posOffset>334010</wp:posOffset>
            </wp:positionV>
            <wp:extent cx="5229225" cy="2181225"/>
            <wp:effectExtent l="0" t="0" r="0" b="0"/>
            <wp:wrapNone/>
            <wp:docPr id="12" name="图表 7"/>
            <wp:cNvGraphicFramePr>
              <a:graphicFrameLocks noChangeAspect="0"/>
            </wp:cNvGraphicFramePr>
            <a:graphic>
              <a:graphicData uri="http://schemas.openxmlformats.org/drawingml/2006/chart">
                <c:chart xmlns:c="http://schemas.openxmlformats.org/drawingml/2006/chart" r:id="rId10"/>
              </a:graphicData>
            </a:graphic>
          </wp:anchor>
        </w:drawing>
      </w:r>
    </w:p>
    <w:p>
      <w:pPr>
        <w:pStyle w:val="15"/>
        <w:spacing w:beforeLines="0" w:before="93"/>
        <w:rPr>
          <w:rFonts w:ascii="仿宋" w:eastAsia="仿宋" w:hAnsi="仿宋"/>
          <w:sz w:val="32"/>
          <w:szCs w:val="32"/>
        </w:rPr>
      </w:pPr>
    </w:p>
    <w:p>
      <w:pPr>
        <w:pStyle w:val="15"/>
        <w:spacing w:beforeLines="0" w:before="93"/>
        <w:rPr>
          <w:rFonts w:ascii="仿宋" w:eastAsia="仿宋" w:hAnsi="仿宋"/>
          <w:sz w:val="32"/>
          <w:szCs w:val="32"/>
        </w:rPr>
      </w:pPr>
    </w:p>
    <w:p>
      <w:pPr>
        <w:pStyle w:val="15"/>
        <w:spacing w:beforeLines="0" w:before="93"/>
        <w:rPr>
          <w:rFonts w:ascii="仿宋" w:eastAsia="仿宋" w:hAnsi="仿宋"/>
          <w:sz w:val="32"/>
          <w:szCs w:val="32"/>
        </w:rPr>
      </w:pPr>
    </w:p>
    <w:p>
      <w:pPr>
        <w:spacing w:line="600" w:lineRule="exact"/>
        <w:ind w:firstLineChars="200" w:firstLine="640"/>
        <w:outlineLvl w:val="2"/>
        <w:rPr>
          <w:rFonts w:ascii="仿宋" w:eastAsia="仿宋" w:hAnsi="仿宋"/>
          <w:b/>
          <w:sz w:val="32"/>
          <w:szCs w:val="32"/>
        </w:rPr>
      </w:pPr>
    </w:p>
    <w:p>
      <w:pPr>
        <w:spacing w:line="600" w:lineRule="exact"/>
        <w:rPr>
          <w:rFonts w:ascii="仿宋" w:eastAsia="仿宋" w:hAnsi="仿宋"/>
          <w:sz w:val="32"/>
          <w:szCs w:val="32"/>
        </w:rPr>
      </w:pPr>
    </w:p>
    <w:p>
      <w:pPr>
        <w:spacing w:line="600" w:lineRule="exact"/>
        <w:ind w:firstLineChars="200" w:firstLine="640"/>
        <w:outlineLvl w:val="2"/>
        <w:rPr>
          <w:rFonts w:ascii="仿宋" w:eastAsia="仿宋" w:hAnsi="仿宋"/>
          <w:b/>
          <w:sz w:val="32"/>
          <w:szCs w:val="32"/>
        </w:rPr>
      </w:pPr>
      <w:bookmarkStart w:id="32" w:name="_Toc15377212"/>
      <w:r>
        <w:rPr>
          <w:rFonts w:ascii="仿宋" w:eastAsia="仿宋" w:hAnsi="仿宋" w:hint="eastAsia"/>
          <w:b/>
          <w:sz w:val="32"/>
          <w:szCs w:val="32"/>
        </w:rPr>
        <w:t>（三）一般公共预算财政拨款支出决算具体情况</w:t>
      </w:r>
      <w:bookmarkEnd w:id="32"/>
    </w:p>
    <w:p>
      <w:pPr>
        <w:spacing w:line="600" w:lineRule="exact"/>
        <w:ind w:firstLineChars="200" w:firstLine="640"/>
        <w:outlineLvl w:val="2"/>
        <w:rPr>
          <w:rStyle w:val="26"/>
          <w:rFonts w:ascii="仿宋" w:eastAsia="仿宋" w:hAnsi="仿宋"/>
          <w:bCs/>
          <w:sz w:val="32"/>
          <w:szCs w:val="32"/>
        </w:rPr>
      </w:pPr>
      <w:bookmarkStart w:id="33" w:name="_Toc15377444"/>
      <w:bookmarkStart w:id="34" w:name="_Toc15377213"/>
      <w:bookmarkStart w:id="35" w:name="_Toc15378460"/>
      <w:r>
        <w:rPr>
          <w:rFonts w:ascii="仿宋" w:eastAsia="仿宋" w:hAnsi="仿宋" w:hint="eastAsia"/>
          <w:b/>
          <w:sz w:val="32"/>
          <w:szCs w:val="32"/>
        </w:rPr>
        <w:t>2022年一般公共预算支出决算数为1152.48</w:t>
      </w:r>
      <w:r>
        <w:rPr>
          <w:rStyle w:val="26"/>
          <w:rFonts w:ascii="仿宋" w:eastAsia="仿宋" w:hAnsi="仿宋" w:hint="eastAsia"/>
          <w:bCs/>
          <w:sz w:val="32"/>
          <w:szCs w:val="32"/>
        </w:rPr>
        <w:t>完成预算100</w:t>
      </w:r>
      <w:r>
        <w:rPr>
          <w:rStyle w:val="26"/>
          <w:rFonts w:ascii="仿宋" w:eastAsia="仿宋" w:hAnsi="仿宋"/>
          <w:bCs/>
          <w:sz w:val="32"/>
          <w:szCs w:val="32"/>
        </w:rPr>
        <w:t>%</w:t>
      </w:r>
      <w:r>
        <w:rPr>
          <w:rStyle w:val="26"/>
          <w:rFonts w:ascii="仿宋" w:eastAsia="仿宋" w:hAnsi="仿宋" w:hint="eastAsia"/>
          <w:bCs/>
          <w:sz w:val="32"/>
          <w:szCs w:val="32"/>
        </w:rPr>
        <w:t>。其中：</w:t>
      </w:r>
      <w:bookmarkEnd w:id="33"/>
      <w:bookmarkEnd w:id="34"/>
      <w:bookmarkEnd w:id="35"/>
    </w:p>
    <w:p>
      <w:pPr>
        <w:spacing w:line="576" w:lineRule="exact"/>
        <w:ind w:firstLineChars="200" w:firstLine="640"/>
        <w:rPr>
          <w:rFonts w:ascii="方正仿宋简体" w:eastAsia="方正仿宋简体" w:cs="方正仿宋简体" w:hAnsi="方正仿宋简体"/>
          <w:sz w:val="28"/>
          <w:szCs w:val="28"/>
        </w:rPr>
      </w:pPr>
      <w:r>
        <w:rPr>
          <w:rStyle w:val="26"/>
          <w:rFonts w:ascii="仿宋" w:eastAsia="仿宋" w:cs="Arial" w:hAnsi="仿宋" w:hint="eastAsia"/>
          <w:bCs/>
          <w:sz w:val="32"/>
          <w:szCs w:val="32"/>
        </w:rPr>
        <w:t>1.一般公共服务201（类）审计事务08（款）行政运行01（项）</w:t>
      </w:r>
      <w:r>
        <w:rPr>
          <w:rStyle w:val="26"/>
          <w:rFonts w:ascii="方正仿宋简体" w:eastAsia="方正仿宋简体" w:cs="方正仿宋简体" w:hAnsi="方正仿宋简体" w:hint="eastAsia"/>
          <w:bCs/>
          <w:sz w:val="32"/>
          <w:szCs w:val="32"/>
        </w:rPr>
        <w:t>:</w:t>
      </w:r>
      <w:r>
        <w:rPr>
          <w:rStyle w:val="26"/>
          <w:rFonts w:ascii="仿宋" w:eastAsia="仿宋" w:cs="Arial" w:hAnsi="仿宋" w:hint="eastAsia"/>
          <w:b w:val="0"/>
          <w:bCs/>
          <w:sz w:val="32"/>
          <w:szCs w:val="32"/>
        </w:rPr>
        <w:t>支出决算数349.32万元，完成预算的100%</w:t>
      </w:r>
      <w:r>
        <w:rPr>
          <w:rFonts w:ascii="方正仿宋简体" w:eastAsia="方正仿宋简体" w:cs="方正仿宋简体" w:hAnsi="方正仿宋简体" w:hint="eastAsia"/>
          <w:sz w:val="28"/>
          <w:szCs w:val="28"/>
        </w:rPr>
        <w:t>。</w:t>
      </w:r>
    </w:p>
    <w:p>
      <w:pPr>
        <w:pStyle w:val="15"/>
        <w:spacing w:beforeLines="0" w:before="30"/>
        <w:ind w:firstLineChars="200" w:firstLine="560"/>
        <w:rPr>
          <w:rFonts w:ascii="仿宋" w:eastAsia="仿宋" w:cs="方正仿宋简体" w:hAnsi="仿宋"/>
          <w:kern w:val="2"/>
          <w:sz w:val="32"/>
          <w:szCs w:val="32"/>
        </w:rPr>
      </w:pPr>
      <w:r>
        <w:rPr>
          <w:rFonts w:ascii="方正仿宋简体" w:eastAsia="方正仿宋简体" w:cs="方正仿宋简体" w:hAnsi="方正仿宋简体" w:hint="eastAsia"/>
          <w:sz w:val="28"/>
          <w:szCs w:val="28"/>
        </w:rPr>
        <w:t>2.</w:t>
      </w:r>
      <w:r>
        <w:rPr>
          <w:rStyle w:val="26"/>
          <w:rFonts w:ascii="方正仿宋简体" w:eastAsia="方正仿宋简体" w:cs="方正仿宋简体" w:hAnsi="方正仿宋简体" w:hint="eastAsia"/>
          <w:bCs/>
          <w:kern w:val="2"/>
          <w:sz w:val="32"/>
          <w:szCs w:val="32"/>
        </w:rPr>
        <w:t>一般公共服务支出201（类）审计事务08（款）一般行政管理事务02（项）</w:t>
      </w:r>
      <w:r>
        <w:rPr>
          <w:rFonts w:ascii="方正仿宋简体" w:eastAsia="方正仿宋简体" w:cs="方正仿宋简体" w:hAnsi="方正仿宋简体" w:hint="eastAsia"/>
          <w:sz w:val="28"/>
          <w:szCs w:val="28"/>
        </w:rPr>
        <w:t>：</w:t>
      </w:r>
      <w:r>
        <w:rPr>
          <w:rFonts w:ascii="仿宋" w:eastAsia="仿宋" w:cs="方正仿宋简体" w:hAnsi="仿宋" w:hint="eastAsia"/>
          <w:kern w:val="2"/>
          <w:sz w:val="32"/>
          <w:szCs w:val="32"/>
        </w:rPr>
        <w:t>支出决算数133.5万元，完成预算的100%。</w:t>
      </w:r>
    </w:p>
    <w:p>
      <w:pPr>
        <w:pStyle w:val="15"/>
        <w:spacing w:beforeLines="0" w:before="93"/>
        <w:ind w:firstLineChars="200" w:firstLine="560"/>
        <w:rPr>
          <w:rFonts w:ascii="仿宋" w:eastAsia="仿宋" w:cs="方正仿宋简体" w:hAnsi="仿宋"/>
          <w:sz w:val="28"/>
          <w:szCs w:val="28"/>
        </w:rPr>
      </w:pPr>
      <w:r>
        <w:rPr>
          <w:rFonts w:ascii="方正仿宋简体" w:eastAsia="方正仿宋简体" w:cs="方正仿宋简体" w:hAnsi="方正仿宋简体" w:hint="eastAsia"/>
          <w:sz w:val="28"/>
          <w:szCs w:val="28"/>
        </w:rPr>
        <w:t>3.</w:t>
      </w:r>
      <w:r>
        <w:rPr>
          <w:rStyle w:val="26"/>
          <w:rFonts w:ascii="方正仿宋简体" w:eastAsia="方正仿宋简体" w:cs="方正仿宋简体" w:hAnsi="方正仿宋简体" w:hint="eastAsia"/>
          <w:bCs/>
          <w:kern w:val="2"/>
          <w:sz w:val="32"/>
          <w:szCs w:val="32"/>
        </w:rPr>
        <w:t>一般公共服务支出201（类）审计事务08（款）审计业务04（项）</w:t>
      </w:r>
      <w:r>
        <w:rPr>
          <w:rFonts w:ascii="方正仿宋简体" w:eastAsia="方正仿宋简体" w:cs="方正仿宋简体" w:hAnsi="方正仿宋简体" w:hint="eastAsia"/>
          <w:sz w:val="28"/>
          <w:szCs w:val="28"/>
        </w:rPr>
        <w:t>：</w:t>
      </w:r>
      <w:r>
        <w:rPr>
          <w:rFonts w:ascii="仿宋" w:eastAsia="仿宋" w:cs="方正仿宋简体" w:hAnsi="仿宋" w:hint="eastAsia"/>
          <w:kern w:val="2"/>
          <w:sz w:val="32"/>
          <w:szCs w:val="32"/>
        </w:rPr>
        <w:t>支出决算数336.85万元，完成预算的100%。</w:t>
      </w:r>
    </w:p>
    <w:p>
      <w:pPr>
        <w:pStyle w:val="15"/>
        <w:spacing w:beforeLines="0" w:before="93"/>
        <w:ind w:firstLineChars="200" w:firstLine="560"/>
        <w:rPr>
          <w:rFonts w:ascii="仿宋" w:eastAsia="仿宋" w:cs="方正仿宋简体" w:hAnsi="仿宋"/>
          <w:kern w:val="2"/>
          <w:sz w:val="32"/>
          <w:szCs w:val="32"/>
        </w:rPr>
      </w:pPr>
      <w:r>
        <w:rPr>
          <w:rFonts w:ascii="方正仿宋简体" w:eastAsia="方正仿宋简体" w:cs="方正仿宋简体" w:hAnsi="方正仿宋简体" w:hint="eastAsia"/>
          <w:sz w:val="28"/>
          <w:szCs w:val="28"/>
        </w:rPr>
        <w:t>4</w:t>
      </w:r>
      <w:r>
        <w:rPr>
          <w:rStyle w:val="26"/>
          <w:rFonts w:ascii="方正仿宋简体" w:eastAsia="方正仿宋简体" w:cs="方正仿宋简体" w:hAnsi="方正仿宋简体" w:hint="eastAsia"/>
          <w:bCs/>
          <w:kern w:val="2"/>
          <w:sz w:val="32"/>
          <w:szCs w:val="32"/>
        </w:rPr>
        <w:t>.一般公共服务支出201（类）审计事务08（款）审计业务05（项）：</w:t>
      </w:r>
      <w:r>
        <w:rPr>
          <w:rFonts w:ascii="仿宋" w:eastAsia="仿宋" w:cs="方正仿宋简体" w:hAnsi="仿宋" w:hint="eastAsia"/>
          <w:kern w:val="2"/>
          <w:sz w:val="32"/>
          <w:szCs w:val="32"/>
        </w:rPr>
        <w:t>支出决算数17万元，完成预算的100%。</w:t>
      </w:r>
    </w:p>
    <w:p>
      <w:pPr>
        <w:pStyle w:val="15"/>
        <w:spacing w:beforeLines="0" w:before="93"/>
        <w:ind w:firstLineChars="200" w:firstLine="560"/>
        <w:rPr>
          <w:rFonts w:ascii="方正仿宋简体" w:eastAsia="方正仿宋简体" w:cs="方正仿宋简体" w:hAnsi="方正仿宋简体"/>
          <w:kern w:val="2"/>
          <w:sz w:val="32"/>
          <w:szCs w:val="32"/>
        </w:rPr>
      </w:pPr>
      <w:r>
        <w:rPr>
          <w:rFonts w:ascii="方正仿宋简体" w:eastAsia="方正仿宋简体" w:cs="方正仿宋简体" w:hAnsi="方正仿宋简体" w:hint="eastAsia"/>
          <w:sz w:val="28"/>
          <w:szCs w:val="28"/>
        </w:rPr>
        <w:t>5.</w:t>
      </w:r>
      <w:r>
        <w:rPr>
          <w:rStyle w:val="26"/>
          <w:rFonts w:ascii="方正仿宋简体" w:eastAsia="方正仿宋简体" w:cs="方正仿宋简体" w:hAnsi="方正仿宋简体" w:hint="eastAsia"/>
          <w:bCs/>
          <w:kern w:val="2"/>
          <w:sz w:val="32"/>
          <w:szCs w:val="32"/>
        </w:rPr>
        <w:t>一般公共服务支出201（类）审计事务08（款）事业运行50（项）：</w:t>
      </w:r>
      <w:r>
        <w:rPr>
          <w:rFonts w:ascii="仿宋" w:eastAsia="仿宋" w:cs="方正仿宋简体" w:hAnsi="仿宋" w:hint="eastAsia"/>
          <w:kern w:val="2"/>
          <w:sz w:val="32"/>
          <w:szCs w:val="32"/>
        </w:rPr>
        <w:t>支出决算数204.8万元，完成预算的100%。</w:t>
      </w:r>
    </w:p>
    <w:p>
      <w:pPr>
        <w:spacing w:line="576" w:lineRule="exact"/>
        <w:ind w:firstLineChars="200" w:firstLine="560"/>
        <w:rPr>
          <w:rFonts w:ascii="仿宋" w:eastAsia="仿宋" w:cs="方正仿宋简体" w:hAnsi="仿宋"/>
          <w:sz w:val="32"/>
          <w:szCs w:val="32"/>
        </w:rPr>
      </w:pPr>
      <w:r>
        <w:rPr>
          <w:rFonts w:ascii="方正仿宋简体" w:eastAsia="方正仿宋简体" w:cs="方正仿宋简体" w:hAnsi="方正仿宋简体" w:hint="eastAsia"/>
          <w:kern w:val="0"/>
          <w:sz w:val="28"/>
          <w:szCs w:val="28"/>
        </w:rPr>
        <w:t>6.</w:t>
      </w:r>
      <w:r>
        <w:rPr>
          <w:rStyle w:val="26"/>
          <w:rFonts w:ascii="方正仿宋简体" w:eastAsia="方正仿宋简体" w:cs="方正仿宋简体" w:hAnsi="方正仿宋简体" w:hint="eastAsia"/>
          <w:bCs/>
          <w:sz w:val="32"/>
          <w:szCs w:val="32"/>
        </w:rPr>
        <w:t>社会保障和就业支出208（类）行政事业单位退休05（款）机关事业单位基本养老保险支出05（项）</w:t>
      </w:r>
      <w:r>
        <w:rPr>
          <w:rFonts w:ascii="方正仿宋简体" w:eastAsia="方正仿宋简体" w:cs="方正仿宋简体" w:hAnsi="方正仿宋简体" w:hint="eastAsia"/>
          <w:kern w:val="0"/>
          <w:sz w:val="28"/>
          <w:szCs w:val="28"/>
        </w:rPr>
        <w:t>:</w:t>
      </w:r>
      <w:r>
        <w:rPr>
          <w:rFonts w:ascii="方正仿宋简体" w:eastAsia="方正仿宋简体" w:cs="方正仿宋简体" w:hAnsi="方正仿宋简体" w:hint="eastAsia"/>
          <w:sz w:val="32"/>
          <w:szCs w:val="32"/>
        </w:rPr>
        <w:t>支</w:t>
      </w:r>
      <w:r>
        <w:rPr>
          <w:rFonts w:ascii="仿宋" w:eastAsia="仿宋" w:cs="方正仿宋简体" w:hAnsi="仿宋" w:hint="eastAsia"/>
          <w:sz w:val="32"/>
          <w:szCs w:val="32"/>
        </w:rPr>
        <w:t>出决算数38.69万元，完成预算的100%。</w:t>
      </w:r>
    </w:p>
    <w:p>
      <w:pPr>
        <w:spacing w:line="576" w:lineRule="exact"/>
        <w:ind w:firstLineChars="200" w:firstLine="560"/>
        <w:rPr>
          <w:rFonts w:ascii="仿宋" w:eastAsia="仿宋" w:cs="方正仿宋简体" w:hAnsi="仿宋"/>
          <w:sz w:val="32"/>
          <w:szCs w:val="32"/>
        </w:rPr>
      </w:pPr>
      <w:r>
        <w:rPr>
          <w:rFonts w:ascii="方正仿宋简体" w:eastAsia="方正仿宋简体" w:cs="方正仿宋简体" w:hAnsi="方正仿宋简体" w:hint="eastAsia"/>
          <w:kern w:val="0"/>
          <w:sz w:val="28"/>
          <w:szCs w:val="28"/>
        </w:rPr>
        <w:t>7.</w:t>
      </w:r>
      <w:r>
        <w:rPr>
          <w:rStyle w:val="26"/>
          <w:rFonts w:ascii="方正仿宋简体" w:eastAsia="方正仿宋简体" w:cs="方正仿宋简体" w:hAnsi="方正仿宋简体" w:hint="eastAsia"/>
          <w:bCs/>
          <w:sz w:val="32"/>
          <w:szCs w:val="32"/>
        </w:rPr>
        <w:t>社会保障和就业支出208（类）行政事业单位退休05（款）机关事业单位职业年金缴费支出06（项）</w:t>
      </w:r>
      <w:r>
        <w:rPr>
          <w:rFonts w:ascii="方正仿宋简体" w:eastAsia="方正仿宋简体" w:cs="方正仿宋简体" w:hAnsi="方正仿宋简体" w:hint="eastAsia"/>
          <w:sz w:val="28"/>
          <w:szCs w:val="28"/>
        </w:rPr>
        <w:t>：</w:t>
      </w:r>
      <w:r>
        <w:rPr>
          <w:rFonts w:ascii="仿宋" w:eastAsia="仿宋" w:cs="方正仿宋简体" w:hAnsi="仿宋" w:hint="eastAsia"/>
          <w:sz w:val="32"/>
          <w:szCs w:val="32"/>
        </w:rPr>
        <w:t>支出决算数5.05万元，完成预算的100%。</w:t>
      </w:r>
    </w:p>
    <w:p>
      <w:pPr>
        <w:spacing w:line="576" w:lineRule="exact"/>
        <w:ind w:firstLineChars="200" w:firstLine="560"/>
        <w:rPr>
          <w:rFonts w:ascii="仿宋" w:eastAsia="仿宋" w:cs="方正仿宋简体" w:hAnsi="仿宋"/>
          <w:sz w:val="32"/>
          <w:szCs w:val="32"/>
        </w:rPr>
      </w:pPr>
      <w:r>
        <w:rPr>
          <w:rFonts w:ascii="方正仿宋简体" w:eastAsia="方正仿宋简体" w:cs="方正仿宋简体" w:hAnsi="方正仿宋简体" w:hint="eastAsia"/>
          <w:kern w:val="0"/>
          <w:sz w:val="28"/>
          <w:szCs w:val="28"/>
        </w:rPr>
        <w:t>8</w:t>
      </w:r>
      <w:r>
        <w:rPr>
          <w:rStyle w:val="26"/>
          <w:rFonts w:ascii="方正仿宋简体" w:eastAsia="方正仿宋简体" w:cs="方正仿宋简体" w:hAnsi="方正仿宋简体" w:hint="eastAsia"/>
          <w:bCs/>
          <w:sz w:val="32"/>
          <w:szCs w:val="32"/>
        </w:rPr>
        <w:t>.社会保障和就业支出208（类）其他社会保障和就业支出99（款）其他社会保障和就业支出99（项）</w:t>
      </w:r>
      <w:r>
        <w:rPr>
          <w:rFonts w:ascii="方正仿宋简体" w:eastAsia="方正仿宋简体" w:cs="方正仿宋简体" w:hAnsi="方正仿宋简体" w:hint="eastAsia"/>
          <w:sz w:val="28"/>
          <w:szCs w:val="28"/>
        </w:rPr>
        <w:t>:</w:t>
      </w:r>
      <w:r>
        <w:rPr>
          <w:rFonts w:ascii="仿宋" w:eastAsia="仿宋" w:cs="方正仿宋简体" w:hAnsi="仿宋" w:hint="eastAsia"/>
          <w:sz w:val="32"/>
          <w:szCs w:val="32"/>
        </w:rPr>
        <w:t>支出决算数1.13万元，完成预算的100%。</w:t>
      </w:r>
    </w:p>
    <w:p>
      <w:pPr>
        <w:pStyle w:val="15"/>
        <w:spacing w:beforeLines="0" w:before="93"/>
        <w:ind w:firstLineChars="200" w:firstLine="560"/>
        <w:rPr>
          <w:rFonts w:ascii="仿宋" w:eastAsia="仿宋" w:cs="方正仿宋简体" w:hAnsi="仿宋"/>
          <w:kern w:val="2"/>
          <w:sz w:val="32"/>
          <w:szCs w:val="32"/>
        </w:rPr>
      </w:pPr>
      <w:r>
        <w:rPr>
          <w:rFonts w:ascii="方正仿宋简体" w:eastAsia="方正仿宋简体" w:cs="方正仿宋简体" w:hAnsi="方正仿宋简体" w:hint="eastAsia"/>
          <w:sz w:val="28"/>
          <w:szCs w:val="28"/>
        </w:rPr>
        <w:t>9</w:t>
      </w:r>
      <w:r>
        <w:rPr>
          <w:rStyle w:val="26"/>
          <w:rFonts w:ascii="方正仿宋简体" w:eastAsia="方正仿宋简体" w:cs="方正仿宋简体" w:hAnsi="方正仿宋简体" w:hint="eastAsia"/>
          <w:bCs/>
          <w:kern w:val="2"/>
          <w:sz w:val="32"/>
          <w:szCs w:val="32"/>
        </w:rPr>
        <w:t>.卫生健康支出210（类）行政事业单位医疗11（款）行政单位医疗01（项）</w:t>
      </w:r>
      <w:r>
        <w:rPr>
          <w:rFonts w:ascii="方正仿宋简体" w:eastAsia="方正仿宋简体" w:cs="方正仿宋简体" w:hAnsi="方正仿宋简体" w:hint="eastAsia"/>
          <w:sz w:val="28"/>
          <w:szCs w:val="28"/>
        </w:rPr>
        <w:t>：</w:t>
      </w:r>
      <w:r>
        <w:rPr>
          <w:rFonts w:ascii="仿宋" w:eastAsia="仿宋" w:cs="方正仿宋简体" w:hAnsi="仿宋" w:hint="eastAsia"/>
          <w:kern w:val="2"/>
          <w:sz w:val="32"/>
          <w:szCs w:val="32"/>
        </w:rPr>
        <w:t>支出决算数20万元，完成预算的100%。</w:t>
      </w:r>
    </w:p>
    <w:p>
      <w:pPr>
        <w:spacing w:line="576" w:lineRule="exact"/>
        <w:ind w:firstLineChars="200" w:firstLine="560"/>
        <w:rPr>
          <w:rFonts w:ascii="仿宋" w:eastAsia="仿宋" w:hAnsi="仿宋"/>
          <w:b/>
          <w:sz w:val="32"/>
          <w:szCs w:val="32"/>
        </w:rPr>
      </w:pPr>
      <w:r>
        <w:rPr>
          <w:rFonts w:ascii="方正仿宋简体" w:eastAsia="方正仿宋简体" w:cs="方正仿宋简体" w:hAnsi="方正仿宋简体" w:hint="eastAsia"/>
          <w:kern w:val="0"/>
          <w:sz w:val="28"/>
          <w:szCs w:val="28"/>
        </w:rPr>
        <w:t>10.</w:t>
      </w:r>
      <w:r>
        <w:rPr>
          <w:rStyle w:val="26"/>
          <w:rFonts w:ascii="方正仿宋简体" w:eastAsia="方正仿宋简体" w:cs="方正仿宋简体" w:hAnsi="方正仿宋简体" w:hint="eastAsia"/>
          <w:bCs/>
          <w:sz w:val="32"/>
          <w:szCs w:val="32"/>
        </w:rPr>
        <w:t>住房保障支出221（类）住房改革支出02（款）住房公积金01（项）:</w:t>
      </w:r>
      <w:r>
        <w:rPr>
          <w:rFonts w:ascii="仿宋" w:eastAsia="仿宋" w:cs="方正仿宋简体" w:hAnsi="仿宋" w:hint="eastAsia"/>
          <w:sz w:val="32"/>
          <w:szCs w:val="32"/>
        </w:rPr>
        <w:t>支出决算数46.13元，完成预算的100%。</w:t>
      </w:r>
    </w:p>
    <w:p>
      <w:pPr>
        <w:tabs>
          <w:tab w:val="right" w:pos="8306"/>
        </w:tabs>
        <w:spacing w:line="600" w:lineRule="exact"/>
        <w:ind w:firstLine="640"/>
        <w:outlineLvl w:val="1"/>
        <w:rPr>
          <w:rStyle w:val="2Char"/>
        </w:rPr>
      </w:pPr>
      <w:bookmarkStart w:id="36" w:name="_Toc15377214"/>
      <w:bookmarkStart w:id="37" w:name="_Toc15396608"/>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6"/>
      <w:bookmarkEnd w:id="37"/>
      <w:r>
        <w:rPr>
          <w:rStyle w:val="2Char"/>
          <w:rFonts w:ascii="黑体" w:eastAsia="黑体" w:hAnsi="黑体"/>
          <w:b w:val="0"/>
        </w:rPr>
        <w:tab/>
      </w:r>
    </w:p>
    <w:p>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22年一般公共预算财政拨款基本支出665.13万元，其中：</w:t>
      </w:r>
    </w:p>
    <w:p>
      <w:pPr>
        <w:spacing w:line="600" w:lineRule="exact"/>
        <w:ind w:firstLine="645"/>
        <w:rPr>
          <w:rFonts w:ascii="仿宋" w:eastAsia="仿宋" w:hAnsi="仿宋"/>
          <w:sz w:val="32"/>
          <w:szCs w:val="32"/>
        </w:rPr>
      </w:pPr>
      <w:r>
        <w:rPr>
          <w:rFonts w:ascii="仿宋" w:eastAsia="仿宋" w:hAnsi="仿宋" w:hint="eastAsia"/>
          <w:sz w:val="32"/>
          <w:szCs w:val="32"/>
        </w:rPr>
        <w:t>人员经费602.73万元，主要包括：基本工资、津贴补贴、奖金、绩效工资、机关事业单位基本养老保险缴费、职业年金缴费、职工基本医疗保险缴费、其他社会保障缴费、其他工资福利支出、生活补助、奖励金、住房公积金等。</w:t>
      </w:r>
    </w:p>
    <w:p>
      <w:pPr>
        <w:spacing w:line="600" w:lineRule="exact"/>
        <w:ind w:firstLine="645"/>
        <w:rPr>
          <w:rFonts w:ascii="仿宋" w:eastAsia="仿宋" w:hAnsi="仿宋"/>
          <w:sz w:val="32"/>
          <w:szCs w:val="32"/>
        </w:rPr>
      </w:pPr>
      <w:r>
        <w:rPr>
          <w:rFonts w:ascii="仿宋" w:eastAsia="仿宋" w:hAnsi="仿宋" w:hint="eastAsia"/>
          <w:sz w:val="32"/>
          <w:szCs w:val="32"/>
        </w:rPr>
        <w:t>公用经费62.4万元，主要包括：办公费、印刷费、邮电费、差旅费、维修（护）费、会议费、培训费、公务接待费、劳务费、委托业务费、工会经费、福利费、其他交通费、其他商品和服务支出、办公设备购置等。</w:t>
      </w:r>
    </w:p>
    <w:p>
      <w:pPr>
        <w:spacing w:line="600" w:lineRule="exact"/>
        <w:ind w:firstLine="640"/>
        <w:outlineLvl w:val="1"/>
        <w:rPr>
          <w:rStyle w:val="2Char"/>
          <w:rFonts w:ascii="黑体" w:eastAsia="黑体" w:hAnsi="黑体"/>
          <w:b w:val="0"/>
        </w:rPr>
      </w:pPr>
      <w:bookmarkStart w:id="38" w:name="_Toc15377215"/>
      <w:bookmarkStart w:id="39" w:name="_Toc15396609"/>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8"/>
      <w:bookmarkEnd w:id="39"/>
    </w:p>
    <w:p>
      <w:pPr>
        <w:spacing w:line="600" w:lineRule="exact"/>
        <w:ind w:firstLine="640"/>
        <w:outlineLvl w:val="2"/>
        <w:rPr>
          <w:rFonts w:ascii="仿宋" w:eastAsia="仿宋" w:hAnsi="仿宋"/>
          <w:b/>
          <w:sz w:val="32"/>
          <w:szCs w:val="32"/>
        </w:rPr>
      </w:pPr>
      <w:bookmarkStart w:id="40" w:name="_Toc15377216"/>
      <w:r>
        <w:rPr>
          <w:rFonts w:ascii="仿宋" w:eastAsia="仿宋" w:hAnsi="仿宋" w:hint="eastAsia"/>
          <w:b/>
          <w:sz w:val="32"/>
          <w:szCs w:val="32"/>
        </w:rPr>
        <w:t>（一）“三公”经费财政拨款支出决算总体情况说明</w:t>
      </w:r>
      <w:bookmarkEnd w:id="40"/>
    </w:p>
    <w:p>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22年“三公”经费财政拨款支出决算为0.06万元，完成预算2</w:t>
      </w:r>
      <w:r>
        <w:rPr>
          <w:rFonts w:ascii="仿宋" w:eastAsia="仿宋" w:hAnsi="仿宋"/>
          <w:sz w:val="32"/>
          <w:szCs w:val="32"/>
        </w:rPr>
        <w:t>%</w:t>
      </w:r>
      <w:r>
        <w:rPr>
          <w:rFonts w:ascii="仿宋" w:eastAsia="仿宋" w:hAnsi="仿宋" w:hint="eastAsia"/>
          <w:sz w:val="32"/>
          <w:szCs w:val="32"/>
        </w:rPr>
        <w:t>，较上年减少0.21万元，下降77.78%。决算数小于预算数的主要原因：2022年因疫情原因来人来客减少及从严控制公务接待范围及标准。</w:t>
      </w:r>
    </w:p>
    <w:p>
      <w:pPr>
        <w:spacing w:line="600" w:lineRule="exact"/>
        <w:ind w:firstLine="640"/>
        <w:outlineLvl w:val="2"/>
        <w:rPr>
          <w:rFonts w:ascii="仿宋" w:eastAsia="仿宋" w:hAnsi="仿宋"/>
          <w:b/>
          <w:sz w:val="32"/>
          <w:szCs w:val="32"/>
        </w:rPr>
      </w:pPr>
      <w:bookmarkStart w:id="41" w:name="_Toc15377217"/>
      <w:r>
        <w:rPr>
          <w:rFonts w:ascii="仿宋" w:eastAsia="仿宋" w:hAnsi="仿宋" w:hint="eastAsia"/>
          <w:b/>
          <w:sz w:val="32"/>
          <w:szCs w:val="32"/>
        </w:rPr>
        <w:t>（二）“三公”经费财政拨款支出决算具体情况说明</w:t>
      </w:r>
      <w:bookmarkEnd w:id="41"/>
    </w:p>
    <w:p>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；公务用车购置及运行维护费支出决算0万元，占0</w:t>
      </w:r>
      <w:r>
        <w:rPr>
          <w:rFonts w:ascii="仿宋" w:eastAsia="仿宋" w:hAnsi="仿宋"/>
          <w:sz w:val="32"/>
          <w:szCs w:val="32"/>
        </w:rPr>
        <w:t>%</w:t>
      </w:r>
      <w:r>
        <w:rPr>
          <w:rFonts w:ascii="仿宋" w:eastAsia="仿宋" w:hAnsi="仿宋" w:hint="eastAsia"/>
          <w:sz w:val="32"/>
          <w:szCs w:val="32"/>
        </w:rPr>
        <w:t>；公务接待费支出决算0.06万元，占100</w:t>
      </w:r>
      <w:r>
        <w:rPr>
          <w:rFonts w:ascii="仿宋" w:eastAsia="仿宋" w:hAnsi="仿宋"/>
          <w:sz w:val="32"/>
          <w:szCs w:val="32"/>
        </w:rPr>
        <w:t>%</w:t>
      </w:r>
      <w:r>
        <w:rPr>
          <w:rFonts w:ascii="仿宋" w:eastAsia="仿宋" w:hAnsi="仿宋" w:hint="eastAsia"/>
          <w:sz w:val="32"/>
          <w:szCs w:val="32"/>
        </w:rPr>
        <w:t>。具体情况如下：</w:t>
      </w:r>
    </w:p>
    <w:p>
      <w:pPr>
        <w:pStyle w:val="15"/>
        <w:spacing w:beforeLines="0" w:before="93"/>
      </w:pPr>
      <w:r>
        <w:rPr>
          <w:rFonts w:ascii="仿宋" w:eastAsia="仿宋" w:hAnsi="仿宋" w:hint="eastAsia"/>
          <w:sz w:val="32"/>
          <w:szCs w:val="32"/>
        </w:rPr>
        <w:t>（图7：“三公”经费财政拨款支出结构）（单位：万元）</w:t>
      </w:r>
    </w:p>
    <w:p>
      <w:pPr>
        <w:pStyle w:val="15"/>
        <w:spacing w:beforeLines="0" w:before="93"/>
        <w:rPr>
          <w:rFonts w:ascii="方正仿宋简体" w:eastAsia="方正仿宋简体" w:cs="方正仿宋简体" w:hAnsi="方正仿宋简体"/>
          <w:sz w:val="32"/>
          <w:szCs w:val="32"/>
        </w:rPr>
      </w:pPr>
      <w:r>
        <w:rPr>
          <w:rFonts w:ascii="方正仿宋简体" w:eastAsia="方正仿宋简体" w:cs="方正仿宋简体" w:hAnsi="方正仿宋简体" w:hint="eastAsia"/>
          <w:color w:val="000000"/>
          <w:sz w:val="32"/>
          <w:szCs w:val="32"/>
        </w:rPr>
        <w:drawing>
          <wp:anchor distT="0" distB="0" distL="114300" distR="114300" simplePos="0" relativeHeight="34" behindDoc="0" locked="0" layoutInCell="1" hidden="0" allowOverlap="1">
            <wp:simplePos x="0" y="0"/>
            <wp:positionH relativeFrom="column">
              <wp:posOffset>21590</wp:posOffset>
            </wp:positionH>
            <wp:positionV relativeFrom="paragraph">
              <wp:posOffset>260350</wp:posOffset>
            </wp:positionV>
            <wp:extent cx="5276850" cy="1876425"/>
            <wp:effectExtent l="0" t="0" r="0" b="0"/>
            <wp:wrapNone/>
            <wp:docPr id="13" name="图表 8"/>
            <wp:cNvGraphicFramePr>
              <a:graphicFrameLocks noChangeAspect="0"/>
            </wp:cNvGraphicFramePr>
            <a:graphic>
              <a:graphicData uri="http://schemas.openxmlformats.org/drawingml/2006/chart">
                <c:chart xmlns:c="http://schemas.openxmlformats.org/drawingml/2006/chart" r:id="rId11"/>
              </a:graphicData>
            </a:graphic>
          </wp:anchor>
        </w:drawing>
      </w:r>
    </w:p>
    <w:p>
      <w:pPr>
        <w:pStyle w:val="15"/>
        <w:spacing w:beforeLines="0" w:before="93"/>
        <w:rPr>
          <w:rFonts w:ascii="仿宋" w:eastAsia="仿宋" w:hAnsi="仿宋"/>
          <w:sz w:val="32"/>
          <w:szCs w:val="32"/>
        </w:rPr>
      </w:pPr>
    </w:p>
    <w:p>
      <w:pPr>
        <w:pStyle w:val="15"/>
        <w:spacing w:beforeLines="0" w:before="93"/>
        <w:rPr>
          <w:rFonts w:ascii="仿宋" w:eastAsia="仿宋" w:hAnsi="仿宋"/>
          <w:sz w:val="32"/>
          <w:szCs w:val="32"/>
        </w:rPr>
      </w:pPr>
    </w:p>
    <w:p>
      <w:pPr>
        <w:pStyle w:val="15"/>
        <w:spacing w:beforeLines="0" w:before="93"/>
        <w:rPr>
          <w:rFonts w:ascii="仿宋" w:eastAsia="仿宋" w:hAnsi="仿宋"/>
          <w:sz w:val="32"/>
          <w:szCs w:val="32"/>
        </w:rPr>
      </w:pPr>
    </w:p>
    <w:p>
      <w:pPr>
        <w:pStyle w:val="15"/>
        <w:spacing w:beforeLines="0" w:before="93"/>
        <w:rPr>
          <w:rFonts w:ascii="仿宋" w:eastAsia="仿宋" w:hAnsi="仿宋"/>
          <w:sz w:val="32"/>
          <w:szCs w:val="32"/>
        </w:rPr>
      </w:pPr>
    </w:p>
    <w:p>
      <w:pPr>
        <w:spacing w:line="600" w:lineRule="exact"/>
        <w:ind w:firstLineChars="200" w:firstLine="640"/>
        <w:rPr>
          <w:rFonts w:ascii="仿宋" w:eastAsia="仿宋" w:hAnsi="仿宋"/>
          <w:sz w:val="32"/>
          <w:szCs w:val="32"/>
        </w:rPr>
      </w:pPr>
      <w:r>
        <w:rPr>
          <w:rFonts w:ascii="仿宋_GB2312" w:eastAsia="仿宋_GB2312" w:hint="eastAsia"/>
          <w:b/>
          <w:sz w:val="32"/>
          <w:szCs w:val="32"/>
        </w:rPr>
        <w:t>1.因公出国（境）经费支出</w:t>
      </w:r>
      <w:r>
        <w:rPr>
          <w:rFonts w:ascii="仿宋" w:eastAsia="仿宋" w:hAnsi="仿宋" w:hint="eastAsia"/>
          <w:sz w:val="32"/>
          <w:szCs w:val="32"/>
        </w:rPr>
        <w:t>0万元，</w:t>
      </w:r>
      <w:r>
        <w:rPr>
          <w:rStyle w:val="26"/>
          <w:rFonts w:ascii="仿宋" w:eastAsia="仿宋" w:hAnsi="仿宋" w:hint="eastAsia"/>
          <w:b w:val="0"/>
          <w:bCs/>
          <w:sz w:val="32"/>
          <w:szCs w:val="32"/>
        </w:rPr>
        <w:t>完成预算100</w:t>
      </w:r>
      <w:r>
        <w:rPr>
          <w:rStyle w:val="26"/>
          <w:rFonts w:ascii="仿宋" w:eastAsia="仿宋" w:hAnsi="仿宋"/>
          <w:b w:val="0"/>
          <w:bCs/>
          <w:sz w:val="32"/>
          <w:szCs w:val="32"/>
        </w:rPr>
        <w:t>%</w:t>
      </w:r>
      <w:r>
        <w:rPr>
          <w:rStyle w:val="26"/>
          <w:rFonts w:ascii="仿宋" w:eastAsia="仿宋" w:hAnsi="仿宋" w:hint="eastAsia"/>
          <w:b w:val="0"/>
          <w:bCs/>
          <w:sz w:val="32"/>
          <w:szCs w:val="32"/>
        </w:rPr>
        <w:t>。</w:t>
      </w:r>
      <w:r>
        <w:rPr>
          <w:rFonts w:ascii="仿宋" w:eastAsia="仿宋" w:hAnsi="仿宋" w:hint="eastAsia"/>
          <w:sz w:val="32"/>
          <w:szCs w:val="32"/>
        </w:rPr>
        <w:t>全年安排因公出国（境）团组0次，出国（境）0人。因公出国（境）支出决算与</w:t>
      </w:r>
      <w:r>
        <w:rPr>
          <w:rFonts w:ascii="仿宋" w:eastAsia="仿宋" w:hAnsi="仿宋"/>
          <w:sz w:val="32"/>
          <w:szCs w:val="32"/>
        </w:rPr>
        <w:t>20</w:t>
      </w:r>
      <w:r>
        <w:rPr>
          <w:rFonts w:ascii="仿宋" w:eastAsia="仿宋" w:hAnsi="仿宋" w:hint="eastAsia"/>
          <w:sz w:val="32"/>
          <w:szCs w:val="32"/>
        </w:rPr>
        <w:t>21年持平。</w:t>
      </w:r>
    </w:p>
    <w:p>
      <w:pPr>
        <w:spacing w:line="600" w:lineRule="exact"/>
        <w:ind w:firstLineChars="200" w:firstLine="640"/>
        <w:rPr>
          <w:rFonts w:ascii="仿宋_GB2312" w:eastAsia="仿宋_GB2312"/>
          <w:b/>
          <w:sz w:val="32"/>
          <w:szCs w:val="32"/>
        </w:rPr>
      </w:pPr>
      <w:r>
        <w:rPr>
          <w:rFonts w:ascii="仿宋_GB2312" w:eastAsia="仿宋_GB2312" w:hint="eastAsia"/>
          <w:b/>
          <w:sz w:val="32"/>
          <w:szCs w:val="32"/>
        </w:rPr>
        <w:t>2</w:t>
      </w:r>
      <w:r>
        <w:rPr>
          <w:rFonts w:ascii="仿宋_GB2312" w:eastAsia="仿宋_GB2312"/>
          <w:b/>
          <w:sz w:val="32"/>
          <w:szCs w:val="32"/>
        </w:rPr>
        <w:t>.</w:t>
      </w:r>
      <w:r>
        <w:rPr>
          <w:rFonts w:ascii="仿宋_GB2312" w:eastAsia="仿宋_GB2312" w:hint="eastAsia"/>
          <w:b/>
          <w:sz w:val="32"/>
          <w:szCs w:val="32"/>
        </w:rPr>
        <w:t>公务用车购置及运行维护费支出</w:t>
      </w:r>
      <w:r>
        <w:rPr>
          <w:rFonts w:ascii="仿宋_GB2312" w:eastAsia="仿宋_GB2312" w:hint="eastAsia"/>
          <w:sz w:val="32"/>
          <w:szCs w:val="32"/>
        </w:rPr>
        <w:t>0万元,</w:t>
      </w:r>
      <w:r>
        <w:rPr>
          <w:rStyle w:val="26"/>
          <w:rFonts w:ascii="仿宋" w:eastAsia="仿宋" w:hAnsi="仿宋" w:hint="eastAsia"/>
          <w:b w:val="0"/>
          <w:bCs/>
          <w:sz w:val="32"/>
          <w:szCs w:val="32"/>
        </w:rPr>
        <w:t>完成预算100</w:t>
      </w:r>
      <w:r>
        <w:rPr>
          <w:rStyle w:val="26"/>
          <w:rFonts w:ascii="仿宋" w:eastAsia="仿宋" w:hAnsi="仿宋"/>
          <w:b w:val="0"/>
          <w:bCs/>
          <w:sz w:val="32"/>
          <w:szCs w:val="32"/>
        </w:rPr>
        <w:t>%</w:t>
      </w:r>
      <w:r>
        <w:rPr>
          <w:rStyle w:val="26"/>
          <w:rFonts w:ascii="仿宋" w:eastAsia="仿宋" w:hAnsi="仿宋" w:hint="eastAsia"/>
          <w:b w:val="0"/>
          <w:bCs/>
          <w:sz w:val="32"/>
          <w:szCs w:val="32"/>
        </w:rPr>
        <w:t>。</w:t>
      </w:r>
      <w:r>
        <w:rPr>
          <w:rFonts w:ascii="仿宋_GB2312" w:eastAsia="仿宋_GB2312" w:hint="eastAsia"/>
          <w:sz w:val="32"/>
          <w:szCs w:val="32"/>
        </w:rPr>
        <w:t>公务用车购置及运行维护费支出决算与</w:t>
      </w:r>
      <w:r>
        <w:rPr>
          <w:rFonts w:ascii="仿宋_GB2312" w:eastAsia="仿宋_GB2312"/>
          <w:sz w:val="32"/>
          <w:szCs w:val="32"/>
        </w:rPr>
        <w:t>20</w:t>
      </w:r>
      <w:r>
        <w:rPr>
          <w:rFonts w:ascii="仿宋_GB2312" w:eastAsia="仿宋_GB2312" w:hint="eastAsia"/>
          <w:sz w:val="32"/>
          <w:szCs w:val="32"/>
        </w:rPr>
        <w:t>21年持平。</w:t>
      </w:r>
    </w:p>
    <w:p>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0万元。全年按规定更新购置公务用车0辆。截至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月底，单位共有公务用车0辆。</w:t>
      </w:r>
    </w:p>
    <w:p>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0.06万元，</w:t>
      </w:r>
      <w:r>
        <w:rPr>
          <w:rStyle w:val="26"/>
          <w:rFonts w:ascii="仿宋" w:eastAsia="仿宋" w:hAnsi="仿宋" w:hint="eastAsia"/>
          <w:b w:val="0"/>
          <w:bCs/>
          <w:sz w:val="32"/>
          <w:szCs w:val="32"/>
        </w:rPr>
        <w:t>完成预算的2</w:t>
      </w:r>
      <w:r>
        <w:rPr>
          <w:rStyle w:val="26"/>
          <w:rFonts w:ascii="仿宋" w:eastAsia="仿宋" w:hAnsi="仿宋"/>
          <w:b w:val="0"/>
          <w:bCs/>
          <w:sz w:val="32"/>
          <w:szCs w:val="32"/>
        </w:rPr>
        <w:t>%</w:t>
      </w:r>
      <w:r>
        <w:rPr>
          <w:rStyle w:val="26"/>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21年减少0.21万元，下降77.78</w:t>
      </w:r>
      <w:r>
        <w:rPr>
          <w:rFonts w:ascii="仿宋_GB2312" w:eastAsia="仿宋_GB2312"/>
          <w:sz w:val="32"/>
          <w:szCs w:val="32"/>
        </w:rPr>
        <w:t>%</w:t>
      </w:r>
      <w:r>
        <w:rPr>
          <w:rFonts w:ascii="仿宋_GB2312" w:eastAsia="仿宋_GB2312" w:hint="eastAsia"/>
          <w:sz w:val="32"/>
          <w:szCs w:val="32"/>
        </w:rPr>
        <w:t>。主要原因是认真贯彻落实中央八项规定及其实施细则精神和厉行节约要求，从严控制“三公”经费开支及受疫情影响来人来客减少。</w:t>
      </w:r>
    </w:p>
    <w:p>
      <w:pPr>
        <w:spacing w:line="600" w:lineRule="exact"/>
        <w:ind w:firstLine="640"/>
        <w:rPr>
          <w:rFonts w:ascii="仿宋" w:eastAsia="仿宋" w:hAnsi="仿宋"/>
          <w:sz w:val="32"/>
          <w:szCs w:val="32"/>
        </w:rPr>
      </w:pPr>
      <w:r>
        <w:rPr>
          <w:rFonts w:ascii="仿宋" w:eastAsia="仿宋" w:hAnsi="仿宋" w:hint="eastAsia"/>
          <w:b/>
          <w:sz w:val="32"/>
          <w:szCs w:val="32"/>
        </w:rPr>
        <w:t>国内公务接待支出</w:t>
      </w:r>
      <w:r>
        <w:rPr>
          <w:rFonts w:ascii="仿宋" w:eastAsia="仿宋" w:hAnsi="仿宋" w:hint="eastAsia"/>
          <w:sz w:val="32"/>
          <w:szCs w:val="32"/>
        </w:rPr>
        <w:t>0.06万元，主要用于来人来客执行公务活动的餐费。国内公务接待1批次，7人次（不包括陪同人员），共计支出0.06万元，具体内容包括：接待来客用餐费0.06万元。</w:t>
      </w:r>
    </w:p>
    <w:p>
      <w:pPr>
        <w:spacing w:line="600" w:lineRule="exact"/>
        <w:ind w:firstLineChars="200" w:firstLine="640"/>
        <w:rPr>
          <w:rFonts w:ascii="黑体" w:eastAsia="黑体"/>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w:t>
      </w:r>
      <w:bookmarkStart w:id="42" w:name="_Toc15377218"/>
      <w:bookmarkStart w:id="43" w:name="_Toc15396610"/>
    </w:p>
    <w:p>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2"/>
      <w:bookmarkEnd w:id="43"/>
    </w:p>
    <w:p>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22年政府性基金预算财政拨款支出0万元。</w:t>
      </w:r>
    </w:p>
    <w:p>
      <w:pPr>
        <w:numPr>
          <w:ilvl w:val="0"/>
          <w:numId w:val="2"/>
        </w:numPr>
        <w:spacing w:line="600" w:lineRule="exact"/>
        <w:ind w:left="0" w:firstLine="640"/>
        <w:outlineLvl w:val="1"/>
        <w:rPr>
          <w:rStyle w:val="2Char"/>
          <w:rFonts w:ascii="黑体" w:eastAsia="黑体" w:hAnsi="黑体"/>
          <w:b w:val="0"/>
        </w:rPr>
      </w:pPr>
      <w:bookmarkStart w:id="44" w:name="_Toc15377219"/>
      <w:bookmarkStart w:id="45" w:name="_Toc15396611"/>
      <w:r>
        <w:rPr>
          <w:rStyle w:val="2Char"/>
          <w:rFonts w:ascii="黑体" w:eastAsia="黑体" w:hAnsi="黑体" w:hint="eastAsia"/>
          <w:b w:val="0"/>
        </w:rPr>
        <w:t>国有资本经营预算支出决算情况说明</w:t>
      </w:r>
      <w:bookmarkEnd w:id="44"/>
      <w:bookmarkEnd w:id="45"/>
    </w:p>
    <w:p>
      <w:pPr>
        <w:spacing w:line="600" w:lineRule="exact"/>
        <w:ind w:firstLine="640"/>
        <w:rPr>
          <w:rFonts w:ascii="仿宋" w:eastAsia="仿宋" w:cs="方正小标宋简体" w:hAnsi="仿宋"/>
          <w:sz w:val="44"/>
          <w:szCs w:val="44"/>
        </w:rPr>
      </w:pPr>
      <w:r>
        <w:rPr>
          <w:rFonts w:ascii="仿宋" w:eastAsia="仿宋" w:hAnsi="仿宋"/>
          <w:sz w:val="32"/>
          <w:szCs w:val="32"/>
        </w:rPr>
        <w:t>20</w:t>
      </w:r>
      <w:r>
        <w:rPr>
          <w:rFonts w:ascii="仿宋" w:eastAsia="仿宋" w:hAnsi="仿宋" w:hint="eastAsia"/>
          <w:sz w:val="32"/>
          <w:szCs w:val="32"/>
        </w:rPr>
        <w:t>22年国有资本经营预算财政拨款支出0万元。</w:t>
      </w:r>
    </w:p>
    <w:p>
      <w:pPr>
        <w:numPr>
          <w:ilvl w:val="0"/>
          <w:numId w:val="2"/>
        </w:numPr>
        <w:spacing w:line="600" w:lineRule="exact"/>
        <w:ind w:left="0" w:firstLine="640"/>
        <w:outlineLvl w:val="1"/>
        <w:rPr>
          <w:rStyle w:val="2Char"/>
          <w:rFonts w:ascii="黑体" w:eastAsia="黑体" w:hAnsi="黑体"/>
          <w:b w:val="0"/>
        </w:rPr>
      </w:pPr>
      <w:bookmarkStart w:id="46" w:name="_Toc15396612"/>
      <w:bookmarkStart w:id="47" w:name="_Toc15377221"/>
      <w:r>
        <w:rPr>
          <w:rStyle w:val="2Char"/>
          <w:rFonts w:ascii="黑体" w:eastAsia="黑体" w:hAnsi="黑体" w:hint="eastAsia"/>
          <w:b w:val="0"/>
        </w:rPr>
        <w:t>其他重要事项的情况说明</w:t>
      </w:r>
      <w:bookmarkEnd w:id="46"/>
      <w:bookmarkEnd w:id="47"/>
    </w:p>
    <w:p>
      <w:pPr>
        <w:spacing w:line="600" w:lineRule="exact"/>
        <w:ind w:firstLineChars="200" w:firstLine="640"/>
        <w:outlineLvl w:val="2"/>
        <w:rPr>
          <w:rFonts w:ascii="仿宋" w:eastAsia="仿宋" w:hAnsi="仿宋"/>
          <w:sz w:val="32"/>
          <w:szCs w:val="32"/>
        </w:rPr>
      </w:pPr>
      <w:bookmarkStart w:id="48" w:name="_Toc15377222"/>
      <w:r>
        <w:rPr>
          <w:rFonts w:ascii="仿宋" w:eastAsia="仿宋" w:hAnsi="仿宋" w:hint="eastAsia"/>
          <w:b/>
          <w:sz w:val="32"/>
          <w:szCs w:val="32"/>
        </w:rPr>
        <w:t>（一）机关运行经费支出情况</w:t>
      </w:r>
      <w:bookmarkEnd w:id="48"/>
    </w:p>
    <w:p>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22年，广元市利州区审计局机关运行经费支出62.4万元，比</w:t>
      </w:r>
      <w:r>
        <w:rPr>
          <w:rFonts w:ascii="仿宋" w:eastAsia="仿宋" w:hAnsi="仿宋"/>
          <w:sz w:val="32"/>
          <w:szCs w:val="32"/>
        </w:rPr>
        <w:t>20</w:t>
      </w:r>
      <w:r>
        <w:rPr>
          <w:rFonts w:ascii="仿宋" w:eastAsia="仿宋" w:hAnsi="仿宋" w:hint="eastAsia"/>
          <w:sz w:val="32"/>
          <w:szCs w:val="32"/>
        </w:rPr>
        <w:t>21年减少9.69万元，下降13.44</w:t>
      </w:r>
      <w:r>
        <w:rPr>
          <w:rFonts w:ascii="仿宋" w:eastAsia="仿宋" w:hAnsi="仿宋"/>
          <w:sz w:val="32"/>
          <w:szCs w:val="32"/>
        </w:rPr>
        <w:t>%</w:t>
      </w:r>
      <w:r>
        <w:rPr>
          <w:rFonts w:ascii="仿宋" w:eastAsia="仿宋" w:hAnsi="仿宋" w:hint="eastAsia"/>
          <w:sz w:val="32"/>
          <w:szCs w:val="32"/>
        </w:rPr>
        <w:t>。主要原因：一是2022年因疫情原因，人员外出审计人次减少，从而差旅费支出减少，二是因疫情原因工作人员居家办公时间较多，减少单位水电费支出。</w:t>
      </w:r>
    </w:p>
    <w:p>
      <w:pPr>
        <w:autoSpaceDE w:val="0"/>
        <w:autoSpaceDN w:val="0"/>
        <w:adjustRightInd w:val="0"/>
        <w:spacing w:line="600" w:lineRule="exact"/>
        <w:ind w:firstLineChars="200" w:firstLine="640"/>
        <w:jc w:val="left"/>
        <w:outlineLvl w:val="2"/>
        <w:rPr>
          <w:rFonts w:ascii="仿宋" w:eastAsia="仿宋" w:hAnsi="仿宋"/>
          <w:b/>
          <w:sz w:val="32"/>
          <w:szCs w:val="32"/>
        </w:rPr>
      </w:pPr>
      <w:bookmarkStart w:id="49" w:name="_Toc15377223"/>
      <w:r>
        <w:rPr>
          <w:rFonts w:ascii="仿宋" w:eastAsia="仿宋" w:hAnsi="仿宋" w:hint="eastAsia"/>
          <w:b/>
          <w:sz w:val="32"/>
          <w:szCs w:val="32"/>
        </w:rPr>
        <w:t>（二）政府采购支出情况</w:t>
      </w:r>
      <w:bookmarkEnd w:id="49"/>
    </w:p>
    <w:p>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22年，广元市利州区审计局政府采购支出总额25.6万元，其中：政府采购货物支出25.6万元，政府采购服务支出25.6万元。主要用于支付</w:t>
      </w:r>
      <w:r>
        <w:rPr>
          <w:rFonts w:ascii="仿宋" w:eastAsia="仿宋" w:cs="仿宋" w:hAnsi="仿宋" w:hint="eastAsia"/>
          <w:sz w:val="32"/>
          <w:szCs w:val="32"/>
        </w:rPr>
        <w:t>“广元市利州区金龙湖片区城乡一体化建设（配套道路一期）项目”聘请第三方支付的跟踪审计服务费</w:t>
      </w:r>
      <w:r>
        <w:rPr>
          <w:rFonts w:ascii="仿宋" w:eastAsia="仿宋" w:hAnsi="仿宋" w:hint="eastAsia"/>
          <w:sz w:val="32"/>
          <w:szCs w:val="32"/>
        </w:rPr>
        <w:t>。授予中小企业合同金额25.6万元，占政府采购支出总额的100</w:t>
      </w:r>
      <w:r>
        <w:rPr>
          <w:rFonts w:ascii="仿宋" w:eastAsia="仿宋" w:hAnsi="仿宋"/>
          <w:sz w:val="32"/>
          <w:szCs w:val="32"/>
        </w:rPr>
        <w:t>%</w:t>
      </w:r>
      <w:r>
        <w:rPr>
          <w:rFonts w:ascii="仿宋" w:eastAsia="仿宋" w:hAnsi="仿宋" w:hint="eastAsia"/>
          <w:sz w:val="32"/>
          <w:szCs w:val="32"/>
        </w:rPr>
        <w:t>，其中：授予小微企业合同金额25.6万元，占政府采购支出总额的100</w:t>
      </w:r>
      <w:r>
        <w:rPr>
          <w:rFonts w:ascii="仿宋" w:eastAsia="仿宋" w:hAnsi="仿宋"/>
          <w:sz w:val="32"/>
          <w:szCs w:val="32"/>
        </w:rPr>
        <w:t>%</w:t>
      </w:r>
      <w:r>
        <w:rPr>
          <w:rFonts w:ascii="仿宋" w:eastAsia="仿宋" w:hAnsi="仿宋" w:hint="eastAsia"/>
          <w:sz w:val="32"/>
          <w:szCs w:val="32"/>
        </w:rPr>
        <w:t>。</w:t>
      </w:r>
    </w:p>
    <w:p>
      <w:pPr>
        <w:autoSpaceDE w:val="0"/>
        <w:autoSpaceDN w:val="0"/>
        <w:adjustRightInd w:val="0"/>
        <w:spacing w:line="600" w:lineRule="exact"/>
        <w:ind w:firstLineChars="200" w:firstLine="640"/>
        <w:jc w:val="left"/>
        <w:outlineLvl w:val="2"/>
        <w:rPr>
          <w:rFonts w:ascii="仿宋" w:eastAsia="仿宋" w:hAnsi="仿宋"/>
          <w:b/>
          <w:sz w:val="32"/>
          <w:szCs w:val="32"/>
        </w:rPr>
      </w:pPr>
      <w:bookmarkStart w:id="50" w:name="_Toc15377224"/>
      <w:r>
        <w:rPr>
          <w:rFonts w:ascii="仿宋" w:eastAsia="仿宋" w:hAnsi="仿宋" w:hint="eastAsia"/>
          <w:b/>
          <w:sz w:val="32"/>
          <w:szCs w:val="32"/>
        </w:rPr>
        <w:t>（三）国有资产占有使用情况</w:t>
      </w:r>
      <w:bookmarkEnd w:id="50"/>
    </w:p>
    <w:p>
      <w:pPr>
        <w:autoSpaceDE w:val="0"/>
        <w:autoSpaceDN w:val="0"/>
        <w:adjustRightInd w:val="0"/>
        <w:spacing w:line="600" w:lineRule="exact"/>
        <w:ind w:firstLineChars="200" w:firstLine="640"/>
        <w:jc w:val="left"/>
        <w:rPr>
          <w:rFonts w:ascii="仿宋" w:eastAsia="仿宋" w:hAnsi="仿宋"/>
          <w:sz w:val="32"/>
          <w:szCs w:val="32"/>
        </w:rPr>
      </w:pPr>
      <w:r>
        <w:rPr>
          <w:rFonts w:ascii="仿宋" w:eastAsia="仿宋" w:hAnsi="仿宋" w:hint="eastAsia"/>
          <w:sz w:val="32"/>
          <w:szCs w:val="32"/>
        </w:rPr>
        <w:t>截至</w:t>
      </w:r>
      <w:r>
        <w:rPr>
          <w:rFonts w:ascii="仿宋" w:eastAsia="仿宋" w:hAnsi="仿宋"/>
          <w:sz w:val="32"/>
          <w:szCs w:val="32"/>
        </w:rPr>
        <w:t>20</w:t>
      </w:r>
      <w:r>
        <w:rPr>
          <w:rFonts w:ascii="仿宋" w:eastAsia="仿宋" w:hAnsi="仿宋" w:hint="eastAsia"/>
          <w:sz w:val="32"/>
          <w:szCs w:val="32"/>
        </w:rPr>
        <w:t>22年</w:t>
      </w:r>
      <w:r>
        <w:rPr>
          <w:rFonts w:ascii="仿宋" w:eastAsia="仿宋" w:hAnsi="仿宋"/>
          <w:sz w:val="32"/>
          <w:szCs w:val="32"/>
        </w:rPr>
        <w:t>12</w:t>
      </w:r>
      <w:r>
        <w:rPr>
          <w:rFonts w:ascii="仿宋" w:eastAsia="仿宋" w:hAnsi="仿宋" w:hint="eastAsia"/>
          <w:sz w:val="32"/>
          <w:szCs w:val="32"/>
        </w:rPr>
        <w:t>月</w:t>
      </w:r>
      <w:r>
        <w:rPr>
          <w:rFonts w:ascii="仿宋" w:eastAsia="仿宋" w:hAnsi="仿宋"/>
          <w:sz w:val="32"/>
          <w:szCs w:val="32"/>
        </w:rPr>
        <w:t>31</w:t>
      </w:r>
      <w:r>
        <w:rPr>
          <w:rFonts w:ascii="仿宋" w:eastAsia="仿宋" w:hAnsi="仿宋" w:hint="eastAsia"/>
          <w:sz w:val="32"/>
          <w:szCs w:val="32"/>
        </w:rPr>
        <w:t>日，广元市利州区审计局共有车辆0辆。单价</w:t>
      </w:r>
      <w:r>
        <w:rPr>
          <w:rFonts w:ascii="仿宋" w:eastAsia="仿宋" w:hAnsi="仿宋"/>
          <w:sz w:val="32"/>
          <w:szCs w:val="32"/>
        </w:rPr>
        <w:t>100</w:t>
      </w:r>
      <w:r>
        <w:rPr>
          <w:rFonts w:ascii="仿宋" w:eastAsia="仿宋" w:hAnsi="仿宋" w:hint="eastAsia"/>
          <w:sz w:val="32"/>
          <w:szCs w:val="32"/>
        </w:rPr>
        <w:t>万元以上专用设备0台（套）。</w:t>
      </w:r>
    </w:p>
    <w:p>
      <w:pPr>
        <w:autoSpaceDE w:val="0"/>
        <w:autoSpaceDN w:val="0"/>
        <w:adjustRightInd w:val="0"/>
        <w:spacing w:line="600" w:lineRule="exact"/>
        <w:ind w:firstLineChars="200" w:firstLine="640"/>
        <w:jc w:val="left"/>
        <w:outlineLvl w:val="2"/>
        <w:rPr>
          <w:rFonts w:ascii="仿宋" w:eastAsia="仿宋" w:hAnsi="仿宋"/>
          <w:b/>
          <w:sz w:val="32"/>
          <w:szCs w:val="32"/>
        </w:rPr>
      </w:pPr>
      <w:r>
        <w:rPr>
          <w:rFonts w:ascii="仿宋" w:eastAsia="仿宋" w:hAnsi="仿宋" w:hint="eastAsia"/>
          <w:b/>
          <w:sz w:val="32"/>
          <w:szCs w:val="32"/>
        </w:rPr>
        <w:t>（四）预算绩效管理情况</w:t>
      </w:r>
    </w:p>
    <w:p>
      <w:pPr>
        <w:widowControl/>
        <w:ind w:firstLineChars="200" w:firstLine="640"/>
        <w:jc w:val="left"/>
        <w:rPr>
          <w:rFonts w:ascii="仿宋" w:eastAsia="仿宋" w:cs="仿宋_GB2312" w:hAnsi="仿宋"/>
          <w:sz w:val="32"/>
          <w:szCs w:val="32"/>
        </w:rPr>
      </w:pPr>
      <w:r>
        <w:rPr>
          <w:rFonts w:ascii="仿宋" w:eastAsia="仿宋" w:cs="仿宋_GB2312" w:hAnsi="仿宋" w:hint="eastAsia"/>
          <w:sz w:val="32"/>
          <w:szCs w:val="32"/>
        </w:rPr>
        <w:t>根据预算绩效管理要求，本部门在2022年度预算编制阶段，组织对2022年政府重大投资跟踪审计服务费项目、2022年政府投资审计聘请中介机构服务项目、2022年区属国有企业资产负债损益审计聘请中介机构项目等6个项目开展了预算事前绩效评估，对6个项目编制了绩效目标，预算执行过程中，选取6个项目开展绩效监控。</w:t>
      </w:r>
    </w:p>
    <w:p>
      <w:pPr>
        <w:pStyle w:val="15"/>
        <w:spacing w:beforeLines="0" w:before="30" w:line="576"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组织对2022年度一般公共预算全面开展绩效自评，形成广元市利州区审计局部门整体绩效自评报告，对2022年政府重大投资跟踪审计服务费项目等6个专项预算项目开展了绩效自评报告，其中，广元市利州区审计局部门整体绩效自评得分为96分，绩效自评综述：</w:t>
      </w:r>
      <w:r>
        <w:rPr>
          <w:rFonts w:ascii="仿宋" w:eastAsia="仿宋" w:hAnsi="仿宋" w:hint="eastAsia"/>
          <w:color w:val="000000"/>
          <w:sz w:val="32"/>
          <w:szCs w:val="32"/>
        </w:rPr>
        <w:t>按照绩效管理的相关规定，结合本单位实际开展了资金使用绩效自评工作，自评发现</w:t>
      </w:r>
      <w:r>
        <w:rPr>
          <w:rFonts w:ascii="仿宋" w:eastAsia="仿宋" w:cs="仿宋_GB2312" w:hAnsi="仿宋" w:hint="eastAsia"/>
          <w:sz w:val="32"/>
          <w:szCs w:val="32"/>
        </w:rPr>
        <w:t>年初所设定的绩效目标依据充分，基本符合实际，绩效指标清晰、细化、可衡量；会计核算符合会计法、政府会计制度和相关会计准则，资金管理安全、运行规范。项目绩效目标总体执行情况较好，取得了较好的社会效益和经济效益。</w:t>
      </w:r>
    </w:p>
    <w:p>
      <w:pPr>
        <w:pStyle w:val="15"/>
        <w:spacing w:beforeLines="0" w:before="30" w:line="576" w:lineRule="exact"/>
        <w:ind w:firstLineChars="200" w:firstLine="640"/>
        <w:rPr>
          <w:rFonts w:ascii="仿宋" w:eastAsia="仿宋" w:cs="仿宋_GB2312" w:hAnsi="仿宋"/>
          <w:sz w:val="32"/>
          <w:szCs w:val="32"/>
        </w:rPr>
      </w:pPr>
      <w:r>
        <w:rPr>
          <w:rFonts w:ascii="仿宋" w:eastAsia="仿宋" w:cs="仿宋_GB2312" w:hAnsi="仿宋" w:hint="eastAsia"/>
          <w:sz w:val="32"/>
          <w:szCs w:val="32"/>
        </w:rPr>
        <w:t>部门决算中项目绩效自评情况：2022年政府重大投资跟踪审计服务专项预算项目绩效自评得分为97分。绩效自评综述：该项目年初预算数为26 万元，上年结转收入77.04万元，全年预算收入103.04万元，决算支出数103.04万元，完成全年预算收入的100%。全面完成了项目年初设定的绩效目标，项目实施过程中重点从投资政策落实情况、项目基本建设程序执行情况、项目概(预)算执行情况、项目征地拆迁情况、项目招投标及合同履行情况、项目工程进度情况、经济签证的真实性、重大公共投资项目内控制度执行情况、重大公共工程项目财务管理情况、重大公共工程投资项目建设管理绩效情况、重大公共工程项目竣工结（决）算、审计发现问题整改情况等进行审计监督，有效推进政府重大投资项目顺利实施，杜绝建设过程中的决策失误及损失浪费行为。2022年政府投资审计聘请中介机构服务项目绩效自评得分为98分。绩效自评综述：该项目年初预算103.79万元，上年结转85.02万元，全年预算收入188.81万元，决算支出188.81万元，完成全年预算支出的100%。该项目</w:t>
      </w:r>
      <w:r>
        <w:rPr>
          <w:rFonts w:ascii="仿宋" w:eastAsia="仿宋" w:cs="方正仿宋简体" w:hAnsi="仿宋" w:hint="eastAsia"/>
          <w:sz w:val="32"/>
          <w:szCs w:val="32"/>
          <w:lang w:val="zh-CN"/>
        </w:rPr>
        <w:t>年初设定的项目绩效目标编制合理，项目设定的各项指标可行，资金使用规范，该项目的实施，</w:t>
      </w:r>
      <w:r>
        <w:rPr>
          <w:rFonts w:ascii="仿宋" w:eastAsia="仿宋" w:cs="方正仿宋简体" w:hAnsi="仿宋" w:hint="eastAsia"/>
          <w:sz w:val="32"/>
          <w:szCs w:val="32"/>
        </w:rPr>
        <w:t>对提高财政资金监督使用绩效，强化工程项目审计监督，围绕全区经济高</w:t>
      </w:r>
      <w:r>
        <w:rPr>
          <w:rFonts w:ascii="仿宋" w:eastAsia="仿宋" w:cs="方正仿宋简体" w:hAnsi="仿宋"/>
          <w:sz w:val="32"/>
          <w:szCs w:val="32"/>
        </w:rPr>
        <w:t>质</w:t>
      </w:r>
      <w:r>
        <w:rPr>
          <w:rFonts w:ascii="仿宋" w:eastAsia="仿宋" w:cs="方正仿宋简体" w:hAnsi="仿宋" w:hint="eastAsia"/>
          <w:sz w:val="32"/>
          <w:szCs w:val="32"/>
        </w:rPr>
        <w:t>量发展，聚焦全区重点项目建设，加大对政府投资规范管理的提供了有力保障。</w:t>
      </w:r>
      <w:r>
        <w:rPr>
          <w:rFonts w:ascii="仿宋" w:eastAsia="仿宋" w:cs="仿宋_GB2312" w:hAnsi="仿宋" w:hint="eastAsia"/>
          <w:sz w:val="32"/>
          <w:szCs w:val="32"/>
        </w:rPr>
        <w:t>2022年区属国有企业资产负债损益审计聘请中介机构项绩效自评得分为93分，绩效自评综述：该项目年初预算45万元，决算支出45万元，完成全年预算支出的100%，该项目年</w:t>
      </w:r>
      <w:r>
        <w:rPr>
          <w:rFonts w:ascii="仿宋" w:eastAsia="仿宋" w:cs="方正仿宋简体" w:hAnsi="仿宋" w:hint="eastAsia"/>
          <w:sz w:val="32"/>
          <w:szCs w:val="32"/>
          <w:lang w:val="zh-CN"/>
        </w:rPr>
        <w:t>初设定的项目绩效目标编制合理，项目设定的各项指标可行，资金使用规范，该项目的实施，</w:t>
      </w:r>
      <w:r>
        <w:rPr>
          <w:rFonts w:ascii="仿宋" w:eastAsia="仿宋" w:cs="方正仿宋简体" w:hAnsi="仿宋" w:hint="eastAsia"/>
          <w:sz w:val="32"/>
          <w:szCs w:val="32"/>
        </w:rPr>
        <w:t>对提高财政资金监督使用绩效，强化工程项目审计监督，防范化解政府债务风险，强化国有企业审计监督，助力国有经济高质量发展提供有有力保障。</w:t>
      </w:r>
      <w:r>
        <w:rPr>
          <w:rFonts w:ascii="仿宋" w:eastAsia="仿宋" w:cs="仿宋_GB2312" w:hAnsi="仿宋" w:hint="eastAsia"/>
          <w:sz w:val="32"/>
          <w:szCs w:val="32"/>
        </w:rPr>
        <w:t>2022年审计事务外调项目，绩效自评得分98分，绩效自评综述：该项目年初预算74.46万元，决算支出74.46万元，完成预算的100%，项目</w:t>
      </w:r>
      <w:r>
        <w:rPr>
          <w:rFonts w:ascii="仿宋" w:eastAsia="仿宋" w:cs="方正仿宋简体" w:hAnsi="仿宋" w:hint="eastAsia"/>
          <w:sz w:val="32"/>
          <w:szCs w:val="32"/>
          <w:lang w:val="zh-CN"/>
        </w:rPr>
        <w:t>年初设定的项目绩效目标编制合理，项目设定的各项指标可行，资金使用规范，</w:t>
      </w:r>
      <w:r>
        <w:rPr>
          <w:rFonts w:ascii="仿宋" w:eastAsia="仿宋" w:cs="方正仿宋简体" w:hAnsi="仿宋" w:hint="eastAsia"/>
          <w:sz w:val="32"/>
          <w:szCs w:val="32"/>
        </w:rPr>
        <w:t>该项目的实施为加强审计机关廉政建设，</w:t>
      </w:r>
      <w:r>
        <w:rPr>
          <w:rFonts w:ascii="仿宋" w:eastAsia="仿宋" w:cs="方正仿宋简体" w:hAnsi="仿宋"/>
          <w:sz w:val="32"/>
          <w:szCs w:val="32"/>
        </w:rPr>
        <w:t>提高</w:t>
      </w:r>
      <w:r>
        <w:rPr>
          <w:rFonts w:ascii="仿宋" w:eastAsia="仿宋" w:cs="方正仿宋简体" w:hAnsi="仿宋" w:hint="eastAsia"/>
          <w:sz w:val="32"/>
          <w:szCs w:val="32"/>
        </w:rPr>
        <w:t>审计工作质量，有效的履行审计监督，维护审计机关良好形象，按照审计“八不准”的审计纪律，切断审计组与被审计单位的一切经济联系，提供了全面保障。</w:t>
      </w:r>
      <w:r>
        <w:rPr>
          <w:rFonts w:ascii="仿宋" w:eastAsia="仿宋" w:cs="仿宋_GB2312" w:hAnsi="仿宋" w:hint="eastAsia"/>
          <w:sz w:val="32"/>
          <w:szCs w:val="32"/>
        </w:rPr>
        <w:t>2022年参加全国、省、市统一审计项目，绩效自评得分96分，绩效自评综述：该项目年初预算59.04万元，调整预算52.75万元，决算支出52.75万元，完成预算的100%，项目</w:t>
      </w:r>
      <w:r>
        <w:rPr>
          <w:rFonts w:ascii="仿宋" w:eastAsia="仿宋" w:cs="方正仿宋简体" w:hAnsi="仿宋" w:hint="eastAsia"/>
          <w:sz w:val="32"/>
          <w:szCs w:val="32"/>
          <w:lang w:val="zh-CN"/>
        </w:rPr>
        <w:t>年初设定的项目绩效目标编制合理，项目设定的各项指标可行，资金使用规范，</w:t>
      </w:r>
      <w:r>
        <w:rPr>
          <w:rFonts w:ascii="仿宋" w:eastAsia="仿宋" w:cs="方正仿宋简体" w:hAnsi="仿宋" w:hint="eastAsia"/>
          <w:sz w:val="32"/>
          <w:szCs w:val="32"/>
        </w:rPr>
        <w:t>该项目的实施保障了国家审计署、省审计厅及市审计局统一安排的区域外异地交叉审计项目发生的交通费、住宿费、生活补助及公杂费，以及外出审计调查发生的租车及其他办公费用。为</w:t>
      </w:r>
      <w:r>
        <w:rPr>
          <w:rFonts w:ascii="仿宋" w:eastAsia="仿宋" w:cs="方正仿宋简体" w:hAnsi="仿宋"/>
          <w:sz w:val="32"/>
          <w:szCs w:val="32"/>
        </w:rPr>
        <w:t>加强</w:t>
      </w:r>
      <w:bookmarkStart w:id="51" w:name="_GoBack"/>
      <w:bookmarkEnd w:id="51"/>
      <w:r>
        <w:rPr>
          <w:rFonts w:ascii="仿宋" w:eastAsia="仿宋" w:cs="方正仿宋简体" w:hAnsi="仿宋" w:hint="eastAsia"/>
          <w:sz w:val="32"/>
          <w:szCs w:val="32"/>
        </w:rPr>
        <w:t>审计机关廉政建设，提高审计工作质量，有效的履行审计监督，维护审计机关良好形象，按照审计“八不准”的审计纪律，切断审计组与被审计单位的一切经济联系，提供了全面保障。</w:t>
      </w:r>
      <w:r>
        <w:rPr>
          <w:rFonts w:ascii="仿宋" w:eastAsia="仿宋" w:cs="仿宋_GB2312" w:hAnsi="仿宋" w:hint="eastAsia"/>
          <w:sz w:val="32"/>
          <w:szCs w:val="32"/>
        </w:rPr>
        <w:t>2022年跟踪审计项目管理项目，绩效自评得分95分。绩效自评综述：该项目年初预算经费17万元，全年预算收入17万元，决算支出17万元，完成预算的100%。通过自评，项目年</w:t>
      </w:r>
      <w:r>
        <w:rPr>
          <w:rFonts w:ascii="仿宋" w:eastAsia="仿宋" w:cs="方正仿宋简体" w:hAnsi="仿宋" w:hint="eastAsia"/>
          <w:sz w:val="32"/>
          <w:szCs w:val="32"/>
          <w:lang w:val="zh-CN"/>
        </w:rPr>
        <w:t>初设定的项目预算编制合理，项目设定的各项指标可行，资金使用规范，该项目的实施，对政府重大投资项目从前期立项到竣工结算阶段的经济管理的真实性、合法性、效益性进行全过程审计监督，减少政府重大投资的损失浪费、闲置及项目存在质量和安全隐患等问题，项目完成情况较好</w:t>
      </w:r>
      <w:r>
        <w:rPr>
          <w:rFonts w:ascii="仿宋" w:eastAsia="仿宋" w:cs="仿宋_GB2312" w:hAnsi="仿宋" w:hint="eastAsia"/>
          <w:sz w:val="32"/>
          <w:szCs w:val="32"/>
        </w:rPr>
        <w:t>。绩效自评报告详见附件。</w:t>
      </w:r>
    </w:p>
    <w:p>
      <w:pPr>
        <w:widowControl/>
        <w:ind w:firstLineChars="200" w:firstLine="640"/>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left="0" w:firstLineChars="150" w:firstLine="660"/>
        <w:jc w:val="center"/>
        <w:outlineLvl w:val="0"/>
        <w:rPr>
          <w:rStyle w:val="1Char"/>
          <w:rFonts w:ascii="黑体" w:eastAsia="黑体" w:hAnsi="黑体"/>
          <w:b w:val="0"/>
        </w:rPr>
      </w:pPr>
      <w:bookmarkStart w:id="52" w:name="_Toc15396613"/>
      <w:bookmarkStart w:id="53" w:name="_Toc15377225"/>
      <w:r>
        <w:rPr>
          <w:rFonts w:ascii="黑体" w:eastAsia="黑体" w:hAnsi="黑体" w:hint="eastAsia"/>
          <w:sz w:val="44"/>
          <w:szCs w:val="44"/>
        </w:rPr>
        <w:t>名</w:t>
      </w:r>
      <w:r>
        <w:rPr>
          <w:rStyle w:val="1Char"/>
          <w:rFonts w:ascii="黑体" w:eastAsia="黑体" w:hAnsi="黑体" w:hint="eastAsia"/>
          <w:b w:val="0"/>
        </w:rPr>
        <w:t>词解释</w:t>
      </w:r>
      <w:bookmarkEnd w:id="52"/>
      <w:bookmarkEnd w:id="53"/>
    </w:p>
    <w:p>
      <w:pPr>
        <w:spacing w:line="600" w:lineRule="exact"/>
        <w:jc w:val="left"/>
        <w:rPr>
          <w:rFonts w:ascii="宋体"/>
          <w:b/>
          <w:sz w:val="44"/>
          <w:szCs w:val="44"/>
        </w:rPr>
      </w:pPr>
    </w:p>
    <w:p>
      <w:pPr>
        <w:pStyle w:val="32"/>
        <w:spacing w:line="560" w:lineRule="exact"/>
        <w:ind w:firstLineChars="200" w:firstLine="640"/>
        <w:rPr>
          <w:rFonts w:hAnsi="仿宋"/>
          <w:color w:val="auto"/>
          <w:sz w:val="32"/>
          <w:szCs w:val="32"/>
        </w:rPr>
      </w:pPr>
      <w:r>
        <w:rPr>
          <w:rFonts w:hAnsi="仿宋"/>
          <w:color w:val="auto"/>
          <w:sz w:val="32"/>
          <w:szCs w:val="32"/>
        </w:rPr>
        <w:t>1.</w:t>
      </w:r>
      <w:r>
        <w:rPr>
          <w:rFonts w:hAnsi="仿宋" w:hint="eastAsia"/>
          <w:color w:val="auto"/>
          <w:sz w:val="32"/>
          <w:szCs w:val="32"/>
        </w:rPr>
        <w:t>财政拨款收入：指单位从同级财政部门取得的财政预算资金。</w:t>
      </w:r>
    </w:p>
    <w:p>
      <w:pPr>
        <w:pStyle w:val="32"/>
        <w:spacing w:line="560" w:lineRule="exact"/>
        <w:ind w:firstLineChars="200" w:firstLine="640"/>
        <w:rPr>
          <w:rFonts w:hAnsi="仿宋"/>
          <w:color w:val="auto"/>
          <w:sz w:val="32"/>
          <w:szCs w:val="32"/>
        </w:rPr>
      </w:pPr>
      <w:r>
        <w:rPr>
          <w:rFonts w:hAnsi="仿宋" w:hint="eastAsia"/>
          <w:color w:val="auto"/>
          <w:sz w:val="32"/>
          <w:szCs w:val="32"/>
        </w:rPr>
        <w:t>2</w:t>
      </w:r>
      <w:r>
        <w:rPr>
          <w:rFonts w:hAnsi="仿宋"/>
          <w:color w:val="auto"/>
          <w:sz w:val="32"/>
          <w:szCs w:val="32"/>
        </w:rPr>
        <w:t>.</w:t>
      </w:r>
      <w:r>
        <w:rPr>
          <w:rFonts w:hAnsi="仿宋" w:hint="eastAsia"/>
          <w:color w:val="auto"/>
          <w:sz w:val="32"/>
          <w:szCs w:val="32"/>
        </w:rPr>
        <w:t>其他收入：指单位取得的除上述收入以外的各项收入。主要是审计局拨入经费及利息收入等。</w:t>
      </w:r>
      <w:r>
        <w:rPr>
          <w:rFonts w:hAnsi="仿宋"/>
          <w:color w:val="auto"/>
          <w:sz w:val="32"/>
          <w:szCs w:val="32"/>
        </w:rPr>
        <w:t xml:space="preserve"> </w:t>
      </w:r>
    </w:p>
    <w:p>
      <w:pPr>
        <w:pStyle w:val="32"/>
        <w:spacing w:line="560" w:lineRule="exact"/>
        <w:ind w:firstLineChars="200" w:firstLine="640"/>
        <w:rPr>
          <w:rFonts w:hAnsi="仿宋"/>
          <w:color w:val="auto"/>
          <w:sz w:val="32"/>
          <w:szCs w:val="32"/>
        </w:rPr>
      </w:pPr>
      <w:r>
        <w:rPr>
          <w:rFonts w:hAnsi="仿宋" w:hint="eastAsia"/>
          <w:color w:val="auto"/>
          <w:sz w:val="32"/>
          <w:szCs w:val="32"/>
        </w:rPr>
        <w:t>3</w:t>
      </w:r>
      <w:r>
        <w:rPr>
          <w:rFonts w:hAnsi="仿宋"/>
          <w:color w:val="auto"/>
          <w:sz w:val="32"/>
          <w:szCs w:val="32"/>
        </w:rPr>
        <w:t>.</w:t>
      </w:r>
      <w:r>
        <w:rPr>
          <w:rFonts w:hAnsi="仿宋" w:hint="eastAsia"/>
          <w:color w:val="auto"/>
          <w:sz w:val="32"/>
          <w:szCs w:val="32"/>
        </w:rPr>
        <w:t>年初结转和结余：指以前年度尚未完成、结转到本年按有关规定继续使用的资金。</w:t>
      </w:r>
      <w:r>
        <w:rPr>
          <w:rFonts w:hAnsi="仿宋"/>
          <w:color w:val="auto"/>
          <w:sz w:val="32"/>
          <w:szCs w:val="32"/>
        </w:rPr>
        <w:t xml:space="preserve"> </w:t>
      </w:r>
    </w:p>
    <w:p>
      <w:pPr>
        <w:pStyle w:val="32"/>
        <w:spacing w:line="560" w:lineRule="exact"/>
        <w:ind w:firstLineChars="200" w:firstLine="640"/>
        <w:rPr>
          <w:rFonts w:hAnsi="仿宋"/>
          <w:color w:val="auto"/>
          <w:sz w:val="32"/>
          <w:szCs w:val="32"/>
        </w:rPr>
      </w:pPr>
      <w:r>
        <w:rPr>
          <w:rFonts w:hAnsi="仿宋" w:hint="eastAsia"/>
          <w:color w:val="auto"/>
          <w:sz w:val="32"/>
          <w:szCs w:val="32"/>
        </w:rPr>
        <w:t>4.年末结转和结余：指单位按有关规定结转到下年或以后年度继续使用的资金。</w:t>
      </w:r>
    </w:p>
    <w:p>
      <w:pPr>
        <w:widowControl/>
        <w:ind w:firstLineChars="200" w:firstLine="640"/>
        <w:jc w:val="left"/>
        <w:rPr>
          <w:rFonts w:ascii="仿宋" w:eastAsia="仿宋" w:hAnsi="仿宋"/>
        </w:rPr>
      </w:pPr>
      <w:r>
        <w:rPr>
          <w:rFonts w:ascii="仿宋" w:eastAsia="仿宋" w:hAnsi="仿宋" w:hint="eastAsia"/>
          <w:sz w:val="32"/>
          <w:szCs w:val="32"/>
        </w:rPr>
        <w:t>5</w:t>
      </w:r>
      <w:r>
        <w:rPr>
          <w:rFonts w:ascii="仿宋" w:eastAsia="仿宋" w:hAnsi="仿宋"/>
          <w:sz w:val="32"/>
          <w:szCs w:val="32"/>
        </w:rPr>
        <w:t>.</w:t>
      </w:r>
      <w:r>
        <w:rPr>
          <w:rFonts w:ascii="仿宋" w:eastAsia="仿宋" w:cs="仿宋_GB2312" w:hAnsi="仿宋"/>
          <w:color w:val="000000"/>
          <w:kern w:val="0"/>
          <w:sz w:val="31"/>
          <w:szCs w:val="31"/>
        </w:rPr>
        <w:t xml:space="preserve">一般公共服务（类）审计事务（款）行政运行（项）： </w:t>
      </w:r>
    </w:p>
    <w:p>
      <w:pPr>
        <w:widowControl/>
        <w:jc w:val="left"/>
        <w:rPr>
          <w:rFonts w:ascii="仿宋" w:eastAsia="仿宋" w:cs="仿宋_GB2312" w:hAnsi="仿宋"/>
          <w:color w:val="000000"/>
          <w:kern w:val="0"/>
          <w:sz w:val="31"/>
          <w:szCs w:val="31"/>
        </w:rPr>
      </w:pPr>
      <w:r>
        <w:rPr>
          <w:rFonts w:ascii="仿宋" w:eastAsia="仿宋" w:cs="仿宋_GB2312" w:hAnsi="仿宋"/>
          <w:color w:val="000000"/>
          <w:kern w:val="0"/>
          <w:sz w:val="31"/>
          <w:szCs w:val="31"/>
        </w:rPr>
        <w:t>指行政单位的基本支出。</w:t>
      </w:r>
    </w:p>
    <w:p>
      <w:pPr>
        <w:widowControl/>
        <w:ind w:firstLineChars="200" w:firstLine="620"/>
        <w:jc w:val="left"/>
        <w:rPr>
          <w:rFonts w:ascii="仿宋" w:eastAsia="仿宋" w:hAnsi="仿宋"/>
        </w:rPr>
      </w:pPr>
      <w:r>
        <w:rPr>
          <w:rFonts w:ascii="仿宋" w:eastAsia="仿宋" w:cs="仿宋_GB2312" w:hAnsi="仿宋" w:hint="eastAsia"/>
          <w:color w:val="000000"/>
          <w:kern w:val="0"/>
          <w:sz w:val="31"/>
          <w:szCs w:val="31"/>
        </w:rPr>
        <w:t>6.</w:t>
      </w:r>
      <w:r>
        <w:rPr>
          <w:rFonts w:ascii="仿宋" w:eastAsia="仿宋" w:cs="仿宋_GB2312" w:hAnsi="仿宋"/>
          <w:color w:val="000000"/>
          <w:kern w:val="0"/>
          <w:sz w:val="31"/>
          <w:szCs w:val="31"/>
        </w:rPr>
        <w:t xml:space="preserve">一般公共服务（类）审计事务（款）一般行政管理事务 </w:t>
      </w:r>
    </w:p>
    <w:p>
      <w:pPr>
        <w:widowControl/>
        <w:jc w:val="left"/>
        <w:rPr>
          <w:rFonts w:ascii="仿宋" w:eastAsia="仿宋" w:cs="仿宋_GB2312" w:hAnsi="仿宋"/>
          <w:color w:val="000000"/>
          <w:kern w:val="0"/>
          <w:sz w:val="31"/>
          <w:szCs w:val="31"/>
        </w:rPr>
      </w:pPr>
      <w:r>
        <w:rPr>
          <w:rFonts w:ascii="仿宋" w:eastAsia="仿宋" w:cs="仿宋_GB2312" w:hAnsi="仿宋"/>
          <w:color w:val="000000"/>
          <w:kern w:val="0"/>
          <w:sz w:val="31"/>
          <w:szCs w:val="31"/>
        </w:rPr>
        <w:t>（项）：指行政单位</w:t>
      </w:r>
      <w:r>
        <w:rPr>
          <w:rFonts w:ascii="仿宋" w:eastAsia="仿宋" w:cs="仿宋_GB2312" w:hAnsi="仿宋" w:hint="eastAsia"/>
          <w:color w:val="000000"/>
          <w:kern w:val="0"/>
          <w:sz w:val="31"/>
          <w:szCs w:val="31"/>
        </w:rPr>
        <w:t>未</w:t>
      </w:r>
      <w:r>
        <w:rPr>
          <w:rFonts w:ascii="仿宋" w:eastAsia="仿宋" w:cs="仿宋_GB2312" w:hAnsi="仿宋"/>
          <w:color w:val="000000"/>
          <w:kern w:val="0"/>
          <w:sz w:val="31"/>
          <w:szCs w:val="31"/>
        </w:rPr>
        <w:t>单独设置项级科目的其他项目支出</w:t>
      </w:r>
      <w:r>
        <w:rPr>
          <w:rFonts w:ascii="仿宋" w:eastAsia="仿宋" w:cs="仿宋_GB2312" w:hAnsi="仿宋" w:hint="eastAsia"/>
          <w:color w:val="000000"/>
          <w:kern w:val="0"/>
          <w:sz w:val="31"/>
          <w:szCs w:val="31"/>
        </w:rPr>
        <w:t>。</w:t>
      </w:r>
    </w:p>
    <w:p>
      <w:pPr>
        <w:widowControl/>
        <w:ind w:firstLineChars="200" w:firstLine="620"/>
        <w:jc w:val="left"/>
        <w:rPr>
          <w:rFonts w:ascii="仿宋" w:eastAsia="仿宋" w:hAnsi="仿宋"/>
        </w:rPr>
      </w:pPr>
      <w:r>
        <w:rPr>
          <w:rFonts w:ascii="仿宋" w:eastAsia="仿宋" w:cs="仿宋_GB2312" w:hAnsi="仿宋" w:hint="eastAsia"/>
          <w:color w:val="000000"/>
          <w:kern w:val="0"/>
          <w:sz w:val="31"/>
          <w:szCs w:val="31"/>
        </w:rPr>
        <w:t>7.</w:t>
      </w:r>
      <w:r>
        <w:rPr>
          <w:rFonts w:ascii="仿宋" w:eastAsia="仿宋" w:cs="仿宋_GB2312" w:hAnsi="仿宋"/>
          <w:color w:val="000000"/>
          <w:kern w:val="0"/>
          <w:sz w:val="31"/>
          <w:szCs w:val="31"/>
        </w:rPr>
        <w:t>一般公共服务（类）审计事务（款）审计业务（项）：</w:t>
      </w:r>
    </w:p>
    <w:p>
      <w:pPr>
        <w:widowControl/>
        <w:jc w:val="left"/>
        <w:rPr>
          <w:rFonts w:ascii="仿宋" w:eastAsia="仿宋" w:hAnsi="仿宋"/>
        </w:rPr>
      </w:pPr>
      <w:r>
        <w:rPr>
          <w:rFonts w:ascii="仿宋" w:eastAsia="仿宋" w:cs="仿宋_GB2312" w:hAnsi="仿宋"/>
          <w:color w:val="000000"/>
          <w:kern w:val="0"/>
          <w:sz w:val="31"/>
          <w:szCs w:val="31"/>
        </w:rPr>
        <w:t>指</w:t>
      </w:r>
      <w:r>
        <w:rPr>
          <w:rFonts w:ascii="仿宋" w:eastAsia="仿宋" w:cs="仿宋_GB2312" w:hAnsi="仿宋" w:hint="eastAsia"/>
          <w:color w:val="000000"/>
          <w:kern w:val="0"/>
          <w:sz w:val="31"/>
          <w:szCs w:val="31"/>
        </w:rPr>
        <w:t>审计机构的审计、专项审计调查、聘请社会审计组织人员及技术专家等方面的支出。</w:t>
      </w:r>
    </w:p>
    <w:p>
      <w:pPr>
        <w:widowControl/>
        <w:ind w:firstLineChars="200" w:firstLine="620"/>
        <w:jc w:val="left"/>
        <w:rPr>
          <w:rFonts w:ascii="仿宋" w:eastAsia="仿宋" w:hAnsi="仿宋"/>
        </w:rPr>
      </w:pPr>
      <w:r>
        <w:rPr>
          <w:rFonts w:ascii="仿宋" w:eastAsia="仿宋" w:cs="仿宋_GB2312" w:hAnsi="仿宋" w:hint="eastAsia"/>
          <w:color w:val="000000"/>
          <w:kern w:val="0"/>
          <w:sz w:val="31"/>
          <w:szCs w:val="31"/>
        </w:rPr>
        <w:t>8.</w:t>
      </w:r>
      <w:r>
        <w:rPr>
          <w:rFonts w:ascii="仿宋" w:eastAsia="仿宋" w:cs="仿宋_GB2312" w:hAnsi="仿宋"/>
          <w:color w:val="000000"/>
          <w:kern w:val="0"/>
          <w:sz w:val="31"/>
          <w:szCs w:val="31"/>
        </w:rPr>
        <w:t>一般公共服务（类）审计事务（款）审计</w:t>
      </w:r>
      <w:r>
        <w:rPr>
          <w:rFonts w:ascii="仿宋" w:eastAsia="仿宋" w:cs="仿宋_GB2312" w:hAnsi="仿宋" w:hint="eastAsia"/>
          <w:color w:val="000000"/>
          <w:kern w:val="0"/>
          <w:sz w:val="31"/>
          <w:szCs w:val="31"/>
        </w:rPr>
        <w:t>管理</w:t>
      </w:r>
      <w:r>
        <w:rPr>
          <w:rFonts w:ascii="仿宋" w:eastAsia="仿宋" w:cs="仿宋_GB2312" w:hAnsi="仿宋"/>
          <w:color w:val="000000"/>
          <w:kern w:val="0"/>
          <w:sz w:val="31"/>
          <w:szCs w:val="31"/>
        </w:rPr>
        <w:t>（项）： 指</w:t>
      </w:r>
      <w:r>
        <w:rPr>
          <w:rFonts w:ascii="仿宋" w:eastAsia="仿宋" w:cs="仿宋_GB2312" w:hAnsi="仿宋" w:hint="eastAsia"/>
          <w:color w:val="000000"/>
          <w:kern w:val="0"/>
          <w:sz w:val="31"/>
          <w:szCs w:val="31"/>
        </w:rPr>
        <w:t>审计部门法制建设、审计质量控制、审计结果公告、宣传、教育、职称考试等方面的支出</w:t>
      </w:r>
      <w:r>
        <w:rPr>
          <w:rFonts w:ascii="仿宋" w:eastAsia="仿宋" w:cs="仿宋_GB2312" w:hAnsi="仿宋"/>
          <w:color w:val="000000"/>
          <w:kern w:val="0"/>
          <w:sz w:val="31"/>
          <w:szCs w:val="31"/>
        </w:rPr>
        <w:t>。</w:t>
      </w:r>
    </w:p>
    <w:p>
      <w:pPr>
        <w:numPr>
          <w:ilvl w:val="0"/>
          <w:numId w:val="4"/>
        </w:numPr>
        <w:ind w:left="0" w:firstLineChars="200" w:firstLine="620"/>
        <w:rPr>
          <w:rFonts w:ascii="仿宋" w:eastAsia="仿宋" w:hAnsi="仿宋"/>
          <w:sz w:val="32"/>
          <w:szCs w:val="32"/>
        </w:rPr>
      </w:pPr>
      <w:r>
        <w:rPr>
          <w:rFonts w:ascii="仿宋" w:eastAsia="仿宋" w:cs="仿宋_GB2312" w:hAnsi="仿宋"/>
          <w:color w:val="000000"/>
          <w:kern w:val="0"/>
          <w:sz w:val="31"/>
          <w:szCs w:val="31"/>
        </w:rPr>
        <w:t>一般公共服务（类）审计事务（款）</w:t>
      </w:r>
      <w:r>
        <w:rPr>
          <w:rFonts w:ascii="仿宋" w:eastAsia="仿宋" w:cs="仿宋_GB2312" w:hAnsi="仿宋" w:hint="eastAsia"/>
          <w:color w:val="000000"/>
          <w:kern w:val="0"/>
          <w:sz w:val="31"/>
          <w:szCs w:val="31"/>
        </w:rPr>
        <w:t>事业运行</w:t>
      </w:r>
      <w:r>
        <w:rPr>
          <w:rFonts w:ascii="仿宋" w:eastAsia="仿宋" w:cs="仿宋_GB2312" w:hAnsi="仿宋"/>
          <w:color w:val="000000"/>
          <w:kern w:val="0"/>
          <w:sz w:val="31"/>
          <w:szCs w:val="31"/>
        </w:rPr>
        <w:t>（项）</w:t>
      </w:r>
      <w:r>
        <w:rPr>
          <w:rFonts w:ascii="仿宋" w:eastAsia="仿宋" w:cs="仿宋_GB2312" w:hAnsi="仿宋" w:hint="eastAsia"/>
          <w:color w:val="000000"/>
          <w:kern w:val="0"/>
          <w:sz w:val="31"/>
          <w:szCs w:val="31"/>
        </w:rPr>
        <w:t>：指事业单位的基本支出。</w:t>
      </w:r>
    </w:p>
    <w:p>
      <w:pPr>
        <w:widowControl/>
        <w:ind w:firstLineChars="200" w:firstLine="620"/>
        <w:jc w:val="left"/>
        <w:rPr>
          <w:rFonts w:ascii="仿宋" w:eastAsia="仿宋" w:hAnsi="仿宋"/>
        </w:rPr>
      </w:pPr>
      <w:r>
        <w:rPr>
          <w:rFonts w:ascii="仿宋" w:eastAsia="仿宋" w:cs="仿宋_GB2312" w:hAnsi="仿宋" w:hint="eastAsia"/>
          <w:color w:val="000000"/>
          <w:kern w:val="0"/>
          <w:sz w:val="31"/>
          <w:szCs w:val="31"/>
        </w:rPr>
        <w:t>10.</w:t>
      </w:r>
      <w:r>
        <w:rPr>
          <w:rFonts w:ascii="仿宋" w:eastAsia="仿宋" w:cs="仿宋_GB2312" w:hAnsi="仿宋"/>
          <w:color w:val="000000"/>
          <w:kern w:val="0"/>
          <w:sz w:val="31"/>
          <w:szCs w:val="31"/>
        </w:rPr>
        <w:t>社会保障和就业（类）行政事业单位离退休（款）机关事业单位基本养老保险缴费支出（项）：指机关事业单位实施养老保险制度由单位缴纳的基本养老保险费支出。</w:t>
      </w:r>
    </w:p>
    <w:p>
      <w:pPr>
        <w:ind w:firstLineChars="200" w:firstLine="620"/>
        <w:rPr>
          <w:rFonts w:ascii="仿宋" w:eastAsia="仿宋" w:hAnsi="仿宋"/>
          <w:sz w:val="32"/>
          <w:szCs w:val="32"/>
        </w:rPr>
      </w:pPr>
      <w:r>
        <w:rPr>
          <w:rFonts w:ascii="仿宋" w:eastAsia="仿宋" w:cs="仿宋_GB2312" w:hAnsi="仿宋" w:hint="eastAsia"/>
          <w:color w:val="000000"/>
          <w:kern w:val="0"/>
          <w:sz w:val="31"/>
          <w:szCs w:val="31"/>
        </w:rPr>
        <w:t>11.</w:t>
      </w:r>
      <w:r>
        <w:rPr>
          <w:rFonts w:ascii="仿宋" w:eastAsia="仿宋" w:cs="仿宋_GB2312" w:hAnsi="仿宋"/>
          <w:color w:val="000000"/>
          <w:kern w:val="0"/>
          <w:sz w:val="31"/>
          <w:szCs w:val="31"/>
        </w:rPr>
        <w:t>社会保障和就业（类）行政事业单位离退休（款）</w:t>
      </w:r>
      <w:r>
        <w:rPr>
          <w:rFonts w:ascii="仿宋" w:eastAsia="仿宋" w:cs="仿宋_GB2312" w:hAnsi="仿宋" w:hint="eastAsia"/>
          <w:color w:val="000000"/>
          <w:kern w:val="0"/>
          <w:sz w:val="31"/>
          <w:szCs w:val="31"/>
        </w:rPr>
        <w:t>机关事业单位职业年金缴费</w:t>
      </w:r>
      <w:r>
        <w:rPr>
          <w:rFonts w:ascii="仿宋" w:eastAsia="仿宋" w:cs="仿宋_GB2312" w:hAnsi="仿宋"/>
          <w:color w:val="000000"/>
          <w:kern w:val="0"/>
          <w:sz w:val="31"/>
          <w:szCs w:val="31"/>
        </w:rPr>
        <w:t>（项）</w:t>
      </w:r>
      <w:r>
        <w:rPr>
          <w:rFonts w:ascii="仿宋" w:eastAsia="仿宋" w:cs="仿宋_GB2312" w:hAnsi="仿宋" w:hint="eastAsia"/>
          <w:color w:val="000000"/>
          <w:kern w:val="0"/>
          <w:sz w:val="31"/>
          <w:szCs w:val="31"/>
        </w:rPr>
        <w:t>：指机关事业单位实施养老保险制度由单位实际缴纳的职业年金支出</w:t>
      </w:r>
      <w:r>
        <w:rPr>
          <w:rFonts w:ascii="仿宋" w:eastAsia="仿宋" w:hAnsi="仿宋" w:hint="eastAsia"/>
          <w:sz w:val="32"/>
          <w:szCs w:val="32"/>
        </w:rPr>
        <w:t>。</w:t>
      </w:r>
    </w:p>
    <w:p>
      <w:pPr>
        <w:pStyle w:val="16"/>
        <w:ind w:firstLineChars="200" w:firstLine="640"/>
        <w:rPr>
          <w:rFonts w:ascii="仿宋" w:eastAsia="仿宋" w:hAnsi="仿宋"/>
        </w:rPr>
      </w:pPr>
      <w:r>
        <w:rPr>
          <w:rFonts w:ascii="仿宋" w:eastAsia="仿宋" w:hAnsi="仿宋" w:hint="eastAsia"/>
          <w:sz w:val="32"/>
          <w:szCs w:val="32"/>
        </w:rPr>
        <w:t>12.</w:t>
      </w:r>
      <w:r>
        <w:rPr>
          <w:rFonts w:ascii="仿宋" w:eastAsia="仿宋" w:cs="仿宋_GB2312" w:hAnsi="仿宋"/>
          <w:color w:val="000000"/>
          <w:kern w:val="0"/>
          <w:sz w:val="31"/>
          <w:szCs w:val="31"/>
        </w:rPr>
        <w:t>社会保障和就业（类）</w:t>
      </w:r>
      <w:r>
        <w:rPr>
          <w:rFonts w:ascii="仿宋" w:eastAsia="仿宋" w:cs="仿宋_GB2312" w:hAnsi="仿宋" w:hint="eastAsia"/>
          <w:color w:val="000000"/>
          <w:kern w:val="0"/>
          <w:sz w:val="31"/>
          <w:szCs w:val="31"/>
        </w:rPr>
        <w:t>其他社会保障和就业支出</w:t>
      </w:r>
      <w:r>
        <w:rPr>
          <w:rFonts w:ascii="仿宋" w:eastAsia="仿宋" w:cs="仿宋_GB2312" w:hAnsi="仿宋"/>
          <w:color w:val="000000"/>
          <w:kern w:val="0"/>
          <w:sz w:val="31"/>
          <w:szCs w:val="31"/>
        </w:rPr>
        <w:t>（款）</w:t>
      </w:r>
      <w:r>
        <w:rPr>
          <w:rFonts w:ascii="仿宋" w:eastAsia="仿宋" w:cs="仿宋_GB2312" w:hAnsi="仿宋" w:hint="eastAsia"/>
          <w:color w:val="000000"/>
          <w:kern w:val="0"/>
          <w:sz w:val="31"/>
          <w:szCs w:val="31"/>
        </w:rPr>
        <w:t>其他社会保障和就业支出</w:t>
      </w:r>
      <w:r>
        <w:rPr>
          <w:rFonts w:ascii="仿宋" w:eastAsia="仿宋" w:cs="仿宋_GB2312" w:hAnsi="仿宋"/>
          <w:color w:val="000000"/>
          <w:kern w:val="0"/>
          <w:sz w:val="31"/>
          <w:szCs w:val="31"/>
        </w:rPr>
        <w:t>（项）</w:t>
      </w:r>
      <w:r>
        <w:rPr>
          <w:rFonts w:ascii="仿宋" w:eastAsia="仿宋" w:cs="仿宋_GB2312" w:hAnsi="仿宋" w:hint="eastAsia"/>
          <w:color w:val="000000"/>
          <w:kern w:val="0"/>
          <w:sz w:val="31"/>
          <w:szCs w:val="31"/>
        </w:rPr>
        <w:t>:指除上述项目以外其他用于社会保障和就业方面的支出。</w:t>
      </w:r>
    </w:p>
    <w:p>
      <w:pPr>
        <w:widowControl/>
        <w:ind w:firstLineChars="200" w:firstLine="640"/>
        <w:jc w:val="left"/>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3</w:t>
      </w:r>
      <w:r>
        <w:rPr>
          <w:rFonts w:ascii="仿宋" w:eastAsia="仿宋" w:hAnsi="仿宋"/>
          <w:sz w:val="32"/>
          <w:szCs w:val="32"/>
        </w:rPr>
        <w:t>.</w:t>
      </w:r>
      <w:r>
        <w:rPr>
          <w:rFonts w:ascii="仿宋" w:eastAsia="仿宋" w:cs="仿宋_GB2312" w:hAnsi="仿宋" w:hint="eastAsia"/>
          <w:color w:val="000000"/>
          <w:kern w:val="0"/>
          <w:sz w:val="31"/>
          <w:szCs w:val="31"/>
        </w:rPr>
        <w:t>卫生健康支出</w:t>
      </w:r>
      <w:r>
        <w:rPr>
          <w:rFonts w:ascii="仿宋" w:eastAsia="仿宋" w:cs="仿宋_GB2312" w:hAnsi="仿宋"/>
          <w:color w:val="000000"/>
          <w:kern w:val="0"/>
          <w:sz w:val="31"/>
          <w:szCs w:val="31"/>
        </w:rPr>
        <w:t>（类）行政事业单位医疗（款）行政单位医疗（项）：</w:t>
      </w:r>
      <w:r>
        <w:rPr>
          <w:rFonts w:ascii="仿宋" w:eastAsia="仿宋" w:cs="仿宋_GB2312" w:hAnsi="仿宋" w:hint="eastAsia"/>
          <w:color w:val="000000"/>
          <w:kern w:val="0"/>
          <w:sz w:val="31"/>
          <w:szCs w:val="31"/>
        </w:rPr>
        <w:t>指财政部门安排的行政单位基本医疗保险缴费经费</w:t>
      </w:r>
      <w:r>
        <w:rPr>
          <w:rFonts w:ascii="仿宋" w:eastAsia="仿宋" w:cs="仿宋_GB2312" w:hAnsi="仿宋"/>
          <w:color w:val="000000"/>
          <w:kern w:val="0"/>
          <w:sz w:val="31"/>
          <w:szCs w:val="31"/>
        </w:rPr>
        <w:t>。</w:t>
      </w:r>
    </w:p>
    <w:p>
      <w:pPr>
        <w:widowControl/>
        <w:ind w:firstLineChars="200" w:firstLine="620"/>
        <w:jc w:val="left"/>
        <w:rPr>
          <w:rFonts w:ascii="仿宋" w:eastAsia="仿宋" w:hAnsi="仿宋"/>
          <w:sz w:val="32"/>
          <w:szCs w:val="32"/>
        </w:rPr>
      </w:pPr>
      <w:r>
        <w:rPr>
          <w:rFonts w:ascii="仿宋" w:eastAsia="仿宋" w:cs="仿宋_GB2312" w:hAnsi="仿宋" w:hint="eastAsia"/>
          <w:color w:val="000000"/>
          <w:kern w:val="0"/>
          <w:sz w:val="31"/>
          <w:szCs w:val="31"/>
        </w:rPr>
        <w:t>14.</w:t>
      </w:r>
      <w:r>
        <w:rPr>
          <w:rFonts w:ascii="仿宋" w:eastAsia="仿宋" w:cs="仿宋_GB2312" w:hAnsi="仿宋"/>
          <w:color w:val="000000"/>
          <w:kern w:val="0"/>
          <w:sz w:val="31"/>
          <w:szCs w:val="31"/>
        </w:rPr>
        <w:t>住房保障（类）住房改革支出（款）住房公积金（项）:</w:t>
      </w:r>
      <w:r>
        <w:rPr>
          <w:rFonts w:ascii="仿宋" w:eastAsia="仿宋" w:cs="仿宋_GB2312" w:hAnsi="仿宋" w:hint="eastAsia"/>
          <w:color w:val="000000"/>
          <w:kern w:val="0"/>
          <w:sz w:val="31"/>
          <w:szCs w:val="31"/>
        </w:rPr>
        <w:t>指行政事业单位按人力资源和社会保障部、财政部规定的基本工资和津贴补贴以及规定比例为职工缴纳的住房公积金</w:t>
      </w:r>
      <w:r>
        <w:rPr>
          <w:rFonts w:ascii="仿宋" w:eastAsia="仿宋" w:cs="仿宋_GB2312" w:hAnsi="仿宋"/>
          <w:color w:val="000000"/>
          <w:kern w:val="0"/>
          <w:sz w:val="31"/>
          <w:szCs w:val="31"/>
        </w:rPr>
        <w:t>。</w:t>
      </w:r>
    </w:p>
    <w:p>
      <w:pPr>
        <w:ind w:firstLineChars="200" w:firstLine="640"/>
        <w:rPr>
          <w:rFonts w:ascii="仿宋" w:eastAsia="仿宋" w:hAnsi="仿宋"/>
          <w:sz w:val="32"/>
          <w:szCs w:val="32"/>
        </w:rPr>
      </w:pPr>
      <w:r>
        <w:rPr>
          <w:rFonts w:ascii="仿宋" w:eastAsia="仿宋" w:hAnsi="仿宋" w:hint="eastAsia"/>
          <w:sz w:val="32"/>
          <w:szCs w:val="32"/>
        </w:rPr>
        <w:t>15</w:t>
      </w:r>
      <w:r>
        <w:rPr>
          <w:rFonts w:ascii="仿宋" w:eastAsia="仿宋" w:hAnsi="仿宋"/>
          <w:sz w:val="32"/>
          <w:szCs w:val="32"/>
        </w:rPr>
        <w:t>.</w:t>
      </w:r>
      <w:r>
        <w:rPr>
          <w:rFonts w:ascii="仿宋" w:eastAsia="仿宋" w:hAnsi="仿宋" w:hint="eastAsia"/>
          <w:sz w:val="32"/>
          <w:szCs w:val="32"/>
        </w:rPr>
        <w:t>基本支出：指为保障机构正常运转、完成日常工作任务而发生的人员支出和公用支出。</w:t>
      </w:r>
    </w:p>
    <w:p>
      <w:pPr>
        <w:ind w:firstLineChars="200" w:firstLine="640"/>
        <w:rPr>
          <w:rFonts w:ascii="仿宋" w:eastAsia="仿宋" w:hAnsi="仿宋"/>
          <w:sz w:val="32"/>
          <w:szCs w:val="32"/>
        </w:rPr>
      </w:pPr>
      <w:r>
        <w:rPr>
          <w:rFonts w:ascii="仿宋" w:eastAsia="仿宋" w:hAnsi="仿宋" w:hint="eastAsia"/>
          <w:sz w:val="32"/>
          <w:szCs w:val="32"/>
        </w:rPr>
        <w:t>16</w:t>
      </w:r>
      <w:r>
        <w:rPr>
          <w:rFonts w:ascii="仿宋" w:eastAsia="仿宋" w:hAnsi="仿宋"/>
          <w:sz w:val="32"/>
          <w:szCs w:val="32"/>
        </w:rPr>
        <w:t>.</w:t>
      </w:r>
      <w:r>
        <w:rPr>
          <w:rFonts w:ascii="仿宋" w:eastAsia="仿宋" w:hAnsi="仿宋" w:hint="eastAsia"/>
          <w:sz w:val="32"/>
          <w:szCs w:val="32"/>
        </w:rPr>
        <w:t>项目支出：指在基本支出之外为完成特定行政任务和事业发展目标所发生的支出。</w:t>
      </w:r>
    </w:p>
    <w:p>
      <w:pPr>
        <w:pStyle w:val="32"/>
        <w:spacing w:line="560" w:lineRule="exact"/>
        <w:ind w:firstLineChars="200" w:firstLine="640"/>
        <w:rPr>
          <w:rFonts w:hAnsi="仿宋"/>
          <w:color w:val="auto"/>
          <w:sz w:val="32"/>
          <w:szCs w:val="32"/>
        </w:rPr>
      </w:pPr>
      <w:r>
        <w:rPr>
          <w:rFonts w:hAnsi="仿宋" w:hint="eastAsia"/>
          <w:color w:val="auto"/>
          <w:sz w:val="32"/>
          <w:szCs w:val="32"/>
        </w:rPr>
        <w:t>17</w:t>
      </w:r>
      <w:r>
        <w:rPr>
          <w:rFonts w:hAnsi="仿宋"/>
          <w:color w:val="auto"/>
          <w:sz w:val="32"/>
          <w:szCs w:val="32"/>
        </w:rPr>
        <w:t>.</w:t>
      </w:r>
      <w:r>
        <w:rPr>
          <w:rFonts w:hAnsi="仿宋" w:hint="eastAsia"/>
          <w:color w:val="auto"/>
          <w:sz w:val="32"/>
          <w:szCs w:val="32"/>
        </w:rPr>
        <w:t>“三公”经费：指部门用财政拨款安排的公务接待费。公务接待费指单位按规定开支的各类公务接待支出。</w:t>
      </w:r>
    </w:p>
    <w:p>
      <w:pPr>
        <w:pStyle w:val="32"/>
        <w:spacing w:line="560" w:lineRule="exact"/>
        <w:ind w:firstLineChars="200" w:firstLine="640"/>
        <w:rPr>
          <w:rFonts w:hAnsi="仿宋"/>
          <w:color w:val="auto"/>
          <w:sz w:val="32"/>
          <w:szCs w:val="32"/>
        </w:rPr>
      </w:pPr>
      <w:r>
        <w:rPr>
          <w:rFonts w:hAnsi="仿宋" w:hint="eastAsia"/>
          <w:color w:val="auto"/>
          <w:sz w:val="32"/>
          <w:szCs w:val="32"/>
        </w:rPr>
        <w:t>18</w:t>
      </w:r>
      <w:r>
        <w:rPr>
          <w:rFonts w:hAnsi="仿宋"/>
          <w:color w:val="auto"/>
          <w:sz w:val="32"/>
          <w:szCs w:val="32"/>
        </w:rPr>
        <w:t>.</w:t>
      </w:r>
      <w:r>
        <w:rPr>
          <w:rFonts w:hAnsi="仿宋" w:hint="eastAsia"/>
          <w:color w:val="auto"/>
          <w:sz w:val="32"/>
          <w:szCs w:val="32"/>
        </w:rPr>
        <w:t>机关运行经费：为保障行政单位，运行用于购买货物和服务的各项资金，包括办公及印刷费、邮电费、差旅费、会议费、福利费、日常维修费、办公用房水电费及其他费用。</w:t>
      </w:r>
    </w:p>
    <w:p>
      <w:pPr>
        <w:ind w:firstLineChars="200" w:firstLine="640"/>
        <w:rPr>
          <w:rFonts w:ascii="仿宋" w:eastAsia="仿宋" w:hAnsi="仿宋"/>
          <w:b/>
          <w:sz w:val="32"/>
          <w:szCs w:val="32"/>
        </w:rPr>
      </w:pPr>
      <w:r>
        <w:rPr>
          <w:rFonts w:ascii="仿宋" w:eastAsia="仿宋" w:hAnsi="仿宋" w:hint="eastAsia"/>
          <w:sz w:val="32"/>
          <w:szCs w:val="32"/>
        </w:rPr>
        <w:t xml:space="preserve"> </w:t>
      </w:r>
    </w:p>
    <w:p>
      <w:pPr>
        <w:spacing w:line="600" w:lineRule="exact"/>
        <w:jc w:val="center"/>
        <w:outlineLvl w:val="0"/>
        <w:rPr>
          <w:rStyle w:val="1Char"/>
          <w:rFonts w:ascii="黑体" w:eastAsia="黑体" w:hAnsi="黑体"/>
          <w:b w:val="0"/>
        </w:rPr>
      </w:pPr>
      <w:bookmarkStart w:id="54" w:name="_Toc15377226"/>
      <w:r>
        <w:rPr>
          <w:rFonts w:ascii="仿宋" w:eastAsia="仿宋" w:hAnsi="仿宋"/>
          <w:b/>
          <w:sz w:val="44"/>
          <w:szCs w:val="44"/>
        </w:rPr>
        <w:br w:type="page"/>
      </w:r>
      <w:bookmarkStart w:id="55" w:name="_Toc15396614"/>
      <w:r>
        <w:rPr>
          <w:rFonts w:ascii="黑体" w:eastAsia="黑体" w:hAnsi="黑体" w:hint="eastAsia"/>
          <w:sz w:val="44"/>
          <w:szCs w:val="44"/>
        </w:rPr>
        <w:t>第</w:t>
      </w:r>
      <w:r>
        <w:rPr>
          <w:rStyle w:val="1Char"/>
          <w:rFonts w:ascii="黑体" w:eastAsia="黑体" w:hAnsi="黑体" w:hint="eastAsia"/>
          <w:b w:val="0"/>
        </w:rPr>
        <w:t>四部分 附件</w:t>
      </w:r>
      <w:bookmarkEnd w:id="55"/>
    </w:p>
    <w:p>
      <w:pPr>
        <w:spacing w:line="572" w:lineRule="exact"/>
        <w:jc w:val="left"/>
        <w:outlineLvl w:val="0"/>
        <w:rPr>
          <w:rFonts w:ascii="方正小标宋简体" w:eastAsia="方正小标宋简体" w:cs="方正小标宋简体" w:hAnsi="方正小标宋简体"/>
          <w:sz w:val="44"/>
          <w:szCs w:val="44"/>
        </w:rPr>
      </w:pPr>
      <w:r>
        <w:rPr>
          <w:rFonts w:ascii="黑体" w:eastAsia="黑体" w:cs="黑体" w:hAnsi="黑体" w:hint="eastAsia"/>
          <w:sz w:val="32"/>
          <w:szCs w:val="32"/>
        </w:rPr>
        <w:t>附件</w:t>
      </w:r>
    </w:p>
    <w:p>
      <w:pPr>
        <w:widowControl/>
        <w:spacing w:line="560" w:lineRule="exact"/>
        <w:contextualSpacing/>
        <w:jc w:val="center"/>
        <w:rPr>
          <w:rFonts w:ascii="宋体" w:hAnsi="宋体"/>
          <w:b/>
          <w:sz w:val="32"/>
          <w:szCs w:val="32"/>
          <w:shd w:val="clear" w:color="auto" w:fill="FFFFFF"/>
        </w:rPr>
      </w:pPr>
      <w:r>
        <w:rPr>
          <w:rFonts w:ascii="宋体" w:hAnsi="宋体" w:hint="eastAsia"/>
          <w:b/>
          <w:sz w:val="32"/>
          <w:szCs w:val="32"/>
          <w:shd w:val="clear" w:color="auto" w:fill="FFFFFF"/>
        </w:rPr>
        <w:t>2022年部门整体绩效评价报告</w:t>
      </w:r>
    </w:p>
    <w:p>
      <w:pPr>
        <w:widowControl/>
        <w:numPr>
          <w:ilvl w:val="0"/>
          <w:numId w:val="5"/>
        </w:numPr>
        <w:adjustRightInd w:val="0"/>
        <w:snapToGrid w:val="0"/>
        <w:spacing w:line="560" w:lineRule="exact"/>
        <w:ind w:left="0" w:firstLineChars="200" w:firstLine="640"/>
        <w:contextualSpacing/>
        <w:jc w:val="left"/>
        <w:rPr>
          <w:rFonts w:ascii="黑体" w:eastAsia="黑体" w:cs="宋体" w:hAnsi="宋体"/>
          <w:kern w:val="0"/>
          <w:sz w:val="32"/>
          <w:szCs w:val="32"/>
          <w:shd w:val="clear" w:color="auto" w:fill="FFFFFF"/>
          <w:lang w:val="zh-CN"/>
        </w:rPr>
      </w:pPr>
      <w:r>
        <w:rPr>
          <w:rFonts w:ascii="黑体" w:eastAsia="黑体" w:cs="宋体" w:hAnsi="宋体" w:hint="eastAsia"/>
          <w:kern w:val="0"/>
          <w:sz w:val="32"/>
          <w:szCs w:val="32"/>
          <w:shd w:val="clear" w:color="auto" w:fill="FFFFFF"/>
          <w:lang w:val="zh-CN"/>
        </w:rPr>
        <w:t>部门基本情况</w:t>
      </w:r>
    </w:p>
    <w:p>
      <w:pPr>
        <w:widowControl/>
        <w:numPr>
          <w:ilvl w:val="0"/>
          <w:numId w:val="6"/>
        </w:numPr>
        <w:adjustRightInd w:val="0"/>
        <w:snapToGrid w:val="0"/>
        <w:spacing w:line="560" w:lineRule="exact"/>
        <w:ind w:left="0" w:firstLineChars="200" w:firstLine="640"/>
        <w:contextualSpacing/>
        <w:jc w:val="left"/>
        <w:rPr>
          <w:rFonts w:ascii="楷体_GB2312" w:eastAsia="楷体_GB2312" w:cs="楷体_GB2312" w:hAnsi="楷体_GB2312"/>
          <w:b/>
          <w:bCs/>
          <w:kern w:val="0"/>
          <w:sz w:val="32"/>
          <w:szCs w:val="32"/>
          <w:shd w:val="clear" w:color="auto" w:fill="FFFFFF"/>
          <w:lang w:val="zh-CN"/>
        </w:rPr>
      </w:pPr>
      <w:r>
        <w:rPr>
          <w:rFonts w:ascii="楷体_GB2312" w:eastAsia="楷体_GB2312" w:cs="楷体_GB2312" w:hAnsi="楷体_GB2312" w:hint="eastAsia"/>
          <w:b/>
          <w:bCs/>
          <w:kern w:val="0"/>
          <w:sz w:val="32"/>
          <w:szCs w:val="32"/>
          <w:shd w:val="clear" w:color="auto" w:fill="FFFFFF"/>
          <w:lang w:val="zh-CN"/>
        </w:rPr>
        <w:t>机构组成。</w:t>
      </w:r>
    </w:p>
    <w:p>
      <w:pPr>
        <w:widowControl/>
        <w:adjustRightInd w:val="0"/>
        <w:snapToGrid w:val="0"/>
        <w:spacing w:line="580" w:lineRule="exact"/>
        <w:ind w:firstLineChars="200" w:firstLine="640"/>
        <w:contextualSpacing/>
        <w:jc w:val="left"/>
        <w:rPr>
          <w:rFonts w:ascii="仿宋" w:eastAsia="仿宋" w:hAnsi="仿宋"/>
        </w:rPr>
      </w:pPr>
      <w:r>
        <w:rPr>
          <w:rFonts w:ascii="仿宋" w:eastAsia="仿宋" w:cs="方正仿宋简体" w:hAnsi="仿宋" w:hint="eastAsia"/>
          <w:color w:val="000000"/>
          <w:kern w:val="0"/>
          <w:sz w:val="32"/>
          <w:szCs w:val="32"/>
        </w:rPr>
        <w:t>广元市利州区审计局内部机构设置情况：6股1室3中心：即区委审计办秘书股、办公室（计划与法规股）、财政审计股（电子数据审计股）、经济责任审计股(行政事业审计股)、农业农村审计股（自然资源与生态环境审计股）、固定资产投资审计股、企业和外资审计股、固定资产投资审计中心、审计信息中心、财政监督检查事务中心。</w:t>
      </w:r>
    </w:p>
    <w:p>
      <w:pPr>
        <w:widowControl/>
        <w:numPr>
          <w:ilvl w:val="0"/>
          <w:numId w:val="6"/>
        </w:numPr>
        <w:adjustRightInd w:val="0"/>
        <w:snapToGrid w:val="0"/>
        <w:spacing w:line="560" w:lineRule="exact"/>
        <w:ind w:left="0" w:firstLineChars="200" w:firstLine="640"/>
        <w:contextualSpacing/>
        <w:jc w:val="left"/>
        <w:rPr>
          <w:rFonts w:ascii="楷体_GB2312" w:eastAsia="楷体_GB2312" w:cs="楷体_GB2312" w:hAnsi="楷体_GB2312"/>
          <w:b/>
          <w:bCs/>
          <w:kern w:val="0"/>
          <w:sz w:val="32"/>
          <w:szCs w:val="32"/>
          <w:shd w:val="clear" w:color="auto" w:fill="FFFFFF"/>
          <w:lang w:val="zh-CN"/>
        </w:rPr>
      </w:pPr>
      <w:r>
        <w:rPr>
          <w:rFonts w:ascii="楷体_GB2312" w:eastAsia="楷体_GB2312" w:cs="楷体_GB2312" w:hAnsi="楷体_GB2312" w:hint="eastAsia"/>
          <w:b/>
          <w:bCs/>
          <w:kern w:val="0"/>
          <w:sz w:val="32"/>
          <w:szCs w:val="32"/>
          <w:shd w:val="clear" w:color="auto" w:fill="FFFFFF"/>
          <w:lang w:val="zh-CN"/>
        </w:rPr>
        <w:t>机构职能。</w:t>
      </w:r>
    </w:p>
    <w:p>
      <w:pPr>
        <w:widowControl/>
        <w:adjustRightInd w:val="0"/>
        <w:snapToGrid w:val="0"/>
        <w:spacing w:line="580" w:lineRule="exact"/>
        <w:ind w:firstLineChars="200" w:firstLine="640"/>
        <w:contextualSpacing/>
        <w:jc w:val="left"/>
        <w:rPr>
          <w:rFonts w:ascii="仿宋" w:eastAsia="仿宋" w:cs="方正仿宋简体" w:hAnsi="仿宋"/>
          <w:color w:val="000000"/>
          <w:kern w:val="0"/>
          <w:sz w:val="32"/>
          <w:szCs w:val="32"/>
        </w:rPr>
      </w:pPr>
      <w:r>
        <w:rPr>
          <w:rFonts w:ascii="仿宋" w:eastAsia="仿宋" w:cs="方正仿宋简体" w:hAnsi="仿宋" w:hint="eastAsia"/>
          <w:color w:val="000000"/>
          <w:kern w:val="0"/>
          <w:sz w:val="32"/>
          <w:szCs w:val="32"/>
        </w:rPr>
        <w:t>1.主管全区审计工作。负责对区级财政收支和法律法规规定属于审计监督范围的财务收支的真实、合法和效益进行审计监督，对公共资金、国有资产、国有资源和领导干部履行经济责任情况实行审计全覆盖，对领导干部实行自然资源资产离任(任中)审计，对国家、省、市、区有关重大政策措施贯彻落实情况进行跟踪审计。对审计、专项审计调查和核查社会审计机构相关审计报告的结果承担责任，并负有督促被审计单位整改的责任。</w:t>
      </w:r>
    </w:p>
    <w:p>
      <w:pPr>
        <w:widowControl/>
        <w:adjustRightInd w:val="0"/>
        <w:snapToGrid w:val="0"/>
        <w:spacing w:line="580" w:lineRule="exact"/>
        <w:ind w:firstLineChars="200" w:firstLine="640"/>
        <w:contextualSpacing/>
        <w:jc w:val="left"/>
        <w:rPr>
          <w:rFonts w:ascii="仿宋" w:eastAsia="仿宋" w:cs="方正仿宋简体" w:hAnsi="仿宋"/>
          <w:color w:val="000000"/>
          <w:kern w:val="0"/>
          <w:sz w:val="32"/>
          <w:szCs w:val="32"/>
        </w:rPr>
      </w:pPr>
      <w:r>
        <w:rPr>
          <w:rFonts w:ascii="仿宋" w:eastAsia="仿宋" w:cs="方正仿宋简体" w:hAnsi="仿宋" w:hint="eastAsia"/>
          <w:color w:val="000000"/>
          <w:kern w:val="0"/>
          <w:sz w:val="32"/>
          <w:szCs w:val="32"/>
        </w:rPr>
        <w:t>2.贯彻执行国家有关审计工作的方针政策和法律法规。拟订全区审计规范性文件，负责本系统、本部门依法行政工作。制定并组织实施全区专业领域审计工作规划。对直接审计、调查和核查的事项依法进行审计评价，作出审计决定或提出审计建议。</w:t>
      </w:r>
    </w:p>
    <w:p>
      <w:pPr>
        <w:widowControl/>
        <w:adjustRightInd w:val="0"/>
        <w:snapToGrid w:val="0"/>
        <w:spacing w:line="580" w:lineRule="exact"/>
        <w:ind w:firstLineChars="200" w:firstLine="640"/>
        <w:contextualSpacing/>
        <w:jc w:val="left"/>
        <w:rPr>
          <w:rFonts w:ascii="仿宋" w:eastAsia="仿宋" w:cs="方正仿宋简体" w:hAnsi="仿宋"/>
          <w:color w:val="000000"/>
          <w:kern w:val="0"/>
          <w:sz w:val="32"/>
          <w:szCs w:val="32"/>
        </w:rPr>
      </w:pPr>
      <w:r>
        <w:rPr>
          <w:rFonts w:ascii="仿宋" w:eastAsia="仿宋" w:cs="方正仿宋简体" w:hAnsi="仿宋" w:hint="eastAsia"/>
          <w:color w:val="000000"/>
          <w:kern w:val="0"/>
          <w:sz w:val="32"/>
          <w:szCs w:val="32"/>
        </w:rPr>
        <w:t>3.向区委审计委员会提出年度区级预算执行和其他财政支出情况审计报告。向区政府和市审计局提出年度区级预算执行和其他财政收支情况的审计结果报告。受区政府委托向区人大常委会提出区级预算执行和其他财政收支情况的审计工作报告、审计查出问题整改情况报告。向区委、区政府报告对其他事项的审计和专项审计调查情况及结果。依法向社会公布审计结果。向区直有关部门和乡镇党委、政府，街道党工委、办事处通报审计情况和审计结果。</w:t>
      </w:r>
    </w:p>
    <w:p>
      <w:pPr>
        <w:widowControl/>
        <w:adjustRightInd w:val="0"/>
        <w:snapToGrid w:val="0"/>
        <w:spacing w:line="580" w:lineRule="exact"/>
        <w:ind w:firstLineChars="200" w:firstLine="640"/>
        <w:contextualSpacing/>
        <w:jc w:val="left"/>
        <w:rPr>
          <w:rFonts w:ascii="仿宋" w:eastAsia="仿宋" w:cs="方正仿宋简体" w:hAnsi="仿宋"/>
          <w:color w:val="000000"/>
          <w:kern w:val="0"/>
          <w:sz w:val="32"/>
          <w:szCs w:val="32"/>
        </w:rPr>
      </w:pPr>
      <w:r>
        <w:rPr>
          <w:rFonts w:ascii="仿宋" w:eastAsia="仿宋" w:cs="方正仿宋简体" w:hAnsi="仿宋" w:hint="eastAsia"/>
          <w:color w:val="000000"/>
          <w:kern w:val="0"/>
          <w:sz w:val="32"/>
          <w:szCs w:val="32"/>
        </w:rPr>
        <w:t>4.直接审计下列事项，出具审计报告，在法定职权范围内作出审计决定，包括国家、省、市、区有关重大政策措施贯彻落实情况；区级预算执行情况和其他财政收支，区直各部门（含直属单位）预算执行情况、决算草案和其他财政收支；乡镇（街道）预算执行情况、财政决算和其他财政收支；使用区级财政资金的事业单位（含直属单位）和社会团体的财务收支；区级政府投资和以区级政府投资为主的建设项目的预算执行情况和决算，区级重大公共工程项目的资金管理使用和建设运营情况；自然资源管理、污染防治和生态保护与修复情况；区属国有企业、国有资本占控股或主导地位的企业境内外资产、负债和损益；有关社会保障基金、社会捐赠资金、安全生产和职业健康财政资金以及其他基金、资金的财务收支；法律法规规定的其他事项。</w:t>
      </w:r>
    </w:p>
    <w:p>
      <w:pPr>
        <w:widowControl/>
        <w:adjustRightInd w:val="0"/>
        <w:snapToGrid w:val="0"/>
        <w:spacing w:line="580" w:lineRule="exact"/>
        <w:ind w:firstLineChars="200" w:firstLine="640"/>
        <w:contextualSpacing/>
        <w:jc w:val="left"/>
        <w:rPr>
          <w:rFonts w:ascii="仿宋" w:eastAsia="仿宋" w:cs="方正仿宋简体" w:hAnsi="仿宋"/>
          <w:color w:val="000000"/>
          <w:kern w:val="0"/>
          <w:sz w:val="32"/>
          <w:szCs w:val="32"/>
        </w:rPr>
      </w:pPr>
      <w:r>
        <w:rPr>
          <w:rFonts w:ascii="仿宋" w:eastAsia="仿宋" w:cs="方正仿宋简体" w:hAnsi="仿宋" w:hint="eastAsia"/>
          <w:color w:val="000000"/>
          <w:kern w:val="0"/>
          <w:sz w:val="32"/>
          <w:szCs w:val="32"/>
        </w:rPr>
        <w:t>5.按规定对区管党政主要领导干部及其他单位主要负责人实施经济责任审计和自然资源资产离任(任中)审计。</w:t>
      </w:r>
    </w:p>
    <w:p>
      <w:pPr>
        <w:widowControl/>
        <w:adjustRightInd w:val="0"/>
        <w:snapToGrid w:val="0"/>
        <w:spacing w:line="580" w:lineRule="exact"/>
        <w:ind w:firstLineChars="200" w:firstLine="640"/>
        <w:contextualSpacing/>
        <w:jc w:val="left"/>
        <w:rPr>
          <w:rFonts w:ascii="仿宋" w:eastAsia="仿宋" w:cs="方正仿宋简体" w:hAnsi="仿宋"/>
          <w:color w:val="000000"/>
          <w:kern w:val="0"/>
          <w:sz w:val="32"/>
          <w:szCs w:val="32"/>
        </w:rPr>
      </w:pPr>
      <w:r>
        <w:rPr>
          <w:rFonts w:ascii="仿宋" w:eastAsia="仿宋" w:cs="方正仿宋简体" w:hAnsi="仿宋" w:hint="eastAsia"/>
          <w:color w:val="000000"/>
          <w:kern w:val="0"/>
          <w:sz w:val="32"/>
          <w:szCs w:val="32"/>
        </w:rPr>
        <w:t>6.组织实施对国家财经法律法规、规章、政策和宏观调控措施执行情况、财政预算管理及国有资产管理使用等与区级财政收支有关的特定事项进行专项审计调查。</w:t>
      </w:r>
    </w:p>
    <w:p>
      <w:pPr>
        <w:widowControl/>
        <w:adjustRightInd w:val="0"/>
        <w:snapToGrid w:val="0"/>
        <w:spacing w:line="580" w:lineRule="exact"/>
        <w:ind w:firstLineChars="200" w:firstLine="640"/>
        <w:contextualSpacing/>
        <w:jc w:val="left"/>
        <w:rPr>
          <w:rFonts w:ascii="仿宋" w:eastAsia="仿宋" w:cs="方正仿宋简体" w:hAnsi="仿宋"/>
          <w:color w:val="000000"/>
          <w:kern w:val="0"/>
          <w:sz w:val="32"/>
          <w:szCs w:val="32"/>
        </w:rPr>
      </w:pPr>
      <w:r>
        <w:rPr>
          <w:rFonts w:ascii="仿宋" w:eastAsia="仿宋" w:cs="方正仿宋简体" w:hAnsi="仿宋" w:hint="eastAsia"/>
          <w:color w:val="000000"/>
          <w:kern w:val="0"/>
          <w:sz w:val="32"/>
          <w:szCs w:val="32"/>
        </w:rPr>
        <w:t>7.依法检查审计决定执行情况，督促整改审计查出的问题，依法办理被审计单位对审计决定提请行政复议、行政诉讼或区政府裁决中的有关事项，协助配合有关部门查处相关重大案件。</w:t>
      </w:r>
    </w:p>
    <w:p>
      <w:pPr>
        <w:widowControl/>
        <w:adjustRightInd w:val="0"/>
        <w:snapToGrid w:val="0"/>
        <w:spacing w:line="580" w:lineRule="exact"/>
        <w:ind w:firstLineChars="200" w:firstLine="640"/>
        <w:contextualSpacing/>
        <w:jc w:val="left"/>
        <w:rPr>
          <w:rFonts w:ascii="仿宋" w:eastAsia="仿宋" w:cs="方正仿宋简体" w:hAnsi="仿宋"/>
          <w:color w:val="000000"/>
          <w:kern w:val="0"/>
          <w:sz w:val="32"/>
          <w:szCs w:val="32"/>
        </w:rPr>
      </w:pPr>
      <w:r>
        <w:rPr>
          <w:rFonts w:ascii="仿宋" w:eastAsia="仿宋" w:cs="方正仿宋简体" w:hAnsi="仿宋" w:hint="eastAsia"/>
          <w:color w:val="000000"/>
          <w:kern w:val="0"/>
          <w:sz w:val="32"/>
          <w:szCs w:val="32"/>
        </w:rPr>
        <w:t>8.指导和监督内部审计工作，核查社会审计机构对依法属于审计监督对象的单位出具的相关审计报告。</w:t>
      </w:r>
    </w:p>
    <w:p>
      <w:pPr>
        <w:widowControl/>
        <w:adjustRightInd w:val="0"/>
        <w:snapToGrid w:val="0"/>
        <w:spacing w:line="580" w:lineRule="exact"/>
        <w:ind w:firstLineChars="200" w:firstLine="640"/>
        <w:contextualSpacing/>
        <w:jc w:val="left"/>
        <w:rPr>
          <w:rFonts w:ascii="仿宋" w:eastAsia="仿宋" w:cs="方正仿宋简体" w:hAnsi="仿宋"/>
          <w:color w:val="000000"/>
          <w:kern w:val="0"/>
          <w:sz w:val="32"/>
          <w:szCs w:val="32"/>
        </w:rPr>
      </w:pPr>
      <w:r>
        <w:rPr>
          <w:rFonts w:ascii="仿宋" w:eastAsia="仿宋" w:cs="方正仿宋简体" w:hAnsi="仿宋" w:hint="eastAsia"/>
          <w:color w:val="000000"/>
          <w:kern w:val="0"/>
          <w:sz w:val="32"/>
          <w:szCs w:val="32"/>
        </w:rPr>
        <w:t>9.依法组织开展国际组织和外国政府援助、贷款项目审计。</w:t>
      </w:r>
    </w:p>
    <w:p>
      <w:pPr>
        <w:widowControl/>
        <w:adjustRightInd w:val="0"/>
        <w:snapToGrid w:val="0"/>
        <w:spacing w:line="580" w:lineRule="exact"/>
        <w:ind w:firstLineChars="200" w:firstLine="640"/>
        <w:contextualSpacing/>
        <w:jc w:val="left"/>
        <w:rPr>
          <w:rFonts w:ascii="仿宋" w:eastAsia="仿宋" w:cs="方正仿宋简体" w:hAnsi="仿宋"/>
          <w:color w:val="000000"/>
          <w:kern w:val="0"/>
          <w:sz w:val="32"/>
          <w:szCs w:val="32"/>
        </w:rPr>
      </w:pPr>
      <w:r>
        <w:rPr>
          <w:rFonts w:ascii="仿宋" w:eastAsia="仿宋" w:cs="方正仿宋简体" w:hAnsi="仿宋" w:hint="eastAsia"/>
          <w:color w:val="000000"/>
          <w:kern w:val="0"/>
          <w:sz w:val="32"/>
          <w:szCs w:val="32"/>
        </w:rPr>
        <w:t>10.组织开展信息技术在审计领域的应用。</w:t>
      </w:r>
    </w:p>
    <w:p>
      <w:pPr>
        <w:widowControl/>
        <w:adjustRightInd w:val="0"/>
        <w:snapToGrid w:val="0"/>
        <w:spacing w:line="580" w:lineRule="exact"/>
        <w:ind w:firstLineChars="200" w:firstLine="640"/>
        <w:contextualSpacing/>
        <w:jc w:val="left"/>
        <w:rPr>
          <w:rFonts w:ascii="仿宋" w:eastAsia="仿宋" w:cs="方正仿宋简体" w:hAnsi="仿宋"/>
          <w:color w:val="000000"/>
          <w:kern w:val="0"/>
          <w:sz w:val="32"/>
          <w:szCs w:val="32"/>
        </w:rPr>
      </w:pPr>
      <w:r>
        <w:rPr>
          <w:rFonts w:ascii="仿宋" w:eastAsia="仿宋" w:cs="方正仿宋简体" w:hAnsi="仿宋" w:hint="eastAsia"/>
          <w:color w:val="000000"/>
          <w:kern w:val="0"/>
          <w:sz w:val="32"/>
          <w:szCs w:val="32"/>
        </w:rPr>
        <w:t>11.负责职责范围内的安全生产和职业健康、生态环境保护、审批服务便民化等工作。</w:t>
      </w:r>
    </w:p>
    <w:p>
      <w:pPr>
        <w:widowControl/>
        <w:adjustRightInd w:val="0"/>
        <w:snapToGrid w:val="0"/>
        <w:spacing w:line="580" w:lineRule="exact"/>
        <w:ind w:firstLineChars="200" w:firstLine="640"/>
        <w:contextualSpacing/>
        <w:jc w:val="left"/>
        <w:rPr>
          <w:rFonts w:ascii="仿宋" w:eastAsia="仿宋" w:cs="方正仿宋简体" w:hAnsi="仿宋"/>
          <w:color w:val="000000"/>
          <w:kern w:val="0"/>
          <w:sz w:val="32"/>
          <w:szCs w:val="32"/>
        </w:rPr>
      </w:pPr>
      <w:r>
        <w:rPr>
          <w:rFonts w:ascii="仿宋" w:eastAsia="仿宋" w:cs="方正仿宋简体" w:hAnsi="仿宋" w:hint="eastAsia"/>
          <w:color w:val="000000"/>
          <w:kern w:val="0"/>
          <w:sz w:val="32"/>
          <w:szCs w:val="32"/>
        </w:rPr>
        <w:t>12.完成区委、区政府交办的其他任务。</w:t>
      </w:r>
    </w:p>
    <w:p>
      <w:pPr>
        <w:spacing w:line="576" w:lineRule="exact"/>
        <w:ind w:firstLineChars="200" w:firstLine="640"/>
        <w:outlineLvl w:val="1"/>
        <w:rPr>
          <w:rFonts w:ascii="仿宋" w:eastAsia="仿宋" w:hAnsi="仿宋"/>
        </w:rPr>
      </w:pPr>
      <w:r>
        <w:rPr>
          <w:rFonts w:ascii="仿宋" w:eastAsia="仿宋" w:cs="方正仿宋简体" w:hAnsi="仿宋" w:hint="eastAsia"/>
          <w:bCs/>
          <w:color w:val="000000"/>
          <w:kern w:val="0"/>
          <w:sz w:val="32"/>
          <w:szCs w:val="32"/>
        </w:rPr>
        <w:t>13.职能转变。进一步完善审计管理体制，加强全区审计工作统筹，明晰审计机关职能定位，理顺内部职责关系，优化审计资源配置，充实加强一线审计力量，构建集中统一、全面覆盖、权威高效的审计监督体系。优化审计工作机制，坚持科技强审，完善业务流程，改进工作方式，加强与有关部门的沟通协调，充分调动内部审计和社会审计力量，增强监督合力。</w:t>
      </w:r>
    </w:p>
    <w:p>
      <w:pPr>
        <w:widowControl/>
        <w:adjustRightInd w:val="0"/>
        <w:snapToGrid w:val="0"/>
        <w:spacing w:line="580" w:lineRule="exact"/>
        <w:ind w:firstLineChars="200" w:firstLine="640"/>
        <w:contextualSpacing/>
        <w:jc w:val="left"/>
        <w:rPr>
          <w:rFonts w:ascii="仿宋" w:eastAsia="仿宋" w:cs="方正仿宋简体" w:hAnsi="仿宋"/>
          <w:color w:val="000000"/>
          <w:kern w:val="0"/>
          <w:sz w:val="32"/>
          <w:szCs w:val="32"/>
          <w:lang w:val="zh-CN"/>
        </w:rPr>
      </w:pPr>
    </w:p>
    <w:p>
      <w:pPr>
        <w:pStyle w:val="16"/>
        <w:ind w:firstLineChars="200" w:firstLine="640"/>
        <w:rPr>
          <w:rFonts w:ascii="仿宋" w:eastAsia="仿宋" w:hAnsi="仿宋"/>
          <w:lang w:val="zh-CN"/>
        </w:rPr>
      </w:pPr>
      <w:r>
        <w:rPr>
          <w:rFonts w:ascii="仿宋" w:eastAsia="仿宋" w:cs="方正仿宋简体" w:hAnsi="仿宋" w:hint="eastAsia"/>
          <w:sz w:val="32"/>
          <w:szCs w:val="32"/>
        </w:rPr>
        <w:t>广元市利州区审计局2022年末实有人数35人，其中：公务员13人、参公2人、机关工勤2人、全额事业人员18人。</w:t>
      </w:r>
    </w:p>
    <w:p>
      <w:pPr>
        <w:widowControl/>
        <w:numPr>
          <w:ilvl w:val="0"/>
          <w:numId w:val="6"/>
        </w:numPr>
        <w:adjustRightInd w:val="0"/>
        <w:snapToGrid w:val="0"/>
        <w:spacing w:line="560" w:lineRule="exact"/>
        <w:ind w:left="0" w:firstLineChars="200" w:firstLine="640"/>
        <w:contextualSpacing/>
        <w:jc w:val="left"/>
        <w:rPr>
          <w:rFonts w:ascii="楷体_GB2312" w:eastAsia="楷体_GB2312" w:cs="楷体_GB2312" w:hAnsi="楷体_GB2312"/>
          <w:b/>
          <w:bCs/>
          <w:kern w:val="0"/>
          <w:sz w:val="32"/>
          <w:szCs w:val="32"/>
          <w:shd w:val="clear" w:color="auto" w:fill="FFFFFF"/>
          <w:lang w:val="zh-CN"/>
        </w:rPr>
      </w:pPr>
      <w:r>
        <w:rPr>
          <w:rFonts w:ascii="楷体_GB2312" w:eastAsia="楷体_GB2312" w:cs="楷体_GB2312" w:hAnsi="楷体_GB2312" w:hint="eastAsia"/>
          <w:b/>
          <w:bCs/>
          <w:kern w:val="0"/>
          <w:sz w:val="32"/>
          <w:szCs w:val="32"/>
          <w:shd w:val="clear" w:color="auto" w:fill="FFFFFF"/>
          <w:lang w:val="zh-CN"/>
        </w:rPr>
        <w:t>年度主要工作任务。</w:t>
      </w:r>
    </w:p>
    <w:p>
      <w:pPr>
        <w:pStyle w:val="15"/>
        <w:spacing w:beforeLines="0" w:before="93"/>
        <w:ind w:firstLineChars="200" w:firstLine="640"/>
        <w:rPr>
          <w:lang w:val="zh-CN"/>
        </w:rPr>
      </w:pPr>
      <w:r>
        <w:rPr>
          <w:rFonts w:ascii="仿宋" w:eastAsia="仿宋" w:cs="仿宋" w:hAnsi="仿宋" w:hint="eastAsia"/>
          <w:color w:val="000000"/>
          <w:sz w:val="32"/>
          <w:szCs w:val="32"/>
        </w:rPr>
        <w:t>2022年区审计局在区委、区政府和市审计局的坚强领导下，坚定以习近平新时代中国特色社会主义思想为指导，深刻领会习近平总书记关于审计工作的重要指示批示精神和李克强总理讲话坚持稳中求进工作总基调，完整、准确、全面把握进入新发展阶段、贯彻新发展理念，推动高质量发展对审计工作提出的新任务新要求，立足“审计监督首先是经济监督”定位，聚焦财政财务收支真实合法效益审计主责主业，做好常态化“经济体检”工作，推动统筹疫情防控和经济社会发展更好发挥审计在党和国家监督体系中的重要作用。区委书记、区委审计委员会主任专题听取审计工作情况报告3次，区人民政府区长就审计工作开展情况批示4次。推动召开第五次审计委员会会议，听取了2021年度全区审计工作情况汇报，审定了《区委审计委员会工作规则》，部署了2022年“11+38”审计工作任务。全面推动审计查出问题整改落实。建立问题整改台账，督促被审计单位全面履行审计发现问题整改主体责任，2021年审计发现主要问题213个，截止2022年11月底，已完成整改209个，整改率达98.12%，通过审计整改上缴财政资金3463万元，减少财政拨款4124万元，归还原资金渠道资金270万元，调账处理6728万元，推动被审计单位建章立制9项。完成计划项目17个、交办项目9个，查处各类违规资金13971万元，移送问题线索7条。对民生资金使用、民生工程建设等情况进行跟踪审计，抽审资金达2716.45万元。将全区所有一级、二级预算单位纳入预算执行全覆盖审计范围，完成9个区级部门预算执行审计项目，上缴财政资金3.75万元，促进财政资金拨付191万元。集中开展了耕地保护政策落实情况和农村人居环境整治专项审计，推动解决</w:t>
      </w:r>
      <w:r>
        <w:rPr>
          <w:rFonts w:ascii="仿宋" w:eastAsia="仿宋" w:cs="仿宋" w:hAnsi="仿宋" w:hint="eastAsia"/>
          <w:color w:val="000000"/>
          <w:sz w:val="32"/>
          <w:szCs w:val="32"/>
          <w:lang w:val="zh-CN"/>
        </w:rPr>
        <w:t>“非农化”“非粮化”</w:t>
      </w:r>
      <w:r>
        <w:rPr>
          <w:rFonts w:ascii="仿宋" w:eastAsia="仿宋" w:cs="仿宋" w:hAnsi="仿宋" w:hint="eastAsia"/>
          <w:color w:val="000000"/>
          <w:sz w:val="32"/>
          <w:szCs w:val="32"/>
        </w:rPr>
        <w:t>等</w:t>
      </w:r>
      <w:r>
        <w:rPr>
          <w:rFonts w:ascii="仿宋" w:eastAsia="仿宋" w:cs="仿宋" w:hAnsi="仿宋" w:hint="eastAsia"/>
          <w:color w:val="000000"/>
          <w:sz w:val="32"/>
          <w:szCs w:val="32"/>
          <w:lang w:val="zh-CN"/>
        </w:rPr>
        <w:t>问题</w:t>
      </w:r>
      <w:r>
        <w:rPr>
          <w:rFonts w:ascii="仿宋" w:eastAsia="仿宋" w:cs="仿宋" w:hAnsi="仿宋" w:hint="eastAsia"/>
          <w:color w:val="000000"/>
          <w:sz w:val="32"/>
          <w:szCs w:val="32"/>
        </w:rPr>
        <w:t>。对9个领导干部任期经济责任审计，查出问题金额257.74万元，向纪委、财政移送问题线索2条。开展龙潭乡党政领导干部自然资源资产离任审计和工业集中发展区土地节约集约情况审计。审结竣工结算审计项目9个，审减金额1504.29万元。重点开展10个政府重大投资项目全过程跟踪审计，监管资金45.58亿元。</w:t>
      </w:r>
    </w:p>
    <w:p>
      <w:pPr>
        <w:widowControl/>
        <w:numPr>
          <w:ilvl w:val="0"/>
          <w:numId w:val="6"/>
        </w:numPr>
        <w:adjustRightInd w:val="0"/>
        <w:snapToGrid w:val="0"/>
        <w:spacing w:line="560" w:lineRule="exact"/>
        <w:ind w:left="0" w:firstLineChars="200" w:firstLine="640"/>
        <w:contextualSpacing/>
        <w:jc w:val="left"/>
        <w:rPr>
          <w:rFonts w:ascii="楷体_GB2312" w:eastAsia="楷体_GB2312" w:cs="楷体_GB2312" w:hAnsi="楷体_GB2312"/>
          <w:b/>
          <w:bCs/>
          <w:kern w:val="0"/>
          <w:sz w:val="32"/>
          <w:szCs w:val="32"/>
          <w:shd w:val="clear" w:color="auto" w:fill="FFFFFF"/>
          <w:lang w:val="zh-CN"/>
        </w:rPr>
      </w:pPr>
      <w:r>
        <w:rPr>
          <w:rFonts w:ascii="楷体_GB2312" w:eastAsia="楷体_GB2312" w:cs="楷体_GB2312" w:hAnsi="楷体_GB2312" w:hint="eastAsia"/>
          <w:b/>
          <w:bCs/>
          <w:kern w:val="0"/>
          <w:sz w:val="32"/>
          <w:szCs w:val="32"/>
          <w:shd w:val="clear" w:color="auto" w:fill="FFFFFF"/>
          <w:lang w:val="zh-CN"/>
        </w:rPr>
        <w:t>部门整体支出绩效目标。</w:t>
      </w:r>
    </w:p>
    <w:p>
      <w:pPr>
        <w:widowControl/>
        <w:ind w:firstLineChars="200" w:firstLine="640"/>
        <w:jc w:val="left"/>
        <w:rPr>
          <w:lang w:val="zh-CN"/>
        </w:rPr>
      </w:pPr>
      <w:r>
        <w:rPr>
          <w:rFonts w:ascii="仿宋" w:eastAsia="仿宋" w:cs="仿宋" w:hAnsi="仿宋" w:hint="eastAsia"/>
          <w:color w:val="000000"/>
          <w:kern w:val="0"/>
          <w:sz w:val="32"/>
          <w:szCs w:val="32"/>
        </w:rPr>
        <w:t>贯彻执行国家审计的法律法规和方针、政策，依法全面履行审计监督职责，建立健全与审计全覆盖相适应的工作机制，完成</w:t>
      </w:r>
      <w:r>
        <w:rPr>
          <w:rFonts w:ascii="仿宋_GB2312" w:eastAsia="仿宋_GB2312" w:cs="仿宋_GB2312" w:hAnsi="仿宋_GB2312"/>
          <w:color w:val="000000"/>
          <w:kern w:val="0"/>
          <w:sz w:val="31"/>
          <w:szCs w:val="31"/>
        </w:rPr>
        <w:t>各项审计工作计划：</w:t>
      </w:r>
      <w:r>
        <w:rPr>
          <w:rFonts w:ascii="仿宋" w:eastAsia="仿宋" w:cs="仿宋" w:hAnsi="仿宋" w:hint="eastAsia"/>
          <w:color w:val="000000"/>
          <w:sz w:val="32"/>
          <w:szCs w:val="32"/>
        </w:rPr>
        <w:t>开展财政预（决）算管理及执行审计、国家政策落实跟踪审计、领导干部自然资源资产离任（任中）审计、就业补助资金和失业保险基金审计、乡镇、部门及国有企业领导经济责任审计、耕地保护政策措施落实情况专项审计调查、国有企业资产负债损益审计、政府投资审计及专项审计调查等各领域审计，加强审计整改工作，深入开展研究型审计，加强审计干部队</w:t>
      </w:r>
      <w:r>
        <w:rPr>
          <w:rFonts w:ascii="楷体" w:eastAsia="楷体" w:cs="楷体" w:hAnsi="楷体" w:hint="eastAsia"/>
          <w:sz w:val="32"/>
          <w:szCs w:val="32"/>
        </w:rPr>
        <w:t>伍建设</w:t>
      </w:r>
      <w:r>
        <w:rPr>
          <w:rFonts w:ascii="仿宋_GB2312" w:eastAsia="仿宋_GB2312" w:cs="仿宋_GB2312" w:hAnsi="仿宋_GB2312"/>
          <w:color w:val="000000"/>
          <w:kern w:val="0"/>
          <w:sz w:val="31"/>
          <w:szCs w:val="31"/>
        </w:rPr>
        <w:t>。</w:t>
      </w:r>
    </w:p>
    <w:p>
      <w:pPr>
        <w:widowControl/>
        <w:adjustRightInd w:val="0"/>
        <w:snapToGrid w:val="0"/>
        <w:spacing w:line="560" w:lineRule="exact"/>
        <w:ind w:firstLineChars="200" w:firstLine="640"/>
        <w:contextualSpacing/>
        <w:jc w:val="left"/>
        <w:rPr>
          <w:rFonts w:ascii="黑体" w:eastAsia="黑体" w:cs="宋体" w:hAnsi="宋体"/>
          <w:kern w:val="0"/>
          <w:sz w:val="32"/>
          <w:szCs w:val="32"/>
          <w:shd w:val="clear" w:color="auto" w:fill="FFFFFF"/>
        </w:rPr>
      </w:pPr>
      <w:r>
        <w:rPr>
          <w:rFonts w:ascii="黑体" w:eastAsia="黑体" w:cs="宋体" w:hAnsi="宋体" w:hint="eastAsia"/>
          <w:kern w:val="0"/>
          <w:sz w:val="32"/>
          <w:szCs w:val="32"/>
          <w:shd w:val="clear" w:color="auto" w:fill="FFFFFF"/>
        </w:rPr>
        <w:t>二、部门资金收支情况</w:t>
      </w:r>
    </w:p>
    <w:p>
      <w:pPr>
        <w:widowControl/>
        <w:adjustRightInd w:val="0"/>
        <w:snapToGrid w:val="0"/>
        <w:spacing w:line="560" w:lineRule="exact"/>
        <w:ind w:firstLineChars="200" w:firstLine="640"/>
        <w:contextualSpacing/>
        <w:jc w:val="left"/>
        <w:rPr>
          <w:rFonts w:ascii="楷体_GB2312" w:eastAsia="楷体_GB2312" w:cs="楷体_GB2312" w:hAnsi="楷体_GB2312"/>
          <w:b/>
          <w:bCs/>
          <w:kern w:val="0"/>
          <w:sz w:val="32"/>
          <w:szCs w:val="32"/>
          <w:shd w:val="clear" w:color="auto" w:fill="FFFFFF"/>
          <w:lang w:val="zh-CN"/>
        </w:rPr>
      </w:pPr>
      <w:r>
        <w:rPr>
          <w:rFonts w:ascii="楷体_GB2312" w:eastAsia="楷体_GB2312" w:cs="楷体_GB2312" w:hAnsi="楷体_GB2312" w:hint="eastAsia"/>
          <w:b/>
          <w:bCs/>
          <w:kern w:val="0"/>
          <w:sz w:val="32"/>
          <w:szCs w:val="32"/>
          <w:shd w:val="clear" w:color="auto" w:fill="FFFFFF"/>
          <w:lang w:val="zh-CN"/>
        </w:rPr>
        <w:t>（一）部门总体收支情况。</w:t>
      </w:r>
    </w:p>
    <w:p>
      <w:pPr>
        <w:widowControl/>
        <w:adjustRightInd w:val="0"/>
        <w:snapToGrid w:val="0"/>
        <w:spacing w:line="560" w:lineRule="exact"/>
        <w:ind w:firstLineChars="200" w:firstLine="640"/>
        <w:contextualSpacing/>
        <w:jc w:val="left"/>
        <w:rPr>
          <w:rFonts w:ascii="仿宋" w:eastAsia="仿宋" w:cs="仿宋_GB2312" w:hAnsi="仿宋"/>
          <w:kern w:val="0"/>
          <w:sz w:val="32"/>
          <w:szCs w:val="32"/>
          <w:shd w:val="clear" w:color="auto" w:fill="FFFFFF"/>
        </w:rPr>
      </w:pPr>
      <w:r>
        <w:rPr>
          <w:rFonts w:ascii="仿宋" w:eastAsia="仿宋" w:cs="仿宋_GB2312" w:hAnsi="仿宋" w:hint="eastAsia"/>
          <w:kern w:val="0"/>
          <w:sz w:val="32"/>
          <w:szCs w:val="32"/>
          <w:shd w:val="clear" w:color="auto" w:fill="FFFFFF"/>
        </w:rPr>
        <w:t>1.部门总体收入情况</w:t>
      </w:r>
    </w:p>
    <w:p>
      <w:pPr>
        <w:widowControl/>
        <w:ind w:firstLineChars="200" w:firstLine="640"/>
        <w:jc w:val="left"/>
        <w:rPr>
          <w:rFonts w:ascii="仿宋" w:eastAsia="仿宋" w:hAnsi="仿宋"/>
        </w:rPr>
      </w:pPr>
      <w:r>
        <w:rPr>
          <w:rFonts w:ascii="仿宋" w:eastAsia="仿宋" w:cs="方正仿宋简体" w:hAnsi="仿宋" w:hint="eastAsia"/>
          <w:sz w:val="32"/>
          <w:szCs w:val="32"/>
        </w:rPr>
        <w:t>2022年度总收入1169.75万元，</w:t>
      </w:r>
      <w:r>
        <w:rPr>
          <w:rFonts w:ascii="仿宋" w:eastAsia="仿宋" w:cs="仿宋_GB2312" w:hAnsi="仿宋"/>
          <w:color w:val="000000"/>
          <w:kern w:val="0"/>
          <w:sz w:val="31"/>
          <w:szCs w:val="31"/>
        </w:rPr>
        <w:t>其中：一般公共预算财政拨款收入</w:t>
      </w:r>
      <w:r>
        <w:rPr>
          <w:rFonts w:ascii="仿宋" w:eastAsia="仿宋" w:cs="仿宋_GB2312" w:hAnsi="仿宋" w:hint="eastAsia"/>
          <w:color w:val="000000"/>
          <w:kern w:val="0"/>
          <w:sz w:val="31"/>
          <w:szCs w:val="31"/>
        </w:rPr>
        <w:t>1161.72</w:t>
      </w:r>
      <w:r>
        <w:rPr>
          <w:rFonts w:ascii="仿宋" w:eastAsia="仿宋" w:cs="仿宋_GB2312" w:hAnsi="仿宋"/>
          <w:color w:val="000000"/>
          <w:kern w:val="0"/>
          <w:sz w:val="31"/>
          <w:szCs w:val="31"/>
        </w:rPr>
        <w:t>万元，占</w:t>
      </w:r>
      <w:r>
        <w:rPr>
          <w:rFonts w:ascii="仿宋" w:eastAsia="仿宋" w:cs="仿宋_GB2312" w:hAnsi="仿宋" w:hint="eastAsia"/>
          <w:color w:val="000000"/>
          <w:kern w:val="0"/>
          <w:sz w:val="31"/>
          <w:szCs w:val="31"/>
        </w:rPr>
        <w:t>99.31</w:t>
      </w:r>
      <w:r>
        <w:rPr>
          <w:rFonts w:ascii="仿宋" w:eastAsia="仿宋" w:cs="仿宋_GB2312" w:hAnsi="仿宋"/>
          <w:color w:val="000000"/>
          <w:kern w:val="0"/>
          <w:sz w:val="31"/>
          <w:szCs w:val="31"/>
        </w:rPr>
        <w:t>%；其他收入</w:t>
      </w:r>
      <w:r>
        <w:rPr>
          <w:rFonts w:ascii="仿宋" w:eastAsia="仿宋" w:cs="仿宋_GB2312" w:hAnsi="仿宋" w:hint="eastAsia"/>
          <w:color w:val="000000"/>
          <w:kern w:val="0"/>
          <w:sz w:val="31"/>
          <w:szCs w:val="31"/>
        </w:rPr>
        <w:t>8.03</w:t>
      </w:r>
      <w:r>
        <w:rPr>
          <w:rFonts w:ascii="仿宋" w:eastAsia="仿宋" w:cs="仿宋_GB2312" w:hAnsi="仿宋"/>
          <w:color w:val="000000"/>
          <w:kern w:val="0"/>
          <w:sz w:val="31"/>
          <w:szCs w:val="31"/>
        </w:rPr>
        <w:t>万元，占</w:t>
      </w:r>
      <w:r>
        <w:rPr>
          <w:rFonts w:ascii="仿宋" w:eastAsia="仿宋" w:cs="仿宋_GB2312" w:hAnsi="仿宋" w:hint="eastAsia"/>
          <w:color w:val="000000"/>
          <w:kern w:val="0"/>
          <w:sz w:val="31"/>
          <w:szCs w:val="31"/>
        </w:rPr>
        <w:t>0.69</w:t>
      </w:r>
      <w:r>
        <w:rPr>
          <w:rFonts w:ascii="仿宋" w:eastAsia="仿宋" w:cs="仿宋_GB2312" w:hAnsi="仿宋"/>
          <w:color w:val="000000"/>
          <w:kern w:val="0"/>
          <w:sz w:val="31"/>
          <w:szCs w:val="31"/>
        </w:rPr>
        <w:t>%。</w:t>
      </w:r>
    </w:p>
    <w:p>
      <w:pPr>
        <w:widowControl/>
        <w:adjustRightInd w:val="0"/>
        <w:snapToGrid w:val="0"/>
        <w:spacing w:line="560" w:lineRule="exact"/>
        <w:ind w:left="640"/>
        <w:contextualSpacing/>
        <w:jc w:val="left"/>
        <w:rPr>
          <w:rFonts w:ascii="仿宋" w:eastAsia="仿宋" w:cs="仿宋_GB2312" w:hAnsi="仿宋"/>
          <w:kern w:val="0"/>
          <w:sz w:val="32"/>
          <w:szCs w:val="32"/>
          <w:shd w:val="clear" w:color="auto" w:fill="FFFFFF"/>
        </w:rPr>
      </w:pPr>
      <w:r>
        <w:rPr>
          <w:rFonts w:ascii="仿宋" w:eastAsia="仿宋" w:cs="仿宋_GB2312" w:hAnsi="仿宋" w:hint="eastAsia"/>
          <w:kern w:val="0"/>
          <w:sz w:val="32"/>
          <w:szCs w:val="32"/>
          <w:shd w:val="clear" w:color="auto" w:fill="FFFFFF"/>
        </w:rPr>
        <w:t>2.部门总体支出情况</w:t>
      </w:r>
    </w:p>
    <w:p>
      <w:pPr>
        <w:widowControl/>
        <w:ind w:firstLineChars="200" w:firstLine="620"/>
        <w:jc w:val="left"/>
        <w:rPr>
          <w:rFonts w:ascii="仿宋" w:eastAsia="仿宋" w:hAnsi="仿宋"/>
        </w:rPr>
      </w:pPr>
      <w:r>
        <w:rPr>
          <w:rFonts w:ascii="仿宋" w:eastAsia="仿宋" w:cs="仿宋_GB2312" w:hAnsi="仿宋" w:hint="eastAsia"/>
          <w:color w:val="000000"/>
          <w:kern w:val="0"/>
          <w:sz w:val="31"/>
          <w:szCs w:val="31"/>
        </w:rPr>
        <w:t>2022年度总支出1169.75万元</w:t>
      </w:r>
      <w:r>
        <w:rPr>
          <w:rFonts w:ascii="仿宋" w:eastAsia="仿宋" w:cs="仿宋_GB2312" w:hAnsi="仿宋"/>
          <w:color w:val="000000"/>
          <w:kern w:val="0"/>
          <w:sz w:val="31"/>
          <w:szCs w:val="31"/>
        </w:rPr>
        <w:t>其中：基本支出</w:t>
      </w:r>
      <w:r>
        <w:rPr>
          <w:rFonts w:ascii="仿宋" w:eastAsia="仿宋" w:cs="仿宋_GB2312" w:hAnsi="仿宋" w:hint="eastAsia"/>
          <w:color w:val="000000"/>
          <w:kern w:val="0"/>
          <w:sz w:val="31"/>
          <w:szCs w:val="31"/>
        </w:rPr>
        <w:t>678.41</w:t>
      </w:r>
      <w:r>
        <w:rPr>
          <w:rFonts w:ascii="仿宋" w:eastAsia="仿宋" w:cs="仿宋_GB2312" w:hAnsi="仿宋"/>
          <w:color w:val="000000"/>
          <w:kern w:val="0"/>
          <w:sz w:val="31"/>
          <w:szCs w:val="31"/>
        </w:rPr>
        <w:t>万元，占</w:t>
      </w:r>
      <w:r>
        <w:rPr>
          <w:rFonts w:ascii="仿宋" w:eastAsia="仿宋" w:cs="仿宋_GB2312" w:hAnsi="仿宋" w:hint="eastAsia"/>
          <w:color w:val="000000"/>
          <w:kern w:val="0"/>
          <w:sz w:val="31"/>
          <w:szCs w:val="31"/>
        </w:rPr>
        <w:t>58</w:t>
      </w:r>
      <w:r>
        <w:rPr>
          <w:rFonts w:ascii="仿宋" w:eastAsia="仿宋" w:cs="仿宋_GB2312" w:hAnsi="仿宋"/>
          <w:color w:val="000000"/>
          <w:kern w:val="0"/>
          <w:sz w:val="31"/>
          <w:szCs w:val="31"/>
        </w:rPr>
        <w:t>%；项目支出</w:t>
      </w:r>
      <w:r>
        <w:rPr>
          <w:rFonts w:ascii="仿宋" w:eastAsia="仿宋" w:cs="仿宋_GB2312" w:hAnsi="仿宋" w:hint="eastAsia"/>
          <w:color w:val="000000"/>
          <w:kern w:val="0"/>
          <w:sz w:val="31"/>
          <w:szCs w:val="31"/>
        </w:rPr>
        <w:t>487.35</w:t>
      </w:r>
      <w:r>
        <w:rPr>
          <w:rFonts w:ascii="仿宋" w:eastAsia="仿宋" w:cs="仿宋_GB2312" w:hAnsi="仿宋"/>
          <w:color w:val="000000"/>
          <w:kern w:val="0"/>
          <w:sz w:val="31"/>
          <w:szCs w:val="31"/>
        </w:rPr>
        <w:t>万元，占</w:t>
      </w:r>
      <w:r>
        <w:rPr>
          <w:rFonts w:ascii="仿宋" w:eastAsia="仿宋" w:cs="仿宋_GB2312" w:hAnsi="仿宋" w:hint="eastAsia"/>
          <w:color w:val="000000"/>
          <w:kern w:val="0"/>
          <w:sz w:val="31"/>
          <w:szCs w:val="31"/>
        </w:rPr>
        <w:t>42</w:t>
      </w:r>
      <w:r>
        <w:rPr>
          <w:rFonts w:ascii="仿宋" w:eastAsia="仿宋" w:cs="仿宋_GB2312" w:hAnsi="仿宋"/>
          <w:color w:val="000000"/>
          <w:kern w:val="0"/>
          <w:sz w:val="31"/>
          <w:szCs w:val="31"/>
        </w:rPr>
        <w:t>%</w:t>
      </w:r>
      <w:r>
        <w:rPr>
          <w:rFonts w:ascii="仿宋" w:eastAsia="仿宋" w:cs="仿宋_GB2312" w:hAnsi="仿宋" w:hint="eastAsia"/>
          <w:color w:val="000000"/>
          <w:kern w:val="0"/>
          <w:sz w:val="31"/>
          <w:szCs w:val="31"/>
        </w:rPr>
        <w:t>。</w:t>
      </w:r>
    </w:p>
    <w:p>
      <w:pPr>
        <w:widowControl/>
        <w:adjustRightInd w:val="0"/>
        <w:snapToGrid w:val="0"/>
        <w:spacing w:line="560" w:lineRule="exact"/>
        <w:ind w:firstLineChars="200" w:firstLine="640"/>
        <w:contextualSpacing/>
        <w:jc w:val="left"/>
        <w:rPr>
          <w:rFonts w:ascii="仿宋" w:eastAsia="仿宋" w:cs="仿宋_GB2312" w:hAnsi="仿宋"/>
          <w:kern w:val="0"/>
          <w:sz w:val="32"/>
          <w:szCs w:val="32"/>
          <w:shd w:val="clear" w:color="auto" w:fill="FFFFFF"/>
        </w:rPr>
      </w:pPr>
      <w:r>
        <w:rPr>
          <w:rFonts w:ascii="仿宋" w:eastAsia="仿宋" w:cs="仿宋_GB2312" w:hAnsi="仿宋" w:hint="eastAsia"/>
          <w:kern w:val="0"/>
          <w:sz w:val="32"/>
          <w:szCs w:val="32"/>
          <w:shd w:val="clear" w:color="auto" w:fill="FFFFFF"/>
        </w:rPr>
        <w:t>3.部门总体结转结余情况</w:t>
      </w:r>
    </w:p>
    <w:p>
      <w:pPr>
        <w:widowControl/>
        <w:ind w:firstLineChars="200" w:firstLine="620"/>
        <w:jc w:val="left"/>
        <w:rPr>
          <w:rFonts w:ascii="仿宋" w:eastAsia="仿宋" w:hAnsi="仿宋"/>
        </w:rPr>
      </w:pPr>
      <w:r>
        <w:rPr>
          <w:rFonts w:ascii="仿宋" w:eastAsia="仿宋" w:cs="仿宋_GB2312" w:hAnsi="仿宋"/>
          <w:color w:val="000000"/>
          <w:kern w:val="0"/>
          <w:sz w:val="31"/>
          <w:szCs w:val="31"/>
        </w:rPr>
        <w:t>年末非财政拨款结转结余</w:t>
      </w:r>
      <w:r>
        <w:rPr>
          <w:rFonts w:ascii="仿宋" w:eastAsia="仿宋" w:cs="仿宋_GB2312" w:hAnsi="仿宋" w:hint="eastAsia"/>
          <w:color w:val="000000"/>
          <w:kern w:val="0"/>
          <w:sz w:val="31"/>
          <w:szCs w:val="31"/>
        </w:rPr>
        <w:t>3.99万元</w:t>
      </w:r>
    </w:p>
    <w:p>
      <w:pPr>
        <w:widowControl/>
        <w:adjustRightInd w:val="0"/>
        <w:snapToGrid w:val="0"/>
        <w:spacing w:line="560" w:lineRule="exact"/>
        <w:contextualSpacing/>
        <w:jc w:val="left"/>
        <w:rPr>
          <w:rFonts w:ascii="楷体_GB2312" w:eastAsia="楷体_GB2312" w:cs="楷体_GB2312" w:hAnsi="楷体_GB2312"/>
          <w:b/>
          <w:bCs/>
          <w:kern w:val="0"/>
          <w:sz w:val="32"/>
          <w:szCs w:val="32"/>
          <w:shd w:val="clear" w:color="auto" w:fill="FFFFFF"/>
          <w:lang w:val="zh-CN"/>
        </w:rPr>
      </w:pPr>
      <w:r>
        <w:rPr>
          <w:rFonts w:ascii="楷体_GB2312" w:eastAsia="楷体_GB2312" w:cs="楷体_GB2312" w:hAnsi="楷体_GB2312" w:hint="eastAsia"/>
          <w:b/>
          <w:bCs/>
          <w:kern w:val="0"/>
          <w:sz w:val="32"/>
          <w:szCs w:val="32"/>
          <w:shd w:val="clear" w:color="auto" w:fill="FFFFFF"/>
          <w:lang w:val="zh-CN"/>
        </w:rPr>
        <w:t>（二）部门财政拨款收支情况。</w:t>
      </w:r>
    </w:p>
    <w:p>
      <w:pPr>
        <w:widowControl/>
        <w:adjustRightInd w:val="0"/>
        <w:snapToGrid w:val="0"/>
        <w:spacing w:line="560" w:lineRule="exact"/>
        <w:ind w:firstLineChars="200" w:firstLine="640"/>
        <w:contextualSpacing/>
        <w:jc w:val="left"/>
        <w:rPr>
          <w:rFonts w:ascii="仿宋" w:eastAsia="仿宋" w:cs="仿宋_GB2312" w:hAnsi="仿宋"/>
          <w:kern w:val="0"/>
          <w:sz w:val="32"/>
          <w:szCs w:val="32"/>
          <w:shd w:val="clear" w:color="auto" w:fill="FFFFFF"/>
        </w:rPr>
      </w:pPr>
      <w:r>
        <w:rPr>
          <w:rFonts w:ascii="仿宋" w:eastAsia="仿宋" w:cs="仿宋_GB2312" w:hAnsi="仿宋" w:hint="eastAsia"/>
          <w:kern w:val="0"/>
          <w:sz w:val="32"/>
          <w:szCs w:val="32"/>
          <w:shd w:val="clear" w:color="auto" w:fill="FFFFFF"/>
        </w:rPr>
        <w:t>1.部门财政拨款收入情况</w:t>
      </w:r>
    </w:p>
    <w:p>
      <w:pPr>
        <w:widowControl/>
        <w:ind w:firstLineChars="100" w:firstLine="310"/>
        <w:jc w:val="left"/>
        <w:rPr>
          <w:rFonts w:ascii="仿宋" w:eastAsia="仿宋" w:hAnsi="仿宋"/>
        </w:rPr>
      </w:pPr>
      <w:r>
        <w:rPr>
          <w:rFonts w:ascii="仿宋" w:eastAsia="仿宋" w:cs="仿宋_GB2312" w:hAnsi="仿宋"/>
          <w:color w:val="000000"/>
          <w:kern w:val="0"/>
          <w:sz w:val="31"/>
          <w:szCs w:val="31"/>
        </w:rPr>
        <w:t>2022年度部门财政拨款收入合计</w:t>
      </w:r>
      <w:r>
        <w:rPr>
          <w:rFonts w:ascii="仿宋" w:eastAsia="仿宋" w:cs="仿宋_GB2312" w:hAnsi="仿宋" w:hint="eastAsia"/>
          <w:color w:val="000000"/>
          <w:kern w:val="0"/>
          <w:sz w:val="31"/>
          <w:szCs w:val="31"/>
        </w:rPr>
        <w:t>1152.48</w:t>
      </w:r>
      <w:r>
        <w:rPr>
          <w:rFonts w:ascii="仿宋" w:eastAsia="仿宋" w:cs="仿宋_GB2312" w:hAnsi="仿宋"/>
          <w:color w:val="000000"/>
          <w:kern w:val="0"/>
          <w:sz w:val="31"/>
          <w:szCs w:val="31"/>
        </w:rPr>
        <w:t>万元，其中：一般公共预算财政拨款收入</w:t>
      </w:r>
      <w:r>
        <w:rPr>
          <w:rFonts w:ascii="仿宋" w:eastAsia="仿宋" w:cs="仿宋_GB2312" w:hAnsi="仿宋" w:hint="eastAsia"/>
          <w:color w:val="000000"/>
          <w:kern w:val="0"/>
          <w:sz w:val="31"/>
          <w:szCs w:val="31"/>
        </w:rPr>
        <w:t>1152.48</w:t>
      </w:r>
      <w:r>
        <w:rPr>
          <w:rFonts w:ascii="仿宋" w:eastAsia="仿宋" w:cs="仿宋_GB2312" w:hAnsi="仿宋"/>
          <w:color w:val="000000"/>
          <w:kern w:val="0"/>
          <w:sz w:val="31"/>
          <w:szCs w:val="31"/>
        </w:rPr>
        <w:t>万元</w:t>
      </w:r>
      <w:r>
        <w:rPr>
          <w:rFonts w:ascii="仿宋" w:eastAsia="仿宋" w:cs="仿宋_GB2312" w:hAnsi="仿宋" w:hint="eastAsia"/>
          <w:color w:val="000000"/>
          <w:kern w:val="0"/>
          <w:sz w:val="31"/>
          <w:szCs w:val="31"/>
        </w:rPr>
        <w:t>。</w:t>
      </w:r>
    </w:p>
    <w:p>
      <w:pPr>
        <w:widowControl/>
        <w:adjustRightInd w:val="0"/>
        <w:snapToGrid w:val="0"/>
        <w:spacing w:line="560" w:lineRule="exact"/>
        <w:ind w:firstLineChars="200" w:firstLine="640"/>
        <w:contextualSpacing/>
        <w:jc w:val="left"/>
        <w:rPr>
          <w:rFonts w:ascii="仿宋" w:eastAsia="仿宋" w:hAnsi="仿宋"/>
        </w:rPr>
      </w:pPr>
      <w:r>
        <w:rPr>
          <w:rFonts w:ascii="仿宋" w:eastAsia="仿宋" w:cs="仿宋_GB2312" w:hAnsi="仿宋" w:hint="eastAsia"/>
          <w:kern w:val="0"/>
          <w:sz w:val="32"/>
          <w:szCs w:val="32"/>
          <w:shd w:val="clear" w:color="auto" w:fill="FFFFFF"/>
        </w:rPr>
        <w:t>2.部门财政拨款支出情况</w:t>
      </w:r>
    </w:p>
    <w:p>
      <w:pPr>
        <w:widowControl/>
        <w:ind w:firstLineChars="100" w:firstLine="310"/>
        <w:jc w:val="left"/>
        <w:rPr>
          <w:rFonts w:ascii="仿宋" w:eastAsia="仿宋" w:hAnsi="仿宋"/>
        </w:rPr>
      </w:pPr>
      <w:r>
        <w:rPr>
          <w:rFonts w:ascii="仿宋" w:eastAsia="仿宋" w:cs="仿宋_GB2312" w:hAnsi="仿宋"/>
          <w:color w:val="000000"/>
          <w:kern w:val="0"/>
          <w:sz w:val="31"/>
          <w:szCs w:val="31"/>
        </w:rPr>
        <w:t>2022 年度部门财政拨款支出合计</w:t>
      </w:r>
      <w:r>
        <w:rPr>
          <w:rFonts w:ascii="仿宋" w:eastAsia="仿宋" w:cs="仿宋_GB2312" w:hAnsi="仿宋" w:hint="eastAsia"/>
          <w:color w:val="000000"/>
          <w:kern w:val="0"/>
          <w:sz w:val="31"/>
          <w:szCs w:val="31"/>
        </w:rPr>
        <w:t>1152.48</w:t>
      </w:r>
      <w:r>
        <w:rPr>
          <w:rFonts w:ascii="仿宋" w:eastAsia="仿宋" w:cs="仿宋_GB2312" w:hAnsi="仿宋"/>
          <w:color w:val="000000"/>
          <w:kern w:val="0"/>
          <w:sz w:val="31"/>
          <w:szCs w:val="31"/>
        </w:rPr>
        <w:t>万元，其中：基本支出</w:t>
      </w:r>
      <w:r>
        <w:rPr>
          <w:rFonts w:ascii="仿宋" w:eastAsia="仿宋" w:cs="仿宋_GB2312" w:hAnsi="仿宋" w:hint="eastAsia"/>
          <w:color w:val="000000"/>
          <w:kern w:val="0"/>
          <w:sz w:val="31"/>
          <w:szCs w:val="31"/>
        </w:rPr>
        <w:t>665.13</w:t>
      </w:r>
      <w:r>
        <w:rPr>
          <w:rFonts w:ascii="仿宋" w:eastAsia="仿宋" w:cs="仿宋_GB2312" w:hAnsi="仿宋"/>
          <w:color w:val="000000"/>
          <w:kern w:val="0"/>
          <w:sz w:val="31"/>
          <w:szCs w:val="31"/>
        </w:rPr>
        <w:t>万元，项目支出</w:t>
      </w:r>
      <w:r>
        <w:rPr>
          <w:rFonts w:ascii="仿宋" w:eastAsia="仿宋" w:cs="仿宋_GB2312" w:hAnsi="仿宋" w:hint="eastAsia"/>
          <w:color w:val="000000"/>
          <w:kern w:val="0"/>
          <w:sz w:val="31"/>
          <w:szCs w:val="31"/>
        </w:rPr>
        <w:t>487.35</w:t>
      </w:r>
      <w:r>
        <w:rPr>
          <w:rFonts w:ascii="仿宋" w:eastAsia="仿宋" w:cs="仿宋_GB2312" w:hAnsi="仿宋"/>
          <w:color w:val="000000"/>
          <w:kern w:val="0"/>
          <w:sz w:val="31"/>
          <w:szCs w:val="31"/>
        </w:rPr>
        <w:t>万元。</w:t>
      </w:r>
    </w:p>
    <w:p>
      <w:pPr>
        <w:widowControl/>
        <w:adjustRightInd w:val="0"/>
        <w:snapToGrid w:val="0"/>
        <w:spacing w:line="560" w:lineRule="exact"/>
        <w:ind w:left="640"/>
        <w:contextualSpacing/>
        <w:jc w:val="left"/>
        <w:rPr>
          <w:rFonts w:ascii="仿宋" w:eastAsia="仿宋" w:cs="仿宋_GB2312" w:hAnsi="仿宋"/>
          <w:kern w:val="0"/>
          <w:sz w:val="32"/>
          <w:szCs w:val="32"/>
          <w:shd w:val="clear" w:color="auto" w:fill="FFFFFF"/>
        </w:rPr>
      </w:pPr>
      <w:r>
        <w:rPr>
          <w:rFonts w:ascii="仿宋" w:eastAsia="仿宋" w:cs="仿宋_GB2312" w:hAnsi="仿宋" w:hint="eastAsia"/>
          <w:kern w:val="0"/>
          <w:sz w:val="32"/>
          <w:szCs w:val="32"/>
          <w:shd w:val="clear" w:color="auto" w:fill="FFFFFF"/>
        </w:rPr>
        <w:t>3.部门财政拨款结转结余情况</w:t>
      </w:r>
    </w:p>
    <w:p>
      <w:pPr>
        <w:widowControl/>
        <w:ind w:firstLineChars="100" w:firstLine="310"/>
        <w:jc w:val="left"/>
        <w:rPr>
          <w:rFonts w:ascii="仿宋" w:eastAsia="仿宋" w:hAnsi="仿宋"/>
        </w:rPr>
      </w:pPr>
      <w:r>
        <w:rPr>
          <w:rFonts w:ascii="仿宋" w:eastAsia="仿宋" w:cs="仿宋_GB2312" w:hAnsi="仿宋"/>
          <w:color w:val="000000"/>
          <w:kern w:val="0"/>
          <w:sz w:val="31"/>
          <w:szCs w:val="31"/>
        </w:rPr>
        <w:t>年末财政拨款结转结余0万元</w:t>
      </w:r>
      <w:r>
        <w:rPr>
          <w:rFonts w:ascii="仿宋" w:eastAsia="仿宋" w:cs="仿宋_GB2312" w:hAnsi="仿宋" w:hint="eastAsia"/>
          <w:color w:val="000000"/>
          <w:kern w:val="0"/>
          <w:sz w:val="31"/>
          <w:szCs w:val="31"/>
        </w:rPr>
        <w:t>。</w:t>
      </w:r>
    </w:p>
    <w:p>
      <w:pPr>
        <w:widowControl/>
        <w:adjustRightInd w:val="0"/>
        <w:snapToGrid w:val="0"/>
        <w:spacing w:line="560" w:lineRule="exact"/>
        <w:ind w:firstLineChars="200" w:firstLine="640"/>
        <w:contextualSpacing/>
        <w:jc w:val="left"/>
        <w:rPr>
          <w:rFonts w:ascii="黑体" w:eastAsia="黑体" w:cs="宋体" w:hAnsi="宋体"/>
          <w:kern w:val="0"/>
          <w:sz w:val="32"/>
          <w:szCs w:val="32"/>
          <w:shd w:val="clear" w:color="auto" w:fill="FFFFFF"/>
        </w:rPr>
      </w:pPr>
      <w:r>
        <w:rPr>
          <w:rFonts w:ascii="黑体" w:eastAsia="黑体" w:cs="宋体" w:hAnsi="宋体" w:hint="eastAsia"/>
          <w:kern w:val="0"/>
          <w:sz w:val="32"/>
          <w:szCs w:val="32"/>
          <w:shd w:val="clear" w:color="auto" w:fill="FFFFFF"/>
        </w:rPr>
        <w:t>三、部门整体绩效分析</w:t>
      </w:r>
    </w:p>
    <w:p>
      <w:pPr>
        <w:widowControl/>
        <w:adjustRightInd w:val="0"/>
        <w:snapToGrid w:val="0"/>
        <w:spacing w:line="560" w:lineRule="exact"/>
        <w:ind w:firstLineChars="200" w:firstLine="640"/>
        <w:contextualSpacing/>
        <w:jc w:val="left"/>
        <w:rPr>
          <w:rFonts w:ascii="仿宋_GB2312" w:eastAsia="仿宋_GB2312" w:cs="仿宋_GB2312" w:hAnsi="仿宋_GB2312"/>
          <w:kern w:val="0"/>
          <w:sz w:val="32"/>
          <w:szCs w:val="32"/>
          <w:shd w:val="clear" w:color="auto" w:fill="FFFFFF"/>
          <w:lang w:val="zh-CN"/>
        </w:rPr>
      </w:pPr>
      <w:r>
        <w:rPr>
          <w:rFonts w:ascii="楷体_GB2312" w:eastAsia="楷体_GB2312" w:cs="楷体_GB2312" w:hAnsi="楷体_GB2312" w:hint="eastAsia"/>
          <w:b/>
          <w:bCs/>
          <w:kern w:val="0"/>
          <w:sz w:val="32"/>
          <w:szCs w:val="32"/>
          <w:shd w:val="clear" w:color="auto" w:fill="FFFFFF"/>
          <w:lang w:val="zh-CN"/>
        </w:rPr>
        <w:t>（一）部门预算项目绩效分析。</w:t>
      </w:r>
    </w:p>
    <w:p>
      <w:pPr>
        <w:widowControl/>
        <w:adjustRightInd w:val="0"/>
        <w:snapToGrid w:val="0"/>
        <w:spacing w:line="560" w:lineRule="exact"/>
        <w:ind w:firstLineChars="200" w:firstLine="640"/>
        <w:contextualSpacing/>
        <w:jc w:val="left"/>
        <w:rPr>
          <w:rFonts w:ascii="仿宋" w:eastAsia="仿宋" w:cs="仿宋_GB2312" w:hAnsi="仿宋"/>
          <w:kern w:val="0"/>
          <w:sz w:val="32"/>
          <w:szCs w:val="32"/>
          <w:shd w:val="clear" w:color="auto" w:fill="FFFFFF"/>
        </w:rPr>
      </w:pPr>
      <w:r>
        <w:rPr>
          <w:rFonts w:ascii="仿宋" w:eastAsia="仿宋" w:cs="仿宋_GB2312" w:hAnsi="仿宋" w:hint="eastAsia"/>
          <w:kern w:val="0"/>
          <w:sz w:val="32"/>
          <w:szCs w:val="32"/>
          <w:shd w:val="clear" w:color="auto" w:fill="FFFFFF"/>
        </w:rPr>
        <w:t>1.人员类项目绩效分析</w:t>
      </w:r>
    </w:p>
    <w:p>
      <w:pPr>
        <w:widowControl/>
        <w:ind w:firstLineChars="200" w:firstLine="620"/>
        <w:jc w:val="left"/>
        <w:rPr>
          <w:rFonts w:ascii="仿宋" w:eastAsia="仿宋" w:cs="仿宋_GB2312" w:hAnsi="仿宋"/>
          <w:color w:val="000000"/>
          <w:kern w:val="0"/>
          <w:sz w:val="31"/>
          <w:szCs w:val="31"/>
        </w:rPr>
      </w:pPr>
      <w:r>
        <w:rPr>
          <w:rFonts w:ascii="仿宋" w:eastAsia="仿宋" w:cs="仿宋_GB2312" w:hAnsi="仿宋"/>
          <w:color w:val="000000"/>
          <w:kern w:val="0"/>
          <w:sz w:val="31"/>
          <w:szCs w:val="31"/>
        </w:rPr>
        <w:t>我局202</w:t>
      </w:r>
      <w:r>
        <w:rPr>
          <w:rFonts w:ascii="仿宋" w:eastAsia="仿宋" w:cs="仿宋_GB2312" w:hAnsi="仿宋" w:hint="eastAsia"/>
          <w:color w:val="000000"/>
          <w:kern w:val="0"/>
          <w:sz w:val="31"/>
          <w:szCs w:val="31"/>
        </w:rPr>
        <w:t>2</w:t>
      </w:r>
      <w:r>
        <w:rPr>
          <w:rFonts w:ascii="仿宋" w:eastAsia="仿宋" w:cs="仿宋_GB2312" w:hAnsi="仿宋"/>
          <w:color w:val="000000"/>
          <w:kern w:val="0"/>
          <w:sz w:val="31"/>
          <w:szCs w:val="31"/>
        </w:rPr>
        <w:t>年度基本支出</w:t>
      </w:r>
      <w:r>
        <w:rPr>
          <w:rFonts w:ascii="仿宋" w:eastAsia="仿宋" w:cs="仿宋_GB2312" w:hAnsi="仿宋" w:hint="eastAsia"/>
          <w:color w:val="000000"/>
          <w:kern w:val="0"/>
          <w:sz w:val="31"/>
          <w:szCs w:val="31"/>
        </w:rPr>
        <w:t>665.13</w:t>
      </w:r>
      <w:r>
        <w:rPr>
          <w:rFonts w:ascii="仿宋" w:eastAsia="仿宋" w:cs="仿宋_GB2312" w:hAnsi="仿宋"/>
          <w:color w:val="000000"/>
          <w:kern w:val="0"/>
          <w:sz w:val="31"/>
          <w:szCs w:val="31"/>
        </w:rPr>
        <w:t>万元，其中包括人员经费</w:t>
      </w:r>
      <w:r>
        <w:rPr>
          <w:rFonts w:ascii="仿宋" w:eastAsia="仿宋" w:cs="仿宋_GB2312" w:hAnsi="仿宋" w:hint="eastAsia"/>
          <w:color w:val="000000"/>
          <w:kern w:val="0"/>
          <w:sz w:val="31"/>
          <w:szCs w:val="31"/>
        </w:rPr>
        <w:t>602.73</w:t>
      </w:r>
      <w:r>
        <w:rPr>
          <w:rFonts w:ascii="仿宋" w:eastAsia="仿宋" w:cs="仿宋_GB2312" w:hAnsi="仿宋"/>
          <w:color w:val="000000"/>
          <w:kern w:val="0"/>
          <w:sz w:val="31"/>
          <w:szCs w:val="31"/>
        </w:rPr>
        <w:t>万元，日常公用经费</w:t>
      </w:r>
      <w:r>
        <w:rPr>
          <w:rFonts w:ascii="仿宋" w:eastAsia="仿宋" w:cs="仿宋_GB2312" w:hAnsi="仿宋" w:hint="eastAsia"/>
          <w:color w:val="000000"/>
          <w:kern w:val="0"/>
          <w:sz w:val="31"/>
          <w:szCs w:val="31"/>
        </w:rPr>
        <w:t>62.4</w:t>
      </w:r>
      <w:r>
        <w:rPr>
          <w:rFonts w:ascii="仿宋" w:eastAsia="仿宋" w:cs="仿宋_GB2312" w:hAnsi="仿宋"/>
          <w:color w:val="000000"/>
          <w:kern w:val="0"/>
          <w:sz w:val="31"/>
          <w:szCs w:val="31"/>
        </w:rPr>
        <w:t>万元，</w:t>
      </w:r>
      <w:r>
        <w:rPr>
          <w:rFonts w:ascii="仿宋" w:eastAsia="仿宋" w:cs="仿宋_GB2312" w:hAnsi="仿宋" w:hint="eastAsia"/>
          <w:color w:val="000000"/>
          <w:kern w:val="0"/>
          <w:sz w:val="31"/>
          <w:szCs w:val="31"/>
        </w:rPr>
        <w:t>用于</w:t>
      </w:r>
      <w:r>
        <w:rPr>
          <w:rFonts w:ascii="仿宋" w:eastAsia="仿宋" w:cs="仿宋_GB2312" w:hAnsi="仿宋"/>
          <w:color w:val="000000"/>
          <w:kern w:val="0"/>
          <w:sz w:val="31"/>
          <w:szCs w:val="31"/>
        </w:rPr>
        <w:t>保障全局职工工资及时足额发放、社保及时足额缴纳及单位日常运转。</w:t>
      </w:r>
      <w:r>
        <w:rPr>
          <w:rFonts w:ascii="仿宋" w:eastAsia="仿宋" w:cs="仿宋_GB2312" w:hAnsi="仿宋" w:hint="eastAsia"/>
          <w:color w:val="000000"/>
          <w:kern w:val="0"/>
          <w:sz w:val="31"/>
          <w:szCs w:val="31"/>
        </w:rPr>
        <w:t>所有资金</w:t>
      </w:r>
      <w:r>
        <w:rPr>
          <w:rFonts w:ascii="仿宋" w:eastAsia="仿宋" w:cs="仿宋_GB2312" w:hAnsi="仿宋"/>
          <w:color w:val="000000"/>
          <w:kern w:val="0"/>
          <w:sz w:val="31"/>
          <w:szCs w:val="31"/>
        </w:rPr>
        <w:t>均按</w:t>
      </w:r>
      <w:r>
        <w:rPr>
          <w:rFonts w:ascii="仿宋" w:eastAsia="仿宋" w:cs="仿宋_GB2312" w:hAnsi="仿宋" w:hint="eastAsia"/>
          <w:color w:val="000000"/>
          <w:kern w:val="0"/>
          <w:sz w:val="31"/>
          <w:szCs w:val="31"/>
        </w:rPr>
        <w:t>规定进行</w:t>
      </w:r>
      <w:r>
        <w:rPr>
          <w:rFonts w:ascii="仿宋" w:eastAsia="仿宋" w:cs="仿宋_GB2312" w:hAnsi="仿宋"/>
          <w:color w:val="000000"/>
          <w:kern w:val="0"/>
          <w:sz w:val="31"/>
          <w:szCs w:val="31"/>
        </w:rPr>
        <w:t>使用和管理</w:t>
      </w:r>
      <w:r>
        <w:rPr>
          <w:rFonts w:ascii="仿宋" w:eastAsia="仿宋" w:cs="仿宋_GB2312" w:hAnsi="仿宋" w:hint="eastAsia"/>
          <w:color w:val="000000"/>
          <w:kern w:val="0"/>
          <w:sz w:val="31"/>
          <w:szCs w:val="31"/>
        </w:rPr>
        <w:t>，资金按进度支付，预算完成率100%，年末无资金结余，资金使用无违规记录。</w:t>
      </w:r>
      <w:r>
        <w:rPr>
          <w:rFonts w:ascii="仿宋" w:eastAsia="仿宋" w:cs="仿宋_GB2312" w:hAnsi="仿宋"/>
          <w:color w:val="000000"/>
          <w:kern w:val="0"/>
          <w:sz w:val="31"/>
          <w:szCs w:val="31"/>
        </w:rPr>
        <w:t>其中“三公”经费的使用和管理严格规范，接待费支出贯彻落实厉行节约、按照省市</w:t>
      </w:r>
      <w:r>
        <w:rPr>
          <w:rFonts w:ascii="仿宋" w:eastAsia="仿宋" w:cs="仿宋_GB2312" w:hAnsi="仿宋" w:hint="eastAsia"/>
          <w:color w:val="000000"/>
          <w:kern w:val="0"/>
          <w:sz w:val="31"/>
          <w:szCs w:val="31"/>
        </w:rPr>
        <w:t>区</w:t>
      </w:r>
      <w:r>
        <w:rPr>
          <w:rFonts w:ascii="仿宋" w:eastAsia="仿宋" w:cs="仿宋_GB2312" w:hAnsi="仿宋"/>
          <w:color w:val="000000"/>
          <w:kern w:val="0"/>
          <w:sz w:val="31"/>
          <w:szCs w:val="31"/>
        </w:rPr>
        <w:t>关于公务接待的有关文件执行，202</w:t>
      </w:r>
      <w:r>
        <w:rPr>
          <w:rFonts w:ascii="仿宋" w:eastAsia="仿宋" w:cs="仿宋_GB2312" w:hAnsi="仿宋" w:hint="eastAsia"/>
          <w:color w:val="000000"/>
          <w:kern w:val="0"/>
          <w:sz w:val="31"/>
          <w:szCs w:val="31"/>
        </w:rPr>
        <w:t>2</w:t>
      </w:r>
      <w:r>
        <w:rPr>
          <w:rFonts w:ascii="仿宋" w:eastAsia="仿宋" w:cs="仿宋_GB2312" w:hAnsi="仿宋"/>
          <w:color w:val="000000"/>
          <w:kern w:val="0"/>
          <w:sz w:val="31"/>
          <w:szCs w:val="31"/>
        </w:rPr>
        <w:t>年度我局没有因公出国（境）情况。</w:t>
      </w:r>
    </w:p>
    <w:p>
      <w:pPr>
        <w:widowControl/>
        <w:adjustRightInd w:val="0"/>
        <w:snapToGrid w:val="0"/>
        <w:spacing w:line="560" w:lineRule="exact"/>
        <w:ind w:firstLineChars="200" w:firstLine="640"/>
        <w:contextualSpacing/>
        <w:jc w:val="left"/>
        <w:rPr>
          <w:rFonts w:ascii="仿宋" w:eastAsia="仿宋" w:cs="仿宋_GB2312" w:hAnsi="仿宋"/>
          <w:kern w:val="0"/>
          <w:sz w:val="32"/>
          <w:szCs w:val="32"/>
          <w:shd w:val="clear" w:color="auto" w:fill="FFFFFF"/>
        </w:rPr>
      </w:pPr>
      <w:r>
        <w:rPr>
          <w:rFonts w:ascii="仿宋" w:eastAsia="仿宋" w:cs="仿宋_GB2312" w:hAnsi="仿宋" w:hint="eastAsia"/>
          <w:kern w:val="0"/>
          <w:sz w:val="32"/>
          <w:szCs w:val="32"/>
          <w:shd w:val="clear" w:color="auto" w:fill="FFFFFF"/>
        </w:rPr>
        <w:t>2.运转类项目绩效分析</w:t>
      </w:r>
    </w:p>
    <w:p>
      <w:pPr>
        <w:widowControl/>
        <w:ind w:firstLineChars="200" w:firstLine="620"/>
        <w:jc w:val="left"/>
        <w:rPr>
          <w:rFonts w:ascii="仿宋" w:eastAsia="仿宋" w:cs="仿宋_GB2312" w:hAnsi="仿宋"/>
          <w:kern w:val="0"/>
          <w:sz w:val="32"/>
          <w:szCs w:val="32"/>
          <w:shd w:val="clear" w:color="auto" w:fill="FFFFFF"/>
        </w:rPr>
      </w:pPr>
      <w:r>
        <w:rPr>
          <w:rFonts w:ascii="仿宋" w:eastAsia="仿宋" w:cs="仿宋_GB2312" w:hAnsi="仿宋"/>
          <w:color w:val="000000"/>
          <w:kern w:val="0"/>
          <w:sz w:val="31"/>
          <w:szCs w:val="31"/>
        </w:rPr>
        <w:t>202</w:t>
      </w:r>
      <w:r>
        <w:rPr>
          <w:rFonts w:ascii="仿宋" w:eastAsia="仿宋" w:cs="仿宋_GB2312" w:hAnsi="仿宋" w:hint="eastAsia"/>
          <w:color w:val="000000"/>
          <w:kern w:val="0"/>
          <w:sz w:val="31"/>
          <w:szCs w:val="31"/>
        </w:rPr>
        <w:t>2</w:t>
      </w:r>
      <w:r>
        <w:rPr>
          <w:rFonts w:ascii="仿宋" w:eastAsia="仿宋" w:cs="仿宋_GB2312" w:hAnsi="仿宋"/>
          <w:color w:val="000000"/>
          <w:kern w:val="0"/>
          <w:sz w:val="31"/>
          <w:szCs w:val="31"/>
        </w:rPr>
        <w:t>年度运转类项目支出</w:t>
      </w:r>
      <w:r>
        <w:rPr>
          <w:rFonts w:ascii="仿宋" w:eastAsia="仿宋" w:cs="仿宋_GB2312" w:hAnsi="仿宋" w:hint="eastAsia"/>
          <w:color w:val="000000"/>
          <w:kern w:val="0"/>
          <w:sz w:val="31"/>
          <w:szCs w:val="31"/>
        </w:rPr>
        <w:t>150.5</w:t>
      </w:r>
      <w:r>
        <w:rPr>
          <w:rFonts w:ascii="仿宋" w:eastAsia="仿宋" w:cs="仿宋_GB2312" w:hAnsi="仿宋"/>
          <w:color w:val="000000"/>
          <w:kern w:val="0"/>
          <w:sz w:val="31"/>
          <w:szCs w:val="31"/>
        </w:rPr>
        <w:t>万元，其中：</w:t>
      </w:r>
      <w:r>
        <w:rPr>
          <w:rFonts w:ascii="仿宋" w:eastAsia="仿宋" w:cs="仿宋_GB2312" w:hAnsi="仿宋" w:hint="eastAsia"/>
          <w:color w:val="000000"/>
          <w:kern w:val="0"/>
          <w:sz w:val="31"/>
          <w:szCs w:val="31"/>
        </w:rPr>
        <w:t>参加全国、省市统一审计项目59.04万元</w:t>
      </w:r>
      <w:r>
        <w:rPr>
          <w:rFonts w:ascii="仿宋" w:eastAsia="仿宋" w:cs="仿宋_GB2312" w:hAnsi="仿宋"/>
          <w:color w:val="000000"/>
          <w:kern w:val="0"/>
          <w:sz w:val="31"/>
          <w:szCs w:val="31"/>
        </w:rPr>
        <w:t>主</w:t>
      </w:r>
      <w:r>
        <w:rPr>
          <w:rFonts w:ascii="仿宋" w:eastAsia="仿宋" w:cs="仿宋_GB2312" w:hAnsi="仿宋" w:hint="eastAsia"/>
          <w:color w:val="000000"/>
          <w:kern w:val="0"/>
          <w:sz w:val="31"/>
          <w:szCs w:val="31"/>
        </w:rPr>
        <w:t>，</w:t>
      </w:r>
      <w:r>
        <w:rPr>
          <w:rFonts w:ascii="仿宋" w:eastAsia="仿宋" w:cs="仿宋_GB2312" w:hAnsi="仿宋"/>
          <w:color w:val="000000"/>
          <w:kern w:val="0"/>
          <w:sz w:val="31"/>
          <w:szCs w:val="31"/>
        </w:rPr>
        <w:t>要用于完成全年</w:t>
      </w:r>
      <w:r>
        <w:rPr>
          <w:rFonts w:ascii="仿宋" w:eastAsia="仿宋" w:cs="仿宋_GB2312" w:hAnsi="仿宋" w:hint="eastAsia"/>
          <w:color w:val="000000"/>
          <w:kern w:val="0"/>
          <w:sz w:val="31"/>
          <w:szCs w:val="31"/>
        </w:rPr>
        <w:t>审计人员外出审计</w:t>
      </w:r>
      <w:r>
        <w:rPr>
          <w:rFonts w:ascii="仿宋" w:eastAsia="仿宋" w:cs="仿宋_GB2312" w:hAnsi="仿宋"/>
          <w:color w:val="000000"/>
          <w:kern w:val="0"/>
          <w:sz w:val="31"/>
          <w:szCs w:val="31"/>
        </w:rPr>
        <w:t>所需的办公费、</w:t>
      </w:r>
      <w:r>
        <w:rPr>
          <w:rFonts w:ascii="仿宋" w:eastAsia="仿宋" w:cs="仿宋_GB2312" w:hAnsi="仿宋" w:hint="eastAsia"/>
          <w:color w:val="000000"/>
          <w:kern w:val="0"/>
          <w:sz w:val="31"/>
          <w:szCs w:val="31"/>
        </w:rPr>
        <w:t>交通费、住宿费</w:t>
      </w:r>
      <w:r>
        <w:rPr>
          <w:rFonts w:ascii="仿宋" w:eastAsia="仿宋" w:cs="仿宋_GB2312" w:hAnsi="仿宋"/>
          <w:color w:val="000000"/>
          <w:kern w:val="0"/>
          <w:sz w:val="31"/>
          <w:szCs w:val="31"/>
        </w:rPr>
        <w:t>等运转支出，确保全</w:t>
      </w:r>
      <w:r>
        <w:rPr>
          <w:rFonts w:ascii="仿宋" w:eastAsia="仿宋" w:cs="仿宋_GB2312" w:hAnsi="仿宋" w:hint="eastAsia"/>
          <w:color w:val="000000"/>
          <w:kern w:val="0"/>
          <w:sz w:val="31"/>
          <w:szCs w:val="31"/>
        </w:rPr>
        <w:t>区</w:t>
      </w:r>
      <w:r>
        <w:rPr>
          <w:rFonts w:ascii="仿宋" w:eastAsia="仿宋" w:cs="仿宋_GB2312" w:hAnsi="仿宋"/>
          <w:color w:val="000000"/>
          <w:kern w:val="0"/>
          <w:sz w:val="31"/>
          <w:szCs w:val="31"/>
        </w:rPr>
        <w:t>审计工作</w:t>
      </w:r>
      <w:r>
        <w:rPr>
          <w:rFonts w:ascii="仿宋" w:eastAsia="仿宋" w:cs="仿宋_GB2312" w:hAnsi="仿宋" w:hint="eastAsia"/>
          <w:color w:val="000000"/>
          <w:kern w:val="0"/>
          <w:sz w:val="31"/>
          <w:szCs w:val="31"/>
        </w:rPr>
        <w:t>正常开展</w:t>
      </w:r>
      <w:r>
        <w:rPr>
          <w:rFonts w:ascii="仿宋" w:eastAsia="仿宋" w:cs="仿宋_GB2312" w:hAnsi="仿宋"/>
          <w:color w:val="000000"/>
          <w:kern w:val="0"/>
          <w:sz w:val="31"/>
          <w:szCs w:val="31"/>
        </w:rPr>
        <w:t>；</w:t>
      </w:r>
      <w:r>
        <w:rPr>
          <w:rFonts w:ascii="仿宋" w:eastAsia="仿宋" w:cs="仿宋_GB2312" w:hAnsi="仿宋" w:hint="eastAsia"/>
          <w:color w:val="000000"/>
          <w:kern w:val="0"/>
          <w:sz w:val="31"/>
          <w:szCs w:val="31"/>
        </w:rPr>
        <w:t>审计事务外调项目74.46</w:t>
      </w:r>
      <w:r>
        <w:rPr>
          <w:rFonts w:ascii="仿宋" w:eastAsia="仿宋" w:cs="仿宋_GB2312" w:hAnsi="仿宋"/>
          <w:color w:val="000000"/>
          <w:kern w:val="0"/>
          <w:sz w:val="31"/>
          <w:szCs w:val="31"/>
        </w:rPr>
        <w:t>万元，</w:t>
      </w:r>
      <w:r>
        <w:rPr>
          <w:rFonts w:ascii="仿宋" w:eastAsia="仿宋" w:cs="仿宋_GB2312" w:hAnsi="仿宋" w:hint="eastAsia"/>
          <w:color w:val="000000"/>
          <w:kern w:val="0"/>
          <w:sz w:val="31"/>
          <w:szCs w:val="31"/>
        </w:rPr>
        <w:t>主要用于开展区域内审计工作发生的交通费、住宿费及差旅费补助等支出，确保全区审计工作的正常开展；审计项目管理费17万元，主要用于政府重大跟踪审计项目对中介机构的审计质量控制、审计人员参加职称考试等支出。所有资金</w:t>
      </w:r>
      <w:r>
        <w:rPr>
          <w:rFonts w:ascii="仿宋" w:eastAsia="仿宋" w:cs="仿宋_GB2312" w:hAnsi="仿宋"/>
          <w:color w:val="000000"/>
          <w:kern w:val="0"/>
          <w:sz w:val="31"/>
          <w:szCs w:val="31"/>
        </w:rPr>
        <w:t>均按</w:t>
      </w:r>
      <w:r>
        <w:rPr>
          <w:rFonts w:ascii="仿宋" w:eastAsia="仿宋" w:cs="仿宋_GB2312" w:hAnsi="仿宋" w:hint="eastAsia"/>
          <w:color w:val="000000"/>
          <w:kern w:val="0"/>
          <w:sz w:val="31"/>
          <w:szCs w:val="31"/>
        </w:rPr>
        <w:t>规定进行</w:t>
      </w:r>
      <w:r>
        <w:rPr>
          <w:rFonts w:ascii="仿宋" w:eastAsia="仿宋" w:cs="仿宋_GB2312" w:hAnsi="仿宋"/>
          <w:color w:val="000000"/>
          <w:kern w:val="0"/>
          <w:sz w:val="31"/>
          <w:szCs w:val="31"/>
        </w:rPr>
        <w:t>使用和管理</w:t>
      </w:r>
      <w:r>
        <w:rPr>
          <w:rFonts w:ascii="仿宋" w:eastAsia="仿宋" w:cs="仿宋_GB2312" w:hAnsi="仿宋" w:hint="eastAsia"/>
          <w:color w:val="000000"/>
          <w:kern w:val="0"/>
          <w:sz w:val="31"/>
          <w:szCs w:val="31"/>
        </w:rPr>
        <w:t>，资金按进度支付，预算完成率100%，年末无资金结余，资金使用无违规记录。</w:t>
      </w:r>
    </w:p>
    <w:p>
      <w:pPr>
        <w:widowControl/>
        <w:adjustRightInd w:val="0"/>
        <w:snapToGrid w:val="0"/>
        <w:spacing w:line="560" w:lineRule="exact"/>
        <w:ind w:firstLineChars="200" w:firstLine="640"/>
        <w:contextualSpacing/>
        <w:jc w:val="left"/>
        <w:rPr>
          <w:rFonts w:ascii="仿宋" w:eastAsia="仿宋" w:cs="仿宋_GB2312" w:hAnsi="仿宋"/>
          <w:kern w:val="0"/>
          <w:sz w:val="32"/>
          <w:szCs w:val="32"/>
          <w:shd w:val="clear" w:color="auto" w:fill="FFFFFF"/>
        </w:rPr>
      </w:pPr>
      <w:r>
        <w:rPr>
          <w:rFonts w:ascii="仿宋" w:eastAsia="仿宋" w:cs="仿宋_GB2312" w:hAnsi="仿宋" w:hint="eastAsia"/>
          <w:kern w:val="0"/>
          <w:sz w:val="32"/>
          <w:szCs w:val="32"/>
          <w:shd w:val="clear" w:color="auto" w:fill="FFFFFF"/>
        </w:rPr>
        <w:t>3.特定目标类项目绩效分析</w:t>
      </w:r>
    </w:p>
    <w:p>
      <w:pPr>
        <w:widowControl/>
        <w:ind w:firstLineChars="200" w:firstLine="620"/>
        <w:jc w:val="left"/>
        <w:rPr>
          <w:rFonts w:ascii="仿宋" w:eastAsia="仿宋" w:hAnsi="仿宋"/>
        </w:rPr>
      </w:pPr>
      <w:r>
        <w:rPr>
          <w:rFonts w:ascii="仿宋" w:eastAsia="仿宋" w:cs="仿宋_GB2312" w:hAnsi="仿宋"/>
          <w:color w:val="000000"/>
          <w:kern w:val="0"/>
          <w:sz w:val="31"/>
          <w:szCs w:val="31"/>
        </w:rPr>
        <w:t>202</w:t>
      </w:r>
      <w:r>
        <w:rPr>
          <w:rFonts w:ascii="仿宋" w:eastAsia="仿宋" w:cs="仿宋_GB2312" w:hAnsi="仿宋" w:hint="eastAsia"/>
          <w:color w:val="000000"/>
          <w:kern w:val="0"/>
          <w:sz w:val="31"/>
          <w:szCs w:val="31"/>
        </w:rPr>
        <w:t>2</w:t>
      </w:r>
      <w:r>
        <w:rPr>
          <w:rFonts w:ascii="仿宋" w:eastAsia="仿宋" w:cs="仿宋_GB2312" w:hAnsi="仿宋"/>
          <w:color w:val="000000"/>
          <w:kern w:val="0"/>
          <w:sz w:val="31"/>
          <w:szCs w:val="31"/>
        </w:rPr>
        <w:t>年度特定目标类项目</w:t>
      </w:r>
      <w:r>
        <w:rPr>
          <w:rFonts w:ascii="仿宋" w:eastAsia="仿宋" w:cs="仿宋_GB2312" w:hAnsi="仿宋" w:hint="eastAsia"/>
          <w:color w:val="000000"/>
          <w:kern w:val="0"/>
          <w:sz w:val="31"/>
          <w:szCs w:val="31"/>
        </w:rPr>
        <w:t>预算收入336.85万元，决算</w:t>
      </w:r>
      <w:r>
        <w:rPr>
          <w:rFonts w:ascii="仿宋" w:eastAsia="仿宋" w:cs="仿宋_GB2312" w:hAnsi="仿宋"/>
          <w:color w:val="000000"/>
          <w:kern w:val="0"/>
          <w:sz w:val="31"/>
          <w:szCs w:val="31"/>
        </w:rPr>
        <w:t>支出</w:t>
      </w:r>
      <w:r>
        <w:rPr>
          <w:rFonts w:ascii="仿宋" w:eastAsia="仿宋" w:cs="仿宋_GB2312" w:hAnsi="仿宋" w:hint="eastAsia"/>
          <w:color w:val="000000"/>
          <w:kern w:val="0"/>
          <w:sz w:val="31"/>
          <w:szCs w:val="31"/>
        </w:rPr>
        <w:t>336.85</w:t>
      </w:r>
      <w:r>
        <w:rPr>
          <w:rFonts w:ascii="仿宋" w:eastAsia="仿宋" w:cs="仿宋_GB2312" w:hAnsi="仿宋"/>
          <w:color w:val="000000"/>
          <w:kern w:val="0"/>
          <w:sz w:val="31"/>
          <w:szCs w:val="31"/>
        </w:rPr>
        <w:t>万元，</w:t>
      </w:r>
      <w:r>
        <w:rPr>
          <w:rFonts w:ascii="仿宋" w:eastAsia="仿宋" w:cs="仿宋_GB2312" w:hAnsi="仿宋" w:hint="eastAsia"/>
          <w:color w:val="000000"/>
          <w:kern w:val="0"/>
          <w:sz w:val="31"/>
          <w:szCs w:val="31"/>
        </w:rPr>
        <w:t>资金支付率100%</w:t>
      </w:r>
      <w:r>
        <w:rPr>
          <w:rFonts w:ascii="仿宋" w:eastAsia="仿宋" w:cs="仿宋_GB2312" w:hAnsi="仿宋"/>
          <w:color w:val="000000"/>
          <w:kern w:val="0"/>
          <w:sz w:val="31"/>
          <w:szCs w:val="31"/>
        </w:rPr>
        <w:t>其中</w:t>
      </w:r>
      <w:r>
        <w:rPr>
          <w:rFonts w:ascii="仿宋" w:eastAsia="仿宋" w:cs="仿宋_GB2312" w:hAnsi="仿宋" w:hint="eastAsia"/>
          <w:color w:val="000000"/>
          <w:kern w:val="0"/>
          <w:sz w:val="31"/>
          <w:szCs w:val="31"/>
        </w:rPr>
        <w:t>：中介机构财务审计服务项目总收入45万元，全部为本年预算收入，支出45万元，资金支付率100%，主要用于聘请社会机构组织人员参与项目审计支付劳务费；政府固定资产投资审计聘请中介机构服务项目总收入188.81万元，其中：年初结转预算收入85.01万元，本年预算收入103.8万元，支出188.81万元资金支付率100%，主要用于政府重大固定资产投资工程结算审计，按合同约定支付审计服务费；政府重大投资项目聘请中介机构跟踪审计服务项目总收103.04万元，其中：年初结转预算收入51.44万元，年初预算26万元，年中追加25.5万元，本年预算收入51.6万元，主要用于政府重大投资项目聘请社会机构跟踪审计，按合同约定支付审计服务费。所有资金</w:t>
      </w:r>
      <w:r>
        <w:rPr>
          <w:rFonts w:ascii="仿宋" w:eastAsia="仿宋" w:cs="仿宋_GB2312" w:hAnsi="仿宋"/>
          <w:color w:val="000000"/>
          <w:kern w:val="0"/>
          <w:sz w:val="31"/>
          <w:szCs w:val="31"/>
        </w:rPr>
        <w:t>均按</w:t>
      </w:r>
      <w:r>
        <w:rPr>
          <w:rFonts w:ascii="仿宋" w:eastAsia="仿宋" w:cs="仿宋_GB2312" w:hAnsi="仿宋" w:hint="eastAsia"/>
          <w:color w:val="000000"/>
          <w:kern w:val="0"/>
          <w:sz w:val="31"/>
          <w:szCs w:val="31"/>
        </w:rPr>
        <w:t>规定进行</w:t>
      </w:r>
      <w:r>
        <w:rPr>
          <w:rFonts w:ascii="仿宋" w:eastAsia="仿宋" w:cs="仿宋_GB2312" w:hAnsi="仿宋"/>
          <w:color w:val="000000"/>
          <w:kern w:val="0"/>
          <w:sz w:val="31"/>
          <w:szCs w:val="31"/>
        </w:rPr>
        <w:t>使用和管理</w:t>
      </w:r>
      <w:r>
        <w:rPr>
          <w:rFonts w:ascii="仿宋" w:eastAsia="仿宋" w:cs="仿宋_GB2312" w:hAnsi="仿宋" w:hint="eastAsia"/>
          <w:color w:val="000000"/>
          <w:kern w:val="0"/>
          <w:sz w:val="31"/>
          <w:szCs w:val="31"/>
        </w:rPr>
        <w:t>，资金按进度支付，预算完成率100%，年末无资金结余，资金使用无违规记录。</w:t>
      </w:r>
    </w:p>
    <w:p>
      <w:pPr>
        <w:widowControl/>
        <w:adjustRightInd w:val="0"/>
        <w:snapToGrid w:val="0"/>
        <w:spacing w:line="560" w:lineRule="exact"/>
        <w:ind w:firstLineChars="200" w:firstLine="640"/>
        <w:contextualSpacing/>
        <w:jc w:val="left"/>
        <w:rPr>
          <w:rFonts w:ascii="楷体_GB2312" w:eastAsia="楷体_GB2312" w:cs="楷体_GB2312" w:hAnsi="楷体_GB2312"/>
          <w:b/>
          <w:bCs/>
          <w:kern w:val="0"/>
          <w:sz w:val="32"/>
          <w:szCs w:val="32"/>
          <w:shd w:val="clear" w:color="auto" w:fill="FFFFFF"/>
          <w:lang w:val="zh-CN"/>
        </w:rPr>
      </w:pPr>
      <w:r>
        <w:rPr>
          <w:rFonts w:ascii="楷体_GB2312" w:eastAsia="楷体_GB2312" w:cs="楷体_GB2312" w:hAnsi="楷体_GB2312" w:hint="eastAsia"/>
          <w:b/>
          <w:bCs/>
          <w:kern w:val="0"/>
          <w:sz w:val="32"/>
          <w:szCs w:val="32"/>
          <w:shd w:val="clear" w:color="auto" w:fill="FFFFFF"/>
          <w:lang w:val="zh-CN"/>
        </w:rPr>
        <w:t>（二）部门整体履职绩效分析。</w:t>
      </w:r>
    </w:p>
    <w:p>
      <w:pPr>
        <w:widowControl/>
        <w:adjustRightInd w:val="0"/>
        <w:snapToGrid w:val="0"/>
        <w:spacing w:line="560" w:lineRule="exact"/>
        <w:ind w:firstLineChars="200" w:firstLine="640"/>
        <w:contextualSpacing/>
        <w:jc w:val="left"/>
        <w:rPr>
          <w:rFonts w:ascii="仿宋" w:eastAsia="仿宋" w:cs="仿宋_GB2312" w:hAnsi="仿宋"/>
          <w:kern w:val="0"/>
          <w:sz w:val="32"/>
          <w:szCs w:val="32"/>
          <w:shd w:val="clear" w:color="auto" w:fill="FFFFFF"/>
        </w:rPr>
      </w:pPr>
      <w:r>
        <w:rPr>
          <w:rFonts w:ascii="仿宋" w:eastAsia="仿宋" w:cs="仿宋_GB2312" w:hAnsi="仿宋"/>
          <w:kern w:val="0"/>
          <w:sz w:val="32"/>
          <w:szCs w:val="32"/>
          <w:shd w:val="clear" w:color="auto" w:fill="FFFFFF"/>
        </w:rPr>
        <w:t>按照相关要求，我局制定了2022年度部门整体支出绩效目标，绩效目标反映了相应工作任务，其要素较为完整,且绩效指标细化量化，在预算执行中严格按照项目绩效目标执行。一是严格资金使用管理，规范公用经费和项目支出</w:t>
      </w:r>
      <w:r>
        <w:rPr>
          <w:rFonts w:ascii="仿宋" w:eastAsia="仿宋" w:cs="仿宋_GB2312" w:hAnsi="仿宋" w:hint="eastAsia"/>
          <w:kern w:val="0"/>
          <w:sz w:val="32"/>
          <w:szCs w:val="32"/>
          <w:shd w:val="clear" w:color="auto" w:fill="FFFFFF"/>
        </w:rPr>
        <w:t>，做到专款专用</w:t>
      </w:r>
      <w:r>
        <w:rPr>
          <w:rFonts w:ascii="仿宋" w:eastAsia="仿宋" w:cs="仿宋_GB2312" w:hAnsi="仿宋"/>
          <w:kern w:val="0"/>
          <w:sz w:val="32"/>
          <w:szCs w:val="32"/>
          <w:shd w:val="clear" w:color="auto" w:fill="FFFFFF"/>
        </w:rPr>
        <w:t>，严格按照</w:t>
      </w:r>
      <w:r>
        <w:rPr>
          <w:rFonts w:ascii="仿宋" w:eastAsia="仿宋" w:cs="仿宋_GB2312" w:hAnsi="仿宋" w:hint="eastAsia"/>
          <w:kern w:val="0"/>
          <w:sz w:val="32"/>
          <w:szCs w:val="32"/>
          <w:shd w:val="clear" w:color="auto" w:fill="FFFFFF"/>
        </w:rPr>
        <w:t>制度的</w:t>
      </w:r>
      <w:r>
        <w:rPr>
          <w:rFonts w:ascii="仿宋" w:eastAsia="仿宋" w:cs="仿宋_GB2312" w:hAnsi="仿宋"/>
          <w:kern w:val="0"/>
          <w:sz w:val="32"/>
          <w:szCs w:val="32"/>
          <w:shd w:val="clear" w:color="auto" w:fill="FFFFFF"/>
        </w:rPr>
        <w:t>项目绩效目标执行预算，不随意调整绩效目标。二是加强预算执行和财务管理，严格把关审批用款计划。严格按照预算、用款计划项目进度和规定程序及时办理资金支付。三是总结提高，通过</w:t>
      </w:r>
      <w:r>
        <w:rPr>
          <w:rFonts w:ascii="仿宋" w:eastAsia="仿宋" w:cs="仿宋_GB2312" w:hAnsi="仿宋" w:hint="eastAsia"/>
          <w:kern w:val="0"/>
          <w:sz w:val="32"/>
          <w:szCs w:val="32"/>
          <w:shd w:val="clear" w:color="auto" w:fill="FFFFFF"/>
        </w:rPr>
        <w:t>绩效自评、</w:t>
      </w:r>
      <w:r>
        <w:rPr>
          <w:rFonts w:ascii="仿宋" w:eastAsia="仿宋" w:cs="仿宋_GB2312" w:hAnsi="仿宋"/>
          <w:kern w:val="0"/>
          <w:sz w:val="32"/>
          <w:szCs w:val="32"/>
          <w:shd w:val="clear" w:color="auto" w:fill="FFFFFF"/>
        </w:rPr>
        <w:t>决算编报、决算数据分析等工作，进一步提升财务管理水平。</w:t>
      </w:r>
    </w:p>
    <w:p>
      <w:pPr>
        <w:widowControl/>
        <w:adjustRightInd w:val="0"/>
        <w:snapToGrid w:val="0"/>
        <w:spacing w:line="560" w:lineRule="exact"/>
        <w:ind w:firstLineChars="200" w:firstLine="640"/>
        <w:contextualSpacing/>
        <w:jc w:val="left"/>
        <w:rPr>
          <w:rFonts w:ascii="楷体_GB2312" w:eastAsia="楷体_GB2312" w:cs="楷体_GB2312" w:hAnsi="楷体_GB2312"/>
          <w:b/>
          <w:bCs/>
          <w:kern w:val="0"/>
          <w:sz w:val="32"/>
          <w:szCs w:val="32"/>
          <w:shd w:val="clear" w:color="auto" w:fill="FFFFFF"/>
          <w:lang w:val="zh-CN"/>
        </w:rPr>
      </w:pPr>
      <w:r>
        <w:rPr>
          <w:rFonts w:ascii="楷体_GB2312" w:eastAsia="楷体_GB2312" w:cs="楷体_GB2312" w:hAnsi="楷体_GB2312" w:hint="eastAsia"/>
          <w:b/>
          <w:bCs/>
          <w:kern w:val="0"/>
          <w:sz w:val="32"/>
          <w:szCs w:val="32"/>
          <w:shd w:val="clear" w:color="auto" w:fill="FFFFFF"/>
          <w:lang w:val="zh-CN"/>
        </w:rPr>
        <w:t>（三）结果应用情况。</w:t>
      </w:r>
    </w:p>
    <w:p>
      <w:pPr>
        <w:pStyle w:val="37"/>
        <w:spacing w:line="560" w:lineRule="exact"/>
        <w:ind w:firstLineChars="200" w:firstLine="620"/>
        <w:rPr>
          <w:rFonts w:ascii="仿宋" w:eastAsia="仿宋" w:cs="仿宋_GB2312" w:hAnsi="仿宋"/>
          <w:color w:val="000000"/>
          <w:kern w:val="0"/>
          <w:sz w:val="31"/>
          <w:szCs w:val="31"/>
        </w:rPr>
      </w:pPr>
      <w:r>
        <w:rPr>
          <w:rFonts w:ascii="仿宋" w:eastAsia="仿宋" w:cs="仿宋_GB2312" w:hAnsi="仿宋" w:hint="eastAsia"/>
          <w:color w:val="000000"/>
          <w:kern w:val="0"/>
          <w:sz w:val="31"/>
          <w:szCs w:val="31"/>
        </w:rPr>
        <w:t>此次绩效评价目的是严格落实《预算法》及省、市、区绩效管理的有关规定，进一步规范财政资金的管理，强化财政资金支出绩效理念，提升部门责任意识，提高资金使用效益，促进审计事业全面发展。并按要求将相关绩效信息随部门预决算一并在利州区政府门户网站公开。进一步细化绩效管理工作考核内容，加强各业务股室与绩效管理工作的联系，推动绩效管理工作更好的实施。通过实施绩效评价，项目支出及“三公”经费支出下降比例较高。</w:t>
      </w:r>
    </w:p>
    <w:p>
      <w:pPr>
        <w:widowControl/>
        <w:numPr>
          <w:ilvl w:val="0"/>
          <w:numId w:val="7"/>
        </w:numPr>
        <w:adjustRightInd w:val="0"/>
        <w:snapToGrid w:val="0"/>
        <w:spacing w:line="560" w:lineRule="exact"/>
        <w:ind w:left="0" w:firstLineChars="200" w:firstLine="640"/>
        <w:contextualSpacing/>
        <w:jc w:val="left"/>
        <w:rPr>
          <w:rFonts w:ascii="楷体_GB2312" w:eastAsia="楷体_GB2312" w:cs="楷体_GB2312" w:hAnsi="楷体_GB2312"/>
          <w:b/>
          <w:bCs/>
          <w:kern w:val="0"/>
          <w:sz w:val="32"/>
          <w:szCs w:val="32"/>
          <w:shd w:val="clear" w:color="auto" w:fill="FFFFFF"/>
          <w:lang w:val="zh-CN"/>
        </w:rPr>
      </w:pPr>
      <w:r>
        <w:rPr>
          <w:rFonts w:ascii="楷体_GB2312" w:eastAsia="楷体_GB2312" w:cs="楷体_GB2312" w:hAnsi="楷体_GB2312" w:hint="eastAsia"/>
          <w:b/>
          <w:bCs/>
          <w:kern w:val="0"/>
          <w:sz w:val="32"/>
          <w:szCs w:val="32"/>
          <w:shd w:val="clear" w:color="auto" w:fill="FFFFFF"/>
          <w:lang w:val="zh-CN"/>
        </w:rPr>
        <w:t>自评质量。</w:t>
      </w:r>
    </w:p>
    <w:p>
      <w:pPr>
        <w:widowControl/>
        <w:ind w:firstLineChars="200" w:firstLine="620"/>
        <w:jc w:val="left"/>
        <w:rPr>
          <w:rFonts w:ascii="仿宋" w:eastAsia="仿宋" w:cs="仿宋_GB2312" w:hAnsi="仿宋"/>
          <w:color w:val="000000"/>
          <w:kern w:val="0"/>
          <w:sz w:val="31"/>
          <w:szCs w:val="31"/>
        </w:rPr>
      </w:pPr>
      <w:r>
        <w:rPr>
          <w:rFonts w:ascii="仿宋" w:eastAsia="仿宋" w:cs="仿宋_GB2312" w:hAnsi="仿宋"/>
          <w:color w:val="000000"/>
          <w:kern w:val="0"/>
          <w:sz w:val="31"/>
          <w:szCs w:val="31"/>
        </w:rPr>
        <w:t>按照相关要求，我局制定了202</w:t>
      </w:r>
      <w:r>
        <w:rPr>
          <w:rFonts w:ascii="仿宋" w:eastAsia="仿宋" w:cs="仿宋_GB2312" w:hAnsi="仿宋" w:hint="eastAsia"/>
          <w:color w:val="000000"/>
          <w:kern w:val="0"/>
          <w:sz w:val="31"/>
          <w:szCs w:val="31"/>
        </w:rPr>
        <w:t>2</w:t>
      </w:r>
      <w:r>
        <w:rPr>
          <w:rFonts w:ascii="仿宋" w:eastAsia="仿宋" w:cs="仿宋_GB2312" w:hAnsi="仿宋"/>
          <w:color w:val="000000"/>
          <w:kern w:val="0"/>
          <w:sz w:val="31"/>
          <w:szCs w:val="31"/>
        </w:rPr>
        <w:t>年度部门整体支出绩效目标，绩效目标反映了相应工作任务，其要素较为完整,且绩效指标细化量化，在预算执行中严格按照项目绩效目标执行预算。一是严格资金使用管理，规范公用经费和项目支出，严格按照项目绩效目标执行预算，不随意调整绩效目标。二是加强预算执行和财务管理，严格把关审批用款计划。要求严格按照预算、用款计划项目进度和规定程序及时办理资金支付。</w:t>
      </w:r>
      <w:r>
        <w:rPr>
          <w:rFonts w:ascii="仿宋" w:eastAsia="仿宋" w:cs="仿宋_GB2312" w:hAnsi="仿宋" w:hint="eastAsia"/>
          <w:color w:val="000000"/>
          <w:kern w:val="0"/>
          <w:sz w:val="31"/>
          <w:szCs w:val="31"/>
        </w:rPr>
        <w:t>通过自评</w:t>
      </w:r>
      <w:r>
        <w:rPr>
          <w:rFonts w:ascii="仿宋" w:eastAsia="仿宋" w:cs="仿宋_GB2312" w:hAnsi="仿宋"/>
          <w:color w:val="000000"/>
          <w:kern w:val="0"/>
          <w:sz w:val="31"/>
          <w:szCs w:val="31"/>
        </w:rPr>
        <w:t>2022年度部门整体预算绩效</w:t>
      </w:r>
      <w:r>
        <w:rPr>
          <w:rFonts w:ascii="仿宋" w:eastAsia="仿宋" w:cs="仿宋_GB2312" w:hAnsi="仿宋" w:hint="eastAsia"/>
          <w:color w:val="000000"/>
          <w:kern w:val="0"/>
          <w:sz w:val="31"/>
          <w:szCs w:val="31"/>
        </w:rPr>
        <w:t>目标</w:t>
      </w:r>
      <w:r>
        <w:rPr>
          <w:rFonts w:ascii="仿宋" w:eastAsia="仿宋" w:cs="仿宋_GB2312" w:hAnsi="仿宋"/>
          <w:color w:val="000000"/>
          <w:kern w:val="0"/>
          <w:sz w:val="31"/>
          <w:szCs w:val="31"/>
        </w:rPr>
        <w:t>质量</w:t>
      </w:r>
      <w:r>
        <w:rPr>
          <w:rFonts w:ascii="仿宋" w:eastAsia="仿宋" w:cs="仿宋_GB2312" w:hAnsi="仿宋" w:hint="eastAsia"/>
          <w:color w:val="000000"/>
          <w:kern w:val="0"/>
          <w:sz w:val="31"/>
          <w:szCs w:val="31"/>
        </w:rPr>
        <w:t>为</w:t>
      </w:r>
      <w:r>
        <w:rPr>
          <w:rFonts w:ascii="仿宋" w:eastAsia="仿宋" w:cs="仿宋_GB2312" w:hAnsi="仿宋"/>
          <w:color w:val="000000"/>
          <w:kern w:val="0"/>
          <w:sz w:val="31"/>
          <w:szCs w:val="31"/>
        </w:rPr>
        <w:t>优</w:t>
      </w:r>
      <w:r>
        <w:rPr>
          <w:rFonts w:ascii="仿宋" w:eastAsia="仿宋" w:cs="仿宋_GB2312" w:hAnsi="仿宋" w:hint="eastAsia"/>
          <w:color w:val="000000"/>
          <w:kern w:val="0"/>
          <w:sz w:val="31"/>
          <w:szCs w:val="31"/>
        </w:rPr>
        <w:t>等级。</w:t>
      </w:r>
    </w:p>
    <w:p>
      <w:pPr>
        <w:widowControl/>
        <w:ind w:firstLineChars="200" w:firstLine="640"/>
        <w:jc w:val="left"/>
        <w:rPr>
          <w:rFonts w:ascii="黑体" w:eastAsia="黑体" w:cs="宋体" w:hAnsi="宋体"/>
          <w:kern w:val="0"/>
          <w:sz w:val="32"/>
          <w:szCs w:val="32"/>
          <w:shd w:val="clear" w:color="auto" w:fill="FFFFFF"/>
        </w:rPr>
      </w:pPr>
      <w:r>
        <w:rPr>
          <w:rFonts w:ascii="黑体" w:eastAsia="黑体" w:cs="宋体" w:hAnsi="宋体" w:hint="eastAsia"/>
          <w:kern w:val="0"/>
          <w:sz w:val="32"/>
          <w:szCs w:val="32"/>
          <w:shd w:val="clear" w:color="auto" w:fill="FFFFFF"/>
        </w:rPr>
        <w:t>四、评价结论及建议</w:t>
      </w:r>
    </w:p>
    <w:p>
      <w:pPr>
        <w:widowControl/>
        <w:adjustRightInd w:val="0"/>
        <w:snapToGrid w:val="0"/>
        <w:spacing w:line="560" w:lineRule="exact"/>
        <w:ind w:firstLineChars="200" w:firstLine="640"/>
        <w:contextualSpacing/>
        <w:jc w:val="left"/>
        <w:rPr>
          <w:rFonts w:ascii="楷体_GB2312" w:eastAsia="楷体_GB2312" w:cs="楷体_GB2312" w:hAnsi="楷体_GB2312"/>
          <w:b/>
          <w:bCs/>
          <w:kern w:val="0"/>
          <w:sz w:val="32"/>
          <w:szCs w:val="32"/>
          <w:shd w:val="clear" w:color="auto" w:fill="FFFFFF"/>
          <w:lang w:val="zh-CN"/>
        </w:rPr>
      </w:pPr>
      <w:r>
        <w:rPr>
          <w:rFonts w:ascii="楷体_GB2312" w:eastAsia="楷体_GB2312" w:cs="楷体_GB2312" w:hAnsi="楷体_GB2312" w:hint="eastAsia"/>
          <w:b/>
          <w:bCs/>
          <w:kern w:val="0"/>
          <w:sz w:val="32"/>
          <w:szCs w:val="32"/>
          <w:shd w:val="clear" w:color="auto" w:fill="FFFFFF"/>
          <w:lang w:val="zh-CN"/>
        </w:rPr>
        <w:t>（一）评价结论。</w:t>
      </w:r>
    </w:p>
    <w:p>
      <w:pPr>
        <w:widowControl/>
        <w:ind w:firstLineChars="200" w:firstLine="620"/>
        <w:jc w:val="left"/>
        <w:rPr>
          <w:rFonts w:ascii="仿宋" w:eastAsia="仿宋" w:cs="楷体_GB2312" w:hAnsi="仿宋"/>
          <w:b/>
          <w:bCs/>
          <w:kern w:val="0"/>
          <w:sz w:val="32"/>
          <w:szCs w:val="32"/>
          <w:shd w:val="clear" w:color="auto" w:fill="FFFFFF"/>
          <w:lang w:val="zh-CN"/>
        </w:rPr>
      </w:pPr>
      <w:r>
        <w:rPr>
          <w:rFonts w:ascii="仿宋" w:eastAsia="仿宋" w:cs="仿宋_GB2312" w:hAnsi="仿宋" w:hint="eastAsia"/>
          <w:color w:val="000000"/>
          <w:kern w:val="0"/>
          <w:sz w:val="31"/>
          <w:szCs w:val="31"/>
        </w:rPr>
        <w:t>我局</w:t>
      </w:r>
      <w:r>
        <w:rPr>
          <w:rFonts w:ascii="仿宋" w:eastAsia="仿宋" w:cs="仿宋_GB2312" w:hAnsi="仿宋"/>
          <w:color w:val="000000"/>
          <w:kern w:val="0"/>
          <w:sz w:val="31"/>
          <w:szCs w:val="31"/>
        </w:rPr>
        <w:t>强化预算管理，严格按照财政制度刚性约束，完成了年初设定的</w:t>
      </w:r>
      <w:r>
        <w:rPr>
          <w:rFonts w:ascii="仿宋" w:eastAsia="仿宋" w:cs="仿宋_GB2312" w:hAnsi="仿宋" w:hint="eastAsia"/>
          <w:color w:val="000000"/>
          <w:kern w:val="0"/>
          <w:sz w:val="31"/>
          <w:szCs w:val="31"/>
        </w:rPr>
        <w:t>各项</w:t>
      </w:r>
      <w:r>
        <w:rPr>
          <w:rFonts w:ascii="仿宋" w:eastAsia="仿宋" w:cs="仿宋_GB2312" w:hAnsi="仿宋"/>
          <w:color w:val="000000"/>
          <w:kern w:val="0"/>
          <w:sz w:val="31"/>
          <w:szCs w:val="31"/>
        </w:rPr>
        <w:t>绩效目标，保障了单位的各项工作任务完成和机关正常运转，绩效评价较好。</w:t>
      </w:r>
    </w:p>
    <w:p>
      <w:pPr>
        <w:widowControl/>
        <w:numPr>
          <w:ilvl w:val="0"/>
          <w:numId w:val="8"/>
        </w:numPr>
        <w:adjustRightInd w:val="0"/>
        <w:snapToGrid w:val="0"/>
        <w:spacing w:line="560" w:lineRule="exact"/>
        <w:ind w:left="0" w:firstLineChars="200" w:firstLine="640"/>
        <w:contextualSpacing/>
        <w:jc w:val="left"/>
        <w:rPr>
          <w:rFonts w:ascii="楷体_GB2312" w:eastAsia="楷体_GB2312" w:cs="楷体_GB2312" w:hAnsi="楷体_GB2312"/>
          <w:b/>
          <w:bCs/>
          <w:kern w:val="0"/>
          <w:sz w:val="32"/>
          <w:szCs w:val="32"/>
          <w:shd w:val="clear" w:color="auto" w:fill="FFFFFF"/>
        </w:rPr>
      </w:pPr>
      <w:r>
        <w:rPr>
          <w:rFonts w:ascii="楷体_GB2312" w:eastAsia="楷体_GB2312" w:cs="楷体_GB2312" w:hAnsi="楷体_GB2312" w:hint="eastAsia"/>
          <w:b/>
          <w:bCs/>
          <w:kern w:val="0"/>
          <w:sz w:val="32"/>
          <w:szCs w:val="32"/>
          <w:shd w:val="clear" w:color="auto" w:fill="FFFFFF"/>
          <w:lang w:val="zh-CN"/>
        </w:rPr>
        <w:t>存在问题。</w:t>
      </w:r>
    </w:p>
    <w:p>
      <w:pPr>
        <w:widowControl/>
        <w:adjustRightInd w:val="0"/>
        <w:snapToGrid w:val="0"/>
        <w:spacing w:line="560" w:lineRule="exact"/>
        <w:ind w:firstLineChars="200" w:firstLine="620"/>
        <w:contextualSpacing/>
        <w:jc w:val="left"/>
        <w:rPr>
          <w:rFonts w:ascii="仿宋" w:eastAsia="仿宋" w:cs="仿宋_GB2312" w:hAnsi="仿宋"/>
          <w:color w:val="000000"/>
          <w:kern w:val="0"/>
          <w:sz w:val="31"/>
          <w:szCs w:val="31"/>
        </w:rPr>
      </w:pPr>
      <w:r>
        <w:rPr>
          <w:rFonts w:ascii="仿宋" w:eastAsia="仿宋" w:cs="仿宋_GB2312" w:hAnsi="仿宋" w:hint="eastAsia"/>
          <w:color w:val="000000"/>
          <w:kern w:val="0"/>
          <w:sz w:val="31"/>
          <w:szCs w:val="31"/>
        </w:rPr>
        <w:t>项目年初制定部分绩效目标设置不合理，对不能产生经济效益及生态效益的项目设置了绩效目标值，造成项目完成值得分不准确。</w:t>
      </w:r>
    </w:p>
    <w:p>
      <w:pPr>
        <w:widowControl/>
        <w:adjustRightInd w:val="0"/>
        <w:snapToGrid w:val="0"/>
        <w:spacing w:line="560" w:lineRule="exact"/>
        <w:ind w:firstLineChars="200" w:firstLine="640"/>
        <w:contextualSpacing/>
        <w:jc w:val="left"/>
        <w:rPr>
          <w:rFonts w:ascii="楷体_GB2312" w:eastAsia="楷体_GB2312" w:cs="楷体_GB2312" w:hAnsi="楷体_GB2312"/>
          <w:b/>
          <w:bCs/>
          <w:kern w:val="0"/>
          <w:sz w:val="32"/>
          <w:szCs w:val="32"/>
          <w:shd w:val="clear" w:color="auto" w:fill="FFFFFF"/>
          <w:lang w:val="zh-CN"/>
        </w:rPr>
      </w:pPr>
      <w:r>
        <w:rPr>
          <w:rFonts w:ascii="楷体_GB2312" w:eastAsia="楷体_GB2312" w:cs="楷体_GB2312" w:hAnsi="楷体_GB2312" w:hint="eastAsia"/>
          <w:b/>
          <w:bCs/>
          <w:kern w:val="0"/>
          <w:sz w:val="32"/>
          <w:szCs w:val="32"/>
          <w:shd w:val="clear" w:color="auto" w:fill="FFFFFF"/>
          <w:lang w:val="zh-CN"/>
        </w:rPr>
        <w:t>（三）改进建议。</w:t>
      </w:r>
    </w:p>
    <w:p>
      <w:pPr>
        <w:widowControl/>
        <w:ind w:firstLineChars="200" w:firstLine="620"/>
        <w:jc w:val="left"/>
        <w:rPr>
          <w:rFonts w:ascii="仿宋" w:eastAsia="仿宋" w:cs="仿宋_GB2312" w:hAnsi="仿宋"/>
          <w:sz w:val="32"/>
          <w:szCs w:val="32"/>
          <w:lang w:val="zh-CN"/>
        </w:rPr>
      </w:pPr>
      <w:r>
        <w:rPr>
          <w:rFonts w:ascii="仿宋" w:eastAsia="仿宋" w:cs="仿宋_GB2312" w:hAnsi="仿宋" w:hint="eastAsia"/>
          <w:color w:val="000000"/>
          <w:kern w:val="0"/>
          <w:sz w:val="31"/>
          <w:szCs w:val="31"/>
        </w:rPr>
        <w:t>在今后的工作中</w:t>
      </w:r>
      <w:r>
        <w:rPr>
          <w:rFonts w:ascii="仿宋" w:eastAsia="仿宋" w:cs="仿宋_GB2312" w:hAnsi="仿宋"/>
          <w:color w:val="000000"/>
          <w:kern w:val="0"/>
          <w:sz w:val="31"/>
          <w:szCs w:val="31"/>
        </w:rPr>
        <w:t>加强绩效目标管理</w:t>
      </w:r>
      <w:r>
        <w:rPr>
          <w:rFonts w:ascii="仿宋" w:eastAsia="仿宋" w:cs="仿宋_GB2312" w:hAnsi="仿宋" w:hint="eastAsia"/>
          <w:color w:val="000000"/>
          <w:kern w:val="0"/>
          <w:sz w:val="31"/>
          <w:szCs w:val="31"/>
        </w:rPr>
        <w:t>，绩效目标设计应</w:t>
      </w:r>
      <w:r>
        <w:rPr>
          <w:rFonts w:ascii="仿宋" w:eastAsia="仿宋" w:cs="仿宋_GB2312" w:hAnsi="仿宋"/>
          <w:color w:val="000000"/>
          <w:kern w:val="0"/>
          <w:sz w:val="31"/>
          <w:szCs w:val="31"/>
        </w:rPr>
        <w:t>结合项目特点和工作实际，</w:t>
      </w:r>
      <w:r>
        <w:rPr>
          <w:rFonts w:ascii="仿宋" w:eastAsia="仿宋" w:cs="仿宋_GB2312" w:hAnsi="仿宋" w:hint="eastAsia"/>
          <w:color w:val="000000"/>
          <w:kern w:val="0"/>
          <w:sz w:val="31"/>
          <w:szCs w:val="31"/>
        </w:rPr>
        <w:t>设置切实可行的</w:t>
      </w:r>
      <w:r>
        <w:rPr>
          <w:rFonts w:ascii="仿宋" w:eastAsia="仿宋" w:cs="仿宋_GB2312" w:hAnsi="仿宋"/>
          <w:color w:val="000000"/>
          <w:kern w:val="0"/>
          <w:sz w:val="31"/>
          <w:szCs w:val="31"/>
        </w:rPr>
        <w:t>绩效指标</w:t>
      </w:r>
      <w:r>
        <w:rPr>
          <w:rFonts w:ascii="仿宋" w:eastAsia="仿宋" w:cs="仿宋_GB2312" w:hAnsi="仿宋" w:hint="eastAsia"/>
          <w:color w:val="000000"/>
          <w:kern w:val="0"/>
          <w:sz w:val="31"/>
          <w:szCs w:val="31"/>
        </w:rPr>
        <w:t>，</w:t>
      </w:r>
      <w:r>
        <w:rPr>
          <w:rFonts w:ascii="仿宋" w:eastAsia="仿宋" w:cs="仿宋_GB2312" w:hAnsi="仿宋"/>
          <w:color w:val="000000"/>
          <w:kern w:val="0"/>
          <w:sz w:val="31"/>
          <w:szCs w:val="31"/>
        </w:rPr>
        <w:t>全面梳理优化审计运行机制和审计工作流程，充分利用大数据审计工具，</w:t>
      </w:r>
      <w:r>
        <w:rPr>
          <w:rFonts w:ascii="仿宋" w:eastAsia="仿宋" w:cs="仿宋_GB2312" w:hAnsi="仿宋" w:hint="eastAsia"/>
          <w:color w:val="000000"/>
          <w:kern w:val="0"/>
          <w:sz w:val="31"/>
          <w:szCs w:val="31"/>
        </w:rPr>
        <w:t>减少人工工作量，</w:t>
      </w:r>
      <w:r>
        <w:rPr>
          <w:rFonts w:ascii="仿宋" w:eastAsia="仿宋" w:cs="仿宋_GB2312" w:hAnsi="仿宋"/>
          <w:color w:val="000000"/>
          <w:kern w:val="0"/>
          <w:sz w:val="31"/>
          <w:szCs w:val="31"/>
        </w:rPr>
        <w:t>进一步提高财政资金使用效益。</w:t>
      </w:r>
    </w:p>
    <w:p>
      <w:pPr>
        <w:pStyle w:val="25"/>
        <w:spacing w:line="560" w:lineRule="exact"/>
        <w:ind w:leftChars="0" w:left="0"/>
        <w:rPr>
          <w:rFonts w:eastAsia="仿宋_GB2312" w:cs="仿宋_GB2312"/>
          <w:sz w:val="32"/>
          <w:lang w:val="zh-CN"/>
        </w:rPr>
      </w:pPr>
    </w:p>
    <w:p>
      <w:pPr>
        <w:pStyle w:val="25"/>
        <w:spacing w:line="560" w:lineRule="exact"/>
        <w:ind w:leftChars="0" w:left="0"/>
        <w:rPr>
          <w:rFonts w:eastAsia="仿宋_GB2312" w:cs="仿宋_GB2312"/>
          <w:sz w:val="32"/>
          <w:lang w:val="zh-CN"/>
        </w:rPr>
      </w:pPr>
    </w:p>
    <w:p>
      <w:pPr>
        <w:pStyle w:val="25"/>
        <w:spacing w:line="560" w:lineRule="exact"/>
        <w:ind w:leftChars="0" w:left="0"/>
        <w:rPr>
          <w:rFonts w:eastAsia="仿宋_GB2312" w:cs="仿宋_GB2312"/>
          <w:sz w:val="32"/>
          <w:lang w:val="zh-CN"/>
        </w:rPr>
      </w:pPr>
    </w:p>
    <w:p>
      <w:pPr>
        <w:pStyle w:val="25"/>
        <w:spacing w:line="560" w:lineRule="exact"/>
        <w:ind w:leftChars="0" w:left="0"/>
        <w:rPr>
          <w:rFonts w:eastAsia="仿宋_GB2312" w:cs="仿宋_GB2312"/>
          <w:sz w:val="32"/>
          <w:lang w:val="zh-CN"/>
        </w:rPr>
      </w:pPr>
    </w:p>
    <w:p>
      <w:pPr>
        <w:pStyle w:val="25"/>
        <w:spacing w:line="560" w:lineRule="exact"/>
        <w:ind w:leftChars="0" w:left="0" w:firstLineChars="0" w:firstLine="0"/>
        <w:rPr>
          <w:rFonts w:eastAsia="仿宋_GB2312" w:cs="仿宋_GB2312"/>
          <w:sz w:val="32"/>
          <w:lang w:val="zh-CN"/>
        </w:rPr>
        <w:sectPr>
          <w:headerReference w:type="default" r:id="rId2"/>
          <w:footerReference w:type="default" r:id="rId3"/>
          <w:footerReference w:type="first" r:id="rId4"/>
          <w:pgSz w:w="11906" w:h="16838"/>
          <w:pgMar w:top="1440" w:right="1800" w:bottom="1440" w:left="1800" w:header="851" w:footer="992" w:gutter="0"/>
          <w:pgNumType w:start="1"/>
          <w:cols w:num="1" w:space="425"/>
          <w:docGrid w:type="lines" w:linePitch="312" w:charSpace="0"/>
        </w:sectPr>
      </w:pPr>
    </w:p>
    <w:p>
      <w:pPr>
        <w:pStyle w:val="25"/>
        <w:spacing w:line="560" w:lineRule="exact"/>
        <w:ind w:leftChars="0" w:left="0"/>
        <w:rPr>
          <w:rFonts w:eastAsia="仿宋_GB2312" w:cs="仿宋_GB2312"/>
          <w:sz w:val="32"/>
          <w:lang w:val="zh-CN"/>
        </w:rPr>
      </w:pPr>
      <w:r>
        <w:rPr>
          <w:rFonts w:eastAsia="仿宋_GB2312" w:cs="仿宋_GB2312" w:hint="eastAsia"/>
          <w:sz w:val="32"/>
          <w:lang w:val="zh-CN"/>
        </w:rPr>
        <w:t>附表：</w:t>
      </w:r>
      <w:r>
        <w:rPr>
          <w:rFonts w:eastAsia="仿宋_GB2312" w:cs="仿宋_GB2312" w:hint="eastAsia"/>
          <w:sz w:val="32"/>
        </w:rPr>
        <w:t>部门预算项目支出绩效自评表（2022年度）</w:t>
      </w:r>
    </w:p>
    <w:tbl>
      <w:tblPr>
        <w:tblpPr w:leftFromText="180" w:rightFromText="180" w:vertAnchor="text" w:horzAnchor="page" w:tblpX="947" w:tblpY="2099"/>
        <w:tblOverlap w:val="never"/>
        <w:tblW w:w="1552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564"/>
        <w:gridCol w:w="1641"/>
        <w:gridCol w:w="1476"/>
        <w:gridCol w:w="3080"/>
        <w:gridCol w:w="576"/>
        <w:gridCol w:w="744"/>
        <w:gridCol w:w="669"/>
        <w:gridCol w:w="2456"/>
        <w:gridCol w:w="551"/>
        <w:gridCol w:w="473"/>
        <w:gridCol w:w="2290"/>
      </w:tblGrid>
      <w:tr>
        <w:trPr>
          <w:trHeight w:val="956"/>
        </w:trPr>
        <w:tc>
          <w:tcPr>
            <w:tcW w:w="15520" w:type="dxa"/>
            <w:gridSpan w:val="11"/>
            <w:tcBorders>
              <w:top w:val="nil"/>
              <w:left w:val="nil"/>
              <w:bottom w:val="nil"/>
              <w:right w:val="nil"/>
            </w:tcBorders>
            <w:shd w:val="clear" w:color="auto" w:fill="auto"/>
            <w:vAlign w:val="center"/>
          </w:tcPr>
          <w:p>
            <w:pPr>
              <w:widowControl/>
              <w:jc w:val="center"/>
              <w:textAlignment w:val="center"/>
              <w:rPr>
                <w:rFonts w:ascii="方正小标宋简体" w:eastAsia="方正小标宋简体" w:cs="方正小标宋简体" w:hAnsi="方正小标宋简体"/>
                <w:color w:val="000000"/>
                <w:sz w:val="44"/>
                <w:szCs w:val="44"/>
              </w:rPr>
            </w:pPr>
            <w:r>
              <w:rPr>
                <w:rFonts w:ascii="方正小标宋简体" w:eastAsia="方正小标宋简体" w:cs="方正小标宋简体" w:hAnsi="方正小标宋简体" w:hint="eastAsia"/>
                <w:color w:val="000000"/>
                <w:kern w:val="0"/>
                <w:sz w:val="44"/>
                <w:szCs w:val="44"/>
              </w:rPr>
              <w:t>部门预算、专项资金预算项目支出绩效目标自评表（2022年度）</w:t>
            </w:r>
          </w:p>
        </w:tc>
      </w:tr>
      <w:tr>
        <w:trPr>
          <w:trHeight w:val="390"/>
        </w:trPr>
        <w:tc>
          <w:tcPr>
            <w:tcW w:w="3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b/>
                <w:bCs/>
                <w:color w:val="000000"/>
                <w:sz w:val="18"/>
                <w:szCs w:val="18"/>
              </w:rPr>
            </w:pPr>
            <w:r>
              <w:rPr>
                <w:rFonts w:ascii="宋体" w:cs="宋体" w:hAnsi="宋体" w:hint="eastAsia"/>
                <w:b/>
                <w:bCs/>
                <w:color w:val="000000"/>
                <w:kern w:val="0"/>
                <w:sz w:val="18"/>
                <w:szCs w:val="18"/>
              </w:rPr>
              <w:t>项目名称</w:t>
            </w:r>
          </w:p>
        </w:tc>
        <w:tc>
          <w:tcPr>
            <w:tcW w:w="1228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2022年政府重大投资跟踪审计服务费</w:t>
            </w:r>
          </w:p>
        </w:tc>
      </w:tr>
      <w:tr>
        <w:trPr>
          <w:trHeight w:val="329"/>
        </w:trPr>
        <w:tc>
          <w:tcPr>
            <w:tcW w:w="32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b/>
                <w:bCs/>
                <w:color w:val="000000"/>
                <w:sz w:val="18"/>
                <w:szCs w:val="18"/>
              </w:rPr>
            </w:pPr>
            <w:r>
              <w:rPr>
                <w:rFonts w:ascii="宋体" w:cs="宋体" w:hAnsi="宋体" w:hint="eastAsia"/>
                <w:b/>
                <w:bCs/>
                <w:color w:val="000000"/>
                <w:kern w:val="0"/>
                <w:sz w:val="18"/>
                <w:szCs w:val="18"/>
              </w:rPr>
              <w:t>主管部门</w:t>
            </w:r>
          </w:p>
        </w:tc>
        <w:tc>
          <w:tcPr>
            <w:tcW w:w="644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广元市利州区审计局本级</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 xml:space="preserve">实施单位 </w:t>
            </w:r>
          </w:p>
        </w:tc>
        <w:tc>
          <w:tcPr>
            <w:tcW w:w="33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广元市利州区审计局本级</w:t>
            </w:r>
          </w:p>
        </w:tc>
      </w:tr>
      <w:tr>
        <w:trPr>
          <w:trHeight w:val="390"/>
        </w:trPr>
        <w:tc>
          <w:tcPr>
            <w:tcW w:w="1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b/>
                <w:bCs/>
                <w:color w:val="000000"/>
                <w:sz w:val="18"/>
                <w:szCs w:val="18"/>
              </w:rPr>
            </w:pPr>
            <w:r>
              <w:rPr>
                <w:rFonts w:ascii="宋体" w:cs="宋体" w:hAnsi="宋体" w:hint="eastAsia"/>
                <w:b/>
                <w:bCs/>
                <w:color w:val="000000"/>
                <w:kern w:val="0"/>
                <w:sz w:val="18"/>
                <w:szCs w:val="18"/>
              </w:rPr>
              <w:t>项目基本情况</w:t>
            </w:r>
          </w:p>
        </w:tc>
        <w:tc>
          <w:tcPr>
            <w:tcW w:w="16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b/>
                <w:bCs/>
                <w:color w:val="000000"/>
                <w:sz w:val="18"/>
                <w:szCs w:val="18"/>
              </w:rPr>
            </w:pPr>
            <w:r>
              <w:rPr>
                <w:rFonts w:ascii="宋体" w:cs="宋体" w:hAnsi="宋体" w:hint="eastAsia"/>
                <w:b/>
                <w:bCs/>
                <w:color w:val="000000"/>
                <w:kern w:val="0"/>
                <w:sz w:val="18"/>
                <w:szCs w:val="18"/>
              </w:rPr>
              <w:t>1.项目年度目标完成情况</w:t>
            </w:r>
          </w:p>
        </w:tc>
        <w:tc>
          <w:tcPr>
            <w:tcW w:w="644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项目年度目标</w:t>
            </w:r>
          </w:p>
        </w:tc>
        <w:tc>
          <w:tcPr>
            <w:tcW w:w="58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年度目标完成情况</w:t>
            </w:r>
          </w:p>
        </w:tc>
      </w:tr>
      <w:tr>
        <w:trPr>
          <w:trHeight w:val="1602"/>
        </w:trPr>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44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2022年重点开展广元市利州区金龙湖片区城乡一体化建设（配套道路一期）等10个政府重大投资项目全过程跟踪审计，监管资金45.58亿元，聘请社会审计组织按照合同开展审计工作，重点从投资政策落实情况、项目基本建设程序执行情况、项目概(预)算执行情况、项目征地拆迁情况、项目招投标及合同履行情况、项目工程进度情况、经济签证的真实性、重大公共投资项目内控制度执行情况、重大公共工程项目财务管理情况、重大公共工程投资项目建设管理绩效情况、重大公共工程项目竣工结（决）算、审计发现问题整改情况等进行审计监督。</w:t>
            </w:r>
          </w:p>
        </w:tc>
        <w:tc>
          <w:tcPr>
            <w:tcW w:w="58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2022年完成了广元市利州区金龙湖片区城乡一体化建设（配套道路一期）等10个政府重大投资项目全过程跟踪审计，监管资金45.58亿元，聘请社会审计组织按照合同开展审计工作。</w:t>
            </w:r>
          </w:p>
        </w:tc>
      </w:tr>
      <w:tr>
        <w:trPr>
          <w:trHeight w:val="966"/>
        </w:trPr>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b/>
                <w:bCs/>
                <w:color w:val="000000"/>
                <w:sz w:val="18"/>
                <w:szCs w:val="18"/>
              </w:rPr>
            </w:pPr>
            <w:r>
              <w:rPr>
                <w:rFonts w:ascii="宋体" w:cs="宋体" w:hAnsi="宋体" w:hint="eastAsia"/>
                <w:b/>
                <w:bCs/>
                <w:color w:val="000000"/>
                <w:kern w:val="0"/>
                <w:sz w:val="18"/>
                <w:szCs w:val="18"/>
              </w:rPr>
              <w:t>2.项目实施内容及过程概述</w:t>
            </w:r>
          </w:p>
        </w:tc>
        <w:tc>
          <w:tcPr>
            <w:tcW w:w="1228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重点从投资政策落实情况、项目基本建设程序执行情况、项目概(预)算执行情况、项目征地拆迁情况、项目招投标及合同履行情况、项目工程进度情况、经济签证的真实性、重大公共投资项目内控制度执行情况、重大公共工程项目财务管理情况、重大公共工程投资项目建设管理绩效情况、重大公共工程项目竣工结（决）算、审计发现问题整改情况等进行审计监督。</w:t>
            </w:r>
          </w:p>
        </w:tc>
      </w:tr>
      <w:tr>
        <w:trPr>
          <w:trHeight w:val="1284"/>
        </w:trPr>
        <w:tc>
          <w:tcPr>
            <w:tcW w:w="1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预算执行情况</w:t>
              <w:br/>
              <w:t>（10分）</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年度预算数</w:t>
              <w:br/>
              <w:t>（万元）</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年初预算</w:t>
            </w:r>
          </w:p>
        </w:tc>
        <w:tc>
          <w:tcPr>
            <w:tcW w:w="309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调整后预算数</w:t>
            </w:r>
          </w:p>
        </w:tc>
        <w:tc>
          <w:tcPr>
            <w:tcW w:w="1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预算执行数</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预算执行率</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权重%</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自评得分</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原因</w:t>
            </w:r>
          </w:p>
        </w:tc>
      </w:tr>
      <w:tr>
        <w:trPr>
          <w:trHeight w:val="330"/>
        </w:trPr>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总额</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26.00</w:t>
            </w:r>
          </w:p>
        </w:tc>
        <w:tc>
          <w:tcPr>
            <w:tcW w:w="309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103.04</w:t>
            </w:r>
          </w:p>
        </w:tc>
        <w:tc>
          <w:tcPr>
            <w:tcW w:w="1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103.04</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100.00%</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23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329"/>
        </w:trPr>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其中：财政资金</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26.00</w:t>
            </w:r>
          </w:p>
        </w:tc>
        <w:tc>
          <w:tcPr>
            <w:tcW w:w="309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103.04</w:t>
            </w:r>
          </w:p>
        </w:tc>
        <w:tc>
          <w:tcPr>
            <w:tcW w:w="1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103.04</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100.00%</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23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50"/>
        </w:trPr>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财政专户管理资金</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1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23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29"/>
        </w:trPr>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单位资金</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1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23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50"/>
        </w:trPr>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其他资金</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6"/>
                <w:szCs w:val="16"/>
              </w:rPr>
            </w:pPr>
          </w:p>
        </w:tc>
        <w:tc>
          <w:tcPr>
            <w:tcW w:w="309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6"/>
                <w:szCs w:val="16"/>
              </w:rPr>
            </w:pPr>
          </w:p>
        </w:tc>
        <w:tc>
          <w:tcPr>
            <w:tcW w:w="1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6"/>
                <w:szCs w:val="16"/>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6"/>
                <w:szCs w:val="16"/>
              </w:rPr>
            </w:pP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23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284"/>
        </w:trPr>
        <w:tc>
          <w:tcPr>
            <w:tcW w:w="1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绩效指标（90分）</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一级指标</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二级指标</w:t>
            </w:r>
          </w:p>
        </w:tc>
        <w:tc>
          <w:tcPr>
            <w:tcW w:w="309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三级指标</w:t>
            </w:r>
          </w:p>
        </w:tc>
        <w:tc>
          <w:tcPr>
            <w:tcW w:w="54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指标性质</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指标值</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度量单位</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完成值</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权重</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自评得分</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未完成原因分析</w:t>
            </w:r>
          </w:p>
        </w:tc>
      </w:tr>
      <w:tr>
        <w:trPr>
          <w:trHeight w:val="329"/>
        </w:trPr>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数量指标</w:t>
            </w:r>
          </w:p>
        </w:tc>
        <w:tc>
          <w:tcPr>
            <w:tcW w:w="3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每月出具跟踪审计月报</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份</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出具跟踪审计月报12份</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5 </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9"/>
        </w:trPr>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数量指标</w:t>
            </w:r>
          </w:p>
        </w:tc>
        <w:tc>
          <w:tcPr>
            <w:tcW w:w="3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每年出具跟踪审计项目年报</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份</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出具跟踪审计年度报告1份</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5 </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9"/>
        </w:trPr>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数量指标</w:t>
            </w:r>
          </w:p>
        </w:tc>
        <w:tc>
          <w:tcPr>
            <w:tcW w:w="3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跟踪审计项目数量</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个</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5 </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9"/>
        </w:trPr>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质量指标</w:t>
            </w:r>
          </w:p>
        </w:tc>
        <w:tc>
          <w:tcPr>
            <w:tcW w:w="3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跟踪审计项目质量管理情况</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cs="宋体" w:hAnsi="宋体"/>
                <w:color w:val="000000"/>
                <w:sz w:val="18"/>
                <w:szCs w:val="18"/>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项目质量管理优质</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5 </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9"/>
        </w:trPr>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质量指标</w:t>
            </w:r>
          </w:p>
        </w:tc>
        <w:tc>
          <w:tcPr>
            <w:tcW w:w="3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跟踪审计项目月报质量</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cs="宋体" w:hAnsi="宋体"/>
                <w:color w:val="000000"/>
                <w:sz w:val="18"/>
                <w:szCs w:val="18"/>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月报质量合格</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5 </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966"/>
        </w:trPr>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数量指标</w:t>
            </w:r>
          </w:p>
        </w:tc>
        <w:tc>
          <w:tcPr>
            <w:tcW w:w="3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跟踪审计项目最终成果报告</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份</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0</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0 </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项目竣工验收，跟踪审计结束后才出具最终成果报告，该项目尚未结束。</w:t>
            </w:r>
          </w:p>
        </w:tc>
      </w:tr>
      <w:tr>
        <w:trPr>
          <w:trHeight w:val="329"/>
        </w:trPr>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时效指标</w:t>
            </w:r>
          </w:p>
        </w:tc>
        <w:tc>
          <w:tcPr>
            <w:tcW w:w="3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项目跟踪审计完成时间</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年</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5 </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9"/>
        </w:trPr>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时效指标</w:t>
            </w:r>
          </w:p>
        </w:tc>
        <w:tc>
          <w:tcPr>
            <w:tcW w:w="3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审计服务费支付时效</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年</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按时审计服务费支付</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5 </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647"/>
        </w:trPr>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时效指标</w:t>
            </w:r>
          </w:p>
        </w:tc>
        <w:tc>
          <w:tcPr>
            <w:tcW w:w="3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审计发现问题整改时效</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60</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个工作日</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审计发现问题均在整改时限内整改</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5 </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9"/>
        </w:trPr>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成本指标</w:t>
            </w:r>
          </w:p>
        </w:tc>
        <w:tc>
          <w:tcPr>
            <w:tcW w:w="3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按合同预付服务</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20</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按合同预付服务</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5 </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9"/>
        </w:trPr>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成本指标</w:t>
            </w:r>
          </w:p>
        </w:tc>
        <w:tc>
          <w:tcPr>
            <w:tcW w:w="3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sz w:val="18"/>
                <w:szCs w:val="18"/>
              </w:rPr>
              <w:t>全年支付审计服务费</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26</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万元</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103.04万元</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5 </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9"/>
        </w:trPr>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质量指标</w:t>
            </w:r>
          </w:p>
        </w:tc>
        <w:tc>
          <w:tcPr>
            <w:tcW w:w="3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审计发现问题整改质量</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cs="宋体" w:hAnsi="宋体"/>
                <w:color w:val="000000"/>
                <w:sz w:val="18"/>
                <w:szCs w:val="18"/>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审计发现问题均整改完毕</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5 </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9"/>
        </w:trPr>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经济效益指标</w:t>
            </w:r>
          </w:p>
        </w:tc>
        <w:tc>
          <w:tcPr>
            <w:tcW w:w="3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监督财政资金额度</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45229</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万元</w:t>
            </w: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监督财政资金45229万元</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5 </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684"/>
        </w:trPr>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可持续影响指标</w:t>
            </w:r>
          </w:p>
        </w:tc>
        <w:tc>
          <w:tcPr>
            <w:tcW w:w="309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大力弘扬和践行审计精神，当好国家财产的“看门人”，经济安全的“守护者”</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cs="宋体" w:hAnsi="宋体"/>
                <w:color w:val="000000"/>
                <w:sz w:val="18"/>
                <w:szCs w:val="18"/>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优</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4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2 </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647"/>
        </w:trPr>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经济效益指标</w:t>
            </w:r>
          </w:p>
        </w:tc>
        <w:tc>
          <w:tcPr>
            <w:tcW w:w="309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提高政府投资绩效，推动投融资体制改革</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cs="宋体" w:hAnsi="宋体"/>
                <w:color w:val="000000"/>
                <w:sz w:val="18"/>
                <w:szCs w:val="18"/>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优</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4</w:t>
            </w:r>
          </w:p>
        </w:tc>
        <w:tc>
          <w:tcPr>
            <w:tcW w:w="4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4 </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 </w:t>
            </w:r>
          </w:p>
        </w:tc>
      </w:tr>
      <w:tr>
        <w:trPr>
          <w:trHeight w:val="647"/>
        </w:trPr>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社会效益指标</w:t>
            </w:r>
          </w:p>
        </w:tc>
        <w:tc>
          <w:tcPr>
            <w:tcW w:w="309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安全有效使用财政资金、防治损失浪费、提高投资效益。</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cs="宋体" w:hAnsi="宋体"/>
                <w:color w:val="000000"/>
                <w:sz w:val="18"/>
                <w:szCs w:val="18"/>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优</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4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2 </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647"/>
        </w:trPr>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社会效益指标</w:t>
            </w:r>
          </w:p>
        </w:tc>
        <w:tc>
          <w:tcPr>
            <w:tcW w:w="309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依法全面履行审计监督，治已病，防未病。</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cs="宋体" w:hAnsi="宋体"/>
                <w:color w:val="000000"/>
                <w:sz w:val="18"/>
                <w:szCs w:val="18"/>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优</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4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2 </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9"/>
        </w:trPr>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生态效益指标</w:t>
            </w:r>
          </w:p>
        </w:tc>
        <w:tc>
          <w:tcPr>
            <w:tcW w:w="309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聚焦环境保护和自然资源利用</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cs="宋体" w:hAnsi="宋体"/>
                <w:color w:val="000000"/>
                <w:sz w:val="18"/>
                <w:szCs w:val="18"/>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优</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4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2 </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9"/>
        </w:trPr>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生态效益指标</w:t>
            </w:r>
          </w:p>
        </w:tc>
        <w:tc>
          <w:tcPr>
            <w:tcW w:w="309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监督弃渣弃土不乱到</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cs="宋体" w:hAnsi="宋体"/>
                <w:color w:val="000000"/>
                <w:sz w:val="18"/>
                <w:szCs w:val="18"/>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优</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4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2 </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9"/>
        </w:trPr>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生态效益指标</w:t>
            </w:r>
          </w:p>
        </w:tc>
        <w:tc>
          <w:tcPr>
            <w:tcW w:w="309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监督扬尘治理</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cs="宋体" w:hAnsi="宋体"/>
                <w:color w:val="000000"/>
                <w:sz w:val="18"/>
                <w:szCs w:val="18"/>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优</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4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2 </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9"/>
        </w:trPr>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可持续发展指标</w:t>
            </w:r>
          </w:p>
        </w:tc>
        <w:tc>
          <w:tcPr>
            <w:tcW w:w="3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保障财政资金的使用效益</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cs="宋体" w:hAnsi="宋体"/>
                <w:color w:val="000000"/>
                <w:sz w:val="18"/>
                <w:szCs w:val="18"/>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优</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5 </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647"/>
        </w:trPr>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满意度指标</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服务对象满意度指标</w:t>
            </w:r>
          </w:p>
        </w:tc>
        <w:tc>
          <w:tcPr>
            <w:tcW w:w="3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被审计单位征求意见测评</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90</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2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90</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4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2 </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9"/>
        </w:trPr>
        <w:tc>
          <w:tcPr>
            <w:tcW w:w="1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满意度指标</w:t>
            </w:r>
          </w:p>
        </w:tc>
        <w:tc>
          <w:tcPr>
            <w:tcW w:w="14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读者满意度指标</w:t>
            </w:r>
          </w:p>
        </w:tc>
        <w:tc>
          <w:tcPr>
            <w:tcW w:w="3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社会满意度</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7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90</w:t>
            </w:r>
          </w:p>
        </w:tc>
        <w:tc>
          <w:tcPr>
            <w:tcW w:w="6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24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90</w:t>
            </w:r>
          </w:p>
        </w:tc>
        <w:tc>
          <w:tcPr>
            <w:tcW w:w="5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4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2 </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9"/>
        </w:trPr>
        <w:tc>
          <w:tcPr>
            <w:tcW w:w="1217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合计</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47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95</w:t>
            </w:r>
          </w:p>
        </w:tc>
        <w:tc>
          <w:tcPr>
            <w:tcW w:w="2321"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769"/>
        </w:trPr>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自评结论</w:t>
            </w:r>
          </w:p>
        </w:tc>
        <w:tc>
          <w:tcPr>
            <w:tcW w:w="139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pStyle w:val="15"/>
              <w:spacing w:beforeLines="0" w:before="95"/>
              <w:ind w:firstLineChars="200" w:firstLine="320"/>
              <w:rPr>
                <w:rFonts w:ascii="宋体" w:eastAsia="宋体" w:cs="宋体" w:hAnsi="宋体"/>
                <w:color w:val="000000"/>
                <w:sz w:val="16"/>
                <w:szCs w:val="16"/>
                <w:lang w:val="zh-CN"/>
              </w:rPr>
            </w:pPr>
            <w:r>
              <w:rPr>
                <w:rFonts w:ascii="宋体" w:eastAsia="宋体" w:cs="宋体" w:hAnsi="宋体" w:hint="eastAsia"/>
                <w:color w:val="000000"/>
                <w:sz w:val="16"/>
                <w:szCs w:val="16"/>
                <w:lang w:val="zh-CN"/>
              </w:rPr>
              <w:t>我局年初设定的项目预算编制合理，项目设定的各项指标可行，资金使用规范，该项目的实施，对政府重大投资项目从前期立项到竣工结算阶段的经济管理的真实性、合法性、效益性进行全过程审计监督，减少政府重大投资的损失浪费、闲置及项目存在质量和安全隐患等问题，项目完成情况较好。</w:t>
            </w:r>
          </w:p>
          <w:p>
            <w:pPr>
              <w:widowControl/>
              <w:jc w:val="left"/>
              <w:textAlignment w:val="center"/>
              <w:rPr>
                <w:rFonts w:ascii="宋体" w:cs="宋体" w:hAnsi="宋体"/>
                <w:color w:val="000000"/>
                <w:sz w:val="16"/>
                <w:szCs w:val="16"/>
              </w:rPr>
            </w:pPr>
          </w:p>
        </w:tc>
      </w:tr>
      <w:tr>
        <w:trPr>
          <w:trHeight w:val="470"/>
        </w:trPr>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自评存在问题</w:t>
            </w:r>
          </w:p>
        </w:tc>
        <w:tc>
          <w:tcPr>
            <w:tcW w:w="139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6"/>
                <w:szCs w:val="16"/>
              </w:rPr>
            </w:pPr>
            <w:r>
              <w:rPr>
                <w:rFonts w:ascii="宋体" w:cs="宋体" w:hAnsi="宋体" w:hint="eastAsia"/>
                <w:color w:val="000000"/>
                <w:kern w:val="0"/>
                <w:sz w:val="16"/>
                <w:szCs w:val="16"/>
                <w:lang w:val="zh-CN"/>
              </w:rPr>
              <w:t>因财务人员对该项目实施过程中部分事项了解不全面，项目绩效三级指标设计部分与实际不完全相符，造成评价产生差异。</w:t>
            </w:r>
          </w:p>
        </w:tc>
      </w:tr>
      <w:tr>
        <w:trPr>
          <w:trHeight w:val="509"/>
        </w:trPr>
        <w:tc>
          <w:tcPr>
            <w:tcW w:w="158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自评改进措施</w:t>
            </w:r>
          </w:p>
        </w:tc>
        <w:tc>
          <w:tcPr>
            <w:tcW w:w="1393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kern w:val="0"/>
                <w:sz w:val="16"/>
                <w:szCs w:val="16"/>
                <w:lang w:val="zh-CN"/>
              </w:rPr>
            </w:pPr>
          </w:p>
          <w:p>
            <w:pPr>
              <w:widowControl/>
              <w:jc w:val="left"/>
              <w:textAlignment w:val="center"/>
              <w:rPr>
                <w:rFonts w:ascii="宋体" w:cs="宋体" w:hAnsi="宋体"/>
                <w:color w:val="000000"/>
                <w:kern w:val="0"/>
                <w:sz w:val="16"/>
                <w:szCs w:val="16"/>
                <w:lang w:val="zh-CN"/>
              </w:rPr>
            </w:pPr>
            <w:r>
              <w:rPr>
                <w:rFonts w:ascii="宋体" w:cs="宋体" w:hAnsi="宋体" w:hint="eastAsia"/>
                <w:color w:val="000000"/>
                <w:kern w:val="0"/>
                <w:sz w:val="16"/>
                <w:szCs w:val="16"/>
                <w:lang w:val="zh-CN"/>
              </w:rPr>
              <w:t>年初编制项目预算绩效时应由项目实施股室及经办人员全过程参与，按项目实际情况设定指标权重，减少项目完工后评价的分歧。</w:t>
            </w:r>
          </w:p>
          <w:p>
            <w:pPr>
              <w:widowControl/>
              <w:jc w:val="left"/>
              <w:textAlignment w:val="center"/>
              <w:rPr>
                <w:rFonts w:ascii="宋体" w:cs="宋体" w:hAnsi="宋体"/>
                <w:color w:val="000000"/>
                <w:sz w:val="16"/>
                <w:szCs w:val="16"/>
              </w:rPr>
            </w:pPr>
          </w:p>
        </w:tc>
      </w:tr>
      <w:tr>
        <w:trPr>
          <w:trHeight w:val="339"/>
        </w:trPr>
        <w:tc>
          <w:tcPr>
            <w:tcW w:w="82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项目负责人：杨宁</w:t>
            </w:r>
          </w:p>
        </w:tc>
        <w:tc>
          <w:tcPr>
            <w:tcW w:w="72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财务负责人：陈杰</w:t>
            </w:r>
          </w:p>
        </w:tc>
      </w:tr>
    </w:tbl>
    <w:p>
      <w:pPr>
        <w:pStyle w:val="25"/>
        <w:spacing w:line="560" w:lineRule="exact"/>
        <w:ind w:leftChars="0" w:left="0"/>
        <w:rPr>
          <w:rFonts w:eastAsia="仿宋_GB2312" w:cs="仿宋_GB2312"/>
          <w:sz w:val="32"/>
          <w:lang w:val="zh-CN"/>
        </w:rPr>
      </w:pPr>
    </w:p>
    <w:p>
      <w:pPr>
        <w:pStyle w:val="25"/>
        <w:spacing w:line="560" w:lineRule="exact"/>
        <w:rPr>
          <w:rFonts w:hAnsi="Times New Roman"/>
          <w:sz w:val="32"/>
          <w:lang w:val="zh-CN"/>
        </w:rPr>
      </w:pPr>
    </w:p>
    <w:tbl>
      <w:tblPr>
        <w:tblpPr w:leftFromText="180" w:rightFromText="180" w:vertAnchor="text" w:horzAnchor="page" w:tblpX="1037" w:tblpY="1498"/>
        <w:tblOverlap w:val="never"/>
        <w:tblW w:w="1542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465"/>
        <w:gridCol w:w="1581"/>
        <w:gridCol w:w="1836"/>
        <w:gridCol w:w="3053"/>
        <w:gridCol w:w="576"/>
        <w:gridCol w:w="846"/>
        <w:gridCol w:w="654"/>
        <w:gridCol w:w="2293"/>
        <w:gridCol w:w="541"/>
        <w:gridCol w:w="462"/>
        <w:gridCol w:w="2114"/>
      </w:tblGrid>
      <w:tr>
        <w:trPr>
          <w:trHeight w:val="570"/>
        </w:trPr>
        <w:tc>
          <w:tcPr>
            <w:tcW w:w="15420" w:type="dxa"/>
            <w:gridSpan w:val="11"/>
            <w:tcBorders>
              <w:top w:val="nil"/>
              <w:left w:val="nil"/>
              <w:bottom w:val="nil"/>
              <w:right w:val="nil"/>
            </w:tcBorders>
            <w:shd w:val="clear" w:color="auto" w:fill="auto"/>
            <w:vAlign w:val="center"/>
          </w:tcPr>
          <w:p>
            <w:pPr>
              <w:widowControl/>
              <w:jc w:val="center"/>
              <w:textAlignment w:val="center"/>
              <w:rPr>
                <w:rFonts w:ascii="方正小标宋简体" w:eastAsia="方正小标宋简体" w:cs="方正小标宋简体" w:hAnsi="方正小标宋简体"/>
                <w:color w:val="000000"/>
                <w:kern w:val="0"/>
                <w:sz w:val="44"/>
                <w:szCs w:val="44"/>
              </w:rPr>
            </w:pPr>
          </w:p>
          <w:p>
            <w:pPr>
              <w:widowControl/>
              <w:jc w:val="center"/>
              <w:textAlignment w:val="center"/>
              <w:rPr>
                <w:rFonts w:ascii="方正小标宋简体" w:eastAsia="方正小标宋简体" w:cs="方正小标宋简体" w:hAnsi="方正小标宋简体"/>
                <w:color w:val="000000"/>
                <w:kern w:val="0"/>
                <w:sz w:val="44"/>
                <w:szCs w:val="44"/>
              </w:rPr>
            </w:pPr>
          </w:p>
          <w:p>
            <w:pPr>
              <w:widowControl/>
              <w:jc w:val="center"/>
              <w:textAlignment w:val="center"/>
              <w:rPr>
                <w:rFonts w:ascii="方正小标宋简体" w:eastAsia="方正小标宋简体" w:cs="方正小标宋简体" w:hAnsi="方正小标宋简体"/>
                <w:color w:val="000000"/>
                <w:sz w:val="44"/>
                <w:szCs w:val="44"/>
              </w:rPr>
            </w:pPr>
            <w:r>
              <w:rPr>
                <w:rFonts w:ascii="方正小标宋简体" w:eastAsia="方正小标宋简体" w:cs="方正小标宋简体" w:hAnsi="方正小标宋简体" w:hint="eastAsia"/>
                <w:color w:val="000000"/>
                <w:kern w:val="0"/>
                <w:sz w:val="44"/>
                <w:szCs w:val="44"/>
              </w:rPr>
              <w:t>部门预算、专项资金预算项目支出绩效目标自评表（2022年度）</w:t>
            </w:r>
          </w:p>
        </w:tc>
      </w:tr>
      <w:tr>
        <w:trPr>
          <w:trHeight w:val="380"/>
        </w:trPr>
        <w:tc>
          <w:tcPr>
            <w:tcW w:w="3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b/>
                <w:bCs/>
                <w:color w:val="000000"/>
                <w:sz w:val="18"/>
                <w:szCs w:val="18"/>
              </w:rPr>
            </w:pPr>
            <w:r>
              <w:rPr>
                <w:rFonts w:ascii="宋体" w:cs="宋体" w:hAnsi="宋体" w:hint="eastAsia"/>
                <w:b/>
                <w:bCs/>
                <w:color w:val="000000"/>
                <w:kern w:val="0"/>
                <w:sz w:val="18"/>
                <w:szCs w:val="18"/>
              </w:rPr>
              <w:t>项目名称</w:t>
            </w:r>
          </w:p>
        </w:tc>
        <w:tc>
          <w:tcPr>
            <w:tcW w:w="1231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2022年政府投资审计聘请中介机构服务费</w:t>
            </w:r>
          </w:p>
        </w:tc>
      </w:tr>
      <w:tr>
        <w:trPr>
          <w:trHeight w:val="280"/>
        </w:trPr>
        <w:tc>
          <w:tcPr>
            <w:tcW w:w="3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b/>
                <w:bCs/>
                <w:color w:val="000000"/>
                <w:sz w:val="18"/>
                <w:szCs w:val="18"/>
              </w:rPr>
            </w:pPr>
            <w:r>
              <w:rPr>
                <w:rFonts w:ascii="宋体" w:cs="宋体" w:hAnsi="宋体" w:hint="eastAsia"/>
                <w:b/>
                <w:bCs/>
                <w:color w:val="000000"/>
                <w:kern w:val="0"/>
                <w:sz w:val="18"/>
                <w:szCs w:val="18"/>
              </w:rPr>
              <w:t>主管部门</w:t>
            </w:r>
          </w:p>
        </w:tc>
        <w:tc>
          <w:tcPr>
            <w:tcW w:w="67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广元市利州区审计局本级</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 xml:space="preserve">实施单位 </w:t>
            </w:r>
          </w:p>
        </w:tc>
        <w:tc>
          <w:tcPr>
            <w:tcW w:w="31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广元市利州区审计局本级</w:t>
            </w:r>
          </w:p>
        </w:tc>
      </w:tr>
      <w:tr>
        <w:trPr>
          <w:trHeight w:val="380"/>
        </w:trPr>
        <w:tc>
          <w:tcPr>
            <w:tcW w:w="15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b/>
                <w:bCs/>
                <w:color w:val="000000"/>
                <w:sz w:val="18"/>
                <w:szCs w:val="18"/>
              </w:rPr>
            </w:pPr>
            <w:r>
              <w:rPr>
                <w:rFonts w:ascii="宋体" w:cs="宋体" w:hAnsi="宋体" w:hint="eastAsia"/>
                <w:b/>
                <w:bCs/>
                <w:color w:val="000000"/>
                <w:kern w:val="0"/>
                <w:sz w:val="18"/>
                <w:szCs w:val="18"/>
              </w:rPr>
              <w:t>项目基本情况</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b/>
                <w:bCs/>
                <w:color w:val="000000"/>
                <w:sz w:val="18"/>
                <w:szCs w:val="18"/>
              </w:rPr>
            </w:pPr>
            <w:r>
              <w:rPr>
                <w:rFonts w:ascii="宋体" w:cs="宋体" w:hAnsi="宋体" w:hint="eastAsia"/>
                <w:b/>
                <w:bCs/>
                <w:color w:val="000000"/>
                <w:kern w:val="0"/>
                <w:sz w:val="18"/>
                <w:szCs w:val="18"/>
              </w:rPr>
              <w:t>1.项目年度目标完成情况</w:t>
            </w:r>
          </w:p>
        </w:tc>
        <w:tc>
          <w:tcPr>
            <w:tcW w:w="67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项目年度目标</w:t>
            </w:r>
          </w:p>
        </w:tc>
        <w:tc>
          <w:tcPr>
            <w:tcW w:w="55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年度目标完成情况</w:t>
            </w:r>
          </w:p>
        </w:tc>
      </w:tr>
      <w:tr>
        <w:trPr>
          <w:trHeight w:val="2780"/>
        </w:trPr>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7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贯彻落实投资审计“三个转变”要求及审计署关于进一步规范聘请中介机构参与投资审计工作相关文件精神，2021年聘请中介机构参与投资审计项目服务费用支付方式从原来的区审计局仅支付基本审计费和5%以内的审减效益费，转变为不得再继续由项目业主、被审计单位承担审计费用，而由区审计局将项目外聘中介机构基本费和审减效益费等支出科学、合理编至部门预算并审核支付。2021年完成政府投资竣工（决）结算审计项目23个，送审金额17400.12万元，审计核实金额15904.06万元,审减金额1496.06万元，平均审减率8.60%；委托中介独立审计完成200万元以下备案项目33个,送审金额2677.24万元, 审计核实金额2492.33万元,审减184.90万元,平均审减率6.91%；投资审减共节约财政支出1680.96万元;着力揭示项目建设和管理中的问题,促进政府投资的规范建设和管理。</w:t>
            </w:r>
          </w:p>
        </w:tc>
        <w:tc>
          <w:tcPr>
            <w:tcW w:w="553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2021年完成政府投资竣工（决）结算审计项目23个，送审金额17400.12万元，审计核实金额15904.06万元,审减金额1496.06万元，平均审减率8.60%；委托中介独立审计完成200万元以下备案项目33个,送审金额2677.24万元,，审计核实金额2492.33万元,审减184.90万元,平均审减率6.91%；投资审减共节约财政支出1680.96万元;着力揭示项目建设和管理中的问题,促进政府投资的规范建设和管理。</w:t>
            </w:r>
          </w:p>
        </w:tc>
      </w:tr>
      <w:tr>
        <w:trPr>
          <w:trHeight w:val="1400"/>
        </w:trPr>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b/>
                <w:bCs/>
                <w:color w:val="000000"/>
                <w:sz w:val="18"/>
                <w:szCs w:val="18"/>
              </w:rPr>
            </w:pPr>
            <w:r>
              <w:rPr>
                <w:rFonts w:ascii="宋体" w:cs="宋体" w:hAnsi="宋体" w:hint="eastAsia"/>
                <w:b/>
                <w:bCs/>
                <w:color w:val="000000"/>
                <w:kern w:val="0"/>
                <w:sz w:val="18"/>
                <w:szCs w:val="18"/>
              </w:rPr>
              <w:t>2.项目实施内容及过程概述</w:t>
            </w:r>
          </w:p>
        </w:tc>
        <w:tc>
          <w:tcPr>
            <w:tcW w:w="1231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2021年完成政府投资竣工（决）结算审计项目23个，送审金额17400.12万元，审计核实金额15904.06万元,审减金额1496.06万元，平均审减率8.60%；委托中介独立审计完成200万元以下备案项目33个,送审金额2677.24万元, 审计核实金额2492.33万元,审减184.90万元,平均审减率6.91%；投资审减共节约财政支出1680.96万元;着力揭示项目建设和管理中的问题,促进政府投资的规范建设和管理。</w:t>
            </w:r>
          </w:p>
        </w:tc>
      </w:tr>
      <w:tr>
        <w:trPr>
          <w:trHeight w:val="540"/>
        </w:trPr>
        <w:tc>
          <w:tcPr>
            <w:tcW w:w="15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预算执行情况</w:t>
              <w:br/>
              <w:t>（10分）</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年度预算数</w:t>
              <w:br/>
              <w:t>（万元）</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年初预算</w:t>
            </w:r>
          </w:p>
        </w:tc>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调整后预算数</w:t>
            </w:r>
          </w:p>
        </w:tc>
        <w:tc>
          <w:tcPr>
            <w:tcW w:w="1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预算执行数</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预算执行率</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权重%</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自评得分</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原因</w:t>
            </w:r>
          </w:p>
        </w:tc>
      </w:tr>
      <w:tr>
        <w:trPr>
          <w:trHeight w:val="320"/>
        </w:trPr>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总额</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103.79</w:t>
            </w:r>
          </w:p>
        </w:tc>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188.81</w:t>
            </w:r>
          </w:p>
        </w:tc>
        <w:tc>
          <w:tcPr>
            <w:tcW w:w="1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188.81</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100.00%</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21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300"/>
        </w:trPr>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其中：财政资金</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103.79</w:t>
            </w:r>
          </w:p>
        </w:tc>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188.81</w:t>
            </w:r>
          </w:p>
        </w:tc>
        <w:tc>
          <w:tcPr>
            <w:tcW w:w="1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188.81</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100.00%</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21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财政专户管理资金</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1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21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0"/>
        </w:trPr>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单位资金</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1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21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其他资金</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6"/>
                <w:szCs w:val="16"/>
              </w:rPr>
            </w:pPr>
          </w:p>
        </w:tc>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6"/>
                <w:szCs w:val="16"/>
              </w:rPr>
            </w:pPr>
          </w:p>
        </w:tc>
        <w:tc>
          <w:tcPr>
            <w:tcW w:w="19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6"/>
                <w:szCs w:val="16"/>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6"/>
                <w:szCs w:val="16"/>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21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20"/>
        </w:trPr>
        <w:tc>
          <w:tcPr>
            <w:tcW w:w="15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绩效指标（90分）</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一级指标</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二级指标</w:t>
            </w:r>
          </w:p>
        </w:tc>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三级指标</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指标性质</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指标值</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度量单位</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完成值</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权重</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自评得分</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未完成原因分析</w:t>
            </w:r>
          </w:p>
        </w:tc>
      </w:tr>
      <w:tr>
        <w:trPr>
          <w:trHeight w:val="400"/>
        </w:trPr>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成本指标</w:t>
            </w:r>
          </w:p>
        </w:tc>
        <w:tc>
          <w:tcPr>
            <w:tcW w:w="3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项目委托审计服务费支出</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103.78</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万元</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188.81</w:t>
            </w:r>
          </w:p>
        </w:tc>
        <w:tc>
          <w:tcPr>
            <w:tcW w:w="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5 </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450"/>
        </w:trPr>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时效指标</w:t>
            </w:r>
          </w:p>
        </w:tc>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是否按照审计项目实施方案完成时间出具审计报告</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5 </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450"/>
        </w:trPr>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时效指标</w:t>
            </w:r>
          </w:p>
        </w:tc>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每个审计项目进行定性、定量、定期考核，</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5 </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270"/>
        </w:trPr>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成本指标</w:t>
            </w:r>
          </w:p>
        </w:tc>
        <w:tc>
          <w:tcPr>
            <w:tcW w:w="3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按审减金额计算审计服务费率</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6.17</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6.17</w:t>
            </w:r>
          </w:p>
        </w:tc>
        <w:tc>
          <w:tcPr>
            <w:tcW w:w="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5 </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270"/>
        </w:trPr>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质量指标</w:t>
            </w:r>
          </w:p>
        </w:tc>
        <w:tc>
          <w:tcPr>
            <w:tcW w:w="3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项目实施审减率支付审计服务费</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85</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85</w:t>
            </w:r>
          </w:p>
        </w:tc>
        <w:tc>
          <w:tcPr>
            <w:tcW w:w="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10 </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270"/>
        </w:trPr>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成本指标</w:t>
            </w:r>
          </w:p>
        </w:tc>
        <w:tc>
          <w:tcPr>
            <w:tcW w:w="3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按送审金额计算审计服务费率</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5.2</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5.2</w:t>
            </w:r>
          </w:p>
        </w:tc>
        <w:tc>
          <w:tcPr>
            <w:tcW w:w="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5 </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270"/>
        </w:trPr>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质量指标</w:t>
            </w:r>
          </w:p>
        </w:tc>
        <w:tc>
          <w:tcPr>
            <w:tcW w:w="3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项目资金核减率</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8.6</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8.6</w:t>
            </w:r>
          </w:p>
        </w:tc>
        <w:tc>
          <w:tcPr>
            <w:tcW w:w="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10 </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270"/>
        </w:trPr>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质量指标</w:t>
            </w:r>
          </w:p>
        </w:tc>
        <w:tc>
          <w:tcPr>
            <w:tcW w:w="3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备案项目核减率</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6.91</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6.91</w:t>
            </w:r>
          </w:p>
        </w:tc>
        <w:tc>
          <w:tcPr>
            <w:tcW w:w="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10 </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270"/>
        </w:trPr>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数量指标</w:t>
            </w:r>
          </w:p>
        </w:tc>
        <w:tc>
          <w:tcPr>
            <w:tcW w:w="3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政府投资工程结算审计项目个数</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56</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个</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56</w:t>
            </w:r>
          </w:p>
        </w:tc>
        <w:tc>
          <w:tcPr>
            <w:tcW w:w="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5 </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270"/>
        </w:trPr>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社会效益指标</w:t>
            </w:r>
          </w:p>
        </w:tc>
        <w:tc>
          <w:tcPr>
            <w:tcW w:w="3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防治损失浪费、提高投资效益</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cs="宋体" w:hAnsi="宋体"/>
                <w:color w:val="000000"/>
                <w:sz w:val="18"/>
                <w:szCs w:val="18"/>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5 </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270"/>
        </w:trPr>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经济效益指标</w:t>
            </w:r>
          </w:p>
        </w:tc>
        <w:tc>
          <w:tcPr>
            <w:tcW w:w="3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核减政府投资支出，节约财政资金</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1680.96</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万元</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1680.96</w:t>
            </w:r>
          </w:p>
        </w:tc>
        <w:tc>
          <w:tcPr>
            <w:tcW w:w="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10 </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270"/>
        </w:trPr>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可持续影响指标</w:t>
            </w:r>
          </w:p>
        </w:tc>
        <w:tc>
          <w:tcPr>
            <w:tcW w:w="3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规范政府投资建设和管理行为</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cs="宋体" w:hAnsi="宋体"/>
                <w:color w:val="000000"/>
                <w:sz w:val="18"/>
                <w:szCs w:val="18"/>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5 </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270"/>
        </w:trPr>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生态效益指标</w:t>
            </w:r>
          </w:p>
        </w:tc>
        <w:tc>
          <w:tcPr>
            <w:tcW w:w="3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生态环境保护</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cs="宋体" w:hAnsi="宋体"/>
                <w:color w:val="000000"/>
                <w:sz w:val="18"/>
                <w:szCs w:val="18"/>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1 </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p>
        </w:tc>
      </w:tr>
      <w:tr>
        <w:trPr>
          <w:trHeight w:val="270"/>
        </w:trPr>
        <w:tc>
          <w:tcPr>
            <w:tcW w:w="15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满意度指标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服务对象满意度指标</w:t>
            </w:r>
          </w:p>
        </w:tc>
        <w:tc>
          <w:tcPr>
            <w:tcW w:w="30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被审计单位满意度。</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95</w:t>
            </w:r>
          </w:p>
        </w:tc>
        <w:tc>
          <w:tcPr>
            <w:tcW w:w="6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90</w:t>
            </w:r>
          </w:p>
        </w:tc>
        <w:tc>
          <w:tcPr>
            <w:tcW w:w="5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5 </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  </w:t>
            </w:r>
          </w:p>
        </w:tc>
      </w:tr>
      <w:tr>
        <w:trPr>
          <w:trHeight w:val="270"/>
        </w:trPr>
        <w:tc>
          <w:tcPr>
            <w:tcW w:w="1223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合计</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96</w:t>
            </w:r>
          </w:p>
        </w:tc>
        <w:tc>
          <w:tcPr>
            <w:tcW w:w="2173"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760"/>
        </w:trPr>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自评结论</w:t>
            </w:r>
          </w:p>
        </w:tc>
        <w:tc>
          <w:tcPr>
            <w:tcW w:w="1391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pStyle w:val="15"/>
              <w:spacing w:beforeLines="0" w:before="30" w:line="576" w:lineRule="exact"/>
              <w:ind w:firstLineChars="200" w:firstLine="360"/>
              <w:rPr>
                <w:rFonts w:ascii="宋体" w:eastAsia="宋体" w:cs="宋体" w:hAnsi="宋体"/>
                <w:color w:val="000000"/>
                <w:sz w:val="18"/>
                <w:szCs w:val="18"/>
                <w:lang w:val="zh-CN"/>
              </w:rPr>
            </w:pPr>
            <w:r>
              <w:rPr>
                <w:rFonts w:ascii="宋体" w:eastAsia="宋体" w:cs="宋体" w:hAnsi="宋体" w:hint="eastAsia"/>
                <w:color w:val="000000"/>
                <w:sz w:val="18"/>
                <w:szCs w:val="18"/>
              </w:rPr>
              <w:t>我局</w:t>
            </w:r>
            <w:r>
              <w:rPr>
                <w:rFonts w:ascii="宋体" w:eastAsia="宋体" w:cs="宋体" w:hAnsi="宋体" w:hint="eastAsia"/>
                <w:color w:val="000000"/>
                <w:sz w:val="18"/>
                <w:szCs w:val="18"/>
                <w:lang w:val="zh-CN"/>
              </w:rPr>
              <w:t>年初设定的项目绩效目标编制合理，项目设定的各项指标可行，资金使用规范，该项目的实施，</w:t>
            </w:r>
            <w:r>
              <w:rPr>
                <w:rFonts w:ascii="宋体" w:eastAsia="宋体" w:cs="宋体" w:hAnsi="宋体" w:hint="eastAsia"/>
                <w:color w:val="000000"/>
                <w:sz w:val="18"/>
                <w:szCs w:val="18"/>
              </w:rPr>
              <w:t>对提高财政资金监督使用绩效，强化工程项目审计监督， 围绕全区经济高量发展，聚焦全区重点项目建设，加大对政府投资规范管理的提供了有力保障。</w:t>
            </w:r>
          </w:p>
          <w:p>
            <w:pPr>
              <w:widowControl/>
              <w:jc w:val="left"/>
              <w:textAlignment w:val="center"/>
              <w:rPr>
                <w:rFonts w:ascii="宋体" w:cs="宋体" w:hAnsi="宋体"/>
                <w:color w:val="000000"/>
                <w:sz w:val="16"/>
                <w:szCs w:val="16"/>
              </w:rPr>
            </w:pPr>
            <w:r>
              <w:rPr>
                <w:rFonts w:ascii="宋体" w:cs="宋体" w:hAnsi="宋体" w:hint="eastAsia"/>
                <w:color w:val="000000"/>
                <w:kern w:val="0"/>
                <w:sz w:val="16"/>
                <w:szCs w:val="16"/>
              </w:rPr>
              <w:t xml:space="preserve"> </w:t>
            </w:r>
          </w:p>
        </w:tc>
      </w:tr>
      <w:tr>
        <w:trPr>
          <w:trHeight w:val="460"/>
        </w:trPr>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自评存在问题</w:t>
            </w:r>
          </w:p>
        </w:tc>
        <w:tc>
          <w:tcPr>
            <w:tcW w:w="1391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adjustRightInd w:val="0"/>
              <w:snapToGrid w:val="0"/>
              <w:spacing w:line="576" w:lineRule="exact"/>
              <w:ind w:firstLineChars="200" w:firstLine="360"/>
              <w:rPr>
                <w:rFonts w:ascii="宋体" w:cs="宋体" w:hAnsi="宋体"/>
                <w:color w:val="000000"/>
                <w:kern w:val="0"/>
                <w:sz w:val="18"/>
                <w:szCs w:val="18"/>
                <w:lang w:val="zh-CN"/>
              </w:rPr>
            </w:pPr>
            <w:r>
              <w:rPr>
                <w:rFonts w:ascii="宋体" w:cs="宋体" w:hAnsi="宋体" w:hint="eastAsia"/>
                <w:color w:val="000000"/>
                <w:kern w:val="0"/>
                <w:sz w:val="18"/>
                <w:szCs w:val="18"/>
                <w:lang w:val="zh-CN"/>
              </w:rPr>
              <w:t>因财务人员对该项目实施过程中部分事项了解不全面，项目绩效三级指标设计部分与实际不相符，造成评价产生差异。</w:t>
              <w:tab/>
            </w:r>
          </w:p>
          <w:p>
            <w:pPr>
              <w:widowControl/>
              <w:jc w:val="left"/>
              <w:textAlignment w:val="center"/>
              <w:rPr>
                <w:rFonts w:ascii="宋体" w:cs="宋体" w:hAnsi="宋体"/>
                <w:color w:val="000000"/>
                <w:sz w:val="16"/>
                <w:szCs w:val="16"/>
              </w:rPr>
            </w:pPr>
          </w:p>
        </w:tc>
      </w:tr>
      <w:tr>
        <w:trPr>
          <w:trHeight w:val="500"/>
        </w:trPr>
        <w:tc>
          <w:tcPr>
            <w:tcW w:w="150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自评改进措施</w:t>
            </w:r>
          </w:p>
        </w:tc>
        <w:tc>
          <w:tcPr>
            <w:tcW w:w="1391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adjustRightInd w:val="0"/>
              <w:snapToGrid w:val="0"/>
              <w:spacing w:line="576" w:lineRule="exact"/>
              <w:ind w:firstLineChars="200" w:firstLine="360"/>
              <w:rPr>
                <w:rFonts w:ascii="宋体" w:cs="宋体" w:hAnsi="宋体"/>
                <w:color w:val="000000"/>
                <w:kern w:val="0"/>
                <w:sz w:val="18"/>
                <w:szCs w:val="18"/>
                <w:lang w:val="zh-CN"/>
              </w:rPr>
            </w:pPr>
            <w:r>
              <w:rPr>
                <w:rFonts w:ascii="宋体" w:cs="宋体" w:hAnsi="宋体" w:hint="eastAsia"/>
                <w:color w:val="000000"/>
                <w:kern w:val="0"/>
                <w:sz w:val="18"/>
                <w:szCs w:val="18"/>
                <w:lang w:val="zh-CN"/>
              </w:rPr>
              <w:t>年初编制项目预算绩效时应由项目实施股室及经办人员全过程参与，按项目实际情况设定指标权重，减少项目完工后评价的分歧。</w:t>
            </w:r>
          </w:p>
          <w:p>
            <w:pPr>
              <w:widowControl/>
              <w:jc w:val="left"/>
              <w:textAlignment w:val="center"/>
              <w:rPr>
                <w:rFonts w:ascii="宋体" w:cs="宋体" w:hAnsi="宋体"/>
                <w:color w:val="000000"/>
                <w:sz w:val="16"/>
                <w:szCs w:val="16"/>
              </w:rPr>
            </w:pPr>
          </w:p>
        </w:tc>
      </w:tr>
      <w:tr>
        <w:trPr>
          <w:trHeight w:val="270"/>
        </w:trPr>
        <w:tc>
          <w:tcPr>
            <w:tcW w:w="843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项目负责人：杨宁</w:t>
            </w:r>
          </w:p>
        </w:tc>
        <w:tc>
          <w:tcPr>
            <w:tcW w:w="6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财务负责人：陈杰</w:t>
            </w:r>
          </w:p>
        </w:tc>
      </w:tr>
    </w:tbl>
    <w:p>
      <w:pPr>
        <w:pStyle w:val="25"/>
        <w:spacing w:line="560" w:lineRule="exact"/>
        <w:rPr>
          <w:rFonts w:hAnsi="Times New Roman"/>
          <w:sz w:val="32"/>
          <w:lang w:val="zh-CN"/>
        </w:rPr>
      </w:pPr>
    </w:p>
    <w:tbl>
      <w:tblPr>
        <w:tblpPr w:leftFromText="180" w:rightFromText="180" w:vertAnchor="text" w:horzAnchor="page" w:tblpX="1208" w:tblpY="2263"/>
        <w:tblOverlap w:val="never"/>
        <w:tblW w:w="1512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481"/>
        <w:gridCol w:w="1534"/>
        <w:gridCol w:w="1405"/>
        <w:gridCol w:w="84"/>
        <w:gridCol w:w="1200"/>
        <w:gridCol w:w="560"/>
        <w:gridCol w:w="825"/>
        <w:gridCol w:w="263"/>
        <w:gridCol w:w="404"/>
        <w:gridCol w:w="781"/>
        <w:gridCol w:w="307"/>
        <w:gridCol w:w="457"/>
        <w:gridCol w:w="189"/>
        <w:gridCol w:w="681"/>
        <w:gridCol w:w="83"/>
        <w:gridCol w:w="681"/>
        <w:gridCol w:w="75"/>
        <w:gridCol w:w="764"/>
        <w:gridCol w:w="3346"/>
      </w:tblGrid>
      <w:tr>
        <w:trPr>
          <w:trHeight w:val="943"/>
        </w:trPr>
        <w:tc>
          <w:tcPr>
            <w:tcW w:w="15120" w:type="dxa"/>
            <w:gridSpan w:val="19"/>
            <w:tcBorders>
              <w:top w:val="nil"/>
              <w:left w:val="nil"/>
              <w:bottom w:val="nil"/>
              <w:right w:val="nil"/>
            </w:tcBorders>
            <w:shd w:val="clear" w:color="auto" w:fill="auto"/>
            <w:vAlign w:val="center"/>
          </w:tcPr>
          <w:p>
            <w:pPr>
              <w:widowControl/>
              <w:jc w:val="center"/>
              <w:textAlignment w:val="center"/>
              <w:rPr>
                <w:rFonts w:ascii="方正小标宋简体" w:eastAsia="方正小标宋简体" w:cs="方正小标宋简体" w:hAnsi="方正小标宋简体"/>
                <w:color w:val="000000"/>
                <w:kern w:val="0"/>
                <w:sz w:val="44"/>
                <w:szCs w:val="44"/>
              </w:rPr>
            </w:pPr>
          </w:p>
          <w:p>
            <w:pPr>
              <w:widowControl/>
              <w:jc w:val="center"/>
              <w:textAlignment w:val="center"/>
              <w:rPr>
                <w:rFonts w:ascii="方正小标宋简体" w:eastAsia="方正小标宋简体" w:cs="方正小标宋简体" w:hAnsi="方正小标宋简体"/>
                <w:color w:val="000000"/>
                <w:kern w:val="0"/>
                <w:sz w:val="44"/>
                <w:szCs w:val="44"/>
              </w:rPr>
            </w:pPr>
          </w:p>
          <w:p>
            <w:pPr>
              <w:widowControl/>
              <w:jc w:val="center"/>
              <w:textAlignment w:val="center"/>
              <w:rPr>
                <w:rFonts w:ascii="方正小标宋简体" w:eastAsia="方正小标宋简体" w:cs="方正小标宋简体" w:hAnsi="方正小标宋简体"/>
                <w:color w:val="000000"/>
                <w:sz w:val="44"/>
                <w:szCs w:val="44"/>
              </w:rPr>
            </w:pPr>
            <w:r>
              <w:rPr>
                <w:rFonts w:ascii="方正小标宋简体" w:eastAsia="方正小标宋简体" w:cs="方正小标宋简体" w:hAnsi="方正小标宋简体" w:hint="eastAsia"/>
                <w:color w:val="000000"/>
                <w:kern w:val="0"/>
                <w:sz w:val="44"/>
                <w:szCs w:val="44"/>
              </w:rPr>
              <w:t>部门预算、专项资金预算项目支出绩效目标自评表（2022年度）</w:t>
            </w:r>
          </w:p>
        </w:tc>
      </w:tr>
      <w:tr>
        <w:trPr>
          <w:trHeight w:val="385"/>
        </w:trPr>
        <w:tc>
          <w:tcPr>
            <w:tcW w:w="3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b/>
                <w:bCs/>
                <w:color w:val="000000"/>
                <w:sz w:val="18"/>
                <w:szCs w:val="18"/>
              </w:rPr>
            </w:pPr>
            <w:r>
              <w:rPr>
                <w:rFonts w:ascii="宋体" w:cs="宋体" w:hAnsi="宋体" w:hint="eastAsia"/>
                <w:b/>
                <w:bCs/>
                <w:color w:val="000000"/>
                <w:kern w:val="0"/>
                <w:sz w:val="18"/>
                <w:szCs w:val="18"/>
              </w:rPr>
              <w:t>项目名称</w:t>
            </w:r>
          </w:p>
        </w:tc>
        <w:tc>
          <w:tcPr>
            <w:tcW w:w="12105"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区属国有企业资产负债损益审计聘请中介机构审计服务费</w:t>
            </w:r>
          </w:p>
        </w:tc>
      </w:tr>
      <w:tr>
        <w:trPr>
          <w:trHeight w:val="324"/>
        </w:trPr>
        <w:tc>
          <w:tcPr>
            <w:tcW w:w="3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b/>
                <w:bCs/>
                <w:color w:val="000000"/>
                <w:sz w:val="18"/>
                <w:szCs w:val="18"/>
              </w:rPr>
            </w:pPr>
            <w:r>
              <w:rPr>
                <w:rFonts w:ascii="宋体" w:cs="宋体" w:hAnsi="宋体" w:hint="eastAsia"/>
                <w:b/>
                <w:bCs/>
                <w:color w:val="000000"/>
                <w:kern w:val="0"/>
                <w:sz w:val="18"/>
                <w:szCs w:val="18"/>
              </w:rPr>
              <w:t>主管部门</w:t>
            </w:r>
          </w:p>
        </w:tc>
        <w:tc>
          <w:tcPr>
            <w:tcW w:w="552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广元市利州区审计局本级</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 xml:space="preserve">实施单位 </w:t>
            </w:r>
          </w:p>
        </w:tc>
        <w:tc>
          <w:tcPr>
            <w:tcW w:w="56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广元市利州区审计局本级</w:t>
            </w:r>
          </w:p>
        </w:tc>
      </w:tr>
      <w:tr>
        <w:trPr>
          <w:trHeight w:val="385"/>
        </w:trPr>
        <w:tc>
          <w:tcPr>
            <w:tcW w:w="14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b/>
                <w:bCs/>
                <w:color w:val="000000"/>
                <w:sz w:val="18"/>
                <w:szCs w:val="18"/>
              </w:rPr>
            </w:pPr>
            <w:r>
              <w:rPr>
                <w:rFonts w:ascii="宋体" w:cs="宋体" w:hAnsi="宋体" w:hint="eastAsia"/>
                <w:b/>
                <w:bCs/>
                <w:color w:val="000000"/>
                <w:kern w:val="0"/>
                <w:sz w:val="18"/>
                <w:szCs w:val="18"/>
              </w:rPr>
              <w:t>项目基本情况</w:t>
            </w: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b/>
                <w:bCs/>
                <w:color w:val="000000"/>
                <w:sz w:val="18"/>
                <w:szCs w:val="18"/>
              </w:rPr>
            </w:pPr>
            <w:r>
              <w:rPr>
                <w:rFonts w:ascii="宋体" w:cs="宋体" w:hAnsi="宋体" w:hint="eastAsia"/>
                <w:b/>
                <w:bCs/>
                <w:color w:val="000000"/>
                <w:kern w:val="0"/>
                <w:sz w:val="18"/>
                <w:szCs w:val="18"/>
              </w:rPr>
              <w:t>1.项目年度目标完成情况</w:t>
            </w:r>
          </w:p>
        </w:tc>
        <w:tc>
          <w:tcPr>
            <w:tcW w:w="552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项目年度目标</w:t>
            </w:r>
          </w:p>
        </w:tc>
        <w:tc>
          <w:tcPr>
            <w:tcW w:w="658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年度目标完成情况</w:t>
            </w:r>
          </w:p>
        </w:tc>
      </w:tr>
      <w:tr>
        <w:trPr>
          <w:trHeight w:val="1895"/>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2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 xml:space="preserve"> 认真落实《关于深化国有企业和国有资本审计监督的实施意见》有关要求，有序推进企业审计“五年一轮审”计划,围绕国有企业资产负债损益的真实性、合法性、效益性，重点关注国有企业重大投资项目、资产处置以及风险防控等情况，促进企业提升财务管理水平和会计信息质量，提高经营管理绩效和国有资产（资本）保值增值，2022年聘请注册会计师，对区级5家集团公司及23一级子公司资产负债损益情况进行审计。</w:t>
            </w:r>
          </w:p>
        </w:tc>
        <w:tc>
          <w:tcPr>
            <w:tcW w:w="658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2022年对国有企业重大投资项目、资产处置以及风险防控等情况，促进企业提升财务管理水平和会计信息质量，提高经营管理绩效和国有资产（资本）保值增值，2022年聘请注册会计师，对区级5家集团公司及23一级子公司资产负债损益情况进行审计。</w:t>
            </w:r>
          </w:p>
        </w:tc>
      </w:tr>
      <w:tr>
        <w:trPr>
          <w:trHeight w:val="1192"/>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b/>
                <w:bCs/>
                <w:color w:val="000000"/>
                <w:sz w:val="18"/>
                <w:szCs w:val="18"/>
              </w:rPr>
            </w:pPr>
            <w:r>
              <w:rPr>
                <w:rFonts w:ascii="宋体" w:cs="宋体" w:hAnsi="宋体" w:hint="eastAsia"/>
                <w:b/>
                <w:bCs/>
                <w:color w:val="000000"/>
                <w:kern w:val="0"/>
                <w:sz w:val="18"/>
                <w:szCs w:val="18"/>
              </w:rPr>
              <w:t>2.项目实施内容及过程概述</w:t>
            </w:r>
          </w:p>
        </w:tc>
        <w:tc>
          <w:tcPr>
            <w:tcW w:w="12105"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聘请第三方机构对区属国有企业的重大投资项目、资产处置以及风险防控等情况，促进企业提升财务管理水平和会计信息质量，提高经营管理绩效和国有资产（资本）保值增值。</w:t>
            </w:r>
          </w:p>
        </w:tc>
      </w:tr>
      <w:tr>
        <w:trPr>
          <w:trHeight w:val="639"/>
        </w:trPr>
        <w:tc>
          <w:tcPr>
            <w:tcW w:w="14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预算执行情况</w:t>
              <w:br/>
              <w:t>（10分）</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年度预算数</w:t>
              <w:br/>
              <w:t>（万元）</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年初预算</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调整后预算数</w:t>
            </w:r>
          </w:p>
        </w:tc>
        <w:tc>
          <w:tcPr>
            <w:tcW w:w="28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预算执行数</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预算执行率</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权重%</w:t>
            </w: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自评得分</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原因</w:t>
            </w:r>
          </w:p>
        </w:tc>
      </w:tr>
      <w:tr>
        <w:trPr>
          <w:trHeight w:val="325"/>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总额</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45.00</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45.00</w:t>
            </w:r>
          </w:p>
        </w:tc>
        <w:tc>
          <w:tcPr>
            <w:tcW w:w="28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45.00</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100.00%</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41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 xml:space="preserve"> </w:t>
            </w:r>
          </w:p>
        </w:tc>
      </w:tr>
      <w:tr>
        <w:trPr>
          <w:trHeight w:val="32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其中：财政资金</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45.00</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45.00</w:t>
            </w:r>
          </w:p>
        </w:tc>
        <w:tc>
          <w:tcPr>
            <w:tcW w:w="28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45.00</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100.00%</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41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5"/>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财政专户管理资金</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28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1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2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单位资金</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28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1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5"/>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其他资金</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6"/>
                <w:szCs w:val="16"/>
              </w:rPr>
            </w:pP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6"/>
                <w:szCs w:val="16"/>
              </w:rPr>
            </w:pPr>
          </w:p>
        </w:tc>
        <w:tc>
          <w:tcPr>
            <w:tcW w:w="28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6"/>
                <w:szCs w:val="16"/>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6"/>
                <w:szCs w:val="16"/>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41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19"/>
        </w:trPr>
        <w:tc>
          <w:tcPr>
            <w:tcW w:w="14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绩效指标（90分）</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一级指标</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二级指标</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三级指标</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指标值</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度量单位</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完成值</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权重</w:t>
            </w: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自评得分</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未完成原因分析</w:t>
            </w:r>
          </w:p>
        </w:tc>
      </w:tr>
      <w:tr>
        <w:trPr>
          <w:trHeight w:val="639"/>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数量指标</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审计提出意见建议</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21</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条</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22</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1267"/>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数量指标</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指导监督5个集团公司建立健全内部审计机构</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家</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4</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8</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疫情原因调整项目</w:t>
            </w:r>
          </w:p>
        </w:tc>
      </w:tr>
      <w:tr>
        <w:trPr>
          <w:trHeight w:val="32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质量指标</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审计工作质量</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cs="宋体" w:hAnsi="宋体"/>
                <w:color w:val="000000"/>
                <w:sz w:val="18"/>
                <w:szCs w:val="18"/>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质量指标</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审计整改率</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95</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4.9</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疫情原因部分事项没有整改到位</w:t>
            </w:r>
          </w:p>
        </w:tc>
      </w:tr>
      <w:tr>
        <w:trPr>
          <w:trHeight w:val="32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时效指标</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审计工作实效</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月</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时效指标</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审计文书实效</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cs="宋体" w:hAnsi="宋体"/>
                <w:color w:val="000000"/>
                <w:sz w:val="18"/>
                <w:szCs w:val="18"/>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639"/>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成本指标</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委托项目业务费支出</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45</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万元</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45</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953"/>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质量指标</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作出客观公正、实事求是的评价</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cs="宋体" w:hAnsi="宋体"/>
                <w:color w:val="000000"/>
                <w:sz w:val="18"/>
                <w:szCs w:val="18"/>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数量指标</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出具审计报告</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份</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4</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8</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数量指标</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出具审计要情</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份</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4</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8</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639"/>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数量指标</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一级子公司财务审计</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23</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家</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16</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3</w:t>
            </w: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2.08</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疫情原因调整项目</w:t>
            </w:r>
          </w:p>
        </w:tc>
      </w:tr>
      <w:tr>
        <w:trPr>
          <w:trHeight w:val="2523"/>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经济效益指标</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提升国有资本经营预算执行绩效，促进优化国有资本布局、规范国有资本运作、提高国有资本配置和运行效率。</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1267"/>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生态效益指标</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聚焦保护青山绿水， 自然资源资产节约利用和生态环境健康发展</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95</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95</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953"/>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可持续影响指标</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提高国有资产资源的使用效益</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95</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可持续影响指标</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审计成果运用</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1581"/>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经济效益指标</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促进完善中国特色现代企业制度，推动提升企业技术创新能力</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1581"/>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经济效益指标</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关注国有企业重大投资项目、资产处置以及风险防控等情况</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1267"/>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社会效益指标</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安全有效使用国有资源资产、防治损失浪费、提高经济效益</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1340"/>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经济效益指标</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促进企业提升财务管理水平和会计信息质量，提高经营管理绩效和国有资产（资本）保值增值</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953"/>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4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社会效益指标</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保障国企领导干部管理监督制度执行</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639"/>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满意度指标</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服务对象满意度指标</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被审计单位满意度</w:t>
            </w:r>
          </w:p>
        </w:tc>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95</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95</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639"/>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满意度指标</w:t>
            </w: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服务对象满意度指标</w:t>
            </w:r>
          </w:p>
        </w:tc>
        <w:tc>
          <w:tcPr>
            <w:tcW w:w="12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审计成果满意度</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95</w:t>
            </w:r>
          </w:p>
        </w:tc>
        <w:tc>
          <w:tcPr>
            <w:tcW w:w="118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95</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4"/>
        </w:trPr>
        <w:tc>
          <w:tcPr>
            <w:tcW w:w="949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合计</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91.89</w:t>
            </w:r>
          </w:p>
        </w:tc>
        <w:tc>
          <w:tcPr>
            <w:tcW w:w="4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639"/>
        </w:trPr>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自评结论</w:t>
            </w:r>
          </w:p>
        </w:tc>
        <w:tc>
          <w:tcPr>
            <w:tcW w:w="13639"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6"/>
                <w:szCs w:val="16"/>
              </w:rPr>
            </w:pPr>
            <w:r>
              <w:rPr>
                <w:rFonts w:ascii="宋体" w:cs="宋体" w:hAnsi="宋体" w:hint="eastAsia"/>
                <w:color w:val="000000"/>
                <w:kern w:val="0"/>
                <w:sz w:val="18"/>
                <w:szCs w:val="18"/>
                <w:lang w:val="zh-CN"/>
              </w:rPr>
              <w:t>我局年初设定的项目绩效目标编制合理，项目设定的各项指标可行，资金使用规范，该项目的实施，</w:t>
            </w:r>
            <w:r>
              <w:rPr>
                <w:rFonts w:ascii="宋体" w:cs="宋体" w:hAnsi="宋体" w:hint="eastAsia"/>
                <w:color w:val="000000"/>
                <w:kern w:val="0"/>
                <w:sz w:val="18"/>
                <w:szCs w:val="18"/>
              </w:rPr>
              <w:t>对提高财政资金监督使用绩效，强化工程项目审计监督，防范化解政府债务风险，强化国有企业审计监督，助力国有经济高质量发展提供有有力保障。</w:t>
            </w:r>
          </w:p>
        </w:tc>
      </w:tr>
      <w:tr>
        <w:trPr>
          <w:trHeight w:val="463"/>
        </w:trPr>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自评存在问题</w:t>
            </w:r>
          </w:p>
        </w:tc>
        <w:tc>
          <w:tcPr>
            <w:tcW w:w="13639"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6"/>
                <w:szCs w:val="16"/>
              </w:rPr>
            </w:pPr>
            <w:r>
              <w:rPr>
                <w:rFonts w:ascii="宋体" w:cs="宋体" w:hAnsi="宋体" w:hint="eastAsia"/>
                <w:color w:val="000000"/>
                <w:kern w:val="0"/>
                <w:sz w:val="18"/>
                <w:szCs w:val="18"/>
                <w:lang w:val="zh-CN"/>
              </w:rPr>
              <w:t>因财务人员对该项目实施过程中部分事项了解不全面，造成个别绩效指标设定值和实际完成值略有偏差。造成评价产生差异。</w:t>
              <w:tab/>
            </w:r>
          </w:p>
        </w:tc>
      </w:tr>
      <w:tr>
        <w:trPr>
          <w:trHeight w:val="503"/>
        </w:trPr>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自评改进措施</w:t>
            </w:r>
          </w:p>
        </w:tc>
        <w:tc>
          <w:tcPr>
            <w:tcW w:w="13639"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6"/>
                <w:szCs w:val="16"/>
              </w:rPr>
            </w:pPr>
            <w:r>
              <w:rPr>
                <w:rFonts w:ascii="宋体" w:cs="宋体" w:hAnsi="宋体" w:hint="eastAsia"/>
                <w:color w:val="000000"/>
                <w:kern w:val="0"/>
                <w:sz w:val="18"/>
                <w:szCs w:val="18"/>
                <w:lang w:val="zh-CN"/>
              </w:rPr>
              <w:t>年初编制项目预算绩效时应由项目实施股室及经办人员全过程参与，按项目实际情况设定指标权重，减少项目完工后绩效评价的分歧。</w:t>
            </w:r>
          </w:p>
        </w:tc>
      </w:tr>
      <w:tr>
        <w:trPr>
          <w:trHeight w:val="324"/>
        </w:trPr>
        <w:tc>
          <w:tcPr>
            <w:tcW w:w="62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项目负责人：杨宁</w:t>
            </w:r>
          </w:p>
        </w:tc>
        <w:tc>
          <w:tcPr>
            <w:tcW w:w="8856"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财务负责人：陈杰</w:t>
            </w:r>
          </w:p>
        </w:tc>
      </w:tr>
      <w:tr>
        <w:trPr>
          <w:trHeight w:val="953"/>
        </w:trPr>
        <w:tc>
          <w:tcPr>
            <w:tcW w:w="15120" w:type="dxa"/>
            <w:gridSpan w:val="19"/>
            <w:tcBorders>
              <w:top w:val="nil"/>
              <w:left w:val="nil"/>
              <w:bottom w:val="nil"/>
              <w:right w:val="nil"/>
            </w:tcBorders>
            <w:shd w:val="clear" w:color="auto" w:fill="auto"/>
            <w:vAlign w:val="center"/>
          </w:tcPr>
          <w:p>
            <w:pPr>
              <w:widowControl/>
              <w:textAlignment w:val="center"/>
              <w:rPr>
                <w:rFonts w:ascii="方正小标宋简体" w:eastAsia="方正小标宋简体" w:cs="方正小标宋简体" w:hAnsi="方正小标宋简体"/>
                <w:color w:val="000000"/>
                <w:kern w:val="0"/>
                <w:sz w:val="44"/>
                <w:szCs w:val="44"/>
              </w:rPr>
            </w:pPr>
          </w:p>
          <w:p>
            <w:pPr>
              <w:widowControl/>
              <w:jc w:val="center"/>
              <w:textAlignment w:val="center"/>
              <w:rPr>
                <w:rFonts w:ascii="方正小标宋简体" w:eastAsia="方正小标宋简体" w:cs="方正小标宋简体" w:hAnsi="方正小标宋简体"/>
                <w:color w:val="000000"/>
                <w:kern w:val="0"/>
                <w:sz w:val="44"/>
                <w:szCs w:val="44"/>
              </w:rPr>
            </w:pPr>
          </w:p>
          <w:p>
            <w:pPr>
              <w:widowControl/>
              <w:jc w:val="center"/>
              <w:textAlignment w:val="center"/>
              <w:rPr>
                <w:rFonts w:ascii="方正小标宋简体" w:eastAsia="方正小标宋简体" w:cs="方正小标宋简体" w:hAnsi="方正小标宋简体"/>
                <w:color w:val="000000"/>
                <w:sz w:val="44"/>
                <w:szCs w:val="44"/>
              </w:rPr>
            </w:pPr>
            <w:r>
              <w:rPr>
                <w:rFonts w:ascii="方正小标宋简体" w:eastAsia="方正小标宋简体" w:cs="方正小标宋简体" w:hAnsi="方正小标宋简体" w:hint="eastAsia"/>
                <w:color w:val="000000"/>
                <w:kern w:val="0"/>
                <w:sz w:val="44"/>
                <w:szCs w:val="44"/>
              </w:rPr>
              <w:t>部门预算、专项资金预算项目支出绩效目标自评表（2022年度）</w:t>
            </w:r>
          </w:p>
        </w:tc>
      </w:tr>
      <w:tr>
        <w:trPr>
          <w:trHeight w:val="385"/>
        </w:trPr>
        <w:tc>
          <w:tcPr>
            <w:tcW w:w="3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b/>
                <w:bCs/>
                <w:color w:val="000000"/>
                <w:sz w:val="18"/>
                <w:szCs w:val="18"/>
              </w:rPr>
            </w:pPr>
            <w:r>
              <w:rPr>
                <w:rFonts w:ascii="宋体" w:cs="宋体" w:hAnsi="宋体" w:hint="eastAsia"/>
                <w:b/>
                <w:bCs/>
                <w:color w:val="000000"/>
                <w:kern w:val="0"/>
                <w:sz w:val="18"/>
                <w:szCs w:val="18"/>
              </w:rPr>
              <w:t>项目名称</w:t>
            </w:r>
          </w:p>
        </w:tc>
        <w:tc>
          <w:tcPr>
            <w:tcW w:w="12105"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2022年审计事务外调项目</w:t>
            </w:r>
          </w:p>
        </w:tc>
      </w:tr>
      <w:tr>
        <w:trPr>
          <w:trHeight w:val="324"/>
        </w:trPr>
        <w:tc>
          <w:tcPr>
            <w:tcW w:w="3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b/>
                <w:bCs/>
                <w:color w:val="000000"/>
                <w:sz w:val="18"/>
                <w:szCs w:val="18"/>
              </w:rPr>
            </w:pPr>
            <w:r>
              <w:rPr>
                <w:rFonts w:ascii="宋体" w:cs="宋体" w:hAnsi="宋体" w:hint="eastAsia"/>
                <w:b/>
                <w:bCs/>
                <w:color w:val="000000"/>
                <w:kern w:val="0"/>
                <w:sz w:val="18"/>
                <w:szCs w:val="18"/>
              </w:rPr>
              <w:t>主管部门</w:t>
            </w:r>
          </w:p>
        </w:tc>
        <w:tc>
          <w:tcPr>
            <w:tcW w:w="628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广元市利州区审计局本级</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 xml:space="preserve">实施单位 </w:t>
            </w:r>
          </w:p>
        </w:tc>
        <w:tc>
          <w:tcPr>
            <w:tcW w:w="48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广元市利州区审计局本级</w:t>
            </w:r>
          </w:p>
        </w:tc>
      </w:tr>
      <w:tr>
        <w:trPr>
          <w:trHeight w:val="385"/>
        </w:trPr>
        <w:tc>
          <w:tcPr>
            <w:tcW w:w="14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b/>
                <w:bCs/>
                <w:color w:val="000000"/>
                <w:sz w:val="18"/>
                <w:szCs w:val="18"/>
              </w:rPr>
            </w:pPr>
            <w:r>
              <w:rPr>
                <w:rFonts w:ascii="宋体" w:cs="宋体" w:hAnsi="宋体" w:hint="eastAsia"/>
                <w:b/>
                <w:bCs/>
                <w:color w:val="000000"/>
                <w:kern w:val="0"/>
                <w:sz w:val="18"/>
                <w:szCs w:val="18"/>
              </w:rPr>
              <w:t>项目基本情况</w:t>
            </w:r>
          </w:p>
        </w:tc>
        <w:tc>
          <w:tcPr>
            <w:tcW w:w="15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b/>
                <w:bCs/>
                <w:color w:val="000000"/>
                <w:sz w:val="18"/>
                <w:szCs w:val="18"/>
              </w:rPr>
            </w:pPr>
            <w:r>
              <w:rPr>
                <w:rFonts w:ascii="宋体" w:cs="宋体" w:hAnsi="宋体" w:hint="eastAsia"/>
                <w:b/>
                <w:bCs/>
                <w:color w:val="000000"/>
                <w:kern w:val="0"/>
                <w:sz w:val="18"/>
                <w:szCs w:val="18"/>
              </w:rPr>
              <w:t>1.项目年度目标完成情况</w:t>
            </w:r>
          </w:p>
        </w:tc>
        <w:tc>
          <w:tcPr>
            <w:tcW w:w="628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项目年度目标</w:t>
            </w:r>
          </w:p>
        </w:tc>
        <w:tc>
          <w:tcPr>
            <w:tcW w:w="581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年度目标完成情况</w:t>
            </w:r>
          </w:p>
        </w:tc>
      </w:tr>
      <w:tr>
        <w:trPr>
          <w:trHeight w:val="1172"/>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28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 xml:space="preserve"> 按照审计“八不准”的要求，确保廉洁从审，保障审计人员外出开展审计调查工作的独立性，主要用于支付审计项目外出审计期间发生的住宿费、生活补助、公杂费及城市间的交通费等支出，</w:t>
            </w:r>
          </w:p>
        </w:tc>
        <w:tc>
          <w:tcPr>
            <w:tcW w:w="581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照审计“八不准”和四严禁的要求，确保廉洁从审，保障审计人员外出开展审计调查工作的独立性，保障了审计项目外出审计期间发生的住宿费、生活补助、公杂费及城市间的交通费等支出，全年未发生违规违纪行为。</w:t>
            </w:r>
          </w:p>
        </w:tc>
      </w:tr>
      <w:tr>
        <w:trPr>
          <w:trHeight w:val="641"/>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b/>
                <w:bCs/>
                <w:color w:val="000000"/>
                <w:sz w:val="18"/>
                <w:szCs w:val="18"/>
              </w:rPr>
            </w:pPr>
            <w:r>
              <w:rPr>
                <w:rFonts w:ascii="宋体" w:cs="宋体" w:hAnsi="宋体" w:hint="eastAsia"/>
                <w:b/>
                <w:bCs/>
                <w:color w:val="000000"/>
                <w:kern w:val="0"/>
                <w:sz w:val="18"/>
                <w:szCs w:val="18"/>
              </w:rPr>
              <w:t>2.项目实施内容及过程概述</w:t>
            </w:r>
          </w:p>
        </w:tc>
        <w:tc>
          <w:tcPr>
            <w:tcW w:w="12105"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 xml:space="preserve"> 根据2022年审计项目计划和以前年度审计外勤经费使用情况，按照审计“八不准”和四严禁的要求，确保廉洁从审，保障审计人员外出开展审计调查工作的独立性，主要用于支付审计项目外出审计期间发生的住宿费、生活补助、公杂费及城市间的交通费等支出，</w:t>
            </w:r>
          </w:p>
        </w:tc>
      </w:tr>
      <w:tr>
        <w:trPr>
          <w:trHeight w:val="639"/>
        </w:trPr>
        <w:tc>
          <w:tcPr>
            <w:tcW w:w="14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预算执行情况</w:t>
              <w:br/>
              <w:t>（10分）</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年度预算数</w:t>
              <w:br/>
              <w:t>（万元）</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年初预算</w:t>
            </w:r>
          </w:p>
        </w:tc>
        <w:tc>
          <w:tcPr>
            <w:tcW w:w="2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调整后预算数</w:t>
            </w:r>
          </w:p>
        </w:tc>
        <w:tc>
          <w:tcPr>
            <w:tcW w:w="22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预算执行数</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预算执行率</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权重%</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自评得分</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原因</w:t>
            </w:r>
          </w:p>
        </w:tc>
      </w:tr>
      <w:tr>
        <w:trPr>
          <w:trHeight w:val="325"/>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总额</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74.46</w:t>
            </w:r>
          </w:p>
        </w:tc>
        <w:tc>
          <w:tcPr>
            <w:tcW w:w="2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74.46</w:t>
            </w:r>
          </w:p>
        </w:tc>
        <w:tc>
          <w:tcPr>
            <w:tcW w:w="22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74.46</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100.00%</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33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32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其中：财政资金</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74.46</w:t>
            </w:r>
          </w:p>
        </w:tc>
        <w:tc>
          <w:tcPr>
            <w:tcW w:w="2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74.46</w:t>
            </w:r>
          </w:p>
        </w:tc>
        <w:tc>
          <w:tcPr>
            <w:tcW w:w="22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74.46</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100.00%</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3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5"/>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财政专户管理资金</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2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22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3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2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单位资金</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2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22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3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5"/>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其他资金</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6"/>
                <w:szCs w:val="16"/>
              </w:rPr>
            </w:pPr>
          </w:p>
        </w:tc>
        <w:tc>
          <w:tcPr>
            <w:tcW w:w="2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6"/>
                <w:szCs w:val="16"/>
              </w:rPr>
            </w:pPr>
          </w:p>
        </w:tc>
        <w:tc>
          <w:tcPr>
            <w:tcW w:w="221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6"/>
                <w:szCs w:val="16"/>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6"/>
                <w:szCs w:val="16"/>
              </w:rPr>
            </w:pP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33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267"/>
        </w:trPr>
        <w:tc>
          <w:tcPr>
            <w:tcW w:w="14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绩效指标（90分）</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一级指标</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二级指标</w:t>
            </w:r>
          </w:p>
        </w:tc>
        <w:tc>
          <w:tcPr>
            <w:tcW w:w="2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三级指标</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指标性质</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指标值</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度量单位</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完成值</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权重</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自评得分</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未完成原因分析</w:t>
            </w:r>
          </w:p>
        </w:tc>
      </w:tr>
      <w:tr>
        <w:trPr>
          <w:trHeight w:val="32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数量指标</w:t>
            </w:r>
          </w:p>
        </w:tc>
        <w:tc>
          <w:tcPr>
            <w:tcW w:w="258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全年完成审计项目计划数量</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55</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个</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60</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639"/>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数量指标</w:t>
            </w:r>
          </w:p>
        </w:tc>
        <w:tc>
          <w:tcPr>
            <w:tcW w:w="2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完成上级审计部门交叉审计项目数量</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个</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8</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8</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ind w:leftChars="-66" w:left="1679" w:hangingChars="1010" w:hanging="1818"/>
              <w:jc w:val="center"/>
              <w:textAlignment w:val="center"/>
              <w:rPr>
                <w:rFonts w:ascii="宋体" w:cs="宋体" w:hAnsi="宋体"/>
                <w:color w:val="000000"/>
                <w:sz w:val="18"/>
                <w:szCs w:val="18"/>
              </w:rPr>
            </w:pPr>
            <w:r>
              <w:rPr>
                <w:rFonts w:ascii="宋体" w:cs="宋体" w:hAnsi="宋体" w:hint="eastAsia"/>
                <w:color w:val="000000"/>
                <w:kern w:val="0"/>
                <w:sz w:val="18"/>
                <w:szCs w:val="18"/>
              </w:rPr>
              <w:t>因疫情原因减少就业优先政策落实情况专项审计调查项目</w:t>
            </w:r>
          </w:p>
        </w:tc>
      </w:tr>
      <w:tr>
        <w:trPr>
          <w:trHeight w:val="32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成本指标</w:t>
            </w:r>
          </w:p>
        </w:tc>
        <w:tc>
          <w:tcPr>
            <w:tcW w:w="258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经费成本控制情况</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优</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cs="宋体" w:hAnsi="宋体"/>
                <w:color w:val="000000"/>
                <w:sz w:val="18"/>
                <w:szCs w:val="18"/>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优</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639"/>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成本指标</w:t>
            </w:r>
          </w:p>
        </w:tc>
        <w:tc>
          <w:tcPr>
            <w:tcW w:w="258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经费预算成本</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74.46</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万元</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74.46</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时效指标</w:t>
            </w:r>
          </w:p>
        </w:tc>
        <w:tc>
          <w:tcPr>
            <w:tcW w:w="258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按项目支付审计外调费用</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数量指标</w:t>
            </w:r>
          </w:p>
        </w:tc>
        <w:tc>
          <w:tcPr>
            <w:tcW w:w="258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完成区委区政府临时交办项目</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个</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数量指标</w:t>
            </w:r>
          </w:p>
        </w:tc>
        <w:tc>
          <w:tcPr>
            <w:tcW w:w="258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协助区级其他部门完成审计项目</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个</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质量指标</w:t>
            </w:r>
          </w:p>
        </w:tc>
        <w:tc>
          <w:tcPr>
            <w:tcW w:w="258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审计外勤经费保障率</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质量指标</w:t>
            </w:r>
          </w:p>
        </w:tc>
        <w:tc>
          <w:tcPr>
            <w:tcW w:w="258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上级审计机关交办项目完成率</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质量指标</w:t>
            </w:r>
          </w:p>
        </w:tc>
        <w:tc>
          <w:tcPr>
            <w:tcW w:w="258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费用使用合规性</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时效指标</w:t>
            </w:r>
          </w:p>
        </w:tc>
        <w:tc>
          <w:tcPr>
            <w:tcW w:w="258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按月支付费用</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639"/>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可持续影响指标</w:t>
            </w:r>
          </w:p>
        </w:tc>
        <w:tc>
          <w:tcPr>
            <w:tcW w:w="25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严格执行审计工作“八不准”和“四严禁”情况</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优</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cs="宋体" w:hAnsi="宋体"/>
                <w:color w:val="000000"/>
                <w:sz w:val="18"/>
                <w:szCs w:val="18"/>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优</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4"/>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社会效益指标</w:t>
            </w:r>
          </w:p>
        </w:tc>
        <w:tc>
          <w:tcPr>
            <w:tcW w:w="258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审计工作开展的独立性</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优</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cs="宋体" w:hAnsi="宋体"/>
                <w:color w:val="000000"/>
                <w:sz w:val="18"/>
                <w:szCs w:val="18"/>
              </w:rPr>
            </w:pP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优</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639"/>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满意度指标</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服务对象满意度指标</w:t>
            </w:r>
          </w:p>
        </w:tc>
        <w:tc>
          <w:tcPr>
            <w:tcW w:w="258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被审计对象满意度</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95</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95</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639"/>
        </w:trPr>
        <w:tc>
          <w:tcPr>
            <w:tcW w:w="14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满意度指标</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服务对象满意度指标</w:t>
            </w:r>
          </w:p>
        </w:tc>
        <w:tc>
          <w:tcPr>
            <w:tcW w:w="258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职工经费保障满意度</w:t>
            </w:r>
          </w:p>
        </w:tc>
        <w:tc>
          <w:tcPr>
            <w:tcW w:w="66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90</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90</w:t>
            </w:r>
          </w:p>
        </w:tc>
        <w:tc>
          <w:tcPr>
            <w:tcW w:w="68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4"/>
        </w:trPr>
        <w:tc>
          <w:tcPr>
            <w:tcW w:w="1025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合计</w:t>
            </w:r>
          </w:p>
        </w:tc>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98</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542"/>
        </w:trPr>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自评结论</w:t>
            </w:r>
          </w:p>
        </w:tc>
        <w:tc>
          <w:tcPr>
            <w:tcW w:w="13639"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6"/>
                <w:szCs w:val="16"/>
              </w:rPr>
            </w:pPr>
            <w:r>
              <w:rPr>
                <w:rFonts w:ascii="宋体" w:cs="宋体" w:hAnsi="宋体" w:hint="eastAsia"/>
                <w:color w:val="000000"/>
                <w:kern w:val="0"/>
                <w:sz w:val="18"/>
                <w:szCs w:val="18"/>
                <w:lang w:val="zh-CN"/>
              </w:rPr>
              <w:t>区审计局设置的年度目标任务全部实现，能严格按照《项目支出绩效评价管理办法》进行项目绩效评价，绩效目标指标权重设置为：预算执行率</w:t>
            </w:r>
            <w:r>
              <w:rPr>
                <w:rFonts w:ascii="宋体" w:cs="宋体" w:hAnsi="宋体" w:hint="eastAsia"/>
                <w:color w:val="000000"/>
                <w:kern w:val="0"/>
                <w:sz w:val="18"/>
                <w:szCs w:val="18"/>
              </w:rPr>
              <w:t>10%，产出指标50%，效益指标30%，服务对象满意度指标10%，自评得分98分，评价结果等次为“优。</w:t>
            </w:r>
          </w:p>
        </w:tc>
      </w:tr>
      <w:tr>
        <w:trPr>
          <w:trHeight w:val="463"/>
        </w:trPr>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自评存在问题</w:t>
            </w:r>
          </w:p>
        </w:tc>
        <w:tc>
          <w:tcPr>
            <w:tcW w:w="13639"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kern w:val="0"/>
                <w:sz w:val="16"/>
                <w:szCs w:val="16"/>
              </w:rPr>
            </w:pPr>
            <w:r>
              <w:rPr>
                <w:rFonts w:ascii="宋体" w:cs="宋体" w:hAnsi="宋体" w:hint="eastAsia"/>
                <w:color w:val="000000"/>
                <w:kern w:val="0"/>
                <w:sz w:val="18"/>
                <w:szCs w:val="18"/>
                <w:lang w:val="zh-CN"/>
              </w:rPr>
              <w:t>年初设置的成本指标较低，不能与全年审计工作任务相匹配，不能全面保障审计人员差旅费补助按政策支付。</w:t>
            </w:r>
          </w:p>
        </w:tc>
      </w:tr>
      <w:tr>
        <w:trPr>
          <w:trHeight w:val="503"/>
        </w:trPr>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自评改进措施</w:t>
            </w:r>
          </w:p>
        </w:tc>
        <w:tc>
          <w:tcPr>
            <w:tcW w:w="13639" w:type="dxa"/>
            <w:gridSpan w:val="1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kern w:val="0"/>
                <w:sz w:val="16"/>
                <w:szCs w:val="16"/>
              </w:rPr>
            </w:pPr>
            <w:r>
              <w:rPr>
                <w:rFonts w:ascii="宋体" w:cs="宋体" w:hAnsi="宋体" w:hint="eastAsia"/>
                <w:color w:val="000000"/>
                <w:kern w:val="0"/>
                <w:sz w:val="18"/>
                <w:szCs w:val="18"/>
              </w:rPr>
              <w:t>由于审计机关承担的审计任务量不断增加，外出住宿费价格逐年上升，建议根据审计任务核定审计外勤经费预算，总体上以满足审计业务的基本需要为预算的最低限额。</w:t>
            </w:r>
          </w:p>
        </w:tc>
      </w:tr>
      <w:tr>
        <w:trPr>
          <w:trHeight w:val="334"/>
        </w:trPr>
        <w:tc>
          <w:tcPr>
            <w:tcW w:w="7756"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项目负责人：罗艺文</w:t>
            </w:r>
          </w:p>
        </w:tc>
        <w:tc>
          <w:tcPr>
            <w:tcW w:w="7364"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财务负责人：陈杰</w:t>
            </w:r>
          </w:p>
        </w:tc>
      </w:tr>
    </w:tbl>
    <w:p>
      <w:pPr>
        <w:pStyle w:val="25"/>
        <w:spacing w:line="560" w:lineRule="exact"/>
        <w:rPr>
          <w:rFonts w:hAnsi="Times New Roman"/>
          <w:sz w:val="32"/>
          <w:lang w:val="zh-CN"/>
        </w:rPr>
      </w:pPr>
    </w:p>
    <w:tbl>
      <w:tblPr>
        <w:jc w:val="left"/>
        <w:tblInd w:w="93" w:type="dxa"/>
        <w:tblW w:w="1438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572"/>
        <w:gridCol w:w="1628"/>
        <w:gridCol w:w="1326"/>
        <w:gridCol w:w="1370"/>
        <w:gridCol w:w="576"/>
        <w:gridCol w:w="1174"/>
        <w:gridCol w:w="666"/>
        <w:gridCol w:w="1027"/>
        <w:gridCol w:w="731"/>
        <w:gridCol w:w="892"/>
        <w:gridCol w:w="3419"/>
      </w:tblGrid>
      <w:tr>
        <w:trPr>
          <w:trHeight w:val="937"/>
        </w:trPr>
        <w:tc>
          <w:tcPr>
            <w:tcW w:w="14380" w:type="dxa"/>
            <w:gridSpan w:val="11"/>
            <w:tcBorders>
              <w:top w:val="nil"/>
              <w:left w:val="nil"/>
              <w:bottom w:val="nil"/>
              <w:right w:val="nil"/>
            </w:tcBorders>
            <w:shd w:val="clear" w:color="auto" w:fill="auto"/>
            <w:vAlign w:val="center"/>
          </w:tcPr>
          <w:p>
            <w:pPr>
              <w:widowControl/>
              <w:jc w:val="center"/>
              <w:textAlignment w:val="center"/>
              <w:rPr>
                <w:rFonts w:ascii="方正小标宋简体" w:eastAsia="方正小标宋简体" w:cs="方正小标宋简体" w:hAnsi="方正小标宋简体"/>
                <w:color w:val="000000"/>
                <w:sz w:val="44"/>
                <w:szCs w:val="44"/>
              </w:rPr>
            </w:pPr>
            <w:r>
              <w:rPr>
                <w:rFonts w:ascii="方正小标宋简体" w:eastAsia="方正小标宋简体" w:cs="方正小标宋简体" w:hAnsi="方正小标宋简体" w:hint="eastAsia"/>
                <w:color w:val="000000"/>
                <w:kern w:val="0"/>
                <w:sz w:val="44"/>
                <w:szCs w:val="44"/>
              </w:rPr>
              <w:t>部门预算、专项资金预算项目支出绩效目标自评表（2022年度）</w:t>
            </w:r>
          </w:p>
        </w:tc>
      </w:tr>
      <w:tr>
        <w:trPr>
          <w:trHeight w:val="382"/>
        </w:trPr>
        <w:tc>
          <w:tcPr>
            <w:tcW w:w="32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b/>
                <w:bCs/>
                <w:color w:val="000000"/>
                <w:sz w:val="18"/>
                <w:szCs w:val="18"/>
              </w:rPr>
            </w:pPr>
            <w:r>
              <w:rPr>
                <w:rFonts w:ascii="宋体" w:cs="宋体" w:hAnsi="宋体" w:hint="eastAsia"/>
                <w:b/>
                <w:bCs/>
                <w:color w:val="000000"/>
                <w:kern w:val="0"/>
                <w:sz w:val="18"/>
                <w:szCs w:val="18"/>
              </w:rPr>
              <w:t>项目名称</w:t>
            </w:r>
          </w:p>
        </w:tc>
        <w:tc>
          <w:tcPr>
            <w:tcW w:w="1116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2022年跟踪审计项目管理</w:t>
            </w:r>
          </w:p>
        </w:tc>
      </w:tr>
      <w:tr>
        <w:trPr>
          <w:trHeight w:val="323"/>
        </w:trPr>
        <w:tc>
          <w:tcPr>
            <w:tcW w:w="32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b/>
                <w:bCs/>
                <w:color w:val="000000"/>
                <w:sz w:val="18"/>
                <w:szCs w:val="18"/>
              </w:rPr>
            </w:pPr>
            <w:r>
              <w:rPr>
                <w:rFonts w:ascii="宋体" w:cs="宋体" w:hAnsi="宋体" w:hint="eastAsia"/>
                <w:b/>
                <w:bCs/>
                <w:color w:val="000000"/>
                <w:kern w:val="0"/>
                <w:sz w:val="18"/>
                <w:szCs w:val="18"/>
              </w:rPr>
              <w:t>主管部门</w:t>
            </w:r>
          </w:p>
        </w:tc>
        <w:tc>
          <w:tcPr>
            <w:tcW w:w="50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广元市利州区审计局本级</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 xml:space="preserve">实施单位 </w:t>
            </w:r>
          </w:p>
        </w:tc>
        <w:tc>
          <w:tcPr>
            <w:tcW w:w="50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广元市利州区审计局本级</w:t>
            </w:r>
          </w:p>
        </w:tc>
      </w:tr>
      <w:tr>
        <w:trPr>
          <w:trHeight w:val="382"/>
        </w:trPr>
        <w:tc>
          <w:tcPr>
            <w:tcW w:w="15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b/>
                <w:bCs/>
                <w:color w:val="000000"/>
                <w:sz w:val="18"/>
                <w:szCs w:val="18"/>
              </w:rPr>
            </w:pPr>
            <w:r>
              <w:rPr>
                <w:rFonts w:ascii="宋体" w:cs="宋体" w:hAnsi="宋体" w:hint="eastAsia"/>
                <w:b/>
                <w:bCs/>
                <w:color w:val="000000"/>
                <w:kern w:val="0"/>
                <w:sz w:val="18"/>
                <w:szCs w:val="18"/>
              </w:rPr>
              <w:t>项目基本情况</w:t>
            </w:r>
          </w:p>
        </w:tc>
        <w:tc>
          <w:tcPr>
            <w:tcW w:w="1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b/>
                <w:bCs/>
                <w:color w:val="000000"/>
                <w:sz w:val="18"/>
                <w:szCs w:val="18"/>
              </w:rPr>
            </w:pPr>
            <w:r>
              <w:rPr>
                <w:rFonts w:ascii="宋体" w:cs="宋体" w:hAnsi="宋体" w:hint="eastAsia"/>
                <w:b/>
                <w:bCs/>
                <w:color w:val="000000"/>
                <w:kern w:val="0"/>
                <w:sz w:val="18"/>
                <w:szCs w:val="18"/>
              </w:rPr>
              <w:t>1.项目年度目标完成情况</w:t>
            </w:r>
          </w:p>
        </w:tc>
        <w:tc>
          <w:tcPr>
            <w:tcW w:w="50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项目年度目标</w:t>
            </w:r>
          </w:p>
        </w:tc>
        <w:tc>
          <w:tcPr>
            <w:tcW w:w="60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年度目标完成情况</w:t>
            </w:r>
          </w:p>
        </w:tc>
      </w:tr>
      <w:tr>
        <w:trPr>
          <w:trHeight w:val="426"/>
        </w:trPr>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 xml:space="preserve"> 2022年对红树湾、三堆井田大桥等17个跟踪审计项目开展管理工作，重点从环境保护和水土保持、建设资金筹集、管理使用和投资完成情况、参建主体履职履约情况、现场管理情况、重大工程变更、隐蔽工程验收情况、征地拆迁情况、审计发现问题整改情况等方面进行全过程跟踪管理。强化对重大基础设施、社会公共服务和民生的重大项目的审计监督。以规范国家重点投资项目的投资行为，安全有效使用财政资金、防治损失浪费、提高投资效益，保障我区重大建设项目顺利实施为目标，防止工程建设领域的违纪违规行为。</w:t>
            </w:r>
          </w:p>
        </w:tc>
        <w:tc>
          <w:tcPr>
            <w:tcW w:w="60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2022年完成了红树湾、金龙和片区一体化工程等17个项目的跟踪审计情况进行全过程管理，监督第三方机构及项目业主单位、项目施工单位履职履约情况、现场管理情况、重大工程变更、隐蔽工程验收情况等进行监督。</w:t>
            </w:r>
          </w:p>
        </w:tc>
      </w:tr>
      <w:tr>
        <w:trPr>
          <w:trHeight w:val="970"/>
        </w:trPr>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b/>
                <w:bCs/>
                <w:color w:val="000000"/>
                <w:sz w:val="18"/>
                <w:szCs w:val="18"/>
              </w:rPr>
            </w:pPr>
            <w:r>
              <w:rPr>
                <w:rFonts w:ascii="宋体" w:cs="宋体" w:hAnsi="宋体" w:hint="eastAsia"/>
                <w:b/>
                <w:bCs/>
                <w:color w:val="000000"/>
                <w:kern w:val="0"/>
                <w:sz w:val="18"/>
                <w:szCs w:val="18"/>
              </w:rPr>
              <w:t>2.项目实施内容及过程概述</w:t>
            </w:r>
          </w:p>
        </w:tc>
        <w:tc>
          <w:tcPr>
            <w:tcW w:w="11163"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重点从投资政策落实情况、项目基本建设程序执行情况、项目概(预)算执行情况、项目征地拆迁情况、项目招投标及合同履行情况、项目工程进度情况、经济签证的真实性、重大公共投资项目内控制度执行情况、重大公共工程项目财务管理情况、重大公共工程投资项目建设管理绩效情况、重大公共工程项目竣工结（决）算、审计发现问题整改情况等进行审计监督。</w:t>
            </w:r>
          </w:p>
        </w:tc>
      </w:tr>
      <w:tr>
        <w:trPr>
          <w:trHeight w:val="635"/>
        </w:trPr>
        <w:tc>
          <w:tcPr>
            <w:tcW w:w="15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预算执行情况</w:t>
              <w:br/>
              <w:t>（10分）</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年度预算数</w:t>
              <w:br/>
              <w:t>（万元）</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年初预算</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调整后预算数</w:t>
            </w:r>
          </w:p>
        </w:tc>
        <w:tc>
          <w:tcPr>
            <w:tcW w:w="2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预算执行数</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预算执行率</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权重%</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自评得分</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原因</w:t>
            </w:r>
          </w:p>
        </w:tc>
      </w:tr>
      <w:tr>
        <w:trPr>
          <w:trHeight w:val="324"/>
        </w:trPr>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总额</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17.00</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17.00</w:t>
            </w:r>
          </w:p>
        </w:tc>
        <w:tc>
          <w:tcPr>
            <w:tcW w:w="2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17.00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100.00%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 xml:space="preserve"> </w:t>
            </w:r>
          </w:p>
        </w:tc>
      </w:tr>
      <w:tr>
        <w:trPr>
          <w:trHeight w:val="323"/>
        </w:trPr>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其中：财政资金</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17.00</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17.00</w:t>
            </w:r>
          </w:p>
        </w:tc>
        <w:tc>
          <w:tcPr>
            <w:tcW w:w="2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17.00</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100.00%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3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3"/>
        </w:trPr>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财政专户管理资金</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2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3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23"/>
        </w:trPr>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单位资金</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2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3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3"/>
        </w:trPr>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其他资金</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6"/>
                <w:szCs w:val="16"/>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6"/>
                <w:szCs w:val="16"/>
              </w:rPr>
            </w:pPr>
          </w:p>
        </w:tc>
        <w:tc>
          <w:tcPr>
            <w:tcW w:w="235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6"/>
                <w:szCs w:val="16"/>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6"/>
                <w:szCs w:val="16"/>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3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260"/>
        </w:trPr>
        <w:tc>
          <w:tcPr>
            <w:tcW w:w="15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绩效指标（90分）</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一级指标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二级指标</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三级指标</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指标性质</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指标值</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度量单位</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完成值</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权重</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自评得分</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因部分项目</w:t>
            </w:r>
          </w:p>
        </w:tc>
      </w:tr>
      <w:tr>
        <w:trPr>
          <w:trHeight w:val="947"/>
        </w:trPr>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数量指标</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跟踪审计管理人员去审计项目现场次数</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6</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人/次</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102</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3</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受疫情防控管控原因，现场检查次数减少</w:t>
            </w:r>
          </w:p>
        </w:tc>
      </w:tr>
      <w:tr>
        <w:trPr>
          <w:trHeight w:val="635"/>
        </w:trPr>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数量指标</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年度跟踪审计报告</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17</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期/年</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17</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3</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 </w:t>
            </w:r>
          </w:p>
        </w:tc>
      </w:tr>
      <w:tr>
        <w:trPr>
          <w:trHeight w:val="323"/>
        </w:trPr>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数量指标</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最终成果报告</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17</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份</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9</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因部分项目未完工，不能出具最终结果报告</w:t>
            </w:r>
          </w:p>
        </w:tc>
      </w:tr>
      <w:tr>
        <w:trPr>
          <w:trHeight w:val="323"/>
        </w:trPr>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质量指标</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审计月报质量</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11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份</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3</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3</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635"/>
        </w:trPr>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成本指标</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委托项目业务费支出金额</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26</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万元</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26</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947"/>
        </w:trPr>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质量指标</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审计发现重大问题一事一报执行情况</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11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cs="宋体" w:hAnsi="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635"/>
        </w:trPr>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质量指标</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审计发现问题整改到位率</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95</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99</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635"/>
        </w:trPr>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时效指标</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跟踪审计项目完成时间</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11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cs="宋体" w:hAnsi="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635"/>
        </w:trPr>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时效指标</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跟踪审计发现问题整改期限</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11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cs="宋体" w:hAnsi="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3"/>
        </w:trPr>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质量指标</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审计建议书</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11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cs="宋体" w:hAnsi="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3</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3</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635"/>
        </w:trPr>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经济效益指标</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监督政府投入资金额度</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421572.84</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万元</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421572.84</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 </w:t>
            </w:r>
          </w:p>
        </w:tc>
      </w:tr>
      <w:tr>
        <w:trPr>
          <w:trHeight w:val="1884"/>
        </w:trPr>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可持续影响指标</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大力弘扬和践行审计精神，当好国家财产的“看门人”，经济安全的“守护者</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947"/>
        </w:trPr>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经济效益指标</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提高政府投资绩效，推动融资体制改革</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 </w:t>
            </w:r>
          </w:p>
        </w:tc>
      </w:tr>
      <w:tr>
        <w:trPr>
          <w:trHeight w:val="1260"/>
        </w:trPr>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社会效益指标</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安全有效使用财政资金、防治损失浪费、提高投资效益。</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11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947"/>
        </w:trPr>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社会效益指标</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依法全面履行审计监督，治已病，防未病。</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11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947"/>
        </w:trPr>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生态效益指标</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聚焦环境保护和自然资源利用</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11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635"/>
        </w:trPr>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生态效益指标</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监督弃渣弃土不乱到</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11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3"/>
        </w:trPr>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生态效益指标</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监督扬尘治理</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11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635"/>
        </w:trPr>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可持续发展指标</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保障财政资金的使用效益</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11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451"/>
        </w:trPr>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满意度指标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服务对象满意度指标</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被审计单位满意度</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90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95</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3</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3</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635"/>
        </w:trPr>
        <w:tc>
          <w:tcPr>
            <w:tcW w:w="15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满意度指标</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读者满意度指标</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社会满意度</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1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90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95</w:t>
            </w:r>
          </w:p>
        </w:tc>
        <w:tc>
          <w:tcPr>
            <w:tcW w:w="7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3"/>
        </w:trPr>
        <w:tc>
          <w:tcPr>
            <w:tcW w:w="931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合计</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97</w:t>
            </w:r>
          </w:p>
        </w:tc>
        <w:tc>
          <w:tcPr>
            <w:tcW w:w="3437"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635"/>
        </w:trPr>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自评结论</w:t>
            </w:r>
          </w:p>
        </w:tc>
        <w:tc>
          <w:tcPr>
            <w:tcW w:w="128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6"/>
                <w:szCs w:val="16"/>
              </w:rPr>
            </w:pPr>
            <w:r>
              <w:rPr>
                <w:rFonts w:ascii="宋体" w:cs="宋体" w:hAnsi="宋体" w:hint="eastAsia"/>
                <w:color w:val="000000"/>
                <w:kern w:val="0"/>
                <w:sz w:val="16"/>
                <w:szCs w:val="16"/>
                <w:lang w:val="zh-CN"/>
              </w:rPr>
              <w:t>我局年初设定的项目预算编制合理，项目设定的各项指标可行，资金使用规范，该项目的实施，对政府重大投资项目从前期立项到竣工结算阶段的经济管理的真实性、合法性、效益性进行全过程审计监督，减少政府重大投资的损失浪费、闲置及项目存在质量和安全隐患等问题，项目完成情况较好</w:t>
            </w:r>
          </w:p>
        </w:tc>
      </w:tr>
      <w:tr>
        <w:trPr>
          <w:trHeight w:val="635"/>
        </w:trPr>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自评存在问题</w:t>
            </w:r>
          </w:p>
        </w:tc>
        <w:tc>
          <w:tcPr>
            <w:tcW w:w="128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6"/>
                <w:szCs w:val="16"/>
              </w:rPr>
            </w:pPr>
            <w:r>
              <w:rPr>
                <w:rFonts w:ascii="宋体" w:cs="宋体" w:hAnsi="宋体" w:hint="eastAsia"/>
                <w:color w:val="000000"/>
                <w:kern w:val="0"/>
                <w:sz w:val="16"/>
                <w:szCs w:val="16"/>
                <w:lang w:val="zh-CN"/>
              </w:rPr>
              <w:t>因财务人员对该项目实施过程中部分事项了解不全面，项目绩效三级指标设计部分与实际不完全相符，造成评价产生差异。</w:t>
            </w:r>
          </w:p>
        </w:tc>
      </w:tr>
      <w:tr>
        <w:trPr>
          <w:trHeight w:val="500"/>
        </w:trPr>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自评改进措施</w:t>
            </w:r>
          </w:p>
        </w:tc>
        <w:tc>
          <w:tcPr>
            <w:tcW w:w="1280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6"/>
                <w:szCs w:val="16"/>
              </w:rPr>
            </w:pPr>
            <w:r>
              <w:rPr>
                <w:rFonts w:ascii="宋体" w:cs="宋体" w:hAnsi="宋体" w:hint="eastAsia"/>
                <w:color w:val="000000"/>
                <w:kern w:val="0"/>
                <w:sz w:val="16"/>
                <w:szCs w:val="16"/>
                <w:lang w:val="zh-CN"/>
              </w:rPr>
              <w:t>年初编制项目预算绩效时应由项目实施股室及经办人员全过程参与，按项目实际情况设定指标权重，减少项目完工后评价的分歧。</w:t>
            </w:r>
          </w:p>
        </w:tc>
      </w:tr>
      <w:tr>
        <w:trPr>
          <w:trHeight w:val="332"/>
        </w:trPr>
        <w:tc>
          <w:tcPr>
            <w:tcW w:w="647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项目负责人：罗建</w:t>
            </w:r>
          </w:p>
        </w:tc>
        <w:tc>
          <w:tcPr>
            <w:tcW w:w="790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财务负责人：陈杰</w:t>
            </w:r>
          </w:p>
        </w:tc>
      </w:tr>
    </w:tbl>
    <w:p>
      <w:pPr>
        <w:pStyle w:val="25"/>
        <w:spacing w:line="560" w:lineRule="exact"/>
        <w:rPr>
          <w:rFonts w:hAnsi="Times New Roman"/>
          <w:sz w:val="32"/>
          <w:lang w:val="zh-CN"/>
        </w:rPr>
      </w:pPr>
    </w:p>
    <w:tbl>
      <w:tblPr>
        <w:jc w:val="left"/>
        <w:tblInd w:w="93" w:type="dxa"/>
        <w:tblW w:w="1368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305"/>
        <w:gridCol w:w="1453"/>
        <w:gridCol w:w="1836"/>
        <w:gridCol w:w="2196"/>
        <w:gridCol w:w="631"/>
        <w:gridCol w:w="986"/>
        <w:gridCol w:w="576"/>
        <w:gridCol w:w="884"/>
        <w:gridCol w:w="644"/>
        <w:gridCol w:w="762"/>
        <w:gridCol w:w="2407"/>
      </w:tblGrid>
      <w:tr>
        <w:trPr>
          <w:trHeight w:val="945"/>
        </w:trPr>
        <w:tc>
          <w:tcPr>
            <w:tcW w:w="13680" w:type="dxa"/>
            <w:gridSpan w:val="11"/>
            <w:tcBorders>
              <w:top w:val="nil"/>
              <w:left w:val="nil"/>
              <w:bottom w:val="nil"/>
              <w:right w:val="nil"/>
            </w:tcBorders>
            <w:shd w:val="clear" w:color="auto" w:fill="auto"/>
            <w:vAlign w:val="center"/>
          </w:tcPr>
          <w:p>
            <w:pPr>
              <w:widowControl/>
              <w:jc w:val="center"/>
              <w:textAlignment w:val="center"/>
              <w:rPr>
                <w:rFonts w:ascii="方正小标宋简体" w:eastAsia="方正小标宋简体" w:cs="方正小标宋简体" w:hAnsi="方正小标宋简体"/>
                <w:color w:val="000000"/>
                <w:sz w:val="44"/>
                <w:szCs w:val="44"/>
              </w:rPr>
            </w:pPr>
            <w:r>
              <w:rPr>
                <w:rFonts w:ascii="方正小标宋简体" w:eastAsia="方正小标宋简体" w:cs="方正小标宋简体" w:hAnsi="方正小标宋简体" w:hint="eastAsia"/>
                <w:color w:val="000000"/>
                <w:kern w:val="0"/>
                <w:sz w:val="44"/>
                <w:szCs w:val="44"/>
              </w:rPr>
              <w:t>部门预算、专项资金预算项目支出绩效目标自评表（2022年度）</w:t>
            </w:r>
          </w:p>
        </w:tc>
      </w:tr>
      <w:tr>
        <w:trPr>
          <w:trHeight w:val="385"/>
        </w:trPr>
        <w:tc>
          <w:tcPr>
            <w:tcW w:w="28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b/>
                <w:bCs/>
                <w:color w:val="000000"/>
                <w:sz w:val="18"/>
                <w:szCs w:val="18"/>
              </w:rPr>
            </w:pPr>
            <w:r>
              <w:rPr>
                <w:rFonts w:ascii="宋体" w:cs="宋体" w:hAnsi="宋体" w:hint="eastAsia"/>
                <w:b/>
                <w:bCs/>
                <w:color w:val="000000"/>
                <w:kern w:val="0"/>
                <w:sz w:val="18"/>
                <w:szCs w:val="18"/>
              </w:rPr>
              <w:t>项目名称</w:t>
            </w:r>
          </w:p>
        </w:tc>
        <w:tc>
          <w:tcPr>
            <w:tcW w:w="1078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2022年参加全国、省、市统一审计项目</w:t>
            </w:r>
          </w:p>
        </w:tc>
      </w:tr>
      <w:tr>
        <w:trPr>
          <w:trHeight w:val="325"/>
        </w:trPr>
        <w:tc>
          <w:tcPr>
            <w:tcW w:w="28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b/>
                <w:bCs/>
                <w:color w:val="000000"/>
                <w:sz w:val="18"/>
                <w:szCs w:val="18"/>
              </w:rPr>
            </w:pPr>
            <w:r>
              <w:rPr>
                <w:rFonts w:ascii="宋体" w:cs="宋体" w:hAnsi="宋体" w:hint="eastAsia"/>
                <w:b/>
                <w:bCs/>
                <w:color w:val="000000"/>
                <w:kern w:val="0"/>
                <w:sz w:val="18"/>
                <w:szCs w:val="18"/>
              </w:rPr>
              <w:t>主管部门</w:t>
            </w:r>
          </w:p>
        </w:tc>
        <w:tc>
          <w:tcPr>
            <w:tcW w:w="57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广元市利州区审计局本级</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 xml:space="preserve">实施单位 </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广元市利州区审计局本级</w:t>
            </w:r>
          </w:p>
        </w:tc>
      </w:tr>
      <w:tr>
        <w:trPr>
          <w:trHeight w:val="385"/>
        </w:trPr>
        <w:tc>
          <w:tcPr>
            <w:tcW w:w="1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b/>
                <w:bCs/>
                <w:color w:val="000000"/>
                <w:sz w:val="18"/>
                <w:szCs w:val="18"/>
              </w:rPr>
            </w:pPr>
            <w:r>
              <w:rPr>
                <w:rFonts w:ascii="宋体" w:cs="宋体" w:hAnsi="宋体" w:hint="eastAsia"/>
                <w:b/>
                <w:bCs/>
                <w:color w:val="000000"/>
                <w:kern w:val="0"/>
                <w:sz w:val="18"/>
                <w:szCs w:val="18"/>
              </w:rPr>
              <w:t>项目基本情况</w:t>
            </w:r>
          </w:p>
        </w:tc>
        <w:tc>
          <w:tcPr>
            <w:tcW w:w="14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b/>
                <w:bCs/>
                <w:color w:val="000000"/>
                <w:sz w:val="18"/>
                <w:szCs w:val="18"/>
              </w:rPr>
            </w:pPr>
            <w:r>
              <w:rPr>
                <w:rFonts w:ascii="宋体" w:cs="宋体" w:hAnsi="宋体" w:hint="eastAsia"/>
                <w:b/>
                <w:bCs/>
                <w:color w:val="000000"/>
                <w:kern w:val="0"/>
                <w:sz w:val="18"/>
                <w:szCs w:val="18"/>
              </w:rPr>
              <w:t>1.项目年度目标完成情况</w:t>
            </w:r>
          </w:p>
        </w:tc>
        <w:tc>
          <w:tcPr>
            <w:tcW w:w="57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项目年度目标</w:t>
            </w:r>
          </w:p>
        </w:tc>
        <w:tc>
          <w:tcPr>
            <w:tcW w:w="50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年度目标完成情况</w:t>
            </w:r>
          </w:p>
        </w:tc>
      </w:tr>
      <w:tr>
        <w:trPr>
          <w:trHeight w:val="1899"/>
        </w:trPr>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根据《“十四五”国家审计工作发展规划》，健全集中统一的审计工作体制机制，构建完成覆盖全国、上下贯通，形成审计工作全国一盘棋的总体要求，全面落实“以审计精神立身、以创新规范立业、以自身建设立信”的总要求，加强审计专业能力建设，提升信息化支撑业务能力，全面保障完成全国、省、市交叉审计项目、上级审计机抽调人员、审计业务能力提升培训、财政监督检查及政府重大投资项目稽查所发生的住宿费、差旅费、办公费等支出费用。</w:t>
            </w:r>
          </w:p>
        </w:tc>
        <w:tc>
          <w:tcPr>
            <w:tcW w:w="50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按照年初设定的年度目标，全面保障了完成全国、省、市交叉审计项目、上级审计机抽调人员、审计业务能力提升培训、财政监督检查及政府重大投资项目稽查所发生的住宿费、差旅费、办公费等支出费用。</w:t>
            </w:r>
          </w:p>
        </w:tc>
      </w:tr>
      <w:tr>
        <w:trPr>
          <w:trHeight w:val="955"/>
        </w:trPr>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b/>
                <w:bCs/>
                <w:color w:val="000000"/>
                <w:sz w:val="18"/>
                <w:szCs w:val="18"/>
              </w:rPr>
            </w:pPr>
            <w:r>
              <w:rPr>
                <w:rFonts w:ascii="宋体" w:cs="宋体" w:hAnsi="宋体" w:hint="eastAsia"/>
                <w:b/>
                <w:bCs/>
                <w:color w:val="000000"/>
                <w:kern w:val="0"/>
                <w:sz w:val="18"/>
                <w:szCs w:val="18"/>
              </w:rPr>
              <w:t>2.项目实施内容及过程概述</w:t>
            </w:r>
          </w:p>
        </w:tc>
        <w:tc>
          <w:tcPr>
            <w:tcW w:w="1078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tabs>
                <w:tab w:val="left" w:pos="11970"/>
              </w:tabs>
              <w:jc w:val="left"/>
              <w:textAlignment w:val="center"/>
              <w:rPr>
                <w:rFonts w:ascii="宋体" w:cs="宋体" w:hAnsi="宋体"/>
                <w:color w:val="000000"/>
                <w:sz w:val="18"/>
                <w:szCs w:val="18"/>
              </w:rPr>
            </w:pPr>
            <w:r>
              <w:rPr>
                <w:rFonts w:ascii="宋体" w:cs="宋体" w:hAnsi="宋体" w:hint="eastAsia"/>
                <w:color w:val="000000"/>
                <w:kern w:val="0"/>
                <w:sz w:val="18"/>
                <w:szCs w:val="18"/>
              </w:rPr>
              <w:t>按照全国审计“一盘棋”的工作要求，全年完成上级审计部门统一安排交叉审计项目9个，派出审计组9个，上级审计部门临时抽调审计人员参加区域外审计项目18人次，全面保障国家审计署、省审计厅及市审计局统一安排的区域外异地交叉审计项目发生的交通费、住宿费、生活补助及公杂费，以及外出审计调查发生的租车及其他办公费用。</w:t>
            </w:r>
          </w:p>
        </w:tc>
      </w:tr>
      <w:tr>
        <w:trPr>
          <w:trHeight w:val="640"/>
        </w:trPr>
        <w:tc>
          <w:tcPr>
            <w:tcW w:w="1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预算执行情况</w:t>
              <w:br/>
              <w:t>（10分）</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年度预算数</w:t>
              <w:br/>
              <w:t>（万元）</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年初预算</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调整后预算数</w:t>
            </w:r>
          </w:p>
        </w:tc>
        <w:tc>
          <w:tcPr>
            <w:tcW w:w="21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预算执行数</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预算执行率</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权重%</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自评得分</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原因</w:t>
            </w:r>
          </w:p>
        </w:tc>
      </w:tr>
      <w:tr>
        <w:trPr>
          <w:trHeight w:val="326"/>
        </w:trPr>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总额</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59.04</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59.04</w:t>
            </w:r>
          </w:p>
        </w:tc>
        <w:tc>
          <w:tcPr>
            <w:tcW w:w="21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59.04</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100.00%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25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 xml:space="preserve"> </w:t>
            </w:r>
          </w:p>
        </w:tc>
      </w:tr>
      <w:tr>
        <w:trPr>
          <w:trHeight w:val="325"/>
        </w:trPr>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其中：财政资金</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59.04</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59.04</w:t>
            </w:r>
          </w:p>
        </w:tc>
        <w:tc>
          <w:tcPr>
            <w:tcW w:w="21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59.04</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100.00%</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2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6"/>
        </w:trPr>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财政专户管理资金</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21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2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25"/>
        </w:trPr>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单位资金</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21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2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6"/>
        </w:trPr>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其他资金</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6"/>
                <w:szCs w:val="16"/>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6"/>
                <w:szCs w:val="16"/>
              </w:rPr>
            </w:pPr>
          </w:p>
        </w:tc>
        <w:tc>
          <w:tcPr>
            <w:tcW w:w="21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6"/>
                <w:szCs w:val="16"/>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6"/>
                <w:szCs w:val="16"/>
              </w:rPr>
            </w:pP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c>
          <w:tcPr>
            <w:tcW w:w="25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270"/>
        </w:trPr>
        <w:tc>
          <w:tcPr>
            <w:tcW w:w="1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绩效指标（90分）</w:t>
            </w:r>
          </w:p>
        </w:tc>
        <w:tc>
          <w:tcPr>
            <w:tcW w:w="149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一级指标</w:t>
            </w:r>
          </w:p>
        </w:tc>
        <w:tc>
          <w:tcPr>
            <w:tcW w:w="1633"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二级指标</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三级指标</w:t>
            </w:r>
          </w:p>
        </w:tc>
        <w:tc>
          <w:tcPr>
            <w:tcW w:w="63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指标性质</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指标值</w:t>
            </w:r>
          </w:p>
        </w:tc>
        <w:tc>
          <w:tcPr>
            <w:tcW w:w="51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度量单位</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完成值</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权重</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自评得分</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未完成原因分析</w:t>
            </w:r>
          </w:p>
        </w:tc>
      </w:tr>
      <w:tr>
        <w:trPr>
          <w:trHeight w:val="640"/>
        </w:trPr>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数量指标</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做好上级审计部门统一安排的交叉审计项目</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个</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9</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4.5</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疫情原因，减少外出交叉审计项目1个</w:t>
            </w:r>
          </w:p>
        </w:tc>
      </w:tr>
      <w:tr>
        <w:trPr>
          <w:trHeight w:val="325"/>
        </w:trPr>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数量指标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监督检查单位个数</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150</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家</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154</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640"/>
        </w:trPr>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成本指标</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审计业务能力提升培训差旅费</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3.04</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万元</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3.04</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640"/>
        </w:trPr>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成本指标</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政府重大投资项目稽查监督检查差旅费</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4</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万元</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4</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5"/>
        </w:trPr>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成本指标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财政监督检查差旅费</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4</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万元</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4</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5"/>
        </w:trPr>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成本指标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集中统一审计项目差旅费</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38</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万元</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38</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5"/>
        </w:trPr>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数量指标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全年聘请专家检查次数</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人</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疫情原因，聘请外部人员减少</w:t>
            </w:r>
          </w:p>
        </w:tc>
      </w:tr>
      <w:tr>
        <w:trPr>
          <w:trHeight w:val="325"/>
        </w:trPr>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数量指标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检查次数</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20</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次</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20</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640"/>
        </w:trPr>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数量指标</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政府重点投资项目监督数量</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 </w:t>
            </w:r>
          </w:p>
        </w:tc>
      </w:tr>
      <w:tr>
        <w:trPr>
          <w:trHeight w:val="955"/>
        </w:trPr>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质量指标</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坚持审计的独立性，及时完成上级审计部门统一安排的审计工作</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5"/>
        </w:trPr>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质量指标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监督取得的效果</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优</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676"/>
        </w:trPr>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时效指标</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按照审计实施方案规定的时间完成各项审计任务。</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5"/>
        </w:trPr>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时效指标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补助报销时效</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cs="宋体" w:hAnsi="宋体"/>
                <w:color w:val="000000"/>
                <w:sz w:val="18"/>
                <w:szCs w:val="18"/>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优</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454"/>
        </w:trPr>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产出指标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成本指标</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集中统一审计项目办公费</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万元</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10</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1270"/>
        </w:trPr>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可持续影响指标</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加强审计力量，拓展审计监督广度和深度，消除审计盲区，营造遵守财经法纪氛围</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cs="宋体" w:hAnsi="宋体"/>
                <w:color w:val="000000"/>
                <w:sz w:val="18"/>
                <w:szCs w:val="18"/>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优</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3</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3</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955"/>
        </w:trPr>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生态效益指标</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自然资产节约利用和生态环境安全意识，稳步推进资环审计监督全覆盖。</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cs="宋体" w:hAnsi="宋体"/>
                <w:color w:val="000000"/>
                <w:sz w:val="18"/>
                <w:szCs w:val="18"/>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优</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1584"/>
        </w:trPr>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社会效益指标</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 xml:space="preserve">坚持依法审计、文明审计、廉洁审计，严格执行审计工作程序和各环节质量控制，确保审计成果经得起历史检验。 </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cs="宋体" w:hAnsi="宋体"/>
                <w:color w:val="000000"/>
                <w:sz w:val="18"/>
                <w:szCs w:val="18"/>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优</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1584"/>
        </w:trPr>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效益指标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经济效益指标</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以促进国家重大决策部署贯彻落实、推动现代财政制度建设、促进国家财政经济安全和财政资金规范高效运行为目标</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定性</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cs="宋体" w:hAnsi="宋体"/>
                <w:color w:val="000000"/>
                <w:sz w:val="18"/>
                <w:szCs w:val="18"/>
              </w:rPr>
            </w:pP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优</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5</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325"/>
        </w:trPr>
        <w:tc>
          <w:tcPr>
            <w:tcW w:w="13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满意度指标</w:t>
            </w:r>
          </w:p>
        </w:tc>
        <w:tc>
          <w:tcPr>
            <w:tcW w:w="18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服务对象满意度指标</w:t>
            </w:r>
          </w:p>
        </w:tc>
        <w:tc>
          <w:tcPr>
            <w:tcW w:w="21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被审计单位满意度。</w:t>
            </w:r>
          </w:p>
        </w:tc>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95</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w:t>
            </w:r>
          </w:p>
        </w:tc>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96</w:t>
            </w:r>
          </w:p>
        </w:tc>
        <w:tc>
          <w:tcPr>
            <w:tcW w:w="6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color w:val="000000"/>
                <w:sz w:val="18"/>
                <w:szCs w:val="18"/>
              </w:rPr>
            </w:pPr>
            <w:r>
              <w:rPr>
                <w:rFonts w:ascii="宋体" w:cs="宋体" w:hAnsi="宋体" w:hint="eastAsia"/>
                <w:color w:val="000000"/>
                <w:kern w:val="0"/>
                <w:sz w:val="18"/>
                <w:szCs w:val="18"/>
              </w:rPr>
              <w:t>2</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cs="宋体" w:hAnsi="宋体"/>
                <w:color w:val="000000"/>
                <w:sz w:val="18"/>
                <w:szCs w:val="18"/>
              </w:rPr>
            </w:pPr>
          </w:p>
        </w:tc>
      </w:tr>
      <w:tr>
        <w:trPr>
          <w:trHeight w:val="642"/>
        </w:trPr>
        <w:tc>
          <w:tcPr>
            <w:tcW w:w="962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合计</w:t>
            </w:r>
          </w:p>
        </w:tc>
        <w:tc>
          <w:tcPr>
            <w:tcW w:w="665"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100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right"/>
              <w:textAlignment w:val="center"/>
              <w:rPr>
                <w:rFonts w:ascii="宋体" w:cs="宋体" w:hAnsi="宋体"/>
                <w:color w:val="000000"/>
                <w:sz w:val="18"/>
                <w:szCs w:val="18"/>
              </w:rPr>
            </w:pPr>
            <w:r>
              <w:rPr>
                <w:rFonts w:ascii="宋体" w:cs="宋体" w:hAnsi="宋体" w:hint="eastAsia"/>
                <w:color w:val="000000"/>
                <w:kern w:val="0"/>
                <w:sz w:val="18"/>
                <w:szCs w:val="18"/>
              </w:rPr>
              <w:t>96.5</w:t>
            </w:r>
          </w:p>
        </w:tc>
        <w:tc>
          <w:tcPr>
            <w:tcW w:w="2576"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cs="宋体" w:hAnsi="宋体"/>
                <w:color w:val="000000"/>
                <w:sz w:val="18"/>
                <w:szCs w:val="18"/>
              </w:rPr>
            </w:pPr>
          </w:p>
        </w:tc>
      </w:tr>
      <w:tr>
        <w:trPr>
          <w:trHeight w:val="640"/>
        </w:trPr>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自评结论</w:t>
            </w:r>
          </w:p>
        </w:tc>
        <w:tc>
          <w:tcPr>
            <w:tcW w:w="1228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6"/>
                <w:szCs w:val="16"/>
              </w:rPr>
            </w:pPr>
            <w:r>
              <w:rPr>
                <w:rFonts w:ascii="宋体" w:cs="宋体" w:hAnsi="宋体" w:hint="eastAsia"/>
                <w:color w:val="000000"/>
                <w:kern w:val="0"/>
                <w:sz w:val="18"/>
                <w:szCs w:val="18"/>
                <w:lang w:val="zh-CN"/>
              </w:rPr>
              <w:t>年初设置的年度目标任务全部实现，能严格按照《项目支出绩效评价管理办法》进行项目绩效评价，绩效目标指标权重设置为：预算执行率</w:t>
            </w:r>
            <w:r>
              <w:rPr>
                <w:rFonts w:ascii="宋体" w:cs="宋体" w:hAnsi="宋体" w:hint="eastAsia"/>
                <w:color w:val="000000"/>
                <w:kern w:val="0"/>
                <w:sz w:val="18"/>
                <w:szCs w:val="18"/>
              </w:rPr>
              <w:t>10%，产出指标50%，效益指标30%，服务对象满意度指标10%，评价结果等次为“优。</w:t>
            </w:r>
          </w:p>
        </w:tc>
      </w:tr>
      <w:tr>
        <w:trPr>
          <w:trHeight w:val="464"/>
        </w:trPr>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自评存在问题</w:t>
            </w:r>
          </w:p>
        </w:tc>
        <w:tc>
          <w:tcPr>
            <w:tcW w:w="1228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kern w:val="0"/>
                <w:sz w:val="18"/>
                <w:szCs w:val="18"/>
                <w:lang w:val="zh-CN"/>
              </w:rPr>
            </w:pPr>
            <w:r>
              <w:rPr>
                <w:rFonts w:ascii="宋体" w:cs="宋体" w:hAnsi="宋体" w:hint="eastAsia"/>
                <w:color w:val="000000"/>
                <w:kern w:val="0"/>
                <w:sz w:val="18"/>
                <w:szCs w:val="18"/>
                <w:lang w:val="zh-CN"/>
              </w:rPr>
              <w:t>年初设置的项目成本指标较低，不能与全年审计工作任务相匹配，不能全面保障审计人员差旅费补助按政策支付。</w:t>
            </w:r>
          </w:p>
        </w:tc>
      </w:tr>
      <w:tr>
        <w:trPr>
          <w:trHeight w:val="504"/>
        </w:trPr>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cs="宋体" w:hAnsi="宋体"/>
                <w:b/>
                <w:bCs/>
                <w:color w:val="000000"/>
                <w:sz w:val="18"/>
                <w:szCs w:val="18"/>
              </w:rPr>
            </w:pPr>
            <w:r>
              <w:rPr>
                <w:rFonts w:ascii="宋体" w:cs="宋体" w:hAnsi="宋体" w:hint="eastAsia"/>
                <w:b/>
                <w:bCs/>
                <w:color w:val="000000"/>
                <w:kern w:val="0"/>
                <w:sz w:val="18"/>
                <w:szCs w:val="18"/>
              </w:rPr>
              <w:t>自评改进措施</w:t>
            </w:r>
          </w:p>
        </w:tc>
        <w:tc>
          <w:tcPr>
            <w:tcW w:w="1228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adjustRightInd w:val="0"/>
              <w:snapToGrid w:val="0"/>
              <w:spacing w:line="600" w:lineRule="exact"/>
              <w:rPr>
                <w:rFonts w:ascii="宋体" w:cs="宋体" w:hAnsi="宋体"/>
                <w:color w:val="000000"/>
                <w:sz w:val="16"/>
                <w:szCs w:val="16"/>
              </w:rPr>
            </w:pPr>
            <w:r>
              <w:rPr>
                <w:rFonts w:ascii="宋体" w:cs="宋体" w:hAnsi="宋体" w:hint="eastAsia"/>
                <w:color w:val="000000"/>
                <w:kern w:val="0"/>
                <w:sz w:val="18"/>
                <w:szCs w:val="18"/>
              </w:rPr>
              <w:t>由于审计机关承担的审计任务量不断增加，外出住宿费价格逐年上升，建议根据审计任务核定审计外勤经费预算，总体上以满足审计业务的基本需要为预算的最低限额。</w:t>
            </w:r>
          </w:p>
        </w:tc>
      </w:tr>
      <w:tr>
        <w:trPr>
          <w:trHeight w:val="335"/>
        </w:trPr>
        <w:tc>
          <w:tcPr>
            <w:tcW w:w="712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项目负责人：陈杰</w:t>
            </w:r>
          </w:p>
        </w:tc>
        <w:tc>
          <w:tcPr>
            <w:tcW w:w="655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cs="宋体" w:hAnsi="宋体"/>
                <w:color w:val="000000"/>
                <w:sz w:val="18"/>
                <w:szCs w:val="18"/>
              </w:rPr>
            </w:pPr>
            <w:r>
              <w:rPr>
                <w:rFonts w:ascii="宋体" w:cs="宋体" w:hAnsi="宋体" w:hint="eastAsia"/>
                <w:color w:val="000000"/>
                <w:kern w:val="0"/>
                <w:sz w:val="18"/>
                <w:szCs w:val="18"/>
              </w:rPr>
              <w:t>财务负责人：陈杰</w:t>
            </w:r>
          </w:p>
        </w:tc>
      </w:tr>
    </w:tbl>
    <w:p>
      <w:pPr>
        <w:pStyle w:val="15"/>
        <w:spacing w:beforeLines="0" w:before="95"/>
        <w:rPr>
          <w:rFonts w:cs="宋体" w:hAnsi="宋体"/>
          <w:sz w:val="32"/>
          <w:szCs w:val="32"/>
          <w:shd w:val="clear" w:color="auto" w:fill="FFFFFF"/>
          <w:lang w:val="zh-CN"/>
        </w:rPr>
        <w:sectPr>
          <w:pgSz w:w="16838" w:h="11906" w:orient="landscape"/>
          <w:pgMar w:top="1803" w:right="1440" w:bottom="1803" w:left="1440" w:header="851" w:footer="992" w:gutter="0"/>
          <w:cols w:num="1" w:space="0"/>
          <w:titlePg/>
          <w:rtlGutter/>
          <w:docGrid w:type="lines" w:linePitch="319" w:charSpace="0"/>
        </w:sectPr>
      </w:pPr>
    </w:p>
    <w:p>
      <w:pPr>
        <w:pStyle w:val="15"/>
        <w:spacing w:beforeLines="0" w:before="95"/>
        <w:rPr>
          <w:sz w:val="32"/>
          <w:szCs w:val="32"/>
        </w:rPr>
      </w:pPr>
      <w:r>
        <w:rPr>
          <w:rFonts w:cs="宋体" w:hAnsi="宋体" w:hint="eastAsia"/>
          <w:sz w:val="32"/>
          <w:szCs w:val="32"/>
          <w:shd w:val="clear" w:color="auto" w:fill="FFFFFF"/>
          <w:lang w:val="zh-CN"/>
        </w:rPr>
        <w:t>附件</w:t>
      </w:r>
      <w:r>
        <w:rPr>
          <w:rFonts w:cs="宋体" w:hAnsi="宋体" w:hint="eastAsia"/>
          <w:sz w:val="32"/>
          <w:szCs w:val="32"/>
          <w:shd w:val="clear" w:color="auto" w:fill="FFFFFF"/>
        </w:rPr>
        <w:t>2</w:t>
      </w:r>
    </w:p>
    <w:p>
      <w:pPr>
        <w:pStyle w:val="36"/>
        <w:spacing w:line="578" w:lineRule="exact"/>
        <w:jc w:val="center"/>
        <w:rPr>
          <w:rFonts w:ascii="方正小标宋简体" w:eastAsia="方正小标宋简体" w:cs="方正小标宋简体" w:hAnsi="方正小标宋简体"/>
          <w:color w:val="auto"/>
          <w:kern w:val="2"/>
          <w:sz w:val="32"/>
          <w:szCs w:val="32"/>
          <w:lang w:val="en-US"/>
        </w:rPr>
      </w:pPr>
      <w:r>
        <w:rPr>
          <w:rFonts w:ascii="方正小标宋简体" w:eastAsia="方正小标宋简体" w:cs="方正小标宋简体" w:hAnsi="方正小标宋简体" w:hint="eastAsia"/>
          <w:color w:val="auto"/>
          <w:kern w:val="2"/>
          <w:sz w:val="32"/>
          <w:szCs w:val="32"/>
          <w:lang w:val="en-US"/>
        </w:rPr>
        <w:t xml:space="preserve">2022年部门专项资金预算项目绩效自评报告 </w:t>
      </w:r>
    </w:p>
    <w:p>
      <w:pPr>
        <w:pStyle w:val="36"/>
        <w:spacing w:line="578" w:lineRule="exact"/>
        <w:jc w:val="center"/>
        <w:rPr>
          <w:rFonts w:ascii="方正小标宋简体" w:eastAsia="方正小标宋简体" w:cs="方正小标宋简体" w:hAnsi="方正小标宋简体"/>
          <w:color w:val="auto"/>
          <w:kern w:val="2"/>
          <w:sz w:val="32"/>
          <w:szCs w:val="32"/>
          <w:lang w:val="en-US"/>
        </w:rPr>
      </w:pPr>
      <w:r>
        <w:rPr>
          <w:rFonts w:ascii="方正小标宋简体" w:eastAsia="方正小标宋简体" w:cs="方正小标宋简体" w:hAnsi="方正小标宋简体" w:hint="eastAsia"/>
          <w:color w:val="auto"/>
          <w:kern w:val="2"/>
          <w:sz w:val="32"/>
          <w:szCs w:val="32"/>
          <w:lang w:val="en-US"/>
        </w:rPr>
        <w:t>（参加全国、省、市统一审计项目）</w:t>
      </w:r>
    </w:p>
    <w:p>
      <w:pPr>
        <w:pStyle w:val="36"/>
        <w:spacing w:line="578" w:lineRule="exact"/>
        <w:jc w:val="center"/>
        <w:rPr>
          <w:rFonts w:ascii="方正小标宋简体" w:eastAsia="方正小标宋简体" w:cs="方正小标宋简体" w:hAnsi="方正小标宋简体"/>
          <w:color w:val="auto"/>
          <w:kern w:val="2"/>
          <w:sz w:val="32"/>
          <w:szCs w:val="32"/>
          <w:lang w:val="en-US"/>
        </w:rPr>
      </w:pPr>
    </w:p>
    <w:p>
      <w:pPr>
        <w:adjustRightInd w:val="0"/>
        <w:snapToGrid w:val="0"/>
        <w:spacing w:line="578"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pPr>
        <w:pStyle w:val="15"/>
        <w:spacing w:beforeLines="0" w:before="30" w:line="576" w:lineRule="exact"/>
        <w:ind w:firstLineChars="200" w:firstLine="640"/>
        <w:rPr>
          <w:rFonts w:ascii="仿宋" w:eastAsia="仿宋" w:cs="仿宋_GB2312" w:hAnsi="仿宋"/>
          <w:color w:val="000000"/>
          <w:sz w:val="31"/>
          <w:szCs w:val="31"/>
        </w:rPr>
      </w:pPr>
      <w:r>
        <w:rPr>
          <w:rFonts w:ascii="仿宋" w:eastAsia="仿宋" w:cs="仿宋_GB2312" w:hAnsi="仿宋" w:hint="eastAsia"/>
          <w:sz w:val="32"/>
          <w:szCs w:val="32"/>
          <w:shd w:val="clear" w:color="auto" w:fill="FFFFFF"/>
          <w:lang w:val="zh-CN"/>
        </w:rPr>
        <w:t>1</w:t>
      </w:r>
      <w:r>
        <w:rPr>
          <w:rFonts w:ascii="仿宋" w:eastAsia="仿宋" w:cs="仿宋_GB2312" w:hAnsi="仿宋" w:hint="eastAsia"/>
          <w:color w:val="000000"/>
          <w:sz w:val="31"/>
          <w:szCs w:val="31"/>
        </w:rPr>
        <w:t>．按照全国审计“一盘棋”的工作要求，全年完成上级审计部门统一安排交叉审计项目10个，派出审计组9个，上级审计部门临时抽调审计人员参加区域外审计项目17人次。</w:t>
      </w:r>
    </w:p>
    <w:p>
      <w:pPr>
        <w:pStyle w:val="15"/>
        <w:spacing w:beforeLines="0" w:before="30" w:line="576" w:lineRule="exact"/>
        <w:ind w:firstLineChars="200" w:firstLine="620"/>
        <w:rPr>
          <w:rFonts w:ascii="仿宋" w:eastAsia="仿宋" w:cs="仿宋_GB2312" w:hAnsi="仿宋"/>
          <w:color w:val="000000"/>
          <w:sz w:val="31"/>
          <w:szCs w:val="31"/>
        </w:rPr>
      </w:pPr>
      <w:r>
        <w:rPr>
          <w:rFonts w:ascii="仿宋" w:eastAsia="仿宋" w:cs="仿宋_GB2312" w:hAnsi="仿宋" w:hint="eastAsia"/>
          <w:color w:val="000000"/>
          <w:sz w:val="31"/>
          <w:szCs w:val="31"/>
        </w:rPr>
        <w:t>2.参照历年经费开支情况，根据《审计署财政部关于切实保障地方审计机关经费问题的意见》《广元市利州区机关事业单位差旅费管理办法》申报项目资金。</w:t>
      </w:r>
    </w:p>
    <w:p>
      <w:pPr>
        <w:pStyle w:val="15"/>
        <w:spacing w:beforeLines="0" w:before="30" w:line="576" w:lineRule="exact"/>
        <w:ind w:firstLineChars="200" w:firstLine="620"/>
        <w:rPr>
          <w:rFonts w:ascii="仿宋" w:eastAsia="仿宋" w:cs="仿宋_GB2312" w:hAnsi="仿宋"/>
          <w:color w:val="000000"/>
          <w:sz w:val="31"/>
          <w:szCs w:val="31"/>
        </w:rPr>
      </w:pPr>
      <w:r>
        <w:rPr>
          <w:rFonts w:ascii="仿宋" w:eastAsia="仿宋" w:cs="仿宋_GB2312" w:hAnsi="仿宋" w:hint="eastAsia"/>
          <w:color w:val="000000"/>
          <w:sz w:val="31"/>
          <w:szCs w:val="31"/>
        </w:rPr>
        <w:t>3.根据资金使用范围及要求制定了《利州区审计局财务</w:t>
      </w:r>
      <w:r>
        <w:rPr>
          <w:rFonts w:ascii="仿宋" w:eastAsia="仿宋" w:cs="方正仿宋简体" w:hAnsi="仿宋" w:hint="eastAsia"/>
          <w:sz w:val="32"/>
          <w:szCs w:val="32"/>
        </w:rPr>
        <w:t>管</w:t>
      </w:r>
      <w:r>
        <w:rPr>
          <w:rFonts w:ascii="仿宋" w:eastAsia="仿宋" w:cs="仿宋_GB2312" w:hAnsi="仿宋" w:hint="eastAsia"/>
          <w:color w:val="000000"/>
          <w:sz w:val="31"/>
          <w:szCs w:val="31"/>
        </w:rPr>
        <w:t>理制度》，严格按照制度规定执行并支付费用。</w:t>
      </w:r>
    </w:p>
    <w:p>
      <w:pPr>
        <w:pStyle w:val="15"/>
        <w:spacing w:beforeLines="0" w:before="30" w:line="576" w:lineRule="exact"/>
        <w:ind w:firstLineChars="200" w:firstLine="620"/>
        <w:rPr>
          <w:rFonts w:ascii="仿宋" w:eastAsia="仿宋" w:cs="仿宋_GB2312" w:hAnsi="仿宋"/>
          <w:color w:val="000000"/>
          <w:sz w:val="31"/>
          <w:szCs w:val="31"/>
        </w:rPr>
      </w:pPr>
      <w:r>
        <w:rPr>
          <w:rFonts w:ascii="仿宋" w:eastAsia="仿宋" w:cs="仿宋_GB2312" w:hAnsi="仿宋" w:hint="eastAsia"/>
          <w:color w:val="000000"/>
          <w:sz w:val="31"/>
          <w:szCs w:val="31"/>
        </w:rPr>
        <w:t>4.资金主要用于支付国家审计署、省审计厅及市审计局统一安排的区域外异地交叉审计项目发生的交通费、住宿费、生活补助及公杂费，以及外出审计调查发生的租车及其他办公费用。</w:t>
      </w:r>
    </w:p>
    <w:p>
      <w:pPr>
        <w:adjustRightInd w:val="0"/>
        <w:snapToGrid w:val="0"/>
        <w:spacing w:line="578" w:lineRule="exact"/>
        <w:ind w:firstLine="720"/>
        <w:rPr>
          <w:rFonts w:ascii="仿宋" w:eastAsia="仿宋" w:hAnsi="仿宋"/>
          <w:b/>
          <w:sz w:val="32"/>
          <w:szCs w:val="32"/>
          <w:lang w:val="zh-CN"/>
        </w:rPr>
      </w:pPr>
      <w:r>
        <w:rPr>
          <w:rFonts w:ascii="仿宋" w:eastAsia="仿宋" w:hAnsi="仿宋" w:hint="eastAsia"/>
          <w:b/>
          <w:sz w:val="32"/>
          <w:szCs w:val="32"/>
          <w:lang w:val="zh-CN"/>
        </w:rPr>
        <w:t>（二）项目绩效目标。</w:t>
      </w:r>
    </w:p>
    <w:p>
      <w:pPr>
        <w:pStyle w:val="15"/>
        <w:spacing w:beforeLines="0" w:before="30" w:line="576" w:lineRule="exact"/>
        <w:ind w:firstLineChars="200" w:firstLine="620"/>
        <w:rPr>
          <w:rFonts w:ascii="仿宋" w:eastAsia="仿宋" w:cs="仿宋_GB2312" w:hAnsi="仿宋"/>
          <w:color w:val="000000"/>
          <w:sz w:val="31"/>
          <w:szCs w:val="31"/>
        </w:rPr>
      </w:pPr>
      <w:r>
        <w:rPr>
          <w:rFonts w:ascii="仿宋" w:eastAsia="仿宋" w:cs="仿宋_GB2312" w:hAnsi="仿宋" w:hint="eastAsia"/>
          <w:color w:val="000000"/>
          <w:sz w:val="31"/>
          <w:szCs w:val="31"/>
        </w:rPr>
        <w:t>1．资金主要用于支付国家审计署、省审计厅及市审计局统一安排的区域外异地交叉审计项目发生的城市间交通费、住宿费、生活补助及公杂费，以及外出审计调查发生的租车及其他办公费用</w:t>
      </w:r>
    </w:p>
    <w:p>
      <w:pPr>
        <w:pStyle w:val="15"/>
        <w:spacing w:beforeLines="0" w:before="30" w:line="576" w:lineRule="exact"/>
        <w:ind w:firstLineChars="200" w:firstLine="620"/>
        <w:rPr>
          <w:rFonts w:ascii="仿宋" w:eastAsia="仿宋" w:cs="仿宋_GB2312" w:hAnsi="仿宋"/>
          <w:color w:val="000000"/>
          <w:sz w:val="31"/>
          <w:szCs w:val="31"/>
        </w:rPr>
      </w:pPr>
      <w:r>
        <w:rPr>
          <w:rFonts w:ascii="仿宋" w:eastAsia="仿宋" w:cs="仿宋_GB2312" w:hAnsi="仿宋" w:hint="eastAsia"/>
          <w:color w:val="000000"/>
          <w:sz w:val="31"/>
          <w:szCs w:val="31"/>
        </w:rPr>
        <w:t>2.该项目按照数量指标、质量指标、时效指标、成本指标、经济效益、社会效益、生态效益及满意度指标进行指标量化，指标值用文字及数据进行描述，详见项目绩效目标完成情况表。</w:t>
      </w:r>
    </w:p>
    <w:p>
      <w:pPr>
        <w:pStyle w:val="15"/>
        <w:spacing w:beforeLines="0" w:before="30" w:line="576" w:lineRule="exact"/>
        <w:ind w:firstLineChars="200" w:firstLine="620"/>
        <w:rPr>
          <w:rFonts w:ascii="仿宋" w:eastAsia="仿宋" w:cs="仿宋_GB2312" w:hAnsi="仿宋"/>
          <w:color w:val="000000"/>
          <w:sz w:val="31"/>
          <w:szCs w:val="31"/>
        </w:rPr>
      </w:pPr>
      <w:r>
        <w:rPr>
          <w:rFonts w:ascii="仿宋" w:eastAsia="仿宋" w:cs="仿宋_GB2312" w:hAnsi="仿宋" w:hint="eastAsia"/>
          <w:color w:val="000000"/>
          <w:sz w:val="31"/>
          <w:szCs w:val="31"/>
        </w:rPr>
        <w:t>3．该项目经绩效目标自评，年初制定的部门预算项目支出绩效评价指标完成较好。</w:t>
      </w:r>
    </w:p>
    <w:p>
      <w:pPr>
        <w:adjustRightInd w:val="0"/>
        <w:snapToGrid w:val="0"/>
        <w:spacing w:line="578" w:lineRule="exact"/>
        <w:ind w:firstLine="720"/>
        <w:rPr>
          <w:rFonts w:ascii="仿宋" w:eastAsia="仿宋" w:hAnsi="仿宋"/>
          <w:b/>
          <w:sz w:val="32"/>
          <w:szCs w:val="32"/>
          <w:lang w:val="zh-CN"/>
        </w:rPr>
      </w:pPr>
      <w:r>
        <w:rPr>
          <w:rFonts w:ascii="仿宋" w:eastAsia="仿宋" w:hAnsi="仿宋" w:hint="eastAsia"/>
          <w:b/>
          <w:sz w:val="32"/>
          <w:szCs w:val="32"/>
          <w:lang w:val="zh-CN"/>
        </w:rPr>
        <w:t>（三）项目自评步骤及方法。</w:t>
      </w:r>
    </w:p>
    <w:p>
      <w:pPr>
        <w:pStyle w:val="15"/>
        <w:spacing w:beforeLines="0" w:before="30" w:line="576" w:lineRule="exact"/>
        <w:ind w:firstLineChars="200" w:firstLine="620"/>
        <w:rPr>
          <w:rFonts w:ascii="仿宋" w:eastAsia="仿宋" w:cs="仿宋_GB2312" w:hAnsi="仿宋"/>
          <w:color w:val="000000"/>
          <w:sz w:val="31"/>
          <w:szCs w:val="31"/>
        </w:rPr>
      </w:pPr>
      <w:r>
        <w:rPr>
          <w:rFonts w:ascii="仿宋" w:eastAsia="仿宋" w:cs="仿宋_GB2312" w:hAnsi="仿宋" w:hint="eastAsia"/>
          <w:color w:val="000000"/>
          <w:sz w:val="31"/>
          <w:szCs w:val="31"/>
        </w:rPr>
        <w:t>根据《项目支出绩效评价管理办法》规定的项目绩效评价的要求，成立了绩效评价工作领导小组，对照绩效评价方案进行研究和部署，党组成员及各股室负责人全程参与，按照绩效评价方案的要求，对照各实施项目的内容全面评价。在评价过程中按照年初的项目预算绩效目标申报表的指标设置产出数量、质量、时效、成本，以及经济效益、社会效益、生态效益、可持续影响、服务对象满意度等指标开展项目绩效自评，在自评过程中发现问题，查找原因，及时纠正偏差，确保全面完成绩效目标。</w:t>
      </w:r>
    </w:p>
    <w:p>
      <w:pPr>
        <w:adjustRightInd w:val="0"/>
        <w:snapToGrid w:val="0"/>
        <w:spacing w:line="578" w:lineRule="exact"/>
        <w:ind w:firstLine="720"/>
        <w:rPr>
          <w:rFonts w:ascii="仿宋" w:eastAsia="仿宋" w:hAnsi="仿宋"/>
          <w:sz w:val="32"/>
          <w:szCs w:val="32"/>
        </w:rPr>
      </w:pPr>
      <w:r>
        <w:rPr>
          <w:rFonts w:ascii="仿宋" w:eastAsia="仿宋" w:hAnsi="仿宋" w:hint="eastAsia"/>
          <w:sz w:val="32"/>
          <w:szCs w:val="32"/>
        </w:rPr>
        <w:t>二、项目资金申报及使用情况</w:t>
      </w:r>
    </w:p>
    <w:p>
      <w:pPr>
        <w:adjustRightInd w:val="0"/>
        <w:snapToGrid w:val="0"/>
        <w:spacing w:line="578" w:lineRule="exact"/>
        <w:ind w:firstLine="720"/>
        <w:rPr>
          <w:rFonts w:ascii="仿宋" w:eastAsia="仿宋" w:hAnsi="仿宋"/>
          <w:b/>
          <w:sz w:val="32"/>
          <w:szCs w:val="32"/>
          <w:lang w:val="zh-CN"/>
        </w:rPr>
      </w:pPr>
      <w:r>
        <w:rPr>
          <w:rFonts w:ascii="仿宋" w:eastAsia="仿宋" w:hAnsi="仿宋" w:hint="eastAsia"/>
          <w:b/>
          <w:sz w:val="32"/>
          <w:szCs w:val="32"/>
          <w:lang w:val="zh-CN"/>
        </w:rPr>
        <w:t>（一）项目资金申报及批复情况。</w:t>
      </w:r>
    </w:p>
    <w:p>
      <w:pPr>
        <w:pStyle w:val="15"/>
        <w:spacing w:beforeLines="0" w:before="30" w:line="576" w:lineRule="exact"/>
        <w:ind w:firstLineChars="200" w:firstLine="620"/>
        <w:rPr>
          <w:rFonts w:ascii="仿宋" w:eastAsia="仿宋" w:cs="仿宋_GB2312" w:hAnsi="仿宋"/>
          <w:color w:val="000000"/>
          <w:sz w:val="31"/>
          <w:szCs w:val="31"/>
        </w:rPr>
      </w:pPr>
      <w:r>
        <w:rPr>
          <w:rFonts w:ascii="仿宋" w:eastAsia="仿宋" w:cs="仿宋_GB2312" w:hAnsi="仿宋" w:hint="eastAsia"/>
          <w:color w:val="000000"/>
          <w:sz w:val="31"/>
          <w:szCs w:val="31"/>
        </w:rPr>
        <w:t>该项目年初预算申报59.04万元，年度区财政预算批复59.04万元，年末根据资金使用情况调整预算数为59.04万元。</w:t>
      </w:r>
    </w:p>
    <w:p>
      <w:pPr>
        <w:adjustRightInd w:val="0"/>
        <w:snapToGrid w:val="0"/>
        <w:spacing w:line="578" w:lineRule="exact"/>
        <w:ind w:firstLine="720"/>
        <w:rPr>
          <w:rFonts w:ascii="仿宋" w:eastAsia="仿宋" w:hAnsi="仿宋"/>
          <w:sz w:val="32"/>
          <w:szCs w:val="32"/>
          <w:lang w:val="zh-CN"/>
        </w:rPr>
      </w:pPr>
      <w:r>
        <w:rPr>
          <w:rFonts w:ascii="仿宋" w:eastAsia="仿宋" w:hAnsi="仿宋" w:hint="eastAsia"/>
          <w:b/>
          <w:sz w:val="32"/>
          <w:szCs w:val="32"/>
          <w:lang w:val="zh-CN"/>
        </w:rPr>
        <w:t>（二）资金计划、到位及使用情况。</w:t>
      </w:r>
    </w:p>
    <w:p>
      <w:pPr>
        <w:widowControl/>
        <w:adjustRightInd w:val="0"/>
        <w:snapToGrid w:val="0"/>
        <w:spacing w:line="578" w:lineRule="exact"/>
        <w:ind w:firstLineChars="200" w:firstLine="640"/>
        <w:contextualSpacing/>
        <w:jc w:val="left"/>
        <w:rPr>
          <w:rFonts w:ascii="仿宋" w:eastAsia="仿宋" w:cs="仿宋_GB2312" w:hAnsi="仿宋"/>
          <w:kern w:val="0"/>
          <w:sz w:val="32"/>
          <w:szCs w:val="32"/>
          <w:shd w:val="clear" w:color="auto" w:fill="FFFFFF"/>
          <w:lang w:val="zh-CN"/>
        </w:rPr>
      </w:pPr>
      <w:r>
        <w:rPr>
          <w:rFonts w:ascii="仿宋" w:eastAsia="仿宋" w:cs="仿宋_GB2312" w:hAnsi="仿宋" w:hint="eastAsia"/>
          <w:kern w:val="0"/>
          <w:sz w:val="32"/>
          <w:szCs w:val="32"/>
          <w:shd w:val="clear" w:color="auto" w:fill="FFFFFF"/>
          <w:lang w:val="zh-CN"/>
        </w:rPr>
        <w:t>1．资金计划。</w:t>
      </w:r>
      <w:r>
        <w:rPr>
          <w:rFonts w:ascii="仿宋" w:eastAsia="仿宋" w:cs="仿宋_GB2312" w:hAnsi="仿宋" w:hint="eastAsia"/>
          <w:color w:val="000000"/>
          <w:kern w:val="0"/>
          <w:sz w:val="31"/>
          <w:szCs w:val="31"/>
        </w:rPr>
        <w:t>参加全国、省、市统一审计项目经费项目所需经费全部由区财政全额纳入预算管理。。</w:t>
      </w:r>
    </w:p>
    <w:p>
      <w:pPr>
        <w:adjustRightInd w:val="0"/>
        <w:snapToGrid w:val="0"/>
        <w:spacing w:line="600" w:lineRule="exact"/>
        <w:ind w:firstLineChars="200" w:firstLine="640"/>
        <w:rPr>
          <w:rFonts w:ascii="仿宋" w:eastAsia="仿宋" w:cs="仿宋_GB2312" w:hAnsi="仿宋"/>
          <w:color w:val="000000"/>
          <w:kern w:val="0"/>
          <w:sz w:val="31"/>
          <w:szCs w:val="31"/>
        </w:rPr>
      </w:pPr>
      <w:r>
        <w:rPr>
          <w:rFonts w:ascii="仿宋" w:eastAsia="仿宋" w:cs="仿宋_GB2312" w:hAnsi="仿宋" w:hint="eastAsia"/>
          <w:kern w:val="0"/>
          <w:sz w:val="32"/>
          <w:szCs w:val="32"/>
          <w:shd w:val="clear" w:color="auto" w:fill="FFFFFF"/>
          <w:lang w:val="zh-CN"/>
        </w:rPr>
        <w:t>2．资金到位。</w:t>
      </w:r>
      <w:r>
        <w:rPr>
          <w:rFonts w:ascii="仿宋" w:eastAsia="仿宋" w:cs="仿宋_GB2312" w:hAnsi="仿宋" w:hint="eastAsia"/>
          <w:color w:val="000000"/>
          <w:kern w:val="0"/>
          <w:sz w:val="31"/>
          <w:szCs w:val="31"/>
        </w:rPr>
        <w:t>全年预算59.04万元，在年初一次性由区财政拨款至区审计局财政支付平台。</w:t>
      </w:r>
    </w:p>
    <w:p>
      <w:pPr>
        <w:pStyle w:val="15"/>
        <w:spacing w:beforeLines="0" w:before="95"/>
        <w:ind w:firstLineChars="200" w:firstLine="640"/>
        <w:rPr>
          <w:rFonts w:ascii="仿宋" w:eastAsia="仿宋" w:cs="仿宋_GB2312" w:hAnsi="仿宋"/>
          <w:color w:val="000000"/>
          <w:sz w:val="31"/>
          <w:szCs w:val="31"/>
        </w:rPr>
      </w:pPr>
      <w:r>
        <w:rPr>
          <w:rFonts w:ascii="仿宋" w:eastAsia="仿宋" w:cs="仿宋_GB2312" w:hAnsi="仿宋" w:hint="eastAsia"/>
          <w:sz w:val="32"/>
          <w:szCs w:val="32"/>
          <w:shd w:val="clear" w:color="auto" w:fill="FFFFFF"/>
          <w:lang w:val="zh-CN"/>
        </w:rPr>
        <w:t>3．资金使用。</w:t>
      </w:r>
      <w:r>
        <w:rPr>
          <w:rFonts w:ascii="仿宋" w:eastAsia="仿宋" w:cs="仿宋_GB2312" w:hAnsi="仿宋" w:hint="eastAsia"/>
          <w:color w:val="000000"/>
          <w:sz w:val="31"/>
          <w:szCs w:val="31"/>
        </w:rPr>
        <w:t>全年支出59.04万元，全部用于支付国家审计署、省审计厅及市审计局统一安排的区域外异地交叉审计项目发生的城市间交通费、住宿费、生活补助及公杂费，以及外出审计调查发生的租车及其他办公费用。</w:t>
      </w:r>
    </w:p>
    <w:p>
      <w:pPr>
        <w:adjustRightInd w:val="0"/>
        <w:snapToGrid w:val="0"/>
        <w:spacing w:line="578" w:lineRule="exact"/>
        <w:ind w:firstLine="720"/>
        <w:rPr>
          <w:rFonts w:ascii="仿宋" w:eastAsia="仿宋" w:hAnsi="仿宋"/>
          <w:b/>
          <w:sz w:val="32"/>
          <w:szCs w:val="32"/>
          <w:lang w:val="zh-CN"/>
        </w:rPr>
      </w:pPr>
      <w:r>
        <w:rPr>
          <w:rFonts w:ascii="仿宋" w:eastAsia="仿宋" w:hAnsi="仿宋" w:hint="eastAsia"/>
          <w:b/>
          <w:sz w:val="32"/>
          <w:szCs w:val="32"/>
          <w:lang w:val="zh-CN"/>
        </w:rPr>
        <w:t>（三）项目财务管理情况。</w:t>
      </w:r>
    </w:p>
    <w:p>
      <w:pPr>
        <w:adjustRightInd w:val="0"/>
        <w:snapToGrid w:val="0"/>
        <w:spacing w:line="600" w:lineRule="exact"/>
        <w:ind w:firstLineChars="200" w:firstLine="620"/>
        <w:rPr>
          <w:rFonts w:ascii="仿宋" w:eastAsia="仿宋" w:cs="仿宋_GB2312" w:hAnsi="仿宋"/>
          <w:color w:val="000000"/>
          <w:kern w:val="0"/>
          <w:sz w:val="31"/>
          <w:szCs w:val="31"/>
        </w:rPr>
      </w:pPr>
      <w:r>
        <w:rPr>
          <w:rFonts w:ascii="仿宋" w:eastAsia="仿宋" w:cs="仿宋_GB2312" w:hAnsi="仿宋" w:hint="eastAsia"/>
          <w:color w:val="000000"/>
          <w:kern w:val="0"/>
          <w:sz w:val="31"/>
          <w:szCs w:val="31"/>
        </w:rPr>
        <w:t>区审计局财务管理制度健全，严格执行财务管理制度，账务处理及时，会计核算规范。</w:t>
      </w:r>
    </w:p>
    <w:p>
      <w:pPr>
        <w:adjustRightInd w:val="0"/>
        <w:snapToGrid w:val="0"/>
        <w:spacing w:line="578" w:lineRule="exact"/>
        <w:ind w:firstLine="720"/>
        <w:rPr>
          <w:rFonts w:ascii="仿宋" w:eastAsia="仿宋" w:hAnsi="仿宋"/>
          <w:sz w:val="32"/>
          <w:szCs w:val="32"/>
        </w:rPr>
      </w:pPr>
      <w:r>
        <w:rPr>
          <w:rFonts w:ascii="仿宋" w:eastAsia="仿宋" w:hAnsi="仿宋" w:hint="eastAsia"/>
          <w:sz w:val="32"/>
          <w:szCs w:val="32"/>
        </w:rPr>
        <w:t>三、项目实施及管理情况</w:t>
      </w:r>
    </w:p>
    <w:p>
      <w:pPr>
        <w:adjustRightInd w:val="0"/>
        <w:snapToGrid w:val="0"/>
        <w:spacing w:line="578" w:lineRule="exact"/>
        <w:ind w:firstLine="720"/>
        <w:rPr>
          <w:rFonts w:ascii="仿宋" w:eastAsia="仿宋" w:hAnsi="仿宋"/>
          <w:b/>
          <w:sz w:val="32"/>
          <w:szCs w:val="32"/>
          <w:lang w:val="zh-CN"/>
        </w:rPr>
      </w:pPr>
      <w:r>
        <w:rPr>
          <w:rFonts w:ascii="仿宋" w:eastAsia="仿宋" w:hAnsi="仿宋" w:hint="eastAsia"/>
          <w:b/>
          <w:sz w:val="32"/>
          <w:szCs w:val="32"/>
          <w:lang w:val="zh-CN"/>
        </w:rPr>
        <w:t>（一）项目组织架构及实施流程。</w:t>
      </w:r>
    </w:p>
    <w:p>
      <w:pPr>
        <w:pStyle w:val="15"/>
        <w:spacing w:beforeLines="0" w:before="30" w:line="576" w:lineRule="exact"/>
        <w:ind w:firstLineChars="200" w:firstLine="620"/>
        <w:rPr>
          <w:rFonts w:ascii="仿宋" w:eastAsia="仿宋" w:hAnsi="仿宋"/>
          <w:lang w:val="zh-CN"/>
        </w:rPr>
      </w:pPr>
      <w:r>
        <w:rPr>
          <w:rFonts w:ascii="仿宋" w:eastAsia="仿宋" w:cs="仿宋_GB2312" w:hAnsi="仿宋" w:hint="eastAsia"/>
          <w:color w:val="000000"/>
          <w:sz w:val="31"/>
          <w:szCs w:val="31"/>
        </w:rPr>
        <w:t>一是</w:t>
      </w:r>
      <w:r>
        <w:rPr>
          <w:rFonts w:ascii="仿宋" w:eastAsia="仿宋" w:cs="仿宋_GB2312" w:hAnsi="仿宋"/>
          <w:color w:val="000000"/>
          <w:sz w:val="31"/>
          <w:szCs w:val="31"/>
        </w:rPr>
        <w:t>制定工作计划和目标任务</w:t>
      </w:r>
      <w:r>
        <w:rPr>
          <w:rFonts w:ascii="仿宋" w:eastAsia="仿宋" w:cs="仿宋_GB2312" w:hAnsi="仿宋" w:hint="eastAsia"/>
          <w:color w:val="000000"/>
          <w:sz w:val="31"/>
          <w:szCs w:val="31"/>
        </w:rPr>
        <w:t>，二是</w:t>
      </w:r>
      <w:r>
        <w:rPr>
          <w:rFonts w:ascii="仿宋" w:eastAsia="仿宋" w:cs="仿宋_GB2312" w:hAnsi="仿宋"/>
          <w:color w:val="000000"/>
          <w:sz w:val="31"/>
          <w:szCs w:val="31"/>
        </w:rPr>
        <w:t>落实项目实施具体责任人</w:t>
      </w:r>
      <w:r>
        <w:rPr>
          <w:rFonts w:ascii="仿宋" w:eastAsia="仿宋" w:cs="仿宋_GB2312" w:hAnsi="仿宋" w:hint="eastAsia"/>
          <w:color w:val="000000"/>
          <w:sz w:val="31"/>
          <w:szCs w:val="31"/>
        </w:rPr>
        <w:t>，三是</w:t>
      </w:r>
      <w:r>
        <w:rPr>
          <w:rFonts w:ascii="仿宋" w:eastAsia="仿宋" w:cs="仿宋_GB2312" w:hAnsi="仿宋"/>
          <w:color w:val="000000"/>
          <w:sz w:val="31"/>
          <w:szCs w:val="31"/>
        </w:rPr>
        <w:t>按照计划开展工作</w:t>
      </w:r>
      <w:r>
        <w:rPr>
          <w:rFonts w:ascii="仿宋" w:eastAsia="仿宋" w:cs="仿宋_GB2312" w:hAnsi="仿宋" w:hint="eastAsia"/>
          <w:color w:val="000000"/>
          <w:sz w:val="31"/>
          <w:szCs w:val="31"/>
        </w:rPr>
        <w:t>。具体工作开展由局办公室负责统筹实施。</w:t>
      </w:r>
    </w:p>
    <w:p>
      <w:pPr>
        <w:adjustRightInd w:val="0"/>
        <w:snapToGrid w:val="0"/>
        <w:spacing w:line="578" w:lineRule="exact"/>
        <w:ind w:leftChars="200" w:left="420"/>
        <w:rPr>
          <w:rFonts w:ascii="仿宋" w:eastAsia="仿宋" w:hAnsi="仿宋"/>
          <w:b/>
          <w:sz w:val="32"/>
          <w:szCs w:val="32"/>
          <w:lang w:val="zh-CN"/>
        </w:rPr>
      </w:pPr>
      <w:r>
        <w:rPr>
          <w:rFonts w:ascii="仿宋" w:eastAsia="仿宋" w:hAnsi="仿宋" w:hint="eastAsia"/>
          <w:b/>
          <w:sz w:val="32"/>
          <w:szCs w:val="32"/>
          <w:lang w:val="zh-CN"/>
        </w:rPr>
        <w:t>（二）项目管理情况。</w:t>
      </w:r>
    </w:p>
    <w:p>
      <w:pPr>
        <w:adjustRightInd w:val="0"/>
        <w:snapToGrid w:val="0"/>
        <w:spacing w:line="600" w:lineRule="exact"/>
        <w:ind w:firstLineChars="200" w:firstLine="620"/>
        <w:rPr>
          <w:rFonts w:ascii="仿宋" w:eastAsia="仿宋" w:hAnsi="仿宋"/>
          <w:b/>
          <w:sz w:val="32"/>
          <w:szCs w:val="32"/>
          <w:lang w:val="zh-CN"/>
        </w:rPr>
      </w:pPr>
      <w:r>
        <w:rPr>
          <w:rFonts w:ascii="仿宋" w:eastAsia="仿宋" w:cs="仿宋_GB2312" w:hAnsi="仿宋"/>
          <w:color w:val="000000"/>
          <w:kern w:val="0"/>
          <w:sz w:val="31"/>
          <w:szCs w:val="31"/>
        </w:rPr>
        <w:t>由局办公室和相关专业人员具体负责项目的实施，严格按照审计业务工作要求开展工作。本项目资金严格按照项目资金管理办法对资金进行计划申请、拨付、使用，及时、规范对收支进行账务处理和会计核算</w:t>
      </w:r>
      <w:r>
        <w:rPr>
          <w:rFonts w:ascii="仿宋" w:eastAsia="仿宋" w:cs="仿宋_GB2312" w:hAnsi="仿宋" w:hint="eastAsia"/>
          <w:color w:val="000000"/>
          <w:kern w:val="0"/>
          <w:sz w:val="31"/>
          <w:szCs w:val="31"/>
        </w:rPr>
        <w:t>。</w:t>
      </w:r>
    </w:p>
    <w:p>
      <w:pPr>
        <w:adjustRightInd w:val="0"/>
        <w:snapToGrid w:val="0"/>
        <w:spacing w:line="578" w:lineRule="exact"/>
        <w:ind w:firstLine="720"/>
        <w:rPr>
          <w:rFonts w:ascii="仿宋" w:eastAsia="仿宋" w:cs="仿宋_GB2312" w:hAnsi="仿宋"/>
          <w:kern w:val="0"/>
          <w:sz w:val="32"/>
          <w:szCs w:val="32"/>
          <w:shd w:val="clear" w:color="auto" w:fill="FFFFFF"/>
          <w:lang w:val="zh-CN"/>
        </w:rPr>
      </w:pPr>
      <w:r>
        <w:rPr>
          <w:rFonts w:ascii="仿宋" w:eastAsia="仿宋" w:hAnsi="仿宋" w:hint="eastAsia"/>
          <w:b/>
          <w:sz w:val="32"/>
          <w:szCs w:val="32"/>
          <w:lang w:val="zh-CN"/>
        </w:rPr>
        <w:t>（三）项目监管情况。</w:t>
      </w:r>
    </w:p>
    <w:p>
      <w:pPr>
        <w:widowControl/>
        <w:ind w:firstLineChars="200" w:firstLine="620"/>
        <w:jc w:val="left"/>
        <w:rPr>
          <w:rFonts w:ascii="仿宋" w:eastAsia="仿宋" w:hAnsi="仿宋"/>
          <w:sz w:val="32"/>
          <w:szCs w:val="32"/>
        </w:rPr>
      </w:pPr>
      <w:r>
        <w:rPr>
          <w:rFonts w:ascii="仿宋" w:eastAsia="仿宋" w:cs="仿宋_GB2312" w:hAnsi="仿宋" w:hint="eastAsia"/>
          <w:color w:val="000000"/>
          <w:kern w:val="0"/>
          <w:sz w:val="31"/>
          <w:szCs w:val="31"/>
        </w:rPr>
        <w:t>在项目实施中严格遵守《中华人民共和国审计法》《中华人民共和国审计法实施条例》《中华人民共和国国家审计准则》等相关法律法规，依法进行审计监督。</w:t>
      </w:r>
      <w:r>
        <w:rPr>
          <w:rFonts w:ascii="仿宋" w:eastAsia="仿宋" w:cs="仿宋_GB2312" w:hAnsi="仿宋"/>
          <w:color w:val="000000"/>
          <w:kern w:val="0"/>
          <w:sz w:val="31"/>
          <w:szCs w:val="31"/>
        </w:rPr>
        <w:t>按照工作职责和工作计划，由局</w:t>
      </w:r>
      <w:r>
        <w:rPr>
          <w:rFonts w:ascii="仿宋" w:eastAsia="仿宋" w:cs="仿宋_GB2312" w:hAnsi="仿宋" w:hint="eastAsia"/>
          <w:color w:val="000000"/>
          <w:kern w:val="0"/>
          <w:sz w:val="31"/>
          <w:szCs w:val="31"/>
        </w:rPr>
        <w:t>办公室、计划与法规股</w:t>
      </w:r>
      <w:r>
        <w:rPr>
          <w:rFonts w:ascii="仿宋" w:eastAsia="仿宋" w:cs="仿宋_GB2312" w:hAnsi="仿宋"/>
          <w:color w:val="000000"/>
          <w:kern w:val="0"/>
          <w:sz w:val="31"/>
          <w:szCs w:val="31"/>
        </w:rPr>
        <w:t>法规具体负责项目实施的监管，确保项目实施和开展落实落地。</w:t>
      </w:r>
    </w:p>
    <w:p>
      <w:pPr>
        <w:adjustRightInd w:val="0"/>
        <w:snapToGrid w:val="0"/>
        <w:spacing w:line="578" w:lineRule="exact"/>
        <w:ind w:firstLine="720"/>
        <w:rPr>
          <w:rFonts w:ascii="仿宋" w:eastAsia="仿宋" w:hAnsi="仿宋"/>
          <w:sz w:val="32"/>
          <w:szCs w:val="32"/>
          <w:lang w:val="zh-CN"/>
        </w:rPr>
      </w:pPr>
      <w:r>
        <w:rPr>
          <w:rFonts w:ascii="仿宋" w:eastAsia="仿宋" w:hAnsi="仿宋" w:hint="eastAsia"/>
          <w:sz w:val="32"/>
          <w:szCs w:val="32"/>
        </w:rPr>
        <w:t>四、项目绩效情况</w:t>
      </w:r>
      <w:r>
        <w:rPr>
          <w:rFonts w:ascii="仿宋" w:eastAsia="仿宋" w:hAnsi="仿宋" w:hint="eastAsia"/>
          <w:sz w:val="32"/>
          <w:szCs w:val="32"/>
          <w:lang w:val="zh-CN"/>
        </w:rPr>
        <w:tab/>
      </w:r>
    </w:p>
    <w:p>
      <w:pPr>
        <w:adjustRightInd w:val="0"/>
        <w:snapToGrid w:val="0"/>
        <w:spacing w:line="578" w:lineRule="exact"/>
        <w:ind w:firstLine="720"/>
        <w:rPr>
          <w:rFonts w:ascii="仿宋" w:eastAsia="仿宋" w:hAnsi="仿宋"/>
          <w:b/>
          <w:sz w:val="32"/>
          <w:szCs w:val="32"/>
          <w:lang w:val="zh-CN"/>
        </w:rPr>
      </w:pPr>
      <w:r>
        <w:rPr>
          <w:rFonts w:ascii="仿宋" w:eastAsia="仿宋" w:hAnsi="仿宋" w:hint="eastAsia"/>
          <w:b/>
          <w:sz w:val="32"/>
          <w:szCs w:val="32"/>
          <w:lang w:val="zh-CN"/>
        </w:rPr>
        <w:t>（一）项目完成情况。</w:t>
      </w:r>
    </w:p>
    <w:p>
      <w:pPr>
        <w:widowControl/>
        <w:adjustRightInd w:val="0"/>
        <w:snapToGrid w:val="0"/>
        <w:spacing w:line="578" w:lineRule="exact"/>
        <w:ind w:firstLineChars="200" w:firstLine="640"/>
        <w:contextualSpacing/>
        <w:rPr>
          <w:rFonts w:ascii="仿宋" w:eastAsia="仿宋" w:cs="仿宋_GB2312" w:hAnsi="仿宋"/>
          <w:kern w:val="0"/>
          <w:sz w:val="32"/>
          <w:szCs w:val="32"/>
          <w:shd w:val="clear" w:color="auto" w:fill="FFFFFF"/>
        </w:rPr>
      </w:pPr>
      <w:r>
        <w:rPr>
          <w:rFonts w:ascii="仿宋" w:eastAsia="仿宋" w:cs="仿宋_GB2312" w:hAnsi="仿宋" w:hint="eastAsia"/>
          <w:kern w:val="0"/>
          <w:sz w:val="32"/>
          <w:szCs w:val="32"/>
          <w:shd w:val="clear" w:color="auto" w:fill="FFFFFF"/>
        </w:rPr>
        <w:t>项目年初设置的</w:t>
      </w:r>
      <w:r>
        <w:rPr>
          <w:rFonts w:ascii="仿宋" w:eastAsia="仿宋" w:cs="仿宋_GB2312" w:hAnsi="仿宋" w:hint="eastAsia"/>
          <w:kern w:val="0"/>
          <w:sz w:val="32"/>
          <w:szCs w:val="32"/>
          <w:shd w:val="clear" w:color="auto" w:fill="FFFFFF"/>
          <w:lang w:val="zh-CN"/>
        </w:rPr>
        <w:t>数量指标</w:t>
      </w:r>
      <w:r>
        <w:rPr>
          <w:rFonts w:ascii="仿宋" w:eastAsia="仿宋" w:cs="仿宋_GB2312" w:hAnsi="仿宋" w:hint="eastAsia"/>
          <w:kern w:val="0"/>
          <w:sz w:val="32"/>
          <w:szCs w:val="32"/>
          <w:shd w:val="clear" w:color="auto" w:fill="FFFFFF"/>
        </w:rPr>
        <w:t>5项</w:t>
      </w:r>
      <w:r>
        <w:rPr>
          <w:rFonts w:ascii="仿宋" w:eastAsia="仿宋" w:cs="仿宋_GB2312" w:hAnsi="仿宋" w:hint="eastAsia"/>
          <w:kern w:val="0"/>
          <w:sz w:val="32"/>
          <w:szCs w:val="32"/>
          <w:shd w:val="clear" w:color="auto" w:fill="FFFFFF"/>
          <w:lang w:val="zh-CN"/>
        </w:rPr>
        <w:t>、质量指标</w:t>
      </w:r>
      <w:r>
        <w:rPr>
          <w:rFonts w:ascii="仿宋" w:eastAsia="仿宋" w:cs="仿宋_GB2312" w:hAnsi="仿宋" w:hint="eastAsia"/>
          <w:kern w:val="0"/>
          <w:sz w:val="32"/>
          <w:szCs w:val="32"/>
          <w:shd w:val="clear" w:color="auto" w:fill="FFFFFF"/>
        </w:rPr>
        <w:t>2项</w:t>
      </w:r>
      <w:r>
        <w:rPr>
          <w:rFonts w:ascii="仿宋" w:eastAsia="仿宋" w:cs="仿宋_GB2312" w:hAnsi="仿宋" w:hint="eastAsia"/>
          <w:kern w:val="0"/>
          <w:sz w:val="32"/>
          <w:szCs w:val="32"/>
          <w:shd w:val="clear" w:color="auto" w:fill="FFFFFF"/>
          <w:lang w:val="zh-CN"/>
        </w:rPr>
        <w:t>、时效指标</w:t>
      </w:r>
      <w:r>
        <w:rPr>
          <w:rFonts w:ascii="仿宋" w:eastAsia="仿宋" w:cs="仿宋_GB2312" w:hAnsi="仿宋" w:hint="eastAsia"/>
          <w:kern w:val="0"/>
          <w:sz w:val="32"/>
          <w:szCs w:val="32"/>
          <w:shd w:val="clear" w:color="auto" w:fill="FFFFFF"/>
        </w:rPr>
        <w:t>2项</w:t>
      </w:r>
      <w:r>
        <w:rPr>
          <w:rFonts w:ascii="仿宋" w:eastAsia="仿宋" w:cs="仿宋_GB2312" w:hAnsi="仿宋" w:hint="eastAsia"/>
          <w:kern w:val="0"/>
          <w:sz w:val="32"/>
          <w:szCs w:val="32"/>
          <w:shd w:val="clear" w:color="auto" w:fill="FFFFFF"/>
          <w:lang w:val="zh-CN"/>
        </w:rPr>
        <w:t>、成本指标</w:t>
      </w:r>
      <w:r>
        <w:rPr>
          <w:rFonts w:ascii="仿宋" w:eastAsia="仿宋" w:cs="仿宋_GB2312" w:hAnsi="仿宋" w:hint="eastAsia"/>
          <w:kern w:val="0"/>
          <w:sz w:val="32"/>
          <w:szCs w:val="32"/>
          <w:shd w:val="clear" w:color="auto" w:fill="FFFFFF"/>
        </w:rPr>
        <w:t>5项、可持续影响指标1项、生态效益指标1项、社会效益指标1项、经济效益指标1项、服务对象满意度指标1项，经自评，该项目完成了全年审计项目计划，该项目除生态效益和经济效益指标值没有完成外，其他绩效指标全部完成，未完成原因未设置的绩效目标与实际的相符，该项目不能产生生态效益和经济效益。该项目资金支付按项目进度支付，成本控制较好，未发生超预算支付，资金支付率100%。</w:t>
      </w:r>
    </w:p>
    <w:p>
      <w:pPr>
        <w:adjustRightInd w:val="0"/>
        <w:snapToGrid w:val="0"/>
        <w:spacing w:line="578" w:lineRule="exact"/>
        <w:ind w:firstLine="720"/>
        <w:rPr>
          <w:rFonts w:ascii="仿宋" w:eastAsia="仿宋" w:hAnsi="仿宋"/>
          <w:b/>
          <w:sz w:val="32"/>
          <w:szCs w:val="32"/>
          <w:lang w:val="zh-CN"/>
        </w:rPr>
      </w:pPr>
      <w:r>
        <w:rPr>
          <w:rFonts w:ascii="仿宋" w:eastAsia="仿宋" w:hAnsi="仿宋" w:hint="eastAsia"/>
          <w:b/>
          <w:sz w:val="32"/>
          <w:szCs w:val="32"/>
          <w:lang w:val="zh-CN"/>
        </w:rPr>
        <w:t>（二）项目效益情况。</w:t>
      </w:r>
    </w:p>
    <w:p>
      <w:pPr>
        <w:adjustRightInd w:val="0"/>
        <w:snapToGrid w:val="0"/>
        <w:spacing w:line="600" w:lineRule="exact"/>
        <w:ind w:firstLineChars="200" w:firstLine="640"/>
        <w:rPr>
          <w:rFonts w:ascii="仿宋" w:eastAsia="仿宋" w:cs="仿宋_GB2312" w:hAnsi="仿宋"/>
          <w:kern w:val="0"/>
          <w:sz w:val="32"/>
          <w:szCs w:val="32"/>
          <w:shd w:val="clear" w:color="auto" w:fill="FFFFFF"/>
        </w:rPr>
      </w:pPr>
      <w:r>
        <w:rPr>
          <w:rFonts w:ascii="仿宋" w:eastAsia="仿宋" w:cs="仿宋_GB2312" w:hAnsi="仿宋" w:hint="eastAsia"/>
          <w:kern w:val="0"/>
          <w:sz w:val="32"/>
          <w:szCs w:val="32"/>
          <w:shd w:val="clear" w:color="auto" w:fill="FFFFFF"/>
        </w:rPr>
        <w:t>充分发挥审计在推进国家治理体系和治理能力中的职能作用，促进财政资金提质增效，增加社会对政府资金使用的认可度，满意度不断提高。</w:t>
      </w:r>
    </w:p>
    <w:p>
      <w:pPr>
        <w:adjustRightInd w:val="0"/>
        <w:snapToGrid w:val="0"/>
        <w:spacing w:line="578" w:lineRule="exact"/>
        <w:ind w:firstLine="720"/>
        <w:rPr>
          <w:rFonts w:ascii="仿宋" w:eastAsia="仿宋" w:hAnsi="仿宋"/>
          <w:sz w:val="32"/>
          <w:szCs w:val="32"/>
        </w:rPr>
      </w:pPr>
      <w:r>
        <w:rPr>
          <w:rFonts w:ascii="仿宋" w:eastAsia="仿宋" w:hAnsi="仿宋" w:hint="eastAsia"/>
          <w:sz w:val="32"/>
          <w:szCs w:val="32"/>
        </w:rPr>
        <w:t>五、评价结论及建议</w:t>
      </w:r>
    </w:p>
    <w:p>
      <w:pPr>
        <w:adjustRightInd w:val="0"/>
        <w:snapToGrid w:val="0"/>
        <w:spacing w:line="578" w:lineRule="exact"/>
        <w:ind w:firstLine="720"/>
        <w:rPr>
          <w:rFonts w:ascii="仿宋" w:eastAsia="仿宋" w:hAnsi="仿宋"/>
          <w:b/>
          <w:sz w:val="32"/>
          <w:szCs w:val="32"/>
          <w:lang w:val="zh-CN"/>
        </w:rPr>
      </w:pPr>
      <w:r>
        <w:rPr>
          <w:rFonts w:ascii="仿宋" w:eastAsia="仿宋" w:hAnsi="仿宋" w:hint="eastAsia"/>
          <w:b/>
          <w:sz w:val="32"/>
          <w:szCs w:val="32"/>
          <w:lang w:val="zh-CN"/>
        </w:rPr>
        <w:t>（一）评价结论。</w:t>
      </w:r>
    </w:p>
    <w:p>
      <w:pPr>
        <w:widowControl/>
        <w:adjustRightInd w:val="0"/>
        <w:snapToGrid w:val="0"/>
        <w:spacing w:line="578" w:lineRule="exact"/>
        <w:ind w:firstLineChars="200" w:firstLine="640"/>
        <w:contextualSpacing/>
        <w:jc w:val="left"/>
        <w:rPr>
          <w:rFonts w:ascii="仿宋" w:eastAsia="仿宋" w:cs="仿宋_GB2312" w:hAnsi="仿宋"/>
          <w:kern w:val="0"/>
          <w:sz w:val="32"/>
          <w:szCs w:val="32"/>
          <w:shd w:val="clear" w:color="auto" w:fill="FFFFFF"/>
        </w:rPr>
      </w:pPr>
      <w:r>
        <w:rPr>
          <w:rFonts w:ascii="仿宋" w:eastAsia="仿宋" w:cs="仿宋_GB2312" w:hAnsi="仿宋" w:hint="eastAsia"/>
          <w:kern w:val="0"/>
          <w:sz w:val="32"/>
          <w:szCs w:val="32"/>
          <w:shd w:val="clear" w:color="auto" w:fill="FFFFFF"/>
        </w:rPr>
        <w:t>项目年初设置的年度目标任务全部实现，能严格按照《项目支出绩效评价管理办法》进行项目绩效评价，绩效目标指标权重设置为：预算执行率10%，产出指标50%，效益指标30%，服务对象满意度指标10%，自评得分96.5分，评价结果等次为“优。</w:t>
      </w:r>
    </w:p>
    <w:p>
      <w:pPr>
        <w:adjustRightInd w:val="0"/>
        <w:snapToGrid w:val="0"/>
        <w:spacing w:line="578" w:lineRule="exact"/>
        <w:ind w:firstLine="720"/>
        <w:rPr>
          <w:rFonts w:ascii="仿宋" w:eastAsia="仿宋" w:hAnsi="仿宋"/>
          <w:b/>
          <w:sz w:val="32"/>
          <w:szCs w:val="32"/>
          <w:lang w:val="zh-CN"/>
        </w:rPr>
      </w:pPr>
      <w:r>
        <w:rPr>
          <w:rFonts w:ascii="仿宋" w:eastAsia="仿宋" w:hAnsi="仿宋" w:hint="eastAsia"/>
          <w:b/>
          <w:sz w:val="32"/>
          <w:szCs w:val="32"/>
          <w:lang w:val="zh-CN"/>
        </w:rPr>
        <w:t>（二）存在的问题。</w:t>
      </w:r>
    </w:p>
    <w:p>
      <w:pPr>
        <w:adjustRightInd w:val="0"/>
        <w:snapToGrid w:val="0"/>
        <w:spacing w:line="578" w:lineRule="exact"/>
        <w:ind w:firstLine="720"/>
        <w:rPr>
          <w:rFonts w:ascii="仿宋" w:eastAsia="仿宋" w:cs="仿宋_GB2312" w:hAnsi="仿宋"/>
          <w:kern w:val="0"/>
          <w:sz w:val="32"/>
          <w:szCs w:val="32"/>
          <w:shd w:val="clear" w:color="auto" w:fill="FFFFFF"/>
        </w:rPr>
      </w:pPr>
      <w:r>
        <w:rPr>
          <w:rFonts w:ascii="仿宋" w:eastAsia="仿宋" w:cs="仿宋_GB2312" w:hAnsi="仿宋" w:hint="eastAsia"/>
          <w:kern w:val="0"/>
          <w:sz w:val="32"/>
          <w:szCs w:val="32"/>
          <w:shd w:val="clear" w:color="auto" w:fill="FFFFFF"/>
          <w:lang w:val="zh-CN"/>
        </w:rPr>
        <w:t>年初设置的部分项目绩效指标与项目实际不符，造成绩效目标不能</w:t>
      </w:r>
      <w:r>
        <w:rPr>
          <w:rFonts w:ascii="仿宋" w:eastAsia="仿宋" w:cs="仿宋_GB2312" w:hAnsi="仿宋" w:hint="eastAsia"/>
          <w:kern w:val="0"/>
          <w:sz w:val="32"/>
          <w:szCs w:val="32"/>
          <w:shd w:val="clear" w:color="auto" w:fill="FFFFFF"/>
        </w:rPr>
        <w:t>100%实现。</w:t>
      </w:r>
    </w:p>
    <w:p>
      <w:pPr>
        <w:adjustRightInd w:val="0"/>
        <w:snapToGrid w:val="0"/>
        <w:spacing w:line="578" w:lineRule="exact"/>
        <w:ind w:firstLine="720"/>
        <w:rPr>
          <w:rFonts w:ascii="仿宋" w:eastAsia="仿宋" w:hAnsi="仿宋"/>
          <w:b/>
          <w:sz w:val="32"/>
          <w:szCs w:val="32"/>
          <w:lang w:val="zh-CN"/>
        </w:rPr>
      </w:pPr>
      <w:r>
        <w:rPr>
          <w:rFonts w:ascii="仿宋" w:eastAsia="仿宋" w:hAnsi="仿宋" w:hint="eastAsia"/>
          <w:b/>
          <w:sz w:val="32"/>
          <w:szCs w:val="32"/>
          <w:lang w:val="zh-CN"/>
        </w:rPr>
        <w:t>（三）相关建议。</w:t>
      </w:r>
    </w:p>
    <w:p>
      <w:pPr>
        <w:spacing w:line="600" w:lineRule="exact"/>
        <w:ind w:firstLineChars="200" w:firstLine="640"/>
        <w:rPr>
          <w:rFonts w:ascii="仿宋" w:eastAsia="仿宋" w:cs="仿宋_GB2312" w:hAnsi="仿宋"/>
          <w:kern w:val="0"/>
          <w:sz w:val="32"/>
          <w:szCs w:val="32"/>
          <w:shd w:val="clear" w:color="auto" w:fill="FFFFFF"/>
          <w:lang w:val="zh-CN"/>
        </w:rPr>
      </w:pPr>
      <w:r>
        <w:rPr>
          <w:rFonts w:ascii="仿宋" w:eastAsia="仿宋" w:cs="仿宋_GB2312" w:hAnsi="仿宋" w:hint="eastAsia"/>
          <w:kern w:val="0"/>
          <w:sz w:val="32"/>
          <w:szCs w:val="32"/>
          <w:shd w:val="clear" w:color="auto" w:fill="FFFFFF"/>
          <w:lang w:val="zh-CN"/>
        </w:rPr>
        <w:t>为全面落实上级审计部门安排下达的审计任务，希望在来年的财政经费预算安排中增加经费预算，保障履行职责所必须的经费。</w:t>
      </w:r>
    </w:p>
    <w:p>
      <w:pPr>
        <w:spacing w:line="600" w:lineRule="exact"/>
        <w:ind w:firstLineChars="200" w:firstLine="640"/>
        <w:rPr>
          <w:rFonts w:ascii="仿宋" w:eastAsia="仿宋" w:cs="仿宋_GB2312" w:hAnsi="仿宋"/>
          <w:kern w:val="0"/>
          <w:sz w:val="32"/>
          <w:szCs w:val="32"/>
          <w:shd w:val="clear" w:color="auto" w:fill="FFFFFF"/>
          <w:lang w:val="zh-CN"/>
        </w:rPr>
      </w:pPr>
    </w:p>
    <w:p>
      <w:pPr>
        <w:pStyle w:val="36"/>
        <w:spacing w:line="578" w:lineRule="exact"/>
        <w:jc w:val="center"/>
        <w:rPr>
          <w:rFonts w:ascii="仿宋" w:eastAsia="仿宋" w:cs="方正小标宋简体" w:hAnsi="仿宋"/>
          <w:color w:val="auto"/>
          <w:kern w:val="2"/>
          <w:sz w:val="32"/>
          <w:szCs w:val="32"/>
          <w:lang w:val="en-US"/>
        </w:rPr>
      </w:pPr>
    </w:p>
    <w:p>
      <w:pPr>
        <w:pStyle w:val="36"/>
        <w:spacing w:line="578" w:lineRule="exact"/>
        <w:jc w:val="center"/>
        <w:rPr>
          <w:rFonts w:ascii="方正小标宋简体" w:eastAsia="方正小标宋简体" w:cs="方正小标宋简体" w:hAnsi="方正小标宋简体"/>
          <w:color w:val="auto"/>
          <w:kern w:val="2"/>
          <w:sz w:val="32"/>
          <w:szCs w:val="32"/>
          <w:lang w:val="en-US"/>
        </w:rPr>
      </w:pPr>
    </w:p>
    <w:p>
      <w:pPr>
        <w:pStyle w:val="36"/>
        <w:spacing w:line="578" w:lineRule="exact"/>
        <w:jc w:val="center"/>
        <w:rPr>
          <w:rFonts w:ascii="方正小标宋简体" w:eastAsia="方正小标宋简体" w:cs="方正小标宋简体" w:hAnsi="方正小标宋简体"/>
          <w:color w:val="auto"/>
          <w:kern w:val="2"/>
          <w:sz w:val="32"/>
          <w:szCs w:val="32"/>
        </w:rPr>
      </w:pPr>
      <w:r>
        <w:rPr>
          <w:rFonts w:ascii="方正小标宋简体" w:eastAsia="方正小标宋简体" w:cs="方正小标宋简体" w:hAnsi="方正小标宋简体" w:hint="eastAsia"/>
          <w:color w:val="auto"/>
          <w:kern w:val="2"/>
          <w:sz w:val="32"/>
          <w:szCs w:val="32"/>
          <w:lang w:val="en-US"/>
        </w:rPr>
        <w:t>2022年</w:t>
      </w:r>
      <w:r>
        <w:rPr>
          <w:rFonts w:ascii="方正小标宋简体" w:eastAsia="方正小标宋简体" w:cs="方正小标宋简体" w:hAnsi="方正小标宋简体" w:hint="eastAsia"/>
          <w:color w:val="auto"/>
          <w:kern w:val="2"/>
          <w:sz w:val="32"/>
          <w:szCs w:val="32"/>
        </w:rPr>
        <w:t>专项预算项目支出绩效自评报告</w:t>
      </w:r>
    </w:p>
    <w:p>
      <w:pPr>
        <w:pStyle w:val="36"/>
        <w:spacing w:line="578" w:lineRule="exact"/>
        <w:jc w:val="center"/>
        <w:rPr>
          <w:rFonts w:ascii="方正小标宋简体" w:eastAsia="方正小标宋简体" w:cs="方正小标宋简体" w:hAnsi="方正小标宋简体"/>
          <w:color w:val="auto"/>
          <w:kern w:val="2"/>
          <w:sz w:val="32"/>
          <w:szCs w:val="32"/>
          <w:lang w:val="en-US"/>
        </w:rPr>
      </w:pPr>
      <w:r>
        <w:rPr>
          <w:rFonts w:ascii="方正小标宋简体" w:eastAsia="方正小标宋简体" w:cs="方正小标宋简体" w:hAnsi="方正小标宋简体" w:hint="eastAsia"/>
          <w:color w:val="auto"/>
          <w:kern w:val="2"/>
          <w:sz w:val="32"/>
          <w:szCs w:val="32"/>
          <w:lang w:val="en-US"/>
        </w:rPr>
        <w:t>（审计事务外调项目）</w:t>
      </w:r>
    </w:p>
    <w:p>
      <w:pPr>
        <w:pStyle w:val="36"/>
        <w:spacing w:line="578" w:lineRule="exact"/>
        <w:jc w:val="center"/>
        <w:rPr>
          <w:rFonts w:ascii="方正小标宋简体" w:eastAsia="方正小标宋简体" w:cs="方正小标宋简体" w:hAnsi="方正小标宋简体"/>
          <w:color w:val="auto"/>
          <w:kern w:val="2"/>
          <w:sz w:val="32"/>
          <w:szCs w:val="32"/>
          <w:lang w:val="en-US"/>
        </w:rPr>
      </w:pPr>
    </w:p>
    <w:p>
      <w:pPr>
        <w:adjustRightInd w:val="0"/>
        <w:snapToGrid w:val="0"/>
        <w:spacing w:line="578"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pPr>
        <w:spacing w:line="600" w:lineRule="exact"/>
        <w:ind w:firstLineChars="200" w:firstLine="640"/>
        <w:rPr>
          <w:rFonts w:ascii="仿宋" w:eastAsia="仿宋" w:cs="仿宋_GB2312" w:hAnsi="仿宋"/>
          <w:kern w:val="0"/>
          <w:sz w:val="32"/>
          <w:szCs w:val="32"/>
          <w:shd w:val="clear" w:color="auto" w:fill="FFFFFF"/>
          <w:lang w:val="zh-CN"/>
        </w:rPr>
      </w:pPr>
      <w:r>
        <w:rPr>
          <w:rFonts w:ascii="仿宋" w:eastAsia="仿宋" w:cs="仿宋_GB2312" w:hAnsi="仿宋" w:hint="eastAsia"/>
          <w:kern w:val="0"/>
          <w:sz w:val="32"/>
          <w:szCs w:val="32"/>
          <w:shd w:val="clear" w:color="auto" w:fill="FFFFFF"/>
          <w:lang w:val="zh-CN"/>
        </w:rPr>
        <w:t>1.根据2022年审计项目计划和以前年度审计外勤经费使用情况，通过测算，申报2022年审计外勤经费项目。</w:t>
      </w:r>
    </w:p>
    <w:p>
      <w:pPr>
        <w:spacing w:line="600" w:lineRule="exact"/>
        <w:ind w:firstLineChars="200" w:firstLine="640"/>
        <w:rPr>
          <w:rFonts w:ascii="仿宋" w:eastAsia="仿宋" w:cs="仿宋_GB2312" w:hAnsi="仿宋"/>
          <w:kern w:val="0"/>
          <w:sz w:val="32"/>
          <w:szCs w:val="32"/>
          <w:shd w:val="clear" w:color="auto" w:fill="FFFFFF"/>
          <w:lang w:val="zh-CN"/>
        </w:rPr>
      </w:pPr>
      <w:r>
        <w:rPr>
          <w:rFonts w:ascii="仿宋" w:eastAsia="仿宋" w:cs="仿宋_GB2312" w:hAnsi="仿宋" w:hint="eastAsia"/>
          <w:kern w:val="0"/>
          <w:sz w:val="32"/>
          <w:szCs w:val="32"/>
          <w:shd w:val="clear" w:color="auto" w:fill="FFFFFF"/>
          <w:lang w:val="zh-CN"/>
        </w:rPr>
        <w:t>2.根据《中华人民共和国审计法》第十一条 审计机关履行职责所必需的经费，应当列入财政预算，由本级人民政府予以保证。为保障审计工作的独立性，利州区审计局设立“审计项目外勤经费”项目，用于支付审计项目外出审计调查发生的住宿费、生活补助、公杂费及城市间的交通费等支出。</w:t>
      </w:r>
    </w:p>
    <w:p>
      <w:pPr>
        <w:spacing w:line="600" w:lineRule="exact"/>
        <w:ind w:firstLineChars="200" w:firstLine="640"/>
        <w:rPr>
          <w:rFonts w:ascii="仿宋" w:eastAsia="仿宋" w:cs="仿宋_GB2312" w:hAnsi="仿宋"/>
          <w:kern w:val="0"/>
          <w:sz w:val="32"/>
          <w:szCs w:val="32"/>
          <w:shd w:val="clear" w:color="auto" w:fill="FFFFFF"/>
          <w:lang w:val="zh-CN"/>
        </w:rPr>
      </w:pPr>
      <w:r>
        <w:rPr>
          <w:rFonts w:ascii="仿宋" w:eastAsia="仿宋" w:cs="仿宋_GB2312" w:hAnsi="仿宋" w:hint="eastAsia"/>
          <w:kern w:val="0"/>
          <w:sz w:val="32"/>
          <w:szCs w:val="32"/>
          <w:shd w:val="clear" w:color="auto" w:fill="FFFFFF"/>
          <w:lang w:val="zh-CN"/>
        </w:rPr>
        <w:t>3.根据资金使用范围及要求制定了《利州区审计局财务管理制度》，严格按照制度规定执行并支付费用。</w:t>
      </w:r>
    </w:p>
    <w:p>
      <w:pPr>
        <w:spacing w:line="600" w:lineRule="exact"/>
        <w:ind w:firstLineChars="200" w:firstLine="640"/>
        <w:rPr>
          <w:rFonts w:ascii="仿宋" w:eastAsia="仿宋" w:cs="仿宋_GB2312" w:hAnsi="仿宋"/>
          <w:kern w:val="0"/>
          <w:sz w:val="32"/>
          <w:szCs w:val="32"/>
          <w:shd w:val="clear" w:color="auto" w:fill="FFFFFF"/>
          <w:lang w:val="zh-CN"/>
        </w:rPr>
      </w:pPr>
      <w:r>
        <w:rPr>
          <w:rFonts w:ascii="仿宋" w:eastAsia="仿宋" w:cs="仿宋_GB2312" w:hAnsi="仿宋" w:hint="eastAsia"/>
          <w:kern w:val="0"/>
          <w:sz w:val="32"/>
          <w:szCs w:val="32"/>
          <w:shd w:val="clear" w:color="auto" w:fill="FFFFFF"/>
          <w:lang w:val="zh-CN"/>
        </w:rPr>
        <w:t>4．资金分配严格执行《广元市利州区机关事业单位差旅费管理办法》，严格控制出差人数和天数。</w:t>
      </w:r>
    </w:p>
    <w:p>
      <w:pPr>
        <w:adjustRightInd w:val="0"/>
        <w:snapToGrid w:val="0"/>
        <w:spacing w:line="578" w:lineRule="exact"/>
        <w:ind w:firstLine="720"/>
        <w:rPr>
          <w:rFonts w:ascii="仿宋" w:eastAsia="仿宋" w:hAnsi="仿宋"/>
          <w:b/>
          <w:sz w:val="32"/>
          <w:szCs w:val="32"/>
          <w:lang w:val="zh-CN"/>
        </w:rPr>
      </w:pPr>
      <w:r>
        <w:rPr>
          <w:rFonts w:ascii="仿宋" w:eastAsia="仿宋" w:hAnsi="仿宋" w:hint="eastAsia"/>
          <w:b/>
          <w:sz w:val="32"/>
          <w:szCs w:val="32"/>
          <w:lang w:val="zh-CN"/>
        </w:rPr>
        <w:t>（二）项目绩效目标。</w:t>
      </w:r>
    </w:p>
    <w:p>
      <w:pPr>
        <w:spacing w:line="600" w:lineRule="exact"/>
        <w:ind w:firstLineChars="200" w:firstLine="640"/>
        <w:rPr>
          <w:rFonts w:ascii="仿宋" w:eastAsia="仿宋" w:cs="仿宋_GB2312" w:hAnsi="仿宋"/>
          <w:kern w:val="0"/>
          <w:sz w:val="32"/>
          <w:szCs w:val="32"/>
          <w:shd w:val="clear" w:color="auto" w:fill="FFFFFF"/>
          <w:lang w:val="zh-CN"/>
        </w:rPr>
      </w:pPr>
      <w:r>
        <w:rPr>
          <w:rFonts w:ascii="仿宋" w:eastAsia="仿宋" w:cs="仿宋_GB2312" w:hAnsi="仿宋" w:hint="eastAsia"/>
          <w:kern w:val="0"/>
          <w:sz w:val="32"/>
          <w:szCs w:val="32"/>
          <w:shd w:val="clear" w:color="auto" w:fill="FFFFFF"/>
          <w:lang w:val="zh-CN"/>
        </w:rPr>
        <w:t>1.项目主要用于支付审计项目外出审计期间发生的住宿费、生活补助、公杂费及城市间的交通费等支出。</w:t>
      </w:r>
    </w:p>
    <w:p>
      <w:pPr>
        <w:spacing w:line="600" w:lineRule="exact"/>
        <w:ind w:firstLineChars="200" w:firstLine="640"/>
        <w:rPr>
          <w:rFonts w:ascii="仿宋" w:eastAsia="仿宋" w:cs="仿宋_GB2312" w:hAnsi="仿宋"/>
          <w:kern w:val="0"/>
          <w:sz w:val="32"/>
          <w:szCs w:val="32"/>
          <w:shd w:val="clear" w:color="auto" w:fill="FFFFFF"/>
          <w:lang w:val="zh-CN"/>
        </w:rPr>
      </w:pPr>
      <w:r>
        <w:rPr>
          <w:rFonts w:ascii="仿宋" w:eastAsia="仿宋" w:cs="仿宋_GB2312" w:hAnsi="仿宋" w:hint="eastAsia"/>
          <w:kern w:val="0"/>
          <w:sz w:val="32"/>
          <w:szCs w:val="32"/>
          <w:shd w:val="clear" w:color="auto" w:fill="FFFFFF"/>
          <w:lang w:val="zh-CN"/>
        </w:rPr>
        <w:t>2.加强审计机关廉政建设，提高审计工作质量，切断与被审计单位一切经济联系，依法独立有效地履行审计监督职责，维护审计机关良好形象。具体分解为数量指标、质量指标、时效指标、成本指标、经济效益指标和社会效益指标等。</w:t>
      </w:r>
    </w:p>
    <w:p>
      <w:pPr>
        <w:spacing w:line="600" w:lineRule="exact"/>
        <w:ind w:firstLineChars="200" w:firstLine="640"/>
        <w:rPr>
          <w:rFonts w:ascii="仿宋" w:eastAsia="仿宋" w:cs="仿宋_GB2312" w:hAnsi="仿宋"/>
          <w:kern w:val="0"/>
          <w:sz w:val="32"/>
          <w:szCs w:val="32"/>
          <w:shd w:val="clear" w:color="auto" w:fill="FFFFFF"/>
          <w:lang w:val="zh-CN"/>
        </w:rPr>
      </w:pPr>
      <w:r>
        <w:rPr>
          <w:rFonts w:ascii="仿宋" w:eastAsia="仿宋" w:cs="仿宋_GB2312" w:hAnsi="仿宋" w:hint="eastAsia"/>
          <w:kern w:val="0"/>
          <w:sz w:val="32"/>
          <w:szCs w:val="32"/>
          <w:shd w:val="clear" w:color="auto" w:fill="FFFFFF"/>
          <w:lang w:val="zh-CN"/>
        </w:rPr>
        <w:t>3.经对照检查，项目申报内容与具体实施内容相符，申报目标合理可行。</w:t>
      </w:r>
    </w:p>
    <w:p>
      <w:pPr>
        <w:adjustRightInd w:val="0"/>
        <w:snapToGrid w:val="0"/>
        <w:spacing w:line="578" w:lineRule="exact"/>
        <w:ind w:firstLine="720"/>
        <w:rPr>
          <w:rFonts w:ascii="仿宋" w:eastAsia="仿宋" w:hAnsi="仿宋"/>
          <w:b/>
          <w:sz w:val="32"/>
          <w:szCs w:val="32"/>
          <w:lang w:val="zh-CN"/>
        </w:rPr>
      </w:pPr>
      <w:r>
        <w:rPr>
          <w:rFonts w:ascii="仿宋" w:eastAsia="仿宋" w:hAnsi="仿宋" w:hint="eastAsia"/>
          <w:b/>
          <w:sz w:val="32"/>
          <w:szCs w:val="32"/>
          <w:lang w:val="zh-CN"/>
        </w:rPr>
        <w:t>（三）项目自评步骤及方法。</w:t>
      </w:r>
    </w:p>
    <w:p>
      <w:pPr>
        <w:adjustRightInd w:val="0"/>
        <w:snapToGrid w:val="0"/>
        <w:spacing w:line="578" w:lineRule="exact"/>
        <w:ind w:firstLine="720"/>
        <w:rPr>
          <w:rFonts w:ascii="仿宋" w:eastAsia="仿宋" w:cs="仿宋_GB2312" w:hAnsi="仿宋"/>
          <w:kern w:val="0"/>
          <w:sz w:val="32"/>
          <w:szCs w:val="32"/>
          <w:shd w:val="clear" w:color="auto" w:fill="FFFFFF"/>
          <w:lang w:val="zh-CN"/>
        </w:rPr>
      </w:pPr>
      <w:r>
        <w:rPr>
          <w:rFonts w:ascii="仿宋" w:eastAsia="仿宋" w:cs="仿宋_GB2312" w:hAnsi="仿宋" w:hint="eastAsia"/>
          <w:kern w:val="0"/>
          <w:sz w:val="32"/>
          <w:szCs w:val="32"/>
          <w:shd w:val="clear" w:color="auto" w:fill="FFFFFF"/>
          <w:lang w:val="zh-CN"/>
        </w:rPr>
        <w:t>根据《项目支出绩效评价管理办法》对绩效评价的要求，成立了绩效评价工作领导小组，对照绩效评价方案进行研究和部署，党组成员及各股室负责人全程参与，按照绩效评价方案的要求，对照各实施项目的内容全面评价。在评价过程中按照年初的项目预算绩效目标申报表的指标设置产出数量、质量、时效、成本，以及经济效益、社会效益、生态效益、可持续影响、服务对象满意度等指标开展项目绩效评价, 在评价过程中发现问题，查找原因，及时纠正偏差，为全面完成绩效目标制定措施。</w:t>
      </w:r>
    </w:p>
    <w:p>
      <w:pPr>
        <w:adjustRightInd w:val="0"/>
        <w:snapToGrid w:val="0"/>
        <w:spacing w:line="578" w:lineRule="exact"/>
        <w:ind w:firstLine="720"/>
        <w:rPr>
          <w:rFonts w:ascii="仿宋" w:eastAsia="仿宋" w:hAnsi="仿宋"/>
          <w:sz w:val="32"/>
          <w:szCs w:val="32"/>
        </w:rPr>
      </w:pPr>
      <w:r>
        <w:rPr>
          <w:rFonts w:ascii="仿宋" w:eastAsia="仿宋" w:hAnsi="仿宋" w:hint="eastAsia"/>
          <w:sz w:val="32"/>
          <w:szCs w:val="32"/>
        </w:rPr>
        <w:t>二、项目资金申报及使用情况</w:t>
      </w:r>
    </w:p>
    <w:p>
      <w:pPr>
        <w:adjustRightInd w:val="0"/>
        <w:snapToGrid w:val="0"/>
        <w:spacing w:line="578" w:lineRule="exact"/>
        <w:ind w:firstLine="720"/>
        <w:rPr>
          <w:rFonts w:ascii="仿宋" w:eastAsia="仿宋" w:hAnsi="仿宋"/>
          <w:b/>
          <w:sz w:val="32"/>
          <w:szCs w:val="32"/>
          <w:lang w:val="zh-CN"/>
        </w:rPr>
      </w:pPr>
      <w:r>
        <w:rPr>
          <w:rFonts w:ascii="仿宋" w:eastAsia="仿宋" w:hAnsi="仿宋" w:hint="eastAsia"/>
          <w:b/>
          <w:sz w:val="32"/>
          <w:szCs w:val="32"/>
          <w:lang w:val="zh-CN"/>
        </w:rPr>
        <w:t>（一）项目资金申报及批复情况。</w:t>
      </w:r>
    </w:p>
    <w:p>
      <w:pPr>
        <w:adjustRightInd w:val="0"/>
        <w:snapToGrid w:val="0"/>
        <w:spacing w:line="578" w:lineRule="exact"/>
        <w:ind w:firstLine="720"/>
        <w:rPr>
          <w:rFonts w:ascii="仿宋" w:eastAsia="仿宋" w:cs="仿宋_GB2312" w:hAnsi="仿宋"/>
          <w:kern w:val="0"/>
          <w:sz w:val="32"/>
          <w:szCs w:val="32"/>
          <w:shd w:val="clear" w:color="auto" w:fill="FFFFFF"/>
          <w:lang w:val="zh-CN"/>
        </w:rPr>
      </w:pPr>
      <w:r>
        <w:rPr>
          <w:rFonts w:ascii="仿宋" w:eastAsia="仿宋" w:cs="仿宋_GB2312" w:hAnsi="仿宋" w:hint="eastAsia"/>
          <w:kern w:val="0"/>
          <w:sz w:val="32"/>
          <w:szCs w:val="32"/>
          <w:shd w:val="clear" w:color="auto" w:fill="FFFFFF"/>
          <w:lang w:val="zh-CN"/>
        </w:rPr>
        <w:t>该项目年初申报财政预算经费74.46万元，财政部门批复预算74.46万元，部门决算支出74.46万元，无资金调整情况。</w:t>
      </w:r>
    </w:p>
    <w:p>
      <w:pPr>
        <w:numPr>
          <w:ilvl w:val="0"/>
          <w:numId w:val="8"/>
        </w:numPr>
        <w:adjustRightInd w:val="0"/>
        <w:snapToGrid w:val="0"/>
        <w:spacing w:line="578" w:lineRule="exact"/>
        <w:ind w:left="0" w:firstLineChars="200" w:firstLine="640"/>
        <w:rPr>
          <w:rFonts w:ascii="仿宋" w:eastAsia="仿宋" w:hAnsi="仿宋"/>
          <w:sz w:val="32"/>
          <w:szCs w:val="32"/>
          <w:lang w:val="zh-CN"/>
        </w:rPr>
      </w:pPr>
      <w:r>
        <w:rPr>
          <w:rFonts w:ascii="仿宋" w:eastAsia="仿宋" w:hAnsi="仿宋" w:hint="eastAsia"/>
          <w:b/>
          <w:sz w:val="32"/>
          <w:szCs w:val="32"/>
          <w:lang w:val="zh-CN"/>
        </w:rPr>
        <w:t>资金计划、到位及使用情况</w:t>
      </w:r>
      <w:r>
        <w:rPr>
          <w:rFonts w:ascii="仿宋" w:eastAsia="仿宋" w:hAnsi="仿宋" w:hint="eastAsia"/>
          <w:sz w:val="32"/>
          <w:szCs w:val="32"/>
          <w:lang w:val="zh-CN"/>
        </w:rPr>
        <w:t>。</w:t>
      </w:r>
    </w:p>
    <w:p>
      <w:pPr>
        <w:adjustRightInd w:val="0"/>
        <w:snapToGrid w:val="0"/>
        <w:spacing w:line="578" w:lineRule="exact"/>
        <w:ind w:firstLine="720"/>
        <w:rPr>
          <w:rFonts w:ascii="仿宋" w:eastAsia="仿宋" w:cs="仿宋_GB2312" w:hAnsi="仿宋"/>
          <w:kern w:val="0"/>
          <w:sz w:val="32"/>
          <w:szCs w:val="32"/>
          <w:shd w:val="clear" w:color="auto" w:fill="FFFFFF"/>
          <w:lang w:val="zh-CN"/>
        </w:rPr>
      </w:pPr>
      <w:r>
        <w:rPr>
          <w:rFonts w:ascii="仿宋" w:eastAsia="仿宋" w:cs="仿宋_GB2312" w:hAnsi="仿宋" w:hint="eastAsia"/>
          <w:kern w:val="0"/>
          <w:sz w:val="32"/>
          <w:szCs w:val="32"/>
          <w:shd w:val="clear" w:color="auto" w:fill="FFFFFF"/>
          <w:lang w:val="zh-CN"/>
        </w:rPr>
        <w:t>该项目年初财政部门预算金额74.46万元，预算支出74.46万元，资金使用预算执行率100%。</w:t>
      </w:r>
    </w:p>
    <w:p>
      <w:pPr>
        <w:adjustRightInd w:val="0"/>
        <w:snapToGrid w:val="0"/>
        <w:spacing w:line="578" w:lineRule="exact"/>
        <w:ind w:firstLine="720"/>
        <w:rPr>
          <w:rFonts w:ascii="仿宋" w:eastAsia="仿宋" w:hAnsi="仿宋"/>
          <w:b/>
          <w:sz w:val="32"/>
          <w:szCs w:val="32"/>
          <w:lang w:val="zh-CN"/>
        </w:rPr>
      </w:pPr>
      <w:r>
        <w:rPr>
          <w:rFonts w:ascii="仿宋" w:eastAsia="仿宋" w:hAnsi="仿宋" w:hint="eastAsia"/>
          <w:b/>
          <w:sz w:val="32"/>
          <w:szCs w:val="32"/>
          <w:lang w:val="zh-CN"/>
        </w:rPr>
        <w:t>（三）项目财务管理情况。</w:t>
      </w:r>
    </w:p>
    <w:p>
      <w:pPr>
        <w:adjustRightInd w:val="0"/>
        <w:snapToGrid w:val="0"/>
        <w:spacing w:line="600" w:lineRule="exact"/>
        <w:ind w:firstLineChars="200" w:firstLine="640"/>
        <w:rPr>
          <w:rFonts w:ascii="仿宋" w:eastAsia="仿宋" w:cs="仿宋_GB2312" w:hAnsi="仿宋"/>
          <w:kern w:val="0"/>
          <w:sz w:val="32"/>
          <w:szCs w:val="32"/>
          <w:shd w:val="clear" w:color="auto" w:fill="FFFFFF"/>
          <w:lang w:val="zh-CN"/>
        </w:rPr>
      </w:pPr>
      <w:r>
        <w:rPr>
          <w:rFonts w:ascii="仿宋" w:eastAsia="仿宋" w:cs="仿宋_GB2312" w:hAnsi="仿宋" w:hint="eastAsia"/>
          <w:kern w:val="0"/>
          <w:sz w:val="32"/>
          <w:szCs w:val="32"/>
          <w:shd w:val="clear" w:color="auto" w:fill="FFFFFF"/>
          <w:lang w:val="zh-CN"/>
        </w:rPr>
        <w:t>该项目资金由利州区审计局机关财务统一核算和管理，利州区审计局制定了《利州区审计局审计外勤经费管理办法》《利州区审计局机关财务管理制度》等制度并严格执行。审计项目计划由局计划与法规股办公室分解下达各股室，各股室在制定审计项目实施方案时，所有审计项目现场审计时间均进行认真测算，事先予以明确，审计组人员在报销外勤经费时，住宿费在规定的标准内据实支付，凭据报销，节约归公，超支自理，伙食补助及公杂费在规定标准内由审计组统筹安排，包干使用，项目外勤经费实行一月一结算，由经办人、项目审计组长签字后再根据《利州区审计局机关财务管理制度》办理费用报销手续。经对照检查，项目支出符合财经法规和财务管理制度规定，财务处理及时，会计核算较为规范。</w:t>
      </w:r>
    </w:p>
    <w:p>
      <w:pPr>
        <w:adjustRightInd w:val="0"/>
        <w:snapToGrid w:val="0"/>
        <w:spacing w:line="578" w:lineRule="exact"/>
        <w:ind w:firstLine="720"/>
        <w:rPr>
          <w:rFonts w:ascii="仿宋" w:eastAsia="仿宋" w:hAnsi="仿宋"/>
          <w:sz w:val="32"/>
          <w:szCs w:val="32"/>
        </w:rPr>
      </w:pPr>
      <w:r>
        <w:rPr>
          <w:rFonts w:ascii="仿宋" w:eastAsia="仿宋" w:hAnsi="仿宋" w:hint="eastAsia"/>
          <w:sz w:val="32"/>
          <w:szCs w:val="32"/>
        </w:rPr>
        <w:t>三、项目实施及管理情况</w:t>
      </w:r>
    </w:p>
    <w:p>
      <w:pPr>
        <w:adjustRightInd w:val="0"/>
        <w:snapToGrid w:val="0"/>
        <w:spacing w:line="578" w:lineRule="exact"/>
        <w:ind w:firstLine="720"/>
        <w:rPr>
          <w:rFonts w:ascii="仿宋" w:eastAsia="仿宋" w:hAnsi="仿宋"/>
          <w:b/>
          <w:sz w:val="32"/>
          <w:szCs w:val="32"/>
          <w:lang w:val="zh-CN"/>
        </w:rPr>
      </w:pPr>
      <w:r>
        <w:rPr>
          <w:rFonts w:ascii="仿宋" w:eastAsia="仿宋" w:hAnsi="仿宋" w:hint="eastAsia"/>
          <w:b/>
          <w:sz w:val="32"/>
          <w:szCs w:val="32"/>
          <w:lang w:val="zh-CN"/>
        </w:rPr>
        <w:t>（一）项目组织架构及实施流程。</w:t>
      </w:r>
    </w:p>
    <w:p>
      <w:pPr>
        <w:pStyle w:val="15"/>
        <w:spacing w:beforeLines="0" w:before="30" w:line="576" w:lineRule="exact"/>
        <w:ind w:firstLineChars="200" w:firstLine="620"/>
        <w:rPr>
          <w:rFonts w:ascii="仿宋" w:eastAsia="仿宋" w:cs="仿宋_GB2312" w:hAnsi="仿宋"/>
          <w:sz w:val="32"/>
          <w:szCs w:val="32"/>
          <w:shd w:val="clear" w:color="auto" w:fill="FFFFFF"/>
          <w:lang w:val="zh-CN"/>
        </w:rPr>
      </w:pPr>
      <w:r>
        <w:rPr>
          <w:rFonts w:ascii="仿宋" w:eastAsia="仿宋" w:cs="仿宋_GB2312" w:hAnsi="仿宋" w:hint="eastAsia"/>
          <w:color w:val="000000"/>
          <w:sz w:val="31"/>
          <w:szCs w:val="31"/>
        </w:rPr>
        <w:t>一是</w:t>
      </w:r>
      <w:r>
        <w:rPr>
          <w:rFonts w:ascii="仿宋" w:eastAsia="仿宋" w:cs="仿宋_GB2312" w:hAnsi="仿宋"/>
          <w:color w:val="000000"/>
          <w:sz w:val="31"/>
          <w:szCs w:val="31"/>
        </w:rPr>
        <w:t>制定工作计划和目标任务</w:t>
      </w:r>
      <w:r>
        <w:rPr>
          <w:rFonts w:ascii="仿宋" w:eastAsia="仿宋" w:cs="仿宋_GB2312" w:hAnsi="仿宋" w:hint="eastAsia"/>
          <w:color w:val="000000"/>
          <w:sz w:val="31"/>
          <w:szCs w:val="31"/>
        </w:rPr>
        <w:t>，二是</w:t>
      </w:r>
      <w:r>
        <w:rPr>
          <w:rFonts w:ascii="仿宋" w:eastAsia="仿宋" w:cs="仿宋_GB2312" w:hAnsi="仿宋"/>
          <w:color w:val="000000"/>
          <w:sz w:val="31"/>
          <w:szCs w:val="31"/>
        </w:rPr>
        <w:t>落实项目实施具体责任人</w:t>
      </w:r>
      <w:r>
        <w:rPr>
          <w:rFonts w:ascii="仿宋" w:eastAsia="仿宋" w:cs="仿宋_GB2312" w:hAnsi="仿宋" w:hint="eastAsia"/>
          <w:color w:val="000000"/>
          <w:sz w:val="31"/>
          <w:szCs w:val="31"/>
        </w:rPr>
        <w:t>，三是</w:t>
      </w:r>
      <w:r>
        <w:rPr>
          <w:rFonts w:ascii="仿宋" w:eastAsia="仿宋" w:cs="仿宋_GB2312" w:hAnsi="仿宋"/>
          <w:color w:val="000000"/>
          <w:sz w:val="31"/>
          <w:szCs w:val="31"/>
        </w:rPr>
        <w:t>按照计划开展工作</w:t>
      </w:r>
      <w:r>
        <w:rPr>
          <w:rFonts w:ascii="仿宋" w:eastAsia="仿宋" w:cs="仿宋_GB2312" w:hAnsi="仿宋" w:hint="eastAsia"/>
          <w:color w:val="000000"/>
          <w:sz w:val="31"/>
          <w:szCs w:val="31"/>
        </w:rPr>
        <w:t>。具体实施情况，</w:t>
      </w:r>
      <w:r>
        <w:rPr>
          <w:rFonts w:ascii="仿宋" w:eastAsia="仿宋" w:cs="仿宋_GB2312" w:hAnsi="仿宋" w:hint="eastAsia"/>
          <w:sz w:val="32"/>
          <w:szCs w:val="32"/>
          <w:shd w:val="clear" w:color="auto" w:fill="FFFFFF"/>
          <w:lang w:val="zh-CN"/>
        </w:rPr>
        <w:t>按照年初制定的全年审计项目计划，开展审计工作，以完成审计项目为实施载体，项目根据各股室、中心人员情况分组实施。</w:t>
      </w:r>
    </w:p>
    <w:p>
      <w:pPr>
        <w:adjustRightInd w:val="0"/>
        <w:snapToGrid w:val="0"/>
        <w:spacing w:line="578" w:lineRule="exact"/>
        <w:ind w:leftChars="200" w:left="420"/>
        <w:rPr>
          <w:rFonts w:ascii="仿宋" w:eastAsia="仿宋" w:hAnsi="仿宋"/>
          <w:b/>
          <w:sz w:val="32"/>
          <w:szCs w:val="32"/>
          <w:lang w:val="zh-CN"/>
        </w:rPr>
      </w:pPr>
      <w:r>
        <w:rPr>
          <w:rFonts w:ascii="仿宋" w:eastAsia="仿宋" w:hAnsi="仿宋" w:hint="eastAsia"/>
          <w:b/>
          <w:sz w:val="32"/>
          <w:szCs w:val="32"/>
          <w:lang w:val="zh-CN"/>
        </w:rPr>
        <w:t>（二）项目管理情况。</w:t>
      </w:r>
    </w:p>
    <w:p>
      <w:pPr>
        <w:adjustRightInd w:val="0"/>
        <w:snapToGrid w:val="0"/>
        <w:spacing w:line="578" w:lineRule="exact"/>
        <w:ind w:firstLineChars="200" w:firstLine="640"/>
        <w:rPr>
          <w:rFonts w:ascii="仿宋" w:eastAsia="仿宋" w:cs="仿宋_GB2312" w:hAnsi="仿宋"/>
          <w:kern w:val="0"/>
          <w:sz w:val="32"/>
          <w:szCs w:val="32"/>
          <w:shd w:val="clear" w:color="auto" w:fill="FFFFFF"/>
          <w:lang w:val="zh-CN"/>
        </w:rPr>
      </w:pPr>
      <w:r>
        <w:rPr>
          <w:rFonts w:ascii="仿宋" w:eastAsia="仿宋" w:cs="仿宋_GB2312" w:hAnsi="仿宋" w:hint="eastAsia"/>
          <w:kern w:val="0"/>
          <w:sz w:val="32"/>
          <w:szCs w:val="32"/>
          <w:shd w:val="clear" w:color="auto" w:fill="FFFFFF"/>
          <w:lang w:val="zh-CN"/>
        </w:rPr>
        <w:t>审计组在实施审计前按《利州区审计局审计外勤经费管理制度》对项目成本进行经费预算管理，对所有审计项目现场审计时间予以明确，对伙食补助及公杂费实行统筹安排，据实支付。</w:t>
      </w:r>
    </w:p>
    <w:p>
      <w:pPr>
        <w:adjustRightInd w:val="0"/>
        <w:snapToGrid w:val="0"/>
        <w:spacing w:line="578" w:lineRule="exact"/>
        <w:ind w:firstLine="720"/>
        <w:rPr>
          <w:rFonts w:ascii="仿宋" w:eastAsia="仿宋" w:cs="仿宋_GB2312" w:hAnsi="仿宋"/>
          <w:kern w:val="0"/>
          <w:sz w:val="32"/>
          <w:szCs w:val="32"/>
          <w:shd w:val="clear" w:color="auto" w:fill="FFFFFF"/>
          <w:lang w:val="zh-CN"/>
        </w:rPr>
      </w:pPr>
      <w:r>
        <w:rPr>
          <w:rFonts w:ascii="仿宋" w:eastAsia="仿宋" w:hAnsi="仿宋" w:hint="eastAsia"/>
          <w:b/>
          <w:sz w:val="32"/>
          <w:szCs w:val="32"/>
          <w:lang w:val="zh-CN"/>
        </w:rPr>
        <w:t>（三）项目监管情况。</w:t>
      </w:r>
    </w:p>
    <w:p>
      <w:pPr>
        <w:adjustRightInd w:val="0"/>
        <w:snapToGrid w:val="0"/>
        <w:spacing w:line="600" w:lineRule="exact"/>
        <w:ind w:firstLineChars="200" w:firstLine="640"/>
        <w:rPr>
          <w:rFonts w:ascii="仿宋" w:eastAsia="仿宋" w:cs="仿宋_GB2312" w:hAnsi="仿宋"/>
          <w:kern w:val="0"/>
          <w:sz w:val="32"/>
          <w:szCs w:val="32"/>
          <w:shd w:val="clear" w:color="auto" w:fill="FFFFFF"/>
          <w:lang w:val="zh-CN"/>
        </w:rPr>
      </w:pPr>
      <w:r>
        <w:rPr>
          <w:rFonts w:ascii="仿宋" w:eastAsia="仿宋" w:cs="仿宋_GB2312" w:hAnsi="仿宋" w:hint="eastAsia"/>
          <w:kern w:val="0"/>
          <w:sz w:val="32"/>
          <w:szCs w:val="32"/>
          <w:shd w:val="clear" w:color="auto" w:fill="FFFFFF"/>
          <w:lang w:val="zh-CN"/>
        </w:rPr>
        <w:t>按照审计“八不准”“四严禁”的纪律要求，对各项目组人员进行管理，该项目的实施切断了审计人员与被审计单位的任何经济联系，保障了审计的独立性，提高审计质量。审计组人员在报销外勤经费时，住宿费在规定的标准内据实支付，凭据报销，节约归公，超支自理，伙食补助及公杂费在规定标准内由审计组统筹安排，包干使用，项目外勤经费实行一月一结算，由经办人，项目审计组长签字后再根据《利州区审计局机关财务管理制度》办理费用报销手续。</w:t>
      </w:r>
    </w:p>
    <w:p>
      <w:pPr>
        <w:adjustRightInd w:val="0"/>
        <w:snapToGrid w:val="0"/>
        <w:spacing w:line="578" w:lineRule="exact"/>
        <w:ind w:firstLine="720"/>
        <w:rPr>
          <w:rFonts w:ascii="仿宋" w:eastAsia="仿宋" w:hAnsi="仿宋"/>
          <w:sz w:val="32"/>
          <w:szCs w:val="32"/>
          <w:lang w:val="zh-CN"/>
        </w:rPr>
      </w:pPr>
      <w:r>
        <w:rPr>
          <w:rFonts w:ascii="仿宋" w:eastAsia="仿宋" w:hAnsi="仿宋" w:hint="eastAsia"/>
          <w:sz w:val="32"/>
          <w:szCs w:val="32"/>
        </w:rPr>
        <w:t>四、项目绩效情况</w:t>
      </w:r>
      <w:r>
        <w:rPr>
          <w:rFonts w:ascii="仿宋" w:eastAsia="仿宋" w:hAnsi="仿宋" w:hint="eastAsia"/>
          <w:sz w:val="32"/>
          <w:szCs w:val="32"/>
          <w:lang w:val="zh-CN"/>
        </w:rPr>
        <w:tab/>
      </w:r>
    </w:p>
    <w:p>
      <w:pPr>
        <w:adjustRightInd w:val="0"/>
        <w:snapToGrid w:val="0"/>
        <w:spacing w:line="578" w:lineRule="exact"/>
        <w:ind w:firstLine="720"/>
        <w:rPr>
          <w:rFonts w:ascii="仿宋" w:eastAsia="仿宋" w:hAnsi="仿宋"/>
          <w:b/>
          <w:sz w:val="32"/>
          <w:szCs w:val="32"/>
          <w:lang w:val="zh-CN"/>
        </w:rPr>
      </w:pPr>
      <w:r>
        <w:rPr>
          <w:rFonts w:ascii="仿宋" w:eastAsia="仿宋" w:hAnsi="仿宋" w:hint="eastAsia"/>
          <w:b/>
          <w:sz w:val="32"/>
          <w:szCs w:val="32"/>
          <w:lang w:val="zh-CN"/>
        </w:rPr>
        <w:t>（一）项目完成情况。</w:t>
      </w:r>
    </w:p>
    <w:p>
      <w:pPr>
        <w:widowControl/>
        <w:adjustRightInd w:val="0"/>
        <w:snapToGrid w:val="0"/>
        <w:spacing w:line="578" w:lineRule="exact"/>
        <w:ind w:firstLineChars="200" w:firstLine="640"/>
        <w:contextualSpacing/>
        <w:rPr>
          <w:rFonts w:ascii="仿宋" w:eastAsia="仿宋" w:cs="仿宋_GB2312" w:hAnsi="仿宋"/>
          <w:kern w:val="0"/>
          <w:sz w:val="32"/>
          <w:szCs w:val="32"/>
          <w:shd w:val="clear" w:color="auto" w:fill="FFFFFF"/>
        </w:rPr>
      </w:pPr>
      <w:r>
        <w:rPr>
          <w:rFonts w:ascii="仿宋" w:eastAsia="仿宋" w:cs="仿宋_GB2312" w:hAnsi="仿宋" w:hint="eastAsia"/>
          <w:kern w:val="0"/>
          <w:sz w:val="32"/>
          <w:szCs w:val="32"/>
          <w:shd w:val="clear" w:color="auto" w:fill="FFFFFF"/>
        </w:rPr>
        <w:t>项目年初设置的</w:t>
      </w:r>
      <w:r>
        <w:rPr>
          <w:rFonts w:ascii="仿宋" w:eastAsia="仿宋" w:cs="仿宋_GB2312" w:hAnsi="仿宋" w:hint="eastAsia"/>
          <w:kern w:val="0"/>
          <w:sz w:val="32"/>
          <w:szCs w:val="32"/>
          <w:shd w:val="clear" w:color="auto" w:fill="FFFFFF"/>
          <w:lang w:val="zh-CN"/>
        </w:rPr>
        <w:t>数量指标</w:t>
      </w:r>
      <w:r>
        <w:rPr>
          <w:rFonts w:ascii="仿宋" w:eastAsia="仿宋" w:cs="仿宋_GB2312" w:hAnsi="仿宋" w:hint="eastAsia"/>
          <w:kern w:val="0"/>
          <w:sz w:val="32"/>
          <w:szCs w:val="32"/>
          <w:shd w:val="clear" w:color="auto" w:fill="FFFFFF"/>
        </w:rPr>
        <w:t>4项</w:t>
      </w:r>
      <w:r>
        <w:rPr>
          <w:rFonts w:ascii="仿宋" w:eastAsia="仿宋" w:cs="仿宋_GB2312" w:hAnsi="仿宋" w:hint="eastAsia"/>
          <w:kern w:val="0"/>
          <w:sz w:val="32"/>
          <w:szCs w:val="32"/>
          <w:shd w:val="clear" w:color="auto" w:fill="FFFFFF"/>
          <w:lang w:val="zh-CN"/>
        </w:rPr>
        <w:t>、质量指标</w:t>
      </w:r>
      <w:r>
        <w:rPr>
          <w:rFonts w:ascii="仿宋" w:eastAsia="仿宋" w:cs="仿宋_GB2312" w:hAnsi="仿宋" w:hint="eastAsia"/>
          <w:kern w:val="0"/>
          <w:sz w:val="32"/>
          <w:szCs w:val="32"/>
          <w:shd w:val="clear" w:color="auto" w:fill="FFFFFF"/>
        </w:rPr>
        <w:t>3项</w:t>
      </w:r>
      <w:r>
        <w:rPr>
          <w:rFonts w:ascii="仿宋" w:eastAsia="仿宋" w:cs="仿宋_GB2312" w:hAnsi="仿宋" w:hint="eastAsia"/>
          <w:kern w:val="0"/>
          <w:sz w:val="32"/>
          <w:szCs w:val="32"/>
          <w:shd w:val="clear" w:color="auto" w:fill="FFFFFF"/>
          <w:lang w:val="zh-CN"/>
        </w:rPr>
        <w:t>、时效指标</w:t>
      </w:r>
      <w:r>
        <w:rPr>
          <w:rFonts w:ascii="仿宋" w:eastAsia="仿宋" w:cs="仿宋_GB2312" w:hAnsi="仿宋" w:hint="eastAsia"/>
          <w:kern w:val="0"/>
          <w:sz w:val="32"/>
          <w:szCs w:val="32"/>
          <w:shd w:val="clear" w:color="auto" w:fill="FFFFFF"/>
        </w:rPr>
        <w:t>2项</w:t>
      </w:r>
      <w:r>
        <w:rPr>
          <w:rFonts w:ascii="仿宋" w:eastAsia="仿宋" w:cs="仿宋_GB2312" w:hAnsi="仿宋" w:hint="eastAsia"/>
          <w:kern w:val="0"/>
          <w:sz w:val="32"/>
          <w:szCs w:val="32"/>
          <w:shd w:val="clear" w:color="auto" w:fill="FFFFFF"/>
          <w:lang w:val="zh-CN"/>
        </w:rPr>
        <w:t>、成本指标</w:t>
      </w:r>
      <w:r>
        <w:rPr>
          <w:rFonts w:ascii="仿宋" w:eastAsia="仿宋" w:cs="仿宋_GB2312" w:hAnsi="仿宋" w:hint="eastAsia"/>
          <w:kern w:val="0"/>
          <w:sz w:val="32"/>
          <w:szCs w:val="32"/>
          <w:shd w:val="clear" w:color="auto" w:fill="FFFFFF"/>
        </w:rPr>
        <w:t>2项、可持续影响指标1项、服务对象满意度指标2项，经自评，该项目完成了全年审计项目计划，绩效目标全部实现，项目资金支付按项目进度支付，成本控制较好，未发生超预算支付，资金支付率100%。</w:t>
      </w:r>
    </w:p>
    <w:p>
      <w:pPr>
        <w:adjustRightInd w:val="0"/>
        <w:snapToGrid w:val="0"/>
        <w:spacing w:line="578" w:lineRule="exact"/>
        <w:ind w:firstLine="720"/>
        <w:rPr>
          <w:rFonts w:ascii="仿宋" w:eastAsia="仿宋" w:hAnsi="仿宋"/>
          <w:b/>
          <w:sz w:val="32"/>
          <w:szCs w:val="32"/>
          <w:lang w:val="zh-CN"/>
        </w:rPr>
      </w:pPr>
      <w:r>
        <w:rPr>
          <w:rFonts w:ascii="仿宋" w:eastAsia="仿宋" w:hAnsi="仿宋" w:hint="eastAsia"/>
          <w:b/>
          <w:sz w:val="32"/>
          <w:szCs w:val="32"/>
          <w:lang w:val="zh-CN"/>
        </w:rPr>
        <w:t>（二）项目效益情况。</w:t>
      </w:r>
    </w:p>
    <w:p>
      <w:pPr>
        <w:adjustRightInd w:val="0"/>
        <w:snapToGrid w:val="0"/>
        <w:spacing w:line="600" w:lineRule="exact"/>
        <w:ind w:firstLineChars="200" w:firstLine="640"/>
        <w:rPr>
          <w:rFonts w:ascii="仿宋" w:eastAsia="仿宋" w:cs="仿宋_GB2312" w:hAnsi="仿宋"/>
          <w:kern w:val="0"/>
          <w:sz w:val="32"/>
          <w:szCs w:val="32"/>
          <w:shd w:val="clear" w:color="auto" w:fill="FFFFFF"/>
        </w:rPr>
      </w:pPr>
      <w:r>
        <w:rPr>
          <w:rFonts w:ascii="仿宋" w:eastAsia="仿宋" w:cs="仿宋_GB2312" w:hAnsi="仿宋" w:hint="eastAsia"/>
          <w:kern w:val="0"/>
          <w:sz w:val="32"/>
          <w:szCs w:val="32"/>
          <w:shd w:val="clear" w:color="auto" w:fill="FFFFFF"/>
        </w:rPr>
        <w:t>充分发挥审计在推进国家治理体系和治理能力中的职能作用，促进财政资金提质增效，增加社会对政府资金使用的认可度，满意度不断提高。</w:t>
      </w:r>
    </w:p>
    <w:p>
      <w:pPr>
        <w:adjustRightInd w:val="0"/>
        <w:snapToGrid w:val="0"/>
        <w:spacing w:line="578" w:lineRule="exact"/>
        <w:ind w:firstLine="720"/>
        <w:rPr>
          <w:rFonts w:ascii="仿宋" w:eastAsia="仿宋" w:hAnsi="仿宋"/>
          <w:sz w:val="32"/>
          <w:szCs w:val="32"/>
        </w:rPr>
      </w:pPr>
      <w:r>
        <w:rPr>
          <w:rFonts w:ascii="仿宋" w:eastAsia="仿宋" w:hAnsi="仿宋" w:hint="eastAsia"/>
          <w:sz w:val="32"/>
          <w:szCs w:val="32"/>
        </w:rPr>
        <w:t>五、评价结论及建议</w:t>
      </w:r>
    </w:p>
    <w:p>
      <w:pPr>
        <w:adjustRightInd w:val="0"/>
        <w:snapToGrid w:val="0"/>
        <w:spacing w:line="578" w:lineRule="exact"/>
        <w:ind w:firstLine="720"/>
        <w:rPr>
          <w:rFonts w:ascii="仿宋" w:eastAsia="仿宋" w:hAnsi="仿宋"/>
          <w:b/>
          <w:sz w:val="32"/>
          <w:szCs w:val="32"/>
          <w:lang w:val="zh-CN"/>
        </w:rPr>
      </w:pPr>
      <w:r>
        <w:rPr>
          <w:rFonts w:ascii="仿宋" w:eastAsia="仿宋" w:hAnsi="仿宋" w:hint="eastAsia"/>
          <w:b/>
          <w:sz w:val="32"/>
          <w:szCs w:val="32"/>
          <w:lang w:val="zh-CN"/>
        </w:rPr>
        <w:t>（一）评价结论。</w:t>
      </w:r>
    </w:p>
    <w:p>
      <w:pPr>
        <w:adjustRightInd w:val="0"/>
        <w:snapToGrid w:val="0"/>
        <w:spacing w:line="600" w:lineRule="exact"/>
        <w:ind w:firstLineChars="200" w:firstLine="640"/>
        <w:rPr>
          <w:rFonts w:ascii="仿宋" w:eastAsia="仿宋" w:cs="仿宋_GB2312" w:hAnsi="仿宋"/>
          <w:kern w:val="0"/>
          <w:sz w:val="32"/>
          <w:szCs w:val="32"/>
          <w:shd w:val="clear" w:color="auto" w:fill="FFFFFF"/>
        </w:rPr>
      </w:pPr>
      <w:r>
        <w:rPr>
          <w:rFonts w:ascii="仿宋" w:eastAsia="仿宋" w:cs="仿宋_GB2312" w:hAnsi="仿宋" w:hint="eastAsia"/>
          <w:kern w:val="0"/>
          <w:sz w:val="32"/>
          <w:szCs w:val="32"/>
          <w:shd w:val="clear" w:color="auto" w:fill="FFFFFF"/>
        </w:rPr>
        <w:t>项目年初设置的年度目标任务全部实现，能严格按照《项目支出绩效评价管理办法》进行项目绩效评价，绩效目标指标权重设置为：预算执行率10%，产出指标50%，效益指标30%，服务对象满意度指标10%，自评得分98分，评价结果等次为“优。</w:t>
      </w:r>
    </w:p>
    <w:p>
      <w:pPr>
        <w:adjustRightInd w:val="0"/>
        <w:snapToGrid w:val="0"/>
        <w:spacing w:line="578" w:lineRule="exact"/>
        <w:ind w:firstLine="720"/>
        <w:rPr>
          <w:rFonts w:ascii="仿宋" w:eastAsia="仿宋" w:hAnsi="仿宋"/>
          <w:b/>
          <w:sz w:val="32"/>
          <w:szCs w:val="32"/>
          <w:lang w:val="zh-CN"/>
        </w:rPr>
      </w:pPr>
      <w:r>
        <w:rPr>
          <w:rFonts w:ascii="仿宋" w:eastAsia="仿宋" w:hAnsi="仿宋" w:hint="eastAsia"/>
          <w:b/>
          <w:sz w:val="32"/>
          <w:szCs w:val="32"/>
          <w:lang w:val="zh-CN"/>
        </w:rPr>
        <w:t>（二）存在的问题。</w:t>
      </w:r>
    </w:p>
    <w:p>
      <w:pPr>
        <w:adjustRightInd w:val="0"/>
        <w:snapToGrid w:val="0"/>
        <w:spacing w:line="578" w:lineRule="exact"/>
        <w:ind w:firstLine="720"/>
        <w:rPr>
          <w:rFonts w:ascii="仿宋" w:eastAsia="仿宋" w:cs="仿宋_GB2312" w:hAnsi="仿宋"/>
          <w:kern w:val="0"/>
          <w:sz w:val="32"/>
          <w:szCs w:val="32"/>
          <w:shd w:val="clear" w:color="auto" w:fill="FFFFFF"/>
          <w:lang w:val="zh-CN"/>
        </w:rPr>
      </w:pPr>
      <w:r>
        <w:rPr>
          <w:rFonts w:ascii="仿宋" w:eastAsia="仿宋" w:cs="仿宋_GB2312" w:hAnsi="仿宋" w:hint="eastAsia"/>
          <w:kern w:val="0"/>
          <w:sz w:val="32"/>
          <w:szCs w:val="32"/>
          <w:shd w:val="clear" w:color="auto" w:fill="FFFFFF"/>
          <w:lang w:val="zh-CN"/>
        </w:rPr>
        <w:t>年初设置的成本指标较低，不能与全年审计工作任务相匹配，不能全面保障审计人员差旅费补助按政策支付。</w:t>
      </w:r>
    </w:p>
    <w:p>
      <w:pPr>
        <w:adjustRightInd w:val="0"/>
        <w:snapToGrid w:val="0"/>
        <w:spacing w:line="578" w:lineRule="exact"/>
        <w:ind w:firstLine="720"/>
        <w:rPr>
          <w:rFonts w:ascii="仿宋" w:eastAsia="仿宋" w:hAnsi="仿宋"/>
          <w:b/>
          <w:sz w:val="32"/>
          <w:szCs w:val="32"/>
          <w:lang w:val="zh-CN"/>
        </w:rPr>
      </w:pPr>
      <w:r>
        <w:rPr>
          <w:rFonts w:ascii="仿宋" w:eastAsia="仿宋" w:hAnsi="仿宋" w:hint="eastAsia"/>
          <w:b/>
          <w:sz w:val="32"/>
          <w:szCs w:val="32"/>
          <w:lang w:val="zh-CN"/>
        </w:rPr>
        <w:t>（三）相关建议。</w:t>
      </w:r>
    </w:p>
    <w:p>
      <w:pPr>
        <w:adjustRightInd w:val="0"/>
        <w:snapToGrid w:val="0"/>
        <w:spacing w:line="600" w:lineRule="exact"/>
        <w:ind w:firstLineChars="200" w:firstLine="640"/>
        <w:rPr>
          <w:rFonts w:ascii="仿宋" w:eastAsia="仿宋" w:cs="仿宋_GB2312" w:hAnsi="仿宋"/>
          <w:kern w:val="0"/>
          <w:sz w:val="32"/>
          <w:szCs w:val="32"/>
          <w:shd w:val="clear" w:color="auto" w:fill="FFFFFF"/>
        </w:rPr>
      </w:pPr>
      <w:r>
        <w:rPr>
          <w:rFonts w:ascii="仿宋" w:eastAsia="仿宋" w:cs="仿宋_GB2312" w:hAnsi="仿宋" w:hint="eastAsia"/>
          <w:kern w:val="0"/>
          <w:sz w:val="32"/>
          <w:szCs w:val="32"/>
          <w:shd w:val="clear" w:color="auto" w:fill="FFFFFF"/>
        </w:rPr>
        <w:t>由于审计机关承担的审计任务量不断增加，外出住宿费价格逐年上升，建议根据审计任务核定审计外勤经费预算，总体上以满足审计业务的基本需要为预算的最低限额。</w:t>
      </w:r>
    </w:p>
    <w:p>
      <w:pPr>
        <w:spacing w:line="600" w:lineRule="exact"/>
        <w:ind w:firstLineChars="200" w:firstLine="640"/>
        <w:rPr>
          <w:rFonts w:ascii="仿宋" w:eastAsia="仿宋" w:cs="仿宋_GB2312" w:hAnsi="仿宋"/>
          <w:kern w:val="0"/>
          <w:sz w:val="32"/>
          <w:szCs w:val="32"/>
          <w:shd w:val="clear" w:color="auto" w:fill="FFFFFF"/>
        </w:rPr>
      </w:pPr>
    </w:p>
    <w:p>
      <w:pPr>
        <w:spacing w:line="600" w:lineRule="exact"/>
        <w:ind w:firstLineChars="200" w:firstLine="640"/>
        <w:rPr>
          <w:rFonts w:ascii="仿宋" w:eastAsia="仿宋" w:cs="方正仿宋简体" w:hAnsi="仿宋"/>
          <w:sz w:val="32"/>
          <w:szCs w:val="32"/>
        </w:rPr>
      </w:pPr>
    </w:p>
    <w:p>
      <w:pPr>
        <w:spacing w:line="600" w:lineRule="exact"/>
        <w:ind w:firstLineChars="200" w:firstLine="640"/>
        <w:rPr>
          <w:rFonts w:ascii="方正仿宋简体" w:eastAsia="方正仿宋简体" w:cs="方正仿宋简体" w:hAnsi="方正仿宋简体"/>
          <w:sz w:val="32"/>
          <w:szCs w:val="32"/>
        </w:rPr>
      </w:pPr>
    </w:p>
    <w:p>
      <w:pPr>
        <w:spacing w:line="600" w:lineRule="exact"/>
        <w:jc w:val="center"/>
        <w:rPr>
          <w:rFonts w:ascii="方正黑体简体" w:eastAsia="方正黑体简体" w:cs="方正黑体简体" w:hAnsi="方正黑体简体"/>
          <w:sz w:val="40"/>
          <w:szCs w:val="40"/>
          <w:lang w:val="zh-CN"/>
        </w:rPr>
      </w:pPr>
      <w:r>
        <w:rPr>
          <w:rFonts w:ascii="方正黑体简体" w:eastAsia="方正黑体简体" w:cs="方正黑体简体" w:hAnsi="方正黑体简体" w:hint="eastAsia"/>
          <w:sz w:val="40"/>
          <w:szCs w:val="40"/>
        </w:rPr>
        <w:t>2022年</w:t>
      </w:r>
      <w:r>
        <w:rPr>
          <w:rFonts w:ascii="方正黑体简体" w:eastAsia="方正黑体简体" w:cs="方正黑体简体" w:hAnsi="方正黑体简体" w:hint="eastAsia"/>
          <w:sz w:val="40"/>
          <w:szCs w:val="40"/>
          <w:lang w:val="zh-CN"/>
        </w:rPr>
        <w:t>专项预算项目支出绩效自评报告</w:t>
      </w:r>
    </w:p>
    <w:p>
      <w:pPr>
        <w:spacing w:line="600" w:lineRule="exact"/>
        <w:jc w:val="center"/>
        <w:rPr>
          <w:rFonts w:ascii="方正黑体简体" w:eastAsia="方正黑体简体" w:cs="方正黑体简体" w:hAnsi="方正黑体简体"/>
          <w:sz w:val="40"/>
          <w:szCs w:val="40"/>
          <w:lang w:val="zh-CN"/>
        </w:rPr>
      </w:pPr>
      <w:r>
        <w:rPr>
          <w:rFonts w:ascii="方正黑体简体" w:eastAsia="方正黑体简体" w:cs="方正黑体简体" w:hAnsi="方正黑体简体" w:hint="eastAsia"/>
          <w:sz w:val="40"/>
          <w:szCs w:val="40"/>
          <w:lang w:val="zh-CN"/>
        </w:rPr>
        <w:t>（政府重大投资跟踪审计服务项目）</w:t>
      </w:r>
    </w:p>
    <w:p>
      <w:pPr>
        <w:adjustRightInd w:val="0"/>
        <w:snapToGrid w:val="0"/>
        <w:spacing w:line="576" w:lineRule="exact"/>
        <w:ind w:firstLineChars="200" w:firstLine="640"/>
        <w:rPr>
          <w:rFonts w:ascii="楷体" w:eastAsia="楷体" w:cs="楷体" w:hAnsi="楷体"/>
          <w:b/>
          <w:bCs/>
          <w:sz w:val="32"/>
          <w:szCs w:val="32"/>
        </w:rPr>
      </w:pPr>
      <w:r>
        <w:rPr>
          <w:rFonts w:ascii="楷体" w:eastAsia="楷体" w:cs="楷体" w:hAnsi="楷体" w:hint="eastAsia"/>
          <w:b/>
          <w:bCs/>
          <w:sz w:val="32"/>
          <w:szCs w:val="32"/>
        </w:rPr>
        <w:t>一、</w:t>
      </w:r>
      <w:r>
        <w:rPr>
          <w:rFonts w:ascii="楷体" w:eastAsia="楷体" w:cs="楷体" w:hAnsi="楷体" w:hint="eastAsia"/>
          <w:b/>
          <w:bCs/>
          <w:sz w:val="32"/>
          <w:szCs w:val="32"/>
          <w:lang w:val="zh-CN"/>
        </w:rPr>
        <w:t>项目概况</w:t>
      </w:r>
    </w:p>
    <w:p>
      <w:pPr>
        <w:adjustRightInd w:val="0"/>
        <w:snapToGrid w:val="0"/>
        <w:spacing w:line="576" w:lineRule="exact"/>
        <w:ind w:firstLineChars="200" w:firstLine="640"/>
        <w:rPr>
          <w:rFonts w:ascii="楷体" w:eastAsia="楷体" w:cs="楷体" w:hAnsi="楷体"/>
          <w:b/>
          <w:bCs/>
          <w:sz w:val="32"/>
          <w:szCs w:val="32"/>
          <w:lang w:val="zh-CN"/>
        </w:rPr>
      </w:pPr>
      <w:r>
        <w:rPr>
          <w:rFonts w:ascii="楷体" w:eastAsia="楷体" w:cs="楷体" w:hAnsi="楷体" w:hint="eastAsia"/>
          <w:b/>
          <w:bCs/>
          <w:sz w:val="32"/>
          <w:szCs w:val="32"/>
          <w:lang w:val="zh-CN"/>
        </w:rPr>
        <w:t>（一）项目基本情况</w:t>
      </w:r>
    </w:p>
    <w:p>
      <w:pPr>
        <w:adjustRightInd w:val="0"/>
        <w:snapToGrid w:val="0"/>
        <w:spacing w:line="60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val="zh-CN"/>
        </w:rPr>
        <w:t>1.</w:t>
      </w:r>
      <w:r>
        <w:rPr>
          <w:rFonts w:ascii="方正仿宋简体" w:eastAsia="方正仿宋简体" w:cs="方正仿宋简体" w:hAnsi="方正仿宋简体" w:hint="eastAsia"/>
          <w:sz w:val="32"/>
          <w:szCs w:val="32"/>
        </w:rPr>
        <w:t>2022年</w:t>
      </w:r>
      <w:r>
        <w:rPr>
          <w:rFonts w:ascii="仿宋" w:eastAsia="仿宋" w:cs="仿宋" w:hAnsi="仿宋" w:hint="eastAsia"/>
          <w:color w:val="000000"/>
          <w:sz w:val="32"/>
          <w:szCs w:val="32"/>
        </w:rPr>
        <w:t>重点开展</w:t>
      </w:r>
      <w:r>
        <w:rPr>
          <w:rFonts w:ascii="仿宋" w:eastAsia="仿宋" w:cs="仿宋" w:hAnsi="仿宋" w:hint="eastAsia"/>
          <w:sz w:val="32"/>
          <w:szCs w:val="32"/>
        </w:rPr>
        <w:t>广元市利州区金龙湖片区城乡一体化建设（配套道路一期）等</w:t>
      </w:r>
      <w:r>
        <w:rPr>
          <w:rFonts w:ascii="仿宋" w:eastAsia="仿宋" w:cs="仿宋" w:hAnsi="仿宋" w:hint="eastAsia"/>
          <w:color w:val="000000"/>
          <w:sz w:val="32"/>
          <w:szCs w:val="32"/>
        </w:rPr>
        <w:t>10个政府重大投资项目全过程跟踪审计，监管资金45.58亿元，聘请社会审计组织按照合同开展审计工作。</w:t>
      </w:r>
    </w:p>
    <w:p>
      <w:pPr>
        <w:adjustRightInd w:val="0"/>
        <w:snapToGrid w:val="0"/>
        <w:spacing w:line="520" w:lineRule="exact"/>
        <w:ind w:firstLineChars="200" w:firstLine="640"/>
        <w:rPr>
          <w:rFonts w:ascii="仿宋" w:eastAsia="仿宋" w:cs="仿宋" w:hAnsi="仿宋"/>
          <w:color w:val="000000"/>
          <w:sz w:val="32"/>
          <w:szCs w:val="32"/>
        </w:rPr>
      </w:pPr>
      <w:r>
        <w:rPr>
          <w:rFonts w:ascii="方正仿宋简体" w:eastAsia="方正仿宋简体" w:cs="方正仿宋简体" w:hAnsi="方正仿宋简体" w:hint="eastAsia"/>
          <w:sz w:val="32"/>
          <w:szCs w:val="32"/>
          <w:lang w:val="zh-CN"/>
        </w:rPr>
        <w:t>2．</w:t>
      </w:r>
      <w:r>
        <w:rPr>
          <w:rFonts w:ascii="仿宋" w:eastAsia="仿宋" w:cs="仿宋" w:hAnsi="仿宋" w:hint="eastAsia"/>
          <w:color w:val="000000"/>
          <w:sz w:val="32"/>
          <w:szCs w:val="32"/>
        </w:rPr>
        <w:t>根据《中华人民共和国审计法》第二十三条 审计机关对政府和以政府投资为主的建设项目的预算执行情况和决算，对其他关系国家利益和公共利益的重大公共工程项目的资金管理使用和建设运营情况，进行审计监督。第十一条审计机关履行职责所必需的经费，应当列入预算予以保障，审计署印发的《审计署关于进一步完善和规范投资审计工作的意见》（审投发〔2017〕30 号），《广元市利州区投资建设项目跟踪审计实施办法》等相关规定，申报项目资金。</w:t>
      </w:r>
    </w:p>
    <w:p>
      <w:pPr>
        <w:adjustRightInd w:val="0"/>
        <w:snapToGrid w:val="0"/>
        <w:spacing w:line="520" w:lineRule="exact"/>
        <w:ind w:firstLineChars="200" w:firstLine="640"/>
        <w:rPr>
          <w:rFonts w:ascii="仿宋" w:eastAsia="仿宋" w:cs="仿宋" w:hAnsi="仿宋"/>
          <w:color w:val="000000"/>
          <w:sz w:val="32"/>
          <w:szCs w:val="32"/>
        </w:rPr>
      </w:pPr>
      <w:r>
        <w:rPr>
          <w:rFonts w:ascii="仿宋" w:eastAsia="仿宋" w:cs="仿宋" w:hAnsi="仿宋" w:hint="eastAsia"/>
          <w:color w:val="000000"/>
          <w:sz w:val="32"/>
          <w:szCs w:val="32"/>
        </w:rPr>
        <w:t>3．根据《利州区审计局机关财务管理制度》及与第三方中介机构签订的《项目跟踪审计合同》支付审计服务费。</w:t>
      </w:r>
    </w:p>
    <w:p>
      <w:pPr>
        <w:adjustRightInd w:val="0"/>
        <w:snapToGrid w:val="0"/>
        <w:spacing w:line="520" w:lineRule="exact"/>
        <w:ind w:firstLineChars="200" w:firstLine="640"/>
        <w:rPr>
          <w:rFonts w:ascii="仿宋" w:eastAsia="仿宋" w:cs="仿宋" w:hAnsi="仿宋"/>
          <w:color w:val="000000"/>
          <w:sz w:val="32"/>
          <w:szCs w:val="32"/>
        </w:rPr>
      </w:pPr>
      <w:r>
        <w:rPr>
          <w:rFonts w:ascii="仿宋" w:eastAsia="仿宋" w:cs="仿宋" w:hAnsi="仿宋" w:hint="eastAsia"/>
          <w:color w:val="000000"/>
          <w:sz w:val="32"/>
          <w:szCs w:val="32"/>
        </w:rPr>
        <w:t>4.资金分配严格按合同约定支付。</w:t>
      </w:r>
    </w:p>
    <w:p>
      <w:pPr>
        <w:adjustRightInd w:val="0"/>
        <w:snapToGrid w:val="0"/>
        <w:spacing w:line="600" w:lineRule="exact"/>
        <w:ind w:firstLineChars="200" w:firstLine="640"/>
        <w:rPr>
          <w:rFonts w:ascii="楷体" w:eastAsia="楷体" w:cs="楷体" w:hAnsi="楷体"/>
          <w:b/>
          <w:sz w:val="32"/>
          <w:szCs w:val="32"/>
          <w:lang w:val="zh-CN"/>
        </w:rPr>
      </w:pPr>
      <w:r>
        <w:rPr>
          <w:rFonts w:ascii="楷体" w:eastAsia="楷体" w:cs="楷体" w:hAnsi="楷体" w:hint="eastAsia"/>
          <w:b/>
          <w:sz w:val="32"/>
          <w:szCs w:val="32"/>
          <w:lang w:val="zh-CN"/>
        </w:rPr>
        <w:t>（二）项目绩效目标</w:t>
      </w:r>
    </w:p>
    <w:p>
      <w:pPr>
        <w:adjustRightInd w:val="0"/>
        <w:snapToGrid w:val="0"/>
        <w:spacing w:line="60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rPr>
        <w:t>1.项目主要内容：</w:t>
      </w:r>
      <w:r>
        <w:rPr>
          <w:rFonts w:ascii="仿宋" w:eastAsia="仿宋" w:cs="仿宋" w:hAnsi="仿宋" w:hint="eastAsia"/>
          <w:color w:val="000000"/>
          <w:sz w:val="32"/>
          <w:szCs w:val="32"/>
        </w:rPr>
        <w:t>2022年重点开展</w:t>
      </w:r>
      <w:r>
        <w:rPr>
          <w:rFonts w:ascii="仿宋" w:eastAsia="仿宋" w:cs="仿宋" w:hAnsi="仿宋" w:hint="eastAsia"/>
          <w:sz w:val="32"/>
          <w:szCs w:val="32"/>
        </w:rPr>
        <w:t>广元市利州区金龙湖片区城乡一体化建设（配套道路一期）等</w:t>
      </w:r>
      <w:r>
        <w:rPr>
          <w:rFonts w:ascii="仿宋" w:eastAsia="仿宋" w:cs="仿宋" w:hAnsi="仿宋" w:hint="eastAsia"/>
          <w:color w:val="000000"/>
          <w:sz w:val="32"/>
          <w:szCs w:val="32"/>
        </w:rPr>
        <w:t>10个政府重大投资项目全过程跟踪审计，监管资金45.58亿元，</w:t>
      </w:r>
    </w:p>
    <w:p>
      <w:pPr>
        <w:pStyle w:val="15"/>
        <w:spacing w:beforeLines="0" w:before="30" w:line="576" w:lineRule="exact"/>
        <w:ind w:firstLineChars="200" w:firstLine="640"/>
        <w:rPr>
          <w:rFonts w:ascii="仿宋" w:eastAsia="仿宋" w:cs="仿宋" w:hAnsi="仿宋"/>
          <w:color w:val="000000"/>
          <w:kern w:val="2"/>
          <w:sz w:val="32"/>
          <w:szCs w:val="32"/>
        </w:rPr>
      </w:pPr>
      <w:r>
        <w:rPr>
          <w:rFonts w:ascii="仿宋" w:eastAsia="仿宋" w:cs="仿宋" w:hAnsi="仿宋" w:hint="eastAsia"/>
          <w:color w:val="000000"/>
          <w:kern w:val="2"/>
          <w:sz w:val="32"/>
          <w:szCs w:val="32"/>
        </w:rPr>
        <w:t>开展全过程跟踪审计，需要按照合同约定支付审计服务费。</w:t>
      </w:r>
    </w:p>
    <w:p>
      <w:pPr>
        <w:pStyle w:val="15"/>
        <w:spacing w:beforeLines="0" w:before="30" w:line="576" w:lineRule="exact"/>
        <w:ind w:firstLineChars="200" w:firstLine="640"/>
        <w:rPr>
          <w:rFonts w:ascii="仿宋" w:eastAsia="仿宋" w:cs="仿宋" w:hAnsi="仿宋"/>
          <w:color w:val="000000"/>
          <w:kern w:val="2"/>
          <w:sz w:val="32"/>
          <w:szCs w:val="32"/>
        </w:rPr>
      </w:pPr>
      <w:r>
        <w:rPr>
          <w:rFonts w:ascii="仿宋" w:eastAsia="仿宋" w:cs="仿宋" w:hAnsi="仿宋" w:hint="eastAsia"/>
          <w:color w:val="000000"/>
          <w:kern w:val="2"/>
          <w:sz w:val="32"/>
          <w:szCs w:val="32"/>
        </w:rPr>
        <w:t>2.2022年将该项目纳入绩效目标管理，从数量、质量、时效、成本、效益等方面设置了绩效目标，设置数量指标4项，质量指标3项，时效指标3项，成本指标2项，经济效益指标2项，社会效益指标2项，生态效益指标3项，可持续影响指标2项，满意度指标2项。</w:t>
      </w:r>
    </w:p>
    <w:p>
      <w:pPr>
        <w:pStyle w:val="15"/>
        <w:spacing w:beforeLines="0" w:before="30" w:line="576" w:lineRule="exact"/>
        <w:ind w:firstLineChars="200" w:firstLine="640"/>
        <w:rPr>
          <w:rFonts w:ascii="仿宋" w:eastAsia="仿宋" w:cs="仿宋" w:hAnsi="仿宋"/>
          <w:color w:val="000000"/>
          <w:kern w:val="2"/>
          <w:sz w:val="32"/>
          <w:szCs w:val="32"/>
        </w:rPr>
      </w:pPr>
      <w:r>
        <w:rPr>
          <w:rFonts w:ascii="仿宋" w:eastAsia="仿宋" w:cs="仿宋" w:hAnsi="仿宋" w:hint="eastAsia"/>
          <w:color w:val="000000"/>
          <w:kern w:val="2"/>
          <w:sz w:val="32"/>
          <w:szCs w:val="32"/>
        </w:rPr>
        <w:t>3.根据《中华人民共和国审计法》第十一条 审计机关履行职责所必需的经费，应当列入财政预算，由本级人民政府予以保证，根据2022年级以前年度与第三方中介机构签订的跟踪审计服务费合同金额编制资金预算。项目申报内容与实际相符，申报目标合理可行。</w:t>
      </w:r>
    </w:p>
    <w:p>
      <w:pPr>
        <w:adjustRightInd w:val="0"/>
        <w:snapToGrid w:val="0"/>
        <w:spacing w:line="600" w:lineRule="exact"/>
        <w:ind w:firstLineChars="200" w:firstLine="640"/>
        <w:rPr>
          <w:rFonts w:ascii="楷体" w:eastAsia="楷体" w:cs="楷体" w:hAnsi="楷体"/>
          <w:kern w:val="0"/>
          <w:sz w:val="32"/>
          <w:szCs w:val="32"/>
          <w:lang w:val="zh-CN"/>
        </w:rPr>
      </w:pPr>
      <w:r>
        <w:rPr>
          <w:rFonts w:ascii="楷体" w:eastAsia="楷体" w:cs="楷体" w:hAnsi="楷体" w:hint="eastAsia"/>
          <w:kern w:val="0"/>
          <w:sz w:val="32"/>
          <w:szCs w:val="32"/>
          <w:lang w:val="zh-CN"/>
        </w:rPr>
        <w:t>（</w:t>
      </w:r>
      <w:r>
        <w:rPr>
          <w:rFonts w:ascii="楷体" w:eastAsia="楷体" w:cs="楷体" w:hAnsi="楷体" w:hint="eastAsia"/>
          <w:b/>
          <w:bCs/>
          <w:kern w:val="0"/>
          <w:sz w:val="32"/>
          <w:szCs w:val="32"/>
          <w:lang w:val="zh-CN"/>
        </w:rPr>
        <w:t>三）项目自评步骤及方法</w:t>
      </w:r>
    </w:p>
    <w:p>
      <w:pPr>
        <w:pStyle w:val="15"/>
        <w:spacing w:beforeLines="0" w:before="30" w:line="576" w:lineRule="exact"/>
        <w:ind w:firstLineChars="200" w:firstLine="640"/>
        <w:rPr>
          <w:rFonts w:ascii="仿宋" w:eastAsia="仿宋" w:cs="仿宋" w:hAnsi="仿宋"/>
          <w:color w:val="000000"/>
          <w:kern w:val="2"/>
          <w:sz w:val="32"/>
          <w:szCs w:val="32"/>
        </w:rPr>
      </w:pPr>
      <w:r>
        <w:rPr>
          <w:rFonts w:ascii="仿宋" w:eastAsia="仿宋" w:cs="仿宋" w:hAnsi="仿宋" w:hint="eastAsia"/>
          <w:color w:val="000000"/>
          <w:kern w:val="2"/>
          <w:sz w:val="32"/>
          <w:szCs w:val="32"/>
        </w:rPr>
        <w:t>根据《项目支出绩效评价管理办法》对绩效评价的要求，成立了绩效评价工作领导小组，对照绩效评价方案进行研究和部署，党组成员及各股室负责人全程参与，按照绩效评价方案的要求，对照各实施项目的内容全面评价。在评价过程中按照年初的项目预算绩效目标申报表的指标设置产出数量、质量、时效、成本，以及经济效益、社会效益、生态效益、可持续影响、服务对象满意度等等指标开展项目绩效评价, 在评价过程中发现问题，查找原因，及时纠正偏差，为全面完成绩效目标制定措施。</w:t>
      </w:r>
    </w:p>
    <w:p>
      <w:pPr>
        <w:pStyle w:val="15"/>
        <w:numPr>
          <w:ilvl w:val="0"/>
          <w:numId w:val="9"/>
        </w:numPr>
        <w:spacing w:beforeLines="0" w:before="30" w:line="576" w:lineRule="exact"/>
        <w:ind w:left="0" w:firstLineChars="200" w:firstLine="640"/>
        <w:rPr>
          <w:rFonts w:ascii="楷体" w:eastAsia="楷体" w:cs="楷体" w:hAnsi="楷体"/>
          <w:b/>
          <w:bCs/>
          <w:sz w:val="32"/>
          <w:szCs w:val="32"/>
        </w:rPr>
      </w:pPr>
      <w:r>
        <w:rPr>
          <w:rFonts w:ascii="楷体" w:eastAsia="楷体" w:cs="楷体" w:hAnsi="楷体" w:hint="eastAsia"/>
          <w:b/>
          <w:bCs/>
          <w:sz w:val="32"/>
          <w:szCs w:val="32"/>
        </w:rPr>
        <w:t>项目资金申报及使用情况</w:t>
      </w:r>
    </w:p>
    <w:p>
      <w:pPr>
        <w:adjustRightInd w:val="0"/>
        <w:snapToGrid w:val="0"/>
        <w:spacing w:line="600" w:lineRule="exact"/>
        <w:ind w:firstLineChars="200" w:firstLine="640"/>
        <w:rPr>
          <w:rFonts w:ascii="楷体" w:eastAsia="楷体" w:cs="楷体" w:hAnsi="楷体"/>
          <w:kern w:val="0"/>
          <w:sz w:val="32"/>
          <w:szCs w:val="32"/>
          <w:lang w:val="zh-CN"/>
        </w:rPr>
      </w:pPr>
      <w:r>
        <w:rPr>
          <w:rFonts w:ascii="楷体" w:eastAsia="楷体" w:cs="楷体" w:hAnsi="楷体" w:hint="eastAsia"/>
          <w:b/>
          <w:bCs/>
          <w:kern w:val="0"/>
          <w:sz w:val="32"/>
          <w:szCs w:val="32"/>
          <w:lang w:val="zh-CN"/>
        </w:rPr>
        <w:t>（一）项目资金申报及批复情况</w:t>
      </w:r>
    </w:p>
    <w:p>
      <w:pPr>
        <w:pStyle w:val="15"/>
        <w:spacing w:beforeLines="0" w:before="30" w:line="576" w:lineRule="exact"/>
        <w:ind w:firstLineChars="200" w:firstLine="620"/>
        <w:rPr>
          <w:rFonts w:ascii="方正仿宋简体" w:eastAsia="方正仿宋简体" w:cs="方正仿宋简体" w:hAnsi="方正仿宋简体"/>
          <w:sz w:val="32"/>
          <w:szCs w:val="32"/>
        </w:rPr>
      </w:pPr>
      <w:r>
        <w:rPr>
          <w:rFonts w:cs="仿宋_GB2312" w:hAnsi="仿宋_GB2312" w:hint="eastAsia"/>
          <w:color w:val="000000"/>
          <w:sz w:val="31"/>
          <w:szCs w:val="31"/>
        </w:rPr>
        <w:t>年初结转预算收入51.44万元，年初预算26万元，年中追加25.5万元，全年批复预算收入103.04万元。</w:t>
      </w:r>
    </w:p>
    <w:p>
      <w:pPr>
        <w:adjustRightInd w:val="0"/>
        <w:snapToGrid w:val="0"/>
        <w:spacing w:line="600" w:lineRule="exact"/>
        <w:ind w:firstLineChars="200" w:firstLine="640"/>
        <w:rPr>
          <w:rFonts w:ascii="楷体" w:eastAsia="楷体" w:cs="楷体" w:hAnsi="楷体"/>
          <w:b/>
          <w:bCs/>
          <w:kern w:val="0"/>
          <w:sz w:val="32"/>
          <w:szCs w:val="32"/>
        </w:rPr>
      </w:pPr>
      <w:r>
        <w:rPr>
          <w:rFonts w:ascii="楷体" w:eastAsia="楷体" w:cs="楷体" w:hAnsi="楷体" w:hint="eastAsia"/>
          <w:b/>
          <w:bCs/>
          <w:kern w:val="0"/>
          <w:sz w:val="32"/>
          <w:szCs w:val="32"/>
          <w:lang w:val="zh-CN"/>
        </w:rPr>
        <w:t>（二）资金计划、到位及使用情况。</w:t>
      </w:r>
    </w:p>
    <w:p>
      <w:pPr>
        <w:pStyle w:val="33"/>
        <w:adjustRightInd w:val="0"/>
        <w:snapToGrid w:val="0"/>
        <w:spacing w:line="576" w:lineRule="exact"/>
        <w:rPr>
          <w:rFonts w:ascii="仿宋_GB2312" w:eastAsia="仿宋_GB2312" w:cs="仿宋_GB2312" w:hAnsi="仿宋_GB2312"/>
          <w:sz w:val="32"/>
          <w:szCs w:val="32"/>
        </w:rPr>
      </w:pPr>
      <w:r>
        <w:rPr>
          <w:rFonts w:ascii="仿宋_GB2312" w:eastAsia="仿宋_GB2312" w:cs="仿宋_GB2312" w:hAnsi="仿宋_GB2312" w:hint="eastAsia"/>
          <w:sz w:val="32"/>
          <w:szCs w:val="32"/>
        </w:rPr>
        <w:t>该项目年初预算数为26万元，年中追加预算25.6万元上年结转收入51.44万元，全年预算收入103.04万元，决算支出数103.04万元，完成全年预算收入的100%。</w:t>
      </w:r>
    </w:p>
    <w:p>
      <w:pPr>
        <w:pStyle w:val="33"/>
        <w:adjustRightInd w:val="0"/>
        <w:snapToGrid w:val="0"/>
        <w:spacing w:line="576" w:lineRule="exact"/>
        <w:rPr>
          <w:rFonts w:ascii="楷体" w:eastAsia="楷体" w:cs="楷体" w:hAnsi="楷体"/>
          <w:b/>
          <w:bCs/>
          <w:kern w:val="0"/>
          <w:sz w:val="32"/>
          <w:szCs w:val="32"/>
          <w:lang w:val="zh-CN"/>
        </w:rPr>
      </w:pPr>
      <w:r>
        <w:rPr>
          <w:rFonts w:ascii="楷体" w:eastAsia="楷体" w:cs="楷体" w:hAnsi="楷体" w:hint="eastAsia"/>
          <w:b/>
          <w:bCs/>
          <w:kern w:val="0"/>
          <w:sz w:val="32"/>
          <w:szCs w:val="32"/>
          <w:lang w:val="zh-CN"/>
        </w:rPr>
        <w:t>（三）项目财务管理情况</w:t>
      </w:r>
    </w:p>
    <w:p>
      <w:pPr>
        <w:pStyle w:val="15"/>
        <w:spacing w:beforeLines="0" w:before="30"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lang w:val="zh-CN"/>
        </w:rPr>
        <w:t>利州区审计局财务管理制度健全，严格执行财务管理制度，账务处理及时，会计核算规范。</w:t>
      </w:r>
    </w:p>
    <w:p>
      <w:pPr>
        <w:pStyle w:val="33"/>
        <w:adjustRightInd w:val="0"/>
        <w:snapToGrid w:val="0"/>
        <w:spacing w:line="576" w:lineRule="exact"/>
        <w:rPr>
          <w:rFonts w:ascii="楷体" w:eastAsia="楷体" w:cs="楷体" w:hAnsi="楷体"/>
          <w:b/>
          <w:bCs/>
          <w:kern w:val="0"/>
          <w:sz w:val="32"/>
          <w:szCs w:val="32"/>
        </w:rPr>
      </w:pPr>
      <w:r>
        <w:rPr>
          <w:rFonts w:ascii="楷体" w:eastAsia="楷体" w:cs="楷体" w:hAnsi="楷体" w:hint="eastAsia"/>
          <w:b/>
          <w:bCs/>
          <w:kern w:val="0"/>
          <w:sz w:val="32"/>
          <w:szCs w:val="32"/>
        </w:rPr>
        <w:t>三、项目实施及管理情况</w:t>
      </w:r>
    </w:p>
    <w:p>
      <w:pPr>
        <w:pStyle w:val="15"/>
        <w:tabs>
          <w:tab w:val="left" w:pos="312"/>
        </w:tabs>
        <w:spacing w:beforeLines="0" w:before="30" w:line="576" w:lineRule="exact"/>
        <w:ind w:firstLineChars="200" w:firstLine="640"/>
        <w:rPr>
          <w:rFonts w:ascii="楷体" w:eastAsia="楷体" w:cs="楷体" w:hAnsi="楷体"/>
          <w:b/>
          <w:bCs/>
          <w:sz w:val="32"/>
          <w:szCs w:val="32"/>
          <w:lang w:val="zh-CN"/>
        </w:rPr>
      </w:pPr>
      <w:r>
        <w:rPr>
          <w:rFonts w:ascii="楷体" w:eastAsia="楷体" w:cs="楷体" w:hAnsi="楷体" w:hint="eastAsia"/>
          <w:b/>
          <w:bCs/>
          <w:sz w:val="32"/>
          <w:szCs w:val="32"/>
          <w:lang w:val="zh-CN"/>
        </w:rPr>
        <w:t>（一）项目组织架构及实施流程</w:t>
      </w:r>
    </w:p>
    <w:p>
      <w:pPr>
        <w:pStyle w:val="15"/>
        <w:spacing w:beforeLines="0" w:before="30" w:line="576" w:lineRule="exact"/>
        <w:ind w:firstLineChars="200" w:firstLine="620"/>
        <w:rPr>
          <w:rFonts w:ascii="方正仿宋简体" w:eastAsia="方正仿宋简体" w:cs="方正仿宋简体" w:hAnsi="方正仿宋简体"/>
          <w:sz w:val="32"/>
          <w:szCs w:val="32"/>
        </w:rPr>
      </w:pPr>
      <w:r>
        <w:rPr>
          <w:rFonts w:cs="仿宋_GB2312" w:hAnsi="仿宋_GB2312" w:hint="eastAsia"/>
          <w:color w:val="000000"/>
          <w:sz w:val="31"/>
          <w:szCs w:val="31"/>
        </w:rPr>
        <w:t>一是</w:t>
      </w:r>
      <w:r>
        <w:rPr>
          <w:rFonts w:cs="仿宋_GB2312" w:hAnsi="仿宋_GB2312"/>
          <w:color w:val="000000"/>
          <w:sz w:val="31"/>
          <w:szCs w:val="31"/>
        </w:rPr>
        <w:t>制定工作计划和目标任务</w:t>
      </w:r>
      <w:r>
        <w:rPr>
          <w:rFonts w:cs="仿宋_GB2312" w:hAnsi="仿宋_GB2312" w:hint="eastAsia"/>
          <w:color w:val="000000"/>
          <w:sz w:val="31"/>
          <w:szCs w:val="31"/>
        </w:rPr>
        <w:t>，二是</w:t>
      </w:r>
      <w:r>
        <w:rPr>
          <w:rFonts w:cs="仿宋_GB2312" w:hAnsi="仿宋_GB2312"/>
          <w:color w:val="000000"/>
          <w:sz w:val="31"/>
          <w:szCs w:val="31"/>
        </w:rPr>
        <w:t>落实项目实施具体责任人</w:t>
      </w:r>
      <w:r>
        <w:rPr>
          <w:rFonts w:cs="仿宋_GB2312" w:hAnsi="仿宋_GB2312" w:hint="eastAsia"/>
          <w:color w:val="000000"/>
          <w:sz w:val="31"/>
          <w:szCs w:val="31"/>
        </w:rPr>
        <w:t>，三是</w:t>
      </w:r>
      <w:r>
        <w:rPr>
          <w:rFonts w:cs="仿宋_GB2312" w:hAnsi="仿宋_GB2312"/>
          <w:color w:val="000000"/>
          <w:sz w:val="31"/>
          <w:szCs w:val="31"/>
        </w:rPr>
        <w:t>按照计划开展工作</w:t>
      </w:r>
      <w:r>
        <w:rPr>
          <w:rFonts w:cs="仿宋_GB2312" w:hAnsi="仿宋_GB2312" w:hint="eastAsia"/>
          <w:color w:val="000000"/>
          <w:sz w:val="31"/>
          <w:szCs w:val="31"/>
        </w:rPr>
        <w:t>，四是</w:t>
      </w:r>
      <w:r>
        <w:rPr>
          <w:rFonts w:ascii="仿宋" w:eastAsia="仿宋" w:cs="方正仿宋简体" w:hAnsi="仿宋" w:hint="eastAsia"/>
          <w:sz w:val="32"/>
          <w:szCs w:val="32"/>
        </w:rPr>
        <w:t>根据《广元市利州区政府投资项目管理办法（试行）》开展对政府投资项目开展工程结算审计。该项工作由区审计局投资审计股办公室具体组织实施</w:t>
      </w:r>
      <w:r>
        <w:rPr>
          <w:rFonts w:ascii="方正仿宋简体" w:eastAsia="方正仿宋简体" w:cs="方正仿宋简体" w:hAnsi="方正仿宋简体" w:hint="eastAsia"/>
          <w:sz w:val="32"/>
          <w:szCs w:val="32"/>
        </w:rPr>
        <w:t>。</w:t>
      </w:r>
    </w:p>
    <w:p>
      <w:pPr>
        <w:pStyle w:val="15"/>
        <w:numPr>
          <w:ilvl w:val="0"/>
          <w:numId w:val="10"/>
        </w:numPr>
        <w:spacing w:beforeLines="0" w:before="30" w:line="576" w:lineRule="exact"/>
        <w:ind w:left="0" w:firstLineChars="200" w:firstLine="640"/>
        <w:rPr>
          <w:rFonts w:ascii="楷体" w:eastAsia="楷体" w:cs="楷体" w:hAnsi="楷体"/>
          <w:b/>
          <w:bCs/>
          <w:sz w:val="32"/>
          <w:szCs w:val="32"/>
          <w:lang w:val="zh-CN"/>
        </w:rPr>
      </w:pPr>
      <w:r>
        <w:rPr>
          <w:rFonts w:ascii="楷体" w:eastAsia="楷体" w:cs="楷体" w:hAnsi="楷体" w:hint="eastAsia"/>
          <w:b/>
          <w:bCs/>
          <w:sz w:val="32"/>
          <w:szCs w:val="32"/>
          <w:lang w:val="zh-CN"/>
        </w:rPr>
        <w:t>项目管理情况</w:t>
      </w:r>
    </w:p>
    <w:p>
      <w:pPr>
        <w:pStyle w:val="15"/>
        <w:spacing w:beforeLines="0" w:before="30" w:line="576" w:lineRule="exact"/>
        <w:ind w:firstLineChars="200" w:firstLine="640"/>
        <w:rPr>
          <w:rFonts w:ascii="仿宋" w:eastAsia="仿宋" w:cs="方正仿宋简体" w:hAnsi="仿宋"/>
          <w:sz w:val="32"/>
          <w:szCs w:val="32"/>
          <w:lang w:val="zh-CN"/>
        </w:rPr>
      </w:pPr>
      <w:r>
        <w:rPr>
          <w:rFonts w:ascii="仿宋" w:eastAsia="仿宋" w:cs="方正仿宋简体" w:hAnsi="仿宋" w:hint="eastAsia"/>
          <w:sz w:val="32"/>
          <w:szCs w:val="32"/>
          <w:lang w:val="zh-CN"/>
        </w:rPr>
        <w:t>根据《中华人民共和国审计法》、《中华人民共和国合同法》、《广元市利州区人民政府关于印发&lt;广元市利州区政府投资建设项目跟踪审计实施办法&gt;的通知》等法律法规与社会中介机构签订跟踪审计合同。</w:t>
      </w:r>
    </w:p>
    <w:p>
      <w:pPr>
        <w:pStyle w:val="15"/>
        <w:numPr>
          <w:ilvl w:val="0"/>
          <w:numId w:val="10"/>
        </w:numPr>
        <w:spacing w:beforeLines="0" w:before="30" w:line="576" w:lineRule="exact"/>
        <w:ind w:left="0" w:firstLineChars="200" w:firstLine="640"/>
        <w:rPr>
          <w:rFonts w:ascii="楷体" w:eastAsia="楷体" w:cs="楷体" w:hAnsi="楷体"/>
          <w:b/>
          <w:bCs/>
          <w:sz w:val="32"/>
          <w:szCs w:val="32"/>
          <w:lang w:val="zh-CN"/>
        </w:rPr>
      </w:pPr>
      <w:r>
        <w:rPr>
          <w:rFonts w:ascii="楷体" w:eastAsia="楷体" w:cs="楷体" w:hAnsi="楷体" w:hint="eastAsia"/>
          <w:b/>
          <w:bCs/>
          <w:sz w:val="32"/>
          <w:szCs w:val="32"/>
          <w:lang w:val="zh-CN"/>
        </w:rPr>
        <w:t>项目管理情况</w:t>
      </w:r>
    </w:p>
    <w:p>
      <w:pPr>
        <w:pStyle w:val="15"/>
        <w:spacing w:beforeLines="0" w:before="30" w:line="576" w:lineRule="exact"/>
        <w:ind w:firstLineChars="200" w:firstLine="640"/>
        <w:rPr>
          <w:rFonts w:ascii="仿宋" w:eastAsia="仿宋" w:cs="方正仿宋简体" w:hAnsi="仿宋"/>
          <w:sz w:val="32"/>
          <w:szCs w:val="32"/>
          <w:lang w:val="zh-CN"/>
        </w:rPr>
      </w:pPr>
      <w:r>
        <w:rPr>
          <w:rFonts w:ascii="方正仿宋简体" w:eastAsia="方正仿宋简体" w:cs="方正仿宋简体" w:hAnsi="方正仿宋简体" w:hint="eastAsia"/>
          <w:sz w:val="32"/>
          <w:szCs w:val="32"/>
        </w:rPr>
        <w:t>2022年</w:t>
      </w:r>
      <w:r>
        <w:rPr>
          <w:rFonts w:ascii="仿宋" w:eastAsia="仿宋" w:cs="仿宋" w:hAnsi="仿宋" w:hint="eastAsia"/>
          <w:color w:val="000000"/>
          <w:sz w:val="32"/>
          <w:szCs w:val="32"/>
        </w:rPr>
        <w:t>重点开展</w:t>
      </w:r>
      <w:r>
        <w:rPr>
          <w:rFonts w:ascii="仿宋" w:eastAsia="仿宋" w:cs="仿宋" w:hAnsi="仿宋" w:hint="eastAsia"/>
          <w:sz w:val="32"/>
          <w:szCs w:val="32"/>
        </w:rPr>
        <w:t>广元市利州区金龙湖片区城乡一体化建设（配套道路一期）等</w:t>
      </w:r>
      <w:r>
        <w:rPr>
          <w:rFonts w:ascii="仿宋" w:eastAsia="仿宋" w:cs="仿宋" w:hAnsi="仿宋" w:hint="eastAsia"/>
          <w:color w:val="000000"/>
          <w:sz w:val="32"/>
          <w:szCs w:val="32"/>
        </w:rPr>
        <w:t>10个政府重大投资项目</w:t>
      </w:r>
      <w:r>
        <w:rPr>
          <w:rFonts w:ascii="仿宋" w:eastAsia="仿宋" w:cs="方正仿宋简体" w:hAnsi="仿宋" w:hint="eastAsia"/>
          <w:sz w:val="32"/>
          <w:szCs w:val="32"/>
          <w:lang w:val="zh-CN"/>
        </w:rPr>
        <w:t>开展全过程跟踪审计，与第三方中介机构签订跟踪审计合同，需要按照合同约定支付审计服务费。</w:t>
      </w:r>
    </w:p>
    <w:p>
      <w:pPr>
        <w:pStyle w:val="15"/>
        <w:spacing w:beforeLines="0" w:before="30" w:line="576" w:lineRule="exact"/>
        <w:ind w:left="640"/>
        <w:rPr>
          <w:rFonts w:ascii="楷体" w:eastAsia="楷体" w:cs="楷体" w:hAnsi="楷体"/>
          <w:b/>
          <w:bCs/>
          <w:sz w:val="32"/>
          <w:szCs w:val="32"/>
          <w:lang w:val="zh-CN"/>
        </w:rPr>
      </w:pPr>
      <w:r>
        <w:rPr>
          <w:rFonts w:ascii="楷体" w:eastAsia="楷体" w:cs="楷体" w:hAnsi="楷体" w:hint="eastAsia"/>
          <w:b/>
          <w:bCs/>
          <w:kern w:val="2"/>
          <w:sz w:val="32"/>
          <w:szCs w:val="32"/>
        </w:rPr>
        <w:t>四、项目绩效情况</w:t>
      </w:r>
    </w:p>
    <w:p>
      <w:pPr>
        <w:spacing w:line="576" w:lineRule="exact"/>
        <w:ind w:firstLineChars="200" w:firstLine="640"/>
        <w:rPr>
          <w:rFonts w:ascii="楷体" w:eastAsia="楷体" w:cs="楷体" w:hAnsi="楷体"/>
          <w:b/>
          <w:bCs/>
          <w:sz w:val="32"/>
          <w:szCs w:val="32"/>
        </w:rPr>
      </w:pPr>
      <w:r>
        <w:rPr>
          <w:rFonts w:ascii="楷体" w:eastAsia="楷体" w:cs="楷体" w:hAnsi="楷体" w:hint="eastAsia"/>
          <w:b/>
          <w:bCs/>
          <w:sz w:val="32"/>
          <w:szCs w:val="32"/>
        </w:rPr>
        <w:t>（一）项目完成情况</w:t>
      </w:r>
    </w:p>
    <w:p>
      <w:pPr>
        <w:spacing w:line="576" w:lineRule="exact"/>
        <w:ind w:firstLineChars="200" w:firstLine="640"/>
        <w:rPr>
          <w:rFonts w:ascii="仿宋" w:eastAsia="仿宋" w:cs="方正仿宋简体" w:hAnsi="仿宋"/>
          <w:sz w:val="32"/>
          <w:szCs w:val="32"/>
          <w:lang w:val="zh-CN"/>
        </w:rPr>
      </w:pPr>
      <w:r>
        <w:rPr>
          <w:rFonts w:ascii="仿宋" w:eastAsia="仿宋" w:cs="方正仿宋简体" w:hAnsi="仿宋" w:hint="eastAsia"/>
          <w:sz w:val="32"/>
          <w:szCs w:val="32"/>
        </w:rPr>
        <w:t>该项目年初制定绩效目标全部实现，</w:t>
      </w:r>
      <w:r>
        <w:rPr>
          <w:rFonts w:ascii="仿宋" w:eastAsia="仿宋" w:cs="方正仿宋简体" w:hAnsi="仿宋" w:hint="eastAsia"/>
          <w:sz w:val="32"/>
          <w:szCs w:val="32"/>
          <w:lang w:val="zh-CN"/>
        </w:rPr>
        <w:t>重点对环境保护和水土保持情况、跟踪审计中介机构履职情况、建设资金筹集、管理使用和投资完成情况、参建主体履职履约情况、现场管理情况、重大工程变更、隐蔽工程验收情况、征地拆迁情况、审计发现问题整改情况等方面进行全面督查。重点对项目资金管理使用等重点环节进行全面督查。</w:t>
      </w:r>
    </w:p>
    <w:p>
      <w:pPr>
        <w:pStyle w:val="15"/>
        <w:numPr>
          <w:ilvl w:val="0"/>
          <w:numId w:val="11"/>
        </w:numPr>
        <w:spacing w:beforeLines="0" w:before="30" w:line="576" w:lineRule="exact"/>
        <w:ind w:left="-10" w:firstLine="640"/>
        <w:rPr>
          <w:rFonts w:ascii="方正仿宋简体" w:eastAsia="方正仿宋简体" w:cs="方正仿宋简体" w:hAnsi="方正仿宋简体"/>
          <w:b/>
          <w:bCs/>
          <w:sz w:val="32"/>
          <w:szCs w:val="32"/>
        </w:rPr>
      </w:pPr>
      <w:r>
        <w:rPr>
          <w:rFonts w:ascii="楷体" w:eastAsia="楷体" w:cs="楷体" w:hAnsi="楷体" w:hint="eastAsia"/>
          <w:b/>
          <w:bCs/>
          <w:sz w:val="32"/>
          <w:szCs w:val="32"/>
        </w:rPr>
        <w:t>项目效益情况</w:t>
      </w:r>
    </w:p>
    <w:p>
      <w:pPr>
        <w:spacing w:line="576" w:lineRule="exact"/>
        <w:ind w:firstLineChars="200" w:firstLine="640"/>
        <w:rPr>
          <w:rFonts w:ascii="仿宋" w:eastAsia="仿宋" w:cs="方正仿宋简体" w:hAnsi="仿宋"/>
          <w:sz w:val="32"/>
          <w:szCs w:val="32"/>
          <w:lang w:val="zh-CN"/>
        </w:rPr>
      </w:pPr>
      <w:r>
        <w:rPr>
          <w:rFonts w:ascii="仿宋" w:eastAsia="仿宋" w:cs="方正仿宋简体" w:hAnsi="仿宋" w:hint="eastAsia"/>
          <w:sz w:val="32"/>
          <w:szCs w:val="32"/>
        </w:rPr>
        <w:t>该项目年初制定经济效益指标2项、社会效益指标2项、生态效益3、可持续效益指标2项、服务对象满意度指标2项，年末所有指标全部完成。</w:t>
      </w:r>
      <w:r>
        <w:rPr>
          <w:rFonts w:ascii="仿宋" w:eastAsia="仿宋" w:cs="方正仿宋简体" w:hAnsi="仿宋" w:hint="eastAsia"/>
          <w:sz w:val="32"/>
          <w:szCs w:val="32"/>
          <w:lang w:val="zh-CN"/>
        </w:rPr>
        <w:t>审计监督资金</w:t>
      </w:r>
      <w:r>
        <w:rPr>
          <w:rFonts w:ascii="仿宋" w:eastAsia="仿宋" w:cs="方正仿宋简体" w:hAnsi="仿宋" w:hint="eastAsia"/>
          <w:sz w:val="32"/>
          <w:szCs w:val="32"/>
        </w:rPr>
        <w:t>45.58</w:t>
      </w:r>
      <w:r>
        <w:rPr>
          <w:rFonts w:ascii="仿宋" w:eastAsia="仿宋" w:cs="方正仿宋简体" w:hAnsi="仿宋" w:hint="eastAsia"/>
          <w:sz w:val="32"/>
          <w:szCs w:val="32"/>
          <w:lang w:val="zh-CN"/>
        </w:rPr>
        <w:t>亿元。发现问题</w:t>
      </w:r>
      <w:r>
        <w:rPr>
          <w:rFonts w:ascii="仿宋" w:eastAsia="仿宋" w:cs="方正仿宋简体" w:hAnsi="仿宋" w:hint="eastAsia"/>
          <w:sz w:val="32"/>
          <w:szCs w:val="32"/>
        </w:rPr>
        <w:t>54</w:t>
      </w:r>
      <w:r>
        <w:rPr>
          <w:rFonts w:ascii="仿宋" w:eastAsia="仿宋" w:cs="方正仿宋简体" w:hAnsi="仿宋" w:hint="eastAsia"/>
          <w:sz w:val="32"/>
          <w:szCs w:val="32"/>
          <w:lang w:val="zh-CN"/>
        </w:rPr>
        <w:t>条，提出审计建议</w:t>
      </w:r>
      <w:r>
        <w:rPr>
          <w:rFonts w:ascii="仿宋" w:eastAsia="仿宋" w:cs="方正仿宋简体" w:hAnsi="仿宋" w:hint="eastAsia"/>
          <w:sz w:val="32"/>
          <w:szCs w:val="32"/>
        </w:rPr>
        <w:t>48</w:t>
      </w:r>
      <w:r>
        <w:rPr>
          <w:rFonts w:ascii="仿宋" w:eastAsia="仿宋" w:cs="方正仿宋简体" w:hAnsi="仿宋" w:hint="eastAsia"/>
          <w:sz w:val="32"/>
          <w:szCs w:val="32"/>
          <w:lang w:val="zh-CN"/>
        </w:rPr>
        <w:t>条，发出审计月报</w:t>
      </w:r>
      <w:r>
        <w:rPr>
          <w:rFonts w:ascii="仿宋" w:eastAsia="仿宋" w:cs="方正仿宋简体" w:hAnsi="仿宋" w:hint="eastAsia"/>
          <w:sz w:val="32"/>
          <w:szCs w:val="32"/>
        </w:rPr>
        <w:t>115</w:t>
      </w:r>
      <w:r>
        <w:rPr>
          <w:rFonts w:ascii="仿宋" w:eastAsia="仿宋" w:cs="方正仿宋简体" w:hAnsi="仿宋" w:hint="eastAsia"/>
          <w:sz w:val="32"/>
          <w:szCs w:val="32"/>
          <w:lang w:val="zh-CN"/>
        </w:rPr>
        <w:t>份。</w:t>
      </w:r>
    </w:p>
    <w:p>
      <w:pPr>
        <w:spacing w:line="576" w:lineRule="exact"/>
        <w:ind w:firstLineChars="192" w:firstLine="614"/>
        <w:rPr>
          <w:rFonts w:ascii="楷体" w:eastAsia="楷体" w:cs="楷体" w:hAnsi="楷体"/>
          <w:b/>
          <w:bCs/>
          <w:sz w:val="32"/>
          <w:szCs w:val="32"/>
          <w:lang w:val="zh-CN"/>
        </w:rPr>
      </w:pPr>
      <w:r>
        <w:rPr>
          <w:rFonts w:ascii="楷体" w:eastAsia="楷体" w:cs="楷体" w:hAnsi="楷体" w:hint="eastAsia"/>
          <w:b/>
          <w:bCs/>
          <w:sz w:val="32"/>
          <w:szCs w:val="32"/>
          <w:lang w:val="zh-CN"/>
        </w:rPr>
        <w:t>五、评价结论及建议</w:t>
      </w:r>
    </w:p>
    <w:p>
      <w:pPr>
        <w:pStyle w:val="15"/>
        <w:spacing w:beforeLines="0" w:before="95"/>
        <w:ind w:firstLineChars="192" w:firstLine="614"/>
        <w:rPr>
          <w:rFonts w:ascii="楷体" w:eastAsia="楷体" w:cs="楷体" w:hAnsi="楷体"/>
          <w:b/>
          <w:bCs/>
          <w:sz w:val="32"/>
          <w:szCs w:val="32"/>
          <w:lang w:val="zh-CN"/>
        </w:rPr>
      </w:pPr>
      <w:r>
        <w:rPr>
          <w:rFonts w:ascii="楷体" w:eastAsia="楷体" w:cs="楷体" w:hAnsi="楷体" w:hint="eastAsia"/>
          <w:b/>
          <w:bCs/>
          <w:sz w:val="32"/>
          <w:szCs w:val="32"/>
          <w:lang w:val="zh-CN"/>
        </w:rPr>
        <w:t>（一）评价结论</w:t>
      </w:r>
    </w:p>
    <w:p>
      <w:pPr>
        <w:pStyle w:val="15"/>
        <w:spacing w:beforeLines="0" w:before="95"/>
        <w:ind w:firstLineChars="200" w:firstLine="640"/>
        <w:rPr>
          <w:rFonts w:ascii="方正仿宋简体" w:eastAsia="方正仿宋简体" w:cs="方正仿宋简体" w:hAnsi="方正仿宋简体"/>
          <w:sz w:val="32"/>
          <w:szCs w:val="32"/>
          <w:lang w:val="zh-CN"/>
        </w:rPr>
      </w:pPr>
      <w:r>
        <w:rPr>
          <w:rFonts w:ascii="仿宋" w:eastAsia="仿宋" w:cs="方正仿宋简体" w:hAnsi="仿宋" w:hint="eastAsia"/>
          <w:sz w:val="32"/>
          <w:szCs w:val="32"/>
          <w:lang w:val="zh-CN"/>
        </w:rPr>
        <w:t>项目年初设定的项目预算编制合理，设定的各项指标可行，资金使用规范，该项目的实施，对政府重大投资项目从前期立项到竣工结算阶段的经济管理的真实性、合法性、效益性进行全过程审计监督，减少政府重大投资的损失浪费、闲置及项目存在质量和安全隐患等问题，项目完成情况较好，</w:t>
      </w:r>
      <w:r>
        <w:rPr>
          <w:rFonts w:ascii="方正仿宋简体" w:eastAsia="方正仿宋简体" w:cs="方正仿宋简体" w:hAnsi="方正仿宋简体" w:hint="eastAsia"/>
          <w:sz w:val="32"/>
          <w:szCs w:val="32"/>
          <w:lang w:val="zh-CN"/>
        </w:rPr>
        <w:t>自评得分</w:t>
      </w:r>
      <w:r>
        <w:rPr>
          <w:rFonts w:ascii="方正仿宋简体" w:eastAsia="方正仿宋简体" w:cs="方正仿宋简体" w:hAnsi="方正仿宋简体" w:hint="eastAsia"/>
          <w:sz w:val="32"/>
          <w:szCs w:val="32"/>
        </w:rPr>
        <w:t>95分。</w:t>
      </w:r>
      <w:r>
        <w:rPr>
          <w:rFonts w:ascii="方正仿宋简体" w:eastAsia="方正仿宋简体" w:cs="方正仿宋简体" w:hAnsi="方正仿宋简体" w:hint="eastAsia"/>
          <w:sz w:val="32"/>
          <w:szCs w:val="32"/>
          <w:lang w:val="zh-CN"/>
        </w:rPr>
        <w:t>。</w:t>
      </w:r>
    </w:p>
    <w:p>
      <w:pPr>
        <w:adjustRightInd w:val="0"/>
        <w:snapToGrid w:val="0"/>
        <w:spacing w:line="576" w:lineRule="exact"/>
        <w:ind w:firstLineChars="200" w:firstLine="640"/>
        <w:rPr>
          <w:rFonts w:ascii="楷体" w:eastAsia="楷体" w:cs="楷体" w:hAnsi="楷体"/>
          <w:b/>
          <w:bCs/>
          <w:sz w:val="32"/>
          <w:szCs w:val="32"/>
          <w:lang w:val="zh-CN"/>
        </w:rPr>
      </w:pPr>
      <w:r>
        <w:rPr>
          <w:rFonts w:ascii="楷体" w:eastAsia="楷体" w:cs="楷体" w:hAnsi="楷体" w:hint="eastAsia"/>
          <w:b/>
          <w:bCs/>
          <w:sz w:val="32"/>
          <w:szCs w:val="32"/>
          <w:lang w:val="zh-CN"/>
        </w:rPr>
        <w:t>（二）存在的问题</w:t>
      </w:r>
    </w:p>
    <w:p>
      <w:pPr>
        <w:adjustRightInd w:val="0"/>
        <w:snapToGrid w:val="0"/>
        <w:spacing w:line="576" w:lineRule="exact"/>
        <w:ind w:firstLineChars="200" w:firstLine="640"/>
        <w:rPr>
          <w:rFonts w:ascii="仿宋" w:eastAsia="仿宋" w:cs="方正仿宋简体" w:hAnsi="仿宋"/>
          <w:sz w:val="32"/>
          <w:szCs w:val="32"/>
          <w:lang w:val="zh-CN"/>
        </w:rPr>
      </w:pPr>
      <w:r>
        <w:rPr>
          <w:rFonts w:ascii="仿宋" w:eastAsia="仿宋" w:cs="方正仿宋简体" w:hAnsi="仿宋" w:hint="eastAsia"/>
          <w:sz w:val="32"/>
          <w:szCs w:val="32"/>
          <w:lang w:val="zh-CN"/>
        </w:rPr>
        <w:t>因财务人员对该项目实施过程中部分事项了解不全面，项目绩效三级指标设计部分与实际不完全相符，造成评价产生差异。</w:t>
        <w:tab/>
      </w:r>
    </w:p>
    <w:p>
      <w:pPr>
        <w:adjustRightInd w:val="0"/>
        <w:snapToGrid w:val="0"/>
        <w:spacing w:line="576" w:lineRule="exact"/>
        <w:ind w:firstLineChars="200" w:firstLine="640"/>
        <w:rPr>
          <w:rFonts w:ascii="楷体" w:eastAsia="楷体" w:cs="楷体" w:hAnsi="楷体"/>
          <w:b/>
          <w:bCs/>
          <w:sz w:val="32"/>
          <w:szCs w:val="32"/>
          <w:lang w:val="zh-CN"/>
        </w:rPr>
      </w:pPr>
      <w:r>
        <w:rPr>
          <w:rFonts w:ascii="楷体" w:eastAsia="楷体" w:cs="楷体" w:hAnsi="楷体" w:hint="eastAsia"/>
          <w:b/>
          <w:bCs/>
          <w:sz w:val="32"/>
          <w:szCs w:val="32"/>
          <w:lang w:val="zh-CN"/>
        </w:rPr>
        <w:t>（二）相关建议</w:t>
      </w:r>
    </w:p>
    <w:p>
      <w:pPr>
        <w:spacing w:line="576" w:lineRule="exact"/>
        <w:ind w:firstLineChars="200" w:firstLine="640"/>
        <w:rPr>
          <w:rFonts w:ascii="仿宋" w:eastAsia="仿宋" w:cs="方正仿宋简体" w:hAnsi="仿宋"/>
          <w:sz w:val="32"/>
          <w:szCs w:val="32"/>
          <w:lang w:val="zh-CN"/>
        </w:rPr>
      </w:pPr>
      <w:r>
        <w:rPr>
          <w:rFonts w:ascii="仿宋" w:eastAsia="仿宋" w:cs="方正仿宋简体" w:hAnsi="仿宋" w:hint="eastAsia"/>
          <w:sz w:val="32"/>
          <w:szCs w:val="32"/>
          <w:lang w:val="zh-CN"/>
        </w:rPr>
        <w:t>年初编制项目预算绩效时应由项目实施股室及经办人员全过程参与，按项目实际情况设定指标权重，减少项目完工后评价的分歧。</w:t>
      </w:r>
    </w:p>
    <w:p>
      <w:pPr>
        <w:spacing w:line="600" w:lineRule="exact"/>
        <w:ind w:firstLineChars="200" w:firstLine="640"/>
        <w:rPr>
          <w:rFonts w:ascii="方正仿宋简体" w:eastAsia="方正仿宋简体" w:cs="方正仿宋简体" w:hAnsi="方正仿宋简体"/>
          <w:sz w:val="32"/>
          <w:szCs w:val="32"/>
        </w:rPr>
      </w:pPr>
    </w:p>
    <w:p>
      <w:pPr>
        <w:spacing w:line="600" w:lineRule="exact"/>
        <w:jc w:val="center"/>
        <w:rPr>
          <w:rFonts w:ascii="方正黑体简体" w:eastAsia="方正黑体简体" w:cs="方正黑体简体" w:hAnsi="方正黑体简体"/>
          <w:sz w:val="40"/>
          <w:szCs w:val="40"/>
        </w:rPr>
      </w:pPr>
    </w:p>
    <w:p>
      <w:pPr>
        <w:spacing w:line="600" w:lineRule="exact"/>
        <w:jc w:val="center"/>
        <w:rPr>
          <w:rFonts w:ascii="方正黑体简体" w:eastAsia="方正黑体简体" w:cs="方正黑体简体" w:hAnsi="方正黑体简体"/>
          <w:sz w:val="40"/>
          <w:szCs w:val="40"/>
        </w:rPr>
      </w:pPr>
    </w:p>
    <w:p>
      <w:pPr>
        <w:spacing w:line="600" w:lineRule="exact"/>
        <w:jc w:val="center"/>
        <w:rPr>
          <w:rFonts w:ascii="方正黑体简体" w:eastAsia="方正黑体简体" w:cs="方正黑体简体" w:hAnsi="方正黑体简体"/>
          <w:sz w:val="40"/>
          <w:szCs w:val="40"/>
          <w:lang w:val="zh-CN"/>
        </w:rPr>
      </w:pPr>
      <w:r>
        <w:rPr>
          <w:rFonts w:ascii="方正黑体简体" w:eastAsia="方正黑体简体" w:cs="方正黑体简体" w:hAnsi="方正黑体简体" w:hint="eastAsia"/>
          <w:sz w:val="40"/>
          <w:szCs w:val="40"/>
        </w:rPr>
        <w:t>2022年</w:t>
      </w:r>
      <w:r>
        <w:rPr>
          <w:rFonts w:ascii="方正黑体简体" w:eastAsia="方正黑体简体" w:cs="方正黑体简体" w:hAnsi="方正黑体简体" w:hint="eastAsia"/>
          <w:sz w:val="40"/>
          <w:szCs w:val="40"/>
          <w:lang w:val="zh-CN"/>
        </w:rPr>
        <w:t>专项预算项目支出绩效自评报告</w:t>
      </w:r>
    </w:p>
    <w:p>
      <w:pPr>
        <w:spacing w:line="600" w:lineRule="exact"/>
        <w:jc w:val="center"/>
        <w:rPr>
          <w:rFonts w:ascii="方正黑体简体" w:eastAsia="方正黑体简体" w:cs="方正黑体简体" w:hAnsi="方正黑体简体"/>
          <w:sz w:val="44"/>
          <w:szCs w:val="44"/>
          <w:lang w:val="zh-CN"/>
        </w:rPr>
      </w:pPr>
      <w:r>
        <w:rPr>
          <w:rFonts w:ascii="方正黑体简体" w:eastAsia="方正黑体简体" w:cs="方正黑体简体" w:hAnsi="方正黑体简体" w:hint="eastAsia"/>
          <w:sz w:val="40"/>
          <w:szCs w:val="40"/>
          <w:lang w:val="zh-CN"/>
        </w:rPr>
        <w:t>（中介机构财务审计项目）</w:t>
      </w:r>
    </w:p>
    <w:p>
      <w:pPr>
        <w:adjustRightInd w:val="0"/>
        <w:snapToGrid w:val="0"/>
        <w:spacing w:line="576" w:lineRule="exact"/>
        <w:ind w:firstLineChars="200" w:firstLine="640"/>
        <w:rPr>
          <w:rFonts w:ascii="楷体" w:eastAsia="楷体" w:cs="楷体" w:hAnsi="楷体"/>
          <w:b/>
          <w:bCs/>
          <w:sz w:val="32"/>
          <w:szCs w:val="32"/>
          <w:lang w:val="zh-CN"/>
        </w:rPr>
      </w:pPr>
      <w:r>
        <w:rPr>
          <w:rFonts w:ascii="楷体" w:eastAsia="楷体" w:cs="楷体" w:hAnsi="楷体" w:hint="eastAsia"/>
          <w:b/>
          <w:bCs/>
          <w:sz w:val="32"/>
          <w:szCs w:val="32"/>
        </w:rPr>
        <w:t>一、</w:t>
      </w:r>
      <w:r>
        <w:rPr>
          <w:rFonts w:ascii="楷体" w:eastAsia="楷体" w:cs="楷体" w:hAnsi="楷体" w:hint="eastAsia"/>
          <w:b/>
          <w:bCs/>
          <w:sz w:val="32"/>
          <w:szCs w:val="32"/>
          <w:lang w:val="zh-CN"/>
        </w:rPr>
        <w:t>项目概况</w:t>
      </w:r>
    </w:p>
    <w:p>
      <w:pPr>
        <w:pStyle w:val="15"/>
        <w:spacing w:beforeLines="0" w:before="30" w:line="576" w:lineRule="exact"/>
        <w:ind w:firstLineChars="200" w:firstLine="640"/>
        <w:rPr>
          <w:rFonts w:ascii="方正仿宋简体" w:eastAsia="方正仿宋简体" w:cs="方正仿宋简体" w:hAnsi="方正仿宋简体"/>
          <w:b/>
          <w:bCs/>
          <w:sz w:val="32"/>
          <w:szCs w:val="32"/>
          <w:lang w:val="zh-CN"/>
        </w:rPr>
      </w:pPr>
      <w:r>
        <w:rPr>
          <w:rFonts w:ascii="楷体" w:eastAsia="楷体" w:cs="楷体" w:hAnsi="楷体" w:hint="eastAsia"/>
          <w:b/>
          <w:bCs/>
          <w:sz w:val="32"/>
          <w:szCs w:val="32"/>
          <w:lang w:val="zh-CN"/>
        </w:rPr>
        <w:t>（一）项目基本情况</w:t>
      </w:r>
    </w:p>
    <w:p>
      <w:pPr>
        <w:pStyle w:val="15"/>
        <w:spacing w:beforeLines="0" w:before="30" w:line="576" w:lineRule="exact"/>
        <w:ind w:firstLineChars="200" w:firstLine="640"/>
        <w:rPr>
          <w:rFonts w:ascii="仿宋" w:eastAsia="仿宋" w:cs="方正仿宋简体" w:hAnsi="仿宋"/>
          <w:sz w:val="32"/>
          <w:szCs w:val="32"/>
        </w:rPr>
      </w:pPr>
      <w:r>
        <w:rPr>
          <w:rFonts w:ascii="方正仿宋简体" w:eastAsia="方正仿宋简体" w:cs="方正仿宋简体" w:hAnsi="方正仿宋简体" w:hint="eastAsia"/>
          <w:sz w:val="32"/>
          <w:szCs w:val="32"/>
        </w:rPr>
        <w:t>1</w:t>
      </w:r>
      <w:r>
        <w:rPr>
          <w:rFonts w:ascii="仿宋" w:eastAsia="仿宋" w:cs="方正仿宋简体" w:hAnsi="仿宋" w:hint="eastAsia"/>
          <w:sz w:val="32"/>
          <w:szCs w:val="32"/>
        </w:rPr>
        <w:t>.2022年聘请中介机构利州区国有企业审计，维护财政资金监督使用绩效，防范化解政府债务风险，强化国有企业审计监督，助力国有经济高质量发展。</w:t>
      </w:r>
    </w:p>
    <w:p>
      <w:pPr>
        <w:pStyle w:val="15"/>
        <w:spacing w:beforeLines="0" w:before="30" w:line="576" w:lineRule="exact"/>
        <w:ind w:firstLineChars="200" w:firstLine="640"/>
        <w:rPr>
          <w:rFonts w:ascii="仿宋" w:eastAsia="仿宋" w:cs="方正仿宋简体" w:hAnsi="仿宋"/>
          <w:sz w:val="32"/>
          <w:szCs w:val="32"/>
          <w:lang w:val="zh-CN"/>
        </w:rPr>
      </w:pPr>
      <w:r>
        <w:rPr>
          <w:rFonts w:ascii="仿宋" w:eastAsia="仿宋" w:cs="方正仿宋简体" w:hAnsi="仿宋" w:hint="eastAsia"/>
          <w:sz w:val="32"/>
          <w:szCs w:val="32"/>
        </w:rPr>
        <w:t>2.根据</w:t>
      </w:r>
      <w:r>
        <w:rPr>
          <w:rFonts w:ascii="仿宋" w:eastAsia="仿宋" w:cs="方正仿宋简体" w:hAnsi="仿宋" w:hint="eastAsia"/>
          <w:kern w:val="2"/>
          <w:sz w:val="32"/>
          <w:szCs w:val="32"/>
        </w:rPr>
        <w:t>《中华人民共和国审计法》第十一条 审计机关履行职责所必需的经费，应当列入财政预算，由本级人民政府予以保证。</w:t>
      </w:r>
      <w:r>
        <w:rPr>
          <w:rFonts w:ascii="仿宋" w:eastAsia="仿宋" w:cs="方正仿宋简体" w:hAnsi="仿宋" w:hint="eastAsia"/>
          <w:sz w:val="32"/>
          <w:szCs w:val="32"/>
        </w:rPr>
        <w:t>2022年聘请中介机构利州区国有企业审计等进行审计</w:t>
      </w:r>
      <w:r>
        <w:rPr>
          <w:rFonts w:ascii="仿宋" w:eastAsia="仿宋" w:cs="方正仿宋简体" w:hAnsi="仿宋" w:hint="eastAsia"/>
          <w:sz w:val="32"/>
          <w:szCs w:val="32"/>
          <w:lang w:val="zh-CN"/>
        </w:rPr>
        <w:t>，根据合同约定需支付审计服务费。</w:t>
      </w:r>
    </w:p>
    <w:p>
      <w:pPr>
        <w:pStyle w:val="15"/>
        <w:spacing w:beforeLines="0" w:before="30"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lang w:val="zh-CN"/>
        </w:rPr>
        <w:t>3.</w:t>
      </w:r>
      <w:r>
        <w:rPr>
          <w:rFonts w:ascii="仿宋" w:eastAsia="仿宋" w:cs="方正仿宋简体" w:hAnsi="仿宋" w:hint="eastAsia"/>
          <w:sz w:val="32"/>
          <w:szCs w:val="32"/>
        </w:rPr>
        <w:t>根据《利州区审计局机关财务管理制度》及工作完成数量，按合同约定支付审计服务费。</w:t>
      </w:r>
    </w:p>
    <w:p>
      <w:pPr>
        <w:pStyle w:val="15"/>
        <w:spacing w:beforeLines="0" w:before="30"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rPr>
        <w:t>4.项目资金具体分配按合同约定支付。</w:t>
      </w:r>
    </w:p>
    <w:p>
      <w:pPr>
        <w:pStyle w:val="15"/>
        <w:spacing w:beforeLines="0" w:before="95"/>
        <w:ind w:firstLineChars="100" w:firstLine="320"/>
        <w:rPr>
          <w:rFonts w:ascii="楷体" w:eastAsia="楷体" w:cs="楷体" w:hAnsi="楷体"/>
          <w:b/>
          <w:bCs/>
          <w:sz w:val="32"/>
          <w:szCs w:val="32"/>
        </w:rPr>
      </w:pPr>
      <w:r>
        <w:rPr>
          <w:rFonts w:ascii="楷体" w:eastAsia="楷体" w:cs="楷体" w:hAnsi="楷体" w:hint="eastAsia"/>
          <w:b/>
          <w:bCs/>
          <w:sz w:val="32"/>
          <w:szCs w:val="32"/>
        </w:rPr>
        <w:t>（二）项目绩效目标</w:t>
      </w:r>
    </w:p>
    <w:p>
      <w:pPr>
        <w:pStyle w:val="15"/>
        <w:spacing w:beforeLines="0" w:before="30"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rPr>
        <w:t>1.2022年聘请中介机构对利州区国有企业审计资产负债及损益情况等进行审计监督。</w:t>
      </w:r>
    </w:p>
    <w:p>
      <w:pPr>
        <w:pStyle w:val="15"/>
        <w:spacing w:beforeLines="0" w:before="30"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rPr>
        <w:t>2.2022年将该项目纳入绩效目标管理，从数量、质量、时效、成本、效益等方面设置了绩效目标，设置数量指标3项，质量指标1项，时效指标1项，成本指标1项，经济效益指标3项，社会效益指标1项，生态效益指标1项，满意度指标1项。</w:t>
      </w:r>
    </w:p>
    <w:p>
      <w:pPr>
        <w:pStyle w:val="15"/>
        <w:spacing w:beforeLines="0" w:before="30" w:line="576" w:lineRule="exact"/>
        <w:ind w:firstLineChars="200" w:firstLine="640"/>
        <w:rPr>
          <w:rFonts w:ascii="仿宋" w:eastAsia="仿宋" w:cs="方正仿宋简体" w:hAnsi="仿宋"/>
          <w:sz w:val="32"/>
          <w:szCs w:val="32"/>
          <w:lang w:val="zh-CN"/>
        </w:rPr>
      </w:pPr>
      <w:r>
        <w:rPr>
          <w:rFonts w:ascii="仿宋" w:eastAsia="仿宋" w:cs="方正仿宋简体" w:hAnsi="仿宋" w:hint="eastAsia"/>
          <w:sz w:val="32"/>
          <w:szCs w:val="32"/>
        </w:rPr>
        <w:t>3.根据</w:t>
      </w:r>
      <w:r>
        <w:rPr>
          <w:rFonts w:ascii="仿宋" w:eastAsia="仿宋" w:cs="方正仿宋简体" w:hAnsi="仿宋" w:hint="eastAsia"/>
          <w:kern w:val="2"/>
          <w:sz w:val="32"/>
          <w:szCs w:val="32"/>
        </w:rPr>
        <w:t>《中华人民共和国审计法》第十一条 审计机关履行职责所必需的经费，应当列入财政预算。</w:t>
      </w:r>
      <w:r>
        <w:rPr>
          <w:rFonts w:ascii="仿宋" w:eastAsia="仿宋" w:cs="方正仿宋简体" w:hAnsi="仿宋" w:hint="eastAsia"/>
          <w:sz w:val="32"/>
          <w:szCs w:val="32"/>
          <w:lang w:val="zh-CN"/>
        </w:rPr>
        <w:t>项目申报内容与实际相符，申报目标合理可行。</w:t>
      </w:r>
    </w:p>
    <w:p>
      <w:pPr>
        <w:pStyle w:val="15"/>
        <w:spacing w:beforeLines="0" w:before="30" w:line="576" w:lineRule="exact"/>
        <w:ind w:leftChars="200" w:left="420"/>
        <w:rPr>
          <w:rFonts w:ascii="楷体" w:eastAsia="楷体" w:cs="楷体" w:hAnsi="楷体"/>
          <w:b/>
          <w:bCs/>
          <w:sz w:val="32"/>
          <w:szCs w:val="32"/>
          <w:lang w:val="zh-CN"/>
        </w:rPr>
      </w:pPr>
      <w:r>
        <w:rPr>
          <w:rFonts w:ascii="楷体" w:eastAsia="楷体" w:cs="楷体" w:hAnsi="楷体" w:hint="eastAsia"/>
          <w:b/>
          <w:bCs/>
          <w:sz w:val="32"/>
          <w:szCs w:val="32"/>
          <w:lang w:val="zh-CN"/>
        </w:rPr>
        <w:t>（三）项目自评步骤及方法</w:t>
      </w:r>
    </w:p>
    <w:p>
      <w:pPr>
        <w:adjustRightInd w:val="0"/>
        <w:snapToGrid w:val="0"/>
        <w:spacing w:line="600" w:lineRule="exact"/>
        <w:ind w:firstLineChars="200" w:firstLine="640"/>
        <w:rPr>
          <w:rFonts w:ascii="仿宋" w:eastAsia="仿宋" w:cs="方正仿宋简体" w:hAnsi="仿宋"/>
          <w:kern w:val="0"/>
          <w:sz w:val="32"/>
          <w:szCs w:val="32"/>
        </w:rPr>
      </w:pPr>
      <w:r>
        <w:rPr>
          <w:rFonts w:ascii="仿宋" w:eastAsia="仿宋" w:cs="方正仿宋简体" w:hAnsi="仿宋" w:hint="eastAsia"/>
          <w:kern w:val="0"/>
          <w:sz w:val="32"/>
          <w:szCs w:val="32"/>
        </w:rPr>
        <w:t>根据《项目支出绩效评价管理办法》对绩效评价的要求，成立了绩效评价工作领导小组，对照绩效评价方案进行研究和部署，党组成员及各股室负责人全程参与，按照绩效评价方案的要求，对照实施项目的内容全面评价。在评价过程中按照年初的项目预算绩效目标申报表的指标设置产出数量、质量、时效、成本，以及经济效益、社会效益、生态效益、可持续影响、服务对象满意度等指标开展项目绩效评价,在评价过程中发现问题，查找原因，及时纠正偏差，为全面完成绩效目标制度措施。</w:t>
      </w:r>
    </w:p>
    <w:p>
      <w:pPr>
        <w:numPr>
          <w:ilvl w:val="0"/>
          <w:numId w:val="12"/>
        </w:numPr>
        <w:adjustRightInd w:val="0"/>
        <w:snapToGrid w:val="0"/>
        <w:spacing w:line="600" w:lineRule="exact"/>
        <w:ind w:left="0" w:firstLineChars="200" w:firstLine="640"/>
        <w:rPr>
          <w:rFonts w:ascii="楷体" w:eastAsia="楷体" w:cs="楷体" w:hAnsi="楷体"/>
          <w:b/>
          <w:bCs/>
          <w:sz w:val="32"/>
          <w:szCs w:val="32"/>
        </w:rPr>
      </w:pPr>
      <w:r>
        <w:rPr>
          <w:rFonts w:ascii="楷体" w:eastAsia="楷体" w:cs="楷体" w:hAnsi="楷体" w:hint="eastAsia"/>
          <w:b/>
          <w:bCs/>
          <w:sz w:val="32"/>
          <w:szCs w:val="32"/>
        </w:rPr>
        <w:t>项目资金申报及使用情况</w:t>
      </w:r>
    </w:p>
    <w:p>
      <w:pPr>
        <w:adjustRightInd w:val="0"/>
        <w:snapToGrid w:val="0"/>
        <w:spacing w:line="600" w:lineRule="exact"/>
        <w:ind w:firstLineChars="100" w:firstLine="320"/>
        <w:rPr>
          <w:rFonts w:ascii="楷体" w:eastAsia="楷体" w:cs="楷体" w:hAnsi="楷体"/>
          <w:b/>
          <w:bCs/>
          <w:sz w:val="32"/>
          <w:szCs w:val="32"/>
          <w:lang w:val="zh-CN"/>
        </w:rPr>
      </w:pPr>
      <w:r>
        <w:rPr>
          <w:rFonts w:ascii="楷体" w:eastAsia="楷体" w:cs="楷体" w:hAnsi="楷体" w:hint="eastAsia"/>
          <w:b/>
          <w:bCs/>
          <w:sz w:val="32"/>
          <w:szCs w:val="32"/>
          <w:lang w:val="zh-CN"/>
        </w:rPr>
        <w:t>（一）项目资金申报及批复情况</w:t>
      </w:r>
    </w:p>
    <w:p>
      <w:pPr>
        <w:pStyle w:val="15"/>
        <w:spacing w:beforeLines="0" w:before="30"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rPr>
        <w:t>项目年初申报项目资金45万元，预算批复45万元。</w:t>
      </w:r>
    </w:p>
    <w:p>
      <w:pPr>
        <w:pStyle w:val="15"/>
        <w:spacing w:beforeLines="0" w:before="30" w:line="576" w:lineRule="exact"/>
        <w:ind w:firstLineChars="200" w:firstLine="640"/>
        <w:rPr>
          <w:rFonts w:ascii="楷体" w:eastAsia="楷体" w:cs="楷体" w:hAnsi="楷体"/>
          <w:b/>
          <w:bCs/>
          <w:sz w:val="32"/>
          <w:szCs w:val="32"/>
        </w:rPr>
      </w:pPr>
      <w:r>
        <w:rPr>
          <w:rFonts w:ascii="楷体" w:eastAsia="楷体" w:cs="楷体" w:hAnsi="楷体" w:hint="eastAsia"/>
          <w:b/>
          <w:bCs/>
          <w:sz w:val="32"/>
          <w:szCs w:val="32"/>
        </w:rPr>
        <w:t>(二)资金计划、到位及使用情况</w:t>
      </w:r>
    </w:p>
    <w:p>
      <w:pPr>
        <w:pStyle w:val="15"/>
        <w:spacing w:beforeLines="0" w:before="30" w:line="576" w:lineRule="exact"/>
        <w:ind w:firstLineChars="200" w:firstLine="640"/>
        <w:rPr>
          <w:rFonts w:ascii="仿宋" w:eastAsia="仿宋" w:cs="楷体" w:hAnsi="仿宋"/>
          <w:b/>
          <w:bCs/>
          <w:sz w:val="32"/>
          <w:szCs w:val="32"/>
        </w:rPr>
      </w:pPr>
      <w:r>
        <w:rPr>
          <w:rFonts w:ascii="仿宋" w:eastAsia="仿宋" w:cs="方正仿宋简体" w:hAnsi="仿宋" w:hint="eastAsia"/>
          <w:sz w:val="32"/>
          <w:szCs w:val="32"/>
        </w:rPr>
        <w:t>项目资金45万元，全额纳入区财政支付平台管理，全年支出45万元，完成预算的100%。</w:t>
      </w:r>
    </w:p>
    <w:p>
      <w:pPr>
        <w:pStyle w:val="15"/>
        <w:spacing w:beforeLines="0" w:before="30"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lang w:val="zh-CN"/>
        </w:rPr>
        <w:t>区审计局财务管理制度健全，严格执行财务管理制度，账务处理及时，会计核算规范。</w:t>
      </w:r>
    </w:p>
    <w:p>
      <w:pPr>
        <w:pStyle w:val="15"/>
        <w:spacing w:beforeLines="0" w:before="30" w:line="576" w:lineRule="exact"/>
        <w:ind w:firstLineChars="200" w:firstLine="640"/>
        <w:rPr>
          <w:rFonts w:ascii="楷体" w:eastAsia="楷体" w:cs="楷体" w:hAnsi="楷体"/>
          <w:b/>
          <w:bCs/>
          <w:sz w:val="32"/>
          <w:szCs w:val="32"/>
        </w:rPr>
      </w:pPr>
      <w:r>
        <w:rPr>
          <w:rFonts w:ascii="楷体" w:eastAsia="楷体" w:cs="楷体" w:hAnsi="楷体" w:hint="eastAsia"/>
          <w:b/>
          <w:bCs/>
          <w:sz w:val="32"/>
          <w:szCs w:val="32"/>
        </w:rPr>
        <w:t>三、项目实施及管理情况及管理情况</w:t>
      </w:r>
    </w:p>
    <w:p>
      <w:pPr>
        <w:pStyle w:val="15"/>
        <w:spacing w:beforeLines="0" w:before="30" w:line="576" w:lineRule="exact"/>
        <w:ind w:firstLineChars="200" w:firstLine="640"/>
        <w:rPr>
          <w:rFonts w:ascii="楷体" w:eastAsia="楷体" w:cs="楷体" w:hAnsi="楷体"/>
          <w:b/>
          <w:bCs/>
          <w:sz w:val="32"/>
          <w:szCs w:val="32"/>
        </w:rPr>
      </w:pPr>
      <w:r>
        <w:rPr>
          <w:rFonts w:ascii="楷体" w:eastAsia="楷体" w:cs="楷体" w:hAnsi="楷体" w:hint="eastAsia"/>
          <w:b/>
          <w:bCs/>
          <w:sz w:val="32"/>
          <w:szCs w:val="32"/>
        </w:rPr>
        <w:t>（一）项目组织架构及实施流程</w:t>
      </w:r>
    </w:p>
    <w:p>
      <w:pPr>
        <w:widowControl/>
        <w:ind w:firstLineChars="200" w:firstLine="620"/>
        <w:jc w:val="left"/>
        <w:rPr>
          <w:rFonts w:ascii="仿宋" w:eastAsia="仿宋" w:cs="方正仿宋简体" w:hAnsi="仿宋"/>
          <w:sz w:val="32"/>
          <w:szCs w:val="32"/>
          <w:lang w:val="zh-CN"/>
        </w:rPr>
      </w:pPr>
      <w:r>
        <w:rPr>
          <w:rFonts w:ascii="仿宋_GB2312" w:eastAsia="仿宋_GB2312" w:cs="仿宋_GB2312" w:hAnsi="仿宋_GB2312" w:hint="eastAsia"/>
          <w:color w:val="000000"/>
          <w:kern w:val="0"/>
          <w:sz w:val="31"/>
          <w:szCs w:val="31"/>
        </w:rPr>
        <w:t>一是</w:t>
      </w:r>
      <w:r>
        <w:rPr>
          <w:rFonts w:ascii="仿宋_GB2312" w:eastAsia="仿宋_GB2312" w:cs="仿宋_GB2312" w:hAnsi="仿宋_GB2312"/>
          <w:color w:val="000000"/>
          <w:kern w:val="0"/>
          <w:sz w:val="31"/>
          <w:szCs w:val="31"/>
        </w:rPr>
        <w:t>制定工作计划和目标任务</w:t>
      </w:r>
      <w:r>
        <w:rPr>
          <w:rFonts w:ascii="仿宋_GB2312" w:eastAsia="仿宋_GB2312" w:cs="仿宋_GB2312" w:hAnsi="仿宋_GB2312" w:hint="eastAsia"/>
          <w:color w:val="000000"/>
          <w:kern w:val="0"/>
          <w:sz w:val="31"/>
          <w:szCs w:val="31"/>
        </w:rPr>
        <w:t>，二是</w:t>
      </w:r>
      <w:r>
        <w:rPr>
          <w:rFonts w:ascii="仿宋_GB2312" w:eastAsia="仿宋_GB2312" w:cs="仿宋_GB2312" w:hAnsi="仿宋_GB2312"/>
          <w:color w:val="000000"/>
          <w:kern w:val="0"/>
          <w:sz w:val="31"/>
          <w:szCs w:val="31"/>
        </w:rPr>
        <w:t>落实项目实施具体责任人</w:t>
      </w:r>
      <w:r>
        <w:rPr>
          <w:rFonts w:ascii="仿宋_GB2312" w:eastAsia="仿宋_GB2312" w:cs="仿宋_GB2312" w:hAnsi="仿宋_GB2312" w:hint="eastAsia"/>
          <w:color w:val="000000"/>
          <w:kern w:val="0"/>
          <w:sz w:val="31"/>
          <w:szCs w:val="31"/>
        </w:rPr>
        <w:t>，三是</w:t>
      </w:r>
      <w:r>
        <w:rPr>
          <w:rFonts w:ascii="仿宋_GB2312" w:eastAsia="仿宋_GB2312" w:cs="仿宋_GB2312" w:hAnsi="仿宋_GB2312"/>
          <w:color w:val="000000"/>
          <w:kern w:val="0"/>
          <w:sz w:val="31"/>
          <w:szCs w:val="31"/>
        </w:rPr>
        <w:t>按照计划开展工作。</w:t>
      </w:r>
      <w:r>
        <w:rPr>
          <w:rFonts w:ascii="仿宋" w:eastAsia="仿宋" w:cs="方正仿宋简体" w:hAnsi="仿宋" w:hint="eastAsia"/>
          <w:sz w:val="32"/>
          <w:szCs w:val="32"/>
          <w:lang w:val="zh-CN"/>
        </w:rPr>
        <w:t>具体工作由投资审计股、企业审计股负责，具体工作流程按各项目实施方案开展审计工作。</w:t>
      </w:r>
    </w:p>
    <w:p>
      <w:pPr>
        <w:pStyle w:val="15"/>
        <w:spacing w:beforeLines="0" w:before="30" w:line="576" w:lineRule="exact"/>
        <w:ind w:firstLineChars="200" w:firstLine="640"/>
        <w:rPr>
          <w:rFonts w:ascii="楷体" w:eastAsia="楷体" w:cs="楷体" w:hAnsi="楷体"/>
          <w:b/>
          <w:bCs/>
          <w:sz w:val="32"/>
          <w:szCs w:val="32"/>
          <w:lang w:val="zh-CN"/>
        </w:rPr>
      </w:pPr>
      <w:r>
        <w:rPr>
          <w:rFonts w:ascii="楷体" w:eastAsia="楷体" w:cs="楷体" w:hAnsi="楷体" w:hint="eastAsia"/>
          <w:b/>
          <w:bCs/>
          <w:sz w:val="32"/>
          <w:szCs w:val="32"/>
          <w:lang w:val="zh-CN"/>
        </w:rPr>
        <w:t>（二）项目管理情况</w:t>
      </w:r>
    </w:p>
    <w:p>
      <w:pPr>
        <w:pStyle w:val="15"/>
        <w:spacing w:beforeLines="0" w:before="30"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lang w:val="zh-CN"/>
        </w:rPr>
        <w:t>根据年初审计项目计划，</w:t>
      </w:r>
      <w:r>
        <w:rPr>
          <w:rFonts w:ascii="仿宋" w:eastAsia="仿宋" w:cs="方正仿宋简体" w:hAnsi="仿宋" w:hint="eastAsia"/>
          <w:sz w:val="32"/>
          <w:szCs w:val="32"/>
        </w:rPr>
        <w:t>2022聘请社会审计机构对区属国有企业资产负债损益进行审计监督。</w:t>
      </w:r>
    </w:p>
    <w:p>
      <w:pPr>
        <w:pStyle w:val="15"/>
        <w:spacing w:beforeLines="0" w:before="30" w:line="576" w:lineRule="exact"/>
        <w:ind w:firstLineChars="200" w:firstLine="640"/>
        <w:rPr>
          <w:rFonts w:ascii="楷体" w:eastAsia="楷体" w:cs="楷体" w:hAnsi="楷体"/>
          <w:b/>
          <w:bCs/>
          <w:sz w:val="32"/>
          <w:szCs w:val="32"/>
        </w:rPr>
      </w:pPr>
      <w:r>
        <w:rPr>
          <w:rFonts w:ascii="楷体" w:eastAsia="楷体" w:cs="楷体" w:hAnsi="楷体" w:hint="eastAsia"/>
          <w:b/>
          <w:bCs/>
          <w:sz w:val="32"/>
          <w:szCs w:val="32"/>
        </w:rPr>
        <w:t>（三）项目监管情况</w:t>
      </w:r>
    </w:p>
    <w:p>
      <w:pPr>
        <w:pStyle w:val="15"/>
        <w:spacing w:beforeLines="0" w:before="30" w:line="576" w:lineRule="exact"/>
        <w:ind w:firstLineChars="200" w:firstLine="640"/>
        <w:rPr>
          <w:rFonts w:ascii="仿宋" w:eastAsia="仿宋" w:cs="方正仿宋简体" w:hAnsi="仿宋"/>
          <w:sz w:val="32"/>
          <w:szCs w:val="32"/>
          <w:lang w:val="zh-CN"/>
        </w:rPr>
      </w:pPr>
      <w:r>
        <w:rPr>
          <w:rFonts w:ascii="仿宋" w:eastAsia="仿宋" w:cs="方正仿宋简体" w:hAnsi="仿宋" w:hint="eastAsia"/>
          <w:sz w:val="32"/>
          <w:szCs w:val="32"/>
          <w:lang w:val="zh-CN"/>
        </w:rPr>
        <w:t>该项目由企业审计股具体负责组织实施，项目实施严格按照《中华人民共和国审计法》《中华人民共和国国家审计准则》《中华人民共和国审计法实施条例》开展审计工作</w:t>
      </w:r>
      <w:r>
        <w:rPr>
          <w:rFonts w:ascii="仿宋" w:eastAsia="仿宋" w:cs="方正仿宋简体" w:hAnsi="仿宋" w:hint="eastAsia"/>
          <w:sz w:val="32"/>
          <w:szCs w:val="32"/>
        </w:rPr>
        <w:t>，</w:t>
      </w:r>
      <w:r>
        <w:rPr>
          <w:rFonts w:ascii="仿宋" w:eastAsia="仿宋" w:cs="方正仿宋简体" w:hAnsi="仿宋" w:hint="eastAsia"/>
          <w:sz w:val="32"/>
          <w:szCs w:val="32"/>
          <w:lang w:val="zh-CN"/>
        </w:rPr>
        <w:t>项目完成质量由法制审计股进行审计考核。</w:t>
      </w:r>
    </w:p>
    <w:p>
      <w:pPr>
        <w:pStyle w:val="15"/>
        <w:spacing w:beforeLines="0" w:before="30" w:line="576" w:lineRule="exact"/>
        <w:ind w:firstLineChars="200" w:firstLine="640"/>
        <w:rPr>
          <w:rFonts w:ascii="楷体" w:eastAsia="楷体" w:cs="楷体" w:hAnsi="楷体"/>
          <w:b/>
          <w:bCs/>
          <w:sz w:val="32"/>
          <w:szCs w:val="32"/>
        </w:rPr>
      </w:pPr>
      <w:r>
        <w:rPr>
          <w:rFonts w:ascii="楷体" w:eastAsia="楷体" w:cs="楷体" w:hAnsi="楷体" w:hint="eastAsia"/>
          <w:b/>
          <w:bCs/>
          <w:sz w:val="32"/>
          <w:szCs w:val="32"/>
        </w:rPr>
        <w:t>四、项目绩效情况</w:t>
      </w:r>
    </w:p>
    <w:p>
      <w:pPr>
        <w:pStyle w:val="15"/>
        <w:spacing w:beforeLines="0" w:before="30" w:line="576" w:lineRule="exact"/>
        <w:ind w:firstLineChars="200" w:firstLine="640"/>
        <w:rPr>
          <w:rFonts w:ascii="楷体" w:eastAsia="楷体" w:cs="楷体" w:hAnsi="楷体"/>
          <w:sz w:val="32"/>
          <w:szCs w:val="32"/>
        </w:rPr>
      </w:pPr>
      <w:r>
        <w:rPr>
          <w:rFonts w:ascii="楷体" w:eastAsia="楷体" w:cs="楷体" w:hAnsi="楷体" w:hint="eastAsia"/>
          <w:b/>
          <w:bCs/>
          <w:sz w:val="32"/>
          <w:szCs w:val="32"/>
        </w:rPr>
        <w:t>（一）项目完成情况</w:t>
      </w:r>
    </w:p>
    <w:p>
      <w:pPr>
        <w:pStyle w:val="15"/>
        <w:spacing w:beforeLines="0" w:before="30"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rPr>
        <w:t>该项目年初制定的绩效目标：数量指标2项，质量指标2项，时效指标1项，成本指标1项，年末均全部完成。</w:t>
      </w:r>
    </w:p>
    <w:p>
      <w:pPr>
        <w:pStyle w:val="15"/>
        <w:numPr>
          <w:ilvl w:val="0"/>
          <w:numId w:val="13"/>
        </w:numPr>
        <w:spacing w:beforeLines="0" w:before="30" w:line="576" w:lineRule="exact"/>
        <w:ind w:left="-10" w:firstLine="640"/>
        <w:rPr>
          <w:rFonts w:ascii="楷体" w:eastAsia="楷体" w:cs="楷体" w:hAnsi="楷体"/>
          <w:b/>
          <w:bCs/>
          <w:sz w:val="32"/>
          <w:szCs w:val="32"/>
        </w:rPr>
      </w:pPr>
      <w:r>
        <w:rPr>
          <w:rFonts w:ascii="楷体" w:eastAsia="楷体" w:cs="楷体" w:hAnsi="楷体" w:hint="eastAsia"/>
          <w:b/>
          <w:bCs/>
          <w:sz w:val="32"/>
          <w:szCs w:val="32"/>
        </w:rPr>
        <w:t>项目效益情况</w:t>
      </w:r>
    </w:p>
    <w:p>
      <w:pPr>
        <w:pStyle w:val="15"/>
        <w:spacing w:beforeLines="0" w:before="30"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rPr>
        <w:t>该项目年初制定经济效益指标1项，社会效益指标1项，生态效益指标1项，满意度指标1项，年末全部完成，通过该项目的实施，强化国有企业审计监督，助力国有经济高质量发展提供有有力保障。</w:t>
      </w:r>
    </w:p>
    <w:p>
      <w:pPr>
        <w:pStyle w:val="15"/>
        <w:spacing w:beforeLines="0" w:before="30" w:line="576" w:lineRule="exact"/>
        <w:ind w:firstLineChars="200" w:firstLine="640"/>
        <w:rPr>
          <w:rFonts w:ascii="楷体" w:eastAsia="楷体" w:cs="楷体" w:hAnsi="楷体"/>
          <w:b/>
          <w:bCs/>
          <w:sz w:val="32"/>
          <w:szCs w:val="32"/>
        </w:rPr>
      </w:pPr>
      <w:r>
        <w:rPr>
          <w:rFonts w:ascii="楷体" w:eastAsia="楷体" w:cs="楷体" w:hAnsi="楷体" w:hint="eastAsia"/>
          <w:b/>
          <w:bCs/>
          <w:sz w:val="32"/>
          <w:szCs w:val="32"/>
        </w:rPr>
        <w:t>五、评价结论及建议</w:t>
      </w:r>
    </w:p>
    <w:p>
      <w:pPr>
        <w:pStyle w:val="15"/>
        <w:spacing w:beforeLines="0" w:before="30" w:line="576" w:lineRule="exact"/>
        <w:ind w:firstLineChars="200" w:firstLine="640"/>
        <w:rPr>
          <w:rFonts w:ascii="楷体" w:eastAsia="楷体" w:cs="楷体" w:hAnsi="楷体"/>
          <w:b/>
          <w:bCs/>
          <w:sz w:val="32"/>
          <w:szCs w:val="32"/>
        </w:rPr>
      </w:pPr>
      <w:r>
        <w:rPr>
          <w:rFonts w:ascii="楷体" w:eastAsia="楷体" w:cs="楷体" w:hAnsi="楷体" w:hint="eastAsia"/>
          <w:b/>
          <w:bCs/>
          <w:sz w:val="32"/>
          <w:szCs w:val="32"/>
        </w:rPr>
        <w:t>(一)评价结论</w:t>
      </w:r>
    </w:p>
    <w:p>
      <w:pPr>
        <w:pStyle w:val="15"/>
        <w:spacing w:beforeLines="0" w:before="30" w:line="576" w:lineRule="exact"/>
        <w:ind w:firstLineChars="200" w:firstLine="640"/>
        <w:rPr>
          <w:rFonts w:ascii="仿宋" w:eastAsia="仿宋" w:cs="方正仿宋简体" w:hAnsi="仿宋"/>
          <w:sz w:val="32"/>
          <w:szCs w:val="32"/>
          <w:lang w:val="zh-CN"/>
        </w:rPr>
      </w:pPr>
      <w:r>
        <w:rPr>
          <w:rFonts w:ascii="仿宋" w:eastAsia="仿宋" w:cs="方正仿宋简体" w:hAnsi="仿宋" w:hint="eastAsia"/>
          <w:sz w:val="32"/>
          <w:szCs w:val="32"/>
          <w:lang w:val="zh-CN"/>
        </w:rPr>
        <w:t>项目年初设定的项目绩效目标编制合理，设定的各项指标可行，资金使用规范，该项目的实施，</w:t>
      </w:r>
      <w:r>
        <w:rPr>
          <w:rFonts w:ascii="仿宋" w:eastAsia="仿宋" w:cs="方正仿宋简体" w:hAnsi="仿宋" w:hint="eastAsia"/>
          <w:sz w:val="32"/>
          <w:szCs w:val="32"/>
        </w:rPr>
        <w:t>对提高财政资金监督使用绩效，强化工程项目审计监督，防范化解政府债务风险，强化国有企业审计监督，助力国有经济高质量发展提供有有力保障，项目自评得分91.89分。</w:t>
      </w:r>
    </w:p>
    <w:p>
      <w:pPr>
        <w:adjustRightInd w:val="0"/>
        <w:snapToGrid w:val="0"/>
        <w:spacing w:line="576" w:lineRule="exact"/>
        <w:ind w:firstLineChars="200" w:firstLine="640"/>
        <w:rPr>
          <w:rFonts w:ascii="楷体" w:eastAsia="楷体" w:cs="楷体" w:hAnsi="楷体"/>
          <w:b/>
          <w:bCs/>
          <w:sz w:val="32"/>
          <w:szCs w:val="32"/>
          <w:lang w:val="zh-CN"/>
        </w:rPr>
      </w:pPr>
      <w:r>
        <w:rPr>
          <w:rFonts w:ascii="楷体" w:eastAsia="楷体" w:cs="楷体" w:hAnsi="楷体" w:hint="eastAsia"/>
          <w:b/>
          <w:bCs/>
          <w:sz w:val="32"/>
          <w:szCs w:val="32"/>
          <w:lang w:val="zh-CN"/>
        </w:rPr>
        <w:t>（二）存在的问题</w:t>
      </w:r>
    </w:p>
    <w:p>
      <w:pPr>
        <w:adjustRightInd w:val="0"/>
        <w:snapToGrid w:val="0"/>
        <w:spacing w:line="576" w:lineRule="exact"/>
        <w:ind w:firstLineChars="200" w:firstLine="640"/>
        <w:rPr>
          <w:rFonts w:ascii="仿宋" w:eastAsia="仿宋" w:cs="方正仿宋简体" w:hAnsi="仿宋"/>
          <w:sz w:val="32"/>
          <w:szCs w:val="32"/>
          <w:lang w:val="zh-CN"/>
        </w:rPr>
      </w:pPr>
      <w:r>
        <w:rPr>
          <w:rFonts w:ascii="仿宋" w:eastAsia="仿宋" w:cs="方正仿宋简体" w:hAnsi="仿宋" w:hint="eastAsia"/>
          <w:sz w:val="32"/>
          <w:szCs w:val="32"/>
          <w:lang w:val="zh-CN"/>
        </w:rPr>
        <w:t>因财务人员对该项目实施过程中部分事项了解不全面，造成个别绩效指标设定值和实际完成值略有偏差。造成评价产生差异。</w:t>
        <w:tab/>
      </w:r>
    </w:p>
    <w:p>
      <w:pPr>
        <w:adjustRightInd w:val="0"/>
        <w:snapToGrid w:val="0"/>
        <w:spacing w:line="576" w:lineRule="exact"/>
        <w:ind w:firstLineChars="200" w:firstLine="640"/>
        <w:rPr>
          <w:rFonts w:ascii="楷体" w:eastAsia="楷体" w:cs="楷体" w:hAnsi="楷体"/>
          <w:b/>
          <w:bCs/>
          <w:sz w:val="32"/>
          <w:szCs w:val="32"/>
          <w:lang w:val="zh-CN"/>
        </w:rPr>
      </w:pPr>
      <w:r>
        <w:rPr>
          <w:rFonts w:ascii="楷体" w:eastAsia="楷体" w:cs="楷体" w:hAnsi="楷体" w:hint="eastAsia"/>
          <w:b/>
          <w:bCs/>
          <w:sz w:val="32"/>
          <w:szCs w:val="32"/>
          <w:lang w:val="zh-CN"/>
        </w:rPr>
        <w:t>（三）相关建议</w:t>
      </w:r>
    </w:p>
    <w:p>
      <w:pPr>
        <w:spacing w:line="576" w:lineRule="exact"/>
        <w:ind w:firstLineChars="200" w:firstLine="640"/>
        <w:rPr>
          <w:rFonts w:ascii="仿宋" w:eastAsia="仿宋" w:cs="方正仿宋简体" w:hAnsi="仿宋"/>
          <w:sz w:val="32"/>
          <w:szCs w:val="32"/>
          <w:lang w:val="zh-CN"/>
        </w:rPr>
      </w:pPr>
      <w:r>
        <w:rPr>
          <w:rFonts w:ascii="仿宋" w:eastAsia="仿宋" w:cs="方正仿宋简体" w:hAnsi="仿宋" w:hint="eastAsia"/>
          <w:sz w:val="32"/>
          <w:szCs w:val="32"/>
          <w:lang w:val="zh-CN"/>
        </w:rPr>
        <w:t>年初编制项目预算绩效时应由项目实施股室及经办人员全过程参与，按项目实际情况设定指标权重，减少项目完工后绩效评价的分歧。</w:t>
      </w:r>
    </w:p>
    <w:p>
      <w:pPr>
        <w:spacing w:line="600" w:lineRule="exact"/>
        <w:ind w:firstLineChars="200" w:firstLine="640"/>
        <w:rPr>
          <w:rFonts w:ascii="方正仿宋简体" w:eastAsia="方正仿宋简体" w:cs="方正仿宋简体" w:hAnsi="方正仿宋简体"/>
          <w:sz w:val="32"/>
          <w:szCs w:val="32"/>
        </w:rPr>
      </w:pPr>
    </w:p>
    <w:p>
      <w:pPr>
        <w:spacing w:line="600" w:lineRule="exact"/>
        <w:rPr>
          <w:rFonts w:ascii="方正仿宋简体" w:eastAsia="方正仿宋简体" w:cs="方正仿宋简体" w:hAnsi="方正仿宋简体"/>
          <w:sz w:val="32"/>
          <w:szCs w:val="32"/>
        </w:rPr>
      </w:pPr>
    </w:p>
    <w:p>
      <w:pPr>
        <w:pStyle w:val="15"/>
        <w:spacing w:beforeLines="0" w:before="30"/>
        <w:jc w:val="center"/>
        <w:rPr>
          <w:rFonts w:ascii="方正黑体简体" w:eastAsia="方正黑体简体" w:cs="方正黑体简体" w:hAnsi="方正黑体简体"/>
          <w:color w:val="000000"/>
          <w:sz w:val="40"/>
          <w:szCs w:val="40"/>
          <w:lang w:val="zh-CN"/>
        </w:rPr>
      </w:pPr>
      <w:r>
        <w:rPr>
          <w:rFonts w:ascii="方正黑体简体" w:eastAsia="方正黑体简体" w:cs="方正黑体简体" w:hAnsi="方正黑体简体" w:hint="eastAsia"/>
          <w:kern w:val="2"/>
          <w:sz w:val="40"/>
          <w:szCs w:val="40"/>
        </w:rPr>
        <w:t>2022年</w:t>
      </w:r>
      <w:r>
        <w:rPr>
          <w:rFonts w:ascii="方正黑体简体" w:eastAsia="方正黑体简体" w:cs="方正黑体简体" w:hAnsi="方正黑体简体" w:hint="eastAsia"/>
          <w:kern w:val="2"/>
          <w:sz w:val="40"/>
          <w:szCs w:val="40"/>
          <w:lang w:val="zh-CN"/>
        </w:rPr>
        <w:t>专项预算项目支出绩效自评报告</w:t>
      </w:r>
    </w:p>
    <w:p>
      <w:pPr>
        <w:spacing w:line="576" w:lineRule="exact"/>
        <w:jc w:val="center"/>
        <w:rPr>
          <w:rFonts w:ascii="方正黑体简体" w:eastAsia="方正黑体简体" w:cs="方正黑体简体" w:hAnsi="方正黑体简体"/>
          <w:sz w:val="40"/>
          <w:szCs w:val="40"/>
          <w:lang w:val="zh-CN"/>
        </w:rPr>
      </w:pPr>
      <w:r>
        <w:rPr>
          <w:rFonts w:ascii="方正黑体简体" w:eastAsia="方正黑体简体" w:cs="方正黑体简体" w:hAnsi="方正黑体简体" w:hint="eastAsia"/>
          <w:sz w:val="40"/>
          <w:szCs w:val="40"/>
          <w:lang w:val="zh-CN"/>
        </w:rPr>
        <w:t>（政府投资审计聘请中介机构项目）</w:t>
      </w:r>
    </w:p>
    <w:p>
      <w:pPr>
        <w:adjustRightInd w:val="0"/>
        <w:snapToGrid w:val="0"/>
        <w:spacing w:line="576" w:lineRule="exact"/>
        <w:ind w:firstLineChars="200" w:firstLine="640"/>
        <w:rPr>
          <w:rFonts w:ascii="楷体" w:eastAsia="楷体" w:cs="楷体" w:hAnsi="楷体"/>
          <w:b/>
          <w:bCs/>
          <w:sz w:val="32"/>
          <w:szCs w:val="32"/>
          <w:lang w:val="zh-CN"/>
        </w:rPr>
      </w:pPr>
      <w:r>
        <w:rPr>
          <w:rFonts w:ascii="楷体" w:eastAsia="楷体" w:cs="楷体" w:hAnsi="楷体" w:hint="eastAsia"/>
          <w:b/>
          <w:bCs/>
          <w:sz w:val="32"/>
          <w:szCs w:val="32"/>
        </w:rPr>
        <w:t>一、</w:t>
      </w:r>
      <w:r>
        <w:rPr>
          <w:rFonts w:ascii="楷体" w:eastAsia="楷体" w:cs="楷体" w:hAnsi="楷体" w:hint="eastAsia"/>
          <w:b/>
          <w:bCs/>
          <w:sz w:val="32"/>
          <w:szCs w:val="32"/>
          <w:lang w:val="zh-CN"/>
        </w:rPr>
        <w:t>项目概况</w:t>
      </w:r>
    </w:p>
    <w:p>
      <w:pPr>
        <w:adjustRightInd w:val="0"/>
        <w:snapToGrid w:val="0"/>
        <w:spacing w:line="576" w:lineRule="exact"/>
        <w:ind w:firstLineChars="200" w:firstLine="640"/>
        <w:rPr>
          <w:rFonts w:ascii="楷体" w:eastAsia="楷体" w:cs="楷体" w:hAnsi="楷体"/>
          <w:b/>
          <w:bCs/>
          <w:sz w:val="32"/>
          <w:szCs w:val="32"/>
        </w:rPr>
      </w:pPr>
      <w:r>
        <w:rPr>
          <w:rFonts w:ascii="楷体" w:eastAsia="楷体" w:cs="楷体" w:hAnsi="楷体" w:hint="eastAsia"/>
          <w:b/>
          <w:bCs/>
          <w:sz w:val="32"/>
          <w:szCs w:val="32"/>
        </w:rPr>
        <w:t>（一）项目基本情况</w:t>
      </w:r>
    </w:p>
    <w:p>
      <w:pPr>
        <w:pStyle w:val="15"/>
        <w:spacing w:beforeLines="0" w:before="30" w:line="576" w:lineRule="exact"/>
        <w:ind w:firstLineChars="200" w:firstLine="640"/>
        <w:rPr>
          <w:rFonts w:ascii="仿宋" w:eastAsia="仿宋" w:cs="方正仿宋简体" w:hAnsi="仿宋"/>
          <w:bCs/>
          <w:color w:val="000000"/>
          <w:sz w:val="32"/>
          <w:szCs w:val="32"/>
        </w:rPr>
      </w:pPr>
      <w:r>
        <w:rPr>
          <w:rFonts w:ascii="仿宋" w:eastAsia="仿宋" w:cs="方正仿宋简体" w:hAnsi="仿宋" w:hint="eastAsia"/>
          <w:sz w:val="32"/>
          <w:szCs w:val="32"/>
        </w:rPr>
        <w:t>1.项目为利州区审计局组织实施的</w:t>
      </w:r>
      <w:r>
        <w:rPr>
          <w:rFonts w:ascii="仿宋" w:eastAsia="仿宋" w:cs="方正仿宋简体" w:hAnsi="仿宋" w:hint="eastAsia"/>
          <w:bCs/>
          <w:color w:val="000000"/>
          <w:sz w:val="32"/>
          <w:szCs w:val="32"/>
        </w:rPr>
        <w:t>区政府投资和以区政府投资为主的建设项目的预算执行情况和决算，区级重大公共工程项目的资金管理使用和建设运营情况进行审计，聘请第三方中介机构参与投资审计工作，监督检查第三方中介机构工作完成情况。</w:t>
      </w:r>
    </w:p>
    <w:p>
      <w:pPr>
        <w:pStyle w:val="15"/>
        <w:spacing w:beforeLines="0" w:before="30" w:line="576" w:lineRule="exact"/>
        <w:ind w:firstLineChars="200" w:firstLine="640"/>
        <w:rPr>
          <w:rFonts w:ascii="仿宋" w:eastAsia="仿宋" w:cs="方正仿宋简体" w:hAnsi="仿宋"/>
          <w:kern w:val="2"/>
          <w:sz w:val="32"/>
          <w:szCs w:val="32"/>
        </w:rPr>
      </w:pPr>
      <w:r>
        <w:rPr>
          <w:rFonts w:ascii="仿宋" w:eastAsia="仿宋" w:cs="方正仿宋简体" w:hAnsi="仿宋" w:hint="eastAsia"/>
          <w:bCs/>
          <w:color w:val="000000"/>
          <w:sz w:val="32"/>
          <w:szCs w:val="32"/>
        </w:rPr>
        <w:t>2.</w:t>
      </w:r>
      <w:r>
        <w:rPr>
          <w:rFonts w:ascii="仿宋" w:eastAsia="仿宋" w:cs="方正仿宋简体" w:hAnsi="仿宋" w:hint="eastAsia"/>
          <w:sz w:val="32"/>
          <w:szCs w:val="32"/>
        </w:rPr>
        <w:t>为贯彻落实投资审计“三个转变”要求，根据《审计署办公厅关于进一步规范聘请中介机构参与投资审计工作的通知》（审办发〔2018〕53号）文件精神，聘请中介机构参与投资审计项目服务费支付方式发生改变，从原来的区审计局仅支付基本审计费和5%以内的审减效益费，转变为不得再继续由项目业主、被审计单位承担审计费用。依据</w:t>
      </w:r>
      <w:r>
        <w:rPr>
          <w:rFonts w:ascii="仿宋" w:eastAsia="仿宋" w:cs="方正仿宋简体" w:hAnsi="仿宋" w:hint="eastAsia"/>
          <w:kern w:val="2"/>
          <w:sz w:val="32"/>
          <w:szCs w:val="32"/>
        </w:rPr>
        <w:t>《中华人民共和国审计法》第十一条 审计机关履行职责所必需的经费，应当列入财政预算，由本级人民政府予以保证，申报项目资金。</w:t>
      </w:r>
    </w:p>
    <w:p>
      <w:pPr>
        <w:pStyle w:val="15"/>
        <w:spacing w:beforeLines="0" w:before="95"/>
        <w:ind w:firstLineChars="200" w:firstLine="640"/>
        <w:rPr>
          <w:rFonts w:ascii="仿宋" w:eastAsia="仿宋" w:cs="方正仿宋简体" w:hAnsi="仿宋"/>
          <w:sz w:val="32"/>
          <w:szCs w:val="32"/>
        </w:rPr>
      </w:pPr>
      <w:r>
        <w:rPr>
          <w:rFonts w:ascii="仿宋" w:eastAsia="仿宋" w:cs="方正仿宋简体" w:hAnsi="仿宋" w:hint="eastAsia"/>
          <w:sz w:val="32"/>
          <w:szCs w:val="32"/>
        </w:rPr>
        <w:t>3.根据《利州区审计局机关财务管理制度》及工作完成质量，按合同约定支付审计服务费。</w:t>
      </w:r>
    </w:p>
    <w:p>
      <w:pPr>
        <w:pStyle w:val="15"/>
        <w:spacing w:beforeLines="0" w:before="30" w:line="576" w:lineRule="exact"/>
        <w:ind w:firstLineChars="200" w:firstLine="640"/>
        <w:rPr>
          <w:rFonts w:ascii="仿宋" w:eastAsia="仿宋" w:cs="方正仿宋简体" w:hAnsi="仿宋"/>
          <w:kern w:val="2"/>
          <w:sz w:val="32"/>
          <w:szCs w:val="32"/>
        </w:rPr>
      </w:pPr>
      <w:r>
        <w:rPr>
          <w:rFonts w:ascii="仿宋" w:eastAsia="仿宋" w:cs="方正仿宋简体" w:hAnsi="仿宋" w:hint="eastAsia"/>
          <w:kern w:val="2"/>
          <w:sz w:val="32"/>
          <w:szCs w:val="32"/>
        </w:rPr>
        <w:t>4.</w:t>
      </w:r>
      <w:r>
        <w:rPr>
          <w:rFonts w:ascii="仿宋" w:eastAsia="仿宋" w:cs="方正仿宋简体" w:hAnsi="仿宋" w:hint="eastAsia"/>
          <w:sz w:val="32"/>
          <w:szCs w:val="32"/>
        </w:rPr>
        <w:t>资金支付严格按合同约定支付。</w:t>
      </w:r>
    </w:p>
    <w:p>
      <w:pPr>
        <w:pStyle w:val="15"/>
        <w:spacing w:beforeLines="0" w:before="30" w:line="576" w:lineRule="exact"/>
        <w:ind w:firstLineChars="200" w:firstLine="640"/>
        <w:rPr>
          <w:rFonts w:ascii="仿宋" w:eastAsia="仿宋" w:cs="楷体" w:hAnsi="仿宋"/>
          <w:b/>
          <w:bCs/>
          <w:kern w:val="2"/>
          <w:sz w:val="32"/>
          <w:szCs w:val="32"/>
        </w:rPr>
      </w:pPr>
      <w:r>
        <w:rPr>
          <w:rFonts w:ascii="仿宋" w:eastAsia="仿宋" w:cs="楷体" w:hAnsi="仿宋" w:hint="eastAsia"/>
          <w:b/>
          <w:bCs/>
          <w:kern w:val="2"/>
          <w:sz w:val="32"/>
          <w:szCs w:val="32"/>
        </w:rPr>
        <w:t>（二）项目绩效目标</w:t>
      </w:r>
    </w:p>
    <w:p>
      <w:pPr>
        <w:pStyle w:val="15"/>
        <w:spacing w:beforeLines="0" w:before="30" w:line="576" w:lineRule="exact"/>
        <w:ind w:firstLineChars="200" w:firstLine="640"/>
        <w:rPr>
          <w:rFonts w:ascii="仿宋" w:eastAsia="仿宋" w:cs="方正仿宋简体" w:hAnsi="仿宋"/>
          <w:kern w:val="2"/>
          <w:sz w:val="32"/>
          <w:szCs w:val="32"/>
        </w:rPr>
      </w:pPr>
      <w:r>
        <w:rPr>
          <w:rFonts w:ascii="仿宋" w:eastAsia="仿宋" w:cs="方正仿宋简体" w:hAnsi="仿宋" w:hint="eastAsia"/>
          <w:kern w:val="2"/>
          <w:sz w:val="32"/>
          <w:szCs w:val="32"/>
        </w:rPr>
        <w:t>1.聘请中介机构对政府重大投资项目进行工程结算审计，2021年完成政府投资竣工（决）结算审计项目23个，送审金额17400.12万元，审计核实金额15904.06万元,审减金额1496.06万元，平均审减率8.60%；委托中介独立审计完成200万元以下备案项目33个,送审金额2677.24万元, 审计核实金额2492.33万元,审减184.90万元,平均审减率6.91%；投资审减共节约财政支出1680.96万元。</w:t>
      </w:r>
    </w:p>
    <w:p>
      <w:pPr>
        <w:pStyle w:val="15"/>
        <w:spacing w:beforeLines="0" w:before="30" w:line="576" w:lineRule="exact"/>
        <w:ind w:firstLineChars="200" w:firstLine="640"/>
        <w:rPr>
          <w:rFonts w:ascii="仿宋" w:eastAsia="仿宋" w:cs="方正仿宋简体" w:hAnsi="仿宋"/>
          <w:sz w:val="32"/>
          <w:szCs w:val="32"/>
        </w:rPr>
      </w:pPr>
      <w:r>
        <w:rPr>
          <w:rFonts w:ascii="仿宋" w:eastAsia="仿宋" w:cs="方正仿宋简体" w:hAnsi="仿宋" w:hint="eastAsia"/>
          <w:kern w:val="2"/>
          <w:sz w:val="32"/>
          <w:szCs w:val="32"/>
        </w:rPr>
        <w:t>2.</w:t>
      </w:r>
      <w:r>
        <w:rPr>
          <w:rFonts w:ascii="仿宋" w:eastAsia="仿宋" w:cs="方正仿宋简体" w:hAnsi="仿宋" w:hint="eastAsia"/>
          <w:sz w:val="32"/>
          <w:szCs w:val="32"/>
        </w:rPr>
        <w:t>2022年将该项目纳入绩效目标管理，从质量、时效、成本、效益等方面设置了绩效目标，设置质量指标3项，时效指标2项，成本指标3项，经济效益指标1项，生态效益指标1项，社会效益指标1项，满意度指标1项。</w:t>
      </w:r>
    </w:p>
    <w:p>
      <w:pPr>
        <w:pStyle w:val="15"/>
        <w:spacing w:beforeLines="0" w:before="95"/>
        <w:ind w:firstLineChars="200" w:firstLine="640"/>
        <w:rPr>
          <w:rFonts w:ascii="仿宋" w:eastAsia="仿宋" w:cs="方正仿宋简体" w:hAnsi="仿宋"/>
          <w:sz w:val="32"/>
          <w:szCs w:val="32"/>
          <w:lang w:val="zh-CN"/>
        </w:rPr>
      </w:pPr>
      <w:r>
        <w:rPr>
          <w:rFonts w:ascii="仿宋" w:eastAsia="仿宋" w:cs="方正仿宋简体" w:hAnsi="仿宋" w:hint="eastAsia"/>
          <w:sz w:val="32"/>
          <w:szCs w:val="32"/>
        </w:rPr>
        <w:t>3.根据</w:t>
      </w:r>
      <w:r>
        <w:rPr>
          <w:rFonts w:ascii="仿宋" w:eastAsia="仿宋" w:cs="方正仿宋简体" w:hAnsi="仿宋" w:hint="eastAsia"/>
          <w:kern w:val="2"/>
          <w:sz w:val="32"/>
          <w:szCs w:val="32"/>
        </w:rPr>
        <w:t>《中华人民共和国审计法》第十一条 审计机关履行职责所必需的经费，应当列入财政预算。</w:t>
      </w:r>
      <w:r>
        <w:rPr>
          <w:rFonts w:ascii="仿宋" w:eastAsia="仿宋" w:cs="方正仿宋简体" w:hAnsi="仿宋" w:hint="eastAsia"/>
          <w:sz w:val="32"/>
          <w:szCs w:val="32"/>
          <w:lang w:val="zh-CN"/>
        </w:rPr>
        <w:t>项目申报内容与实际相符，申报目标合理可行。</w:t>
      </w:r>
    </w:p>
    <w:p>
      <w:pPr>
        <w:pStyle w:val="15"/>
        <w:spacing w:beforeLines="0" w:before="30"/>
        <w:ind w:firstLineChars="200" w:firstLine="640"/>
        <w:rPr>
          <w:rFonts w:ascii="仿宋" w:eastAsia="仿宋" w:cs="楷体" w:hAnsi="仿宋"/>
          <w:b/>
          <w:bCs/>
          <w:sz w:val="32"/>
          <w:szCs w:val="32"/>
        </w:rPr>
      </w:pPr>
      <w:r>
        <w:rPr>
          <w:rFonts w:ascii="仿宋" w:eastAsia="仿宋" w:cs="楷体" w:hAnsi="仿宋" w:hint="eastAsia"/>
          <w:b/>
          <w:bCs/>
          <w:sz w:val="32"/>
          <w:szCs w:val="32"/>
        </w:rPr>
        <w:t>（三）项目自评步骤及方法</w:t>
      </w:r>
    </w:p>
    <w:p>
      <w:pPr>
        <w:adjustRightInd w:val="0"/>
        <w:snapToGrid w:val="0"/>
        <w:spacing w:line="600" w:lineRule="exact"/>
        <w:ind w:firstLineChars="200" w:firstLine="640"/>
        <w:rPr>
          <w:rFonts w:ascii="仿宋" w:eastAsia="仿宋" w:cs="方正仿宋简体" w:hAnsi="仿宋"/>
          <w:kern w:val="0"/>
          <w:sz w:val="32"/>
          <w:szCs w:val="32"/>
        </w:rPr>
      </w:pPr>
      <w:r>
        <w:rPr>
          <w:rFonts w:ascii="仿宋" w:eastAsia="仿宋" w:cs="方正仿宋简体" w:hAnsi="仿宋" w:hint="eastAsia"/>
          <w:kern w:val="0"/>
          <w:sz w:val="32"/>
          <w:szCs w:val="32"/>
        </w:rPr>
        <w:t>根据《项目支出绩效评价管理办法》对绩效评价的要求，成立了绩效评价工作领导小组，对照绩效评价方案进行研究和部署，党组成员及各股室负责人全程参与，按照绩效评价方案的要求，对照各实施项目的内容全面评价。在评价过程中按照年初的项目预算绩效目标申报表的指标设置产出数量、质量、时效、成本，以及经济效益、社会效益、生态效益、可持续影响、服务对象满意度等指标开展项目绩效评价, 在评价过程中发现问题，查找原因，及时纠正偏差，为全面完成绩效目标制度措施。</w:t>
      </w:r>
    </w:p>
    <w:p>
      <w:pPr>
        <w:adjustRightInd w:val="0"/>
        <w:snapToGrid w:val="0"/>
        <w:spacing w:line="600" w:lineRule="exact"/>
        <w:ind w:firstLineChars="200" w:firstLine="640"/>
        <w:rPr>
          <w:rFonts w:ascii="方正仿宋简体" w:eastAsia="方正仿宋简体" w:cs="方正仿宋简体" w:hAnsi="方正仿宋简体"/>
          <w:b/>
          <w:bCs/>
          <w:sz w:val="32"/>
          <w:szCs w:val="32"/>
        </w:rPr>
      </w:pPr>
      <w:r>
        <w:rPr>
          <w:rFonts w:ascii="方正仿宋简体" w:eastAsia="方正仿宋简体" w:cs="方正仿宋简体" w:hAnsi="方正仿宋简体" w:hint="eastAsia"/>
          <w:b/>
          <w:bCs/>
          <w:sz w:val="32"/>
          <w:szCs w:val="32"/>
        </w:rPr>
        <w:t>二、项目资金申报及使用情况</w:t>
      </w:r>
    </w:p>
    <w:p>
      <w:pPr>
        <w:pStyle w:val="15"/>
        <w:spacing w:beforeLines="0" w:before="30" w:line="576" w:lineRule="exact"/>
        <w:ind w:firstLineChars="200" w:firstLine="640"/>
        <w:rPr>
          <w:rFonts w:ascii="楷体" w:eastAsia="楷体" w:cs="楷体" w:hAnsi="楷体"/>
          <w:b/>
          <w:bCs/>
          <w:kern w:val="2"/>
          <w:sz w:val="32"/>
          <w:szCs w:val="32"/>
        </w:rPr>
      </w:pPr>
      <w:r>
        <w:rPr>
          <w:rFonts w:ascii="楷体" w:eastAsia="楷体" w:cs="楷体" w:hAnsi="楷体" w:hint="eastAsia"/>
          <w:b/>
          <w:bCs/>
          <w:kern w:val="2"/>
          <w:sz w:val="32"/>
          <w:szCs w:val="32"/>
        </w:rPr>
        <w:t>（一）项目资金申报及批复情况</w:t>
      </w:r>
    </w:p>
    <w:p>
      <w:pPr>
        <w:adjustRightInd w:val="0"/>
        <w:snapToGrid w:val="0"/>
        <w:spacing w:line="576"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该项目年初预算103.79万元，预算批复103.79万元，上年结转85.02万元，全年预算收入188.81万元，决算支出188.81万元，完成全年预算</w:t>
      </w:r>
      <w:r>
        <w:rPr>
          <w:rFonts w:cs="仿宋_GB2312" w:hAnsi="仿宋_GB2312" w:hint="eastAsia"/>
          <w:sz w:val="32"/>
          <w:szCs w:val="32"/>
        </w:rPr>
        <w:t>支出</w:t>
      </w:r>
      <w:r>
        <w:rPr>
          <w:rFonts w:ascii="仿宋_GB2312" w:eastAsia="仿宋_GB2312" w:cs="仿宋_GB2312" w:hAnsi="仿宋_GB2312" w:hint="eastAsia"/>
          <w:sz w:val="32"/>
          <w:szCs w:val="32"/>
        </w:rPr>
        <w:t>的100%。</w:t>
      </w:r>
    </w:p>
    <w:p>
      <w:pPr>
        <w:adjustRightInd w:val="0"/>
        <w:snapToGrid w:val="0"/>
        <w:spacing w:line="576" w:lineRule="exact"/>
        <w:ind w:firstLineChars="200" w:firstLine="640"/>
        <w:rPr>
          <w:rFonts w:ascii="楷体" w:eastAsia="楷体" w:cs="楷体" w:hAnsi="楷体"/>
          <w:b/>
          <w:bCs/>
          <w:sz w:val="32"/>
          <w:szCs w:val="32"/>
        </w:rPr>
      </w:pPr>
      <w:r>
        <w:rPr>
          <w:rFonts w:ascii="楷体" w:eastAsia="楷体" w:cs="楷体" w:hAnsi="楷体" w:hint="eastAsia"/>
          <w:b/>
          <w:bCs/>
          <w:sz w:val="32"/>
          <w:szCs w:val="32"/>
        </w:rPr>
        <w:t>（二）资金计划、到位及使用情况</w:t>
      </w:r>
    </w:p>
    <w:p>
      <w:pPr>
        <w:pStyle w:val="15"/>
        <w:spacing w:beforeLines="0" w:before="30"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rPr>
        <w:t>项目资金188.81万元，全额纳入区财政支付平台管理，全年支出188.81万元，完成预算的100%。</w:t>
      </w:r>
    </w:p>
    <w:p>
      <w:pPr>
        <w:pStyle w:val="15"/>
        <w:spacing w:beforeLines="0" w:before="30" w:line="576" w:lineRule="exact"/>
        <w:ind w:firstLineChars="200" w:firstLine="640"/>
        <w:rPr>
          <w:rFonts w:ascii="仿宋" w:eastAsia="仿宋" w:cs="楷体" w:hAnsi="仿宋"/>
          <w:b/>
          <w:bCs/>
          <w:sz w:val="32"/>
          <w:szCs w:val="32"/>
        </w:rPr>
      </w:pPr>
      <w:r>
        <w:rPr>
          <w:rFonts w:ascii="仿宋" w:eastAsia="仿宋" w:cs="楷体" w:hAnsi="仿宋" w:hint="eastAsia"/>
          <w:sz w:val="32"/>
          <w:szCs w:val="32"/>
        </w:rPr>
        <w:t>（</w:t>
      </w:r>
      <w:r>
        <w:rPr>
          <w:rFonts w:ascii="仿宋" w:eastAsia="仿宋" w:cs="楷体" w:hAnsi="仿宋" w:hint="eastAsia"/>
          <w:b/>
          <w:bCs/>
          <w:sz w:val="32"/>
          <w:szCs w:val="32"/>
        </w:rPr>
        <w:t>三）项目财务管理情况</w:t>
      </w:r>
    </w:p>
    <w:p>
      <w:pPr>
        <w:pStyle w:val="15"/>
        <w:spacing w:beforeLines="0" w:before="30"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lang w:val="zh-CN"/>
        </w:rPr>
        <w:t>区审计局财务管理制度健全，严格执行财务管理制度，账务处理及时，会计核算规范。</w:t>
      </w:r>
    </w:p>
    <w:p>
      <w:pPr>
        <w:pStyle w:val="15"/>
        <w:spacing w:beforeLines="0" w:before="30" w:line="576" w:lineRule="exact"/>
        <w:ind w:firstLineChars="200" w:firstLine="640"/>
        <w:rPr>
          <w:rFonts w:ascii="仿宋" w:eastAsia="仿宋" w:cs="楷体" w:hAnsi="仿宋"/>
          <w:b/>
          <w:bCs/>
          <w:sz w:val="32"/>
          <w:szCs w:val="32"/>
        </w:rPr>
      </w:pPr>
      <w:r>
        <w:rPr>
          <w:rFonts w:ascii="仿宋" w:eastAsia="仿宋" w:cs="楷体" w:hAnsi="仿宋" w:hint="eastAsia"/>
          <w:b/>
          <w:bCs/>
          <w:sz w:val="32"/>
          <w:szCs w:val="32"/>
        </w:rPr>
        <w:t>三、项目实施及管理情况</w:t>
      </w:r>
    </w:p>
    <w:p>
      <w:pPr>
        <w:pStyle w:val="15"/>
        <w:spacing w:beforeLines="0" w:before="30" w:line="576" w:lineRule="exact"/>
        <w:ind w:firstLineChars="200" w:firstLine="640"/>
        <w:rPr>
          <w:rFonts w:ascii="仿宋" w:eastAsia="仿宋" w:cs="方正仿宋简体" w:hAnsi="仿宋"/>
          <w:b/>
          <w:bCs/>
          <w:sz w:val="32"/>
          <w:szCs w:val="32"/>
        </w:rPr>
      </w:pPr>
      <w:r>
        <w:rPr>
          <w:rFonts w:ascii="仿宋" w:eastAsia="仿宋" w:cs="楷体" w:hAnsi="仿宋" w:hint="eastAsia"/>
          <w:b/>
          <w:bCs/>
          <w:sz w:val="32"/>
          <w:szCs w:val="32"/>
        </w:rPr>
        <w:t>（一）项目组织架构及流程</w:t>
      </w:r>
    </w:p>
    <w:p>
      <w:pPr>
        <w:pStyle w:val="15"/>
        <w:spacing w:beforeLines="0" w:before="30" w:line="576" w:lineRule="exact"/>
        <w:ind w:firstLineChars="200" w:firstLine="620"/>
        <w:rPr>
          <w:rFonts w:ascii="仿宋" w:eastAsia="仿宋" w:cs="方正仿宋简体" w:hAnsi="仿宋"/>
          <w:sz w:val="32"/>
          <w:szCs w:val="32"/>
        </w:rPr>
      </w:pPr>
      <w:r>
        <w:rPr>
          <w:rFonts w:ascii="仿宋" w:eastAsia="仿宋" w:cs="仿宋_GB2312" w:hAnsi="仿宋" w:hint="eastAsia"/>
          <w:color w:val="000000"/>
          <w:sz w:val="31"/>
          <w:szCs w:val="31"/>
        </w:rPr>
        <w:t>一是</w:t>
      </w:r>
      <w:r>
        <w:rPr>
          <w:rFonts w:ascii="仿宋" w:eastAsia="仿宋" w:cs="仿宋_GB2312" w:hAnsi="仿宋"/>
          <w:color w:val="000000"/>
          <w:sz w:val="31"/>
          <w:szCs w:val="31"/>
        </w:rPr>
        <w:t>制定工作计划和目标任务</w:t>
      </w:r>
      <w:r>
        <w:rPr>
          <w:rFonts w:ascii="仿宋" w:eastAsia="仿宋" w:cs="仿宋_GB2312" w:hAnsi="仿宋" w:hint="eastAsia"/>
          <w:color w:val="000000"/>
          <w:sz w:val="31"/>
          <w:szCs w:val="31"/>
        </w:rPr>
        <w:t>，二是</w:t>
      </w:r>
      <w:r>
        <w:rPr>
          <w:rFonts w:ascii="仿宋" w:eastAsia="仿宋" w:cs="仿宋_GB2312" w:hAnsi="仿宋"/>
          <w:color w:val="000000"/>
          <w:sz w:val="31"/>
          <w:szCs w:val="31"/>
        </w:rPr>
        <w:t>落实项目实施具体责任人</w:t>
      </w:r>
      <w:r>
        <w:rPr>
          <w:rFonts w:ascii="仿宋" w:eastAsia="仿宋" w:cs="仿宋_GB2312" w:hAnsi="仿宋" w:hint="eastAsia"/>
          <w:color w:val="000000"/>
          <w:sz w:val="31"/>
          <w:szCs w:val="31"/>
        </w:rPr>
        <w:t>，三是</w:t>
      </w:r>
      <w:r>
        <w:rPr>
          <w:rFonts w:ascii="仿宋" w:eastAsia="仿宋" w:cs="仿宋_GB2312" w:hAnsi="仿宋"/>
          <w:color w:val="000000"/>
          <w:sz w:val="31"/>
          <w:szCs w:val="31"/>
        </w:rPr>
        <w:t>按照计划开展工作</w:t>
      </w:r>
      <w:r>
        <w:rPr>
          <w:rFonts w:ascii="仿宋" w:eastAsia="仿宋" w:cs="仿宋_GB2312" w:hAnsi="仿宋" w:hint="eastAsia"/>
          <w:color w:val="000000"/>
          <w:sz w:val="31"/>
          <w:szCs w:val="31"/>
        </w:rPr>
        <w:t>，四是</w:t>
      </w:r>
      <w:r>
        <w:rPr>
          <w:rFonts w:ascii="仿宋" w:eastAsia="仿宋" w:cs="方正仿宋简体" w:hAnsi="仿宋" w:hint="eastAsia"/>
          <w:sz w:val="32"/>
          <w:szCs w:val="32"/>
        </w:rPr>
        <w:t>根据《广元市利州区政府投资项目管理办法（试行）》开展对政府投资项目开展工程结算审计。该项工作由区审计局投资审计股及区固定资产投资审计中心具体组织实施。</w:t>
      </w:r>
    </w:p>
    <w:p>
      <w:pPr>
        <w:pStyle w:val="15"/>
        <w:spacing w:beforeLines="0" w:before="30" w:line="576" w:lineRule="exact"/>
        <w:ind w:firstLineChars="200" w:firstLine="640"/>
        <w:rPr>
          <w:rFonts w:ascii="仿宋" w:eastAsia="仿宋" w:cs="楷体" w:hAnsi="仿宋"/>
          <w:b/>
          <w:bCs/>
          <w:sz w:val="32"/>
          <w:szCs w:val="32"/>
        </w:rPr>
      </w:pPr>
      <w:r>
        <w:rPr>
          <w:rFonts w:ascii="仿宋" w:eastAsia="仿宋" w:cs="楷体" w:hAnsi="仿宋" w:hint="eastAsia"/>
          <w:b/>
          <w:bCs/>
          <w:sz w:val="32"/>
          <w:szCs w:val="32"/>
        </w:rPr>
        <w:t>（二）项目管理情况</w:t>
      </w:r>
    </w:p>
    <w:p>
      <w:pPr>
        <w:pStyle w:val="15"/>
        <w:spacing w:beforeLines="0" w:before="30" w:line="576" w:lineRule="exact"/>
        <w:ind w:firstLineChars="300" w:firstLine="960"/>
        <w:rPr>
          <w:rFonts w:ascii="仿宋" w:eastAsia="仿宋" w:cs="方正仿宋简体" w:hAnsi="仿宋"/>
          <w:kern w:val="2"/>
          <w:sz w:val="32"/>
          <w:szCs w:val="32"/>
        </w:rPr>
      </w:pPr>
      <w:r>
        <w:rPr>
          <w:rFonts w:ascii="仿宋" w:eastAsia="仿宋" w:cs="方正仿宋简体" w:hAnsi="仿宋" w:hint="eastAsia"/>
          <w:kern w:val="2"/>
          <w:sz w:val="32"/>
          <w:szCs w:val="32"/>
        </w:rPr>
        <w:t>2021年完成政府投资竣工（决）结算审计项目23个，送审金额17400.12万元，审计核实金额15904.06万元,审减金额1496.06万元，平均审减率8.60%；委托中介独立审计完成200万元以下备案项目33个,送审金额2677.24万元, 审计核实金额2492.33万元,审减184.90万元,平均审减率6.91%；投资审减共节约财政支出1680.96万元</w:t>
      </w:r>
    </w:p>
    <w:p>
      <w:pPr>
        <w:pStyle w:val="15"/>
        <w:spacing w:beforeLines="0" w:before="30" w:line="576" w:lineRule="exact"/>
        <w:ind w:firstLineChars="200" w:firstLine="640"/>
        <w:rPr>
          <w:rFonts w:ascii="仿宋" w:eastAsia="仿宋" w:cs="楷体" w:hAnsi="仿宋"/>
          <w:b/>
          <w:bCs/>
          <w:kern w:val="2"/>
          <w:sz w:val="32"/>
          <w:szCs w:val="32"/>
        </w:rPr>
      </w:pPr>
      <w:r>
        <w:rPr>
          <w:rFonts w:ascii="仿宋" w:eastAsia="仿宋" w:cs="方正仿宋简体" w:hAnsi="仿宋" w:hint="eastAsia"/>
          <w:kern w:val="2"/>
          <w:sz w:val="32"/>
          <w:szCs w:val="32"/>
        </w:rPr>
        <w:t>（三）</w:t>
      </w:r>
      <w:r>
        <w:rPr>
          <w:rFonts w:ascii="仿宋" w:eastAsia="仿宋" w:cs="楷体" w:hAnsi="仿宋" w:hint="eastAsia"/>
          <w:b/>
          <w:bCs/>
          <w:kern w:val="2"/>
          <w:sz w:val="32"/>
          <w:szCs w:val="32"/>
        </w:rPr>
        <w:t>项目监管情况</w:t>
      </w:r>
    </w:p>
    <w:p>
      <w:pPr>
        <w:pStyle w:val="15"/>
        <w:spacing w:beforeLines="0" w:before="30"/>
        <w:ind w:firstLineChars="200" w:firstLine="640"/>
        <w:rPr>
          <w:rFonts w:ascii="仿宋" w:eastAsia="仿宋" w:cs="方正仿宋简体" w:hAnsi="仿宋"/>
          <w:sz w:val="32"/>
          <w:szCs w:val="32"/>
          <w:lang w:val="zh-CN"/>
        </w:rPr>
      </w:pPr>
      <w:r>
        <w:rPr>
          <w:rFonts w:ascii="仿宋" w:eastAsia="仿宋" w:cs="方正仿宋简体" w:hAnsi="仿宋" w:hint="eastAsia"/>
          <w:sz w:val="32"/>
          <w:szCs w:val="32"/>
          <w:lang w:val="zh-CN"/>
        </w:rPr>
        <w:t>该项目由</w:t>
      </w:r>
      <w:r>
        <w:rPr>
          <w:rFonts w:ascii="仿宋" w:eastAsia="仿宋" w:cs="方正仿宋简体" w:hAnsi="仿宋" w:hint="eastAsia"/>
          <w:sz w:val="32"/>
          <w:szCs w:val="32"/>
        </w:rPr>
        <w:t>区审计局投资审计股及区固定资产投资审计中心具体组织实施</w:t>
      </w:r>
      <w:r>
        <w:rPr>
          <w:rFonts w:ascii="仿宋" w:eastAsia="仿宋" w:cs="方正仿宋简体" w:hAnsi="仿宋" w:hint="eastAsia"/>
          <w:sz w:val="32"/>
          <w:szCs w:val="32"/>
          <w:lang w:val="zh-CN"/>
        </w:rPr>
        <w:t>，项目实施严格按照《中华人民共和国审计法》《中华人民共和国国家审计准则》《中华人民共和国审计法实施条例》开展审计工作。</w:t>
      </w:r>
    </w:p>
    <w:p>
      <w:pPr>
        <w:pStyle w:val="15"/>
        <w:spacing w:beforeLines="0" w:before="30"/>
        <w:ind w:firstLineChars="200" w:firstLine="640"/>
        <w:rPr>
          <w:rFonts w:ascii="仿宋" w:eastAsia="仿宋" w:cs="楷体" w:hAnsi="仿宋"/>
          <w:b/>
          <w:bCs/>
          <w:sz w:val="32"/>
          <w:szCs w:val="32"/>
        </w:rPr>
      </w:pPr>
      <w:r>
        <w:rPr>
          <w:rFonts w:ascii="仿宋" w:eastAsia="仿宋" w:cs="楷体" w:hAnsi="仿宋" w:hint="eastAsia"/>
          <w:b/>
          <w:bCs/>
          <w:sz w:val="32"/>
          <w:szCs w:val="32"/>
          <w:lang w:val="zh-CN"/>
        </w:rPr>
        <w:t>四、项目绩效情况</w:t>
      </w:r>
      <w:r>
        <w:rPr>
          <w:rFonts w:ascii="仿宋" w:eastAsia="仿宋" w:cs="楷体" w:hAnsi="仿宋" w:hint="eastAsia"/>
          <w:b/>
          <w:bCs/>
          <w:color w:val="0000FF"/>
          <w:sz w:val="32"/>
          <w:szCs w:val="32"/>
        </w:rPr>
        <w:t xml:space="preserve">   </w:t>
      </w:r>
    </w:p>
    <w:p>
      <w:pPr>
        <w:pStyle w:val="15"/>
        <w:spacing w:beforeLines="0" w:before="30"/>
        <w:ind w:firstLineChars="200" w:firstLine="640"/>
        <w:rPr>
          <w:rFonts w:ascii="仿宋" w:eastAsia="仿宋" w:cs="楷体" w:hAnsi="仿宋"/>
          <w:b/>
          <w:bCs/>
          <w:sz w:val="32"/>
          <w:szCs w:val="32"/>
        </w:rPr>
      </w:pPr>
      <w:r>
        <w:rPr>
          <w:rFonts w:ascii="仿宋" w:eastAsia="仿宋" w:cs="楷体" w:hAnsi="仿宋" w:hint="eastAsia"/>
          <w:b/>
          <w:bCs/>
          <w:sz w:val="32"/>
          <w:szCs w:val="32"/>
        </w:rPr>
        <w:t>（一）项目完成情况</w:t>
      </w:r>
    </w:p>
    <w:p>
      <w:pPr>
        <w:pStyle w:val="15"/>
        <w:spacing w:beforeLines="0" w:before="30"/>
        <w:ind w:firstLineChars="200" w:firstLine="640"/>
        <w:rPr>
          <w:rFonts w:ascii="仿宋" w:eastAsia="仿宋" w:cs="方正仿宋简体" w:hAnsi="仿宋"/>
          <w:sz w:val="32"/>
          <w:szCs w:val="32"/>
        </w:rPr>
      </w:pPr>
      <w:r>
        <w:rPr>
          <w:rFonts w:ascii="仿宋" w:eastAsia="仿宋" w:cs="方正仿宋简体" w:hAnsi="仿宋" w:hint="eastAsia"/>
          <w:sz w:val="32"/>
          <w:szCs w:val="32"/>
        </w:rPr>
        <w:t>年初该项目设置质量指标3项，时效指标2项，成本指标3项，经济效益指标1项，生态效益指标1项，社会效益指标1项，满意度指标1项，年末项目绩效目标全部实现，</w:t>
      </w:r>
      <w:r>
        <w:rPr>
          <w:rFonts w:ascii="仿宋" w:eastAsia="仿宋" w:cs="方正仿宋简体" w:hAnsi="仿宋" w:hint="eastAsia"/>
          <w:kern w:val="2"/>
          <w:sz w:val="32"/>
          <w:szCs w:val="32"/>
        </w:rPr>
        <w:t>2021年完成政府投资竣工（决）结算审计项目23个，送审金额17400.12万元，审计核实金额15904.06万元,审减金额1496.06万元，平均审减率8.60%；委托中介独立审计完成200万元以下备案项目33个,送审金额2677.24万元, 审计核实金额2492.33万元,审减184.90万元,平均审减率6.91%；投资审减共节约财政支出1680.96万元。</w:t>
      </w:r>
    </w:p>
    <w:p>
      <w:pPr>
        <w:pStyle w:val="15"/>
        <w:spacing w:beforeLines="0" w:before="30" w:line="576" w:lineRule="exact"/>
        <w:ind w:firstLineChars="200" w:firstLine="640"/>
        <w:rPr>
          <w:rFonts w:ascii="仿宋" w:eastAsia="仿宋" w:cs="楷体" w:hAnsi="仿宋"/>
          <w:b/>
          <w:bCs/>
          <w:sz w:val="32"/>
          <w:szCs w:val="32"/>
        </w:rPr>
      </w:pPr>
      <w:r>
        <w:rPr>
          <w:rFonts w:ascii="仿宋" w:eastAsia="仿宋" w:cs="楷体" w:hAnsi="仿宋" w:hint="eastAsia"/>
          <w:b/>
          <w:bCs/>
          <w:sz w:val="32"/>
          <w:szCs w:val="32"/>
        </w:rPr>
        <w:t>（二）项目效益情况</w:t>
      </w:r>
    </w:p>
    <w:p>
      <w:pPr>
        <w:pStyle w:val="15"/>
        <w:spacing w:beforeLines="0" w:before="30"/>
        <w:ind w:firstLineChars="200" w:firstLine="640"/>
        <w:rPr>
          <w:rFonts w:ascii="仿宋" w:eastAsia="仿宋" w:cs="方正仿宋简体" w:hAnsi="仿宋"/>
          <w:sz w:val="32"/>
          <w:szCs w:val="32"/>
        </w:rPr>
      </w:pPr>
      <w:r>
        <w:rPr>
          <w:rFonts w:ascii="仿宋" w:eastAsia="仿宋" w:cs="方正仿宋简体" w:hAnsi="仿宋" w:hint="eastAsia"/>
          <w:sz w:val="32"/>
          <w:szCs w:val="32"/>
        </w:rPr>
        <w:t>年初该项目设置质量指标3项，时效指标2项，成本指标3项，经济效益指标1项，生态效益指标1项，社会效益指标1项，满意度指标1项，</w:t>
      </w:r>
      <w:r>
        <w:rPr>
          <w:rFonts w:ascii="仿宋" w:eastAsia="仿宋" w:cs="方正仿宋简体" w:hAnsi="仿宋" w:hint="eastAsia"/>
          <w:kern w:val="2"/>
          <w:sz w:val="32"/>
          <w:szCs w:val="32"/>
        </w:rPr>
        <w:t>投资审减共节约财政支出1680.96万元。</w:t>
      </w:r>
    </w:p>
    <w:p>
      <w:pPr>
        <w:pStyle w:val="15"/>
        <w:spacing w:beforeLines="0" w:before="30" w:line="576" w:lineRule="exact"/>
        <w:ind w:firstLineChars="200" w:firstLine="640"/>
        <w:rPr>
          <w:rFonts w:ascii="仿宋" w:eastAsia="仿宋" w:cs="楷体" w:hAnsi="仿宋"/>
          <w:b/>
          <w:bCs/>
          <w:sz w:val="32"/>
          <w:szCs w:val="32"/>
        </w:rPr>
      </w:pPr>
      <w:r>
        <w:rPr>
          <w:rFonts w:ascii="仿宋" w:eastAsia="仿宋" w:cs="楷体" w:hAnsi="仿宋" w:hint="eastAsia"/>
          <w:b/>
          <w:bCs/>
          <w:sz w:val="32"/>
          <w:szCs w:val="32"/>
        </w:rPr>
        <w:t>五、评价结论及建议</w:t>
      </w:r>
    </w:p>
    <w:p>
      <w:pPr>
        <w:pStyle w:val="15"/>
        <w:spacing w:beforeLines="0" w:before="30" w:line="576" w:lineRule="exact"/>
        <w:ind w:firstLineChars="200" w:firstLine="640"/>
        <w:rPr>
          <w:rFonts w:ascii="仿宋" w:eastAsia="仿宋" w:cs="楷体" w:hAnsi="仿宋"/>
          <w:b/>
          <w:bCs/>
          <w:sz w:val="32"/>
          <w:szCs w:val="32"/>
        </w:rPr>
      </w:pPr>
      <w:r>
        <w:rPr>
          <w:rFonts w:ascii="仿宋" w:eastAsia="仿宋" w:cs="楷体" w:hAnsi="仿宋" w:hint="eastAsia"/>
          <w:b/>
          <w:bCs/>
          <w:sz w:val="32"/>
          <w:szCs w:val="32"/>
        </w:rPr>
        <w:t>(一)评价结论</w:t>
      </w:r>
    </w:p>
    <w:p>
      <w:pPr>
        <w:pStyle w:val="15"/>
        <w:spacing w:beforeLines="0" w:before="30" w:line="576" w:lineRule="exact"/>
        <w:ind w:firstLineChars="200" w:firstLine="640"/>
        <w:rPr>
          <w:rFonts w:ascii="仿宋" w:eastAsia="仿宋" w:cs="方正仿宋简体" w:hAnsi="仿宋"/>
          <w:sz w:val="32"/>
          <w:szCs w:val="32"/>
          <w:lang w:val="zh-CN"/>
        </w:rPr>
      </w:pPr>
      <w:r>
        <w:rPr>
          <w:rFonts w:ascii="仿宋" w:eastAsia="仿宋" w:cs="方正仿宋简体" w:hAnsi="仿宋" w:hint="eastAsia"/>
          <w:sz w:val="32"/>
          <w:szCs w:val="32"/>
          <w:lang w:val="zh-CN"/>
        </w:rPr>
        <w:t>项目年初设定的项目绩效目标编制合理，设定的各项指标可行，资金使用规范，该项目的实施，</w:t>
      </w:r>
      <w:r>
        <w:rPr>
          <w:rFonts w:ascii="仿宋" w:eastAsia="仿宋" w:cs="方正仿宋简体" w:hAnsi="仿宋" w:hint="eastAsia"/>
          <w:sz w:val="32"/>
          <w:szCs w:val="32"/>
        </w:rPr>
        <w:t>对提高财政资金监督使用绩效，强化工程项目审计监督， 围绕全区经济高量发展，聚焦全区重点项目建设，加大对政府投资规范管理的提供了有力保障，项目自评得分96分。</w:t>
      </w:r>
    </w:p>
    <w:p>
      <w:pPr>
        <w:adjustRightInd w:val="0"/>
        <w:snapToGrid w:val="0"/>
        <w:spacing w:line="576" w:lineRule="exact"/>
        <w:ind w:firstLineChars="200" w:firstLine="640"/>
        <w:rPr>
          <w:rFonts w:ascii="仿宋" w:eastAsia="仿宋" w:cs="楷体" w:hAnsi="仿宋"/>
          <w:b/>
          <w:bCs/>
          <w:sz w:val="32"/>
          <w:szCs w:val="32"/>
          <w:lang w:val="zh-CN"/>
        </w:rPr>
      </w:pPr>
      <w:r>
        <w:rPr>
          <w:rFonts w:ascii="仿宋" w:eastAsia="仿宋" w:cs="楷体" w:hAnsi="仿宋" w:hint="eastAsia"/>
          <w:b/>
          <w:bCs/>
          <w:sz w:val="32"/>
          <w:szCs w:val="32"/>
          <w:lang w:val="zh-CN"/>
        </w:rPr>
        <w:t>（二）存在的问题</w:t>
      </w:r>
    </w:p>
    <w:p>
      <w:pPr>
        <w:adjustRightInd w:val="0"/>
        <w:snapToGrid w:val="0"/>
        <w:spacing w:line="576" w:lineRule="exact"/>
        <w:ind w:firstLineChars="200" w:firstLine="640"/>
        <w:rPr>
          <w:rFonts w:ascii="仿宋" w:eastAsia="仿宋" w:cs="方正仿宋简体" w:hAnsi="仿宋"/>
          <w:sz w:val="32"/>
          <w:szCs w:val="32"/>
          <w:lang w:val="zh-CN"/>
        </w:rPr>
      </w:pPr>
      <w:r>
        <w:rPr>
          <w:rFonts w:ascii="仿宋" w:eastAsia="仿宋" w:cs="方正仿宋简体" w:hAnsi="仿宋" w:hint="eastAsia"/>
          <w:sz w:val="32"/>
          <w:szCs w:val="32"/>
          <w:lang w:val="zh-CN"/>
        </w:rPr>
        <w:t>因财务人员对该项目实施过程中部分事项了解不全面，项目绩效三级指标设计部分与实际不相符，造成评价产生差异。</w:t>
        <w:tab/>
      </w:r>
    </w:p>
    <w:p>
      <w:pPr>
        <w:adjustRightInd w:val="0"/>
        <w:snapToGrid w:val="0"/>
        <w:spacing w:line="576" w:lineRule="exact"/>
        <w:ind w:firstLineChars="200" w:firstLine="640"/>
        <w:rPr>
          <w:rFonts w:ascii="仿宋" w:eastAsia="仿宋" w:cs="楷体" w:hAnsi="仿宋"/>
          <w:b/>
          <w:bCs/>
          <w:sz w:val="32"/>
          <w:szCs w:val="32"/>
          <w:lang w:val="zh-CN"/>
        </w:rPr>
      </w:pPr>
      <w:r>
        <w:rPr>
          <w:rFonts w:ascii="仿宋" w:eastAsia="仿宋" w:cs="楷体" w:hAnsi="仿宋" w:hint="eastAsia"/>
          <w:b/>
          <w:bCs/>
          <w:sz w:val="32"/>
          <w:szCs w:val="32"/>
          <w:lang w:val="zh-CN"/>
        </w:rPr>
        <w:t>（三）相关建议</w:t>
      </w:r>
    </w:p>
    <w:p>
      <w:pPr>
        <w:spacing w:line="576" w:lineRule="exact"/>
        <w:ind w:firstLineChars="200" w:firstLine="640"/>
        <w:rPr>
          <w:rFonts w:ascii="仿宋" w:eastAsia="仿宋" w:cs="方正仿宋简体" w:hAnsi="仿宋"/>
          <w:sz w:val="32"/>
          <w:szCs w:val="32"/>
          <w:lang w:val="zh-CN"/>
        </w:rPr>
      </w:pPr>
      <w:r>
        <w:rPr>
          <w:rFonts w:ascii="仿宋" w:eastAsia="仿宋" w:cs="方正仿宋简体" w:hAnsi="仿宋" w:hint="eastAsia"/>
          <w:sz w:val="32"/>
          <w:szCs w:val="32"/>
          <w:lang w:val="zh-CN"/>
        </w:rPr>
        <w:t>年初编制项目预算绩效时应由项目实施股室及经办人员全过程参与，按项目实际情况设定指标权重，减少项目完工后评价的分歧。</w:t>
      </w:r>
    </w:p>
    <w:p>
      <w:pPr>
        <w:spacing w:line="600" w:lineRule="exact"/>
        <w:ind w:firstLineChars="200" w:firstLine="640"/>
        <w:rPr>
          <w:rFonts w:ascii="仿宋" w:eastAsia="仿宋" w:cs="方正仿宋简体" w:hAnsi="仿宋"/>
          <w:sz w:val="32"/>
          <w:szCs w:val="32"/>
        </w:rPr>
      </w:pPr>
    </w:p>
    <w:p>
      <w:pPr>
        <w:spacing w:line="600" w:lineRule="exact"/>
        <w:ind w:firstLineChars="200" w:firstLine="640"/>
        <w:rPr>
          <w:rFonts w:ascii="仿宋" w:eastAsia="仿宋" w:cs="方正仿宋简体" w:hAnsi="仿宋"/>
          <w:sz w:val="32"/>
          <w:szCs w:val="32"/>
        </w:rPr>
      </w:pPr>
    </w:p>
    <w:p>
      <w:pPr>
        <w:spacing w:line="600" w:lineRule="exact"/>
        <w:ind w:firstLineChars="200" w:firstLine="640"/>
        <w:rPr>
          <w:rFonts w:ascii="仿宋" w:eastAsia="仿宋" w:cs="方正仿宋简体" w:hAnsi="仿宋"/>
          <w:sz w:val="32"/>
          <w:szCs w:val="32"/>
        </w:rPr>
      </w:pPr>
    </w:p>
    <w:p>
      <w:pPr>
        <w:spacing w:line="600" w:lineRule="exact"/>
        <w:jc w:val="center"/>
        <w:rPr>
          <w:rFonts w:ascii="方正黑体简体" w:eastAsia="方正黑体简体" w:cs="方正黑体简体" w:hAnsi="方正黑体简体"/>
          <w:sz w:val="40"/>
          <w:szCs w:val="40"/>
        </w:rPr>
      </w:pPr>
    </w:p>
    <w:p>
      <w:pPr>
        <w:spacing w:line="600" w:lineRule="exact"/>
        <w:jc w:val="center"/>
        <w:rPr>
          <w:rFonts w:ascii="方正黑体简体" w:eastAsia="方正黑体简体" w:cs="方正黑体简体" w:hAnsi="方正黑体简体"/>
          <w:sz w:val="40"/>
          <w:szCs w:val="40"/>
          <w:lang w:val="zh-CN"/>
        </w:rPr>
      </w:pPr>
      <w:r>
        <w:rPr>
          <w:rFonts w:ascii="方正黑体简体" w:eastAsia="方正黑体简体" w:cs="方正黑体简体" w:hAnsi="方正黑体简体" w:hint="eastAsia"/>
          <w:sz w:val="40"/>
          <w:szCs w:val="40"/>
        </w:rPr>
        <w:t>2022年</w:t>
      </w:r>
      <w:r>
        <w:rPr>
          <w:rFonts w:ascii="方正黑体简体" w:eastAsia="方正黑体简体" w:cs="方正黑体简体" w:hAnsi="方正黑体简体" w:hint="eastAsia"/>
          <w:sz w:val="40"/>
          <w:szCs w:val="40"/>
          <w:lang w:val="zh-CN"/>
        </w:rPr>
        <w:t>专项预算项目支出绩效自评报告</w:t>
      </w:r>
    </w:p>
    <w:p>
      <w:pPr>
        <w:spacing w:line="600" w:lineRule="exact"/>
        <w:jc w:val="center"/>
        <w:rPr>
          <w:rFonts w:ascii="方正黑体简体" w:eastAsia="方正黑体简体" w:cs="方正黑体简体" w:hAnsi="方正黑体简体"/>
          <w:sz w:val="40"/>
          <w:szCs w:val="40"/>
          <w:lang w:val="zh-CN"/>
        </w:rPr>
      </w:pPr>
      <w:r>
        <w:rPr>
          <w:rFonts w:ascii="方正黑体简体" w:eastAsia="方正黑体简体" w:cs="方正黑体简体" w:hAnsi="方正黑体简体" w:hint="eastAsia"/>
          <w:sz w:val="40"/>
          <w:szCs w:val="40"/>
          <w:lang w:val="zh-CN"/>
        </w:rPr>
        <w:t>（政府重大投资跟踪审计管理项目）</w:t>
      </w:r>
    </w:p>
    <w:p>
      <w:pPr>
        <w:adjustRightInd w:val="0"/>
        <w:snapToGrid w:val="0"/>
        <w:spacing w:line="576" w:lineRule="exact"/>
        <w:ind w:firstLineChars="200" w:firstLine="640"/>
        <w:rPr>
          <w:rFonts w:ascii="楷体" w:eastAsia="楷体" w:cs="楷体" w:hAnsi="楷体"/>
          <w:b/>
          <w:bCs/>
          <w:sz w:val="32"/>
          <w:szCs w:val="32"/>
        </w:rPr>
      </w:pPr>
      <w:r>
        <w:rPr>
          <w:rFonts w:ascii="楷体" w:eastAsia="楷体" w:cs="楷体" w:hAnsi="楷体" w:hint="eastAsia"/>
          <w:b/>
          <w:bCs/>
          <w:sz w:val="32"/>
          <w:szCs w:val="32"/>
        </w:rPr>
        <w:t>一、</w:t>
      </w:r>
      <w:r>
        <w:rPr>
          <w:rFonts w:ascii="楷体" w:eastAsia="楷体" w:cs="楷体" w:hAnsi="楷体" w:hint="eastAsia"/>
          <w:b/>
          <w:bCs/>
          <w:sz w:val="32"/>
          <w:szCs w:val="32"/>
          <w:lang w:val="zh-CN"/>
        </w:rPr>
        <w:t>项目概况</w:t>
      </w:r>
    </w:p>
    <w:p>
      <w:pPr>
        <w:adjustRightInd w:val="0"/>
        <w:snapToGrid w:val="0"/>
        <w:spacing w:line="576" w:lineRule="exact"/>
        <w:ind w:firstLineChars="200" w:firstLine="640"/>
        <w:rPr>
          <w:rFonts w:ascii="楷体" w:eastAsia="楷体" w:cs="楷体" w:hAnsi="楷体"/>
          <w:b/>
          <w:bCs/>
          <w:sz w:val="32"/>
          <w:szCs w:val="32"/>
          <w:lang w:val="zh-CN"/>
        </w:rPr>
      </w:pPr>
      <w:r>
        <w:rPr>
          <w:rFonts w:ascii="楷体" w:eastAsia="楷体" w:cs="楷体" w:hAnsi="楷体" w:hint="eastAsia"/>
          <w:b/>
          <w:bCs/>
          <w:sz w:val="32"/>
          <w:szCs w:val="32"/>
          <w:lang w:val="zh-CN"/>
        </w:rPr>
        <w:t>（一）项目基本情况</w:t>
      </w:r>
    </w:p>
    <w:p>
      <w:pPr>
        <w:adjustRightInd w:val="0"/>
        <w:snapToGrid w:val="0"/>
        <w:spacing w:line="600" w:lineRule="exact"/>
        <w:ind w:firstLineChars="200" w:firstLine="640"/>
        <w:rPr>
          <w:rFonts w:ascii="方正仿宋简体" w:eastAsia="方正仿宋简体" w:cs="方正仿宋简体" w:hAnsi="方正仿宋简体"/>
          <w:sz w:val="32"/>
          <w:szCs w:val="32"/>
        </w:rPr>
      </w:pPr>
      <w:r>
        <w:rPr>
          <w:rFonts w:ascii="方正仿宋简体" w:eastAsia="方正仿宋简体" w:cs="方正仿宋简体" w:hAnsi="方正仿宋简体" w:hint="eastAsia"/>
          <w:sz w:val="32"/>
          <w:szCs w:val="32"/>
          <w:lang w:val="zh-CN"/>
        </w:rPr>
        <w:t>1.</w:t>
      </w:r>
      <w:r>
        <w:rPr>
          <w:rFonts w:ascii="仿宋" w:eastAsia="仿宋" w:cs="方正仿宋简体" w:hAnsi="仿宋" w:hint="eastAsia"/>
          <w:sz w:val="32"/>
          <w:szCs w:val="32"/>
        </w:rPr>
        <w:t>2022年</w:t>
      </w:r>
      <w:r>
        <w:rPr>
          <w:rFonts w:ascii="仿宋" w:eastAsia="仿宋" w:cs="仿宋" w:hAnsi="仿宋" w:hint="eastAsia"/>
          <w:color w:val="000000"/>
          <w:sz w:val="32"/>
          <w:szCs w:val="32"/>
        </w:rPr>
        <w:t>重点开展</w:t>
      </w:r>
      <w:r>
        <w:rPr>
          <w:rFonts w:ascii="仿宋" w:eastAsia="仿宋" w:cs="仿宋" w:hAnsi="仿宋" w:hint="eastAsia"/>
          <w:sz w:val="32"/>
          <w:szCs w:val="32"/>
        </w:rPr>
        <w:t>广元市利州区金龙湖片区城乡一体化建设（配套道路一期）等</w:t>
      </w:r>
      <w:r>
        <w:rPr>
          <w:rFonts w:ascii="仿宋" w:eastAsia="仿宋" w:cs="仿宋" w:hAnsi="仿宋" w:hint="eastAsia"/>
          <w:color w:val="000000"/>
          <w:sz w:val="32"/>
          <w:szCs w:val="32"/>
        </w:rPr>
        <w:t>10个政府重大投资项目全过程跟踪审计，监管资金45.58亿元，聘请社会审计组织按照合同开展审计工作，区审计局对聘请机构全过程审计情况开展审计质量控制管理工作。</w:t>
      </w:r>
    </w:p>
    <w:p>
      <w:pPr>
        <w:adjustRightInd w:val="0"/>
        <w:snapToGrid w:val="0"/>
        <w:spacing w:line="520" w:lineRule="exact"/>
        <w:ind w:firstLineChars="200" w:firstLine="640"/>
        <w:rPr>
          <w:rFonts w:ascii="仿宋" w:eastAsia="仿宋" w:cs="方正仿宋简体" w:hAnsi="仿宋"/>
          <w:kern w:val="0"/>
          <w:sz w:val="32"/>
          <w:szCs w:val="32"/>
        </w:rPr>
      </w:pPr>
      <w:r>
        <w:rPr>
          <w:rFonts w:ascii="仿宋" w:eastAsia="仿宋" w:cs="方正仿宋简体" w:hAnsi="仿宋" w:hint="eastAsia"/>
          <w:sz w:val="32"/>
          <w:szCs w:val="32"/>
          <w:lang w:val="zh-CN"/>
        </w:rPr>
        <w:t>2．</w:t>
      </w:r>
      <w:r>
        <w:rPr>
          <w:rFonts w:ascii="仿宋" w:eastAsia="仿宋" w:cs="方正仿宋简体" w:hAnsi="仿宋" w:hint="eastAsia"/>
          <w:kern w:val="0"/>
          <w:sz w:val="32"/>
          <w:szCs w:val="32"/>
        </w:rPr>
        <w:t>根据《中华人民共和国审计法》第二十三条 审计机关对政府和以政府投资为主的建设项目的预算执行情况和决算，对其他关系国家利益和公共利益的重大公共工程项目的资金管理使用和建设运营情况，进行审计监督。第十一条审计机关履行职责所必需的经费，应当列入预算予以保障，审计署印发的《审计署关于进一步完善和规范投资审计工作的意见》（审投发〔2017〕30号），《广元市利州区投资建设项目跟踪审计实施办法》等相关规定，申报项目资金。</w:t>
      </w:r>
    </w:p>
    <w:p>
      <w:pPr>
        <w:adjustRightInd w:val="0"/>
        <w:snapToGrid w:val="0"/>
        <w:spacing w:line="520" w:lineRule="exact"/>
        <w:ind w:firstLineChars="200" w:firstLine="640"/>
        <w:rPr>
          <w:rFonts w:ascii="仿宋" w:eastAsia="仿宋" w:cs="方正仿宋简体" w:hAnsi="仿宋"/>
          <w:sz w:val="32"/>
          <w:szCs w:val="32"/>
        </w:rPr>
      </w:pPr>
      <w:r>
        <w:rPr>
          <w:rFonts w:ascii="仿宋" w:eastAsia="仿宋" w:cs="方正仿宋简体" w:hAnsi="仿宋" w:hint="eastAsia"/>
          <w:kern w:val="0"/>
          <w:sz w:val="32"/>
          <w:szCs w:val="32"/>
          <w:lang w:val="zh-CN"/>
        </w:rPr>
        <w:t>3．</w:t>
      </w:r>
      <w:r>
        <w:rPr>
          <w:rFonts w:ascii="仿宋" w:eastAsia="仿宋" w:cs="方正仿宋简体" w:hAnsi="仿宋" w:hint="eastAsia"/>
          <w:sz w:val="32"/>
          <w:szCs w:val="32"/>
        </w:rPr>
        <w:t>根据</w:t>
      </w:r>
      <w:r>
        <w:rPr>
          <w:rFonts w:ascii="仿宋" w:eastAsia="仿宋" w:cs="方正仿宋简体" w:hAnsi="仿宋" w:hint="eastAsia"/>
          <w:sz w:val="32"/>
          <w:szCs w:val="32"/>
          <w:lang w:val="zh-CN"/>
        </w:rPr>
        <w:t>《广元市利州区机关事业单位差旅费管理办法》、</w:t>
      </w:r>
      <w:r>
        <w:rPr>
          <w:rFonts w:ascii="仿宋" w:eastAsia="仿宋" w:cs="方正仿宋简体" w:hAnsi="仿宋" w:hint="eastAsia"/>
          <w:kern w:val="0"/>
          <w:sz w:val="32"/>
          <w:szCs w:val="32"/>
        </w:rPr>
        <w:t>《利州区审计局机关财务管理制度》等规定支</w:t>
      </w:r>
      <w:r>
        <w:rPr>
          <w:rFonts w:ascii="仿宋" w:eastAsia="仿宋" w:cs="方正仿宋简体" w:hAnsi="仿宋" w:hint="eastAsia"/>
          <w:sz w:val="32"/>
          <w:szCs w:val="32"/>
        </w:rPr>
        <w:t>付人员差旅费补助及办公费。</w:t>
      </w:r>
    </w:p>
    <w:p>
      <w:pPr>
        <w:adjustRightInd w:val="0"/>
        <w:snapToGrid w:val="0"/>
        <w:ind w:leftChars="200" w:left="420" w:firstLineChars="100" w:firstLine="320"/>
        <w:rPr>
          <w:rFonts w:ascii="仿宋" w:eastAsia="仿宋" w:cs="方正仿宋简体" w:hAnsi="仿宋"/>
          <w:sz w:val="32"/>
          <w:szCs w:val="32"/>
        </w:rPr>
      </w:pPr>
      <w:r>
        <w:rPr>
          <w:rFonts w:ascii="仿宋" w:eastAsia="仿宋" w:cs="方正仿宋简体" w:hAnsi="仿宋" w:hint="eastAsia"/>
          <w:sz w:val="32"/>
          <w:szCs w:val="32"/>
        </w:rPr>
        <w:t>4.资金支付按月据实报销。</w:t>
      </w:r>
    </w:p>
    <w:p>
      <w:pPr>
        <w:adjustRightInd w:val="0"/>
        <w:snapToGrid w:val="0"/>
        <w:spacing w:line="600" w:lineRule="exact"/>
        <w:ind w:firstLineChars="200" w:firstLine="640"/>
        <w:rPr>
          <w:rFonts w:ascii="仿宋" w:eastAsia="仿宋" w:cs="楷体" w:hAnsi="仿宋"/>
          <w:b/>
          <w:sz w:val="32"/>
          <w:szCs w:val="32"/>
          <w:lang w:val="zh-CN"/>
        </w:rPr>
      </w:pPr>
      <w:r>
        <w:rPr>
          <w:rFonts w:ascii="仿宋" w:eastAsia="仿宋" w:cs="楷体" w:hAnsi="仿宋" w:hint="eastAsia"/>
          <w:b/>
          <w:sz w:val="32"/>
          <w:szCs w:val="32"/>
          <w:lang w:val="zh-CN"/>
        </w:rPr>
        <w:t>（二）项目绩效目标</w:t>
      </w:r>
    </w:p>
    <w:p>
      <w:pPr>
        <w:adjustRightInd w:val="0"/>
        <w:snapToGrid w:val="0"/>
        <w:spacing w:line="600"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rPr>
        <w:t>1.项目主要内容：2022年</w:t>
      </w:r>
      <w:r>
        <w:rPr>
          <w:rFonts w:ascii="仿宋" w:eastAsia="仿宋" w:cs="仿宋" w:hAnsi="仿宋" w:hint="eastAsia"/>
          <w:color w:val="000000"/>
          <w:sz w:val="32"/>
          <w:szCs w:val="32"/>
        </w:rPr>
        <w:t>重点开展</w:t>
      </w:r>
      <w:r>
        <w:rPr>
          <w:rFonts w:ascii="仿宋" w:eastAsia="仿宋" w:cs="仿宋" w:hAnsi="仿宋" w:hint="eastAsia"/>
          <w:sz w:val="32"/>
          <w:szCs w:val="32"/>
        </w:rPr>
        <w:t>广元市利州区金龙湖片区城乡一体化建设（配套道路一期）等</w:t>
      </w:r>
      <w:r>
        <w:rPr>
          <w:rFonts w:ascii="仿宋" w:eastAsia="仿宋" w:cs="仿宋" w:hAnsi="仿宋" w:hint="eastAsia"/>
          <w:color w:val="000000"/>
          <w:sz w:val="32"/>
          <w:szCs w:val="32"/>
        </w:rPr>
        <w:t>10个政府重大投资项目聘请的社会审计机构进行监督管理。</w:t>
      </w:r>
    </w:p>
    <w:p>
      <w:pPr>
        <w:pStyle w:val="15"/>
        <w:spacing w:beforeLines="0" w:before="30"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rPr>
        <w:t>2.2022年将该项目纳入绩效目标管理，从数量、质量、时效、成本、效益等方面设置了绩效目标，设置数量指标3项，质量指标4项，时效指标2项，成本指标1项，经济效益指标2项，社会效益指1项，生态效益指标3项，可持续影响指标2项，满意度指标2项。</w:t>
      </w:r>
    </w:p>
    <w:p>
      <w:pPr>
        <w:pStyle w:val="15"/>
        <w:spacing w:beforeLines="0" w:before="95"/>
        <w:ind w:firstLineChars="200" w:firstLine="640"/>
        <w:rPr>
          <w:rFonts w:ascii="仿宋" w:eastAsia="仿宋" w:cs="方正仿宋简体" w:hAnsi="仿宋"/>
          <w:sz w:val="32"/>
          <w:szCs w:val="32"/>
          <w:lang w:val="zh-CN"/>
        </w:rPr>
      </w:pPr>
      <w:r>
        <w:rPr>
          <w:rFonts w:ascii="仿宋" w:eastAsia="仿宋" w:cs="方正仿宋简体" w:hAnsi="仿宋" w:hint="eastAsia"/>
          <w:sz w:val="32"/>
          <w:szCs w:val="32"/>
        </w:rPr>
        <w:t>3.根据</w:t>
      </w:r>
      <w:r>
        <w:rPr>
          <w:rFonts w:ascii="仿宋" w:eastAsia="仿宋" w:cs="方正仿宋简体" w:hAnsi="仿宋" w:hint="eastAsia"/>
          <w:kern w:val="2"/>
          <w:sz w:val="32"/>
          <w:szCs w:val="32"/>
        </w:rPr>
        <w:t>《中华人民共和国审计法》第十一条 审计机关履行职责所必需的经费，应当列入财政预算，由本级人民政府予以保证，</w:t>
      </w:r>
      <w:r>
        <w:rPr>
          <w:rFonts w:ascii="仿宋" w:eastAsia="仿宋" w:cs="方正仿宋简体" w:hAnsi="仿宋" w:hint="eastAsia"/>
          <w:sz w:val="32"/>
          <w:szCs w:val="32"/>
        </w:rPr>
        <w:t>根据2022年跟踪审计项目的实际情况并结合以前年度资金支付情况申请项目资金。</w:t>
      </w:r>
    </w:p>
    <w:p>
      <w:pPr>
        <w:adjustRightInd w:val="0"/>
        <w:snapToGrid w:val="0"/>
        <w:spacing w:line="600" w:lineRule="exact"/>
        <w:ind w:firstLineChars="200" w:firstLine="640"/>
        <w:rPr>
          <w:rFonts w:ascii="仿宋" w:eastAsia="仿宋" w:cs="楷体" w:hAnsi="仿宋"/>
          <w:kern w:val="0"/>
          <w:sz w:val="32"/>
          <w:szCs w:val="32"/>
          <w:lang w:val="zh-CN"/>
        </w:rPr>
      </w:pPr>
      <w:r>
        <w:rPr>
          <w:rFonts w:ascii="仿宋" w:eastAsia="仿宋" w:cs="楷体" w:hAnsi="仿宋" w:hint="eastAsia"/>
          <w:kern w:val="0"/>
          <w:sz w:val="32"/>
          <w:szCs w:val="32"/>
          <w:lang w:val="zh-CN"/>
        </w:rPr>
        <w:t>（</w:t>
      </w:r>
      <w:r>
        <w:rPr>
          <w:rFonts w:ascii="仿宋" w:eastAsia="仿宋" w:cs="楷体" w:hAnsi="仿宋" w:hint="eastAsia"/>
          <w:b/>
          <w:bCs/>
          <w:kern w:val="0"/>
          <w:sz w:val="32"/>
          <w:szCs w:val="32"/>
          <w:lang w:val="zh-CN"/>
        </w:rPr>
        <w:t>三）项目自评步骤及方法</w:t>
      </w:r>
    </w:p>
    <w:p>
      <w:pPr>
        <w:adjustRightInd w:val="0"/>
        <w:snapToGrid w:val="0"/>
        <w:spacing w:line="600" w:lineRule="exact"/>
        <w:ind w:firstLineChars="200" w:firstLine="640"/>
        <w:rPr>
          <w:rFonts w:ascii="仿宋" w:eastAsia="仿宋" w:cs="方正仿宋简体" w:hAnsi="仿宋"/>
          <w:kern w:val="0"/>
          <w:sz w:val="32"/>
          <w:szCs w:val="32"/>
        </w:rPr>
      </w:pPr>
      <w:r>
        <w:rPr>
          <w:rFonts w:ascii="仿宋" w:eastAsia="仿宋" w:cs="方正仿宋简体" w:hAnsi="仿宋" w:hint="eastAsia"/>
          <w:kern w:val="0"/>
          <w:sz w:val="32"/>
          <w:szCs w:val="32"/>
        </w:rPr>
        <w:t>根据《项目支出绩效评价管理办法》对绩效评价的要求，成立了绩效评价工作领导小组，对照绩效评价方案进行研究和部署，党组成员及各股室负责人全程参与，按照绩效评价方案的要求，对照各实施项目的内容全面评价。在评价过程中按照年初的项目预算绩效目标申报表的指标设置产出数量、质量、时效、成本，以及经济效益、社会效益、生态效益、可持续影响、服务对象满意度等等指标开展项目绩效评价, 在评价过程中发现问题，查找原因，及时纠正偏差，为全面完成绩效目标制定措施。</w:t>
      </w:r>
    </w:p>
    <w:p>
      <w:pPr>
        <w:pStyle w:val="15"/>
        <w:numPr>
          <w:ilvl w:val="0"/>
          <w:numId w:val="9"/>
        </w:numPr>
        <w:spacing w:beforeLines="0" w:before="30" w:line="576" w:lineRule="exact"/>
        <w:ind w:left="0" w:firstLineChars="200" w:firstLine="640"/>
        <w:rPr>
          <w:rFonts w:ascii="仿宋" w:eastAsia="仿宋" w:cs="楷体" w:hAnsi="仿宋"/>
          <w:b/>
          <w:bCs/>
          <w:sz w:val="32"/>
          <w:szCs w:val="32"/>
        </w:rPr>
      </w:pPr>
      <w:r>
        <w:rPr>
          <w:rFonts w:ascii="仿宋" w:eastAsia="仿宋" w:cs="楷体" w:hAnsi="仿宋" w:hint="eastAsia"/>
          <w:b/>
          <w:bCs/>
          <w:sz w:val="32"/>
          <w:szCs w:val="32"/>
        </w:rPr>
        <w:t>项目资金申报及使用情况</w:t>
      </w:r>
    </w:p>
    <w:p>
      <w:pPr>
        <w:adjustRightInd w:val="0"/>
        <w:snapToGrid w:val="0"/>
        <w:spacing w:line="600" w:lineRule="exact"/>
        <w:ind w:firstLineChars="200" w:firstLine="640"/>
        <w:rPr>
          <w:rFonts w:ascii="仿宋" w:eastAsia="仿宋" w:cs="楷体" w:hAnsi="仿宋"/>
          <w:kern w:val="0"/>
          <w:sz w:val="32"/>
          <w:szCs w:val="32"/>
          <w:lang w:val="zh-CN"/>
        </w:rPr>
      </w:pPr>
      <w:r>
        <w:rPr>
          <w:rFonts w:ascii="仿宋" w:eastAsia="仿宋" w:cs="楷体" w:hAnsi="仿宋" w:hint="eastAsia"/>
          <w:b/>
          <w:bCs/>
          <w:kern w:val="0"/>
          <w:sz w:val="32"/>
          <w:szCs w:val="32"/>
          <w:lang w:val="zh-CN"/>
        </w:rPr>
        <w:t>（一）项目资金申报及批复情况</w:t>
      </w:r>
    </w:p>
    <w:p>
      <w:pPr>
        <w:pStyle w:val="15"/>
        <w:spacing w:beforeLines="0" w:before="30"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rPr>
        <w:t>该项目年初申报预算17万元，预算批复17万元。</w:t>
      </w:r>
    </w:p>
    <w:p>
      <w:pPr>
        <w:adjustRightInd w:val="0"/>
        <w:snapToGrid w:val="0"/>
        <w:spacing w:line="600" w:lineRule="exact"/>
        <w:ind w:firstLineChars="200" w:firstLine="640"/>
        <w:rPr>
          <w:rFonts w:ascii="仿宋" w:eastAsia="仿宋" w:cs="楷体" w:hAnsi="仿宋"/>
          <w:b/>
          <w:bCs/>
          <w:kern w:val="0"/>
          <w:sz w:val="32"/>
          <w:szCs w:val="32"/>
          <w:lang w:val="zh-CN"/>
        </w:rPr>
      </w:pPr>
      <w:r>
        <w:rPr>
          <w:rFonts w:ascii="仿宋" w:eastAsia="仿宋" w:cs="楷体" w:hAnsi="仿宋" w:hint="eastAsia"/>
          <w:b/>
          <w:bCs/>
          <w:kern w:val="0"/>
          <w:sz w:val="32"/>
          <w:szCs w:val="32"/>
          <w:lang w:val="zh-CN"/>
        </w:rPr>
        <w:t>（二）资金计划、到位及使用情况</w:t>
      </w:r>
    </w:p>
    <w:p>
      <w:pPr>
        <w:pStyle w:val="33"/>
        <w:adjustRightInd w:val="0"/>
        <w:snapToGrid w:val="0"/>
        <w:spacing w:line="576" w:lineRule="exact"/>
        <w:rPr>
          <w:rFonts w:ascii="仿宋" w:eastAsia="仿宋" w:cs="仿宋_GB2312" w:hAnsi="仿宋"/>
          <w:sz w:val="32"/>
          <w:szCs w:val="32"/>
        </w:rPr>
      </w:pPr>
      <w:r>
        <w:rPr>
          <w:rFonts w:ascii="仿宋" w:eastAsia="仿宋" w:cs="仿宋_GB2312" w:hAnsi="仿宋" w:hint="eastAsia"/>
          <w:sz w:val="32"/>
          <w:szCs w:val="32"/>
        </w:rPr>
        <w:t>项目全年预算收入17万元，决算支出数17万元，完成全年预算收入的100%。</w:t>
      </w:r>
    </w:p>
    <w:p>
      <w:pPr>
        <w:pStyle w:val="33"/>
        <w:adjustRightInd w:val="0"/>
        <w:snapToGrid w:val="0"/>
        <w:spacing w:line="576" w:lineRule="exact"/>
        <w:rPr>
          <w:rFonts w:ascii="仿宋" w:eastAsia="仿宋" w:cs="楷体" w:hAnsi="仿宋"/>
          <w:b/>
          <w:bCs/>
          <w:kern w:val="0"/>
          <w:sz w:val="32"/>
          <w:szCs w:val="32"/>
          <w:lang w:val="zh-CN"/>
        </w:rPr>
      </w:pPr>
      <w:r>
        <w:rPr>
          <w:rFonts w:ascii="仿宋" w:eastAsia="仿宋" w:cs="楷体" w:hAnsi="仿宋" w:hint="eastAsia"/>
          <w:b/>
          <w:bCs/>
          <w:kern w:val="0"/>
          <w:sz w:val="32"/>
          <w:szCs w:val="32"/>
          <w:lang w:val="zh-CN"/>
        </w:rPr>
        <w:t>（三）项目财务管理情况</w:t>
      </w:r>
    </w:p>
    <w:p>
      <w:pPr>
        <w:pStyle w:val="15"/>
        <w:spacing w:beforeLines="0" w:before="30" w:line="576" w:lineRule="exact"/>
        <w:ind w:firstLineChars="200" w:firstLine="640"/>
        <w:rPr>
          <w:rFonts w:ascii="仿宋" w:eastAsia="仿宋" w:cs="方正仿宋简体" w:hAnsi="仿宋"/>
          <w:sz w:val="32"/>
          <w:szCs w:val="32"/>
        </w:rPr>
      </w:pPr>
      <w:r>
        <w:rPr>
          <w:rFonts w:ascii="仿宋" w:eastAsia="仿宋" w:cs="方正仿宋简体" w:hAnsi="仿宋" w:hint="eastAsia"/>
          <w:sz w:val="32"/>
          <w:szCs w:val="32"/>
          <w:lang w:val="zh-CN"/>
        </w:rPr>
        <w:t>区审计局财务管理制度健全，严格执行财务管理制度，账务处理及时，会计核算规范。</w:t>
      </w:r>
    </w:p>
    <w:p>
      <w:pPr>
        <w:pStyle w:val="33"/>
        <w:adjustRightInd w:val="0"/>
        <w:snapToGrid w:val="0"/>
        <w:spacing w:line="576" w:lineRule="exact"/>
        <w:rPr>
          <w:rFonts w:ascii="仿宋" w:eastAsia="仿宋" w:cs="楷体" w:hAnsi="仿宋"/>
          <w:b/>
          <w:bCs/>
          <w:kern w:val="0"/>
          <w:sz w:val="32"/>
          <w:szCs w:val="32"/>
        </w:rPr>
      </w:pPr>
      <w:r>
        <w:rPr>
          <w:rFonts w:ascii="仿宋" w:eastAsia="仿宋" w:cs="楷体" w:hAnsi="仿宋" w:hint="eastAsia"/>
          <w:b/>
          <w:bCs/>
          <w:kern w:val="0"/>
          <w:sz w:val="32"/>
          <w:szCs w:val="32"/>
        </w:rPr>
        <w:t>三、项目实施及管理情况</w:t>
      </w:r>
    </w:p>
    <w:p>
      <w:pPr>
        <w:pStyle w:val="15"/>
        <w:tabs>
          <w:tab w:val="left" w:pos="312"/>
        </w:tabs>
        <w:spacing w:beforeLines="0" w:before="30" w:line="576" w:lineRule="exact"/>
        <w:ind w:firstLineChars="200" w:firstLine="640"/>
        <w:rPr>
          <w:rFonts w:ascii="仿宋" w:eastAsia="仿宋" w:cs="楷体" w:hAnsi="仿宋"/>
          <w:b/>
          <w:bCs/>
          <w:sz w:val="32"/>
          <w:szCs w:val="32"/>
          <w:lang w:val="zh-CN"/>
        </w:rPr>
      </w:pPr>
      <w:r>
        <w:rPr>
          <w:rFonts w:ascii="仿宋" w:eastAsia="仿宋" w:cs="楷体" w:hAnsi="仿宋" w:hint="eastAsia"/>
          <w:b/>
          <w:bCs/>
          <w:sz w:val="32"/>
          <w:szCs w:val="32"/>
          <w:lang w:val="zh-CN"/>
        </w:rPr>
        <w:t>（一）项目组织架构及实施流程</w:t>
      </w:r>
    </w:p>
    <w:p>
      <w:pPr>
        <w:pStyle w:val="15"/>
        <w:spacing w:beforeLines="0" w:before="30" w:line="576" w:lineRule="exact"/>
        <w:ind w:firstLineChars="200" w:firstLine="620"/>
        <w:rPr>
          <w:rFonts w:ascii="仿宋" w:eastAsia="仿宋" w:cs="方正仿宋简体" w:hAnsi="仿宋"/>
          <w:sz w:val="32"/>
          <w:szCs w:val="32"/>
        </w:rPr>
      </w:pPr>
      <w:r>
        <w:rPr>
          <w:rFonts w:ascii="仿宋" w:eastAsia="仿宋" w:cs="仿宋_GB2312" w:hAnsi="仿宋" w:hint="eastAsia"/>
          <w:color w:val="000000"/>
          <w:sz w:val="31"/>
          <w:szCs w:val="31"/>
        </w:rPr>
        <w:t>一是</w:t>
      </w:r>
      <w:r>
        <w:rPr>
          <w:rFonts w:ascii="仿宋" w:eastAsia="仿宋" w:cs="仿宋_GB2312" w:hAnsi="仿宋"/>
          <w:color w:val="000000"/>
          <w:sz w:val="31"/>
          <w:szCs w:val="31"/>
        </w:rPr>
        <w:t>制定工作计划和目标任务</w:t>
      </w:r>
      <w:r>
        <w:rPr>
          <w:rFonts w:ascii="仿宋" w:eastAsia="仿宋" w:cs="仿宋_GB2312" w:hAnsi="仿宋" w:hint="eastAsia"/>
          <w:color w:val="000000"/>
          <w:sz w:val="31"/>
          <w:szCs w:val="31"/>
        </w:rPr>
        <w:t>，二是</w:t>
      </w:r>
      <w:r>
        <w:rPr>
          <w:rFonts w:ascii="仿宋" w:eastAsia="仿宋" w:cs="仿宋_GB2312" w:hAnsi="仿宋"/>
          <w:color w:val="000000"/>
          <w:sz w:val="31"/>
          <w:szCs w:val="31"/>
        </w:rPr>
        <w:t>落实项目实施具体责任人</w:t>
      </w:r>
      <w:r>
        <w:rPr>
          <w:rFonts w:ascii="仿宋" w:eastAsia="仿宋" w:cs="仿宋_GB2312" w:hAnsi="仿宋" w:hint="eastAsia"/>
          <w:color w:val="000000"/>
          <w:sz w:val="31"/>
          <w:szCs w:val="31"/>
        </w:rPr>
        <w:t>，三是</w:t>
      </w:r>
      <w:r>
        <w:rPr>
          <w:rFonts w:ascii="仿宋" w:eastAsia="仿宋" w:cs="仿宋_GB2312" w:hAnsi="仿宋"/>
          <w:color w:val="000000"/>
          <w:sz w:val="31"/>
          <w:szCs w:val="31"/>
        </w:rPr>
        <w:t>按照计划开展工作</w:t>
      </w:r>
      <w:r>
        <w:rPr>
          <w:rFonts w:ascii="仿宋" w:eastAsia="仿宋" w:cs="仿宋_GB2312" w:hAnsi="仿宋" w:hint="eastAsia"/>
          <w:color w:val="000000"/>
          <w:sz w:val="31"/>
          <w:szCs w:val="31"/>
        </w:rPr>
        <w:t>，四是</w:t>
      </w:r>
      <w:r>
        <w:rPr>
          <w:rFonts w:ascii="仿宋" w:eastAsia="仿宋" w:cs="方正仿宋简体" w:hAnsi="仿宋" w:hint="eastAsia"/>
          <w:sz w:val="32"/>
          <w:szCs w:val="32"/>
        </w:rPr>
        <w:t>根据《广元市利州区政府投资项目管理办法（试行）》开展对政府投资项目开展工程结算审计。该项工作由区审计局投资审计股具体组织实施。</w:t>
      </w:r>
    </w:p>
    <w:p>
      <w:pPr>
        <w:pStyle w:val="15"/>
        <w:numPr>
          <w:ilvl w:val="0"/>
          <w:numId w:val="10"/>
        </w:numPr>
        <w:spacing w:beforeLines="0" w:before="30" w:line="576" w:lineRule="exact"/>
        <w:ind w:left="0" w:firstLineChars="200" w:firstLine="640"/>
        <w:rPr>
          <w:rFonts w:ascii="仿宋" w:eastAsia="仿宋" w:cs="楷体" w:hAnsi="仿宋"/>
          <w:b/>
          <w:bCs/>
          <w:sz w:val="32"/>
          <w:szCs w:val="32"/>
          <w:lang w:val="zh-CN"/>
        </w:rPr>
      </w:pPr>
      <w:r>
        <w:rPr>
          <w:rFonts w:ascii="仿宋" w:eastAsia="仿宋" w:cs="楷体" w:hAnsi="仿宋" w:hint="eastAsia"/>
          <w:b/>
          <w:bCs/>
          <w:sz w:val="32"/>
          <w:szCs w:val="32"/>
          <w:lang w:val="zh-CN"/>
        </w:rPr>
        <w:t>项目管理情况</w:t>
      </w:r>
    </w:p>
    <w:p>
      <w:pPr>
        <w:pStyle w:val="15"/>
        <w:spacing w:beforeLines="0" w:before="30" w:line="576" w:lineRule="exact"/>
        <w:ind w:firstLineChars="200" w:firstLine="640"/>
        <w:rPr>
          <w:rFonts w:ascii="仿宋" w:eastAsia="仿宋" w:cs="方正仿宋简体" w:hAnsi="仿宋"/>
          <w:sz w:val="32"/>
          <w:szCs w:val="32"/>
          <w:lang w:val="zh-CN"/>
        </w:rPr>
      </w:pPr>
      <w:r>
        <w:rPr>
          <w:rFonts w:ascii="仿宋" w:eastAsia="仿宋" w:cs="方正仿宋简体" w:hAnsi="仿宋" w:hint="eastAsia"/>
          <w:sz w:val="32"/>
          <w:szCs w:val="32"/>
          <w:lang w:val="zh-CN"/>
        </w:rPr>
        <w:t>根据《中华人民共和国审计法》、《中华人民共和国合同法》、《广元市利州区人民政府关于印发&lt;广元市利州区政府投资建设项目跟踪审计实施办法&gt;的通知》等法律法规与社会中介机构签订跟踪审计合同。</w:t>
      </w:r>
    </w:p>
    <w:p>
      <w:pPr>
        <w:pStyle w:val="15"/>
        <w:numPr>
          <w:ilvl w:val="0"/>
          <w:numId w:val="10"/>
        </w:numPr>
        <w:spacing w:beforeLines="0" w:before="30" w:line="576" w:lineRule="exact"/>
        <w:ind w:left="0" w:firstLineChars="200" w:firstLine="640"/>
        <w:rPr>
          <w:rFonts w:ascii="仿宋" w:eastAsia="仿宋" w:cs="楷体" w:hAnsi="仿宋"/>
          <w:b/>
          <w:bCs/>
          <w:sz w:val="32"/>
          <w:szCs w:val="32"/>
          <w:lang w:val="zh-CN"/>
        </w:rPr>
      </w:pPr>
      <w:r>
        <w:rPr>
          <w:rFonts w:ascii="仿宋" w:eastAsia="仿宋" w:cs="楷体" w:hAnsi="仿宋" w:hint="eastAsia"/>
          <w:b/>
          <w:bCs/>
          <w:sz w:val="32"/>
          <w:szCs w:val="32"/>
          <w:lang w:val="zh-CN"/>
        </w:rPr>
        <w:t>项目管理情况</w:t>
      </w:r>
    </w:p>
    <w:p>
      <w:pPr>
        <w:pStyle w:val="15"/>
        <w:spacing w:beforeLines="0" w:before="30" w:line="576" w:lineRule="exact"/>
        <w:ind w:firstLineChars="200" w:firstLine="640"/>
        <w:rPr>
          <w:rFonts w:ascii="仿宋" w:eastAsia="仿宋" w:cs="方正仿宋简体" w:hAnsi="仿宋"/>
          <w:sz w:val="32"/>
          <w:szCs w:val="32"/>
          <w:lang w:val="zh-CN"/>
        </w:rPr>
      </w:pPr>
      <w:r>
        <w:rPr>
          <w:rFonts w:ascii="仿宋" w:eastAsia="仿宋" w:cs="方正仿宋简体" w:hAnsi="仿宋" w:hint="eastAsia"/>
          <w:sz w:val="32"/>
          <w:szCs w:val="32"/>
        </w:rPr>
        <w:t>2022年</w:t>
      </w:r>
      <w:r>
        <w:rPr>
          <w:rFonts w:ascii="仿宋" w:eastAsia="仿宋" w:cs="仿宋" w:hAnsi="仿宋" w:hint="eastAsia"/>
          <w:color w:val="000000"/>
          <w:sz w:val="32"/>
          <w:szCs w:val="32"/>
        </w:rPr>
        <w:t>重点开展</w:t>
      </w:r>
      <w:r>
        <w:rPr>
          <w:rFonts w:ascii="仿宋" w:eastAsia="仿宋" w:cs="仿宋" w:hAnsi="仿宋" w:hint="eastAsia"/>
          <w:sz w:val="32"/>
          <w:szCs w:val="32"/>
        </w:rPr>
        <w:t>广元市利州区金龙湖片区城乡一体化建设（配套道路一期）等</w:t>
      </w:r>
      <w:r>
        <w:rPr>
          <w:rFonts w:ascii="仿宋" w:eastAsia="仿宋" w:cs="仿宋" w:hAnsi="仿宋" w:hint="eastAsia"/>
          <w:color w:val="000000"/>
          <w:sz w:val="32"/>
          <w:szCs w:val="32"/>
        </w:rPr>
        <w:t>10个政府重大投资项目</w:t>
      </w:r>
      <w:r>
        <w:rPr>
          <w:rFonts w:ascii="仿宋" w:eastAsia="仿宋" w:cs="方正仿宋简体" w:hAnsi="仿宋" w:hint="eastAsia"/>
          <w:sz w:val="32"/>
          <w:szCs w:val="32"/>
          <w:lang w:val="zh-CN"/>
        </w:rPr>
        <w:t>开展全过程跟踪审计情况进行审计监督。以规范国家重点投资项目的投资行为，安全有效使用财政资金、防治损失浪费、提高投资效益，保障我区重大建设项目顺利实施为目标，防止工程建设领域的违纪违规行为。</w:t>
      </w:r>
    </w:p>
    <w:p>
      <w:pPr>
        <w:pStyle w:val="15"/>
        <w:spacing w:beforeLines="0" w:before="30" w:line="576" w:lineRule="exact"/>
        <w:ind w:left="640"/>
        <w:rPr>
          <w:rFonts w:ascii="仿宋" w:eastAsia="仿宋" w:cs="楷体" w:hAnsi="仿宋"/>
          <w:b/>
          <w:bCs/>
          <w:sz w:val="32"/>
          <w:szCs w:val="32"/>
          <w:lang w:val="zh-CN"/>
        </w:rPr>
      </w:pPr>
      <w:r>
        <w:rPr>
          <w:rFonts w:ascii="仿宋" w:eastAsia="仿宋" w:cs="楷体" w:hAnsi="仿宋" w:hint="eastAsia"/>
          <w:b/>
          <w:bCs/>
          <w:kern w:val="2"/>
          <w:sz w:val="32"/>
          <w:szCs w:val="32"/>
        </w:rPr>
        <w:t>四、项目绩效情况</w:t>
      </w:r>
    </w:p>
    <w:p>
      <w:pPr>
        <w:spacing w:line="576" w:lineRule="exact"/>
        <w:ind w:firstLineChars="200" w:firstLine="640"/>
        <w:rPr>
          <w:rFonts w:ascii="仿宋" w:eastAsia="仿宋" w:cs="楷体" w:hAnsi="仿宋"/>
          <w:b/>
          <w:bCs/>
          <w:sz w:val="32"/>
          <w:szCs w:val="32"/>
        </w:rPr>
      </w:pPr>
      <w:r>
        <w:rPr>
          <w:rFonts w:ascii="仿宋" w:eastAsia="仿宋" w:cs="楷体" w:hAnsi="仿宋" w:hint="eastAsia"/>
          <w:b/>
          <w:bCs/>
          <w:sz w:val="32"/>
          <w:szCs w:val="32"/>
        </w:rPr>
        <w:t>（一）项目完成情况</w:t>
      </w:r>
    </w:p>
    <w:p>
      <w:pPr>
        <w:spacing w:line="576" w:lineRule="exact"/>
        <w:ind w:firstLineChars="200" w:firstLine="640"/>
        <w:rPr>
          <w:rFonts w:ascii="仿宋" w:eastAsia="仿宋" w:cs="方正仿宋简体" w:hAnsi="仿宋"/>
          <w:sz w:val="32"/>
          <w:szCs w:val="32"/>
          <w:lang w:val="zh-CN"/>
        </w:rPr>
      </w:pPr>
      <w:r>
        <w:rPr>
          <w:rFonts w:ascii="仿宋" w:eastAsia="仿宋" w:cs="方正仿宋简体" w:hAnsi="仿宋" w:hint="eastAsia"/>
          <w:sz w:val="32"/>
          <w:szCs w:val="32"/>
        </w:rPr>
        <w:t>该项目年初制定绩效目标全部实现，</w:t>
      </w:r>
      <w:r>
        <w:rPr>
          <w:rFonts w:ascii="仿宋" w:eastAsia="仿宋" w:cs="方正仿宋简体" w:hAnsi="仿宋" w:hint="eastAsia"/>
          <w:sz w:val="32"/>
          <w:szCs w:val="32"/>
          <w:lang w:val="zh-CN"/>
        </w:rPr>
        <w:t>重点对环境保护和水土保持情况、跟踪审计中介机构履职情况、建设资金筹集、管理使用和投资完成情况、参建主体履职履约情况、现场管理情况、重大工程变更、隐蔽工程验收情况、征地拆迁情况、审计发现问题整改情况等方面进行全面督查。重点对项目资金管理使用等重点环节进行全面督查。</w:t>
      </w:r>
    </w:p>
    <w:p>
      <w:pPr>
        <w:pStyle w:val="15"/>
        <w:numPr>
          <w:ilvl w:val="0"/>
          <w:numId w:val="11"/>
        </w:numPr>
        <w:spacing w:beforeLines="0" w:before="30" w:line="576" w:lineRule="exact"/>
        <w:ind w:left="-10" w:firstLine="640"/>
        <w:rPr>
          <w:rFonts w:ascii="仿宋" w:eastAsia="仿宋" w:cs="方正仿宋简体" w:hAnsi="仿宋"/>
          <w:b/>
          <w:bCs/>
          <w:sz w:val="32"/>
          <w:szCs w:val="32"/>
        </w:rPr>
      </w:pPr>
      <w:r>
        <w:rPr>
          <w:rFonts w:ascii="仿宋" w:eastAsia="仿宋" w:cs="楷体" w:hAnsi="仿宋" w:hint="eastAsia"/>
          <w:b/>
          <w:bCs/>
          <w:sz w:val="32"/>
          <w:szCs w:val="32"/>
        </w:rPr>
        <w:t>项目效益情况</w:t>
      </w:r>
    </w:p>
    <w:p>
      <w:pPr>
        <w:spacing w:line="576" w:lineRule="exact"/>
        <w:ind w:firstLineChars="200" w:firstLine="640"/>
        <w:rPr>
          <w:rFonts w:ascii="仿宋" w:eastAsia="仿宋" w:cs="方正仿宋简体" w:hAnsi="仿宋"/>
          <w:sz w:val="32"/>
          <w:szCs w:val="32"/>
          <w:lang w:val="zh-CN"/>
        </w:rPr>
      </w:pPr>
      <w:r>
        <w:rPr>
          <w:rFonts w:ascii="仿宋" w:eastAsia="仿宋" w:cs="方正仿宋简体" w:hAnsi="仿宋" w:hint="eastAsia"/>
          <w:sz w:val="32"/>
          <w:szCs w:val="32"/>
        </w:rPr>
        <w:t>该项目年初制定经济效益指标2项、社会效益指标1项、生态效益3、可持续效益指标2项、服务对象满意度指标2项，年末所有指标全部完成。</w:t>
      </w:r>
    </w:p>
    <w:p>
      <w:pPr>
        <w:spacing w:line="576" w:lineRule="exact"/>
        <w:ind w:firstLineChars="192" w:firstLine="614"/>
        <w:rPr>
          <w:rFonts w:ascii="仿宋" w:eastAsia="仿宋" w:cs="楷体" w:hAnsi="仿宋"/>
          <w:b/>
          <w:bCs/>
          <w:sz w:val="32"/>
          <w:szCs w:val="32"/>
          <w:lang w:val="zh-CN"/>
        </w:rPr>
      </w:pPr>
      <w:r>
        <w:rPr>
          <w:rFonts w:ascii="仿宋" w:eastAsia="仿宋" w:cs="楷体" w:hAnsi="仿宋" w:hint="eastAsia"/>
          <w:b/>
          <w:bCs/>
          <w:sz w:val="32"/>
          <w:szCs w:val="32"/>
          <w:lang w:val="zh-CN"/>
        </w:rPr>
        <w:t>五、评价结论及建议</w:t>
      </w:r>
    </w:p>
    <w:p>
      <w:pPr>
        <w:pStyle w:val="15"/>
        <w:spacing w:beforeLines="0" w:before="95"/>
        <w:ind w:firstLineChars="192" w:firstLine="614"/>
        <w:rPr>
          <w:rFonts w:ascii="仿宋" w:eastAsia="仿宋" w:cs="楷体" w:hAnsi="仿宋"/>
          <w:b/>
          <w:bCs/>
          <w:sz w:val="32"/>
          <w:szCs w:val="32"/>
          <w:lang w:val="zh-CN"/>
        </w:rPr>
      </w:pPr>
      <w:r>
        <w:rPr>
          <w:rFonts w:ascii="仿宋" w:eastAsia="仿宋" w:cs="楷体" w:hAnsi="仿宋" w:hint="eastAsia"/>
          <w:b/>
          <w:bCs/>
          <w:sz w:val="32"/>
          <w:szCs w:val="32"/>
          <w:lang w:val="zh-CN"/>
        </w:rPr>
        <w:t>（一）评价结论</w:t>
      </w:r>
    </w:p>
    <w:p>
      <w:pPr>
        <w:pStyle w:val="15"/>
        <w:spacing w:beforeLines="0" w:before="95"/>
        <w:ind w:firstLineChars="200" w:firstLine="640"/>
        <w:rPr>
          <w:rFonts w:ascii="仿宋" w:eastAsia="仿宋" w:cs="方正仿宋简体" w:hAnsi="仿宋"/>
          <w:sz w:val="32"/>
          <w:szCs w:val="32"/>
          <w:lang w:val="zh-CN"/>
        </w:rPr>
      </w:pPr>
      <w:r>
        <w:rPr>
          <w:rFonts w:ascii="仿宋" w:eastAsia="仿宋" w:cs="方正仿宋简体" w:hAnsi="仿宋" w:hint="eastAsia"/>
          <w:sz w:val="32"/>
          <w:szCs w:val="32"/>
          <w:lang w:val="zh-CN"/>
        </w:rPr>
        <w:t>项目年初设定的项目预算编制合理，设定的各项指标可行，资金使用规范，该项目的实施，对政府重大投资项目从前期立项到竣工结算阶段的经济管理的真实性、合法性、效益性进行全过程审计监督，减少政府重大投资的损失浪费、闲置及项目存在质量和安全隐患等问题，项目完成情况较好，项目自评得分</w:t>
      </w:r>
      <w:r>
        <w:rPr>
          <w:rFonts w:ascii="仿宋" w:eastAsia="仿宋" w:cs="方正仿宋简体" w:hAnsi="仿宋" w:hint="eastAsia"/>
          <w:sz w:val="32"/>
          <w:szCs w:val="32"/>
        </w:rPr>
        <w:t>97分</w:t>
      </w:r>
      <w:r>
        <w:rPr>
          <w:rFonts w:ascii="仿宋" w:eastAsia="仿宋" w:cs="方正仿宋简体" w:hAnsi="仿宋" w:hint="eastAsia"/>
          <w:sz w:val="32"/>
          <w:szCs w:val="32"/>
          <w:lang w:val="zh-CN"/>
        </w:rPr>
        <w:t>。</w:t>
      </w:r>
    </w:p>
    <w:p>
      <w:pPr>
        <w:adjustRightInd w:val="0"/>
        <w:snapToGrid w:val="0"/>
        <w:spacing w:line="576" w:lineRule="exact"/>
        <w:ind w:firstLineChars="200" w:firstLine="640"/>
        <w:rPr>
          <w:rFonts w:ascii="仿宋" w:eastAsia="仿宋" w:cs="楷体" w:hAnsi="仿宋"/>
          <w:b/>
          <w:bCs/>
          <w:sz w:val="32"/>
          <w:szCs w:val="32"/>
          <w:lang w:val="zh-CN"/>
        </w:rPr>
      </w:pPr>
      <w:r>
        <w:rPr>
          <w:rFonts w:ascii="仿宋" w:eastAsia="仿宋" w:cs="楷体" w:hAnsi="仿宋" w:hint="eastAsia"/>
          <w:b/>
          <w:bCs/>
          <w:sz w:val="32"/>
          <w:szCs w:val="32"/>
          <w:lang w:val="zh-CN"/>
        </w:rPr>
        <w:t>（二）存在的问题</w:t>
      </w:r>
    </w:p>
    <w:p>
      <w:pPr>
        <w:adjustRightInd w:val="0"/>
        <w:snapToGrid w:val="0"/>
        <w:spacing w:line="576" w:lineRule="exact"/>
        <w:ind w:firstLineChars="200" w:firstLine="640"/>
        <w:rPr>
          <w:rFonts w:ascii="仿宋" w:eastAsia="仿宋" w:cs="方正仿宋简体" w:hAnsi="仿宋"/>
          <w:sz w:val="32"/>
          <w:szCs w:val="32"/>
          <w:lang w:val="zh-CN"/>
        </w:rPr>
      </w:pPr>
      <w:r>
        <w:rPr>
          <w:rFonts w:ascii="仿宋" w:eastAsia="仿宋" w:cs="方正仿宋简体" w:hAnsi="仿宋" w:hint="eastAsia"/>
          <w:sz w:val="32"/>
          <w:szCs w:val="32"/>
          <w:lang w:val="zh-CN"/>
        </w:rPr>
        <w:t>因财务人员对该项目实施过程中部分事项了解不全面，项目绩效三级指标设计部分与实际不完全相符，造成评价产生差异。</w:t>
        <w:tab/>
      </w:r>
    </w:p>
    <w:p>
      <w:pPr>
        <w:adjustRightInd w:val="0"/>
        <w:snapToGrid w:val="0"/>
        <w:spacing w:line="576" w:lineRule="exact"/>
        <w:ind w:firstLineChars="200" w:firstLine="640"/>
        <w:rPr>
          <w:rFonts w:ascii="仿宋" w:eastAsia="仿宋" w:cs="楷体" w:hAnsi="仿宋"/>
          <w:b/>
          <w:bCs/>
          <w:sz w:val="32"/>
          <w:szCs w:val="32"/>
          <w:lang w:val="zh-CN"/>
        </w:rPr>
      </w:pPr>
      <w:r>
        <w:rPr>
          <w:rFonts w:ascii="仿宋" w:eastAsia="仿宋" w:cs="楷体" w:hAnsi="仿宋" w:hint="eastAsia"/>
          <w:b/>
          <w:bCs/>
          <w:sz w:val="32"/>
          <w:szCs w:val="32"/>
          <w:lang w:val="zh-CN"/>
        </w:rPr>
        <w:t>（二）相关建议</w:t>
      </w:r>
    </w:p>
    <w:p>
      <w:pPr>
        <w:spacing w:line="576" w:lineRule="exact"/>
        <w:ind w:firstLineChars="200" w:firstLine="640"/>
        <w:rPr>
          <w:rFonts w:ascii="仿宋" w:eastAsia="仿宋" w:cs="方正仿宋简体" w:hAnsi="仿宋"/>
          <w:sz w:val="32"/>
          <w:szCs w:val="32"/>
          <w:lang w:val="zh-CN"/>
        </w:rPr>
      </w:pPr>
      <w:r>
        <w:rPr>
          <w:rFonts w:ascii="仿宋" w:eastAsia="仿宋" w:cs="方正仿宋简体" w:hAnsi="仿宋" w:hint="eastAsia"/>
          <w:sz w:val="32"/>
          <w:szCs w:val="32"/>
          <w:lang w:val="zh-CN"/>
        </w:rPr>
        <w:t>年初编制项目预算绩效时应由项目实施股室及经办人员全过程参与，按项目实际情况设定指标权重，减少项目完工后评价的分歧。</w:t>
      </w:r>
    </w:p>
    <w:p>
      <w:pPr>
        <w:spacing w:line="600" w:lineRule="exact"/>
        <w:ind w:firstLineChars="200" w:firstLine="640"/>
        <w:rPr>
          <w:rFonts w:ascii="仿宋" w:eastAsia="仿宋" w:cs="方正仿宋简体" w:hAnsi="仿宋"/>
          <w:sz w:val="32"/>
          <w:szCs w:val="32"/>
        </w:rPr>
      </w:pPr>
    </w:p>
    <w:p>
      <w:pPr>
        <w:spacing w:line="600" w:lineRule="exact"/>
        <w:ind w:firstLineChars="200" w:firstLine="640"/>
        <w:rPr>
          <w:rFonts w:ascii="方正仿宋简体" w:eastAsia="方正仿宋简体" w:cs="方正仿宋简体" w:hAnsi="方正仿宋简体"/>
          <w:sz w:val="32"/>
          <w:szCs w:val="32"/>
        </w:rPr>
      </w:pPr>
    </w:p>
    <w:p>
      <w:pPr>
        <w:spacing w:line="600" w:lineRule="exact"/>
        <w:ind w:firstLineChars="200" w:firstLine="640"/>
        <w:rPr>
          <w:rFonts w:ascii="方正仿宋简体" w:eastAsia="方正仿宋简体" w:cs="方正仿宋简体" w:hAnsi="方正仿宋简体"/>
          <w:sz w:val="32"/>
          <w:szCs w:val="32"/>
        </w:rPr>
      </w:pPr>
    </w:p>
    <w:p>
      <w:pPr>
        <w:spacing w:line="600" w:lineRule="exact"/>
        <w:ind w:firstLineChars="200" w:firstLine="640"/>
        <w:rPr>
          <w:rFonts w:ascii="方正仿宋简体" w:eastAsia="方正仿宋简体" w:cs="方正仿宋简体" w:hAnsi="方正仿宋简体"/>
          <w:sz w:val="32"/>
          <w:szCs w:val="32"/>
        </w:rPr>
      </w:pPr>
    </w:p>
    <w:p>
      <w:pPr>
        <w:spacing w:line="600" w:lineRule="exact"/>
        <w:ind w:firstLineChars="200" w:firstLine="640"/>
        <w:rPr>
          <w:rFonts w:ascii="方正仿宋简体" w:eastAsia="方正仿宋简体" w:cs="方正仿宋简体" w:hAnsi="方正仿宋简体"/>
          <w:sz w:val="32"/>
          <w:szCs w:val="32"/>
        </w:rPr>
      </w:pPr>
    </w:p>
    <w:p>
      <w:pPr>
        <w:spacing w:line="600" w:lineRule="exact"/>
        <w:ind w:firstLineChars="200" w:firstLine="640"/>
        <w:rPr>
          <w:rFonts w:ascii="方正仿宋简体" w:eastAsia="方正仿宋简体" w:cs="方正仿宋简体" w:hAnsi="方正仿宋简体"/>
          <w:sz w:val="32"/>
          <w:szCs w:val="32"/>
        </w:rPr>
      </w:pPr>
    </w:p>
    <w:p>
      <w:pPr>
        <w:widowControl/>
        <w:jc w:val="left"/>
        <w:rPr>
          <w:rStyle w:val="1Char"/>
          <w:rFonts w:ascii="黑体" w:eastAsia="黑体" w:hAnsi="黑体"/>
          <w:b w:val="0"/>
        </w:rPr>
      </w:pPr>
      <w:r>
        <w:rPr>
          <w:rStyle w:val="1Char"/>
          <w:rFonts w:ascii="黑体" w:eastAsia="黑体" w:hAnsi="黑体"/>
          <w:b w:val="0"/>
        </w:rPr>
        <w:br w:type="page"/>
      </w:r>
    </w:p>
    <w:p>
      <w:pPr>
        <w:spacing w:line="600" w:lineRule="exact"/>
        <w:jc w:val="center"/>
        <w:outlineLvl w:val="0"/>
        <w:rPr>
          <w:rFonts w:ascii="仿宋" w:eastAsia="仿宋" w:hAnsi="仿宋"/>
        </w:rPr>
      </w:pPr>
      <w:bookmarkStart w:id="56" w:name="_Toc15396618"/>
      <w:r>
        <w:rPr>
          <w:rFonts w:ascii="黑体" w:eastAsia="黑体" w:hAnsi="黑体" w:hint="eastAsia"/>
          <w:sz w:val="44"/>
          <w:szCs w:val="44"/>
        </w:rPr>
        <w:t>第</w:t>
      </w:r>
      <w:r>
        <w:rPr>
          <w:rStyle w:val="1Char"/>
          <w:rFonts w:ascii="黑体" w:eastAsia="黑体" w:hAnsi="黑体" w:hint="eastAsia"/>
          <w:b w:val="0"/>
        </w:rPr>
        <w:t>五部分 附表</w:t>
      </w:r>
      <w:bookmarkStart w:id="57" w:name="_Toc15396619"/>
      <w:bookmarkEnd w:id="54"/>
      <w:bookmarkEnd w:id="56"/>
    </w:p>
    <w:p>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7"/>
    </w:p>
    <w:p>
      <w:pPr>
        <w:pStyle w:val="2"/>
        <w:rPr>
          <w:rFonts w:ascii="仿宋" w:eastAsia="仿宋" w:hAnsi="仿宋"/>
        </w:rPr>
      </w:pPr>
      <w:bookmarkStart w:id="58" w:name="_Toc15396620"/>
      <w:r>
        <w:rPr>
          <w:rFonts w:ascii="仿宋" w:eastAsia="仿宋" w:hAnsi="仿宋" w:hint="eastAsia"/>
          <w:b w:val="0"/>
        </w:rPr>
        <w:t>二、收</w:t>
      </w:r>
      <w:r>
        <w:rPr>
          <w:rStyle w:val="2Char"/>
          <w:rFonts w:ascii="仿宋" w:eastAsia="仿宋" w:hAnsi="仿宋" w:hint="eastAsia"/>
        </w:rPr>
        <w:t>入决算表</w:t>
      </w:r>
      <w:bookmarkEnd w:id="58"/>
    </w:p>
    <w:p>
      <w:pPr>
        <w:pStyle w:val="2"/>
        <w:rPr>
          <w:rFonts w:ascii="仿宋" w:eastAsia="仿宋" w:hAnsi="仿宋"/>
        </w:rPr>
      </w:pPr>
      <w:bookmarkStart w:id="59"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9"/>
    </w:p>
    <w:p>
      <w:pPr>
        <w:pStyle w:val="2"/>
        <w:rPr>
          <w:rFonts w:ascii="仿宋" w:eastAsia="仿宋" w:hAnsi="仿宋"/>
          <w:b w:val="0"/>
        </w:rPr>
      </w:pPr>
      <w:bookmarkStart w:id="60"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60"/>
    </w:p>
    <w:p>
      <w:pPr>
        <w:pStyle w:val="2"/>
        <w:rPr>
          <w:rStyle w:val="2Char"/>
          <w:rFonts w:ascii="仿宋" w:eastAsia="仿宋" w:hAnsi="仿宋"/>
        </w:rPr>
      </w:pPr>
      <w:bookmarkStart w:id="61"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2" w:name="_Toc15396624"/>
      <w:bookmarkEnd w:id="61"/>
    </w:p>
    <w:p>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2"/>
    </w:p>
    <w:p>
      <w:pPr>
        <w:pStyle w:val="2"/>
        <w:rPr>
          <w:rFonts w:ascii="仿宋" w:eastAsia="仿宋" w:hAnsi="仿宋"/>
        </w:rPr>
      </w:pPr>
      <w:bookmarkStart w:id="63"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3"/>
    </w:p>
    <w:p>
      <w:pPr>
        <w:pStyle w:val="2"/>
        <w:rPr>
          <w:rFonts w:ascii="仿宋" w:eastAsia="仿宋" w:hAnsi="仿宋"/>
        </w:rPr>
      </w:pPr>
      <w:bookmarkStart w:id="64"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4"/>
    </w:p>
    <w:p>
      <w:pPr>
        <w:pStyle w:val="2"/>
        <w:rPr>
          <w:rFonts w:ascii="仿宋" w:eastAsia="仿宋" w:hAnsi="仿宋"/>
        </w:rPr>
      </w:pPr>
      <w:bookmarkStart w:id="65"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5"/>
    </w:p>
    <w:p>
      <w:pPr>
        <w:pStyle w:val="2"/>
        <w:rPr>
          <w:rFonts w:ascii="仿宋" w:eastAsia="仿宋" w:hAnsi="仿宋"/>
        </w:rPr>
      </w:pPr>
      <w:bookmarkStart w:id="66" w:name="_Toc15396628"/>
      <w:r>
        <w:rPr>
          <w:rStyle w:val="2Char"/>
          <w:rFonts w:ascii="仿宋" w:eastAsia="仿宋" w:hAnsi="仿宋" w:hint="eastAsia"/>
        </w:rPr>
        <w:t>十、</w:t>
      </w:r>
      <w:bookmarkEnd w:id="66"/>
      <w:r>
        <w:rPr>
          <w:rFonts w:ascii="仿宋" w:eastAsia="仿宋" w:hAnsi="仿宋" w:hint="eastAsia"/>
          <w:b w:val="0"/>
        </w:rPr>
        <w:t>政</w:t>
      </w:r>
      <w:r>
        <w:rPr>
          <w:rStyle w:val="2Char"/>
          <w:rFonts w:ascii="仿宋" w:eastAsia="仿宋" w:hAnsi="仿宋" w:hint="eastAsia"/>
        </w:rPr>
        <w:t>府性基金预算财政拨款收入支出决算表</w:t>
      </w:r>
    </w:p>
    <w:p>
      <w:pPr>
        <w:pStyle w:val="2"/>
        <w:rPr>
          <w:rFonts w:ascii="仿宋" w:eastAsia="仿宋" w:hAnsi="仿宋"/>
        </w:rPr>
      </w:pPr>
      <w:bookmarkStart w:id="67" w:name="_Toc15396629"/>
      <w:r>
        <w:rPr>
          <w:rStyle w:val="2Char"/>
          <w:rFonts w:ascii="仿宋" w:eastAsia="仿宋" w:hAnsi="仿宋" w:hint="eastAsia"/>
        </w:rPr>
        <w:t>十一、</w:t>
      </w:r>
      <w:bookmarkEnd w:id="67"/>
      <w:r>
        <w:rPr>
          <w:rFonts w:ascii="仿宋" w:eastAsia="仿宋" w:hAnsi="仿宋" w:hint="eastAsia"/>
          <w:b w:val="0"/>
        </w:rPr>
        <w:t>国</w:t>
      </w:r>
      <w:r>
        <w:rPr>
          <w:rStyle w:val="2Char"/>
          <w:rFonts w:ascii="仿宋" w:eastAsia="仿宋" w:hAnsi="仿宋" w:hint="eastAsia"/>
        </w:rPr>
        <w:t>有资本经营预算财政拨款收入支出决算表</w:t>
      </w:r>
    </w:p>
    <w:p>
      <w:pPr>
        <w:pStyle w:val="2"/>
        <w:rPr>
          <w:rFonts w:ascii="仿宋" w:eastAsia="仿宋" w:hAnsi="仿宋"/>
        </w:rPr>
      </w:pPr>
      <w:bookmarkStart w:id="68" w:name="_Toc15396630"/>
      <w:r>
        <w:rPr>
          <w:rStyle w:val="2Char"/>
          <w:rFonts w:ascii="仿宋" w:eastAsia="仿宋" w:hAnsi="仿宋" w:hint="eastAsia"/>
        </w:rPr>
        <w:t>十二、</w:t>
      </w:r>
      <w:bookmarkEnd w:id="68"/>
      <w:r>
        <w:rPr>
          <w:rStyle w:val="2Char"/>
          <w:rFonts w:ascii="仿宋" w:eastAsia="仿宋" w:hAnsi="仿宋" w:hint="eastAsia"/>
        </w:rPr>
        <w:t>国有资本经营预算财政拨款支出决算表</w:t>
      </w:r>
    </w:p>
    <w:p>
      <w:pPr>
        <w:pStyle w:val="2"/>
        <w:rPr>
          <w:rFonts w:eastAsia="仿宋"/>
        </w:rPr>
      </w:pPr>
      <w:bookmarkStart w:id="69" w:name="_Toc15396631"/>
      <w:r>
        <w:rPr>
          <w:rStyle w:val="2Char"/>
          <w:rFonts w:ascii="仿宋" w:eastAsia="仿宋" w:hAnsi="仿宋" w:hint="eastAsia"/>
        </w:rPr>
        <w:t>十三、</w:t>
      </w:r>
      <w:bookmarkEnd w:id="69"/>
      <w:r>
        <w:rPr>
          <w:rStyle w:val="2Char"/>
          <w:rFonts w:ascii="仿宋" w:eastAsia="仿宋" w:hAnsi="仿宋" w:hint="eastAsia"/>
        </w:rPr>
        <w:t>财政拨款“三公”经费支出决算表</w:t>
      </w:r>
    </w:p>
    <w:sectPr>
      <w:pgSz w:w="11906" w:h="16838"/>
      <w:pgMar w:top="1440" w:right="1803" w:bottom="1440" w:left="1803" w:header="851" w:footer="992" w:gutter="0"/>
      <w:cols w:num="1" w:space="0"/>
      <w:titlePg/>
      <w:rtlGutter/>
      <w:docGrid w:type="lines" w:linePitch="319" w:charSpace="0"/>
    </w:sectPr>
  </w:body>
</w:document>
</file>

<file path=word/fontTable.xml><?xml version="1.0" encoding="utf-8"?>
<w:fonts xmlns:w="http://schemas.openxmlformats.org/wordprocessingml/2006/main" xmlns:r="http://schemas.openxmlformats.org/officeDocument/2006/relationships">
  <w:font w:name="方正小标宋简体">
    <w:altName w:val="微软雅黑"/>
    <w:panose1 w:val="00000000000000000000"/>
    <w:charset w:val="86"/>
    <w:family w:val="script"/>
    <w:pitch w:val="variable"/>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
    <w:altName w:val="仿宋_GB2312"/>
    <w:panose1 w:val="02010609060101010101"/>
    <w:charset w:val="86"/>
    <w:family w:val="modern"/>
    <w:pitch w:val="variable"/>
    <w:sig w:usb0="800002BF" w:usb1="38CF7CFA" w:usb2="00000016" w:usb3="00000000" w:csb0="00040001" w:csb1="00000000"/>
  </w:font>
  <w:font w:name="方正仿宋简体">
    <w:altName w:val="微软雅黑"/>
    <w:panose1 w:val="00000000000000000000"/>
    <w:charset w:val="86"/>
    <w:family w:val="auto"/>
    <w:pitch w:val="variable"/>
    <w:sig w:usb0="00000001" w:usb1="080E0000" w:usb2="00000000" w:usb3="00000000" w:csb0="00040000" w:csb1="00000000"/>
  </w:font>
  <w:font w:name="仿宋_GB2312">
    <w:altName w:val="仿宋"/>
    <w:panose1 w:val="00000000000000000000"/>
    <w:charset w:val="86"/>
    <w:family w:val="modern"/>
    <w:pitch w:val="variable"/>
    <w:sig w:usb0="00000000" w:usb1="00000000" w:usb2="00000000" w:usb3="00000000" w:csb0="00040000" w:csb1="00000000"/>
  </w:font>
  <w:font w:name="楷体_GB2312">
    <w:altName w:val="楷体"/>
    <w:panose1 w:val="00000000000000000000"/>
    <w:charset w:val="86"/>
    <w:family w:val="auto"/>
    <w:pitch w:val="variable"/>
    <w:sig w:usb0="00000000" w:usb1="00000000" w:usb2="00000000" w:usb3="00000000" w:csb0="00040000" w:csb1="00000000"/>
  </w:font>
  <w:font w:name="楷体">
    <w:altName w:val="楷体_GB2312"/>
    <w:panose1 w:val="02010609060101010101"/>
    <w:charset w:val="86"/>
    <w:family w:val="modern"/>
    <w:pitch w:val="variable"/>
    <w:sig w:usb0="800002BF" w:usb1="38CF7CFA" w:usb2="00000016" w:usb3="00000000" w:csb0="00040001" w:csb1="00000000"/>
  </w:font>
  <w:font w:name="方正黑体简体">
    <w:altName w:val="微软雅黑"/>
    <w:panose1 w:val="00000000000000000000"/>
    <w:charset w:val="86"/>
    <w:family w:val="auto"/>
    <w:pitch w:val="variable"/>
    <w:sig w:usb0="00000001" w:usb1="080E0000" w:usb2="00000000" w:usb3="00000000" w:csb0="00040000" w:csb1="00000000"/>
  </w:font>
  <w:font w:name="Lucida Sans">
    <w:panose1 w:val="020B0602040502020204"/>
    <w:charset w:val="00"/>
    <w:family w:val="swiss"/>
    <w:pitch w:val="variable"/>
    <w:sig w:usb0="8100AAF7" w:usb1="0000807B" w:usb2="00000008" w:usb3="00000000" w:csb0="0000009F" w:csb1="00000000"/>
  </w:font>
  <w:font w:name="Cambria">
    <w:altName w:val="Arial"/>
    <w:panose1 w:val="02040503050406030204"/>
    <w:charset w:val="00"/>
    <w:family w:val="roman"/>
    <w:pitch w:val="variable"/>
    <w:sig w:usb0="E00006FF" w:usb1="420024FF" w:usb2="02000000" w:usb3="00000000" w:csb0="0000019F" w:csb1="00000000"/>
  </w:font>
  <w:font w:name="Calibri">
    <w:altName w:val="Times New Roman"/>
    <w:panose1 w:val="020F0502020204030204"/>
    <w:charset w:val="00"/>
    <w:family w:val="swiss"/>
    <w:pitch w:val="variable"/>
    <w:sig w:usb0="E0002EFF" w:usb1="C000247B" w:usb2="00000009" w:usb3="00000000" w:csb0="000001FF" w:csb1="00000000"/>
  </w:font>
  <w:font w:name="??">
    <w:altName w:val="Times New Roman"/>
    <w:panose1 w:val="00000000000000000000"/>
    <w:charset w:val="00"/>
    <w:family w:val="roman"/>
    <w:pitch w:val="variable"/>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jc w:val="center"/>
    </w:pPr>
    <w:r>
      <mc:AlternateContent>
        <mc:Choice Requires="wps">
          <w:drawing>
            <wp:anchor distT="0" distB="0" distL="114297" distR="114297" simplePos="0" relativeHeight="20" behindDoc="0" locked="0" layoutInCell="1" hidden="0" allowOverlap="1">
              <wp:simplePos x="0" y="0"/>
              <wp:positionH relativeFrom="margin">
                <wp:align>center</wp:align>
              </wp:positionH>
              <wp:positionV relativeFrom="paragraph">
                <wp:posOffset>0</wp:posOffset>
              </wp:positionV>
              <wp:extent cx="114300" cy="423976"/>
              <wp:effectExtent l="0" t="0" r="0" b="0"/>
              <wp:wrapNone/>
              <wp:docPr id="1" name="文本框 1"/>
              <wp:cNvGraphicFramePr>
                <a:graphicFrameLocks noChangeAspect="0"/>
              </wp:cNvGraphicFramePr>
              <a:graphic>
                <a:graphicData uri="http://schemas.microsoft.com/office/word/2010/wordprocessingShape">
                  <wps:wsp>
                    <wps:cNvSpPr/>
                    <wps:spPr>
                      <a:xfrm rot="0">
                        <a:off x="0" y="0"/>
                        <a:ext cx="114300" cy="423976"/>
                      </a:xfrm>
                      <a:prstGeom prst="rect"/>
                      <a:noFill/>
                      <a:ln w="6350" cmpd="sng" cap="flat">
                        <a:noFill/>
                        <a:prstDash val="solid"/>
                        <a:round/>
                      </a:ln>
                    </wps:spPr>
                    <wps:txbx id="2">
                      <w:txbxContent>
                        <w:sdt>
                          <w:sdtPr>
                            <w:id w:val="1208444149"/>
                          </w:sdtPr>
                          <w:sdtContent>
                            <w:p>
                              <w:pPr>
                                <w:pStyle w:val="20"/>
                                <w:tabs>
                                  <w:tab w:val="center" w:pos="4153"/>
                                  <w:tab w:val="right" w:pos="8306"/>
                                </w:tabs>
                                <w:jc w:val="center"/>
                              </w:pPr>
                              <w:r>
                                <w:fldChar w:fldCharType="begin"/>
                              </w:r>
                              <w:r>
                                <w:instrText>PAGE   \* MERGEFORMAT</w:instrText>
                              </w:r>
                              <w:r>
                                <w:fldChar w:fldCharType="separate"/>
                              </w:r>
                              <w:r>
                                <w:rPr>
                                  <w:lang w:val="zh-CN"/>
                                </w:rPr>
                                <w:t>8</w:t>
                              </w:r>
                              <w:r>
                                <w:fldChar w:fldCharType="end"/>
                              </w:r>
                            </w:p>
                          </w:sdtContent>
                        </w:sdt>
                        <w:p>
                          <w:pPr>
                            <w:pStyle w:val="15"/>
                            <w:spacing w:beforeLines="0" w:before="72"/>
                          </w:pPr>
                        </w:p>
                      </w:txbxContent>
                    </wps:txbx>
                    <wps:bodyPr vert="horz" wrap="none" lIns="0" tIns="0" rIns="0" bIns="0" anchor="t" anchorCtr="0" upright="0">
                      <a:spAutoFit/>
                    </wps:bodyPr>
                  </wps:wsp>
                </a:graphicData>
              </a:graphic>
            </wp:anchor>
          </w:drawing>
        </mc:Choice>
        <mc:Fallback>
          <w:pict>
            <v:rect type="#_x0000_t1" id="文本框 1 3" o:spid="_x0000_s3" filled="f" stroked="f" strokeweight="0.5pt" style="position:absolute;margin-left:0.0pt;margin-top:0.0pt;width:9.0pt;height:33.384014pt;z-index:20;mso-position-horizontal:center;mso-position-horizontal-relative:margin;mso-position-vertical:absolute;mso-wrap-distance-left:8.99983pt;mso-wrap-distance-right:8.99983pt;mso-wrap-style:none;">
              <v:stroke color="#000000"/>
              <v:textbox id="855" inset="0mm,0mm,0mm,0mm" o:insetmode="custom" style="layout-flow:horizontal;v-text-anchor:top;mso-fit-shape-to-text:t;">
                <w:txbxContent>
                  <w:sdt>
                    <w:sdtPr>
                      <w:id w:val="1208444149"/>
                    </w:sdtPr>
                    <w:sdtContent>
                      <w:p>
                        <w:pPr>
                          <w:pStyle w:val="20"/>
                          <w:tabs>
                            <w:tab w:val="center" w:pos="4153"/>
                            <w:tab w:val="right" w:pos="8306"/>
                          </w:tabs>
                          <w:jc w:val="center"/>
                        </w:pPr>
                        <w:r>
                          <w:fldChar w:fldCharType="begin"/>
                        </w:r>
                        <w:r>
                          <w:instrText>PAGE   \* MERGEFORMAT</w:instrText>
                        </w:r>
                        <w:r>
                          <w:fldChar w:fldCharType="separate"/>
                        </w:r>
                        <w:r>
                          <w:rPr>
                            <w:lang w:val="zh-CN"/>
                          </w:rPr>
                          <w:t>8</w:t>
                        </w:r>
                        <w:r>
                          <w:fldChar w:fldCharType="end"/>
                        </w:r>
                      </w:p>
                    </w:sdtContent>
                  </w:sdt>
                  <w:p>
                    <w:pPr>
                      <w:pStyle w:val="15"/>
                      <w:spacing w:beforeLines="0" w:before="72"/>
                    </w:pPr>
                  </w:p>
                </w:txbxContent>
              </v:textbox>
            </v:rect>
          </w:pict>
        </mc:Fallback>
      </mc:AlternateContent>
    </w:r>
  </w:p>
  <w:p>
    <w:pPr>
      <w:pStyle w:val="20"/>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pPr>
    <w:r>
      <mc:AlternateContent>
        <mc:Choice Requires="wps">
          <w:drawing>
            <wp:anchor distT="0" distB="0" distL="114297" distR="114297" simplePos="0" relativeHeight="24"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4" name="文本框 9"/>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5">
                      <w:txbxContent>
                        <w:p>
                          <w:pPr>
                            <w:pStyle w:val="20"/>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type="#_x0000_t1" id="文本框 9 6" o:spid="_x0000_s6" filled="f" stroked="f" strokeweight="0.5pt" style="position:absolute;margin-left:0.0pt;margin-top:0.0pt;width:9.0pt;height:10.358989pt;z-index:24;mso-position-horizontal:center;mso-position-horizontal-relative:margin;mso-position-vertical:absolute;mso-wrap-distance-left:8.99983pt;mso-wrap-distance-right:8.99983pt;mso-wrap-style:none;">
              <v:stroke color="#000000"/>
              <v:textbox id="856" inset="0mm,0mm,0mm,0mm" o:insetmode="custom" style="layout-flow:horizontal;v-text-anchor:top;mso-fit-shape-to-text:t;">
                <w:txbxContent>
                  <w:p>
                    <w:pPr>
                      <w:pStyle w:val="20"/>
                      <w:tabs>
                        <w:tab w:val="center" w:pos="4153"/>
                        <w:tab w:val="right" w:pos="8306"/>
                      </w:tabs>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CF652CEC"/>
    <w:multiLevelType w:val="singleLevel"/>
    <w:tmpl w:val="CF652CEC"/>
    <w:lvl w:ilvl="0">
      <w:start w:val="9"/>
      <w:numFmt w:val="chineseCounting"/>
      <w:lvlRestart w:val="0"/>
      <w:suff w:val="nothing"/>
      <w:lvlText w:val="%1、"/>
      <w:lvlJc w:val="left"/>
      <w:pPr/>
      <w:rPr>
        <w:rFonts w:hint="eastAsia"/>
      </w:rPr>
    </w:lvl>
  </w:abstractNum>
  <w:abstractNum w:abstractNumId="2">
    <w:nsid w:val="E2FA047D"/>
    <w:multiLevelType w:val="singleLevel"/>
    <w:tmpl w:val="E2FA047D"/>
    <w:lvl w:ilvl="0">
      <w:start w:val="3"/>
      <w:numFmt w:val="chineseCounting"/>
      <w:lvlRestart w:val="0"/>
      <w:suff w:val="space"/>
      <w:lvlText w:val="第%1部分"/>
      <w:lvlJc w:val="left"/>
      <w:pPr/>
      <w:rPr>
        <w:rFonts w:hint="eastAsia"/>
      </w:rPr>
    </w:lvl>
  </w:abstractNum>
  <w:abstractNum w:abstractNumId="3">
    <w:nsid w:val="BDD814F8"/>
    <w:multiLevelType w:val="singleLevel"/>
    <w:tmpl w:val="BDD814F8"/>
    <w:lvl w:ilvl="0">
      <w:start w:val="9"/>
      <w:numFmt w:val="decimal"/>
      <w:lvlRestart w:val="0"/>
      <w:lvlText w:val="%1."/>
      <w:lvlJc w:val="left"/>
      <w:pPr>
        <w:tabs>
          <w:tab w:val="num" w:pos="312"/>
        </w:tabs>
      </w:pPr>
    </w:lvl>
  </w:abstractNum>
  <w:abstractNum w:abstractNumId="4">
    <w:nsid w:val="FFF674BC"/>
    <w:multiLevelType w:val="singleLevel"/>
    <w:tmpl w:val="FFF674BC"/>
    <w:lvl w:ilvl="0">
      <w:start w:val="1"/>
      <w:numFmt w:val="chineseCounting"/>
      <w:lvlRestart w:val="0"/>
      <w:suff w:val="nothing"/>
      <w:lvlText w:val="%1、"/>
      <w:lvlJc w:val="left"/>
      <w:pPr/>
      <w:rPr>
        <w:rFonts w:hint="eastAsia"/>
      </w:rPr>
    </w:lvl>
  </w:abstractNum>
  <w:abstractNum w:abstractNumId="5">
    <w:nsid w:val="AA59B581"/>
    <w:multiLevelType w:val="singleLevel"/>
    <w:tmpl w:val="AA59B581"/>
    <w:lvl w:ilvl="0">
      <w:start w:val="1"/>
      <w:numFmt w:val="chineseCounting"/>
      <w:lvlRestart w:val="0"/>
      <w:suff w:val="nothing"/>
      <w:lvlText w:val="（%1）"/>
      <w:lvlJc w:val="left"/>
      <w:pPr/>
      <w:rPr>
        <w:rFonts w:hint="eastAsia"/>
      </w:rPr>
    </w:lvl>
  </w:abstractNum>
  <w:abstractNum w:abstractNumId="6">
    <w:nsid w:val="DEBEF323"/>
    <w:multiLevelType w:val="singleLevel"/>
    <w:tmpl w:val="DEBEF323"/>
    <w:lvl w:ilvl="0">
      <w:start w:val="4"/>
      <w:numFmt w:val="chineseCounting"/>
      <w:lvlRestart w:val="0"/>
      <w:suff w:val="nothing"/>
      <w:lvlText w:val="（%1）"/>
      <w:lvlJc w:val="left"/>
      <w:pPr/>
      <w:rPr>
        <w:rFonts w:hint="eastAsia"/>
      </w:rPr>
    </w:lvl>
  </w:abstractNum>
  <w:abstractNum w:abstractNumId="7">
    <w:nsid w:val="E38843EA"/>
    <w:multiLevelType w:val="singleLevel"/>
    <w:tmpl w:val="E38843EA"/>
    <w:lvl w:ilvl="0">
      <w:start w:val="2"/>
      <w:numFmt w:val="chineseCounting"/>
      <w:lvlRestart w:val="0"/>
      <w:suff w:val="nothing"/>
      <w:lvlText w:val="（%1）"/>
      <w:lvlJc w:val="left"/>
      <w:pPr/>
      <w:rPr>
        <w:rFonts w:hint="eastAsia"/>
      </w:rPr>
    </w:lvl>
  </w:abstractNum>
  <w:abstractNum w:abstractNumId="8">
    <w:nsid w:val="59C8E4E8"/>
    <w:multiLevelType w:val="singleLevel"/>
    <w:tmpl w:val="59C8E4E8"/>
    <w:lvl w:ilvl="0">
      <w:start w:val="2"/>
      <w:numFmt w:val="chineseCounting"/>
      <w:lvlRestart w:val="0"/>
      <w:suff w:val="nothing"/>
      <w:lvlText w:val="%1、"/>
      <w:lvlJc w:val="left"/>
      <w:pPr/>
      <w:rPr>
        <w:rFonts w:hint="eastAsia"/>
      </w:rPr>
    </w:lvl>
  </w:abstractNum>
  <w:abstractNum w:abstractNumId="9">
    <w:nsid w:val="C7262D02"/>
    <w:multiLevelType w:val="singleLevel"/>
    <w:tmpl w:val="C7262D02"/>
    <w:lvl w:ilvl="0">
      <w:start w:val="2"/>
      <w:numFmt w:val="chineseCounting"/>
      <w:lvlRestart w:val="0"/>
      <w:suff w:val="nothing"/>
      <w:lvlText w:val="（%1）"/>
      <w:lvlJc w:val="left"/>
      <w:pPr/>
      <w:rPr>
        <w:rFonts w:hint="eastAsia"/>
      </w:rPr>
    </w:lvl>
  </w:abstractNum>
  <w:abstractNum w:abstractNumId="10">
    <w:nsid w:val="81793AC6"/>
    <w:multiLevelType w:val="singleLevel"/>
    <w:tmpl w:val="81793AC6"/>
    <w:lvl w:ilvl="0">
      <w:start w:val="2"/>
      <w:numFmt w:val="chineseCounting"/>
      <w:lvlRestart w:val="0"/>
      <w:suff w:val="nothing"/>
      <w:lvlText w:val="（%1）"/>
      <w:lvlJc w:val="left"/>
      <w:pPr/>
      <w:rPr>
        <w:rFonts w:hint="eastAsia"/>
      </w:rPr>
    </w:lvl>
  </w:abstractNum>
  <w:abstractNum w:abstractNumId="11">
    <w:nsid w:val="BAB01899"/>
    <w:multiLevelType w:val="singleLevel"/>
    <w:tmpl w:val="BAB01899"/>
    <w:lvl w:ilvl="0">
      <w:start w:val="2"/>
      <w:numFmt w:val="chineseCounting"/>
      <w:lvlRestart w:val="0"/>
      <w:suff w:val="nothing"/>
      <w:lvlText w:val="%1、"/>
      <w:lvlJc w:val="left"/>
      <w:pPr/>
      <w:rPr>
        <w:rFonts w:hint="eastAsia"/>
      </w:rPr>
    </w:lvl>
  </w:abstractNum>
  <w:abstractNum w:abstractNumId="12">
    <w:nsid w:val="DBF59F36"/>
    <w:multiLevelType w:val="singleLevel"/>
    <w:tmpl w:val="DBF59F36"/>
    <w:lvl w:ilvl="0">
      <w:start w:val="2"/>
      <w:numFmt w:val="chineseCounting"/>
      <w:lvlRestart w:val="0"/>
      <w:suff w:val="nothing"/>
      <w:lvlText w:val="（%1）"/>
      <w:lvlJc w:val="left"/>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9"/>
  <w:bordersDoNotSurroundHeader/>
  <w:bordersDoNotSurroundFooter/>
  <w:documentProtection w:edit="readOnly" w:enforcement="0"/>
  <w:defaultTabStop w:val="420"/>
  <w:drawingGridHorizontalSpacing w:val="105"/>
  <w:drawingGridVerticalSpacing w:val="159"/>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Mzc4YmViNjZjMDI0N2FkOGU2ZjY0YmYwYzRmYTNhNj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Salutation"/>
    <w:basedOn w:val="0"/>
    <w:next w:val="0"/>
    <w:rPr>
      <w:rFonts w:ascii="Calibri" w:hAnsi="Calibri"/>
    </w:rPr>
  </w:style>
  <w:style w:type="paragraph" w:styleId="17">
    <w:name w:val="Body Text Indent"/>
    <w:basedOn w:val="0"/>
    <w:pPr>
      <w:spacing w:after="120"/>
      <w:ind w:leftChars="200" w:left="200"/>
    </w:pPr>
    <w:rPr>
      <w:rFonts w:ascii="仿宋_GB2312" w:hAnsi="仿宋_GB2312"/>
      <w:szCs w:val="32"/>
    </w:rPr>
  </w:style>
  <w:style w:type="paragraph" w:styleId="18">
    <w:name w:val="toc 3"/>
    <w:basedOn w:val="0"/>
    <w:next w:val="0"/>
    <w:pPr>
      <w:tabs>
        <w:tab w:val="right" w:leader="dot" w:pos="8296"/>
      </w:tabs>
      <w:ind w:leftChars="400" w:left="400"/>
    </w:pPr>
  </w:style>
  <w:style w:type="paragraph" w:styleId="19">
    <w:name w:val="Balloon Text"/>
    <w:basedOn w:val="0"/>
    <w:rPr>
      <w:sz w:val="18"/>
      <w:szCs w:val="18"/>
    </w:rPr>
  </w:style>
  <w:style w:type="paragraph" w:styleId="20">
    <w:name w:val="footer"/>
    <w:basedOn w:val="0"/>
    <w:pPr>
      <w:tabs>
        <w:tab w:val="center" w:pos="4153"/>
        <w:tab w:val="right" w:pos="8306"/>
      </w:tabs>
      <w:snapToGrid w:val="0"/>
      <w:jc w:val="left"/>
    </w:pPr>
    <w:rPr>
      <w:rFonts w:ascii="Calibri" w:hAnsi="Calibri"/>
      <w:kern w:val="0"/>
      <w:sz w:val="18"/>
      <w:szCs w:val="18"/>
    </w:rPr>
  </w:style>
  <w:style w:type="paragraph" w:styleId="21">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2">
    <w:name w:val="toc 1"/>
    <w:basedOn w:val="0"/>
    <w:next w:val="0"/>
    <w:pPr>
      <w:tabs>
        <w:tab w:val="right" w:leader="dot" w:pos="8296"/>
      </w:tabs>
      <w:spacing w:before="93"/>
      <w:jc w:val="center"/>
    </w:pPr>
    <w:rPr>
      <w:rFonts w:ascii="仿宋" w:eastAsia="仿宋" w:hAnsi="仿宋"/>
      <w:sz w:val="28"/>
      <w:szCs w:val="28"/>
    </w:rPr>
  </w:style>
  <w:style w:type="paragraph" w:styleId="23">
    <w:name w:val="table of figures"/>
    <w:basedOn w:val="0"/>
    <w:next w:val="0"/>
    <w:pPr>
      <w:spacing w:before="100" w:beforeAutospacing="1" w:after="100" w:afterAutospacing="1"/>
      <w:ind w:leftChars="200" w:left="400" w:hangingChars="200" w:hanging="200"/>
    </w:pPr>
  </w:style>
  <w:style w:type="paragraph" w:styleId="24">
    <w:name w:val="toc 2"/>
    <w:basedOn w:val="0"/>
    <w:next w:val="0"/>
    <w:pPr>
      <w:tabs>
        <w:tab w:val="right" w:leader="dot" w:pos="8296"/>
      </w:tabs>
      <w:ind w:leftChars="200" w:left="200"/>
    </w:pPr>
  </w:style>
  <w:style w:type="paragraph" w:styleId="25">
    <w:name w:val="Body Text First Indent 2"/>
    <w:basedOn w:val="17"/>
    <w:pPr>
      <w:ind w:firstLineChars="200" w:firstLine="200"/>
    </w:pPr>
  </w:style>
  <w:style w:type="character" w:styleId="26">
    <w:name w:val="Strong"/>
    <w:basedOn w:val="10"/>
    <w:rPr>
      <w:b/>
    </w:rPr>
  </w:style>
  <w:style w:type="character" w:styleId="27">
    <w:name w:val="Hyperlink"/>
    <w:basedOn w:val="10"/>
    <w:rPr>
      <w:color w:val="0000FF"/>
      <w:u w:val="single"/>
    </w:rPr>
  </w:style>
  <w:style w:type="paragraph" w:customStyle="1" w:styleId="28">
    <w:name w:val="标题 5（有编号）（绿盟科技）"/>
    <w:next w:val="0"/>
    <w:pPr>
      <w:keepNext/>
      <w:keepLines/>
      <w:widowControl w:val="0"/>
      <w:spacing w:before="280" w:after="156" w:line="377" w:lineRule="auto"/>
      <w:outlineLvl w:val="4"/>
    </w:pPr>
    <w:rPr>
      <w:rFonts w:ascii="Arial" w:eastAsia="黑体" w:cs="Times New Roman" w:hAnsi="Arial"/>
      <w:b/>
      <w:kern w:val="2"/>
      <w:sz w:val="24"/>
      <w:szCs w:val="28"/>
      <w:lang w:val="en-US" w:eastAsia="zh-CN" w:bidi="ar-SA"/>
    </w:rPr>
  </w:style>
  <w:style w:type="character" w:customStyle="1" w:styleId="29">
    <w:name w:val="Header Char"/>
    <w:basedOn w:val="10"/>
    <w:rPr>
      <w:rFonts w:ascii="Times New Roman" w:hAnsi="Times New Roman"/>
      <w:sz w:val="18"/>
      <w:szCs w:val="18"/>
    </w:rPr>
  </w:style>
  <w:style w:type="character" w:customStyle="1" w:styleId="30">
    <w:name w:val="Footer Char"/>
    <w:basedOn w:val="10"/>
    <w:rPr>
      <w:rFonts w:ascii="Times New Roman" w:hAnsi="Times New Roman"/>
      <w:sz w:val="18"/>
      <w:szCs w:val="18"/>
    </w:rPr>
  </w:style>
  <w:style w:type="character" w:customStyle="1" w:styleId="31">
    <w:name w:val="Body Text Char"/>
    <w:basedOn w:val="10"/>
    <w:rPr>
      <w:rFonts w:ascii="Times New Roman" w:hAnsi="Times New Roman"/>
      <w:szCs w:val="24"/>
    </w:rPr>
  </w:style>
  <w:style w:type="paragraph" w:customStyle="1" w:styleId="32">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33">
    <w:name w:val="List Paragraph"/>
    <w:basedOn w:val="0"/>
    <w:pPr>
      <w:ind w:firstLineChars="200" w:firstLine="200"/>
    </w:pPr>
  </w:style>
  <w:style w:type="paragraph" w:customStyle="1" w:styleId="34">
    <w:name w:val="TOC 标题1"/>
    <w:basedOn w:val="1"/>
    <w:next w:val="0"/>
    <w:pPr>
      <w:keepNext/>
      <w:keepLines/>
      <w:widowControl/>
      <w:spacing w:before="480" w:after="0" w:line="276" w:lineRule="auto"/>
      <w:jc w:val="left"/>
      <w:outlineLvl w:val="9"/>
    </w:pPr>
    <w:rPr>
      <w:rFonts w:ascii="Cambria" w:hAnsi="Cambria"/>
      <w:color w:val="376092"/>
      <w:kern w:val="0"/>
      <w:sz w:val="28"/>
      <w:szCs w:val="28"/>
    </w:rPr>
  </w:style>
  <w:style w:type="paragraph" w:customStyle="1" w:styleId="35">
    <w:name w:val="TOC 标题2"/>
    <w:basedOn w:val="1"/>
    <w:next w:val="0"/>
    <w:pPr>
      <w:keepNext/>
      <w:keepLines/>
      <w:widowControl/>
      <w:spacing w:before="480" w:after="0" w:line="276" w:lineRule="auto"/>
      <w:jc w:val="left"/>
      <w:outlineLvl w:val="9"/>
    </w:pPr>
    <w:rPr>
      <w:rFonts w:ascii="Cambria" w:hAnsi="Cambria"/>
      <w:color w:val="376092"/>
      <w:kern w:val="0"/>
      <w:sz w:val="28"/>
      <w:szCs w:val="28"/>
    </w:rPr>
  </w:style>
  <w:style w:type="paragraph" w:customStyle="1" w:styleId="36">
    <w:name w:val="四号正文"/>
    <w:basedOn w:val="0"/>
    <w:pPr>
      <w:spacing w:line="360" w:lineRule="auto"/>
    </w:pPr>
    <w:rPr>
      <w:rFonts w:ascii="??" w:hAnsi="??"/>
      <w:color w:val="000000"/>
      <w:kern w:val="0"/>
      <w:sz w:val="28"/>
      <w:szCs w:val="21"/>
      <w:lang w:val="zh-CN"/>
    </w:rPr>
  </w:style>
  <w:style w:type="paragraph" w:customStyle="1" w:styleId="37">
    <w:name w:val="正文 New New New New New New New New New New New New New New New New New New New New New New New New New New New New New New New New"/>
    <w:pPr>
      <w:widowControl w:val="0"/>
      <w:jc w:val="both"/>
    </w:pPr>
    <w:rPr>
      <w:rFonts w:ascii="Times New Roman" w:eastAsia="宋体" w:cs="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chart" Target="charts/chart1.xml"/><Relationship Id="rId6" Type="http://schemas.openxmlformats.org/officeDocument/2006/relationships/chart" Target="charts/chart2.xml"/><Relationship Id="rId7" Type="http://schemas.openxmlformats.org/officeDocument/2006/relationships/chart" Target="charts/chart3.xml"/><Relationship Id="rId8" Type="http://schemas.openxmlformats.org/officeDocument/2006/relationships/chart" Target="charts/chart4.xml"/><Relationship Id="rId9" Type="http://schemas.openxmlformats.org/officeDocument/2006/relationships/chart" Target="charts/chart5.xml"/><Relationship Id="rId10" Type="http://schemas.openxmlformats.org/officeDocument/2006/relationships/chart" Target="charts/chart6.xml"/><Relationship Id="rId11" Type="http://schemas.openxmlformats.org/officeDocument/2006/relationships/chart" Target="charts/chart7.xml"/><Relationship Id="rId12" Type="http://schemas.openxmlformats.org/officeDocument/2006/relationships/styles" Target="styl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620997"/>
          <c:y val="0.06006192"/>
          <c:w val="0.788105"/>
          <c:h val="0.84623325"/>
        </c:manualLayout>
      </c:layout>
      <c:barChart>
        <c:barDir val="col"/>
        <c:grouping val="clustered"/>
        <c:varyColors val="0"/>
        <c:ser>
          <c:idx val="0"/>
          <c:order val="0"/>
          <c:tx>
            <c:strRef>
              <c:f>'Sheet1'!$B$1</c:f>
              <c:strCache>
                <c:ptCount val="1"/>
                <c:pt idx="0">
                  <c:v>2021</c:v>
                </c:pt>
              </c:strCache>
            </c:strRef>
          </c:tx>
          <c:spPr>
            <a:solidFill>
              <a:srgbClr val="4F81BD"/>
            </a:solidFill>
            <a:ln>
              <a:noFill/>
            </a:ln>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'Sheet1'!$A$2:$A$3</c:f>
              <c:strCache>
                <c:ptCount val="2"/>
                <c:pt idx="0">
                  <c:v>收入</c:v>
                </c:pt>
                <c:pt idx="1">
                  <c:v>支出</c:v>
                </c:pt>
              </c:strCache>
            </c:strRef>
          </c:cat>
          <c:val>
            <c:numRef>
              <c:f>'Sheet1'!$B$2:$B$3</c:f>
              <c:numCache>
                <c:formatCode>General</c:formatCode>
                <c:ptCount val="2"/>
                <c:pt idx="0">
                  <c:v>1438.88</c:v>
                </c:pt>
                <c:pt idx="1">
                  <c:v>1438.88</c:v>
                </c:pt>
              </c:numCache>
            </c:numRef>
          </c:val>
        </c:ser>
        <c:ser>
          <c:idx val="1"/>
          <c:order val="1"/>
          <c:tx>
            <c:strRef>
              <c:f>'Sheet1'!$C$1</c:f>
              <c:strCache>
                <c:ptCount val="1"/>
                <c:pt idx="0">
                  <c:v>2022</c:v>
                </c:pt>
              </c:strCache>
            </c:strRef>
          </c:tx>
          <c:spPr>
            <a:solidFill>
              <a:srgbClr val="C0504D"/>
            </a:solidFill>
            <a:ln>
              <a:noFill/>
            </a:ln>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'Sheet1'!$A$2:$A$3</c:f>
              <c:strCache>
                <c:ptCount val="2"/>
                <c:pt idx="0">
                  <c:v>收入</c:v>
                </c:pt>
                <c:pt idx="1">
                  <c:v>支出</c:v>
                </c:pt>
              </c:strCache>
            </c:strRef>
          </c:cat>
          <c:val>
            <c:numRef>
              <c:f>'Sheet1'!$C$2:$C$3</c:f>
              <c:numCache>
                <c:formatCode>General</c:formatCode>
                <c:ptCount val="2"/>
                <c:pt idx="0">
                  <c:v>1169.75</c:v>
                </c:pt>
                <c:pt idx="1">
                  <c:v>1169.75</c:v>
                </c:pt>
              </c:numCache>
            </c:numRef>
          </c:val>
        </c:ser>
        <c:gapWidth val="150"/>
        <c:axId val="0"/>
        <c:axId val="1"/>
      </c:bar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6486877"/>
          <c:y val="0.15851393"/>
          <c:w val="0.6027342"/>
          <c:h val="0.7754386"/>
        </c:manualLayout>
      </c:layout>
      <c:pieChart>
        <c:varyColors val="1"/>
        <c:ser>
          <c:idx val="0"/>
          <c:order val="0"/>
          <c:tx>
            <c:strRef>
              <c:f>'Sheet1 (2)'!$B$1</c:f>
              <c:strCache>
                <c:ptCount val="1"/>
                <c:pt idx="0">
                  <c:v>收入</c:v>
                </c:pt>
              </c:strCache>
            </c:strRef>
          </c:tx>
          <c:spPr>
            <a:solidFill>
              <a:srgbClr val="4F81BD"/>
            </a:solidFill>
            <a:ln>
              <a:noFill/>
            </a:ln>
          </c:spPr>
          <c:dPt>
            <c:idx val="0"/>
            <c:bubble3D val="0"/>
            <c:spPr>
              <a:solidFill>
                <a:srgbClr val="4F81BD"/>
              </a:solidFill>
            </c:spPr>
          </c:dPt>
          <c:dPt>
            <c:idx val="1"/>
            <c:bubble3D val="0"/>
            <c:spPr>
              <a:solidFill>
                <a:srgbClr val="C0504D"/>
              </a:solidFill>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1"/>
            <c:showCatName val="0"/>
            <c:showSerName val="0"/>
            <c:showPercent val="0"/>
            <c:showBubbleSize val="0"/>
            <c:showLeaderLines val="1"/>
          </c:dLbls>
          <c:cat>
            <c:strRef>
              <c:f>'Sheet1 (2)'!$A$2:$A$3</c:f>
              <c:strCache>
                <c:ptCount val="2"/>
                <c:pt idx="0">
                  <c:v>一般公共预算财政拨款收入</c:v>
                </c:pt>
                <c:pt idx="1">
                  <c:v>其他收入</c:v>
                </c:pt>
              </c:strCache>
            </c:strRef>
          </c:cat>
          <c:val>
            <c:numRef>
              <c:f>'Sheet1 (2)'!$B$2:$B$3</c:f>
              <c:numCache>
                <c:formatCode>General</c:formatCode>
                <c:ptCount val="2"/>
                <c:pt idx="0">
                  <c:v>993.81</c:v>
                </c:pt>
                <c:pt idx="1">
                  <c:v>8.03</c:v>
                </c:pt>
              </c:numCache>
            </c:numRef>
          </c:val>
        </c:ser>
        <c:firstSliceAng val="15"/>
      </c:pieChart>
      <c:spPr>
        <a:noFill/>
        <a:ln>
          <a:noFill/>
        </a:ln>
      </c:spPr>
    </c:plotArea>
    <c:legend>
      <c:legendPos val="r"/>
      <c:layout>
        <c:manualLayout>
          <c:xMode val="edge"/>
          <c:yMode val="edge"/>
          <c:x val="0.6665452"/>
          <c:y val="0.11447514"/>
          <c:w val="0.32984465"/>
          <c:h val="0.8751082"/>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6486877"/>
          <c:y val="0.1750258"/>
          <c:w val="0.6990501"/>
          <c:h val="0.7754386"/>
        </c:manualLayout>
      </c:layout>
      <c:pieChart>
        <c:varyColors val="1"/>
        <c:ser>
          <c:idx val="0"/>
          <c:order val="0"/>
          <c:tx>
            <c:strRef>
              <c:f>'Sheet1 (3)'!$B$1</c:f>
              <c:strCache>
                <c:ptCount val="1"/>
                <c:pt idx="0">
                  <c:v>列1</c:v>
                </c:pt>
              </c:strCache>
            </c:strRef>
          </c:tx>
          <c:spPr>
            <a:solidFill>
              <a:srgbClr val="4F81BD"/>
            </a:solidFill>
            <a:ln>
              <a:noFill/>
            </a:ln>
          </c:spPr>
          <c:explosion val="12"/>
          <c:dPt>
            <c:idx val="0"/>
            <c:bubble3D val="0"/>
            <c:explosion val="0"/>
            <c:spPr>
              <a:solidFill>
                <a:srgbClr val="4F81BD"/>
              </a:solidFill>
            </c:spPr>
          </c:dPt>
          <c:dPt>
            <c:idx val="1"/>
            <c:bubble3D val="0"/>
            <c:explosion val="0"/>
            <c:spPr>
              <a:solidFill>
                <a:srgbClr val="C0504D"/>
              </a:solidFill>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1"/>
            <c:showCatName val="0"/>
            <c:showSerName val="0"/>
            <c:showPercent val="0"/>
            <c:showBubbleSize val="0"/>
            <c:showLeaderLines val="1"/>
          </c:dLbls>
          <c:cat>
            <c:strRef>
              <c:f>'Sheet1 (3)'!$A$2:$A$3</c:f>
              <c:strCache>
                <c:ptCount val="2"/>
                <c:pt idx="0">
                  <c:v>基本支出</c:v>
                </c:pt>
                <c:pt idx="1">
                  <c:v>项目支出</c:v>
                </c:pt>
              </c:strCache>
            </c:strRef>
          </c:cat>
          <c:val>
            <c:numRef>
              <c:f>'Sheet1 (3)'!$B$2:$B$3</c:f>
              <c:numCache>
                <c:formatCode>General</c:formatCode>
                <c:ptCount val="2"/>
                <c:pt idx="0">
                  <c:v>678.41</c:v>
                </c:pt>
                <c:pt idx="1">
                  <c:v>487.35</c:v>
                </c:pt>
              </c:numCache>
            </c:numRef>
          </c:val>
        </c:ser>
        <c:firstSliceAng val="15"/>
      </c:pieChart>
      <c:spPr>
        <a:noFill/>
        <a:ln>
          <a:noFill/>
        </a:ln>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 (4)'!$B$1</c:f>
              <c:strCache>
                <c:ptCount val="1"/>
                <c:pt idx="0">
                  <c:v>2021</c:v>
                </c:pt>
              </c:strCache>
            </c:strRef>
          </c:tx>
          <c:spPr>
            <a:solidFill>
              <a:srgbClr val="4F81BD"/>
            </a:solidFill>
            <a:ln>
              <a:noFill/>
            </a:ln>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(4)'!$A$2:$A$3</c:f>
              <c:strCache>
                <c:ptCount val="2"/>
                <c:pt idx="0">
                  <c:v>收入</c:v>
                </c:pt>
                <c:pt idx="1">
                  <c:v>支出</c:v>
                </c:pt>
              </c:strCache>
            </c:strRef>
          </c:cat>
          <c:val>
            <c:numRef>
              <c:f>'Sheet1 (4)'!$B$2:$B$3</c:f>
              <c:numCache>
                <c:formatCode>General</c:formatCode>
                <c:ptCount val="2"/>
                <c:pt idx="0">
                  <c:v>1428.11</c:v>
                </c:pt>
                <c:pt idx="1">
                  <c:v>1428.11</c:v>
                </c:pt>
              </c:numCache>
            </c:numRef>
          </c:val>
        </c:ser>
        <c:ser>
          <c:idx val="1"/>
          <c:order val="1"/>
          <c:tx>
            <c:strRef>
              <c:f>'Sheet1 (4)'!$C$1</c:f>
              <c:strCache>
                <c:ptCount val="1"/>
                <c:pt idx="0">
                  <c:v>2022</c:v>
                </c:pt>
              </c:strCache>
            </c:strRef>
          </c:tx>
          <c:spPr>
            <a:solidFill>
              <a:srgbClr val="C0504D"/>
            </a:solidFill>
            <a:ln>
              <a:noFill/>
            </a:ln>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(4)'!$A$2:$A$3</c:f>
              <c:strCache>
                <c:ptCount val="2"/>
                <c:pt idx="0">
                  <c:v>收入</c:v>
                </c:pt>
                <c:pt idx="1">
                  <c:v>支出</c:v>
                </c:pt>
              </c:strCache>
            </c:strRef>
          </c:cat>
          <c:val>
            <c:numRef>
              <c:f>'Sheet1 (4)'!$C$2:$C$3</c:f>
              <c:numCache>
                <c:formatCode>General</c:formatCode>
                <c:ptCount val="2"/>
                <c:pt idx="0">
                  <c:v>1152.48</c:v>
                </c:pt>
                <c:pt idx="1">
                  <c:v>1152.48</c:v>
                </c:pt>
              </c:numCache>
            </c:numRef>
          </c:val>
        </c:ser>
        <c:gapWidth val="150"/>
        <c:axId val="0"/>
        <c:axId val="1"/>
      </c:bar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a:ln>
          <a:noFill/>
        </a:ln>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 (5)'!$B$1</c:f>
              <c:strCache>
                <c:ptCount val="1"/>
                <c:pt idx="0">
                  <c:v>2021</c:v>
                </c:pt>
              </c:strCache>
            </c:strRef>
          </c:tx>
          <c:spPr>
            <a:solidFill>
              <a:srgbClr val="4F81BD"/>
            </a:solidFill>
            <a:ln>
              <a:noFill/>
            </a:ln>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(5)'!$A$2</c:f>
              <c:strCache>
                <c:ptCount val="1"/>
                <c:pt idx="0">
                  <c:v>一般公共预算财政支出</c:v>
                </c:pt>
              </c:strCache>
            </c:strRef>
          </c:cat>
          <c:val>
            <c:numRef>
              <c:f>Sheet1 (5)!$B$2</c:f>
              <c:numCache>
                <c:formatCode>General</c:formatCode>
                <c:ptCount val="1"/>
                <c:pt idx="0">
                  <c:v>1428.11</c:v>
                </c:pt>
              </c:numCache>
            </c:numRef>
          </c:val>
        </c:ser>
        <c:ser>
          <c:idx val="1"/>
          <c:order val="1"/>
          <c:tx>
            <c:strRef>
              <c:f>'Sheet1 (5)'!$C$1</c:f>
              <c:strCache>
                <c:ptCount val="1"/>
                <c:pt idx="0">
                  <c:v>2022</c:v>
                </c:pt>
              </c:strCache>
            </c:strRef>
          </c:tx>
          <c:spPr>
            <a:solidFill>
              <a:srgbClr val="C0504D"/>
            </a:solidFill>
            <a:ln>
              <a:noFill/>
            </a:ln>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Ref>
              <c:f>'Sheet1 (5)'!$A$2</c:f>
              <c:strCache>
                <c:ptCount val="1"/>
                <c:pt idx="0">
                  <c:v>一般公共预算财政支出</c:v>
                </c:pt>
              </c:strCache>
            </c:strRef>
          </c:cat>
          <c:val>
            <c:numRef>
              <c:f>Sheet1 (5)!$C$2</c:f>
              <c:numCache>
                <c:formatCode>General</c:formatCode>
                <c:ptCount val="1"/>
                <c:pt idx="0">
                  <c:v>1152.48</c:v>
                </c:pt>
              </c:numCache>
            </c:numRef>
          </c:val>
        </c:ser>
        <c:gapWidth val="150"/>
        <c:axId val="0"/>
        <c:axId val="1"/>
      </c:bar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min val="800.0"/>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66738"/>
          <c:y val="0.08151383"/>
          <c:w val="0.36369157"/>
          <c:h val="0.8719068"/>
        </c:manualLayout>
      </c:layout>
      <c:pieChart>
        <c:varyColors val="1"/>
        <c:ser>
          <c:idx val="0"/>
          <c:order val="0"/>
          <c:tx>
            <c:strRef>
              <c:f>'Sheet1 (6)'!$B$1</c:f>
              <c:strCache>
                <c:ptCount val="1"/>
                <c:pt idx="0">
                  <c:v>2020</c:v>
                </c:pt>
              </c:strCache>
            </c:strRef>
          </c:tx>
          <c:spPr>
            <a:solidFill>
              <a:srgbClr val="4F81BD"/>
            </a:solidFill>
            <a:ln>
              <a:noFill/>
            </a:ln>
          </c:spPr>
          <c:explosion val="18"/>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1"/>
            <c:showCatName val="0"/>
            <c:showSerName val="0"/>
            <c:showPercent val="0"/>
            <c:showBubbleSize val="0"/>
            <c:showLeaderLines val="1"/>
          </c:dLbls>
          <c:cat>
            <c:strRef>
              <c:f>'Sheet1 (6)'!$A$2:$A$5</c:f>
              <c:strCache>
                <c:ptCount val="4"/>
                <c:pt idx="0">
                  <c:v>一般公共服务支出</c:v>
                </c:pt>
                <c:pt idx="1">
                  <c:v>社会保障和就业支出</c:v>
                </c:pt>
                <c:pt idx="2">
                  <c:v>医疗卫生与计划生育支出</c:v>
                </c:pt>
                <c:pt idx="3">
                  <c:v>住房保障支出</c:v>
                </c:pt>
              </c:strCache>
            </c:strRef>
          </c:cat>
          <c:val>
            <c:numRef>
              <c:f>'Sheet1 (6)'!$B$2:$B$5</c:f>
              <c:numCache>
                <c:formatCode>General</c:formatCode>
                <c:ptCount val="4"/>
                <c:pt idx="0">
                  <c:v>1041.48</c:v>
                </c:pt>
                <c:pt idx="1">
                  <c:v>44.87</c:v>
                </c:pt>
                <c:pt idx="2">
                  <c:v>20.0</c:v>
                </c:pt>
                <c:pt idx="3">
                  <c:v>46.13</c:v>
                </c:pt>
              </c:numCache>
            </c:numRef>
          </c:val>
        </c:ser>
        <c:firstSliceAng val="0"/>
      </c:pieChart>
      <c:spPr>
        <a:no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6474128"/>
          <c:y val="0.11908397"/>
          <c:w val="0.6029254"/>
          <c:h val="0.7231552"/>
        </c:manualLayout>
      </c:layout>
      <c:pieChart>
        <c:varyColors val="1"/>
        <c:ser>
          <c:idx val="0"/>
          <c:order val="0"/>
          <c:tx>
            <c:strRef>
              <c:f>'Sheet1 (7)'!$B$1</c:f>
              <c:strCache>
                <c:ptCount val="1"/>
                <c:pt idx="0">
                  <c:v>列1</c:v>
                </c:pt>
              </c:strCache>
            </c:strRef>
          </c:tx>
          <c:spPr>
            <a:solidFill>
              <a:srgbClr val="4F81BD"/>
            </a:solidFill>
            <a:ln>
              <a:noFill/>
            </a:ln>
          </c:spPr>
          <c:explosion val="25"/>
          <c:dPt>
            <c:idx val="0"/>
            <c:bubble3D val="0"/>
            <c:spPr>
              <a:solidFill>
                <a:srgbClr val="4F81BD"/>
              </a:solidFill>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1"/>
            <c:showCatName val="0"/>
            <c:showSerName val="0"/>
            <c:showPercent val="0"/>
            <c:showBubbleSize val="0"/>
            <c:showLeaderLines val="1"/>
          </c:dLbls>
          <c:cat>
            <c:strRef>
              <c:f>'Sheet1 (7)'!$A$2</c:f>
              <c:strCache>
                <c:ptCount val="1"/>
                <c:pt idx="0">
                  <c:v>公务接待费</c:v>
                </c:pt>
              </c:strCache>
            </c:strRef>
          </c:cat>
          <c:val>
            <c:numRef>
              <c:f>Sheet1 (7)!$B$2</c:f>
              <c:numCache>
                <c:formatCode>General</c:formatCode>
                <c:ptCount val="1"/>
                <c:pt idx="0">
                  <c:v>0.06</c:v>
                </c:pt>
              </c:numCache>
            </c:numRef>
          </c:val>
        </c:ser>
        <c:firstSliceAng val="15"/>
      </c:pieChart>
      <c:spPr>
        <a:noFill/>
        <a:ln>
          <a:noFill/>
        </a:ln>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2D583E27-0C92-43FE-B17E-F66D62ECF3C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78</TotalTime>
  <Application>Yozo_Office27021597764231179</Application>
  <Pages>81</Pages>
  <Words>0</Words>
  <Characters>29763</Characters>
  <Lines>0</Lines>
  <Paragraphs>578</Paragraphs>
  <CharactersWithSpaces>39685</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16</cp:revision>
  <cp:lastPrinted>2023-09-19T00:43:00Z</cp:lastPrinted>
  <dcterms:created xsi:type="dcterms:W3CDTF">2024-08-09T02:20:00Z</dcterms:created>
  <dcterms:modified xsi:type="dcterms:W3CDTF">2024-08-09T08:39:51Z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2052-11.1.0.11194</vt:lpwstr>
  </property>
  <property fmtid="{D5CDD505-2E9C-101B-9397-08002B2CF9AE}" pid="3" name="ICV">
    <vt:lpwstr>0991A70B97FF4521B6ABC3815E30D145_13</vt:lpwstr>
  </property>
</Properties>
</file>