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hAnsi="宋体"/>
          <w:color w:val="000000"/>
          <w:sz w:val="36"/>
          <w:szCs w:val="36"/>
        </w:rPr>
      </w:pPr>
      <w:bookmarkStart w:id="0" w:name="_GoBack"/>
      <w:bookmarkEnd w:id="0"/>
    </w:p>
    <w:p>
      <w:pPr>
        <w:jc w:val="center"/>
        <w:rPr>
          <w:rFonts w:ascii="方正小标宋简体" w:eastAsia="方正小标宋简体" w:hAnsi="宋体"/>
          <w:color w:val="000000"/>
          <w:sz w:val="36"/>
          <w:szCs w:val="36"/>
        </w:rPr>
      </w:pPr>
    </w:p>
    <w:p>
      <w:pPr>
        <w:jc w:val="center"/>
        <w:rPr>
          <w:rFonts w:ascii="方正小标宋简体" w:eastAsia="方正小标宋简体" w:hAnsi="宋体"/>
          <w:color w:val="000000"/>
          <w:sz w:val="36"/>
          <w:szCs w:val="36"/>
        </w:rPr>
      </w:pPr>
    </w:p>
    <w:p>
      <w:pPr>
        <w:spacing w:line="600" w:lineRule="exact"/>
        <w:outlineLvl w:val="0"/>
        <w:rPr>
          <w:rFonts w:ascii="方正小标宋简体" w:eastAsia="方正小标宋简体" w:hAnsi="宋体"/>
          <w:color w:val="000000"/>
          <w:sz w:val="72"/>
          <w:szCs w:val="72"/>
        </w:rPr>
      </w:pPr>
      <w:bookmarkStart w:id="1" w:name="_Toc15306267"/>
    </w:p>
    <w:p>
      <w:pPr>
        <w:spacing w:line="600" w:lineRule="exact"/>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425"/>
      <w:bookmarkStart w:id="3" w:name="_Toc15396597"/>
      <w:bookmarkStart w:id="4" w:name="_Toc15378441"/>
      <w:bookmarkStart w:id="5" w:name="_Toc15377193"/>
      <w:bookmarkStart w:id="6" w:name="_Toc15396475"/>
      <w:r>
        <w:rPr>
          <w:rFonts w:ascii="黑体" w:eastAsia="黑体" w:hAnsi="黑体"/>
          <w:color w:val="000000"/>
          <w:sz w:val="72"/>
          <w:szCs w:val="72"/>
        </w:rPr>
        <w:t>20</w:t>
      </w:r>
      <w:r>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476"/>
      <w:bookmarkStart w:id="8" w:name="_Toc15377194"/>
      <w:bookmarkStart w:id="9" w:name="_Toc15378442"/>
      <w:bookmarkStart w:id="10" w:name="_Toc15396598"/>
      <w:bookmarkStart w:id="11" w:name="_Toc15377426"/>
      <w:r>
        <w:rPr>
          <w:rFonts w:ascii="方正小标宋简体" w:eastAsia="方正小标宋简体" w:hAnsi="宋体" w:hint="eastAsia"/>
          <w:color w:val="000000"/>
          <w:sz w:val="72"/>
          <w:szCs w:val="72"/>
        </w:rPr>
        <w:t>四川省</w:t>
      </w:r>
      <w:bookmarkStart w:id="12" w:name="_Toc15306268"/>
      <w:bookmarkEnd w:id="1"/>
      <w:r>
        <w:rPr>
          <w:rFonts w:ascii="方正小标宋简体" w:eastAsia="方正小标宋简体" w:hAnsi="宋体" w:hint="eastAsia"/>
          <w:color w:val="000000"/>
          <w:sz w:val="72"/>
          <w:szCs w:val="72"/>
        </w:rPr>
        <w:t>广元市利州区应急管理局部门决算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eastAsia="方正小标宋简体" w:hAnsi="宋体"/>
          <w:color w:val="000000"/>
          <w:sz w:val="52"/>
          <w:szCs w:val="52"/>
        </w:rPr>
      </w:pPr>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pPr>
        <w:widowControl/>
        <w:jc w:val="center"/>
        <w:rPr>
          <w:rFonts w:ascii="黑体" w:eastAsia="黑体" w:cs="Arial" w:hAnsi="黑体"/>
          <w:sz w:val="28"/>
          <w:szCs w:val="28"/>
        </w:rPr>
      </w:pPr>
    </w:p>
    <w:p>
      <w:pPr>
        <w:pStyle w:val="21"/>
        <w:tabs>
          <w:tab w:val="right" w:leader="dot" w:pos="8296"/>
        </w:tabs>
      </w:pPr>
      <w:r>
        <w:rPr>
          <w:rFonts w:hint="eastAsia"/>
        </w:rPr>
        <w:t>公开时间：2021年9月13日</w:t>
      </w:r>
    </w:p>
    <w:p/>
    <w:p>
      <w:pPr>
        <w:pStyle w:val="21"/>
        <w:tabs>
          <w:tab w:val="right" w:leader="dot" w:pos="8296"/>
        </w:tabs>
        <w:adjustRightInd w:val="0"/>
        <w:snapToGrid w:val="0"/>
        <w:spacing w:before="0" w:line="440" w:lineRule="exact"/>
        <w:jc w:val="left"/>
        <w:rPr>
          <w:rFonts w:cs="Arial"/>
          <w:sz w:val="24"/>
          <w:szCs w:val="24"/>
        </w:rPr>
      </w:pPr>
      <w:r>
        <w:rPr>
          <w:rFonts w:hint="eastAsia"/>
          <w:sz w:val="24"/>
        </w:rPr>
        <w:t>第一部分部门概况</w:t>
      </w:r>
      <w:r>
        <w:rPr>
          <w:sz w:val="24"/>
        </w:rPr>
        <w:tab/>
      </w:r>
      <w:r>
        <w:rPr>
          <w:rFonts w:hint="eastAsia"/>
          <w:sz w:val="24"/>
        </w:rPr>
        <w:t>4</w:t>
      </w:r>
    </w:p>
    <w:p>
      <w:pPr>
        <w:pStyle w:val="22"/>
        <w:tabs>
          <w:tab w:val="right" w:leader="dot" w:pos="8296"/>
        </w:tabs>
        <w:adjustRightInd w:val="0"/>
        <w:snapToGrid w:val="0"/>
        <w:spacing w:line="440" w:lineRule="exact"/>
        <w:jc w:val="left"/>
        <w:rPr>
          <w:rFonts w:ascii="仿宋" w:eastAsia="仿宋" w:hAnsi="仿宋"/>
          <w:sz w:val="24"/>
        </w:rPr>
      </w:pPr>
      <w:r>
        <w:rPr>
          <w:rFonts w:hint="eastAsia"/>
          <w:sz w:val="24"/>
        </w:rPr>
        <w:t>一、基本职能及主要工作</w:t>
      </w:r>
      <w:r>
        <w:rPr>
          <w:sz w:val="24"/>
        </w:rPr>
        <w:tab/>
      </w:r>
      <w:r>
        <w:rPr>
          <w:rFonts w:hint="eastAsia"/>
          <w:sz w:val="24"/>
        </w:rPr>
        <w:t>4</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二、机构设置</w:t>
      </w:r>
      <w:r>
        <w:rPr>
          <w:sz w:val="24"/>
        </w:rPr>
        <w:tab/>
      </w:r>
      <w:r>
        <w:rPr>
          <w:rFonts w:hint="eastAsia"/>
          <w:sz w:val="24"/>
        </w:rPr>
        <w:t>17</w:t>
      </w:r>
    </w:p>
    <w:p>
      <w:pPr>
        <w:pStyle w:val="21"/>
        <w:tabs>
          <w:tab w:val="right" w:leader="dot" w:pos="8296"/>
        </w:tabs>
        <w:adjustRightInd w:val="0"/>
        <w:snapToGrid w:val="0"/>
        <w:spacing w:before="0" w:line="440" w:lineRule="exact"/>
        <w:jc w:val="left"/>
        <w:rPr>
          <w:sz w:val="24"/>
          <w:szCs w:val="24"/>
        </w:rPr>
      </w:pPr>
      <w:r>
        <w:rPr>
          <w:rFonts w:hint="eastAsia"/>
          <w:sz w:val="24"/>
        </w:rPr>
        <w:t>第二部分度部门决算情况说明</w:t>
      </w:r>
      <w:r>
        <w:rPr>
          <w:sz w:val="24"/>
        </w:rPr>
        <w:tab/>
      </w:r>
      <w:r>
        <w:rPr>
          <w:rFonts w:hint="eastAsia"/>
          <w:sz w:val="24"/>
        </w:rPr>
        <w:t>18</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r>
        <w:rPr>
          <w:sz w:val="24"/>
        </w:rPr>
        <w:tab/>
      </w:r>
      <w:r>
        <w:rPr>
          <w:rFonts w:hint="eastAsia"/>
          <w:sz w:val="24"/>
        </w:rPr>
        <w:t>18</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w:t>
      </w:r>
      <w:r>
        <w:rPr>
          <w:sz w:val="24"/>
        </w:rPr>
        <w:tab/>
      </w:r>
      <w:r>
        <w:rPr>
          <w:rFonts w:hint="eastAsia"/>
          <w:sz w:val="24"/>
        </w:rPr>
        <w:t>18</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三、支出决算情况说明</w:t>
      </w:r>
      <w:r>
        <w:rPr>
          <w:sz w:val="24"/>
        </w:rPr>
        <w:tab/>
      </w:r>
      <w:r>
        <w:rPr>
          <w:rFonts w:hint="eastAsia"/>
          <w:sz w:val="24"/>
        </w:rPr>
        <w:t>19</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r>
        <w:rPr>
          <w:sz w:val="24"/>
        </w:rPr>
        <w:tab/>
      </w:r>
      <w:r>
        <w:rPr>
          <w:rFonts w:hint="eastAsia"/>
          <w:sz w:val="24"/>
        </w:rPr>
        <w:t>19</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r>
        <w:rPr>
          <w:sz w:val="24"/>
        </w:rPr>
        <w:tab/>
      </w:r>
      <w:r>
        <w:rPr>
          <w:rFonts w:hint="eastAsia"/>
          <w:sz w:val="24"/>
        </w:rPr>
        <w:t>20</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r>
        <w:rPr>
          <w:sz w:val="24"/>
        </w:rPr>
        <w:tab/>
      </w:r>
      <w:r>
        <w:rPr>
          <w:rFonts w:hint="eastAsia"/>
          <w:sz w:val="24"/>
        </w:rPr>
        <w:t>22</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七、</w:t>
      </w:r>
      <w:r>
        <w:rPr>
          <w:sz w:val="24"/>
        </w:rPr>
        <w:t>“</w:t>
      </w:r>
      <w:r>
        <w:rPr>
          <w:rFonts w:hint="eastAsia"/>
          <w:sz w:val="24"/>
        </w:rPr>
        <w:t>三公”经费财政拨款支出决算情况说明</w:t>
      </w:r>
      <w:r>
        <w:rPr>
          <w:sz w:val="24"/>
        </w:rPr>
        <w:tab/>
      </w:r>
      <w:r>
        <w:rPr>
          <w:rFonts w:hint="eastAsia"/>
          <w:sz w:val="24"/>
        </w:rPr>
        <w:t>23</w:t>
      </w:r>
    </w:p>
    <w:p>
      <w:pPr>
        <w:pStyle w:val="22"/>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r>
        <w:rPr>
          <w:sz w:val="24"/>
        </w:rPr>
        <w:tab/>
      </w:r>
      <w:r>
        <w:rPr>
          <w:rFonts w:hint="eastAsia"/>
          <w:sz w:val="24"/>
        </w:rPr>
        <w:t>26</w:t>
      </w:r>
    </w:p>
    <w:p>
      <w:pPr>
        <w:pStyle w:val="22"/>
        <w:tabs>
          <w:tab w:val="right" w:leader="dot" w:pos="8296"/>
        </w:tabs>
        <w:adjustRightInd w:val="0"/>
        <w:snapToGrid w:val="0"/>
        <w:spacing w:line="440" w:lineRule="exact"/>
        <w:ind w:leftChars="0" w:left="420"/>
        <w:jc w:val="left"/>
        <w:rPr>
          <w:rFonts w:ascii="仿宋" w:eastAsia="仿宋" w:hAnsi="仿宋"/>
          <w:sz w:val="24"/>
        </w:rPr>
      </w:pPr>
      <w:r>
        <w:rPr>
          <w:rFonts w:ascii="仿宋" w:eastAsia="仿宋" w:hAnsi="仿宋" w:hint="eastAsia"/>
          <w:sz w:val="24"/>
        </w:rPr>
        <w:t>九、</w:t>
      </w:r>
      <w:r>
        <w:rPr>
          <w:sz w:val="24"/>
        </w:rPr>
        <w:t xml:space="preserve"> 国</w:t>
      </w:r>
      <w:r>
        <w:rPr>
          <w:rFonts w:hint="eastAsia"/>
          <w:sz w:val="24"/>
        </w:rPr>
        <w:t>有资本经营预算支出决算情况说明</w:t>
      </w:r>
      <w:r>
        <w:rPr>
          <w:sz w:val="24"/>
        </w:rPr>
        <w:tab/>
      </w:r>
      <w:r>
        <w:rPr>
          <w:rFonts w:hint="eastAsia"/>
          <w:sz w:val="24"/>
        </w:rPr>
        <w:t>26</w:t>
      </w:r>
    </w:p>
    <w:p>
      <w:pPr>
        <w:adjustRightInd w:val="0"/>
        <w:snapToGrid w:val="0"/>
        <w:spacing w:line="440" w:lineRule="exact"/>
        <w:ind w:firstLineChars="200" w:firstLine="480"/>
        <w:jc w:val="left"/>
        <w:rPr>
          <w:rFonts w:ascii="仿宋" w:eastAsia="仿宋" w:cs="Arial" w:hAnsi="仿宋"/>
          <w:sz w:val="24"/>
        </w:rPr>
      </w:pPr>
      <w:r>
        <w:rPr>
          <w:rStyle w:val="26"/>
          <w:rFonts w:ascii="仿宋" w:eastAsia="仿宋" w:hAnsi="仿宋" w:hint="eastAsia"/>
          <w:color w:val="000000"/>
          <w:sz w:val="24"/>
          <w14:textFill>
            <w14:solidFill>
              <w14:srgbClr w14:val="000000"/>
            </w14:solidFill>
          </w14:textFill>
        </w:rPr>
        <w:t>十、</w:t>
      </w:r>
      <w:r>
        <w:rPr>
          <w:rFonts w:hint="eastAsia"/>
          <w:sz w:val="24"/>
        </w:rPr>
        <w:t>其他重要事项的情况说明</w:t>
      </w:r>
    </w:p>
    <w:p>
      <w:pPr>
        <w:pStyle w:val="21"/>
        <w:tabs>
          <w:tab w:val="right" w:leader="dot" w:pos="8296"/>
        </w:tabs>
        <w:adjustRightInd w:val="0"/>
        <w:snapToGrid w:val="0"/>
        <w:spacing w:before="0" w:line="440" w:lineRule="exact"/>
        <w:jc w:val="left"/>
        <w:rPr>
          <w:rFonts w:cs="Arial"/>
          <w:sz w:val="24"/>
          <w:szCs w:val="24"/>
        </w:rPr>
      </w:pPr>
      <w:r>
        <w:rPr>
          <w:rFonts w:hint="eastAsia"/>
          <w:sz w:val="24"/>
        </w:rPr>
        <w:t>第三部分名词解释</w:t>
      </w:r>
      <w:r>
        <w:rPr>
          <w:sz w:val="24"/>
        </w:rPr>
        <w:tab/>
      </w:r>
      <w:r>
        <w:rPr>
          <w:rFonts w:hint="eastAsia"/>
          <w:sz w:val="24"/>
        </w:rPr>
        <w:t>35</w:t>
      </w:r>
    </w:p>
    <w:p>
      <w:pPr>
        <w:pStyle w:val="21"/>
        <w:tabs>
          <w:tab w:val="right" w:leader="dot" w:pos="8296"/>
        </w:tabs>
        <w:adjustRightInd w:val="0"/>
        <w:snapToGrid w:val="0"/>
        <w:spacing w:before="0" w:line="440" w:lineRule="exact"/>
        <w:jc w:val="left"/>
        <w:rPr>
          <w:rFonts w:cs="Arial"/>
          <w:sz w:val="24"/>
          <w:szCs w:val="24"/>
        </w:rPr>
      </w:pPr>
      <w:r>
        <w:rPr>
          <w:rFonts w:hint="eastAsia"/>
          <w:sz w:val="24"/>
        </w:rPr>
        <w:t>第四部分附件</w:t>
      </w:r>
      <w:r>
        <w:rPr>
          <w:sz w:val="24"/>
        </w:rPr>
        <w:tab/>
      </w:r>
      <w:r>
        <w:rPr>
          <w:rFonts w:hint="eastAsia"/>
          <w:sz w:val="24"/>
        </w:rPr>
        <w:t>40</w:t>
      </w:r>
    </w:p>
    <w:p>
      <w:pPr>
        <w:pStyle w:val="22"/>
        <w:tabs>
          <w:tab w:val="right" w:leader="dot" w:pos="8296"/>
        </w:tabs>
        <w:adjustRightInd w:val="0"/>
        <w:snapToGrid w:val="0"/>
        <w:spacing w:line="440" w:lineRule="exact"/>
        <w:jc w:val="left"/>
        <w:rPr>
          <w:rFonts w:ascii="仿宋" w:cs="Arial" w:hAnsi="仿宋"/>
          <w:sz w:val="24"/>
        </w:rPr>
      </w:pPr>
      <w:r>
        <w:rPr>
          <w:rFonts w:hint="eastAsia"/>
          <w:sz w:val="24"/>
        </w:rPr>
        <w:t>附件</w:t>
      </w:r>
      <w:r>
        <w:rPr>
          <w:sz w:val="24"/>
        </w:rPr>
        <w:t>1</w:t>
        <w:tab/>
      </w:r>
      <w:r>
        <w:rPr>
          <w:rFonts w:hint="eastAsia"/>
          <w:sz w:val="24"/>
        </w:rPr>
        <w:t>45</w:t>
      </w:r>
    </w:p>
    <w:p>
      <w:pPr>
        <w:pStyle w:val="22"/>
        <w:tabs>
          <w:tab w:val="right" w:leader="dot" w:pos="8296"/>
        </w:tabs>
        <w:adjustRightInd w:val="0"/>
        <w:snapToGrid w:val="0"/>
        <w:spacing w:line="440" w:lineRule="exact"/>
        <w:jc w:val="left"/>
        <w:rPr>
          <w:sz w:val="24"/>
        </w:rPr>
      </w:pPr>
      <w:r>
        <w:rPr>
          <w:rFonts w:hint="eastAsia"/>
          <w:sz w:val="24"/>
        </w:rPr>
        <w:t>附件</w:t>
      </w:r>
      <w:r>
        <w:rPr>
          <w:sz w:val="24"/>
        </w:rPr>
        <w:t>2</w:t>
        <w:tab/>
      </w:r>
      <w:r>
        <w:rPr>
          <w:rFonts w:hint="eastAsia"/>
          <w:sz w:val="24"/>
        </w:rPr>
        <w:t>48</w:t>
      </w:r>
    </w:p>
    <w:p>
      <w:pPr>
        <w:pStyle w:val="22"/>
        <w:tabs>
          <w:tab w:val="right" w:leader="dot" w:pos="8296"/>
        </w:tabs>
        <w:adjustRightInd w:val="0"/>
        <w:snapToGrid w:val="0"/>
        <w:spacing w:line="440" w:lineRule="exact"/>
        <w:jc w:val="left"/>
        <w:rPr>
          <w:sz w:val="24"/>
        </w:rPr>
      </w:pPr>
      <w:r>
        <w:rPr>
          <w:rFonts w:hint="eastAsia"/>
          <w:sz w:val="24"/>
        </w:rPr>
        <w:t>附件3</w:t>
      </w:r>
      <w:r>
        <w:rPr>
          <w:sz w:val="24"/>
        </w:rPr>
        <w:tab/>
      </w:r>
      <w:r>
        <w:rPr>
          <w:rFonts w:hint="eastAsia"/>
          <w:sz w:val="24"/>
        </w:rPr>
        <w:t>50</w:t>
      </w:r>
    </w:p>
    <w:p>
      <w:pPr>
        <w:pStyle w:val="22"/>
        <w:tabs>
          <w:tab w:val="right" w:leader="dot" w:pos="8296"/>
        </w:tabs>
        <w:adjustRightInd w:val="0"/>
        <w:snapToGrid w:val="0"/>
        <w:spacing w:line="440" w:lineRule="exact"/>
        <w:jc w:val="left"/>
        <w:rPr>
          <w:sz w:val="24"/>
        </w:rPr>
      </w:pPr>
      <w:r>
        <w:rPr>
          <w:rFonts w:hint="eastAsia"/>
          <w:sz w:val="24"/>
        </w:rPr>
        <w:t>附件4</w:t>
      </w:r>
      <w:r>
        <w:rPr>
          <w:sz w:val="24"/>
        </w:rPr>
        <w:tab/>
      </w:r>
      <w:r>
        <w:rPr>
          <w:rFonts w:hint="eastAsia"/>
          <w:sz w:val="24"/>
        </w:rPr>
        <w:t>52</w:t>
      </w:r>
    </w:p>
    <w:p>
      <w:pPr>
        <w:pStyle w:val="21"/>
        <w:tabs>
          <w:tab w:val="right" w:leader="dot" w:pos="8296"/>
        </w:tabs>
        <w:adjustRightInd w:val="0"/>
        <w:snapToGrid w:val="0"/>
        <w:spacing w:before="0" w:line="440" w:lineRule="exact"/>
        <w:jc w:val="left"/>
        <w:rPr>
          <w:rFonts w:cs="Arial"/>
          <w:sz w:val="24"/>
          <w:szCs w:val="24"/>
        </w:rPr>
      </w:pPr>
      <w:r>
        <w:rPr>
          <w:rFonts w:hint="eastAsia"/>
          <w:sz w:val="24"/>
        </w:rPr>
        <w:t>第五部分附表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一、</w:t>
      </w:r>
      <w:r>
        <w:rPr>
          <w:rFonts w:hint="eastAsia"/>
          <w:sz w:val="24"/>
        </w:rPr>
        <w:t>收入支出决算总表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Pr>
          <w:sz w:val="24"/>
        </w:rPr>
        <w:tab/>
      </w:r>
      <w:r>
        <w:rPr>
          <w:rFonts w:hint="eastAsia"/>
          <w:sz w:val="24"/>
        </w:rPr>
        <w:t>55</w:t>
      </w:r>
    </w:p>
    <w:p>
      <w:pPr>
        <w:pStyle w:val="22"/>
        <w:tabs>
          <w:tab w:val="right" w:leader="dot" w:pos="8296"/>
        </w:tabs>
        <w:adjustRightInd w:val="0"/>
        <w:snapToGrid w:val="0"/>
        <w:spacing w:line="440" w:lineRule="exact"/>
        <w:jc w:val="left"/>
        <w:rPr>
          <w:sz w:val="24"/>
        </w:rPr>
      </w:pPr>
      <w:r>
        <w:rPr>
          <w:rFonts w:ascii="仿宋" w:eastAsia="仿宋" w:hAnsi="仿宋" w:hint="eastAsia"/>
          <w:sz w:val="24"/>
        </w:rPr>
        <w:t>四、</w:t>
      </w:r>
      <w:r>
        <w:rPr>
          <w:rFonts w:hint="eastAsia"/>
          <w:sz w:val="24"/>
        </w:rPr>
        <w:t>财政拨款收入支出决算总表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Pr>
          <w:rFonts w:ascii="仿宋" w:eastAsia="仿宋" w:hAnsi="仿宋"/>
          <w:sz w:val="24"/>
        </w:rPr>
        <w:tab/>
      </w:r>
      <w:r>
        <w:rPr>
          <w:rFonts w:ascii="仿宋" w:eastAsia="仿宋" w:hAnsi="仿宋"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六、</w:t>
      </w:r>
      <w:r>
        <w:rPr>
          <w:rFonts w:hint="eastAsia"/>
          <w:sz w:val="24"/>
        </w:rPr>
        <w:t>一般公共预算财政拨款支出决算表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七、</w:t>
      </w:r>
      <w:r>
        <w:rPr>
          <w:rFonts w:hint="eastAsia"/>
          <w:sz w:val="24"/>
        </w:rPr>
        <w:t>一般公共预算财政拨款支出决算明细表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八、</w:t>
      </w:r>
      <w:r>
        <w:rPr>
          <w:rFonts w:hint="eastAsia"/>
          <w:sz w:val="24"/>
        </w:rPr>
        <w:t>一般公共预算财政拨款基本支出决算表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九、</w:t>
      </w:r>
      <w:r>
        <w:rPr>
          <w:rFonts w:hint="eastAsia"/>
          <w:sz w:val="24"/>
        </w:rPr>
        <w:t>一般公共预算财政拨款项目支出决算表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十、</w:t>
      </w:r>
      <w:r>
        <w:rPr>
          <w:rFonts w:hint="eastAsia"/>
          <w:sz w:val="24"/>
        </w:rPr>
        <w:t>一般公共预算财政拨款“三公”经费支出决算表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十一、</w:t>
      </w:r>
      <w:r>
        <w:rPr>
          <w:rFonts w:hint="eastAsia"/>
          <w:sz w:val="24"/>
        </w:rPr>
        <w:t>政府性基金预算财政拨款收入支出决算表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十二、</w:t>
      </w:r>
      <w:r>
        <w:rPr>
          <w:rFonts w:hint="eastAsia"/>
          <w:sz w:val="24"/>
        </w:rPr>
        <w:t>政府性基金预算财政拨款“三公”经费支出决算表</w:t>
      </w:r>
      <w:r>
        <w:rPr>
          <w:sz w:val="24"/>
        </w:rPr>
        <w:tab/>
      </w:r>
      <w:r>
        <w:rPr>
          <w:rFonts w:hint="eastAsia"/>
          <w:sz w:val="24"/>
        </w:rPr>
        <w:t>55</w:t>
      </w:r>
    </w:p>
    <w:p>
      <w:pPr>
        <w:pStyle w:val="22"/>
        <w:tabs>
          <w:tab w:val="right" w:leader="dot" w:pos="8296"/>
        </w:tabs>
        <w:adjustRightInd w:val="0"/>
        <w:snapToGrid w:val="0"/>
        <w:spacing w:line="440" w:lineRule="exact"/>
        <w:jc w:val="left"/>
        <w:rPr>
          <w:rFonts w:ascii="仿宋" w:cs="Arial" w:hAnsi="仿宋"/>
          <w:sz w:val="24"/>
        </w:rPr>
      </w:pPr>
      <w:r>
        <w:rPr>
          <w:rFonts w:ascii="仿宋" w:eastAsia="仿宋" w:hAnsi="仿宋" w:hint="eastAsia"/>
          <w:sz w:val="24"/>
        </w:rPr>
        <w:t>十三、</w:t>
      </w:r>
      <w:r>
        <w:rPr>
          <w:rFonts w:hint="eastAsia"/>
          <w:sz w:val="24"/>
        </w:rPr>
        <w:t>国有资本经营预算支出决算表</w:t>
      </w:r>
      <w:r>
        <w:rPr>
          <w:sz w:val="24"/>
        </w:rPr>
        <w:tab/>
      </w:r>
      <w:r>
        <w:rPr>
          <w:rFonts w:hint="eastAsia"/>
          <w:sz w:val="24"/>
        </w:rPr>
        <w:t>55</w:t>
      </w:r>
    </w:p>
    <w:p>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pPr>
        <w:pStyle w:val="22"/>
        <w:tabs>
          <w:tab w:val="right" w:leader="dot" w:pos="8296"/>
        </w:tabs>
      </w:pPr>
      <w:r>
        <w:rPr>
          <w:rFonts w:ascii="仿宋" w:eastAsia="仿宋" w:hAnsi="仿宋"/>
          <w:color w:val="000000"/>
          <w:sz w:val="24"/>
        </w:rPr>
        <w:fldChar w:fldCharType="end"/>
      </w:r>
    </w:p>
    <w:p/>
    <w:p/>
    <w:p/>
    <w:p/>
    <w:p/>
    <w:p/>
    <w:p/>
    <w:p/>
    <w:p/>
    <w:p/>
    <w:p/>
    <w:p/>
    <w:p/>
    <w:p/>
    <w:p/>
    <w:p/>
    <w:p/>
    <w:p/>
    <w:p/>
    <w:p/>
    <w:p/>
    <w:p/>
    <w:p/>
    <w:p/>
    <w:p/>
    <w:p/>
    <w:p/>
    <w:p/>
    <w:p/>
    <w:p/>
    <w:p/>
    <w:p>
      <w:pPr>
        <w:pStyle w:val="22"/>
        <w:tabs>
          <w:tab w:val="right" w:leader="dot" w:pos="8296"/>
        </w:tabs>
        <w:jc w:val="center"/>
        <w:rPr>
          <w:rStyle w:val="1Char"/>
          <w:rFonts w:ascii="黑体" w:eastAsia="黑体" w:hAnsi="黑体"/>
        </w:rPr>
      </w:pPr>
      <w:r>
        <w:rPr>
          <w:rStyle w:val="1Char"/>
          <w:rFonts w:ascii="黑体" w:hAnsi="黑体" w:hint="eastAsia"/>
        </w:rPr>
        <w:t xml:space="preserve">第一部分 </w:t>
      </w:r>
      <w:r>
        <w:rPr>
          <w:rStyle w:val="1Char"/>
          <w:rFonts w:ascii="黑体" w:eastAsia="黑体" w:hAnsi="黑体" w:hint="eastAsia"/>
        </w:rPr>
        <w:t>部门概况</w:t>
      </w:r>
    </w:p>
    <w:p>
      <w:pPr>
        <w:pStyle w:val="2"/>
        <w:rPr>
          <w:rStyle w:val="2Char"/>
          <w:rFonts w:ascii="仿宋" w:eastAsia="仿宋" w:hAnsi="仿宋"/>
          <w:b w:val="0"/>
          <w:bCs w:val="0"/>
        </w:rPr>
      </w:pPr>
      <w:bookmarkStart w:id="13" w:name="_Toc15396600"/>
      <w:bookmarkStart w:id="14" w:name="_Toc15377197"/>
      <w:r>
        <w:rPr>
          <w:rFonts w:ascii="黑体" w:eastAsia="黑体" w:hAnsi="黑体" w:hint="eastAsia"/>
          <w:color w:val="000000"/>
        </w:rPr>
        <w:t>一、基</w:t>
      </w:r>
      <w:r>
        <w:rPr>
          <w:rStyle w:val="2Char"/>
          <w:rFonts w:ascii="黑体" w:eastAsia="黑体" w:hAnsi="黑体" w:hint="eastAsia"/>
          <w:b w:val="0"/>
          <w:bCs w:val="0"/>
        </w:rPr>
        <w:t>本职能及主要工作</w:t>
      </w:r>
      <w:bookmarkEnd w:id="13"/>
      <w:bookmarkEnd w:id="14"/>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bookmarkStart w:id="15" w:name="_Toc15377198"/>
      <w:bookmarkStart w:id="16" w:name="_Toc15378445"/>
      <w:r>
        <w:rPr>
          <w:rFonts w:ascii="仿宋" w:eastAsia="仿宋" w:hAnsi="仿宋" w:hint="eastAsia"/>
          <w:bCs/>
          <w:color w:val="000000"/>
          <w:sz w:val="32"/>
          <w:szCs w:val="32"/>
        </w:rPr>
        <w:t>（一）主要职能。（职能参照区政府批准的三定方案）</w:t>
      </w:r>
      <w:bookmarkEnd w:id="15"/>
      <w:bookmarkEnd w:id="16"/>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1、负责应急管理工作，组织和指导各乡镇（街道）、区级各部门应对安全生产类、自然灾害类等突发事件和综合防灾减灾救灾工作。负责安全生产综合监督管理和工矿商贸、煤炭行业安全生产监督管理工作。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2、拟订应急管理、安全生产等政策措施，组织编制应急救援体系建设、安全生产和综合防灾减灾规划。</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 xml:space="preserve"> 4 、牵头建立统一的应急管理信息系统，负责信息传输渠道的规划和布局，建立监测预警和灾情报告制度，健全自然灾害信息资源获取和共享机制，依法统一发布灾情。</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5、负责组织、指导、协调安全生产类、自然灾害类等突发事件应急救援，承担全区应对灾害指挥部工作，综合研判突发事件发展态势并提出应对建议，负责组织灾害应急处置工作。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6、统一协调指挥各类应急专业队伍，建立应急协调联动机制，推进指挥平台对接，提请衔接解放军和武警部队参与应急救援工作。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7、按照国家、省、市相关政策和规定负责消防、森林火灾扑救、抗洪抢险、地震和地质灾害救援、生产安全事故救援等专业应急救援力量建设，依法依规统筹指导各乡镇（街道）、区级有关部门及社会应急救援力量和应急能力建设。</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8、按照国家相关政策和省、市、区相关规定负责消防工作，组织和指导消防监督、火灾预防、火灾扑救等工作。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9、负责灾害综合监测预警工作，承担自然灾害综合风险评估工作。指导协调森林火灾、水旱灾害、地质灾害等防治工作。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10、负责组织、协调灾害救助工作，组织和指导灾情核查、损失评估、救灾捐赠工作，管理、分配中央、省级、市级下拨及区级救灾款物并监督使用。</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11、依法承担区政府安全生产综合监督管理责任，指导协调、监督检查各乡镇（街道）和区级有关部门安全生产工作，组织开展安全生产巡查、考核工作。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13、承担煤矿、非煤矿山安全生产准入初审，危险化学品和烟花爆竹等生产经营单位安全生产准入及非药品类易制毒化学品备案管理责任。</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14、拟订煤炭产业发展计划并组织实施，按权限审核、上报煤炭建设项目并负责监督管理。负责煤炭生产协调和监督管理，煤炭行业结构调整和产业升级，瓦斯治理和利用。推进煤炭体制改革。</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查处理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17、依法组织、指导生产安全事故调查处理，监督事故查处和责任追究落实情况。组织开展自然灾害类突发事件的调查评估工作。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18、开展应急管理和安全生产方面的交流与合作，参与安全生产类、自然灾害类等突发事件的跨区域救援工作 。</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19、制定应急物资和应急救援装备规划并组织实施，会同区发展改革局等部门建立健全应急物资信息平台和调拨制度，在救灾时统一调度。</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20、负责应急管理、安全生产等宣传教育和培训工作，组织和指导应急管理、安全生产的科学技术研究、推广应用和信息化建设工作。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21、负责职责范围内的职业健康、生态环境保护、审批服务便民化等工作。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22、完成区委、区政府交办的其他任务。</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bookmarkStart w:id="17" w:name="_Toc15377200"/>
      <w:bookmarkStart w:id="18" w:name="_Toc15396601"/>
      <w:r>
        <w:rPr>
          <w:rFonts w:ascii="仿宋" w:eastAsia="仿宋" w:hAnsi="仿宋" w:hint="eastAsia"/>
          <w:bCs/>
          <w:color w:val="000000"/>
          <w:sz w:val="32"/>
          <w:szCs w:val="32"/>
        </w:rPr>
        <w:t>一、2020年目标完成情况</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（一）职能目标：1至10月，完成固定资产投资8832万元，占年目标任务9000万元的96.4%，位列全区第三；向上争取资金988万元，占年度目标任务672万元的147%；完成非税收入74万元，占年度目标任务80万元的92.50%。</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二）控制指标：1至10月，发生各类生产安全事故7起，死亡6人，与去年同期相比，事故起数同比减少8起，下降53.33%，死亡人数同比减少6人，下降50%。煤矿、非煤矿山、危险化学品、烟花爆竹、农业机械、农业项目建设、土地整理、水利施工、水上交通等领域保持了“零死亡”。</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二、主要工作</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一）夯实基础，全面加强党的领导。一是加强理论学习，提升理论素养。依托党组会、中心组学习会、干部职工会、党员大会等载体，完成了对习近平新时代中国特色社会主义思想、党的十九届四中、五中全会精神、总书记关于应急管理、安全生产、防灾减灾、森林草原防灭火工作重要论述及指示批示精神和《习近平谈治国理政》第三卷，全国两会精神，以及省委、市委、区委全会精神的系统学习，树牢“四个意识”，坚定“四个自信”，做到“两个维护”。二是加强基层党建，增强支部战斗力。摒弃“重业务轻党建”的思想，正确处理党建与业务两者之间的关系，与业务工作同研究、同部署。开年以来，局党组4次专题研究党建工作，召开2次党建工作会，认真落实“三会一课”制度，上党课5堂次。同时，督促指导支部扎实开展了“党内法规大学习、对标对表找差距、巩固提升补短板”、“主题党日”、“双报到”和党建共建等系列活动，加强党员积分制管理，进而增强了支部凝聚力和战斗力，提升了党员意识。三是加强党风廉政建设，绷紧“廉政弦”。坚持“预防为主，防治结合”的原则，稳步推进党风廉政建设及反腐败工作，压紧压实三个责任，绘制三张清单，层层签订目标责任书。加强党员干部教育管理，通报“违反中央八项规定精神”等典型案例6个，上廉政党课2堂次，开展廉政谈话10人次，编发廉政提醒短息8条，排查了14个岗位50余个廉政风险点。四是加强意识形态工作，守好“责任田”。 认真贯彻落实中央、省委、市委、区委关于意识形态工作的决策部署和指示精神，牢牢把握正确的政治方向。并依据《细则》，夯实党组主体责任，认真落实意识形态工作述职制度，局党组2次听取班子成员专题汇报，从而压实了“一岗双责”。组织召开中心组学习会11次、学习讨论2次，牢牢把握正确的政治方向。建立QQ群、微信群管理制度，加强网络舆情监控引导，净化局域网络空间；建立了新闻发言人制度、信息报送制度，统一宣传口径，抢抓宣传主动权；抓住3月、5月、6月、9月等时间节点，市区同步开展宣传活动，唱响主旋律，占领宣传教育主阵地。同时，还认真做好了人大工作评议，评议结论为“满意”。稳步推进巡察反馈整改工作，《整改方案》正在报审。</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二）勇于担当，积极构建平战结合的应急体系。一是认真做好了“十四五”规划工作。在前期讨论、论证基础上，完成了应急管理、安全生产、防灾减灾等方面的“十四五”规划，为我区应急管理事业健康发展奠定了坚实的基础。二是认真做好了备案管理工作。遵照“三年一修订”原则，组建专班，完成了区本级和乡镇级综合应急预案，交通、住建等24个行业部门应急预案，防洪、抗旱、火灾扑救等14个专项应急预案的修订。稳步推进预案审查备案工作，现已完成对非煤矿山、危化、工贸等6个行业预案审查，共备案62家企业。三是认真做好了应急演练。年初，认真制定了《广元市利州区2020年应急演练方案》，并督促指导辖区乡镇（街道）、企事业单位开展了各类应急演练50场次，不断增强了一线应急处置、安全避险和自救互救能力。四是认真做好应急备勤工作。在疫情和节假日期间，主动放弃休假，加强与卫健、公安等部门协调配合，信息共享，时刻保持战备状态，以应对可能出现各类突发情况。五是认真做好了值班值守工作。实行24小时不间断值班，全天候接受、研判、分转、报送事故灾难、安全举报、自然灾害信息，全年累计发送预警预报信息106条，全面提高辖区居民防灾减灾意识。六是加强应急力量建设。进一步推进一委十八部建设体系，建立起了协调联动机制，同时摸清了区域救援队伍建设情况，确定自然灾害、水利、林业、交通、卫健专项救援队伍联络人员。并同恒运救援大队开展应急救援社会化合作。七是加强应急指挥中心建设。积极筹备应急指挥中心建设，建设选址、技术方案已报区主要领导同意，现处于建设需求论证阶段。</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三）履职尽责，构建职责明晰的监管体系。一是区领导高度重视。区委、区政府高度重视安全生产工作，把安全生产工作列入重要议事日程。及时传达贯彻国家、省、市安全生产工作会议精神，认真听取安全生产工作汇报，组织召开全区安全生产工作会议4次。二是狠抓贯彻落实。区级各部门、各乡镇街道专题组织学习习近平总书记、李克强总理等中央领导同志关于安全生产工作的重要指示批示，始终筑牢发展不能以牺牲人的生命为代价的这条红线，切实担负起“促一方发展、保一方平安”的政治责任。三是扎实做好疫情防控工作。防疫期间，在全区范围对事故易发生行业、重点消防单位、集中收治定点医院、集中隔离点等重点行业领域开展了暗访检查工作。毫不放松地做好了定点医疗机构、隔离场所等重点部位的消防安全保障工作，分类指导重点行业领域企业做好复工复产安全防范，为打赢疫情防控阻击战提供了支持保障四是强力推进专项行动。认真编制了《安全生产专项整治三年行动计划》，成立了以区委、区政府主要负责人为组长，各副区长为副组长的工作领导小组。下设15个工作专班，确保2个专题和13行业领域专项整治有序有效开展。截止目前，督导检查167次，检查单位458家，督导发现问题117个，排查隐患410条，已整改385处，其余正在整改之中，整改率为94.83%。排查重大安全隐患4处，已整改2处；在全区13个重点领域深入开展安全生产“排险除患”集中整治工作。全面开展风险辨识管控。建立风险台账。根据风险评估结果，逐一制定有针对性的风险管控措施，将风险管控责任逐一落实到具体岗位和责任人；根据省市安全生产清单制管理工作要求，迅速制定《实施方案》，选树典型，召开现场会强力推进。截止目前，我区党委政府及14个乡镇（街道）已全面完成《党委政府属地安全生产领导责任清单》、13个区级建设部门单位已完成《部门安全生产监管责任清单》，全区309家建设企业，已完成301家企业，完成率97.4%；根据省市要求，认真制定《“铸安2020”监管执法专项行动实施方案》，成立了区专项行动指挥部，建立了专项行动企业名录库和执法检查人员名录库，统筹协调各检查小组工作进展情况，汇总上报各类检查数据和材料。专项行动指挥部共派出检查组46组／次，出动执法人员115人／次，聘用安全专家12人／次，检查生产经营单位44家，发现隐患201条，已完成整改186条。处罚款55.5万元。四是深入开展“打非治违”。截止目前，执法检查企业9家，与市安全监察执法支队联合执法检查工贸企业3家，查处隐患43项，已整改43项，整改率达100%。立案调查事故案共5起，已完成3起事故调查，行政处罚76.032万元。同时，加强直管行业领域监管，强化源头治理，维护行业总体安全稳定，煤炭、非煤矿山、危化三大高危行业实现零事故零伤亡的目标。</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四）保障民生，构建全覆盖的防灾减灾体系。一是建立自然灾害信息共享机制。成立了利州区减灾委员会，建立了联席会议制度和自然灾害灾情报送制度，明确了减灾委各成员单位职责分工，协作、快速的抢险救灾机制初步形成。二是积极创建全国综合减灾示范社区。积极推荐河西街道龙江路社区创建全国综合减灾示范社区，9月已接受国家检查组的初步检查验收，目前已上报国家应急管理部。三是全力做好物资保障工作。向市疫情防控指挥部申请调回帐篷320顶，棉大衣100件，棉被180床等近50万元的应急物资；向辖区乡镇（街道）和区级部门调拨了帐篷215顶，棉被537床，折叠床126张，棉大衣366件等应急物资，有力保障了利州战“疫”。配合区红十字会向龙潭乡、万缘街道等地捐赠帐篷50顶。同时协调区政府安排50万元/年专项资金，用于补足我区救灾物资。四是认真做好灾情核查工作。今年以来，我区共遭受6次自然灾害，特别是“8.15”洪灾，我区启动IV级防汛应急响应。灾害发生第一时间认真做好灾情调查，并与农业农村、水务、交通、教育等部门会商，及时通过国家自然灾害灾情报送系统上报灾情。五是及时调整灾情信息员。针对机构改革后新的行政区划调整，及时调整了全区14个乡镇（街道）的231名灾情信息报送员。六是积极开展冬春生活救助。2020年春节前后将285万元全部通过“一卡通”发放到5925户受灾困难群众手中，确保受灾困难群众顺利过冬。七是顺利完成救灾资金发放。对全区紧急转移安置中央资金67万已下发分配方案，11月底将全部通过一卡通发放到受灾群众手中。八是稳妥推进住房重建和维修加固工作。全区上报民房重建户129户，维修加固户502户，现正在拟定我区重建方案。九是积极做好地震设施维护。积极配合市局认真做好2处（东坝水柜村、三堆镇）地震灾害监测点扩建、改建工程，现已基本完工，目前正安装仪器设备，预计年底可正常运行。十是认真做好地质灾害排查治理工作。完成对2019年的19处地质灾害隐患点核查，申请中央专项经费90万元，已对14处地质灾害隐患点进行了全部治理，另5处进行人工监测。对今年上报入库的38处地质灾害隐患点进行了核查，现正在申请中央专项资金。</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五）提高站位，扎实推进森林防灭火专项整治。一是深化思想认识。深入学习贯彻习近平总书记关于森林草原防灭火重要论述和系列指示批示精神，传达学习省委、市委、区委理论学习中心组专题学习会，森林草原防灭火专项整治工作领导小组会议及推进会议精神。二是健全工作机制。成立了森林防灭火专项整治工作领导小组，下设10个专项整治工作组，负责统筹协调、全面推进森林防灭火专项整治工作。实行“清单制+责任制”推进森林防灭火专项整治工作。三是夯实党政责任。今年以来，区委、区政府领导带队开展森林和城乡防灭火安全督查4次。区委编办3次组织有关部门，对森林防灭火职责调整进行征求意见和组织讨论。按照森防指要求，抽调部门人员组成3个督查组，每月对森林防灭火工作至少开展一次督查，全面推进各项工作部署落地落实。四是动态排查隐患。聚焦森林旅游区、林区供电线路、风景区、农家乐、庙宇、坟地、靠近林区1000米以内的耕地等重点区域，大力开展森林火灾隐患“大排查、大整治”专项行动。客户专变（专线）线路通道森林火灾隐患线路84处，已整治16处，正在整治3处，对剩余的65处风险隐患逐一建立工作台账、分析研判、落实举措，正在抓紧整改落实，全力确保林区电力、通讯等设施安全运行和森林资源安全。五是加强队伍建设。对全区组建的15支半专业化扑火队伍（14个乡镇、街道+天曌山林场，每队15人）和区级专业救援队伍（50-70人），精心制定专业培训计划和应急演练方案，切实加强日常管理和实践锻炼。目前，我区已初步落实了地方专业扑火队伍筹建方案，正在抓紧落实相关前期工作，确保年底规范建成并投入使用。</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六）担当作为，全力做好信访维稳工作。全年接政务服务热线、上级转达及电话举报受伤事故案件11起，查实调查案件11起，组织辖区乡镇和企业协调处理问题11起，协调解决诉求者资金达80余万元。协调处理煤炭行业上访事件2起、其中要求购买社保及医疗保险1起涉案金额 2万元；处理煤矿欠薪一起人数100余人，金额 800余万元，有效的维护了煤炭行业的安全稳定。调查处理12345、市长热线等移交信访8起。</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七）周到服务，认真做好行政审批股工作。一是窗口接待群众及企业咨询139人/次，因一体化政务服务平台升级调整，咨询事项本年度无法录入平台；二是年初至今共办理行政审批事项3项69件，因不符合受理条件退回1件，其中办理《烟花爆竹经营（零售）许可证》57件;《危险化学品经营许可证》11件；《第三类非药品类易制毒化学品经营备案证明》1件/次。三是按照省、市、区各级要求，完成本单位行政审批项目清理，经清理后现有行政许可项目4项（烟花爆竹经营（零售）许可证核发、第三类非药品类易制毒化学品经营备案证明核发、危险化学品经营（乙类）许可证核发）、危害地震监测设施和观测环境建设项目审查，其中危险化学品经营（乙类）许可证核发分为核发、变更、延期换证等3个小项）。四是优化办事流程。现有行政审批事项， “只跑一次”、“网上办”、“全程网办”占比100%，“马上办”为16.67%，办理时限缩减85.47%，材料减免30.3%，除材料减免率外，其余均已按照市政府要求完成优化。</w:t>
      </w:r>
    </w:p>
    <w:p>
      <w:pPr>
        <w:pStyle w:val="16"/>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 w:eastAsia="仿宋" w:hAnsi="仿宋" w:hint="eastAsia"/>
          <w:bCs/>
          <w:color w:val="000000"/>
          <w:sz w:val="32"/>
          <w:szCs w:val="32"/>
        </w:rPr>
        <w:t>（八）深化改革，扎实做好行权和双随机一公开工作。一是修订权利事项清单。机改后，我现已有公开运行行政权力共371项（除行政许可外），其中行政处罚362项（其中1项根据法律法规已暂停运行），行政强制4项，行政奖励1项，行政检查4项，其他行政权力5项，并向区委编办报送了清理结果。二是平台已建成“一单、两库、一细则”，我局监管事项已全部纳入抽查事项清单达到事项监管100%，建成收录抽查主体库三大类共70个，录入平台执法人员36人，涉及我局所有个职能股室、执法大队及局属事业单位。（九）真情帮扶，坚决打赢脱贫攻坚战。一是经费保障到位。年初，安排资金17.6余万元，用于解决驻村工作队队员下乡及生活补助资金9.6万元/年、建卡贫困户节日慰问资金5万元/年、以购代扶资金3万元/年，满意度大幅提升。二是驻村帮扶到位。认真履行“六个一”职责，扎实开展“走基层，送温暖”、“三同时”等活动，帮扶干部走村入户1200余人次，共帮扶4个村164户建卡贫困户，通过以购代扶的方式，打通贫困户销售最后一公里。三是产业发展到位。按照“一村一品”要求，积极引导帮扶村大力发展种养殖和酿酒等集体经济，培育种养殖大户80余户，实现人均增收100余元。四是基础设施改造到位。协调完成了四个村农电升级改造，硬化村组道路及入户路，安全饮水、土地整理等基础设施建设。</w:t>
      </w:r>
    </w:p>
    <w:p>
      <w:pPr>
        <w:pStyle w:val="2"/>
        <w:ind w:firstLineChars="196" w:firstLine="627"/>
        <w:rPr>
          <w:rStyle w:val="2Char"/>
          <w:b w:val="0"/>
          <w:bCs w:val="0"/>
        </w:rPr>
      </w:pPr>
      <w:r>
        <w:rPr>
          <w:rFonts w:ascii="黑体" w:eastAsia="黑体" w:hint="eastAsia"/>
          <w:color w:val="000000"/>
        </w:rPr>
        <w:t>二、</w:t>
      </w:r>
      <w:r>
        <w:rPr>
          <w:rFonts w:ascii="黑体" w:eastAsia="黑体" w:hAnsi="黑体" w:hint="eastAsia"/>
          <w:color w:val="000000"/>
        </w:rPr>
        <w:t>机</w:t>
      </w:r>
      <w:r>
        <w:rPr>
          <w:rStyle w:val="2Char"/>
          <w:rFonts w:ascii="黑体" w:eastAsia="黑体" w:hAnsi="黑体" w:hint="eastAsia"/>
          <w:b w:val="0"/>
          <w:bCs w:val="0"/>
        </w:rPr>
        <w:t>构设置</w:t>
      </w:r>
      <w:bookmarkEnd w:id="17"/>
      <w:bookmarkEnd w:id="18"/>
    </w:p>
    <w:p>
      <w:pPr>
        <w:ind w:firstLineChars="250" w:firstLine="800"/>
        <w:rPr>
          <w:rFonts w:ascii="仿宋" w:eastAsia="仿宋" w:hAnsi="仿宋"/>
          <w:sz w:val="32"/>
          <w:szCs w:val="32"/>
        </w:rPr>
      </w:pPr>
      <w:r>
        <w:rPr>
          <w:rFonts w:ascii="仿宋" w:eastAsia="仿宋" w:hAnsi="仿宋" w:hint="eastAsia"/>
          <w:sz w:val="32"/>
          <w:szCs w:val="32"/>
        </w:rPr>
        <w:t>区应急局下属二级单位6个，其中：参照公务员法管理的事业单位</w:t>
      </w:r>
      <w:r>
        <w:rPr>
          <w:rFonts w:ascii="仿宋" w:eastAsia="仿宋" w:hAnsi="仿宋" w:hint="eastAsia"/>
          <w:bCs/>
          <w:sz w:val="32"/>
          <w:szCs w:val="32"/>
        </w:rPr>
        <w:t>2</w:t>
      </w:r>
      <w:r>
        <w:rPr>
          <w:rFonts w:ascii="仿宋" w:eastAsia="仿宋" w:hAnsi="仿宋" w:hint="eastAsia"/>
          <w:sz w:val="32"/>
          <w:szCs w:val="32"/>
        </w:rPr>
        <w:t>个，其他事业单位4个。</w:t>
      </w:r>
    </w:p>
    <w:p>
      <w:pPr>
        <w:pStyle w:val="16"/>
        <w:adjustRightInd w:val="0"/>
        <w:snapToGrid w:val="0"/>
        <w:spacing w:beforeLines="0" w:before="93" w:line="600" w:lineRule="exact"/>
        <w:ind w:firstLineChars="208" w:firstLine="669"/>
        <w:rPr>
          <w:rFonts w:ascii="仿宋" w:eastAsia="仿宋" w:hAnsi="仿宋"/>
          <w:color w:val="000000"/>
          <w:sz w:val="32"/>
          <w:szCs w:val="32"/>
        </w:rPr>
      </w:pPr>
      <w:r>
        <w:rPr>
          <w:rFonts w:ascii="仿宋" w:eastAsia="仿宋" w:hAnsi="仿宋" w:hint="eastAsia"/>
          <w:color w:val="000000"/>
          <w:sz w:val="32"/>
          <w:szCs w:val="32"/>
        </w:rPr>
        <w:t>纳入2020年度部门决算编制范围的二级预算单位包括：</w:t>
      </w:r>
    </w:p>
    <w:p>
      <w:pPr>
        <w:pStyle w:val="16"/>
        <w:numPr>
          <w:ilvl w:val="0"/>
          <w:numId w:val="1"/>
        </w:numPr>
        <w:adjustRightInd w:val="0"/>
        <w:snapToGrid w:val="0"/>
        <w:spacing w:beforeLines="0"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参照公务员法管理的事业单位</w:t>
      </w:r>
    </w:p>
    <w:p>
      <w:pPr>
        <w:pStyle w:val="16"/>
        <w:numPr>
          <w:ilvl w:val="0"/>
          <w:numId w:val="1"/>
        </w:numPr>
        <w:adjustRightInd w:val="0"/>
        <w:snapToGrid w:val="0"/>
        <w:spacing w:beforeLines="0"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其他事业单位</w:t>
      </w:r>
    </w:p>
    <w:p>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r>
        <w:rPr>
          <w:rFonts w:ascii="黑体" w:eastAsia="黑体" w:hAnsi="黑体" w:hint="eastAsia"/>
          <w:b w:val="0"/>
          <w:color w:val="000000"/>
        </w:rPr>
        <w:t>第二部分</w:t>
      </w:r>
      <w:r>
        <w:rPr>
          <w:rStyle w:val="1Char"/>
          <w:rFonts w:ascii="黑体" w:eastAsia="黑体" w:hAnsi="黑体" w:hint="eastAsia"/>
          <w:b w:val="0"/>
          <w:bCs w:val="0"/>
        </w:rPr>
        <w:t>2020年度部门决算情况说明</w:t>
      </w:r>
    </w:p>
    <w:p/>
    <w:p>
      <w:pPr>
        <w:pStyle w:val="29"/>
        <w:numPr>
          <w:ilvl w:val="0"/>
          <w:numId w:val="2"/>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color w:val="000000"/>
          <w:sz w:val="32"/>
          <w:szCs w:val="32"/>
        </w:rPr>
        <w:t>收</w:t>
      </w:r>
      <w:r>
        <w:rPr>
          <w:rStyle w:val="2Char"/>
          <w:rFonts w:ascii="黑体" w:eastAsia="黑体" w:hAnsi="黑体" w:hint="eastAsia"/>
        </w:rPr>
        <w:t>入支出决算总体情况说明</w:t>
      </w:r>
      <w:bookmarkEnd w:id="19"/>
      <w:bookmarkEnd w:id="20"/>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2020年度收入2516.45万元、支总计1627.79万元。与2019年相比，收入增加936.59万元，支出增加380.11万元。主要变动原因：1、抗洪抢险资金增加2、中央地质救灾资金增加，3、自然灾害救灾及恢复重建资金增加等。</w:t>
      </w:r>
    </w:p>
    <w:p>
      <w:pPr>
        <w:spacing w:line="600" w:lineRule="exact"/>
        <w:ind w:firstLineChars="200" w:firstLine="640"/>
        <w:rPr>
          <w:rFonts w:ascii="仿宋" w:eastAsia="仿宋" w:hAnsi="仿宋"/>
          <w:color w:val="000000"/>
          <w:sz w:val="32"/>
          <w:szCs w:val="32"/>
          <w14:textFill>
            <w14:solidFill>
              <w14:srgbClr w14:val="000000"/>
            </w14:solidFill>
          </w14:textFill>
        </w:rPr>
      </w:pPr>
      <w:bookmarkStart w:id="21" w:name="_Toc15396602"/>
      <w:bookmarkStart w:id="22" w:name="_Toc15377204"/>
      <w:r>
        <w:rPr>
          <w:rFonts w:ascii="仿宋" w:eastAsia="仿宋" w:hAnsi="仿宋" w:hint="eastAsia"/>
          <w:color w:val="000000"/>
          <w:sz w:val="32"/>
          <w:szCs w:val="32"/>
          <w14:textFill>
            <w14:solidFill>
              <w14:srgbClr w14:val="000000"/>
            </w14:solidFill>
          </w14:textFill>
        </w:rPr>
        <w:t>（图</w:t>
      </w:r>
      <w:r>
        <w:rPr>
          <w:rFonts w:ascii="仿宋" w:eastAsia="仿宋" w:hAnsi="仿宋"/>
          <w:color w:val="000000"/>
          <w:sz w:val="32"/>
          <w:szCs w:val="32"/>
          <w14:textFill>
            <w14:solidFill>
              <w14:srgbClr w14:val="000000"/>
            </w14:solidFill>
          </w14:textFill>
        </w:rPr>
        <w:t>1</w:t>
      </w:r>
      <w:r>
        <w:rPr>
          <w:rFonts w:ascii="仿宋" w:eastAsia="仿宋" w:hAnsi="仿宋" w:hint="eastAsia"/>
          <w:color w:val="000000"/>
          <w:sz w:val="32"/>
          <w:szCs w:val="32"/>
          <w14:textFill>
            <w14:solidFill>
              <w14:srgbClr w14:val="000000"/>
            </w14:solidFill>
          </w14:textFill>
        </w:rPr>
        <w:t>：收、支决算总计变动情况图）（柱状图）</w:t>
      </w:r>
    </w:p>
    <w:p>
      <w:pPr>
        <w:rPr>
          <w:rFonts w:ascii="黑体" w:eastAsia="黑体"/>
          <w:color w:val="000000"/>
          <w:sz w:val="32"/>
          <w:szCs w:val="32"/>
        </w:rPr>
      </w:pPr>
      <w:bookmarkEnd w:id="21"/>
      <w:bookmarkEnd w:id="22"/>
    </w:p>
    <w:p>
      <w:pPr>
        <w:ind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800600" cy="2181225"/>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29"/>
        <w:numPr>
          <w:ilvl w:val="0"/>
          <w:numId w:val="2"/>
        </w:numPr>
        <w:spacing w:line="600" w:lineRule="exact"/>
        <w:ind w:firstLineChars="0"/>
        <w:outlineLvl w:val="1"/>
        <w:rPr>
          <w:rStyle w:val="2Char"/>
          <w:rFonts w:ascii="黑体" w:eastAsia="黑体" w:hAnsi="黑体"/>
          <w:b w:val="0"/>
        </w:rPr>
      </w:pPr>
      <w:bookmarkStart w:id="23" w:name="_Toc15377206"/>
      <w:bookmarkStart w:id="24" w:name="_Toc15396604"/>
      <w:r>
        <w:rPr>
          <w:rFonts w:ascii="黑体" w:eastAsia="黑体" w:hAnsi="黑体" w:hint="eastAsia"/>
          <w:color w:val="000000"/>
          <w:sz w:val="32"/>
          <w:szCs w:val="32"/>
        </w:rPr>
        <w:t>收</w:t>
      </w:r>
      <w:r>
        <w:rPr>
          <w:rStyle w:val="2Char"/>
          <w:rFonts w:ascii="黑体" w:eastAsia="黑体" w:hAnsi="黑体" w:hint="eastAsia"/>
        </w:rPr>
        <w:t>入决算情况说明</w:t>
      </w:r>
      <w:bookmarkEnd w:id="23"/>
      <w:bookmarkEnd w:id="24"/>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20年本年收入合计2516.45万元，其中：一般公共预算财政拨款收入2516.45万元，占100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；政府性基金预算财政拨款收入零万元，占零</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14:textFill>
            <w14:solidFill>
              <w14:srgbClr w14:val="000000"/>
            </w14:solidFill>
          </w14:textFill>
        </w:rPr>
        <w:t>上级补助收入零</w:t>
      </w:r>
      <w:r>
        <w:rPr>
          <w:rFonts w:ascii="仿宋" w:eastAsia="仿宋" w:hAnsi="仿宋" w:hint="eastAsia"/>
          <w:color w:val="000000"/>
          <w:sz w:val="32"/>
          <w:szCs w:val="32"/>
        </w:rPr>
        <w:t>万元，占零</w:t>
      </w:r>
      <w:r>
        <w:rPr>
          <w:rFonts w:ascii="仿宋" w:eastAsia="仿宋" w:hAnsi="仿宋"/>
          <w:color w:val="000000"/>
          <w:sz w:val="32"/>
          <w:szCs w:val="32"/>
        </w:rPr>
        <w:t>%</w:t>
      </w:r>
      <w:r>
        <w:rPr>
          <w:rFonts w:ascii="仿宋" w:eastAsia="仿宋" w:hAnsi="仿宋" w:hint="eastAsia"/>
          <w:color w:val="000000"/>
          <w:sz w:val="32"/>
          <w:szCs w:val="32"/>
        </w:rPr>
        <w:t>；事业收入零万元，占零</w:t>
      </w:r>
      <w:r>
        <w:rPr>
          <w:rFonts w:ascii="仿宋" w:eastAsia="仿宋" w:hAnsi="仿宋"/>
          <w:color w:val="000000"/>
          <w:sz w:val="32"/>
          <w:szCs w:val="32"/>
        </w:rPr>
        <w:t>%</w:t>
      </w:r>
      <w:r>
        <w:rPr>
          <w:rFonts w:ascii="仿宋" w:eastAsia="仿宋" w:hAnsi="仿宋" w:hint="eastAsia"/>
          <w:color w:val="000000"/>
          <w:sz w:val="32"/>
          <w:szCs w:val="32"/>
        </w:rPr>
        <w:t>；经营收入零万元，占零</w:t>
      </w:r>
      <w:r>
        <w:rPr>
          <w:rFonts w:ascii="仿宋" w:eastAsia="仿宋" w:hAnsi="仿宋"/>
          <w:color w:val="000000"/>
          <w:sz w:val="32"/>
          <w:szCs w:val="32"/>
        </w:rPr>
        <w:t>%</w:t>
      </w:r>
      <w:r>
        <w:rPr>
          <w:rFonts w:ascii="仿宋" w:eastAsia="仿宋" w:hAnsi="仿宋" w:hint="eastAsia"/>
          <w:color w:val="000000"/>
          <w:sz w:val="32"/>
          <w:szCs w:val="32"/>
        </w:rPr>
        <w:t>；附属单位上缴收入零万元，占零</w:t>
      </w:r>
      <w:r>
        <w:rPr>
          <w:rFonts w:ascii="仿宋" w:eastAsia="仿宋" w:hAnsi="仿宋"/>
          <w:color w:val="000000"/>
          <w:sz w:val="32"/>
          <w:szCs w:val="32"/>
        </w:rPr>
        <w:t>%</w:t>
      </w:r>
      <w:r>
        <w:rPr>
          <w:rFonts w:ascii="仿宋" w:eastAsia="仿宋" w:hAnsi="仿宋" w:hint="eastAsia"/>
          <w:color w:val="000000"/>
          <w:sz w:val="32"/>
          <w:szCs w:val="32"/>
        </w:rPr>
        <w:t>；其他收入零万元，占零</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（图2：收入决算结构图）（饼状图）</w:t>
      </w:r>
    </w:p>
    <w:p>
      <w:pPr>
        <w:rPr>
          <w:rFonts w:ascii="仿宋_GB2312" w:eastAsia="仿宋_GB2312"/>
          <w:color w:val="000000"/>
          <w:sz w:val="32"/>
          <w:szCs w:val="32"/>
        </w:rPr>
      </w:pPr>
    </w:p>
    <w:p>
      <w:pPr>
        <w:ind w:firstLineChars="200"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000500" cy="1952625"/>
            <wp:effectExtent l="0" t="0" r="0" b="0"/>
            <wp:docPr id="2" name="对象 2"/>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29"/>
        <w:numPr>
          <w:ilvl w:val="0"/>
          <w:numId w:val="2"/>
        </w:numPr>
        <w:spacing w:line="480" w:lineRule="exact"/>
        <w:ind w:firstLineChars="0"/>
        <w:outlineLvl w:val="1"/>
        <w:rPr>
          <w:rStyle w:val="2Char"/>
          <w:rFonts w:ascii="黑体" w:eastAsia="黑体" w:hAnsi="黑体"/>
          <w:b w:val="0"/>
        </w:rPr>
      </w:pPr>
      <w:bookmarkStart w:id="25" w:name="_Toc15377207"/>
      <w:bookmarkStart w:id="26" w:name="_Toc15396605"/>
      <w:r>
        <w:rPr>
          <w:rFonts w:ascii="黑体" w:eastAsia="黑体" w:hAnsi="黑体" w:hint="eastAsia"/>
          <w:color w:val="000000"/>
          <w:sz w:val="32"/>
          <w:szCs w:val="32"/>
        </w:rPr>
        <w:t>支</w:t>
      </w:r>
      <w:r>
        <w:rPr>
          <w:rStyle w:val="2Char"/>
          <w:rFonts w:ascii="黑体" w:eastAsia="黑体" w:hAnsi="黑体" w:hint="eastAsia"/>
        </w:rPr>
        <w:t>出决算情况说明</w:t>
      </w:r>
      <w:bookmarkEnd w:id="25"/>
      <w:bookmarkEnd w:id="26"/>
    </w:p>
    <w:p>
      <w:pPr>
        <w:spacing w:line="48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20年本年支出合计1627.79万元，其中：基本支出929.32万元，占57.09</w:t>
      </w:r>
      <w:r>
        <w:rPr>
          <w:rFonts w:ascii="仿宋" w:eastAsia="仿宋" w:hAnsi="仿宋"/>
          <w:color w:val="000000"/>
          <w:sz w:val="32"/>
          <w:szCs w:val="32"/>
        </w:rPr>
        <w:t>%</w:t>
      </w:r>
      <w:r>
        <w:rPr>
          <w:rFonts w:ascii="仿宋" w:eastAsia="仿宋" w:hAnsi="仿宋" w:hint="eastAsia"/>
          <w:color w:val="000000"/>
          <w:sz w:val="32"/>
          <w:szCs w:val="32"/>
        </w:rPr>
        <w:t>；项目支出698.47万元，占42.91</w:t>
      </w:r>
      <w:r>
        <w:rPr>
          <w:rFonts w:ascii="仿宋" w:eastAsia="仿宋" w:hAnsi="仿宋"/>
          <w:color w:val="000000"/>
          <w:sz w:val="32"/>
          <w:szCs w:val="32"/>
        </w:rPr>
        <w:t>%</w:t>
      </w:r>
      <w:r>
        <w:rPr>
          <w:rFonts w:ascii="仿宋" w:eastAsia="仿宋" w:hAnsi="仿宋" w:hint="eastAsia"/>
          <w:color w:val="000000"/>
          <w:sz w:val="32"/>
          <w:szCs w:val="32"/>
        </w:rPr>
        <w:t>；上缴上级支出零万元，占零</w:t>
      </w:r>
      <w:r>
        <w:rPr>
          <w:rFonts w:ascii="仿宋" w:eastAsia="仿宋" w:hAnsi="仿宋"/>
          <w:color w:val="000000"/>
          <w:sz w:val="32"/>
          <w:szCs w:val="32"/>
        </w:rPr>
        <w:t>%</w:t>
      </w:r>
      <w:r>
        <w:rPr>
          <w:rFonts w:ascii="仿宋" w:eastAsia="仿宋" w:hAnsi="仿宋" w:hint="eastAsia"/>
          <w:color w:val="000000"/>
          <w:sz w:val="32"/>
          <w:szCs w:val="32"/>
        </w:rPr>
        <w:t>；经营支出零万元，占零</w:t>
      </w:r>
      <w:r>
        <w:rPr>
          <w:rFonts w:ascii="仿宋" w:eastAsia="仿宋" w:hAnsi="仿宋"/>
          <w:color w:val="000000"/>
          <w:sz w:val="32"/>
          <w:szCs w:val="32"/>
        </w:rPr>
        <w:t>%</w:t>
      </w:r>
      <w:r>
        <w:rPr>
          <w:rFonts w:ascii="仿宋" w:eastAsia="仿宋" w:hAnsi="仿宋" w:hint="eastAsia"/>
          <w:color w:val="000000"/>
          <w:sz w:val="32"/>
          <w:szCs w:val="32"/>
        </w:rPr>
        <w:t>；对附属单位补助支出零万元，占零</w:t>
      </w:r>
      <w:r>
        <w:rPr>
          <w:rFonts w:ascii="仿宋" w:eastAsia="仿宋" w:hAnsi="仿宋"/>
          <w:color w:val="000000"/>
          <w:sz w:val="32"/>
          <w:szCs w:val="32"/>
        </w:rPr>
        <w:t>%</w:t>
      </w:r>
      <w:r>
        <w:rPr>
          <w:rFonts w:ascii="仿宋" w:eastAsia="仿宋" w:hAnsi="仿宋" w:hint="eastAsia"/>
          <w:color w:val="000000"/>
          <w:sz w:val="32"/>
          <w:szCs w:val="32"/>
        </w:rPr>
        <w:t>。</w:t>
      </w:r>
    </w:p>
    <w:p>
      <w:pPr>
        <w:spacing w:line="48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（图3：支出决算结构图）（饼状图）</w:t>
      </w:r>
    </w:p>
    <w:p>
      <w:pPr>
        <w:rPr>
          <w:rFonts w:ascii="仿宋_GB2312" w:eastAsia="仿宋_GB2312"/>
          <w:color w:val="000000"/>
          <w:sz w:val="32"/>
          <w:szCs w:val="32"/>
        </w:rPr>
      </w:pPr>
      <w:r>
        <w:rPr>
          <w:rFonts w:ascii="仿宋_GB2312" w:eastAsia="仿宋_GB2312"/>
          <w:color w:val="000000"/>
          <w:sz w:val="32"/>
          <w:szCs w:val="32"/>
        </w:rPr>
        <w:drawing>
          <wp:inline distT="0" distB="0" distL="0" distR="0">
            <wp:extent cx="2924175" cy="2543175"/>
            <wp:effectExtent l="0" t="0" r="0" b="0"/>
            <wp:docPr id="3" name="对象 2"/>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outlineLvl w:val="1"/>
        <w:rPr>
          <w:rStyle w:val="2Char"/>
          <w:rFonts w:ascii="黑体" w:eastAsia="黑体" w:hAnsi="黑体"/>
          <w:b w:val="0"/>
        </w:rPr>
      </w:pPr>
      <w:bookmarkStart w:id="27" w:name="_Toc15377208"/>
      <w:bookmarkStart w:id="28" w:name="_Toc15396606"/>
      <w:r>
        <w:rPr>
          <w:rFonts w:ascii="黑体" w:eastAsia="黑体" w:hAnsi="黑体" w:hint="eastAsia"/>
          <w:color w:val="000000"/>
          <w:sz w:val="32"/>
          <w:szCs w:val="32"/>
        </w:rPr>
        <w:t>四、财</w:t>
      </w:r>
      <w:r>
        <w:rPr>
          <w:rStyle w:val="2Char"/>
          <w:rFonts w:ascii="黑体" w:eastAsia="黑体" w:hAnsi="黑体" w:hint="eastAsia"/>
        </w:rPr>
        <w:t>政拨款收入支出决算总体情况说明</w:t>
      </w:r>
      <w:bookmarkEnd w:id="27"/>
      <w:bookmarkEnd w:id="28"/>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20年财政拨款收、支总计2827.54万元。与</w:t>
      </w:r>
      <w:r>
        <w:rPr>
          <w:rFonts w:ascii="仿宋" w:eastAsia="仿宋" w:hAnsi="仿宋"/>
          <w:color w:val="000000"/>
          <w:sz w:val="32"/>
          <w:szCs w:val="32"/>
        </w:rPr>
        <w:t>201</w:t>
      </w:r>
      <w:r>
        <w:rPr>
          <w:rFonts w:ascii="仿宋" w:eastAsia="仿宋" w:hAnsi="仿宋" w:hint="eastAsia"/>
          <w:color w:val="000000"/>
          <w:sz w:val="32"/>
          <w:szCs w:val="32"/>
        </w:rPr>
        <w:t>9年相比，财政拨款收、支总计增加1316.7万元，增加46.56</w:t>
      </w:r>
      <w:r>
        <w:rPr>
          <w:rFonts w:ascii="仿宋" w:eastAsia="仿宋" w:hAnsi="仿宋"/>
          <w:color w:val="000000"/>
          <w:sz w:val="32"/>
          <w:szCs w:val="32"/>
        </w:rPr>
        <w:t>%</w:t>
      </w:r>
      <w:r>
        <w:rPr>
          <w:rFonts w:ascii="仿宋" w:eastAsia="仿宋" w:hAnsi="仿宋" w:hint="eastAsia"/>
          <w:color w:val="000000"/>
          <w:sz w:val="32"/>
          <w:szCs w:val="32"/>
        </w:rPr>
        <w:t>。主要变动原因：1、抗洪抢险资金增加2、中央地质救灾资金增加，3、自然灾害救灾及恢复重建资金增加等。</w:t>
      </w: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（图4：财政拨款收、支决算总计变动情况）（柱状图）</w:t>
      </w:r>
    </w:p>
    <w:p>
      <w:pPr>
        <w:ind w:firstLineChars="200"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800600" cy="2181225"/>
            <wp:effectExtent l="0" t="0" r="0" b="0"/>
            <wp:docPr id="4"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ascii="黑体" w:eastAsia="黑体" w:hAnsi="黑体"/>
          <w:b w:val="0"/>
        </w:rPr>
      </w:pPr>
      <w:bookmarkStart w:id="29" w:name="_Toc15377209"/>
      <w:bookmarkStart w:id="30"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rPr>
        <w:t>般公共预算财政拨款支出决算情况说明</w:t>
      </w:r>
      <w:bookmarkEnd w:id="29"/>
      <w:bookmarkEnd w:id="30"/>
    </w:p>
    <w:p>
      <w:pPr>
        <w:spacing w:line="600" w:lineRule="exact"/>
        <w:ind w:firstLineChars="200" w:firstLine="640"/>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20年一般公共预算财政拨款支出1627.79万元，占本年支出合计的100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9年相比，一般公共预算财政拨款增加380.11万元，增加30.46</w:t>
      </w:r>
      <w:r>
        <w:rPr>
          <w:rFonts w:ascii="仿宋" w:eastAsia="仿宋" w:hAnsi="仿宋"/>
          <w:color w:val="000000"/>
          <w:sz w:val="32"/>
          <w:szCs w:val="32"/>
        </w:rPr>
        <w:t>%</w:t>
      </w:r>
      <w:r>
        <w:rPr>
          <w:rFonts w:ascii="仿宋" w:eastAsia="仿宋" w:hAnsi="仿宋" w:hint="eastAsia"/>
          <w:color w:val="000000"/>
          <w:sz w:val="32"/>
          <w:szCs w:val="32"/>
        </w:rPr>
        <w:t>。主要变动原因是：1、抗洪抢险资金增加2、中央地质救灾资金增加，3、自然灾害救灾及恢复重建资金增加等。</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（图5：一般公共预算财政拨款支出决算变动情况）（柱状图）</w:t>
      </w:r>
    </w:p>
    <w:p>
      <w:pPr>
        <w:rPr>
          <w:rFonts w:ascii="黑体" w:eastAsia="黑体"/>
          <w:sz w:val="32"/>
          <w:szCs w:val="32"/>
        </w:rPr>
      </w:pPr>
    </w:p>
    <w:p>
      <w:pPr>
        <w:ind w:firstLineChars="200" w:firstLine="640"/>
        <w:rPr>
          <w:rFonts w:ascii="仿宋_GB2312" w:eastAsia="仿宋_GB2312"/>
          <w:color w:val="FF0000"/>
          <w:sz w:val="32"/>
          <w:szCs w:val="32"/>
        </w:rPr>
      </w:pPr>
      <w:r>
        <w:rPr>
          <w:rFonts w:ascii="仿宋_GB2312" w:eastAsia="仿宋_GB2312"/>
          <w:color w:val="FF0000"/>
          <w:sz w:val="32"/>
          <w:szCs w:val="32"/>
        </w:rPr>
        <w:drawing>
          <wp:inline distT="0" distB="0" distL="0" distR="0">
            <wp:extent cx="5343525" cy="3095625"/>
            <wp:effectExtent l="0" t="0" r="0" b="0"/>
            <wp:docPr id="5" name="图表 2"/>
            <wp:cNvGraphicFramePr>
              <a:graphicFrameLocks noChangeAspect="0"/>
            </wp:cNvGraphicFramePr>
            <a:graphic>
              <a:graphicData uri="http://schemas.openxmlformats.org/drawingml/2006/chart">
                <c:chart xmlns:c="http://schemas.openxmlformats.org/drawingml/2006/chart" r:id="rId8"/>
              </a:graphicData>
            </a:graphic>
          </wp:inline>
        </w:drawing>
      </w:r>
    </w:p>
    <w:p>
      <w:pPr>
        <w:ind w:firstLineChars="200" w:firstLine="640"/>
        <w:rPr>
          <w:rFonts w:ascii="仿宋_GB2312" w:eastAsia="仿宋_GB2312"/>
          <w:sz w:val="32"/>
          <w:szCs w:val="32"/>
        </w:rPr>
      </w:pPr>
      <w:r>
        <w:rPr>
          <w:rFonts w:ascii="仿宋_GB2312" w:eastAsia="仿宋_GB2312" w:hint="eastAsia"/>
          <w:sz w:val="32"/>
          <w:szCs w:val="32"/>
        </w:rPr>
        <w:t>（二）一般公共预算财政拨款支出决算结构情况</w:t>
      </w:r>
    </w:p>
    <w:p>
      <w:pPr>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20年一般公共预算财政拨款支出1627.79万元，主要用于以下方面</w:t>
      </w:r>
      <w:r>
        <w:rPr>
          <w:rFonts w:ascii="仿宋_GB2312" w:eastAsia="仿宋_GB2312"/>
          <w:sz w:val="32"/>
          <w:szCs w:val="32"/>
        </w:rPr>
        <w:t>:</w:t>
      </w:r>
      <w:r>
        <w:rPr>
          <w:rFonts w:ascii="仿宋_GB2312" w:eastAsia="仿宋_GB2312" w:hint="eastAsia"/>
          <w:sz w:val="32"/>
          <w:szCs w:val="32"/>
        </w:rPr>
        <w:t>社会保障和就业支出72.80万元，占4.47</w:t>
      </w:r>
      <w:r>
        <w:rPr>
          <w:rFonts w:ascii="仿宋_GB2312" w:eastAsia="仿宋_GB2312"/>
          <w:sz w:val="32"/>
          <w:szCs w:val="32"/>
        </w:rPr>
        <w:t>%</w:t>
      </w:r>
      <w:r>
        <w:rPr>
          <w:rFonts w:ascii="仿宋_GB2312" w:eastAsia="仿宋_GB2312" w:hint="eastAsia"/>
          <w:sz w:val="32"/>
          <w:szCs w:val="32"/>
        </w:rPr>
        <w:t>；医疗卫生支出32.98万元，占2.03</w:t>
      </w:r>
      <w:r>
        <w:rPr>
          <w:rFonts w:ascii="仿宋_GB2312" w:eastAsia="仿宋_GB2312"/>
          <w:sz w:val="32"/>
          <w:szCs w:val="32"/>
        </w:rPr>
        <w:t>%</w:t>
      </w:r>
      <w:r>
        <w:rPr>
          <w:rFonts w:ascii="仿宋_GB2312" w:eastAsia="仿宋_GB2312" w:hint="eastAsia"/>
          <w:sz w:val="32"/>
          <w:szCs w:val="32"/>
        </w:rPr>
        <w:t>；住房保障支出49.84万元，占3.06</w:t>
      </w:r>
      <w:r>
        <w:rPr>
          <w:rFonts w:ascii="仿宋_GB2312" w:eastAsia="仿宋_GB2312"/>
          <w:sz w:val="32"/>
          <w:szCs w:val="32"/>
        </w:rPr>
        <w:t>%</w:t>
      </w:r>
      <w:r>
        <w:rPr>
          <w:rFonts w:ascii="仿宋_GB2312" w:eastAsia="仿宋_GB2312" w:hint="eastAsia"/>
          <w:sz w:val="32"/>
          <w:szCs w:val="32"/>
        </w:rPr>
        <w:t>；农林水支出2.1万元，占0.13</w:t>
      </w:r>
      <w:r>
        <w:rPr>
          <w:rFonts w:ascii="仿宋_GB2312" w:eastAsia="仿宋_GB2312"/>
          <w:sz w:val="32"/>
          <w:szCs w:val="32"/>
        </w:rPr>
        <w:t>%</w:t>
      </w:r>
      <w:r>
        <w:rPr>
          <w:rFonts w:ascii="仿宋_GB2312" w:eastAsia="仿宋_GB2312" w:hint="eastAsia"/>
          <w:sz w:val="32"/>
          <w:szCs w:val="32"/>
        </w:rPr>
        <w:t>；灾害防治及应急管理支出1470.07万元，占90.31%</w:t>
      </w:r>
    </w:p>
    <w:p>
      <w:pPr>
        <w:ind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133850" cy="2105025"/>
            <wp:effectExtent l="0" t="0" r="0" b="0"/>
            <wp:docPr id="6" name="对象 2"/>
            <wp:cNvGraphicFramePr>
              <a:graphicFrameLocks noChangeAspect="0"/>
            </wp:cNvGraphicFramePr>
            <a:graphic>
              <a:graphicData uri="http://schemas.openxmlformats.org/drawingml/2006/chart">
                <c:chart xmlns:c="http://schemas.openxmlformats.org/drawingml/2006/chart" r:id="rId9"/>
              </a:graphicData>
            </a:graphic>
          </wp:inline>
        </w:drawing>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（三）一般公共预算财政拨款支出决算具体情况</w:t>
      </w:r>
    </w:p>
    <w:p>
      <w:pPr>
        <w:ind w:firstLineChars="200" w:firstLine="640"/>
        <w:rPr>
          <w:rStyle w:val="25"/>
          <w:rFonts w:ascii="仿宋_GB2312" w:eastAsia="仿宋_GB2312"/>
          <w:b w:val="0"/>
          <w:bCs/>
          <w:color w:val="000000"/>
          <w:sz w:val="32"/>
          <w:szCs w:val="32"/>
        </w:rPr>
      </w:pPr>
      <w:r>
        <w:rPr>
          <w:rStyle w:val="25"/>
          <w:rFonts w:ascii="仿宋_GB2312" w:eastAsia="仿宋_GB2312"/>
          <w:bCs/>
          <w:color w:val="000000"/>
          <w:sz w:val="32"/>
          <w:szCs w:val="32"/>
        </w:rPr>
        <w:t>1.</w:t>
      </w:r>
      <w:r>
        <w:rPr>
          <w:rStyle w:val="25"/>
          <w:rFonts w:ascii="仿宋_GB2312" w:eastAsia="仿宋_GB2312" w:hint="eastAsia"/>
          <w:bCs/>
          <w:color w:val="000000"/>
          <w:sz w:val="32"/>
          <w:szCs w:val="32"/>
        </w:rPr>
        <w:t>一般公共服务（类）221（款）0101（项）</w:t>
      </w:r>
      <w:r>
        <w:rPr>
          <w:rStyle w:val="25"/>
          <w:rFonts w:ascii="仿宋_GB2312" w:eastAsia="仿宋_GB2312"/>
          <w:bCs/>
          <w:color w:val="000000"/>
          <w:sz w:val="32"/>
          <w:szCs w:val="32"/>
        </w:rPr>
        <w:t>:</w:t>
      </w:r>
      <w:r>
        <w:rPr>
          <w:rStyle w:val="25"/>
          <w:rFonts w:ascii="仿宋_GB2312" w:eastAsia="仿宋_GB2312" w:hint="eastAsia"/>
          <w:b w:val="0"/>
          <w:bCs/>
          <w:color w:val="000000"/>
          <w:sz w:val="32"/>
          <w:szCs w:val="32"/>
        </w:rPr>
        <w:t>支出决算为1627.79万元，完成预算100</w:t>
      </w:r>
      <w:r>
        <w:rPr>
          <w:rStyle w:val="25"/>
          <w:rFonts w:ascii="仿宋_GB2312" w:eastAsia="仿宋_GB2312"/>
          <w:b w:val="0"/>
          <w:bCs/>
          <w:color w:val="000000"/>
          <w:sz w:val="32"/>
          <w:szCs w:val="32"/>
        </w:rPr>
        <w:t>%</w:t>
      </w:r>
      <w:r>
        <w:rPr>
          <w:rStyle w:val="25"/>
          <w:rFonts w:ascii="仿宋_GB2312" w:eastAsia="仿宋_GB2312" w:hint="eastAsia"/>
          <w:b w:val="0"/>
          <w:bCs/>
          <w:color w:val="000000"/>
          <w:sz w:val="32"/>
          <w:szCs w:val="32"/>
        </w:rPr>
        <w:t>，</w:t>
      </w:r>
    </w:p>
    <w:p>
      <w:pPr>
        <w:ind w:firstLineChars="200" w:firstLine="640"/>
        <w:rPr>
          <w:rFonts w:ascii="仿宋_GB2312" w:eastAsia="仿宋_GB2312"/>
          <w:b/>
          <w:color w:val="000000"/>
          <w:sz w:val="32"/>
          <w:szCs w:val="32"/>
        </w:rPr>
      </w:pPr>
      <w:r>
        <w:rPr>
          <w:rStyle w:val="25"/>
          <w:rFonts w:ascii="仿宋_GB2312" w:eastAsia="仿宋_GB2312"/>
          <w:bCs/>
          <w:color w:val="000000"/>
          <w:sz w:val="32"/>
          <w:szCs w:val="32"/>
        </w:rPr>
        <w:t>2.</w:t>
      </w:r>
      <w:r>
        <w:rPr>
          <w:rStyle w:val="25"/>
          <w:rFonts w:ascii="仿宋_GB2312" w:eastAsia="仿宋_GB2312" w:hint="eastAsia"/>
          <w:bCs/>
          <w:color w:val="000000"/>
          <w:sz w:val="32"/>
          <w:szCs w:val="32"/>
        </w:rPr>
        <w:t>社会保障和就业</w:t>
      </w:r>
      <w:r>
        <w:rPr>
          <w:rStyle w:val="25"/>
          <w:rFonts w:ascii="仿宋_GB2312" w:eastAsia="仿宋_GB2312"/>
          <w:bCs/>
          <w:color w:val="000000"/>
          <w:sz w:val="32"/>
          <w:szCs w:val="32"/>
        </w:rPr>
        <w:t>2080505:</w:t>
      </w:r>
      <w:r>
        <w:rPr>
          <w:rStyle w:val="25"/>
          <w:rFonts w:ascii="仿宋_GB2312" w:eastAsia="仿宋_GB2312" w:hint="eastAsia"/>
          <w:b w:val="0"/>
          <w:bCs/>
          <w:color w:val="000000"/>
          <w:sz w:val="32"/>
          <w:szCs w:val="32"/>
        </w:rPr>
        <w:t xml:space="preserve">支出决算为72.80万元，完成预算100 </w:t>
      </w:r>
      <w:r>
        <w:rPr>
          <w:rStyle w:val="25"/>
          <w:rFonts w:ascii="仿宋_GB2312" w:eastAsia="仿宋_GB2312"/>
          <w:b w:val="0"/>
          <w:bCs/>
          <w:color w:val="000000"/>
          <w:sz w:val="32"/>
          <w:szCs w:val="32"/>
        </w:rPr>
        <w:t>%.</w:t>
      </w:r>
    </w:p>
    <w:p>
      <w:pPr>
        <w:ind w:firstLineChars="200" w:firstLine="640"/>
        <w:rPr>
          <w:rStyle w:val="25"/>
          <w:rFonts w:ascii="仿宋_GB2312" w:eastAsia="仿宋_GB2312"/>
          <w:b w:val="0"/>
          <w:bCs/>
          <w:color w:val="000000"/>
          <w:sz w:val="32"/>
          <w:szCs w:val="32"/>
        </w:rPr>
      </w:pPr>
      <w:r>
        <w:rPr>
          <w:rStyle w:val="25"/>
          <w:rFonts w:ascii="仿宋_GB2312" w:eastAsia="仿宋_GB2312"/>
          <w:bCs/>
          <w:color w:val="000000"/>
          <w:sz w:val="32"/>
          <w:szCs w:val="32"/>
        </w:rPr>
        <w:t>3.</w:t>
      </w:r>
      <w:r>
        <w:rPr>
          <w:rStyle w:val="25"/>
          <w:rFonts w:ascii="仿宋_GB2312" w:eastAsia="仿宋_GB2312" w:hint="eastAsia"/>
          <w:bCs/>
          <w:color w:val="000000"/>
          <w:sz w:val="32"/>
          <w:szCs w:val="32"/>
        </w:rPr>
        <w:t>医疗卫生与计划生育</w:t>
      </w:r>
      <w:r>
        <w:rPr>
          <w:rStyle w:val="25"/>
          <w:rFonts w:ascii="仿宋_GB2312" w:eastAsia="仿宋_GB2312"/>
          <w:bCs/>
          <w:color w:val="000000"/>
          <w:sz w:val="32"/>
          <w:szCs w:val="32"/>
        </w:rPr>
        <w:t>2101102:</w:t>
      </w:r>
      <w:r>
        <w:rPr>
          <w:rStyle w:val="25"/>
          <w:rFonts w:ascii="仿宋_GB2312" w:eastAsia="仿宋_GB2312" w:hint="eastAsia"/>
          <w:b w:val="0"/>
          <w:bCs/>
          <w:color w:val="000000"/>
          <w:sz w:val="32"/>
          <w:szCs w:val="32"/>
        </w:rPr>
        <w:t>支出决算为32.98万元，完成预算100</w:t>
      </w:r>
      <w:r>
        <w:rPr>
          <w:rStyle w:val="25"/>
          <w:rFonts w:ascii="仿宋_GB2312" w:eastAsia="仿宋_GB2312"/>
          <w:b w:val="0"/>
          <w:bCs/>
          <w:color w:val="000000"/>
          <w:sz w:val="32"/>
          <w:szCs w:val="32"/>
        </w:rPr>
        <w:t>%</w:t>
      </w:r>
    </w:p>
    <w:p>
      <w:pPr>
        <w:ind w:firstLineChars="200" w:firstLine="640"/>
        <w:rPr>
          <w:rStyle w:val="25"/>
          <w:rFonts w:ascii="仿宋_GB2312" w:eastAsia="仿宋_GB2312"/>
          <w:b w:val="0"/>
          <w:bCs/>
          <w:color w:val="000000"/>
          <w:sz w:val="32"/>
          <w:szCs w:val="32"/>
        </w:rPr>
      </w:pPr>
      <w:r>
        <w:rPr>
          <w:rStyle w:val="25"/>
          <w:rFonts w:ascii="仿宋_GB2312" w:eastAsia="仿宋_GB2312"/>
          <w:bCs/>
          <w:color w:val="000000"/>
          <w:sz w:val="32"/>
          <w:szCs w:val="32"/>
        </w:rPr>
        <w:t xml:space="preserve">4. </w:t>
      </w:r>
      <w:r>
        <w:rPr>
          <w:rStyle w:val="25"/>
          <w:rFonts w:ascii="仿宋_GB2312" w:eastAsia="仿宋_GB2312" w:hint="eastAsia"/>
          <w:bCs/>
          <w:color w:val="000000"/>
          <w:sz w:val="32"/>
          <w:szCs w:val="32"/>
        </w:rPr>
        <w:t>农林水</w:t>
      </w:r>
      <w:r>
        <w:rPr>
          <w:rStyle w:val="25"/>
          <w:rFonts w:ascii="仿宋_GB2312" w:eastAsia="仿宋_GB2312"/>
          <w:bCs/>
          <w:color w:val="000000"/>
          <w:sz w:val="32"/>
          <w:szCs w:val="32"/>
        </w:rPr>
        <w:t>2130599</w:t>
      </w:r>
      <w:r>
        <w:rPr>
          <w:rStyle w:val="25"/>
          <w:rFonts w:ascii="仿宋_GB2312" w:eastAsia="仿宋_GB2312" w:hint="eastAsia"/>
          <w:bCs/>
          <w:color w:val="000000"/>
          <w:sz w:val="32"/>
          <w:szCs w:val="32"/>
        </w:rPr>
        <w:t>：</w:t>
      </w:r>
      <w:r>
        <w:rPr>
          <w:rStyle w:val="25"/>
          <w:rFonts w:ascii="仿宋_GB2312" w:eastAsia="仿宋_GB2312" w:hint="eastAsia"/>
          <w:b w:val="0"/>
          <w:bCs/>
          <w:color w:val="000000"/>
          <w:sz w:val="32"/>
          <w:szCs w:val="32"/>
        </w:rPr>
        <w:t>支出决算为2.1万元，完成预算100</w:t>
      </w:r>
      <w:r>
        <w:rPr>
          <w:rStyle w:val="25"/>
          <w:rFonts w:ascii="仿宋_GB2312" w:eastAsia="仿宋_GB2312"/>
          <w:b w:val="0"/>
          <w:bCs/>
          <w:color w:val="000000"/>
          <w:sz w:val="32"/>
          <w:szCs w:val="32"/>
        </w:rPr>
        <w:t xml:space="preserve"> %</w:t>
      </w:r>
      <w:r>
        <w:rPr>
          <w:rStyle w:val="25"/>
          <w:rFonts w:ascii="仿宋_GB2312" w:eastAsia="仿宋_GB2312" w:hint="eastAsia"/>
          <w:b w:val="0"/>
          <w:bCs/>
          <w:color w:val="000000"/>
          <w:sz w:val="32"/>
          <w:szCs w:val="32"/>
        </w:rPr>
        <w:t>，</w:t>
      </w:r>
    </w:p>
    <w:p>
      <w:pPr>
        <w:ind w:firstLine="640"/>
        <w:rPr>
          <w:rFonts w:ascii="仿宋_GB2312" w:eastAsia="仿宋_GB2312"/>
          <w:sz w:val="32"/>
          <w:szCs w:val="32"/>
        </w:rPr>
      </w:pPr>
      <w:r>
        <w:rPr>
          <w:rStyle w:val="25"/>
          <w:rFonts w:ascii="仿宋_GB2312" w:eastAsia="仿宋_GB2312"/>
          <w:b w:val="0"/>
          <w:bCs/>
          <w:sz w:val="32"/>
          <w:szCs w:val="32"/>
        </w:rPr>
        <w:t>5.</w:t>
      </w:r>
      <w:r>
        <w:rPr>
          <w:rFonts w:ascii="仿宋_GB2312" w:eastAsia="仿宋_GB2312" w:hint="eastAsia"/>
          <w:b/>
          <w:sz w:val="32"/>
          <w:szCs w:val="32"/>
        </w:rPr>
        <w:t>资源勘探信息2150606:</w:t>
      </w:r>
      <w:r>
        <w:rPr>
          <w:rFonts w:ascii="仿宋_GB2312" w:eastAsia="仿宋_GB2312" w:hint="eastAsia"/>
          <w:sz w:val="32"/>
          <w:szCs w:val="32"/>
        </w:rPr>
        <w:t>支出决算为</w:t>
      </w:r>
      <w:r>
        <w:rPr>
          <w:rFonts w:ascii="仿宋" w:eastAsia="仿宋" w:hAnsi="仿宋" w:hint="eastAsia"/>
          <w:color w:val="000000"/>
          <w:sz w:val="32"/>
          <w:szCs w:val="32"/>
        </w:rPr>
        <w:t>零</w:t>
      </w:r>
      <w:r>
        <w:rPr>
          <w:rFonts w:ascii="仿宋_GB2312" w:eastAsia="仿宋_GB2312" w:hint="eastAsia"/>
          <w:sz w:val="32"/>
          <w:szCs w:val="32"/>
        </w:rPr>
        <w:t>万元，完成预算数</w:t>
      </w:r>
      <w:r>
        <w:rPr>
          <w:rFonts w:ascii="仿宋" w:eastAsia="仿宋" w:hAnsi="仿宋" w:hint="eastAsia"/>
          <w:color w:val="000000"/>
          <w:sz w:val="32"/>
          <w:szCs w:val="32"/>
        </w:rPr>
        <w:t>零</w:t>
      </w:r>
      <w:r>
        <w:rPr>
          <w:rFonts w:ascii="仿宋_GB2312" w:eastAsia="仿宋_GB2312"/>
          <w:sz w:val="32"/>
          <w:szCs w:val="32"/>
        </w:rPr>
        <w:t>%</w:t>
      </w:r>
      <w:r>
        <w:rPr>
          <w:rFonts w:ascii="仿宋_GB2312" w:eastAsia="仿宋_GB2312" w:hint="eastAsia"/>
          <w:sz w:val="32"/>
          <w:szCs w:val="32"/>
        </w:rPr>
        <w:t>．</w:t>
      </w:r>
    </w:p>
    <w:p>
      <w:pPr>
        <w:ind w:firstLine="640"/>
        <w:rPr>
          <w:rFonts w:ascii="仿宋_GB2312" w:eastAsia="仿宋_GB2312"/>
          <w:sz w:val="32"/>
          <w:szCs w:val="32"/>
        </w:rPr>
      </w:pPr>
      <w:r>
        <w:rPr>
          <w:rFonts w:ascii="仿宋_GB2312" w:eastAsia="仿宋_GB2312" w:hint="eastAsia"/>
          <w:b/>
          <w:sz w:val="32"/>
          <w:szCs w:val="32"/>
        </w:rPr>
        <w:t>６．住房保障2210201:</w:t>
      </w:r>
      <w:r>
        <w:rPr>
          <w:rFonts w:ascii="仿宋_GB2312" w:eastAsia="仿宋_GB2312" w:hint="eastAsia"/>
          <w:sz w:val="32"/>
          <w:szCs w:val="32"/>
        </w:rPr>
        <w:t>支出决算为49.84万元,完成预算数100%.</w:t>
      </w:r>
    </w:p>
    <w:p>
      <w:pPr>
        <w:ind w:firstLine="640"/>
        <w:rPr>
          <w:rFonts w:ascii="仿宋_GB2312" w:eastAsia="仿宋_GB2312"/>
          <w:sz w:val="32"/>
          <w:szCs w:val="32"/>
        </w:rPr>
      </w:pPr>
      <w:r>
        <w:rPr>
          <w:rFonts w:ascii="仿宋_GB2312" w:eastAsia="仿宋_GB2312" w:hint="eastAsia"/>
          <w:sz w:val="32"/>
          <w:szCs w:val="32"/>
        </w:rPr>
        <w:t>7．灾害防治及应急管理支出2240102：支出决算为1470.07万元，完成100%。</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pPr>
        <w:tabs>
          <w:tab w:val="right" w:pos="8306"/>
        </w:tabs>
        <w:spacing w:line="600" w:lineRule="exact"/>
        <w:ind w:firstLine="640"/>
        <w:outlineLvl w:val="1"/>
        <w:rPr>
          <w:rStyle w:val="2Char"/>
        </w:rPr>
      </w:pPr>
      <w:bookmarkStart w:id="32" w:name="_Toc15396608"/>
      <w:bookmarkStart w:id="33"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rPr>
        <w:t>般公共预算财政拨款基本支出决算情况说明</w:t>
      </w:r>
      <w:bookmarkEnd w:id="32"/>
      <w:bookmarkEnd w:id="33"/>
      <w:r>
        <w:rPr>
          <w:rStyle w:val="2Char"/>
          <w:rFonts w:ascii="黑体" w:eastAsia="黑体" w:hAnsi="黑体"/>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20年一般公共预算财政拨款基本支出929.31万元，其中：</w:t>
      </w:r>
    </w:p>
    <w:p>
      <w:pPr>
        <w:ind w:firstLine="640"/>
        <w:rPr>
          <w:rFonts w:ascii="黑体" w:eastAsia="黑体"/>
          <w:color w:val="000000"/>
          <w:sz w:val="32"/>
          <w:szCs w:val="32"/>
        </w:rPr>
      </w:pPr>
      <w:r>
        <w:rPr>
          <w:rFonts w:ascii="仿宋" w:eastAsia="仿宋" w:hAnsi="仿宋" w:hint="eastAsia"/>
          <w:color w:val="000000"/>
          <w:sz w:val="32"/>
          <w:szCs w:val="32"/>
        </w:rPr>
        <w:t>人员经费844.57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日常公用经费84.75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w:t>
      </w:r>
    </w:p>
    <w:p>
      <w:pPr>
        <w:spacing w:line="600" w:lineRule="exact"/>
        <w:rPr>
          <w:rFonts w:ascii="仿宋" w:eastAsia="仿宋" w:hAnsi="仿宋"/>
          <w:b/>
          <w:color w:val="000000"/>
          <w:sz w:val="32"/>
          <w:szCs w:val="32"/>
          <w14:textFill>
            <w14:solidFill>
              <w14:srgbClr w14:val="000000"/>
            </w14:solidFill>
          </w14:textFill>
        </w:rPr>
      </w:pPr>
      <w:r>
        <w:rPr>
          <w:rFonts w:ascii="仿宋" w:eastAsia="仿宋" w:hAnsi="仿宋" w:hint="eastAsia"/>
          <w:b/>
          <w:color w:val="000000"/>
          <w:sz w:val="32"/>
          <w:szCs w:val="32"/>
          <w14:textFill>
            <w14:solidFill>
              <w14:srgbClr w14:val="000000"/>
            </w14:solidFill>
          </w14:textFill>
        </w:rPr>
        <w:t>（数据来源财决</w:t>
      </w:r>
      <w:r>
        <w:rPr>
          <w:rFonts w:ascii="仿宋" w:eastAsia="仿宋" w:hAnsi="仿宋"/>
          <w:b/>
          <w:color w:val="000000"/>
          <w:sz w:val="32"/>
          <w:szCs w:val="32"/>
          <w14:textFill>
            <w14:solidFill>
              <w14:srgbClr w14:val="000000"/>
            </w14:solidFill>
          </w14:textFill>
        </w:rPr>
        <w:t>0</w:t>
      </w:r>
      <w:r>
        <w:rPr>
          <w:rFonts w:ascii="仿宋" w:eastAsia="仿宋" w:hAnsi="仿宋" w:hint="eastAsia"/>
          <w:b/>
          <w:color w:val="000000"/>
          <w:sz w:val="32"/>
          <w:szCs w:val="32"/>
          <w14:textFill>
            <w14:solidFill>
              <w14:srgbClr w14:val="000000"/>
            </w14:solidFill>
          </w14:textFill>
        </w:rPr>
        <w:t>7表，根据本部门实际支出情况罗列全部经济分类科目。）</w:t>
      </w:r>
    </w:p>
    <w:p>
      <w:pPr>
        <w:spacing w:line="600" w:lineRule="exact"/>
        <w:ind w:firstLine="640"/>
        <w:outlineLvl w:val="1"/>
        <w:rPr>
          <w:rStyle w:val="2Char"/>
          <w:rFonts w:ascii="黑体" w:eastAsia="黑体" w:hAnsi="黑体"/>
          <w:b w:val="0"/>
        </w:rPr>
      </w:pPr>
      <w:bookmarkStart w:id="34" w:name="_Toc15396609"/>
      <w:bookmarkStart w:id="35" w:name="_Toc15377215"/>
      <w:r>
        <w:rPr>
          <w:rFonts w:ascii="黑体" w:eastAsia="黑体" w:hint="eastAsia"/>
          <w:color w:val="000000"/>
          <w:sz w:val="32"/>
          <w:szCs w:val="32"/>
        </w:rPr>
        <w:t>七、</w:t>
      </w:r>
      <w:r>
        <w:rPr>
          <w:rStyle w:val="2Char"/>
          <w:rFonts w:ascii="黑体" w:eastAsia="黑体" w:hAnsi="黑体" w:hint="eastAsia"/>
        </w:rPr>
        <w:t>“三公”经费财政拨款支出决算情况说明</w:t>
      </w:r>
      <w:bookmarkEnd w:id="34"/>
      <w:bookmarkEnd w:id="35"/>
    </w:p>
    <w:p>
      <w:pPr>
        <w:spacing w:line="600" w:lineRule="exact"/>
        <w:ind w:firstLine="640"/>
        <w:outlineLvl w:val="2"/>
        <w:rPr>
          <w:rFonts w:ascii="仿宋" w:eastAsia="仿宋" w:hAnsi="仿宋"/>
          <w:b/>
          <w:color w:val="000000"/>
          <w:sz w:val="32"/>
          <w:szCs w:val="32"/>
        </w:rPr>
      </w:pPr>
      <w:bookmarkStart w:id="36" w:name="_Toc15377216"/>
      <w:r>
        <w:rPr>
          <w:rFonts w:ascii="仿宋" w:eastAsia="仿宋" w:hAnsi="仿宋" w:hint="eastAsia"/>
          <w:b/>
          <w:color w:val="000000"/>
          <w:sz w:val="32"/>
          <w:szCs w:val="32"/>
        </w:rPr>
        <w:t>（一）“三公”经费财政拨款支出决算总体情况说明</w:t>
      </w:r>
      <w:bookmarkEnd w:id="3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20年“三公”经费财政拨款支出决算为1.48万元，完成预算36.54</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w:t>
      </w:r>
    </w:p>
    <w:p>
      <w:pPr>
        <w:ind w:firstLineChars="200" w:firstLine="640"/>
        <w:rPr>
          <w:rFonts w:ascii="仿宋_GB2312" w:eastAsia="仿宋_GB2312"/>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1.48元。主要用于执行公务、开展业务活动开支的用餐费等。国内公务接待17批次，165人次（不包括陪同人员），共计支出1.48万元，主要用于接待：安全检查、业务衔接等开支。公务接待费支出决算比2019年减少2.57万元，减少32.88</w:t>
      </w:r>
      <w:r>
        <w:rPr>
          <w:rFonts w:ascii="仿宋_GB2312" w:eastAsia="仿宋_GB2312"/>
          <w:color w:val="000000"/>
          <w:sz w:val="32"/>
          <w:szCs w:val="32"/>
        </w:rPr>
        <w:t>%</w:t>
      </w:r>
      <w:r>
        <w:rPr>
          <w:rFonts w:ascii="仿宋_GB2312" w:eastAsia="仿宋_GB2312" w:hint="eastAsia"/>
          <w:color w:val="000000"/>
          <w:sz w:val="32"/>
          <w:szCs w:val="32"/>
        </w:rPr>
        <w:t>。主要原因是：2020年</w:t>
      </w:r>
      <w:r>
        <w:rPr>
          <w:rFonts w:ascii="仿宋_GB2312" w:eastAsia="仿宋_GB2312" w:hint="eastAsia"/>
          <w:sz w:val="32"/>
          <w:szCs w:val="32"/>
        </w:rPr>
        <w:t>我局实行严格控制接待范围及标准，不应接待的一律不接待，</w:t>
      </w:r>
      <w:r>
        <w:rPr>
          <w:rFonts w:ascii="仿宋_GB2312" w:eastAsia="仿宋_GB2312" w:hint="eastAsia"/>
          <w:color w:val="000000"/>
          <w:sz w:val="32"/>
          <w:szCs w:val="32"/>
        </w:rPr>
        <w:t>需接待的</w:t>
      </w:r>
      <w:r>
        <w:rPr>
          <w:rFonts w:ascii="仿宋_GB2312" w:eastAsia="仿宋_GB2312" w:hint="eastAsia"/>
          <w:sz w:val="32"/>
          <w:szCs w:val="32"/>
        </w:rPr>
        <w:t>严格控制标准及陪同人员，目前为止我局未超标准、未超范围接待。</w:t>
      </w:r>
    </w:p>
    <w:p>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pPr>
        <w:spacing w:line="600" w:lineRule="exact"/>
        <w:ind w:firstLine="640"/>
        <w:outlineLvl w:val="2"/>
        <w:rPr>
          <w:rFonts w:ascii="仿宋" w:eastAsia="仿宋" w:hAnsi="仿宋"/>
          <w:b/>
          <w:color w:val="000000"/>
          <w:sz w:val="32"/>
          <w:szCs w:val="32"/>
        </w:rPr>
      </w:pPr>
      <w:bookmarkStart w:id="37" w:name="_Toc15377217"/>
      <w:r>
        <w:rPr>
          <w:rFonts w:ascii="仿宋" w:eastAsia="仿宋" w:hAnsi="仿宋" w:hint="eastAsia"/>
          <w:b/>
          <w:color w:val="000000"/>
          <w:sz w:val="32"/>
          <w:szCs w:val="32"/>
        </w:rPr>
        <w:t>（二）“三公”经费财政拨款支出决算具体情况说明</w:t>
      </w:r>
      <w:bookmarkEnd w:id="37"/>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20年“三公”经费财政拨款支出决算中，因公出国（境）费支出决算零万元，占零</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；公务用车购置及运行维护费支出决算零万元，占零</w:t>
      </w:r>
      <w:r>
        <w:rPr>
          <w:rFonts w:ascii="仿宋" w:eastAsia="仿宋" w:hAnsi="仿宋"/>
          <w:color w:val="000000"/>
          <w:sz w:val="32"/>
          <w:szCs w:val="32"/>
        </w:rPr>
        <w:t>%</w:t>
      </w:r>
      <w:r>
        <w:rPr>
          <w:rFonts w:ascii="仿宋" w:eastAsia="仿宋" w:hAnsi="仿宋" w:hint="eastAsia"/>
          <w:color w:val="000000"/>
          <w:sz w:val="32"/>
          <w:szCs w:val="32"/>
        </w:rPr>
        <w:t>；公务接待费支出决算零万元，占零</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pPr>
        <w:ind w:firstLine="640"/>
        <w:rPr>
          <w:rFonts w:ascii="仿宋_GB2312" w:eastAsia="仿宋_GB2312"/>
          <w:color w:val="000000"/>
          <w:sz w:val="32"/>
          <w:szCs w:val="32"/>
        </w:rPr>
      </w:pPr>
      <w:r>
        <w:rPr>
          <w:rFonts w:ascii="仿宋_GB2312" w:eastAsia="仿宋_GB2312" w:hint="eastAsia"/>
          <w:color w:val="000000"/>
          <w:sz w:val="32"/>
          <w:szCs w:val="32"/>
        </w:rPr>
        <w:drawing>
          <wp:inline distT="0" distB="0" distL="0" distR="0">
            <wp:extent cx="5274310" cy="3076575"/>
            <wp:effectExtent l="0" t="0" r="0" b="0"/>
            <wp:docPr id="7" name="图表 6"/>
            <wp:cNvGraphicFramePr>
              <a:graphicFrameLocks noChangeAspect="0"/>
            </wp:cNvGraphicFramePr>
            <a:graphic>
              <a:graphicData uri="http://schemas.openxmlformats.org/drawingml/2006/chart">
                <c:chart xmlns:c="http://schemas.openxmlformats.org/drawingml/2006/chart" r:id="rId10"/>
              </a:graphicData>
            </a:graphic>
          </wp:inline>
        </w:drawing>
      </w:r>
    </w:p>
    <w:p>
      <w:pPr>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零万元。全年安排因公出国（境）团组零次，出国（境）零人。开支内容包括：…（团组名称、出访地点、取得成效）等。</w:t>
      </w:r>
    </w:p>
    <w:p>
      <w:pPr>
        <w:ind w:firstLine="640"/>
        <w:rPr>
          <w:rFonts w:ascii="仿宋_GB2312" w:eastAsia="仿宋_GB2312"/>
          <w:b/>
          <w:color w:val="000000"/>
          <w:sz w:val="32"/>
          <w:szCs w:val="32"/>
        </w:rPr>
      </w:pPr>
      <w:r>
        <w:rPr>
          <w:rFonts w:ascii="仿宋_GB2312" w:eastAsia="仿宋_GB2312" w:hint="eastAsia"/>
          <w:color w:val="000000"/>
          <w:sz w:val="32"/>
          <w:szCs w:val="32"/>
        </w:rPr>
        <w:t>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减少零万元，增长</w:t>
      </w:r>
      <w:r>
        <w:rPr>
          <w:rFonts w:ascii="仿宋_GB2312" w:eastAsia="仿宋_GB2312"/>
          <w:color w:val="000000"/>
          <w:sz w:val="32"/>
          <w:szCs w:val="32"/>
        </w:rPr>
        <w:t>/</w:t>
      </w:r>
      <w:r>
        <w:rPr>
          <w:rFonts w:ascii="仿宋_GB2312" w:eastAsia="仿宋_GB2312" w:hint="eastAsia"/>
          <w:color w:val="000000"/>
          <w:sz w:val="32"/>
          <w:szCs w:val="32"/>
        </w:rPr>
        <w:t>下降零</w:t>
      </w:r>
      <w:r>
        <w:rPr>
          <w:rFonts w:ascii="仿宋_GB2312" w:eastAsia="仿宋_GB2312"/>
          <w:color w:val="000000"/>
          <w:sz w:val="32"/>
          <w:szCs w:val="32"/>
        </w:rPr>
        <w:t>%</w:t>
      </w:r>
      <w:r>
        <w:rPr>
          <w:rFonts w:ascii="仿宋_GB2312" w:eastAsia="仿宋_GB2312" w:hint="eastAsia"/>
          <w:color w:val="000000"/>
          <w:sz w:val="32"/>
          <w:szCs w:val="32"/>
        </w:rPr>
        <w:t>。主要原因是……。</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零万元。</w:t>
      </w:r>
      <w:r>
        <w:rPr>
          <w:rStyle w:val="25"/>
          <w:rFonts w:ascii="仿宋" w:eastAsia="仿宋" w:hAnsi="仿宋" w:hint="eastAsia"/>
          <w:bCs/>
          <w:color w:val="000000"/>
          <w:sz w:val="32"/>
          <w:szCs w:val="32"/>
        </w:rPr>
        <w:t>完成预算</w:t>
      </w:r>
      <w:r>
        <w:rPr>
          <w:rFonts w:ascii="仿宋" w:eastAsia="仿宋" w:hAnsi="仿宋" w:hint="eastAsia"/>
          <w:color w:val="000000"/>
          <w:sz w:val="32"/>
          <w:szCs w:val="32"/>
        </w:rPr>
        <w:t>零</w:t>
      </w:r>
      <w:r>
        <w:rPr>
          <w:rStyle w:val="25"/>
          <w:rFonts w:ascii="仿宋" w:eastAsia="仿宋" w:hAnsi="仿宋"/>
          <w:bCs/>
          <w:color w:val="000000"/>
          <w:sz w:val="32"/>
          <w:szCs w:val="32"/>
        </w:rPr>
        <w:t>%</w:t>
      </w:r>
      <w:r>
        <w:rPr>
          <w:rStyle w:val="25"/>
          <w:rFonts w:ascii="仿宋" w:eastAsia="仿宋" w:hAnsi="仿宋" w:hint="eastAsia"/>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w:t>
      </w:r>
      <w:r>
        <w:rPr>
          <w:rFonts w:ascii="仿宋_GB2312" w:eastAsia="仿宋_GB2312" w:hint="eastAsia"/>
          <w:color w:val="000000"/>
          <w:sz w:val="32"/>
          <w:szCs w:val="32"/>
        </w:rPr>
        <w:t>19年增加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 w:eastAsia="仿宋" w:hAnsi="仿宋" w:hint="eastAsia"/>
          <w:color w:val="000000"/>
          <w:sz w:val="32"/>
          <w:szCs w:val="32"/>
        </w:rPr>
        <w:t>零</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 w:eastAsia="仿宋" w:hAnsi="仿宋" w:hint="eastAsia"/>
          <w:color w:val="000000"/>
          <w:sz w:val="32"/>
          <w:szCs w:val="32"/>
        </w:rPr>
        <w:t>零</w:t>
      </w:r>
      <w:r>
        <w:rPr>
          <w:rFonts w:ascii="仿宋_GB2312" w:eastAsia="仿宋_GB2312"/>
          <w:color w:val="000000"/>
          <w:sz w:val="32"/>
          <w:szCs w:val="32"/>
        </w:rPr>
        <w:t>%</w:t>
      </w:r>
      <w:r>
        <w:rPr>
          <w:rFonts w:ascii="仿宋_GB2312" w:eastAsia="仿宋_GB2312" w:hint="eastAsia"/>
          <w:color w:val="000000"/>
          <w:sz w:val="32"/>
          <w:szCs w:val="32"/>
        </w:rPr>
        <w:t>。主要原因是……。</w:t>
      </w:r>
    </w:p>
    <w:p>
      <w:pPr>
        <w:ind w:firstLineChars="200" w:firstLine="640"/>
        <w:rPr>
          <w:rFonts w:ascii="仿宋_GB2312" w:eastAsia="仿宋_GB2312"/>
          <w:b/>
          <w:color w:val="000000"/>
          <w:sz w:val="32"/>
          <w:szCs w:val="32"/>
        </w:rPr>
      </w:pPr>
      <w:r>
        <w:rPr>
          <w:rFonts w:ascii="仿宋_GB2312" w:eastAsia="仿宋_GB2312" w:hint="eastAsia"/>
          <w:b/>
          <w:color w:val="000000"/>
          <w:sz w:val="32"/>
          <w:szCs w:val="32"/>
        </w:rPr>
        <w:t>公务用车购置支出</w:t>
      </w:r>
      <w:r>
        <w:rPr>
          <w:rFonts w:ascii="仿宋_GB2312" w:eastAsia="仿宋_GB2312" w:hint="eastAsia"/>
          <w:color w:val="000000"/>
          <w:sz w:val="32"/>
          <w:szCs w:val="32"/>
        </w:rPr>
        <w:t>零万元。全年按规定更新购置公务用车零辆，其中：轿车零辆、金额零万元，越野车零辆、金额零万元，载客汽车零辆、金额零万元，主要用于…。截至2020年</w:t>
      </w:r>
      <w:r>
        <w:rPr>
          <w:rFonts w:ascii="仿宋_GB2312" w:eastAsia="仿宋_GB2312"/>
          <w:color w:val="000000"/>
          <w:sz w:val="32"/>
          <w:szCs w:val="32"/>
        </w:rPr>
        <w:t>12</w:t>
      </w:r>
      <w:r>
        <w:rPr>
          <w:rFonts w:ascii="仿宋_GB2312" w:eastAsia="仿宋_GB2312" w:hint="eastAsia"/>
          <w:color w:val="000000"/>
          <w:sz w:val="32"/>
          <w:szCs w:val="32"/>
        </w:rPr>
        <w:t>月底，单位共有公务用车零辆，其中：轿车零辆、越野车零辆、载客汽车零辆。</w:t>
      </w:r>
    </w:p>
    <w:p>
      <w:pPr>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零万元。主要用于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pPr>
        <w:ind w:firstLine="640"/>
        <w:rPr>
          <w:rFonts w:ascii="仿宋_GB2312" w:eastAsia="仿宋_GB2312"/>
          <w:b/>
          <w:color w:val="000000"/>
          <w:sz w:val="32"/>
          <w:szCs w:val="32"/>
        </w:rPr>
      </w:pP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减少零万元，增长</w:t>
      </w:r>
      <w:r>
        <w:rPr>
          <w:rFonts w:ascii="仿宋_GB2312" w:eastAsia="仿宋_GB2312"/>
          <w:color w:val="000000"/>
          <w:sz w:val="32"/>
          <w:szCs w:val="32"/>
        </w:rPr>
        <w:t>/</w:t>
      </w:r>
      <w:r>
        <w:rPr>
          <w:rFonts w:ascii="仿宋_GB2312" w:eastAsia="仿宋_GB2312" w:hint="eastAsia"/>
          <w:color w:val="000000"/>
          <w:sz w:val="32"/>
          <w:szCs w:val="32"/>
        </w:rPr>
        <w:t>下降零</w:t>
      </w:r>
      <w:r>
        <w:rPr>
          <w:rFonts w:ascii="仿宋_GB2312" w:eastAsia="仿宋_GB2312"/>
          <w:color w:val="000000"/>
          <w:sz w:val="32"/>
          <w:szCs w:val="32"/>
        </w:rPr>
        <w:t>%</w:t>
      </w:r>
      <w:r>
        <w:rPr>
          <w:rFonts w:ascii="仿宋_GB2312" w:eastAsia="仿宋_GB2312" w:hint="eastAsia"/>
          <w:color w:val="000000"/>
          <w:sz w:val="32"/>
          <w:szCs w:val="32"/>
        </w:rPr>
        <w:t>。主要原因是……。</w:t>
      </w:r>
    </w:p>
    <w:p>
      <w:pPr>
        <w:ind w:firstLineChars="200" w:firstLine="640"/>
        <w:rPr>
          <w:rFonts w:ascii="仿宋_GB2312" w:eastAsia="仿宋_GB2312"/>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4.05元主要用于执行公务、开展业务活动开支的用餐费等。国内公务接待17批次，165人次（不包括陪同人员），共计支出1.48万元，主要用于接待：国家、省、市对我区煤矿安全、危化品、应急抢险等方面检查、业务衔接等开支。公务接待费支出决算比2019年减少2.57万元，</w:t>
      </w:r>
      <w:r>
        <w:rPr>
          <w:rFonts w:ascii="仿宋_GB2312" w:eastAsia="仿宋_GB2312"/>
          <w:color w:val="000000"/>
          <w:sz w:val="32"/>
          <w:szCs w:val="32"/>
        </w:rPr>
        <w:t>/</w:t>
      </w:r>
      <w:r>
        <w:rPr>
          <w:rFonts w:ascii="仿宋_GB2312" w:eastAsia="仿宋_GB2312" w:hint="eastAsia"/>
          <w:color w:val="000000"/>
          <w:sz w:val="32"/>
          <w:szCs w:val="32"/>
        </w:rPr>
        <w:t>减少32.88</w:t>
      </w:r>
      <w:r>
        <w:rPr>
          <w:rFonts w:ascii="仿宋_GB2312" w:eastAsia="仿宋_GB2312"/>
          <w:color w:val="000000"/>
          <w:sz w:val="32"/>
          <w:szCs w:val="32"/>
        </w:rPr>
        <w:t>%</w:t>
      </w:r>
      <w:r>
        <w:rPr>
          <w:rFonts w:ascii="仿宋_GB2312" w:eastAsia="仿宋_GB2312" w:hint="eastAsia"/>
          <w:color w:val="000000"/>
          <w:sz w:val="32"/>
          <w:szCs w:val="32"/>
        </w:rPr>
        <w:t>。主要原因是：2020年</w:t>
      </w:r>
      <w:r>
        <w:rPr>
          <w:rFonts w:ascii="仿宋_GB2312" w:eastAsia="仿宋_GB2312" w:hint="eastAsia"/>
          <w:sz w:val="32"/>
          <w:szCs w:val="32"/>
        </w:rPr>
        <w:t>我局实行严格控制接待范围及标准，不应接待的一律不接待，</w:t>
      </w:r>
      <w:r>
        <w:rPr>
          <w:rFonts w:ascii="仿宋_GB2312" w:eastAsia="仿宋_GB2312" w:hint="eastAsia"/>
          <w:color w:val="000000"/>
          <w:sz w:val="32"/>
          <w:szCs w:val="32"/>
        </w:rPr>
        <w:t>需接待的</w:t>
      </w:r>
      <w:r>
        <w:rPr>
          <w:rFonts w:ascii="仿宋_GB2312" w:eastAsia="仿宋_GB2312" w:hint="eastAsia"/>
          <w:sz w:val="32"/>
          <w:szCs w:val="32"/>
        </w:rPr>
        <w:t>严格控制标准及陪同人员，目前为止我局未超标准、未超范围接待。</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零万元</w:t>
      </w:r>
      <w:r>
        <w:rPr>
          <w:rFonts w:ascii="仿宋_GB2312" w:eastAsia="仿宋_GB2312" w:hint="eastAsia"/>
          <w:color w:val="000000"/>
          <w:sz w:val="32"/>
          <w:szCs w:val="32"/>
          <w14:textFill>
            <w14:solidFill>
              <w14:srgbClr w14:val="000000"/>
            </w14:solidFill>
          </w14:textFill>
        </w:rPr>
        <w:t>，外事接待零批次，零人，共计支出零万元，主要用于接待</w:t>
      </w:r>
      <w:r>
        <w:rPr>
          <w:rFonts w:ascii="仿宋_GB2312" w:eastAsia="仿宋_GB2312"/>
          <w:color w:val="000000"/>
          <w:sz w:val="32"/>
          <w:szCs w:val="32"/>
          <w14:textFill>
            <w14:solidFill>
              <w14:srgbClr w14:val="000000"/>
            </w14:solidFill>
          </w14:textFill>
        </w:rPr>
        <w:t>…</w:t>
      </w:r>
      <w:r>
        <w:rPr>
          <w:rFonts w:ascii="仿宋_GB2312" w:eastAsia="仿宋_GB2312" w:hint="eastAsia"/>
          <w:color w:val="000000"/>
          <w:sz w:val="32"/>
          <w:szCs w:val="32"/>
          <w14:textFill>
            <w14:solidFill>
              <w14:srgbClr w14:val="000000"/>
            </w14:solidFill>
          </w14:textFill>
        </w:rPr>
        <w:t>（具体项目）。主要用于……</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_GB2312" w:eastAsia="仿宋_GB2312" w:hint="eastAsia"/>
          <w:color w:val="000000"/>
          <w:sz w:val="32"/>
          <w:szCs w:val="32"/>
          <w14:textFill>
            <w14:solidFill>
              <w14:srgbClr w14:val="000000"/>
            </w14:solidFill>
          </w14:textFill>
        </w:rPr>
        <w:t>零</w:t>
      </w:r>
      <w:r>
        <w:rPr>
          <w:rFonts w:ascii="仿宋_GB2312" w:eastAsia="仿宋_GB2312" w:hint="eastAsia"/>
          <w:color w:val="000000"/>
          <w:sz w:val="32"/>
          <w:szCs w:val="32"/>
        </w:rPr>
        <w:t>万元，主要用于……</w:t>
      </w:r>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20年政府性基金预算拨款支出</w:t>
      </w:r>
      <w:r>
        <w:rPr>
          <w:rFonts w:ascii="仿宋" w:eastAsia="仿宋" w:hAnsi="仿宋" w:hint="eastAsia"/>
          <w:color w:val="000000"/>
          <w:sz w:val="32"/>
          <w:szCs w:val="32"/>
        </w:rPr>
        <w:t>零</w:t>
      </w:r>
      <w:r>
        <w:rPr>
          <w:rFonts w:ascii="仿宋_GB2312" w:eastAsia="仿宋_GB2312" w:hint="eastAsia"/>
          <w:color w:val="000000"/>
          <w:sz w:val="32"/>
          <w:szCs w:val="32"/>
        </w:rPr>
        <w:t>万元。</w:t>
      </w:r>
    </w:p>
    <w:p>
      <w:pPr>
        <w:numPr>
          <w:ilvl w:val="0"/>
          <w:numId w:val="3"/>
        </w:numPr>
        <w:spacing w:line="600" w:lineRule="exact"/>
        <w:ind w:left="0" w:firstLine="640"/>
        <w:outlineLvl w:val="1"/>
        <w:rPr>
          <w:rStyle w:val="2Char"/>
          <w:rFonts w:ascii="黑体" w:eastAsia="黑体" w:hAnsi="黑体"/>
          <w:b w:val="0"/>
        </w:rPr>
      </w:pPr>
      <w:bookmarkStart w:id="38" w:name="_Toc15396611"/>
      <w:bookmarkStart w:id="39" w:name="_Toc15377219"/>
      <w:r>
        <w:rPr>
          <w:rStyle w:val="2Char"/>
          <w:rFonts w:ascii="黑体" w:eastAsia="黑体" w:hAnsi="黑体" w:hint="eastAsia"/>
        </w:rPr>
        <w:t>国有资本经营预算支出决算情况说明</w:t>
      </w:r>
      <w:bookmarkEnd w:id="38"/>
      <w:bookmarkEnd w:id="3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20年国有资本经营预算拨款支出</w:t>
      </w:r>
      <w:r>
        <w:rPr>
          <w:rFonts w:ascii="仿宋" w:eastAsia="仿宋" w:hAnsi="仿宋" w:hint="eastAsia"/>
          <w:color w:val="000000"/>
          <w:sz w:val="32"/>
          <w:szCs w:val="32"/>
        </w:rPr>
        <w:t>零</w:t>
      </w:r>
      <w:r>
        <w:rPr>
          <w:rFonts w:ascii="仿宋_GB2312" w:eastAsia="仿宋_GB2312" w:hint="eastAsia"/>
          <w:color w:val="000000"/>
          <w:sz w:val="32"/>
          <w:szCs w:val="32"/>
        </w:rPr>
        <w:t>万元。</w:t>
      </w:r>
    </w:p>
    <w:p>
      <w:pPr>
        <w:spacing w:line="600" w:lineRule="exact"/>
        <w:ind w:firstLineChars="250" w:firstLine="800"/>
        <w:outlineLvl w:val="1"/>
        <w:rPr>
          <w:rStyle w:val="2Char"/>
          <w:rFonts w:ascii="黑体" w:eastAsia="黑体" w:hAnsi="黑体"/>
        </w:rPr>
      </w:pPr>
      <w:bookmarkStart w:id="40" w:name="_Toc15377221"/>
      <w:bookmarkStart w:id="41" w:name="_Toc15396612"/>
      <w:r>
        <w:rPr>
          <w:rFonts w:ascii="黑体" w:eastAsia="黑体" w:hAnsi="黑体" w:hint="eastAsia"/>
          <w:color w:val="000000"/>
          <w:sz w:val="32"/>
          <w:szCs w:val="32"/>
        </w:rPr>
        <w:t>十</w:t>
      </w:r>
      <w:r>
        <w:rPr>
          <w:rStyle w:val="2Char"/>
          <w:rFonts w:ascii="黑体" w:eastAsia="黑体" w:hAnsi="黑体" w:hint="eastAsia"/>
        </w:rPr>
        <w:t>、其他重要事项的情况说明</w:t>
      </w:r>
      <w:bookmarkEnd w:id="40"/>
      <w:bookmarkEnd w:id="41"/>
    </w:p>
    <w:p>
      <w:pPr>
        <w:spacing w:line="600" w:lineRule="exact"/>
        <w:ind w:firstLineChars="200" w:firstLine="640"/>
        <w:outlineLvl w:val="2"/>
        <w:rPr>
          <w:rFonts w:ascii="仿宋" w:eastAsia="仿宋" w:hAnsi="仿宋"/>
          <w:color w:val="000000"/>
          <w:sz w:val="32"/>
          <w:szCs w:val="32"/>
        </w:rPr>
      </w:pPr>
      <w:bookmarkStart w:id="42" w:name="_Toc15377222"/>
      <w:r>
        <w:rPr>
          <w:rFonts w:ascii="仿宋" w:eastAsia="仿宋" w:hAnsi="仿宋" w:hint="eastAsia"/>
          <w:b/>
          <w:color w:val="000000"/>
          <w:sz w:val="32"/>
          <w:szCs w:val="32"/>
        </w:rPr>
        <w:t>（一）机关运行经费</w:t>
      </w:r>
      <w:bookmarkEnd w:id="42"/>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color w:val="000000"/>
          <w:sz w:val="32"/>
          <w:szCs w:val="32"/>
        </w:rPr>
        <w:t>20</w:t>
      </w:r>
      <w:r>
        <w:rPr>
          <w:rFonts w:ascii="仿宋_GB2312" w:eastAsia="仿宋_GB2312" w:hint="eastAsia"/>
          <w:color w:val="000000"/>
          <w:sz w:val="32"/>
          <w:szCs w:val="32"/>
        </w:rPr>
        <w:t>20年，应急局机关运行经费支出</w:t>
      </w:r>
      <w:r>
        <w:rPr>
          <w:rFonts w:ascii="仿宋" w:eastAsia="仿宋" w:hAnsi="仿宋" w:hint="eastAsia"/>
          <w:color w:val="000000"/>
          <w:sz w:val="32"/>
          <w:szCs w:val="32"/>
        </w:rPr>
        <w:t>零</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 w:eastAsia="仿宋" w:hAnsi="仿宋" w:hint="eastAsia"/>
          <w:color w:val="000000"/>
          <w:sz w:val="32"/>
          <w:szCs w:val="32"/>
        </w:rPr>
        <w:t>零</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 w:eastAsia="仿宋" w:hAnsi="仿宋" w:hint="eastAsia"/>
          <w:color w:val="000000"/>
          <w:sz w:val="32"/>
          <w:szCs w:val="32"/>
        </w:rPr>
        <w:t>零</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9年决算数持平）。</w:t>
      </w:r>
      <w:r>
        <w:rPr>
          <w:rFonts w:ascii="仿宋_GB2312" w:eastAsia="仿宋_GB2312" w:hint="eastAsia"/>
          <w:color w:val="000000"/>
          <w:sz w:val="32"/>
          <w:szCs w:val="32"/>
          <w14:textFill>
            <w14:solidFill>
              <w14:srgbClr w14:val="000000"/>
            </w14:solidFill>
          </w14:textFill>
        </w:rPr>
        <w:t>主要原因是……</w:t>
      </w: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43" w:name="_Toc15377223"/>
      <w:r>
        <w:rPr>
          <w:rFonts w:ascii="仿宋" w:eastAsia="仿宋" w:hAnsi="仿宋" w:hint="eastAsia"/>
          <w:b/>
          <w:color w:val="000000"/>
          <w:sz w:val="32"/>
          <w:szCs w:val="32"/>
        </w:rPr>
        <w:t>（二）政府采购支出情况</w:t>
      </w:r>
      <w:bookmarkEnd w:id="4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20年，区应急局政府采购支出总额</w:t>
      </w:r>
      <w:r>
        <w:rPr>
          <w:rFonts w:ascii="仿宋" w:eastAsia="仿宋" w:hAnsi="仿宋" w:hint="eastAsia"/>
          <w:color w:val="000000"/>
          <w:sz w:val="32"/>
          <w:szCs w:val="32"/>
        </w:rPr>
        <w:t>零</w:t>
      </w:r>
      <w:r>
        <w:rPr>
          <w:rFonts w:ascii="仿宋_GB2312" w:eastAsia="仿宋_GB2312" w:hint="eastAsia"/>
          <w:color w:val="000000"/>
          <w:sz w:val="32"/>
          <w:szCs w:val="32"/>
        </w:rPr>
        <w:t>万元，其中：政府采购货物支出</w:t>
      </w:r>
      <w:r>
        <w:rPr>
          <w:rFonts w:ascii="仿宋" w:eastAsia="仿宋" w:hAnsi="仿宋" w:hint="eastAsia"/>
          <w:color w:val="000000"/>
          <w:sz w:val="32"/>
          <w:szCs w:val="32"/>
        </w:rPr>
        <w:t>零</w:t>
      </w:r>
      <w:r>
        <w:rPr>
          <w:rFonts w:ascii="仿宋_GB2312" w:eastAsia="仿宋_GB2312" w:hint="eastAsia"/>
          <w:color w:val="000000"/>
          <w:sz w:val="32"/>
          <w:szCs w:val="32"/>
        </w:rPr>
        <w:t>万元、政府采购工程支出</w:t>
      </w:r>
      <w:r>
        <w:rPr>
          <w:rFonts w:ascii="仿宋" w:eastAsia="仿宋" w:hAnsi="仿宋" w:hint="eastAsia"/>
          <w:color w:val="000000"/>
          <w:sz w:val="32"/>
          <w:szCs w:val="32"/>
        </w:rPr>
        <w:t>零</w:t>
      </w:r>
      <w:r>
        <w:rPr>
          <w:rFonts w:ascii="仿宋_GB2312" w:eastAsia="仿宋_GB2312" w:hint="eastAsia"/>
          <w:color w:val="000000"/>
          <w:sz w:val="32"/>
          <w:szCs w:val="32"/>
        </w:rPr>
        <w:t>万元、政府采购服务支出</w:t>
      </w:r>
      <w:r>
        <w:rPr>
          <w:rFonts w:ascii="仿宋" w:eastAsia="仿宋" w:hAnsi="仿宋" w:hint="eastAsia"/>
          <w:color w:val="000000"/>
          <w:sz w:val="32"/>
          <w:szCs w:val="32"/>
        </w:rPr>
        <w:t>零</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 w:eastAsia="仿宋" w:hAnsi="仿宋" w:hint="eastAsia"/>
          <w:color w:val="000000"/>
          <w:sz w:val="32"/>
          <w:szCs w:val="32"/>
        </w:rPr>
        <w:t>零</w:t>
      </w:r>
      <w:r>
        <w:rPr>
          <w:rFonts w:ascii="仿宋_GB2312" w:eastAsia="仿宋_GB2312" w:hint="eastAsia"/>
          <w:color w:val="000000"/>
          <w:sz w:val="32"/>
          <w:szCs w:val="32"/>
        </w:rPr>
        <w:t>万元，占政府采购支出总额的</w:t>
      </w:r>
      <w:r>
        <w:rPr>
          <w:rFonts w:ascii="仿宋" w:eastAsia="仿宋" w:hAnsi="仿宋" w:hint="eastAsia"/>
          <w:color w:val="000000"/>
          <w:sz w:val="32"/>
          <w:szCs w:val="32"/>
        </w:rPr>
        <w:t>零</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 w:eastAsia="仿宋" w:hAnsi="仿宋" w:hint="eastAsia"/>
          <w:color w:val="000000"/>
          <w:sz w:val="32"/>
          <w:szCs w:val="32"/>
        </w:rPr>
        <w:t>零</w:t>
      </w:r>
      <w:r>
        <w:rPr>
          <w:rFonts w:ascii="仿宋_GB2312" w:eastAsia="仿宋_GB2312" w:hint="eastAsia"/>
          <w:color w:val="000000"/>
          <w:sz w:val="32"/>
          <w:szCs w:val="32"/>
        </w:rPr>
        <w:t>万元，占政府采购支出总额的</w:t>
      </w:r>
      <w:r>
        <w:rPr>
          <w:rFonts w:ascii="仿宋" w:eastAsia="仿宋" w:hAnsi="仿宋" w:hint="eastAsia"/>
          <w:color w:val="000000"/>
          <w:sz w:val="32"/>
          <w:szCs w:val="32"/>
        </w:rPr>
        <w:t>零</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Chars="200" w:firstLine="640"/>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44" w:name="_Toc15377224"/>
      <w:r>
        <w:rPr>
          <w:rFonts w:ascii="仿宋" w:eastAsia="仿宋" w:hAnsi="仿宋" w:hint="eastAsia"/>
          <w:b/>
          <w:color w:val="000000"/>
          <w:sz w:val="32"/>
          <w:szCs w:val="32"/>
        </w:rPr>
        <w:t>（三）国有资产占有使用情况</w:t>
      </w:r>
      <w:bookmarkEnd w:id="44"/>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20年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 w:eastAsia="仿宋" w:hAnsi="仿宋" w:hint="eastAsia"/>
          <w:color w:val="000000"/>
          <w:sz w:val="32"/>
          <w:szCs w:val="32"/>
        </w:rPr>
        <w:t>区应急局</w:t>
      </w:r>
      <w:r>
        <w:rPr>
          <w:rFonts w:ascii="仿宋_GB2312" w:eastAsia="仿宋_GB2312" w:hint="eastAsia"/>
          <w:color w:val="000000"/>
          <w:sz w:val="32"/>
          <w:szCs w:val="32"/>
        </w:rPr>
        <w:t>共有车辆</w:t>
      </w:r>
      <w:r>
        <w:rPr>
          <w:rFonts w:ascii="仿宋" w:eastAsia="仿宋" w:hAnsi="仿宋" w:hint="eastAsia"/>
          <w:color w:val="000000"/>
          <w:sz w:val="32"/>
          <w:szCs w:val="32"/>
        </w:rPr>
        <w:t>零</w:t>
      </w:r>
      <w:r>
        <w:rPr>
          <w:rFonts w:ascii="仿宋_GB2312" w:eastAsia="仿宋_GB2312" w:hint="eastAsia"/>
          <w:color w:val="000000"/>
          <w:sz w:val="32"/>
          <w:szCs w:val="32"/>
        </w:rPr>
        <w:t>辆，其中：主要领导干部用车</w:t>
      </w:r>
      <w:r>
        <w:rPr>
          <w:rFonts w:ascii="仿宋" w:eastAsia="仿宋" w:hAnsi="仿宋" w:hint="eastAsia"/>
          <w:color w:val="000000"/>
          <w:sz w:val="32"/>
          <w:szCs w:val="32"/>
        </w:rPr>
        <w:t>零</w:t>
      </w:r>
      <w:r>
        <w:rPr>
          <w:rFonts w:ascii="仿宋_GB2312" w:eastAsia="仿宋_GB2312" w:hint="eastAsia"/>
          <w:color w:val="000000"/>
          <w:sz w:val="32"/>
          <w:szCs w:val="32"/>
        </w:rPr>
        <w:t>辆、机要通信用车</w:t>
      </w:r>
      <w:r>
        <w:rPr>
          <w:rFonts w:ascii="仿宋" w:eastAsia="仿宋" w:hAnsi="仿宋" w:hint="eastAsia"/>
          <w:color w:val="000000"/>
          <w:sz w:val="32"/>
          <w:szCs w:val="32"/>
        </w:rPr>
        <w:t>零</w:t>
      </w:r>
      <w:r>
        <w:rPr>
          <w:rFonts w:ascii="仿宋_GB2312" w:eastAsia="仿宋_GB2312" w:hint="eastAsia"/>
          <w:color w:val="000000"/>
          <w:sz w:val="32"/>
          <w:szCs w:val="32"/>
        </w:rPr>
        <w:t>辆、应急保障用车</w:t>
      </w:r>
      <w:r>
        <w:rPr>
          <w:rFonts w:ascii="仿宋" w:eastAsia="仿宋" w:hAnsi="仿宋" w:hint="eastAsia"/>
          <w:color w:val="000000"/>
          <w:sz w:val="32"/>
          <w:szCs w:val="32"/>
        </w:rPr>
        <w:t>零</w:t>
      </w:r>
      <w:r>
        <w:rPr>
          <w:rFonts w:ascii="仿宋_GB2312" w:eastAsia="仿宋_GB2312" w:hint="eastAsia"/>
          <w:color w:val="000000"/>
          <w:sz w:val="32"/>
          <w:szCs w:val="32"/>
        </w:rPr>
        <w:t>辆、其他用车</w:t>
      </w:r>
      <w:r>
        <w:rPr>
          <w:rFonts w:ascii="仿宋" w:eastAsia="仿宋" w:hAnsi="仿宋" w:hint="eastAsia"/>
          <w:color w:val="000000"/>
          <w:sz w:val="32"/>
          <w:szCs w:val="32"/>
        </w:rPr>
        <w:t>零</w:t>
      </w:r>
      <w:r>
        <w:rPr>
          <w:rFonts w:ascii="仿宋_GB2312" w:eastAsia="仿宋_GB2312" w:hint="eastAsia"/>
          <w:color w:val="000000"/>
          <w:sz w:val="32"/>
          <w:szCs w:val="32"/>
        </w:rPr>
        <w:t>辆……</w:t>
      </w:r>
      <w:r>
        <w:rPr>
          <w:rFonts w:ascii="仿宋_GB2312" w:eastAsia="仿宋_GB2312" w:hint="eastAsia"/>
          <w:color w:val="000000"/>
          <w:sz w:val="32"/>
          <w:szCs w:val="32"/>
          <w14:textFill>
            <w14:solidFill>
              <w14:srgbClr w14:val="000000"/>
            </w14:solidFill>
          </w14:textFill>
        </w:rPr>
        <w:t>其他用车主要是用于……单价</w:t>
      </w:r>
      <w:r>
        <w:rPr>
          <w:rFonts w:ascii="仿宋_GB2312" w:eastAsia="仿宋_GB2312"/>
          <w:color w:val="000000"/>
          <w:sz w:val="32"/>
          <w:szCs w:val="32"/>
          <w14:textFill>
            <w14:solidFill>
              <w14:srgbClr w14:val="000000"/>
            </w14:solidFill>
          </w14:textFill>
        </w:rPr>
        <w:t>50</w:t>
      </w:r>
      <w:r>
        <w:rPr>
          <w:rFonts w:ascii="仿宋_GB2312" w:eastAsia="仿宋_GB2312" w:hint="eastAsia"/>
          <w:color w:val="000000"/>
          <w:sz w:val="32"/>
          <w:szCs w:val="32"/>
          <w14:textFill>
            <w14:solidFill>
              <w14:srgbClr w14:val="000000"/>
            </w14:solidFill>
          </w14:textFill>
        </w:rPr>
        <w:t>万元以上通用设备</w:t>
      </w:r>
      <w:r>
        <w:rPr>
          <w:rFonts w:ascii="仿宋" w:eastAsia="仿宋" w:hAnsi="仿宋" w:hint="eastAsia"/>
          <w:color w:val="000000"/>
          <w:sz w:val="32"/>
          <w:szCs w:val="32"/>
        </w:rPr>
        <w:t>零</w:t>
      </w:r>
      <w:r>
        <w:rPr>
          <w:rFonts w:ascii="仿宋_GB2312" w:eastAsia="仿宋_GB2312" w:hint="eastAsia"/>
          <w:color w:val="000000"/>
          <w:sz w:val="32"/>
          <w:szCs w:val="32"/>
          <w14:textFill>
            <w14:solidFill>
              <w14:srgbClr w14:val="000000"/>
            </w14:solidFill>
          </w14:textFill>
        </w:rPr>
        <w:t>台（套），单价</w:t>
      </w:r>
      <w:r>
        <w:rPr>
          <w:rFonts w:ascii="仿宋_GB2312" w:eastAsia="仿宋_GB2312"/>
          <w:color w:val="000000"/>
          <w:sz w:val="32"/>
          <w:szCs w:val="32"/>
          <w14:textFill>
            <w14:solidFill>
              <w14:srgbClr w14:val="000000"/>
            </w14:solidFill>
          </w14:textFill>
        </w:rPr>
        <w:t>100</w:t>
      </w:r>
      <w:r>
        <w:rPr>
          <w:rFonts w:ascii="仿宋_GB2312" w:eastAsia="仿宋_GB2312" w:hint="eastAsia"/>
          <w:color w:val="000000"/>
          <w:sz w:val="32"/>
          <w:szCs w:val="32"/>
        </w:rPr>
        <w:t>万元以上专用设备</w:t>
      </w:r>
      <w:r>
        <w:rPr>
          <w:rFonts w:ascii="仿宋" w:eastAsia="仿宋" w:hAnsi="仿宋" w:hint="eastAsia"/>
          <w:color w:val="000000"/>
          <w:sz w:val="32"/>
          <w:szCs w:val="32"/>
        </w:rPr>
        <w:t>零</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pPr>
        <w:autoSpaceDE w:val="0"/>
        <w:autoSpaceDN w:val="0"/>
        <w:adjustRightInd w:val="0"/>
        <w:spacing w:line="600" w:lineRule="exact"/>
        <w:ind w:firstLineChars="200" w:firstLine="640"/>
        <w:jc w:val="left"/>
        <w:outlineLvl w:val="2"/>
        <w:rPr>
          <w:rFonts w:ascii="仿宋" w:eastAsia="仿宋" w:hAnsi="仿宋"/>
          <w:sz w:val="32"/>
          <w:szCs w:val="32"/>
        </w:rPr>
      </w:pPr>
      <w:r>
        <w:rPr>
          <w:rFonts w:ascii="宋体" w:eastAsia="宋体" w:cs="宋体" w:hint="eastAsia"/>
          <w:sz w:val="32"/>
          <w:szCs w:val="32"/>
        </w:rPr>
        <w:t>绩效目标是预算编制的前提和基础，按照“费随事定”的原则，2020年广元市利州区应急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br/>
      </w:r>
      <w:r>
        <w:rPr>
          <w:rFonts w:ascii="仿宋" w:eastAsia="仿宋" w:hAnsi="仿宋" w:hint="eastAsia"/>
          <w:sz w:val="32"/>
          <w:szCs w:val="32"/>
        </w:rPr>
        <w:t>1、煤矿安全监管、安全教育项目绩效目标完成情况综述。牢固树立安全发展理念，坚持标本兼治，综合治理，源头管控的原则，从严落实监管主体责任和企业安全生产主体责任，努力建造一支素质高、业务精、作风优的监管执法队伍，为我区煤炭产业安全有序发展奠定良好的基础。项目全年预算数10万元，执行数为10万元，完成预算的100%。通过项目实施，杜绝我区各煤矿无瓦斯、煤尘、顶板、机电、运输、水害、火灾等重大事故的发生，为我区煤矿安全发展奠定扎实的基础。发现的主要问题：预算执行进度不足，受预算支出时间、支出比例等因素影响，在预算执行进度上还无法跟进。下一步改进措施：加强专项资金监管，一是切实加强对项目资金投资方向，使用范围的审核，按规定程序和方式审核拨付资金；二是</w:t>
      </w:r>
      <w:r>
        <w:rPr>
          <w:rFonts w:ascii="仿宋" w:eastAsia="仿宋" w:hAnsi="仿宋" w:hint="eastAsia"/>
          <w:sz w:val="32"/>
          <w:szCs w:val="32"/>
          <w:lang w:eastAsia="zh-CN"/>
        </w:rPr>
        <w:t>建立健全</w:t>
      </w:r>
      <w:r>
        <w:rPr>
          <w:rFonts w:ascii="仿宋" w:eastAsia="仿宋" w:hAnsi="仿宋" w:hint="eastAsia"/>
          <w:sz w:val="32"/>
          <w:szCs w:val="32"/>
        </w:rPr>
        <w:t>单位内部财务管理制度，严格落实项目申报计划，加强资金管理，确保专项资金安全有效；三是加强项目实施过程中的监督审核，建立健全财政专项资金的公开机制，评审机制，跟踪检查机制，确保资金安全高效使用。</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(2020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煤矿安全监管、安全教育</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广元市利州区应急局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无</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2020年完成</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数理指标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技术人员</w:t>
            </w:r>
            <w:r>
              <w:rPr>
                <w:rFonts w:ascii="宋体" w:cs="宋体" w:hAnsi="宋体" w:hint="eastAsia"/>
                <w:sz w:val="24"/>
              </w:rPr>
              <w:t>全区</w:t>
            </w:r>
            <w:r>
              <w:rPr>
                <w:rFonts w:ascii="宋体" w:cs="宋体" w:hAnsi="宋体" w:hint="eastAsia"/>
                <w:color w:val="000000"/>
                <w:sz w:val="24"/>
              </w:rPr>
              <w:t>煤矿执法检查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sz w:val="24"/>
              </w:rPr>
              <w:t>加强</w:t>
            </w:r>
            <w:r>
              <w:rPr>
                <w:rFonts w:ascii="宋体" w:cs="宋体" w:hAnsi="宋体" w:hint="eastAsia"/>
                <w:color w:val="000000"/>
                <w:sz w:val="24"/>
              </w:rPr>
              <w:t>安全生产监督检查每月5人次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完成8人次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全区8家煤矿，监测平台1个</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提升煤矿执法人员基本素质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培养人才造就队伍，加强煤矿安全监管，加强能力建设</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2020.12月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已完成</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人员培训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sz w:val="24"/>
              </w:rPr>
            </w:pPr>
            <w:r>
              <w:rPr>
                <w:rFonts w:ascii="宋体" w:cs="宋体" w:hAnsi="宋体" w:hint="eastAsia"/>
                <w:color w:val="000000"/>
                <w:sz w:val="24"/>
              </w:rPr>
              <w:t>严格要求及参训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达到预期目标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安全技能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杜绝煤矿事故发生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防范重特大事故发生</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公众满意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监管人员技能得到提升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确保矿井安全生产无事故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基本满意</w:t>
            </w:r>
          </w:p>
        </w:tc>
      </w:tr>
    </w:tbl>
    <w:p>
      <w:pPr>
        <w:widowControl/>
        <w:rPr>
          <w:rFonts w:ascii="仿宋" w:eastAsia="仿宋" w:hAnsi="仿宋"/>
          <w:sz w:val="32"/>
          <w:szCs w:val="32"/>
        </w:rPr>
      </w:pPr>
    </w:p>
    <w:p>
      <w:pPr>
        <w:widowControl/>
        <w:rPr>
          <w:rFonts w:ascii="仿宋" w:eastAsia="仿宋" w:hAnsi="仿宋"/>
          <w:sz w:val="32"/>
          <w:szCs w:val="32"/>
        </w:rPr>
      </w:pPr>
      <w:r>
        <w:rPr>
          <w:rFonts w:ascii="仿宋" w:eastAsia="仿宋" w:hAnsi="仿宋" w:hint="eastAsia"/>
          <w:sz w:val="32"/>
          <w:szCs w:val="32"/>
        </w:rPr>
        <w:t>2、其他扶贫项目支出（第一书记工作经费）绩效目标完成情况综述。项目全年预算数1万元，执行数为1万元，完成预算的100%。通过项目实施，保障了第一书记的工作经费，为第一书记的各项工作提供了有力的保障，出色的完成了上级交办的各项任务，并带领全村人民发展产业及集体经济，实现脱贫摘帽。发现的主要问题：无。下一步改进措施：及时并足额的更好的保障第一书记工作经费。</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宋体" w:cs="宋体" w:hAnsi="宋体" w:hint="eastAsia"/>
                <w:b/>
                <w:bCs/>
                <w:color w:val="000000"/>
                <w:kern w:val="0"/>
                <w:sz w:val="36"/>
                <w:szCs w:val="36"/>
              </w:rPr>
              <w:br/>
            </w:r>
            <w:r>
              <w:rPr>
                <w:rFonts w:ascii="宋体" w:cs="宋体" w:hAnsi="宋体" w:hint="eastAsia"/>
                <w:color w:val="000000"/>
                <w:kern w:val="0"/>
                <w:sz w:val="36"/>
                <w:szCs w:val="36"/>
              </w:rPr>
              <w:t>(2020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其他扶贫支出（第一书记工作经费）项目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利州区应急管理局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无</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第一是持续做好阻击返贫工作。第二是持续做好核桃、木耳、前胡、茯苓以及农副产品等销售工作。第三是持续加大生态猪等种养殖，壮大集体经济收入。第四是加强核桃冬季管护。第五是持续常态化的开展政策宣传。第六是持续开展好“帮扶活动周”工作。第七是持续常态化开展安全教育等工作。</w:t>
            </w:r>
          </w:p>
          <w:p>
            <w:pPr>
              <w:widowControl/>
              <w:jc w:val="center"/>
              <w:textAlignment w:val="center"/>
              <w:rPr>
                <w:rFonts w:ascii="宋体" w:cs="宋体" w:hAnsi="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rPr>
            </w:pPr>
            <w:r>
              <w:rPr>
                <w:rFonts w:ascii="宋体" w:cs="宋体" w:hAnsi="宋体" w:hint="eastAsia"/>
                <w:color w:val="000000"/>
                <w:sz w:val="24"/>
              </w:rPr>
              <w:t>规范基层组织建设工程方面，对村委会阵地进行修整。做深做细群众政策宣传工作。基层工作，宣传为重，全年召开学习</w:t>
            </w:r>
            <w:r>
              <w:rPr>
                <w:rFonts w:ascii="宋体" w:cs="宋体" w:hAnsi="宋体" w:hint="eastAsia"/>
                <w:color w:val="000000"/>
                <w:sz w:val="24"/>
                <w:lang w:eastAsia="zh-CN"/>
              </w:rPr>
              <w:t>习近平</w:t>
            </w:r>
            <w:r>
              <w:rPr>
                <w:rFonts w:ascii="宋体" w:cs="宋体" w:hAnsi="宋体" w:hint="eastAsia"/>
                <w:color w:val="000000"/>
                <w:sz w:val="24"/>
              </w:rPr>
              <w:t>总书记来川讲话精神、防汛减灾、扫黑除恶、市委七届七次全会精神、区委八届六次全会精神、</w:t>
            </w:r>
          </w:p>
          <w:p>
            <w:pPr>
              <w:widowControl/>
              <w:jc w:val="center"/>
              <w:textAlignment w:val="center"/>
              <w:rPr>
                <w:rFonts w:ascii="宋体" w:cs="宋体" w:hAnsi="宋体"/>
                <w:color w:val="000000"/>
                <w:sz w:val="24"/>
              </w:rPr>
            </w:pPr>
            <w:r>
              <w:rPr>
                <w:rFonts w:ascii="宋体" w:cs="宋体" w:hAnsi="宋体" w:hint="eastAsia"/>
                <w:color w:val="000000"/>
                <w:sz w:val="24"/>
                <w:lang w:eastAsia="zh-CN"/>
              </w:rPr>
              <w:t>“</w:t>
            </w:r>
            <w:r>
              <w:rPr>
                <w:rFonts w:ascii="宋体" w:cs="宋体" w:hAnsi="宋体" w:hint="eastAsia"/>
                <w:color w:val="000000"/>
                <w:sz w:val="24"/>
              </w:rPr>
              <w:t>三会一课</w:t>
            </w:r>
            <w:r>
              <w:rPr>
                <w:rFonts w:ascii="宋体" w:cs="宋体" w:hAnsi="宋体" w:hint="eastAsia"/>
                <w:color w:val="000000"/>
                <w:sz w:val="24"/>
                <w:lang w:eastAsia="zh-CN"/>
              </w:rPr>
              <w:t>”</w:t>
            </w:r>
            <w:r>
              <w:rPr>
                <w:rFonts w:ascii="宋体" w:cs="宋体" w:hAnsi="宋体" w:hint="eastAsia"/>
                <w:color w:val="000000"/>
                <w:sz w:val="24"/>
              </w:rPr>
              <w:t>、农民夜校等各类大小会议56余次,与村组干部谈心谈话20人次。组织区安监局党支部与村党支部党员共建联建活动。节日组织帮扶干部到村并慰问脱贫户和非脱贫户2次。加强惠民政策落实，不断提升满意度。落实国家各项支农惠农政策，粮食直补、退耕还林补贴、公益林补贴、新农合、五保、低保、残疾、养老、临时救助等转移性收入工作落实到位。</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贫困村及非贫困村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1.脱贫户产业就业技术培训2.加强惠民政策落实，不断提升满意度.3.积极发展集体经济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为民代办事项126件次；查看项目41余次，走访贫困户累计43户，183人次，走访非贫困户102户，140人次；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textAlignment w:val="center"/>
              <w:rPr>
                <w:rFonts w:ascii="宋体" w:cs="宋体" w:hAnsi="宋体"/>
                <w:color w:val="000000"/>
                <w:sz w:val="24"/>
              </w:rPr>
            </w:pPr>
            <w:r>
              <w:rPr>
                <w:rFonts w:ascii="宋体" w:cs="宋体" w:hAnsi="宋体" w:hint="eastAsia"/>
                <w:color w:val="000000"/>
                <w:sz w:val="24"/>
              </w:rPr>
              <w:t>2020年全年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2020年全年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已达到预期目标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经济效益</w:t>
              <w:br/>
              <w:t>指标</w:t>
            </w:r>
          </w:p>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村集体发展经济项目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带领全村群众发展产业、集体经济等，脱贫致富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人均收入达到脱贫的要求</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全村贫困户已脱贫</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实施帮扶计划，让最贫困的群众最先得到最有力的帮扶，并且一帮到底，力求实效，既“输血”送“真金”解燃眉之急，又送“真经”帮其恢复“造血”功能。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群众脱贫奔小康</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白朝村、岩窝村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让全村人民过上好日子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已达到预期目标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全部脱贫，幸福感指标上升。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w:t>
            </w:r>
          </w:p>
        </w:tc>
      </w:tr>
    </w:tbl>
    <w:p>
      <w:pPr>
        <w:spacing w:line="580" w:lineRule="exact"/>
        <w:rPr>
          <w:rFonts w:ascii="黑体" w:eastAsia="黑体" w:cs="宋体" w:hAnsi="黑体"/>
          <w:bCs/>
          <w:color w:val="000000"/>
          <w:kern w:val="0"/>
          <w:sz w:val="36"/>
          <w:szCs w:val="36"/>
        </w:rPr>
      </w:pPr>
    </w:p>
    <w:p>
      <w:pPr>
        <w:widowControl/>
        <w:ind w:firstLineChars="200" w:firstLine="640"/>
        <w:rPr>
          <w:rFonts w:ascii="仿宋" w:eastAsia="仿宋" w:hAnsi="仿宋"/>
          <w:sz w:val="32"/>
          <w:szCs w:val="32"/>
        </w:rPr>
      </w:pPr>
      <w:r>
        <w:rPr>
          <w:rFonts w:ascii="仿宋" w:eastAsia="仿宋" w:hAnsi="仿宋" w:hint="eastAsia"/>
          <w:sz w:val="32"/>
          <w:szCs w:val="32"/>
        </w:rPr>
        <w:t>3、安全监察监管资金项目绩效目标完成情况综述。坚持安全发展理念和“生命至上、安全第一”的思想，以防范遏制重特大事故为目标，以安全生产双重预防控制体系建设为抓手，大力推进安全风险防控、隐患排查治理和基础能力建设，确保全区安全生产形势持续稳定。安全监察监管项目全年预算数57万元，执行数为57万元，完成预算的100%。全年开展安全生产检查150余人次，开展“三月警示月”活动及“六月安全生产月”活动各</w:t>
      </w:r>
      <w:r>
        <w:rPr>
          <w:rFonts w:ascii="仿宋" w:eastAsia="仿宋" w:hAnsi="仿宋"/>
          <w:sz w:val="32"/>
          <w:szCs w:val="32"/>
        </w:rPr>
        <w:t>1</w:t>
      </w:r>
      <w:r>
        <w:rPr>
          <w:rFonts w:ascii="仿宋" w:eastAsia="仿宋" w:hAnsi="仿宋" w:hint="eastAsia"/>
          <w:sz w:val="32"/>
          <w:szCs w:val="32"/>
        </w:rPr>
        <w:t>次，发动安全生产宣传270人次，</w:t>
      </w:r>
      <w:r>
        <w:rPr>
          <w:rFonts w:ascii="仿宋" w:eastAsia="仿宋" w:hAnsi="仿宋"/>
          <w:sz w:val="32"/>
          <w:szCs w:val="32"/>
        </w:rPr>
        <w:t>3.</w:t>
      </w:r>
      <w:r>
        <w:rPr>
          <w:rFonts w:ascii="仿宋" w:eastAsia="仿宋" w:hAnsi="仿宋" w:hint="eastAsia"/>
          <w:sz w:val="32"/>
          <w:szCs w:val="32"/>
        </w:rPr>
        <w:t>配合省市检查安全35余次，赴省局参加培训</w:t>
      </w:r>
      <w:r>
        <w:rPr>
          <w:rFonts w:ascii="仿宋" w:eastAsia="仿宋" w:hAnsi="仿宋"/>
          <w:sz w:val="32"/>
          <w:szCs w:val="32"/>
        </w:rPr>
        <w:t>50</w:t>
      </w:r>
      <w:r>
        <w:rPr>
          <w:rFonts w:ascii="仿宋" w:eastAsia="仿宋" w:hAnsi="仿宋" w:hint="eastAsia"/>
          <w:sz w:val="32"/>
          <w:szCs w:val="32"/>
        </w:rPr>
        <w:t>余人次。</w:t>
      </w:r>
      <w:r>
        <w:rPr>
          <w:rFonts w:ascii="仿宋" w:eastAsia="仿宋" w:hAnsi="仿宋"/>
          <w:sz w:val="32"/>
          <w:szCs w:val="32"/>
        </w:rPr>
        <w:t>4.</w:t>
      </w:r>
      <w:r>
        <w:rPr>
          <w:rFonts w:ascii="仿宋" w:eastAsia="仿宋" w:hAnsi="仿宋" w:hint="eastAsia"/>
          <w:sz w:val="32"/>
          <w:szCs w:val="32"/>
        </w:rPr>
        <w:t>开展</w:t>
      </w:r>
      <w:r>
        <w:rPr>
          <w:rFonts w:ascii="仿宋" w:eastAsia="仿宋" w:hAnsi="仿宋"/>
          <w:sz w:val="32"/>
          <w:szCs w:val="32"/>
        </w:rPr>
        <w:t>1100</w:t>
      </w:r>
      <w:r>
        <w:rPr>
          <w:rFonts w:ascii="仿宋" w:eastAsia="仿宋" w:hAnsi="仿宋" w:hint="eastAsia"/>
          <w:sz w:val="32"/>
          <w:szCs w:val="32"/>
        </w:rPr>
        <w:t>家企业双重预防体系建设。下一步改进措施：加强专项资金监管，切实加强对项目资金投资方向，使用范围的审核，按规定程序和方式审核拨付资金；</w:t>
      </w:r>
    </w:p>
    <w:tbl>
      <w:tblPr>
        <w:tblpPr w:leftFromText="180" w:rightFromText="180" w:vertAnchor="text" w:horzAnchor="page" w:tblpXSpec="center" w:tblpY="423"/>
        <w:tblOverlap w:val="never"/>
        <w:tblW w:w="99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412"/>
      </w:tblGrid>
      <w:tr>
        <w:trPr>
          <w:trHeight w:val="1034"/>
        </w:trPr>
        <w:tc>
          <w:tcPr>
            <w:tcW w:w="9980" w:type="dxa"/>
            <w:gridSpan w:val="6"/>
            <w:tcMar>
              <w:top w:w="15" w:type="dxa"/>
              <w:left w:w="15" w:type="dxa"/>
              <w:right w:w="15" w:type="dxa"/>
            </w:tcMar>
            <w:vAlign w:val="center"/>
          </w:tcPr>
          <w:p>
            <w:pPr>
              <w:pStyle w:val="28"/>
              <w:widowControl/>
              <w:ind w:leftChars="1310" w:left="4173" w:hangingChars="395" w:hanging="1422"/>
              <w:textAlignment w:val="center"/>
              <w:rPr>
                <w:rFonts w:ascii="宋体" w:cs="宋体"/>
                <w:color w:val="000000"/>
                <w:sz w:val="36"/>
                <w:szCs w:val="36"/>
              </w:rPr>
            </w:pPr>
            <w:r>
              <w:rPr>
                <w:rFonts w:ascii="黑体" w:eastAsia="黑体" w:cs="宋体" w:hAnsi="黑体" w:hint="eastAsia"/>
                <w:bCs/>
                <w:color w:val="000000"/>
                <w:kern w:val="0"/>
                <w:sz w:val="36"/>
                <w:szCs w:val="36"/>
              </w:rPr>
              <w:t>支出绩效项目目标完成情况表</w:t>
            </w:r>
            <w:r>
              <w:rPr>
                <w:rFonts w:ascii="宋体" w:cs="宋体"/>
                <w:b/>
                <w:bCs/>
                <w:color w:val="000000"/>
                <w:kern w:val="0"/>
                <w:sz w:val="36"/>
                <w:szCs w:val="36"/>
              </w:rPr>
              <w:br/>
            </w:r>
            <w:r>
              <w:rPr>
                <w:rFonts w:ascii="宋体" w:cs="宋体" w:hAnsi="宋体"/>
                <w:color w:val="000000"/>
                <w:kern w:val="0"/>
                <w:sz w:val="36"/>
                <w:szCs w:val="36"/>
              </w:rPr>
              <w:t>(2</w:t>
            </w:r>
            <w:r>
              <w:rPr>
                <w:rFonts w:ascii="宋体" w:cs="宋体" w:hAnsi="宋体" w:hint="eastAsia"/>
                <w:color w:val="000000"/>
                <w:kern w:val="0"/>
                <w:sz w:val="36"/>
                <w:szCs w:val="36"/>
              </w:rPr>
              <w:t>020年度</w:t>
            </w:r>
            <w:r>
              <w:rPr>
                <w:rFonts w:ascii="宋体" w:cs="宋体" w:hAnsi="宋体"/>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项目名称</w:t>
            </w:r>
          </w:p>
        </w:tc>
        <w:tc>
          <w:tcPr>
            <w:tcW w:w="71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安全监管监察专项项目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预算单位</w:t>
            </w:r>
          </w:p>
        </w:tc>
        <w:tc>
          <w:tcPr>
            <w:tcW w:w="719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利州区应急管理局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预算执行情况</w:t>
            </w:r>
            <w:r>
              <w:rPr>
                <w:rFonts w:ascii="宋体" w:cs="宋体" w:hAnsi="宋体"/>
                <w:color w:val="000000"/>
                <w:kern w:val="0"/>
                <w:sz w:val="24"/>
              </w:rPr>
              <w:t>(</w:t>
            </w:r>
            <w:r>
              <w:rPr>
                <w:rFonts w:ascii="宋体" w:cs="宋体" w:hAnsi="宋体" w:hint="eastAsia"/>
                <w:color w:val="000000"/>
                <w:kern w:val="0"/>
                <w:sz w:val="24"/>
              </w:rPr>
              <w:t>万元</w:t>
            </w:r>
            <w:r>
              <w:rPr>
                <w:rFonts w:ascii="宋体" w:cs="宋体" w:hAnsi="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预算数</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57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执行数</w:t>
            </w:r>
            <w:r>
              <w:rPr>
                <w:rFonts w:ascii="宋体" w:cs="宋体" w:hAnsi="宋体"/>
                <w:color w:val="000000"/>
                <w:kern w:val="0"/>
                <w:sz w:val="24"/>
              </w:rPr>
              <w:t>:</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57</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其中</w:t>
            </w:r>
            <w:r>
              <w:rPr>
                <w:rFonts w:ascii="宋体" w:cs="宋体"/>
                <w:color w:val="000000"/>
                <w:kern w:val="0"/>
                <w:sz w:val="24"/>
              </w:rPr>
              <w:t>-</w:t>
            </w:r>
            <w:r>
              <w:rPr>
                <w:rFonts w:ascii="宋体" w:cs="宋体" w:hAnsi="宋体" w:hint="eastAsia"/>
                <w:color w:val="000000"/>
                <w:kern w:val="0"/>
                <w:sz w:val="24"/>
              </w:rPr>
              <w:t>财政拨款</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57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其中</w:t>
            </w:r>
            <w:r>
              <w:rPr>
                <w:rFonts w:ascii="宋体" w:cs="宋体"/>
                <w:color w:val="000000"/>
                <w:kern w:val="0"/>
                <w:sz w:val="24"/>
              </w:rPr>
              <w:t>-</w:t>
            </w:r>
            <w:r>
              <w:rPr>
                <w:rFonts w:ascii="宋体" w:cs="宋体" w:hAnsi="宋体" w:hint="eastAsia"/>
                <w:color w:val="000000"/>
                <w:kern w:val="0"/>
                <w:sz w:val="24"/>
              </w:rPr>
              <w:t>财政拨款</w:t>
            </w:r>
            <w:r>
              <w:rPr>
                <w:rFonts w:ascii="宋体" w:cs="宋体" w:hAnsi="宋体"/>
                <w:color w:val="000000"/>
                <w:kern w:val="0"/>
                <w:sz w:val="24"/>
              </w:rPr>
              <w:t>:</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57</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其它资金</w:t>
            </w:r>
            <w:r>
              <w:rPr>
                <w:rFonts w:ascii="宋体" w:cs="宋体" w:hAnsi="宋体"/>
                <w:color w:val="000000"/>
                <w:kern w:val="0"/>
                <w:sz w:val="24"/>
              </w:rPr>
              <w:t>:</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预期目标</w:t>
            </w:r>
          </w:p>
        </w:tc>
        <w:tc>
          <w:tcPr>
            <w:tcW w:w="4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坚持安全发展理念和“生命至上、安全第一”的思想，以防范遏制重特大事故为目标，以安全生产双重预防控制体系建设为抓手，大力推进安全风险防控、隐患排查治理和基础能力建设，确保全区安全生产形势持续稳定。</w:t>
            </w:r>
          </w:p>
        </w:tc>
        <w:tc>
          <w:tcPr>
            <w:tcW w:w="4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有效遏制和减少安全生产事故发生，保障了综合监督管理和指导协调，非煤矿山、危险化学品、烟花爆竹三大行业以及冶金、有色、建材、机械、轻工、纺织、烟草、商贸等八大无安全生产行业主管领域和作业场所职业安全健康实施监督管理。</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预期指标值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实际完成指标值</w:t>
            </w:r>
            <w:r>
              <w:rPr>
                <w:rFonts w:ascii="宋体" w:cs="宋体" w:hAnsi="宋体"/>
                <w:color w:val="000000"/>
                <w:kern w:val="0"/>
                <w:sz w:val="24"/>
              </w:rPr>
              <w:t>(</w:t>
            </w:r>
            <w:r>
              <w:rPr>
                <w:rFonts w:ascii="宋体" w:cs="宋体" w:hAnsi="宋体" w:hint="eastAsia"/>
                <w:color w:val="000000"/>
                <w:kern w:val="0"/>
                <w:sz w:val="24"/>
              </w:rPr>
              <w:t>包含数字及文字描述</w:t>
            </w:r>
            <w:r>
              <w:rPr>
                <w:rFonts w:ascii="宋体" w:cs="宋体" w:hAnsi="宋体"/>
                <w:color w:val="000000"/>
                <w:kern w:val="0"/>
                <w:sz w:val="24"/>
              </w:rPr>
              <w:t>)</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每年二个季度开展安全月宣传工作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w:t>
            </w:r>
            <w:r>
              <w:rPr>
                <w:rFonts w:ascii="宋体" w:cs="宋体" w:hAnsi="宋体" w:hint="eastAsia"/>
                <w:color w:val="000000"/>
                <w:sz w:val="24"/>
              </w:rPr>
              <w:t>全年开展安全生产检查150余人次</w:t>
            </w:r>
            <w:r>
              <w:rPr>
                <w:rFonts w:ascii="宋体" w:cs="宋体" w:hAnsi="宋体"/>
                <w:color w:val="000000"/>
                <w:sz w:val="24"/>
              </w:rPr>
              <w:t>2.</w:t>
            </w:r>
            <w:r>
              <w:rPr>
                <w:rFonts w:ascii="宋体" w:cs="宋体" w:hAnsi="宋体" w:hint="eastAsia"/>
                <w:color w:val="000000"/>
                <w:sz w:val="24"/>
              </w:rPr>
              <w:t>开展“三月警示月”活动及“六月安全生产月”活动各</w:t>
            </w:r>
            <w:r>
              <w:rPr>
                <w:rFonts w:ascii="宋体" w:cs="宋体" w:hAnsi="宋体"/>
                <w:color w:val="000000"/>
                <w:sz w:val="24"/>
              </w:rPr>
              <w:t>1</w:t>
            </w:r>
            <w:r>
              <w:rPr>
                <w:rFonts w:ascii="宋体" w:cs="宋体" w:hAnsi="宋体" w:hint="eastAsia"/>
                <w:color w:val="000000"/>
                <w:sz w:val="24"/>
              </w:rPr>
              <w:t>次，发动安全生产宣传270人次，</w:t>
            </w:r>
            <w:r>
              <w:rPr>
                <w:rFonts w:ascii="宋体" w:cs="宋体" w:hAnsi="宋体"/>
                <w:color w:val="000000"/>
                <w:sz w:val="24"/>
              </w:rPr>
              <w:t>3.</w:t>
            </w:r>
            <w:r>
              <w:rPr>
                <w:rFonts w:ascii="宋体" w:cs="宋体" w:hAnsi="宋体" w:hint="eastAsia"/>
                <w:color w:val="000000"/>
                <w:sz w:val="24"/>
              </w:rPr>
              <w:t>配合省市检查安全35余次，赴省局参加培训</w:t>
            </w:r>
            <w:r>
              <w:rPr>
                <w:rFonts w:ascii="宋体" w:cs="宋体" w:hAnsi="宋体"/>
                <w:color w:val="000000"/>
                <w:sz w:val="24"/>
              </w:rPr>
              <w:t>50</w:t>
            </w:r>
            <w:r>
              <w:rPr>
                <w:rFonts w:ascii="宋体" w:cs="宋体" w:hAnsi="宋体" w:hint="eastAsia"/>
                <w:color w:val="000000"/>
                <w:sz w:val="24"/>
              </w:rPr>
              <w:t>余人次。</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w:t>
            </w:r>
            <w:r>
              <w:rPr>
                <w:rFonts w:ascii="宋体" w:cs="宋体" w:hAnsi="宋体" w:hint="eastAsia"/>
                <w:color w:val="000000"/>
                <w:sz w:val="24"/>
              </w:rPr>
              <w:t>全年开展安全生产检查150余人次</w:t>
            </w:r>
            <w:r>
              <w:rPr>
                <w:rFonts w:ascii="宋体" w:cs="宋体" w:hAnsi="宋体"/>
                <w:color w:val="000000"/>
                <w:sz w:val="24"/>
              </w:rPr>
              <w:t>2.</w:t>
            </w:r>
            <w:r>
              <w:rPr>
                <w:rFonts w:ascii="宋体" w:cs="宋体" w:hAnsi="宋体" w:hint="eastAsia"/>
                <w:color w:val="000000"/>
                <w:sz w:val="24"/>
              </w:rPr>
              <w:t>开展“三月警示月”活动及“六月安全生产月”活动各</w:t>
            </w:r>
            <w:r>
              <w:rPr>
                <w:rFonts w:ascii="宋体" w:cs="宋体" w:hAnsi="宋体"/>
                <w:color w:val="000000"/>
                <w:sz w:val="24"/>
              </w:rPr>
              <w:t>1</w:t>
            </w:r>
            <w:r>
              <w:rPr>
                <w:rFonts w:ascii="宋体" w:cs="宋体" w:hAnsi="宋体" w:hint="eastAsia"/>
                <w:color w:val="000000"/>
                <w:sz w:val="24"/>
              </w:rPr>
              <w:t>次，发动安全生产宣传270人次，</w:t>
            </w:r>
            <w:r>
              <w:rPr>
                <w:rFonts w:ascii="宋体" w:cs="宋体" w:hAnsi="宋体"/>
                <w:color w:val="000000"/>
                <w:sz w:val="24"/>
              </w:rPr>
              <w:t>3.</w:t>
            </w:r>
            <w:r>
              <w:rPr>
                <w:rFonts w:ascii="宋体" w:cs="宋体" w:hAnsi="宋体" w:hint="eastAsia"/>
                <w:color w:val="000000"/>
                <w:sz w:val="24"/>
              </w:rPr>
              <w:t>配合省市检查安全35余次，赴省局参加培训</w:t>
            </w:r>
            <w:r>
              <w:rPr>
                <w:rFonts w:ascii="宋体" w:cs="宋体" w:hAnsi="宋体"/>
                <w:color w:val="000000"/>
                <w:sz w:val="24"/>
              </w:rPr>
              <w:t>50</w:t>
            </w:r>
            <w:r>
              <w:rPr>
                <w:rFonts w:ascii="宋体" w:cs="宋体" w:hAnsi="宋体" w:hint="eastAsia"/>
                <w:color w:val="000000"/>
                <w:sz w:val="24"/>
              </w:rPr>
              <w:t>余人次。</w:t>
            </w:r>
            <w:r>
              <w:rPr>
                <w:rFonts w:ascii="宋体" w:cs="宋体" w:hAnsi="宋体"/>
                <w:color w:val="000000"/>
                <w:sz w:val="24"/>
              </w:rPr>
              <w:t>4.</w:t>
            </w:r>
            <w:r>
              <w:rPr>
                <w:rFonts w:ascii="宋体" w:cs="宋体" w:hAnsi="宋体" w:hint="eastAsia"/>
                <w:color w:val="000000"/>
                <w:sz w:val="24"/>
              </w:rPr>
              <w:t>开展企业双重预防体系建设</w:t>
            </w:r>
            <w:r>
              <w:rPr>
                <w:rFonts w:ascii="宋体" w:cs="宋体" w:hAnsi="宋体"/>
                <w:color w:val="000000"/>
                <w:sz w:val="24"/>
              </w:rPr>
              <w:t>108</w:t>
            </w:r>
            <w:r>
              <w:rPr>
                <w:rFonts w:ascii="宋体" w:cs="宋体" w:hAnsi="宋体" w:hint="eastAsia"/>
                <w:color w:val="000000"/>
                <w:sz w:val="24"/>
              </w:rPr>
              <w:t>家。</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按照时间节点完成各项工作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100%</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ind w:firstLineChars="200" w:firstLine="480"/>
              <w:textAlignment w:val="center"/>
              <w:rPr>
                <w:rFonts w:ascii="宋体" w:cs="宋体"/>
                <w:color w:val="000000"/>
                <w:sz w:val="24"/>
              </w:rPr>
            </w:pPr>
            <w:r>
              <w:rPr>
                <w:rFonts w:ascii="宋体" w:cs="宋体" w:hAnsi="宋体" w:hint="eastAsia"/>
                <w:color w:val="000000"/>
                <w:sz w:val="24"/>
              </w:rPr>
              <w:t>完成时限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20</w:t>
            </w:r>
            <w:r>
              <w:rPr>
                <w:rFonts w:ascii="宋体" w:cs="宋体" w:hAnsi="宋体" w:hint="eastAsia"/>
                <w:color w:val="000000"/>
                <w:sz w:val="24"/>
              </w:rPr>
              <w:t>20年全年</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color w:val="000000"/>
                <w:sz w:val="24"/>
              </w:rPr>
              <w:t>20</w:t>
            </w:r>
            <w:r>
              <w:rPr>
                <w:rFonts w:ascii="宋体" w:cs="宋体" w:hAnsi="宋体" w:hint="eastAsia"/>
                <w:color w:val="000000"/>
                <w:sz w:val="24"/>
              </w:rPr>
              <w:t>20年全年</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sz w:val="24"/>
              </w:rPr>
            </w:pPr>
            <w:r>
              <w:rPr>
                <w:rFonts w:hint="eastAsia"/>
              </w:rPr>
              <w:t>经济效益</w:t>
            </w:r>
            <w:r>
              <w:br/>
            </w:r>
            <w:r>
              <w:rPr>
                <w:rFonts w:hint="eastAsia"/>
              </w:rPr>
              <w:t>指标</w:t>
            </w:r>
          </w:p>
          <w:p>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highlight w:val="yellow"/>
              </w:rPr>
            </w:pPr>
            <w:r>
              <w:rPr>
                <w:rFonts w:ascii="宋体" w:cs="宋体" w:hint="eastAsia"/>
                <w:color w:val="000000"/>
                <w:sz w:val="24"/>
              </w:rPr>
              <w:t>减少安全事故发生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确保全区安全生产形势稳定，保障群众生命财产安全</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遏制了重特大事故的发生，保障了人民群众的生命财产安全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社会效益</w:t>
            </w:r>
          </w:p>
          <w:p>
            <w:pPr>
              <w:widowControl/>
              <w:jc w:val="center"/>
              <w:textAlignment w:val="center"/>
              <w:rPr>
                <w:rFonts w:ascii="宋体" w:cs="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highlight w:val="yellow"/>
              </w:rPr>
            </w:pPr>
            <w:r>
              <w:rPr>
                <w:rFonts w:ascii="宋体" w:cs="宋体" w:hint="eastAsia"/>
                <w:color w:val="000000"/>
                <w:sz w:val="24"/>
              </w:rPr>
              <w:t>宣传安全生产知识，提高安全防范意识。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进一步提高企业安全生产管理水平和企业安全能力。</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安全生产促进经济效益的提高、企业的发展，经济效益的提高增加了安全防范设施投入，进一步确保安全生产。</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可持续影响</w:t>
            </w:r>
          </w:p>
          <w:p>
            <w:pPr>
              <w:widowControl/>
              <w:jc w:val="center"/>
              <w:textAlignment w:val="center"/>
              <w:rPr>
                <w:rFonts w:ascii="宋体" w:cs="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highlight w:val="yellow"/>
              </w:rPr>
            </w:pPr>
            <w:r>
              <w:rPr>
                <w:rFonts w:ascii="宋体" w:cs="宋体" w:hint="eastAsia"/>
                <w:color w:val="000000"/>
                <w:sz w:val="24"/>
              </w:rPr>
              <w:t>取得较好的社会效益和公众及服务对象满意度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highlight w:val="yellow"/>
              </w:rPr>
            </w:pPr>
            <w:r>
              <w:rPr>
                <w:rFonts w:ascii="宋体" w:cs="宋体" w:hAnsi="宋体" w:hint="eastAsia"/>
                <w:color w:val="000000"/>
                <w:sz w:val="24"/>
              </w:rPr>
              <w:t>在全社会普及安全生产与可持续发展知识，充分发挥各类媒体的宣传作用，形成“关爱生命、关注安全”的舆论氛围，提高全民安全生产与可持续发展意识。</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highlight w:val="yellow"/>
              </w:rPr>
            </w:pPr>
            <w:r>
              <w:rPr>
                <w:rFonts w:ascii="宋体" w:cs="宋体" w:hAnsi="宋体" w:hint="eastAsia"/>
                <w:color w:val="000000"/>
                <w:sz w:val="24"/>
              </w:rPr>
              <w:t>通过“三月警示月”与“六月安全生产月”活动的发动宣传，普及了群众的安全生产知识，增加了各类安全防范意识。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保障社会稳定及群众生命财产安全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w:t>
            </w:r>
            <w:r>
              <w:rPr>
                <w:rFonts w:ascii="宋体" w:cs="宋体" w:hAnsi="宋体"/>
                <w:color w:val="000000"/>
                <w:sz w:val="24"/>
              </w:rPr>
              <w:t>100%</w:t>
            </w:r>
          </w:p>
        </w:tc>
        <w:tc>
          <w:tcPr>
            <w:tcW w:w="2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w:t>
            </w:r>
            <w:r>
              <w:rPr>
                <w:rFonts w:ascii="宋体" w:cs="宋体" w:hAnsi="宋体"/>
                <w:color w:val="000000"/>
                <w:sz w:val="24"/>
              </w:rPr>
              <w:t>100%</w:t>
            </w:r>
          </w:p>
        </w:tc>
      </w:tr>
    </w:tbl>
    <w:p>
      <w:pPr>
        <w:ind w:firstLineChars="200" w:firstLine="640"/>
        <w:jc w:val="left"/>
        <w:rPr>
          <w:rFonts w:ascii="仿宋" w:eastAsia="仿宋" w:hAnsi="仿宋"/>
          <w:sz w:val="32"/>
          <w:szCs w:val="32"/>
        </w:rPr>
      </w:pPr>
      <w:r>
        <w:rPr>
          <w:rFonts w:ascii="仿宋" w:eastAsia="仿宋" w:hAnsi="仿宋" w:hint="eastAsia"/>
          <w:sz w:val="32"/>
          <w:szCs w:val="32"/>
        </w:rPr>
        <w:t>4、区域自动气象站维护及天气预报播出资金项目绩效目标完成情况综述。区域自动气象站维护及天气预报播出是现代化建设的必要基础，更是气象防灾减灾、监测预警系统的组成部门之一， 目前区应急指挥中心市区联运指挥系统正常运行,突发重大公共事件处理及时，现已完成23个自动气象站的维修维护工作。区域自动气象站维护及天气预报播出项目全年预算数4万元，执行数为4万元，完成预算的100%。金；主要问题：1、经费保障严重不足，2、技术保障队伍不稳定，3、维修技术能力亟得提升</w:t>
      </w:r>
    </w:p>
    <w:tbl>
      <w:tblPr>
        <w:tblpPr w:leftFromText="180" w:rightFromText="180" w:vertAnchor="text" w:horzAnchor="page" w:tblpXSpec="center" w:tblpY="423"/>
        <w:tblOverlap w:val="never"/>
        <w:tblW w:w="1002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2"/>
        <w:gridCol w:w="1376"/>
        <w:gridCol w:w="1032"/>
        <w:gridCol w:w="2407"/>
        <w:gridCol w:w="2409"/>
        <w:gridCol w:w="2407"/>
      </w:tblGrid>
      <w:tr>
        <w:trPr>
          <w:trHeight w:val="1036"/>
        </w:trPr>
        <w:tc>
          <w:tcPr>
            <w:tcW w:w="10023"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(2020 年度)</w:t>
            </w:r>
          </w:p>
        </w:tc>
      </w:tr>
      <w:tr>
        <w:trPr>
          <w:trHeight w:val="277"/>
        </w:trPr>
        <w:tc>
          <w:tcPr>
            <w:tcW w:w="28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2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区域自动气象站维护维修及天气预报播出经费</w:t>
            </w:r>
          </w:p>
        </w:tc>
      </w:tr>
      <w:tr>
        <w:trPr>
          <w:trHeight w:val="277"/>
        </w:trPr>
        <w:tc>
          <w:tcPr>
            <w:tcW w:w="280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2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利州区应急管理局</w:t>
            </w:r>
          </w:p>
        </w:tc>
      </w:tr>
      <w:tr>
        <w:trPr>
          <w:trHeight w:val="277"/>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4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tc>
      </w:tr>
      <w:tr>
        <w:trPr>
          <w:trHeight w:val="277"/>
        </w:trPr>
        <w:tc>
          <w:tcPr>
            <w:tcW w:w="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4</w:t>
            </w:r>
          </w:p>
        </w:tc>
      </w:tr>
      <w:tr>
        <w:trPr>
          <w:trHeight w:val="1514"/>
        </w:trPr>
        <w:tc>
          <w:tcPr>
            <w:tcW w:w="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4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7"/>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62"/>
        </w:trPr>
        <w:tc>
          <w:tcPr>
            <w:tcW w:w="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区应急指挥中心市区联运指挥系统正常运行,重大突发公共事件处理及时。</w:t>
            </w:r>
          </w:p>
        </w:tc>
        <w:tc>
          <w:tcPr>
            <w:tcW w:w="48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44"/>
        </w:trPr>
        <w:tc>
          <w:tcPr>
            <w:tcW w:w="39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5"/>
        </w:trPr>
        <w:tc>
          <w:tcPr>
            <w:tcW w:w="392" w:type="dxa"/>
            <w:vMerge/>
            <w:tcBorders>
              <w:left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维修维护气象站，天气预报播报</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2020年一年的天气预报播报</w:t>
            </w:r>
          </w:p>
          <w:p>
            <w:pPr>
              <w:widowControl/>
              <w:jc w:val="center"/>
              <w:textAlignment w:val="center"/>
              <w:rPr>
                <w:rFonts w:ascii="宋体" w:cs="宋体" w:hAnsi="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完成23个自动气象站的维修维护</w:t>
            </w:r>
          </w:p>
          <w:p>
            <w:pPr>
              <w:widowControl/>
              <w:jc w:val="center"/>
              <w:textAlignment w:val="center"/>
              <w:rPr>
                <w:rFonts w:ascii="宋体" w:cs="宋体" w:hAnsi="宋体"/>
                <w:color w:val="000000"/>
                <w:sz w:val="24"/>
              </w:rPr>
            </w:pPr>
          </w:p>
        </w:tc>
      </w:tr>
      <w:tr>
        <w:trPr>
          <w:trHeight w:val="1300"/>
        </w:trPr>
        <w:tc>
          <w:tcPr>
            <w:tcW w:w="392" w:type="dxa"/>
            <w:vMerge/>
            <w:tcBorders>
              <w:left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气象数据准确</w:t>
            </w:r>
          </w:p>
          <w:p>
            <w:pPr>
              <w:jc w:val="center"/>
              <w:rPr>
                <w:rFonts w:ascii="宋体" w:cs="宋体" w:hAnsi="宋体"/>
                <w:sz w:val="24"/>
              </w:rPr>
            </w:pPr>
            <w:r>
              <w:rPr>
                <w:rFonts w:hint="eastAsia"/>
              </w:rPr>
              <w:t>气象数据及时</w:t>
            </w:r>
          </w:p>
          <w:p>
            <w:pPr>
              <w:widowControl/>
              <w:jc w:val="center"/>
              <w:textAlignment w:val="center"/>
              <w:rPr>
                <w:rFonts w:ascii="宋体" w:cs="宋体" w:hAnsi="宋体"/>
                <w:color w:val="000000"/>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充分利用科学技术，更高、更准确预报</w:t>
            </w:r>
          </w:p>
          <w:p>
            <w:pPr>
              <w:widowControl/>
              <w:jc w:val="center"/>
              <w:textAlignment w:val="center"/>
              <w:rPr>
                <w:rFonts w:ascii="宋体" w:cs="宋体" w:hAnsi="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气象数据准确</w:t>
            </w:r>
          </w:p>
          <w:p>
            <w:pPr>
              <w:widowControl/>
              <w:jc w:val="center"/>
              <w:textAlignment w:val="center"/>
              <w:rPr>
                <w:rFonts w:ascii="宋体" w:cs="宋体" w:hAnsi="宋体"/>
                <w:color w:val="000000"/>
                <w:sz w:val="24"/>
              </w:rPr>
            </w:pPr>
          </w:p>
        </w:tc>
      </w:tr>
      <w:tr>
        <w:trPr>
          <w:trHeight w:val="1044"/>
        </w:trPr>
        <w:tc>
          <w:tcPr>
            <w:tcW w:w="392" w:type="dxa"/>
            <w:vMerge/>
            <w:tcBorders>
              <w:left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经费保险</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根据技术要求及时按需要维修维护和支付费用</w:t>
            </w:r>
          </w:p>
          <w:p>
            <w:pPr>
              <w:widowControl/>
              <w:jc w:val="center"/>
              <w:textAlignment w:val="center"/>
              <w:rPr>
                <w:rFonts w:ascii="宋体" w:cs="宋体" w:hAnsi="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正常维护，提高设备使用寿命</w:t>
            </w:r>
          </w:p>
          <w:p>
            <w:pPr>
              <w:widowControl/>
              <w:jc w:val="center"/>
              <w:textAlignment w:val="center"/>
              <w:rPr>
                <w:rFonts w:ascii="宋体" w:cs="宋体" w:hAnsi="宋体"/>
                <w:color w:val="000000"/>
                <w:sz w:val="24"/>
              </w:rPr>
            </w:pPr>
          </w:p>
        </w:tc>
      </w:tr>
      <w:tr>
        <w:trPr>
          <w:trHeight w:val="1044"/>
        </w:trPr>
        <w:tc>
          <w:tcPr>
            <w:tcW w:w="392" w:type="dxa"/>
            <w:vMerge/>
            <w:tcBorders>
              <w:left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服务大众</w:t>
            </w:r>
          </w:p>
          <w:p>
            <w:pPr>
              <w:widowControl/>
              <w:jc w:val="center"/>
              <w:textAlignment w:val="center"/>
              <w:rPr>
                <w:rFonts w:ascii="宋体" w:cs="宋体" w:hAnsi="宋体"/>
                <w:color w:val="000000"/>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及时预报，减少人民群众生命财产损失</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气象数据及时，利于区内安全、生产等多领域数据应用</w:t>
            </w:r>
          </w:p>
          <w:p>
            <w:pPr>
              <w:widowControl/>
              <w:jc w:val="center"/>
              <w:textAlignment w:val="center"/>
              <w:rPr>
                <w:rFonts w:ascii="宋体" w:cs="宋体" w:hAnsi="宋体"/>
                <w:color w:val="000000"/>
                <w:sz w:val="24"/>
              </w:rPr>
            </w:pPr>
          </w:p>
        </w:tc>
      </w:tr>
      <w:tr>
        <w:trPr>
          <w:trHeight w:val="1044"/>
        </w:trPr>
        <w:tc>
          <w:tcPr>
            <w:tcW w:w="392" w:type="dxa"/>
            <w:vMerge/>
            <w:tcBorders>
              <w:left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可持续影响</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提高作用效益</w:t>
            </w:r>
          </w:p>
          <w:p>
            <w:pPr>
              <w:widowControl/>
              <w:jc w:val="center"/>
              <w:textAlignment w:val="center"/>
              <w:rPr>
                <w:rFonts w:ascii="宋体" w:cs="宋体" w:hAnsi="宋体"/>
                <w:color w:val="000000"/>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提高科学技术能力，准确、及时预报</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正常维护，提高设备使用寿命</w:t>
            </w:r>
          </w:p>
          <w:p>
            <w:pPr>
              <w:widowControl/>
              <w:jc w:val="center"/>
              <w:textAlignment w:val="center"/>
              <w:rPr>
                <w:rFonts w:ascii="宋体" w:cs="宋体" w:hAnsi="宋体"/>
                <w:color w:val="000000"/>
                <w:sz w:val="24"/>
              </w:rPr>
            </w:pPr>
          </w:p>
        </w:tc>
      </w:tr>
      <w:tr>
        <w:trPr>
          <w:trHeight w:val="1044"/>
        </w:trPr>
        <w:tc>
          <w:tcPr>
            <w:tcW w:w="392" w:type="dxa"/>
            <w:vMerge/>
            <w:tcBorders>
              <w:left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p>
          <w:p>
            <w:pPr>
              <w:widowControl/>
              <w:textAlignment w:val="center"/>
              <w:rPr>
                <w:rFonts w:ascii="宋体" w:cs="宋体" w:hAnsi="宋体"/>
                <w:color w:val="000000"/>
                <w:sz w:val="24"/>
              </w:rPr>
            </w:pPr>
            <w:r>
              <w:rPr>
                <w:rFonts w:ascii="宋体" w:cs="宋体" w:hAnsi="宋体" w:hint="eastAsia"/>
                <w:color w:val="000000"/>
                <w:kern w:val="0"/>
                <w:sz w:val="24"/>
              </w:rPr>
              <w:t>效益指标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满意度指标</w:t>
            </w:r>
          </w:p>
          <w:p>
            <w:pPr>
              <w:widowControl/>
              <w:jc w:val="center"/>
              <w:textAlignment w:val="center"/>
              <w:rPr>
                <w:rFonts w:ascii="宋体" w:cs="宋体" w:hAnsi="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正常运行</w:t>
            </w:r>
          </w:p>
          <w:p>
            <w:pPr>
              <w:widowControl/>
              <w:jc w:val="center"/>
              <w:textAlignment w:val="center"/>
              <w:rPr>
                <w:rFonts w:ascii="宋体" w:cs="宋体" w:hAnsi="宋体"/>
                <w:color w:val="000000"/>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充分利用设施设备的有效作用</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sz w:val="24"/>
              </w:rPr>
            </w:pPr>
            <w:r>
              <w:rPr>
                <w:rFonts w:hint="eastAsia"/>
              </w:rPr>
              <w:t>全年设备95%正常运行，气象预报按时播报</w:t>
            </w:r>
          </w:p>
          <w:p>
            <w:pPr>
              <w:widowControl/>
              <w:jc w:val="center"/>
              <w:textAlignment w:val="center"/>
              <w:rPr>
                <w:rFonts w:ascii="宋体" w:cs="宋体" w:hAnsi="宋体"/>
                <w:color w:val="000000"/>
                <w:sz w:val="24"/>
              </w:rPr>
            </w:pPr>
          </w:p>
        </w:tc>
      </w:tr>
      <w:tr>
        <w:trPr>
          <w:trHeight w:val="1052"/>
        </w:trPr>
        <w:tc>
          <w:tcPr>
            <w:tcW w:w="392"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bl>
    <w:p>
      <w:pPr>
        <w:spacing w:line="580" w:lineRule="exact"/>
        <w:rPr>
          <w:rFonts w:ascii="仿宋_GB2312" w:eastAsia="仿宋_GB2312" w:cs="仿宋_GB2312" w:hAnsi="仿宋_GB2312"/>
          <w:sz w:val="32"/>
          <w:szCs w:val="32"/>
        </w:rPr>
      </w:pPr>
    </w:p>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本部门按要求对2020年部门整体支出绩效评价情况开展自评，《广元市利州区应急管理局部门2020年部门整体支出绩效评价报告》见附件。</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自行组织对煤矿安全检查、区域自动气象站维护维修及天气预报播出等项目开展了绩效评价，《广元市利州区应急管理局项目2020年绩效评价报告》见附件。（非涉密部门均需公开部门整体支出评价报告，部门自行组织的绩效评价情况根据部门实际公开）</w:t>
      </w:r>
    </w:p>
    <w:p>
      <w:pPr>
        <w:spacing w:line="580" w:lineRule="exact"/>
        <w:rPr>
          <w:rFonts w:ascii="仿宋_GB2312" w:eastAsia="仿宋_GB2312" w:cs="仿宋_GB2312" w:hAnsi="仿宋_GB2312"/>
          <w:sz w:val="32"/>
          <w:szCs w:val="32"/>
        </w:rPr>
      </w:pPr>
    </w:p>
    <w:p>
      <w:pPr>
        <w:numPr>
          <w:ilvl w:val="0"/>
          <w:numId w:val="4"/>
        </w:numPr>
        <w:spacing w:line="600" w:lineRule="exact"/>
        <w:ind w:left="0" w:firstLineChars="150" w:firstLine="660"/>
        <w:jc w:val="center"/>
        <w:outlineLvl w:val="0"/>
        <w:rPr>
          <w:rFonts w:ascii="黑体" w:eastAsia="黑体" w:hAnsi="黑体"/>
          <w:bCs/>
          <w:kern w:val="44"/>
          <w:sz w:val="44"/>
          <w:szCs w:val="44"/>
        </w:rPr>
      </w:pPr>
      <w:bookmarkStart w:id="45" w:name="_Toc15396613"/>
      <w:bookmarkStart w:id="46" w:name="_Toc15377225"/>
      <w:r>
        <w:rPr>
          <w:rFonts w:ascii="黑体" w:eastAsia="黑体" w:hAnsi="黑体" w:hint="eastAsia"/>
          <w:color w:val="000000"/>
          <w:sz w:val="44"/>
          <w:szCs w:val="44"/>
        </w:rPr>
        <w:t>名</w:t>
      </w:r>
      <w:r>
        <w:rPr>
          <w:rStyle w:val="1Char"/>
          <w:rFonts w:ascii="黑体" w:eastAsia="黑体" w:hAnsi="黑体" w:hint="eastAsia"/>
        </w:rPr>
        <w:t>词解释</w:t>
      </w:r>
      <w:bookmarkEnd w:id="45"/>
      <w:bookmarkEnd w:id="46"/>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财政拨款收入：指单位从同级财政部门当年取得的财政预算资金。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一般公共服务（类）224（款）0101（项）：指机关</w:t>
      </w:r>
      <w:r>
        <w:rPr>
          <w:rFonts w:ascii="仿宋_GB2312" w:eastAsia="仿宋_GB2312"/>
          <w:color w:val="000000"/>
          <w:sz w:val="32"/>
          <w:szCs w:val="32"/>
        </w:rPr>
        <w:t>为保障行政单位（含参照公务员法管理的事业单位）运行用于</w:t>
      </w:r>
      <w:r>
        <w:rPr>
          <w:rFonts w:ascii="仿宋_GB2312" w:eastAsia="仿宋_GB2312" w:hint="eastAsia"/>
          <w:color w:val="000000"/>
          <w:sz w:val="32"/>
          <w:szCs w:val="32"/>
        </w:rPr>
        <w:t>人员工资、津贴、绩效、奖金等及</w:t>
      </w:r>
      <w:r>
        <w:rPr>
          <w:rFonts w:ascii="仿宋_GB2312" w:eastAsia="仿宋_GB2312"/>
          <w:color w:val="000000"/>
          <w:sz w:val="32"/>
          <w:szCs w:val="32"/>
        </w:rPr>
        <w:t>购买货物和服务的各项资金，包括办公及印刷费、邮电费、差旅费、会议费、福利费、日常维修费、专用材料及一般设备购置费、办公用房水电费、办公用房取暖费、办公用房物业管理费、公务用车运行维护费</w:t>
      </w:r>
      <w:r>
        <w:rPr>
          <w:rFonts w:ascii="仿宋_GB2312" w:eastAsia="仿宋_GB2312" w:hint="eastAsia"/>
          <w:color w:val="000000"/>
          <w:sz w:val="32"/>
          <w:szCs w:val="32"/>
        </w:rPr>
        <w:t>等</w:t>
      </w:r>
      <w:r>
        <w:rPr>
          <w:rFonts w:ascii="仿宋_GB2312" w:eastAsia="仿宋_GB2312"/>
          <w:color w:val="000000"/>
          <w:sz w:val="32"/>
          <w:szCs w:val="32"/>
        </w:rPr>
        <w:t>以及其他费用</w:t>
      </w: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社会保障和就业（类）208（款）0505（项）：</w:t>
      </w:r>
      <w:r>
        <w:rPr>
          <w:rFonts w:ascii="仿宋_GB2312" w:eastAsia="仿宋_GB2312"/>
          <w:color w:val="000000"/>
          <w:sz w:val="32"/>
          <w:szCs w:val="32"/>
        </w:rPr>
        <w:t>反映机关事业单位实施养老保险制度由单位缴纳的基本养老保险支出</w:t>
      </w:r>
    </w:p>
    <w:p>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医疗卫生与计划生育（类）210（款）1101（项）：指</w:t>
      </w:r>
      <w:r>
        <w:rPr>
          <w:rFonts w:ascii="仿宋_GB2312" w:eastAsia="仿宋_GB2312"/>
          <w:color w:val="000000"/>
          <w:sz w:val="32"/>
          <w:szCs w:val="32"/>
        </w:rPr>
        <w:t>反映财政部门集中安排的</w:t>
      </w:r>
      <w:r>
        <w:rPr>
          <w:rFonts w:ascii="仿宋_GB2312" w:eastAsia="仿宋_GB2312" w:hint="eastAsia"/>
          <w:color w:val="000000"/>
          <w:sz w:val="32"/>
          <w:szCs w:val="32"/>
        </w:rPr>
        <w:t>行政</w:t>
      </w:r>
      <w:r>
        <w:rPr>
          <w:rFonts w:ascii="仿宋_GB2312" w:eastAsia="仿宋_GB2312"/>
          <w:color w:val="000000"/>
          <w:sz w:val="32"/>
          <w:szCs w:val="32"/>
        </w:rPr>
        <w:t>事业单位基本医疗保险缴费经费</w:t>
      </w:r>
    </w:p>
    <w:p>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农林水（类）213（款）0599（项）：指</w:t>
      </w:r>
      <w:r>
        <w:rPr>
          <w:rFonts w:ascii="仿宋_GB2312" w:eastAsia="仿宋_GB2312"/>
          <w:color w:val="000000"/>
          <w:sz w:val="32"/>
          <w:szCs w:val="32"/>
        </w:rPr>
        <w:t>反映用于农村</w:t>
      </w:r>
      <w:r>
        <w:rPr>
          <w:rFonts w:ascii="仿宋_GB2312" w:eastAsia="仿宋_GB2312" w:hint="eastAsia"/>
          <w:color w:val="000000"/>
          <w:sz w:val="32"/>
          <w:szCs w:val="32"/>
        </w:rPr>
        <w:t>贫困村及非贫困村</w:t>
      </w:r>
      <w:r>
        <w:rPr>
          <w:rFonts w:ascii="仿宋_GB2312" w:eastAsia="仿宋_GB2312"/>
          <w:color w:val="000000"/>
          <w:sz w:val="32"/>
          <w:szCs w:val="32"/>
        </w:rPr>
        <w:t>扶贫开发等方面的支出</w:t>
      </w:r>
      <w:r>
        <w:rPr>
          <w:rFonts w:ascii="仿宋_GB2312" w:eastAsia="仿宋_GB2312" w:hint="eastAsia"/>
          <w:color w:val="000000"/>
          <w:sz w:val="32"/>
          <w:szCs w:val="32"/>
        </w:rPr>
        <w:t>。</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资源勘探信息等（类）215（款）999（项）：指反映财政部门用于煤矿企业化解过剩补助方面的支出。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国土海洋气象等（类）零（款）零（项）：指……。</w:t>
      </w:r>
    </w:p>
    <w:p>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住房保障（类）221（款）0201（项）：指</w:t>
      </w:r>
      <w:r>
        <w:rPr>
          <w:rFonts w:ascii="仿宋_GB2312" w:eastAsia="仿宋_GB2312"/>
          <w:color w:val="000000"/>
          <w:sz w:val="32"/>
          <w:szCs w:val="32"/>
        </w:rPr>
        <w:t>反映行政事业单位按人力资源和社会保障部、财政部规定的基本工资和津补贴以及规定比例为职工缴纳的住房公积金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粮油物资储备（类）零（款）零（项）：指……。</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27</w:t>
      </w:r>
      <w:r>
        <w:rPr>
          <w:rFonts w:ascii="仿宋_GB2312" w:eastAsia="仿宋_GB2312"/>
          <w:color w:val="000000"/>
          <w:sz w:val="32"/>
          <w:szCs w:val="32"/>
        </w:rPr>
        <w:t>.</w:t>
      </w:r>
      <w:r>
        <w:rPr>
          <w:rFonts w:ascii="仿宋_GB2312" w:eastAsia="仿宋_GB2312" w:hint="eastAsia"/>
          <w:color w:val="000000"/>
          <w:sz w:val="32"/>
          <w:szCs w:val="32"/>
        </w:rPr>
        <w:t>灾害防治及应急管理（类）224（款）0102（项）：指反映灾害预警运行、应急指挥中心工作运行、应急会商系统维护、安全常态化巡查督查、区域自动气象站维护维修及天气预报播出等方面的支出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28.煤矿安全监察事务（类）224（款）0404（项）指反映财政部门用于煤矿安全检查、煤矿监察人员、外聘专家的劳务费、各类保险及驻矿安监人员下井补贴及到省市业务培训等方面支出。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29.自然灾害救灾及恢复重建（类）224（款）0701（项）：指反映社会群众在自然灾害中受灾（冬令春荒）生活补助方面的支出</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p>
    <w:p>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pPr>
        <w:pStyle w:val="27"/>
        <w:spacing w:line="560" w:lineRule="exact"/>
        <w:ind w:firstLineChars="200" w:firstLine="640"/>
        <w:rPr>
          <w:rFonts w:ascii="仿宋_GB2312" w:eastAsia="仿宋_GB2312" w:cs="黑体"/>
          <w:sz w:val="32"/>
          <w:szCs w:val="32"/>
        </w:rPr>
      </w:pPr>
    </w:p>
    <w:p>
      <w:pPr>
        <w:ind w:firstLineChars="200" w:firstLine="64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pPr>
        <w:spacing w:line="600" w:lineRule="exact"/>
        <w:jc w:val="center"/>
        <w:outlineLvl w:val="0"/>
        <w:rPr>
          <w:rFonts w:ascii="黑体" w:eastAsia="黑体" w:hAnsi="黑体"/>
          <w:bCs/>
          <w:kern w:val="44"/>
          <w:sz w:val="44"/>
          <w:szCs w:val="44"/>
        </w:rPr>
      </w:pPr>
      <w:bookmarkStart w:id="47" w:name="_Toc15377226"/>
      <w:r>
        <w:rPr>
          <w:rFonts w:ascii="宋体"/>
          <w:b/>
          <w:color w:val="000000"/>
          <w:sz w:val="44"/>
          <w:szCs w:val="44"/>
        </w:rPr>
        <w:br w:type="page"/>
      </w:r>
      <w:r>
        <w:rPr>
          <w:rFonts w:ascii="黑体" w:eastAsia="黑体" w:hAnsi="黑体" w:hint="eastAsia"/>
          <w:color w:val="000000"/>
          <w:sz w:val="44"/>
          <w:szCs w:val="44"/>
        </w:rPr>
        <w:t>第</w:t>
      </w:r>
      <w:r>
        <w:rPr>
          <w:rStyle w:val="1Char"/>
          <w:rFonts w:ascii="黑体" w:eastAsia="黑体" w:hAnsi="黑体" w:hint="eastAsia"/>
        </w:rPr>
        <w:t>四部分 附件</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应急局</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w:t>
      </w:r>
      <w:r>
        <w:rPr>
          <w:rFonts w:ascii="方正小标宋简体" w:eastAsia="方正小标宋简体" w:hAnsi="宋体" w:hint="eastAsia"/>
          <w:color w:val="000000"/>
          <w:kern w:val="0"/>
          <w:sz w:val="40"/>
          <w:szCs w:val="44"/>
        </w:rPr>
        <w:t>20</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pPr>
        <w:widowControl/>
        <w:adjustRightInd w:val="0"/>
        <w:snapToGrid w:val="0"/>
        <w:spacing w:line="580" w:lineRule="exact"/>
        <w:ind w:firstLineChars="200" w:firstLine="480"/>
        <w:contextualSpacing/>
        <w:jc w:val="left"/>
        <w:rPr>
          <w:rFonts w:ascii="黑体" w:eastAsia="黑体" w:cs="宋体" w:hAnsi="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（一）机构组成。</w:t>
      </w:r>
    </w:p>
    <w:p>
      <w:pPr>
        <w:spacing w:line="576" w:lineRule="exact"/>
        <w:ind w:firstLineChars="250" w:firstLine="800"/>
        <w:rPr>
          <w:rFonts w:ascii="仿宋_GB2312" w:eastAsia="仿宋_GB2312"/>
          <w:bCs/>
          <w:color w:val="000000"/>
          <w:kern w:val="0"/>
          <w:sz w:val="32"/>
          <w:szCs w:val="32"/>
        </w:rPr>
      </w:pPr>
      <w:r>
        <w:rPr>
          <w:rFonts w:ascii="仿宋_GB2312" w:eastAsia="仿宋_GB2312" w:hint="eastAsia"/>
          <w:bCs/>
          <w:color w:val="000000"/>
          <w:kern w:val="0"/>
          <w:sz w:val="32"/>
          <w:szCs w:val="32"/>
        </w:rPr>
        <w:t>局机关行政编制13名，实有人数13人，工勤编制2名，实有人数5人。局下属事业单位6个，其中参照公务员法管理的事业单位2个，编制数13人，实有人数6人，其他事业单位编制数49人。实有人数47人。</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（二）机构职能。</w:t>
      </w:r>
    </w:p>
    <w:p>
      <w:pPr>
        <w:spacing w:line="576" w:lineRule="exact"/>
        <w:ind w:leftChars="380" w:left="798"/>
        <w:rPr>
          <w:rFonts w:ascii="仿宋_GB2312" w:eastAsia="仿宋_GB2312"/>
          <w:bCs/>
          <w:color w:val="000000"/>
          <w:kern w:val="0"/>
          <w:sz w:val="32"/>
          <w:szCs w:val="32"/>
          <w14:textFill>
            <w14:solidFill>
              <w14:srgbClr w14:val="000000"/>
            </w14:solidFill>
          </w14:textFill>
        </w:rPr>
      </w:pPr>
      <w:r>
        <w:rPr>
          <w:rFonts w:ascii="仿宋_GB2312" w:eastAsia="仿宋_GB2312"/>
          <w:bCs/>
          <w:color w:val="000000"/>
          <w:kern w:val="0"/>
          <w:sz w:val="32"/>
          <w:szCs w:val="32"/>
          <w14:textFill>
            <w14:solidFill>
              <w14:srgbClr w14:val="000000"/>
            </w14:solidFill>
          </w14:textFill>
        </w:rPr>
        <w:t>各下属事业单位职能职责：</w:t>
      </w:r>
    </w:p>
    <w:p>
      <w:pPr>
        <w:spacing w:line="576" w:lineRule="exact"/>
        <w:ind w:firstLineChars="200" w:firstLine="640"/>
        <w:rPr>
          <w:rFonts w:ascii="仿宋_GB2312" w:eastAsia="仿宋_GB2312"/>
          <w:bCs/>
          <w:color w:val="000000"/>
          <w:kern w:val="0"/>
          <w:sz w:val="32"/>
          <w:szCs w:val="32"/>
          <w14:textFill>
            <w14:solidFill>
              <w14:srgbClr w14:val="000000"/>
            </w14:solidFill>
          </w14:textFill>
        </w:rPr>
      </w:pPr>
      <w:r>
        <w:rPr>
          <w:rFonts w:ascii="仿宋_GB2312" w:eastAsia="仿宋_GB2312" w:hint="eastAsia"/>
          <w:bCs/>
          <w:color w:val="000000"/>
          <w:kern w:val="0"/>
          <w:sz w:val="32"/>
          <w:szCs w:val="32"/>
          <w14:textFill>
            <w14:solidFill>
              <w14:srgbClr w14:val="000000"/>
            </w14:solidFill>
          </w14:textFill>
        </w:rPr>
        <w:t>一、</w:t>
      </w:r>
      <w:r>
        <w:rPr>
          <w:rFonts w:ascii="仿宋_GB2312" w:eastAsia="仿宋_GB2312"/>
          <w:bCs/>
          <w:color w:val="000000"/>
          <w:kern w:val="0"/>
          <w:sz w:val="32"/>
          <w:szCs w:val="32"/>
          <w14:textFill>
            <w14:solidFill>
              <w14:srgbClr w14:val="000000"/>
            </w14:solidFill>
          </w14:textFill>
        </w:rPr>
        <w:t>利州区</w:t>
      </w:r>
      <w:r>
        <w:rPr>
          <w:rFonts w:ascii="仿宋_GB2312" w:eastAsia="仿宋_GB2312" w:hint="eastAsia"/>
          <w:bCs/>
          <w:color w:val="000000"/>
          <w:kern w:val="0"/>
          <w:sz w:val="32"/>
          <w:szCs w:val="32"/>
          <w14:textFill>
            <w14:solidFill>
              <w14:srgbClr w14:val="000000"/>
            </w14:solidFill>
          </w14:textFill>
        </w:rPr>
        <w:t>减灾中心主要职能：承担区内突发事件（自然灾害、生产安全事故）的监控、联络、报告等工作；对突发事件处置提供视频、语音、网络、通讯等应急指挥保障。负责全区煤矿安全生产和各类预警平台检测工作。负责全区防灾减灾的数据信息管理，承担各类自然灾害的查灾、核灾及灾害损失评估、灾情会商；负责全区防灾减灾和救灾知识的宣传、灾害员培训；承担全区防灾减灾领域的技术装备推广运用和对外合作交流；负责为政府防灾减灾救灾工作提供信息服务、技术支持和决策咨询；负责区级应急避难场所建设与管理，拟订全区地震监测中长期发展规划和年度计划并组织实施。管理地震监测预警预报工作；负责提出辖区内及邻近地区地震趋势意见；负责地震群测群防工作；负责地震短临跟踪及震情趋势研判；负责震情速报工作。推进地震监测科技现代化；组织管理地震监测科学技术研究与攻关、科技成果的推广应用。会同有关部门开展防震减灾宣传教育工作。</w:t>
      </w:r>
      <w:r>
        <w:rPr>
          <w:rFonts w:ascii="仿宋_GB2312" w:eastAsia="仿宋_GB2312"/>
          <w:bCs/>
          <w:color w:val="000000"/>
          <w:kern w:val="0"/>
          <w:sz w:val="32"/>
          <w:szCs w:val="32"/>
          <w14:textFill>
            <w14:solidFill>
              <w14:srgbClr w14:val="000000"/>
            </w14:solidFill>
          </w14:textFill>
        </w:rPr>
        <w:br/>
        <w:t>二、利州区</w:t>
      </w:r>
      <w:r>
        <w:rPr>
          <w:rFonts w:ascii="仿宋_GB2312" w:eastAsia="仿宋_GB2312" w:hint="eastAsia"/>
          <w:bCs/>
          <w:color w:val="000000"/>
          <w:kern w:val="0"/>
          <w:sz w:val="32"/>
          <w:szCs w:val="32"/>
          <w14:textFill>
            <w14:solidFill>
              <w14:srgbClr w14:val="000000"/>
            </w14:solidFill>
          </w14:textFill>
        </w:rPr>
        <w:t>安全生产应急救援中心</w:t>
      </w:r>
      <w:r>
        <w:rPr>
          <w:rFonts w:ascii="仿宋_GB2312" w:eastAsia="仿宋_GB2312"/>
          <w:bCs/>
          <w:color w:val="000000"/>
          <w:kern w:val="0"/>
          <w:sz w:val="32"/>
          <w:szCs w:val="32"/>
          <w14:textFill>
            <w14:solidFill>
              <w14:srgbClr w14:val="000000"/>
            </w14:solidFill>
          </w14:textFill>
        </w:rPr>
        <w:t>主要职能：</w:t>
      </w:r>
      <w:r>
        <w:rPr>
          <w:rFonts w:ascii="仿宋_GB2312" w:eastAsia="仿宋_GB2312" w:hint="eastAsia"/>
          <w:bCs/>
          <w:color w:val="000000"/>
          <w:kern w:val="0"/>
          <w:sz w:val="32"/>
          <w:szCs w:val="32"/>
          <w14:textFill>
            <w14:solidFill>
              <w14:srgbClr w14:val="000000"/>
            </w14:solidFill>
          </w14:textFill>
        </w:rPr>
        <w:t>负责指导、协调乡镇街道及区级有关部门安全生产应急救援工作；承担全区安全生产应急救援信息的接收、处理和上报工作；指导、协调安全生产事故灾难的应急救援工作；根据区应急指挥机构的部署要求，调集有关的应急救援力量和资源参加事故抢救和森林防灭火等工作。</w:t>
      </w:r>
    </w:p>
    <w:p>
      <w:pPr>
        <w:spacing w:line="576" w:lineRule="exact"/>
        <w:ind w:firstLineChars="200" w:firstLine="640"/>
        <w:rPr>
          <w:rFonts w:ascii="仿宋_GB2312" w:eastAsia="仿宋_GB2312"/>
          <w:bCs/>
          <w:kern w:val="0"/>
          <w:sz w:val="32"/>
          <w:szCs w:val="32"/>
        </w:rPr>
      </w:pPr>
      <w:r>
        <w:rPr>
          <w:rFonts w:ascii="仿宋_GB2312" w:eastAsia="仿宋_GB2312"/>
          <w:bCs/>
          <w:color w:val="000000"/>
          <w:kern w:val="0"/>
          <w:sz w:val="32"/>
          <w:szCs w:val="32"/>
          <w14:textFill>
            <w14:solidFill>
              <w14:srgbClr w14:val="000000"/>
            </w14:solidFill>
          </w14:textFill>
        </w:rPr>
        <w:t>三、利州区</w:t>
      </w:r>
      <w:r>
        <w:rPr>
          <w:rFonts w:ascii="仿宋_GB2312" w:eastAsia="仿宋_GB2312" w:hint="eastAsia"/>
          <w:bCs/>
          <w:color w:val="000000"/>
          <w:kern w:val="0"/>
          <w:sz w:val="32"/>
          <w:szCs w:val="32"/>
          <w14:textFill>
            <w14:solidFill>
              <w14:srgbClr w14:val="000000"/>
            </w14:solidFill>
          </w14:textFill>
        </w:rPr>
        <w:t>应急管理技术服务中心</w:t>
      </w:r>
      <w:r>
        <w:rPr>
          <w:rFonts w:ascii="仿宋_GB2312" w:eastAsia="仿宋_GB2312"/>
          <w:bCs/>
          <w:color w:val="000000"/>
          <w:kern w:val="0"/>
          <w:sz w:val="32"/>
          <w:szCs w:val="32"/>
          <w14:textFill>
            <w14:solidFill>
              <w14:srgbClr w14:val="000000"/>
            </w14:solidFill>
          </w14:textFill>
        </w:rPr>
        <w:t>主要职能：</w:t>
      </w:r>
      <w:r>
        <w:rPr>
          <w:rFonts w:ascii="仿宋_GB2312" w:eastAsia="仿宋_GB2312" w:hint="eastAsia"/>
          <w:bCs/>
          <w:color w:val="000000"/>
          <w:kern w:val="0"/>
          <w:sz w:val="32"/>
          <w:szCs w:val="32"/>
          <w14:textFill>
            <w14:solidFill>
              <w14:srgbClr w14:val="000000"/>
            </w14:solidFill>
          </w14:textFill>
        </w:rPr>
        <w:t>拟订全区应急（安监）系统干部队伍教育培训规划和安全生产科技推广计划，负责组织全区应急（安监）系统干部队伍业务能力提升和专业提升训练工作。负责督促全区工矿商贸企业的全员职工进行安全知识技能培训、考核工作，负责督促全区工矿商贸企业选送安全管理人员以及特殊工种作业到省、市两级安全培训机构参加培训。负责指导协调安全生产重大科技研究和推广工作。承担区级安全生产专家组相关工作。</w:t>
      </w:r>
      <w:r>
        <w:rPr>
          <w:rFonts w:ascii="仿宋_GB2312" w:eastAsia="仿宋_GB2312"/>
          <w:bCs/>
          <w:color w:val="000000"/>
          <w:kern w:val="0"/>
          <w:sz w:val="32"/>
          <w:szCs w:val="32"/>
          <w14:textFill>
            <w14:solidFill>
              <w14:srgbClr w14:val="000000"/>
            </w14:solidFill>
          </w14:textFill>
        </w:rPr>
        <w:br/>
        <w:t>四、利州区</w:t>
      </w:r>
      <w:r>
        <w:rPr>
          <w:rFonts w:ascii="仿宋_GB2312" w:eastAsia="仿宋_GB2312" w:hint="eastAsia"/>
          <w:bCs/>
          <w:color w:val="000000"/>
          <w:kern w:val="0"/>
          <w:sz w:val="32"/>
          <w:szCs w:val="32"/>
          <w14:textFill>
            <w14:solidFill>
              <w14:srgbClr w14:val="000000"/>
            </w14:solidFill>
          </w14:textFill>
        </w:rPr>
        <w:t>矿山安全技术指导站</w:t>
      </w:r>
      <w:r>
        <w:rPr>
          <w:rFonts w:ascii="仿宋_GB2312" w:eastAsia="仿宋_GB2312"/>
          <w:bCs/>
          <w:color w:val="000000"/>
          <w:kern w:val="0"/>
          <w:sz w:val="32"/>
          <w:szCs w:val="32"/>
          <w14:textFill>
            <w14:solidFill>
              <w14:srgbClr w14:val="000000"/>
            </w14:solidFill>
          </w14:textFill>
        </w:rPr>
        <w:t>主要职能：负责全区</w:t>
      </w:r>
      <w:r>
        <w:rPr>
          <w:rFonts w:ascii="仿宋_GB2312" w:eastAsia="仿宋_GB2312" w:hint="eastAsia"/>
          <w:bCs/>
          <w:color w:val="000000"/>
          <w:kern w:val="0"/>
          <w:sz w:val="32"/>
          <w:szCs w:val="32"/>
          <w14:textFill>
            <w14:solidFill>
              <w14:srgbClr w14:val="000000"/>
            </w14:solidFill>
          </w14:textFill>
        </w:rPr>
        <w:t>矿山科技知识宣传，先进实用技术普及、安全生产技术指导。负责全区矿山新技术、新产品、新成果的引进、试验、示范和推广。配合有关部门开展矿山科技下乡等社会服务活动，负</w:t>
      </w:r>
      <w:r>
        <w:rPr>
          <w:rFonts w:ascii="仿宋_GB2312" w:eastAsia="仿宋_GB2312" w:hint="eastAsia"/>
          <w:bCs/>
          <w:color w:val="000000"/>
          <w:kern w:val="0"/>
          <w:sz w:val="32"/>
          <w:szCs w:val="32"/>
        </w:rPr>
        <w:t xml:space="preserve">责对所驻矿山企业实施经常性的安全检查和重点检查，对现场检查中发现的重大安全和威胁职工生命安全的紧急情况采取必要措施；督促企业贯彻落实国家有关安全生产法律、法规、规章、标准、规程和严格执行有关部门作出的安全生产指令、决定；督促企业搞好新工人岗前培训，实施全员安全培训；督促企业及时送培安全管理人员、特殊工种岗位人员并持证上岗；及时向有关部门报告企业安全生产事故情况。     </w:t>
      </w:r>
    </w:p>
    <w:p>
      <w:pPr>
        <w:spacing w:line="576" w:lineRule="exact"/>
        <w:ind w:firstLineChars="200" w:firstLine="640"/>
        <w:rPr>
          <w:rFonts w:ascii="仿宋_GB2312" w:eastAsia="仿宋_GB2312"/>
          <w:bCs/>
          <w:color w:val="000000"/>
          <w:kern w:val="0"/>
          <w:sz w:val="32"/>
          <w:szCs w:val="32"/>
        </w:rPr>
      </w:pPr>
      <w:r>
        <w:rPr>
          <w:rFonts w:ascii="仿宋_GB2312" w:eastAsia="仿宋_GB2312" w:hint="eastAsia"/>
          <w:bCs/>
          <w:kern w:val="0"/>
          <w:sz w:val="32"/>
          <w:szCs w:val="32"/>
        </w:rPr>
        <w:t>五、利州区安</w:t>
      </w:r>
      <w:r>
        <w:rPr>
          <w:rFonts w:ascii="仿宋_GB2312" w:eastAsia="仿宋_GB2312"/>
          <w:bCs/>
          <w:kern w:val="0"/>
          <w:sz w:val="32"/>
          <w:szCs w:val="32"/>
        </w:rPr>
        <w:t>全生产监察执法大队主要职能：负责本行政区域直接监管范围内安全生产违法行为的查处、行政处罚、行政强制工作和重大危险源监控措施的落实情况进行执法监察；参与一般事故的调查处理；组织、指导乡镇（街道）安全生产巡查和委托执法工作，受理有关安全生产的举报。</w:t>
        <w:br/>
      </w:r>
      <w:r>
        <w:rPr>
          <w:rFonts w:ascii="仿宋_GB2312" w:eastAsia="仿宋_GB2312" w:hint="eastAsia"/>
          <w:bCs/>
          <w:kern w:val="0"/>
          <w:sz w:val="32"/>
          <w:szCs w:val="32"/>
        </w:rPr>
        <w:t xml:space="preserve">    六</w:t>
      </w:r>
      <w:r>
        <w:rPr>
          <w:rFonts w:ascii="仿宋_GB2312" w:eastAsia="仿宋_GB2312"/>
          <w:bCs/>
          <w:kern w:val="0"/>
          <w:sz w:val="32"/>
          <w:szCs w:val="32"/>
        </w:rPr>
        <w:t>、利州区煤炭安全监察执法中队主要职能：负责</w:t>
      </w:r>
      <w:r>
        <w:rPr>
          <w:rFonts w:ascii="仿宋_GB2312" w:eastAsia="仿宋_GB2312"/>
          <w:bCs/>
          <w:color w:val="000000"/>
          <w:kern w:val="0"/>
          <w:sz w:val="32"/>
          <w:szCs w:val="32"/>
        </w:rPr>
        <w:t>对职责范围内生产经营单位进行执法检查；参与生产安全事故调查和处理；负责安全生产举报查处；负责重大事故隐患排查报告的受理、登记建档、跟踪监控、督促整改。</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（三）人员概况。</w:t>
      </w:r>
    </w:p>
    <w:p>
      <w:pPr>
        <w:spacing w:line="576"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年末实有人数机关行政实有人数12人，工勤事业实有人数5人，参照公务管理人数7人，其他事业单位人数47人。截止2020年12月31日共有在职人员71人、退休人员23人。</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（一）部门财政资金收入情况。</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20年度财政拨款收入2516.44万元，与</w:t>
      </w:r>
      <w:r>
        <w:rPr>
          <w:rFonts w:ascii="仿宋_GB2312" w:eastAsia="仿宋_GB2312"/>
          <w:color w:val="000000"/>
          <w:sz w:val="32"/>
          <w:szCs w:val="32"/>
        </w:rPr>
        <w:t>201</w:t>
      </w:r>
      <w:r>
        <w:rPr>
          <w:rFonts w:ascii="仿宋_GB2312" w:eastAsia="仿宋_GB2312" w:hint="eastAsia"/>
          <w:color w:val="000000"/>
          <w:sz w:val="32"/>
          <w:szCs w:val="32"/>
        </w:rPr>
        <w:t>9年相比，财政拨款收入增加936.76万元，增加59.28</w:t>
      </w:r>
      <w:r>
        <w:rPr>
          <w:rFonts w:ascii="仿宋_GB2312" w:eastAsia="仿宋_GB2312"/>
          <w:color w:val="000000"/>
          <w:sz w:val="32"/>
          <w:szCs w:val="32"/>
        </w:rPr>
        <w:t>%</w:t>
      </w:r>
      <w:r>
        <w:rPr>
          <w:rFonts w:ascii="仿宋_GB2312" w:eastAsia="仿宋_GB2312" w:hint="eastAsia"/>
          <w:color w:val="000000"/>
          <w:sz w:val="32"/>
          <w:szCs w:val="32"/>
        </w:rPr>
        <w:t>。</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（二）部门财政资金支出情况。</w:t>
      </w:r>
    </w:p>
    <w:p>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20年度财政拨款支出1627.79万元，与</w:t>
      </w:r>
      <w:r>
        <w:rPr>
          <w:rFonts w:ascii="仿宋_GB2312" w:eastAsia="仿宋_GB2312"/>
          <w:color w:val="000000"/>
          <w:sz w:val="32"/>
          <w:szCs w:val="32"/>
        </w:rPr>
        <w:t>201</w:t>
      </w:r>
      <w:r>
        <w:rPr>
          <w:rFonts w:ascii="仿宋_GB2312" w:eastAsia="仿宋_GB2312" w:hint="eastAsia"/>
          <w:color w:val="000000"/>
          <w:sz w:val="32"/>
          <w:szCs w:val="32"/>
        </w:rPr>
        <w:t>9年相比，财政拨款支出减少380.11万元，增加30.46</w:t>
      </w:r>
      <w:r>
        <w:rPr>
          <w:rFonts w:ascii="仿宋_GB2312" w:eastAsia="仿宋_GB2312"/>
          <w:color w:val="000000"/>
          <w:sz w:val="32"/>
          <w:szCs w:val="32"/>
        </w:rPr>
        <w:t>%</w:t>
      </w:r>
      <w:r>
        <w:rPr>
          <w:rFonts w:ascii="仿宋_GB2312" w:eastAsia="仿宋_GB2312" w:hint="eastAsia"/>
          <w:color w:val="000000"/>
          <w:sz w:val="32"/>
          <w:szCs w:val="32"/>
        </w:rPr>
        <w:t>。</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（一）部门预算管理。</w:t>
      </w:r>
    </w:p>
    <w:p>
      <w:pPr>
        <w:widowControl/>
        <w:adjustRightInd w:val="0"/>
        <w:snapToGrid w:val="0"/>
        <w:spacing w:line="580" w:lineRule="exact"/>
        <w:ind w:firstLineChars="200" w:firstLine="640"/>
        <w:contextualSpacing/>
        <w:jc w:val="left"/>
        <w:rPr>
          <w:rFonts w:ascii="仿宋_GB2312" w:eastAsia="仿宋_GB2312"/>
          <w:bCs/>
          <w:color w:val="000000"/>
          <w:kern w:val="0"/>
          <w:sz w:val="32"/>
          <w:szCs w:val="32"/>
        </w:rPr>
      </w:pPr>
      <w:r>
        <w:rPr>
          <w:rFonts w:ascii="仿宋_GB2312" w:eastAsia="仿宋_GB2312" w:hint="eastAsia"/>
          <w:bCs/>
          <w:color w:val="000000"/>
          <w:kern w:val="0"/>
          <w:sz w:val="32"/>
          <w:szCs w:val="32"/>
        </w:rPr>
        <w:t>2020年利州区应急局部门整体支出资金绩效评价总体良好，主要体现在：预算编制及时，认真执行各项财经纪律，财务管理内控制度健全，资金使用规范，无乱发津补贴、奖金现象。</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（二）专项预算管理。</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我局专项资金按照文件规定申请申报；所提交的文件、材料符合相关要求，事前经过了内部控制领导小组审核，分管财务领导审核、局长审批，并达到预期效果。同时，我局严格按照上级部门及本级财政专项工作资金的相关规定办法进行开支，做到专款专用，无挪用、占用、套取的现象发生。</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（三）结果应用情况。</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根据自评结果，2020年度部门整体预算绩效质量好，既保障了本单位职工正常办公和生活秩序，工资薪金正常发放，又顺利完成各项统计工作任务，同时严肃预算管理，保障各项工作顺利开展，严格履行法定职责，圆满完成了区委、区政府部署的工作任务，准确评价了各项指标的完成情况，群众满意度高。</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四、评价结论及建议</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（一）评价结论。</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2020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（二）存在问题。</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在资金使用计划上有待进一步加强,要进一步细化预算编制,编制范围尽可能全面，不漏项。进一步提高预算编制的科学性、合理性、严谨性和可控性。</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（三）改进建议。</w:t>
      </w:r>
    </w:p>
    <w:p>
      <w:pPr>
        <w:spacing w:line="580" w:lineRule="exact"/>
        <w:ind w:firstLineChars="200" w:firstLine="640"/>
        <w:rPr>
          <w:rFonts w:ascii="仿宋_GB2312" w:eastAsia="仿宋_GB2312"/>
          <w:bCs/>
          <w:color w:val="000000"/>
          <w:kern w:val="0"/>
          <w:sz w:val="32"/>
          <w:szCs w:val="32"/>
        </w:rPr>
      </w:pPr>
      <w:r>
        <w:rPr>
          <w:rFonts w:ascii="仿宋_GB2312" w:eastAsia="仿宋_GB2312" w:hint="eastAsia"/>
          <w:bCs/>
          <w:color w:val="000000"/>
          <w:kern w:val="0"/>
          <w:sz w:val="32"/>
          <w:szCs w:val="32"/>
        </w:rPr>
        <w:t>加强预算编制的前瞻性，进一步优化预算编制，避免项目支出与基本支出划分不准或预算支出与实际执行出现较大偏差的情况，执行中确需调剂预算的，按规定程序报经批准。</w:t>
      </w:r>
    </w:p>
    <w:p>
      <w:pPr>
        <w:spacing w:line="576" w:lineRule="exact"/>
        <w:jc w:val="left"/>
        <w:rPr>
          <w:rFonts w:ascii="方正小标宋简体" w:eastAsia="方正小标宋简体" w:hAnsi="仿宋"/>
          <w:sz w:val="44"/>
          <w:szCs w:val="44"/>
        </w:rPr>
      </w:pPr>
    </w:p>
    <w:p>
      <w:pPr>
        <w:spacing w:line="576" w:lineRule="exact"/>
        <w:jc w:val="left"/>
        <w:rPr>
          <w:rFonts w:ascii="方正小标宋简体" w:eastAsia="方正小标宋简体" w:hAnsi="仿宋"/>
          <w:sz w:val="44"/>
          <w:szCs w:val="44"/>
        </w:rPr>
      </w:pPr>
    </w:p>
    <w:p>
      <w:pPr>
        <w:spacing w:line="576" w:lineRule="exact"/>
        <w:jc w:val="left"/>
        <w:rPr>
          <w:rFonts w:ascii="方正小标宋简体" w:eastAsia="方正小标宋简体" w:hAnsi="仿宋"/>
          <w:sz w:val="44"/>
          <w:szCs w:val="44"/>
        </w:rPr>
      </w:pPr>
    </w:p>
    <w:p>
      <w:pPr>
        <w:spacing w:line="576" w:lineRule="exact"/>
        <w:jc w:val="left"/>
        <w:rPr>
          <w:rFonts w:ascii="方正小标宋简体" w:eastAsia="方正小标宋简体" w:hAnsi="仿宋"/>
          <w:sz w:val="44"/>
          <w:szCs w:val="44"/>
        </w:rPr>
      </w:pPr>
    </w:p>
    <w:p>
      <w:pPr>
        <w:spacing w:line="576" w:lineRule="exact"/>
        <w:jc w:val="left"/>
        <w:rPr>
          <w:rFonts w:ascii="方正小标宋简体" w:eastAsia="方正小标宋简体" w:hAnsi="仿宋"/>
          <w:sz w:val="44"/>
          <w:szCs w:val="44"/>
        </w:rPr>
      </w:pPr>
      <w:r>
        <w:rPr>
          <w:rFonts w:ascii="方正小标宋简体" w:eastAsia="方正小标宋简体" w:hAnsi="仿宋" w:hint="eastAsia"/>
          <w:sz w:val="44"/>
          <w:szCs w:val="44"/>
        </w:rPr>
        <w:t>附件1：</w:t>
      </w:r>
    </w:p>
    <w:p>
      <w:pPr>
        <w:spacing w:line="580" w:lineRule="exact"/>
        <w:ind w:firstLineChars="200" w:firstLine="640"/>
        <w:rPr>
          <w:rFonts w:ascii="仿宋_GB2312" w:eastAsia="仿宋_GB2312" w:cs="仿宋_GB2312" w:hAnsi="仿宋_GB2312"/>
          <w:sz w:val="32"/>
          <w:szCs w:val="32"/>
        </w:rPr>
      </w:pPr>
    </w:p>
    <w:p>
      <w:pPr>
        <w:spacing w:line="576"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关于煤矿安全监管、安全教育绩效评价</w:t>
      </w:r>
    </w:p>
    <w:p>
      <w:pPr>
        <w:spacing w:line="576"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自 评 报 告</w:t>
      </w:r>
    </w:p>
    <w:p>
      <w:pPr>
        <w:spacing w:line="576" w:lineRule="exact"/>
        <w:ind w:firstLineChars="200" w:firstLine="640"/>
        <w:rPr>
          <w:rFonts w:ascii="仿宋" w:eastAsia="仿宋" w:hAnsi="仿宋"/>
          <w:sz w:val="32"/>
          <w:szCs w:val="32"/>
        </w:rPr>
      </w:pPr>
    </w:p>
    <w:p>
      <w:pPr>
        <w:spacing w:line="576" w:lineRule="exact"/>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2016</w:t>
      </w:r>
      <w:r>
        <w:rPr>
          <w:rFonts w:ascii="仿宋" w:eastAsia="仿宋" w:hAnsi="仿宋" w:hint="eastAsia"/>
          <w:sz w:val="32"/>
          <w:szCs w:val="32"/>
        </w:rPr>
        <w:t>年财政支出绩效评价工作方案的通知》（广利财绩〔</w:t>
      </w:r>
      <w:r>
        <w:rPr>
          <w:rFonts w:ascii="仿宋" w:eastAsia="仿宋" w:hAnsi="仿宋"/>
          <w:sz w:val="32"/>
          <w:szCs w:val="32"/>
        </w:rPr>
        <w:t>2016</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号）文件的要求，我局高度重视，针对绩效考评的内容，结合资金使用实际，认真的进行绩效自我评价。现将自评情况报告如下。</w:t>
      </w:r>
    </w:p>
    <w:p>
      <w:pPr>
        <w:spacing w:line="576" w:lineRule="exact"/>
        <w:ind w:firstLineChars="200" w:firstLine="640"/>
        <w:rPr>
          <w:rFonts w:ascii="黑体" w:eastAsia="黑体" w:hAnsi="黑体"/>
          <w:sz w:val="32"/>
          <w:szCs w:val="32"/>
        </w:rPr>
      </w:pPr>
      <w:r>
        <w:rPr>
          <w:rFonts w:ascii="黑体" w:eastAsia="黑体" w:hAnsi="黑体" w:hint="eastAsia"/>
          <w:sz w:val="32"/>
          <w:szCs w:val="32"/>
        </w:rPr>
        <w:t>一、项目概况</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主管部门管理职能。牢固树立安全发展理念，坚持标本兼治，综合治理，源头管控的原则，从严落实监管主责任和企业安全生产主体责任，努力建造一支素质高、业务精、作风优的监管执法队伍，为我区煤炭产业安全有序发展奠定良好的基础。</w:t>
      </w:r>
    </w:p>
    <w:p>
      <w:pPr>
        <w:spacing w:line="576" w:lineRule="exact"/>
        <w:ind w:firstLineChars="200" w:firstLine="640"/>
        <w:rPr>
          <w:rFonts w:ascii="黑体" w:eastAsia="黑体" w:hAnsi="黑体"/>
          <w:sz w:val="32"/>
          <w:szCs w:val="32"/>
        </w:rPr>
      </w:pPr>
      <w:r>
        <w:rPr>
          <w:rFonts w:ascii="黑体" w:eastAsia="黑体" w:hAnsi="黑体" w:hint="eastAsia"/>
          <w:sz w:val="32"/>
          <w:szCs w:val="32"/>
        </w:rPr>
        <w:t>二、部门财政资金收支情况</w:t>
      </w:r>
    </w:p>
    <w:p>
      <w:pPr>
        <w:spacing w:line="576" w:lineRule="exact"/>
        <w:ind w:firstLineChars="200" w:firstLine="640"/>
        <w:rPr>
          <w:rFonts w:ascii="楷体" w:eastAsia="楷体" w:hAnsi="楷体"/>
          <w:sz w:val="32"/>
          <w:szCs w:val="32"/>
        </w:rPr>
      </w:pPr>
      <w:r>
        <w:rPr>
          <w:rFonts w:ascii="楷体" w:eastAsia="楷体" w:hAnsi="楷体" w:hint="eastAsia"/>
          <w:sz w:val="32"/>
          <w:szCs w:val="32"/>
        </w:rPr>
        <w:t>（一）财政资金收入情况</w:t>
      </w:r>
    </w:p>
    <w:p>
      <w:pPr>
        <w:spacing w:line="576"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资金计划及到位。区级专项资金每年年初预算8万元， 2020年该项目主要用于煤矿安全检查、煤矿执法取证、监管人员培训费、煤矿维稳、等煤矿多方面的资金。</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（二）财政资金支出情况：2020年1-12月拨付资金共计8万元资金到位100%。</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（三）资金管理及使用范围。我局财务人员严格监管资金使用，做到专款专用，跟踪资金使用必须建立专户进行管理，并接受国家、地方有关部门的监督、审计、稽查。</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四）专项预算管理：为进一步提高财政预算管理精细化水平，加强基本建设预算管理，提高预算编制科学性，合理性，更好地发挥财政资金使用效益，区级专项资金到位后，我局严格按照专款专用的原则，实行单独建账，独立核算，专人专账，专项管理，严格按财务审批手续制度审核。严禁</w:t>
      </w:r>
      <w:r>
        <w:rPr>
          <w:rFonts w:ascii="仿宋" w:eastAsia="仿宋" w:hAnsi="仿宋" w:hint="eastAsia"/>
          <w:sz w:val="32"/>
          <w:szCs w:val="32"/>
          <w:lang w:eastAsia="zh-CN"/>
        </w:rPr>
        <w:t>挪作他用</w:t>
      </w:r>
      <w:r>
        <w:rPr>
          <w:rFonts w:ascii="仿宋" w:eastAsia="仿宋" w:hAnsi="仿宋" w:hint="eastAsia"/>
          <w:sz w:val="32"/>
          <w:szCs w:val="32"/>
        </w:rPr>
        <w:t>和资金截留。</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w:t>
      </w:r>
      <w:r>
        <w:rPr>
          <w:rFonts w:ascii="仿宋" w:eastAsia="仿宋" w:cs="仿宋_GB2312" w:hAnsi="仿宋"/>
          <w:sz w:val="32"/>
          <w:szCs w:val="32"/>
        </w:rPr>
        <w:t>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的实施有利于推进企业安全生产标准化建设，进一步提高企业安全生产管理水平和企业本质安全能力，强化安全生产应急救援保障工作，进一步降低企业发生生产安全事故的机率，及时调查和处理各类生产安全事故，确保全</w:t>
      </w:r>
      <w:r>
        <w:rPr>
          <w:rFonts w:ascii="仿宋" w:eastAsia="仿宋" w:cs="仿宋_GB2312" w:hAnsi="仿宋" w:hint="eastAsia"/>
          <w:sz w:val="32"/>
          <w:szCs w:val="32"/>
        </w:rPr>
        <w:t>区</w:t>
      </w:r>
      <w:r>
        <w:rPr>
          <w:rFonts w:ascii="仿宋" w:eastAsia="仿宋" w:cs="仿宋_GB2312" w:hAnsi="仿宋"/>
          <w:sz w:val="32"/>
          <w:szCs w:val="32"/>
        </w:rPr>
        <w:t>安全生产持续保持稳定。通过开展安全生产宣传</w:t>
      </w:r>
      <w:r>
        <w:rPr>
          <w:rFonts w:ascii="仿宋" w:eastAsia="仿宋" w:cs="仿宋_GB2312" w:hAnsi="仿宋" w:hint="eastAsia"/>
          <w:sz w:val="32"/>
          <w:szCs w:val="32"/>
        </w:rPr>
        <w:t>、检查</w:t>
      </w:r>
      <w:r>
        <w:rPr>
          <w:rFonts w:ascii="仿宋" w:eastAsia="仿宋" w:cs="仿宋_GB2312" w:hAnsi="仿宋"/>
          <w:sz w:val="32"/>
          <w:szCs w:val="32"/>
        </w:rPr>
        <w:t>、培训、有利于提高全民安全意识，进一步促进安全生产工作顺利开展。</w:t>
      </w:r>
      <w:r>
        <w:rPr>
          <w:rFonts w:ascii="仿宋" w:eastAsia="仿宋" w:cs="仿宋_GB2312" w:hAnsi="仿宋" w:hint="eastAsia"/>
          <w:sz w:val="32"/>
          <w:szCs w:val="32"/>
        </w:rPr>
        <w:t>根据中共中央办公厅 国务院办公厅印发《地方党政领导干部安全生产责任制规定》 及中共四川省委办公厅、四川省人民政府办公厅关于党政领导干部安全生产责任制实施细则（川委办〔2018〕27号），设立安全生产专项资金并列入本级财政预算、与财政收入保持同步增长。</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该笔专项资金使用、管理,程序规范、结果透明。资金到位率高、到位基本及时、资金专用率高、基本无挤占、挪用。通过该项目的实施,增强了全民安全意识, 进一步夯实了全区安全生产基础工作,提升了应急管理水平和应急救援能力,有效地降低、遏制了事故的发生,提高了安全监管工作的科学化、精细化、标准化和信息化水平,取得了明显的经济收益和社会效益。</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项目评价通过数量指标、质量指标、时效指标、经济效益指标、社会效益指标、群众满意度指标进行评价。项目资金到位率高、到位基本及时、资金专用率高、基本无挤占、挪用。</w:t>
      </w:r>
    </w:p>
    <w:p>
      <w:pPr>
        <w:spacing w:line="576" w:lineRule="exact"/>
        <w:ind w:firstLineChars="200" w:firstLine="640"/>
        <w:rPr>
          <w:rFonts w:ascii="黑体" w:eastAsia="黑体" w:hAnsi="黑体"/>
          <w:sz w:val="32"/>
          <w:szCs w:val="32"/>
        </w:rPr>
      </w:pPr>
      <w:r>
        <w:rPr>
          <w:rFonts w:ascii="黑体" w:eastAsia="黑体" w:hAnsi="黑体" w:hint="eastAsia"/>
          <w:sz w:val="32"/>
          <w:szCs w:val="32"/>
        </w:rPr>
        <w:t>三、目标完成情况</w:t>
      </w:r>
    </w:p>
    <w:p>
      <w:pPr>
        <w:spacing w:line="576" w:lineRule="exact"/>
        <w:ind w:firstLineChars="200" w:firstLine="640"/>
        <w:rPr>
          <w:rFonts w:ascii="楷体" w:eastAsia="楷体" w:hAnsi="楷体"/>
          <w:sz w:val="32"/>
          <w:szCs w:val="32"/>
        </w:rPr>
      </w:pPr>
      <w:r>
        <w:rPr>
          <w:rFonts w:ascii="楷体" w:eastAsia="楷体" w:hAnsi="楷体" w:hint="eastAsia"/>
          <w:sz w:val="32"/>
          <w:szCs w:val="32"/>
        </w:rPr>
        <w:t>（一）目标任务量完成情况</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对照计划目标，预计</w:t>
      </w:r>
      <w:r>
        <w:rPr>
          <w:rFonts w:ascii="仿宋" w:eastAsia="仿宋" w:hAnsi="仿宋"/>
          <w:sz w:val="32"/>
          <w:szCs w:val="32"/>
        </w:rPr>
        <w:t>20</w:t>
      </w:r>
      <w:r>
        <w:rPr>
          <w:rFonts w:ascii="仿宋" w:eastAsia="仿宋" w:hAnsi="仿宋" w:hint="eastAsia"/>
          <w:sz w:val="32"/>
          <w:szCs w:val="32"/>
        </w:rPr>
        <w:t>20年底完成任务。</w:t>
      </w:r>
    </w:p>
    <w:p>
      <w:pPr>
        <w:spacing w:line="576" w:lineRule="exact"/>
        <w:ind w:firstLineChars="200" w:firstLine="640"/>
        <w:rPr>
          <w:rFonts w:ascii="楷体" w:eastAsia="楷体" w:hAnsi="楷体"/>
          <w:sz w:val="32"/>
          <w:szCs w:val="32"/>
        </w:rPr>
      </w:pPr>
      <w:r>
        <w:rPr>
          <w:rFonts w:ascii="楷体" w:eastAsia="楷体" w:hAnsi="楷体" w:hint="eastAsia"/>
          <w:sz w:val="32"/>
          <w:szCs w:val="32"/>
        </w:rPr>
        <w:t>（二）目标进度完成情况</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对照计划目标，按照预期进度安排，于</w:t>
      </w:r>
      <w:r>
        <w:rPr>
          <w:rFonts w:ascii="仿宋" w:eastAsia="仿宋" w:hAnsi="仿宋"/>
          <w:sz w:val="32"/>
          <w:szCs w:val="32"/>
        </w:rPr>
        <w:t>20</w:t>
      </w:r>
      <w:r>
        <w:rPr>
          <w:rFonts w:ascii="仿宋" w:eastAsia="仿宋" w:hAnsi="仿宋" w:hint="eastAsia"/>
          <w:sz w:val="32"/>
          <w:szCs w:val="32"/>
        </w:rPr>
        <w:t>20年年底完成目标任务。</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存在的问题及建议：进一步改进管理措施，提高管理水平，二是将绩效评价结果作为以后安排预算的依据，优化资源配置，三是将才评价结果按照政府信息公开的方式进行公开，加强社会公众对财政资金使用效益的监督。</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jc w:val="left"/>
        <w:rPr>
          <w:rFonts w:ascii="黑体" w:eastAsia="黑体" w:cs="方正小标宋简体" w:hAnsi="黑体"/>
          <w:sz w:val="44"/>
          <w:szCs w:val="44"/>
        </w:rPr>
      </w:pPr>
      <w:r>
        <w:rPr>
          <w:rFonts w:ascii="黑体" w:eastAsia="黑体" w:cs="方正小标宋简体" w:hAnsi="黑体" w:hint="eastAsia"/>
          <w:sz w:val="44"/>
          <w:szCs w:val="44"/>
        </w:rPr>
        <w:t>附件2</w:t>
      </w:r>
    </w:p>
    <w:p>
      <w:pPr>
        <w:spacing w:line="580" w:lineRule="exact"/>
        <w:rPr>
          <w:rFonts w:ascii="仿宋_GB2312" w:eastAsia="仿宋_GB2312" w:cs="仿宋_GB2312" w:hAnsi="仿宋_GB2312"/>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2020年其他扶贫项目（第一书记工作经费）支出绩效评价报告</w:t>
      </w:r>
    </w:p>
    <w:p>
      <w:pPr>
        <w:spacing w:line="580" w:lineRule="exact"/>
        <w:ind w:firstLineChars="200" w:firstLine="640"/>
        <w:rPr>
          <w:rFonts w:ascii="仿宋" w:eastAsia="仿宋" w:cs="仿宋_GB2312" w:hAnsi="仿宋"/>
          <w:b/>
          <w:sz w:val="32"/>
          <w:szCs w:val="32"/>
        </w:rPr>
      </w:pP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一</w:t>
      </w:r>
      <w:r>
        <w:rPr>
          <w:rFonts w:ascii="仿宋" w:eastAsia="仿宋" w:cs="仿宋_GB2312" w:hAnsi="仿宋"/>
          <w:b/>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我局共有帮扶村4个（其中贫困村2个，荣山二重岩村；白朝永久村，非贫困村2个，荣山岩窝村，赤化白朝村），2020年区财政预算安排第一书记工作经费专项资金1万元，该资金主要用于第一书记购买办公用品，资料印刷等，慰问困难党员群众，订购第一书记提升能力、党员群众教育的各类报刊资料，开展党组织活动，以及其他与第一书记工作相关的支出。</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二</w:t>
      </w:r>
      <w:r>
        <w:rPr>
          <w:rFonts w:ascii="仿宋" w:eastAsia="仿宋" w:cs="仿宋_GB2312" w:hAnsi="仿宋"/>
          <w:b/>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600" w:lineRule="exact"/>
        <w:ind w:firstLineChars="200" w:firstLine="640"/>
        <w:rPr>
          <w:rFonts w:ascii="仿宋_GB2312" w:eastAsia="仿宋_GB2312" w:cs="仿宋_GB2312" w:hAnsi="仿宋_GB2312"/>
          <w:color w:val="000000"/>
          <w:sz w:val="32"/>
          <w:szCs w:val="32"/>
        </w:rPr>
      </w:pPr>
      <w:r>
        <w:rPr>
          <w:rFonts w:ascii="仿宋" w:eastAsia="仿宋" w:cs="仿宋_GB2312" w:hAnsi="仿宋" w:hint="eastAsia"/>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根据广利组通〔2015〕146号文件要求，要切实落实第一书记的生活工作保障，足额保障第一书记的工作经费。按照分级负责、分级保障的原则，列入年度单位预算。</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笔专项资金使用、管理,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项目评价通过数量指标、质量指标、时效指标、成本指标、经济效益指标、社会效益指标、群众满意度指标进行评价。项目资金到位率高、到位基本及时、资金专用率高、基本无挤占、挪用。</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三</w:t>
      </w:r>
      <w:r>
        <w:rPr>
          <w:rFonts w:ascii="仿宋" w:eastAsia="仿宋" w:cs="仿宋_GB2312" w:hAnsi="仿宋"/>
          <w:b/>
          <w:sz w:val="32"/>
          <w:szCs w:val="32"/>
        </w:rPr>
        <w:t>、存在主要问题</w:t>
      </w:r>
    </w:p>
    <w:p>
      <w:pPr>
        <w:pStyle w:val="24"/>
        <w:spacing w:before="93"/>
        <w:ind w:leftChars="0" w:left="0"/>
        <w:rPr>
          <w:rFonts w:ascii="仿宋" w:eastAsia="仿宋" w:cs="仿宋_GB2312" w:hAnsi="仿宋"/>
          <w:sz w:val="32"/>
          <w:szCs w:val="32"/>
        </w:rPr>
      </w:pPr>
      <w:r>
        <w:rPr>
          <w:rFonts w:ascii="仿宋" w:eastAsia="仿宋" w:cs="仿宋_GB2312" w:hAnsi="仿宋" w:hint="eastAsia"/>
          <w:sz w:val="32"/>
          <w:szCs w:val="32"/>
        </w:rPr>
        <w:t>项目资金预算不够，机关经费补贴严重不足。</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四</w:t>
      </w:r>
      <w:r>
        <w:rPr>
          <w:rFonts w:ascii="仿宋" w:eastAsia="仿宋" w:cs="仿宋_GB2312" w:hAnsi="仿宋"/>
          <w:b/>
          <w:sz w:val="32"/>
          <w:szCs w:val="32"/>
        </w:rPr>
        <w:t>、相关措施建议</w:t>
      </w:r>
    </w:p>
    <w:p>
      <w:pPr>
        <w:pStyle w:val="24"/>
        <w:spacing w:before="93"/>
        <w:ind w:leftChars="0" w:left="0"/>
        <w:rPr>
          <w:rFonts w:ascii="仿宋" w:eastAsia="仿宋" w:cs="仿宋_GB2312" w:hAnsi="仿宋"/>
          <w:sz w:val="32"/>
          <w:szCs w:val="32"/>
        </w:rPr>
      </w:pPr>
      <w:r>
        <w:rPr>
          <w:rFonts w:ascii="仿宋" w:eastAsia="仿宋" w:cs="仿宋_GB2312" w:hAnsi="仿宋" w:hint="eastAsia"/>
          <w:sz w:val="32"/>
          <w:szCs w:val="32"/>
        </w:rPr>
        <w:t>建议增加预算资金。</w:t>
      </w:r>
    </w:p>
    <w:p>
      <w:pPr>
        <w:spacing w:line="600" w:lineRule="exact"/>
        <w:rPr>
          <w:rFonts w:ascii="宋体" w:hAnsi="宋体"/>
          <w:sz w:val="32"/>
          <w:szCs w:val="32"/>
          <w:lang w:val="zh-CN"/>
        </w:rPr>
      </w:pPr>
    </w:p>
    <w:p>
      <w:pPr>
        <w:widowControl/>
        <w:jc w:val="left"/>
        <w:rPr>
          <w:rStyle w:val="1Char"/>
          <w:rFonts w:ascii="黑体" w:eastAsia="黑体" w:hAnsi="黑体"/>
          <w:b w:val="0"/>
        </w:rPr>
      </w:pPr>
    </w:p>
    <w:p>
      <w:pPr>
        <w:spacing w:line="580" w:lineRule="exact"/>
        <w:jc w:val="left"/>
        <w:rPr>
          <w:rFonts w:ascii="黑体" w:eastAsia="黑体" w:cs="方正小标宋简体" w:hAnsi="黑体"/>
          <w:sz w:val="44"/>
          <w:szCs w:val="44"/>
        </w:rPr>
      </w:pPr>
      <w:r>
        <w:rPr>
          <w:rStyle w:val="1Char"/>
          <w:rFonts w:ascii="黑体" w:eastAsia="黑体" w:hAnsi="黑体"/>
        </w:rPr>
        <w:br w:type="page"/>
      </w:r>
      <w:r>
        <w:rPr>
          <w:rFonts w:ascii="黑体" w:eastAsia="黑体" w:cs="方正小标宋简体" w:hAnsi="黑体" w:hint="eastAsia"/>
          <w:sz w:val="44"/>
          <w:szCs w:val="44"/>
        </w:rPr>
        <w:t>附件3</w:t>
      </w:r>
    </w:p>
    <w:p>
      <w:pPr>
        <w:spacing w:line="580" w:lineRule="exact"/>
        <w:jc w:val="left"/>
        <w:rPr>
          <w:rFonts w:ascii="仿宋" w:eastAsia="仿宋" w:hAnsi="仿宋"/>
          <w:sz w:val="32"/>
          <w:szCs w:val="32"/>
        </w:rPr>
      </w:pP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2020年区域自动气象站维护及天气预报播出项目支出绩效评价报告</w:t>
      </w:r>
    </w:p>
    <w:p>
      <w:pPr>
        <w:jc w:val="left"/>
        <w:rPr>
          <w:rFonts w:ascii="仿宋" w:eastAsia="仿宋" w:hAnsi="仿宋"/>
          <w:sz w:val="32"/>
          <w:szCs w:val="32"/>
        </w:rPr>
      </w:pP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一</w:t>
      </w:r>
      <w:r>
        <w:rPr>
          <w:rFonts w:ascii="仿宋" w:eastAsia="仿宋" w:cs="仿宋_GB2312" w:hAnsi="仿宋"/>
          <w:b/>
          <w:sz w:val="32"/>
          <w:szCs w:val="32"/>
        </w:rPr>
        <w:t>、评价工作开展及项目情况</w:t>
      </w:r>
    </w:p>
    <w:p>
      <w:pPr>
        <w:spacing w:line="580" w:lineRule="exact"/>
        <w:ind w:firstLineChars="200" w:firstLine="640"/>
        <w:rPr>
          <w:rFonts w:ascii="仿宋" w:eastAsia="仿宋" w:hAnsi="仿宋"/>
          <w:sz w:val="32"/>
          <w:szCs w:val="32"/>
        </w:rPr>
      </w:pPr>
      <w:r>
        <w:rPr>
          <w:rFonts w:ascii="仿宋" w:eastAsia="仿宋" w:hAnsi="仿宋" w:hint="eastAsia"/>
          <w:sz w:val="32"/>
          <w:szCs w:val="32"/>
        </w:rPr>
        <w:t>区域自动气象站维护及天气预报播出资金项目绩效目标完成情况综述。该项目</w:t>
      </w:r>
      <w:r>
        <w:rPr>
          <w:rFonts w:ascii="仿宋" w:eastAsia="仿宋" w:hAnsi="仿宋" w:hint="eastAsia"/>
          <w:color w:val="000000"/>
          <w:sz w:val="32"/>
          <w:szCs w:val="32"/>
          <w14:textFill>
            <w14:solidFill>
              <w14:srgbClr w14:val="000000"/>
            </w14:solidFill>
          </w14:textFill>
        </w:rPr>
        <w:t>主要用于信息传输和设备和维护维修费及天气预报、气象预警信</w:t>
      </w:r>
      <w:r>
        <w:rPr>
          <w:rFonts w:ascii="仿宋" w:eastAsia="仿宋" w:hAnsi="仿宋" w:hint="eastAsia"/>
          <w:sz w:val="32"/>
          <w:szCs w:val="32"/>
        </w:rPr>
        <w:t>号、森林防火等信息发布。项目总体目标：保障气象业务的正常运行，气象防灾减灾工作的正常有序开展，有利于获得连续性气象要素，更好地为社会公众及政府提供有价值的气象信息。提高政府部门联运能力，更好地为气象防灾减灾工作提供政府决策气象服务，增加气象防灾减灾能力，增加气象为农服务，减少因气象灾害造成的经济损失。</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二</w:t>
      </w:r>
      <w:r>
        <w:rPr>
          <w:rFonts w:ascii="仿宋" w:eastAsia="仿宋" w:cs="仿宋_GB2312" w:hAnsi="仿宋"/>
          <w:b/>
          <w:sz w:val="32"/>
          <w:szCs w:val="32"/>
        </w:rPr>
        <w:t>、评价结论及绩效分析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60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气象业务正常运作，有利于准确监测预报预警气象灾害发生发展的强降水灾害性天气，及时发布预警服务信息，有利于最大限度地减少灾害造成的人员伤亡和财产损失，减少受灾人口，有利于社会稳定，保证社会正常生产和生活活动，从而促进当地社会的可持续发展。</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该笔专项资金使用、管理,程序规范、结果透明。资金到位率高、到位基本及时、资金专用率高、无挤占、挪用等情况。</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3、项目绩效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项目评价通过数量指标、质量指标、时效指标、成本指标、经济效益指标、社会效益指标、群众满意度指标进行评价。项目资金到位率高、到位基本及时、资金专用率高、基本无挤占、挪用。</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三</w:t>
      </w:r>
      <w:r>
        <w:rPr>
          <w:rFonts w:ascii="仿宋" w:eastAsia="仿宋" w:cs="仿宋_GB2312" w:hAnsi="仿宋"/>
          <w:b/>
          <w:sz w:val="32"/>
          <w:szCs w:val="32"/>
        </w:rPr>
        <w:t>、存在主要问题</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1、项目执行虽按预期进度和目标完成，但是略显效率低。2、项目各细化资金实际支出金额与预算存在有些差异。</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四</w:t>
      </w:r>
      <w:r>
        <w:rPr>
          <w:rFonts w:ascii="仿宋" w:eastAsia="仿宋" w:cs="仿宋_GB2312" w:hAnsi="仿宋"/>
          <w:b/>
          <w:sz w:val="32"/>
          <w:szCs w:val="32"/>
        </w:rPr>
        <w:t>、相关措施建议</w:t>
      </w:r>
    </w:p>
    <w:p>
      <w:pPr>
        <w:pStyle w:val="24"/>
        <w:spacing w:before="93"/>
        <w:ind w:leftChars="0" w:left="0"/>
        <w:rPr>
          <w:rFonts w:ascii="仿宋" w:eastAsia="仿宋" w:cs="仿宋_GB2312" w:hAnsi="仿宋"/>
          <w:sz w:val="32"/>
          <w:szCs w:val="32"/>
        </w:rPr>
      </w:pPr>
      <w:r>
        <w:rPr>
          <w:rFonts w:ascii="仿宋" w:eastAsia="仿宋" w:cs="仿宋_GB2312" w:hAnsi="仿宋" w:hint="eastAsia"/>
          <w:sz w:val="32"/>
          <w:szCs w:val="32"/>
        </w:rPr>
        <w:t>1、加大对执行过程中沟通、工作督察、指导、及时纠偏、提高资金使用效益。</w:t>
      </w:r>
    </w:p>
    <w:p>
      <w:pPr>
        <w:pStyle w:val="24"/>
        <w:spacing w:before="93"/>
        <w:ind w:leftChars="0" w:left="0"/>
        <w:rPr>
          <w:rFonts w:ascii="仿宋" w:eastAsia="仿宋" w:cs="仿宋_GB2312" w:hAnsi="仿宋"/>
          <w:sz w:val="32"/>
          <w:szCs w:val="32"/>
        </w:rPr>
      </w:pPr>
      <w:r>
        <w:rPr>
          <w:rFonts w:ascii="仿宋" w:eastAsia="仿宋" w:cs="仿宋_GB2312" w:hAnsi="仿宋" w:hint="eastAsia"/>
          <w:sz w:val="32"/>
          <w:szCs w:val="32"/>
        </w:rPr>
        <w:t>2、逐步细化完善绩效管理功能，提高项目管理水平</w:t>
      </w:r>
    </w:p>
    <w:p>
      <w:pPr>
        <w:pStyle w:val="24"/>
        <w:spacing w:before="93"/>
        <w:ind w:leftChars="0" w:left="0"/>
        <w:rPr>
          <w:rFonts w:ascii="仿宋" w:eastAsia="仿宋" w:cs="仿宋_GB2312" w:hAnsi="仿宋"/>
          <w:bCs/>
          <w:sz w:val="32"/>
          <w:szCs w:val="32"/>
        </w:rPr>
      </w:pPr>
    </w:p>
    <w:p>
      <w:pPr>
        <w:pStyle w:val="24"/>
        <w:spacing w:before="93"/>
        <w:ind w:leftChars="0" w:left="0"/>
        <w:rPr>
          <w:rFonts w:ascii="仿宋" w:eastAsia="仿宋" w:cs="仿宋_GB2312" w:hAnsi="仿宋"/>
          <w:bCs/>
          <w:sz w:val="32"/>
          <w:szCs w:val="32"/>
        </w:rPr>
      </w:pPr>
    </w:p>
    <w:p>
      <w:pPr>
        <w:widowControl/>
        <w:ind w:firstLineChars="200" w:firstLine="640"/>
        <w:rPr>
          <w:rFonts w:ascii="仿宋" w:eastAsia="仿宋" w:hAnsi="仿宋"/>
          <w:sz w:val="32"/>
          <w:szCs w:val="32"/>
        </w:rPr>
      </w:pPr>
      <w:r>
        <w:rPr>
          <w:rFonts w:ascii="仿宋" w:eastAsia="仿宋" w:hAnsi="仿宋" w:hint="eastAsia"/>
          <w:sz w:val="32"/>
          <w:szCs w:val="32"/>
        </w:rPr>
        <w:t>附件4</w:t>
      </w:r>
    </w:p>
    <w:p>
      <w:pPr>
        <w:widowControl/>
        <w:jc w:val="center"/>
        <w:rPr>
          <w:rFonts w:ascii="宋体" w:cs="宋体" w:hAnsi="宋体"/>
          <w:b/>
          <w:color w:val="000000"/>
          <w:sz w:val="44"/>
          <w:szCs w:val="44"/>
        </w:rPr>
      </w:pPr>
      <w:r>
        <w:rPr>
          <w:rFonts w:ascii="宋体" w:cs="宋体" w:hAnsi="宋体" w:hint="eastAsia"/>
          <w:b/>
          <w:color w:val="000000"/>
          <w:sz w:val="44"/>
          <w:szCs w:val="44"/>
        </w:rPr>
        <w:t>2020年安全监管监察专项</w:t>
      </w:r>
    </w:p>
    <w:p>
      <w:pPr>
        <w:widowControl/>
        <w:jc w:val="center"/>
        <w:rPr>
          <w:rFonts w:ascii="仿宋" w:eastAsia="仿宋" w:hAnsi="仿宋"/>
          <w:b/>
          <w:sz w:val="44"/>
          <w:szCs w:val="44"/>
        </w:rPr>
      </w:pPr>
      <w:r>
        <w:rPr>
          <w:rFonts w:ascii="宋体" w:cs="宋体" w:hAnsi="宋体" w:hint="eastAsia"/>
          <w:b/>
          <w:color w:val="000000"/>
          <w:sz w:val="44"/>
          <w:szCs w:val="44"/>
        </w:rPr>
        <w:t>项目</w:t>
      </w:r>
      <w:r>
        <w:rPr>
          <w:rFonts w:ascii="黑体" w:eastAsia="黑体" w:cs="方正小标宋简体" w:hAnsi="黑体" w:hint="eastAsia"/>
          <w:sz w:val="44"/>
          <w:szCs w:val="44"/>
        </w:rPr>
        <w:t>支出绩效评价报告</w:t>
      </w:r>
    </w:p>
    <w:p>
      <w:pPr>
        <w:spacing w:line="580" w:lineRule="exact"/>
        <w:ind w:firstLineChars="200" w:firstLine="640"/>
        <w:rPr>
          <w:rFonts w:ascii="仿宋" w:eastAsia="仿宋" w:cs="仿宋_GB2312" w:hAnsi="仿宋"/>
          <w:b/>
          <w:sz w:val="32"/>
          <w:szCs w:val="32"/>
        </w:rPr>
      </w:pP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一</w:t>
      </w:r>
      <w:r>
        <w:rPr>
          <w:rFonts w:ascii="仿宋" w:eastAsia="仿宋" w:cs="仿宋_GB2312" w:hAnsi="仿宋"/>
          <w:b/>
          <w:sz w:val="32"/>
          <w:szCs w:val="32"/>
        </w:rPr>
        <w:t>、评价工作开展及项目情况</w:t>
      </w:r>
    </w:p>
    <w:p>
      <w:pPr>
        <w:widowControl/>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1.项目概况：为了构建“政府统一领导，部门依法执法，企业全面负责、群众监督与参与、全社会广泛参与”的安全生产中作格局，消除安全重大隐患，改善安全生产条件，防止重特大事故的发生。</w:t>
      </w:r>
    </w:p>
    <w:p>
      <w:pPr>
        <w:widowControl/>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具体实施范围：坚持安全发展理念和“生命至上、安全第一”的思想，以防范遏制重特大事故为目标，以安全生产双重预防控制体系建设为抓手，大力推进安全风险防控、隐患排查治理和基础能力建设，确保全区安全生产形势持续稳定。</w:t>
      </w:r>
    </w:p>
    <w:p>
      <w:pPr>
        <w:spacing w:line="580" w:lineRule="exact"/>
        <w:ind w:firstLineChars="200" w:firstLine="640"/>
        <w:rPr>
          <w:rFonts w:ascii="仿宋" w:eastAsia="仿宋" w:cs="仿宋_GB2312" w:hAnsi="仿宋"/>
          <w:b/>
          <w:sz w:val="32"/>
          <w:szCs w:val="32"/>
        </w:rPr>
      </w:pPr>
      <w:r>
        <w:rPr>
          <w:rFonts w:ascii="仿宋" w:eastAsia="仿宋" w:cs="仿宋_GB2312" w:hAnsi="仿宋" w:hint="eastAsia"/>
          <w:b/>
          <w:sz w:val="32"/>
          <w:szCs w:val="32"/>
        </w:rPr>
        <w:t>二</w:t>
      </w:r>
      <w:r>
        <w:rPr>
          <w:rFonts w:ascii="仿宋" w:eastAsia="仿宋" w:cs="仿宋_GB2312" w:hAnsi="仿宋"/>
          <w:b/>
          <w:sz w:val="32"/>
          <w:szCs w:val="32"/>
        </w:rPr>
        <w:t>、评价结论及绩效分析</w:t>
      </w:r>
    </w:p>
    <w:p>
      <w:pPr>
        <w:spacing w:line="68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1.绩效评价目的</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组织开展对应急管理局2020年度“安全监管监察”项目专项资金财政支出绩效评价工作主要是为了：</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（1）通过了解专项资金使用情况、项目组织管理实施情况、预期目标管理及完成等情况，着重了解专项资金支出带来的经济效益、社会效益及可持续影响。</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对项目的预期绩效目标与实际绩效目标进行比较，得出既定绩效目标的完成情况。对进行目标与实际工作不一致的内容进行原因分析，指出存在的问题，提出改进、完善的意见和建议，要求项目实施单位限期整改，从而提高项目综合效益。</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（3）通过绩效评价使得财政部门在组织安排财政专项资金时，能改进资金的管理办法，合理规划资金分配，进而提高资金的使用效率。</w:t>
      </w:r>
    </w:p>
    <w:p>
      <w:pPr>
        <w:spacing w:line="68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三、绩效评价指标分析情况</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（一）项目实施管理情况</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应急管理局对于“安全监管监察项目”的申报、审核、审批符合资金使用流程，对于具体项目的管理较好的完成了年初目标。采用划行业排查、全闭环管理模式，帮助企业防范、化解安全风险；安全隐患治理和应急救援演练、安全生产监管等支出中，对于下拨经费的项目实施存在重支出、轻绩效的监管不到位现象。</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（二）财务管理情况</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该项目资金使用和管理，较好的执行了专项财务管理制度，基本能按照年初目标使用专项资金。评价过程中没有发现挤占、截留、挪用、虚报、瞒报等违纪情况，审批程序和核算程序符合财务制度的规定，但对于下拨资金的支出进度及资金效益缺乏监督。</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（三）项目绩效情况分析</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（1）通过对该项目的绩效评价，该项目的实施，在消除隐患、改善安全生产条件、防止重特大事故、加强民众安全风险防范等方面起到了良好的社会效益，同时也保障了地方、企业的经济效益。</w:t>
        <w:br/>
        <w:t xml:space="preserve">    （2）根据项目的申报绩效目标与实际绩效目标进行比较，该项目基本按照年初申报目标实施，但也所偏离，通过和项目实施单位核实情况，建议在年初经费预算和绩效目标申报时进行调整。项目专项资金的管理还需精细化，项目实施单位作为预算绩效管理的责任主体，必须对下拨资金的使用全程跟踪负责，确保下拨每一笔资金花得安全、用得高效。</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（四）下一步改进措施</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加强专项资金监管，切实加强对项目资金投资方向，使用范围的审核，按规定程序和方式审核拨付资金。 </w:t>
      </w:r>
    </w:p>
    <w:p>
      <w:pPr>
        <w:spacing w:line="680" w:lineRule="exact"/>
        <w:ind w:firstLineChars="200" w:firstLine="640"/>
        <w:rPr>
          <w:rFonts w:ascii="仿宋_GB2312" w:eastAsia="仿宋_GB2312" w:cs="仿宋_GB2312" w:hAnsi="仿宋_GB2312"/>
          <w:b/>
          <w:bCs/>
          <w:sz w:val="32"/>
          <w:szCs w:val="32"/>
        </w:rPr>
      </w:pPr>
      <w:r>
        <w:rPr>
          <w:rFonts w:ascii="仿宋_GB2312" w:eastAsia="仿宋_GB2312" w:cs="仿宋_GB2312" w:hAnsi="仿宋_GB2312" w:hint="eastAsia"/>
          <w:b/>
          <w:bCs/>
          <w:sz w:val="32"/>
          <w:szCs w:val="32"/>
        </w:rPr>
        <w:t>四</w:t>
      </w:r>
      <w:r>
        <w:rPr>
          <w:rFonts w:ascii="仿宋_GB2312" w:eastAsia="仿宋_GB2312" w:cs="仿宋_GB2312" w:hAnsi="仿宋_GB2312"/>
          <w:b/>
          <w:bCs/>
          <w:sz w:val="32"/>
          <w:szCs w:val="32"/>
        </w:rPr>
        <w:t>、相关措施建议</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1、加大对执行过程中沟通、工作督察、指导、及时纠偏、提高资金使用效益。</w:t>
      </w:r>
    </w:p>
    <w:p>
      <w:pPr>
        <w:spacing w:line="6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2、逐步细化完善绩效管理功能，提高项目管理水平</w:t>
      </w:r>
    </w:p>
    <w:p>
      <w:pPr>
        <w:spacing w:line="600" w:lineRule="exact"/>
        <w:jc w:val="center"/>
        <w:outlineLvl w:val="0"/>
        <w:rPr>
          <w:rStyle w:val="1Char"/>
          <w:rFonts w:ascii="黑体" w:eastAsia="黑体" w:hAnsi="黑体"/>
          <w:b w:val="0"/>
        </w:rPr>
      </w:pPr>
    </w:p>
    <w:p>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rPr>
        <w:t>五部分 附表</w:t>
      </w:r>
      <w:bookmarkEnd w:id="47"/>
    </w:p>
    <w:p>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b w:val="0"/>
          <w:bCs w:val="0"/>
        </w:rPr>
        <w:t>入支出决算总表</w:t>
      </w:r>
    </w:p>
    <w:p>
      <w:pPr>
        <w:pStyle w:val="2"/>
        <w:rPr>
          <w:rFonts w:ascii="仿宋" w:eastAsia="仿宋" w:hAnsi="仿宋"/>
          <w:color w:val="000000"/>
        </w:rPr>
      </w:pPr>
      <w:r>
        <w:rPr>
          <w:rFonts w:ascii="仿宋" w:eastAsia="仿宋" w:hAnsi="仿宋" w:hint="eastAsia"/>
          <w:b w:val="0"/>
          <w:color w:val="000000"/>
        </w:rPr>
        <w:t>二、收</w:t>
      </w:r>
      <w:r>
        <w:rPr>
          <w:rStyle w:val="2Char"/>
          <w:rFonts w:ascii="仿宋" w:eastAsia="仿宋" w:hAnsi="仿宋" w:hint="eastAsia"/>
          <w:b w:val="0"/>
          <w:bCs w:val="0"/>
        </w:rPr>
        <w:t>入决算表</w:t>
      </w:r>
    </w:p>
    <w:p>
      <w:pPr>
        <w:pStyle w:val="2"/>
        <w:rPr>
          <w:rFonts w:ascii="仿宋" w:eastAsia="仿宋" w:hAnsi="仿宋"/>
          <w:color w:val="000000"/>
        </w:rPr>
      </w:pPr>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p>
    <w:p>
      <w:pPr>
        <w:pStyle w:val="2"/>
        <w:rPr>
          <w:rFonts w:ascii="仿宋" w:eastAsia="仿宋" w:hAnsi="仿宋"/>
          <w:b w:val="0"/>
          <w:color w:val="000000"/>
        </w:rPr>
      </w:pPr>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p>
    <w:p>
      <w:pPr>
        <w:pStyle w:val="2"/>
        <w:rPr>
          <w:rStyle w:val="2Char"/>
          <w:rFonts w:ascii="仿宋" w:eastAsia="仿宋" w:hAnsi="仿宋"/>
          <w:b w:val="0"/>
          <w:bCs w:val="0"/>
        </w:rPr>
      </w:pPr>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p>
    <w:p>
      <w:pPr>
        <w:pStyle w:val="2"/>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p>
    <w:p>
      <w:pPr>
        <w:pStyle w:val="2"/>
        <w:rPr>
          <w:rFonts w:ascii="仿宋" w:eastAsia="仿宋" w:hAnsi="仿宋"/>
          <w:color w:val="000000"/>
        </w:rPr>
      </w:pPr>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p>
    <w:p>
      <w:pPr>
        <w:pStyle w:val="2"/>
        <w:rPr>
          <w:rFonts w:ascii="仿宋" w:eastAsia="仿宋" w:hAnsi="仿宋"/>
          <w:color w:val="000000"/>
        </w:rPr>
      </w:pPr>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p>
    <w:p>
      <w:pPr>
        <w:pStyle w:val="2"/>
        <w:rPr>
          <w:rFonts w:ascii="仿宋" w:eastAsia="仿宋" w:hAnsi="仿宋"/>
          <w:color w:val="000000"/>
        </w:rPr>
      </w:pPr>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p>
    <w:p>
      <w:pPr>
        <w:pStyle w:val="2"/>
        <w:rPr>
          <w:rFonts w:ascii="仿宋" w:eastAsia="仿宋" w:hAnsi="仿宋"/>
          <w:color w:val="000000"/>
        </w:rPr>
      </w:pPr>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p>
    <w:p>
      <w:pPr>
        <w:pStyle w:val="2"/>
        <w:rPr>
          <w:rFonts w:ascii="仿宋" w:eastAsia="仿宋" w:hAnsi="仿宋"/>
          <w:color w:val="000000"/>
        </w:rPr>
      </w:pPr>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p>
    <w:p>
      <w:pPr>
        <w:pStyle w:val="2"/>
        <w:rPr>
          <w:rFonts w:ascii="仿宋" w:eastAsia="仿宋" w:hAnsi="仿宋"/>
          <w:color w:val="000000"/>
        </w:rPr>
      </w:pPr>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p>
    <w:p>
      <w:pPr>
        <w:pStyle w:val="2"/>
        <w:rPr>
          <w:rFonts w:ascii="仿宋" w:eastAsia="仿宋" w:hAnsi="仿宋"/>
          <w:color w:val="000000"/>
          <w14:textFill>
            <w14:solidFill>
              <w14:srgbClr w14:val="000000"/>
            </w14:solidFill>
          </w14:textFill>
        </w:rPr>
      </w:pPr>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p>
    <w:p>
      <w:pPr>
        <w:rPr>
          <w:rFonts w:ascii="黑体" w:eastAsia="黑体"/>
          <w:color w:val="000000"/>
          <w:sz w:val="32"/>
          <w:szCs w:val="32"/>
        </w:rPr>
      </w:pPr>
    </w:p>
    <w:sectPr>
      <w:headerReference w:type="default" r:id="rId2"/>
      <w:footerReference w:type="default" r:id="rId3"/>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auto"/>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楷体">
    <w:altName w:val="楷体_GB2312"/>
    <w:panose1 w:val="02010609060101010101"/>
    <w:charset w:val="86"/>
    <w:family w:val="auto"/>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19F" w:csb1="00000000"/>
  </w:font>
  <w:font w:name="Calibri">
    <w:altName w:val="Lucida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r>
      <w:fldChar w:fldCharType="begin"/>
    </w:r>
    <w:r>
      <w:instrText xml:space="preserve"> PAGE   \* MERGEFORMAT </w:instrText>
    </w:r>
    <w:r>
      <w:fldChar w:fldCharType="separate"/>
    </w:r>
    <w:r>
      <w:rPr>
        <w:lang w:val="zh-CN"/>
      </w:rPr>
      <w:t>27</w:t>
    </w:r>
    <w:r>
      <w:rPr>
        <w:lang w:val="zh-CN"/>
      </w:rP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621CDC"/>
    <w:multiLevelType w:val="multilevel"/>
    <w:tmpl w:val="62621CDC"/>
    <w:lvl w:ilvl="0">
      <w:start w:val="1"/>
      <w:numFmt w:val="decimal"/>
      <w:lvlRestart w:val="0"/>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1272550B"/>
    <w:multiLevelType w:val="multilevel"/>
    <w:tmpl w:val="1272550B"/>
    <w:lvl w:ilvl="0">
      <w:start w:val="1"/>
      <w:numFmt w:val="japaneseCounting"/>
      <w:lvlRestart w:val="0"/>
      <w:lvlText w:val="%1、"/>
      <w:lvlJc w:val="left"/>
      <w:pPr>
        <w:ind w:left="1146"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Salutation"/>
    <w:basedOn w:val="0"/>
    <w:next w:val="0"/>
    <w:rPr>
      <w:rFonts w:ascii="Calibri" w:hAnsi="Calibri"/>
      <w:szCs w:val="21"/>
    </w:rPr>
  </w:style>
  <w:style w:type="paragraph" w:styleId="16">
    <w:name w:val="Body Text"/>
    <w:basedOn w:val="0"/>
    <w:pPr>
      <w:spacing w:beforeLines="30" w:before="30"/>
    </w:pPr>
    <w:rPr>
      <w:rFonts w:ascii="仿宋_GB2312" w:eastAsia="仿宋_GB2312"/>
      <w:kern w:val="0"/>
      <w:sz w:val="30"/>
    </w:rPr>
  </w:style>
  <w:style w:type="paragraph" w:styleId="17">
    <w:name w:val="Body Text Indent"/>
    <w:basedOn w:val="0"/>
    <w:pPr>
      <w:spacing w:after="120"/>
      <w:ind w:leftChars="200" w:left="2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hAnsi="仿宋"/>
      <w:sz w:val="28"/>
      <w:szCs w:val="28"/>
    </w:rPr>
  </w:style>
  <w:style w:type="paragraph" w:styleId="22">
    <w:name w:val="toc 2"/>
    <w:basedOn w:val="0"/>
    <w:next w:val="0"/>
    <w:pPr>
      <w:tabs>
        <w:tab w:val="right" w:leader="dot" w:pos="8296"/>
      </w:tabs>
      <w:ind w:leftChars="200" w:left="200"/>
    </w:pPr>
  </w:style>
  <w:style w:type="paragraph" w:styleId="23">
    <w:name w:val="Normal (Web)"/>
    <w:basedOn w:val="0"/>
    <w:pPr>
      <w:spacing w:before="100" w:beforeAutospacing="1" w:after="100" w:afterAutospacing="1"/>
      <w:jc w:val="left"/>
    </w:pPr>
    <w:rPr>
      <w:rFonts w:ascii="Calibri" w:hAnsi="Calibri"/>
      <w:kern w:val="0"/>
      <w:sz w:val="24"/>
    </w:rPr>
  </w:style>
  <w:style w:type="paragraph" w:styleId="24">
    <w:name w:val="Body Text First Indent 2"/>
    <w:basedOn w:val="17"/>
    <w:pPr>
      <w:ind w:firstLineChars="200" w:firstLine="200"/>
    </w:pPr>
  </w:style>
  <w:style w:type="character" w:styleId="25">
    <w:name w:val="Strong"/>
    <w:basedOn w:val="10"/>
    <w:rPr>
      <w:rFonts w:cs="Times New Roman"/>
      <w:b/>
    </w:rPr>
  </w:style>
  <w:style w:type="character" w:styleId="26">
    <w:name w:val="Hyperlink"/>
    <w:basedOn w:val="10"/>
    <w:rPr>
      <w:color w:val="0000FF"/>
      <w:u w:val="single"/>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customStyle="1" w:styleId="28">
    <w:name w:val="列出段落1"/>
    <w:basedOn w:val="0"/>
    <w:pPr>
      <w:ind w:firstLineChars="200" w:firstLine="200"/>
    </w:pPr>
  </w:style>
  <w:style w:type="paragraph" w:styleId="29">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98006"/>
          <c:y val="0.1807803"/>
          <c:w val="0.6606976"/>
          <c:h val="0.6612467"/>
        </c:manualLayout>
      </c:layout>
      <c:barChart>
        <c:barDir val="col"/>
        <c:grouping val="clustered"/>
        <c:varyColors val="0"/>
        <c:ser>
          <c:idx val="0"/>
          <c:order val="0"/>
          <c:tx>
            <c:strRef>
              <c:f>'Sheet1'!$B$1</c:f>
              <c:strCache>
                <c:ptCount val="1"/>
                <c:pt idx="0">
                  <c:v>收入</c:v>
                </c:pt>
              </c:strCache>
            </c:strRef>
          </c:tx>
          <c:spPr>
            <a:solidFill>
              <a:srgbClr val="4F81BD"/>
            </a:solidFill>
          </c:spPr>
          <c:invertIfNegative val="0"/>
          <c:dLbls>
            <c:showLegendKey val="0"/>
            <c:showVal val="0"/>
            <c:showCatName val="0"/>
            <c:showSerName val="0"/>
            <c:showPercent val="0"/>
            <c:showBubbleSize val="0"/>
            <c:showLeaderLines val="0"/>
          </c:dLbls>
          <c:cat>
            <c:strRef>
              <c:f>'Sheet1'!$A$2:$A$3</c:f>
              <c:strCache>
                <c:ptCount val="2"/>
                <c:pt idx="0">
                  <c:v>2019年</c:v>
                </c:pt>
                <c:pt idx="1">
                  <c:v>2020年</c:v>
                </c:pt>
              </c:strCache>
            </c:strRef>
          </c:cat>
          <c:val>
            <c:numRef>
              <c:f>'Sheet1'!$B$2:$B$3</c:f>
              <c:numCache>
                <c:formatCode>General</c:formatCode>
                <c:ptCount val="2"/>
                <c:pt idx="0">
                  <c:v>1579.87</c:v>
                </c:pt>
                <c:pt idx="1">
                  <c:v>2516.45</c:v>
                </c:pt>
              </c:numCache>
            </c:numRef>
          </c:val>
        </c:ser>
        <c:ser>
          <c:idx val="1"/>
          <c:order val="1"/>
          <c:tx>
            <c:strRef>
              <c:f>'Sheet1'!$C$1</c:f>
              <c:strCache>
                <c:ptCount val="1"/>
                <c:pt idx="0">
                  <c:v>支出</c:v>
                </c:pt>
              </c:strCache>
            </c:strRef>
          </c:tx>
          <c:spPr>
            <a:solidFill>
              <a:srgbClr val="C0504D"/>
            </a:solidFill>
          </c:spPr>
          <c:invertIfNegative val="0"/>
          <c:dLbls>
            <c:showLegendKey val="0"/>
            <c:showVal val="0"/>
            <c:showCatName val="0"/>
            <c:showSerName val="0"/>
            <c:showPercent val="0"/>
            <c:showBubbleSize val="0"/>
            <c:showLeaderLines val="0"/>
          </c:dLbls>
          <c:cat>
            <c:strRef>
              <c:f>'Sheet1'!$A$2:$A$3</c:f>
              <c:strCache>
                <c:ptCount val="2"/>
                <c:pt idx="0">
                  <c:v>2019年</c:v>
                </c:pt>
                <c:pt idx="1">
                  <c:v>2020年</c:v>
                </c:pt>
              </c:strCache>
            </c:strRef>
          </c:cat>
          <c:val>
            <c:numRef>
              <c:f>'Sheet1'!$C$2:$C$3</c:f>
              <c:numCache>
                <c:formatCode>General</c:formatCode>
                <c:ptCount val="2"/>
                <c:pt idx="0">
                  <c:v>1247.68</c:v>
                </c:pt>
                <c:pt idx="1">
                  <c:v>1627.79</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31677466"/>
          <c:y val="0.20447585"/>
          <c:w val="0.608396"/>
          <c:h val="0.738987"/>
        </c:manualLayout>
      </c:layout>
      <c:pieChart>
        <c:varyColors val="0"/>
        <c:ser>
          <c:idx val="0"/>
          <c:order val="0"/>
          <c:tx>
            <c:strRef>
              <c:f>'Sheet1 (2)'!$B$1</c:f>
              <c:strCache>
                <c:ptCount val="1"/>
                <c:pt idx="0">
                  <c:v>本年收入合计</c:v>
                </c:pt>
              </c:strCache>
            </c:strRef>
          </c:tx>
          <c:spPr>
            <a:solidFill>
              <a:srgbClr val="4F81BD"/>
            </a:solidFill>
          </c:spPr>
          <c:dPt>
            <c:idx val="0"/>
            <c:bubble3D val="0"/>
            <c:explosion val="6"/>
            <c:spPr>
              <a:solidFill>
                <a:srgbClr val="4F81BD"/>
              </a:solidFill>
            </c:spPr>
          </c:dPt>
          <c:dPt>
            <c:idx val="1"/>
            <c:bubble3D val="0"/>
            <c:spPr>
              <a:solidFill>
                <a:srgbClr val="4F81BD"/>
              </a:solidFill>
            </c:spPr>
          </c:dPt>
          <c:dPt>
            <c:idx val="2"/>
            <c:bubble3D val="0"/>
            <c:spPr>
              <a:solidFill>
                <a:srgbClr val="4F81BD"/>
              </a:solidFill>
            </c:spPr>
          </c:dPt>
          <c:dPt>
            <c:idx val="3"/>
            <c:bubble3D val="0"/>
            <c:spPr>
              <a:solidFill>
                <a:srgbClr val="4F81BD"/>
              </a:solidFill>
            </c:spPr>
          </c:dPt>
          <c:dPt>
            <c:idx val="4"/>
            <c:bubble3D val="0"/>
            <c:spPr>
              <a:solidFill>
                <a:srgbClr val="4F81BD"/>
              </a:solidFill>
            </c:spPr>
          </c:dPt>
          <c:dLbls>
            <c:dLbl>
              <c:idx val="4"/>
              <c:layout>
                <c:manualLayout>
                  <c:x val="0.096808895"/>
                  <c:y val="0.013502871"/>
                </c:manualLayout>
              </c:layout>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Ref>
              <c:f>'Sheet1 (2)'!$A$2:$A$6</c:f>
              <c:strCache>
                <c:ptCount val="5"/>
                <c:pt idx="0">
                  <c:v>本年收入</c:v>
                </c:pt>
              </c:strCache>
            </c:strRef>
          </c:cat>
          <c:val>
            <c:numRef>
              <c:f>'Sheet1 (2)'!$B$2:$B$6</c:f>
              <c:numCache>
                <c:formatCode>General</c:formatCode>
                <c:ptCount val="5"/>
                <c:pt idx="0">
                  <c:v>2516.45</c:v>
                </c:pt>
                <c:pt idx="2">
                  <c:v>0.0</c:v>
                </c:pt>
                <c:pt idx="3">
                  <c:v>0.0</c:v>
                </c:pt>
                <c:pt idx="4">
                  <c:v>0.0</c:v>
                </c:pt>
              </c:numCache>
            </c:numRef>
          </c:val>
        </c:ser>
        <c:firstSliceAng val="0"/>
      </c:pieChart>
      <c:spPr>
        <a:noFill/>
        <a:ln>
          <a:noFill/>
        </a:ln>
      </c:spPr>
    </c:plotArea>
    <c:legend>
      <c:legendPos val="r"/>
      <c:layout>
        <c:manualLayout>
          <c:xMode val="edge"/>
          <c:yMode val="edge"/>
          <c:x val="0.6423841"/>
          <c:y val="0.1768953"/>
          <c:w val="0.33774835"/>
          <c:h val="0.79422385"/>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31677466"/>
          <c:y val="0.20447585"/>
          <c:w val="0.608396"/>
          <c:h val="0.738987"/>
        </c:manualLayout>
      </c:layout>
      <c:pieChart>
        <c:varyColors val="0"/>
        <c:ser>
          <c:idx val="0"/>
          <c:order val="0"/>
          <c:tx>
            <c:strRef>
              <c:f>'Sheet1 (3)'!$B$1</c:f>
              <c:strCache>
                <c:ptCount val="1"/>
                <c:pt idx="0">
                  <c:v>本年支出合计</c:v>
                </c:pt>
              </c:strCache>
            </c:strRef>
          </c:tx>
          <c:spPr>
            <a:solidFill>
              <a:srgbClr val="4F81BD"/>
            </a:solidFill>
          </c:spPr>
          <c:dPt>
            <c:idx val="0"/>
            <c:bubble3D val="0"/>
            <c:explosion val="6"/>
            <c:spPr>
              <a:solidFill>
                <a:srgbClr val="4F81BD"/>
              </a:solidFill>
            </c:spPr>
          </c:dPt>
          <c:dPt>
            <c:idx val="1"/>
            <c:bubble3D val="0"/>
            <c:spPr>
              <a:solidFill>
                <a:srgbClr val="4F81BD"/>
              </a:solidFill>
            </c:spPr>
          </c:dPt>
          <c:dPt>
            <c:idx val="2"/>
            <c:bubble3D val="0"/>
            <c:spPr>
              <a:solidFill>
                <a:srgbClr val="4F81BD"/>
              </a:solidFill>
            </c:spPr>
          </c:dPt>
          <c:dPt>
            <c:idx val="3"/>
            <c:bubble3D val="0"/>
            <c:spPr>
              <a:solidFill>
                <a:srgbClr val="4F81BD"/>
              </a:solidFill>
            </c:spPr>
          </c:dPt>
          <c:dPt>
            <c:idx val="4"/>
            <c:bubble3D val="0"/>
            <c:spPr>
              <a:solidFill>
                <a:srgbClr val="4F81BD"/>
              </a:solidFill>
            </c:spPr>
          </c:dPt>
          <c:dLbls>
            <c:dLbl>
              <c:idx val="4"/>
              <c:layout>
                <c:manualLayout>
                  <c:x val="0.096808895"/>
                  <c:y val="0.013502871"/>
                </c:manualLayout>
              </c:layout>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Ref>
              <c:f>'Sheet1 (3)'!$A$2:$A$6</c:f>
              <c:strCache>
                <c:ptCount val="5"/>
                <c:pt idx="1">
                  <c:v>基本支出</c:v>
                </c:pt>
                <c:pt idx="2">
                  <c:v>项目支出</c:v>
                </c:pt>
              </c:strCache>
            </c:strRef>
          </c:cat>
          <c:val>
            <c:numRef>
              <c:f>'Sheet1 (3)'!$B$2:$B$6</c:f>
              <c:numCache>
                <c:formatCode>General</c:formatCode>
                <c:ptCount val="5"/>
                <c:pt idx="1">
                  <c:v>929.32</c:v>
                </c:pt>
                <c:pt idx="2">
                  <c:v>698.47</c:v>
                </c:pt>
                <c:pt idx="3">
                  <c:v>0.0</c:v>
                </c:pt>
                <c:pt idx="4">
                  <c:v>0.0</c:v>
                </c:pt>
              </c:numCache>
            </c:numRef>
          </c:val>
        </c:ser>
        <c:firstSliceAng val="0"/>
      </c:pieChart>
      <c:spPr>
        <a:noFill/>
        <a:ln>
          <a:noFill/>
        </a:ln>
      </c:spPr>
    </c:plotArea>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798006"/>
          <c:y val="0.1807803"/>
          <c:w val="0.6606976"/>
          <c:h val="0.6612467"/>
        </c:manualLayout>
      </c:layout>
      <c:barChart>
        <c:barDir val="col"/>
        <c:grouping val="clustered"/>
        <c:varyColors val="0"/>
        <c:ser>
          <c:idx val="0"/>
          <c:order val="0"/>
          <c:tx>
            <c:strRef>
              <c:f>'Sheet1 (4)'!$B$1</c:f>
              <c:strCache>
                <c:ptCount val="1"/>
                <c:pt idx="0">
                  <c:v>收入</c:v>
                </c:pt>
              </c:strCache>
            </c:strRef>
          </c:tx>
          <c:spPr>
            <a:solidFill>
              <a:srgbClr val="4F81BD"/>
            </a:solidFill>
          </c:spPr>
          <c:invertIfNegative val="0"/>
          <c:dLbls>
            <c:showLegendKey val="0"/>
            <c:showVal val="0"/>
            <c:showCatName val="0"/>
            <c:showSerName val="0"/>
            <c:showPercent val="0"/>
            <c:showBubbleSize val="0"/>
            <c:showLeaderLines val="0"/>
          </c:dLbls>
          <c:cat>
            <c:strRef>
              <c:f>'Sheet1 (4)'!$A$2:$A$3</c:f>
              <c:strCache>
                <c:ptCount val="2"/>
                <c:pt idx="0">
                  <c:v>2019年</c:v>
                </c:pt>
                <c:pt idx="1">
                  <c:v>2020年</c:v>
                </c:pt>
              </c:strCache>
            </c:strRef>
          </c:cat>
          <c:val>
            <c:numRef>
              <c:f>'Sheet1 (4)'!$B$2:$B$3</c:f>
              <c:numCache>
                <c:formatCode>General</c:formatCode>
                <c:ptCount val="2"/>
                <c:pt idx="0">
                  <c:v>1579.87</c:v>
                </c:pt>
                <c:pt idx="1">
                  <c:v>2516.44</c:v>
                </c:pt>
              </c:numCache>
            </c:numRef>
          </c:val>
        </c:ser>
        <c:ser>
          <c:idx val="1"/>
          <c:order val="1"/>
          <c:tx>
            <c:strRef>
              <c:f>'Sheet1 (4)'!$C$1</c:f>
              <c:strCache>
                <c:ptCount val="1"/>
                <c:pt idx="0">
                  <c:v>支出</c:v>
                </c:pt>
              </c:strCache>
            </c:strRef>
          </c:tx>
          <c:spPr>
            <a:solidFill>
              <a:srgbClr val="C0504D"/>
            </a:solidFill>
          </c:spPr>
          <c:invertIfNegative val="0"/>
          <c:dLbls>
            <c:showLegendKey val="0"/>
            <c:showVal val="0"/>
            <c:showCatName val="0"/>
            <c:showSerName val="0"/>
            <c:showPercent val="0"/>
            <c:showBubbleSize val="0"/>
            <c:showLeaderLines val="0"/>
          </c:dLbls>
          <c:cat>
            <c:strRef>
              <c:f>'Sheet1 (4)'!$A$2:$A$3</c:f>
              <c:strCache>
                <c:ptCount val="2"/>
                <c:pt idx="0">
                  <c:v>2019年</c:v>
                </c:pt>
                <c:pt idx="1">
                  <c:v>2020年</c:v>
                </c:pt>
              </c:strCache>
            </c:strRef>
          </c:cat>
          <c:val>
            <c:numRef>
              <c:f>'Sheet1 (4)'!$C$2:$C$3</c:f>
              <c:numCache>
                <c:formatCode>General</c:formatCode>
                <c:ptCount val="2"/>
                <c:pt idx="0">
                  <c:v>1247.68</c:v>
                </c:pt>
                <c:pt idx="1">
                  <c:v>1627.79</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(5)'!$B$1</c:f>
              <c:strCache>
                <c:ptCount val="1"/>
                <c:pt idx="0">
                  <c:v>一般公共预算财政拨款支出</c:v>
                </c:pt>
              </c:strCache>
            </c:strRef>
          </c:tx>
          <c:spPr>
            <a:solidFill>
              <a:srgbClr val="4F81BD"/>
            </a:solidFill>
          </c:spPr>
          <c:invertIfNegative val="0"/>
          <c:dLbls>
            <c:dLbl>
              <c:idx val="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0"/>
              <c:showCatName val="0"/>
              <c:showSerName val="0"/>
              <c:showPercent val="0"/>
              <c:showBubbleSize val="0"/>
            </c:dLbl>
            <c:dLblPos val="outEnd"/>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Ref>
              <c:f>'Sheet1 (5)'!$A$2:$A$3</c:f>
              <c:strCache>
                <c:ptCount val="2"/>
                <c:pt idx="0">
                  <c:v>2019年</c:v>
                </c:pt>
                <c:pt idx="1">
                  <c:v>2020年</c:v>
                </c:pt>
              </c:strCache>
            </c:strRef>
          </c:cat>
          <c:val>
            <c:numRef>
              <c:f>'Sheet1 (5)'!$B$2:$B$3</c:f>
              <c:numCache>
                <c:formatCode>General</c:formatCode>
                <c:ptCount val="2"/>
                <c:pt idx="0">
                  <c:v>1247.68</c:v>
                </c:pt>
                <c:pt idx="1">
                  <c:v>1627.79</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(6)'!$B$1</c:f>
              <c:strCache>
                <c:ptCount val="1"/>
                <c:pt idx="0">
                  <c:v>一般公共预算财政拨款支出</c:v>
                </c:pt>
              </c:strCache>
            </c:strRef>
          </c:tx>
          <c:spPr>
            <a:solidFill>
              <a:srgbClr val="4F81BD"/>
            </a:solidFill>
          </c:spPr>
          <c:dLbls>
            <c:showLegendKey val="0"/>
            <c:showVal val="0"/>
            <c:showCatName val="0"/>
            <c:showSerName val="0"/>
            <c:showPercent val="0"/>
            <c:showBubbleSize val="0"/>
            <c:showLeaderLines val="0"/>
          </c:dLbls>
          <c:cat>
            <c:strRef>
              <c:f>'Sheet1 (6)'!$A$2:$A$6</c:f>
              <c:strCache>
                <c:ptCount val="5"/>
                <c:pt idx="0">
                  <c:v>社会保障和就业支出</c:v>
                </c:pt>
                <c:pt idx="1">
                  <c:v>医疗卫生支出</c:v>
                </c:pt>
                <c:pt idx="2">
                  <c:v>住房保障支出</c:v>
                </c:pt>
                <c:pt idx="3">
                  <c:v>农林水支出</c:v>
                </c:pt>
                <c:pt idx="4">
                  <c:v>灾害防治及应急管理支出</c:v>
                </c:pt>
              </c:strCache>
            </c:strRef>
          </c:cat>
          <c:val>
            <c:numRef>
              <c:f>'Sheet1 (6)'!$B$2:$B$6</c:f>
              <c:numCache>
                <c:formatCode>General</c:formatCode>
                <c:ptCount val="5"/>
                <c:pt idx="0">
                  <c:v>72.8</c:v>
                </c:pt>
                <c:pt idx="1">
                  <c:v>32.98</c:v>
                </c:pt>
                <c:pt idx="2">
                  <c:v>49.84</c:v>
                </c:pt>
                <c:pt idx="3">
                  <c:v>2.1</c:v>
                </c:pt>
                <c:pt idx="4">
                  <c:v>1470.07</c:v>
                </c:pt>
              </c:numCache>
            </c:numRef>
          </c:val>
        </c:ser>
        <c:firstSliceAng val="0"/>
      </c:pieChart>
      <c:spPr>
        <a:noFill/>
        <a:ln>
          <a:noFill/>
        </a:ln>
      </c:spPr>
    </c:plotArea>
    <c:legend>
      <c:legendPos val="r"/>
      <c:layout>
        <c:manualLayout>
          <c:xMode val="edge"/>
          <c:yMode val="edge"/>
          <c:x val="0.64453113"/>
          <c:y val="0.18354738"/>
          <c:w val="0.33812657"/>
          <c:h val="0.7951562"/>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(7)'!$B$1</c:f>
              <c:strCache>
                <c:ptCount val="1"/>
                <c:pt idx="0">
                  <c:v>“三公”经费财政拨款支出</c:v>
                </c:pt>
              </c:strCache>
            </c:strRef>
          </c:tx>
          <c:spPr>
            <a:solidFill>
              <a:srgbClr val="4F81BD"/>
            </a:solidFill>
          </c:spPr>
          <c:dLbls>
            <c:showLegendKey val="0"/>
            <c:showVal val="0"/>
            <c:showCatName val="0"/>
            <c:showSerName val="0"/>
            <c:showPercent val="0"/>
            <c:showBubbleSize val="0"/>
            <c:showLeaderLines val="0"/>
          </c:dLbls>
          <c:cat>
            <c:strRef>
              <c:f>'Sheet1 (7)'!$A$2:$A$3</c:f>
              <c:strCache>
                <c:ptCount val="2"/>
                <c:pt idx="0">
                  <c:v>本年度“三公”支出数</c:v>
                </c:pt>
                <c:pt idx="1">
                  <c:v>结余</c:v>
                </c:pt>
              </c:strCache>
            </c:strRef>
          </c:cat>
          <c:val>
            <c:numRef>
              <c:f>'Sheet1 (7)'!$B$2:$B$3</c:f>
              <c:numCache>
                <c:formatCode>General</c:formatCode>
                <c:ptCount val="2"/>
                <c:pt idx="0">
                  <c:v>4.05</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9856BDF-4A5F-44B8-B3BC-775ECB5C11E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4062</TotalTime>
  <Application>Yozo_Office27021597764231179</Application>
  <Pages>55</Pages>
  <Words>0</Words>
  <Characters>18903</Characters>
  <Lines>0</Lines>
  <Paragraphs>409</Paragraphs>
  <CharactersWithSpaces>25205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creator>123456</dc:creator>
  <cp:lastModifiedBy>user</cp:lastModifiedBy>
  <cp:revision>398</cp:revision>
  <cp:lastPrinted>2021-09-24T10:12:00Z</cp:lastPrinted>
  <dcterms:created xsi:type="dcterms:W3CDTF">2018-08-24T22:53:00Z</dcterms:created>
  <dcterms:modified xsi:type="dcterms:W3CDTF">2024-07-02T10:04:32Z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4ECB045BFE284108B6F1FC82FFB06A49</vt:lpwstr>
  </property>
</Properties>
</file>