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7196"/>
      <w:bookmarkStart w:id="1" w:name="_Toc15396599"/>
    </w:p>
    <w:p>
      <w:pPr>
        <w:pStyle w:val="6"/>
        <w:spacing w:before="93"/>
        <w:rPr>
          <w:rFonts w:ascii="方正小标宋简体" w:hAnsi="宋体" w:eastAsia="方正小标宋简体"/>
          <w:sz w:val="72"/>
          <w:szCs w:val="72"/>
        </w:rPr>
      </w:pPr>
    </w:p>
    <w:p>
      <w:pPr>
        <w:pStyle w:val="6"/>
        <w:spacing w:before="93"/>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黑体" w:hAnsi="黑体" w:eastAsia="黑体" w:cs="黑体"/>
          <w:b/>
          <w:bCs/>
          <w:sz w:val="72"/>
          <w:szCs w:val="72"/>
        </w:rPr>
      </w:pPr>
      <w:bookmarkStart w:id="2" w:name="_Toc15377425"/>
      <w:bookmarkStart w:id="3" w:name="_Toc15396475"/>
      <w:bookmarkStart w:id="4" w:name="_Toc15378441"/>
      <w:bookmarkStart w:id="5" w:name="_Toc15396597"/>
      <w:bookmarkStart w:id="6" w:name="_Toc15377193"/>
      <w:r>
        <w:rPr>
          <w:rFonts w:hint="eastAsia" w:ascii="黑体" w:hAnsi="黑体" w:eastAsia="黑体" w:cs="黑体"/>
          <w:b/>
          <w:bCs/>
          <w:sz w:val="72"/>
          <w:szCs w:val="72"/>
        </w:rPr>
        <w:t>2021年度</w:t>
      </w:r>
      <w:bookmarkEnd w:id="2"/>
      <w:bookmarkEnd w:id="3"/>
      <w:bookmarkEnd w:id="4"/>
      <w:bookmarkEnd w:id="5"/>
      <w:bookmarkEnd w:id="6"/>
    </w:p>
    <w:p>
      <w:pPr>
        <w:adjustRightInd w:val="0"/>
        <w:snapToGrid w:val="0"/>
        <w:spacing w:line="360" w:lineRule="auto"/>
        <w:jc w:val="center"/>
        <w:outlineLvl w:val="0"/>
        <w:rPr>
          <w:rFonts w:ascii="黑体" w:hAnsi="黑体" w:eastAsia="黑体" w:cs="黑体"/>
          <w:b/>
          <w:bCs/>
          <w:sz w:val="72"/>
          <w:szCs w:val="72"/>
        </w:rPr>
      </w:pPr>
      <w:r>
        <w:rPr>
          <w:rFonts w:hint="eastAsia" w:ascii="黑体" w:hAnsi="黑体" w:eastAsia="黑体" w:cs="黑体"/>
          <w:b/>
          <w:bCs/>
          <w:sz w:val="72"/>
          <w:szCs w:val="72"/>
        </w:rPr>
        <w:t>广元市利州区东城实验初级中学单位决算</w:t>
      </w:r>
    </w:p>
    <w:p>
      <w:pPr>
        <w:rPr>
          <w:rFonts w:ascii="仿宋" w:hAnsi="仿宋" w:eastAsia="仿宋"/>
          <w:b/>
          <w:sz w:val="24"/>
        </w:rPr>
      </w:pPr>
      <w:r>
        <w:rPr>
          <w:rFonts w:ascii="仿宋" w:hAnsi="仿宋" w:eastAsia="仿宋"/>
          <w:b/>
          <w:sz w:val="24"/>
        </w:rPr>
        <w:br w:type="page"/>
      </w:r>
    </w:p>
    <w:sdt>
      <w:sdtPr>
        <w:rPr>
          <w:rFonts w:ascii="宋体" w:hAnsi="宋体"/>
        </w:rPr>
        <w:id w:val="147467499"/>
        <w15:color w:val="DBDBDB"/>
        <w:docPartObj>
          <w:docPartGallery w:val="Table of Contents"/>
          <w:docPartUnique/>
        </w:docPartObj>
      </w:sdtPr>
      <w:sdtEndPr>
        <w:rPr>
          <w:rFonts w:ascii="宋体" w:hAnsi="宋体"/>
          <w:b/>
        </w:rPr>
      </w:sdtEndPr>
      <w:sdtContent>
        <w:p>
          <w:pPr>
            <w:pStyle w:val="9"/>
            <w:jc w:val="center"/>
            <w:rPr>
              <w:sz w:val="44"/>
              <w:szCs w:val="44"/>
            </w:rPr>
          </w:pPr>
          <w:r>
            <w:rPr>
              <w:rFonts w:hint="eastAsia"/>
              <w:sz w:val="44"/>
              <w:szCs w:val="44"/>
            </w:rPr>
            <w:t>目      录</w:t>
          </w:r>
        </w:p>
        <w:p>
          <w:pPr>
            <w:pStyle w:val="9"/>
            <w:jc w:val="center"/>
            <w:rPr>
              <w:sz w:val="28"/>
              <w:szCs w:val="28"/>
            </w:rPr>
          </w:pPr>
          <w:r>
            <w:rPr>
              <w:rFonts w:hint="eastAsia"/>
              <w:sz w:val="28"/>
              <w:szCs w:val="28"/>
            </w:rPr>
            <w:t>公开时间：2022年9月</w:t>
          </w:r>
          <w:r>
            <w:rPr>
              <w:sz w:val="28"/>
              <w:szCs w:val="28"/>
            </w:rPr>
            <w:t>29</w:t>
          </w:r>
          <w:r>
            <w:rPr>
              <w:rFonts w:hint="eastAsia"/>
              <w:sz w:val="28"/>
              <w:szCs w:val="28"/>
            </w:rPr>
            <w:t>日</w:t>
          </w:r>
        </w:p>
        <w:p>
          <w:pPr>
            <w:pStyle w:val="9"/>
            <w:rPr>
              <w:rFonts w:ascii="仿宋" w:hAnsi="仿宋" w:eastAsia="仿宋" w:cs="仿宋"/>
              <w:b/>
              <w:sz w:val="32"/>
              <w:szCs w:val="32"/>
            </w:rPr>
          </w:pPr>
          <w:r>
            <w:rPr>
              <w:rFonts w:asciiTheme="minorHAnsi" w:hAnsiTheme="minorHAnsi" w:eastAsiaTheme="minorEastAsia" w:cstheme="minorBidi"/>
              <w:sz w:val="20"/>
              <w:szCs w:val="20"/>
            </w:rPr>
            <w:fldChar w:fldCharType="begin"/>
          </w:r>
          <w:r>
            <w:instrText xml:space="preserve">TOC \o "1-2" \h \u </w:instrText>
          </w:r>
          <w:r>
            <w:rPr>
              <w:rFonts w:asciiTheme="minorHAnsi" w:hAnsiTheme="minorHAnsi" w:eastAsiaTheme="minorEastAsia" w:cstheme="minorBidi"/>
              <w:sz w:val="20"/>
              <w:szCs w:val="20"/>
            </w:rPr>
            <w:fldChar w:fldCharType="separate"/>
          </w:r>
          <w:r>
            <w:fldChar w:fldCharType="begin"/>
          </w:r>
          <w:r>
            <w:instrText xml:space="preserve"> HYPERLINK \l "_Toc10883" </w:instrText>
          </w:r>
          <w:r>
            <w:fldChar w:fldCharType="separate"/>
          </w:r>
          <w:r>
            <w:rPr>
              <w:rFonts w:hint="eastAsia" w:ascii="黑体" w:hAnsi="黑体" w:eastAsia="黑体" w:cs="黑体"/>
              <w:bCs/>
              <w:sz w:val="32"/>
              <w:szCs w:val="32"/>
            </w:rPr>
            <w:t>第一部分 单位概况</w:t>
          </w:r>
          <w:r>
            <w:rPr>
              <w:rFonts w:hint="eastAsia" w:ascii="仿宋" w:hAnsi="仿宋" w:eastAsia="仿宋" w:cs="仿宋"/>
              <w:bCs/>
              <w:sz w:val="32"/>
              <w:szCs w:val="32"/>
            </w:rPr>
            <w:tab/>
          </w:r>
          <w:r>
            <w:rPr>
              <w:rFonts w:hint="eastAsia" w:ascii="仿宋" w:hAnsi="仿宋" w:eastAsia="仿宋" w:cs="仿宋"/>
              <w:bCs/>
              <w:sz w:val="32"/>
              <w:szCs w:val="32"/>
            </w:rPr>
            <w:fldChar w:fldCharType="end"/>
          </w:r>
        </w:p>
        <w:p>
          <w:pPr>
            <w:pStyle w:val="9"/>
            <w:numPr>
              <w:ilvl w:val="0"/>
              <w:numId w:val="1"/>
            </w:numPr>
            <w:rPr>
              <w:rFonts w:ascii="仿宋" w:hAnsi="仿宋" w:eastAsia="仿宋" w:cs="仿宋"/>
              <w:sz w:val="32"/>
              <w:szCs w:val="32"/>
            </w:rPr>
          </w:pPr>
          <w:r>
            <w:fldChar w:fldCharType="begin"/>
          </w:r>
          <w:r>
            <w:instrText xml:space="preserve"> HYPERLINK \l "_Toc25654" </w:instrText>
          </w:r>
          <w:r>
            <w:fldChar w:fldCharType="separate"/>
          </w:r>
          <w:r>
            <w:rPr>
              <w:rFonts w:hint="eastAsia" w:ascii="仿宋" w:hAnsi="仿宋" w:eastAsia="仿宋" w:cs="仿宋"/>
              <w:sz w:val="32"/>
              <w:szCs w:val="32"/>
            </w:rPr>
            <w:t>职能简介</w:t>
          </w:r>
          <w:r>
            <w:rPr>
              <w:rFonts w:hint="eastAsia" w:ascii="仿宋" w:hAnsi="仿宋" w:eastAsia="仿宋" w:cs="仿宋"/>
              <w:sz w:val="32"/>
              <w:szCs w:val="32"/>
            </w:rPr>
            <w:tab/>
          </w:r>
          <w:r>
            <w:rPr>
              <w:rFonts w:hint="eastAsia" w:ascii="仿宋" w:hAnsi="仿宋" w:eastAsia="仿宋" w:cs="仿宋"/>
              <w:sz w:val="32"/>
              <w:szCs w:val="32"/>
            </w:rPr>
            <w:fldChar w:fldCharType="end"/>
          </w:r>
        </w:p>
        <w:p>
          <w:pPr>
            <w:pStyle w:val="9"/>
            <w:numPr>
              <w:ilvl w:val="0"/>
              <w:numId w:val="1"/>
            </w:numPr>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021</w:t>
          </w:r>
          <w:r>
            <w:rPr>
              <w:rFonts w:hint="eastAsia" w:ascii="仿宋" w:hAnsi="仿宋" w:eastAsia="仿宋" w:cs="仿宋"/>
              <w:sz w:val="32"/>
              <w:szCs w:val="32"/>
            </w:rPr>
            <w:t>年主要重点工作</w:t>
          </w:r>
        </w:p>
        <w:p>
          <w:pPr>
            <w:pStyle w:val="9"/>
            <w:rPr>
              <w:rFonts w:ascii="仿宋" w:hAnsi="仿宋" w:eastAsia="仿宋" w:cs="仿宋"/>
              <w:b/>
              <w:sz w:val="32"/>
              <w:szCs w:val="32"/>
            </w:rPr>
          </w:pPr>
          <w:r>
            <w:fldChar w:fldCharType="begin"/>
          </w:r>
          <w:r>
            <w:instrText xml:space="preserve"> HYPERLINK \l "_Toc9138" </w:instrText>
          </w:r>
          <w:r>
            <w:fldChar w:fldCharType="separate"/>
          </w:r>
          <w:r>
            <w:rPr>
              <w:rFonts w:hint="eastAsia" w:ascii="黑体" w:hAnsi="黑体" w:eastAsia="黑体" w:cs="黑体"/>
              <w:bCs/>
              <w:sz w:val="32"/>
              <w:szCs w:val="32"/>
            </w:rPr>
            <w:t>第二部分 2021年度单位决算情况说明</w:t>
          </w:r>
          <w:r>
            <w:rPr>
              <w:rFonts w:hint="eastAsia" w:ascii="仿宋" w:hAnsi="仿宋" w:eastAsia="仿宋" w:cs="仿宋"/>
              <w:b/>
              <w:sz w:val="32"/>
              <w:szCs w:val="32"/>
            </w:rPr>
            <w:tab/>
          </w:r>
          <w:r>
            <w:rPr>
              <w:rFonts w:hint="eastAsia" w:ascii="仿宋" w:hAnsi="仿宋" w:eastAsia="仿宋" w:cs="仿宋"/>
              <w:b/>
              <w:sz w:val="32"/>
              <w:szCs w:val="32"/>
            </w:rPr>
            <w:fldChar w:fldCharType="end"/>
          </w:r>
        </w:p>
        <w:p>
          <w:pPr>
            <w:pStyle w:val="9"/>
            <w:rPr>
              <w:rFonts w:ascii="仿宋" w:hAnsi="仿宋" w:eastAsia="仿宋" w:cs="仿宋"/>
              <w:sz w:val="32"/>
              <w:szCs w:val="32"/>
            </w:rPr>
          </w:pPr>
          <w:r>
            <w:fldChar w:fldCharType="begin"/>
          </w:r>
          <w:r>
            <w:instrText xml:space="preserve"> HYPERLINK \l "_Toc13314" </w:instrText>
          </w:r>
          <w:r>
            <w:fldChar w:fldCharType="separate"/>
          </w:r>
          <w:r>
            <w:rPr>
              <w:rFonts w:hint="eastAsia" w:ascii="仿宋" w:hAnsi="仿宋" w:eastAsia="仿宋" w:cs="仿宋"/>
              <w:sz w:val="32"/>
              <w:szCs w:val="32"/>
            </w:rPr>
            <w:t>一、收入支出决算总体情况说明</w:t>
          </w:r>
          <w:r>
            <w:rPr>
              <w:rFonts w:hint="eastAsia" w:ascii="仿宋" w:hAnsi="仿宋" w:eastAsia="仿宋" w:cs="仿宋"/>
              <w:sz w:val="32"/>
              <w:szCs w:val="32"/>
            </w:rPr>
            <w:tab/>
          </w:r>
          <w:r>
            <w:rPr>
              <w:rFonts w:hint="eastAsia" w:ascii="仿宋" w:hAnsi="仿宋" w:eastAsia="仿宋" w:cs="仿宋"/>
              <w:sz w:val="32"/>
              <w:szCs w:val="32"/>
            </w:rPr>
            <w:fldChar w:fldCharType="end"/>
          </w:r>
        </w:p>
        <w:p>
          <w:pPr>
            <w:pStyle w:val="9"/>
            <w:rPr>
              <w:rFonts w:ascii="仿宋" w:hAnsi="仿宋" w:eastAsia="仿宋" w:cs="仿宋"/>
              <w:sz w:val="32"/>
              <w:szCs w:val="32"/>
            </w:rPr>
          </w:pPr>
          <w:r>
            <w:fldChar w:fldCharType="begin"/>
          </w:r>
          <w:r>
            <w:instrText xml:space="preserve"> HYPERLINK \l "_Toc12072" </w:instrText>
          </w:r>
          <w:r>
            <w:fldChar w:fldCharType="separate"/>
          </w:r>
          <w:r>
            <w:rPr>
              <w:rFonts w:hint="eastAsia" w:ascii="仿宋" w:hAnsi="仿宋" w:eastAsia="仿宋" w:cs="仿宋"/>
              <w:sz w:val="32"/>
              <w:szCs w:val="32"/>
            </w:rPr>
            <w:t>二、收入决算情况说明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p>
        <w:p>
          <w:pPr>
            <w:pStyle w:val="9"/>
            <w:rPr>
              <w:rFonts w:ascii="仿宋" w:hAnsi="仿宋" w:eastAsia="仿宋" w:cs="仿宋"/>
              <w:sz w:val="32"/>
              <w:szCs w:val="32"/>
            </w:rPr>
          </w:pPr>
          <w:r>
            <w:fldChar w:fldCharType="begin"/>
          </w:r>
          <w:r>
            <w:instrText xml:space="preserve"> HYPERLINK \l "_Toc15842" </w:instrText>
          </w:r>
          <w:r>
            <w:fldChar w:fldCharType="separate"/>
          </w:r>
          <w:r>
            <w:rPr>
              <w:rFonts w:hint="eastAsia" w:ascii="仿宋" w:hAnsi="仿宋" w:eastAsia="仿宋" w:cs="仿宋"/>
              <w:sz w:val="32"/>
              <w:szCs w:val="32"/>
            </w:rPr>
            <w:t>三、支出决算情况说明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p>
        <w:p>
          <w:pPr>
            <w:pStyle w:val="9"/>
            <w:rPr>
              <w:rFonts w:ascii="仿宋" w:hAnsi="仿宋" w:eastAsia="仿宋" w:cs="仿宋"/>
              <w:sz w:val="32"/>
              <w:szCs w:val="32"/>
            </w:rPr>
          </w:pPr>
          <w:r>
            <w:fldChar w:fldCharType="begin"/>
          </w:r>
          <w:r>
            <w:instrText xml:space="preserve"> HYPERLINK \l "_Toc17374" </w:instrText>
          </w:r>
          <w:r>
            <w:fldChar w:fldCharType="separate"/>
          </w:r>
          <w:r>
            <w:rPr>
              <w:rFonts w:hint="eastAsia" w:ascii="仿宋" w:hAnsi="仿宋" w:eastAsia="仿宋" w:cs="仿宋"/>
              <w:sz w:val="32"/>
              <w:szCs w:val="32"/>
            </w:rPr>
            <w:t>四、财政拨款收入支出决算总体情况说明</w:t>
          </w:r>
          <w:r>
            <w:rPr>
              <w:rFonts w:hint="eastAsia" w:ascii="仿宋" w:hAnsi="仿宋" w:eastAsia="仿宋" w:cs="仿宋"/>
              <w:sz w:val="32"/>
              <w:szCs w:val="32"/>
            </w:rPr>
            <w:tab/>
          </w:r>
          <w:r>
            <w:rPr>
              <w:rFonts w:hint="eastAsia" w:ascii="仿宋" w:hAnsi="仿宋" w:eastAsia="仿宋" w:cs="仿宋"/>
              <w:sz w:val="32"/>
              <w:szCs w:val="32"/>
            </w:rPr>
            <w:fldChar w:fldCharType="end"/>
          </w:r>
        </w:p>
        <w:p>
          <w:pPr>
            <w:pStyle w:val="9"/>
            <w:rPr>
              <w:rFonts w:ascii="仿宋" w:hAnsi="仿宋" w:eastAsia="仿宋" w:cs="仿宋"/>
              <w:sz w:val="32"/>
              <w:szCs w:val="32"/>
            </w:rPr>
          </w:pPr>
          <w:r>
            <w:fldChar w:fldCharType="begin"/>
          </w:r>
          <w:r>
            <w:instrText xml:space="preserve"> HYPERLINK \l "_Toc17246" </w:instrText>
          </w:r>
          <w:r>
            <w:fldChar w:fldCharType="separate"/>
          </w:r>
          <w:r>
            <w:rPr>
              <w:rFonts w:hint="eastAsia" w:ascii="仿宋" w:hAnsi="仿宋" w:eastAsia="仿宋" w:cs="仿宋"/>
              <w:sz w:val="32"/>
              <w:szCs w:val="32"/>
            </w:rPr>
            <w:t>五、一般公共预算财政拨款支出决算情况说明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p>
        <w:p>
          <w:pPr>
            <w:pStyle w:val="9"/>
            <w:rPr>
              <w:rFonts w:ascii="仿宋" w:hAnsi="仿宋" w:eastAsia="仿宋" w:cs="仿宋"/>
              <w:sz w:val="32"/>
              <w:szCs w:val="32"/>
            </w:rPr>
          </w:pPr>
          <w:r>
            <w:fldChar w:fldCharType="begin"/>
          </w:r>
          <w:r>
            <w:instrText xml:space="preserve"> HYPERLINK \l "_Toc22707" </w:instrText>
          </w:r>
          <w:r>
            <w:fldChar w:fldCharType="separate"/>
          </w:r>
          <w:r>
            <w:rPr>
              <w:rFonts w:hint="eastAsia" w:ascii="仿宋" w:hAnsi="仿宋" w:eastAsia="仿宋" w:cs="仿宋"/>
              <w:sz w:val="32"/>
              <w:szCs w:val="32"/>
            </w:rPr>
            <w:t>六、一般公共预算财政拨款基本支出决算情况说明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p>
        <w:p>
          <w:pPr>
            <w:pStyle w:val="9"/>
            <w:rPr>
              <w:rFonts w:ascii="仿宋" w:hAnsi="仿宋" w:eastAsia="仿宋" w:cs="仿宋"/>
              <w:sz w:val="32"/>
              <w:szCs w:val="32"/>
            </w:rPr>
          </w:pPr>
          <w:r>
            <w:fldChar w:fldCharType="begin"/>
          </w:r>
          <w:r>
            <w:instrText xml:space="preserve"> HYPERLINK \l "_Toc17578" </w:instrText>
          </w:r>
          <w:r>
            <w:fldChar w:fldCharType="separate"/>
          </w:r>
          <w:r>
            <w:rPr>
              <w:rFonts w:hint="eastAsia" w:ascii="仿宋" w:hAnsi="仿宋" w:eastAsia="仿宋" w:cs="仿宋"/>
              <w:sz w:val="32"/>
              <w:szCs w:val="32"/>
            </w:rPr>
            <w:t>七、“三公”经费财政拨款支出决算情况说明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p>
        <w:p>
          <w:pPr>
            <w:pStyle w:val="9"/>
            <w:rPr>
              <w:rFonts w:ascii="仿宋" w:hAnsi="仿宋" w:eastAsia="仿宋" w:cs="仿宋"/>
              <w:sz w:val="32"/>
              <w:szCs w:val="32"/>
            </w:rPr>
          </w:pPr>
          <w:r>
            <w:fldChar w:fldCharType="begin"/>
          </w:r>
          <w:r>
            <w:instrText xml:space="preserve"> HYPERLINK \l "_Toc21094" </w:instrText>
          </w:r>
          <w:r>
            <w:fldChar w:fldCharType="separate"/>
          </w:r>
          <w:r>
            <w:rPr>
              <w:rFonts w:hint="eastAsia" w:ascii="仿宋" w:hAnsi="仿宋" w:eastAsia="仿宋" w:cs="仿宋"/>
              <w:sz w:val="32"/>
              <w:szCs w:val="32"/>
            </w:rPr>
            <w:t>八、政府性基金预算支出决算情况说明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p>
        <w:p>
          <w:pPr>
            <w:pStyle w:val="9"/>
            <w:rPr>
              <w:rFonts w:ascii="仿宋" w:hAnsi="仿宋" w:eastAsia="仿宋" w:cs="仿宋"/>
              <w:sz w:val="32"/>
              <w:szCs w:val="32"/>
            </w:rPr>
          </w:pPr>
          <w:r>
            <w:fldChar w:fldCharType="begin"/>
          </w:r>
          <w:r>
            <w:instrText xml:space="preserve"> HYPERLINK \l "_Toc4469" </w:instrText>
          </w:r>
          <w:r>
            <w:fldChar w:fldCharType="separate"/>
          </w:r>
          <w:r>
            <w:rPr>
              <w:rFonts w:hint="eastAsia" w:ascii="仿宋" w:hAnsi="仿宋" w:eastAsia="仿宋" w:cs="仿宋"/>
              <w:sz w:val="32"/>
              <w:szCs w:val="32"/>
            </w:rPr>
            <w:t>九、 国有资本经营预算支出决算情况说明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p>
        <w:p>
          <w:pPr>
            <w:pStyle w:val="9"/>
            <w:rPr>
              <w:rFonts w:ascii="仿宋" w:hAnsi="仿宋" w:eastAsia="仿宋" w:cs="仿宋"/>
              <w:sz w:val="32"/>
              <w:szCs w:val="32"/>
            </w:rPr>
          </w:pPr>
          <w:r>
            <w:fldChar w:fldCharType="begin"/>
          </w:r>
          <w:r>
            <w:instrText xml:space="preserve"> HYPERLINK \l "_Toc10003" </w:instrText>
          </w:r>
          <w:r>
            <w:fldChar w:fldCharType="separate"/>
          </w:r>
          <w:r>
            <w:rPr>
              <w:rFonts w:hint="eastAsia" w:ascii="仿宋" w:hAnsi="仿宋" w:eastAsia="仿宋" w:cs="仿宋"/>
              <w:sz w:val="32"/>
              <w:szCs w:val="32"/>
            </w:rPr>
            <w:t>十、 其他重要事项的情况说明</w:t>
          </w:r>
          <w:r>
            <w:rPr>
              <w:rFonts w:hint="eastAsia" w:ascii="仿宋" w:hAnsi="仿宋" w:eastAsia="仿宋" w:cs="仿宋"/>
              <w:sz w:val="32"/>
              <w:szCs w:val="32"/>
            </w:rPr>
            <w:tab/>
          </w:r>
          <w:r>
            <w:rPr>
              <w:rFonts w:hint="eastAsia" w:ascii="仿宋" w:hAnsi="仿宋" w:eastAsia="仿宋" w:cs="仿宋"/>
              <w:sz w:val="32"/>
              <w:szCs w:val="32"/>
            </w:rPr>
            <w:fldChar w:fldCharType="end"/>
          </w:r>
        </w:p>
        <w:p>
          <w:pPr>
            <w:pStyle w:val="9"/>
            <w:rPr>
              <w:rFonts w:ascii="仿宋" w:hAnsi="仿宋" w:eastAsia="仿宋" w:cs="仿宋"/>
              <w:b/>
              <w:sz w:val="32"/>
              <w:szCs w:val="32"/>
            </w:rPr>
          </w:pPr>
          <w:r>
            <w:fldChar w:fldCharType="begin"/>
          </w:r>
          <w:r>
            <w:instrText xml:space="preserve"> HYPERLINK \l "_Toc32389" </w:instrText>
          </w:r>
          <w:r>
            <w:fldChar w:fldCharType="separate"/>
          </w:r>
          <w:r>
            <w:rPr>
              <w:rFonts w:hint="eastAsia" w:ascii="黑体" w:hAnsi="黑体" w:eastAsia="黑体" w:cs="黑体"/>
              <w:bCs/>
              <w:sz w:val="32"/>
              <w:szCs w:val="32"/>
            </w:rPr>
            <w:t>第三部分 名词解释</w:t>
          </w:r>
          <w:r>
            <w:rPr>
              <w:rFonts w:hint="eastAsia" w:ascii="仿宋" w:hAnsi="仿宋" w:eastAsia="仿宋" w:cs="仿宋"/>
              <w:b/>
              <w:sz w:val="32"/>
              <w:szCs w:val="32"/>
            </w:rPr>
            <w:tab/>
          </w:r>
          <w:r>
            <w:rPr>
              <w:rFonts w:hint="eastAsia" w:ascii="仿宋" w:hAnsi="仿宋" w:eastAsia="仿宋" w:cs="仿宋"/>
              <w:b/>
              <w:sz w:val="32"/>
              <w:szCs w:val="32"/>
            </w:rPr>
            <w:fldChar w:fldCharType="end"/>
          </w:r>
        </w:p>
        <w:p>
          <w:pPr>
            <w:pStyle w:val="9"/>
            <w:rPr>
              <w:rFonts w:ascii="仿宋" w:hAnsi="仿宋" w:eastAsia="仿宋" w:cs="仿宋"/>
              <w:b/>
              <w:sz w:val="32"/>
              <w:szCs w:val="32"/>
            </w:rPr>
          </w:pPr>
          <w:r>
            <w:fldChar w:fldCharType="begin"/>
          </w:r>
          <w:r>
            <w:instrText xml:space="preserve"> HYPERLINK \l "_Toc24843" </w:instrText>
          </w:r>
          <w:r>
            <w:fldChar w:fldCharType="separate"/>
          </w:r>
          <w:r>
            <w:rPr>
              <w:rFonts w:hint="eastAsia" w:ascii="黑体" w:hAnsi="黑体" w:eastAsia="黑体" w:cs="黑体"/>
              <w:bCs/>
              <w:sz w:val="32"/>
              <w:szCs w:val="32"/>
            </w:rPr>
            <w:t>第四部分 附件</w:t>
          </w:r>
          <w:r>
            <w:rPr>
              <w:rFonts w:hint="eastAsia" w:ascii="仿宋" w:hAnsi="仿宋" w:eastAsia="仿宋" w:cs="仿宋"/>
              <w:b/>
              <w:sz w:val="32"/>
              <w:szCs w:val="32"/>
            </w:rPr>
            <w:tab/>
          </w:r>
          <w:r>
            <w:rPr>
              <w:rFonts w:hint="eastAsia" w:ascii="仿宋" w:hAnsi="仿宋" w:eastAsia="仿宋" w:cs="仿宋"/>
              <w:b/>
              <w:sz w:val="32"/>
              <w:szCs w:val="32"/>
            </w:rPr>
            <w:fldChar w:fldCharType="end"/>
          </w:r>
        </w:p>
        <w:p>
          <w:pPr>
            <w:pStyle w:val="9"/>
            <w:rPr>
              <w:rFonts w:ascii="仿宋" w:hAnsi="仿宋" w:eastAsia="仿宋" w:cs="仿宋"/>
              <w:sz w:val="32"/>
              <w:szCs w:val="32"/>
            </w:rPr>
          </w:pPr>
          <w:r>
            <w:fldChar w:fldCharType="begin"/>
          </w:r>
          <w:r>
            <w:instrText xml:space="preserve"> HYPERLINK \l "_Toc23859" </w:instrText>
          </w:r>
          <w:r>
            <w:fldChar w:fldCharType="separate"/>
          </w:r>
          <w:r>
            <w:rPr>
              <w:rFonts w:hint="eastAsia" w:ascii="仿宋" w:hAnsi="仿宋" w:eastAsia="仿宋" w:cs="仿宋"/>
              <w:b/>
              <w:bCs/>
              <w:sz w:val="32"/>
              <w:szCs w:val="32"/>
            </w:rPr>
            <w:t>附件1：广元市利州区东城实验初级中学2021年部门整体支出绩效评价报告</w:t>
          </w:r>
          <w:r>
            <w:rPr>
              <w:rFonts w:hint="eastAsia" w:ascii="仿宋" w:hAnsi="仿宋" w:eastAsia="仿宋" w:cs="仿宋"/>
              <w:sz w:val="32"/>
              <w:szCs w:val="32"/>
            </w:rPr>
            <w:tab/>
          </w:r>
          <w:r>
            <w:rPr>
              <w:rFonts w:hint="eastAsia" w:ascii="仿宋" w:hAnsi="仿宋" w:eastAsia="仿宋" w:cs="仿宋"/>
              <w:sz w:val="32"/>
              <w:szCs w:val="32"/>
            </w:rPr>
            <w:fldChar w:fldCharType="end"/>
          </w:r>
        </w:p>
        <w:p>
          <w:pPr>
            <w:pStyle w:val="9"/>
            <w:rPr>
              <w:rFonts w:ascii="仿宋" w:hAnsi="仿宋" w:eastAsia="仿宋" w:cs="仿宋"/>
              <w:sz w:val="32"/>
              <w:szCs w:val="32"/>
            </w:rPr>
          </w:pPr>
          <w:r>
            <w:fldChar w:fldCharType="begin"/>
          </w:r>
          <w:r>
            <w:instrText xml:space="preserve"> HYPERLINK \l "_Toc14430" </w:instrText>
          </w:r>
          <w:r>
            <w:fldChar w:fldCharType="separate"/>
          </w:r>
          <w:r>
            <w:rPr>
              <w:rFonts w:hint="eastAsia" w:ascii="仿宋" w:hAnsi="仿宋" w:eastAsia="仿宋" w:cs="仿宋"/>
              <w:sz w:val="32"/>
              <w:szCs w:val="32"/>
            </w:rPr>
            <w:t>附件2.1：</w:t>
          </w:r>
          <w:r>
            <w:rPr>
              <w:rFonts w:hint="eastAsia" w:ascii="仿宋" w:hAnsi="仿宋" w:eastAsia="仿宋" w:cs="仿宋"/>
              <w:sz w:val="32"/>
              <w:szCs w:val="32"/>
              <w:lang w:val="zh-CN"/>
            </w:rPr>
            <w:t>广元市利州区东城实验初级中学学生免作业本费项目支出绩效自评报告</w:t>
          </w:r>
          <w:r>
            <w:rPr>
              <w:rFonts w:hint="eastAsia" w:ascii="仿宋" w:hAnsi="仿宋" w:eastAsia="仿宋" w:cs="仿宋"/>
              <w:sz w:val="32"/>
              <w:szCs w:val="32"/>
              <w:lang w:val="zh-CN"/>
            </w:rPr>
            <w:tab/>
          </w:r>
          <w:r>
            <w:rPr>
              <w:rFonts w:hint="eastAsia" w:ascii="仿宋" w:hAnsi="仿宋" w:eastAsia="仿宋" w:cs="仿宋"/>
              <w:sz w:val="32"/>
              <w:szCs w:val="32"/>
              <w:lang w:val="zh-CN"/>
            </w:rPr>
            <w:fldChar w:fldCharType="end"/>
          </w:r>
        </w:p>
        <w:p>
          <w:pPr>
            <w:pStyle w:val="9"/>
            <w:rPr>
              <w:rFonts w:ascii="仿宋" w:hAnsi="仿宋" w:eastAsia="仿宋" w:cs="仿宋"/>
              <w:sz w:val="32"/>
              <w:szCs w:val="32"/>
            </w:rPr>
          </w:pPr>
          <w:r>
            <w:rPr>
              <w:rFonts w:hint="eastAsia" w:ascii="仿宋" w:hAnsi="仿宋" w:eastAsia="仿宋" w:cs="仿宋"/>
              <w:sz w:val="32"/>
              <w:szCs w:val="32"/>
              <w:lang w:val="zh-CN"/>
            </w:rPr>
            <w:t>附件</w:t>
          </w:r>
          <w:r>
            <w:rPr>
              <w:rFonts w:hint="eastAsia" w:ascii="仿宋" w:hAnsi="仿宋" w:eastAsia="仿宋" w:cs="仿宋"/>
              <w:sz w:val="32"/>
              <w:szCs w:val="32"/>
            </w:rPr>
            <w:t>2.2</w:t>
          </w:r>
          <w:r>
            <w:rPr>
              <w:rFonts w:hint="eastAsia" w:ascii="仿宋" w:hAnsi="仿宋" w:eastAsia="仿宋" w:cs="仿宋"/>
              <w:sz w:val="32"/>
              <w:szCs w:val="32"/>
              <w:lang w:val="zh-CN"/>
            </w:rPr>
            <w:t>广元市利州区东城实验初级中学2021年寄宿生生活补助项目支出绩效自评报告</w:t>
          </w:r>
        </w:p>
        <w:p>
          <w:pPr>
            <w:pStyle w:val="9"/>
            <w:rPr>
              <w:rFonts w:ascii="仿宋" w:hAnsi="仿宋" w:eastAsia="仿宋" w:cs="仿宋"/>
              <w:sz w:val="32"/>
              <w:szCs w:val="32"/>
            </w:rPr>
          </w:pPr>
          <w:r>
            <w:rPr>
              <w:rFonts w:hint="eastAsia" w:ascii="仿宋" w:hAnsi="仿宋" w:eastAsia="仿宋" w:cs="仿宋"/>
              <w:b/>
              <w:bCs/>
              <w:sz w:val="32"/>
              <w:szCs w:val="32"/>
            </w:rPr>
            <w:t>附件2.3：</w:t>
          </w:r>
          <w:r>
            <w:rPr>
              <w:rFonts w:hint="eastAsia" w:ascii="仿宋" w:hAnsi="仿宋" w:eastAsia="仿宋" w:cs="仿宋"/>
              <w:sz w:val="32"/>
              <w:szCs w:val="32"/>
              <w:lang w:val="zh-CN"/>
            </w:rPr>
            <w:t>广元市利州区东城实验初级中学2021年名师工程专项补助项目支出绩效自评报告</w:t>
          </w:r>
        </w:p>
        <w:p>
          <w:pPr>
            <w:pStyle w:val="9"/>
            <w:rPr>
              <w:rFonts w:ascii="仿宋" w:hAnsi="仿宋" w:eastAsia="仿宋" w:cs="仿宋"/>
              <w:sz w:val="32"/>
              <w:szCs w:val="32"/>
            </w:rPr>
          </w:pPr>
          <w:r>
            <w:fldChar w:fldCharType="begin"/>
          </w:r>
          <w:r>
            <w:instrText xml:space="preserve"> HYPERLINK \l "_Toc17167" </w:instrText>
          </w:r>
          <w:r>
            <w:fldChar w:fldCharType="separate"/>
          </w:r>
          <w:r>
            <w:rPr>
              <w:rFonts w:hint="eastAsia" w:ascii="仿宋" w:hAnsi="仿宋" w:eastAsia="仿宋" w:cs="仿宋"/>
              <w:b/>
              <w:sz w:val="32"/>
              <w:szCs w:val="32"/>
            </w:rPr>
            <w:t>附件3、</w:t>
          </w:r>
          <w:r>
            <w:rPr>
              <w:rFonts w:hint="eastAsia" w:ascii="仿宋" w:hAnsi="仿宋" w:eastAsia="仿宋" w:cs="仿宋"/>
              <w:sz w:val="32"/>
              <w:szCs w:val="32"/>
            </w:rPr>
            <w:t>2021年100万元以上（含）特定目标部门预算项目绩效目标自评</w:t>
          </w:r>
          <w:r>
            <w:rPr>
              <w:rFonts w:hint="eastAsia" w:ascii="仿宋" w:hAnsi="仿宋" w:eastAsia="仿宋" w:cs="仿宋"/>
              <w:sz w:val="32"/>
              <w:szCs w:val="32"/>
            </w:rPr>
            <w:fldChar w:fldCharType="end"/>
          </w:r>
          <w:r>
            <w:rPr>
              <w:rFonts w:ascii="仿宋" w:hAnsi="仿宋" w:eastAsia="仿宋" w:cs="仿宋"/>
              <w:sz w:val="32"/>
              <w:szCs w:val="32"/>
            </w:rPr>
            <w:t xml:space="preserve"> </w:t>
          </w:r>
        </w:p>
        <w:p>
          <w:pPr>
            <w:pStyle w:val="9"/>
            <w:rPr>
              <w:rFonts w:ascii="仿宋" w:hAnsi="仿宋" w:eastAsia="仿宋" w:cs="仿宋"/>
              <w:b/>
              <w:sz w:val="32"/>
              <w:szCs w:val="32"/>
            </w:rPr>
          </w:pPr>
          <w:r>
            <w:fldChar w:fldCharType="begin"/>
          </w:r>
          <w:r>
            <w:instrText xml:space="preserve"> HYPERLINK \l "_Toc25694" </w:instrText>
          </w:r>
          <w:r>
            <w:fldChar w:fldCharType="separate"/>
          </w:r>
          <w:r>
            <w:rPr>
              <w:rFonts w:hint="eastAsia" w:ascii="黑体" w:hAnsi="黑体" w:eastAsia="黑体" w:cs="黑体"/>
              <w:bCs/>
              <w:sz w:val="32"/>
              <w:szCs w:val="32"/>
            </w:rPr>
            <w:t>第五部分 附表</w:t>
          </w:r>
          <w:r>
            <w:rPr>
              <w:rFonts w:hint="eastAsia" w:ascii="仿宋" w:hAnsi="仿宋" w:eastAsia="仿宋" w:cs="仿宋"/>
              <w:b/>
              <w:sz w:val="32"/>
              <w:szCs w:val="32"/>
            </w:rPr>
            <w:tab/>
          </w:r>
          <w:r>
            <w:rPr>
              <w:rFonts w:hint="eastAsia" w:ascii="仿宋" w:hAnsi="仿宋" w:eastAsia="仿宋" w:cs="仿宋"/>
              <w:b/>
              <w:sz w:val="32"/>
              <w:szCs w:val="32"/>
            </w:rPr>
            <w:fldChar w:fldCharType="end"/>
          </w:r>
        </w:p>
        <w:p>
          <w:pPr>
            <w:pStyle w:val="9"/>
            <w:rPr>
              <w:rFonts w:ascii="仿宋" w:hAnsi="仿宋" w:eastAsia="仿宋" w:cs="仿宋"/>
              <w:sz w:val="32"/>
              <w:szCs w:val="32"/>
            </w:rPr>
          </w:pPr>
          <w:r>
            <w:fldChar w:fldCharType="begin"/>
          </w:r>
          <w:r>
            <w:instrText xml:space="preserve"> HYPERLINK \l "_Toc5019" </w:instrText>
          </w:r>
          <w:r>
            <w:fldChar w:fldCharType="separate"/>
          </w:r>
          <w:r>
            <w:rPr>
              <w:rFonts w:hint="eastAsia" w:ascii="仿宋" w:hAnsi="仿宋" w:eastAsia="仿宋" w:cs="仿宋"/>
              <w:sz w:val="32"/>
              <w:szCs w:val="32"/>
            </w:rPr>
            <w:t>一、收入支出决算总表</w:t>
          </w:r>
          <w:r>
            <w:rPr>
              <w:rFonts w:hint="eastAsia" w:ascii="仿宋" w:hAnsi="仿宋" w:eastAsia="仿宋" w:cs="仿宋"/>
              <w:sz w:val="32"/>
              <w:szCs w:val="32"/>
            </w:rPr>
            <w:tab/>
          </w:r>
          <w:r>
            <w:rPr>
              <w:rFonts w:hint="eastAsia" w:ascii="仿宋" w:hAnsi="仿宋" w:eastAsia="仿宋" w:cs="仿宋"/>
              <w:sz w:val="32"/>
              <w:szCs w:val="32"/>
            </w:rPr>
            <w:fldChar w:fldCharType="end"/>
          </w:r>
        </w:p>
        <w:p>
          <w:pPr>
            <w:pStyle w:val="9"/>
            <w:rPr>
              <w:rFonts w:ascii="仿宋" w:hAnsi="仿宋" w:eastAsia="仿宋" w:cs="仿宋"/>
              <w:sz w:val="32"/>
              <w:szCs w:val="32"/>
            </w:rPr>
          </w:pPr>
          <w:r>
            <w:fldChar w:fldCharType="begin"/>
          </w:r>
          <w:r>
            <w:instrText xml:space="preserve"> HYPERLINK \l "_Toc19794" </w:instrText>
          </w:r>
          <w:r>
            <w:fldChar w:fldCharType="separate"/>
          </w:r>
          <w:r>
            <w:rPr>
              <w:rFonts w:hint="eastAsia" w:ascii="仿宋" w:hAnsi="仿宋" w:eastAsia="仿宋" w:cs="仿宋"/>
              <w:sz w:val="32"/>
              <w:szCs w:val="32"/>
            </w:rPr>
            <w:t>二、收入决算表</w:t>
          </w:r>
          <w:r>
            <w:rPr>
              <w:rFonts w:hint="eastAsia" w:ascii="仿宋" w:hAnsi="仿宋" w:eastAsia="仿宋" w:cs="仿宋"/>
              <w:sz w:val="32"/>
              <w:szCs w:val="32"/>
            </w:rPr>
            <w:tab/>
          </w:r>
          <w:r>
            <w:rPr>
              <w:rFonts w:hint="eastAsia" w:ascii="仿宋" w:hAnsi="仿宋" w:eastAsia="仿宋" w:cs="仿宋"/>
              <w:sz w:val="32"/>
              <w:szCs w:val="32"/>
            </w:rPr>
            <w:fldChar w:fldCharType="end"/>
          </w:r>
        </w:p>
        <w:p>
          <w:pPr>
            <w:pStyle w:val="9"/>
            <w:rPr>
              <w:rFonts w:ascii="仿宋" w:hAnsi="仿宋" w:eastAsia="仿宋" w:cs="仿宋"/>
              <w:sz w:val="32"/>
              <w:szCs w:val="32"/>
            </w:rPr>
          </w:pPr>
          <w:r>
            <w:fldChar w:fldCharType="begin"/>
          </w:r>
          <w:r>
            <w:instrText xml:space="preserve"> HYPERLINK \l "_Toc1814" </w:instrText>
          </w:r>
          <w:r>
            <w:fldChar w:fldCharType="separate"/>
          </w:r>
          <w:r>
            <w:rPr>
              <w:rFonts w:hint="eastAsia" w:ascii="仿宋" w:hAnsi="仿宋" w:eastAsia="仿宋" w:cs="仿宋"/>
              <w:sz w:val="32"/>
              <w:szCs w:val="32"/>
            </w:rPr>
            <w:t>三、支出决算表</w:t>
          </w:r>
          <w:r>
            <w:rPr>
              <w:rFonts w:hint="eastAsia" w:ascii="仿宋" w:hAnsi="仿宋" w:eastAsia="仿宋" w:cs="仿宋"/>
              <w:sz w:val="32"/>
              <w:szCs w:val="32"/>
            </w:rPr>
            <w:tab/>
          </w:r>
          <w:r>
            <w:rPr>
              <w:rFonts w:hint="eastAsia" w:ascii="仿宋" w:hAnsi="仿宋" w:eastAsia="仿宋" w:cs="仿宋"/>
              <w:sz w:val="32"/>
              <w:szCs w:val="32"/>
            </w:rPr>
            <w:fldChar w:fldCharType="end"/>
          </w:r>
        </w:p>
        <w:p>
          <w:pPr>
            <w:pStyle w:val="9"/>
            <w:rPr>
              <w:rFonts w:ascii="仿宋" w:hAnsi="仿宋" w:eastAsia="仿宋" w:cs="仿宋"/>
              <w:sz w:val="32"/>
              <w:szCs w:val="32"/>
            </w:rPr>
          </w:pPr>
          <w:r>
            <w:fldChar w:fldCharType="begin"/>
          </w:r>
          <w:r>
            <w:instrText xml:space="preserve"> HYPERLINK \l "_Toc11652" </w:instrText>
          </w:r>
          <w:r>
            <w:fldChar w:fldCharType="separate"/>
          </w:r>
          <w:r>
            <w:rPr>
              <w:rFonts w:hint="eastAsia" w:ascii="仿宋" w:hAnsi="仿宋" w:eastAsia="仿宋" w:cs="仿宋"/>
              <w:sz w:val="32"/>
              <w:szCs w:val="32"/>
            </w:rPr>
            <w:t>四、财政拨款收入支出决算总表</w:t>
          </w:r>
          <w:r>
            <w:rPr>
              <w:rFonts w:hint="eastAsia" w:ascii="仿宋" w:hAnsi="仿宋" w:eastAsia="仿宋" w:cs="仿宋"/>
              <w:sz w:val="32"/>
              <w:szCs w:val="32"/>
            </w:rPr>
            <w:tab/>
          </w:r>
          <w:r>
            <w:rPr>
              <w:rFonts w:hint="eastAsia" w:ascii="仿宋" w:hAnsi="仿宋" w:eastAsia="仿宋" w:cs="仿宋"/>
              <w:sz w:val="32"/>
              <w:szCs w:val="32"/>
            </w:rPr>
            <w:fldChar w:fldCharType="end"/>
          </w:r>
        </w:p>
        <w:p>
          <w:pPr>
            <w:pStyle w:val="9"/>
            <w:rPr>
              <w:rFonts w:ascii="仿宋" w:hAnsi="仿宋" w:eastAsia="仿宋" w:cs="仿宋"/>
              <w:sz w:val="32"/>
              <w:szCs w:val="32"/>
            </w:rPr>
          </w:pPr>
          <w:r>
            <w:fldChar w:fldCharType="begin"/>
          </w:r>
          <w:r>
            <w:instrText xml:space="preserve"> HYPERLINK \l "_Toc26044" </w:instrText>
          </w:r>
          <w:r>
            <w:fldChar w:fldCharType="separate"/>
          </w:r>
          <w:r>
            <w:rPr>
              <w:rFonts w:hint="eastAsia" w:ascii="仿宋" w:hAnsi="仿宋" w:eastAsia="仿宋" w:cs="仿宋"/>
              <w:sz w:val="32"/>
              <w:szCs w:val="32"/>
            </w:rPr>
            <w:t>五、财政拨款支出决算明细表</w:t>
          </w:r>
          <w:r>
            <w:rPr>
              <w:rFonts w:hint="eastAsia" w:ascii="仿宋" w:hAnsi="仿宋" w:eastAsia="仿宋" w:cs="仿宋"/>
              <w:sz w:val="32"/>
              <w:szCs w:val="32"/>
            </w:rPr>
            <w:tab/>
          </w:r>
          <w:r>
            <w:rPr>
              <w:rFonts w:hint="eastAsia" w:ascii="仿宋" w:hAnsi="仿宋" w:eastAsia="仿宋" w:cs="仿宋"/>
              <w:sz w:val="32"/>
              <w:szCs w:val="32"/>
            </w:rPr>
            <w:fldChar w:fldCharType="end"/>
          </w:r>
        </w:p>
        <w:p>
          <w:pPr>
            <w:pStyle w:val="9"/>
            <w:rPr>
              <w:rFonts w:ascii="仿宋" w:hAnsi="仿宋" w:eastAsia="仿宋" w:cs="仿宋"/>
              <w:sz w:val="32"/>
              <w:szCs w:val="32"/>
            </w:rPr>
          </w:pPr>
          <w:r>
            <w:fldChar w:fldCharType="begin"/>
          </w:r>
          <w:r>
            <w:instrText xml:space="preserve"> HYPERLINK \l "_Toc1662" </w:instrText>
          </w:r>
          <w:r>
            <w:fldChar w:fldCharType="separate"/>
          </w:r>
          <w:r>
            <w:rPr>
              <w:rFonts w:hint="eastAsia" w:ascii="仿宋" w:hAnsi="仿宋" w:eastAsia="仿宋" w:cs="仿宋"/>
              <w:sz w:val="32"/>
              <w:szCs w:val="32"/>
            </w:rPr>
            <w:t>六、一般公共预算财政拨款支出决算表</w:t>
          </w:r>
          <w:r>
            <w:rPr>
              <w:rFonts w:hint="eastAsia" w:ascii="仿宋" w:hAnsi="仿宋" w:eastAsia="仿宋" w:cs="仿宋"/>
              <w:sz w:val="32"/>
              <w:szCs w:val="32"/>
            </w:rPr>
            <w:tab/>
          </w:r>
          <w:r>
            <w:rPr>
              <w:rFonts w:hint="eastAsia" w:ascii="仿宋" w:hAnsi="仿宋" w:eastAsia="仿宋" w:cs="仿宋"/>
              <w:sz w:val="32"/>
              <w:szCs w:val="32"/>
            </w:rPr>
            <w:fldChar w:fldCharType="end"/>
          </w:r>
        </w:p>
        <w:p>
          <w:pPr>
            <w:pStyle w:val="9"/>
            <w:rPr>
              <w:rFonts w:ascii="仿宋" w:hAnsi="仿宋" w:eastAsia="仿宋" w:cs="仿宋"/>
              <w:sz w:val="32"/>
              <w:szCs w:val="32"/>
            </w:rPr>
          </w:pPr>
          <w:r>
            <w:fldChar w:fldCharType="begin"/>
          </w:r>
          <w:r>
            <w:instrText xml:space="preserve"> HYPERLINK \l "_Toc9260" </w:instrText>
          </w:r>
          <w:r>
            <w:fldChar w:fldCharType="separate"/>
          </w:r>
          <w:r>
            <w:rPr>
              <w:rFonts w:hint="eastAsia" w:ascii="仿宋" w:hAnsi="仿宋" w:eastAsia="仿宋" w:cs="仿宋"/>
              <w:sz w:val="32"/>
              <w:szCs w:val="32"/>
            </w:rPr>
            <w:t>七、一般公共预算财政拨款支出决算明细表</w:t>
          </w:r>
          <w:r>
            <w:rPr>
              <w:rFonts w:hint="eastAsia" w:ascii="仿宋" w:hAnsi="仿宋" w:eastAsia="仿宋" w:cs="仿宋"/>
              <w:sz w:val="32"/>
              <w:szCs w:val="32"/>
            </w:rPr>
            <w:tab/>
          </w:r>
          <w:r>
            <w:rPr>
              <w:rFonts w:hint="eastAsia" w:ascii="仿宋" w:hAnsi="仿宋" w:eastAsia="仿宋" w:cs="仿宋"/>
              <w:sz w:val="32"/>
              <w:szCs w:val="32"/>
            </w:rPr>
            <w:fldChar w:fldCharType="end"/>
          </w:r>
        </w:p>
        <w:p>
          <w:pPr>
            <w:pStyle w:val="9"/>
            <w:rPr>
              <w:rFonts w:ascii="仿宋" w:hAnsi="仿宋" w:eastAsia="仿宋" w:cs="仿宋"/>
              <w:sz w:val="32"/>
              <w:szCs w:val="32"/>
            </w:rPr>
          </w:pPr>
          <w:r>
            <w:fldChar w:fldCharType="begin"/>
          </w:r>
          <w:r>
            <w:instrText xml:space="preserve"> HYPERLINK \l "_Toc30388" </w:instrText>
          </w:r>
          <w:r>
            <w:fldChar w:fldCharType="separate"/>
          </w:r>
          <w:r>
            <w:rPr>
              <w:rFonts w:hint="eastAsia" w:ascii="仿宋" w:hAnsi="仿宋" w:eastAsia="仿宋" w:cs="仿宋"/>
              <w:sz w:val="32"/>
              <w:szCs w:val="32"/>
            </w:rPr>
            <w:t>八、一般公共预算财政拨款基本支出决算表</w:t>
          </w:r>
          <w:r>
            <w:rPr>
              <w:rFonts w:hint="eastAsia" w:ascii="仿宋" w:hAnsi="仿宋" w:eastAsia="仿宋" w:cs="仿宋"/>
              <w:sz w:val="32"/>
              <w:szCs w:val="32"/>
            </w:rPr>
            <w:tab/>
          </w:r>
          <w:r>
            <w:rPr>
              <w:rFonts w:hint="eastAsia" w:ascii="仿宋" w:hAnsi="仿宋" w:eastAsia="仿宋" w:cs="仿宋"/>
              <w:sz w:val="32"/>
              <w:szCs w:val="32"/>
            </w:rPr>
            <w:fldChar w:fldCharType="end"/>
          </w:r>
        </w:p>
        <w:p>
          <w:pPr>
            <w:pStyle w:val="9"/>
            <w:rPr>
              <w:rFonts w:ascii="仿宋" w:hAnsi="仿宋" w:eastAsia="仿宋" w:cs="仿宋"/>
              <w:sz w:val="32"/>
              <w:szCs w:val="32"/>
            </w:rPr>
          </w:pPr>
          <w:r>
            <w:fldChar w:fldCharType="begin"/>
          </w:r>
          <w:r>
            <w:instrText xml:space="preserve"> HYPERLINK \l "_Toc14865" </w:instrText>
          </w:r>
          <w:r>
            <w:fldChar w:fldCharType="separate"/>
          </w:r>
          <w:r>
            <w:rPr>
              <w:rFonts w:hint="eastAsia" w:ascii="仿宋" w:hAnsi="仿宋" w:eastAsia="仿宋" w:cs="仿宋"/>
              <w:sz w:val="32"/>
              <w:szCs w:val="32"/>
            </w:rPr>
            <w:t>九、一般公共预算财政拨款项目支出决算表</w:t>
          </w:r>
          <w:r>
            <w:rPr>
              <w:rFonts w:hint="eastAsia" w:ascii="仿宋" w:hAnsi="仿宋" w:eastAsia="仿宋" w:cs="仿宋"/>
              <w:sz w:val="32"/>
              <w:szCs w:val="32"/>
            </w:rPr>
            <w:tab/>
          </w:r>
          <w:r>
            <w:rPr>
              <w:rFonts w:hint="eastAsia" w:ascii="仿宋" w:hAnsi="仿宋" w:eastAsia="仿宋" w:cs="仿宋"/>
              <w:sz w:val="32"/>
              <w:szCs w:val="32"/>
            </w:rPr>
            <w:fldChar w:fldCharType="end"/>
          </w:r>
        </w:p>
        <w:p>
          <w:pPr>
            <w:pStyle w:val="9"/>
            <w:rPr>
              <w:rFonts w:ascii="仿宋" w:hAnsi="仿宋" w:eastAsia="仿宋" w:cs="仿宋"/>
              <w:sz w:val="32"/>
              <w:szCs w:val="32"/>
            </w:rPr>
          </w:pPr>
          <w:r>
            <w:fldChar w:fldCharType="begin"/>
          </w:r>
          <w:r>
            <w:instrText xml:space="preserve"> HYPERLINK \l "_Toc17930" </w:instrText>
          </w:r>
          <w:r>
            <w:fldChar w:fldCharType="separate"/>
          </w:r>
          <w:r>
            <w:rPr>
              <w:rFonts w:hint="eastAsia" w:ascii="仿宋" w:hAnsi="仿宋" w:eastAsia="仿宋" w:cs="仿宋"/>
              <w:sz w:val="32"/>
              <w:szCs w:val="32"/>
            </w:rPr>
            <w:t>十、一般公共预算财政拨款“三公”经费支出决算表</w:t>
          </w:r>
          <w:r>
            <w:rPr>
              <w:rFonts w:hint="eastAsia" w:ascii="仿宋" w:hAnsi="仿宋" w:eastAsia="仿宋" w:cs="仿宋"/>
              <w:sz w:val="32"/>
              <w:szCs w:val="32"/>
            </w:rPr>
            <w:tab/>
          </w:r>
          <w:r>
            <w:rPr>
              <w:rFonts w:hint="eastAsia" w:ascii="仿宋" w:hAnsi="仿宋" w:eastAsia="仿宋" w:cs="仿宋"/>
              <w:sz w:val="32"/>
              <w:szCs w:val="32"/>
            </w:rPr>
            <w:fldChar w:fldCharType="end"/>
          </w:r>
        </w:p>
        <w:p>
          <w:pPr>
            <w:pStyle w:val="9"/>
            <w:rPr>
              <w:rFonts w:ascii="仿宋" w:hAnsi="仿宋" w:eastAsia="仿宋" w:cs="仿宋"/>
              <w:sz w:val="32"/>
              <w:szCs w:val="32"/>
            </w:rPr>
          </w:pPr>
          <w:r>
            <w:fldChar w:fldCharType="begin"/>
          </w:r>
          <w:r>
            <w:instrText xml:space="preserve"> HYPERLINK \l "_Toc19228" </w:instrText>
          </w:r>
          <w:r>
            <w:fldChar w:fldCharType="separate"/>
          </w:r>
          <w:r>
            <w:rPr>
              <w:rFonts w:hint="eastAsia" w:ascii="仿宋" w:hAnsi="仿宋" w:eastAsia="仿宋" w:cs="仿宋"/>
              <w:sz w:val="32"/>
              <w:szCs w:val="32"/>
            </w:rPr>
            <w:t>十一、政府性基金预算财政拨款收入支出决算表</w:t>
          </w:r>
          <w:r>
            <w:rPr>
              <w:rFonts w:hint="eastAsia" w:ascii="仿宋" w:hAnsi="仿宋" w:eastAsia="仿宋" w:cs="仿宋"/>
              <w:sz w:val="32"/>
              <w:szCs w:val="32"/>
            </w:rPr>
            <w:tab/>
          </w:r>
          <w:r>
            <w:rPr>
              <w:rFonts w:hint="eastAsia" w:ascii="仿宋" w:hAnsi="仿宋" w:eastAsia="仿宋" w:cs="仿宋"/>
              <w:sz w:val="32"/>
              <w:szCs w:val="32"/>
            </w:rPr>
            <w:fldChar w:fldCharType="end"/>
          </w:r>
        </w:p>
        <w:p>
          <w:pPr>
            <w:pStyle w:val="9"/>
            <w:rPr>
              <w:rFonts w:ascii="仿宋" w:hAnsi="仿宋" w:eastAsia="仿宋" w:cs="仿宋"/>
              <w:sz w:val="32"/>
              <w:szCs w:val="32"/>
            </w:rPr>
          </w:pPr>
          <w:r>
            <w:fldChar w:fldCharType="begin"/>
          </w:r>
          <w:r>
            <w:instrText xml:space="preserve"> HYPERLINK \l "_Toc32608" </w:instrText>
          </w:r>
          <w:r>
            <w:fldChar w:fldCharType="separate"/>
          </w:r>
          <w:r>
            <w:rPr>
              <w:rFonts w:hint="eastAsia" w:ascii="仿宋" w:hAnsi="仿宋" w:eastAsia="仿宋" w:cs="仿宋"/>
              <w:sz w:val="32"/>
              <w:szCs w:val="32"/>
            </w:rPr>
            <w:t>十二、政府性基金预算财政拨款“三公”经费支出决算表</w:t>
          </w:r>
          <w:r>
            <w:rPr>
              <w:rFonts w:hint="eastAsia" w:ascii="仿宋" w:hAnsi="仿宋" w:eastAsia="仿宋" w:cs="仿宋"/>
              <w:sz w:val="32"/>
              <w:szCs w:val="32"/>
            </w:rPr>
            <w:tab/>
          </w:r>
          <w:r>
            <w:rPr>
              <w:rFonts w:hint="eastAsia" w:ascii="仿宋" w:hAnsi="仿宋" w:eastAsia="仿宋" w:cs="仿宋"/>
              <w:sz w:val="32"/>
              <w:szCs w:val="32"/>
            </w:rPr>
            <w:fldChar w:fldCharType="end"/>
          </w:r>
        </w:p>
        <w:p>
          <w:pPr>
            <w:pStyle w:val="9"/>
            <w:rPr>
              <w:rFonts w:ascii="仿宋" w:hAnsi="仿宋" w:eastAsia="仿宋" w:cs="仿宋"/>
              <w:sz w:val="32"/>
              <w:szCs w:val="32"/>
            </w:rPr>
          </w:pPr>
          <w:r>
            <w:fldChar w:fldCharType="begin"/>
          </w:r>
          <w:r>
            <w:instrText xml:space="preserve"> HYPERLINK \l "_Toc7384" </w:instrText>
          </w:r>
          <w:r>
            <w:fldChar w:fldCharType="separate"/>
          </w:r>
          <w:r>
            <w:rPr>
              <w:rFonts w:hint="eastAsia" w:ascii="仿宋" w:hAnsi="仿宋" w:eastAsia="仿宋" w:cs="仿宋"/>
              <w:sz w:val="32"/>
              <w:szCs w:val="32"/>
            </w:rPr>
            <w:t>十三、国有资本经营预算财政拨款收入支出决算表</w:t>
          </w:r>
          <w:r>
            <w:rPr>
              <w:rFonts w:hint="eastAsia" w:ascii="仿宋" w:hAnsi="仿宋" w:eastAsia="仿宋" w:cs="仿宋"/>
              <w:sz w:val="32"/>
              <w:szCs w:val="32"/>
            </w:rPr>
            <w:tab/>
          </w:r>
          <w:r>
            <w:rPr>
              <w:rFonts w:hint="eastAsia" w:ascii="仿宋" w:hAnsi="仿宋" w:eastAsia="仿宋" w:cs="仿宋"/>
              <w:sz w:val="32"/>
              <w:szCs w:val="32"/>
            </w:rPr>
            <w:fldChar w:fldCharType="end"/>
          </w:r>
        </w:p>
        <w:p>
          <w:pPr>
            <w:pStyle w:val="9"/>
          </w:pPr>
          <w:r>
            <w:fldChar w:fldCharType="begin"/>
          </w:r>
          <w:r>
            <w:instrText xml:space="preserve"> HYPERLINK \l "_Toc18325" </w:instrText>
          </w:r>
          <w:r>
            <w:fldChar w:fldCharType="separate"/>
          </w:r>
          <w:r>
            <w:rPr>
              <w:rFonts w:hint="eastAsia" w:ascii="仿宋" w:hAnsi="仿宋" w:eastAsia="仿宋" w:cs="仿宋"/>
              <w:sz w:val="32"/>
              <w:szCs w:val="32"/>
            </w:rPr>
            <w:t>十四、国有资本经营预算财政拨款支出决算表</w:t>
          </w:r>
          <w:r>
            <w:rPr>
              <w:rFonts w:hint="eastAsia" w:ascii="仿宋" w:hAnsi="仿宋" w:eastAsia="仿宋" w:cs="仿宋"/>
              <w:sz w:val="32"/>
              <w:szCs w:val="32"/>
            </w:rPr>
            <w:tab/>
          </w:r>
          <w:r>
            <w:rPr>
              <w:rFonts w:hint="eastAsia" w:ascii="仿宋" w:hAnsi="仿宋" w:eastAsia="仿宋" w:cs="仿宋"/>
              <w:sz w:val="32"/>
              <w:szCs w:val="32"/>
            </w:rPr>
            <w:fldChar w:fldCharType="end"/>
          </w:r>
        </w:p>
        <w:p>
          <w:pPr>
            <w:pStyle w:val="9"/>
            <w:rPr>
              <w:rFonts w:ascii="仿宋" w:hAnsi="仿宋" w:eastAsia="仿宋"/>
              <w:b/>
              <w:sz w:val="24"/>
            </w:rPr>
          </w:pPr>
          <w:r>
            <w:rPr>
              <w:b/>
            </w:rPr>
            <w:fldChar w:fldCharType="end"/>
          </w:r>
        </w:p>
      </w:sdtContent>
    </w:sdt>
    <w:p>
      <w:pPr>
        <w:pStyle w:val="9"/>
        <w:sectPr>
          <w:headerReference r:id="rId3" w:type="default"/>
          <w:footerReference r:id="rId4" w:type="default"/>
          <w:pgSz w:w="11906" w:h="16838"/>
          <w:pgMar w:top="1701" w:right="1474" w:bottom="1701" w:left="1587" w:header="851" w:footer="1304" w:gutter="0"/>
          <w:pgNumType w:start="1"/>
          <w:cols w:space="0" w:num="1"/>
          <w:docGrid w:type="lines" w:linePitch="312" w:charSpace="0"/>
        </w:sectPr>
      </w:pPr>
    </w:p>
    <w:p>
      <w:pPr>
        <w:pStyle w:val="2"/>
        <w:jc w:val="center"/>
        <w:rPr>
          <w:rStyle w:val="25"/>
          <w:rFonts w:ascii="黑体" w:hAnsi="黑体" w:eastAsia="黑体"/>
          <w:b/>
          <w:bCs w:val="0"/>
        </w:rPr>
      </w:pPr>
      <w:bookmarkStart w:id="7" w:name="_Toc10883"/>
      <w:r>
        <w:rPr>
          <w:rFonts w:hint="eastAsia" w:ascii="黑体" w:hAnsi="黑体" w:eastAsia="黑体"/>
          <w:b w:val="0"/>
        </w:rPr>
        <w:t>第一部分 单位</w:t>
      </w:r>
      <w:r>
        <w:rPr>
          <w:rStyle w:val="25"/>
          <w:rFonts w:hint="eastAsia" w:ascii="黑体" w:hAnsi="黑体" w:eastAsia="黑体"/>
          <w:b w:val="0"/>
          <w:bCs w:val="0"/>
        </w:rPr>
        <w:t>概况</w:t>
      </w:r>
      <w:bookmarkEnd w:id="0"/>
      <w:bookmarkEnd w:id="1"/>
      <w:bookmarkEnd w:id="7"/>
    </w:p>
    <w:p>
      <w:pPr>
        <w:pStyle w:val="4"/>
        <w:snapToGrid w:val="0"/>
        <w:spacing w:before="0" w:after="0" w:line="560" w:lineRule="exact"/>
        <w:ind w:firstLine="640" w:firstLineChars="200"/>
        <w:rPr>
          <w:rStyle w:val="26"/>
          <w:rFonts w:ascii="黑体" w:hAnsi="黑体" w:eastAsia="黑体"/>
          <w:b w:val="0"/>
          <w:bCs w:val="0"/>
        </w:rPr>
      </w:pPr>
      <w:bookmarkStart w:id="8" w:name="_Toc25654"/>
      <w:bookmarkStart w:id="9" w:name="_Toc15377197"/>
      <w:bookmarkStart w:id="10" w:name="_Toc15396600"/>
      <w:r>
        <w:rPr>
          <w:rStyle w:val="26"/>
          <w:rFonts w:hint="eastAsia" w:ascii="黑体" w:hAnsi="黑体" w:eastAsia="黑体"/>
          <w:b w:val="0"/>
          <w:bCs w:val="0"/>
        </w:rPr>
        <w:t>一、</w:t>
      </w:r>
      <w:bookmarkEnd w:id="8"/>
      <w:r>
        <w:rPr>
          <w:rStyle w:val="26"/>
          <w:rFonts w:hint="eastAsia" w:ascii="黑体" w:hAnsi="黑体" w:eastAsia="黑体"/>
          <w:b w:val="0"/>
          <w:bCs w:val="0"/>
        </w:rPr>
        <w:t>职能简介</w:t>
      </w:r>
    </w:p>
    <w:p>
      <w:pPr>
        <w:pStyle w:val="4"/>
        <w:snapToGrid w:val="0"/>
        <w:spacing w:before="0" w:after="0" w:line="560" w:lineRule="exact"/>
        <w:ind w:firstLine="560" w:firstLineChars="200"/>
        <w:rPr>
          <w:rFonts w:ascii="仿宋" w:hAnsi="仿宋" w:eastAsia="仿宋" w:cs="宋体"/>
          <w:b w:val="0"/>
          <w:bCs w:val="0"/>
          <w:kern w:val="0"/>
          <w:sz w:val="28"/>
          <w:szCs w:val="28"/>
        </w:rPr>
      </w:pPr>
      <w:bookmarkStart w:id="11" w:name="_Toc16074"/>
      <w:r>
        <w:rPr>
          <w:rFonts w:hint="eastAsia" w:ascii="仿宋" w:hAnsi="仿宋" w:eastAsia="仿宋" w:cs="宋体"/>
          <w:b w:val="0"/>
          <w:bCs w:val="0"/>
          <w:kern w:val="0"/>
          <w:sz w:val="28"/>
          <w:szCs w:val="28"/>
        </w:rPr>
        <w:t>东城实验学初级中学在2021年9月为新成立的一所初级中学，学校的办学宗旨为促进基础教育发展，实施初中学历教育。</w:t>
      </w:r>
    </w:p>
    <w:p>
      <w:pPr>
        <w:pStyle w:val="6"/>
        <w:spacing w:before="72"/>
        <w:ind w:firstLine="604" w:firstLineChars="189"/>
        <w:rPr>
          <w:sz w:val="32"/>
          <w:szCs w:val="32"/>
        </w:rPr>
      </w:pPr>
      <w:r>
        <w:rPr>
          <w:rFonts w:hint="eastAsia" w:ascii="仿宋" w:hAnsi="仿宋" w:eastAsia="仿宋" w:cs="宋体"/>
          <w:sz w:val="32"/>
          <w:szCs w:val="32"/>
        </w:rPr>
        <w:t>东城实验学初级中学</w:t>
      </w:r>
      <w:r>
        <w:rPr>
          <w:rFonts w:hint="eastAsia"/>
          <w:sz w:val="32"/>
          <w:szCs w:val="32"/>
        </w:rPr>
        <w:t>下设各处室8个，分别是办公室、教导处、总务处、政教处、社工部、教科室、工会、团委。</w:t>
      </w:r>
    </w:p>
    <w:p>
      <w:pPr>
        <w:pStyle w:val="6"/>
        <w:spacing w:before="72"/>
        <w:ind w:firstLine="604" w:firstLineChars="189"/>
        <w:rPr>
          <w:rFonts w:ascii="仿宋" w:hAnsi="仿宋" w:eastAsia="仿宋" w:cs="仿宋"/>
          <w:sz w:val="32"/>
        </w:rPr>
      </w:pPr>
      <w:r>
        <w:rPr>
          <w:rFonts w:hint="eastAsia" w:ascii="仿宋" w:hAnsi="仿宋" w:eastAsia="仿宋" w:cs="仿宋"/>
          <w:sz w:val="32"/>
        </w:rPr>
        <w:t>办公室负责学校公文处理、校务公开、人事管理、会议管理、学校宣传、事业年报、政府采购项目、信访回复、公章管理、评优晋级、师德师风等工作。</w:t>
      </w:r>
    </w:p>
    <w:p>
      <w:pPr>
        <w:pStyle w:val="6"/>
        <w:spacing w:before="72"/>
        <w:ind w:firstLine="604" w:firstLineChars="189"/>
        <w:rPr>
          <w:rFonts w:ascii="仿宋" w:hAnsi="仿宋" w:eastAsia="仿宋" w:cs="仿宋"/>
          <w:sz w:val="32"/>
        </w:rPr>
      </w:pPr>
      <w:r>
        <w:rPr>
          <w:rFonts w:hint="eastAsia" w:ascii="仿宋" w:hAnsi="仿宋" w:eastAsia="仿宋" w:cs="仿宋"/>
          <w:sz w:val="32"/>
        </w:rPr>
        <w:t>教导处组织招生入学、考核编班；负责教师考勤、绩效、年度考核；进行课程安排、学生学籍管理、学生课本定制；组织教育教学活动、参加各类比赛，进行综合素质测评；检查教育教学，进行档案管理；学生获奖情况统计等工作。</w:t>
      </w:r>
    </w:p>
    <w:p>
      <w:pPr>
        <w:pStyle w:val="6"/>
        <w:spacing w:before="72"/>
        <w:ind w:firstLine="640" w:firstLineChars="200"/>
        <w:rPr>
          <w:rFonts w:ascii="仿宋" w:hAnsi="仿宋" w:eastAsia="仿宋" w:cs="仿宋"/>
          <w:sz w:val="32"/>
        </w:rPr>
      </w:pPr>
      <w:r>
        <w:rPr>
          <w:rFonts w:hint="eastAsia" w:ascii="仿宋" w:hAnsi="仿宋" w:eastAsia="仿宋" w:cs="仿宋"/>
          <w:sz w:val="32"/>
        </w:rPr>
        <w:t>总务处负责学校物资采购维护、固定资产管理及核销、财务资金管理、工资社保福利、学生资助、临聘人员管理、财产保管、校园环境建设、垃圾分类、能源报送、一木环保、收费公示、保险等工作。</w:t>
      </w:r>
    </w:p>
    <w:p>
      <w:pPr>
        <w:pStyle w:val="6"/>
        <w:spacing w:before="72"/>
        <w:ind w:firstLine="707" w:firstLineChars="221"/>
        <w:rPr>
          <w:rFonts w:ascii="仿宋" w:hAnsi="仿宋" w:eastAsia="仿宋" w:cs="仿宋"/>
          <w:sz w:val="32"/>
        </w:rPr>
      </w:pPr>
      <w:r>
        <w:rPr>
          <w:rFonts w:hint="eastAsia"/>
          <w:sz w:val="32"/>
          <w:szCs w:val="32"/>
        </w:rPr>
        <w:t>政教处</w:t>
      </w:r>
      <w:r>
        <w:rPr>
          <w:rFonts w:hint="eastAsia" w:ascii="仿宋" w:hAnsi="仿宋" w:eastAsia="仿宋" w:cs="仿宋"/>
          <w:sz w:val="32"/>
        </w:rPr>
        <w:t>负责学生思想道德建设、纪律卫生检查评比、普法、防毒防艾、警校共育、特色活动开展、学生关爱、心理健康、学生行为习惯养成教育、班主任管理、值周安排、社会关爱及校际交流活动对接、创文创卫等工作。</w:t>
      </w:r>
    </w:p>
    <w:p>
      <w:pPr>
        <w:pStyle w:val="6"/>
        <w:spacing w:before="72"/>
        <w:ind w:firstLine="640" w:firstLineChars="200"/>
        <w:rPr>
          <w:rFonts w:ascii="仿宋" w:hAnsi="仿宋" w:eastAsia="仿宋" w:cs="仿宋"/>
          <w:sz w:val="32"/>
        </w:rPr>
      </w:pPr>
      <w:r>
        <w:rPr>
          <w:rFonts w:hint="eastAsia" w:ascii="仿宋" w:hAnsi="仿宋" w:eastAsia="仿宋" w:cs="仿宋"/>
          <w:sz w:val="32"/>
        </w:rPr>
        <w:t>教科室负责教师培训、技术装备及运行、课题研发、校本教材开发、继续教育、教师赛课、教师成长规划；组织撰写论文、案例等；统计教师获奖等工作。</w:t>
      </w:r>
    </w:p>
    <w:p>
      <w:pPr>
        <w:snapToGrid w:val="0"/>
        <w:spacing w:line="560" w:lineRule="exact"/>
        <w:ind w:firstLine="640" w:firstLineChars="200"/>
        <w:outlineLvl w:val="2"/>
        <w:rPr>
          <w:rFonts w:ascii="仿宋" w:hAnsi="仿宋" w:eastAsia="仿宋" w:cs="仿宋"/>
          <w:sz w:val="32"/>
        </w:rPr>
      </w:pPr>
      <w:r>
        <w:rPr>
          <w:rFonts w:hint="eastAsia" w:ascii="仿宋" w:hAnsi="仿宋" w:eastAsia="仿宋" w:cs="仿宋"/>
          <w:sz w:val="32"/>
        </w:rPr>
        <w:t>团委负责团队建设、升旗仪式、学生思想政治建设及开展团队活动等工作。</w:t>
      </w:r>
    </w:p>
    <w:p>
      <w:pPr>
        <w:snapToGrid w:val="0"/>
        <w:spacing w:line="560" w:lineRule="exact"/>
        <w:ind w:firstLine="640" w:firstLineChars="200"/>
        <w:outlineLvl w:val="2"/>
        <w:rPr>
          <w:rFonts w:ascii="仿宋" w:hAnsi="仿宋" w:eastAsia="仿宋" w:cs="宋体"/>
          <w:bCs/>
          <w:kern w:val="0"/>
          <w:sz w:val="32"/>
          <w:szCs w:val="32"/>
        </w:rPr>
      </w:pPr>
      <w:r>
        <w:rPr>
          <w:rFonts w:hint="eastAsia" w:ascii="仿宋" w:hAnsi="仿宋" w:eastAsia="仿宋" w:cs="宋体"/>
          <w:bCs/>
          <w:kern w:val="0"/>
          <w:sz w:val="32"/>
          <w:szCs w:val="32"/>
        </w:rPr>
        <w:t>工会负责坚持民主管理，关爱教职工，提升教师的幸福指数。</w:t>
      </w:r>
    </w:p>
    <w:p>
      <w:pPr>
        <w:adjustRightInd w:val="0"/>
        <w:snapToGrid w:val="0"/>
        <w:spacing w:line="360" w:lineRule="auto"/>
        <w:ind w:firstLine="640" w:firstLineChars="200"/>
        <w:jc w:val="left"/>
        <w:rPr>
          <w:rFonts w:hint="eastAsia" w:ascii="仿宋" w:hAnsi="仿宋" w:eastAsia="仿宋" w:cs="宋体"/>
          <w:bCs/>
          <w:kern w:val="0"/>
          <w:sz w:val="28"/>
          <w:szCs w:val="28"/>
        </w:rPr>
      </w:pPr>
      <w:r>
        <w:rPr>
          <w:rFonts w:hint="eastAsia" w:ascii="仿宋" w:hAnsi="仿宋" w:eastAsia="仿宋" w:cs="宋体"/>
          <w:bCs/>
          <w:kern w:val="0"/>
          <w:sz w:val="32"/>
          <w:szCs w:val="32"/>
        </w:rPr>
        <w:t>社工部负责积极开展学生心理健康工作，多元途径塑造学生健全品格。</w:t>
      </w:r>
    </w:p>
    <w:p>
      <w:pPr>
        <w:pStyle w:val="4"/>
        <w:snapToGrid w:val="0"/>
        <w:spacing w:before="0" w:after="0" w:line="560" w:lineRule="exact"/>
        <w:ind w:firstLine="640" w:firstLineChars="200"/>
        <w:rPr>
          <w:rFonts w:ascii="黑体" w:hAnsi="黑体" w:eastAsia="黑体"/>
          <w:b w:val="0"/>
          <w:bCs w:val="0"/>
        </w:rPr>
      </w:pPr>
      <w:r>
        <w:rPr>
          <w:rFonts w:hint="eastAsia" w:ascii="黑体" w:hAnsi="黑体" w:eastAsia="黑体"/>
          <w:b w:val="0"/>
          <w:bCs w:val="0"/>
        </w:rPr>
        <w:t>二、2021年重点工作</w:t>
      </w:r>
      <w:bookmarkEnd w:id="9"/>
      <w:bookmarkEnd w:id="10"/>
      <w:r>
        <w:rPr>
          <w:rFonts w:hint="eastAsia" w:ascii="黑体" w:hAnsi="黑体" w:eastAsia="黑体"/>
          <w:b w:val="0"/>
          <w:bCs w:val="0"/>
        </w:rPr>
        <w:t>完成情况</w:t>
      </w:r>
      <w:bookmarkEnd w:id="11"/>
    </w:p>
    <w:p>
      <w:pPr>
        <w:adjustRightInd w:val="0"/>
        <w:snapToGrid w:val="0"/>
        <w:spacing w:line="360" w:lineRule="auto"/>
        <w:ind w:firstLine="562" w:firstLineChars="200"/>
        <w:jc w:val="left"/>
        <w:rPr>
          <w:rFonts w:ascii="仿宋" w:hAnsi="仿宋" w:eastAsia="仿宋" w:cs="宋体"/>
          <w:b/>
          <w:kern w:val="0"/>
          <w:sz w:val="28"/>
          <w:szCs w:val="28"/>
        </w:rPr>
      </w:pPr>
      <w:r>
        <w:rPr>
          <w:rFonts w:hint="eastAsia" w:ascii="仿宋" w:hAnsi="仿宋" w:eastAsia="仿宋" w:cs="宋体"/>
          <w:b/>
          <w:kern w:val="0"/>
          <w:sz w:val="28"/>
          <w:szCs w:val="28"/>
        </w:rPr>
        <w:t>（一）党政办：坚持党建引领，统筹协调，推动校园和谐发展</w:t>
      </w:r>
    </w:p>
    <w:p>
      <w:pPr>
        <w:adjustRightInd w:val="0"/>
        <w:snapToGrid w:val="0"/>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1.继续深入推行党总支领导下的执行校长负责制，持续开展“一校区一品牌、一支部一特色”的创建活动。我校区开展分层教育，依托诗词园林、红色走廊，挖掘传统因素，营建健康和谐的育人环境。</w:t>
      </w:r>
    </w:p>
    <w:p>
      <w:pPr>
        <w:adjustRightInd w:val="0"/>
        <w:snapToGrid w:val="0"/>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2.以庆祝建党100周年为契机，重塑教师形象为重点，开展师德师风建设，打造了一支师德、业务兼优的教师队伍。①结合教师形象工程、名师工程，培养热爱学校、爱岗敬业、热爱学生、为人师表、锐于创新的师德标兵。②完善学习制度，以学习党史为契机，组织全体教职工学习新中国史、改革开放史、社会主义发展史，深入开展系列教育活动。③加强《教育法》、《中小学教师职业道德规范》、《新时代中小学教师职业行为十项准则》等教师职业道德规范的学习，规范教育教学行为，重点对乱收费、乱购教辅、违规补课、有偿家辅、变相体罚等方面，加大督查、整改力度。④进一步完善奖惩机制，规范师德行为，校区的每月考核、学期考核、评优晋级等必须将教师的师德行为列为考核重要内容。通过党史、师德征文比赛、知识竞答、红歌赛等形式，弘扬高尚师德。</w:t>
      </w:r>
    </w:p>
    <w:p>
      <w:pPr>
        <w:adjustRightInd w:val="0"/>
        <w:snapToGrid w:val="0"/>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3.全心全意为教师服务，为教师安心工作保驾护航。严格贯彻上级各部门相关政策要求，及时做好上传下达，保证与老师有切身利益相关的文件及时传达到位，做好档案、人事、劳资及会务、接待工作，教师岗位设置工作，教师支教工作，骨干及优秀教师申报工作，大力宣传我校区亮点、特色，密切家校及社会的关系工作，等，全心全意为教师做好服务。</w:t>
      </w:r>
    </w:p>
    <w:p>
      <w:pPr>
        <w:adjustRightInd w:val="0"/>
        <w:snapToGrid w:val="0"/>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4.认真贯彻意识形态领域工作方针，加强教职工理论学习。意识形态领域工作有安排、有布置，有考核，本学期学校未出现任何意识形态领域工作的责任事故。</w:t>
      </w:r>
    </w:p>
    <w:p>
      <w:pPr>
        <w:adjustRightInd w:val="0"/>
        <w:snapToGrid w:val="0"/>
        <w:spacing w:line="360" w:lineRule="auto"/>
        <w:ind w:firstLine="562" w:firstLineChars="200"/>
        <w:jc w:val="left"/>
        <w:rPr>
          <w:rFonts w:ascii="仿宋" w:hAnsi="仿宋" w:eastAsia="仿宋" w:cs="宋体"/>
          <w:b/>
          <w:kern w:val="0"/>
          <w:sz w:val="28"/>
          <w:szCs w:val="28"/>
        </w:rPr>
      </w:pPr>
      <w:r>
        <w:rPr>
          <w:rFonts w:hint="eastAsia" w:ascii="仿宋" w:hAnsi="仿宋" w:eastAsia="仿宋" w:cs="宋体"/>
          <w:b/>
          <w:kern w:val="0"/>
          <w:sz w:val="28"/>
          <w:szCs w:val="28"/>
        </w:rPr>
        <w:t>（二）教科室：教育科研导向，助力教学创新，增强核心竞争力</w:t>
      </w:r>
    </w:p>
    <w:p>
      <w:pPr>
        <w:adjustRightInd w:val="0"/>
        <w:snapToGrid w:val="0"/>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教科室坚持“为学生的发展服务，为</w:t>
      </w:r>
      <w:r>
        <w:fldChar w:fldCharType="begin"/>
      </w:r>
      <w:r>
        <w:instrText xml:space="preserve"> HYPERLINK "http://www.liuxue86.com/jiaoshizige/" \t "_blank" </w:instrText>
      </w:r>
      <w:r>
        <w:fldChar w:fldCharType="separate"/>
      </w:r>
      <w:r>
        <w:rPr>
          <w:rFonts w:hint="eastAsia" w:ascii="仿宋" w:hAnsi="仿宋" w:eastAsia="仿宋" w:cs="宋体"/>
          <w:kern w:val="0"/>
          <w:sz w:val="28"/>
          <w:szCs w:val="28"/>
        </w:rPr>
        <w:t>教师</w:t>
      </w:r>
      <w:r>
        <w:rPr>
          <w:rFonts w:hint="eastAsia" w:ascii="仿宋" w:hAnsi="仿宋" w:eastAsia="仿宋" w:cs="宋体"/>
          <w:kern w:val="0"/>
          <w:sz w:val="28"/>
          <w:szCs w:val="28"/>
        </w:rPr>
        <w:fldChar w:fldCharType="end"/>
      </w:r>
      <w:r>
        <w:rPr>
          <w:rFonts w:hint="eastAsia" w:ascii="仿宋" w:hAnsi="仿宋" w:eastAsia="仿宋" w:cs="宋体"/>
          <w:kern w:val="0"/>
          <w:sz w:val="28"/>
          <w:szCs w:val="28"/>
        </w:rPr>
        <w:t>的成长服务”的思想，在沿袭以往重教研、促教改、强能力的基础上，我们以培养学生的创新意识和实践能力为重点，以课题研究为抓手，以多种形式的活动为载体，有力推进了教学质量的提升和学校的高质量健康持续发展，全面提高学校的办学水平和</w:t>
      </w:r>
      <w:r>
        <w:fldChar w:fldCharType="begin"/>
      </w:r>
      <w:r>
        <w:instrText xml:space="preserve"> HYPERLINK "http://www.liuxue86.com/jiaoyu/" \t "_blank" </w:instrText>
      </w:r>
      <w:r>
        <w:fldChar w:fldCharType="separate"/>
      </w:r>
      <w:r>
        <w:rPr>
          <w:rFonts w:hint="eastAsia" w:ascii="仿宋" w:hAnsi="仿宋" w:eastAsia="仿宋" w:cs="宋体"/>
          <w:kern w:val="0"/>
          <w:sz w:val="28"/>
          <w:szCs w:val="28"/>
        </w:rPr>
        <w:t>教育</w:t>
      </w:r>
      <w:r>
        <w:rPr>
          <w:rFonts w:hint="eastAsia" w:ascii="仿宋" w:hAnsi="仿宋" w:eastAsia="仿宋" w:cs="宋体"/>
          <w:kern w:val="0"/>
          <w:sz w:val="28"/>
          <w:szCs w:val="28"/>
        </w:rPr>
        <w:fldChar w:fldCharType="end"/>
      </w:r>
      <w:r>
        <w:rPr>
          <w:rFonts w:hint="eastAsia" w:ascii="仿宋" w:hAnsi="仿宋" w:eastAsia="仿宋" w:cs="宋体"/>
          <w:kern w:val="0"/>
          <w:sz w:val="28"/>
          <w:szCs w:val="28"/>
        </w:rPr>
        <w:t>质量。</w:t>
      </w:r>
    </w:p>
    <w:p>
      <w:pPr>
        <w:adjustRightInd w:val="0"/>
        <w:snapToGrid w:val="0"/>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1.加强教师专业理论学习，营造浓厚的教科研氛围。每周定时、定地点召开学科组常规教研活动；认真抓好听课活动，要求青年教师一学期听课节数不少于20节，其余教师听课节数不少于15节，主抓教学的行政干部听课节数不少于40节，认真记好听课笔记；安排教师参加上级部门或一些教育机构、协会组织的观摩学习活动；通过网络、现场培训等方式对教师进行现代教育技术提高培训。通过多种方式的业务学习，教师更加重视专业理论的学习，专业理论水平也有一定程度的提高。</w:t>
      </w:r>
    </w:p>
    <w:p>
      <w:pPr>
        <w:adjustRightInd w:val="0"/>
        <w:snapToGrid w:val="0"/>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2. 开展各种各样教研活动，提高教师教学水平。立足于教师课堂教学水平的提高，教科室与教务处积极配合，本学期我们进行了田春玲等行政上研讨课6节、赵珊珊等老师上分享课14节、胡伟老师赴美姑县进行数学专题讲座、毕业班英语研讨会授课、专题发言、交流发言等；邀请市区两级教研员到我校进行省级、市级示范课教学指导；4月与德阳市中江县七一中学老师进行物理教学交流活动；组织老师们开展名师送教、支教老师送教10余节；扎实开展集体备课、磨课活动，举行了青年教师做题比赛，成立了“新东城文学社”；指导并组织全体老师进行线上网络研修活动和2021年公需科目学习。</w:t>
      </w:r>
    </w:p>
    <w:p>
      <w:pPr>
        <w:adjustRightInd w:val="0"/>
        <w:snapToGrid w:val="0"/>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3.开展课题研究，提升教师科研水平。继续加大对英语课题广元市利州区中小学教研室区级教育科研课题《初中英语生本阅读课例研究》的研究。成功申报《基于语音的人工智能技术在英语听说教学中的实践与研究》课题。</w:t>
      </w:r>
    </w:p>
    <w:p>
      <w:pPr>
        <w:adjustRightInd w:val="0"/>
        <w:snapToGrid w:val="0"/>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4.组织指导教师们参加各级各类比赛与培训。组织老师参加市区各类比赛6次，多人次斩获佳绩。组织老师参加各类培训40余次，让老师们不断学习，不断进步。</w:t>
      </w:r>
    </w:p>
    <w:p>
      <w:pPr>
        <w:adjustRightInd w:val="0"/>
        <w:snapToGrid w:val="0"/>
        <w:spacing w:line="360" w:lineRule="auto"/>
        <w:ind w:firstLine="562" w:firstLineChars="200"/>
        <w:jc w:val="left"/>
        <w:rPr>
          <w:rFonts w:ascii="仿宋" w:hAnsi="仿宋" w:eastAsia="仿宋" w:cs="宋体"/>
          <w:b/>
          <w:kern w:val="0"/>
          <w:sz w:val="28"/>
          <w:szCs w:val="28"/>
        </w:rPr>
      </w:pPr>
      <w:r>
        <w:rPr>
          <w:rFonts w:hint="eastAsia" w:ascii="仿宋" w:hAnsi="仿宋" w:eastAsia="仿宋" w:cs="宋体"/>
          <w:b/>
          <w:kern w:val="0"/>
          <w:sz w:val="28"/>
          <w:szCs w:val="28"/>
        </w:rPr>
        <w:t>（三）教务处：精细管理，狠抓常规，全面提升教育教学质量</w:t>
      </w:r>
    </w:p>
    <w:p>
      <w:pPr>
        <w:adjustRightInd w:val="0"/>
        <w:snapToGrid w:val="0"/>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1.抓好教学常规管理，注重质量分析，切实减轻学生学业负担，全面提升教学质量。学生升入国家级重点高中就读的人数比不断攀升。</w:t>
      </w:r>
    </w:p>
    <w:p>
      <w:pPr>
        <w:adjustRightInd w:val="0"/>
        <w:snapToGrid w:val="0"/>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2.抓好学生社团建设与周末兴趣班开展，丰富学生的课余生活。精心打造我校区的寇华工作坊、动漫社、“风笛”合唱团、“清声表演唱”社团，“小梅花”川剧社，校男女篮球队、男女足球队等社团。体育社团在今年的利州区球类运动会中，取得了男女足球亚军，女篮季军和男篮第四名的好成绩。艺术社团在今年的广元市利州区第十届中小学生艺术展演中分别获得戏曲一等奖、合唱二等奖；在广元市第十届中小学生艺术展演中获得戏曲一等奖、合唱二等奖。</w:t>
      </w:r>
    </w:p>
    <w:p>
      <w:pPr>
        <w:adjustRightInd w:val="0"/>
        <w:snapToGrid w:val="0"/>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3.抓好《国家学生体质健康标准》的检测。做好中考体育测试工作。</w:t>
      </w:r>
    </w:p>
    <w:p>
      <w:pPr>
        <w:adjustRightInd w:val="0"/>
        <w:snapToGrid w:val="0"/>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4.抓好中考备考工作，加强中考复习指导研究，把握命题方向，提高备考效率，加强周测，多渠道提升毕业班成绩。</w:t>
      </w:r>
    </w:p>
    <w:p>
      <w:pPr>
        <w:adjustRightInd w:val="0"/>
        <w:snapToGrid w:val="0"/>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5.做好理化实验操作考试及八年级地生会考等工作 　　</w:t>
      </w:r>
    </w:p>
    <w:p>
      <w:pPr>
        <w:adjustRightInd w:val="0"/>
        <w:snapToGrid w:val="0"/>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6.扎实开展阳光体育锻炼活动、“三操一课”等工作，做好学生国家体质检测及区教育局对学校的音乐、美术的质量监测准备。</w:t>
      </w:r>
    </w:p>
    <w:p>
      <w:pPr>
        <w:adjustRightInd w:val="0"/>
        <w:snapToGrid w:val="0"/>
        <w:spacing w:line="360" w:lineRule="auto"/>
        <w:ind w:firstLine="562" w:firstLineChars="200"/>
        <w:jc w:val="left"/>
        <w:rPr>
          <w:rFonts w:ascii="仿宋" w:hAnsi="仿宋" w:eastAsia="仿宋" w:cs="宋体"/>
          <w:b/>
          <w:kern w:val="0"/>
          <w:sz w:val="28"/>
          <w:szCs w:val="28"/>
        </w:rPr>
      </w:pPr>
      <w:r>
        <w:rPr>
          <w:rFonts w:hint="eastAsia" w:ascii="仿宋" w:hAnsi="仿宋" w:eastAsia="仿宋" w:cs="宋体"/>
          <w:b/>
          <w:kern w:val="0"/>
          <w:sz w:val="28"/>
          <w:szCs w:val="28"/>
        </w:rPr>
        <w:t>（四）政教处：齐抓防疫与德育，筑牢安全底线，进一步规范行为养成教育、文明创建</w:t>
      </w:r>
    </w:p>
    <w:p>
      <w:pPr>
        <w:adjustRightInd w:val="0"/>
        <w:snapToGrid w:val="0"/>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1.疫情防控工作常态化，为师生的工作学习保驾护航。利用多种形式，包括微信、公众号、宣传栏、黑板报等，做好疫情防控知识普及工作，让学生掌握基本的卫生防病知识和防护技术，引导学生正确认识疫情，消除不必要的紧张和恐惧。落实上学、错时放学及晨、午、晚检制度。</w:t>
      </w:r>
    </w:p>
    <w:p>
      <w:pPr>
        <w:adjustRightInd w:val="0"/>
        <w:snapToGrid w:val="0"/>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2.加强德育队伍建设，提高德育工作水平。明确目标，提高政教工作人员综合素质；抓住关键，提升班主任工作能力，例如组建了学校班主任工作qq群、定期召开班主任培训会等 。</w:t>
      </w:r>
    </w:p>
    <w:p>
      <w:pPr>
        <w:adjustRightInd w:val="0"/>
        <w:snapToGrid w:val="0"/>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3. 抓实、抓细日常管理，强化文明养成教育，着力提高学生的文明素养。在“内化”上下功夫，在“养成”上做文章。营造文明向上的校园环境；落实文明习惯的常规训练，具体从学生的仪表仪容、路队建设、出操、集会、上课、自习纪律、课间管理等为突破口，全面抓好学生的管理工作；实施量化管理，有效地开展“流动红旗“评比工作。</w:t>
      </w:r>
    </w:p>
    <w:p>
      <w:pPr>
        <w:adjustRightInd w:val="0"/>
        <w:snapToGrid w:val="0"/>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4. 以丰富多彩的活动为载体，开展德育教育活动。</w:t>
      </w:r>
    </w:p>
    <w:p>
      <w:pPr>
        <w:adjustRightInd w:val="0"/>
        <w:snapToGrid w:val="0"/>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5. 强化安全管理措施，杜绝安全事故发生。学校安全重于泰山，校园安全事关全体师生的生命和财产，事关学校和社会的稳定和发展。本学期来，我校以确保校园安全为目的，从增强师生安全意识、强化学校安全管理入手，通过明确责任，落实措施，为能够营造一个安全、文明、健康的育人环境而狠抓学校安全工作。各班开展春季防流行性疾病的主题班会，了解疾病的防控知识，在流感的肆虐下，我校平安过渡。组织各班召开防疫演练，地震疏散、逃生演练主题班会、“安全伴我行”交通主题班会；并有序组织了全校师生参加疏散和逃生演练。夏季到来，防溺水教育工作扎实推进，各班组织防溺水主题班会并通过致家长的一封信让家长知晓和参与到安全防控工作中来。</w:t>
      </w:r>
    </w:p>
    <w:p>
      <w:pPr>
        <w:adjustRightInd w:val="0"/>
        <w:snapToGrid w:val="0"/>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6.文明创建相关工作。</w:t>
      </w:r>
    </w:p>
    <w:p>
      <w:pPr>
        <w:adjustRightInd w:val="0"/>
        <w:snapToGrid w:val="0"/>
        <w:spacing w:line="360" w:lineRule="auto"/>
        <w:ind w:firstLine="562" w:firstLineChars="200"/>
        <w:jc w:val="left"/>
        <w:rPr>
          <w:rFonts w:ascii="仿宋" w:hAnsi="仿宋" w:eastAsia="仿宋" w:cs="宋体"/>
          <w:b/>
          <w:kern w:val="0"/>
          <w:sz w:val="28"/>
          <w:szCs w:val="28"/>
        </w:rPr>
      </w:pPr>
      <w:r>
        <w:rPr>
          <w:rFonts w:hint="eastAsia" w:ascii="仿宋" w:hAnsi="仿宋" w:eastAsia="仿宋" w:cs="宋体"/>
          <w:b/>
          <w:kern w:val="0"/>
          <w:sz w:val="28"/>
          <w:szCs w:val="28"/>
        </w:rPr>
        <w:t>（五）团委：以活动为载体，丰富校园生活，春风化雨，陶冶品性</w:t>
      </w:r>
    </w:p>
    <w:p>
      <w:pPr>
        <w:adjustRightInd w:val="0"/>
        <w:snapToGrid w:val="0"/>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三月份开展了“学雷锋”系列活动、森林防火的宣传教育活动</w:t>
      </w:r>
      <w:r>
        <w:rPr>
          <w:rFonts w:hint="eastAsia" w:ascii="仿宋" w:hAnsi="仿宋" w:eastAsia="仿宋" w:cs="宋体"/>
          <w:kern w:val="0"/>
          <w:sz w:val="28"/>
          <w:szCs w:val="28"/>
          <w:lang w:eastAsia="zh-CN"/>
        </w:rPr>
        <w:t>、党史学习教育</w:t>
      </w:r>
      <w:r>
        <w:rPr>
          <w:rFonts w:hint="eastAsia" w:ascii="仿宋" w:hAnsi="仿宋" w:eastAsia="仿宋" w:cs="宋体"/>
          <w:kern w:val="0"/>
          <w:sz w:val="28"/>
          <w:szCs w:val="28"/>
        </w:rPr>
        <w:t>。</w:t>
      </w:r>
    </w:p>
    <w:p>
      <w:pPr>
        <w:adjustRightInd w:val="0"/>
        <w:snapToGrid w:val="0"/>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四月份开展了国家安全日教育活动、世界地球日活动、组织学生清明到烈士陵园扫墓、</w:t>
      </w:r>
      <w:r>
        <w:rPr>
          <w:rFonts w:hint="eastAsia" w:ascii="仿宋" w:hAnsi="仿宋" w:eastAsia="仿宋" w:cs="宋体"/>
          <w:kern w:val="0"/>
          <w:sz w:val="28"/>
          <w:szCs w:val="28"/>
          <w:lang w:eastAsia="zh-CN"/>
        </w:rPr>
        <w:t>党史学习教育</w:t>
      </w:r>
      <w:r>
        <w:rPr>
          <w:rFonts w:hint="eastAsia" w:ascii="仿宋" w:hAnsi="仿宋" w:eastAsia="仿宋" w:cs="宋体"/>
          <w:kern w:val="0"/>
          <w:sz w:val="28"/>
          <w:szCs w:val="28"/>
        </w:rPr>
        <w:t>、七八九年级研学实践活动。</w:t>
      </w:r>
    </w:p>
    <w:p>
      <w:pPr>
        <w:adjustRightInd w:val="0"/>
        <w:snapToGrid w:val="0"/>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五月份开展了青年节系列活动、母亲节活动、防灾减灾系列活动、</w:t>
      </w:r>
      <w:r>
        <w:rPr>
          <w:rFonts w:hint="eastAsia" w:ascii="仿宋" w:hAnsi="仿宋" w:eastAsia="仿宋" w:cs="宋体"/>
          <w:kern w:val="0"/>
          <w:sz w:val="28"/>
          <w:szCs w:val="28"/>
          <w:lang w:eastAsia="zh-CN"/>
        </w:rPr>
        <w:t>党史学习教育</w:t>
      </w:r>
      <w:r>
        <w:rPr>
          <w:rFonts w:hint="eastAsia" w:ascii="仿宋" w:hAnsi="仿宋" w:eastAsia="仿宋" w:cs="宋体"/>
          <w:kern w:val="0"/>
          <w:sz w:val="28"/>
          <w:szCs w:val="28"/>
        </w:rPr>
        <w:t>。</w:t>
      </w:r>
    </w:p>
    <w:p>
      <w:pPr>
        <w:adjustRightInd w:val="0"/>
        <w:snapToGrid w:val="0"/>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六月份开展了禁毒系列活动、</w:t>
      </w:r>
      <w:r>
        <w:rPr>
          <w:rFonts w:hint="eastAsia" w:ascii="仿宋" w:hAnsi="仿宋" w:eastAsia="仿宋" w:cs="宋体"/>
          <w:kern w:val="0"/>
          <w:sz w:val="28"/>
          <w:szCs w:val="28"/>
          <w:lang w:eastAsia="zh-CN"/>
        </w:rPr>
        <w:t>党史学习教育</w:t>
      </w:r>
      <w:bookmarkStart w:id="102" w:name="_GoBack"/>
      <w:bookmarkEnd w:id="102"/>
      <w:r>
        <w:rPr>
          <w:rFonts w:hint="eastAsia" w:ascii="仿宋" w:hAnsi="仿宋" w:eastAsia="仿宋" w:cs="宋体"/>
          <w:kern w:val="0"/>
          <w:sz w:val="28"/>
          <w:szCs w:val="28"/>
        </w:rPr>
        <w:t>、传统文化、九年级毕业典礼暨八年级动员大会、第16届校园文化艺术节系列活动。</w:t>
      </w:r>
    </w:p>
    <w:p>
      <w:pPr>
        <w:adjustRightInd w:val="0"/>
        <w:snapToGrid w:val="0"/>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七月份诚信教育活动、组织全校学生观看“童心向党”教育实践活动主题MV，观看“庆祝中国共产党成立100周年大会”。</w:t>
      </w:r>
    </w:p>
    <w:p>
      <w:pPr>
        <w:adjustRightInd w:val="0"/>
        <w:snapToGrid w:val="0"/>
        <w:spacing w:line="360" w:lineRule="auto"/>
        <w:ind w:firstLine="562" w:firstLineChars="200"/>
        <w:jc w:val="left"/>
        <w:rPr>
          <w:rFonts w:ascii="仿宋" w:hAnsi="仿宋" w:eastAsia="仿宋" w:cs="宋体"/>
          <w:b/>
          <w:kern w:val="0"/>
          <w:sz w:val="28"/>
          <w:szCs w:val="28"/>
        </w:rPr>
      </w:pPr>
      <w:r>
        <w:rPr>
          <w:rFonts w:hint="eastAsia" w:ascii="仿宋" w:hAnsi="仿宋" w:eastAsia="仿宋" w:cs="宋体"/>
          <w:b/>
          <w:kern w:val="0"/>
          <w:sz w:val="28"/>
          <w:szCs w:val="28"/>
        </w:rPr>
        <w:t>（六）社工部：积极开展学生心理健康工作，多元途径塑造学生健全品格</w:t>
      </w:r>
    </w:p>
    <w:p>
      <w:pPr>
        <w:adjustRightInd w:val="0"/>
        <w:snapToGrid w:val="0"/>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育人贵在育心，心理健康教育是学校素质教育不可或缺的一部分，对学生的智力开展和身心健康的重要作用不言而喻，更是当前学校教育的新任务和新要求。一年来，我校本着全员参与、面向全体、心理干预与全面开展相结合的原则，以让学生学会调适为最终目的，重点帮扶与长期关注相结合，社工部充分发挥爱心作用，学校心理健康教育工作有序开展。</w:t>
      </w:r>
    </w:p>
    <w:p>
      <w:pPr>
        <w:adjustRightInd w:val="0"/>
        <w:snapToGrid w:val="0"/>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1.随时摸排，积极干预，持续跟踪。3月对全校学生进行“心理小体检”，按分数划分分别做学生个案，对所有学生进行心理逐一排查。本学期摸排到心理问题学生23例，对排查出来有心理问题的学生，及时与家长面谈、沟通，通过各种方式、渠道与家长做好思想工作；对于学生一般问题（轻度或中度抑郁），由学校聘请的心理顾问姜鸿英老师做心理咨询，对于严重的学生有针对性的在医院进行治疗；同时建立心理健康问题学生工作台账、学生个案档案等。</w:t>
      </w:r>
    </w:p>
    <w:p>
      <w:pPr>
        <w:adjustRightInd w:val="0"/>
        <w:snapToGrid w:val="0"/>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2. 开设“知心姐姐小信息”，收到小信箱书信106封。通过信件对学生在学习和生活中出现的问题给予直接的指导，排解心理困扰；对于极个别有心理疾病的学生，能够及时识别并转介心理咨询。。</w:t>
      </w:r>
    </w:p>
    <w:p>
      <w:pPr>
        <w:adjustRightInd w:val="0"/>
        <w:snapToGrid w:val="0"/>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3.利用生命讲座、制定心理健康教育长期规划和课程实施、各种形式的宣传教育活动等方式进行心理健康教育。</w:t>
      </w:r>
    </w:p>
    <w:p>
      <w:pPr>
        <w:adjustRightInd w:val="0"/>
        <w:snapToGrid w:val="0"/>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4. 学校心理健康教育与家庭教育的结合。成立班级、年级、校级家长委员会，积极开通学校与家庭心理健康的渠道，首先通过各班级利用“班级微信群”为教师与学生家长的沟通搭建平台，家长把自己的困惑和想法通过微信群和老师交流，实时宣传心理健康知识；其次，学校利用线上家长会与家长学校这项渠道针对孩子心理问题与家长进行沟通，让他们对自己的孩子有进一步了解。</w:t>
      </w:r>
    </w:p>
    <w:p>
      <w:pPr>
        <w:adjustRightInd w:val="0"/>
        <w:snapToGrid w:val="0"/>
        <w:spacing w:line="360" w:lineRule="auto"/>
        <w:ind w:firstLine="562" w:firstLineChars="200"/>
        <w:jc w:val="left"/>
        <w:rPr>
          <w:rFonts w:ascii="仿宋" w:hAnsi="仿宋" w:eastAsia="仿宋" w:cs="宋体"/>
          <w:b/>
          <w:kern w:val="0"/>
          <w:sz w:val="28"/>
          <w:szCs w:val="28"/>
        </w:rPr>
      </w:pPr>
      <w:r>
        <w:rPr>
          <w:rFonts w:hint="eastAsia" w:ascii="仿宋" w:hAnsi="仿宋" w:eastAsia="仿宋" w:cs="宋体"/>
          <w:b/>
          <w:kern w:val="0"/>
          <w:sz w:val="28"/>
          <w:szCs w:val="28"/>
        </w:rPr>
        <w:t>（七）总务处：坚持制度管理，细心服务育人，护航校园的和谐稳定</w:t>
      </w:r>
    </w:p>
    <w:p>
      <w:pPr>
        <w:adjustRightInd w:val="0"/>
        <w:snapToGrid w:val="0"/>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总务工作务必为教育教学服务，为学校发展服务。我们在一学年中各个阶段与教育、教学工作紧密配合，做好后勤保障，加强学校财产的日常管理和维护，未出现任何安全事故，保证了教学工作和教育工作的顺利进行。</w:t>
      </w:r>
    </w:p>
    <w:p>
      <w:pPr>
        <w:adjustRightInd w:val="0"/>
        <w:snapToGrid w:val="0"/>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1. 提高了食堂食品的质量管理。通过有计划的定期对食堂工作人员培训和定期与不定期的督查，强化食堂工作人员的食品安全意识，提高了工作人员的服务质量和服务水平；通过严格监督，严把进货关，提高了食品的质量和安全。。</w:t>
      </w:r>
    </w:p>
    <w:p>
      <w:pPr>
        <w:adjustRightInd w:val="0"/>
        <w:snapToGrid w:val="0"/>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2. 开展了食堂开放日活动。通过开放日活动，让家长和社会更加了解学校，更好地受到社会的监督。学校食品安全倍受家长关注，家长们对食堂工作作出了高度评价，其满意度为100%。</w:t>
      </w:r>
    </w:p>
    <w:p>
      <w:pPr>
        <w:adjustRightInd w:val="0"/>
        <w:snapToGrid w:val="0"/>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3. 光盘管理。通过对学生节约意识的培养和全面而均衡营养等健康知识、食品安全知识的宣传教育，改变了学生挑食的习惯，保证了师生摄取全面而均衡的营养，增强了师生的身体素质，同时弘扬了中华民族的传统美德。</w:t>
      </w:r>
    </w:p>
    <w:p>
      <w:pPr>
        <w:adjustRightInd w:val="0"/>
        <w:snapToGrid w:val="0"/>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4. 启动了监控明厨亮灶工程，对食堂工作人员的操作流程进行全程监管。</w:t>
      </w:r>
    </w:p>
    <w:p>
      <w:pPr>
        <w:adjustRightInd w:val="0"/>
        <w:snapToGrid w:val="0"/>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5. 在全校开展了“全民营养周”宣传教育活动，还组织了家长进行了营养健康知识讲谁座。</w:t>
      </w:r>
    </w:p>
    <w:p>
      <w:pPr>
        <w:adjustRightInd w:val="0"/>
        <w:snapToGrid w:val="0"/>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6. 利用周末或假期，进一步对校园绿化、美化进行完善，使校园的绿化率达40%以上，给全校师生提供了园林式的校园，做好了绿化的养护工作，让全校师生有一个良好的工作和学习环境。</w:t>
      </w:r>
    </w:p>
    <w:p>
      <w:pPr>
        <w:adjustRightInd w:val="0"/>
        <w:snapToGrid w:val="0"/>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7. 常抓安全卫生，排除安全隐患。</w:t>
      </w:r>
    </w:p>
    <w:p>
      <w:pPr>
        <w:adjustRightInd w:val="0"/>
        <w:snapToGrid w:val="0"/>
        <w:spacing w:line="360" w:lineRule="auto"/>
        <w:ind w:firstLine="562" w:firstLineChars="200"/>
        <w:jc w:val="left"/>
        <w:rPr>
          <w:rFonts w:ascii="仿宋" w:hAnsi="仿宋" w:eastAsia="仿宋" w:cs="宋体"/>
          <w:b/>
          <w:kern w:val="0"/>
          <w:sz w:val="28"/>
          <w:szCs w:val="28"/>
        </w:rPr>
      </w:pPr>
      <w:r>
        <w:rPr>
          <w:rFonts w:hint="eastAsia" w:ascii="仿宋" w:hAnsi="仿宋" w:eastAsia="仿宋" w:cs="宋体"/>
          <w:b/>
          <w:kern w:val="0"/>
          <w:sz w:val="28"/>
          <w:szCs w:val="28"/>
        </w:rPr>
        <w:t>（八）工会：坚持民主管理，关爱教职工，提升教师的幸福指数</w:t>
      </w:r>
    </w:p>
    <w:p>
      <w:pPr>
        <w:adjustRightInd w:val="0"/>
        <w:snapToGrid w:val="0"/>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1.充分发挥工会职能，维护教职工的合法权益，积极参与学校民主管理和各种教育教学活动。坚持校务公开，加强行风建设，发挥工会的监督功能，定期召开教代会审议学校的重大决策，审议评优、评先、绩效的发放等方案。</w:t>
      </w:r>
    </w:p>
    <w:p>
      <w:pPr>
        <w:adjustRightInd w:val="0"/>
        <w:snapToGrid w:val="0"/>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2.加强师德建设、提高教职工队伍的整体素质。</w:t>
      </w:r>
    </w:p>
    <w:p>
      <w:pPr>
        <w:adjustRightInd w:val="0"/>
        <w:snapToGrid w:val="0"/>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3.坚持创建温暖的职工之家，关注青年教师成长，关心教职工的实际困难，本年度探望生病教职工10余人次。法定节假日对教职工予以慰问。7-8月组织教职工进行身体健康检查。</w:t>
      </w:r>
    </w:p>
    <w:p>
      <w:pPr>
        <w:adjustRightInd w:val="0"/>
        <w:snapToGrid w:val="0"/>
        <w:spacing w:line="360" w:lineRule="auto"/>
        <w:ind w:firstLine="560" w:firstLineChars="200"/>
        <w:jc w:val="left"/>
        <w:rPr>
          <w:rFonts w:hint="eastAsia" w:ascii="仿宋" w:hAnsi="仿宋" w:eastAsia="仿宋" w:cs="宋体"/>
          <w:kern w:val="0"/>
          <w:sz w:val="28"/>
          <w:szCs w:val="28"/>
        </w:rPr>
      </w:pPr>
      <w:r>
        <w:rPr>
          <w:rFonts w:hint="eastAsia" w:ascii="仿宋" w:hAnsi="仿宋" w:eastAsia="仿宋" w:cs="宋体"/>
          <w:kern w:val="0"/>
          <w:sz w:val="28"/>
          <w:szCs w:val="28"/>
        </w:rPr>
        <w:t>4.开展有益健康的文体活动, 丰富了教师业余生活，加强了学校精神文明建设。本期组织力三八妇女节观影活动，以学生球类运动会为契机，开展了教师篮球年级对抗赛，</w:t>
      </w:r>
      <w:r>
        <w:rPr>
          <w:rFonts w:ascii="仿宋" w:hAnsi="仿宋" w:eastAsia="仿宋" w:cs="宋体"/>
          <w:kern w:val="0"/>
          <w:sz w:val="28"/>
          <w:szCs w:val="28"/>
        </w:rPr>
        <w:t xml:space="preserve"> </w:t>
      </w:r>
      <w:r>
        <w:rPr>
          <w:rFonts w:hint="eastAsia" w:ascii="仿宋" w:hAnsi="仿宋" w:eastAsia="仿宋" w:cs="宋体"/>
          <w:kern w:val="0"/>
          <w:sz w:val="28"/>
          <w:szCs w:val="28"/>
        </w:rPr>
        <w:t>庆“六一”时对教师子女赠送儿童读书等活动。</w:t>
      </w:r>
    </w:p>
    <w:p>
      <w:pPr>
        <w:pStyle w:val="2"/>
        <w:ind w:right="440"/>
        <w:jc w:val="center"/>
        <w:rPr>
          <w:rFonts w:hint="eastAsia" w:ascii="黑体" w:hAnsi="黑体" w:eastAsia="黑体"/>
          <w:b w:val="0"/>
        </w:rPr>
      </w:pPr>
      <w:bookmarkStart w:id="12" w:name="_Toc15377204"/>
      <w:bookmarkStart w:id="13" w:name="_Toc15396602"/>
      <w:bookmarkStart w:id="14" w:name="_Toc9138"/>
      <w:r>
        <w:rPr>
          <w:rFonts w:hint="eastAsia" w:ascii="黑体" w:hAnsi="黑体" w:eastAsia="黑体"/>
          <w:b w:val="0"/>
        </w:rPr>
        <w:t>第二部分 2021年度</w:t>
      </w:r>
      <w:r>
        <w:rPr>
          <w:rStyle w:val="25"/>
          <w:rFonts w:hint="eastAsia" w:ascii="黑体" w:hAnsi="黑体" w:eastAsia="黑体"/>
          <w:b w:val="0"/>
          <w:bCs/>
        </w:rPr>
        <w:t>单位决算情况说明</w:t>
      </w:r>
      <w:bookmarkEnd w:id="12"/>
      <w:bookmarkEnd w:id="13"/>
      <w:bookmarkEnd w:id="14"/>
    </w:p>
    <w:p>
      <w:pPr>
        <w:pStyle w:val="24"/>
        <w:spacing w:line="600" w:lineRule="exact"/>
        <w:ind w:left="640" w:firstLine="0" w:firstLineChars="0"/>
        <w:outlineLvl w:val="1"/>
        <w:rPr>
          <w:rStyle w:val="26"/>
          <w:rFonts w:ascii="黑体" w:hAnsi="黑体" w:eastAsia="黑体"/>
          <w:b w:val="0"/>
        </w:rPr>
      </w:pPr>
      <w:bookmarkStart w:id="15" w:name="_Toc15377205"/>
      <w:bookmarkStart w:id="16" w:name="_Toc13314"/>
      <w:bookmarkStart w:id="17" w:name="_Toc15396603"/>
      <w:r>
        <w:rPr>
          <w:rFonts w:hint="eastAsia" w:ascii="黑体" w:hAnsi="黑体" w:eastAsia="黑体"/>
          <w:sz w:val="32"/>
          <w:szCs w:val="32"/>
        </w:rPr>
        <w:t>一、收</w:t>
      </w:r>
      <w:r>
        <w:rPr>
          <w:rStyle w:val="26"/>
          <w:rFonts w:hint="eastAsia" w:ascii="黑体" w:hAnsi="黑体" w:eastAsia="黑体"/>
          <w:b w:val="0"/>
        </w:rPr>
        <w:t>入支出决算总体情况说明</w:t>
      </w:r>
      <w:bookmarkEnd w:id="15"/>
      <w:bookmarkEnd w:id="16"/>
      <w:bookmarkEnd w:id="17"/>
    </w:p>
    <w:p>
      <w:pPr>
        <w:spacing w:line="600" w:lineRule="exact"/>
        <w:ind w:firstLine="640" w:firstLineChars="200"/>
        <w:outlineLvl w:val="2"/>
        <w:rPr>
          <w:rFonts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2021年度收、支总计6847.93万元（含上年结余结转资金140.96万元）。与2020年相比，收、支总计（7937.98万元）减少1090.05万元，下降13.73</w:t>
      </w:r>
      <w:r>
        <w:rPr>
          <w:rFonts w:ascii="仿宋" w:hAnsi="仿宋" w:eastAsia="仿宋"/>
          <w:sz w:val="32"/>
          <w:szCs w:val="32"/>
        </w:rPr>
        <w:t>%</w:t>
      </w:r>
      <w:r>
        <w:rPr>
          <w:rFonts w:hint="eastAsia" w:ascii="仿宋" w:hAnsi="仿宋" w:eastAsia="仿宋"/>
          <w:sz w:val="32"/>
          <w:szCs w:val="32"/>
        </w:rPr>
        <w:t>。主要变动原因</w:t>
      </w:r>
      <w:r>
        <w:rPr>
          <w:rStyle w:val="15"/>
          <w:rFonts w:hint="eastAsia" w:ascii="仿宋" w:hAnsi="仿宋" w:eastAsia="仿宋" w:cstheme="minorBidi"/>
          <w:b w:val="0"/>
          <w:bCs/>
          <w:color w:val="000000" w:themeColor="text1"/>
          <w:sz w:val="32"/>
          <w:szCs w:val="32"/>
          <w14:textFill>
            <w14:solidFill>
              <w14:schemeClr w14:val="tx1"/>
            </w14:solidFill>
          </w14:textFill>
        </w:rPr>
        <w:t>是2021年10月学校机构改革</w:t>
      </w:r>
      <w:r>
        <w:rPr>
          <w:rStyle w:val="15"/>
          <w:rFonts w:hint="eastAsia" w:ascii="仿宋" w:hAnsi="仿宋" w:eastAsia="仿宋" w:cstheme="minorBidi"/>
          <w:b w:val="0"/>
          <w:bCs/>
          <w:color w:val="000000" w:themeColor="text1"/>
          <w:spacing w:val="-6"/>
          <w:sz w:val="32"/>
          <w:szCs w:val="32"/>
          <w14:textFill>
            <w14:solidFill>
              <w14:schemeClr w14:val="tx1"/>
            </w14:solidFill>
          </w14:textFill>
        </w:rPr>
        <w:t>，原东城实验学校拆分为东城实验初级中学、东城实验初级中学、东城实验初级小学，1-9月由我校填报决算</w:t>
      </w:r>
      <w:r>
        <w:rPr>
          <w:rFonts w:hint="eastAsia" w:ascii="仿宋" w:hAnsi="仿宋" w:eastAsia="仿宋"/>
          <w:color w:val="000000" w:themeColor="text1"/>
          <w:spacing w:val="-6"/>
          <w:sz w:val="32"/>
          <w:szCs w:val="32"/>
          <w14:textFill>
            <w14:solidFill>
              <w14:schemeClr w14:val="tx1"/>
            </w14:solidFill>
          </w14:textFill>
        </w:rPr>
        <w:t>。</w:t>
      </w:r>
    </w:p>
    <w:p>
      <w:pPr>
        <w:spacing w:line="600" w:lineRule="exact"/>
        <w:ind w:firstLine="640" w:firstLineChars="200"/>
        <w:outlineLvl w:val="2"/>
        <w:rPr>
          <w:rFonts w:ascii="仿宋" w:hAnsi="仿宋" w:eastAsia="仿宋"/>
          <w:sz w:val="32"/>
          <w:szCs w:val="32"/>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false"/>
            </w14:gradFill>
          </w14:textFill>
        </w:rPr>
      </w:pPr>
      <w:r>
        <w:rPr>
          <w:rFonts w:ascii="仿宋_GB2312" w:eastAsia="仿宋_GB2312"/>
          <w:sz w:val="32"/>
          <w:szCs w:val="32"/>
        </w:rPr>
        <w:drawing>
          <wp:anchor distT="0" distB="0" distL="114300" distR="114300" simplePos="0" relativeHeight="251659264" behindDoc="1" locked="0" layoutInCell="1" allowOverlap="1">
            <wp:simplePos x="0" y="0"/>
            <wp:positionH relativeFrom="column">
              <wp:posOffset>80010</wp:posOffset>
            </wp:positionH>
            <wp:positionV relativeFrom="paragraph">
              <wp:posOffset>265430</wp:posOffset>
            </wp:positionV>
            <wp:extent cx="5118100" cy="2514600"/>
            <wp:effectExtent l="4445" t="4445" r="20955" b="14605"/>
            <wp:wrapTight wrapText="bothSides">
              <wp:wrapPolygon>
                <wp:start x="-19" y="-38"/>
                <wp:lineTo x="-19" y="21562"/>
                <wp:lineTo x="21528" y="21562"/>
                <wp:lineTo x="21528" y="-38"/>
                <wp:lineTo x="-19" y="-38"/>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640" w:firstLineChars="200"/>
        <w:jc w:val="left"/>
        <w:outlineLvl w:val="1"/>
        <w:rPr>
          <w:rStyle w:val="26"/>
          <w:rFonts w:ascii="黑体" w:hAnsi="黑体" w:eastAsia="黑体"/>
          <w:b w:val="0"/>
        </w:rPr>
      </w:pPr>
      <w:bookmarkStart w:id="18" w:name="_Toc12072"/>
      <w:bookmarkStart w:id="19" w:name="_Toc15396604"/>
      <w:bookmarkStart w:id="20" w:name="_Toc15377206"/>
      <w:r>
        <w:rPr>
          <w:rFonts w:hint="eastAsia" w:ascii="黑体" w:hAnsi="黑体" w:eastAsia="黑体"/>
          <w:sz w:val="32"/>
          <w:szCs w:val="32"/>
        </w:rPr>
        <w:t>二、收</w:t>
      </w:r>
      <w:r>
        <w:rPr>
          <w:rStyle w:val="26"/>
          <w:rFonts w:hint="eastAsia" w:ascii="黑体" w:hAnsi="黑体" w:eastAsia="黑体"/>
          <w:b w:val="0"/>
        </w:rPr>
        <w:t>入决算情况说明</w:t>
      </w:r>
      <w:bookmarkEnd w:id="18"/>
      <w:bookmarkEnd w:id="19"/>
      <w:bookmarkEnd w:id="20"/>
    </w:p>
    <w:p>
      <w:pPr>
        <w:spacing w:line="600" w:lineRule="exact"/>
        <w:ind w:firstLine="640" w:firstLineChars="200"/>
        <w:outlineLvl w:val="2"/>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21年本年收入合计6847.93万元（含上年结余结转资金140.96万元），其中：一般公共预算财政拨款收入6706.66万元，占97.93</w:t>
      </w:r>
      <w:r>
        <w:rPr>
          <w:rFonts w:ascii="仿宋" w:hAnsi="仿宋" w:eastAsia="仿宋"/>
          <w:sz w:val="32"/>
          <w:szCs w:val="32"/>
        </w:rPr>
        <w:t>%</w:t>
      </w:r>
      <w:r>
        <w:rPr>
          <w:rFonts w:hint="eastAsia" w:ascii="仿宋" w:hAnsi="仿宋" w:eastAsia="仿宋"/>
          <w:sz w:val="32"/>
          <w:szCs w:val="32"/>
        </w:rPr>
        <w:t>；140.96万元，政府性基金预算财政拨款收入0.00万元，占2.06</w:t>
      </w:r>
      <w:r>
        <w:rPr>
          <w:rFonts w:ascii="仿宋" w:hAnsi="仿宋" w:eastAsia="仿宋"/>
          <w:sz w:val="32"/>
          <w:szCs w:val="32"/>
        </w:rPr>
        <w:t>%</w:t>
      </w:r>
      <w:r>
        <w:rPr>
          <w:rFonts w:hint="eastAsia" w:ascii="仿宋" w:hAnsi="仿宋" w:eastAsia="仿宋"/>
          <w:sz w:val="32"/>
          <w:szCs w:val="32"/>
        </w:rPr>
        <w:t>；国有资本经营预算财政拨款收入0.00万元，占0.00</w:t>
      </w:r>
      <w:r>
        <w:rPr>
          <w:rFonts w:ascii="仿宋" w:hAnsi="仿宋" w:eastAsia="仿宋"/>
          <w:sz w:val="32"/>
          <w:szCs w:val="32"/>
        </w:rPr>
        <w:t>%</w:t>
      </w:r>
      <w:r>
        <w:rPr>
          <w:rFonts w:hint="eastAsia" w:ascii="仿宋" w:hAnsi="仿宋" w:eastAsia="仿宋"/>
          <w:sz w:val="32"/>
          <w:szCs w:val="32"/>
        </w:rPr>
        <w:t>；上级补助收入0.00万元，占0.00</w:t>
      </w:r>
      <w:r>
        <w:rPr>
          <w:rFonts w:ascii="仿宋" w:hAnsi="仿宋" w:eastAsia="仿宋"/>
          <w:sz w:val="32"/>
          <w:szCs w:val="32"/>
        </w:rPr>
        <w:t>%</w:t>
      </w:r>
      <w:r>
        <w:rPr>
          <w:rFonts w:hint="eastAsia" w:ascii="仿宋" w:hAnsi="仿宋" w:eastAsia="仿宋"/>
          <w:sz w:val="32"/>
          <w:szCs w:val="32"/>
        </w:rPr>
        <w:t>；事业收入0.00万元，占0.00</w:t>
      </w:r>
      <w:r>
        <w:rPr>
          <w:rFonts w:ascii="仿宋" w:hAnsi="仿宋" w:eastAsia="仿宋"/>
          <w:sz w:val="32"/>
          <w:szCs w:val="32"/>
        </w:rPr>
        <w:t>%</w:t>
      </w:r>
      <w:r>
        <w:rPr>
          <w:rFonts w:hint="eastAsia" w:ascii="仿宋" w:hAnsi="仿宋" w:eastAsia="仿宋"/>
          <w:sz w:val="32"/>
          <w:szCs w:val="32"/>
        </w:rPr>
        <w:t>；经营收入0.00万元，占0.00</w:t>
      </w:r>
      <w:r>
        <w:rPr>
          <w:rFonts w:ascii="仿宋" w:hAnsi="仿宋" w:eastAsia="仿宋"/>
          <w:sz w:val="32"/>
          <w:szCs w:val="32"/>
        </w:rPr>
        <w:t>%</w:t>
      </w:r>
      <w:r>
        <w:rPr>
          <w:rFonts w:hint="eastAsia" w:ascii="仿宋" w:hAnsi="仿宋" w:eastAsia="仿宋"/>
          <w:sz w:val="32"/>
          <w:szCs w:val="32"/>
        </w:rPr>
        <w:t>；附属单位上缴收入0.00万元，占0.00</w:t>
      </w:r>
      <w:r>
        <w:rPr>
          <w:rFonts w:ascii="仿宋" w:hAnsi="仿宋" w:eastAsia="仿宋"/>
          <w:sz w:val="32"/>
          <w:szCs w:val="32"/>
        </w:rPr>
        <w:t>%</w:t>
      </w:r>
      <w:r>
        <w:rPr>
          <w:rFonts w:hint="eastAsia" w:ascii="仿宋" w:hAnsi="仿宋" w:eastAsia="仿宋"/>
          <w:sz w:val="32"/>
          <w:szCs w:val="32"/>
        </w:rPr>
        <w:t>；其他收入0.3万元，占0.01</w:t>
      </w:r>
      <w:r>
        <w:rPr>
          <w:rFonts w:ascii="仿宋" w:hAnsi="仿宋" w:eastAsia="仿宋"/>
          <w:sz w:val="32"/>
          <w:szCs w:val="32"/>
        </w:rPr>
        <w:t>%</w:t>
      </w:r>
      <w:r>
        <w:rPr>
          <w:rFonts w:hint="eastAsia" w:ascii="仿宋" w:hAnsi="仿宋" w:eastAsia="仿宋"/>
          <w:sz w:val="32"/>
          <w:szCs w:val="32"/>
        </w:rPr>
        <w:t>。</w:t>
      </w:r>
    </w:p>
    <w:p>
      <w:pPr>
        <w:spacing w:line="600" w:lineRule="exact"/>
        <w:ind w:firstLine="642" w:firstLineChars="200"/>
        <w:outlineLvl w:val="2"/>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，仅罗列本单位涉及的收入。</w:t>
      </w:r>
      <w:r>
        <w:rPr>
          <w:rFonts w:ascii="仿宋" w:hAnsi="仿宋" w:eastAsia="仿宋"/>
          <w:b/>
          <w:sz w:val="32"/>
          <w:szCs w:val="32"/>
        </w:rPr>
        <w:t>）</w:t>
      </w:r>
    </w:p>
    <w:p>
      <w:pPr>
        <w:spacing w:line="600" w:lineRule="exact"/>
        <w:jc w:val="center"/>
        <w:outlineLvl w:val="2"/>
        <w:rPr>
          <w:rFonts w:ascii="仿宋" w:hAnsi="仿宋" w:eastAsia="仿宋"/>
          <w:sz w:val="32"/>
          <w:szCs w:val="32"/>
        </w:rPr>
      </w:pPr>
      <w:r>
        <w:rPr>
          <w:rFonts w:ascii="仿宋_GB2312" w:eastAsia="仿宋_GB2312"/>
          <w:sz w:val="32"/>
          <w:szCs w:val="32"/>
        </w:rPr>
        <w:drawing>
          <wp:anchor distT="0" distB="0" distL="114300" distR="114300" simplePos="0" relativeHeight="251660288" behindDoc="0" locked="0" layoutInCell="1" allowOverlap="1">
            <wp:simplePos x="0" y="0"/>
            <wp:positionH relativeFrom="column">
              <wp:posOffset>28575</wp:posOffset>
            </wp:positionH>
            <wp:positionV relativeFrom="paragraph">
              <wp:posOffset>142875</wp:posOffset>
            </wp:positionV>
            <wp:extent cx="5274310" cy="3060065"/>
            <wp:effectExtent l="4445" t="4445" r="17145" b="2159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sz w:val="32"/>
          <w:szCs w:val="32"/>
        </w:rPr>
        <w:t>（图2：收入决算结构图）（饼状图）</w:t>
      </w:r>
    </w:p>
    <w:p>
      <w:pPr>
        <w:pStyle w:val="24"/>
        <w:spacing w:line="600" w:lineRule="exact"/>
        <w:ind w:left="640" w:firstLine="0" w:firstLineChars="0"/>
        <w:outlineLvl w:val="1"/>
        <w:rPr>
          <w:rStyle w:val="26"/>
          <w:rFonts w:ascii="黑体" w:hAnsi="黑体" w:eastAsia="黑体"/>
          <w:b w:val="0"/>
        </w:rPr>
      </w:pPr>
      <w:bookmarkStart w:id="21" w:name="_Toc15377207"/>
      <w:bookmarkStart w:id="22" w:name="_Toc15396605"/>
      <w:bookmarkStart w:id="23" w:name="_Toc15842"/>
      <w:r>
        <w:rPr>
          <w:rFonts w:hint="eastAsia" w:ascii="黑体" w:hAnsi="黑体" w:eastAsia="黑体"/>
          <w:sz w:val="32"/>
          <w:szCs w:val="32"/>
        </w:rPr>
        <w:t>三、支</w:t>
      </w:r>
      <w:r>
        <w:rPr>
          <w:rStyle w:val="26"/>
          <w:rFonts w:hint="eastAsia" w:ascii="黑体" w:hAnsi="黑体" w:eastAsia="黑体"/>
          <w:b w:val="0"/>
        </w:rPr>
        <w:t>出决算情况说明</w:t>
      </w:r>
      <w:bookmarkEnd w:id="21"/>
      <w:bookmarkEnd w:id="22"/>
      <w:bookmarkEnd w:id="23"/>
    </w:p>
    <w:p>
      <w:pPr>
        <w:spacing w:line="600" w:lineRule="exact"/>
        <w:ind w:firstLine="640" w:firstLineChars="200"/>
        <w:outlineLvl w:val="2"/>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21年本年支出合计6763.57万元（含上年结余结转资金140.96万元），其中：基本支出5673.02万元，占83.87</w:t>
      </w:r>
      <w:r>
        <w:rPr>
          <w:rFonts w:ascii="仿宋" w:hAnsi="仿宋" w:eastAsia="仿宋"/>
          <w:sz w:val="32"/>
          <w:szCs w:val="32"/>
        </w:rPr>
        <w:t>%</w:t>
      </w:r>
      <w:r>
        <w:rPr>
          <w:rFonts w:hint="eastAsia" w:ascii="仿宋" w:hAnsi="仿宋" w:eastAsia="仿宋"/>
          <w:sz w:val="32"/>
          <w:szCs w:val="32"/>
        </w:rPr>
        <w:t>；项目支出1090.55万元，占16.13</w:t>
      </w:r>
      <w:r>
        <w:rPr>
          <w:rFonts w:ascii="仿宋" w:hAnsi="仿宋" w:eastAsia="仿宋"/>
          <w:sz w:val="32"/>
          <w:szCs w:val="32"/>
        </w:rPr>
        <w:t>%</w:t>
      </w:r>
      <w:r>
        <w:rPr>
          <w:rFonts w:hint="eastAsia" w:ascii="仿宋" w:hAnsi="仿宋" w:eastAsia="仿宋"/>
          <w:sz w:val="32"/>
          <w:szCs w:val="32"/>
        </w:rPr>
        <w:t>；上缴上级支出0.00万元，占0.00</w:t>
      </w:r>
      <w:r>
        <w:rPr>
          <w:rFonts w:ascii="仿宋" w:hAnsi="仿宋" w:eastAsia="仿宋"/>
          <w:sz w:val="32"/>
          <w:szCs w:val="32"/>
        </w:rPr>
        <w:t>%</w:t>
      </w:r>
      <w:r>
        <w:rPr>
          <w:rFonts w:hint="eastAsia" w:ascii="仿宋" w:hAnsi="仿宋" w:eastAsia="仿宋"/>
          <w:sz w:val="32"/>
          <w:szCs w:val="32"/>
        </w:rPr>
        <w:t>；经营支出0.00万元，占0.00</w:t>
      </w:r>
      <w:r>
        <w:rPr>
          <w:rFonts w:ascii="仿宋" w:hAnsi="仿宋" w:eastAsia="仿宋"/>
          <w:sz w:val="32"/>
          <w:szCs w:val="32"/>
        </w:rPr>
        <w:t>%</w:t>
      </w:r>
      <w:r>
        <w:rPr>
          <w:rFonts w:hint="eastAsia" w:ascii="仿宋" w:hAnsi="仿宋" w:eastAsia="仿宋"/>
          <w:sz w:val="32"/>
          <w:szCs w:val="32"/>
        </w:rPr>
        <w:t>；对附属单位补助支出0.00万元，占0.00</w:t>
      </w:r>
      <w:r>
        <w:rPr>
          <w:rFonts w:ascii="仿宋" w:hAnsi="仿宋" w:eastAsia="仿宋"/>
          <w:sz w:val="32"/>
          <w:szCs w:val="32"/>
        </w:rPr>
        <w:t>%</w:t>
      </w:r>
      <w:r>
        <w:rPr>
          <w:rFonts w:hint="eastAsia" w:ascii="仿宋" w:hAnsi="仿宋" w:eastAsia="仿宋"/>
          <w:sz w:val="32"/>
          <w:szCs w:val="32"/>
        </w:rPr>
        <w:t>。</w:t>
      </w:r>
    </w:p>
    <w:p>
      <w:pPr>
        <w:spacing w:line="600" w:lineRule="exact"/>
        <w:ind w:firstLine="642" w:firstLineChars="200"/>
        <w:outlineLvl w:val="2"/>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表，仅罗列本单位涉及的支出。）</w:t>
      </w:r>
    </w:p>
    <w:p>
      <w:pPr>
        <w:spacing w:line="600" w:lineRule="exact"/>
        <w:ind w:firstLine="640"/>
        <w:outlineLvl w:val="2"/>
        <w:rPr>
          <w:rFonts w:ascii="仿宋" w:hAnsi="仿宋" w:eastAsia="仿宋"/>
          <w:sz w:val="32"/>
          <w:szCs w:val="32"/>
        </w:rPr>
      </w:pPr>
      <w:r>
        <w:rPr>
          <w:rFonts w:ascii="仿宋_GB2312" w:eastAsia="仿宋_GB2312"/>
          <w:sz w:val="32"/>
          <w:szCs w:val="32"/>
        </w:rPr>
        <w:drawing>
          <wp:anchor distT="0" distB="0" distL="114300" distR="114300" simplePos="0" relativeHeight="251661312" behindDoc="0" locked="0" layoutInCell="1" allowOverlap="1">
            <wp:simplePos x="0" y="0"/>
            <wp:positionH relativeFrom="column">
              <wp:posOffset>0</wp:posOffset>
            </wp:positionH>
            <wp:positionV relativeFrom="paragraph">
              <wp:posOffset>178435</wp:posOffset>
            </wp:positionV>
            <wp:extent cx="5298440" cy="2101215"/>
            <wp:effectExtent l="4445" t="4445" r="12065" b="889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sz w:val="32"/>
          <w:szCs w:val="32"/>
        </w:rPr>
        <w:t>（图3：支出决算结构图）（饼状图）</w:t>
      </w:r>
    </w:p>
    <w:p>
      <w:pPr>
        <w:spacing w:line="600" w:lineRule="exact"/>
        <w:ind w:firstLine="640" w:firstLineChars="200"/>
        <w:outlineLvl w:val="1"/>
        <w:rPr>
          <w:rStyle w:val="26"/>
          <w:rFonts w:ascii="黑体" w:hAnsi="黑体" w:eastAsia="黑体"/>
          <w:b w:val="0"/>
        </w:rPr>
      </w:pPr>
      <w:bookmarkStart w:id="24" w:name="_Toc15377208"/>
      <w:bookmarkStart w:id="25" w:name="_Toc17374"/>
      <w:bookmarkStart w:id="26" w:name="_Toc15396606"/>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24"/>
      <w:bookmarkEnd w:id="25"/>
      <w:bookmarkEnd w:id="26"/>
    </w:p>
    <w:p>
      <w:pPr>
        <w:spacing w:line="600" w:lineRule="exact"/>
        <w:ind w:firstLine="640" w:firstLineChars="200"/>
        <w:outlineLvl w:val="2"/>
        <w:rPr>
          <w:rFonts w:ascii="仿宋" w:hAnsi="仿宋" w:eastAsia="仿宋"/>
          <w:sz w:val="32"/>
          <w:szCs w:val="32"/>
        </w:rPr>
      </w:pPr>
      <w:r>
        <w:rPr>
          <w:rFonts w:hint="eastAsia" w:ascii="仿宋" w:hAnsi="仿宋" w:eastAsia="仿宋"/>
          <w:sz w:val="32"/>
          <w:szCs w:val="32"/>
        </w:rPr>
        <w:t>2021年度收、支总计6706.66万元。与2020年相比，收、支总计（7758.99万元）减少1052.33万元，下降13.56</w:t>
      </w:r>
      <w:r>
        <w:rPr>
          <w:rFonts w:ascii="仿宋" w:hAnsi="仿宋" w:eastAsia="仿宋"/>
          <w:sz w:val="32"/>
          <w:szCs w:val="32"/>
        </w:rPr>
        <w:t>%</w:t>
      </w:r>
      <w:r>
        <w:rPr>
          <w:rFonts w:hint="eastAsia" w:ascii="仿宋" w:hAnsi="仿宋" w:eastAsia="仿宋"/>
          <w:sz w:val="32"/>
          <w:szCs w:val="32"/>
        </w:rPr>
        <w:t>。主要变动原因</w:t>
      </w:r>
      <w:r>
        <w:rPr>
          <w:rStyle w:val="15"/>
          <w:rFonts w:hint="eastAsia" w:ascii="仿宋" w:hAnsi="仿宋" w:eastAsia="仿宋" w:cstheme="minorBidi"/>
          <w:b w:val="0"/>
          <w:bCs/>
          <w:color w:val="000000" w:themeColor="text1"/>
          <w:sz w:val="32"/>
          <w:szCs w:val="32"/>
          <w14:textFill>
            <w14:solidFill>
              <w14:schemeClr w14:val="tx1"/>
            </w14:solidFill>
          </w14:textFill>
        </w:rPr>
        <w:t>是2021年10月学校机构改革</w:t>
      </w:r>
      <w:r>
        <w:rPr>
          <w:rStyle w:val="15"/>
          <w:rFonts w:hint="eastAsia" w:ascii="仿宋" w:hAnsi="仿宋" w:eastAsia="仿宋" w:cstheme="minorBidi"/>
          <w:b w:val="0"/>
          <w:bCs/>
          <w:color w:val="000000" w:themeColor="text1"/>
          <w:spacing w:val="-6"/>
          <w:sz w:val="32"/>
          <w:szCs w:val="32"/>
          <w14:textFill>
            <w14:solidFill>
              <w14:schemeClr w14:val="tx1"/>
            </w14:solidFill>
          </w14:textFill>
        </w:rPr>
        <w:t>，原东城实验学校拆分为东城实验初级中学、东城实验初级中学、东城实验初级小学，1-9月由我校填报决算</w:t>
      </w:r>
      <w:r>
        <w:rPr>
          <w:rFonts w:hint="eastAsia" w:ascii="仿宋" w:hAnsi="仿宋" w:eastAsia="仿宋"/>
          <w:color w:val="000000" w:themeColor="text1"/>
          <w:spacing w:val="-6"/>
          <w:sz w:val="32"/>
          <w:szCs w:val="32"/>
          <w14:textFill>
            <w14:solidFill>
              <w14:schemeClr w14:val="tx1"/>
            </w14:solidFill>
          </w14:textFill>
        </w:rPr>
        <w:t>。</w:t>
      </w:r>
    </w:p>
    <w:p>
      <w:pPr>
        <w:spacing w:line="600" w:lineRule="exact"/>
        <w:ind w:firstLine="640"/>
        <w:outlineLvl w:val="2"/>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pPr>
        <w:pStyle w:val="6"/>
        <w:spacing w:before="72"/>
        <w:outlineLvl w:val="2"/>
        <w:rPr>
          <w:rFonts w:ascii="仿宋" w:hAnsi="仿宋" w:eastAsia="仿宋"/>
          <w:sz w:val="32"/>
          <w:szCs w:val="32"/>
        </w:rPr>
      </w:pPr>
      <w:r>
        <w:rPr>
          <w:sz w:val="32"/>
          <w:szCs w:val="32"/>
        </w:rPr>
        <w:drawing>
          <wp:anchor distT="0" distB="0" distL="114300" distR="114300" simplePos="0" relativeHeight="251662336" behindDoc="1" locked="0" layoutInCell="1" allowOverlap="1">
            <wp:simplePos x="0" y="0"/>
            <wp:positionH relativeFrom="column">
              <wp:posOffset>-53340</wp:posOffset>
            </wp:positionH>
            <wp:positionV relativeFrom="paragraph">
              <wp:posOffset>86995</wp:posOffset>
            </wp:positionV>
            <wp:extent cx="5309235" cy="1728470"/>
            <wp:effectExtent l="5080" t="4445" r="19685" b="57785"/>
            <wp:wrapTight wrapText="bothSides">
              <wp:wrapPolygon>
                <wp:start x="-21" y="-56"/>
                <wp:lineTo x="-21" y="21370"/>
                <wp:lineTo x="21525" y="21370"/>
                <wp:lineTo x="21525" y="-56"/>
                <wp:lineTo x="-21" y="-56"/>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sz w:val="32"/>
          <w:szCs w:val="32"/>
        </w:rPr>
        <w:t>（图4：财政拨款收、支决算总计变动情况）（柱状图）</w:t>
      </w:r>
    </w:p>
    <w:p>
      <w:pPr>
        <w:spacing w:line="600" w:lineRule="exact"/>
        <w:ind w:firstLine="640"/>
        <w:rPr>
          <w:rFonts w:ascii="仿宋" w:hAnsi="仿宋" w:eastAsia="仿宋"/>
          <w:b/>
          <w:sz w:val="32"/>
          <w:szCs w:val="32"/>
        </w:rPr>
      </w:pPr>
    </w:p>
    <w:p>
      <w:pPr>
        <w:spacing w:line="600" w:lineRule="exact"/>
        <w:ind w:firstLine="640" w:firstLineChars="200"/>
        <w:outlineLvl w:val="1"/>
        <w:rPr>
          <w:rStyle w:val="26"/>
          <w:rFonts w:ascii="黑体" w:hAnsi="黑体" w:eastAsia="黑体"/>
          <w:b w:val="0"/>
        </w:rPr>
      </w:pPr>
      <w:bookmarkStart w:id="27" w:name="_Toc15377209"/>
      <w:bookmarkStart w:id="28" w:name="_Toc15396607"/>
      <w:bookmarkStart w:id="29" w:name="_Toc17246"/>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27"/>
      <w:bookmarkEnd w:id="28"/>
      <w:bookmarkEnd w:id="29"/>
    </w:p>
    <w:p>
      <w:pPr>
        <w:spacing w:line="600" w:lineRule="exact"/>
        <w:ind w:firstLine="640" w:firstLineChars="200"/>
        <w:outlineLvl w:val="2"/>
        <w:rPr>
          <w:rFonts w:ascii="楷体" w:hAnsi="楷体" w:eastAsia="楷体" w:cs="楷体"/>
          <w:bCs/>
          <w:sz w:val="32"/>
          <w:szCs w:val="32"/>
        </w:rPr>
      </w:pPr>
      <w:bookmarkStart w:id="30" w:name="_Toc15377210"/>
      <w:r>
        <w:rPr>
          <w:rFonts w:hint="eastAsia" w:ascii="楷体" w:hAnsi="楷体" w:eastAsia="楷体" w:cs="楷体"/>
          <w:bCs/>
          <w:sz w:val="32"/>
          <w:szCs w:val="32"/>
        </w:rPr>
        <w:t>（一）一般公共预算财政拨款支出决算总体情况</w:t>
      </w:r>
      <w:bookmarkEnd w:id="30"/>
    </w:p>
    <w:p>
      <w:pPr>
        <w:spacing w:line="600" w:lineRule="exact"/>
        <w:ind w:firstLine="640" w:firstLineChars="200"/>
        <w:outlineLvl w:val="2"/>
        <w:rPr>
          <w:rFonts w:ascii="仿宋" w:hAnsi="仿宋" w:eastAsia="仿宋"/>
          <w:color w:val="000000" w:themeColor="text1"/>
          <w:sz w:val="32"/>
          <w:szCs w:val="32"/>
          <w14:textFill>
            <w14:solidFill>
              <w14:schemeClr w14:val="tx1"/>
            </w14:solidFill>
          </w14:textFill>
        </w:rPr>
      </w:pPr>
      <w:r>
        <w:rPr>
          <w:rFonts w:ascii="仿宋" w:hAnsi="仿宋" w:eastAsia="仿宋"/>
          <w:sz w:val="32"/>
          <w:szCs w:val="32"/>
        </w:rPr>
        <w:t>20</w:t>
      </w:r>
      <w:r>
        <w:rPr>
          <w:rFonts w:hint="eastAsia" w:ascii="仿宋" w:hAnsi="仿宋" w:eastAsia="仿宋"/>
          <w:sz w:val="32"/>
          <w:szCs w:val="32"/>
        </w:rPr>
        <w:t>21年一般公共预算财政拨款支出6763.28万元，占本年支出合计的99.99</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20年（7775.24万元）相比，一般公共预算财政拨款支出减少1011.96万元，下降13.02</w:t>
      </w:r>
      <w:r>
        <w:rPr>
          <w:rFonts w:ascii="仿宋" w:hAnsi="仿宋" w:eastAsia="仿宋"/>
          <w:sz w:val="32"/>
          <w:szCs w:val="32"/>
        </w:rPr>
        <w:t>%</w:t>
      </w:r>
      <w:r>
        <w:rPr>
          <w:rFonts w:hint="eastAsia" w:ascii="仿宋" w:hAnsi="仿宋" w:eastAsia="仿宋"/>
          <w:sz w:val="32"/>
          <w:szCs w:val="32"/>
        </w:rPr>
        <w:t>。主要变动原因是</w:t>
      </w:r>
      <w:r>
        <w:rPr>
          <w:rStyle w:val="15"/>
          <w:rFonts w:hint="eastAsia" w:ascii="仿宋" w:hAnsi="仿宋" w:eastAsia="仿宋" w:cstheme="minorBidi"/>
          <w:b w:val="0"/>
          <w:bCs/>
          <w:color w:val="000000" w:themeColor="text1"/>
          <w:spacing w:val="-6"/>
          <w:sz w:val="32"/>
          <w:szCs w:val="32"/>
          <w14:textFill>
            <w14:solidFill>
              <w14:schemeClr w14:val="tx1"/>
            </w14:solidFill>
          </w14:textFill>
        </w:rPr>
        <w:t>原东城实验学校拆分为东城实验初级中学、东城实验初级中学、东城实验初级小学，1-9月由我校填报决算</w:t>
      </w:r>
      <w:r>
        <w:rPr>
          <w:rFonts w:hint="eastAsia" w:ascii="仿宋" w:hAnsi="仿宋" w:eastAsia="仿宋"/>
          <w:color w:val="000000" w:themeColor="text1"/>
          <w:spacing w:val="-6"/>
          <w:sz w:val="32"/>
          <w:szCs w:val="32"/>
          <w14:textFill>
            <w14:solidFill>
              <w14:schemeClr w14:val="tx1"/>
            </w14:solidFill>
          </w14:textFill>
        </w:rPr>
        <w:t>。</w:t>
      </w:r>
    </w:p>
    <w:p>
      <w:pPr>
        <w:spacing w:line="600" w:lineRule="exact"/>
        <w:outlineLvl w:val="2"/>
        <w:rPr>
          <w:rFonts w:ascii="仿宋" w:hAnsi="仿宋" w:eastAsia="仿宋"/>
          <w:sz w:val="32"/>
          <w:szCs w:val="32"/>
        </w:rPr>
      </w:pPr>
      <w:r>
        <w:rPr>
          <w:rFonts w:ascii="仿宋_GB2312" w:eastAsia="仿宋_GB2312"/>
          <w:sz w:val="32"/>
          <w:szCs w:val="32"/>
        </w:rPr>
        <w:drawing>
          <wp:anchor distT="0" distB="0" distL="114300" distR="114300" simplePos="0" relativeHeight="251663360" behindDoc="1" locked="0" layoutInCell="1" allowOverlap="1">
            <wp:simplePos x="0" y="0"/>
            <wp:positionH relativeFrom="column">
              <wp:posOffset>5080</wp:posOffset>
            </wp:positionH>
            <wp:positionV relativeFrom="paragraph">
              <wp:posOffset>280035</wp:posOffset>
            </wp:positionV>
            <wp:extent cx="5309235" cy="1728470"/>
            <wp:effectExtent l="5080" t="4445" r="19685" b="19685"/>
            <wp:wrapTight wrapText="bothSides">
              <wp:wrapPolygon>
                <wp:start x="-21" y="-56"/>
                <wp:lineTo x="-21" y="21370"/>
                <wp:lineTo x="21525" y="21370"/>
                <wp:lineTo x="21525" y="-56"/>
                <wp:lineTo x="-21" y="-56"/>
              </wp:wrapPolygon>
            </wp:wrapTight>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sz w:val="32"/>
          <w:szCs w:val="32"/>
        </w:rPr>
        <w:t>（图5：一般公共预算财政拨款支出决算变动情况）（柱状图）</w:t>
      </w:r>
    </w:p>
    <w:p>
      <w:pPr>
        <w:spacing w:line="600" w:lineRule="exact"/>
        <w:ind w:firstLine="640" w:firstLineChars="200"/>
        <w:outlineLvl w:val="2"/>
        <w:rPr>
          <w:rFonts w:ascii="楷体" w:hAnsi="楷体" w:eastAsia="楷体" w:cs="楷体"/>
          <w:bCs/>
          <w:sz w:val="32"/>
          <w:szCs w:val="32"/>
        </w:rPr>
      </w:pPr>
      <w:bookmarkStart w:id="31" w:name="_Toc15377211"/>
      <w:r>
        <w:rPr>
          <w:rFonts w:hint="eastAsia" w:ascii="楷体" w:hAnsi="楷体" w:eastAsia="楷体" w:cs="楷体"/>
          <w:bCs/>
          <w:sz w:val="32"/>
          <w:szCs w:val="32"/>
        </w:rPr>
        <w:t>（二）一般公共预算财政拨款支出决算结构情况</w:t>
      </w:r>
      <w:bookmarkEnd w:id="31"/>
    </w:p>
    <w:p>
      <w:pPr>
        <w:spacing w:line="600" w:lineRule="exact"/>
        <w:ind w:firstLine="640"/>
        <w:outlineLvl w:val="2"/>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21年一般公共预算财政拨款支出6763.28万元，主要用于以下方面</w:t>
      </w:r>
      <w:r>
        <w:rPr>
          <w:rFonts w:ascii="仿宋" w:hAnsi="仿宋" w:eastAsia="仿宋"/>
          <w:sz w:val="32"/>
          <w:szCs w:val="32"/>
        </w:rPr>
        <w:t>:</w:t>
      </w:r>
      <w:r>
        <w:rPr>
          <w:rFonts w:hint="eastAsia" w:ascii="仿宋" w:hAnsi="仿宋" w:eastAsia="仿宋"/>
          <w:b/>
          <w:sz w:val="32"/>
          <w:szCs w:val="32"/>
        </w:rPr>
        <w:t>教育支出（类）</w:t>
      </w:r>
      <w:r>
        <w:rPr>
          <w:rFonts w:hint="eastAsia" w:ascii="仿宋" w:hAnsi="仿宋" w:eastAsia="仿宋"/>
          <w:sz w:val="32"/>
          <w:szCs w:val="32"/>
        </w:rPr>
        <w:t>5995.88万元，占82.74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支出731.60万元，占10.80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35.79万元，占6.46</w:t>
      </w:r>
      <w:r>
        <w:rPr>
          <w:rFonts w:ascii="仿宋" w:hAnsi="仿宋" w:eastAsia="仿宋"/>
          <w:sz w:val="32"/>
          <w:szCs w:val="32"/>
        </w:rPr>
        <w:t>%</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r>
        <w:rPr>
          <w:rFonts w:hint="eastAsia" w:ascii="仿宋" w:hAnsi="仿宋" w:eastAsia="仿宋"/>
          <w:b/>
          <w:sz w:val="32"/>
          <w:szCs w:val="32"/>
        </w:rPr>
        <w:t xml:space="preserve">（注：数据来源于财决01-1表，仅罗列本单位涉及的全部功能分类科目，至类级。） </w:t>
      </w:r>
    </w:p>
    <w:p>
      <w:pPr>
        <w:spacing w:line="600" w:lineRule="exact"/>
        <w:ind w:firstLine="640" w:firstLineChars="200"/>
        <w:outlineLvl w:val="2"/>
        <w:rPr>
          <w:rFonts w:ascii="仿宋" w:hAnsi="仿宋" w:eastAsia="仿宋"/>
          <w:sz w:val="32"/>
          <w:szCs w:val="32"/>
        </w:rPr>
      </w:pPr>
      <w:r>
        <w:rPr>
          <w:rFonts w:ascii="仿宋_GB2312" w:eastAsia="仿宋_GB2312"/>
          <w:sz w:val="32"/>
          <w:szCs w:val="32"/>
        </w:rPr>
        <w:drawing>
          <wp:anchor distT="0" distB="0" distL="114300" distR="114300" simplePos="0" relativeHeight="251664384" behindDoc="0" locked="0" layoutInCell="1" allowOverlap="1">
            <wp:simplePos x="0" y="0"/>
            <wp:positionH relativeFrom="column">
              <wp:posOffset>40640</wp:posOffset>
            </wp:positionH>
            <wp:positionV relativeFrom="paragraph">
              <wp:posOffset>54610</wp:posOffset>
            </wp:positionV>
            <wp:extent cx="5298440" cy="2101215"/>
            <wp:effectExtent l="4445" t="4445" r="12065" b="889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sz w:val="32"/>
          <w:szCs w:val="32"/>
        </w:rPr>
        <w:t>（图6：一般公共预算财政拨款支出决算结构）（饼状图）</w:t>
      </w:r>
    </w:p>
    <w:p>
      <w:pPr>
        <w:snapToGrid w:val="0"/>
        <w:spacing w:line="550" w:lineRule="exact"/>
        <w:ind w:firstLine="640" w:firstLineChars="200"/>
        <w:outlineLvl w:val="2"/>
        <w:rPr>
          <w:rFonts w:ascii="楷体" w:hAnsi="楷体" w:eastAsia="楷体" w:cs="楷体"/>
          <w:bCs/>
          <w:sz w:val="32"/>
          <w:szCs w:val="32"/>
        </w:rPr>
      </w:pPr>
      <w:bookmarkStart w:id="32" w:name="_Toc15377212"/>
      <w:r>
        <w:rPr>
          <w:rFonts w:hint="eastAsia" w:ascii="楷体" w:hAnsi="楷体" w:eastAsia="楷体" w:cs="楷体"/>
          <w:bCs/>
          <w:sz w:val="32"/>
          <w:szCs w:val="32"/>
        </w:rPr>
        <w:t>（三）一般公共预算财政拨款支出决算具体情况</w:t>
      </w:r>
      <w:bookmarkEnd w:id="32"/>
    </w:p>
    <w:p>
      <w:pPr>
        <w:snapToGrid w:val="0"/>
        <w:spacing w:line="550" w:lineRule="exact"/>
        <w:ind w:firstLine="642" w:firstLineChars="200"/>
        <w:outlineLvl w:val="2"/>
        <w:rPr>
          <w:rFonts w:ascii="仿宋" w:hAnsi="仿宋" w:eastAsia="仿宋"/>
          <w:sz w:val="32"/>
          <w:szCs w:val="32"/>
        </w:rPr>
      </w:pPr>
      <w:bookmarkStart w:id="33" w:name="_Toc15377213"/>
      <w:bookmarkStart w:id="34" w:name="_Toc15377444"/>
      <w:bookmarkStart w:id="35" w:name="_Toc15378460"/>
      <w:r>
        <w:rPr>
          <w:rFonts w:hint="eastAsia" w:ascii="仿宋" w:hAnsi="仿宋" w:eastAsia="仿宋"/>
          <w:b/>
          <w:sz w:val="32"/>
          <w:szCs w:val="32"/>
        </w:rPr>
        <w:t>2021年一般公共预算支出决算数为6763.28万元</w:t>
      </w:r>
      <w:r>
        <w:rPr>
          <w:rFonts w:hint="eastAsia" w:ascii="仿宋" w:hAnsi="仿宋" w:eastAsia="仿宋"/>
          <w:sz w:val="32"/>
          <w:szCs w:val="32"/>
        </w:rPr>
        <w:t>，</w:t>
      </w:r>
      <w:r>
        <w:rPr>
          <w:rStyle w:val="15"/>
          <w:rFonts w:hint="eastAsia" w:ascii="仿宋" w:hAnsi="仿宋" w:eastAsia="仿宋"/>
          <w:bCs/>
          <w:sz w:val="32"/>
          <w:szCs w:val="32"/>
        </w:rPr>
        <w:t>完成预算98.76</w:t>
      </w:r>
      <w:r>
        <w:rPr>
          <w:rStyle w:val="15"/>
          <w:rFonts w:ascii="仿宋" w:hAnsi="仿宋" w:eastAsia="仿宋"/>
          <w:bCs/>
          <w:sz w:val="32"/>
          <w:szCs w:val="32"/>
        </w:rPr>
        <w:t>%</w:t>
      </w:r>
      <w:r>
        <w:rPr>
          <w:rStyle w:val="15"/>
          <w:rFonts w:hint="eastAsia" w:ascii="仿宋" w:hAnsi="仿宋" w:eastAsia="仿宋"/>
          <w:bCs/>
          <w:sz w:val="32"/>
          <w:szCs w:val="32"/>
        </w:rPr>
        <w:t>。其中：</w:t>
      </w:r>
      <w:bookmarkEnd w:id="33"/>
      <w:bookmarkEnd w:id="34"/>
      <w:bookmarkEnd w:id="35"/>
    </w:p>
    <w:p>
      <w:pPr>
        <w:pStyle w:val="6"/>
        <w:snapToGrid w:val="0"/>
        <w:spacing w:beforeLines="0" w:line="550" w:lineRule="exact"/>
        <w:ind w:firstLine="642" w:firstLineChars="200"/>
        <w:outlineLvl w:val="2"/>
        <w:rPr>
          <w:rStyle w:val="15"/>
          <w:rFonts w:ascii="仿宋" w:hAnsi="仿宋" w:eastAsia="仿宋"/>
          <w:b w:val="0"/>
          <w:bCs/>
          <w:color w:val="000000" w:themeColor="text1"/>
          <w:sz w:val="32"/>
          <w:szCs w:val="32"/>
          <w14:textFill>
            <w14:solidFill>
              <w14:schemeClr w14:val="tx1"/>
            </w14:solidFill>
          </w14:textFill>
        </w:rPr>
      </w:pPr>
      <w:r>
        <w:rPr>
          <w:rStyle w:val="15"/>
          <w:rFonts w:hint="eastAsia" w:ascii="仿宋" w:hAnsi="仿宋" w:eastAsia="仿宋"/>
          <w:bCs/>
          <w:sz w:val="32"/>
          <w:szCs w:val="32"/>
        </w:rPr>
        <w:t>1</w:t>
      </w:r>
      <w:r>
        <w:rPr>
          <w:rStyle w:val="15"/>
          <w:rFonts w:ascii="仿宋" w:hAnsi="仿宋" w:eastAsia="仿宋"/>
          <w:bCs/>
          <w:sz w:val="32"/>
          <w:szCs w:val="32"/>
        </w:rPr>
        <w:t>.</w:t>
      </w:r>
      <w:r>
        <w:rPr>
          <w:rStyle w:val="15"/>
          <w:rFonts w:hint="eastAsia" w:ascii="仿宋" w:hAnsi="仿宋" w:eastAsia="仿宋" w:cstheme="minorBidi"/>
          <w:bCs/>
          <w:kern w:val="2"/>
          <w:sz w:val="32"/>
          <w:szCs w:val="32"/>
        </w:rPr>
        <w:t>教育支出（类）普通教育（款）初中教育（项）</w:t>
      </w:r>
      <w:r>
        <w:rPr>
          <w:rStyle w:val="15"/>
          <w:rFonts w:ascii="仿宋" w:hAnsi="仿宋" w:eastAsia="仿宋" w:cstheme="minorBidi"/>
          <w:bCs/>
          <w:kern w:val="2"/>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Fonts w:hint="eastAsia" w:ascii="仿宋" w:hAnsi="仿宋" w:eastAsia="仿宋"/>
          <w:sz w:val="32"/>
          <w:szCs w:val="32"/>
        </w:rPr>
        <w:t>5995.88</w:t>
      </w:r>
      <w:r>
        <w:rPr>
          <w:rStyle w:val="15"/>
          <w:rFonts w:hint="eastAsia" w:ascii="仿宋" w:hAnsi="仿宋" w:eastAsia="仿宋"/>
          <w:b w:val="0"/>
          <w:bCs/>
          <w:sz w:val="32"/>
          <w:szCs w:val="32"/>
        </w:rPr>
        <w:t>万元，完成预算98.76</w:t>
      </w:r>
      <w:r>
        <w:rPr>
          <w:rStyle w:val="15"/>
          <w:rFonts w:ascii="仿宋" w:hAnsi="仿宋" w:eastAsia="仿宋"/>
          <w:b w:val="0"/>
          <w:bCs/>
          <w:sz w:val="32"/>
          <w:szCs w:val="32"/>
        </w:rPr>
        <w:t>%</w:t>
      </w:r>
      <w:r>
        <w:rPr>
          <w:rStyle w:val="15"/>
          <w:rFonts w:hint="eastAsia" w:ascii="仿宋" w:hAnsi="仿宋" w:eastAsia="仿宋"/>
          <w:b w:val="0"/>
          <w:bCs/>
          <w:sz w:val="32"/>
          <w:szCs w:val="32"/>
        </w:rPr>
        <w:t>，决算数小于预算数的主要原因是2021年绩效30%部分</w:t>
      </w:r>
      <w:r>
        <w:rPr>
          <w:rStyle w:val="15"/>
          <w:rFonts w:hint="eastAsia" w:ascii="仿宋" w:hAnsi="仿宋" w:eastAsia="仿宋"/>
          <w:b w:val="0"/>
          <w:bCs/>
          <w:color w:val="000000" w:themeColor="text1"/>
          <w:sz w:val="32"/>
          <w:szCs w:val="32"/>
          <w14:textFill>
            <w14:solidFill>
              <w14:schemeClr w14:val="tx1"/>
            </w14:solidFill>
          </w14:textFill>
        </w:rPr>
        <w:t>34.35万元，校舍维修改造资金50万元结转下年。</w:t>
      </w:r>
    </w:p>
    <w:p>
      <w:pPr>
        <w:snapToGrid w:val="0"/>
        <w:spacing w:line="550" w:lineRule="exact"/>
        <w:ind w:firstLine="642" w:firstLineChars="200"/>
        <w:outlineLvl w:val="2"/>
      </w:pPr>
      <w:r>
        <w:rPr>
          <w:rStyle w:val="15"/>
          <w:rFonts w:hint="eastAsia" w:ascii="仿宋" w:hAnsi="仿宋" w:eastAsia="仿宋"/>
          <w:bCs/>
          <w:sz w:val="32"/>
          <w:szCs w:val="32"/>
        </w:rPr>
        <w:t>2</w:t>
      </w:r>
      <w:r>
        <w:rPr>
          <w:rStyle w:val="15"/>
          <w:rFonts w:ascii="仿宋" w:hAnsi="仿宋" w:eastAsia="仿宋"/>
          <w:bCs/>
          <w:sz w:val="32"/>
          <w:szCs w:val="32"/>
        </w:rPr>
        <w:t>.</w:t>
      </w:r>
      <w:r>
        <w:rPr>
          <w:rStyle w:val="15"/>
          <w:rFonts w:hint="eastAsia" w:ascii="仿宋" w:hAnsi="仿宋" w:eastAsia="仿宋"/>
          <w:bCs/>
          <w:sz w:val="32"/>
          <w:szCs w:val="32"/>
        </w:rPr>
        <w:t>社会保障和就业（类）行政事业单位养老支出（款）行政单位离退休（项）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支出决算为334.77万元，完成预算100.00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，决算数等于预算数的主要原因是</w:t>
      </w:r>
      <w:r>
        <w:rPr>
          <w:rStyle w:val="15"/>
          <w:rFonts w:hint="eastAsia" w:ascii="仿宋" w:hAnsi="仿宋" w:eastAsia="仿宋" w:cstheme="minorBidi"/>
          <w:b w:val="0"/>
          <w:bCs/>
          <w:color w:val="000000" w:themeColor="text1"/>
          <w:kern w:val="0"/>
          <w:sz w:val="32"/>
          <w:szCs w:val="32"/>
          <w14:textFill>
            <w14:solidFill>
              <w14:schemeClr w14:val="tx1"/>
            </w14:solidFill>
          </w14:textFill>
        </w:rPr>
        <w:t>年初预算根据实际编列，</w:t>
      </w:r>
      <w:r>
        <w:rPr>
          <w:rStyle w:val="15"/>
          <w:rFonts w:hint="eastAsia" w:ascii="仿宋" w:hAnsi="仿宋" w:eastAsia="仿宋"/>
          <w:b w:val="0"/>
          <w:bCs/>
          <w:color w:val="000000" w:themeColor="text1"/>
          <w:sz w:val="32"/>
          <w:szCs w:val="32"/>
          <w14:textFill>
            <w14:solidFill>
              <w14:schemeClr w14:val="tx1"/>
            </w14:solidFill>
          </w14:textFill>
        </w:rPr>
        <w:t>项目实施中及时根据支出情况调整预算。</w:t>
      </w:r>
    </w:p>
    <w:p>
      <w:pPr>
        <w:snapToGrid w:val="0"/>
        <w:spacing w:line="550" w:lineRule="exact"/>
        <w:ind w:firstLine="642" w:firstLineChars="200"/>
        <w:outlineLvl w:val="2"/>
        <w:rPr>
          <w:color w:val="000000" w:themeColor="text1"/>
          <w14:textFill>
            <w14:solidFill>
              <w14:schemeClr w14:val="tx1"/>
            </w14:solidFill>
          </w14:textFill>
        </w:rPr>
      </w:pPr>
      <w:r>
        <w:rPr>
          <w:rStyle w:val="15"/>
          <w:rFonts w:hint="eastAsia" w:ascii="仿宋" w:hAnsi="仿宋" w:eastAsia="仿宋"/>
          <w:bCs/>
          <w:sz w:val="32"/>
          <w:szCs w:val="32"/>
        </w:rPr>
        <w:t>3</w:t>
      </w:r>
      <w:r>
        <w:rPr>
          <w:rStyle w:val="15"/>
          <w:rFonts w:ascii="仿宋" w:hAnsi="仿宋" w:eastAsia="仿宋"/>
          <w:bCs/>
          <w:sz w:val="32"/>
          <w:szCs w:val="32"/>
        </w:rPr>
        <w:t>.</w:t>
      </w:r>
      <w:r>
        <w:rPr>
          <w:rStyle w:val="15"/>
          <w:rFonts w:hint="eastAsia" w:ascii="仿宋" w:hAnsi="仿宋" w:eastAsia="仿宋"/>
          <w:bCs/>
          <w:sz w:val="32"/>
          <w:szCs w:val="32"/>
        </w:rPr>
        <w:t>社会保障和就业（类）行政事业单位养老支出（款）机关事业单位基本养老保险缴费支出（项）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支出决算为364.69万元，完成预算100.00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，决算数等于预算数的主要原因是</w:t>
      </w:r>
      <w:r>
        <w:rPr>
          <w:rStyle w:val="15"/>
          <w:rFonts w:hint="eastAsia" w:ascii="仿宋" w:hAnsi="仿宋" w:eastAsia="仿宋" w:cstheme="minorBidi"/>
          <w:b w:val="0"/>
          <w:bCs/>
          <w:color w:val="000000" w:themeColor="text1"/>
          <w:kern w:val="0"/>
          <w:sz w:val="32"/>
          <w:szCs w:val="32"/>
          <w14:textFill>
            <w14:solidFill>
              <w14:schemeClr w14:val="tx1"/>
            </w14:solidFill>
          </w14:textFill>
        </w:rPr>
        <w:t>年初预算根据实际编列</w:t>
      </w:r>
      <w:r>
        <w:rPr>
          <w:rStyle w:val="15"/>
          <w:rFonts w:hint="eastAsia" w:ascii="仿宋" w:hAnsi="仿宋" w:eastAsia="仿宋"/>
          <w:b w:val="0"/>
          <w:bCs/>
          <w:color w:val="000000" w:themeColor="text1"/>
          <w:sz w:val="32"/>
          <w:szCs w:val="32"/>
          <w14:textFill>
            <w14:solidFill>
              <w14:schemeClr w14:val="tx1"/>
            </w14:solidFill>
          </w14:textFill>
        </w:rPr>
        <w:t>，项目实施中及时根据支出情况调整预算。</w:t>
      </w:r>
    </w:p>
    <w:p>
      <w:pPr>
        <w:snapToGrid w:val="0"/>
        <w:spacing w:line="550" w:lineRule="exact"/>
        <w:ind w:firstLine="642" w:firstLineChars="200"/>
        <w:outlineLvl w:val="2"/>
        <w:rPr>
          <w:color w:val="000000" w:themeColor="text1"/>
          <w14:textFill>
            <w14:solidFill>
              <w14:schemeClr w14:val="tx1"/>
            </w14:solidFill>
          </w14:textFill>
        </w:rPr>
      </w:pPr>
      <w:r>
        <w:rPr>
          <w:rStyle w:val="15"/>
          <w:rFonts w:hint="eastAsia" w:ascii="仿宋" w:hAnsi="仿宋" w:eastAsia="仿宋"/>
          <w:bCs/>
          <w:sz w:val="32"/>
          <w:szCs w:val="32"/>
        </w:rPr>
        <w:t>4</w:t>
      </w:r>
      <w:r>
        <w:rPr>
          <w:rStyle w:val="15"/>
          <w:rFonts w:ascii="仿宋" w:hAnsi="仿宋" w:eastAsia="仿宋"/>
          <w:bCs/>
          <w:sz w:val="32"/>
          <w:szCs w:val="32"/>
        </w:rPr>
        <w:t>.</w:t>
      </w:r>
      <w:r>
        <w:rPr>
          <w:rStyle w:val="15"/>
          <w:rFonts w:hint="eastAsia" w:ascii="仿宋" w:hAnsi="仿宋" w:eastAsia="仿宋"/>
          <w:bCs/>
          <w:sz w:val="32"/>
          <w:szCs w:val="32"/>
        </w:rPr>
        <w:t>社会保障和就业（类）行政事业单位养老支出（款）机关事业单位职业年金缴费支出（项）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支出决算为27.41万元，完成预算100.00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，决算数等于预算数的主要原因是</w:t>
      </w:r>
      <w:r>
        <w:rPr>
          <w:rStyle w:val="15"/>
          <w:rFonts w:hint="eastAsia" w:ascii="仿宋" w:hAnsi="仿宋" w:eastAsia="仿宋" w:cstheme="minorBidi"/>
          <w:b w:val="0"/>
          <w:bCs/>
          <w:color w:val="000000" w:themeColor="text1"/>
          <w:kern w:val="0"/>
          <w:sz w:val="32"/>
          <w:szCs w:val="32"/>
          <w14:textFill>
            <w14:solidFill>
              <w14:schemeClr w14:val="tx1"/>
            </w14:solidFill>
          </w14:textFill>
        </w:rPr>
        <w:t>年初预算根据实际编列，</w:t>
      </w:r>
      <w:r>
        <w:rPr>
          <w:rStyle w:val="15"/>
          <w:rFonts w:hint="eastAsia" w:ascii="仿宋" w:hAnsi="仿宋" w:eastAsia="仿宋"/>
          <w:b w:val="0"/>
          <w:bCs/>
          <w:color w:val="000000" w:themeColor="text1"/>
          <w:sz w:val="32"/>
          <w:szCs w:val="32"/>
          <w14:textFill>
            <w14:solidFill>
              <w14:schemeClr w14:val="tx1"/>
            </w14:solidFill>
          </w14:textFill>
        </w:rPr>
        <w:t>项目实施中及时根据支出情况调整预算。</w:t>
      </w:r>
    </w:p>
    <w:p>
      <w:pPr>
        <w:snapToGrid w:val="0"/>
        <w:spacing w:line="550" w:lineRule="exact"/>
        <w:ind w:firstLine="642" w:firstLineChars="200"/>
        <w:outlineLvl w:val="2"/>
        <w:rPr>
          <w:rFonts w:ascii="仿宋" w:hAnsi="仿宋" w:eastAsia="仿宋"/>
          <w:color w:val="000000" w:themeColor="text1"/>
          <w:sz w:val="32"/>
          <w:szCs w:val="32"/>
          <w14:textFill>
            <w14:solidFill>
              <w14:schemeClr w14:val="tx1"/>
            </w14:solidFill>
          </w14:textFill>
        </w:rPr>
      </w:pPr>
      <w:r>
        <w:rPr>
          <w:rStyle w:val="15"/>
          <w:rFonts w:hint="eastAsia" w:ascii="仿宋" w:hAnsi="仿宋" w:eastAsia="仿宋"/>
          <w:bCs/>
          <w:sz w:val="32"/>
          <w:szCs w:val="32"/>
        </w:rPr>
        <w:t>5</w:t>
      </w:r>
      <w:r>
        <w:rPr>
          <w:rStyle w:val="15"/>
          <w:rFonts w:ascii="仿宋" w:hAnsi="仿宋" w:eastAsia="仿宋"/>
          <w:bCs/>
          <w:sz w:val="32"/>
          <w:szCs w:val="32"/>
        </w:rPr>
        <w:t>.</w:t>
      </w:r>
      <w:r>
        <w:rPr>
          <w:rFonts w:hint="eastAsia" w:ascii="仿宋" w:hAnsi="仿宋" w:eastAsia="仿宋"/>
          <w:b/>
          <w:bCs/>
          <w:sz w:val="32"/>
          <w:szCs w:val="32"/>
        </w:rPr>
        <w:t>卫生健康</w:t>
      </w:r>
      <w:r>
        <w:rPr>
          <w:rStyle w:val="15"/>
          <w:rFonts w:hint="eastAsia" w:ascii="仿宋" w:hAnsi="仿宋" w:eastAsia="仿宋"/>
          <w:bCs/>
          <w:sz w:val="32"/>
          <w:szCs w:val="32"/>
        </w:rPr>
        <w:t>（类）行政事业单位医疗（款）事业单位医疗（项）</w:t>
      </w:r>
      <w:r>
        <w:rPr>
          <w:rStyle w:val="15"/>
          <w:rFonts w:ascii="仿宋" w:hAnsi="仿宋" w:eastAsia="仿宋"/>
          <w:bCs/>
          <w:sz w:val="32"/>
          <w:szCs w:val="32"/>
        </w:rPr>
        <w:t>:</w:t>
      </w:r>
      <w:r>
        <w:rPr>
          <w:rStyle w:val="15"/>
          <w:rFonts w:hint="eastAsia" w:ascii="仿宋" w:hAnsi="仿宋" w:eastAsia="仿宋"/>
          <w:b w:val="0"/>
          <w:bCs/>
          <w:sz w:val="32"/>
          <w:szCs w:val="32"/>
        </w:rPr>
        <w:t>支出决算为35.79万元，完成预算100.00%，决算数等于预算数的主要原因是</w:t>
      </w:r>
      <w:r>
        <w:rPr>
          <w:rStyle w:val="15"/>
          <w:rFonts w:hint="eastAsia" w:ascii="仿宋" w:hAnsi="仿宋" w:eastAsia="仿宋" w:cstheme="minorBidi"/>
          <w:b w:val="0"/>
          <w:bCs/>
          <w:color w:val="000000" w:themeColor="text1"/>
          <w:kern w:val="0"/>
          <w:sz w:val="32"/>
          <w:szCs w:val="32"/>
          <w14:textFill>
            <w14:solidFill>
              <w14:schemeClr w14:val="tx1"/>
            </w14:solidFill>
          </w14:textFill>
        </w:rPr>
        <w:t>年初预算根据实际编列，</w:t>
      </w:r>
      <w:r>
        <w:rPr>
          <w:rStyle w:val="15"/>
          <w:rFonts w:hint="eastAsia" w:ascii="仿宋" w:hAnsi="仿宋" w:eastAsia="仿宋"/>
          <w:b w:val="0"/>
          <w:bCs/>
          <w:color w:val="000000" w:themeColor="text1"/>
          <w:sz w:val="32"/>
          <w:szCs w:val="32"/>
          <w14:textFill>
            <w14:solidFill>
              <w14:schemeClr w14:val="tx1"/>
            </w14:solidFill>
          </w14:textFill>
        </w:rPr>
        <w:t>项目实施中及时根据支出情况调整预算。</w:t>
      </w:r>
    </w:p>
    <w:p>
      <w:pPr>
        <w:snapToGrid w:val="0"/>
        <w:spacing w:line="550" w:lineRule="exact"/>
        <w:ind w:firstLine="642" w:firstLineChars="200"/>
        <w:outlineLvl w:val="2"/>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1-1表和财决08表，仅罗列本单位涉及的全部功能分类科目，至项级。上述“预算”口径为调整预算数。增减变动原因为决算数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和调整预算数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pPr>
        <w:tabs>
          <w:tab w:val="right" w:pos="8306"/>
        </w:tabs>
        <w:snapToGrid w:val="0"/>
        <w:spacing w:line="550" w:lineRule="exact"/>
        <w:ind w:firstLine="640"/>
        <w:outlineLvl w:val="1"/>
        <w:rPr>
          <w:rStyle w:val="26"/>
        </w:rPr>
      </w:pPr>
      <w:bookmarkStart w:id="36" w:name="_Toc15396608"/>
      <w:bookmarkStart w:id="37" w:name="_Toc22707"/>
      <w:bookmarkStart w:id="38"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36"/>
      <w:bookmarkEnd w:id="37"/>
      <w:bookmarkEnd w:id="38"/>
      <w:r>
        <w:rPr>
          <w:rStyle w:val="26"/>
          <w:rFonts w:ascii="黑体" w:hAnsi="黑体" w:eastAsia="黑体"/>
          <w:b w:val="0"/>
        </w:rPr>
        <w:tab/>
      </w:r>
    </w:p>
    <w:p>
      <w:pPr>
        <w:snapToGrid w:val="0"/>
        <w:spacing w:line="550" w:lineRule="exact"/>
        <w:ind w:firstLine="645"/>
        <w:outlineLvl w:val="2"/>
        <w:rPr>
          <w:rFonts w:ascii="仿宋" w:hAnsi="仿宋" w:eastAsia="仿宋"/>
          <w:sz w:val="32"/>
          <w:szCs w:val="32"/>
        </w:rPr>
      </w:pPr>
      <w:r>
        <w:rPr>
          <w:rFonts w:ascii="仿宋" w:hAnsi="仿宋" w:eastAsia="仿宋"/>
          <w:sz w:val="32"/>
          <w:szCs w:val="32"/>
        </w:rPr>
        <w:t>2</w:t>
      </w:r>
      <w:r>
        <w:rPr>
          <w:rFonts w:ascii="仿宋" w:hAnsi="仿宋" w:eastAsia="仿宋"/>
          <w:spacing w:val="-6"/>
          <w:sz w:val="32"/>
          <w:szCs w:val="32"/>
        </w:rPr>
        <w:t>0</w:t>
      </w:r>
      <w:r>
        <w:rPr>
          <w:rFonts w:hint="eastAsia" w:ascii="仿宋" w:hAnsi="仿宋" w:eastAsia="仿宋"/>
          <w:spacing w:val="-6"/>
          <w:sz w:val="32"/>
          <w:szCs w:val="32"/>
        </w:rPr>
        <w:t>21年一般公共预算财政拨款基本支出5672.73万元，其中：</w:t>
      </w:r>
    </w:p>
    <w:p>
      <w:pPr>
        <w:snapToGrid w:val="0"/>
        <w:spacing w:line="550" w:lineRule="exact"/>
        <w:ind w:firstLine="645"/>
        <w:outlineLvl w:val="2"/>
        <w:rPr>
          <w:rFonts w:ascii="仿宋" w:hAnsi="仿宋" w:eastAsia="仿宋"/>
          <w:sz w:val="32"/>
          <w:szCs w:val="32"/>
        </w:rPr>
      </w:pPr>
      <w:r>
        <w:rPr>
          <w:rFonts w:hint="eastAsia" w:ascii="仿宋" w:hAnsi="仿宋" w:eastAsia="仿宋"/>
          <w:sz w:val="32"/>
          <w:szCs w:val="32"/>
        </w:rPr>
        <w:t>人员经费5053.59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napToGrid w:val="0"/>
        <w:spacing w:line="550" w:lineRule="exact"/>
        <w:ind w:firstLine="645"/>
        <w:outlineLvl w:val="2"/>
        <w:rPr>
          <w:rFonts w:ascii="仿宋" w:hAnsi="仿宋" w:eastAsia="仿宋"/>
          <w:sz w:val="32"/>
          <w:szCs w:val="32"/>
        </w:rPr>
      </w:pPr>
      <w:r>
        <w:rPr>
          <w:rFonts w:hint="eastAsia" w:ascii="仿宋" w:hAnsi="仿宋" w:eastAsia="仿宋"/>
          <w:sz w:val="32"/>
          <w:szCs w:val="32"/>
        </w:rPr>
        <w:t>公用经费619.13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napToGrid w:val="0"/>
        <w:spacing w:line="550" w:lineRule="exact"/>
        <w:ind w:firstLine="645"/>
        <w:outlineLvl w:val="2"/>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7表和财决08-1表，仅罗列本单位实际支出涉及的经济分类科目。）</w:t>
      </w:r>
    </w:p>
    <w:p>
      <w:pPr>
        <w:snapToGrid w:val="0"/>
        <w:spacing w:line="550" w:lineRule="exact"/>
        <w:ind w:firstLine="640"/>
        <w:outlineLvl w:val="1"/>
        <w:rPr>
          <w:rStyle w:val="26"/>
          <w:rFonts w:ascii="黑体" w:hAnsi="黑体" w:eastAsia="黑体"/>
          <w:b w:val="0"/>
        </w:rPr>
      </w:pPr>
      <w:bookmarkStart w:id="39" w:name="_Toc17578"/>
      <w:bookmarkStart w:id="40" w:name="_Toc15377215"/>
      <w:bookmarkStart w:id="41" w:name="_Toc15396609"/>
      <w:r>
        <w:rPr>
          <w:rFonts w:hint="eastAsia" w:asci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39"/>
      <w:bookmarkEnd w:id="40"/>
      <w:bookmarkEnd w:id="41"/>
    </w:p>
    <w:p>
      <w:pPr>
        <w:snapToGrid w:val="0"/>
        <w:spacing w:line="550" w:lineRule="exact"/>
        <w:ind w:firstLine="640"/>
        <w:outlineLvl w:val="2"/>
        <w:rPr>
          <w:rFonts w:ascii="楷体" w:hAnsi="楷体" w:eastAsia="楷体" w:cs="楷体"/>
          <w:bCs/>
          <w:sz w:val="32"/>
          <w:szCs w:val="32"/>
        </w:rPr>
      </w:pPr>
      <w:bookmarkStart w:id="42" w:name="_Toc15377216"/>
      <w:r>
        <w:rPr>
          <w:rFonts w:hint="eastAsia" w:ascii="楷体" w:hAnsi="楷体" w:eastAsia="楷体" w:cs="楷体"/>
          <w:bCs/>
          <w:sz w:val="32"/>
          <w:szCs w:val="32"/>
        </w:rPr>
        <w:t>（一）“三公”经费财政拨款支出决算总体情况说明</w:t>
      </w:r>
      <w:bookmarkEnd w:id="42"/>
    </w:p>
    <w:p>
      <w:pPr>
        <w:snapToGrid w:val="0"/>
        <w:spacing w:line="550" w:lineRule="exact"/>
        <w:ind w:firstLine="640"/>
        <w:outlineLvl w:val="2"/>
        <w:rPr>
          <w:rFonts w:ascii="仿宋_GB2312" w:eastAsia="仿宋_GB2312"/>
          <w:sz w:val="32"/>
          <w:szCs w:val="32"/>
        </w:rPr>
      </w:pPr>
      <w:r>
        <w:rPr>
          <w:rFonts w:ascii="仿宋" w:hAnsi="仿宋" w:eastAsia="仿宋"/>
          <w:sz w:val="32"/>
          <w:szCs w:val="32"/>
        </w:rPr>
        <w:t>20</w:t>
      </w:r>
      <w:r>
        <w:rPr>
          <w:rFonts w:hint="eastAsia" w:ascii="仿宋" w:hAnsi="仿宋" w:eastAsia="仿宋"/>
          <w:sz w:val="32"/>
          <w:szCs w:val="32"/>
        </w:rPr>
        <w:t>21年“三公”经费财政拨款支出决算为0万元，完成预算0</w:t>
      </w:r>
      <w:r>
        <w:rPr>
          <w:rFonts w:hint="eastAsia" w:ascii="仿宋" w:hAnsi="仿宋" w:eastAsia="仿宋"/>
          <w:color w:val="000000" w:themeColor="text1"/>
          <w:sz w:val="32"/>
          <w:szCs w:val="32"/>
          <w14:textFill>
            <w14:solidFill>
              <w14:schemeClr w14:val="tx1"/>
            </w14:solidFill>
          </w14:textFill>
        </w:rPr>
        <w:t>。</w:t>
      </w:r>
      <w:r>
        <w:rPr>
          <w:rFonts w:hint="eastAsia" w:ascii="仿宋_GB2312" w:eastAsia="仿宋_GB2312"/>
          <w:sz w:val="32"/>
          <w:szCs w:val="32"/>
        </w:rPr>
        <w:t>比</w:t>
      </w:r>
      <w:r>
        <w:rPr>
          <w:rFonts w:ascii="仿宋_GB2312" w:eastAsia="仿宋_GB2312"/>
          <w:sz w:val="32"/>
          <w:szCs w:val="32"/>
        </w:rPr>
        <w:t>20</w:t>
      </w:r>
      <w:r>
        <w:rPr>
          <w:rFonts w:hint="eastAsia" w:ascii="仿宋_GB2312" w:eastAsia="仿宋_GB2312"/>
          <w:sz w:val="32"/>
          <w:szCs w:val="32"/>
        </w:rPr>
        <w:t>20年增加</w:t>
      </w:r>
      <w:r>
        <w:rPr>
          <w:rFonts w:ascii="仿宋_GB2312" w:eastAsia="仿宋_GB2312"/>
          <w:sz w:val="32"/>
          <w:szCs w:val="32"/>
        </w:rPr>
        <w:t>/</w:t>
      </w:r>
      <w:r>
        <w:rPr>
          <w:rFonts w:hint="eastAsia" w:ascii="仿宋_GB2312" w:eastAsia="仿宋_GB2312"/>
          <w:sz w:val="32"/>
          <w:szCs w:val="32"/>
        </w:rPr>
        <w:t>减少0.00万元，增长</w:t>
      </w:r>
      <w:r>
        <w:rPr>
          <w:rFonts w:ascii="仿宋_GB2312" w:eastAsia="仿宋_GB2312"/>
          <w:sz w:val="32"/>
          <w:szCs w:val="32"/>
        </w:rPr>
        <w:t>/</w:t>
      </w:r>
      <w:r>
        <w:rPr>
          <w:rFonts w:hint="eastAsia" w:ascii="仿宋_GB2312" w:eastAsia="仿宋_GB2312"/>
          <w:sz w:val="32"/>
          <w:szCs w:val="32"/>
        </w:rPr>
        <w:t>下降0.00</w:t>
      </w:r>
      <w:r>
        <w:rPr>
          <w:rFonts w:ascii="仿宋_GB2312" w:eastAsia="仿宋_GB2312"/>
          <w:sz w:val="32"/>
          <w:szCs w:val="32"/>
        </w:rPr>
        <w:t>%</w:t>
      </w:r>
      <w:r>
        <w:rPr>
          <w:rFonts w:hint="eastAsia" w:ascii="仿宋_GB2312" w:eastAsia="仿宋_GB2312"/>
          <w:sz w:val="32"/>
          <w:szCs w:val="32"/>
        </w:rPr>
        <w:t>。</w:t>
      </w:r>
      <w:bookmarkStart w:id="43" w:name="_Toc15377217"/>
    </w:p>
    <w:p>
      <w:pPr>
        <w:snapToGrid w:val="0"/>
        <w:spacing w:line="550" w:lineRule="exact"/>
        <w:ind w:firstLine="640"/>
        <w:outlineLvl w:val="2"/>
        <w:rPr>
          <w:rFonts w:ascii="楷体" w:hAnsi="楷体" w:eastAsia="楷体" w:cs="楷体"/>
          <w:bCs/>
          <w:sz w:val="32"/>
          <w:szCs w:val="32"/>
        </w:rPr>
      </w:pPr>
      <w:r>
        <w:rPr>
          <w:rFonts w:hint="eastAsia" w:ascii="楷体" w:hAnsi="楷体" w:eastAsia="楷体" w:cs="楷体"/>
          <w:bCs/>
          <w:sz w:val="32"/>
          <w:szCs w:val="32"/>
        </w:rPr>
        <w:t>（二）“三公”经费财政拨款支出决算具体情况说明</w:t>
      </w:r>
      <w:bookmarkEnd w:id="43"/>
    </w:p>
    <w:p>
      <w:pPr>
        <w:snapToGrid w:val="0"/>
        <w:spacing w:line="550" w:lineRule="exact"/>
        <w:ind w:firstLine="640"/>
        <w:outlineLvl w:val="2"/>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21年“三公”经费财政拨款支出决算中，因公出国（境）费支出决算0.00万元，占0.00</w:t>
      </w:r>
      <w:r>
        <w:rPr>
          <w:rFonts w:ascii="仿宋" w:hAnsi="仿宋" w:eastAsia="仿宋"/>
          <w:sz w:val="32"/>
          <w:szCs w:val="32"/>
        </w:rPr>
        <w:t>%</w:t>
      </w:r>
      <w:r>
        <w:rPr>
          <w:rFonts w:hint="eastAsia" w:ascii="仿宋" w:hAnsi="仿宋" w:eastAsia="仿宋"/>
          <w:sz w:val="32"/>
          <w:szCs w:val="32"/>
        </w:rPr>
        <w:t>；公务用车购置及运行维护费支出决算0.00万元，占0.00</w:t>
      </w:r>
      <w:r>
        <w:rPr>
          <w:rFonts w:ascii="仿宋" w:hAnsi="仿宋" w:eastAsia="仿宋"/>
          <w:sz w:val="32"/>
          <w:szCs w:val="32"/>
        </w:rPr>
        <w:t>%</w:t>
      </w:r>
      <w:r>
        <w:rPr>
          <w:rFonts w:hint="eastAsia" w:ascii="仿宋" w:hAnsi="仿宋" w:eastAsia="仿宋"/>
          <w:sz w:val="32"/>
          <w:szCs w:val="32"/>
        </w:rPr>
        <w:t>；公务接待费支出决算0.00万元，占0.00</w:t>
      </w:r>
      <w:r>
        <w:rPr>
          <w:rFonts w:ascii="仿宋" w:hAnsi="仿宋" w:eastAsia="仿宋"/>
          <w:sz w:val="32"/>
          <w:szCs w:val="32"/>
        </w:rPr>
        <w:t>%</w:t>
      </w:r>
      <w:r>
        <w:rPr>
          <w:rFonts w:hint="eastAsia" w:ascii="仿宋" w:hAnsi="仿宋" w:eastAsia="仿宋"/>
          <w:sz w:val="32"/>
          <w:szCs w:val="32"/>
        </w:rPr>
        <w:t>。具体情况如下：</w:t>
      </w:r>
    </w:p>
    <w:p>
      <w:pPr>
        <w:spacing w:line="560" w:lineRule="exact"/>
        <w:ind w:firstLine="642" w:firstLineChars="200"/>
        <w:outlineLvl w:val="2"/>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0.00万元，</w:t>
      </w:r>
      <w:r>
        <w:rPr>
          <w:rStyle w:val="15"/>
          <w:rFonts w:hint="eastAsia" w:ascii="仿宋" w:hAnsi="仿宋" w:eastAsia="仿宋"/>
          <w:b w:val="0"/>
          <w:bCs/>
          <w:sz w:val="32"/>
          <w:szCs w:val="32"/>
        </w:rPr>
        <w:t>完成预算</w:t>
      </w:r>
      <w:r>
        <w:rPr>
          <w:rFonts w:hint="eastAsia" w:ascii="仿宋_GB2312" w:eastAsia="仿宋_GB2312"/>
          <w:sz w:val="32"/>
          <w:szCs w:val="32"/>
        </w:rPr>
        <w:t>0.00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w:t>
      </w:r>
      <w:r>
        <w:rPr>
          <w:rFonts w:ascii="仿宋_GB2312" w:eastAsia="仿宋_GB2312"/>
          <w:sz w:val="32"/>
          <w:szCs w:val="32"/>
        </w:rPr>
        <w:t>20</w:t>
      </w:r>
      <w:r>
        <w:rPr>
          <w:rFonts w:hint="eastAsia" w:ascii="仿宋_GB2312" w:eastAsia="仿宋_GB2312"/>
          <w:sz w:val="32"/>
          <w:szCs w:val="32"/>
        </w:rPr>
        <w:t>20年增加</w:t>
      </w:r>
      <w:r>
        <w:rPr>
          <w:rFonts w:ascii="仿宋_GB2312" w:eastAsia="仿宋_GB2312"/>
          <w:sz w:val="32"/>
          <w:szCs w:val="32"/>
        </w:rPr>
        <w:t>/</w:t>
      </w:r>
      <w:r>
        <w:rPr>
          <w:rFonts w:hint="eastAsia" w:ascii="仿宋_GB2312" w:eastAsia="仿宋_GB2312"/>
          <w:sz w:val="32"/>
          <w:szCs w:val="32"/>
        </w:rPr>
        <w:t>减少0.00万元，增长</w:t>
      </w:r>
      <w:r>
        <w:rPr>
          <w:rFonts w:ascii="仿宋_GB2312" w:eastAsia="仿宋_GB2312"/>
          <w:sz w:val="32"/>
          <w:szCs w:val="32"/>
        </w:rPr>
        <w:t>/</w:t>
      </w:r>
      <w:r>
        <w:rPr>
          <w:rFonts w:hint="eastAsia" w:ascii="仿宋_GB2312" w:eastAsia="仿宋_GB2312"/>
          <w:sz w:val="32"/>
          <w:szCs w:val="32"/>
        </w:rPr>
        <w:t>下降0.00</w:t>
      </w:r>
      <w:r>
        <w:rPr>
          <w:rFonts w:ascii="仿宋_GB2312" w:eastAsia="仿宋_GB2312"/>
          <w:sz w:val="32"/>
          <w:szCs w:val="32"/>
        </w:rPr>
        <w:t>%</w:t>
      </w:r>
      <w:r>
        <w:rPr>
          <w:rFonts w:hint="eastAsia" w:ascii="仿宋_GB2312" w:eastAsia="仿宋_GB2312"/>
          <w:sz w:val="32"/>
          <w:szCs w:val="32"/>
        </w:rPr>
        <w:t>。主要原因是当年未安排因公出国（境）支出预算，无因公出国（境）支出。</w:t>
      </w:r>
    </w:p>
    <w:p>
      <w:pPr>
        <w:spacing w:line="560" w:lineRule="exact"/>
        <w:ind w:firstLine="640"/>
        <w:outlineLvl w:val="2"/>
        <w:rPr>
          <w:rFonts w:ascii="仿宋_GB2312" w:eastAsia="仿宋_GB2312"/>
          <w:sz w:val="32"/>
          <w:szCs w:val="32"/>
        </w:rPr>
      </w:pPr>
      <w:r>
        <w:rPr>
          <w:rFonts w:hint="eastAsia" w:ascii="仿宋_GB2312" w:eastAsia="仿宋_GB2312"/>
          <w:sz w:val="32"/>
          <w:szCs w:val="32"/>
        </w:rPr>
        <w:t>开支内容包括：本年度未安排因公出国。</w:t>
      </w:r>
    </w:p>
    <w:p>
      <w:pPr>
        <w:spacing w:line="560" w:lineRule="exact"/>
        <w:ind w:firstLine="640"/>
        <w:outlineLvl w:val="2"/>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0.00万元,</w:t>
      </w:r>
      <w:r>
        <w:rPr>
          <w:rStyle w:val="15"/>
          <w:rFonts w:hint="eastAsia" w:ascii="仿宋" w:hAnsi="仿宋" w:eastAsia="仿宋"/>
          <w:b w:val="0"/>
          <w:bCs/>
          <w:sz w:val="32"/>
          <w:szCs w:val="32"/>
        </w:rPr>
        <w:t>完成预算0.00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560" w:lineRule="exact"/>
        <w:ind w:firstLine="640" w:firstLineChars="200"/>
        <w:outlineLvl w:val="2"/>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0.00万元。全年按规定更新购置公务用车0辆，其中：轿车0辆、金额0.00万元，越野车0辆、金额0.00万元，载客汽车0辆、金额0.00万元。截至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pPr>
        <w:spacing w:line="560" w:lineRule="exact"/>
        <w:ind w:firstLine="640"/>
        <w:outlineLvl w:val="2"/>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pPr>
        <w:spacing w:line="560" w:lineRule="exact"/>
        <w:ind w:firstLine="642" w:firstLineChars="200"/>
        <w:outlineLvl w:val="2"/>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0.00万元，</w:t>
      </w:r>
      <w:r>
        <w:rPr>
          <w:rStyle w:val="15"/>
          <w:rFonts w:hint="eastAsia" w:ascii="仿宋" w:hAnsi="仿宋" w:eastAsia="仿宋"/>
          <w:b w:val="0"/>
          <w:bCs/>
          <w:sz w:val="32"/>
          <w:szCs w:val="32"/>
        </w:rPr>
        <w:t>完成预算0.00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560" w:lineRule="exact"/>
        <w:ind w:firstLine="640"/>
        <w:outlineLvl w:val="1"/>
        <w:rPr>
          <w:rStyle w:val="26"/>
          <w:rFonts w:ascii="黑体" w:hAnsi="黑体" w:eastAsia="黑体"/>
        </w:rPr>
      </w:pPr>
      <w:bookmarkStart w:id="44" w:name="_Toc15396610"/>
      <w:bookmarkStart w:id="45" w:name="_Toc21094"/>
      <w:bookmarkStart w:id="46" w:name="_Toc15377218"/>
      <w:r>
        <w:rPr>
          <w:rFonts w:hint="eastAsia" w:ascii="黑体" w:eastAsia="黑体"/>
          <w:sz w:val="32"/>
          <w:szCs w:val="32"/>
        </w:rPr>
        <w:t>八、</w:t>
      </w:r>
      <w:r>
        <w:rPr>
          <w:rStyle w:val="26"/>
          <w:rFonts w:hint="eastAsia" w:ascii="黑体" w:hAnsi="黑体" w:eastAsia="黑体"/>
          <w:b w:val="0"/>
        </w:rPr>
        <w:t>政府性基金预算支出决算情况说明</w:t>
      </w:r>
      <w:bookmarkEnd w:id="44"/>
      <w:bookmarkEnd w:id="45"/>
      <w:bookmarkEnd w:id="46"/>
    </w:p>
    <w:p>
      <w:pPr>
        <w:spacing w:line="560" w:lineRule="exact"/>
        <w:ind w:firstLine="640"/>
        <w:outlineLvl w:val="2"/>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21年政府性基金预算财政拨款支出0.00万元。</w:t>
      </w:r>
    </w:p>
    <w:p>
      <w:pPr>
        <w:numPr>
          <w:ilvl w:val="0"/>
          <w:numId w:val="2"/>
        </w:numPr>
        <w:spacing w:line="560" w:lineRule="exact"/>
        <w:ind w:firstLine="640"/>
        <w:outlineLvl w:val="1"/>
        <w:rPr>
          <w:rStyle w:val="26"/>
          <w:rFonts w:ascii="黑体" w:hAnsi="黑体" w:eastAsia="黑体"/>
          <w:b w:val="0"/>
        </w:rPr>
      </w:pPr>
      <w:bookmarkStart w:id="47" w:name="_Toc15396611"/>
      <w:bookmarkStart w:id="48" w:name="_Toc4469"/>
      <w:bookmarkStart w:id="49" w:name="_Toc15377219"/>
      <w:r>
        <w:rPr>
          <w:rStyle w:val="26"/>
          <w:rFonts w:hint="eastAsia" w:ascii="黑体" w:hAnsi="黑体" w:eastAsia="黑体"/>
          <w:b w:val="0"/>
        </w:rPr>
        <w:t>国有资本经营预算支出决算情况说明</w:t>
      </w:r>
      <w:bookmarkEnd w:id="47"/>
      <w:bookmarkEnd w:id="48"/>
      <w:bookmarkEnd w:id="49"/>
    </w:p>
    <w:p>
      <w:pPr>
        <w:spacing w:line="560" w:lineRule="exact"/>
        <w:ind w:firstLine="640"/>
        <w:outlineLvl w:val="2"/>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21年国有资本经营预算财政拨款支出0.00万元。</w:t>
      </w:r>
    </w:p>
    <w:p>
      <w:pPr>
        <w:numPr>
          <w:ilvl w:val="0"/>
          <w:numId w:val="2"/>
        </w:numPr>
        <w:spacing w:line="560" w:lineRule="exact"/>
        <w:ind w:firstLine="640"/>
        <w:outlineLvl w:val="1"/>
        <w:rPr>
          <w:rStyle w:val="26"/>
          <w:rFonts w:ascii="黑体" w:hAnsi="黑体" w:eastAsia="黑体"/>
          <w:b w:val="0"/>
        </w:rPr>
      </w:pPr>
      <w:bookmarkStart w:id="50" w:name="_Toc15377221"/>
      <w:bookmarkStart w:id="51" w:name="_Toc10003"/>
      <w:bookmarkStart w:id="52" w:name="_Toc15396612"/>
      <w:r>
        <w:rPr>
          <w:rStyle w:val="26"/>
          <w:rFonts w:hint="eastAsia" w:ascii="黑体" w:hAnsi="黑体" w:eastAsia="黑体"/>
          <w:b w:val="0"/>
        </w:rPr>
        <w:t>其他重要事项的情况说明</w:t>
      </w:r>
      <w:bookmarkEnd w:id="50"/>
      <w:bookmarkEnd w:id="51"/>
      <w:bookmarkEnd w:id="52"/>
    </w:p>
    <w:p>
      <w:pPr>
        <w:spacing w:line="560" w:lineRule="exact"/>
        <w:ind w:firstLine="640" w:firstLineChars="200"/>
        <w:outlineLvl w:val="2"/>
        <w:rPr>
          <w:rFonts w:ascii="楷体" w:hAnsi="楷体" w:eastAsia="楷体" w:cs="楷体"/>
          <w:bCs/>
          <w:sz w:val="32"/>
          <w:szCs w:val="32"/>
        </w:rPr>
      </w:pPr>
      <w:bookmarkStart w:id="53" w:name="_Toc15377222"/>
      <w:r>
        <w:rPr>
          <w:rFonts w:hint="eastAsia" w:ascii="楷体" w:hAnsi="楷体" w:eastAsia="楷体" w:cs="楷体"/>
          <w:bCs/>
          <w:sz w:val="32"/>
          <w:szCs w:val="32"/>
        </w:rPr>
        <w:t>（一）机关运行经费支出情况</w:t>
      </w:r>
      <w:bookmarkEnd w:id="53"/>
    </w:p>
    <w:p>
      <w:pPr>
        <w:spacing w:line="560" w:lineRule="exact"/>
        <w:ind w:firstLine="640" w:firstLineChars="200"/>
        <w:outlineLvl w:val="2"/>
        <w:rPr>
          <w:rFonts w:ascii="仿宋_GB2312" w:eastAsia="仿宋_GB2312"/>
          <w:color w:val="000000" w:themeColor="text1"/>
          <w:sz w:val="32"/>
          <w:szCs w:val="32"/>
          <w14:textFill>
            <w14:solidFill>
              <w14:schemeClr w14:val="tx1"/>
            </w14:solidFill>
          </w14:textFill>
        </w:rPr>
      </w:pPr>
      <w:r>
        <w:rPr>
          <w:rFonts w:ascii="仿宋_GB2312" w:eastAsia="仿宋_GB2312"/>
          <w:sz w:val="32"/>
          <w:szCs w:val="32"/>
        </w:rPr>
        <w:t>20</w:t>
      </w:r>
      <w:r>
        <w:rPr>
          <w:rFonts w:hint="eastAsia" w:ascii="仿宋_GB2312" w:eastAsia="仿宋_GB2312"/>
          <w:sz w:val="32"/>
          <w:szCs w:val="32"/>
        </w:rPr>
        <w:t>21年，学校机关运行经费支出0.00万元，比</w:t>
      </w:r>
      <w:r>
        <w:rPr>
          <w:rFonts w:ascii="仿宋_GB2312" w:eastAsia="仿宋_GB2312"/>
          <w:sz w:val="32"/>
          <w:szCs w:val="32"/>
        </w:rPr>
        <w:t>20</w:t>
      </w:r>
      <w:r>
        <w:rPr>
          <w:rFonts w:hint="eastAsia" w:ascii="仿宋_GB2312" w:eastAsia="仿宋_GB2312"/>
          <w:sz w:val="32"/>
          <w:szCs w:val="32"/>
        </w:rPr>
        <w:t>20年增加0.00万元，增长0.00</w:t>
      </w:r>
      <w:r>
        <w:rPr>
          <w:rFonts w:ascii="仿宋_GB2312" w:eastAsia="仿宋_GB2312"/>
          <w:sz w:val="32"/>
          <w:szCs w:val="32"/>
        </w:rPr>
        <w:t>%</w:t>
      </w:r>
      <w:r>
        <w:rPr>
          <w:rFonts w:hint="eastAsia" w:ascii="仿宋_GB2312" w:eastAsia="仿宋_GB2312"/>
          <w:sz w:val="32"/>
          <w:szCs w:val="32"/>
        </w:rPr>
        <w:t>。</w:t>
      </w:r>
    </w:p>
    <w:p>
      <w:pPr>
        <w:spacing w:line="560" w:lineRule="exact"/>
        <w:ind w:firstLine="642" w:firstLineChars="200"/>
        <w:outlineLvl w:val="2"/>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表，此表无数据。）</w:t>
      </w:r>
    </w:p>
    <w:p>
      <w:pPr>
        <w:spacing w:line="560" w:lineRule="exact"/>
        <w:ind w:firstLine="640" w:firstLineChars="200"/>
        <w:outlineLvl w:val="2"/>
        <w:rPr>
          <w:rFonts w:ascii="楷体" w:hAnsi="楷体" w:eastAsia="楷体" w:cs="楷体"/>
          <w:bCs/>
          <w:sz w:val="32"/>
          <w:szCs w:val="32"/>
        </w:rPr>
      </w:pPr>
      <w:bookmarkStart w:id="54" w:name="_Toc15377223"/>
      <w:r>
        <w:rPr>
          <w:rFonts w:hint="eastAsia" w:ascii="楷体" w:hAnsi="楷体" w:eastAsia="楷体" w:cs="楷体"/>
          <w:bCs/>
          <w:sz w:val="32"/>
          <w:szCs w:val="32"/>
        </w:rPr>
        <w:t>（二）政府采购支出情况</w:t>
      </w:r>
      <w:bookmarkEnd w:id="54"/>
    </w:p>
    <w:p>
      <w:pPr>
        <w:spacing w:line="560" w:lineRule="exact"/>
        <w:ind w:firstLine="640" w:firstLineChars="200"/>
        <w:outlineLvl w:val="2"/>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21年，东城实验初级中学校政府采购支出总额0.00万元，其中：政府采购货物支出0.00万元、政府采购工程支出0.00万元、政府采购服务支出0.00万元。授予中小企业合同金额0.00万元，占政府采购支出总额的0.00</w:t>
      </w:r>
      <w:r>
        <w:rPr>
          <w:rFonts w:ascii="仿宋_GB2312" w:eastAsia="仿宋_GB2312"/>
          <w:sz w:val="32"/>
          <w:szCs w:val="32"/>
        </w:rPr>
        <w:t>%</w:t>
      </w:r>
      <w:r>
        <w:rPr>
          <w:rFonts w:hint="eastAsia" w:ascii="仿宋_GB2312" w:eastAsia="仿宋_GB2312"/>
          <w:sz w:val="32"/>
          <w:szCs w:val="32"/>
        </w:rPr>
        <w:t>，其中：授予小微企业合同金额0.00万元，占政府采购支出总额的0.00</w:t>
      </w:r>
      <w:r>
        <w:rPr>
          <w:rFonts w:ascii="仿宋_GB2312" w:eastAsia="仿宋_GB2312"/>
          <w:sz w:val="32"/>
          <w:szCs w:val="32"/>
        </w:rPr>
        <w:t>%</w:t>
      </w:r>
      <w:r>
        <w:rPr>
          <w:rFonts w:hint="eastAsia" w:ascii="仿宋_GB2312" w:eastAsia="仿宋_GB2312"/>
          <w:sz w:val="32"/>
          <w:szCs w:val="32"/>
        </w:rPr>
        <w:t>。</w:t>
      </w:r>
    </w:p>
    <w:p>
      <w:pPr>
        <w:spacing w:line="560" w:lineRule="exact"/>
        <w:ind w:firstLine="642" w:firstLineChars="200"/>
        <w:outlineLvl w:val="2"/>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表，此表无数据。）</w:t>
      </w:r>
    </w:p>
    <w:p>
      <w:pPr>
        <w:spacing w:line="560" w:lineRule="exact"/>
        <w:ind w:firstLine="640" w:firstLineChars="200"/>
        <w:outlineLvl w:val="2"/>
        <w:rPr>
          <w:rFonts w:ascii="楷体" w:hAnsi="楷体" w:eastAsia="楷体" w:cs="楷体"/>
          <w:bCs/>
          <w:sz w:val="32"/>
          <w:szCs w:val="32"/>
        </w:rPr>
      </w:pPr>
      <w:bookmarkStart w:id="55" w:name="_Toc15377224"/>
      <w:r>
        <w:rPr>
          <w:rFonts w:hint="eastAsia" w:ascii="楷体" w:hAnsi="楷体" w:eastAsia="楷体" w:cs="楷体"/>
          <w:bCs/>
          <w:sz w:val="32"/>
          <w:szCs w:val="32"/>
        </w:rPr>
        <w:t>（三）国有资产占有使用情况</w:t>
      </w:r>
      <w:bookmarkEnd w:id="55"/>
    </w:p>
    <w:p>
      <w:pPr>
        <w:autoSpaceDE w:val="0"/>
        <w:autoSpaceDN w:val="0"/>
        <w:adjustRightInd w:val="0"/>
        <w:spacing w:line="560" w:lineRule="exact"/>
        <w:ind w:firstLine="640" w:firstLineChars="200"/>
        <w:jc w:val="left"/>
        <w:outlineLvl w:val="2"/>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日，东城实验初级中学校共有车辆0辆，其中：主要领导干部用车0辆、机要通信用车0辆、应急保障用车0辆、其他用车0辆,单价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56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表，此表无数据。）</w:t>
      </w:r>
    </w:p>
    <w:p>
      <w:pPr>
        <w:spacing w:line="560" w:lineRule="exact"/>
        <w:ind w:firstLine="640" w:firstLineChars="200"/>
        <w:outlineLvl w:val="2"/>
        <w:rPr>
          <w:rFonts w:ascii="楷体" w:hAnsi="楷体" w:eastAsia="楷体" w:cs="楷体"/>
          <w:bCs/>
          <w:sz w:val="32"/>
          <w:szCs w:val="32"/>
        </w:rPr>
      </w:pPr>
      <w:r>
        <w:rPr>
          <w:rFonts w:hint="eastAsia" w:ascii="楷体" w:hAnsi="楷体" w:eastAsia="楷体" w:cs="楷体"/>
          <w:bCs/>
          <w:sz w:val="32"/>
          <w:szCs w:val="32"/>
        </w:rPr>
        <w:t>（四）预算绩效管理情况</w:t>
      </w:r>
    </w:p>
    <w:p>
      <w:pPr>
        <w:spacing w:line="56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2021年度预算编制阶段，组织对标准化考点运行维护项目等4个项目开展了预算事前绩效评估，对4个项目编制了绩效目标，预算执行过程中，选取4个项目开展绩效监控，年终执行完毕后，对4个项目开展了绩效自评，2021年特定目标类部门预算项目绩效目标自评表见附件（第四部分）。</w:t>
      </w:r>
    </w:p>
    <w:p>
      <w:pPr>
        <w:autoSpaceDE w:val="0"/>
        <w:autoSpaceDN w:val="0"/>
        <w:adjustRightInd w:val="0"/>
        <w:spacing w:line="560" w:lineRule="exact"/>
        <w:ind w:firstLine="642" w:firstLineChars="200"/>
        <w:outlineLvl w:val="2"/>
        <w:rPr>
          <w:rFonts w:ascii="仿宋" w:hAnsi="仿宋" w:eastAsia="仿宋"/>
          <w:b/>
          <w:sz w:val="32"/>
          <w:szCs w:val="32"/>
        </w:rPr>
      </w:pPr>
      <w:r>
        <w:rPr>
          <w:rFonts w:hint="eastAsia" w:ascii="仿宋" w:hAnsi="仿宋" w:eastAsia="仿宋"/>
          <w:b/>
          <w:sz w:val="32"/>
          <w:szCs w:val="32"/>
        </w:rPr>
        <w:t>（</w:t>
      </w:r>
      <w:r>
        <w:rPr>
          <w:rFonts w:hint="eastAsia" w:ascii="仿宋" w:hAnsi="仿宋" w:eastAsia="仿宋"/>
          <w:b/>
          <w:sz w:val="30"/>
          <w:szCs w:val="30"/>
        </w:rPr>
        <w:t>注：单位</w:t>
      </w:r>
      <w:r>
        <w:rPr>
          <w:rFonts w:hint="eastAsia" w:ascii="仿宋_GB2312" w:hAnsi="仿宋_GB2312" w:eastAsia="仿宋_GB2312" w:cs="仿宋_GB2312"/>
          <w:b/>
          <w:sz w:val="30"/>
          <w:szCs w:val="30"/>
        </w:rPr>
        <w:t>2021年特定目标类部门预算项目绩效目标自评表为本部门2021年部门整体支出绩效评价报告中涉及本单位的附表</w:t>
      </w:r>
      <w:r>
        <w:rPr>
          <w:rFonts w:hint="eastAsia" w:ascii="仿宋" w:hAnsi="仿宋" w:eastAsia="仿宋"/>
          <w:b/>
          <w:sz w:val="30"/>
          <w:szCs w:val="30"/>
        </w:rPr>
        <w:t>）</w:t>
      </w:r>
    </w:p>
    <w:p>
      <w:pPr>
        <w:pStyle w:val="6"/>
        <w:spacing w:before="72"/>
        <w:rPr>
          <w:highlight w:val="yellow"/>
        </w:rPr>
      </w:pP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25"/>
          <w:rFonts w:ascii="黑体" w:hAnsi="黑体" w:eastAsia="黑体"/>
          <w:b w:val="0"/>
        </w:rPr>
      </w:pPr>
      <w:bookmarkStart w:id="56" w:name="_Toc15377225"/>
      <w:bookmarkStart w:id="57" w:name="_Toc15396613"/>
      <w:bookmarkStart w:id="58" w:name="_Toc32389"/>
      <w:r>
        <w:rPr>
          <w:rFonts w:hint="eastAsia" w:ascii="黑体" w:hAnsi="黑体" w:eastAsia="黑体"/>
          <w:sz w:val="44"/>
          <w:szCs w:val="44"/>
        </w:rPr>
        <w:t>名</w:t>
      </w:r>
      <w:r>
        <w:rPr>
          <w:rStyle w:val="25"/>
          <w:rFonts w:hint="eastAsia" w:ascii="黑体" w:hAnsi="黑体" w:eastAsia="黑体"/>
          <w:b w:val="0"/>
        </w:rPr>
        <w:t>词解释</w:t>
      </w:r>
      <w:bookmarkEnd w:id="56"/>
      <w:bookmarkEnd w:id="57"/>
      <w:bookmarkEnd w:id="58"/>
    </w:p>
    <w:p>
      <w:pPr>
        <w:snapToGrid w:val="0"/>
        <w:spacing w:line="560" w:lineRule="exact"/>
        <w:jc w:val="left"/>
        <w:rPr>
          <w:rFonts w:ascii="宋体"/>
          <w:b/>
          <w:sz w:val="44"/>
          <w:szCs w:val="44"/>
        </w:rPr>
      </w:pPr>
    </w:p>
    <w:p>
      <w:pPr>
        <w:pStyle w:val="23"/>
        <w:snapToGrid w:val="0"/>
        <w:spacing w:line="560" w:lineRule="exact"/>
        <w:ind w:firstLine="640" w:firstLineChars="200"/>
        <w:outlineLvl w:val="1"/>
        <w:rPr>
          <w:rFonts w:ascii="仿宋_GB2312" w:eastAsia="仿宋_GB2312"/>
          <w:color w:val="auto"/>
          <w:sz w:val="32"/>
          <w:szCs w:val="32"/>
        </w:rPr>
      </w:pPr>
      <w:bookmarkStart w:id="59" w:name="_Toc15680"/>
      <w:r>
        <w:rPr>
          <w:rFonts w:hint="eastAsia" w:ascii="仿宋_GB2312" w:eastAsia="仿宋_GB2312"/>
          <w:color w:val="auto"/>
          <w:sz w:val="32"/>
          <w:szCs w:val="32"/>
        </w:rPr>
        <w:t>1.财</w:t>
      </w:r>
      <w:r>
        <w:rPr>
          <w:rFonts w:hint="eastAsia" w:ascii="仿宋_GB2312" w:eastAsia="仿宋_GB2312"/>
          <w:color w:val="auto"/>
          <w:spacing w:val="-6"/>
          <w:sz w:val="32"/>
          <w:szCs w:val="32"/>
        </w:rPr>
        <w:t>政拨款收入：指单位从同级财政部门取得的财政预算资金</w:t>
      </w:r>
      <w:r>
        <w:rPr>
          <w:rFonts w:hint="eastAsia" w:ascii="仿宋_GB2312" w:eastAsia="仿宋_GB2312"/>
          <w:color w:val="auto"/>
          <w:sz w:val="32"/>
          <w:szCs w:val="32"/>
        </w:rPr>
        <w:t>。</w:t>
      </w:r>
      <w:bookmarkEnd w:id="59"/>
    </w:p>
    <w:p>
      <w:pPr>
        <w:pStyle w:val="23"/>
        <w:snapToGrid w:val="0"/>
        <w:spacing w:line="560" w:lineRule="exact"/>
        <w:ind w:firstLine="640" w:firstLineChars="200"/>
        <w:outlineLvl w:val="1"/>
        <w:rPr>
          <w:rFonts w:ascii="仿宋_GB2312" w:eastAsia="仿宋_GB2312"/>
          <w:color w:val="auto"/>
          <w:sz w:val="32"/>
          <w:szCs w:val="32"/>
        </w:rPr>
      </w:pPr>
      <w:bookmarkStart w:id="60" w:name="_Toc18447"/>
      <w:r>
        <w:rPr>
          <w:rFonts w:hint="eastAsia" w:ascii="仿宋_GB2312" w:eastAsia="仿宋_GB2312"/>
          <w:color w:val="auto"/>
          <w:sz w:val="32"/>
          <w:szCs w:val="32"/>
        </w:rPr>
        <w:t>2.事业收入：指事业单位开展专业业务活动及辅助活动取得的收入。</w:t>
      </w:r>
      <w:bookmarkEnd w:id="60"/>
    </w:p>
    <w:p>
      <w:pPr>
        <w:pStyle w:val="23"/>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3.经营收入：指事业单位在专业业务活动及其辅助活动之外开展非独立核算经营活动取得的收入。。</w:t>
      </w:r>
    </w:p>
    <w:p>
      <w:pPr>
        <w:pStyle w:val="23"/>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 xml:space="preserve">4.其他收入：指单位取得的除上述收入以外的各项收入。主要是学前教育保育教育费收入、银行存款利息收入等。 </w:t>
      </w:r>
    </w:p>
    <w:p>
      <w:pPr>
        <w:pStyle w:val="23"/>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3"/>
        <w:snapToGrid w:val="0"/>
        <w:spacing w:line="560" w:lineRule="exact"/>
        <w:ind w:firstLine="640" w:firstLineChars="200"/>
        <w:outlineLvl w:val="1"/>
        <w:rPr>
          <w:rFonts w:ascii="仿宋_GB2312" w:eastAsia="仿宋_GB2312"/>
          <w:color w:val="auto"/>
          <w:sz w:val="32"/>
          <w:szCs w:val="32"/>
        </w:rPr>
      </w:pPr>
      <w:bookmarkStart w:id="61" w:name="_Toc20496"/>
      <w:r>
        <w:rPr>
          <w:rFonts w:hint="eastAsia" w:ascii="仿宋_GB2312" w:eastAsia="仿宋_GB2312"/>
          <w:color w:val="auto"/>
          <w:sz w:val="32"/>
          <w:szCs w:val="32"/>
        </w:rPr>
        <w:t>6.年初结转和结余：指以前年度尚未完成、结转到本年按有关规定继续使用的资金。</w:t>
      </w:r>
      <w:bookmarkEnd w:id="61"/>
      <w:r>
        <w:rPr>
          <w:rFonts w:hint="eastAsia" w:ascii="仿宋_GB2312" w:eastAsia="仿宋_GB2312"/>
          <w:color w:val="auto"/>
          <w:sz w:val="32"/>
          <w:szCs w:val="32"/>
        </w:rPr>
        <w:t xml:space="preserve"> </w:t>
      </w:r>
    </w:p>
    <w:p>
      <w:pPr>
        <w:pStyle w:val="23"/>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7.结余分配：指事业单位按照事业单位会计制度的规定从非财政补助结余中分配的事业基金和职工福利基金等。</w:t>
      </w:r>
    </w:p>
    <w:p>
      <w:pPr>
        <w:pStyle w:val="23"/>
        <w:snapToGrid w:val="0"/>
        <w:spacing w:line="560" w:lineRule="exact"/>
        <w:ind w:firstLine="640" w:firstLineChars="200"/>
        <w:outlineLvl w:val="1"/>
        <w:rPr>
          <w:rFonts w:ascii="仿宋_GB2312" w:eastAsia="仿宋_GB2312"/>
          <w:color w:val="auto"/>
          <w:sz w:val="32"/>
          <w:szCs w:val="32"/>
        </w:rPr>
      </w:pPr>
      <w:bookmarkStart w:id="62" w:name="_Toc1650"/>
      <w:r>
        <w:rPr>
          <w:rFonts w:hint="eastAsia" w:ascii="仿宋_GB2312" w:eastAsia="仿宋_GB2312"/>
          <w:color w:val="auto"/>
          <w:sz w:val="32"/>
          <w:szCs w:val="32"/>
        </w:rPr>
        <w:t>8、年末结转和结余：指单位按有关规定结转到下年或以后年度继续使用的资金。</w:t>
      </w:r>
      <w:bookmarkEnd w:id="62"/>
    </w:p>
    <w:p>
      <w:pPr>
        <w:pStyle w:val="23"/>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9.教育支出（类）教育管理事务（款）行政运行（项）:反映教育行政单位（包括实行公务员管理的事业单位）的基本支出</w:t>
      </w:r>
    </w:p>
    <w:p>
      <w:pPr>
        <w:pStyle w:val="23"/>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10. 教育支出（类）教育管理事务（款）一般行政管理事务（项）:反映行政单位（包括实行公务员管理的事业单位）未单独设置项级科目的其它项目支出。</w:t>
      </w:r>
    </w:p>
    <w:p>
      <w:pPr>
        <w:pStyle w:val="23"/>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11. 教育支出（类）教育管理事务（款）其它教育管理事务支出（项）:反映除上述项目以外其它用户教育管理事务方面的支出。</w:t>
      </w:r>
    </w:p>
    <w:p>
      <w:pPr>
        <w:pStyle w:val="23"/>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12. 教育支出（类）普通教育（款）学前教育（项）:反映各部门举办的学前教育支出。</w:t>
      </w:r>
    </w:p>
    <w:p>
      <w:pPr>
        <w:pStyle w:val="23"/>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13. 教育支出（类）普通教育（款）小学教育（项）:反映各部门举办的小学教育支出。政府各部门对社会中介组织等举办的小学的资助，如各类捐赠、补贴等，也在本科目中反映。</w:t>
      </w:r>
    </w:p>
    <w:p>
      <w:pPr>
        <w:pStyle w:val="23"/>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14. 教育支出（类）普通教育（款）初中教育（项）: 反映各部门举办的初中教育支出。政府各部门对社会中介组织等举办的初中教育的资助，如捐赠、补贴等，也在本科目中反映。</w:t>
      </w:r>
    </w:p>
    <w:p>
      <w:pPr>
        <w:pStyle w:val="23"/>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15. 教育支出（类）普通教育（款）高中教育（项）: 反映各部门举办的高级中学教育支出。政府各部门对社会中介组织等举办的高级中学的资助，如捐赠、补贴等，也在本科目中反映。</w:t>
      </w:r>
    </w:p>
    <w:p>
      <w:pPr>
        <w:pStyle w:val="23"/>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16. 教育支出（类）普通教育（款）其它普通教育（项）: 反映除上述项目以外其他用于普通教育方面的支出。</w:t>
      </w:r>
    </w:p>
    <w:p>
      <w:pPr>
        <w:pStyle w:val="23"/>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17. 教育支出（类）职业教育（款）职业高中教育（项）: 反映各部门举办的职业中学、农业中学（含普通高中改制的）、半工（农）半读中学的支出或补助费</w:t>
      </w:r>
    </w:p>
    <w:p>
      <w:pPr>
        <w:pStyle w:val="23"/>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18. 教育</w:t>
      </w:r>
      <w:r>
        <w:rPr>
          <w:rFonts w:hint="eastAsia" w:ascii="仿宋_GB2312" w:eastAsia="仿宋_GB2312"/>
          <w:color w:val="auto"/>
          <w:spacing w:val="-6"/>
          <w:sz w:val="32"/>
          <w:szCs w:val="32"/>
        </w:rPr>
        <w:t>支出（类）职业教育（款）高等职业教育（项）:反映经国家批准设立的高等职业大学、专科职业教育等方面的</w:t>
      </w:r>
      <w:r>
        <w:rPr>
          <w:rFonts w:hint="eastAsia" w:ascii="仿宋_GB2312" w:eastAsia="仿宋_GB2312"/>
          <w:color w:val="auto"/>
          <w:sz w:val="32"/>
          <w:szCs w:val="32"/>
        </w:rPr>
        <w:t>支出。</w:t>
      </w:r>
    </w:p>
    <w:p>
      <w:pPr>
        <w:pStyle w:val="23"/>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19. 教育支出（类）特殊教育（款）特殊学校教育（项）: 指各部门举办的盲童学校、聋哑学校、智力落后儿童学校、其它生理缺陷儿童学校的支出。</w:t>
      </w:r>
    </w:p>
    <w:p>
      <w:pPr>
        <w:pStyle w:val="23"/>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20. 教育支出（类）特殊教育（款）工读学校教育（项）:指各部门举办的工读学校的支出。</w:t>
      </w:r>
    </w:p>
    <w:p>
      <w:pPr>
        <w:pStyle w:val="23"/>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21. 教育支出（类）教育附加费安排的支出（款）农村中小学校舍建设（项）:反映教育附加费安排用于农村中小学校舍新建、改建、修缮和维护的支出。</w:t>
      </w:r>
    </w:p>
    <w:p>
      <w:pPr>
        <w:pStyle w:val="23"/>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22. 教育支出（类）教育附加费安排的支出（款）城市中小学校舍建设（项）: 反映教育附加费安排用于城市中小学校舍新建、改建、修缮和维护的支出。</w:t>
      </w:r>
    </w:p>
    <w:p>
      <w:pPr>
        <w:pStyle w:val="23"/>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23. 教育支出（类）教育附加费安排的支出（款）其它教育附加费安排的支出（项）: 指除上述项目以外的教育附加费支出。</w:t>
      </w:r>
    </w:p>
    <w:p>
      <w:pPr>
        <w:pStyle w:val="23"/>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24. 教育支出（类）其它教育支出（款）其他教育支出（项）: 指上述项目以外其他用于教育方面的支出。</w:t>
      </w:r>
    </w:p>
    <w:p>
      <w:pPr>
        <w:pStyle w:val="23"/>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25. 社会保障和就业支出（类）行政事业单位离退休（款）机关事业单位基本养老保险缴费支出（项）: 指机关事业单位实施养老保险制度由单位缴纳的基本养老保险费支出。</w:t>
      </w:r>
    </w:p>
    <w:p>
      <w:pPr>
        <w:pStyle w:val="23"/>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26. 社会保障和就业支出（类）行政事业单位离退休（款）机关事业单位职业年金缴费支出（项）: 指机关事业单位实施养老保险制度由单位实际缴纳的职业年金支出。</w:t>
      </w:r>
    </w:p>
    <w:p>
      <w:pPr>
        <w:pStyle w:val="23"/>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27. 社会保障和就业支出（类）抚恤（款）死亡抚恤（项）: 指按规定用于烈士和牺牲、病故人员家属的一次性和定期抚恤金以及丧葬补助费。</w:t>
      </w:r>
    </w:p>
    <w:p>
      <w:pPr>
        <w:pStyle w:val="23"/>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28. 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p>
    <w:p>
      <w:pPr>
        <w:pStyle w:val="23"/>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29. 医疗卫生与计划生育（类）行政事业单位医疗（款）事业单位医疗（项）: 指财政部门安排的事业单位基本医疗保险缴费经费，未参加医疗保险的事业单位的公费医疗经费，按国家规定享受离休人员待遇的医疗经费。</w:t>
      </w:r>
    </w:p>
    <w:p>
      <w:pPr>
        <w:pStyle w:val="23"/>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30. 农林水支出（类）扶贫（款）其它扶贫支出（项）: 指除上述项目以外其他用于扶贫方面的支出。</w:t>
      </w:r>
    </w:p>
    <w:p>
      <w:pPr>
        <w:pStyle w:val="23"/>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31. 住房保障支出（类）住房改革支出（款）住房公积金（项）: 指行政事业单位按人力资源和社会保障部、财政部规定的基本工资和津贴补贴以及规定比例为职工缴纳的住房公积金。</w:t>
      </w:r>
    </w:p>
    <w:p>
      <w:pPr>
        <w:pStyle w:val="23"/>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32. 其他支出（类）其他支出（款）其他支出（项）: 指上述项目以外其他不能划分到具体功能科目中的支出项目。</w:t>
      </w:r>
    </w:p>
    <w:p>
      <w:pPr>
        <w:pStyle w:val="23"/>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33. 基本支出：指为保障机构正常运转、完成日常工作任务而发生的人员支出和公用支出。</w:t>
      </w:r>
    </w:p>
    <w:p>
      <w:pPr>
        <w:pStyle w:val="23"/>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 xml:space="preserve">34. 项目支出：指在基本支出之外为完成特定行政任务和事业发展目标所发生的支出。 </w:t>
      </w:r>
    </w:p>
    <w:p>
      <w:pPr>
        <w:pStyle w:val="23"/>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35. 经营支出：指事业单位在专业业务活动及其辅助活动之外开展非独立核算经营活动发生的支出。</w:t>
      </w:r>
    </w:p>
    <w:p>
      <w:pPr>
        <w:pStyle w:val="23"/>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36. “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napToGrid w:val="0"/>
        <w:spacing w:line="560" w:lineRule="exact"/>
        <w:ind w:firstLine="640" w:firstLineChars="200"/>
        <w:outlineLvl w:val="2"/>
        <w:rPr>
          <w:rFonts w:ascii="仿宋_GB2312" w:eastAsia="仿宋_GB2312"/>
          <w:sz w:val="32"/>
          <w:szCs w:val="32"/>
        </w:rPr>
      </w:pPr>
      <w:r>
        <w:rPr>
          <w:rFonts w:hint="eastAsia" w:ascii="仿宋_GB2312" w:eastAsia="仿宋_GB2312"/>
          <w:sz w:val="32"/>
          <w:szCs w:val="32"/>
        </w:rPr>
        <w:t>37. 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napToGrid w:val="0"/>
        <w:spacing w:line="560" w:lineRule="exact"/>
        <w:ind w:firstLine="640"/>
        <w:outlineLvl w:val="2"/>
        <w:rPr>
          <w:rFonts w:ascii="仿宋" w:hAnsi="仿宋" w:eastAsia="仿宋"/>
          <w:b/>
          <w:sz w:val="32"/>
          <w:szCs w:val="32"/>
        </w:rPr>
      </w:pPr>
      <w:r>
        <w:rPr>
          <w:rFonts w:hint="eastAsia" w:ascii="仿宋" w:hAnsi="仿宋" w:eastAsia="仿宋"/>
          <w:b/>
          <w:sz w:val="32"/>
          <w:szCs w:val="32"/>
        </w:rPr>
        <w:t>（解释本单位决算报表中涉及的全部功能分类科目至项级，不涉及的科目请自行删除。请参照《</w:t>
      </w:r>
      <w:r>
        <w:rPr>
          <w:rFonts w:ascii="仿宋" w:hAnsi="仿宋" w:eastAsia="仿宋"/>
          <w:b/>
          <w:sz w:val="32"/>
          <w:szCs w:val="32"/>
        </w:rPr>
        <w:t>20</w:t>
      </w:r>
      <w:r>
        <w:rPr>
          <w:rFonts w:hint="eastAsia" w:ascii="仿宋" w:hAnsi="仿宋" w:eastAsia="仿宋"/>
          <w:b/>
          <w:sz w:val="32"/>
          <w:szCs w:val="32"/>
        </w:rPr>
        <w:t>21年政府收支分类科目》增减内容。）</w:t>
      </w:r>
    </w:p>
    <w:p>
      <w:pPr>
        <w:snapToGrid w:val="0"/>
        <w:spacing w:line="560" w:lineRule="exact"/>
        <w:ind w:firstLine="642" w:firstLineChars="200"/>
        <w:outlineLvl w:val="2"/>
        <w:rPr>
          <w:rFonts w:ascii="仿宋" w:hAnsi="仿宋" w:eastAsia="仿宋"/>
          <w:b/>
          <w:sz w:val="32"/>
          <w:szCs w:val="32"/>
        </w:rPr>
      </w:pPr>
      <w:r>
        <w:rPr>
          <w:rFonts w:hint="eastAsia" w:ascii="仿宋" w:hAnsi="仿宋" w:eastAsia="仿宋"/>
          <w:b/>
          <w:sz w:val="32"/>
          <w:szCs w:val="32"/>
        </w:rPr>
        <w:t>（名词解释部分请根据各单位实际列支情况罗列，并根据本单位职责职能增减名词解释内容。）</w:t>
      </w:r>
    </w:p>
    <w:p>
      <w:pPr>
        <w:numPr>
          <w:ilvl w:val="0"/>
          <w:numId w:val="3"/>
        </w:numPr>
        <w:spacing w:line="600" w:lineRule="exact"/>
        <w:jc w:val="center"/>
        <w:outlineLvl w:val="0"/>
        <w:rPr>
          <w:rStyle w:val="25"/>
          <w:rFonts w:ascii="黑体" w:hAnsi="黑体" w:eastAsia="黑体"/>
          <w:b w:val="0"/>
        </w:rPr>
      </w:pPr>
      <w:bookmarkStart w:id="63" w:name="_Toc15377226"/>
      <w:r>
        <w:rPr>
          <w:rFonts w:ascii="宋体"/>
          <w:b/>
          <w:sz w:val="44"/>
          <w:szCs w:val="44"/>
        </w:rPr>
        <w:br w:type="page"/>
      </w:r>
      <w:bookmarkEnd w:id="63"/>
      <w:bookmarkStart w:id="64" w:name="_Toc15396614"/>
      <w:bookmarkStart w:id="65" w:name="_Toc24843"/>
      <w:r>
        <w:rPr>
          <w:rStyle w:val="25"/>
          <w:rFonts w:hint="eastAsia" w:ascii="黑体" w:hAnsi="黑体" w:eastAsia="黑体"/>
          <w:b w:val="0"/>
        </w:rPr>
        <w:t>附件</w:t>
      </w:r>
      <w:bookmarkEnd w:id="64"/>
      <w:bookmarkEnd w:id="65"/>
    </w:p>
    <w:p>
      <w:pPr>
        <w:outlineLvl w:val="1"/>
        <w:rPr>
          <w:rFonts w:eastAsia="仿宋_GB2312"/>
        </w:rPr>
      </w:pPr>
      <w:bookmarkStart w:id="66" w:name="_Toc23859"/>
      <w:r>
        <w:rPr>
          <w:rFonts w:hint="eastAsia"/>
        </w:rPr>
        <w:t>附件1：</w:t>
      </w:r>
      <w:bookmarkEnd w:id="66"/>
    </w:p>
    <w:p>
      <w:pPr>
        <w:widowControl/>
        <w:spacing w:line="580" w:lineRule="exact"/>
        <w:contextualSpacing/>
        <w:jc w:val="center"/>
        <w:outlineLvl w:val="2"/>
        <w:rPr>
          <w:rFonts w:ascii="方正小标宋简体" w:hAnsi="宋体" w:eastAsia="方正小标宋简体"/>
          <w:sz w:val="44"/>
          <w:szCs w:val="44"/>
          <w:shd w:val="clear" w:color="auto" w:fill="FFFFFF"/>
        </w:rPr>
      </w:pPr>
      <w:r>
        <w:rPr>
          <w:rFonts w:hint="eastAsia" w:ascii="方正小标宋简体" w:hAnsi="宋体" w:eastAsia="方正小标宋简体"/>
          <w:sz w:val="44"/>
          <w:szCs w:val="44"/>
          <w:shd w:val="clear" w:color="auto" w:fill="FFFFFF"/>
        </w:rPr>
        <w:t>广元市利州区东城实验初级中学</w:t>
      </w:r>
    </w:p>
    <w:p>
      <w:pPr>
        <w:widowControl/>
        <w:spacing w:line="580" w:lineRule="exact"/>
        <w:contextualSpacing/>
        <w:jc w:val="center"/>
        <w:outlineLvl w:val="2"/>
        <w:rPr>
          <w:rFonts w:ascii="方正小标宋简体" w:hAnsi="宋体" w:eastAsia="方正小标宋简体"/>
          <w:sz w:val="44"/>
          <w:szCs w:val="44"/>
          <w:shd w:val="clear" w:color="auto" w:fill="FFFFFF"/>
        </w:rPr>
      </w:pPr>
      <w:r>
        <w:rPr>
          <w:rFonts w:hint="eastAsia" w:ascii="方正小标宋简体" w:hAnsi="宋体" w:eastAsia="方正小标宋简体"/>
          <w:sz w:val="44"/>
          <w:szCs w:val="44"/>
          <w:shd w:val="clear" w:color="auto" w:fill="FFFFFF"/>
        </w:rPr>
        <w:t>2021年部门整体支出绩效评价报告</w:t>
      </w:r>
    </w:p>
    <w:p>
      <w:pPr>
        <w:pStyle w:val="6"/>
        <w:snapToGrid w:val="0"/>
        <w:spacing w:beforeLines="0" w:line="540" w:lineRule="exact"/>
      </w:pPr>
    </w:p>
    <w:p>
      <w:pPr>
        <w:snapToGrid w:val="0"/>
        <w:spacing w:line="540" w:lineRule="exact"/>
        <w:ind w:firstLine="640" w:firstLineChars="200"/>
        <w:contextualSpacing/>
        <w:outlineLvl w:val="2"/>
        <w:rPr>
          <w:rFonts w:ascii="仿宋_GB2312" w:hAnsi="Calibri" w:eastAsia="仿宋_GB2312" w:cs="仿宋"/>
          <w:kern w:val="0"/>
          <w:sz w:val="32"/>
          <w:szCs w:val="32"/>
        </w:rPr>
      </w:pPr>
      <w:r>
        <w:rPr>
          <w:rFonts w:hint="eastAsia" w:ascii="仿宋_GB2312" w:hAnsi="Calibri" w:eastAsia="仿宋_GB2312" w:cs="仿宋"/>
          <w:kern w:val="0"/>
          <w:sz w:val="32"/>
          <w:szCs w:val="32"/>
        </w:rPr>
        <w:t>根据广元市利州区财政局《关于开展2022年部门、政策和项目支出绩效评价工作的通知》（广利财发〔2022〕7号）要求，我校高度重视，及时组织各处室（中心）对2021年度我校整体支出绩效评价进行了自评，现将有关情况报告如下：</w:t>
      </w:r>
    </w:p>
    <w:p>
      <w:pPr>
        <w:numPr>
          <w:ilvl w:val="0"/>
          <w:numId w:val="4"/>
        </w:numPr>
        <w:adjustRightInd w:val="0"/>
        <w:snapToGrid w:val="0"/>
        <w:spacing w:line="540" w:lineRule="exact"/>
        <w:ind w:firstLine="640"/>
        <w:contextualSpacing/>
        <w:outlineLvl w:val="1"/>
        <w:rPr>
          <w:rFonts w:ascii="方正黑体简体" w:hAnsi="宋体" w:eastAsia="方正黑体简体" w:cs="宋体"/>
          <w:color w:val="000000"/>
          <w:kern w:val="0"/>
          <w:sz w:val="32"/>
          <w:szCs w:val="32"/>
          <w:shd w:val="clear" w:color="auto" w:fill="FFFFFF"/>
          <w:lang w:val="zh-CN"/>
        </w:rPr>
      </w:pPr>
      <w:bookmarkStart w:id="67" w:name="_Toc30037"/>
      <w:r>
        <w:rPr>
          <w:rFonts w:hint="eastAsia" w:ascii="方正黑体简体" w:hAnsi="宋体" w:eastAsia="方正黑体简体" w:cs="宋体"/>
          <w:color w:val="000000"/>
          <w:kern w:val="0"/>
          <w:sz w:val="32"/>
          <w:szCs w:val="32"/>
          <w:shd w:val="clear" w:color="auto" w:fill="FFFFFF"/>
          <w:lang w:val="zh-CN"/>
        </w:rPr>
        <w:t>部门（单位）概况</w:t>
      </w:r>
      <w:bookmarkEnd w:id="67"/>
    </w:p>
    <w:p>
      <w:pPr>
        <w:snapToGrid w:val="0"/>
        <w:spacing w:line="540" w:lineRule="exact"/>
        <w:ind w:firstLine="640" w:firstLineChars="200"/>
        <w:outlineLvl w:val="2"/>
        <w:rPr>
          <w:rFonts w:ascii="楷体" w:hAnsi="楷体" w:eastAsia="楷体" w:cs="楷体"/>
          <w:sz w:val="32"/>
          <w:szCs w:val="32"/>
        </w:rPr>
      </w:pPr>
      <w:r>
        <w:rPr>
          <w:rFonts w:hint="eastAsia" w:ascii="楷体" w:hAnsi="楷体" w:eastAsia="楷体" w:cs="楷体"/>
          <w:sz w:val="32"/>
          <w:szCs w:val="32"/>
        </w:rPr>
        <w:t>（一）机构组成</w:t>
      </w:r>
    </w:p>
    <w:p>
      <w:pPr>
        <w:pStyle w:val="6"/>
        <w:adjustRightInd w:val="0"/>
        <w:snapToGrid w:val="0"/>
        <w:spacing w:beforeLines="0" w:line="576" w:lineRule="exact"/>
        <w:ind w:firstLine="640" w:firstLineChars="200"/>
        <w:outlineLvl w:val="2"/>
        <w:rPr>
          <w:sz w:val="32"/>
          <w:szCs w:val="32"/>
        </w:rPr>
      </w:pPr>
      <w:r>
        <w:rPr>
          <w:rFonts w:hint="eastAsia"/>
          <w:sz w:val="32"/>
          <w:szCs w:val="32"/>
        </w:rPr>
        <w:t>广元市东城实验初级中学下设各处室12个，分别是党政办公室、教务处、政教处、总务处、安全办公室、教科室、团委、社工部、工会办公室、艺体中心、电教室、财务室。</w:t>
      </w:r>
    </w:p>
    <w:p>
      <w:pPr>
        <w:snapToGrid w:val="0"/>
        <w:spacing w:line="540" w:lineRule="exact"/>
        <w:ind w:firstLine="640" w:firstLineChars="200"/>
        <w:outlineLvl w:val="2"/>
        <w:rPr>
          <w:rFonts w:ascii="楷体" w:hAnsi="楷体" w:eastAsia="楷体" w:cs="楷体"/>
          <w:sz w:val="32"/>
          <w:szCs w:val="32"/>
        </w:rPr>
      </w:pPr>
      <w:r>
        <w:rPr>
          <w:rFonts w:hint="eastAsia" w:ascii="楷体" w:hAnsi="楷体" w:eastAsia="楷体" w:cs="楷体"/>
          <w:sz w:val="32"/>
          <w:szCs w:val="32"/>
        </w:rPr>
        <w:t>（二）机构职能</w:t>
      </w:r>
    </w:p>
    <w:p>
      <w:pPr>
        <w:snapToGrid w:val="0"/>
        <w:spacing w:line="520" w:lineRule="exact"/>
        <w:ind w:firstLine="640" w:firstLineChars="200"/>
        <w:rPr>
          <w:rFonts w:ascii="仿宋_GB2312" w:eastAsia="仿宋_GB2312"/>
          <w:kern w:val="0"/>
          <w:sz w:val="32"/>
          <w:szCs w:val="32"/>
        </w:rPr>
      </w:pPr>
      <w:r>
        <w:rPr>
          <w:rFonts w:hint="eastAsia" w:ascii="仿宋_GB2312" w:eastAsia="仿宋_GB2312"/>
          <w:kern w:val="0"/>
          <w:sz w:val="32"/>
          <w:szCs w:val="32"/>
        </w:rPr>
        <w:t>促进基础教育发展，实施初中学历教育。</w:t>
      </w:r>
    </w:p>
    <w:p>
      <w:pPr>
        <w:snapToGrid w:val="0"/>
        <w:spacing w:line="540" w:lineRule="exact"/>
        <w:ind w:firstLine="640" w:firstLineChars="200"/>
        <w:outlineLvl w:val="2"/>
        <w:rPr>
          <w:rFonts w:ascii="楷体" w:hAnsi="楷体" w:eastAsia="楷体" w:cs="楷体"/>
          <w:sz w:val="32"/>
          <w:szCs w:val="32"/>
          <w:lang w:val="zh-CN"/>
        </w:rPr>
      </w:pPr>
      <w:r>
        <w:rPr>
          <w:rFonts w:hint="eastAsia" w:ascii="楷体" w:hAnsi="楷体" w:eastAsia="楷体" w:cs="楷体"/>
          <w:sz w:val="32"/>
          <w:szCs w:val="32"/>
          <w:lang w:val="zh-CN"/>
        </w:rPr>
        <w:t>（三）</w:t>
      </w:r>
      <w:r>
        <w:rPr>
          <w:rFonts w:hint="eastAsia" w:ascii="楷体" w:hAnsi="楷体" w:eastAsia="楷体" w:cs="楷体"/>
          <w:sz w:val="32"/>
          <w:szCs w:val="32"/>
        </w:rPr>
        <w:t>人员概况</w:t>
      </w:r>
    </w:p>
    <w:p>
      <w:pPr>
        <w:snapToGrid w:val="0"/>
        <w:spacing w:line="540" w:lineRule="exact"/>
        <w:ind w:firstLine="640" w:firstLineChars="200"/>
        <w:outlineLvl w:val="2"/>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东城实验初级中学现有学生2349人，教师117人。</w:t>
      </w:r>
    </w:p>
    <w:p>
      <w:pPr>
        <w:adjustRightInd w:val="0"/>
        <w:snapToGrid w:val="0"/>
        <w:spacing w:line="540" w:lineRule="exact"/>
        <w:ind w:firstLine="640" w:firstLineChars="200"/>
        <w:contextualSpacing/>
        <w:outlineLvl w:val="1"/>
        <w:rPr>
          <w:rFonts w:ascii="方正黑体简体" w:hAnsi="宋体" w:eastAsia="方正黑体简体" w:cs="宋体"/>
          <w:color w:val="000000"/>
          <w:kern w:val="0"/>
          <w:sz w:val="32"/>
          <w:szCs w:val="32"/>
          <w:shd w:val="clear" w:color="auto" w:fill="FFFFFF"/>
        </w:rPr>
      </w:pPr>
      <w:bookmarkStart w:id="68" w:name="_Toc13772"/>
      <w:r>
        <w:rPr>
          <w:rFonts w:hint="eastAsia" w:ascii="方正黑体简体" w:hAnsi="宋体" w:eastAsia="方正黑体简体" w:cs="宋体"/>
          <w:color w:val="000000"/>
          <w:kern w:val="0"/>
          <w:sz w:val="32"/>
          <w:szCs w:val="32"/>
          <w:shd w:val="clear" w:color="auto" w:fill="FFFFFF"/>
        </w:rPr>
        <w:t>二、部门财政资金收支情况</w:t>
      </w:r>
      <w:bookmarkEnd w:id="68"/>
    </w:p>
    <w:p>
      <w:pPr>
        <w:snapToGrid w:val="0"/>
        <w:spacing w:line="540" w:lineRule="exact"/>
        <w:ind w:firstLine="640" w:firstLineChars="200"/>
        <w:outlineLvl w:val="2"/>
        <w:rPr>
          <w:rFonts w:ascii="楷体" w:hAnsi="楷体" w:eastAsia="楷体" w:cs="楷体"/>
          <w:sz w:val="32"/>
          <w:szCs w:val="32"/>
          <w:lang w:val="zh-CN"/>
        </w:rPr>
      </w:pPr>
      <w:r>
        <w:rPr>
          <w:rFonts w:hint="eastAsia" w:ascii="楷体" w:hAnsi="楷体" w:eastAsia="楷体" w:cs="楷体"/>
          <w:sz w:val="32"/>
          <w:szCs w:val="32"/>
          <w:lang w:val="zh-CN"/>
        </w:rPr>
        <w:t>（一）部门财政资金收入情况</w:t>
      </w:r>
    </w:p>
    <w:p>
      <w:pPr>
        <w:snapToGrid w:val="0"/>
        <w:spacing w:line="540" w:lineRule="exact"/>
        <w:ind w:firstLine="640" w:firstLineChars="200"/>
        <w:outlineLvl w:val="2"/>
        <w:rPr>
          <w:rFonts w:ascii="仿宋" w:hAnsi="仿宋" w:eastAsia="仿宋" w:cs="仿宋_GB2312"/>
          <w:sz w:val="32"/>
          <w:szCs w:val="32"/>
        </w:rPr>
      </w:pPr>
      <w:r>
        <w:rPr>
          <w:rFonts w:hint="eastAsia" w:ascii="仿宋" w:hAnsi="仿宋" w:eastAsia="仿宋" w:cs="仿宋_GB2312"/>
          <w:sz w:val="32"/>
          <w:szCs w:val="32"/>
        </w:rPr>
        <w:t>2021年度东城实验初级中学本年一般公共预算财政拨款收</w:t>
      </w:r>
      <w:r>
        <w:rPr>
          <w:rFonts w:hint="eastAsia" w:ascii="仿宋" w:hAnsi="仿宋" w:eastAsia="仿宋"/>
          <w:sz w:val="32"/>
          <w:szCs w:val="32"/>
        </w:rPr>
        <w:t>6706.66</w:t>
      </w:r>
      <w:r>
        <w:rPr>
          <w:rFonts w:hint="eastAsia" w:ascii="仿宋" w:hAnsi="仿宋" w:eastAsia="仿宋" w:cs="仿宋_GB2312"/>
          <w:sz w:val="32"/>
          <w:szCs w:val="32"/>
        </w:rPr>
        <w:t>万元。</w:t>
      </w:r>
    </w:p>
    <w:p>
      <w:pPr>
        <w:snapToGrid w:val="0"/>
        <w:spacing w:line="540" w:lineRule="exact"/>
        <w:ind w:firstLine="640" w:firstLineChars="200"/>
        <w:outlineLvl w:val="2"/>
        <w:rPr>
          <w:rFonts w:ascii="楷体" w:hAnsi="楷体" w:eastAsia="楷体" w:cs="楷体"/>
          <w:sz w:val="32"/>
          <w:szCs w:val="32"/>
          <w:lang w:val="zh-CN"/>
        </w:rPr>
      </w:pPr>
      <w:r>
        <w:rPr>
          <w:rFonts w:hint="eastAsia" w:ascii="楷体" w:hAnsi="楷体" w:eastAsia="楷体" w:cs="楷体"/>
          <w:sz w:val="32"/>
          <w:szCs w:val="32"/>
          <w:lang w:val="zh-CN"/>
        </w:rPr>
        <w:t>（二）部门财政资金支出情况</w:t>
      </w:r>
    </w:p>
    <w:p>
      <w:pPr>
        <w:snapToGrid w:val="0"/>
        <w:spacing w:line="540" w:lineRule="exact"/>
        <w:ind w:firstLine="640" w:firstLineChars="200"/>
        <w:outlineLvl w:val="2"/>
        <w:rPr>
          <w:rFonts w:ascii="仿宋" w:hAnsi="仿宋" w:eastAsia="仿宋" w:cs="仿宋_GB2312"/>
          <w:sz w:val="32"/>
          <w:szCs w:val="32"/>
        </w:rPr>
      </w:pPr>
      <w:r>
        <w:rPr>
          <w:rFonts w:hint="eastAsia" w:ascii="仿宋" w:hAnsi="仿宋" w:eastAsia="仿宋" w:cs="仿宋_GB2312"/>
          <w:sz w:val="32"/>
          <w:szCs w:val="32"/>
          <w:lang w:val="zh-CN"/>
        </w:rPr>
        <w:t>20</w:t>
      </w:r>
      <w:r>
        <w:rPr>
          <w:rFonts w:hint="eastAsia" w:ascii="仿宋" w:hAnsi="仿宋" w:eastAsia="仿宋" w:cs="仿宋_GB2312"/>
          <w:sz w:val="32"/>
          <w:szCs w:val="32"/>
        </w:rPr>
        <w:t>21</w:t>
      </w:r>
      <w:r>
        <w:rPr>
          <w:rFonts w:hint="eastAsia" w:ascii="仿宋" w:hAnsi="仿宋" w:eastAsia="仿宋" w:cs="仿宋_GB2312"/>
          <w:sz w:val="32"/>
          <w:szCs w:val="32"/>
          <w:lang w:val="zh-CN"/>
        </w:rPr>
        <w:t>年度东城实验初级中学本年一般公共预算财政拨款支出</w:t>
      </w:r>
      <w:r>
        <w:rPr>
          <w:rFonts w:hint="eastAsia" w:ascii="仿宋" w:hAnsi="仿宋" w:eastAsia="仿宋" w:cs="仿宋_GB2312"/>
          <w:sz w:val="32"/>
          <w:szCs w:val="32"/>
        </w:rPr>
        <w:t>5672.73万元。其中人员经费支出5053.59万元；公用经费支出619.13万元；项目支出1090.55万元。</w:t>
      </w:r>
    </w:p>
    <w:p>
      <w:pPr>
        <w:adjustRightInd w:val="0"/>
        <w:snapToGrid w:val="0"/>
        <w:spacing w:line="540" w:lineRule="exact"/>
        <w:ind w:firstLine="640" w:firstLineChars="200"/>
        <w:contextualSpacing/>
        <w:outlineLvl w:val="1"/>
        <w:rPr>
          <w:rFonts w:ascii="方正仿宋简体" w:hAnsi="宋体" w:eastAsia="方正仿宋简体" w:cs="宋体"/>
          <w:color w:val="000000"/>
          <w:kern w:val="0"/>
          <w:sz w:val="32"/>
          <w:szCs w:val="32"/>
          <w:shd w:val="clear" w:color="auto" w:fill="FFFFFF"/>
        </w:rPr>
      </w:pPr>
      <w:bookmarkStart w:id="69" w:name="_Toc3522"/>
      <w:r>
        <w:rPr>
          <w:rFonts w:hint="eastAsia" w:ascii="方正黑体简体" w:hAnsi="宋体" w:eastAsia="方正黑体简体" w:cs="宋体"/>
          <w:color w:val="000000"/>
          <w:kern w:val="0"/>
          <w:sz w:val="32"/>
          <w:szCs w:val="32"/>
          <w:shd w:val="clear" w:color="auto" w:fill="FFFFFF"/>
        </w:rPr>
        <w:t>三、部门整体预算绩效管理情况</w:t>
      </w:r>
      <w:bookmarkEnd w:id="69"/>
    </w:p>
    <w:p>
      <w:pPr>
        <w:snapToGrid w:val="0"/>
        <w:spacing w:line="540" w:lineRule="exact"/>
        <w:ind w:firstLine="640" w:firstLineChars="200"/>
        <w:outlineLvl w:val="2"/>
        <w:rPr>
          <w:rFonts w:ascii="楷体" w:hAnsi="楷体" w:eastAsia="楷体" w:cs="楷体"/>
          <w:sz w:val="32"/>
          <w:szCs w:val="32"/>
        </w:rPr>
      </w:pPr>
      <w:r>
        <w:rPr>
          <w:rFonts w:hint="eastAsia" w:ascii="楷体" w:hAnsi="楷体" w:eastAsia="楷体" w:cs="楷体"/>
          <w:sz w:val="32"/>
          <w:szCs w:val="32"/>
        </w:rPr>
        <w:t>（一）部门预算管理</w:t>
      </w:r>
    </w:p>
    <w:p>
      <w:pPr>
        <w:snapToGrid w:val="0"/>
        <w:spacing w:line="540" w:lineRule="exact"/>
        <w:ind w:firstLine="640" w:firstLineChars="200"/>
        <w:outlineLvl w:val="2"/>
        <w:rPr>
          <w:rFonts w:ascii="仿宋" w:hAnsi="仿宋" w:eastAsia="仿宋" w:cs="仿宋_GB2312"/>
          <w:sz w:val="32"/>
          <w:szCs w:val="32"/>
        </w:rPr>
      </w:pPr>
      <w:r>
        <w:rPr>
          <w:rFonts w:hint="eastAsia" w:ascii="仿宋" w:hAnsi="仿宋" w:eastAsia="仿宋" w:cs="仿宋_GB2312"/>
          <w:sz w:val="32"/>
          <w:szCs w:val="32"/>
        </w:rPr>
        <w:t>1.</w:t>
      </w:r>
      <w:r>
        <w:rPr>
          <w:rFonts w:ascii="仿宋" w:hAnsi="仿宋" w:eastAsia="仿宋" w:cs="仿宋_GB2312"/>
          <w:sz w:val="32"/>
          <w:szCs w:val="32"/>
        </w:rPr>
        <w:t>部门绩效目标制定</w:t>
      </w:r>
    </w:p>
    <w:p>
      <w:pPr>
        <w:snapToGrid w:val="0"/>
        <w:spacing w:line="540" w:lineRule="exact"/>
        <w:ind w:firstLine="640" w:firstLineChars="200"/>
        <w:outlineLvl w:val="2"/>
        <w:rPr>
          <w:rFonts w:ascii="仿宋" w:hAnsi="仿宋" w:eastAsia="仿宋" w:cs="仿宋_GB2312"/>
          <w:sz w:val="32"/>
          <w:szCs w:val="32"/>
        </w:rPr>
      </w:pPr>
      <w:r>
        <w:rPr>
          <w:rFonts w:hint="eastAsia" w:ascii="仿宋" w:hAnsi="仿宋" w:eastAsia="仿宋" w:cs="仿宋_GB2312"/>
          <w:sz w:val="32"/>
          <w:szCs w:val="32"/>
        </w:rPr>
        <w:t>（1）部门绩效目标充分考虑到各项资金的使用内容、范围、方向和预期效果，符合国民经济和社会发展规划，符合部门职能及事业发展规划。</w:t>
      </w:r>
    </w:p>
    <w:p>
      <w:pPr>
        <w:snapToGrid w:val="0"/>
        <w:spacing w:line="540" w:lineRule="exact"/>
        <w:ind w:firstLine="640" w:firstLineChars="200"/>
        <w:outlineLvl w:val="2"/>
        <w:rPr>
          <w:rFonts w:ascii="仿宋" w:hAnsi="仿宋" w:eastAsia="仿宋" w:cs="仿宋_GB2312"/>
          <w:sz w:val="32"/>
          <w:szCs w:val="32"/>
        </w:rPr>
      </w:pPr>
      <w:r>
        <w:rPr>
          <w:rFonts w:hint="eastAsia" w:ascii="仿宋" w:hAnsi="仿宋" w:eastAsia="仿宋" w:cs="仿宋_GB2312"/>
          <w:sz w:val="32"/>
          <w:szCs w:val="32"/>
        </w:rPr>
        <w:t>（2）部门绩效目标从数量、质量、成本、时效以及经济效益、社会效益、生态效益、可持续影响、满意度等方面进行了细化和定量表述，具有可衡量性。</w:t>
      </w:r>
    </w:p>
    <w:p>
      <w:pPr>
        <w:snapToGrid w:val="0"/>
        <w:spacing w:line="540" w:lineRule="exact"/>
        <w:ind w:firstLine="640" w:firstLineChars="200"/>
        <w:outlineLvl w:val="2"/>
        <w:rPr>
          <w:rFonts w:ascii="仿宋" w:hAnsi="仿宋" w:eastAsia="仿宋" w:cs="仿宋_GB2312"/>
          <w:sz w:val="32"/>
          <w:szCs w:val="32"/>
        </w:rPr>
      </w:pPr>
      <w:r>
        <w:rPr>
          <w:rFonts w:hint="eastAsia" w:ascii="仿宋" w:hAnsi="仿宋" w:eastAsia="仿宋" w:cs="仿宋_GB2312"/>
          <w:sz w:val="32"/>
          <w:szCs w:val="32"/>
        </w:rPr>
        <w:t>（3）绩效目标的设定经过了调查研究和科学论证，符合客观实际，能够在一定期限内如期实现。</w:t>
      </w:r>
    </w:p>
    <w:p>
      <w:pPr>
        <w:snapToGrid w:val="0"/>
        <w:spacing w:line="540" w:lineRule="exact"/>
        <w:ind w:firstLine="640" w:firstLineChars="200"/>
        <w:outlineLvl w:val="2"/>
        <w:rPr>
          <w:rFonts w:ascii="仿宋" w:hAnsi="仿宋" w:eastAsia="仿宋" w:cs="仿宋_GB2312"/>
          <w:sz w:val="32"/>
          <w:szCs w:val="32"/>
        </w:rPr>
      </w:pPr>
      <w:r>
        <w:rPr>
          <w:rFonts w:hint="eastAsia" w:ascii="仿宋" w:hAnsi="仿宋" w:eastAsia="仿宋" w:cs="仿宋_GB2312"/>
          <w:sz w:val="32"/>
          <w:szCs w:val="32"/>
        </w:rPr>
        <w:t>（4）绩效目标相关指标设定与预算安排金额相对应，未超预算安排资金。</w:t>
      </w:r>
    </w:p>
    <w:p>
      <w:pPr>
        <w:snapToGrid w:val="0"/>
        <w:spacing w:line="540" w:lineRule="exact"/>
        <w:ind w:firstLine="640" w:firstLineChars="200"/>
        <w:outlineLvl w:val="2"/>
        <w:rPr>
          <w:rFonts w:ascii="仿宋" w:hAnsi="仿宋" w:eastAsia="仿宋" w:cs="仿宋_GB2312"/>
          <w:sz w:val="32"/>
          <w:szCs w:val="32"/>
        </w:rPr>
      </w:pPr>
      <w:r>
        <w:rPr>
          <w:rFonts w:hint="eastAsia" w:ascii="仿宋" w:hAnsi="仿宋" w:eastAsia="仿宋" w:cs="仿宋_GB2312"/>
          <w:sz w:val="32"/>
          <w:szCs w:val="32"/>
        </w:rPr>
        <w:t>2.</w:t>
      </w:r>
      <w:r>
        <w:rPr>
          <w:rFonts w:ascii="仿宋" w:hAnsi="仿宋" w:eastAsia="仿宋" w:cs="仿宋_GB2312"/>
          <w:sz w:val="32"/>
          <w:szCs w:val="32"/>
        </w:rPr>
        <w:t>预算编制</w:t>
      </w:r>
      <w:r>
        <w:rPr>
          <w:rFonts w:hint="eastAsia" w:ascii="仿宋" w:hAnsi="仿宋" w:eastAsia="仿宋" w:cs="仿宋_GB2312"/>
          <w:sz w:val="32"/>
          <w:szCs w:val="32"/>
        </w:rPr>
        <w:t>和执行</w:t>
      </w:r>
    </w:p>
    <w:p>
      <w:pPr>
        <w:snapToGrid w:val="0"/>
        <w:spacing w:line="540" w:lineRule="exact"/>
        <w:ind w:firstLine="640" w:firstLineChars="200"/>
        <w:outlineLvl w:val="2"/>
        <w:rPr>
          <w:rFonts w:ascii="仿宋" w:hAnsi="仿宋" w:eastAsia="仿宋" w:cs="仿宋_GB2312"/>
          <w:sz w:val="32"/>
          <w:szCs w:val="32"/>
        </w:rPr>
      </w:pPr>
      <w:r>
        <w:rPr>
          <w:rFonts w:hint="eastAsia" w:ascii="仿宋" w:hAnsi="仿宋" w:eastAsia="仿宋" w:cs="仿宋_GB2312"/>
          <w:sz w:val="32"/>
          <w:szCs w:val="32"/>
        </w:rPr>
        <w:t>（1）部门预算报送时间严格按照财政部门预算编制要求的时间及时报送部门预算。预算编制完整、准确，基础信息和科目使用准确。</w:t>
      </w:r>
    </w:p>
    <w:p>
      <w:pPr>
        <w:snapToGrid w:val="0"/>
        <w:spacing w:line="540" w:lineRule="exact"/>
        <w:ind w:firstLine="640" w:firstLineChars="200"/>
        <w:outlineLvl w:val="2"/>
        <w:rPr>
          <w:rFonts w:ascii="仿宋" w:hAnsi="仿宋" w:eastAsia="仿宋" w:cs="仿宋_GB2312"/>
          <w:sz w:val="32"/>
          <w:szCs w:val="32"/>
        </w:rPr>
      </w:pPr>
      <w:r>
        <w:rPr>
          <w:rFonts w:hint="eastAsia" w:ascii="仿宋" w:hAnsi="仿宋" w:eastAsia="仿宋" w:cs="仿宋_GB2312"/>
          <w:sz w:val="32"/>
          <w:szCs w:val="32"/>
        </w:rPr>
        <w:t>（2）严格执行预算，执行中一般不调整预算项目。年度预算收支平衡，人员支出按时间表进度执行，无挪用情况，完成部门经济和社会事业发展职能职责。</w:t>
      </w:r>
    </w:p>
    <w:p>
      <w:pPr>
        <w:snapToGrid w:val="0"/>
        <w:spacing w:line="540" w:lineRule="exact"/>
        <w:ind w:firstLine="640" w:firstLineChars="200"/>
        <w:outlineLvl w:val="2"/>
        <w:rPr>
          <w:rFonts w:ascii="仿宋" w:hAnsi="仿宋" w:eastAsia="仿宋" w:cs="仿宋_GB2312"/>
          <w:sz w:val="32"/>
          <w:szCs w:val="32"/>
        </w:rPr>
      </w:pPr>
      <w:r>
        <w:rPr>
          <w:rFonts w:hint="eastAsia" w:ascii="仿宋" w:hAnsi="仿宋" w:eastAsia="仿宋" w:cs="仿宋_GB2312"/>
          <w:sz w:val="32"/>
          <w:szCs w:val="32"/>
        </w:rPr>
        <w:t>（3）基本支出主要用于日常工作运转开支，包括人员的工资福利支出、一般商品和服务支出、对个人和家庭的补助支出、对企事业单位的补贴及其他资本性支出。人员经费的开支主要是按照区组织和人事部门审批执行，公用经费按照厉行节约的原则规范资金使用流程，尤其是“三公”经费严格控制在预算指标内。接待费的报销必须附有接待公函、接待申报单、接待明细及公务卡支出小票，。</w:t>
      </w:r>
    </w:p>
    <w:p>
      <w:pPr>
        <w:snapToGrid w:val="0"/>
        <w:spacing w:line="540" w:lineRule="exact"/>
        <w:ind w:firstLine="640" w:firstLineChars="200"/>
        <w:outlineLvl w:val="2"/>
        <w:rPr>
          <w:rFonts w:ascii="仿宋" w:hAnsi="仿宋" w:eastAsia="仿宋" w:cs="仿宋_GB2312"/>
          <w:sz w:val="32"/>
          <w:szCs w:val="32"/>
        </w:rPr>
      </w:pPr>
      <w:r>
        <w:rPr>
          <w:rFonts w:hint="eastAsia" w:ascii="仿宋" w:hAnsi="仿宋" w:eastAsia="仿宋" w:cs="仿宋_GB2312"/>
          <w:sz w:val="32"/>
          <w:szCs w:val="32"/>
        </w:rPr>
        <w:t>（4）按时送部门决算，决算数据真实准确、帐表一致，部门决算编制人员与供养人员系统一致。</w:t>
      </w:r>
    </w:p>
    <w:p>
      <w:pPr>
        <w:snapToGrid w:val="0"/>
        <w:spacing w:line="540" w:lineRule="exact"/>
        <w:ind w:firstLine="640" w:firstLineChars="200"/>
        <w:outlineLvl w:val="2"/>
        <w:rPr>
          <w:rFonts w:ascii="楷体" w:hAnsi="楷体" w:eastAsia="楷体" w:cs="楷体"/>
          <w:sz w:val="32"/>
          <w:szCs w:val="32"/>
        </w:rPr>
      </w:pPr>
      <w:r>
        <w:rPr>
          <w:rFonts w:hint="eastAsia" w:ascii="楷体" w:hAnsi="楷体" w:eastAsia="楷体" w:cs="楷体"/>
          <w:sz w:val="32"/>
          <w:szCs w:val="32"/>
        </w:rPr>
        <w:t>（二）专项预算管理。</w:t>
      </w:r>
    </w:p>
    <w:p>
      <w:pPr>
        <w:snapToGrid w:val="0"/>
        <w:spacing w:line="540" w:lineRule="exact"/>
        <w:ind w:firstLine="640" w:firstLineChars="200"/>
        <w:outlineLvl w:val="2"/>
        <w:rPr>
          <w:rFonts w:ascii="仿宋" w:hAnsi="仿宋" w:eastAsia="仿宋" w:cs="仿宋_GB2312"/>
          <w:sz w:val="32"/>
          <w:szCs w:val="32"/>
        </w:rPr>
      </w:pPr>
      <w:r>
        <w:rPr>
          <w:rFonts w:hint="eastAsia" w:ascii="仿宋" w:hAnsi="仿宋" w:eastAsia="仿宋" w:cs="仿宋_GB2312"/>
          <w:sz w:val="32"/>
          <w:szCs w:val="32"/>
        </w:rPr>
        <w:t>1.专项预算编制情况</w:t>
      </w:r>
    </w:p>
    <w:p>
      <w:pPr>
        <w:snapToGrid w:val="0"/>
        <w:spacing w:line="540" w:lineRule="exact"/>
        <w:ind w:firstLine="640" w:firstLineChars="200"/>
        <w:outlineLvl w:val="2"/>
        <w:rPr>
          <w:rFonts w:ascii="仿宋" w:hAnsi="仿宋" w:eastAsia="仿宋" w:cs="仿宋_GB2312"/>
          <w:color w:val="000000"/>
          <w:sz w:val="32"/>
          <w:szCs w:val="32"/>
        </w:rPr>
      </w:pPr>
      <w:r>
        <w:rPr>
          <w:rFonts w:hint="eastAsia" w:ascii="仿宋" w:hAnsi="仿宋" w:eastAsia="仿宋" w:cs="仿宋_GB2312"/>
          <w:color w:val="000000"/>
          <w:sz w:val="32"/>
          <w:szCs w:val="32"/>
        </w:rPr>
        <w:t>各项专项预算的编制严格按照“二上二下”的程序，先由支出股室或下属学校根据年度工作目标提出当年的专项预算项目建议方案，经分管领导审核后由财务股汇总编制并呈局务会批准上报区财政。根据区财政下达的年度各类专项资金年度预算指标，分解下达各支出股室或下属学校，进一步完善专项预算方案。方案完善后，财务股统一汇总再次上报区财政。财政最终批复后，财务股将各类专项预算指标分解下达各支出股室和下属学校。</w:t>
      </w:r>
    </w:p>
    <w:p>
      <w:pPr>
        <w:snapToGrid w:val="0"/>
        <w:spacing w:line="540" w:lineRule="exact"/>
        <w:ind w:firstLine="640" w:firstLineChars="200"/>
        <w:outlineLvl w:val="2"/>
        <w:rPr>
          <w:rFonts w:ascii="仿宋" w:hAnsi="仿宋" w:eastAsia="仿宋" w:cs="仿宋_GB2312"/>
          <w:sz w:val="32"/>
          <w:szCs w:val="32"/>
        </w:rPr>
      </w:pPr>
      <w:r>
        <w:rPr>
          <w:rFonts w:hint="eastAsia" w:ascii="仿宋" w:hAnsi="仿宋" w:eastAsia="仿宋" w:cs="仿宋_GB2312"/>
          <w:sz w:val="32"/>
          <w:szCs w:val="32"/>
        </w:rPr>
        <w:t>2.专项预算执行</w:t>
      </w:r>
    </w:p>
    <w:p>
      <w:pPr>
        <w:snapToGrid w:val="0"/>
        <w:spacing w:line="540" w:lineRule="exact"/>
        <w:ind w:firstLine="640" w:firstLineChars="200"/>
        <w:outlineLvl w:val="2"/>
        <w:rPr>
          <w:rFonts w:ascii="仿宋" w:hAnsi="仿宋" w:eastAsia="仿宋" w:cs="仿宋_GB2312"/>
          <w:sz w:val="32"/>
          <w:szCs w:val="32"/>
        </w:rPr>
      </w:pPr>
      <w:r>
        <w:rPr>
          <w:rFonts w:hint="eastAsia" w:ascii="仿宋" w:hAnsi="仿宋" w:eastAsia="仿宋" w:cs="仿宋_GB2312"/>
          <w:sz w:val="32"/>
          <w:szCs w:val="32"/>
        </w:rPr>
        <w:t>对于上级或区本级下达的各类专项预算支出，严格按照预算批复的开支范围和标准执行，不准擅自调项、扩项、缩项，更不准拆借、挪用、挤占和随意扣压；资金拨付动向，按不同专项资金的要求执行，不准任意改变；</w:t>
      </w:r>
    </w:p>
    <w:p>
      <w:pPr>
        <w:snapToGrid w:val="0"/>
        <w:spacing w:line="540" w:lineRule="exact"/>
        <w:ind w:firstLine="640" w:firstLineChars="200"/>
        <w:outlineLvl w:val="2"/>
        <w:rPr>
          <w:rFonts w:ascii="仿宋" w:hAnsi="仿宋" w:eastAsia="仿宋" w:cs="仿宋_GB2312"/>
          <w:sz w:val="32"/>
          <w:szCs w:val="32"/>
          <w:lang w:val="zh-CN"/>
        </w:rPr>
      </w:pPr>
      <w:r>
        <w:rPr>
          <w:rFonts w:hint="eastAsia" w:ascii="仿宋" w:hAnsi="仿宋" w:eastAsia="仿宋" w:cs="仿宋_GB2312"/>
          <w:sz w:val="32"/>
          <w:szCs w:val="32"/>
        </w:rPr>
        <w:t>3.专项预</w:t>
      </w:r>
      <w:r>
        <w:rPr>
          <w:rFonts w:hint="eastAsia" w:ascii="仿宋" w:hAnsi="仿宋" w:eastAsia="仿宋" w:cs="仿宋_GB2312"/>
          <w:sz w:val="32"/>
          <w:szCs w:val="32"/>
          <w:lang w:val="zh-CN"/>
        </w:rPr>
        <w:t>算绩效目标完成情况</w:t>
      </w:r>
    </w:p>
    <w:p>
      <w:pPr>
        <w:snapToGrid w:val="0"/>
        <w:spacing w:line="540" w:lineRule="exact"/>
        <w:ind w:firstLine="640" w:firstLineChars="200"/>
        <w:outlineLvl w:val="2"/>
      </w:pPr>
      <w:r>
        <w:rPr>
          <w:rFonts w:hint="eastAsia" w:ascii="仿宋" w:hAnsi="仿宋" w:eastAsia="仿宋" w:cs="仿宋_GB2312"/>
          <w:sz w:val="32"/>
          <w:szCs w:val="32"/>
          <w:lang w:val="zh-CN"/>
        </w:rPr>
        <w:t>202</w:t>
      </w:r>
      <w:r>
        <w:rPr>
          <w:rFonts w:hint="eastAsia" w:ascii="仿宋" w:hAnsi="仿宋" w:eastAsia="仿宋" w:cs="仿宋_GB2312"/>
          <w:sz w:val="32"/>
          <w:szCs w:val="32"/>
        </w:rPr>
        <w:t>1</w:t>
      </w:r>
      <w:r>
        <w:rPr>
          <w:rFonts w:hint="eastAsia" w:ascii="仿宋" w:hAnsi="仿宋" w:eastAsia="仿宋" w:cs="仿宋_GB2312"/>
          <w:sz w:val="32"/>
          <w:szCs w:val="32"/>
          <w:lang w:val="zh-CN"/>
        </w:rPr>
        <w:t>年东城实验初级中学</w:t>
      </w:r>
      <w:r>
        <w:rPr>
          <w:rFonts w:hint="eastAsia" w:ascii="仿宋" w:hAnsi="仿宋" w:eastAsia="仿宋" w:cs="仿宋_GB2312"/>
          <w:color w:val="000000"/>
          <w:sz w:val="32"/>
          <w:szCs w:val="32"/>
        </w:rPr>
        <w:t>财政专项预算支出共</w:t>
      </w:r>
      <w:r>
        <w:rPr>
          <w:rFonts w:hint="eastAsia" w:ascii="仿宋_GB2312" w:eastAsia="仿宋_GB2312"/>
          <w:color w:val="000000"/>
          <w:sz w:val="32"/>
          <w:szCs w:val="32"/>
        </w:rPr>
        <w:t>1090.55</w:t>
      </w:r>
      <w:r>
        <w:rPr>
          <w:rFonts w:hint="eastAsia" w:ascii="仿宋" w:hAnsi="仿宋" w:eastAsia="仿宋" w:cs="仿宋_GB2312"/>
          <w:color w:val="000000"/>
          <w:sz w:val="32"/>
          <w:szCs w:val="32"/>
        </w:rPr>
        <w:t>万元，除个别年末下达的项目未来得及实施外，其余一般公共预算和政府性基金预算项目预算完成率均达到75%以上。</w:t>
      </w:r>
    </w:p>
    <w:p>
      <w:pPr>
        <w:adjustRightInd w:val="0"/>
        <w:snapToGrid w:val="0"/>
        <w:spacing w:line="540" w:lineRule="exact"/>
        <w:ind w:firstLine="640" w:firstLineChars="200"/>
        <w:contextualSpacing/>
        <w:outlineLvl w:val="1"/>
        <w:rPr>
          <w:rFonts w:ascii="方正黑体简体" w:hAnsi="宋体" w:eastAsia="方正黑体简体" w:cs="宋体"/>
          <w:color w:val="000000"/>
          <w:kern w:val="0"/>
          <w:sz w:val="32"/>
          <w:szCs w:val="32"/>
          <w:shd w:val="clear" w:color="auto" w:fill="FFFFFF"/>
        </w:rPr>
      </w:pPr>
      <w:bookmarkStart w:id="70" w:name="_Toc24063"/>
      <w:r>
        <w:rPr>
          <w:rFonts w:hint="eastAsia" w:ascii="方正黑体简体" w:hAnsi="宋体" w:eastAsia="方正黑体简体" w:cs="宋体"/>
          <w:color w:val="000000"/>
          <w:kern w:val="0"/>
          <w:sz w:val="32"/>
          <w:szCs w:val="32"/>
          <w:shd w:val="clear" w:color="auto" w:fill="FFFFFF"/>
        </w:rPr>
        <w:t>四、评价结论及建议</w:t>
      </w:r>
      <w:bookmarkEnd w:id="70"/>
    </w:p>
    <w:p>
      <w:pPr>
        <w:snapToGrid w:val="0"/>
        <w:spacing w:line="540" w:lineRule="exact"/>
        <w:ind w:firstLine="640" w:firstLineChars="200"/>
        <w:outlineLvl w:val="2"/>
        <w:rPr>
          <w:rFonts w:ascii="楷体" w:hAnsi="楷体" w:eastAsia="楷体" w:cs="楷体"/>
          <w:sz w:val="32"/>
          <w:szCs w:val="32"/>
          <w:lang w:val="zh-CN"/>
        </w:rPr>
      </w:pPr>
      <w:r>
        <w:rPr>
          <w:rFonts w:hint="eastAsia" w:ascii="楷体" w:hAnsi="楷体" w:eastAsia="楷体" w:cs="楷体"/>
          <w:sz w:val="32"/>
          <w:szCs w:val="32"/>
          <w:lang w:val="zh-CN"/>
        </w:rPr>
        <w:t>（一）评价结论</w:t>
      </w:r>
    </w:p>
    <w:p>
      <w:pPr>
        <w:snapToGrid w:val="0"/>
        <w:spacing w:line="540" w:lineRule="exact"/>
        <w:ind w:firstLine="640" w:firstLineChars="200"/>
        <w:outlineLvl w:val="2"/>
        <w:rPr>
          <w:rFonts w:ascii="仿宋" w:hAnsi="仿宋" w:eastAsia="仿宋" w:cs="仿宋_GB2312"/>
          <w:sz w:val="32"/>
          <w:szCs w:val="32"/>
        </w:rPr>
      </w:pPr>
      <w:r>
        <w:rPr>
          <w:rFonts w:hint="eastAsia" w:ascii="仿宋" w:hAnsi="仿宋" w:eastAsia="仿宋" w:cs="仿宋_GB2312"/>
          <w:sz w:val="32"/>
          <w:szCs w:val="32"/>
          <w:lang w:val="zh-CN"/>
        </w:rPr>
        <w:t>经过202</w:t>
      </w:r>
      <w:r>
        <w:rPr>
          <w:rFonts w:hint="eastAsia" w:ascii="仿宋" w:hAnsi="仿宋" w:eastAsia="仿宋" w:cs="仿宋_GB2312"/>
          <w:sz w:val="32"/>
          <w:szCs w:val="32"/>
        </w:rPr>
        <w:t>1</w:t>
      </w:r>
      <w:r>
        <w:rPr>
          <w:rFonts w:hint="eastAsia" w:ascii="仿宋" w:hAnsi="仿宋" w:eastAsia="仿宋" w:cs="仿宋_GB2312"/>
          <w:sz w:val="32"/>
          <w:szCs w:val="32"/>
          <w:lang w:val="zh-CN"/>
        </w:rPr>
        <w:t>年区级部门整体支出绩效自我评价，综合得分为</w:t>
      </w:r>
      <w:r>
        <w:rPr>
          <w:rFonts w:hint="eastAsia" w:ascii="仿宋" w:hAnsi="仿宋" w:eastAsia="仿宋" w:cs="仿宋_GB2312"/>
          <w:sz w:val="32"/>
          <w:szCs w:val="32"/>
        </w:rPr>
        <w:t>98分。</w:t>
      </w:r>
    </w:p>
    <w:p>
      <w:pPr>
        <w:snapToGrid w:val="0"/>
        <w:spacing w:line="540" w:lineRule="exact"/>
        <w:ind w:firstLine="640" w:firstLineChars="200"/>
        <w:outlineLvl w:val="2"/>
        <w:rPr>
          <w:rFonts w:ascii="楷体" w:hAnsi="楷体" w:eastAsia="楷体" w:cs="楷体"/>
          <w:sz w:val="32"/>
          <w:szCs w:val="32"/>
          <w:lang w:val="zh-CN"/>
        </w:rPr>
      </w:pPr>
      <w:r>
        <w:rPr>
          <w:rFonts w:hint="eastAsia" w:ascii="楷体" w:hAnsi="楷体" w:eastAsia="楷体" w:cs="楷体"/>
          <w:sz w:val="32"/>
          <w:szCs w:val="32"/>
          <w:lang w:val="zh-CN"/>
        </w:rPr>
        <w:t>（二）存在问题</w:t>
      </w:r>
    </w:p>
    <w:p>
      <w:pPr>
        <w:snapToGrid w:val="0"/>
        <w:spacing w:line="540" w:lineRule="exact"/>
        <w:ind w:firstLine="640" w:firstLineChars="200"/>
        <w:outlineLvl w:val="2"/>
        <w:rPr>
          <w:rFonts w:ascii="仿宋" w:hAnsi="仿宋" w:eastAsia="仿宋" w:cs="仿宋_GB2312"/>
          <w:sz w:val="32"/>
          <w:szCs w:val="32"/>
          <w:lang w:val="zh-CN"/>
        </w:rPr>
      </w:pPr>
      <w:r>
        <w:rPr>
          <w:rFonts w:hint="eastAsia" w:ascii="仿宋" w:hAnsi="仿宋" w:eastAsia="仿宋" w:cs="仿宋_GB2312"/>
          <w:sz w:val="32"/>
          <w:szCs w:val="32"/>
          <w:lang w:val="zh-CN"/>
        </w:rPr>
        <w:t>经过区级部门整体支出绩效自评，发现存在一些问题：</w:t>
      </w:r>
    </w:p>
    <w:p>
      <w:pPr>
        <w:snapToGrid w:val="0"/>
        <w:spacing w:line="540" w:lineRule="exact"/>
        <w:ind w:firstLine="640" w:firstLineChars="200"/>
        <w:outlineLvl w:val="2"/>
        <w:rPr>
          <w:rFonts w:ascii="仿宋" w:hAnsi="仿宋" w:eastAsia="仿宋" w:cs="仿宋_GB2312"/>
          <w:sz w:val="32"/>
          <w:szCs w:val="32"/>
          <w:lang w:val="zh-CN"/>
        </w:rPr>
      </w:pPr>
      <w:r>
        <w:rPr>
          <w:rFonts w:hint="eastAsia" w:ascii="仿宋" w:hAnsi="仿宋" w:eastAsia="仿宋" w:cs="仿宋_GB2312"/>
          <w:sz w:val="32"/>
          <w:szCs w:val="32"/>
          <w:lang w:val="zh-CN"/>
        </w:rPr>
        <w:t>评价部门绩效目标未纳入部门党组（委）会（办公会）集体决策范围；</w:t>
      </w:r>
    </w:p>
    <w:p>
      <w:pPr>
        <w:adjustRightInd w:val="0"/>
        <w:snapToGrid w:val="0"/>
        <w:spacing w:line="540" w:lineRule="exact"/>
        <w:ind w:firstLine="640" w:firstLineChars="200"/>
        <w:contextualSpacing/>
        <w:outlineLvl w:val="2"/>
        <w:rPr>
          <w:rFonts w:ascii="仿宋" w:hAnsi="仿宋" w:eastAsia="仿宋" w:cs="仿宋_GB2312"/>
          <w:sz w:val="32"/>
          <w:szCs w:val="32"/>
        </w:rPr>
      </w:pPr>
      <w:r>
        <w:rPr>
          <w:rFonts w:hint="eastAsia" w:ascii="仿宋" w:hAnsi="仿宋" w:eastAsia="仿宋" w:cs="仿宋_GB2312"/>
          <w:sz w:val="32"/>
          <w:szCs w:val="32"/>
        </w:rPr>
        <w:t>1.</w:t>
      </w:r>
      <w:r>
        <w:rPr>
          <w:rFonts w:hint="eastAsia" w:ascii="仿宋" w:hAnsi="仿宋" w:eastAsia="仿宋" w:cs="仿宋_GB2312"/>
          <w:sz w:val="32"/>
          <w:szCs w:val="32"/>
          <w:lang w:val="zh-CN"/>
        </w:rPr>
        <w:t>部门日常公用经费、项目支出中“办公费、印刷费、水费、电费、物业管理费”等科目年初预算数与决算数偏差程度在</w:t>
      </w:r>
      <w:r>
        <w:rPr>
          <w:rFonts w:hint="eastAsia" w:ascii="仿宋" w:hAnsi="仿宋" w:eastAsia="仿宋" w:cs="仿宋_GB2312"/>
          <w:sz w:val="32"/>
          <w:szCs w:val="32"/>
        </w:rPr>
        <w:t>10%-20%之间；</w:t>
      </w:r>
    </w:p>
    <w:p>
      <w:pPr>
        <w:adjustRightInd w:val="0"/>
        <w:snapToGrid w:val="0"/>
        <w:spacing w:line="540" w:lineRule="exact"/>
        <w:ind w:firstLine="640" w:firstLineChars="200"/>
        <w:contextualSpacing/>
        <w:outlineLvl w:val="2"/>
        <w:rPr>
          <w:rFonts w:ascii="仿宋" w:hAnsi="仿宋" w:eastAsia="仿宋" w:cs="仿宋_GB2312"/>
          <w:sz w:val="32"/>
          <w:szCs w:val="32"/>
          <w:lang w:val="zh-CN"/>
        </w:rPr>
      </w:pPr>
      <w:r>
        <w:rPr>
          <w:rFonts w:hint="eastAsia" w:ascii="仿宋" w:hAnsi="仿宋" w:eastAsia="仿宋" w:cs="仿宋_GB2312"/>
          <w:sz w:val="32"/>
          <w:szCs w:val="32"/>
        </w:rPr>
        <w:t>2.</w:t>
      </w:r>
      <w:r>
        <w:rPr>
          <w:rFonts w:hint="eastAsia" w:ascii="仿宋" w:hAnsi="仿宋" w:eastAsia="仿宋" w:cs="仿宋_GB2312"/>
          <w:sz w:val="32"/>
          <w:szCs w:val="32"/>
          <w:lang w:val="zh-CN"/>
        </w:rPr>
        <w:t>部门预算项目12月预算执行进度未达到100%；</w:t>
      </w:r>
    </w:p>
    <w:p>
      <w:pPr>
        <w:adjustRightInd w:val="0"/>
        <w:snapToGrid w:val="0"/>
        <w:spacing w:line="540" w:lineRule="exact"/>
        <w:ind w:firstLine="640" w:firstLineChars="200"/>
        <w:contextualSpacing/>
        <w:outlineLvl w:val="2"/>
        <w:rPr>
          <w:rFonts w:ascii="仿宋" w:hAnsi="仿宋" w:eastAsia="仿宋" w:cs="仿宋_GB2312"/>
          <w:sz w:val="32"/>
          <w:szCs w:val="32"/>
          <w:lang w:val="zh-CN"/>
        </w:rPr>
      </w:pPr>
      <w:r>
        <w:rPr>
          <w:rFonts w:hint="eastAsia" w:ascii="仿宋" w:hAnsi="仿宋" w:eastAsia="仿宋" w:cs="仿宋_GB2312"/>
          <w:sz w:val="32"/>
          <w:szCs w:val="32"/>
        </w:rPr>
        <w:t>3.</w:t>
      </w:r>
      <w:r>
        <w:rPr>
          <w:rFonts w:hint="eastAsia" w:ascii="仿宋" w:hAnsi="仿宋" w:eastAsia="仿宋" w:cs="仿宋_GB2312"/>
          <w:sz w:val="32"/>
          <w:szCs w:val="32"/>
          <w:lang w:val="zh-CN"/>
        </w:rPr>
        <w:t>部门预算项目资金有结余率较大；</w:t>
      </w:r>
    </w:p>
    <w:p>
      <w:pPr>
        <w:adjustRightInd w:val="0"/>
        <w:snapToGrid w:val="0"/>
        <w:spacing w:line="540" w:lineRule="exact"/>
        <w:ind w:firstLine="640" w:firstLineChars="200"/>
        <w:contextualSpacing/>
        <w:outlineLvl w:val="2"/>
        <w:rPr>
          <w:rFonts w:ascii="方正仿宋简体" w:hAnsi="宋体" w:eastAsia="方正仿宋简体" w:cs="宋体"/>
          <w:color w:val="000000"/>
          <w:kern w:val="0"/>
          <w:sz w:val="32"/>
          <w:szCs w:val="32"/>
          <w:shd w:val="clear" w:color="auto" w:fill="FFFFFF"/>
        </w:rPr>
      </w:pPr>
      <w:r>
        <w:rPr>
          <w:rFonts w:hint="eastAsia" w:ascii="仿宋" w:hAnsi="仿宋" w:eastAsia="仿宋" w:cs="仿宋_GB2312"/>
          <w:sz w:val="32"/>
          <w:szCs w:val="32"/>
        </w:rPr>
        <w:t>4.</w:t>
      </w:r>
      <w:r>
        <w:rPr>
          <w:rFonts w:hint="eastAsia" w:ascii="仿宋" w:hAnsi="仿宋" w:eastAsia="仿宋" w:cs="仿宋_GB2312"/>
          <w:sz w:val="32"/>
          <w:szCs w:val="32"/>
          <w:lang w:val="zh-CN"/>
        </w:rPr>
        <w:t>部门未按要求将部门整体绩效自评情况和自行组织的评价情况向社会公开</w:t>
      </w:r>
      <w:r>
        <w:rPr>
          <w:rFonts w:hint="eastAsia" w:ascii="方正仿宋简体" w:hAnsi="宋体" w:eastAsia="方正仿宋简体" w:cs="宋体"/>
          <w:color w:val="000000"/>
          <w:kern w:val="0"/>
          <w:sz w:val="32"/>
          <w:szCs w:val="32"/>
          <w:shd w:val="clear" w:color="auto" w:fill="FFFFFF"/>
          <w:lang w:val="zh-CN"/>
        </w:rPr>
        <w:t>。</w:t>
      </w:r>
    </w:p>
    <w:p>
      <w:pPr>
        <w:snapToGrid w:val="0"/>
        <w:spacing w:line="540" w:lineRule="exact"/>
        <w:ind w:firstLine="640" w:firstLineChars="200"/>
        <w:outlineLvl w:val="2"/>
        <w:rPr>
          <w:rFonts w:ascii="楷体" w:hAnsi="楷体" w:eastAsia="楷体" w:cs="楷体"/>
          <w:sz w:val="32"/>
          <w:szCs w:val="32"/>
          <w:lang w:val="zh-CN"/>
        </w:rPr>
      </w:pPr>
      <w:r>
        <w:rPr>
          <w:rFonts w:hint="eastAsia" w:ascii="楷体" w:hAnsi="楷体" w:eastAsia="楷体" w:cs="楷体"/>
          <w:sz w:val="32"/>
          <w:szCs w:val="32"/>
          <w:lang w:val="zh-CN"/>
        </w:rPr>
        <w:t>（三）改进建议</w:t>
      </w:r>
    </w:p>
    <w:p>
      <w:pPr>
        <w:adjustRightInd w:val="0"/>
        <w:snapToGrid w:val="0"/>
        <w:spacing w:line="540" w:lineRule="exact"/>
        <w:ind w:firstLine="640" w:firstLineChars="200"/>
        <w:contextualSpacing/>
        <w:outlineLvl w:val="2"/>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rPr>
        <w:t>1.</w:t>
      </w:r>
      <w:r>
        <w:rPr>
          <w:rFonts w:hint="eastAsia" w:ascii="仿宋" w:hAnsi="仿宋" w:eastAsia="仿宋" w:cs="仿宋"/>
          <w:color w:val="000000"/>
          <w:kern w:val="0"/>
          <w:sz w:val="32"/>
          <w:szCs w:val="32"/>
          <w:shd w:val="clear" w:color="auto" w:fill="FFFFFF"/>
          <w:lang w:val="zh-CN"/>
        </w:rPr>
        <w:t>评价部门绩效目标纳入部门党组（委）会（办公会）集体决策范围；</w:t>
      </w:r>
    </w:p>
    <w:p>
      <w:pPr>
        <w:adjustRightInd w:val="0"/>
        <w:snapToGrid w:val="0"/>
        <w:spacing w:line="540" w:lineRule="exact"/>
        <w:ind w:firstLine="640" w:firstLineChars="200"/>
        <w:contextualSpacing/>
        <w:outlineLvl w:val="2"/>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2.严格执行预算，减小</w:t>
      </w:r>
      <w:r>
        <w:rPr>
          <w:rFonts w:hint="eastAsia" w:ascii="仿宋" w:hAnsi="仿宋" w:eastAsia="仿宋" w:cs="仿宋"/>
          <w:color w:val="000000"/>
          <w:kern w:val="0"/>
          <w:sz w:val="32"/>
          <w:szCs w:val="32"/>
          <w:shd w:val="clear" w:color="auto" w:fill="FFFFFF"/>
          <w:lang w:val="zh-CN"/>
        </w:rPr>
        <w:t>部门日常公用经费、项目支出中“办公费、印刷费、水费、电费、物业管理费”等科目年初预算数与决算数偏差程度</w:t>
      </w:r>
      <w:r>
        <w:rPr>
          <w:rFonts w:hint="eastAsia" w:ascii="仿宋" w:hAnsi="仿宋" w:eastAsia="仿宋" w:cs="仿宋"/>
          <w:color w:val="000000"/>
          <w:kern w:val="0"/>
          <w:sz w:val="32"/>
          <w:szCs w:val="32"/>
          <w:shd w:val="clear" w:color="auto" w:fill="FFFFFF"/>
        </w:rPr>
        <w:t>；</w:t>
      </w:r>
    </w:p>
    <w:p>
      <w:pPr>
        <w:adjustRightInd w:val="0"/>
        <w:snapToGrid w:val="0"/>
        <w:spacing w:line="540" w:lineRule="exact"/>
        <w:ind w:firstLine="640" w:firstLineChars="200"/>
        <w:contextualSpacing/>
        <w:outlineLvl w:val="2"/>
        <w:rPr>
          <w:rFonts w:ascii="仿宋" w:hAnsi="仿宋" w:eastAsia="仿宋" w:cs="仿宋_GB2312"/>
          <w:sz w:val="32"/>
          <w:szCs w:val="32"/>
          <w:lang w:val="zh-CN"/>
        </w:rPr>
      </w:pPr>
      <w:r>
        <w:rPr>
          <w:rFonts w:hint="eastAsia" w:ascii="仿宋" w:hAnsi="仿宋" w:eastAsia="仿宋" w:cs="仿宋_GB2312"/>
          <w:sz w:val="32"/>
          <w:szCs w:val="32"/>
          <w:lang w:val="zh-CN"/>
        </w:rPr>
        <w:t>3.加快部门预算项目12月预算执行进度，尽量未达到100%；</w:t>
      </w:r>
    </w:p>
    <w:p>
      <w:pPr>
        <w:adjustRightInd w:val="0"/>
        <w:snapToGrid w:val="0"/>
        <w:spacing w:line="540" w:lineRule="exact"/>
        <w:ind w:firstLine="640" w:firstLineChars="200"/>
        <w:contextualSpacing/>
        <w:outlineLvl w:val="2"/>
        <w:rPr>
          <w:rFonts w:ascii="仿宋" w:hAnsi="仿宋" w:eastAsia="仿宋" w:cs="仿宋_GB2312"/>
          <w:sz w:val="32"/>
          <w:szCs w:val="32"/>
          <w:lang w:val="zh-CN"/>
        </w:rPr>
      </w:pPr>
      <w:r>
        <w:rPr>
          <w:rFonts w:hint="eastAsia" w:ascii="仿宋" w:hAnsi="仿宋" w:eastAsia="仿宋" w:cs="仿宋_GB2312"/>
          <w:sz w:val="32"/>
          <w:szCs w:val="32"/>
          <w:lang w:val="zh-CN"/>
        </w:rPr>
        <w:t>4.合理安排资金使用进度，减小部门预算项目资金结余率；</w:t>
      </w:r>
    </w:p>
    <w:p>
      <w:pPr>
        <w:adjustRightInd w:val="0"/>
        <w:snapToGrid w:val="0"/>
        <w:spacing w:line="540" w:lineRule="exact"/>
        <w:ind w:firstLine="640" w:firstLineChars="200"/>
        <w:contextualSpacing/>
        <w:outlineLvl w:val="2"/>
        <w:rPr>
          <w:rFonts w:ascii="仿宋" w:hAnsi="仿宋" w:eastAsia="仿宋" w:cs="仿宋_GB2312"/>
          <w:sz w:val="32"/>
          <w:szCs w:val="32"/>
          <w:lang w:val="zh-CN"/>
        </w:rPr>
      </w:pPr>
      <w:r>
        <w:rPr>
          <w:rFonts w:hint="eastAsia" w:ascii="仿宋" w:hAnsi="仿宋" w:eastAsia="仿宋" w:cs="仿宋_GB2312"/>
          <w:sz w:val="32"/>
          <w:szCs w:val="32"/>
          <w:lang w:val="zh-CN"/>
        </w:rPr>
        <w:t>5.部门按要求将部门整体绩效自评情况和自行组织的评价情况向社会公开。</w:t>
      </w:r>
    </w:p>
    <w:p>
      <w:pPr>
        <w:adjustRightInd w:val="0"/>
        <w:snapToGrid w:val="0"/>
        <w:spacing w:line="540" w:lineRule="exact"/>
        <w:ind w:firstLine="640" w:firstLineChars="200"/>
        <w:contextualSpacing/>
        <w:outlineLvl w:val="2"/>
        <w:rPr>
          <w:rFonts w:ascii="仿宋" w:hAnsi="仿宋" w:eastAsia="仿宋" w:cs="仿宋_GB2312"/>
          <w:sz w:val="32"/>
          <w:szCs w:val="32"/>
          <w:lang w:val="zh-CN"/>
        </w:rPr>
      </w:pPr>
    </w:p>
    <w:p>
      <w:pPr>
        <w:pStyle w:val="6"/>
        <w:spacing w:before="72"/>
        <w:ind w:left="315" w:leftChars="150"/>
      </w:pPr>
    </w:p>
    <w:p>
      <w:r>
        <w:rPr>
          <w:rFonts w:hint="eastAsia"/>
        </w:rPr>
        <w:br w:type="page"/>
      </w:r>
    </w:p>
    <w:p>
      <w:pPr>
        <w:pStyle w:val="6"/>
        <w:spacing w:before="72"/>
        <w:outlineLvl w:val="1"/>
        <w:rPr>
          <w:rFonts w:ascii="仿宋" w:hAnsi="仿宋" w:eastAsia="仿宋" w:cs="仿宋"/>
          <w:color w:val="000000"/>
          <w:sz w:val="31"/>
          <w:szCs w:val="31"/>
          <w:lang w:bidi="ar"/>
        </w:rPr>
      </w:pPr>
      <w:bookmarkStart w:id="71" w:name="_Toc14430"/>
      <w:r>
        <w:rPr>
          <w:rFonts w:hint="eastAsia"/>
        </w:rPr>
        <w:t>附件2.1：</w:t>
      </w:r>
      <w:bookmarkEnd w:id="71"/>
    </w:p>
    <w:p>
      <w:pPr>
        <w:pStyle w:val="6"/>
        <w:spacing w:before="72"/>
        <w:outlineLvl w:val="1"/>
        <w:rPr>
          <w:rFonts w:ascii="仿宋" w:hAnsi="仿宋" w:eastAsia="仿宋" w:cs="仿宋_GB2312"/>
          <w:sz w:val="32"/>
          <w:szCs w:val="32"/>
        </w:rPr>
      </w:pPr>
    </w:p>
    <w:p>
      <w:pPr>
        <w:ind w:firstLine="1600" w:firstLineChars="400"/>
        <w:rPr>
          <w:rFonts w:ascii="方正小标宋简体" w:hAnsi="方正小标宋简体" w:eastAsia="方正小标宋简体" w:cs="方正小标宋简体"/>
          <w:bCs/>
          <w:sz w:val="40"/>
          <w:szCs w:val="40"/>
        </w:rPr>
      </w:pPr>
      <w:bookmarkStart w:id="72" w:name="_Toc15396618"/>
      <w:r>
        <w:rPr>
          <w:rFonts w:hint="eastAsia" w:ascii="方正小标宋简体" w:hAnsi="方正小标宋简体" w:eastAsia="方正小标宋简体" w:cs="方正小标宋简体"/>
          <w:bCs/>
          <w:sz w:val="40"/>
          <w:szCs w:val="40"/>
        </w:rPr>
        <w:t>广元市利州区东城实验初级中学</w:t>
      </w:r>
    </w:p>
    <w:p>
      <w:pPr>
        <w:pStyle w:val="31"/>
        <w:snapToGrid w:val="0"/>
        <w:spacing w:line="240" w:lineRule="auto"/>
        <w:jc w:val="center"/>
        <w:outlineLvl w:val="2"/>
        <w:rPr>
          <w:rFonts w:ascii="方正小标宋简体" w:hAnsi="方正小标宋简体" w:eastAsia="方正小标宋简体" w:cs="方正小标宋简体"/>
          <w:bCs/>
          <w:color w:val="auto"/>
          <w:kern w:val="2"/>
          <w:sz w:val="40"/>
          <w:szCs w:val="40"/>
        </w:rPr>
      </w:pPr>
      <w:r>
        <w:rPr>
          <w:rFonts w:hint="eastAsia" w:ascii="方正小标宋简体" w:hAnsi="方正小标宋简体" w:eastAsia="方正小标宋简体" w:cs="方正小标宋简体"/>
          <w:bCs/>
          <w:color w:val="auto"/>
          <w:kern w:val="2"/>
          <w:sz w:val="40"/>
          <w:szCs w:val="40"/>
        </w:rPr>
        <w:t>学生免作业本费项目支出绩效自评报告</w:t>
      </w:r>
    </w:p>
    <w:p>
      <w:pPr>
        <w:spacing w:line="560" w:lineRule="exact"/>
        <w:jc w:val="center"/>
        <w:rPr>
          <w:rFonts w:ascii="仿宋_GB2312" w:hAnsi="仿宋_GB2312" w:eastAsia="仿宋_GB2312" w:cs="仿宋_GB2312"/>
          <w:sz w:val="32"/>
          <w:szCs w:val="32"/>
        </w:rPr>
      </w:pPr>
    </w:p>
    <w:p>
      <w:pPr>
        <w:snapToGrid w:val="0"/>
        <w:spacing w:line="560" w:lineRule="exact"/>
        <w:ind w:firstLine="640" w:firstLineChars="200"/>
        <w:rPr>
          <w:rFonts w:ascii="仿宋" w:hAnsi="仿宋" w:eastAsia="仿宋" w:cs="仿宋"/>
          <w:sz w:val="32"/>
          <w:szCs w:val="32"/>
        </w:rPr>
      </w:pPr>
      <w:r>
        <w:rPr>
          <w:rFonts w:hint="eastAsia" w:ascii="黑体" w:hAnsi="黑体" w:eastAsia="黑体"/>
          <w:sz w:val="32"/>
          <w:szCs w:val="32"/>
        </w:rPr>
        <w:t>一、重大政策或项目基本情况</w:t>
      </w:r>
      <w:r>
        <w:rPr>
          <w:rFonts w:ascii="仿宋" w:hAnsi="仿宋" w:eastAsia="仿宋" w:cs="仿宋"/>
          <w:sz w:val="32"/>
          <w:szCs w:val="32"/>
        </w:rPr>
        <w:t>（背景、主要内容等）</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义务教育是教育工作的重中之重，在全面建成小康社会 进程中具有基础性、先导性和全局性的重要作用。 自 2006 年实施农村义务教育经费保障机制改革以来，义务教育逐步纳入公共财政保障范围，城乡免费义务教育全面实现，稳定增长的经费保障机制基本建立，九年义务教育全面普及，县域内义务教育均衡发展水平不断提高。但随着我国新型城镇 化建设和户籍制度改革不断推进，学生流动性加大，现行义务教育经费保障机制已不能很好适应新形势要求。城乡义务教育经费保障机制有关政策不统一、经费可携带性不强、资源配置不够均衡、综合</w:t>
      </w:r>
      <w:r>
        <w:rPr>
          <w:rFonts w:ascii="仿宋" w:hAnsi="仿宋" w:eastAsia="仿宋" w:cs="仿宋"/>
          <w:spacing w:val="-11"/>
          <w:sz w:val="32"/>
          <w:szCs w:val="32"/>
        </w:rPr>
        <w:t>改革有待深化等问题，都需要进一步 采取措施，切实加以解决</w:t>
      </w:r>
      <w:r>
        <w:rPr>
          <w:rFonts w:ascii="仿宋" w:hAnsi="仿宋" w:eastAsia="仿宋" w:cs="仿宋"/>
          <w:sz w:val="32"/>
          <w:szCs w:val="32"/>
        </w:rPr>
        <w:t>。</w:t>
      </w:r>
    </w:p>
    <w:p>
      <w:pPr>
        <w:snapToGrid w:val="0"/>
        <w:spacing w:line="560" w:lineRule="exact"/>
        <w:ind w:firstLine="640" w:firstLineChars="200"/>
        <w:rPr>
          <w:rFonts w:ascii="仿宋" w:hAnsi="仿宋" w:eastAsia="仿宋" w:cs="仿宋"/>
          <w:sz w:val="32"/>
          <w:szCs w:val="32"/>
        </w:rPr>
        <w:sectPr>
          <w:pgSz w:w="11906" w:h="16838"/>
          <w:pgMar w:top="1701" w:right="1474" w:bottom="1701" w:left="1587" w:header="0" w:footer="1304" w:gutter="0"/>
          <w:cols w:space="720" w:num="1"/>
          <w:docGrid w:linePitch="286" w:charSpace="0"/>
        </w:sectPr>
      </w:pPr>
      <w:r>
        <w:rPr>
          <w:rFonts w:ascii="仿宋" w:hAnsi="仿宋" w:eastAsia="仿宋" w:cs="仿宋"/>
          <w:sz w:val="32"/>
          <w:szCs w:val="32"/>
        </w:rPr>
        <w:t>在整合农村义务教育经费保障机制和城市义务教育奖补政策的基础上，建立城乡统一、重在农村的义务教育经费保障机制，是教育领域健全城乡发展一体化体制机制的重大 举措。这有利于推动省级政府统筹教育改革，优化教育布局， 实现城乡义务教育在更高层次的均衡发展，促进教育公平、 提高教育质量； 有利于深化财税体制改革，推动实现财政转移支付同农业转移人 口市民化挂钩，促进劳动力合理流动， 推动经济结构调整和产业转型升级； 有利于促进基本公共服</w:t>
      </w:r>
    </w:p>
    <w:p>
      <w:pPr>
        <w:snapToGrid w:val="0"/>
        <w:spacing w:line="560" w:lineRule="exact"/>
        <w:rPr>
          <w:rFonts w:ascii="仿宋" w:hAnsi="仿宋" w:eastAsia="仿宋" w:cs="仿宋"/>
          <w:sz w:val="32"/>
          <w:szCs w:val="32"/>
        </w:rPr>
      </w:pPr>
      <w:r>
        <w:rPr>
          <w:rFonts w:ascii="仿宋" w:hAnsi="仿宋" w:eastAsia="仿宋" w:cs="仿宋"/>
          <w:sz w:val="32"/>
          <w:szCs w:val="32"/>
        </w:rPr>
        <w:t>务均等化，构建社会主义和谐社会，建设人力资源强国。</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利州区高度重视义务教育，将义务教育阶段学校免除学生作业本费作为一项重要的民生实施工程，该项目主要是对义务教育阶段学生按“三免一补”政策标准进行资助的惠民政策，减轻家庭经济负担，保障义务教育阶段学生能够顺利 完成学业。项目内容及范围包括：义务教育阶段初中学生人均补助标准：40 元/年/生。</w:t>
      </w:r>
    </w:p>
    <w:p>
      <w:pPr>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二、立项必要性</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该项目已实施多年，有效贯彻了中央、省、市有关教师对于建设的决策部署，有效促进区内教学水平和人才培养质量稳步提升，促进各类教育事业有序、健康、协调发展。具有明显的经济效益和社会效益。</w:t>
      </w:r>
    </w:p>
    <w:p>
      <w:pPr>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三、投入经济性</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该项目在实施过程中，严格执行国家、省和市、区教育经费开支的范围和标准，资金总量严格控制在预算标准内，经费支出规范、合理，无虚列、虚报冒领和挤占挪用现象，票据规范、合法有效。财务信息公开透明，对预算批复、执行和“三公”经费等支出情况，主动公示并接受师生和群众监督。在区财政和教育主管部门定期组织对学校经费使用情 况的检查、审计中未发现重大违规、违纪现象。</w:t>
      </w:r>
    </w:p>
    <w:p>
      <w:pPr>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四、绩效目标情况</w:t>
      </w:r>
    </w:p>
    <w:p>
      <w:pPr>
        <w:snapToGrid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（一）绩效目标设置情况</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绩效评价指标是指衡量绩效目标实现程度的考核工具。绩效评价指标的确定应当遵循以下原则： 相关性原则、重要性原则、可比性原则、系统性原则、经济性原则。绩效评价指标分为共性指标和个性指标，共性指标由财政部门统一制定，个性指标由财政部门会同预算部门制定。</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被评价项目绩效评价指标体系设置3个一级指标、9 个二级指标、19 个三级指标。</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w:t>
      </w:r>
      <w:r>
        <w:rPr>
          <w:rFonts w:ascii="仿宋" w:hAnsi="仿宋" w:eastAsia="仿宋" w:cs="仿宋"/>
          <w:sz w:val="32"/>
          <w:szCs w:val="32"/>
        </w:rPr>
        <w:t>一级指标：设置项目完成、项目效益、满意度指标3 个 。</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w:t>
      </w:r>
      <w:r>
        <w:rPr>
          <w:rFonts w:ascii="仿宋" w:hAnsi="仿宋" w:eastAsia="仿宋" w:cs="仿宋"/>
          <w:sz w:val="32"/>
          <w:szCs w:val="32"/>
        </w:rPr>
        <w:t>二级指标：项目完成设置数量目标、质量指标、时效指标、效果指标和成本指标5个，项目效益设置社会效益、可持续发展指标和可持续影响指标3个，满意度指标设置服务对象满意度指标1个。</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w:t>
      </w:r>
      <w:r>
        <w:rPr>
          <w:rFonts w:ascii="仿宋" w:hAnsi="仿宋" w:eastAsia="仿宋" w:cs="仿宋"/>
          <w:sz w:val="32"/>
          <w:szCs w:val="32"/>
        </w:rPr>
        <w:t>三级指标： 数量指标设置专题受助人数等指标9个，质量指标设置受助覆盖面等指标3个；时效指标设置资金到位等指标2个，成本指标执行设置支出按规定标准等指标2个，效果指标设置受助对象合规率指标1个； 社会效益设置促进教育公平等指标2个； 可持续影响和发展指标设置政策知晓率、持续受助年限等指标 3 个；社会满意度指标设置学生满意度、学校满意度等指标3个。</w:t>
      </w:r>
    </w:p>
    <w:p>
      <w:pPr>
        <w:snapToGrid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（二）绩效指标合理性</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该项目绩效评价指标设置完整、科学、合理，各项绩效 指标可量化可考核，契合政策或项目实质，符合部门的长期 规划目标和年度工作目标要求。</w:t>
      </w:r>
    </w:p>
    <w:p>
      <w:pPr>
        <w:numPr>
          <w:ilvl w:val="0"/>
          <w:numId w:val="5"/>
        </w:numPr>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实施方案</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我区现有公办义务教育学校均执行农村义务教育经费保障政策。编制部门预算时，严格按照“二上二下”</w:t>
      </w:r>
      <w:r>
        <w:rPr>
          <w:rFonts w:hint="eastAsia" w:ascii="仿宋" w:hAnsi="仿宋" w:eastAsia="仿宋" w:cs="仿宋"/>
          <w:sz w:val="32"/>
          <w:szCs w:val="32"/>
        </w:rPr>
        <w:t>的</w:t>
      </w:r>
      <w:r>
        <w:rPr>
          <w:rFonts w:ascii="仿宋" w:hAnsi="仿宋" w:eastAsia="仿宋" w:cs="仿宋"/>
          <w:sz w:val="32"/>
          <w:szCs w:val="32"/>
        </w:rPr>
        <w:t>编制流程进行，预算方案经区人大会议审议通过后及时下达到各单位。为加强对公用经费使用得管理，区教育局出台了《广元市利州区公用经费管理办法》 等一系列教育管理制度，转 发了《差旅费管理办法》、《培训费管理办法》 等一系列规范 公用经费管理方面的文件，并将相关文件下发到各学校，要求各学校认真贯彻执行文件精神，全面规范财务管理，确保 公用经费按规定用途使用。</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在公用经费收支预算执行过程中，严格按照预算批复数分月按进度拨付到校，学校严格执行国家与省市区有关公用经费开支得范围与标准，经费支出规范、合理，无虚列、虚报冒领与挤占挪用得现象，票据规范、合法有效。教师培训经费每年按不低于公用经费支出总额得 5%计入年初支出预算，专项用于教师培训。严格按照预算批复数分期拨付到校，学校严格执行国家与省市区有关公用经费开支得范围与标准，经费支出规范、合理，无虚列、虚报冒领与挤占挪用得现象，票据规范、合法有效。建立了公务招待用餐管理制度，严格控制招待费支出。财务信息公开透明，对公用经费预算 批复情况、预算执行、“三公”经费等基本支出以及设备采购与校舍维修等项目支出情况，在每年的教职工大会上予以公布并在学校公示栏进行公示，主动接受师生与群众监督。区教育局、财政局定期组织对学校公用经费使用情况进行审计，对学校财务管理进行检查指导。</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该项目为公益性项目，属于公共财政支持范围，所需资金有财政预算全额保障。</w:t>
      </w:r>
    </w:p>
    <w:p>
      <w:pPr>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六、可持续性分析及综合评估</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根据国务院《于进一步完善城乡义务教育经费保障机制的通知》 等文件从制度层面保证教师培训项目的可持续性。</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此外，相关资金纳入部门预算，经费的来源能够得到有效保 障。区教育局为合理、有效、规范使用专项资金，根据国家统一的财务制度，制订了《学校财务管理制度》等规范性文件。</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规范了财务管理，确保经费使用合规合法。</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该项目总体评价得分为 83 分，评估等级为“良”。预期产出和效果充分满足利州区教育改革各相关需求。</w:t>
      </w:r>
    </w:p>
    <w:p>
      <w:pPr>
        <w:rPr>
          <w:rFonts w:ascii="黑体" w:hAnsi="黑体" w:eastAsia="黑体"/>
          <w:sz w:val="44"/>
          <w:szCs w:val="44"/>
        </w:rPr>
      </w:pPr>
      <w:r>
        <w:rPr>
          <w:rFonts w:hint="eastAsia" w:ascii="黑体" w:hAnsi="黑体" w:eastAsia="黑体"/>
          <w:sz w:val="44"/>
          <w:szCs w:val="44"/>
        </w:rPr>
        <w:br w:type="page"/>
      </w:r>
    </w:p>
    <w:p>
      <w:pPr>
        <w:spacing w:line="600" w:lineRule="exact"/>
        <w:outlineLvl w:val="2"/>
        <w:rPr>
          <w:rFonts w:ascii="宋体" w:hAnsi="宋体" w:cs="宋体"/>
          <w:sz w:val="32"/>
          <w:szCs w:val="32"/>
        </w:rPr>
      </w:pPr>
      <w:r>
        <w:rPr>
          <w:rFonts w:hint="eastAsia" w:ascii="宋体" w:hAnsi="宋体" w:cs="宋体"/>
          <w:sz w:val="32"/>
          <w:szCs w:val="32"/>
        </w:rPr>
        <w:t>附件2.2</w:t>
      </w:r>
    </w:p>
    <w:p>
      <w:pPr>
        <w:pStyle w:val="31"/>
        <w:snapToGrid w:val="0"/>
        <w:spacing w:line="240" w:lineRule="auto"/>
        <w:jc w:val="center"/>
        <w:outlineLvl w:val="2"/>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广元市利州区东城实验初级中学</w:t>
      </w:r>
    </w:p>
    <w:p>
      <w:pPr>
        <w:pStyle w:val="31"/>
        <w:snapToGrid w:val="0"/>
        <w:spacing w:line="240" w:lineRule="auto"/>
        <w:jc w:val="center"/>
        <w:outlineLvl w:val="2"/>
        <w:rPr>
          <w:rFonts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color w:val="auto"/>
          <w:kern w:val="2"/>
          <w:sz w:val="44"/>
          <w:szCs w:val="44"/>
        </w:rPr>
        <w:t>2021年</w:t>
      </w:r>
      <w:r>
        <w:rPr>
          <w:rFonts w:hint="eastAsia" w:ascii="方正小标宋简体" w:hAnsi="方正小标宋简体" w:eastAsia="方正小标宋简体" w:cs="方正小标宋简体"/>
          <w:sz w:val="44"/>
          <w:szCs w:val="44"/>
        </w:rPr>
        <w:t>寄宿生生活补助</w:t>
      </w:r>
      <w:r>
        <w:rPr>
          <w:rFonts w:hint="eastAsia" w:ascii="方正小标宋简体" w:hAnsi="方正小标宋简体" w:eastAsia="方正小标宋简体" w:cs="方正小标宋简体"/>
          <w:color w:val="auto"/>
          <w:kern w:val="2"/>
          <w:sz w:val="44"/>
          <w:szCs w:val="44"/>
        </w:rPr>
        <w:t>项目支出绩效自评报告</w:t>
      </w:r>
    </w:p>
    <w:p>
      <w:pPr>
        <w:adjustRightInd w:val="0"/>
        <w:snapToGrid w:val="0"/>
        <w:spacing w:line="576" w:lineRule="exact"/>
        <w:ind w:firstLine="640" w:firstLineChars="200"/>
        <w:rPr>
          <w:rFonts w:ascii="方正小标宋简体" w:hAnsi="方正小标宋简体" w:eastAsia="方正小标宋简体" w:cs="方正小标宋简体"/>
          <w:sz w:val="32"/>
          <w:szCs w:val="32"/>
          <w:lang w:val="zh-CN"/>
        </w:rPr>
      </w:pPr>
    </w:p>
    <w:p>
      <w:pPr>
        <w:adjustRightInd w:val="0"/>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一、重大政策或项目基本情况</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根据广元市人民政府关于进一步完善城乡义务教育经 费保障机制的实施意见广府办发（2017） 36 号的要求，利州 区全面推行“三免一补政策”， 更好的满足社会需求，减轻家庭经济负担，保障家庭经济困难学生能够顺利完成义务教育。</w:t>
      </w:r>
    </w:p>
    <w:p>
      <w:pPr>
        <w:adjustRightInd w:val="0"/>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二、立项必要性</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我校</w:t>
      </w:r>
      <w:r>
        <w:rPr>
          <w:rFonts w:ascii="仿宋" w:hAnsi="仿宋" w:eastAsia="仿宋" w:cs="仿宋"/>
          <w:sz w:val="32"/>
          <w:szCs w:val="32"/>
        </w:rPr>
        <w:t>学前教育以“乡镇公办为主，城区公民办并举， 分类规划，分层建设，同步推进”的发展思路，切实规范办 学行为，提高教育质量，逐步形成了覆盖城乡、群众满意的 教育公共服务体系。按照中央、省、市的相关政策,义务教 育家庭经济困难学生享受寄宿生活补助。区教育局和县财政 局密切配合,对补助人数进行育经费开支的范围和标准，经费支出规范、合理，无虚列、 虚报冒领和挤占挪用现象，票据规范、合法有效。财务信息公开透明，对预算批复，主动公示并接受师生和群众监督。 在区财政和教育主管部门定期组织对学校经费使用情况的检查、审计中未发现重大违规、违纪现象。</w:t>
      </w:r>
    </w:p>
    <w:p>
      <w:pPr>
        <w:snapToGrid w:val="0"/>
        <w:spacing w:line="560" w:lineRule="exact"/>
        <w:ind w:left="840"/>
        <w:rPr>
          <w:rFonts w:ascii="黑体" w:hAnsi="黑体" w:eastAsia="黑体" w:cs="黑体"/>
          <w:bCs/>
          <w:sz w:val="32"/>
          <w:szCs w:val="32"/>
        </w:rPr>
      </w:pPr>
      <w:r>
        <w:rPr>
          <w:rFonts w:hint="eastAsia" w:ascii="黑体" w:hAnsi="黑体" w:eastAsia="黑体" w:cs="黑体"/>
          <w:bCs/>
          <w:sz w:val="32"/>
          <w:szCs w:val="32"/>
        </w:rPr>
        <w:t>三、绩效目标情况</w:t>
      </w:r>
    </w:p>
    <w:p>
      <w:pPr>
        <w:snapToGrid w:val="0"/>
        <w:spacing w:line="560" w:lineRule="exact"/>
        <w:ind w:left="420" w:leftChars="200"/>
        <w:rPr>
          <w:rFonts w:ascii="楷体" w:hAnsi="楷体" w:eastAsia="楷体" w:cs="楷体"/>
          <w:sz w:val="32"/>
          <w:szCs w:val="32"/>
        </w:rPr>
      </w:pPr>
      <w:r>
        <w:rPr>
          <w:rFonts w:hint="eastAsia" w:ascii="楷体" w:hAnsi="楷体" w:eastAsia="楷体" w:cs="楷体"/>
          <w:sz w:val="32"/>
          <w:szCs w:val="32"/>
        </w:rPr>
        <w:t>（一）绩效目标设置情况</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绩效评价指标是指衡量绩效目标实现程度的考核工具。 绩效评价指标的确定应当遵循以下原则： 相关性原则、重要性原则、可比性原则、系统性原则、经济性原则。绩效评价 指标分为共性指标和个性指标，共性指标由财政部门统一制 定，个性指标由财政部门会同预算部门制定。</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被评价项目绩效评价指标体系设置 3 个一级指标、8 个 二级指标、23 个三级指标。</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w:t>
      </w:r>
      <w:r>
        <w:rPr>
          <w:rFonts w:ascii="仿宋" w:hAnsi="仿宋" w:eastAsia="仿宋" w:cs="仿宋"/>
          <w:sz w:val="32"/>
          <w:szCs w:val="32"/>
        </w:rPr>
        <w:t>一级指标：设置项目完成、项目效益、满意度指标3个 。</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w:t>
      </w:r>
      <w:r>
        <w:rPr>
          <w:rFonts w:ascii="仿宋" w:hAnsi="仿宋" w:eastAsia="仿宋" w:cs="仿宋"/>
          <w:sz w:val="32"/>
          <w:szCs w:val="32"/>
        </w:rPr>
        <w:t>二级指标：项目完成设置数量目标、质量指标、时效指标、成本指标4个，项目效益设置社会效益、经济效益和可持续影响指标3个，满意度指标设置服务对象满意度 指标1个。</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w:t>
      </w:r>
      <w:r>
        <w:rPr>
          <w:rFonts w:ascii="仿宋" w:hAnsi="仿宋" w:eastAsia="仿宋" w:cs="仿宋"/>
          <w:sz w:val="32"/>
          <w:szCs w:val="32"/>
        </w:rPr>
        <w:t>三级指标：数量指标设置小学阶段补助人数等指标3个，质量指标设置建档立卡贫困家庭学生占补助学生比例等指标3个； 时效指标设置 2022年11月秋季补助兑付到位等指标2个； 成本指标设置义务教育阶段小学寄宿学生每学年人均补助标准补助标准等指标4个； 社会效益设置义务教育阶段寄宿学生得到补助的比例等指标2个；可持续影响指标设置小学教育学生受助年限等指标2个； 社会满意度指 标设置义务教育学校教师满意度等指标3个。</w:t>
      </w:r>
    </w:p>
    <w:p>
      <w:pPr>
        <w:snapToGrid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（二）绩效指标合理性</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该项目绩效评价指标设置完整、科学、合理，各项绩效 指标可量化可考核，契合政策或项目实质，符合部门的长期 规划目标和年度工作目标要求。</w:t>
      </w:r>
    </w:p>
    <w:p>
      <w:pPr>
        <w:numPr>
          <w:ilvl w:val="0"/>
          <w:numId w:val="6"/>
        </w:numPr>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实施方案</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为保障该项目顺利实施，我局成立了以党组书记、局长 任组长，班子成员任副组长，各股室（站） 负责人为成员的 工作领导小组，将项目实施的各项绩效目标纳入部门年度工 作计划，并要求严格执行国家、省和市、区教育经费开支的 范围和标准，资金总量严格控制在预算标准内，经费支出规 范、合理。</w:t>
      </w:r>
    </w:p>
    <w:p>
      <w:pPr>
        <w:adjustRightInd w:val="0"/>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五、筹资合规性</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该项目为公益性项目，属于公共财政支持范围，所需资金有财政预算全额保障。</w:t>
      </w:r>
    </w:p>
    <w:p>
      <w:pPr>
        <w:adjustRightInd w:val="0"/>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六、可持续性分析及综合评估结论</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相关资金纳入部门预算，经费的来源能够得到有效保障。区教育局为合理、有效、规范使用专项资金，根据国家统一的财务制度，制订了《学校财务管理制度》等规范性文件。规范了财务管理，确保经费使用合规合法。</w:t>
      </w:r>
    </w:p>
    <w:p>
      <w:pPr>
        <w:ind w:firstLine="640" w:firstLineChars="200"/>
        <w:rPr>
          <w:rFonts w:ascii="仿宋" w:hAnsi="仿宋" w:eastAsia="仿宋" w:cs="仿宋"/>
          <w:sz w:val="32"/>
          <w:szCs w:val="32"/>
        </w:rPr>
      </w:pPr>
      <w:r>
        <w:rPr>
          <w:rFonts w:ascii="仿宋" w:hAnsi="仿宋" w:eastAsia="仿宋" w:cs="仿宋"/>
          <w:sz w:val="32"/>
          <w:szCs w:val="32"/>
        </w:rPr>
        <w:t>该项目总体评价得分为 89 分，评估等级为“良”。预期产出和效果充分满足利州区学前教育发展的相关需求。</w:t>
      </w:r>
      <w:r>
        <w:rPr>
          <w:rFonts w:hint="eastAsia" w:ascii="仿宋" w:hAnsi="仿宋" w:eastAsia="仿宋" w:cs="仿宋"/>
          <w:sz w:val="32"/>
          <w:szCs w:val="32"/>
        </w:rPr>
        <w:t>一、重大政策或项目基本情况</w:t>
      </w:r>
    </w:p>
    <w:p>
      <w:pPr>
        <w:ind w:firstLine="480" w:firstLineChars="150"/>
        <w:rPr>
          <w:rFonts w:ascii="仿宋" w:hAnsi="仿宋" w:eastAsia="仿宋" w:cs="仿宋"/>
          <w:sz w:val="32"/>
          <w:szCs w:val="32"/>
        </w:rPr>
      </w:pPr>
      <w:r>
        <w:rPr>
          <w:rFonts w:hint="eastAsia" w:ascii="仿宋" w:hAnsi="仿宋" w:eastAsia="仿宋" w:cs="仿宋"/>
          <w:sz w:val="32"/>
          <w:szCs w:val="32"/>
        </w:rPr>
        <w:t>根据广元市人民政府关于进一步完善城乡义务教育经费保障机制的实施意见广府办发（2017） 36 号的要求，利州区全面推行“三免一补政策”， 更好的满足社会需求，减轻家庭经济负担，保障家庭经济困难学生能够顺利完成义务教育。</w:t>
      </w:r>
    </w:p>
    <w:p>
      <w:pPr>
        <w:rPr>
          <w:rFonts w:ascii="黑体" w:hAnsi="黑体" w:eastAsia="黑体" w:cs="黑体"/>
          <w:b/>
          <w:bCs/>
          <w:sz w:val="36"/>
          <w:szCs w:val="36"/>
        </w:rPr>
      </w:pPr>
      <w:r>
        <w:rPr>
          <w:rFonts w:hint="eastAsia" w:ascii="黑体" w:hAnsi="黑体" w:eastAsia="黑体" w:cs="黑体"/>
          <w:b/>
          <w:bCs/>
          <w:sz w:val="36"/>
          <w:szCs w:val="36"/>
        </w:rPr>
        <w:br w:type="page"/>
      </w:r>
    </w:p>
    <w:p>
      <w:pPr>
        <w:spacing w:line="600" w:lineRule="exact"/>
        <w:outlineLvl w:val="2"/>
        <w:rPr>
          <w:rFonts w:ascii="宋体" w:hAnsi="宋体" w:cs="宋体"/>
          <w:sz w:val="32"/>
          <w:szCs w:val="32"/>
        </w:rPr>
      </w:pPr>
      <w:r>
        <w:rPr>
          <w:rFonts w:hint="eastAsia" w:ascii="宋体" w:hAnsi="宋体" w:cs="宋体"/>
          <w:sz w:val="32"/>
          <w:szCs w:val="32"/>
        </w:rPr>
        <w:t>附件2.3</w:t>
      </w:r>
    </w:p>
    <w:p>
      <w:pPr>
        <w:pStyle w:val="31"/>
        <w:snapToGrid w:val="0"/>
        <w:spacing w:line="240" w:lineRule="auto"/>
        <w:jc w:val="center"/>
        <w:outlineLvl w:val="2"/>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广元市利州区东城实验初级中学</w:t>
      </w:r>
    </w:p>
    <w:p>
      <w:pPr>
        <w:pStyle w:val="31"/>
        <w:snapToGrid w:val="0"/>
        <w:spacing w:line="240" w:lineRule="auto"/>
        <w:jc w:val="center"/>
        <w:outlineLvl w:val="2"/>
        <w:rPr>
          <w:rFonts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color w:val="auto"/>
          <w:kern w:val="2"/>
          <w:sz w:val="44"/>
          <w:szCs w:val="44"/>
        </w:rPr>
        <w:t>2021年</w:t>
      </w:r>
      <w:r>
        <w:rPr>
          <w:rFonts w:hint="eastAsia" w:ascii="方正小标宋简体" w:hAnsi="方正小标宋简体" w:eastAsia="方正小标宋简体" w:cs="方正小标宋简体"/>
          <w:sz w:val="44"/>
          <w:szCs w:val="44"/>
        </w:rPr>
        <w:t>名师工程专项补助</w:t>
      </w:r>
      <w:r>
        <w:rPr>
          <w:rFonts w:hint="eastAsia" w:ascii="方正小标宋简体" w:hAnsi="方正小标宋简体" w:eastAsia="方正小标宋简体" w:cs="方正小标宋简体"/>
          <w:color w:val="auto"/>
          <w:kern w:val="2"/>
          <w:sz w:val="44"/>
          <w:szCs w:val="44"/>
        </w:rPr>
        <w:t>项目支出绩效自评</w:t>
      </w:r>
    </w:p>
    <w:p>
      <w:pPr>
        <w:pStyle w:val="31"/>
        <w:snapToGrid w:val="0"/>
        <w:spacing w:line="240" w:lineRule="auto"/>
        <w:jc w:val="center"/>
        <w:outlineLvl w:val="2"/>
        <w:rPr>
          <w:rFonts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color w:val="auto"/>
          <w:kern w:val="2"/>
          <w:sz w:val="44"/>
          <w:szCs w:val="44"/>
        </w:rPr>
        <w:t>报告</w:t>
      </w:r>
    </w:p>
    <w:p>
      <w:pPr>
        <w:pStyle w:val="24"/>
        <w:numPr>
          <w:ilvl w:val="0"/>
          <w:numId w:val="7"/>
        </w:numPr>
        <w:adjustRightInd w:val="0"/>
        <w:snapToGrid w:val="0"/>
        <w:spacing w:line="550" w:lineRule="exact"/>
        <w:ind w:firstLineChars="0"/>
        <w:rPr>
          <w:rFonts w:ascii="黑体" w:hAnsi="黑体" w:eastAsia="黑体" w:cs="黑体"/>
          <w:bCs/>
          <w:sz w:val="32"/>
          <w:szCs w:val="32"/>
          <w:lang w:val="zh-CN"/>
        </w:rPr>
      </w:pPr>
      <w:r>
        <w:rPr>
          <w:rFonts w:hint="eastAsia" w:ascii="黑体" w:hAnsi="黑体" w:eastAsia="黑体" w:cs="黑体"/>
          <w:bCs/>
          <w:sz w:val="32"/>
          <w:szCs w:val="32"/>
          <w:lang w:val="zh-CN"/>
        </w:rPr>
        <w:t>项目概况</w:t>
      </w:r>
    </w:p>
    <w:p>
      <w:pPr>
        <w:adjustRightInd w:val="0"/>
        <w:snapToGrid w:val="0"/>
        <w:spacing w:line="550" w:lineRule="exact"/>
        <w:ind w:left="1134"/>
        <w:rPr>
          <w:rFonts w:ascii="楷体" w:hAnsi="楷体" w:eastAsia="楷体" w:cs="楷体"/>
          <w:bCs/>
          <w:sz w:val="32"/>
          <w:szCs w:val="32"/>
          <w:lang w:val="zh-CN"/>
        </w:rPr>
      </w:pPr>
      <w:r>
        <w:rPr>
          <w:rFonts w:hint="eastAsia" w:ascii="楷体" w:hAnsi="楷体" w:eastAsia="楷体" w:cs="楷体"/>
          <w:bCs/>
          <w:sz w:val="32"/>
          <w:szCs w:val="32"/>
          <w:lang w:val="zh-CN"/>
        </w:rPr>
        <w:t>（一）项目资金申报及批复情况</w:t>
      </w:r>
    </w:p>
    <w:p>
      <w:pPr>
        <w:adjustRightInd w:val="0"/>
        <w:snapToGrid w:val="0"/>
        <w:spacing w:line="550" w:lineRule="exact"/>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rPr>
        <w:t>为了培养广元市利州区高素质教师队伍，深化教育改革，全面提高素质教育，创设培养名师、铸造名师和发挥名师作用的环境，引领教师专业发展。广元市利州区教育局2021年向利州区政府申报名师工程专项补助项目资金，广元市利州区政府十分重视名师工程建设，2021年利州政府批复名师工程专项补助项目资金2万元/人，主要用于名师工作室工作经费。</w:t>
      </w:r>
    </w:p>
    <w:p>
      <w:pPr>
        <w:adjustRightInd w:val="0"/>
        <w:snapToGrid w:val="0"/>
        <w:spacing w:line="550" w:lineRule="exact"/>
        <w:ind w:left="1134"/>
        <w:rPr>
          <w:rFonts w:ascii="楷体" w:hAnsi="楷体" w:eastAsia="楷体" w:cs="楷体"/>
          <w:bCs/>
          <w:sz w:val="32"/>
          <w:szCs w:val="32"/>
          <w:lang w:val="zh-CN"/>
        </w:rPr>
      </w:pPr>
      <w:r>
        <w:rPr>
          <w:rFonts w:hint="eastAsia" w:ascii="楷体" w:hAnsi="楷体" w:eastAsia="楷体" w:cs="楷体"/>
          <w:bCs/>
          <w:sz w:val="32"/>
          <w:szCs w:val="32"/>
          <w:lang w:val="zh-CN"/>
        </w:rPr>
        <w:t>（二）项目绩效目标</w:t>
      </w:r>
    </w:p>
    <w:p>
      <w:pPr>
        <w:adjustRightInd w:val="0"/>
        <w:snapToGrid w:val="0"/>
        <w:spacing w:line="55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zh-CN"/>
        </w:rPr>
        <w:t>加强对全区“名师工作室”的管理，促“名师工作室”工作的扎实有效开展，支持和保障名师外出研修培训，强化名师的辐射引领作用。</w:t>
      </w:r>
      <w:r>
        <w:rPr>
          <w:rFonts w:hint="eastAsia" w:ascii="仿宋_GB2312" w:hAnsi="仿宋_GB2312" w:eastAsia="仿宋_GB2312" w:cs="仿宋_GB2312"/>
          <w:bCs/>
          <w:sz w:val="32"/>
          <w:szCs w:val="32"/>
        </w:rPr>
        <w:t>1.我校项目完成数量：“广元名师”名师工作室4个；2.项目效益：提高名师政治社会地位、充分发挥示范引领作用，提高教师整体教育水平、提高人才培养质量，促进地方经济社会发展，促进全区各类教育事业有序、协调发展，培养可持续发展所需的各类合格教师，对社会、经济发展可持续影响；3.满意度：名师满意度100%，名师服务学校满意度100%。</w:t>
      </w:r>
    </w:p>
    <w:p>
      <w:pPr>
        <w:adjustRightInd w:val="0"/>
        <w:snapToGrid w:val="0"/>
        <w:spacing w:line="55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2021年年初制订了名师工程专项工作计划</w:t>
      </w:r>
      <w:r>
        <w:rPr>
          <w:rFonts w:hint="eastAsia" w:ascii="仿宋_GB2312" w:hAnsi="仿宋_GB2312" w:eastAsia="仿宋_GB2312" w:cs="仿宋_GB2312"/>
          <w:sz w:val="32"/>
          <w:szCs w:val="32"/>
        </w:rPr>
        <w:t>。</w:t>
      </w:r>
    </w:p>
    <w:p>
      <w:pPr>
        <w:adjustRightInd w:val="0"/>
        <w:snapToGrid w:val="0"/>
        <w:spacing w:line="550" w:lineRule="exact"/>
        <w:ind w:left="1134"/>
        <w:rPr>
          <w:rFonts w:ascii="楷体" w:hAnsi="楷体" w:eastAsia="楷体" w:cs="楷体"/>
          <w:bCs/>
          <w:sz w:val="32"/>
          <w:szCs w:val="32"/>
          <w:lang w:val="zh-CN"/>
        </w:rPr>
      </w:pPr>
      <w:r>
        <w:rPr>
          <w:rFonts w:hint="eastAsia" w:ascii="楷体" w:hAnsi="楷体" w:eastAsia="楷体" w:cs="楷体"/>
          <w:bCs/>
          <w:sz w:val="32"/>
          <w:szCs w:val="32"/>
          <w:lang w:val="zh-CN"/>
        </w:rPr>
        <w:t>（三）项目资金申报相符性</w:t>
      </w:r>
    </w:p>
    <w:p>
      <w:pPr>
        <w:adjustRightInd w:val="0"/>
        <w:snapToGrid w:val="0"/>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该项目</w:t>
      </w:r>
      <w:r>
        <w:rPr>
          <w:rFonts w:hint="eastAsia" w:ascii="仿宋_GB2312" w:hAnsi="仿宋_GB2312" w:eastAsia="仿宋_GB2312" w:cs="仿宋_GB2312"/>
          <w:sz w:val="32"/>
          <w:szCs w:val="32"/>
          <w:lang w:val="zh-CN"/>
        </w:rPr>
        <w:t>申报内容</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val="zh-CN"/>
        </w:rPr>
        <w:t>具体实施内容相符，</w:t>
      </w:r>
      <w:r>
        <w:rPr>
          <w:rFonts w:hint="eastAsia" w:ascii="仿宋_GB2312" w:hAnsi="仿宋_GB2312" w:eastAsia="仿宋_GB2312" w:cs="仿宋_GB2312"/>
          <w:sz w:val="32"/>
          <w:szCs w:val="32"/>
        </w:rPr>
        <w:t>不存在改变项目资金用途的现象，</w:t>
      </w:r>
      <w:r>
        <w:rPr>
          <w:rFonts w:hint="eastAsia" w:ascii="仿宋_GB2312" w:hAnsi="仿宋_GB2312" w:eastAsia="仿宋_GB2312" w:cs="仿宋_GB2312"/>
          <w:sz w:val="32"/>
          <w:szCs w:val="32"/>
          <w:lang w:val="zh-CN"/>
        </w:rPr>
        <w:t>申报目标合理可行。</w:t>
      </w:r>
    </w:p>
    <w:p>
      <w:pPr>
        <w:adjustRightInd w:val="0"/>
        <w:snapToGrid w:val="0"/>
        <w:spacing w:line="55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二、项目实施及管理情况</w:t>
      </w:r>
    </w:p>
    <w:p>
      <w:pPr>
        <w:adjustRightInd w:val="0"/>
        <w:snapToGrid w:val="0"/>
        <w:spacing w:line="550" w:lineRule="exact"/>
        <w:ind w:firstLine="640" w:firstLineChars="200"/>
        <w:rPr>
          <w:rFonts w:ascii="楷体" w:hAnsi="楷体" w:eastAsia="楷体" w:cs="楷体"/>
          <w:sz w:val="32"/>
          <w:szCs w:val="32"/>
          <w:lang w:val="zh-CN"/>
        </w:rPr>
      </w:pPr>
      <w:r>
        <w:rPr>
          <w:rFonts w:hint="eastAsia" w:ascii="楷体" w:hAnsi="楷体" w:eastAsia="楷体" w:cs="楷体"/>
          <w:sz w:val="32"/>
          <w:szCs w:val="32"/>
          <w:lang w:val="zh-CN"/>
        </w:rPr>
        <w:t>（一）资金计划、到位及使用情况</w:t>
      </w:r>
    </w:p>
    <w:p>
      <w:pPr>
        <w:adjustRightInd w:val="0"/>
        <w:snapToGrid w:val="0"/>
        <w:spacing w:line="55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1．资金计划及到位。</w:t>
      </w:r>
    </w:p>
    <w:p>
      <w:pPr>
        <w:adjustRightInd w:val="0"/>
        <w:snapToGrid w:val="0"/>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2021年年初将该项目资金纳入区级财政资金预算，并及时下达该项目资金，资金到位及时，</w:t>
      </w:r>
      <w:r>
        <w:rPr>
          <w:rFonts w:hint="eastAsia" w:ascii="仿宋_GB2312" w:hAnsi="仿宋_GB2312" w:eastAsia="仿宋_GB2312" w:cs="仿宋_GB2312"/>
          <w:sz w:val="32"/>
          <w:szCs w:val="32"/>
          <w:lang w:val="zh-CN"/>
        </w:rPr>
        <w:t>资金到位率</w:t>
      </w:r>
      <w:r>
        <w:rPr>
          <w:rFonts w:hint="eastAsia" w:ascii="仿宋_GB2312" w:hAnsi="仿宋_GB2312" w:eastAsia="仿宋_GB2312" w:cs="仿宋_GB2312"/>
          <w:sz w:val="32"/>
          <w:szCs w:val="32"/>
        </w:rPr>
        <w:t>100%。</w:t>
      </w:r>
    </w:p>
    <w:p>
      <w:pPr>
        <w:adjustRightInd w:val="0"/>
        <w:snapToGrid w:val="0"/>
        <w:spacing w:line="55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CN"/>
        </w:rPr>
        <w:t>资金使用。</w:t>
      </w:r>
      <w:r>
        <w:rPr>
          <w:rFonts w:hint="eastAsia" w:ascii="仿宋_GB2312" w:hAnsi="仿宋_GB2312" w:eastAsia="仿宋_GB2312" w:cs="仿宋_GB2312"/>
          <w:bCs/>
          <w:sz w:val="32"/>
          <w:szCs w:val="32"/>
        </w:rPr>
        <w:t>名师工程专项补助项目资金主要用于名师工作室建设、培训、专题会议等方面的支出，经检查资金使用符合项目资金用途，</w:t>
      </w:r>
      <w:r>
        <w:rPr>
          <w:rFonts w:hint="eastAsia" w:ascii="仿宋_GB2312" w:hAnsi="仿宋_GB2312" w:eastAsia="仿宋_GB2312" w:cs="仿宋_GB2312"/>
          <w:sz w:val="32"/>
          <w:szCs w:val="32"/>
          <w:lang w:val="zh-CN"/>
        </w:rPr>
        <w:t>费用支付严格按照培训、会议和差旅等经费管理办法执行，严控各类支出，确保培训、会议等经费支出合规合法，资金支付与预算相符。</w:t>
      </w:r>
    </w:p>
    <w:p>
      <w:pPr>
        <w:adjustRightInd w:val="0"/>
        <w:snapToGrid w:val="0"/>
        <w:spacing w:line="550" w:lineRule="exact"/>
        <w:ind w:firstLine="640" w:firstLineChars="200"/>
        <w:rPr>
          <w:rFonts w:ascii="楷体" w:hAnsi="楷体" w:eastAsia="楷体" w:cs="楷体"/>
          <w:sz w:val="32"/>
          <w:szCs w:val="32"/>
          <w:lang w:val="zh-CN"/>
        </w:rPr>
      </w:pPr>
      <w:r>
        <w:rPr>
          <w:rFonts w:hint="eastAsia" w:ascii="楷体" w:hAnsi="楷体" w:eastAsia="楷体" w:cs="楷体"/>
          <w:sz w:val="32"/>
          <w:szCs w:val="32"/>
          <w:lang w:val="zh-CN"/>
        </w:rPr>
        <w:t>（二）项目财务管理情况</w:t>
      </w:r>
    </w:p>
    <w:p>
      <w:pPr>
        <w:adjustRightInd w:val="0"/>
        <w:snapToGrid w:val="0"/>
        <w:spacing w:line="55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bCs/>
          <w:sz w:val="32"/>
          <w:szCs w:val="32"/>
        </w:rPr>
        <w:t>项目财务管理制度建设健全、机构设置合理合规、会计核算及账务处理合理。该项目严格执行财务管理制度、财务处理及时、会计核算规范。</w:t>
      </w:r>
    </w:p>
    <w:p>
      <w:pPr>
        <w:adjustRightInd w:val="0"/>
        <w:snapToGrid w:val="0"/>
        <w:spacing w:line="550" w:lineRule="exact"/>
        <w:ind w:firstLine="640" w:firstLineChars="200"/>
        <w:rPr>
          <w:rFonts w:ascii="楷体" w:hAnsi="楷体" w:eastAsia="楷体" w:cs="楷体"/>
          <w:sz w:val="32"/>
          <w:szCs w:val="32"/>
          <w:lang w:val="zh-CN"/>
        </w:rPr>
      </w:pPr>
      <w:r>
        <w:rPr>
          <w:rFonts w:hint="eastAsia" w:ascii="楷体" w:hAnsi="楷体" w:eastAsia="楷体" w:cs="楷体"/>
          <w:sz w:val="32"/>
          <w:szCs w:val="32"/>
          <w:lang w:val="zh-CN"/>
        </w:rPr>
        <w:t>（三）项目组织实施情况</w:t>
      </w:r>
    </w:p>
    <w:p>
      <w:pPr>
        <w:adjustRightInd w:val="0"/>
        <w:snapToGrid w:val="0"/>
        <w:spacing w:line="55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东城实验初级中学成立了以教研室为主体的领导小组，专管业务工作，指导名工作室开展业务工作，2021年名师工程有序稳步开展，</w:t>
      </w:r>
      <w:r>
        <w:rPr>
          <w:rFonts w:hint="eastAsia" w:ascii="仿宋_GB2312" w:hAnsi="仿宋_GB2312" w:eastAsia="仿宋_GB2312" w:cs="仿宋_GB2312"/>
          <w:bCs/>
          <w:sz w:val="32"/>
          <w:szCs w:val="32"/>
          <w:lang w:val="zh-CN"/>
        </w:rPr>
        <w:t>工作的扎实有效，</w:t>
      </w:r>
      <w:r>
        <w:rPr>
          <w:rFonts w:hint="eastAsia" w:ascii="仿宋_GB2312" w:hAnsi="仿宋_GB2312" w:eastAsia="仿宋_GB2312" w:cs="仿宋_GB2312"/>
          <w:bCs/>
          <w:sz w:val="32"/>
          <w:szCs w:val="32"/>
        </w:rPr>
        <w:t>达到了预期的工作目标。成立了校财务室为主体的财务工作领导小组，指导和检查资金的使用情况，经检查，该专项资金使用合法合规，严格执行相关资金管理制度。</w:t>
      </w:r>
    </w:p>
    <w:p>
      <w:pPr>
        <w:adjustRightInd w:val="0"/>
        <w:snapToGrid w:val="0"/>
        <w:spacing w:line="55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三、项目绩效情况</w:t>
      </w:r>
    </w:p>
    <w:p>
      <w:pPr>
        <w:adjustRightInd w:val="0"/>
        <w:snapToGrid w:val="0"/>
        <w:spacing w:line="550" w:lineRule="exact"/>
        <w:ind w:firstLine="640" w:firstLineChars="200"/>
        <w:rPr>
          <w:rFonts w:ascii="楷体" w:hAnsi="楷体" w:eastAsia="楷体" w:cs="楷体"/>
          <w:sz w:val="32"/>
          <w:szCs w:val="32"/>
          <w:lang w:val="zh-CN"/>
        </w:rPr>
      </w:pPr>
      <w:r>
        <w:rPr>
          <w:rFonts w:hint="eastAsia" w:ascii="楷体" w:hAnsi="楷体" w:eastAsia="楷体" w:cs="楷体"/>
          <w:sz w:val="32"/>
          <w:szCs w:val="32"/>
          <w:lang w:val="zh-CN"/>
        </w:rPr>
        <w:t>（一）项目完成情况</w:t>
      </w:r>
    </w:p>
    <w:p>
      <w:pPr>
        <w:adjustRightInd w:val="0"/>
        <w:snapToGrid w:val="0"/>
        <w:spacing w:line="55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完成“广元名师”名师工作室5个，补助标准2万元/年，广元名师工作室补助率100%，广元名师补助率100%，按照名师工作计划及时支付差旅、会务等费用，费用支付严格按照培训、会议和差旅等经费管理办法执行，严控各类支出，确保培训、会议等经费支出只降不升。</w:t>
      </w:r>
    </w:p>
    <w:p>
      <w:pPr>
        <w:adjustRightInd w:val="0"/>
        <w:snapToGrid w:val="0"/>
        <w:spacing w:line="55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pacing w:val="-6"/>
          <w:sz w:val="32"/>
          <w:szCs w:val="32"/>
        </w:rPr>
        <w:t>021年12月底结转下年使用。</w:t>
      </w:r>
    </w:p>
    <w:p>
      <w:pPr>
        <w:adjustRightInd w:val="0"/>
        <w:snapToGrid w:val="0"/>
        <w:spacing w:line="550" w:lineRule="exact"/>
        <w:ind w:firstLine="640" w:firstLineChars="200"/>
        <w:rPr>
          <w:rFonts w:ascii="楷体" w:hAnsi="楷体" w:eastAsia="楷体" w:cs="楷体"/>
          <w:sz w:val="32"/>
          <w:szCs w:val="32"/>
          <w:lang w:val="zh-CN"/>
        </w:rPr>
      </w:pPr>
      <w:r>
        <w:rPr>
          <w:rFonts w:hint="eastAsia" w:ascii="楷体" w:hAnsi="楷体" w:eastAsia="楷体" w:cs="楷体"/>
          <w:sz w:val="32"/>
          <w:szCs w:val="32"/>
          <w:lang w:val="zh-CN"/>
        </w:rPr>
        <w:t>（二）项目效益情况</w:t>
      </w:r>
    </w:p>
    <w:p>
      <w:pPr>
        <w:adjustRightInd w:val="0"/>
        <w:snapToGrid w:val="0"/>
        <w:spacing w:line="55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充分发挥了名师示范引领作用，提高了教师整体教育水平，促进全区各类教育事业有序、协调发展，培养可持续发展所需的各类合格教师，对社会、经济发展可持续影响。名师满意度100%，名师服务学校满意度100%。</w:t>
      </w:r>
    </w:p>
    <w:p>
      <w:pPr>
        <w:adjustRightInd w:val="0"/>
        <w:snapToGrid w:val="0"/>
        <w:spacing w:line="55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四、问题及建议</w:t>
      </w:r>
    </w:p>
    <w:p>
      <w:pPr>
        <w:adjustRightInd w:val="0"/>
        <w:snapToGrid w:val="0"/>
        <w:spacing w:line="55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项目绩效目标需进一步细化，建立更加明确的目标。加强该项目工作的领导工作，使项目工作能深入有序开展。</w:t>
      </w:r>
    </w:p>
    <w:p>
      <w:pPr>
        <w:pStyle w:val="6"/>
        <w:spacing w:before="93"/>
      </w:pPr>
    </w:p>
    <w:p>
      <w:pPr>
        <w:pStyle w:val="6"/>
        <w:spacing w:before="93"/>
      </w:pPr>
    </w:p>
    <w:p>
      <w:pPr>
        <w:pStyle w:val="6"/>
        <w:spacing w:before="93"/>
      </w:pPr>
    </w:p>
    <w:p>
      <w:pPr>
        <w:pStyle w:val="6"/>
        <w:spacing w:before="93"/>
      </w:pPr>
    </w:p>
    <w:p>
      <w:pPr>
        <w:pStyle w:val="6"/>
        <w:spacing w:before="93"/>
      </w:pPr>
    </w:p>
    <w:p>
      <w:pPr>
        <w:pStyle w:val="6"/>
        <w:spacing w:before="93"/>
      </w:pPr>
    </w:p>
    <w:p>
      <w:pPr>
        <w:pStyle w:val="6"/>
        <w:spacing w:before="93"/>
      </w:pPr>
    </w:p>
    <w:p>
      <w:pPr>
        <w:pStyle w:val="6"/>
        <w:spacing w:before="93"/>
      </w:pPr>
    </w:p>
    <w:p>
      <w:pPr>
        <w:spacing w:line="600" w:lineRule="exact"/>
        <w:outlineLvl w:val="0"/>
        <w:rPr>
          <w:rFonts w:ascii="仿宋" w:hAnsi="仿宋" w:eastAsia="仿宋" w:cs="仿宋"/>
          <w:sz w:val="32"/>
          <w:szCs w:val="32"/>
        </w:rPr>
      </w:pPr>
      <w:bookmarkStart w:id="73" w:name="_Toc17167"/>
      <w:r>
        <w:rPr>
          <w:rFonts w:hint="eastAsia" w:ascii="仿宋" w:hAnsi="仿宋" w:eastAsia="仿宋" w:cs="仿宋"/>
          <w:sz w:val="32"/>
          <w:szCs w:val="32"/>
        </w:rPr>
        <w:t>附件3</w:t>
      </w:r>
      <w:bookmarkEnd w:id="73"/>
    </w:p>
    <w:p>
      <w:pPr>
        <w:pStyle w:val="6"/>
        <w:spacing w:before="93"/>
      </w:pPr>
    </w:p>
    <w:p>
      <w:pPr>
        <w:adjustRightInd w:val="0"/>
        <w:snapToGrid w:val="0"/>
        <w:jc w:val="center"/>
        <w:outlineLvl w:val="2"/>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2021年100万元以上（含）特定目标</w:t>
      </w:r>
    </w:p>
    <w:p>
      <w:pPr>
        <w:snapToGrid w:val="0"/>
        <w:jc w:val="center"/>
        <w:outlineLvl w:val="2"/>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部门预算项目绩效目标自评</w:t>
      </w:r>
    </w:p>
    <w:tbl>
      <w:tblPr>
        <w:tblStyle w:val="13"/>
        <w:tblpPr w:leftFromText="180" w:rightFromText="180" w:vertAnchor="text" w:horzAnchor="margin" w:tblpY="510"/>
        <w:tblOverlap w:val="never"/>
        <w:tblW w:w="5020" w:type="pct"/>
        <w:tblInd w:w="0" w:type="dxa"/>
        <w:tblLayout w:type="autofit"/>
        <w:tblCellMar>
          <w:top w:w="0" w:type="dxa"/>
          <w:left w:w="108" w:type="dxa"/>
          <w:bottom w:w="0" w:type="dxa"/>
          <w:right w:w="108" w:type="dxa"/>
        </w:tblCellMar>
      </w:tblPr>
      <w:tblGrid>
        <w:gridCol w:w="1274"/>
        <w:gridCol w:w="881"/>
        <w:gridCol w:w="1641"/>
        <w:gridCol w:w="2514"/>
        <w:gridCol w:w="1386"/>
        <w:gridCol w:w="1401"/>
      </w:tblGrid>
      <w:tr>
        <w:tblPrEx>
          <w:tblCellMar>
            <w:top w:w="0" w:type="dxa"/>
            <w:left w:w="108" w:type="dxa"/>
            <w:bottom w:w="0" w:type="dxa"/>
            <w:right w:w="108" w:type="dxa"/>
          </w:tblCellMar>
        </w:tblPrEx>
        <w:trPr>
          <w:trHeight w:val="537" w:hRule="atLeast"/>
        </w:trPr>
        <w:tc>
          <w:tcPr>
            <w:tcW w:w="1184" w:type="pct"/>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outlineLvl w:val="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主管部门及代码</w:t>
            </w:r>
          </w:p>
        </w:tc>
        <w:tc>
          <w:tcPr>
            <w:tcW w:w="2284" w:type="pct"/>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outlineLvl w:val="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广元市利州区教育局</w:t>
            </w:r>
          </w:p>
        </w:tc>
        <w:tc>
          <w:tcPr>
            <w:tcW w:w="762"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outlineLvl w:val="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实施单位</w:t>
            </w:r>
          </w:p>
        </w:tc>
        <w:tc>
          <w:tcPr>
            <w:tcW w:w="770"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outlineLvl w:val="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各学校</w:t>
            </w:r>
          </w:p>
        </w:tc>
      </w:tr>
      <w:tr>
        <w:tblPrEx>
          <w:tblCellMar>
            <w:top w:w="0" w:type="dxa"/>
            <w:left w:w="108" w:type="dxa"/>
            <w:bottom w:w="0" w:type="dxa"/>
            <w:right w:w="108" w:type="dxa"/>
          </w:tblCellMar>
        </w:tblPrEx>
        <w:trPr>
          <w:trHeight w:val="537" w:hRule="atLeast"/>
        </w:trPr>
        <w:tc>
          <w:tcPr>
            <w:tcW w:w="1184" w:type="pct"/>
            <w:gridSpan w:val="2"/>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outlineLvl w:val="2"/>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项目预算</w:t>
            </w:r>
          </w:p>
          <w:p>
            <w:pPr>
              <w:snapToGrid w:val="0"/>
              <w:jc w:val="center"/>
              <w:textAlignment w:val="center"/>
              <w:outlineLvl w:val="2"/>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执行情况</w:t>
            </w:r>
          </w:p>
          <w:p>
            <w:pPr>
              <w:snapToGrid w:val="0"/>
              <w:jc w:val="center"/>
              <w:textAlignment w:val="center"/>
              <w:outlineLvl w:val="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（万元）</w:t>
            </w:r>
          </w:p>
        </w:tc>
        <w:tc>
          <w:tcPr>
            <w:tcW w:w="902"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outlineLvl w:val="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预算数：</w:t>
            </w:r>
          </w:p>
        </w:tc>
        <w:tc>
          <w:tcPr>
            <w:tcW w:w="1381"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outlineLvl w:val="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0</w:t>
            </w:r>
          </w:p>
        </w:tc>
        <w:tc>
          <w:tcPr>
            <w:tcW w:w="762"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outlineLvl w:val="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执行数：</w:t>
            </w:r>
          </w:p>
        </w:tc>
        <w:tc>
          <w:tcPr>
            <w:tcW w:w="770"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outlineLvl w:val="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0</w:t>
            </w:r>
          </w:p>
        </w:tc>
      </w:tr>
      <w:tr>
        <w:tblPrEx>
          <w:tblCellMar>
            <w:top w:w="0" w:type="dxa"/>
            <w:left w:w="108" w:type="dxa"/>
            <w:bottom w:w="0" w:type="dxa"/>
            <w:right w:w="108" w:type="dxa"/>
          </w:tblCellMar>
        </w:tblPrEx>
        <w:trPr>
          <w:trHeight w:val="577" w:hRule="atLeast"/>
        </w:trPr>
        <w:tc>
          <w:tcPr>
            <w:tcW w:w="1184" w:type="pct"/>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heme="minorEastAsia" w:hAnsiTheme="minorEastAsia" w:eastAsiaTheme="minorEastAsia" w:cstheme="minorEastAsia"/>
                <w:color w:val="000000"/>
                <w:szCs w:val="21"/>
              </w:rPr>
            </w:pPr>
          </w:p>
        </w:tc>
        <w:tc>
          <w:tcPr>
            <w:tcW w:w="902"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outlineLvl w:val="2"/>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其中：</w:t>
            </w:r>
          </w:p>
          <w:p>
            <w:pPr>
              <w:snapToGrid w:val="0"/>
              <w:textAlignment w:val="center"/>
              <w:outlineLvl w:val="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财政拨款</w:t>
            </w:r>
          </w:p>
        </w:tc>
        <w:tc>
          <w:tcPr>
            <w:tcW w:w="1381"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outlineLvl w:val="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0</w:t>
            </w:r>
          </w:p>
        </w:tc>
        <w:tc>
          <w:tcPr>
            <w:tcW w:w="762"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outlineLvl w:val="2"/>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其中：</w:t>
            </w:r>
          </w:p>
          <w:p>
            <w:pPr>
              <w:snapToGrid w:val="0"/>
              <w:textAlignment w:val="center"/>
              <w:outlineLvl w:val="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财政拨款</w:t>
            </w:r>
          </w:p>
        </w:tc>
        <w:tc>
          <w:tcPr>
            <w:tcW w:w="770"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outlineLvl w:val="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0</w:t>
            </w:r>
          </w:p>
        </w:tc>
      </w:tr>
      <w:tr>
        <w:tblPrEx>
          <w:tblCellMar>
            <w:top w:w="0" w:type="dxa"/>
            <w:left w:w="108" w:type="dxa"/>
            <w:bottom w:w="0" w:type="dxa"/>
            <w:right w:w="108" w:type="dxa"/>
          </w:tblCellMar>
        </w:tblPrEx>
        <w:trPr>
          <w:trHeight w:val="537" w:hRule="atLeast"/>
        </w:trPr>
        <w:tc>
          <w:tcPr>
            <w:tcW w:w="1184" w:type="pct"/>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heme="minorEastAsia" w:hAnsiTheme="minorEastAsia" w:eastAsiaTheme="minorEastAsia" w:cstheme="minorEastAsia"/>
                <w:color w:val="000000"/>
                <w:szCs w:val="21"/>
              </w:rPr>
            </w:pPr>
          </w:p>
        </w:tc>
        <w:tc>
          <w:tcPr>
            <w:tcW w:w="902"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outlineLvl w:val="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其他资金</w:t>
            </w:r>
          </w:p>
        </w:tc>
        <w:tc>
          <w:tcPr>
            <w:tcW w:w="1381"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outlineLvl w:val="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0</w:t>
            </w:r>
          </w:p>
        </w:tc>
        <w:tc>
          <w:tcPr>
            <w:tcW w:w="762"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outlineLvl w:val="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其他资金</w:t>
            </w:r>
          </w:p>
        </w:tc>
        <w:tc>
          <w:tcPr>
            <w:tcW w:w="770"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outlineLvl w:val="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0</w:t>
            </w:r>
          </w:p>
        </w:tc>
      </w:tr>
      <w:tr>
        <w:tblPrEx>
          <w:tblCellMar>
            <w:top w:w="0" w:type="dxa"/>
            <w:left w:w="108" w:type="dxa"/>
            <w:bottom w:w="0" w:type="dxa"/>
            <w:right w:w="108" w:type="dxa"/>
          </w:tblCellMar>
        </w:tblPrEx>
        <w:trPr>
          <w:trHeight w:val="537" w:hRule="atLeast"/>
        </w:trPr>
        <w:tc>
          <w:tcPr>
            <w:tcW w:w="700" w:type="pct"/>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outlineLvl w:val="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年度总体目标完成情况</w:t>
            </w:r>
          </w:p>
        </w:tc>
        <w:tc>
          <w:tcPr>
            <w:tcW w:w="2768" w:type="pct"/>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outlineLvl w:val="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预期目标</w:t>
            </w:r>
          </w:p>
        </w:tc>
        <w:tc>
          <w:tcPr>
            <w:tcW w:w="1532" w:type="pct"/>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outlineLvl w:val="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目标实际完成情况</w:t>
            </w:r>
          </w:p>
        </w:tc>
      </w:tr>
      <w:tr>
        <w:tblPrEx>
          <w:tblCellMar>
            <w:top w:w="0" w:type="dxa"/>
            <w:left w:w="108" w:type="dxa"/>
            <w:bottom w:w="0" w:type="dxa"/>
            <w:right w:w="108" w:type="dxa"/>
          </w:tblCellMar>
        </w:tblPrEx>
        <w:trPr>
          <w:trHeight w:val="537" w:hRule="atLeast"/>
        </w:trPr>
        <w:tc>
          <w:tcPr>
            <w:tcW w:w="700" w:type="pct"/>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heme="minorEastAsia" w:hAnsiTheme="minorEastAsia" w:eastAsiaTheme="minorEastAsia" w:cstheme="minorEastAsia"/>
                <w:color w:val="000000"/>
                <w:szCs w:val="21"/>
              </w:rPr>
            </w:pPr>
          </w:p>
        </w:tc>
        <w:tc>
          <w:tcPr>
            <w:tcW w:w="2768" w:type="pct"/>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top"/>
              <w:outlineLvl w:val="2"/>
              <w:rPr>
                <w:rFonts w:asciiTheme="minorEastAsia" w:hAnsiTheme="minorEastAsia" w:eastAsiaTheme="minorEastAsia" w:cstheme="minorEastAsia"/>
                <w:color w:val="000000"/>
                <w:szCs w:val="21"/>
              </w:rPr>
            </w:pPr>
          </w:p>
        </w:tc>
        <w:tc>
          <w:tcPr>
            <w:tcW w:w="1532" w:type="pct"/>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top"/>
              <w:outlineLvl w:val="2"/>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577" w:hRule="atLeast"/>
        </w:trPr>
        <w:tc>
          <w:tcPr>
            <w:tcW w:w="700" w:type="pct"/>
            <w:vMerge w:val="restart"/>
            <w:tcBorders>
              <w:top w:val="single" w:color="000000" w:sz="4" w:space="0"/>
              <w:left w:val="single" w:color="000000" w:sz="4" w:space="0"/>
              <w:right w:val="single" w:color="000000" w:sz="4" w:space="0"/>
            </w:tcBorders>
            <w:vAlign w:val="center"/>
          </w:tcPr>
          <w:p>
            <w:pPr>
              <w:snapToGrid w:val="0"/>
              <w:jc w:val="center"/>
              <w:textAlignment w:val="center"/>
              <w:outlineLvl w:val="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年度绩效指标完成情况</w:t>
            </w:r>
          </w:p>
        </w:tc>
        <w:tc>
          <w:tcPr>
            <w:tcW w:w="484" w:type="pct"/>
            <w:tcBorders>
              <w:top w:val="single" w:color="000000" w:sz="4" w:space="0"/>
              <w:left w:val="nil"/>
              <w:bottom w:val="single" w:color="000000" w:sz="4" w:space="0"/>
              <w:right w:val="single" w:color="000000" w:sz="4" w:space="0"/>
            </w:tcBorders>
            <w:vAlign w:val="center"/>
          </w:tcPr>
          <w:p>
            <w:pPr>
              <w:snapToGrid w:val="0"/>
              <w:jc w:val="center"/>
              <w:textAlignment w:val="center"/>
              <w:outlineLvl w:val="2"/>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一级</w:t>
            </w:r>
          </w:p>
          <w:p>
            <w:pPr>
              <w:snapToGrid w:val="0"/>
              <w:jc w:val="center"/>
              <w:textAlignment w:val="center"/>
              <w:outlineLvl w:val="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指标</w:t>
            </w:r>
          </w:p>
        </w:tc>
        <w:tc>
          <w:tcPr>
            <w:tcW w:w="902"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outlineLvl w:val="2"/>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二级</w:t>
            </w:r>
          </w:p>
          <w:p>
            <w:pPr>
              <w:snapToGrid w:val="0"/>
              <w:jc w:val="center"/>
              <w:textAlignment w:val="center"/>
              <w:outlineLvl w:val="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指标</w:t>
            </w:r>
          </w:p>
        </w:tc>
        <w:tc>
          <w:tcPr>
            <w:tcW w:w="1381"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outlineLvl w:val="2"/>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三级</w:t>
            </w:r>
          </w:p>
          <w:p>
            <w:pPr>
              <w:snapToGrid w:val="0"/>
              <w:jc w:val="center"/>
              <w:textAlignment w:val="center"/>
              <w:outlineLvl w:val="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指标</w:t>
            </w:r>
          </w:p>
        </w:tc>
        <w:tc>
          <w:tcPr>
            <w:tcW w:w="762"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outlineLvl w:val="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预期指标值</w:t>
            </w:r>
          </w:p>
        </w:tc>
        <w:tc>
          <w:tcPr>
            <w:tcW w:w="770"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outlineLvl w:val="2"/>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实际完成</w:t>
            </w:r>
          </w:p>
          <w:p>
            <w:pPr>
              <w:snapToGrid w:val="0"/>
              <w:jc w:val="center"/>
              <w:textAlignment w:val="center"/>
              <w:outlineLvl w:val="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指标值</w:t>
            </w:r>
          </w:p>
        </w:tc>
      </w:tr>
      <w:tr>
        <w:tblPrEx>
          <w:tblCellMar>
            <w:top w:w="0" w:type="dxa"/>
            <w:left w:w="108" w:type="dxa"/>
            <w:bottom w:w="0" w:type="dxa"/>
            <w:right w:w="108" w:type="dxa"/>
          </w:tblCellMar>
        </w:tblPrEx>
        <w:trPr>
          <w:trHeight w:val="537" w:hRule="atLeast"/>
        </w:trPr>
        <w:tc>
          <w:tcPr>
            <w:tcW w:w="700" w:type="pct"/>
            <w:vMerge w:val="continue"/>
            <w:tcBorders>
              <w:left w:val="single" w:color="000000" w:sz="4" w:space="0"/>
              <w:right w:val="single" w:color="000000" w:sz="4" w:space="0"/>
            </w:tcBorders>
            <w:vAlign w:val="center"/>
          </w:tcPr>
          <w:p>
            <w:pPr>
              <w:snapToGrid w:val="0"/>
              <w:jc w:val="center"/>
              <w:rPr>
                <w:rFonts w:asciiTheme="minorEastAsia" w:hAnsiTheme="minorEastAsia" w:eastAsiaTheme="minorEastAsia" w:cstheme="minorEastAsia"/>
                <w:color w:val="000000"/>
                <w:szCs w:val="21"/>
              </w:rPr>
            </w:pPr>
          </w:p>
        </w:tc>
        <w:tc>
          <w:tcPr>
            <w:tcW w:w="484" w:type="pct"/>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ottom"/>
              <w:outlineLvl w:val="2"/>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完成</w:t>
            </w:r>
          </w:p>
          <w:p>
            <w:pPr>
              <w:snapToGrid w:val="0"/>
              <w:jc w:val="center"/>
              <w:textAlignment w:val="bottom"/>
              <w:outlineLvl w:val="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指标</w:t>
            </w:r>
          </w:p>
        </w:tc>
        <w:tc>
          <w:tcPr>
            <w:tcW w:w="902"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ottom"/>
              <w:outlineLvl w:val="2"/>
              <w:rPr>
                <w:rFonts w:asciiTheme="minorEastAsia" w:hAnsiTheme="minorEastAsia" w:eastAsiaTheme="minorEastAsia" w:cstheme="minorEastAsia"/>
                <w:color w:val="000000"/>
                <w:szCs w:val="21"/>
              </w:rPr>
            </w:pPr>
          </w:p>
        </w:tc>
        <w:tc>
          <w:tcPr>
            <w:tcW w:w="1381"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outlineLvl w:val="2"/>
              <w:rPr>
                <w:rFonts w:asciiTheme="minorEastAsia" w:hAnsiTheme="minorEastAsia" w:eastAsiaTheme="minorEastAsia" w:cstheme="minorEastAsia"/>
                <w:color w:val="000000"/>
                <w:szCs w:val="21"/>
              </w:rPr>
            </w:pPr>
          </w:p>
        </w:tc>
        <w:tc>
          <w:tcPr>
            <w:tcW w:w="762"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ottom"/>
              <w:outlineLvl w:val="2"/>
              <w:rPr>
                <w:rFonts w:asciiTheme="minorEastAsia" w:hAnsiTheme="minorEastAsia" w:eastAsiaTheme="minorEastAsia" w:cstheme="minorEastAsia"/>
                <w:color w:val="000000"/>
                <w:szCs w:val="21"/>
              </w:rPr>
            </w:pPr>
          </w:p>
        </w:tc>
        <w:tc>
          <w:tcPr>
            <w:tcW w:w="770"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ottom"/>
              <w:outlineLvl w:val="2"/>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537" w:hRule="atLeast"/>
        </w:trPr>
        <w:tc>
          <w:tcPr>
            <w:tcW w:w="700" w:type="pct"/>
            <w:vMerge w:val="continue"/>
            <w:tcBorders>
              <w:left w:val="single" w:color="000000" w:sz="4" w:space="0"/>
              <w:right w:val="single" w:color="000000" w:sz="4" w:space="0"/>
            </w:tcBorders>
            <w:vAlign w:val="center"/>
          </w:tcPr>
          <w:p>
            <w:pPr>
              <w:snapToGrid w:val="0"/>
              <w:jc w:val="center"/>
              <w:rPr>
                <w:rFonts w:asciiTheme="minorEastAsia" w:hAnsiTheme="minorEastAsia" w:eastAsiaTheme="minorEastAsia" w:cstheme="minorEastAsia"/>
                <w:color w:val="000000"/>
                <w:szCs w:val="21"/>
              </w:rPr>
            </w:pPr>
          </w:p>
        </w:tc>
        <w:tc>
          <w:tcPr>
            <w:tcW w:w="484" w:type="pct"/>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heme="minorEastAsia" w:hAnsiTheme="minorEastAsia" w:eastAsiaTheme="minorEastAsia" w:cstheme="minorEastAsia"/>
                <w:color w:val="000000"/>
                <w:szCs w:val="21"/>
              </w:rPr>
            </w:pPr>
          </w:p>
        </w:tc>
        <w:tc>
          <w:tcPr>
            <w:tcW w:w="902"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ottom"/>
              <w:outlineLvl w:val="2"/>
              <w:rPr>
                <w:rFonts w:asciiTheme="minorEastAsia" w:hAnsiTheme="minorEastAsia" w:eastAsiaTheme="minorEastAsia" w:cstheme="minorEastAsia"/>
                <w:color w:val="000000"/>
                <w:szCs w:val="21"/>
              </w:rPr>
            </w:pPr>
          </w:p>
        </w:tc>
        <w:tc>
          <w:tcPr>
            <w:tcW w:w="1381"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outlineLvl w:val="2"/>
              <w:rPr>
                <w:rFonts w:asciiTheme="minorEastAsia" w:hAnsiTheme="minorEastAsia" w:eastAsiaTheme="minorEastAsia" w:cstheme="minorEastAsia"/>
                <w:color w:val="000000"/>
                <w:szCs w:val="21"/>
              </w:rPr>
            </w:pPr>
          </w:p>
        </w:tc>
        <w:tc>
          <w:tcPr>
            <w:tcW w:w="762"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ottom"/>
              <w:outlineLvl w:val="2"/>
              <w:rPr>
                <w:rFonts w:asciiTheme="minorEastAsia" w:hAnsiTheme="minorEastAsia" w:eastAsiaTheme="minorEastAsia" w:cstheme="minorEastAsia"/>
                <w:color w:val="000000"/>
                <w:szCs w:val="21"/>
              </w:rPr>
            </w:pPr>
          </w:p>
        </w:tc>
        <w:tc>
          <w:tcPr>
            <w:tcW w:w="770"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ottom"/>
              <w:outlineLvl w:val="2"/>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537" w:hRule="atLeast"/>
        </w:trPr>
        <w:tc>
          <w:tcPr>
            <w:tcW w:w="700" w:type="pct"/>
            <w:vMerge w:val="continue"/>
            <w:tcBorders>
              <w:left w:val="single" w:color="000000" w:sz="4" w:space="0"/>
              <w:right w:val="single" w:color="000000" w:sz="4" w:space="0"/>
            </w:tcBorders>
            <w:vAlign w:val="center"/>
          </w:tcPr>
          <w:p>
            <w:pPr>
              <w:snapToGrid w:val="0"/>
              <w:jc w:val="center"/>
              <w:rPr>
                <w:rFonts w:asciiTheme="minorEastAsia" w:hAnsiTheme="minorEastAsia" w:eastAsiaTheme="minorEastAsia" w:cstheme="minorEastAsia"/>
                <w:color w:val="000000"/>
                <w:szCs w:val="21"/>
              </w:rPr>
            </w:pPr>
          </w:p>
        </w:tc>
        <w:tc>
          <w:tcPr>
            <w:tcW w:w="484" w:type="pct"/>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heme="minorEastAsia" w:hAnsiTheme="minorEastAsia" w:eastAsiaTheme="minorEastAsia" w:cstheme="minorEastAsia"/>
                <w:color w:val="000000"/>
                <w:szCs w:val="21"/>
              </w:rPr>
            </w:pPr>
          </w:p>
        </w:tc>
        <w:tc>
          <w:tcPr>
            <w:tcW w:w="902"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ottom"/>
              <w:outlineLvl w:val="2"/>
              <w:rPr>
                <w:rFonts w:asciiTheme="minorEastAsia" w:hAnsiTheme="minorEastAsia" w:eastAsiaTheme="minorEastAsia" w:cstheme="minorEastAsia"/>
                <w:color w:val="000000"/>
                <w:szCs w:val="21"/>
              </w:rPr>
            </w:pPr>
          </w:p>
        </w:tc>
        <w:tc>
          <w:tcPr>
            <w:tcW w:w="1381"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outlineLvl w:val="2"/>
              <w:rPr>
                <w:rFonts w:asciiTheme="minorEastAsia" w:hAnsiTheme="minorEastAsia" w:eastAsiaTheme="minorEastAsia" w:cstheme="minorEastAsia"/>
                <w:color w:val="000000"/>
                <w:szCs w:val="21"/>
              </w:rPr>
            </w:pPr>
          </w:p>
        </w:tc>
        <w:tc>
          <w:tcPr>
            <w:tcW w:w="762"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ottom"/>
              <w:outlineLvl w:val="2"/>
              <w:rPr>
                <w:rFonts w:asciiTheme="minorEastAsia" w:hAnsiTheme="minorEastAsia" w:eastAsiaTheme="minorEastAsia" w:cstheme="minorEastAsia"/>
                <w:color w:val="000000"/>
                <w:szCs w:val="21"/>
              </w:rPr>
            </w:pPr>
          </w:p>
        </w:tc>
        <w:tc>
          <w:tcPr>
            <w:tcW w:w="770"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ottom"/>
              <w:outlineLvl w:val="2"/>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577" w:hRule="atLeast"/>
        </w:trPr>
        <w:tc>
          <w:tcPr>
            <w:tcW w:w="700" w:type="pct"/>
            <w:vMerge w:val="continue"/>
            <w:tcBorders>
              <w:left w:val="single" w:color="000000" w:sz="4" w:space="0"/>
              <w:right w:val="single" w:color="000000" w:sz="4" w:space="0"/>
            </w:tcBorders>
            <w:vAlign w:val="center"/>
          </w:tcPr>
          <w:p>
            <w:pPr>
              <w:snapToGrid w:val="0"/>
              <w:jc w:val="center"/>
              <w:rPr>
                <w:rFonts w:asciiTheme="minorEastAsia" w:hAnsiTheme="minorEastAsia" w:eastAsiaTheme="minorEastAsia" w:cstheme="minorEastAsia"/>
                <w:color w:val="000000"/>
                <w:szCs w:val="21"/>
              </w:rPr>
            </w:pPr>
          </w:p>
        </w:tc>
        <w:tc>
          <w:tcPr>
            <w:tcW w:w="484" w:type="pct"/>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heme="minorEastAsia" w:hAnsiTheme="minorEastAsia" w:eastAsiaTheme="minorEastAsia" w:cstheme="minorEastAsia"/>
                <w:color w:val="000000"/>
                <w:szCs w:val="21"/>
              </w:rPr>
            </w:pPr>
          </w:p>
        </w:tc>
        <w:tc>
          <w:tcPr>
            <w:tcW w:w="902"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ottom"/>
              <w:outlineLvl w:val="2"/>
              <w:rPr>
                <w:rFonts w:asciiTheme="minorEastAsia" w:hAnsiTheme="minorEastAsia" w:eastAsiaTheme="minorEastAsia" w:cstheme="minorEastAsia"/>
                <w:color w:val="000000"/>
                <w:szCs w:val="21"/>
              </w:rPr>
            </w:pPr>
          </w:p>
        </w:tc>
        <w:tc>
          <w:tcPr>
            <w:tcW w:w="1381"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outlineLvl w:val="2"/>
              <w:rPr>
                <w:rFonts w:asciiTheme="minorEastAsia" w:hAnsiTheme="minorEastAsia" w:eastAsiaTheme="minorEastAsia" w:cstheme="minorEastAsia"/>
                <w:color w:val="000000"/>
                <w:szCs w:val="21"/>
              </w:rPr>
            </w:pPr>
          </w:p>
        </w:tc>
        <w:tc>
          <w:tcPr>
            <w:tcW w:w="762"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ottom"/>
              <w:outlineLvl w:val="2"/>
              <w:rPr>
                <w:rFonts w:asciiTheme="minorEastAsia" w:hAnsiTheme="minorEastAsia" w:eastAsiaTheme="minorEastAsia" w:cstheme="minorEastAsia"/>
                <w:color w:val="000000"/>
                <w:szCs w:val="21"/>
              </w:rPr>
            </w:pPr>
          </w:p>
        </w:tc>
        <w:tc>
          <w:tcPr>
            <w:tcW w:w="770"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ottom"/>
              <w:outlineLvl w:val="2"/>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577" w:hRule="atLeast"/>
        </w:trPr>
        <w:tc>
          <w:tcPr>
            <w:tcW w:w="700" w:type="pct"/>
            <w:vMerge w:val="continue"/>
            <w:tcBorders>
              <w:left w:val="single" w:color="000000" w:sz="4" w:space="0"/>
              <w:right w:val="single" w:color="000000" w:sz="4" w:space="0"/>
            </w:tcBorders>
            <w:vAlign w:val="center"/>
          </w:tcPr>
          <w:p>
            <w:pPr>
              <w:snapToGrid w:val="0"/>
              <w:jc w:val="center"/>
              <w:rPr>
                <w:rFonts w:asciiTheme="minorEastAsia" w:hAnsiTheme="minorEastAsia" w:eastAsiaTheme="minorEastAsia" w:cstheme="minorEastAsia"/>
                <w:color w:val="000000"/>
                <w:szCs w:val="21"/>
              </w:rPr>
            </w:pPr>
          </w:p>
        </w:tc>
        <w:tc>
          <w:tcPr>
            <w:tcW w:w="484" w:type="pct"/>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ottom"/>
              <w:outlineLvl w:val="2"/>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效益</w:t>
            </w:r>
          </w:p>
          <w:p>
            <w:pPr>
              <w:snapToGrid w:val="0"/>
              <w:jc w:val="center"/>
              <w:textAlignment w:val="bottom"/>
              <w:outlineLvl w:val="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指标</w:t>
            </w:r>
          </w:p>
        </w:tc>
        <w:tc>
          <w:tcPr>
            <w:tcW w:w="902" w:type="pct"/>
            <w:tcBorders>
              <w:top w:val="single" w:color="000000" w:sz="4" w:space="0"/>
              <w:left w:val="single" w:color="000000" w:sz="4" w:space="0"/>
              <w:bottom w:val="single" w:color="000000" w:sz="4" w:space="0"/>
              <w:right w:val="single" w:color="000000" w:sz="4" w:space="0"/>
            </w:tcBorders>
            <w:vAlign w:val="center"/>
          </w:tcPr>
          <w:p>
            <w:pPr>
              <w:snapToGrid w:val="0"/>
              <w:ind w:left="-63" w:leftChars="-30" w:right="-63" w:rightChars="-30"/>
              <w:jc w:val="center"/>
              <w:textAlignment w:val="bottom"/>
              <w:outlineLvl w:val="2"/>
              <w:rPr>
                <w:rFonts w:asciiTheme="minorEastAsia" w:hAnsiTheme="minorEastAsia" w:eastAsiaTheme="minorEastAsia" w:cstheme="minorEastAsia"/>
                <w:color w:val="000000"/>
                <w:szCs w:val="21"/>
              </w:rPr>
            </w:pPr>
          </w:p>
        </w:tc>
        <w:tc>
          <w:tcPr>
            <w:tcW w:w="1381"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ottom"/>
              <w:outlineLvl w:val="2"/>
              <w:rPr>
                <w:rFonts w:asciiTheme="minorEastAsia" w:hAnsiTheme="minorEastAsia" w:eastAsiaTheme="minorEastAsia" w:cstheme="minorEastAsia"/>
                <w:color w:val="000000"/>
                <w:szCs w:val="21"/>
              </w:rPr>
            </w:pPr>
          </w:p>
        </w:tc>
        <w:tc>
          <w:tcPr>
            <w:tcW w:w="762"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ottom"/>
              <w:outlineLvl w:val="2"/>
              <w:rPr>
                <w:rFonts w:asciiTheme="minorEastAsia" w:hAnsiTheme="minorEastAsia" w:eastAsiaTheme="minorEastAsia" w:cstheme="minorEastAsia"/>
                <w:color w:val="000000"/>
                <w:szCs w:val="21"/>
              </w:rPr>
            </w:pPr>
          </w:p>
        </w:tc>
        <w:tc>
          <w:tcPr>
            <w:tcW w:w="770"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ottom"/>
              <w:outlineLvl w:val="2"/>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577" w:hRule="atLeast"/>
        </w:trPr>
        <w:tc>
          <w:tcPr>
            <w:tcW w:w="700" w:type="pct"/>
            <w:vMerge w:val="continue"/>
            <w:tcBorders>
              <w:left w:val="single" w:color="000000" w:sz="4" w:space="0"/>
              <w:right w:val="single" w:color="000000" w:sz="4" w:space="0"/>
            </w:tcBorders>
            <w:vAlign w:val="center"/>
          </w:tcPr>
          <w:p>
            <w:pPr>
              <w:snapToGrid w:val="0"/>
              <w:jc w:val="center"/>
              <w:rPr>
                <w:rFonts w:asciiTheme="minorEastAsia" w:hAnsiTheme="minorEastAsia" w:eastAsiaTheme="minorEastAsia" w:cstheme="minorEastAsia"/>
                <w:color w:val="000000"/>
                <w:szCs w:val="21"/>
              </w:rPr>
            </w:pPr>
          </w:p>
        </w:tc>
        <w:tc>
          <w:tcPr>
            <w:tcW w:w="484" w:type="pct"/>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heme="minorEastAsia" w:hAnsiTheme="minorEastAsia" w:eastAsiaTheme="minorEastAsia" w:cstheme="minorEastAsia"/>
                <w:color w:val="000000"/>
                <w:szCs w:val="21"/>
              </w:rPr>
            </w:pPr>
          </w:p>
        </w:tc>
        <w:tc>
          <w:tcPr>
            <w:tcW w:w="902" w:type="pct"/>
            <w:tcBorders>
              <w:top w:val="single" w:color="000000" w:sz="4" w:space="0"/>
              <w:left w:val="single" w:color="000000" w:sz="4" w:space="0"/>
              <w:bottom w:val="single" w:color="000000" w:sz="4" w:space="0"/>
              <w:right w:val="single" w:color="000000" w:sz="4" w:space="0"/>
            </w:tcBorders>
            <w:vAlign w:val="center"/>
          </w:tcPr>
          <w:p>
            <w:pPr>
              <w:snapToGrid w:val="0"/>
              <w:ind w:left="-63" w:leftChars="-30" w:right="-63" w:rightChars="-30"/>
              <w:jc w:val="center"/>
              <w:textAlignment w:val="bottom"/>
              <w:outlineLvl w:val="2"/>
              <w:rPr>
                <w:rFonts w:asciiTheme="minorEastAsia" w:hAnsiTheme="minorEastAsia" w:eastAsiaTheme="minorEastAsia" w:cstheme="minorEastAsia"/>
                <w:color w:val="000000"/>
                <w:szCs w:val="21"/>
              </w:rPr>
            </w:pPr>
          </w:p>
        </w:tc>
        <w:tc>
          <w:tcPr>
            <w:tcW w:w="1381"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outlineLvl w:val="2"/>
              <w:rPr>
                <w:rFonts w:asciiTheme="minorEastAsia" w:hAnsiTheme="minorEastAsia" w:eastAsiaTheme="minorEastAsia" w:cstheme="minorEastAsia"/>
                <w:color w:val="000000"/>
                <w:szCs w:val="21"/>
              </w:rPr>
            </w:pPr>
          </w:p>
        </w:tc>
        <w:tc>
          <w:tcPr>
            <w:tcW w:w="762"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ottom"/>
              <w:outlineLvl w:val="2"/>
              <w:rPr>
                <w:rFonts w:asciiTheme="minorEastAsia" w:hAnsiTheme="minorEastAsia" w:eastAsiaTheme="minorEastAsia" w:cstheme="minorEastAsia"/>
                <w:color w:val="000000"/>
                <w:szCs w:val="21"/>
              </w:rPr>
            </w:pPr>
          </w:p>
        </w:tc>
        <w:tc>
          <w:tcPr>
            <w:tcW w:w="770"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ottom"/>
              <w:outlineLvl w:val="2"/>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537" w:hRule="atLeast"/>
        </w:trPr>
        <w:tc>
          <w:tcPr>
            <w:tcW w:w="700" w:type="pct"/>
            <w:vMerge w:val="continue"/>
            <w:tcBorders>
              <w:left w:val="single" w:color="000000" w:sz="4" w:space="0"/>
              <w:right w:val="single" w:color="000000" w:sz="4" w:space="0"/>
            </w:tcBorders>
            <w:vAlign w:val="center"/>
          </w:tcPr>
          <w:p>
            <w:pPr>
              <w:snapToGrid w:val="0"/>
              <w:jc w:val="center"/>
              <w:rPr>
                <w:rFonts w:asciiTheme="minorEastAsia" w:hAnsiTheme="minorEastAsia" w:eastAsiaTheme="minorEastAsia" w:cstheme="minorEastAsia"/>
                <w:color w:val="000000"/>
                <w:szCs w:val="21"/>
              </w:rPr>
            </w:pPr>
          </w:p>
        </w:tc>
        <w:tc>
          <w:tcPr>
            <w:tcW w:w="484" w:type="pct"/>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heme="minorEastAsia" w:hAnsiTheme="minorEastAsia" w:eastAsiaTheme="minorEastAsia" w:cstheme="minorEastAsia"/>
                <w:color w:val="000000"/>
                <w:szCs w:val="21"/>
              </w:rPr>
            </w:pPr>
          </w:p>
        </w:tc>
        <w:tc>
          <w:tcPr>
            <w:tcW w:w="902" w:type="pct"/>
            <w:tcBorders>
              <w:top w:val="single" w:color="000000" w:sz="4" w:space="0"/>
              <w:left w:val="single" w:color="000000" w:sz="4" w:space="0"/>
              <w:bottom w:val="single" w:color="000000" w:sz="4" w:space="0"/>
              <w:right w:val="single" w:color="000000" w:sz="4" w:space="0"/>
            </w:tcBorders>
            <w:vAlign w:val="center"/>
          </w:tcPr>
          <w:p>
            <w:pPr>
              <w:snapToGrid w:val="0"/>
              <w:ind w:left="147" w:leftChars="-30" w:right="-63" w:rightChars="-30" w:hanging="210" w:hangingChars="100"/>
              <w:jc w:val="center"/>
              <w:textAlignment w:val="bottom"/>
              <w:outlineLvl w:val="2"/>
              <w:rPr>
                <w:rFonts w:asciiTheme="minorEastAsia" w:hAnsiTheme="minorEastAsia" w:eastAsiaTheme="minorEastAsia" w:cstheme="minorEastAsia"/>
                <w:color w:val="000000"/>
                <w:szCs w:val="21"/>
              </w:rPr>
            </w:pPr>
          </w:p>
        </w:tc>
        <w:tc>
          <w:tcPr>
            <w:tcW w:w="1381"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outlineLvl w:val="2"/>
              <w:rPr>
                <w:rFonts w:asciiTheme="minorEastAsia" w:hAnsiTheme="minorEastAsia" w:eastAsiaTheme="minorEastAsia" w:cstheme="minorEastAsia"/>
                <w:color w:val="000000"/>
                <w:szCs w:val="21"/>
              </w:rPr>
            </w:pPr>
          </w:p>
        </w:tc>
        <w:tc>
          <w:tcPr>
            <w:tcW w:w="762"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ottom"/>
              <w:outlineLvl w:val="2"/>
              <w:rPr>
                <w:rFonts w:asciiTheme="minorEastAsia" w:hAnsiTheme="minorEastAsia" w:eastAsiaTheme="minorEastAsia" w:cstheme="minorEastAsia"/>
                <w:color w:val="000000"/>
                <w:szCs w:val="21"/>
              </w:rPr>
            </w:pPr>
          </w:p>
        </w:tc>
        <w:tc>
          <w:tcPr>
            <w:tcW w:w="770"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ottom"/>
              <w:outlineLvl w:val="2"/>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537" w:hRule="atLeast"/>
        </w:trPr>
        <w:tc>
          <w:tcPr>
            <w:tcW w:w="700" w:type="pct"/>
            <w:vMerge w:val="continue"/>
            <w:tcBorders>
              <w:left w:val="single" w:color="000000" w:sz="4" w:space="0"/>
              <w:right w:val="single" w:color="000000" w:sz="4" w:space="0"/>
            </w:tcBorders>
            <w:vAlign w:val="center"/>
          </w:tcPr>
          <w:p>
            <w:pPr>
              <w:snapToGrid w:val="0"/>
              <w:jc w:val="center"/>
              <w:rPr>
                <w:rFonts w:asciiTheme="minorEastAsia" w:hAnsiTheme="minorEastAsia" w:eastAsiaTheme="minorEastAsia" w:cstheme="minorEastAsia"/>
                <w:color w:val="000000"/>
                <w:szCs w:val="21"/>
              </w:rPr>
            </w:pPr>
          </w:p>
        </w:tc>
        <w:tc>
          <w:tcPr>
            <w:tcW w:w="484" w:type="pct"/>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heme="minorEastAsia" w:hAnsiTheme="minorEastAsia" w:eastAsiaTheme="minorEastAsia" w:cstheme="minorEastAsia"/>
                <w:color w:val="000000"/>
                <w:szCs w:val="21"/>
              </w:rPr>
            </w:pPr>
          </w:p>
        </w:tc>
        <w:tc>
          <w:tcPr>
            <w:tcW w:w="902" w:type="pct"/>
            <w:tcBorders>
              <w:top w:val="single" w:color="000000" w:sz="4" w:space="0"/>
              <w:left w:val="single" w:color="000000" w:sz="4" w:space="0"/>
              <w:bottom w:val="single" w:color="000000" w:sz="4" w:space="0"/>
              <w:right w:val="single" w:color="000000" w:sz="4" w:space="0"/>
            </w:tcBorders>
            <w:vAlign w:val="center"/>
          </w:tcPr>
          <w:p>
            <w:pPr>
              <w:snapToGrid w:val="0"/>
              <w:ind w:left="-63" w:leftChars="-30" w:right="-63" w:rightChars="-30"/>
              <w:jc w:val="center"/>
              <w:textAlignment w:val="bottom"/>
              <w:outlineLvl w:val="2"/>
              <w:rPr>
                <w:rFonts w:asciiTheme="minorEastAsia" w:hAnsiTheme="minorEastAsia" w:eastAsiaTheme="minorEastAsia" w:cstheme="minorEastAsia"/>
                <w:color w:val="000000"/>
                <w:szCs w:val="21"/>
              </w:rPr>
            </w:pPr>
          </w:p>
        </w:tc>
        <w:tc>
          <w:tcPr>
            <w:tcW w:w="1381"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outlineLvl w:val="2"/>
              <w:rPr>
                <w:rFonts w:asciiTheme="minorEastAsia" w:hAnsiTheme="minorEastAsia" w:eastAsiaTheme="minorEastAsia" w:cstheme="minorEastAsia"/>
                <w:color w:val="000000"/>
                <w:szCs w:val="21"/>
              </w:rPr>
            </w:pPr>
          </w:p>
        </w:tc>
        <w:tc>
          <w:tcPr>
            <w:tcW w:w="762"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ottom"/>
              <w:outlineLvl w:val="2"/>
              <w:rPr>
                <w:rFonts w:asciiTheme="minorEastAsia" w:hAnsiTheme="minorEastAsia" w:eastAsiaTheme="minorEastAsia" w:cstheme="minorEastAsia"/>
                <w:color w:val="000000"/>
                <w:szCs w:val="21"/>
              </w:rPr>
            </w:pPr>
          </w:p>
        </w:tc>
        <w:tc>
          <w:tcPr>
            <w:tcW w:w="770"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ottom"/>
              <w:outlineLvl w:val="2"/>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600" w:hRule="atLeast"/>
        </w:trPr>
        <w:tc>
          <w:tcPr>
            <w:tcW w:w="700" w:type="pct"/>
            <w:vMerge w:val="continue"/>
            <w:tcBorders>
              <w:left w:val="single" w:color="000000" w:sz="4" w:space="0"/>
              <w:bottom w:val="single" w:color="000000" w:sz="4" w:space="0"/>
              <w:right w:val="single" w:color="000000" w:sz="4" w:space="0"/>
            </w:tcBorders>
            <w:vAlign w:val="center"/>
          </w:tcPr>
          <w:p>
            <w:pPr>
              <w:snapToGrid w:val="0"/>
              <w:jc w:val="center"/>
              <w:rPr>
                <w:rFonts w:asciiTheme="minorEastAsia" w:hAnsiTheme="minorEastAsia" w:eastAsiaTheme="minorEastAsia" w:cstheme="minorEastAsia"/>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ottom"/>
              <w:outlineLvl w:val="2"/>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满意</w:t>
            </w:r>
          </w:p>
          <w:p>
            <w:pPr>
              <w:snapToGrid w:val="0"/>
              <w:jc w:val="center"/>
              <w:textAlignment w:val="bottom"/>
              <w:outlineLvl w:val="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度指标</w:t>
            </w:r>
          </w:p>
        </w:tc>
        <w:tc>
          <w:tcPr>
            <w:tcW w:w="902"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ottom"/>
              <w:outlineLvl w:val="2"/>
              <w:rPr>
                <w:rFonts w:asciiTheme="minorEastAsia" w:hAnsiTheme="minorEastAsia" w:eastAsiaTheme="minorEastAsia" w:cstheme="minorEastAsia"/>
                <w:color w:val="000000"/>
                <w:szCs w:val="21"/>
              </w:rPr>
            </w:pPr>
          </w:p>
        </w:tc>
        <w:tc>
          <w:tcPr>
            <w:tcW w:w="1381"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outlineLvl w:val="2"/>
              <w:rPr>
                <w:rFonts w:asciiTheme="minorEastAsia" w:hAnsiTheme="minorEastAsia" w:eastAsiaTheme="minorEastAsia" w:cstheme="minorEastAsia"/>
                <w:color w:val="000000"/>
                <w:szCs w:val="21"/>
              </w:rPr>
            </w:pPr>
          </w:p>
        </w:tc>
        <w:tc>
          <w:tcPr>
            <w:tcW w:w="762"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ottom"/>
              <w:outlineLvl w:val="2"/>
              <w:rPr>
                <w:rFonts w:asciiTheme="minorEastAsia" w:hAnsiTheme="minorEastAsia" w:eastAsiaTheme="minorEastAsia" w:cstheme="minorEastAsia"/>
                <w:color w:val="000000"/>
                <w:szCs w:val="21"/>
              </w:rPr>
            </w:pPr>
          </w:p>
        </w:tc>
        <w:tc>
          <w:tcPr>
            <w:tcW w:w="770"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ottom"/>
              <w:outlineLvl w:val="2"/>
              <w:rPr>
                <w:rFonts w:asciiTheme="minorEastAsia" w:hAnsiTheme="minorEastAsia" w:eastAsiaTheme="minorEastAsia" w:cstheme="minorEastAsia"/>
                <w:color w:val="000000"/>
                <w:szCs w:val="21"/>
              </w:rPr>
            </w:pPr>
          </w:p>
        </w:tc>
      </w:tr>
    </w:tbl>
    <w:p>
      <w:pPr>
        <w:spacing w:line="600" w:lineRule="exact"/>
        <w:jc w:val="left"/>
        <w:rPr>
          <w:rFonts w:ascii="黑体" w:hAnsi="黑体" w:eastAsia="黑体"/>
          <w:sz w:val="44"/>
          <w:szCs w:val="44"/>
        </w:rPr>
      </w:pPr>
    </w:p>
    <w:p>
      <w:pPr>
        <w:spacing w:line="600" w:lineRule="exact"/>
        <w:jc w:val="center"/>
        <w:outlineLvl w:val="0"/>
        <w:rPr>
          <w:rFonts w:ascii="黑体" w:hAnsi="黑体" w:eastAsia="黑体"/>
          <w:sz w:val="44"/>
          <w:szCs w:val="44"/>
        </w:rPr>
      </w:pPr>
      <w:bookmarkStart w:id="74" w:name="_Toc25694"/>
    </w:p>
    <w:p>
      <w:pPr>
        <w:spacing w:line="600" w:lineRule="exact"/>
        <w:jc w:val="center"/>
        <w:outlineLvl w:val="0"/>
        <w:rPr>
          <w:rFonts w:ascii="仿宋" w:hAnsi="仿宋" w:eastAsia="仿宋"/>
        </w:rPr>
      </w:pPr>
      <w:r>
        <w:rPr>
          <w:rFonts w:hint="eastAsia" w:ascii="黑体" w:hAnsi="黑体" w:eastAsia="黑体"/>
          <w:sz w:val="44"/>
          <w:szCs w:val="44"/>
        </w:rPr>
        <w:t>第</w:t>
      </w:r>
      <w:r>
        <w:rPr>
          <w:rStyle w:val="25"/>
          <w:rFonts w:hint="eastAsia" w:ascii="黑体" w:hAnsi="黑体" w:eastAsia="黑体"/>
          <w:b w:val="0"/>
        </w:rPr>
        <w:t>五部分 附表</w:t>
      </w:r>
      <w:bookmarkEnd w:id="72"/>
      <w:bookmarkEnd w:id="74"/>
      <w:bookmarkStart w:id="75" w:name="_Toc15396619"/>
    </w:p>
    <w:p>
      <w:pPr>
        <w:pStyle w:val="4"/>
        <w:snapToGrid w:val="0"/>
        <w:spacing w:before="0" w:after="0" w:line="560" w:lineRule="exact"/>
        <w:rPr>
          <w:rFonts w:ascii="仿宋" w:hAnsi="仿宋" w:eastAsia="仿宋"/>
          <w:b w:val="0"/>
        </w:rPr>
      </w:pPr>
    </w:p>
    <w:p>
      <w:pPr>
        <w:pStyle w:val="4"/>
        <w:snapToGrid w:val="0"/>
        <w:spacing w:before="0" w:after="0" w:line="620" w:lineRule="exact"/>
        <w:ind w:firstLine="640" w:firstLineChars="200"/>
        <w:rPr>
          <w:rFonts w:ascii="仿宋" w:hAnsi="仿宋" w:eastAsia="仿宋"/>
        </w:rPr>
      </w:pPr>
      <w:bookmarkStart w:id="76" w:name="_Toc5019"/>
      <w:r>
        <w:rPr>
          <w:rFonts w:hint="eastAsia" w:ascii="仿宋" w:hAnsi="仿宋" w:eastAsia="仿宋"/>
          <w:b w:val="0"/>
        </w:rPr>
        <w:t>一、收</w:t>
      </w:r>
      <w:r>
        <w:rPr>
          <w:rStyle w:val="26"/>
          <w:rFonts w:hint="eastAsia" w:ascii="仿宋" w:hAnsi="仿宋" w:eastAsia="仿宋"/>
          <w:b w:val="0"/>
          <w:bCs w:val="0"/>
        </w:rPr>
        <w:t>入支出决算总表</w:t>
      </w:r>
      <w:bookmarkEnd w:id="75"/>
      <w:bookmarkEnd w:id="76"/>
    </w:p>
    <w:p>
      <w:pPr>
        <w:pStyle w:val="4"/>
        <w:snapToGrid w:val="0"/>
        <w:spacing w:before="0" w:after="0" w:line="620" w:lineRule="exact"/>
        <w:ind w:firstLine="640" w:firstLineChars="200"/>
        <w:rPr>
          <w:rFonts w:ascii="仿宋" w:hAnsi="仿宋" w:eastAsia="仿宋"/>
        </w:rPr>
      </w:pPr>
      <w:bookmarkStart w:id="77" w:name="_Toc15396620"/>
      <w:bookmarkStart w:id="78" w:name="_Toc19794"/>
      <w:r>
        <w:rPr>
          <w:rFonts w:hint="eastAsia" w:ascii="仿宋" w:hAnsi="仿宋" w:eastAsia="仿宋"/>
          <w:b w:val="0"/>
        </w:rPr>
        <w:t>二、收</w:t>
      </w:r>
      <w:r>
        <w:rPr>
          <w:rStyle w:val="26"/>
          <w:rFonts w:hint="eastAsia" w:ascii="仿宋" w:hAnsi="仿宋" w:eastAsia="仿宋"/>
          <w:b w:val="0"/>
          <w:bCs w:val="0"/>
        </w:rPr>
        <w:t>入决算表</w:t>
      </w:r>
      <w:bookmarkEnd w:id="77"/>
      <w:bookmarkEnd w:id="78"/>
    </w:p>
    <w:p>
      <w:pPr>
        <w:pStyle w:val="4"/>
        <w:snapToGrid w:val="0"/>
        <w:spacing w:before="0" w:after="0" w:line="620" w:lineRule="exact"/>
        <w:ind w:firstLine="640" w:firstLineChars="200"/>
        <w:rPr>
          <w:rFonts w:ascii="仿宋" w:hAnsi="仿宋" w:eastAsia="仿宋"/>
        </w:rPr>
      </w:pPr>
      <w:bookmarkStart w:id="79" w:name="_Toc15396621"/>
      <w:bookmarkStart w:id="80" w:name="_Toc1814"/>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出决算表</w:t>
      </w:r>
      <w:bookmarkEnd w:id="79"/>
      <w:bookmarkEnd w:id="80"/>
    </w:p>
    <w:p>
      <w:pPr>
        <w:pStyle w:val="4"/>
        <w:snapToGrid w:val="0"/>
        <w:spacing w:before="0" w:after="0" w:line="620" w:lineRule="exact"/>
        <w:ind w:firstLine="640" w:firstLineChars="200"/>
        <w:rPr>
          <w:rFonts w:ascii="仿宋" w:hAnsi="仿宋" w:eastAsia="仿宋"/>
          <w:b w:val="0"/>
        </w:rPr>
      </w:pPr>
      <w:bookmarkStart w:id="81" w:name="_Toc15396622"/>
      <w:bookmarkStart w:id="82" w:name="_Toc11652"/>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81"/>
      <w:bookmarkEnd w:id="82"/>
    </w:p>
    <w:p>
      <w:pPr>
        <w:pStyle w:val="4"/>
        <w:snapToGrid w:val="0"/>
        <w:spacing w:before="0" w:after="0" w:line="620" w:lineRule="exact"/>
        <w:ind w:firstLine="640" w:firstLineChars="200"/>
        <w:rPr>
          <w:rStyle w:val="26"/>
          <w:rFonts w:ascii="仿宋" w:hAnsi="仿宋" w:eastAsia="仿宋"/>
          <w:b w:val="0"/>
          <w:bCs w:val="0"/>
        </w:rPr>
      </w:pPr>
      <w:bookmarkStart w:id="83" w:name="_Toc26044"/>
      <w:bookmarkStart w:id="84" w:name="_Toc15396623"/>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w:t>
      </w:r>
      <w:bookmarkEnd w:id="83"/>
      <w:bookmarkEnd w:id="84"/>
      <w:bookmarkStart w:id="85" w:name="_Toc15396624"/>
    </w:p>
    <w:p>
      <w:pPr>
        <w:pStyle w:val="4"/>
        <w:snapToGrid w:val="0"/>
        <w:spacing w:before="0" w:after="0" w:line="620" w:lineRule="exact"/>
        <w:ind w:firstLine="640" w:firstLineChars="200"/>
        <w:rPr>
          <w:rFonts w:ascii="仿宋" w:hAnsi="仿宋" w:eastAsia="仿宋"/>
        </w:rPr>
      </w:pPr>
      <w:bookmarkStart w:id="86" w:name="_Toc1662"/>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85"/>
      <w:bookmarkEnd w:id="86"/>
    </w:p>
    <w:p>
      <w:pPr>
        <w:pStyle w:val="4"/>
        <w:snapToGrid w:val="0"/>
        <w:spacing w:before="0" w:after="0" w:line="620" w:lineRule="exact"/>
        <w:ind w:firstLine="640" w:firstLineChars="200"/>
        <w:rPr>
          <w:rFonts w:ascii="仿宋" w:hAnsi="仿宋" w:eastAsia="仿宋"/>
        </w:rPr>
      </w:pPr>
      <w:bookmarkStart w:id="87" w:name="_Toc15396625"/>
      <w:bookmarkStart w:id="88" w:name="_Toc9260"/>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87"/>
      <w:bookmarkEnd w:id="88"/>
    </w:p>
    <w:p>
      <w:pPr>
        <w:pStyle w:val="4"/>
        <w:snapToGrid w:val="0"/>
        <w:spacing w:before="0" w:after="0" w:line="620" w:lineRule="exact"/>
        <w:ind w:firstLine="640" w:firstLineChars="200"/>
        <w:rPr>
          <w:rFonts w:ascii="仿宋" w:hAnsi="仿宋" w:eastAsia="仿宋"/>
        </w:rPr>
      </w:pPr>
      <w:bookmarkStart w:id="89" w:name="_Toc15396626"/>
      <w:bookmarkStart w:id="90" w:name="_Toc30388"/>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89"/>
      <w:bookmarkEnd w:id="90"/>
    </w:p>
    <w:p>
      <w:pPr>
        <w:pStyle w:val="4"/>
        <w:snapToGrid w:val="0"/>
        <w:spacing w:before="0" w:after="0" w:line="620" w:lineRule="exact"/>
        <w:ind w:firstLine="640" w:firstLineChars="200"/>
        <w:rPr>
          <w:rFonts w:ascii="仿宋" w:hAnsi="仿宋" w:eastAsia="仿宋"/>
        </w:rPr>
      </w:pPr>
      <w:bookmarkStart w:id="91" w:name="_Toc15396627"/>
      <w:bookmarkStart w:id="92" w:name="_Toc14865"/>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91"/>
      <w:bookmarkEnd w:id="92"/>
    </w:p>
    <w:p>
      <w:pPr>
        <w:pStyle w:val="4"/>
        <w:snapToGrid w:val="0"/>
        <w:spacing w:before="0" w:after="0" w:line="620" w:lineRule="exact"/>
        <w:ind w:firstLine="640" w:firstLineChars="200"/>
        <w:rPr>
          <w:rFonts w:ascii="仿宋" w:hAnsi="仿宋" w:eastAsia="仿宋"/>
        </w:rPr>
      </w:pPr>
      <w:bookmarkStart w:id="93" w:name="_Toc15396628"/>
      <w:bookmarkStart w:id="94" w:name="_Toc17930"/>
      <w:r>
        <w:rPr>
          <w:rStyle w:val="26"/>
          <w:rFonts w:hint="eastAsia" w:ascii="仿宋" w:hAnsi="仿宋" w:eastAsia="仿宋"/>
          <w:b w:val="0"/>
          <w:bCs w:val="0"/>
        </w:rPr>
        <w:t>十、</w:t>
      </w:r>
      <w:r>
        <w:rPr>
          <w:rFonts w:hint="eastAsia" w:ascii="仿宋" w:hAnsi="仿宋" w:eastAsia="仿宋"/>
          <w:b w:val="0"/>
        </w:rPr>
        <w:t>一</w:t>
      </w:r>
      <w:r>
        <w:rPr>
          <w:rStyle w:val="26"/>
          <w:rFonts w:hint="eastAsia" w:ascii="仿宋" w:hAnsi="仿宋" w:eastAsia="仿宋"/>
          <w:b w:val="0"/>
          <w:bCs w:val="0"/>
        </w:rPr>
        <w:t>般公共预算财政拨款“三公”经费支出决算表</w:t>
      </w:r>
      <w:bookmarkEnd w:id="93"/>
      <w:bookmarkEnd w:id="94"/>
    </w:p>
    <w:p>
      <w:pPr>
        <w:pStyle w:val="4"/>
        <w:snapToGrid w:val="0"/>
        <w:spacing w:before="0" w:after="0" w:line="620" w:lineRule="exact"/>
        <w:ind w:firstLine="640" w:firstLineChars="200"/>
        <w:rPr>
          <w:rFonts w:ascii="仿宋" w:hAnsi="仿宋" w:eastAsia="仿宋"/>
        </w:rPr>
      </w:pPr>
      <w:bookmarkStart w:id="95" w:name="_Toc15396629"/>
      <w:bookmarkStart w:id="96" w:name="_Toc19228"/>
      <w:r>
        <w:rPr>
          <w:rStyle w:val="26"/>
          <w:rFonts w:hint="eastAsia" w:ascii="仿宋" w:hAnsi="仿宋" w:eastAsia="仿宋"/>
          <w:b w:val="0"/>
          <w:bCs w:val="0"/>
        </w:rPr>
        <w:t>十一、</w:t>
      </w:r>
      <w:r>
        <w:rPr>
          <w:rFonts w:hint="eastAsia" w:ascii="仿宋" w:hAnsi="仿宋" w:eastAsia="仿宋"/>
          <w:b w:val="0"/>
        </w:rPr>
        <w:t>政</w:t>
      </w:r>
      <w:r>
        <w:rPr>
          <w:rStyle w:val="26"/>
          <w:rFonts w:hint="eastAsia" w:ascii="仿宋" w:hAnsi="仿宋" w:eastAsia="仿宋"/>
          <w:b w:val="0"/>
          <w:bCs w:val="0"/>
        </w:rPr>
        <w:t>府性基金预算财政拨款收入支出决算表</w:t>
      </w:r>
      <w:bookmarkEnd w:id="95"/>
      <w:bookmarkEnd w:id="96"/>
    </w:p>
    <w:p>
      <w:pPr>
        <w:pStyle w:val="4"/>
        <w:snapToGrid w:val="0"/>
        <w:spacing w:before="0" w:after="0" w:line="620" w:lineRule="exact"/>
        <w:ind w:firstLine="640" w:firstLineChars="200"/>
        <w:rPr>
          <w:rFonts w:ascii="仿宋" w:hAnsi="仿宋" w:eastAsia="仿宋"/>
        </w:rPr>
      </w:pPr>
      <w:bookmarkStart w:id="97" w:name="_Toc32608"/>
      <w:bookmarkStart w:id="98" w:name="_Toc15396630"/>
      <w:r>
        <w:rPr>
          <w:rStyle w:val="26"/>
          <w:rFonts w:hint="eastAsia" w:ascii="仿宋" w:hAnsi="仿宋" w:eastAsia="仿宋"/>
          <w:b w:val="0"/>
          <w:bCs w:val="0"/>
        </w:rPr>
        <w:t>十二、</w:t>
      </w:r>
      <w:r>
        <w:rPr>
          <w:rFonts w:hint="eastAsia" w:ascii="仿宋" w:hAnsi="仿宋" w:eastAsia="仿宋"/>
          <w:b w:val="0"/>
        </w:rPr>
        <w:t>政</w:t>
      </w:r>
      <w:r>
        <w:rPr>
          <w:rStyle w:val="26"/>
          <w:rFonts w:hint="eastAsia" w:ascii="仿宋" w:hAnsi="仿宋" w:eastAsia="仿宋"/>
          <w:b w:val="0"/>
          <w:bCs w:val="0"/>
        </w:rPr>
        <w:t>府性基金预算财政拨款“三公”经费支出决算表</w:t>
      </w:r>
      <w:bookmarkEnd w:id="97"/>
      <w:bookmarkEnd w:id="98"/>
    </w:p>
    <w:p>
      <w:pPr>
        <w:pStyle w:val="4"/>
        <w:snapToGrid w:val="0"/>
        <w:spacing w:before="0" w:after="0" w:line="620" w:lineRule="exact"/>
        <w:ind w:firstLine="640" w:firstLineChars="200"/>
        <w:rPr>
          <w:rStyle w:val="26"/>
          <w:rFonts w:ascii="仿宋" w:hAnsi="仿宋" w:eastAsia="仿宋"/>
          <w:b w:val="0"/>
          <w:bCs w:val="0"/>
        </w:rPr>
      </w:pPr>
      <w:bookmarkStart w:id="99" w:name="_Toc15396631"/>
      <w:bookmarkStart w:id="100" w:name="_Toc7384"/>
      <w:r>
        <w:rPr>
          <w:rStyle w:val="26"/>
          <w:rFonts w:hint="eastAsia" w:ascii="仿宋" w:hAnsi="仿宋" w:eastAsia="仿宋"/>
          <w:b w:val="0"/>
          <w:bCs w:val="0"/>
        </w:rPr>
        <w:t>十三、</w:t>
      </w:r>
      <w:r>
        <w:rPr>
          <w:rFonts w:hint="eastAsia" w:ascii="仿宋" w:hAnsi="仿宋" w:eastAsia="仿宋"/>
          <w:b w:val="0"/>
        </w:rPr>
        <w:t>国</w:t>
      </w:r>
      <w:r>
        <w:rPr>
          <w:rStyle w:val="26"/>
          <w:rFonts w:hint="eastAsia" w:ascii="仿宋" w:hAnsi="仿宋" w:eastAsia="仿宋"/>
          <w:b w:val="0"/>
          <w:bCs w:val="0"/>
        </w:rPr>
        <w:t>有资本经营预算财政拨款收入支出决算表</w:t>
      </w:r>
      <w:bookmarkEnd w:id="99"/>
      <w:bookmarkEnd w:id="100"/>
    </w:p>
    <w:p>
      <w:pPr>
        <w:snapToGrid w:val="0"/>
        <w:spacing w:line="620" w:lineRule="exact"/>
        <w:ind w:firstLine="640" w:firstLineChars="200"/>
        <w:outlineLvl w:val="1"/>
        <w:rPr>
          <w:rFonts w:eastAsia="仿宋"/>
        </w:rPr>
      </w:pPr>
      <w:bookmarkStart w:id="101" w:name="_Toc18325"/>
      <w:r>
        <w:rPr>
          <w:rStyle w:val="26"/>
          <w:rFonts w:hint="eastAsia" w:ascii="仿宋" w:hAnsi="仿宋" w:eastAsia="仿宋"/>
          <w:b w:val="0"/>
          <w:bCs w:val="0"/>
        </w:rPr>
        <w:t>十四、国有资本经营预算财政拨款支出决算表</w:t>
      </w:r>
      <w:bookmarkEnd w:id="101"/>
    </w:p>
    <w:p>
      <w:pPr>
        <w:snapToGrid w:val="0"/>
        <w:spacing w:line="620" w:lineRule="exact"/>
        <w:ind w:firstLine="420" w:firstLineChars="200"/>
        <w:outlineLvl w:val="1"/>
        <w:rPr>
          <w:rFonts w:eastAsia="仿宋"/>
        </w:rPr>
      </w:pPr>
    </w:p>
    <w:sectPr>
      <w:footerReference r:id="rId5" w:type="default"/>
      <w:pgSz w:w="11906" w:h="16838"/>
      <w:pgMar w:top="1701" w:right="1474" w:bottom="1701" w:left="1587" w:header="851" w:footer="1304"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2286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cs="宋体"/>
                              <w:sz w:val="24"/>
                              <w:szCs w:val="24"/>
                            </w:rPr>
                            <w:id w:val="-1994781956"/>
                          </w:sdtPr>
                          <w:sdtEndPr>
                            <w:rPr>
                              <w:rFonts w:hint="eastAsia" w:ascii="宋体" w:hAnsi="宋体" w:cs="宋体"/>
                              <w:sz w:val="24"/>
                              <w:szCs w:val="24"/>
                            </w:rPr>
                          </w:sdtEndPr>
                          <w:sdtContent>
                            <w:p>
                              <w:pPr>
                                <w:pStyle w:val="9"/>
                                <w:jc w:val="center"/>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PAGE   \* MERGEFORMAT</w:instrText>
                              </w:r>
                              <w:r>
                                <w:rPr>
                                  <w:rFonts w:hint="eastAsia" w:ascii="宋体" w:hAnsi="宋体" w:cs="宋体"/>
                                  <w:sz w:val="24"/>
                                  <w:szCs w:val="24"/>
                                </w:rPr>
                                <w:fldChar w:fldCharType="separate"/>
                              </w:r>
                              <w:r>
                                <w:rPr>
                                  <w:rFonts w:hint="eastAsia" w:ascii="宋体" w:hAnsi="宋体" w:cs="宋体"/>
                                  <w:sz w:val="24"/>
                                  <w:szCs w:val="24"/>
                                  <w:lang w:val="zh-CN"/>
                                </w:rPr>
                                <w:t>8</w:t>
                              </w:r>
                              <w:r>
                                <w:rPr>
                                  <w:rFonts w:hint="eastAsia" w:ascii="宋体" w:hAnsi="宋体" w:cs="宋体"/>
                                  <w:sz w:val="24"/>
                                  <w:szCs w:val="24"/>
                                </w:rPr>
                                <w:fldChar w:fldCharType="end"/>
                              </w:r>
                              <w:r>
                                <w:rPr>
                                  <w:rFonts w:hint="eastAsia" w:ascii="宋体" w:hAnsi="宋体" w:cs="宋体"/>
                                  <w:sz w:val="24"/>
                                  <w:szCs w:val="24"/>
                                </w:rPr>
                                <w:t xml:space="preserve"> —</w:t>
                              </w:r>
                            </w:p>
                          </w:sdtContent>
                        </w:sdt>
                        <w:p>
                          <w:pPr>
                            <w:pStyle w:val="6"/>
                            <w:spacing w:before="72"/>
                            <w:rPr>
                              <w:rFonts w:ascii="宋体" w:hAnsi="宋体" w:eastAsia="宋体" w:cs="宋体"/>
                              <w:sz w:val="24"/>
                            </w:rPr>
                          </w:pP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0pt;height:18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FW4H/1AAAAAQBAAAPAAAAAAAAAAEAIAAAADgAAABkcnMvZG93bnJldi54bWxQSwECFAAU&#10;AAAACACHTuJA3kdwDRgCAAAYBAAADgAAAAAAAAABACAAAAA5AQAAZHJzL2Uyb0RvYy54bWxQSwUG&#10;AAAAAAYABgBZAQAAwwUAAAAA&#10;">
              <v:fill on="f" focussize="0,0"/>
              <v:stroke on="f" weight="0.5pt"/>
              <v:imagedata o:title=""/>
              <o:lock v:ext="edit" aspectratio="f"/>
              <v:textbox inset="0mm,0mm,0mm,0mm">
                <w:txbxContent>
                  <w:sdt>
                    <w:sdtPr>
                      <w:rPr>
                        <w:rFonts w:hint="eastAsia" w:ascii="宋体" w:hAnsi="宋体" w:cs="宋体"/>
                        <w:sz w:val="24"/>
                        <w:szCs w:val="24"/>
                      </w:rPr>
                      <w:id w:val="-1994781956"/>
                    </w:sdtPr>
                    <w:sdtEndPr>
                      <w:rPr>
                        <w:rFonts w:hint="eastAsia" w:ascii="宋体" w:hAnsi="宋体" w:cs="宋体"/>
                        <w:sz w:val="24"/>
                        <w:szCs w:val="24"/>
                      </w:rPr>
                    </w:sdtEndPr>
                    <w:sdtContent>
                      <w:p>
                        <w:pPr>
                          <w:pStyle w:val="9"/>
                          <w:jc w:val="center"/>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PAGE   \* MERGEFORMAT</w:instrText>
                        </w:r>
                        <w:r>
                          <w:rPr>
                            <w:rFonts w:hint="eastAsia" w:ascii="宋体" w:hAnsi="宋体" w:cs="宋体"/>
                            <w:sz w:val="24"/>
                            <w:szCs w:val="24"/>
                          </w:rPr>
                          <w:fldChar w:fldCharType="separate"/>
                        </w:r>
                        <w:r>
                          <w:rPr>
                            <w:rFonts w:hint="eastAsia" w:ascii="宋体" w:hAnsi="宋体" w:cs="宋体"/>
                            <w:sz w:val="24"/>
                            <w:szCs w:val="24"/>
                            <w:lang w:val="zh-CN"/>
                          </w:rPr>
                          <w:t>8</w:t>
                        </w:r>
                        <w:r>
                          <w:rPr>
                            <w:rFonts w:hint="eastAsia" w:ascii="宋体" w:hAnsi="宋体" w:cs="宋体"/>
                            <w:sz w:val="24"/>
                            <w:szCs w:val="24"/>
                          </w:rPr>
                          <w:fldChar w:fldCharType="end"/>
                        </w:r>
                        <w:r>
                          <w:rPr>
                            <w:rFonts w:hint="eastAsia" w:ascii="宋体" w:hAnsi="宋体" w:cs="宋体"/>
                            <w:sz w:val="24"/>
                            <w:szCs w:val="24"/>
                          </w:rPr>
                          <w:t xml:space="preserve"> —</w:t>
                        </w:r>
                      </w:p>
                    </w:sdtContent>
                  </w:sdt>
                  <w:p>
                    <w:pPr>
                      <w:pStyle w:val="6"/>
                      <w:spacing w:before="72"/>
                      <w:rPr>
                        <w:rFonts w:ascii="宋体" w:hAnsi="宋体" w:eastAsia="宋体" w:cs="宋体"/>
                        <w:sz w:val="24"/>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03C9785A"/>
    <w:multiLevelType w:val="multilevel"/>
    <w:tmpl w:val="03C9785A"/>
    <w:lvl w:ilvl="0" w:tentative="0">
      <w:start w:val="1"/>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3">
    <w:nsid w:val="181E77D2"/>
    <w:multiLevelType w:val="multilevel"/>
    <w:tmpl w:val="181E77D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CA6BD44"/>
    <w:multiLevelType w:val="singleLevel"/>
    <w:tmpl w:val="2CA6BD44"/>
    <w:lvl w:ilvl="0" w:tentative="0">
      <w:start w:val="5"/>
      <w:numFmt w:val="chineseCounting"/>
      <w:suff w:val="nothing"/>
      <w:lvlText w:val="%1、"/>
      <w:lvlJc w:val="left"/>
      <w:rPr>
        <w:rFonts w:hint="eastAsia"/>
      </w:rPr>
    </w:lvl>
  </w:abstractNum>
  <w:abstractNum w:abstractNumId="5">
    <w:nsid w:val="40C55399"/>
    <w:multiLevelType w:val="singleLevel"/>
    <w:tmpl w:val="40C55399"/>
    <w:lvl w:ilvl="0" w:tentative="0">
      <w:start w:val="4"/>
      <w:numFmt w:val="chineseCounting"/>
      <w:suff w:val="nothing"/>
      <w:lvlText w:val="%1、"/>
      <w:lvlJc w:val="left"/>
      <w:rPr>
        <w:rFonts w:hint="eastAsia"/>
      </w:rPr>
    </w:lvl>
  </w:abstractNum>
  <w:abstractNum w:abstractNumId="6">
    <w:nsid w:val="68EF85FF"/>
    <w:multiLevelType w:val="singleLevel"/>
    <w:tmpl w:val="68EF85FF"/>
    <w:lvl w:ilvl="0" w:tentative="0">
      <w:start w:val="1"/>
      <w:numFmt w:val="chineseCounting"/>
      <w:suff w:val="nothing"/>
      <w:lvlText w:val="%1、"/>
      <w:lvlJc w:val="left"/>
      <w:pPr>
        <w:ind w:left="200"/>
      </w:pPr>
      <w:rPr>
        <w:rFonts w:hint="eastAsia"/>
      </w:rPr>
    </w:lvl>
  </w:abstractNum>
  <w:num w:numId="1">
    <w:abstractNumId w:val="3"/>
  </w:num>
  <w:num w:numId="2">
    <w:abstractNumId w:val="0"/>
  </w:num>
  <w:num w:numId="3">
    <w:abstractNumId w:val="1"/>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3YjkyOWUyYWY2MTg1MzQzNDgxYzZkMDMxODg1OD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A740F"/>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073C"/>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538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E0573"/>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1554"/>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C2F96"/>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764D9"/>
    <w:rsid w:val="0098660A"/>
    <w:rsid w:val="009931C3"/>
    <w:rsid w:val="009B2C43"/>
    <w:rsid w:val="009B4EAE"/>
    <w:rsid w:val="009B7573"/>
    <w:rsid w:val="009C22F4"/>
    <w:rsid w:val="009C2A4B"/>
    <w:rsid w:val="009C2E98"/>
    <w:rsid w:val="009C5851"/>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44C51"/>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766EE"/>
    <w:rsid w:val="00DA634F"/>
    <w:rsid w:val="00DA65AC"/>
    <w:rsid w:val="00DB1913"/>
    <w:rsid w:val="00DC410D"/>
    <w:rsid w:val="00DC5A81"/>
    <w:rsid w:val="00DC68CA"/>
    <w:rsid w:val="00DC7CBA"/>
    <w:rsid w:val="00DD73B7"/>
    <w:rsid w:val="00DF28BC"/>
    <w:rsid w:val="00DF34B9"/>
    <w:rsid w:val="00E01053"/>
    <w:rsid w:val="00E054A2"/>
    <w:rsid w:val="00E07ACF"/>
    <w:rsid w:val="00E331A1"/>
    <w:rsid w:val="00E33202"/>
    <w:rsid w:val="00E336A9"/>
    <w:rsid w:val="00E472B1"/>
    <w:rsid w:val="00E50624"/>
    <w:rsid w:val="00E568DF"/>
    <w:rsid w:val="00E61F0B"/>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0E34BC"/>
    <w:rsid w:val="01BD75FD"/>
    <w:rsid w:val="02D16390"/>
    <w:rsid w:val="031717B8"/>
    <w:rsid w:val="03AC55EF"/>
    <w:rsid w:val="061D6D0E"/>
    <w:rsid w:val="0A2032A3"/>
    <w:rsid w:val="0A393F15"/>
    <w:rsid w:val="0B861CEB"/>
    <w:rsid w:val="0B8A37D8"/>
    <w:rsid w:val="0C6904DC"/>
    <w:rsid w:val="0E4D5CB6"/>
    <w:rsid w:val="10C055FF"/>
    <w:rsid w:val="118107EC"/>
    <w:rsid w:val="11DD6519"/>
    <w:rsid w:val="129B0954"/>
    <w:rsid w:val="144647A2"/>
    <w:rsid w:val="14C96399"/>
    <w:rsid w:val="14F43AF1"/>
    <w:rsid w:val="15694528"/>
    <w:rsid w:val="168E4293"/>
    <w:rsid w:val="16BB723D"/>
    <w:rsid w:val="171419D3"/>
    <w:rsid w:val="17C05B4C"/>
    <w:rsid w:val="18015F3F"/>
    <w:rsid w:val="1A3312F4"/>
    <w:rsid w:val="1B041CD2"/>
    <w:rsid w:val="1BE8440E"/>
    <w:rsid w:val="1D155CEE"/>
    <w:rsid w:val="1E2B14E5"/>
    <w:rsid w:val="20F57F95"/>
    <w:rsid w:val="21944F55"/>
    <w:rsid w:val="21A60C8E"/>
    <w:rsid w:val="21BD0168"/>
    <w:rsid w:val="21DE7D39"/>
    <w:rsid w:val="22D507CE"/>
    <w:rsid w:val="23D700A4"/>
    <w:rsid w:val="23EF26A8"/>
    <w:rsid w:val="240371BF"/>
    <w:rsid w:val="25B83F05"/>
    <w:rsid w:val="25C741E6"/>
    <w:rsid w:val="27842671"/>
    <w:rsid w:val="27DD7DE7"/>
    <w:rsid w:val="28712D94"/>
    <w:rsid w:val="28724840"/>
    <w:rsid w:val="29FD04D3"/>
    <w:rsid w:val="2A097C66"/>
    <w:rsid w:val="2A8F792B"/>
    <w:rsid w:val="2ABE7A3E"/>
    <w:rsid w:val="2B6220A5"/>
    <w:rsid w:val="2C33078A"/>
    <w:rsid w:val="2C89076E"/>
    <w:rsid w:val="2E4D203A"/>
    <w:rsid w:val="2EFA178C"/>
    <w:rsid w:val="2FF67B04"/>
    <w:rsid w:val="2FFE3944"/>
    <w:rsid w:val="30B46D73"/>
    <w:rsid w:val="31456F95"/>
    <w:rsid w:val="319F7F4E"/>
    <w:rsid w:val="324C7EAF"/>
    <w:rsid w:val="3466001A"/>
    <w:rsid w:val="34EE6F87"/>
    <w:rsid w:val="351367B3"/>
    <w:rsid w:val="3997458B"/>
    <w:rsid w:val="39AE70AB"/>
    <w:rsid w:val="39E60773"/>
    <w:rsid w:val="3B322231"/>
    <w:rsid w:val="3C0C0783"/>
    <w:rsid w:val="3C371BD0"/>
    <w:rsid w:val="3E6A2D2C"/>
    <w:rsid w:val="3E9C3F6D"/>
    <w:rsid w:val="3F9F3A96"/>
    <w:rsid w:val="41DB1250"/>
    <w:rsid w:val="420B38E3"/>
    <w:rsid w:val="434D7F2B"/>
    <w:rsid w:val="45353093"/>
    <w:rsid w:val="47C71016"/>
    <w:rsid w:val="493C27E9"/>
    <w:rsid w:val="496F39ED"/>
    <w:rsid w:val="499B199C"/>
    <w:rsid w:val="49FF41D3"/>
    <w:rsid w:val="4BDF1349"/>
    <w:rsid w:val="4BE068DB"/>
    <w:rsid w:val="4BF6002B"/>
    <w:rsid w:val="4C25342A"/>
    <w:rsid w:val="4D3E7CBD"/>
    <w:rsid w:val="4E8C4626"/>
    <w:rsid w:val="4E9E13F5"/>
    <w:rsid w:val="4ECE2238"/>
    <w:rsid w:val="4ED52099"/>
    <w:rsid w:val="4EDD5E1C"/>
    <w:rsid w:val="4F686676"/>
    <w:rsid w:val="4FC964C4"/>
    <w:rsid w:val="517C7493"/>
    <w:rsid w:val="51B356E0"/>
    <w:rsid w:val="51DB4B86"/>
    <w:rsid w:val="538227E8"/>
    <w:rsid w:val="53F1045F"/>
    <w:rsid w:val="54122FDB"/>
    <w:rsid w:val="54422A68"/>
    <w:rsid w:val="55333C3E"/>
    <w:rsid w:val="563A62EE"/>
    <w:rsid w:val="56FB4F43"/>
    <w:rsid w:val="57390294"/>
    <w:rsid w:val="57EB3E30"/>
    <w:rsid w:val="5850359A"/>
    <w:rsid w:val="595E20F3"/>
    <w:rsid w:val="59A9272A"/>
    <w:rsid w:val="5B5EE107"/>
    <w:rsid w:val="5CB35466"/>
    <w:rsid w:val="60B56544"/>
    <w:rsid w:val="639E6324"/>
    <w:rsid w:val="64066EEA"/>
    <w:rsid w:val="647A4C53"/>
    <w:rsid w:val="64CA39A1"/>
    <w:rsid w:val="64E16127"/>
    <w:rsid w:val="6848117C"/>
    <w:rsid w:val="6A1C2E07"/>
    <w:rsid w:val="6A2565B6"/>
    <w:rsid w:val="6AB41C2B"/>
    <w:rsid w:val="6C225DA0"/>
    <w:rsid w:val="6C4A05C8"/>
    <w:rsid w:val="6E005A16"/>
    <w:rsid w:val="6ECD649B"/>
    <w:rsid w:val="6F871F4B"/>
    <w:rsid w:val="72734D90"/>
    <w:rsid w:val="737D6457"/>
    <w:rsid w:val="76BD6253"/>
    <w:rsid w:val="76CC7F32"/>
    <w:rsid w:val="773C72BE"/>
    <w:rsid w:val="79E7B28D"/>
    <w:rsid w:val="7BD227A0"/>
    <w:rsid w:val="7F392B36"/>
    <w:rsid w:val="7F9F20EE"/>
    <w:rsid w:val="7FA46881"/>
    <w:rsid w:val="7FAA0336"/>
    <w:rsid w:val="9E3A10E2"/>
    <w:rsid w:val="BBFE69FD"/>
    <w:rsid w:val="F2E1F9D4"/>
    <w:rsid w:val="F7880819"/>
    <w:rsid w:val="FFFF05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napToGrid w:val="0"/>
      <w:spacing w:line="300" w:lineRule="auto"/>
      <w:ind w:firstLine="556"/>
    </w:pPr>
    <w:rPr>
      <w:rFonts w:ascii="仿宋_GB2312" w:eastAsia="仿宋_GB2312"/>
      <w:kern w:val="0"/>
    </w:r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字符"/>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字符"/>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字符"/>
    <w:link w:val="6"/>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字符"/>
    <w:basedOn w:val="14"/>
    <w:link w:val="2"/>
    <w:qFormat/>
    <w:uiPriority w:val="9"/>
    <w:rPr>
      <w:rFonts w:ascii="Times New Roman" w:hAnsi="Times New Roman"/>
      <w:b/>
      <w:bCs/>
      <w:kern w:val="44"/>
      <w:sz w:val="44"/>
      <w:szCs w:val="44"/>
    </w:rPr>
  </w:style>
  <w:style w:type="character" w:customStyle="1" w:styleId="26">
    <w:name w:val="标题 2 字符"/>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字符"/>
    <w:basedOn w:val="14"/>
    <w:link w:val="8"/>
    <w:semiHidden/>
    <w:qFormat/>
    <w:uiPriority w:val="99"/>
    <w:rPr>
      <w:rFonts w:ascii="Times New Roman" w:hAnsi="Times New Roman"/>
      <w:kern w:val="2"/>
      <w:sz w:val="18"/>
      <w:szCs w:val="18"/>
    </w:rPr>
  </w:style>
  <w:style w:type="character" w:customStyle="1" w:styleId="29">
    <w:name w:val="标题 3 字符"/>
    <w:basedOn w:val="14"/>
    <w:link w:val="4"/>
    <w:qFormat/>
    <w:uiPriority w:val="9"/>
    <w:rPr>
      <w:rFonts w:ascii="Times New Roman" w:hAnsi="Times New Roman"/>
      <w:b/>
      <w:bCs/>
      <w:kern w:val="2"/>
      <w:sz w:val="32"/>
      <w:szCs w:val="32"/>
    </w:rPr>
  </w:style>
  <w:style w:type="paragraph" w:customStyle="1" w:styleId="30">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四号正文"/>
    <w:basedOn w:val="1"/>
    <w:qFormat/>
    <w:uiPriority w:val="0"/>
    <w:pPr>
      <w:spacing w:line="360" w:lineRule="auto"/>
    </w:pPr>
    <w:rPr>
      <w:rFonts w:ascii="??" w:hAnsi="??" w:eastAsia="Times New Roman"/>
      <w:color w:val="000000"/>
      <w:kern w:val="0"/>
      <w:sz w:val="28"/>
      <w:szCs w:val="21"/>
    </w:rPr>
  </w:style>
  <w:style w:type="paragraph" w:customStyle="1" w:styleId="32">
    <w:name w:val="WPSOffice手动目录 1"/>
    <w:qFormat/>
    <w:uiPriority w:val="0"/>
    <w:rPr>
      <w:rFonts w:asciiTheme="minorHAnsi" w:hAnsiTheme="minorHAnsi" w:eastAsiaTheme="minorEastAsia" w:cstheme="minorBidi"/>
      <w:lang w:val="en-US" w:eastAsia="zh-CN" w:bidi="ar-SA"/>
    </w:rPr>
  </w:style>
  <w:style w:type="paragraph" w:customStyle="1" w:styleId="33">
    <w:name w:val="WPSOffice手动目录 2"/>
    <w:qFormat/>
    <w:uiPriority w:val="0"/>
    <w:pPr>
      <w:ind w:left="200" w:leftChars="2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381551330884988"/>
          <c:y val="0.0251909997318447"/>
          <c:w val="0.802166349721575"/>
          <c:h val="0.847475195631506"/>
        </c:manualLayout>
      </c:layout>
      <c:barChart>
        <c:barDir val="col"/>
        <c:grouping val="clustered"/>
        <c:varyColors val="false"/>
        <c:ser>
          <c:idx val="2"/>
          <c:order val="2"/>
          <c:tx>
            <c:strRef>
              <c:f>Sheet1!$B$1</c:f>
              <c:strCache>
                <c:ptCount val="1"/>
                <c:pt idx="0">
                  <c:v>收、支决算总计（万元）</c:v>
                </c:pt>
              </c:strCache>
            </c:strRef>
          </c:tx>
          <c:invertIfNegative val="false"/>
          <c:dLbls>
            <c:dLbl>
              <c:idx val="0"/>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zh-CN"/>
                      <a:t>7937.98</a:t>
                    </a:r>
                    <a:endParaRPr lang="en-US" altLang="en-US"/>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1"/>
              <c:layout>
                <c:manualLayout>
                  <c:x val="-0.00186104218362283"/>
                  <c:y val="0"/>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zh-CN"/>
                      <a:t>6847.93</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Sheet1!$A$2:$A$3</c:f>
              <c:strCache>
                <c:ptCount val="2"/>
                <c:pt idx="0">
                  <c:v>2020年</c:v>
                </c:pt>
                <c:pt idx="1">
                  <c:v>2021年</c:v>
                </c:pt>
              </c:strCache>
            </c:strRef>
          </c:cat>
          <c:val>
            <c:numRef>
              <c:f>Sheet1!$B$2:$B$3</c:f>
              <c:numCache>
                <c:formatCode>General</c:formatCode>
                <c:ptCount val="2"/>
                <c:pt idx="0">
                  <c:v>7937.98</c:v>
                </c:pt>
                <c:pt idx="1">
                  <c:v>6706.69</c:v>
                </c:pt>
              </c:numCache>
            </c:numRef>
          </c:val>
        </c:ser>
        <c:dLbls>
          <c:showLegendKey val="false"/>
          <c:showVal val="false"/>
          <c:showCatName val="false"/>
          <c:showSerName val="false"/>
          <c:showPercent val="false"/>
          <c:showBubbleSize val="false"/>
        </c:dLbls>
        <c:gapWidth val="150"/>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false"/>
                <c:dLbls>
                  <c:delete val="true"/>
                </c:dLbls>
                <c:cat>
                  <c:strRef>
                    <c:extLst>
                      <c:ext uri="{02D57815-91ED-43cb-92C2-25804820EDAC}">
                        <c15:fullRef>
                          <c15:sqref/>
                        </c15:fullRef>
                        <c15:formulaRef>
                          <c15:sqref>Sheet1!$A$2:$A$3</c15:sqref>
                        </c15:formulaRef>
                      </c:ext>
                    </c:extLst>
                    <c:strCache>
                      <c:ptCount val="2"/>
                      <c:pt idx="0">
                        <c:v>2020年</c:v>
                      </c:pt>
                      <c:pt idx="1">
                        <c:v>2021年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false"/>
                <c:dLbls>
                  <c:delete val="true"/>
                </c:dLbls>
                <c:cat>
                  <c:strRef>
                    <c:extLst>
                      <c:ext uri="{02D57815-91ED-43cb-92C2-25804820EDAC}">
                        <c15:fullRef>
                          <c15:sqref/>
                        </c15:fullRef>
                        <c15:formulaRef>
                          <c15:sqref>Sheet1!$A$2:$A$3</c15:sqref>
                        </c15:formulaRef>
                      </c:ext>
                    </c:extLst>
                    <c:strCache>
                      <c:ptCount val="2"/>
                      <c:pt idx="0">
                        <c:v>2020年</c:v>
                      </c:pt>
                      <c:pt idx="1">
                        <c:v>2021年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5577472"/>
        <c:scaling>
          <c:orientation val="minMax"/>
        </c:scaling>
        <c:delete val="false"/>
        <c:axPos val="b"/>
        <c:numFmt formatCode="General" sourceLinked="fals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415577080"/>
        <c:crosses val="autoZero"/>
        <c:auto val="true"/>
        <c:lblAlgn val="ctr"/>
        <c:lblOffset val="100"/>
        <c:noMultiLvlLbl val="false"/>
      </c:catAx>
      <c:valAx>
        <c:axId val="415577080"/>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415577472"/>
        <c:crosses val="autoZero"/>
        <c:crossBetween val="between"/>
      </c:valAx>
      <c:spPr>
        <a:solidFill>
          <a:schemeClr val="bg1"/>
        </a:solidFill>
      </c:spPr>
    </c:plotArea>
    <c:legend>
      <c:legendPos val="r"/>
      <c:layout>
        <c:manualLayout>
          <c:xMode val="edge"/>
          <c:yMode val="edge"/>
          <c:x val="0.56985111662531"/>
          <c:y val="0.0282828282828283"/>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spPr>
    <a:noFill/>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收入额（万元）</c:v>
                </c:pt>
              </c:strCache>
            </c:strRef>
          </c:tx>
          <c:explosion val="0"/>
          <c:dPt>
            <c:idx val="0"/>
            <c:bubble3D val="false"/>
          </c:dPt>
          <c:dPt>
            <c:idx val="1"/>
            <c:bubble3D val="false"/>
          </c:dPt>
          <c:dPt>
            <c:idx val="2"/>
            <c:bubble3D val="false"/>
          </c:dPt>
          <c:dPt>
            <c:idx val="3"/>
            <c:bubble3D val="false"/>
          </c:dPt>
          <c:dPt>
            <c:idx val="4"/>
            <c:bubble3D val="false"/>
          </c:dPt>
          <c:dPt>
            <c:idx val="5"/>
            <c:bubble3D val="false"/>
          </c:dPt>
          <c:dPt>
            <c:idx val="6"/>
            <c:bubble3D val="false"/>
          </c:dPt>
          <c:dLbls>
            <c:dLbl>
              <c:idx val="0"/>
              <c:layout>
                <c:manualLayout>
                  <c:x val="-0.0441459184332534"/>
                  <c:y val="-0.13312693498452"/>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zh-CN" altLang="en-US"/>
                      <a:t>一般公共预算财政拨款收入</a:t>
                    </a:r>
                    <a:r>
                      <a:rPr lang="en-US" altLang="zh-CN"/>
                      <a:t>, 6706.66, 99.99%</a:t>
                    </a:r>
                    <a:endParaRPr lang="en-US" altLang="zh-CN"/>
                  </a:p>
                </c:rich>
              </c:tx>
              <c:dLblPos val="bestFit"/>
              <c:showLegendKey val="false"/>
              <c:showVal val="true"/>
              <c:showCatName val="true"/>
              <c:showSerName val="false"/>
              <c:showPercent val="true"/>
              <c:showBubbleSize val="false"/>
              <c:extLst>
                <c:ext xmlns:c15="http://schemas.microsoft.com/office/drawing/2012/chart" uri="{CE6537A1-D6FC-4f65-9D91-7224C49458BB}">
                  <c15:layout>
                    <c:manualLayout>
                      <c:w val="0.329280038526366"/>
                      <c:h val="0.160990712074303"/>
                    </c:manualLayout>
                  </c15:layout>
                </c:ext>
              </c:extLst>
            </c:dLbl>
            <c:dLbl>
              <c:idx val="1"/>
              <c:delete val="true"/>
            </c:dLbl>
            <c:dLbl>
              <c:idx val="2"/>
              <c:delete val="true"/>
            </c:dLbl>
            <c:dLbl>
              <c:idx val="3"/>
              <c:delete val="true"/>
            </c:dLbl>
            <c:dLbl>
              <c:idx val="4"/>
              <c:layout>
                <c:manualLayout>
                  <c:x val="-0.00411071212835865"/>
                  <c:y val="0.144105507301453"/>
                </c:manualLayout>
              </c:layout>
              <c:dLblPos val="bestFit"/>
              <c:showLegendKey val="false"/>
              <c:showVal val="true"/>
              <c:showCatName val="false"/>
              <c:showSerName val="true"/>
              <c:showPercent val="true"/>
              <c:showBubbleSize val="false"/>
              <c:extLst>
                <c:ext xmlns:c15="http://schemas.microsoft.com/office/drawing/2012/chart" uri="{CE6537A1-D6FC-4f65-9D91-7224C49458BB}">
                  <c15:layout>
                    <c:manualLayout>
                      <c:w val="0.247050325066217"/>
                      <c:h val="0.14406604747162"/>
                    </c:manualLayout>
                  </c15:layout>
                </c:ext>
              </c:extLst>
            </c:dLbl>
            <c:dLbl>
              <c:idx val="5"/>
              <c:delete val="true"/>
            </c:dLbl>
            <c:dLbl>
              <c:idx val="6"/>
              <c:layout>
                <c:manualLayout>
                  <c:x val="-0.150802964308168"/>
                  <c:y val="0.00560577639771095"/>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zh-CN" altLang="en-US"/>
                      <a:t>其它收入</a:t>
                    </a:r>
                    <a:r>
                      <a:rPr lang="en-US" altLang="zh-CN"/>
                      <a:t>0.3, 0.01%</a:t>
                    </a:r>
                    <a:endParaRPr lang="en-US" altLang="zh-CN"/>
                  </a:p>
                </c:rich>
              </c:tx>
              <c:dLblPos val="bestFit"/>
              <c:showLegendKey val="false"/>
              <c:showVal val="true"/>
              <c:showCatName val="true"/>
              <c:showSerName val="false"/>
              <c:showPercent val="true"/>
              <c:showBubbleSize val="false"/>
              <c:extLst>
                <c:ext xmlns:c15="http://schemas.microsoft.com/office/drawing/2012/chart" uri="{CE6537A1-D6FC-4f65-9D91-7224C49458BB}">
                  <c15:layout>
                    <c:manualLayout>
                      <c:w val="0.269323380688659"/>
                      <c:h val="0.11186790505676"/>
                    </c:manualLayout>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Sheet1!$A$2:$A$8</c:f>
              <c:strCache>
                <c:ptCount val="7"/>
                <c:pt idx="0">
                  <c:v>一般公共预算财政拨款收入</c:v>
                </c:pt>
                <c:pt idx="1">
                  <c:v>政府性基金预算财政拨款收入</c:v>
                </c:pt>
                <c:pt idx="2">
                  <c:v>国有资本经营预算财政拨款收入</c:v>
                </c:pt>
                <c:pt idx="3">
                  <c:v>事业收入</c:v>
                </c:pt>
                <c:pt idx="4">
                  <c:v>年初结转和结余</c:v>
                </c:pt>
                <c:pt idx="5">
                  <c:v>附属单位上缴收入</c:v>
                </c:pt>
                <c:pt idx="6">
                  <c:v>其它收入</c:v>
                </c:pt>
              </c:strCache>
            </c:strRef>
          </c:cat>
          <c:val>
            <c:numRef>
              <c:f>Sheet1!$B$2:$B$8</c:f>
              <c:numCache>
                <c:formatCode>General</c:formatCode>
                <c:ptCount val="7"/>
                <c:pt idx="0">
                  <c:v>6706.66</c:v>
                </c:pt>
                <c:pt idx="1">
                  <c:v>0</c:v>
                </c:pt>
                <c:pt idx="2">
                  <c:v>0</c:v>
                </c:pt>
                <c:pt idx="3">
                  <c:v>0</c:v>
                </c:pt>
                <c:pt idx="4">
                  <c:v>140.96</c:v>
                </c:pt>
                <c:pt idx="5">
                  <c:v>0</c:v>
                </c:pt>
                <c:pt idx="6">
                  <c:v>0.3</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支出数（万元）</c:v>
                </c:pt>
              </c:strCache>
            </c:strRef>
          </c:tx>
          <c:explosion val="0"/>
          <c:dPt>
            <c:idx val="0"/>
            <c:bubble3D val="false"/>
          </c:dPt>
          <c:dPt>
            <c:idx val="1"/>
            <c:bubble3D val="false"/>
          </c:dPt>
          <c:dPt>
            <c:idx val="2"/>
            <c:bubble3D val="false"/>
          </c:dPt>
          <c:dPt>
            <c:idx val="3"/>
            <c:bubble3D val="false"/>
          </c:dPt>
          <c:dPt>
            <c:idx val="4"/>
            <c:bubble3D val="false"/>
          </c:dPt>
          <c:dLbls>
            <c:dLbl>
              <c:idx val="0"/>
              <c:layout>
                <c:manualLayout>
                  <c:x val="-0.0850533087503594"/>
                  <c:y val="0.1878650083571"/>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zh-CN" altLang="en-US"/>
                      <a:t>基本支出</a:t>
                    </a:r>
                    <a:r>
                      <a:rPr lang="en-US" altLang="zh-CN"/>
                      <a:t>, 5673.02,83.87%</a:t>
                    </a:r>
                    <a:endParaRPr lang="en-US" altLang="zh-CN"/>
                  </a:p>
                </c:rich>
              </c:tx>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1"/>
              <c:layout>
                <c:manualLayout>
                  <c:x val="0.123913896462115"/>
                  <c:y val="-0.220667769897919"/>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zh-CN" altLang="en-US"/>
                      <a:t>项目支出</a:t>
                    </a:r>
                    <a:r>
                      <a:rPr lang="en-US" altLang="zh-CN"/>
                      <a:t>, 1090.55,16.13%</a:t>
                    </a:r>
                    <a:endParaRPr lang="en-US" altLang="zh-CN"/>
                  </a:p>
                </c:rich>
              </c:tx>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2"/>
              <c:delete val="true"/>
            </c:dLbl>
            <c:dLbl>
              <c:idx val="3"/>
              <c:delete val="true"/>
            </c:dLbl>
            <c:dLbl>
              <c:idx val="4"/>
              <c:delete val="true"/>
            </c:dLbl>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5673.02</c:v>
                </c:pt>
                <c:pt idx="1">
                  <c:v>1090.55</c:v>
                </c:pt>
                <c:pt idx="2">
                  <c:v>0</c:v>
                </c:pt>
                <c:pt idx="3">
                  <c:v>0</c:v>
                </c:pt>
                <c:pt idx="4">
                  <c:v>0</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manualLayout>
          <c:xMode val="edge"/>
          <c:yMode val="edge"/>
          <c:x val="0.731158198892367"/>
          <c:y val="0.338493292053664"/>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381551330884988"/>
          <c:y val="0.0251909997318447"/>
          <c:w val="0.802166349721575"/>
          <c:h val="0.847475195631506"/>
        </c:manualLayout>
      </c:layout>
      <c:barChart>
        <c:barDir val="col"/>
        <c:grouping val="clustered"/>
        <c:varyColors val="false"/>
        <c:ser>
          <c:idx val="2"/>
          <c:order val="2"/>
          <c:tx>
            <c:strRef>
              <c:f>Sheet1!$B$1</c:f>
              <c:strCache>
                <c:ptCount val="1"/>
                <c:pt idx="0">
                  <c:v>财政拨款收、支决算总计（万元）</c:v>
                </c:pt>
              </c:strCache>
            </c:strRef>
          </c:tx>
          <c:spPr>
            <a:solidFill>
              <a:schemeClr val="accent2">
                <a:lumMod val="40000"/>
                <a:lumOff val="60000"/>
              </a:schemeClr>
            </a:solidFill>
          </c:spPr>
          <c:invertIfNegative val="false"/>
          <c:dLbls>
            <c:dLbl>
              <c:idx val="0"/>
              <c:layout>
                <c:manualLayout>
                  <c:x val="-0.00538213132400431"/>
                  <c:y val="0.00551065393093314"/>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zh-CN"/>
                      <a:t>7758.99</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zh-CN"/>
                      <a:t>6706.66</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Sheet1!$A$2:$A$3</c:f>
              <c:strCache>
                <c:ptCount val="2"/>
                <c:pt idx="0">
                  <c:v>2020年</c:v>
                </c:pt>
                <c:pt idx="1">
                  <c:v>2021年</c:v>
                </c:pt>
              </c:strCache>
            </c:strRef>
          </c:cat>
          <c:val>
            <c:numRef>
              <c:f>Sheet1!$B$2:$B$3</c:f>
              <c:numCache>
                <c:formatCode>General</c:formatCode>
                <c:ptCount val="2"/>
                <c:pt idx="0">
                  <c:v>7758.99</c:v>
                </c:pt>
                <c:pt idx="1">
                  <c:v>6706.66</c:v>
                </c:pt>
              </c:numCache>
            </c:numRef>
          </c:val>
        </c:ser>
        <c:dLbls>
          <c:showLegendKey val="false"/>
          <c:showVal val="false"/>
          <c:showCatName val="false"/>
          <c:showSerName val="false"/>
          <c:showPercent val="false"/>
          <c:showBubbleSize val="false"/>
        </c:dLbls>
        <c:gapWidth val="150"/>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false"/>
                <c:dLbls>
                  <c:delete val="true"/>
                </c:dLbls>
                <c:cat>
                  <c:strRef>
                    <c:extLst>
                      <c:ext uri="{02D57815-91ED-43cb-92C2-25804820EDAC}">
                        <c15:fullRef>
                          <c15:sqref/>
                        </c15:fullRef>
                        <c15:formulaRef>
                          <c15:sqref>Sheet1!$A$2:$A$3</c15:sqref>
                        </c15:formulaRef>
                      </c:ext>
                    </c:extLst>
                    <c:strCache>
                      <c:ptCount val="2"/>
                      <c:pt idx="0">
                        <c:v>2020年</c:v>
                      </c:pt>
                      <c:pt idx="1">
                        <c:v>2021年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false"/>
                <c:dLbls>
                  <c:delete val="true"/>
                </c:dLbls>
                <c:cat>
                  <c:strRef>
                    <c:extLst>
                      <c:ext uri="{02D57815-91ED-43cb-92C2-25804820EDAC}">
                        <c15:fullRef>
                          <c15:sqref/>
                        </c15:fullRef>
                        <c15:formulaRef>
                          <c15:sqref>Sheet1!$A$2:$A$3</c15:sqref>
                        </c15:formulaRef>
                      </c:ext>
                    </c:extLst>
                    <c:strCache>
                      <c:ptCount val="2"/>
                      <c:pt idx="0">
                        <c:v>2020年</c:v>
                      </c:pt>
                      <c:pt idx="1">
                        <c:v>2021年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5577472"/>
        <c:scaling>
          <c:orientation val="minMax"/>
        </c:scaling>
        <c:delete val="false"/>
        <c:axPos val="b"/>
        <c:numFmt formatCode="General" sourceLinked="fals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415577080"/>
        <c:crosses val="autoZero"/>
        <c:auto val="true"/>
        <c:lblAlgn val="ctr"/>
        <c:lblOffset val="100"/>
        <c:noMultiLvlLbl val="false"/>
      </c:catAx>
      <c:valAx>
        <c:axId val="415577080"/>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415577472"/>
        <c:crosses val="autoZero"/>
        <c:crossBetween val="between"/>
      </c:valAx>
    </c:plotArea>
    <c:legend>
      <c:legendPos val="r"/>
      <c:layout>
        <c:manualLayout>
          <c:xMode val="edge"/>
          <c:yMode val="edge"/>
          <c:x val="0.579595742136108"/>
          <c:y val="0.0576781778104335"/>
          <c:w val="0.391101542877646"/>
          <c:h val="0.224467303453343"/>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381551330884988"/>
          <c:y val="0.0251909997318447"/>
          <c:w val="0.802166349721575"/>
          <c:h val="0.847475195631506"/>
        </c:manualLayout>
      </c:layout>
      <c:barChart>
        <c:barDir val="col"/>
        <c:grouping val="clustered"/>
        <c:varyColors val="false"/>
        <c:ser>
          <c:idx val="2"/>
          <c:order val="2"/>
          <c:tx>
            <c:strRef>
              <c:f>Sheet1!$B$1</c:f>
              <c:strCache>
                <c:ptCount val="1"/>
                <c:pt idx="0">
                  <c:v>一般公共预算财政拨款支出（万元）</c:v>
                </c:pt>
              </c:strCache>
            </c:strRef>
          </c:tx>
          <c:invertIfNegative val="false"/>
          <c:dLbls>
            <c:delete val="true"/>
          </c:dLbls>
          <c:cat>
            <c:strRef>
              <c:f>Sheet1!$A$2:$A$3</c:f>
              <c:strCache>
                <c:ptCount val="2"/>
                <c:pt idx="0">
                  <c:v>2020年</c:v>
                </c:pt>
                <c:pt idx="1">
                  <c:v>2021年</c:v>
                </c:pt>
              </c:strCache>
            </c:strRef>
          </c:cat>
          <c:val>
            <c:numRef>
              <c:f>Sheet1!$B$2:$B$3</c:f>
              <c:numCache>
                <c:formatCode>General</c:formatCode>
                <c:ptCount val="2"/>
                <c:pt idx="0">
                  <c:v>7775.24</c:v>
                </c:pt>
                <c:pt idx="1">
                  <c:v>6763.28</c:v>
                </c:pt>
              </c:numCache>
            </c:numRef>
          </c:val>
        </c:ser>
        <c:dLbls>
          <c:showLegendKey val="false"/>
          <c:showVal val="false"/>
          <c:showCatName val="false"/>
          <c:showSerName val="false"/>
          <c:showPercent val="false"/>
          <c:showBubbleSize val="false"/>
        </c:dLbls>
        <c:gapWidth val="150"/>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false"/>
                <c:dLbls>
                  <c:delete val="true"/>
                </c:dLbls>
                <c:cat>
                  <c:strRef>
                    <c:extLst>
                      <c:ext uri="{02D57815-91ED-43cb-92C2-25804820EDAC}">
                        <c15:fullRef>
                          <c15:sqref/>
                        </c15:fullRef>
                        <c15:formulaRef>
                          <c15:sqref>Sheet1!$A$2:$A$3</c15:sqref>
                        </c15:formulaRef>
                      </c:ext>
                    </c:extLst>
                    <c:strCache>
                      <c:ptCount val="2"/>
                      <c:pt idx="0">
                        <c:v>2020年</c:v>
                      </c:pt>
                      <c:pt idx="1">
                        <c:v>2021年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false"/>
                <c:dLbls>
                  <c:delete val="true"/>
                </c:dLbls>
                <c:cat>
                  <c:strRef>
                    <c:extLst>
                      <c:ext uri="{02D57815-91ED-43cb-92C2-25804820EDAC}">
                        <c15:fullRef>
                          <c15:sqref/>
                        </c15:fullRef>
                        <c15:formulaRef>
                          <c15:sqref>Sheet1!$A$2:$A$3</c15:sqref>
                        </c15:formulaRef>
                      </c:ext>
                    </c:extLst>
                    <c:strCache>
                      <c:ptCount val="2"/>
                      <c:pt idx="0">
                        <c:v>2020年</c:v>
                      </c:pt>
                      <c:pt idx="1">
                        <c:v>2021年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5577472"/>
        <c:scaling>
          <c:orientation val="minMax"/>
        </c:scaling>
        <c:delete val="false"/>
        <c:axPos val="b"/>
        <c:numFmt formatCode="General" sourceLinked="fals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415577080"/>
        <c:crosses val="autoZero"/>
        <c:auto val="true"/>
        <c:lblAlgn val="ctr"/>
        <c:lblOffset val="100"/>
        <c:noMultiLvlLbl val="false"/>
      </c:catAx>
      <c:valAx>
        <c:axId val="415577080"/>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415577472"/>
        <c:crosses val="autoZero"/>
        <c:crossBetween val="between"/>
      </c:valAx>
    </c:plotArea>
    <c:legend>
      <c:legendPos val="r"/>
      <c:layout>
        <c:manualLayout>
          <c:xMode val="edge"/>
          <c:yMode val="edge"/>
          <c:x val="0.559622054778137"/>
          <c:y val="0.0165319617927994"/>
          <c:w val="0.41430450903002"/>
          <c:h val="0.224467303453343"/>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支出数（万元）</c:v>
                </c:pt>
              </c:strCache>
            </c:strRef>
          </c:tx>
          <c:explosion val="0"/>
          <c:dPt>
            <c:idx val="0"/>
            <c:bubble3D val="false"/>
          </c:dPt>
          <c:dPt>
            <c:idx val="1"/>
            <c:bubble3D val="false"/>
          </c:dPt>
          <c:dPt>
            <c:idx val="2"/>
            <c:bubble3D val="false"/>
          </c:dPt>
          <c:dLbls>
            <c:dLbl>
              <c:idx val="0"/>
              <c:layout>
                <c:manualLayout>
                  <c:x val="-0.00415685620961155"/>
                  <c:y val="-0.260803868238138"/>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1"/>
              <c:layout>
                <c:manualLayout>
                  <c:x val="-0.189776407300892"/>
                  <c:y val="0"/>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manualLayout>
                      <c:w val="0.292066155321189"/>
                      <c:h val="0.238742822605017"/>
                    </c:manualLayout>
                  </c15:layout>
                </c:ext>
              </c:extLst>
            </c:dLbl>
            <c:dLbl>
              <c:idx val="2"/>
              <c:layout>
                <c:manualLayout>
                  <c:x val="0.222830440741944"/>
                  <c:y val="0"/>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zh-CN" altLang="en-US"/>
                      <a:t>卫生健康支出</a:t>
                    </a:r>
                    <a:r>
                      <a:rPr lang="en-US" altLang="zh-CN"/>
                      <a:t>, 39.15,0.60%</a:t>
                    </a:r>
                    <a:endParaRPr lang="en-US" altLang="zh-CN"/>
                  </a:p>
                </c:rich>
              </c:tx>
              <c:dLblPos val="bestFit"/>
              <c:showLegendKey val="false"/>
              <c:showVal val="true"/>
              <c:showCatName val="true"/>
              <c:showSerName val="false"/>
              <c:showPercent val="false"/>
              <c:showBubbleSize val="false"/>
              <c:extLst>
                <c:ext xmlns:c15="http://schemas.microsoft.com/office/drawing/2012/chart" uri="{CE6537A1-D6FC-4f65-9D91-7224C49458BB}">
                  <c15:layout>
                    <c:manualLayout>
                      <c:w val="0.350910834132311"/>
                      <c:h val="0.119975823511635"/>
                    </c:manualLayout>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Sheet1!$A$2:$A$4</c:f>
              <c:strCache>
                <c:ptCount val="3"/>
                <c:pt idx="0">
                  <c:v>教育支出</c:v>
                </c:pt>
                <c:pt idx="1">
                  <c:v>社会保障和就业支出</c:v>
                </c:pt>
                <c:pt idx="2">
                  <c:v>卫生健康支出</c:v>
                </c:pt>
              </c:strCache>
            </c:strRef>
          </c:cat>
          <c:val>
            <c:numRef>
              <c:f>Sheet1!$B$2:$B$4</c:f>
              <c:numCache>
                <c:formatCode>General</c:formatCode>
                <c:ptCount val="3"/>
                <c:pt idx="0">
                  <c:v>5995.88</c:v>
                </c:pt>
                <c:pt idx="1">
                  <c:v>731.6</c:v>
                </c:pt>
                <c:pt idx="2">
                  <c:v>35.79</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manualLayout>
          <c:xMode val="edge"/>
          <c:yMode val="edge"/>
          <c:x val="0.731158198892367"/>
          <c:y val="0.338493292053664"/>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42</Pages>
  <Words>3200</Words>
  <Characters>18241</Characters>
  <Lines>152</Lines>
  <Paragraphs>42</Paragraphs>
  <TotalTime>33</TotalTime>
  <ScaleCrop>false</ScaleCrop>
  <LinksUpToDate>false</LinksUpToDate>
  <CharactersWithSpaces>21399</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2020-08-05T17:49:00Z</dcterms:created>
  <dc:creator>曹颖</dc:creator>
  <cp:lastModifiedBy>user</cp:lastModifiedBy>
  <cp:lastPrinted>2022-08-06T18:23:00Z</cp:lastPrinted>
  <dcterms:modified xsi:type="dcterms:W3CDTF">2024-06-04T11:00:12Z</dcterms:modified>
  <dc:title>四川省***</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86E0876C00784F7DA34D6E0D41A19558_13</vt:lpwstr>
  </property>
</Properties>
</file>