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w:t>
      </w:r>
      <w:bookmarkStart w:id="73" w:name="_GoBack"/>
      <w:bookmarkEnd w:id="73"/>
      <w:r>
        <w:rPr>
          <w:rFonts w:hint="eastAsia" w:ascii="方正小标宋简体" w:hAnsi="宋体" w:eastAsia="方正小标宋简体"/>
          <w:color w:val="000000"/>
          <w:sz w:val="72"/>
          <w:szCs w:val="72"/>
        </w:rPr>
        <w:t>利州区白朝乡部门决算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rPr>
        <w:t>8</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24</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27</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36</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u w:val="none"/>
        </w:rPr>
        <w:t>一般公共预算财政拨款支出决算明细表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1、执行党和国家的各项方针、政策、法令、法规，在区委、区政府领导下完成各项任务。</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2、制定并落实本行政区域的经济计划和措施，促进产业结构调整及其他经济保持平衡协调发展，全面提高人民群众的生活水平和生活质量。</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开展社会主义民主法制的宣传教育，保障公民的权利;制定社会治安综合治理工作规划并组织实施;加强社区管理工作，依法管理外来流动人口，处理人民来信来访，调解民间纠纷，打击违法犯罪，维护社会稳定。</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6、加强乡级财政的监督和管理，按计划组织、管理乡财政收入和支出，执行国家有关财经纪律和政策，保证国家财政收入的完成;做好统计工作。</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7、指导、支持、帮助村(居)民委员会的组织制度建设和业务建设，促进村(居)民委员会民主自治。</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8、制定和组织实施乡村建设规划;加强水利建设和环境综合整治工作，保护和改善生活环境和生态环境。</w:t>
      </w:r>
    </w:p>
    <w:p>
      <w:pPr>
        <w:spacing w:line="540" w:lineRule="exact"/>
        <w:ind w:firstLine="640"/>
        <w:rPr>
          <w:rFonts w:hAnsi="仿宋_GB2312" w:cs="仿宋_GB2312"/>
          <w:sz w:val="32"/>
          <w:szCs w:val="32"/>
        </w:rPr>
      </w:pPr>
      <w:r>
        <w:rPr>
          <w:rFonts w:hint="eastAsia" w:ascii="仿宋_GB2312" w:hAnsi="仿宋_GB2312" w:eastAsia="仿宋_GB2312" w:cs="仿宋_GB2312"/>
          <w:bCs/>
          <w:kern w:val="0"/>
          <w:sz w:val="32"/>
          <w:szCs w:val="32"/>
        </w:rPr>
        <w:t>9、承办区人民政府交办的其它事项。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1、巩固提升凝聚合力，脱贫攻坚扎实有效</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2018年乡党委政府持续聚焦“两不愁</w:t>
      </w:r>
      <w:r>
        <w:rPr>
          <w:rFonts w:hint="eastAsia" w:ascii="仿宋_GB2312" w:hAnsi="仿宋_GB2312" w:eastAsia="仿宋_GB2312" w:cs="仿宋_GB2312"/>
          <w:bCs/>
          <w:kern w:val="0"/>
          <w:sz w:val="32"/>
          <w:szCs w:val="32"/>
        </w:rPr>
        <w:t>、三保障”目标和“四个好”要求，牢牢锁定年度“2”个贫困村退出、已脱贫人口和已退出贫困村巩固提升目标任务，紧紧扭住扶贫领域作风建设，盯住低保户、五保户、危旧房改造户、易地搬迁户、残疾人等特定群体，坚持扶贫与扶志、扶智相结合，坚持脱贫与奔康、实施乡村振兴战略相统筹。落脚于“实”。广泛开展走基层调研慰问活动，为贫困群众，特别是特困人员、低保对象、留守老人等送温暖、解难题、办实事；大力抓好群众教育引导工作；充分发挥广播、电视、网络等媒体作用，精心编制专题栏目节目，做好大众化宣传引导，抓住春节有利时机，采取走村入户、举办“农民夜校”、召开“坝坝会”等多种形式，有针对性宣传党的十九大精神和习近平扶贫思想、脱贫攻坚政策措施、脱贫攻坚所做工作及成效、脱贫致富先进典型、帮扶先进典型、扶贫系统先进典型、精准扶贫精准脱贫成功案例，发挥群众脱贫攻坚主体作用；分类分级开展扶贫政策能力大培训。大力推广“中国社会扶贫网”，引导社会积极扫码注册、奉献爱心，积极动员返乡成功人士、企业团体、爱心组织等到贫困村、贫困户开展爱心帮扶活动，深入开展“结对认亲、爱心扶贫”“帮乡亲、献爱心”大型公益活动，让贫困群众感受到全社会的温暖，帮助树立脱贫发展的信心。</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2、产业发展不断巩固，农业基础提质增效</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坚持“一村一品”的产业思路，全面确立了以生态康养旅游业为主的产业结构，“五园一区”产业布局</w:t>
      </w:r>
      <w:r>
        <w:rPr>
          <w:rFonts w:hint="eastAsia" w:ascii="仿宋_GB2312" w:hAnsi="仿宋_GB2312" w:eastAsia="仿宋_GB2312" w:cs="仿宋_GB2312"/>
          <w:sz w:val="32"/>
          <w:szCs w:val="32"/>
        </w:rPr>
        <w:t>得到优化提升。</w:t>
      </w:r>
      <w:r>
        <w:rPr>
          <w:rFonts w:hint="eastAsia" w:ascii="黑体" w:hAnsi="黑体" w:eastAsia="黑体" w:cs="黑体"/>
          <w:sz w:val="32"/>
          <w:szCs w:val="32"/>
        </w:rPr>
        <w:t>一是</w:t>
      </w:r>
      <w:r>
        <w:rPr>
          <w:rFonts w:hint="eastAsia" w:ascii="仿宋_GB2312" w:hAnsi="仿宋_GB2312" w:eastAsia="仿宋_GB2312" w:cs="仿宋_GB2312"/>
          <w:sz w:val="32"/>
          <w:szCs w:val="32"/>
        </w:rPr>
        <w:t>食用菌产业及林下种养殖巩固提升。食用菌（含香菇、木耳、金耳、银耳、灵芝和天麻等）存量突破800万椴（袋），仅徐家食用菌产业园新增灵芝10万椴（袋）、黑木耳5万椴，新建光伏智能大棚2个2400余平方米，破解了夏季产菇的“难题”，累计发展蜜蜂1万箱，跑山猪养殖大户5户，规模养羊户4户，累计栽植车厘子、桃树、梨树1200亩，在徐家、白朝成片新栽植桃树200亩，全乡核桃、板栗等干果存量达2万亩，新品改红栗200亩，建红栗示范园1个；</w:t>
      </w:r>
      <w:r>
        <w:rPr>
          <w:rFonts w:hint="eastAsia" w:ascii="黑体" w:hAnsi="黑体" w:eastAsia="黑体" w:cs="黑体"/>
          <w:sz w:val="32"/>
          <w:szCs w:val="32"/>
        </w:rPr>
        <w:t>二是</w:t>
      </w:r>
      <w:r>
        <w:rPr>
          <w:rFonts w:hint="eastAsia" w:ascii="仿宋_GB2312" w:hAnsi="仿宋_GB2312" w:eastAsia="仿宋_GB2312" w:cs="仿宋_GB2312"/>
          <w:sz w:val="32"/>
          <w:szCs w:val="32"/>
        </w:rPr>
        <w:t>果蔬产业规模不断扩大。大力发展以魔芋为主的高山露地蔬菜产业，强化果蔬种植基地巩固提升，全乡露地蔬菜累计种植面积达到7000亩，全乡新增辣椒100亩，红栗、晚桃、车厘子种植面积1200余亩；</w:t>
      </w:r>
      <w:r>
        <w:rPr>
          <w:rFonts w:hint="eastAsia" w:ascii="黑体" w:hAnsi="黑体" w:eastAsia="黑体" w:cs="黑体"/>
          <w:sz w:val="32"/>
          <w:szCs w:val="32"/>
        </w:rPr>
        <w:t>三是</w:t>
      </w:r>
      <w:r>
        <w:rPr>
          <w:rFonts w:hint="eastAsia" w:ascii="仿宋_GB2312" w:hAnsi="仿宋_GB2312" w:eastAsia="仿宋_GB2312" w:cs="仿宋_GB2312"/>
          <w:sz w:val="32"/>
          <w:szCs w:val="32"/>
        </w:rPr>
        <w:t>中药材产业发展迅速。全乡中药材（含石斛、重楼、黄精、白五味、百合、金丝黄菊、葛根和前胡等）累计达3000亩，建成中药材示范基地1个，培育盆景石斛1200盆。</w:t>
      </w:r>
    </w:p>
    <w:p>
      <w:pPr>
        <w:spacing w:line="540" w:lineRule="exact"/>
        <w:ind w:firstLine="640"/>
        <w:rPr>
          <w:rFonts w:ascii="仿宋_GB2312" w:hAnsi="仿宋_GB2312" w:eastAsia="仿宋_GB2312" w:cs="仿宋_GB2312"/>
          <w:sz w:val="32"/>
          <w:szCs w:val="32"/>
        </w:rPr>
      </w:pPr>
      <w:r>
        <w:rPr>
          <w:rFonts w:hint="eastAsia" w:eastAsia="方正黑体简体"/>
          <w:bCs/>
          <w:color w:val="000000"/>
          <w:sz w:val="32"/>
          <w:szCs w:val="32"/>
        </w:rPr>
        <w:t>3</w:t>
      </w:r>
      <w:r>
        <w:rPr>
          <w:rFonts w:hint="eastAsia" w:ascii="仿宋_GB2312" w:hAnsi="仿宋_GB2312" w:eastAsia="仿宋_GB2312" w:cs="仿宋_GB2312"/>
          <w:sz w:val="32"/>
          <w:szCs w:val="32"/>
        </w:rPr>
        <w:t>、社会事业统筹发展，民生改善保障全面</w:t>
      </w:r>
    </w:p>
    <w:p>
      <w:pPr>
        <w:spacing w:line="540" w:lineRule="exact"/>
        <w:ind w:firstLine="640"/>
        <w:rPr>
          <w:rFonts w:ascii="仿宋_GB2312" w:hAnsi="仿宋" w:eastAsia="仿宋_GB2312" w:cs="仿宋_GB2312"/>
          <w:kern w:val="0"/>
          <w:sz w:val="32"/>
          <w:szCs w:val="32"/>
        </w:rPr>
      </w:pPr>
      <w:r>
        <w:rPr>
          <w:rFonts w:hint="eastAsia" w:ascii="仿宋_GB2312" w:hAnsi="仿宋_GB2312" w:eastAsia="仿宋_GB2312" w:cs="仿宋_GB2312"/>
          <w:sz w:val="32"/>
          <w:szCs w:val="32"/>
        </w:rPr>
        <w:t>一年来坚持以惠民生激发发展活力，人民群众的获得感和幸福感持续增强。</w:t>
      </w:r>
      <w:r>
        <w:rPr>
          <w:rFonts w:hint="eastAsia" w:ascii="黑体" w:hAnsi="黑体" w:eastAsia="黑体" w:cs="黑体"/>
          <w:sz w:val="32"/>
          <w:szCs w:val="32"/>
        </w:rPr>
        <w:t>一是</w:t>
      </w:r>
      <w:r>
        <w:rPr>
          <w:rFonts w:hint="eastAsia" w:ascii="仿宋_GB2312" w:hAnsi="仿宋_GB2312" w:eastAsia="仿宋_GB2312" w:cs="仿宋_GB2312"/>
          <w:sz w:val="32"/>
          <w:szCs w:val="32"/>
        </w:rPr>
        <w:t>文体事业欣欣向荣。利用元旦、春节、国庆等节庆活动，开展丰富多彩的群众性文化活动，今年年初开展“月坝年夜饭”活动，全年共举行“牛灯彩莲船”等传统文化演出7场次、“坝坝电影”近16场次。</w:t>
      </w:r>
      <w:r>
        <w:rPr>
          <w:rFonts w:hint="eastAsia" w:ascii="仿宋_GB2312" w:hAnsi="仿宋" w:eastAsia="仿宋_GB2312" w:cs="仿宋"/>
          <w:sz w:val="32"/>
          <w:szCs w:val="32"/>
        </w:rPr>
        <w:t>成功创建省级“四好村”2个、市级“四好村”3个、区级“四好村”5个、各级“文明村”6个，魏子村袁格茂家庭获评“广元市文明家庭”称号，观音村李庭荣获评全区“关爱子女”模范。</w:t>
      </w:r>
      <w:r>
        <w:rPr>
          <w:rFonts w:hint="eastAsia" w:ascii="黑体" w:hAnsi="黑体" w:eastAsia="黑体" w:cs="黑体"/>
          <w:sz w:val="32"/>
          <w:szCs w:val="32"/>
        </w:rPr>
        <w:t>二是</w:t>
      </w:r>
      <w:r>
        <w:rPr>
          <w:rFonts w:hint="eastAsia" w:ascii="仿宋_GB2312" w:hAnsi="仿宋" w:eastAsia="仿宋_GB2312" w:cs="仿宋_GB2312"/>
          <w:kern w:val="0"/>
          <w:sz w:val="32"/>
          <w:szCs w:val="32"/>
        </w:rPr>
        <w:t>医疗救助水平不断提高。农村医疗救助开展“一站式”服务比例达到了</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，全年累计为38人名困群众申请医疗救助，金额达20万元。</w:t>
      </w:r>
      <w:r>
        <w:rPr>
          <w:rFonts w:hint="eastAsia" w:ascii="黑体" w:hAnsi="黑体" w:eastAsia="黑体" w:cs="黑体"/>
          <w:sz w:val="32"/>
          <w:szCs w:val="32"/>
        </w:rPr>
        <w:t>三是</w:t>
      </w:r>
      <w:r>
        <w:rPr>
          <w:rFonts w:hint="eastAsia" w:ascii="仿宋_GB2312" w:hAnsi="仿宋" w:eastAsia="仿宋_GB2312" w:cs="仿宋_GB2312"/>
          <w:kern w:val="0"/>
          <w:sz w:val="32"/>
          <w:szCs w:val="32"/>
        </w:rPr>
        <w:t>月坝特色小镇建设有序推进。</w:t>
      </w:r>
      <w:r>
        <w:rPr>
          <w:rFonts w:hint="eastAsia" w:ascii="仿宋_GB2312" w:hAnsi="仿宋_GB2312" w:eastAsia="仿宋_GB2312" w:cs="仿宋_GB2312"/>
          <w:sz w:val="32"/>
          <w:szCs w:val="32"/>
        </w:rPr>
        <w:t>紧紧抓住康养旅游产业发展目标，着力推进月坝特色小镇建设，全面完成44个公建项目，月坝特色小镇初见雏形，全年累计接待游客5万余人次，实现旅游收入近2000万元，探索完善合作社经营模式，引导12名青年返乡发展，50余人成为合作社员工，月收入达到1800—5000元不等。</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4、保障工作全面夯实，社会环境和谐稳定</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全面加强依法治理、强化安全生产、创新社会治理，社会大局保持和谐稳定。</w:t>
      </w:r>
      <w:r>
        <w:rPr>
          <w:rFonts w:hint="eastAsia" w:ascii="黑体" w:hAnsi="黑体" w:eastAsia="黑体" w:cs="黑体"/>
          <w:sz w:val="32"/>
          <w:szCs w:val="32"/>
        </w:rPr>
        <w:t>一是</w:t>
      </w:r>
      <w:r>
        <w:rPr>
          <w:rFonts w:hint="eastAsia" w:ascii="仿宋_GB2312" w:hAnsi="仿宋_GB2312" w:eastAsia="仿宋_GB2312" w:cs="仿宋_GB2312"/>
          <w:sz w:val="32"/>
          <w:szCs w:val="32"/>
        </w:rPr>
        <w:t>安全生产常抓常强。</w:t>
      </w:r>
      <w:r>
        <w:rPr>
          <w:rFonts w:hint="eastAsia" w:ascii="仿宋_GB2312" w:eastAsia="仿宋_GB2312"/>
          <w:sz w:val="32"/>
          <w:szCs w:val="32"/>
        </w:rPr>
        <w:t>全年召开安委会4次，签订目标责任书13份，开展安全宣传和培训16次，</w:t>
      </w:r>
      <w:r>
        <w:rPr>
          <w:rFonts w:hint="eastAsia" w:ascii="仿宋_GB2312" w:hAnsi="仿宋_GB2312" w:eastAsia="仿宋_GB2312" w:cs="仿宋_GB2312"/>
          <w:sz w:val="32"/>
          <w:szCs w:val="32"/>
        </w:rPr>
        <w:t>组织开展安全生产大检查20余次、安全隐患排查12次，下发《整改通知书》30余份，整改率100%，有效防范了各类重特大事故的发生。</w:t>
      </w:r>
      <w:r>
        <w:rPr>
          <w:rFonts w:hint="eastAsia" w:ascii="黑体" w:hAnsi="黑体" w:eastAsia="黑体" w:cs="黑体"/>
          <w:sz w:val="32"/>
          <w:szCs w:val="32"/>
        </w:rPr>
        <w:t>二是</w:t>
      </w:r>
      <w:r>
        <w:rPr>
          <w:rFonts w:hint="eastAsia" w:ascii="仿宋_GB2312" w:hAnsi="仿宋_GB2312" w:eastAsia="仿宋_GB2312" w:cs="仿宋_GB2312"/>
          <w:bCs/>
          <w:kern w:val="0"/>
          <w:sz w:val="32"/>
          <w:szCs w:val="32"/>
        </w:rPr>
        <w:t>依法治理工作成效显著</w:t>
      </w:r>
      <w:r>
        <w:rPr>
          <w:rFonts w:hint="eastAsia" w:ascii="仿宋_GB2312" w:hAnsi="仿宋_GB2312" w:eastAsia="仿宋_GB2312" w:cs="仿宋_GB2312"/>
          <w:sz w:val="32"/>
          <w:szCs w:val="32"/>
        </w:rPr>
        <w:t>。通过“脱贫奔康大讲堂”等形式对全乡干部进行法律知识培训12次，坚持会前学法，干部依法行政观念进一步增强，依法行政能力得到提升；开展“法律七进”活动6次，参加培训人员1200余人，切实加强违建清理排查，全乡耕地得到有效保护，乡村建设规范有序。</w:t>
      </w:r>
      <w:r>
        <w:rPr>
          <w:rFonts w:hint="eastAsia" w:ascii="黑体" w:hAnsi="黑体" w:eastAsia="黑体" w:cs="黑体"/>
          <w:bCs/>
          <w:kern w:val="0"/>
          <w:sz w:val="32"/>
          <w:szCs w:val="32"/>
        </w:rPr>
        <w:t>三是</w:t>
      </w:r>
      <w:r>
        <w:rPr>
          <w:rFonts w:hint="eastAsia" w:ascii="仿宋_GB2312" w:hAnsi="仿宋_GB2312" w:eastAsia="仿宋_GB2312" w:cs="仿宋_GB2312"/>
          <w:sz w:val="32"/>
          <w:szCs w:val="32"/>
        </w:rPr>
        <w:t>高标准开展扫黑除恶专项斗争。成立了乡扫黑除恶工作领导小组，先后召开扫黑除恶专题会议9次，</w:t>
      </w:r>
      <w:r>
        <w:rPr>
          <w:rFonts w:hint="eastAsia" w:ascii="仿宋_GB2312" w:hAnsi="仿宋_GB2312" w:eastAsia="仿宋_GB2312" w:cs="仿宋_GB2312"/>
          <w:bCs/>
          <w:sz w:val="32"/>
          <w:szCs w:val="32"/>
        </w:rPr>
        <w:t>在黑恶势力易于滋生的行业和领域，深入开展涉黑涉恶线索排摸活动，</w:t>
      </w:r>
      <w:r>
        <w:rPr>
          <w:rFonts w:hint="eastAsia" w:ascii="仿宋_GB2312" w:hAnsi="仿宋_GB2312" w:eastAsia="仿宋_GB2312" w:cs="仿宋_GB2312"/>
          <w:sz w:val="32"/>
          <w:szCs w:val="32"/>
        </w:rPr>
        <w:t>建立白朝乡涉黑涉恶专项问题线索台账，对黑恶势力及其保护伞</w:t>
      </w:r>
      <w:r>
        <w:rPr>
          <w:rFonts w:hint="eastAsia" w:ascii="仿宋_GB2312" w:hAnsi="仿宋_GB2312" w:eastAsia="仿宋_GB2312" w:cs="仿宋_GB2312"/>
          <w:kern w:val="0"/>
          <w:sz w:val="32"/>
          <w:szCs w:val="32"/>
        </w:rPr>
        <w:t>坚决做到“黑恶必除，除恶务尽”。</w:t>
      </w:r>
    </w:p>
    <w:p>
      <w:pPr>
        <w:pStyle w:val="3"/>
        <w:rPr>
          <w:rStyle w:val="25"/>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朝乡属一级预算单位，无下属的二级预算单位。白朝乡编制数33个，其中公务员编制19个，工勤编制3个，事业人员编制11个；白朝乡实有在职职工29人，其中公务员17人，事业人员10人，行政工人2人，退休人员11人。白朝乡机关内设6个机构（党委办、安全生产办、村建环卫办、社会事务管理办、计生办、财政所）。</w:t>
      </w:r>
    </w:p>
    <w:p>
      <w:pPr>
        <w:pStyle w:val="2"/>
        <w:ind w:right="440"/>
        <w:jc w:val="right"/>
        <w:rPr>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2018年度收入合计1248.29万元。与2017年收入2076.66万元相比减少828.37万元，下降39% ；2018年支出合计1248.29万元，与2017年支出2310.06万元相比减少 1061.77万元，下降 46</w:t>
      </w:r>
      <w:r>
        <w:rPr>
          <w:rFonts w:ascii="仿宋" w:hAnsi="仿宋" w:eastAsia="仿宋"/>
          <w:color w:val="000000"/>
          <w:sz w:val="32"/>
          <w:szCs w:val="32"/>
        </w:rPr>
        <w:t>%</w:t>
      </w:r>
      <w:r>
        <w:rPr>
          <w:rFonts w:hint="eastAsia" w:ascii="仿宋" w:hAnsi="仿宋" w:eastAsia="仿宋"/>
          <w:color w:val="000000"/>
          <w:sz w:val="32"/>
          <w:szCs w:val="32"/>
        </w:rPr>
        <w:t>。 主要变动原因是项目资金减少。</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-123825</wp:posOffset>
            </wp:positionV>
            <wp:extent cx="4838700" cy="2962275"/>
            <wp:effectExtent l="0" t="0" r="0" b="9525"/>
            <wp:wrapSquare wrapText="bothSides"/>
            <wp:docPr id="3" name="图片 3" descr="C:\Users\Administrator\Desktop\QQ图片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Desktop\QQ图片1.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4838700" cy="2962275"/>
                    </a:xfrm>
                    <a:prstGeom prst="rect">
                      <a:avLst/>
                    </a:prstGeom>
                    <a:noFill/>
                    <a:ln>
                      <a:noFill/>
                    </a:ln>
                  </pic:spPr>
                </pic:pic>
              </a:graphicData>
            </a:graphic>
          </wp:anchor>
        </w:drawing>
      </w:r>
    </w:p>
    <w:p>
      <w:pPr>
        <w:spacing w:line="600" w:lineRule="exact"/>
        <w:ind w:firstLine="640" w:firstLineChars="200"/>
        <w:jc w:val="left"/>
        <w:rPr>
          <w:rFonts w:ascii="仿宋_GB2312" w:eastAsia="仿宋_GB2312"/>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bookmarkStart w:id="26" w:name="_Toc15377206"/>
      <w:bookmarkStart w:id="27" w:name="_Toc15396604"/>
    </w:p>
    <w:p>
      <w:pPr>
        <w:pStyle w:val="23"/>
        <w:spacing w:line="600" w:lineRule="exact"/>
        <w:ind w:left="1360" w:firstLine="0" w:firstLineChars="0"/>
        <w:outlineLvl w:val="1"/>
        <w:rPr>
          <w:rFonts w:ascii="黑体" w:hAnsi="黑体" w:eastAsia="黑体"/>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p>
    <w:p>
      <w:pPr>
        <w:pStyle w:val="23"/>
        <w:numPr>
          <w:ilvl w:val="0"/>
          <w:numId w:val="1"/>
        </w:numPr>
        <w:spacing w:line="600" w:lineRule="exact"/>
        <w:ind w:firstLineChars="0"/>
        <w:outlineLvl w:val="1"/>
        <w:rPr>
          <w:rFonts w:ascii="黑体" w:hAnsi="黑体" w:eastAsia="黑体" w:cstheme="majorBidi"/>
          <w:bCs/>
          <w:sz w:val="32"/>
          <w:szCs w:val="32"/>
        </w:rPr>
      </w:pP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8年本年收入合计1248.2909万元，其中：一般公共预算财政拨款收入1248.2909万元，占100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；政府性基金预算财政拨款收入0万元；国有资本经营预算财政拨款收入0万元；事业收入0万元；经营收入0万元；附属单位上缴收入0万元；其他收入0万元。</w:t>
      </w:r>
      <w:bookmarkStart w:id="28" w:name="_Toc15377207"/>
      <w:bookmarkStart w:id="29" w:name="_Toc15396605"/>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tabs>
          <w:tab w:val="left" w:pos="3195"/>
        </w:tabs>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ab/>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409575</wp:posOffset>
            </wp:positionH>
            <wp:positionV relativeFrom="paragraph">
              <wp:posOffset>-2343150</wp:posOffset>
            </wp:positionV>
            <wp:extent cx="4210050" cy="2638425"/>
            <wp:effectExtent l="0" t="0" r="0" b="9525"/>
            <wp:wrapSquare wrapText="bothSides"/>
            <wp:docPr id="14" name="图片 14" descr="C:\Users\Administrator\Desktop\收入决算结构图 (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收入决算结构图 (3).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4210050" cy="2638425"/>
                    </a:xfrm>
                    <a:prstGeom prst="rect">
                      <a:avLst/>
                    </a:prstGeom>
                    <a:noFill/>
                    <a:ln>
                      <a:noFill/>
                    </a:ln>
                  </pic:spPr>
                </pic:pic>
              </a:graphicData>
            </a:graphic>
          </wp:anchor>
        </w:drawing>
      </w:r>
    </w:p>
    <w:p>
      <w:pPr>
        <w:spacing w:line="600" w:lineRule="exact"/>
        <w:outlineLvl w:val="1"/>
        <w:rPr>
          <w:rFonts w:ascii="仿宋" w:hAnsi="仿宋" w:eastAsia="仿宋"/>
          <w:color w:val="000000"/>
          <w:sz w:val="32"/>
          <w:szCs w:val="32"/>
        </w:rPr>
      </w:pPr>
      <w:r>
        <w:rPr>
          <w:rFonts w:hint="eastAsia" w:ascii="仿宋" w:hAnsi="仿宋" w:eastAsia="仿宋"/>
          <w:color w:val="000000"/>
          <w:sz w:val="32"/>
          <w:szCs w:val="32"/>
        </w:rPr>
        <w:t xml:space="preserve">            图2：收入决算结构图</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8年本年支出合计1248.29万元，其中：基本支出708.24万元，占57</w:t>
      </w:r>
      <w:r>
        <w:rPr>
          <w:rFonts w:ascii="仿宋" w:hAnsi="仿宋" w:eastAsia="仿宋"/>
          <w:color w:val="000000"/>
          <w:sz w:val="32"/>
          <w:szCs w:val="32"/>
        </w:rPr>
        <w:t>%</w:t>
      </w:r>
      <w:r>
        <w:rPr>
          <w:rFonts w:hint="eastAsia" w:ascii="仿宋" w:hAnsi="仿宋" w:eastAsia="仿宋"/>
          <w:color w:val="000000"/>
          <w:sz w:val="32"/>
          <w:szCs w:val="32"/>
        </w:rPr>
        <w:t>；项目支出540.05万元，占43</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 。</w:t>
      </w:r>
      <w:bookmarkStart w:id="30" w:name="_Toc15396606"/>
      <w:bookmarkStart w:id="31" w:name="_Toc15377208"/>
    </w:p>
    <w:p>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9525</wp:posOffset>
            </wp:positionV>
            <wp:extent cx="4152900" cy="2762250"/>
            <wp:effectExtent l="0" t="0" r="0" b="0"/>
            <wp:wrapSquare wrapText="bothSides"/>
            <wp:docPr id="11" name="图片 11" descr="C:\Users\Administrator\AppData\Roaming\Tencent\Users\735583493\QQ\WinTemp\RichOle\V[({9YD83)T~TWHH67]`Z5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735583493\QQ\WinTemp\RichOle\V[({9YD83)T~TWHH67]`Z56.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4152900" cy="2762250"/>
                    </a:xfrm>
                    <a:prstGeom prst="rect">
                      <a:avLst/>
                    </a:prstGeom>
                    <a:noFill/>
                    <a:ln>
                      <a:noFill/>
                    </a:ln>
                  </pic:spPr>
                </pic:pic>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ind w:firstLine="1760" w:firstLineChars="550"/>
        <w:rPr>
          <w:rFonts w:ascii="黑体" w:hAnsi="黑体" w:eastAsia="黑体"/>
          <w:color w:val="000000"/>
          <w:sz w:val="32"/>
          <w:szCs w:val="32"/>
        </w:rPr>
      </w:pPr>
      <w:r>
        <w:rPr>
          <w:rFonts w:hint="eastAsia" w:ascii="黑体" w:hAnsi="黑体" w:eastAsia="黑体"/>
          <w:color w:val="000000"/>
          <w:sz w:val="32"/>
          <w:szCs w:val="32"/>
        </w:rPr>
        <w:t>图3:支出决算结构图</w:t>
      </w:r>
    </w:p>
    <w:p>
      <w:pPr>
        <w:pStyle w:val="23"/>
        <w:numPr>
          <w:ilvl w:val="0"/>
          <w:numId w:val="1"/>
        </w:numPr>
        <w:spacing w:line="600" w:lineRule="exact"/>
        <w:ind w:firstLineChars="0"/>
        <w:rPr>
          <w:rStyle w:val="25"/>
          <w:rFonts w:ascii="黑体" w:hAnsi="黑体" w:eastAsia="黑体"/>
          <w:b w:val="0"/>
        </w:rPr>
      </w:pPr>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30"/>
      <w:bookmarkEnd w:id="31"/>
    </w:p>
    <w:p>
      <w:pPr>
        <w:spacing w:line="600" w:lineRule="exact"/>
        <w:rPr>
          <w:rStyle w:val="25"/>
          <w:rFonts w:ascii="仿宋" w:hAnsi="仿宋" w:eastAsia="仿宋" w:cs="Times New Roman"/>
          <w:b w:val="0"/>
          <w:bCs w:val="0"/>
          <w:color w:val="000000" w:themeColor="text1"/>
          <w14:textFill>
            <w14:solidFill>
              <w14:schemeClr w14:val="tx1"/>
            </w14:solidFill>
          </w14:textFill>
        </w:rPr>
      </w:pPr>
    </w:p>
    <w:p>
      <w:pPr>
        <w:pStyle w:val="23"/>
        <w:spacing w:line="600" w:lineRule="exact"/>
        <w:ind w:left="1360" w:firstLine="0" w:firstLineChars="0"/>
        <w:rPr>
          <w:rStyle w:val="25"/>
          <w:rFonts w:ascii="仿宋" w:hAnsi="仿宋" w:eastAsia="仿宋" w:cs="Times New Roman"/>
          <w:b w:val="0"/>
          <w:bCs w:val="0"/>
          <w:color w:val="000000" w:themeColor="text1"/>
          <w14:textFill>
            <w14:solidFill>
              <w14:schemeClr w14:val="tx1"/>
            </w14:solidFill>
          </w14:textFill>
        </w:rPr>
      </w:pPr>
    </w:p>
    <w:p>
      <w:pPr>
        <w:pStyle w:val="23"/>
        <w:spacing w:line="600" w:lineRule="exact"/>
        <w:ind w:left="1360" w:firstLine="0" w:firstLineChars="0"/>
        <w:rPr>
          <w:rStyle w:val="25"/>
          <w:rFonts w:ascii="仿宋" w:hAnsi="仿宋" w:eastAsia="仿宋" w:cs="Times New Roman"/>
          <w:b w:val="0"/>
          <w:bCs w:val="0"/>
          <w:color w:val="000000" w:themeColor="text1"/>
          <w14:textFill>
            <w14:solidFill>
              <w14:schemeClr w14:val="tx1"/>
            </w14:solidFill>
          </w14:textFill>
        </w:rPr>
      </w:pPr>
    </w:p>
    <w:p>
      <w:pPr>
        <w:pStyle w:val="23"/>
        <w:spacing w:line="600" w:lineRule="exact"/>
        <w:ind w:left="1360" w:firstLine="0" w:firstLineChars="0"/>
        <w:rPr>
          <w:rStyle w:val="25"/>
          <w:rFonts w:ascii="仿宋" w:hAnsi="仿宋" w:eastAsia="仿宋" w:cs="Times New Roman"/>
          <w:b w:val="0"/>
          <w:bCs w:val="0"/>
          <w:color w:val="000000" w:themeColor="text1"/>
          <w14:textFill>
            <w14:solidFill>
              <w14:schemeClr w14:val="tx1"/>
            </w14:solidFill>
          </w14:textFill>
        </w:rPr>
      </w:pPr>
    </w:p>
    <w:p>
      <w:pPr>
        <w:pStyle w:val="23"/>
        <w:spacing w:line="600" w:lineRule="exact"/>
        <w:ind w:left="1360" w:firstLine="0" w:firstLineChars="0"/>
        <w:rPr>
          <w:rStyle w:val="25"/>
          <w:rFonts w:ascii="仿宋" w:hAnsi="仿宋" w:eastAsia="仿宋" w:cs="Times New Roman"/>
          <w:b w:val="0"/>
          <w:bCs w:val="0"/>
          <w:color w:val="000000" w:themeColor="text1"/>
          <w14:textFill>
            <w14:solidFill>
              <w14:schemeClr w14:val="tx1"/>
            </w14:solidFill>
          </w14:textFill>
        </w:rPr>
      </w:pPr>
    </w:p>
    <w:p>
      <w:pPr>
        <w:pStyle w:val="23"/>
        <w:spacing w:line="600" w:lineRule="exact"/>
        <w:ind w:left="1360" w:firstLine="0" w:firstLineChars="0"/>
        <w:rPr>
          <w:rStyle w:val="25"/>
          <w:rFonts w:ascii="仿宋" w:hAnsi="仿宋" w:eastAsia="仿宋" w:cs="Times New Roman"/>
          <w:b w:val="0"/>
          <w:bCs w:val="0"/>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7456" behindDoc="0" locked="0" layoutInCell="1" allowOverlap="1">
            <wp:simplePos x="0" y="0"/>
            <wp:positionH relativeFrom="column">
              <wp:posOffset>866775</wp:posOffset>
            </wp:positionH>
            <wp:positionV relativeFrom="paragraph">
              <wp:posOffset>-1903095</wp:posOffset>
            </wp:positionV>
            <wp:extent cx="4552950" cy="2209800"/>
            <wp:effectExtent l="0" t="0" r="0" b="0"/>
            <wp:wrapSquare wrapText="bothSides"/>
            <wp:docPr id="16" name="图片 16" descr="C:\Users\Administrator\Desktop\图4：财政拨款收、支决算总计变动情况图.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图4：财政拨款收、支决算总计变动情况图.png"/>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4552950" cy="2209800"/>
                    </a:xfrm>
                    <a:prstGeom prst="rect">
                      <a:avLst/>
                    </a:prstGeom>
                    <a:noFill/>
                    <a:ln>
                      <a:noFill/>
                    </a:ln>
                  </pic:spPr>
                </pic:pic>
              </a:graphicData>
            </a:graphic>
          </wp:anchor>
        </w:drawing>
      </w:r>
    </w:p>
    <w:p>
      <w:pPr>
        <w:spacing w:line="600" w:lineRule="exact"/>
        <w:ind w:firstLine="1440" w:firstLineChars="450"/>
        <w:rPr>
          <w:rStyle w:val="25"/>
          <w:rFonts w:ascii="仿宋" w:hAnsi="仿宋" w:eastAsia="仿宋" w:cs="Times New Roman"/>
          <w:b w:val="0"/>
          <w:bCs w:val="0"/>
          <w:color w:val="000000"/>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8年财政拨款收入合计1249.29万元，与</w:t>
      </w:r>
      <w:r>
        <w:rPr>
          <w:rFonts w:ascii="仿宋" w:hAnsi="仿宋" w:eastAsia="仿宋"/>
          <w:color w:val="000000"/>
          <w:sz w:val="32"/>
          <w:szCs w:val="32"/>
        </w:rPr>
        <w:t>201</w:t>
      </w:r>
      <w:r>
        <w:rPr>
          <w:rFonts w:hint="eastAsia" w:ascii="仿宋" w:hAnsi="仿宋" w:eastAsia="仿宋"/>
          <w:color w:val="000000"/>
          <w:sz w:val="32"/>
          <w:szCs w:val="32"/>
        </w:rPr>
        <w:t>7年财政拨款收入2076.66万元相比减少828.37万元，下降39% ；2018年财政拨款支出合计1249.29万元，与2017年财政拨款支出2310.06万元减少 1061.77万元，下降 46</w:t>
      </w:r>
      <w:r>
        <w:rPr>
          <w:rFonts w:ascii="仿宋" w:hAnsi="仿宋" w:eastAsia="仿宋"/>
          <w:color w:val="000000"/>
          <w:sz w:val="32"/>
          <w:szCs w:val="32"/>
        </w:rPr>
        <w:t>%</w:t>
      </w:r>
      <w:r>
        <w:rPr>
          <w:rFonts w:hint="eastAsia" w:ascii="仿宋" w:hAnsi="仿宋" w:eastAsia="仿宋"/>
          <w:color w:val="000000"/>
          <w:sz w:val="32"/>
          <w:szCs w:val="32"/>
        </w:rPr>
        <w:t>。 主要变动原因是项目资金减少.</w:t>
      </w:r>
      <w:bookmarkStart w:id="32" w:name="_Toc15396607"/>
      <w:bookmarkStart w:id="33"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2018年度一般公共预算财政拨款支出1248.2909万元，占本年支出合计的100%。与2017年支出2310.06万元相比，减少828.3677万元，减少39%。</w:t>
      </w:r>
      <w:r>
        <w:rPr>
          <w:rFonts w:hint="eastAsia" w:ascii="仿宋" w:hAnsi="仿宋" w:eastAsia="仿宋"/>
          <w:color w:val="000000"/>
          <w:sz w:val="32"/>
          <w:szCs w:val="32"/>
        </w:rPr>
        <w:t>主要变动原因是项目资金减少。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409575</wp:posOffset>
            </wp:positionH>
            <wp:positionV relativeFrom="paragraph">
              <wp:posOffset>-1885950</wp:posOffset>
            </wp:positionV>
            <wp:extent cx="4495800" cy="2181225"/>
            <wp:effectExtent l="0" t="0" r="0" b="9525"/>
            <wp:wrapSquare wrapText="bothSides"/>
            <wp:docPr id="17" name="图片 17" descr="C:\Users\Administrator\Desktop\图5：一般公共预算财政拨款支出决算总体情况.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图5：一般公共预算财政拨款支出决算总体情况.png"/>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4495800" cy="2181225"/>
                    </a:xfrm>
                    <a:prstGeom prst="rect">
                      <a:avLst/>
                    </a:prstGeom>
                    <a:noFill/>
                    <a:ln>
                      <a:noFill/>
                    </a:ln>
                  </pic:spPr>
                </pic:pic>
              </a:graphicData>
            </a:graphic>
          </wp:anchor>
        </w:drawing>
      </w:r>
    </w:p>
    <w:p>
      <w:pPr>
        <w:spacing w:line="600" w:lineRule="exact"/>
        <w:ind w:firstLine="472" w:firstLineChars="147"/>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图5：一般公共预算财政拨款支出决算总体情况</w:t>
      </w: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2018年一般公共预算财政拨款支出</w:t>
      </w:r>
      <w:r>
        <w:rPr>
          <w:rFonts w:hint="eastAsia" w:ascii="仿宋_GB2312" w:hAnsi="仿宋_GB2312" w:eastAsia="仿宋_GB2312" w:cs="仿宋_GB2312"/>
          <w:sz w:val="32"/>
          <w:szCs w:val="32"/>
        </w:rPr>
        <w:t>1248.29</w:t>
      </w:r>
      <w:r>
        <w:rPr>
          <w:rFonts w:hint="eastAsia" w:ascii="仿宋_GB2312" w:hAnsi="仿宋_GB2312" w:eastAsia="仿宋_GB2312" w:cs="仿宋_GB2312"/>
          <w:color w:val="000000"/>
          <w:sz w:val="32"/>
          <w:szCs w:val="32"/>
        </w:rPr>
        <w:t>万元，主要</w:t>
      </w:r>
      <w:r>
        <w:rPr>
          <w:rFonts w:hint="eastAsia" w:ascii="仿宋_GB2312" w:hAnsi="仿宋_GB2312" w:eastAsia="仿宋_GB2312" w:cs="仿宋_GB2312"/>
          <w:sz w:val="32"/>
          <w:szCs w:val="32"/>
        </w:rPr>
        <w:t>用于以下方面:一般公共服务支出400.28万元，占32 %；文化教育支出12.69万元，占1 %；社会保障和就业支出192.39万元，占15%；医疗卫生支出48.6万元，占4%；城乡社区支出187.5万元，占15 %；农林水支出386.34万元，占31%；住房保障支出20.52万元，占2%。</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409575</wp:posOffset>
            </wp:positionH>
            <wp:positionV relativeFrom="paragraph">
              <wp:posOffset>-2268855</wp:posOffset>
            </wp:positionV>
            <wp:extent cx="4171950" cy="2571750"/>
            <wp:effectExtent l="0" t="0" r="0" b="0"/>
            <wp:wrapSquare wrapText="bothSides"/>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11">
                      <a:extLst>
                        <a:ext uri="{28A0092B-C50C-407E-A947-70E740481C1C}">
                          <a14:useLocalDpi xmlns:a14="http://schemas.microsoft.com/office/drawing/2010/main" val="false"/>
                        </a:ext>
                      </a:extLst>
                    </a:blip>
                    <a:stretch>
                      <a:fillRect/>
                    </a:stretch>
                  </pic:blipFill>
                  <pic:spPr>
                    <a:xfrm>
                      <a:off x="0" y="0"/>
                      <a:ext cx="4171950" cy="2571750"/>
                    </a:xfrm>
                    <a:prstGeom prst="rect">
                      <a:avLst/>
                    </a:prstGeom>
                  </pic:spPr>
                </pic:pic>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2" w:firstLineChars="200"/>
        <w:jc w:val="left"/>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jc w:val="left"/>
        <w:rPr>
          <w:rStyle w:val="14"/>
          <w:rFonts w:ascii="仿宋_GB2312" w:hAnsi="仿宋_GB2312" w:eastAsia="仿宋_GB2312" w:cs="仿宋_GB2312"/>
          <w:b w:val="0"/>
          <w:sz w:val="32"/>
          <w:szCs w:val="32"/>
        </w:rPr>
      </w:pPr>
      <w:r>
        <w:rPr>
          <w:rStyle w:val="14"/>
          <w:rFonts w:hint="eastAsia" w:ascii="仿宋_GB2312" w:hAnsi="仿宋_GB2312" w:eastAsia="仿宋_GB2312" w:cs="仿宋_GB2312"/>
          <w:color w:val="000000"/>
          <w:sz w:val="32"/>
          <w:szCs w:val="32"/>
        </w:rPr>
        <w:t>1.一般公共服务:</w:t>
      </w:r>
      <w:r>
        <w:rPr>
          <w:rStyle w:val="14"/>
          <w:rFonts w:hint="eastAsia" w:ascii="仿宋_GB2312" w:hAnsi="仿宋_GB2312" w:eastAsia="仿宋_GB2312" w:cs="仿宋_GB2312"/>
          <w:b w:val="0"/>
          <w:color w:val="000000"/>
          <w:sz w:val="32"/>
          <w:szCs w:val="32"/>
        </w:rPr>
        <w:t xml:space="preserve"> </w:t>
      </w:r>
      <w:r>
        <w:rPr>
          <w:rStyle w:val="14"/>
          <w:rFonts w:hint="eastAsia" w:ascii="仿宋_GB2312" w:hAnsi="仿宋_GB2312" w:eastAsia="仿宋_GB2312" w:cs="仿宋_GB2312"/>
          <w:b w:val="0"/>
          <w:sz w:val="32"/>
          <w:szCs w:val="32"/>
        </w:rPr>
        <w:t>支出决算为400.28万元，完成预算100%；2010108</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代表工作5.88万元，2010301行政运行305.9万元，2010302一般行政管理事务41万元。2010601行政运行20.66万元，2013101行政运行25.34万元，2013105专项业务1.5万元。</w:t>
      </w:r>
    </w:p>
    <w:p>
      <w:pPr>
        <w:spacing w:line="600" w:lineRule="exact"/>
        <w:ind w:firstLine="642" w:firstLineChars="200"/>
        <w:jc w:val="left"/>
        <w:rPr>
          <w:rFonts w:ascii="仿宋_GB2312" w:hAnsi="仿宋_GB2312" w:eastAsia="仿宋_GB2312" w:cs="仿宋_GB2312"/>
          <w:b/>
          <w:sz w:val="32"/>
          <w:szCs w:val="32"/>
        </w:rPr>
      </w:pPr>
      <w:r>
        <w:rPr>
          <w:rStyle w:val="14"/>
          <w:rFonts w:hint="eastAsia" w:ascii="仿宋_GB2312" w:hAnsi="仿宋_GB2312" w:eastAsia="仿宋_GB2312" w:cs="仿宋_GB2312"/>
          <w:color w:val="000000"/>
          <w:sz w:val="32"/>
          <w:szCs w:val="32"/>
        </w:rPr>
        <w:t>2.文化体育与传媒：</w:t>
      </w:r>
      <w:r>
        <w:rPr>
          <w:rStyle w:val="14"/>
          <w:rFonts w:hint="eastAsia" w:ascii="仿宋_GB2312" w:hAnsi="仿宋_GB2312" w:eastAsia="仿宋_GB2312" w:cs="仿宋_GB2312"/>
          <w:b w:val="0"/>
          <w:color w:val="000000"/>
          <w:sz w:val="32"/>
          <w:szCs w:val="32"/>
        </w:rPr>
        <w:t>支出决算为</w:t>
      </w:r>
      <w:r>
        <w:rPr>
          <w:rFonts w:hint="eastAsia" w:ascii="仿宋_GB2312" w:hAnsi="仿宋_GB2312" w:eastAsia="仿宋_GB2312" w:cs="仿宋_GB2312"/>
          <w:sz w:val="32"/>
          <w:szCs w:val="32"/>
        </w:rPr>
        <w:t>12.69</w:t>
      </w:r>
      <w:r>
        <w:rPr>
          <w:rStyle w:val="14"/>
          <w:rFonts w:hint="eastAsia" w:ascii="仿宋_GB2312" w:hAnsi="仿宋_GB2312" w:eastAsia="仿宋_GB2312" w:cs="仿宋_GB2312"/>
          <w:b w:val="0"/>
          <w:color w:val="000000"/>
          <w:sz w:val="32"/>
          <w:szCs w:val="32"/>
        </w:rPr>
        <w:t>万元，完成预算100%；2070101</w:t>
      </w:r>
      <w:r>
        <w:rPr>
          <w:rStyle w:val="14"/>
          <w:rFonts w:hint="eastAsia" w:ascii="仿宋_GB2312" w:hAnsi="仿宋_GB2312" w:eastAsia="仿宋_GB2312" w:cs="仿宋_GB2312"/>
          <w:b w:val="0"/>
          <w:color w:val="000000"/>
          <w:sz w:val="32"/>
          <w:szCs w:val="32"/>
        </w:rPr>
        <w:tab/>
      </w:r>
      <w:r>
        <w:rPr>
          <w:rStyle w:val="14"/>
          <w:rFonts w:hint="eastAsia" w:ascii="仿宋_GB2312" w:hAnsi="仿宋_GB2312" w:eastAsia="仿宋_GB2312" w:cs="仿宋_GB2312"/>
          <w:b w:val="0"/>
          <w:color w:val="000000"/>
          <w:sz w:val="32"/>
          <w:szCs w:val="32"/>
        </w:rPr>
        <w:t>行政运</w:t>
      </w:r>
      <w:r>
        <w:rPr>
          <w:rStyle w:val="14"/>
          <w:rFonts w:hint="eastAsia" w:ascii="仿宋_GB2312" w:hAnsi="仿宋_GB2312" w:eastAsia="仿宋_GB2312" w:cs="仿宋_GB2312"/>
          <w:b w:val="0"/>
          <w:sz w:val="32"/>
          <w:szCs w:val="32"/>
        </w:rPr>
        <w:t>行7.69万元，2079999其他文化体育与传媒支出</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5万元，</w:t>
      </w:r>
    </w:p>
    <w:p>
      <w:pPr>
        <w:spacing w:line="600" w:lineRule="exact"/>
        <w:ind w:firstLine="642" w:firstLineChars="200"/>
        <w:rPr>
          <w:rFonts w:ascii="仿宋_GB2312" w:hAnsi="仿宋_GB2312" w:eastAsia="仿宋_GB2312" w:cs="仿宋_GB2312"/>
          <w:b/>
          <w:color w:val="000000"/>
          <w:sz w:val="32"/>
          <w:szCs w:val="32"/>
        </w:rPr>
      </w:pPr>
      <w:r>
        <w:rPr>
          <w:rStyle w:val="14"/>
          <w:rFonts w:hint="eastAsia" w:ascii="仿宋_GB2312" w:hAnsi="仿宋_GB2312" w:eastAsia="仿宋_GB2312" w:cs="仿宋_GB2312"/>
          <w:color w:val="000000"/>
          <w:sz w:val="32"/>
          <w:szCs w:val="32"/>
        </w:rPr>
        <w:t>3.社会保障和就业:</w:t>
      </w:r>
      <w:r>
        <w:rPr>
          <w:rStyle w:val="14"/>
          <w:rFonts w:hint="eastAsia" w:ascii="仿宋_GB2312" w:hAnsi="仿宋_GB2312" w:eastAsia="仿宋_GB2312" w:cs="仿宋_GB2312"/>
          <w:b w:val="0"/>
          <w:color w:val="000000"/>
          <w:sz w:val="32"/>
          <w:szCs w:val="32"/>
        </w:rPr>
        <w:t xml:space="preserve"> 支出决算为</w:t>
      </w:r>
      <w:r>
        <w:rPr>
          <w:rFonts w:hint="eastAsia" w:ascii="仿宋_GB2312" w:hAnsi="仿宋_GB2312" w:eastAsia="仿宋_GB2312" w:cs="仿宋_GB2312"/>
          <w:sz w:val="32"/>
          <w:szCs w:val="32"/>
        </w:rPr>
        <w:t>192.39</w:t>
      </w:r>
      <w:r>
        <w:rPr>
          <w:rStyle w:val="14"/>
          <w:rFonts w:hint="eastAsia" w:ascii="仿宋_GB2312" w:hAnsi="仿宋_GB2312" w:eastAsia="仿宋_GB2312" w:cs="仿宋_GB2312"/>
          <w:b w:val="0"/>
          <w:color w:val="000000"/>
          <w:sz w:val="32"/>
          <w:szCs w:val="32"/>
        </w:rPr>
        <w:t>万元，完成预算100%；2080505机关事业单位</w:t>
      </w:r>
      <w:r>
        <w:rPr>
          <w:rStyle w:val="14"/>
          <w:rFonts w:hint="eastAsia" w:ascii="仿宋_GB2312" w:hAnsi="仿宋_GB2312" w:eastAsia="仿宋_GB2312" w:cs="仿宋_GB2312"/>
          <w:b w:val="0"/>
          <w:sz w:val="32"/>
          <w:szCs w:val="32"/>
        </w:rPr>
        <w:t>基本养老保险缴费支出34.98万元，2080506机关事业单位职业年金缴费支出3.47万元，2080805义务兵优待8.94万元</w:t>
      </w:r>
      <w:r>
        <w:rPr>
          <w:rStyle w:val="14"/>
          <w:rFonts w:hint="eastAsia" w:ascii="仿宋_GB2312" w:hAnsi="仿宋_GB2312" w:eastAsia="仿宋_GB2312" w:cs="仿宋_GB2312"/>
          <w:b w:val="0"/>
          <w:color w:val="000000"/>
          <w:sz w:val="32"/>
          <w:szCs w:val="32"/>
        </w:rPr>
        <w:t>,20815自然灾害生活救助145万元</w:t>
      </w:r>
    </w:p>
    <w:p>
      <w:pPr>
        <w:spacing w:line="600" w:lineRule="exact"/>
        <w:ind w:firstLine="642" w:firstLineChars="200"/>
        <w:rPr>
          <w:rStyle w:val="14"/>
          <w:rFonts w:ascii="仿宋_GB2312" w:hAnsi="仿宋_GB2312" w:eastAsia="仿宋_GB2312" w:cs="仿宋_GB2312"/>
          <w:b w:val="0"/>
          <w:color w:val="000000"/>
          <w:sz w:val="32"/>
          <w:szCs w:val="32"/>
        </w:rPr>
      </w:pPr>
      <w:r>
        <w:rPr>
          <w:rStyle w:val="14"/>
          <w:rFonts w:hint="eastAsia" w:ascii="仿宋_GB2312" w:hAnsi="仿宋_GB2312" w:eastAsia="仿宋_GB2312" w:cs="仿宋_GB2312"/>
          <w:color w:val="000000"/>
          <w:sz w:val="32"/>
          <w:szCs w:val="32"/>
        </w:rPr>
        <w:t>4.医疗卫生与计划生育:</w:t>
      </w:r>
      <w:r>
        <w:rPr>
          <w:rStyle w:val="14"/>
          <w:rFonts w:hint="eastAsia" w:ascii="仿宋_GB2312" w:hAnsi="仿宋_GB2312" w:eastAsia="仿宋_GB2312" w:cs="仿宋_GB2312"/>
          <w:b w:val="0"/>
          <w:sz w:val="32"/>
          <w:szCs w:val="32"/>
        </w:rPr>
        <w:t>支出决算为48.6万元，完成预算100%；2100716计划生育机构30.47万元，2100717计划生育服务</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2.84万元,2101101行政单位医</w:t>
      </w:r>
      <w:r>
        <w:rPr>
          <w:rStyle w:val="14"/>
          <w:rFonts w:hint="eastAsia" w:ascii="仿宋_GB2312" w:hAnsi="仿宋_GB2312" w:eastAsia="仿宋_GB2312" w:cs="仿宋_GB2312"/>
          <w:b w:val="0"/>
          <w:color w:val="000000"/>
          <w:sz w:val="32"/>
          <w:szCs w:val="32"/>
        </w:rPr>
        <w:t>疗15.29万元。</w:t>
      </w:r>
    </w:p>
    <w:p>
      <w:pPr>
        <w:spacing w:line="600" w:lineRule="exact"/>
        <w:ind w:firstLine="642"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color w:val="000000"/>
          <w:sz w:val="32"/>
          <w:szCs w:val="32"/>
        </w:rPr>
        <w:t>5.城乡社区支出:</w:t>
      </w:r>
      <w:r>
        <w:rPr>
          <w:rStyle w:val="14"/>
          <w:rFonts w:hint="eastAsia" w:ascii="仿宋_GB2312" w:hAnsi="仿宋_GB2312" w:eastAsia="仿宋_GB2312" w:cs="仿宋_GB2312"/>
          <w:b w:val="0"/>
          <w:color w:val="000000"/>
          <w:sz w:val="32"/>
          <w:szCs w:val="32"/>
        </w:rPr>
        <w:t>支出决算</w:t>
      </w:r>
      <w:r>
        <w:rPr>
          <w:rStyle w:val="14"/>
          <w:rFonts w:hint="eastAsia" w:ascii="仿宋_GB2312" w:hAnsi="仿宋_GB2312" w:eastAsia="仿宋_GB2312" w:cs="仿宋_GB2312"/>
          <w:b w:val="0"/>
          <w:sz w:val="32"/>
          <w:szCs w:val="32"/>
        </w:rPr>
        <w:t>为187.5万元，完成预算100%；2120101</w:t>
      </w:r>
      <w:r>
        <w:rPr>
          <w:rStyle w:val="14"/>
          <w:rFonts w:hint="eastAsia" w:ascii="仿宋_GB2312" w:hAnsi="仿宋_GB2312" w:eastAsia="仿宋_GB2312" w:cs="仿宋_GB2312"/>
          <w:b w:val="0"/>
          <w:sz w:val="32"/>
          <w:szCs w:val="32"/>
        </w:rPr>
        <w:tab/>
      </w:r>
      <w:r>
        <w:rPr>
          <w:rStyle w:val="14"/>
          <w:rFonts w:hint="eastAsia" w:ascii="仿宋_GB2312" w:hAnsi="仿宋_GB2312" w:eastAsia="仿宋_GB2312" w:cs="仿宋_GB2312"/>
          <w:b w:val="0"/>
          <w:sz w:val="32"/>
          <w:szCs w:val="32"/>
        </w:rPr>
        <w:t>行政运行12.5万元，2120303小城镇基础设施建设175万元。</w:t>
      </w:r>
    </w:p>
    <w:p>
      <w:pPr>
        <w:spacing w:line="600" w:lineRule="exact"/>
        <w:ind w:firstLine="642"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color w:val="000000"/>
          <w:sz w:val="32"/>
          <w:szCs w:val="32"/>
        </w:rPr>
        <w:t>6.农林水支出</w:t>
      </w:r>
      <w:r>
        <w:rPr>
          <w:rStyle w:val="14"/>
          <w:rFonts w:hint="eastAsia" w:ascii="仿宋_GB2312" w:hAnsi="仿宋_GB2312" w:eastAsia="仿宋_GB2312" w:cs="仿宋_GB2312"/>
          <w:sz w:val="32"/>
          <w:szCs w:val="32"/>
        </w:rPr>
        <w:t>:</w:t>
      </w:r>
      <w:r>
        <w:rPr>
          <w:rStyle w:val="14"/>
          <w:rFonts w:hint="eastAsia" w:ascii="仿宋_GB2312" w:hAnsi="仿宋_GB2312" w:eastAsia="仿宋_GB2312" w:cs="仿宋_GB2312"/>
          <w:b w:val="0"/>
          <w:sz w:val="32"/>
          <w:szCs w:val="32"/>
        </w:rPr>
        <w:t>支出决算为386.34万元，完成预算100%；2130199其他农业支出40万元，2130234林业防灾减灾2万元，2130505生产发展1.4万元，2130599其他扶贫支出7万元，2130701对村级一事一议的补助20万元,2130705对村民委员会和村党支部的补助243.94万元,2130706对村集体经济组织的补助10万元,2130799其他农村综合改革支出62万元</w:t>
      </w:r>
    </w:p>
    <w:p>
      <w:pPr>
        <w:spacing w:line="600" w:lineRule="exact"/>
        <w:ind w:firstLine="642" w:firstLineChars="200"/>
        <w:rPr>
          <w:rFonts w:ascii="仿宋_GB2312" w:hAnsi="仿宋_GB2312" w:eastAsia="仿宋_GB2312" w:cs="仿宋_GB2312"/>
          <w:b/>
          <w:color w:val="000000"/>
          <w:sz w:val="32"/>
          <w:szCs w:val="32"/>
        </w:rPr>
      </w:pPr>
      <w:r>
        <w:rPr>
          <w:rStyle w:val="14"/>
          <w:rFonts w:hint="eastAsia" w:ascii="仿宋_GB2312" w:hAnsi="仿宋_GB2312" w:eastAsia="仿宋_GB2312" w:cs="仿宋_GB2312"/>
          <w:sz w:val="32"/>
          <w:szCs w:val="32"/>
        </w:rPr>
        <w:t>7.住房保障支出:</w:t>
      </w:r>
      <w:r>
        <w:rPr>
          <w:rStyle w:val="14"/>
          <w:rFonts w:hint="eastAsia" w:ascii="仿宋_GB2312" w:hAnsi="仿宋_GB2312" w:eastAsia="仿宋_GB2312" w:cs="仿宋_GB2312"/>
          <w:b w:val="0"/>
          <w:sz w:val="32"/>
          <w:szCs w:val="32"/>
        </w:rPr>
        <w:t>支出决算为20.52万</w:t>
      </w:r>
      <w:r>
        <w:rPr>
          <w:rStyle w:val="14"/>
          <w:rFonts w:hint="eastAsia" w:ascii="仿宋_GB2312" w:hAnsi="仿宋_GB2312" w:eastAsia="仿宋_GB2312" w:cs="仿宋_GB2312"/>
          <w:b w:val="0"/>
          <w:color w:val="000000"/>
          <w:sz w:val="32"/>
          <w:szCs w:val="32"/>
        </w:rPr>
        <w:t>元，完成预算100%；2210201</w:t>
      </w:r>
      <w:r>
        <w:rPr>
          <w:rStyle w:val="14"/>
          <w:rFonts w:hint="eastAsia" w:ascii="仿宋_GB2312" w:hAnsi="仿宋_GB2312" w:eastAsia="仿宋_GB2312" w:cs="仿宋_GB2312"/>
          <w:b w:val="0"/>
          <w:color w:val="000000"/>
          <w:sz w:val="32"/>
          <w:szCs w:val="32"/>
        </w:rPr>
        <w:tab/>
      </w:r>
      <w:r>
        <w:rPr>
          <w:rStyle w:val="14"/>
          <w:rFonts w:hint="eastAsia" w:ascii="仿宋_GB2312" w:hAnsi="仿宋_GB2312" w:eastAsia="仿宋_GB2312" w:cs="仿宋_GB2312"/>
          <w:b w:val="0"/>
          <w:color w:val="000000"/>
          <w:sz w:val="32"/>
          <w:szCs w:val="32"/>
        </w:rPr>
        <w:t>住房公积金20.52万元。</w:t>
      </w:r>
    </w:p>
    <w:p>
      <w:pPr>
        <w:spacing w:line="600" w:lineRule="exact"/>
        <w:ind w:firstLine="645"/>
        <w:rPr>
          <w:rStyle w:val="25"/>
          <w:rFonts w:ascii="黑体" w:hAnsi="黑体" w:eastAsia="黑体"/>
          <w:b w:val="0"/>
        </w:rPr>
      </w:pPr>
      <w:bookmarkStart w:id="37" w:name="_Toc15377214"/>
      <w:bookmarkStart w:id="3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7"/>
      <w:bookmarkEnd w:id="38"/>
    </w:p>
    <w:p>
      <w:pPr>
        <w:spacing w:line="60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2018年度一般公共预算财政拨款基本支出</w:t>
      </w:r>
      <w:r>
        <w:rPr>
          <w:rFonts w:hint="eastAsia" w:ascii="仿宋_GB2312" w:hAnsi="仿宋_GB2312" w:eastAsia="仿宋_GB2312" w:cs="仿宋_GB2312"/>
          <w:sz w:val="32"/>
          <w:szCs w:val="32"/>
        </w:rPr>
        <w:t>708.24</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518.29万元，主要包括：基本工资108.24万元、津贴补贴53.41万元、奖金3.92万元、绩效工资35.79万元、机关事业单位基本养老保险缴费34.98元、其他社会保障缴费1.90万元、其他工资福利支出80.38万元、职业年金3.47万元、职工基本医疗保险缴费15.86万元、住房公积金20.52万元</w:t>
      </w:r>
      <w:r>
        <w:rPr>
          <w:rFonts w:hint="eastAsia" w:ascii="仿宋_GB2312" w:hAnsi="仿宋_GB2312" w:eastAsia="仿宋_GB2312" w:cs="仿宋_GB2312"/>
          <w:color w:val="000000"/>
          <w:sz w:val="32"/>
          <w:szCs w:val="32"/>
        </w:rPr>
        <w:t>。</w:t>
      </w:r>
      <w:r>
        <w:rPr>
          <w:rFonts w:hint="eastAsia" w:ascii="仿宋" w:hAnsi="仿宋" w:eastAsia="仿宋"/>
          <w:color w:val="000000"/>
          <w:sz w:val="32"/>
          <w:szCs w:val="32"/>
        </w:rPr>
        <w:t>对个人和家庭的补助159.82万元。</w:t>
      </w:r>
      <w:r>
        <w:rPr>
          <w:rFonts w:ascii="仿宋" w:hAnsi="仿宋" w:eastAsia="仿宋"/>
          <w:color w:val="000000"/>
          <w:sz w:val="32"/>
          <w:szCs w:val="32"/>
        </w:rPr>
        <w:br w:type="textWrapping"/>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190.25万元，主要包括：办公费117.51万元、印刷费3.12万元，手续费0.06万元，水费0.85万元、电费5.25万元、邮电费0.26万元，差旅费7.15万元，会议费0.52万元，培训费4.96万元、公务接待费5.51万元、劳务费4.36万元，公务车运行4.97万元，工会经费0.32万元、福利费3.41万元、其他交通费用13.2万元，其他商品和服务支出18.8</w:t>
      </w:r>
      <w:r>
        <w:rPr>
          <w:rFonts w:hint="eastAsia" w:ascii="仿宋_GB2312" w:hAnsi="仿宋_GB2312" w:eastAsia="仿宋_GB2312" w:cs="仿宋_GB2312"/>
          <w:color w:val="000000"/>
          <w:sz w:val="32"/>
          <w:szCs w:val="32"/>
        </w:rPr>
        <w:t>元。</w:t>
      </w:r>
    </w:p>
    <w:p>
      <w:pPr>
        <w:spacing w:line="600" w:lineRule="exact"/>
        <w:ind w:firstLine="640"/>
        <w:outlineLvl w:val="1"/>
        <w:rPr>
          <w:rStyle w:val="25"/>
          <w:rFonts w:ascii="黑体" w:hAnsi="黑体" w:eastAsia="黑体"/>
          <w:b w:val="0"/>
        </w:rPr>
      </w:pPr>
      <w:bookmarkStart w:id="39" w:name="_Toc15377215"/>
      <w:bookmarkStart w:id="40"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2018年度“三公”经费财政拨款支出决算为10.48万元，完成预算99%，决算数小于预算数的主要原因是厉行节约。</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2018年度“三公”经费财政拨款支出决算中，因公出国（境）费支出决算0万元；公务用车购置及运行维护费支出决算4.97万元，占47%；公务接待费支出决算5.51万元，占53%。</w:t>
      </w:r>
      <w:r>
        <w:rPr>
          <w:rFonts w:hint="eastAsia" w:ascii="仿宋" w:hAnsi="仿宋" w:eastAsia="仿宋"/>
          <w:color w:val="000000"/>
          <w:sz w:val="32"/>
          <w:szCs w:val="32"/>
        </w:rPr>
        <w:t>具体情况如下：</w:t>
      </w:r>
    </w:p>
    <w:p>
      <w:pPr>
        <w:spacing w:line="6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0万元。全年安排因公出国（境）团组0次，出国（境）0人。</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sz w:val="32"/>
          <w:szCs w:val="32"/>
        </w:rPr>
        <w:t>4.97</w:t>
      </w:r>
      <w:r>
        <w:rPr>
          <w:rFonts w:hint="eastAsia" w:ascii="仿宋_GB2312" w:hAnsi="仿宋_GB2312" w:eastAsia="仿宋_GB2312" w:cs="仿宋_GB2312"/>
          <w:color w:val="000000"/>
          <w:sz w:val="32"/>
          <w:szCs w:val="32"/>
        </w:rPr>
        <w:t>万元。其中：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全年按规定更新购置公务用车0辆，截至2018年12月底，单位共有公务用车2辆，为越野车2辆。主要用于日常工作及专项工作等所需的公务用车燃料费、维修费、过路过桥费、保险费等支出。</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sz w:val="32"/>
          <w:szCs w:val="32"/>
        </w:rPr>
        <w:t>5.51</w:t>
      </w:r>
      <w:r>
        <w:rPr>
          <w:rFonts w:hint="eastAsia" w:ascii="仿宋_GB2312" w:hAnsi="仿宋_GB2312" w:eastAsia="仿宋_GB2312" w:cs="仿宋_GB2312"/>
          <w:color w:val="000000"/>
          <w:sz w:val="32"/>
          <w:szCs w:val="32"/>
        </w:rPr>
        <w:t>万元。主要用于执行公务、开展业务活动开支的交通费、住宿费、用餐费等。国内公务接待156批次，774人，共计支出</w:t>
      </w:r>
      <w:r>
        <w:rPr>
          <w:rFonts w:hint="eastAsia" w:ascii="仿宋_GB2312" w:hAnsi="仿宋_GB2312" w:eastAsia="仿宋_GB2312" w:cs="仿宋_GB2312"/>
          <w:sz w:val="32"/>
          <w:szCs w:val="32"/>
        </w:rPr>
        <w:t>5.51</w:t>
      </w:r>
      <w:r>
        <w:rPr>
          <w:rFonts w:hint="eastAsia" w:ascii="仿宋_GB2312" w:hAnsi="仿宋_GB2312" w:eastAsia="仿宋_GB2312" w:cs="仿宋_GB2312"/>
          <w:color w:val="000000"/>
          <w:sz w:val="32"/>
          <w:szCs w:val="32"/>
        </w:rPr>
        <w:t>万元，具体内容包括：扶贫攻坚39批次，263人；月坝特色小镇建设85批次，289人；“宝七”路等级公路建设8批次，76人；其他日常共检查24批次，146人。</w:t>
      </w:r>
    </w:p>
    <w:p>
      <w:pPr>
        <w:spacing w:line="600" w:lineRule="exact"/>
        <w:ind w:firstLine="640"/>
        <w:rPr>
          <w:rFonts w:ascii="仿宋_GB2312" w:hAnsi="仿宋_GB2312" w:eastAsia="仿宋_GB2312" w:cs="仿宋_GB2312"/>
          <w:color w:val="000000"/>
          <w:sz w:val="32"/>
          <w:szCs w:val="32"/>
        </w:rPr>
      </w:pPr>
    </w:p>
    <w:p>
      <w:pPr>
        <w:spacing w:line="600" w:lineRule="exact"/>
        <w:ind w:firstLine="640"/>
        <w:rPr>
          <w:rFonts w:ascii="仿宋_GB2312" w:hAnsi="仿宋_GB2312" w:eastAsia="仿宋_GB2312" w:cs="仿宋_GB2312"/>
          <w:color w:val="000000"/>
          <w:sz w:val="32"/>
          <w:szCs w:val="32"/>
        </w:rPr>
      </w:pPr>
    </w:p>
    <w:p>
      <w:pPr>
        <w:spacing w:line="600" w:lineRule="exact"/>
        <w:ind w:firstLine="640"/>
        <w:rPr>
          <w:rFonts w:ascii="仿宋_GB2312" w:hAnsi="仿宋_GB2312" w:eastAsia="仿宋_GB2312" w:cs="仿宋_GB2312"/>
          <w:color w:val="000000"/>
          <w:sz w:val="32"/>
          <w:szCs w:val="32"/>
        </w:rPr>
      </w:pPr>
    </w:p>
    <w:p>
      <w:pPr>
        <w:spacing w:line="600" w:lineRule="exact"/>
        <w:ind w:firstLine="640"/>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drawing>
          <wp:anchor distT="0" distB="0" distL="114300" distR="114300" simplePos="0" relativeHeight="251669504" behindDoc="0" locked="0" layoutInCell="1" allowOverlap="1">
            <wp:simplePos x="0" y="0"/>
            <wp:positionH relativeFrom="column">
              <wp:posOffset>409575</wp:posOffset>
            </wp:positionH>
            <wp:positionV relativeFrom="paragraph">
              <wp:posOffset>-1828800</wp:posOffset>
            </wp:positionV>
            <wp:extent cx="4105275" cy="2124075"/>
            <wp:effectExtent l="0" t="0" r="9525" b="9525"/>
            <wp:wrapSquare wrapText="bothSides"/>
            <wp:docPr id="19" name="图片 19" descr="C:\Users\Administrator\Desktop\图8：“三公”经费财政拨款支出结构.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图8：“三公”经费财政拨款支出结构.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4105275" cy="2124075"/>
                    </a:xfrm>
                    <a:prstGeom prst="rect">
                      <a:avLst/>
                    </a:prstGeom>
                    <a:noFill/>
                    <a:ln>
                      <a:noFill/>
                    </a:ln>
                  </pic:spPr>
                </pic:pic>
              </a:graphicData>
            </a:graphic>
          </wp:anchor>
        </w:drawing>
      </w:r>
      <w:r>
        <w:rPr>
          <w:rFonts w:ascii="仿宋_GB2312" w:hAnsi="仿宋_GB2312" w:eastAsia="仿宋_GB2312" w:cs="仿宋_GB2312"/>
          <w:color w:val="000000"/>
          <w:sz w:val="32"/>
          <w:szCs w:val="32"/>
        </w:rPr>
        <w:drawing>
          <wp:inline distT="0" distB="0" distL="0" distR="0">
            <wp:extent cx="4105275" cy="2714625"/>
            <wp:effectExtent l="0" t="0" r="9525" b="9525"/>
            <wp:docPr id="18" name="图片 18" descr="C:\Users\Administrator\Desktop\图8：“三公”经费财政拨款支出结构.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图8：“三公”经费财政拨款支出结构.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4105275" cy="2714625"/>
                    </a:xfrm>
                    <a:prstGeom prst="rect">
                      <a:avLst/>
                    </a:prstGeom>
                    <a:noFill/>
                    <a:ln>
                      <a:noFill/>
                    </a:ln>
                  </pic:spPr>
                </pic:pic>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bookmarkStart w:id="43" w:name="_Toc15377218"/>
      <w:bookmarkStart w:id="44"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5" w:name="_Toc15396611"/>
      <w:bookmarkStart w:id="46" w:name="_Toc15377219"/>
      <w:r>
        <w:rPr>
          <w:rStyle w:val="25"/>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本部门按要求对2018年部门整体支出开展绩效自评，从评价情况来看执行情况良好，均已到达预计目标。本部门还自行组织了5个项目绩效评价，从评价情况来看执行情况良好，达到了预期的社会效益和经济效益。</w:t>
      </w:r>
    </w:p>
    <w:p>
      <w:pPr>
        <w:spacing w:line="580" w:lineRule="exact"/>
        <w:rPr>
          <w:rFonts w:ascii="仿宋" w:hAnsi="仿宋" w:eastAsia="仿宋"/>
          <w:color w:val="000000"/>
          <w:sz w:val="32"/>
          <w:szCs w:val="32"/>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本部门在2018年度部门决算中反映“代表工作</w:t>
      </w:r>
      <w:r>
        <w:rPr>
          <w:rFonts w:ascii="仿宋" w:hAnsi="仿宋" w:eastAsia="仿宋"/>
          <w:color w:val="000000"/>
          <w:sz w:val="32"/>
          <w:szCs w:val="32"/>
        </w:rPr>
        <w:t>”</w:t>
      </w:r>
      <w:r>
        <w:rPr>
          <w:rFonts w:hint="eastAsia" w:ascii="仿宋" w:hAnsi="仿宋" w:eastAsia="仿宋"/>
          <w:color w:val="000000"/>
          <w:sz w:val="32"/>
          <w:szCs w:val="32"/>
        </w:rPr>
        <w:t>“森林防火”“义务兵优待金”等5个项目绩效目标实际完成情况。</w:t>
      </w:r>
    </w:p>
    <w:p>
      <w:pPr>
        <w:spacing w:line="600" w:lineRule="exact"/>
        <w:ind w:firstLine="963" w:firstLineChars="300"/>
        <w:rPr>
          <w:rFonts w:ascii="仿宋" w:hAnsi="仿宋" w:eastAsia="仿宋"/>
          <w:color w:val="000000"/>
          <w:sz w:val="32"/>
          <w:szCs w:val="32"/>
        </w:rPr>
      </w:pPr>
      <w:r>
        <w:rPr>
          <w:rFonts w:hint="eastAsia" w:ascii="仿宋" w:hAnsi="仿宋" w:eastAsia="仿宋"/>
          <w:b/>
          <w:bCs/>
          <w:color w:val="000000"/>
          <w:sz w:val="32"/>
          <w:szCs w:val="32"/>
        </w:rPr>
        <w:t>1、人大代表工作</w:t>
      </w:r>
      <w:r>
        <w:rPr>
          <w:rFonts w:hint="eastAsia" w:ascii="仿宋" w:hAnsi="仿宋" w:eastAsia="仿宋"/>
          <w:color w:val="000000"/>
          <w:sz w:val="32"/>
          <w:szCs w:val="32"/>
        </w:rPr>
        <w:t>项目绩效目标完成情况综述。项目全年预算数5.88万元，执行数为5.88万元，完成预算的100%。通过保障人大代表公业务开支，确保了人大代表工作有效开展，为我乡的管理和建设提供强有力的监督，促进白朝各方面不断得到有利发展。</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rPr>
        <w:t>2、森林防火</w:t>
      </w:r>
      <w:r>
        <w:rPr>
          <w:rFonts w:hint="eastAsia" w:ascii="仿宋" w:hAnsi="仿宋" w:eastAsia="仿宋"/>
          <w:color w:val="000000"/>
          <w:sz w:val="32"/>
          <w:szCs w:val="32"/>
        </w:rPr>
        <w:t>项目绩效目标完成情况综述。项目全年预算数2万元，执行数为2万元，完成预算的100%。通过项目实施，基本保障了辖区森林防火公务开支，提升我乡生态环境。</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rPr>
        <w:t>3、义务兵优待金</w:t>
      </w:r>
      <w:r>
        <w:rPr>
          <w:rFonts w:hint="eastAsia" w:ascii="仿宋" w:hAnsi="仿宋" w:eastAsia="仿宋"/>
          <w:color w:val="000000"/>
          <w:sz w:val="32"/>
          <w:szCs w:val="32"/>
        </w:rPr>
        <w:t>项目绩效目标完成情况综述。项目全年预算数8.94万元，执行数为8.94万元，完成预算的100%。通过项目实施，保障了义务兵家庭享受国家惠民政策，促进社会形成了拥军优属的良好风气，激励了军人及家属的爱国热情。</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rPr>
        <w:t>4、场镇基础设施及路灯</w:t>
      </w:r>
      <w:r>
        <w:rPr>
          <w:rFonts w:hint="eastAsia" w:ascii="仿宋" w:hAnsi="仿宋" w:eastAsia="仿宋"/>
          <w:color w:val="000000"/>
          <w:sz w:val="32"/>
          <w:szCs w:val="32"/>
        </w:rPr>
        <w:t>项目绩效目标完成情况综述。项目全年预算数10万元，执行数为10万元，完成预算的100%。通过项目实施，改善了城镇基础设施条件，及时修复场镇毁损恢复，保证城镇照明需求，为全乡发展提供更好的基础。</w:t>
      </w:r>
    </w:p>
    <w:p>
      <w:pPr>
        <w:spacing w:line="600" w:lineRule="exact"/>
        <w:ind w:firstLine="640"/>
        <w:rPr>
          <w:rFonts w:ascii="仿宋" w:hAnsi="仿宋" w:eastAsia="仿宋"/>
          <w:color w:val="000000"/>
          <w:sz w:val="32"/>
          <w:szCs w:val="32"/>
        </w:rPr>
      </w:pPr>
      <w:r>
        <w:rPr>
          <w:rFonts w:hint="eastAsia" w:ascii="仿宋" w:hAnsi="仿宋" w:eastAsia="仿宋"/>
          <w:b/>
          <w:bCs/>
          <w:color w:val="000000"/>
          <w:sz w:val="32"/>
          <w:szCs w:val="32"/>
        </w:rPr>
        <w:t>5、依法治区</w:t>
      </w:r>
      <w:r>
        <w:rPr>
          <w:rFonts w:hint="eastAsia" w:ascii="仿宋" w:hAnsi="仿宋" w:eastAsia="仿宋"/>
          <w:color w:val="000000"/>
          <w:sz w:val="32"/>
          <w:szCs w:val="32"/>
        </w:rPr>
        <w:t>项目绩效目标完成情况综述。项目全年预算数1万元，执行数为1万元，完成预算的100%。通过项目实施，加强了依法治区建设，提高了全民</w:t>
      </w:r>
      <w:r>
        <w:rPr>
          <w:rFonts w:hint="eastAsia" w:ascii="仿宋" w:hAnsi="仿宋" w:eastAsia="仿宋"/>
          <w:color w:val="000000"/>
          <w:sz w:val="32"/>
          <w:szCs w:val="32"/>
          <w:lang w:eastAsia="zh-CN"/>
        </w:rPr>
        <w:t>法治意识</w:t>
      </w:r>
      <w:r>
        <w:rPr>
          <w:rFonts w:hint="eastAsia" w:ascii="仿宋" w:hAnsi="仿宋" w:eastAsia="仿宋"/>
          <w:color w:val="000000"/>
          <w:sz w:val="32"/>
          <w:szCs w:val="32"/>
        </w:rPr>
        <w:t>，增强了法制观念，从而为维护稳定。</w:t>
      </w:r>
    </w:p>
    <w:tbl>
      <w:tblPr>
        <w:tblStyle w:val="12"/>
        <w:tblpPr w:leftFromText="180" w:rightFromText="180" w:vertAnchor="text" w:horzAnchor="page" w:tblpXSpec="center" w:tblpY="423"/>
        <w:tblOverlap w:val="never"/>
        <w:tblW w:w="10654" w:type="dxa"/>
        <w:tblInd w:w="0" w:type="dxa"/>
        <w:tblLayout w:type="fixed"/>
        <w:tblCellMar>
          <w:top w:w="0" w:type="dxa"/>
          <w:left w:w="0" w:type="dxa"/>
          <w:bottom w:w="0" w:type="dxa"/>
          <w:right w:w="0" w:type="dxa"/>
        </w:tblCellMar>
      </w:tblPr>
      <w:tblGrid>
        <w:gridCol w:w="866"/>
        <w:gridCol w:w="1585"/>
        <w:gridCol w:w="1882"/>
        <w:gridCol w:w="1535"/>
        <w:gridCol w:w="2394"/>
        <w:gridCol w:w="2392"/>
      </w:tblGrid>
      <w:tr>
        <w:tblPrEx>
          <w:tblCellMar>
            <w:top w:w="0" w:type="dxa"/>
            <w:left w:w="0" w:type="dxa"/>
            <w:bottom w:w="0" w:type="dxa"/>
            <w:right w:w="0" w:type="dxa"/>
          </w:tblCellMar>
        </w:tblPrEx>
        <w:trPr>
          <w:trHeight w:val="1034" w:hRule="atLeast"/>
        </w:trPr>
        <w:tc>
          <w:tcPr>
            <w:tcW w:w="10654" w:type="dxa"/>
            <w:gridSpan w:val="6"/>
            <w:tcMar>
              <w:top w:w="15" w:type="dxa"/>
              <w:left w:w="15" w:type="dxa"/>
              <w:bottom w:w="0" w:type="dxa"/>
              <w:right w:w="15" w:type="dxa"/>
            </w:tcMar>
            <w:vAlign w:val="center"/>
          </w:tcPr>
          <w:p>
            <w:pPr>
              <w:widowControl/>
              <w:ind w:left="3610" w:leftChars="1376" w:hanging="720" w:hangingChars="200"/>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bl>
            <w:tblPr>
              <w:tblStyle w:val="12"/>
              <w:tblpPr w:leftFromText="180" w:rightFromText="180" w:vertAnchor="text" w:horzAnchor="page" w:tblpXSpec="center" w:tblpY="423"/>
              <w:tblOverlap w:val="never"/>
              <w:tblW w:w="9639" w:type="dxa"/>
              <w:tblInd w:w="0" w:type="dxa"/>
              <w:tblLayout w:type="fixed"/>
              <w:tblCellMar>
                <w:top w:w="0" w:type="dxa"/>
                <w:left w:w="0" w:type="dxa"/>
                <w:bottom w:w="0" w:type="dxa"/>
                <w:right w:w="0" w:type="dxa"/>
              </w:tblCellMar>
            </w:tblPr>
            <w:tblGrid>
              <w:gridCol w:w="988"/>
              <w:gridCol w:w="774"/>
              <w:gridCol w:w="1882"/>
              <w:gridCol w:w="1535"/>
              <w:gridCol w:w="2394"/>
              <w:gridCol w:w="2066"/>
            </w:tblGrid>
            <w:tr>
              <w:tblPrEx>
                <w:tblCellMar>
                  <w:top w:w="0" w:type="dxa"/>
                  <w:left w:w="0" w:type="dxa"/>
                  <w:bottom w:w="0" w:type="dxa"/>
                  <w:right w:w="0" w:type="dxa"/>
                </w:tblCellMar>
              </w:tblPrEx>
              <w:trPr>
                <w:trHeight w:val="276" w:hRule="atLeast"/>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59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人大代表工作</w:t>
                  </w:r>
                </w:p>
              </w:tc>
            </w:tr>
            <w:tr>
              <w:tblPrEx>
                <w:tblCellMar>
                  <w:top w:w="0" w:type="dxa"/>
                  <w:left w:w="0" w:type="dxa"/>
                  <w:bottom w:w="0" w:type="dxa"/>
                  <w:right w:w="0" w:type="dxa"/>
                </w:tblCellMar>
              </w:tblPrEx>
              <w:trPr>
                <w:trHeight w:val="276" w:hRule="atLeast"/>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59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5.88万元</w:t>
                  </w:r>
                </w:p>
              </w:tc>
            </w:tr>
            <w:tr>
              <w:tblPrEx>
                <w:tblCellMar>
                  <w:top w:w="0" w:type="dxa"/>
                  <w:left w:w="0" w:type="dxa"/>
                  <w:bottom w:w="0" w:type="dxa"/>
                  <w:right w:w="0" w:type="dxa"/>
                </w:tblCellMar>
              </w:tblPrEx>
              <w:trPr>
                <w:trHeight w:val="276"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5.88万元</w:t>
                  </w:r>
                </w:p>
              </w:tc>
            </w:tr>
            <w:tr>
              <w:tblPrEx>
                <w:tblCellMar>
                  <w:top w:w="0" w:type="dxa"/>
                  <w:left w:w="0" w:type="dxa"/>
                  <w:bottom w:w="0" w:type="dxa"/>
                  <w:right w:w="0" w:type="dxa"/>
                </w:tblCellMar>
              </w:tblPrEx>
              <w:trPr>
                <w:trHeight w:val="608"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1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4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047"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1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3、保障人大代表专题会议开支。</w:t>
                  </w:r>
                </w:p>
              </w:tc>
              <w:tc>
                <w:tcPr>
                  <w:tcW w:w="44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2、保障了人大调研公业务开支；</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3、保障了人大代表专题会议开支。</w:t>
                  </w:r>
                </w:p>
              </w:tc>
            </w:tr>
            <w:tr>
              <w:tblPrEx>
                <w:tblCellMar>
                  <w:top w:w="0" w:type="dxa"/>
                  <w:left w:w="0" w:type="dxa"/>
                  <w:bottom w:w="0" w:type="dxa"/>
                  <w:right w:w="0" w:type="dxa"/>
                </w:tblCellMar>
              </w:tblPrEx>
              <w:trPr>
                <w:trHeight w:val="1042" w:hRule="atLeast"/>
              </w:trPr>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保障人大代表工作宣传及公业务开支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3、保障人大代表专题会议开支。</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提升人大代表对政府工作的监督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保障人大代表工作宣传及公业务开支</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1、保障了人大宣传工作开支，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2、保障了人大调研公业务开支；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3、保障了人大代表专题会议开支。</w:t>
                  </w:r>
                </w:p>
              </w:tc>
            </w:tr>
            <w:tr>
              <w:tblPrEx>
                <w:tblCellMar>
                  <w:top w:w="0" w:type="dxa"/>
                  <w:left w:w="0" w:type="dxa"/>
                  <w:bottom w:w="0" w:type="dxa"/>
                  <w:right w:w="0" w:type="dxa"/>
                </w:tblCellMar>
              </w:tblPrEx>
              <w:trPr>
                <w:trHeight w:val="1042"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通过宣传提升社会监督意识</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提升人大代表对政府工作的监督</w:t>
                  </w:r>
                </w:p>
              </w:tc>
            </w:tr>
            <w:tr>
              <w:tblPrEx>
                <w:tblCellMar>
                  <w:top w:w="0" w:type="dxa"/>
                  <w:left w:w="0" w:type="dxa"/>
                  <w:bottom w:w="0" w:type="dxa"/>
                  <w:right w:w="0" w:type="dxa"/>
                </w:tblCellMar>
              </w:tblPrEx>
              <w:trPr>
                <w:trHeight w:val="1050" w:hRule="atLeast"/>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群众满意度98％</w:t>
                  </w:r>
                </w:p>
              </w:tc>
            </w:tr>
          </w:tbl>
          <w:p>
            <w:pPr>
              <w:widowControl/>
              <w:jc w:val="center"/>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bl>
            <w:tblPr>
              <w:tblStyle w:val="12"/>
              <w:tblpPr w:leftFromText="180" w:rightFromText="180" w:vertAnchor="text" w:horzAnchor="page" w:tblpXSpec="center" w:tblpY="423"/>
              <w:tblOverlap w:val="never"/>
              <w:tblW w:w="9681" w:type="dxa"/>
              <w:tblInd w:w="0" w:type="dxa"/>
              <w:tblLayout w:type="fixed"/>
              <w:tblCellMar>
                <w:top w:w="0" w:type="dxa"/>
                <w:left w:w="0" w:type="dxa"/>
                <w:bottom w:w="0" w:type="dxa"/>
                <w:right w:w="0" w:type="dxa"/>
              </w:tblCellMar>
            </w:tblPr>
            <w:tblGrid>
              <w:gridCol w:w="709"/>
              <w:gridCol w:w="769"/>
              <w:gridCol w:w="1882"/>
              <w:gridCol w:w="1535"/>
              <w:gridCol w:w="2394"/>
              <w:gridCol w:w="2392"/>
            </w:tblGrid>
            <w:tr>
              <w:tblPrEx>
                <w:tblCellMar>
                  <w:top w:w="0" w:type="dxa"/>
                  <w:left w:w="0" w:type="dxa"/>
                  <w:bottom w:w="0" w:type="dxa"/>
                  <w:right w:w="0" w:type="dxa"/>
                </w:tblCellMar>
              </w:tblPrEx>
              <w:trPr>
                <w:trHeight w:val="276" w:hRule="atLeast"/>
              </w:trPr>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森林防火</w:t>
                  </w:r>
                </w:p>
              </w:tc>
            </w:tr>
            <w:tr>
              <w:tblPrEx>
                <w:tblCellMar>
                  <w:top w:w="0" w:type="dxa"/>
                  <w:left w:w="0" w:type="dxa"/>
                  <w:bottom w:w="0" w:type="dxa"/>
                  <w:right w:w="0" w:type="dxa"/>
                </w:tblCellMar>
              </w:tblPrEx>
              <w:trPr>
                <w:trHeight w:val="276" w:hRule="atLeast"/>
              </w:trPr>
              <w:tc>
                <w:tcPr>
                  <w:tcW w:w="33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r>
            <w:tr>
              <w:tblPrEx>
                <w:tblCellMar>
                  <w:top w:w="0" w:type="dxa"/>
                  <w:left w:w="0" w:type="dxa"/>
                  <w:bottom w:w="0" w:type="dxa"/>
                  <w:right w:w="0" w:type="dxa"/>
                </w:tblCellMar>
              </w:tblPrEx>
              <w:trPr>
                <w:trHeight w:val="276"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2万元</w:t>
                  </w:r>
                </w:p>
              </w:tc>
            </w:tr>
            <w:tr>
              <w:tblPrEx>
                <w:tblCellMar>
                  <w:top w:w="0" w:type="dxa"/>
                  <w:left w:w="0" w:type="dxa"/>
                  <w:bottom w:w="0" w:type="dxa"/>
                  <w:right w:w="0" w:type="dxa"/>
                </w:tblCellMar>
              </w:tblPrEx>
              <w:trPr>
                <w:trHeight w:val="186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保障辖区防火宣传开支，</w:t>
                  </w:r>
                </w:p>
                <w:p>
                  <w:pPr>
                    <w:widowControl/>
                    <w:numPr>
                      <w:ilvl w:val="0"/>
                      <w:numId w:val="5"/>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保障辖区防火巡逻队员补助；</w:t>
                  </w:r>
                </w:p>
                <w:p>
                  <w:pPr>
                    <w:widowControl/>
                    <w:numPr>
                      <w:ilvl w:val="0"/>
                      <w:numId w:val="5"/>
                    </w:numPr>
                    <w:jc w:val="left"/>
                    <w:textAlignment w:val="center"/>
                    <w:rPr>
                      <w:rFonts w:ascii="仿宋" w:hAnsi="仿宋" w:eastAsia="仿宋" w:cs="仿宋"/>
                      <w:color w:val="000000"/>
                      <w:sz w:val="24"/>
                    </w:rPr>
                  </w:pPr>
                  <w:r>
                    <w:rPr>
                      <w:rFonts w:hint="eastAsia" w:ascii="仿宋" w:hAnsi="仿宋" w:eastAsia="仿宋" w:cs="仿宋"/>
                      <w:color w:val="000000"/>
                      <w:sz w:val="24"/>
                    </w:rPr>
                    <w:t>保障辖区村社区防火经费。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2、保障了辖区防火巡逻队员补助；</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保障防火宣传及公业务开支</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2、保障辖区防火巡逻队员补助；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3、保障辖区村社区防火经费。</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提升辖区森林防火意识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保障防火宣传及公业务开支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1、保障了辖区防火宣传开支，</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2、保障了辖区防火巡逻队员补助；</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确保辖区森林安全，提高生态环境质量</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提升辖区森林防火意识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辖区无火灾，生态环境质量进一步提高，促进了我镇可持续发展。</w:t>
                  </w:r>
                </w:p>
              </w:tc>
            </w:tr>
            <w:tr>
              <w:tblPrEx>
                <w:tblCellMar>
                  <w:top w:w="0" w:type="dxa"/>
                  <w:left w:w="0" w:type="dxa"/>
                  <w:bottom w:w="0" w:type="dxa"/>
                  <w:right w:w="0" w:type="dxa"/>
                </w:tblCellMar>
              </w:tblPrEx>
              <w:trPr>
                <w:trHeight w:val="1050"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群众满意度95％</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群众满意度97％</w:t>
                  </w:r>
                </w:p>
              </w:tc>
            </w:tr>
          </w:tbl>
          <w:p>
            <w:pPr>
              <w:rPr>
                <w:rFonts w:ascii="仿宋" w:hAnsi="仿宋" w:eastAsia="仿宋" w:cs="仿宋"/>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46"/>
              <w:gridCol w:w="911"/>
              <w:gridCol w:w="1882"/>
              <w:gridCol w:w="1535"/>
              <w:gridCol w:w="2394"/>
              <w:gridCol w:w="2392"/>
            </w:tblGrid>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义务兵优待金</w:t>
                  </w:r>
                </w:p>
              </w:tc>
            </w:tr>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8.94万元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8.94万元</w:t>
                  </w:r>
                </w:p>
              </w:tc>
            </w:tr>
            <w:tr>
              <w:tblPrEx>
                <w:tblCellMar>
                  <w:top w:w="0" w:type="dxa"/>
                  <w:left w:w="0" w:type="dxa"/>
                  <w:bottom w:w="0" w:type="dxa"/>
                  <w:right w:w="0" w:type="dxa"/>
                </w:tblCellMar>
              </w:tblPrEx>
              <w:trPr>
                <w:trHeight w:val="276"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8.94万元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8.94万元</w:t>
                  </w:r>
                </w:p>
              </w:tc>
            </w:tr>
            <w:tr>
              <w:tblPrEx>
                <w:tblCellMar>
                  <w:top w:w="0" w:type="dxa"/>
                  <w:left w:w="0" w:type="dxa"/>
                  <w:bottom w:w="0" w:type="dxa"/>
                  <w:right w:w="0" w:type="dxa"/>
                </w:tblCellMar>
              </w:tblPrEx>
              <w:trPr>
                <w:trHeight w:val="758"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1、保障按时足额发放优待金，</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2、激发军人及家属的爱国热情，积极为祖国做贡献，</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3、提升社会拥军优属风气。</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1、按时足额发放优待金8.94万元，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2、激发了军人及家属的爱国热情，积极为祖国做贡献，</w:t>
                  </w:r>
                </w:p>
                <w:p>
                  <w:pPr>
                    <w:widowControl/>
                    <w:textAlignment w:val="center"/>
                    <w:rPr>
                      <w:rFonts w:ascii="仿宋" w:hAnsi="仿宋" w:eastAsia="仿宋" w:cs="仿宋"/>
                      <w:color w:val="000000"/>
                      <w:sz w:val="24"/>
                    </w:rPr>
                  </w:pPr>
                  <w:r>
                    <w:rPr>
                      <w:rFonts w:hint="eastAsia" w:ascii="仿宋" w:hAnsi="仿宋" w:eastAsia="仿宋" w:cs="仿宋"/>
                      <w:color w:val="000000"/>
                      <w:sz w:val="24"/>
                    </w:rPr>
                    <w:t>3、提升了社会拥军优属风气。</w:t>
                  </w:r>
                </w:p>
              </w:tc>
            </w:tr>
            <w:tr>
              <w:tblPrEx>
                <w:tblCellMar>
                  <w:top w:w="0" w:type="dxa"/>
                  <w:left w:w="0" w:type="dxa"/>
                  <w:bottom w:w="0" w:type="dxa"/>
                  <w:right w:w="0" w:type="dxa"/>
                </w:tblCellMar>
              </w:tblPrEx>
              <w:trPr>
                <w:trHeight w:val="1042" w:hRule="atLeast"/>
              </w:trPr>
              <w:tc>
                <w:tcPr>
                  <w:tcW w:w="8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1959"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保障人义务兵优待金按时足额发放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1、按时足额发放优待金8.94万元，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1、按时足额发放优待金8.94万元，</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2、激发了军人及家属的爱国热情，积极为祖国做贡献，</w:t>
                  </w:r>
                </w:p>
                <w:p>
                  <w:pPr>
                    <w:widowControl/>
                    <w:jc w:val="left"/>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提升了社会拥军优属风气。</w:t>
                  </w:r>
                </w:p>
              </w:tc>
            </w:tr>
            <w:tr>
              <w:tblPrEx>
                <w:tblCellMar>
                  <w:top w:w="0" w:type="dxa"/>
                  <w:left w:w="0" w:type="dxa"/>
                  <w:bottom w:w="0" w:type="dxa"/>
                  <w:right w:w="0" w:type="dxa"/>
                </w:tblCellMar>
              </w:tblPrEx>
              <w:trPr>
                <w:trHeight w:val="1042"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激发军人及家属的爱国热情，积极为祖国做贡献，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提升社会拥军优属风气。</w:t>
                  </w:r>
                </w:p>
              </w:tc>
            </w:tr>
            <w:tr>
              <w:tblPrEx>
                <w:tblCellMar>
                  <w:top w:w="0" w:type="dxa"/>
                  <w:left w:w="0" w:type="dxa"/>
                  <w:bottom w:w="0" w:type="dxa"/>
                  <w:right w:w="0" w:type="dxa"/>
                </w:tblCellMar>
              </w:tblPrEx>
              <w:trPr>
                <w:trHeight w:val="1050" w:hRule="atLeast"/>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群众满意度100％</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群众满意度100％</w:t>
                  </w:r>
                </w:p>
              </w:tc>
            </w:tr>
          </w:tbl>
          <w:p>
            <w:pPr>
              <w:widowControl/>
              <w:textAlignment w:val="center"/>
              <w:rPr>
                <w:rFonts w:ascii="黑体" w:hAnsi="黑体" w:eastAsia="黑体" w:cs="宋体"/>
                <w:bCs/>
                <w:color w:val="000000"/>
                <w:kern w:val="0"/>
                <w:sz w:val="36"/>
                <w:szCs w:val="36"/>
              </w:rPr>
            </w:pPr>
          </w:p>
          <w:p>
            <w:pPr>
              <w:widowControl/>
              <w:textAlignment w:val="center"/>
              <w:rPr>
                <w:rFonts w:ascii="黑体" w:hAnsi="黑体" w:eastAsia="黑体" w:cs="宋体"/>
                <w:bCs/>
                <w:color w:val="000000"/>
                <w:kern w:val="0"/>
                <w:sz w:val="36"/>
                <w:szCs w:val="36"/>
              </w:rPr>
            </w:pPr>
          </w:p>
          <w:p>
            <w:pPr>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b/>
                <w:bCs/>
                <w:color w:val="000000"/>
                <w:sz w:val="24"/>
              </w:rPr>
              <w:t>场镇基础设施及路灯</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预算执行情况(万元)</w:t>
            </w: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预算数:</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10万元</w:t>
            </w:r>
          </w:p>
        </w:tc>
      </w:tr>
      <w:tr>
        <w:tblPrEx>
          <w:tblCellMar>
            <w:top w:w="0" w:type="dxa"/>
            <w:left w:w="0" w:type="dxa"/>
            <w:bottom w:w="0" w:type="dxa"/>
            <w:right w:w="0" w:type="dxa"/>
          </w:tblCellMar>
        </w:tblPrEx>
        <w:trPr>
          <w:trHeight w:val="125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年度目标完成情况</w:t>
            </w:r>
          </w:p>
        </w:tc>
        <w:tc>
          <w:tcPr>
            <w:tcW w:w="50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50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jc w:val="left"/>
              <w:textAlignment w:val="center"/>
              <w:rPr>
                <w:rFonts w:ascii="仿宋" w:hAnsi="仿宋" w:eastAsia="仿宋" w:cs="仿宋"/>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绩效指标完成情况</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保证城镇正常街道照。</w:t>
            </w:r>
          </w:p>
          <w:p>
            <w:pPr>
              <w:widowControl/>
              <w:jc w:val="left"/>
              <w:textAlignment w:val="center"/>
              <w:rPr>
                <w:rFonts w:ascii="仿宋" w:hAnsi="仿宋" w:eastAsia="仿宋" w:cs="仿宋"/>
                <w:color w:val="000000"/>
                <w:sz w:val="24"/>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改善城镇基础设施条件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1、保证城镇基础设施（道路、街道）的正常运行</w:t>
            </w:r>
          </w:p>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rPr>
              <w:t>保证城镇水电气的正常运行及街道照。</w:t>
            </w:r>
          </w:p>
          <w:p>
            <w:pPr>
              <w:widowControl/>
              <w:jc w:val="left"/>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促进了项目村可持续发展</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改善3个村基础设施条件</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改善了3个村基础设施条件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促进了项目村可持续发展</w:t>
            </w:r>
          </w:p>
        </w:tc>
      </w:tr>
      <w:tr>
        <w:tblPrEx>
          <w:tblCellMar>
            <w:top w:w="0" w:type="dxa"/>
            <w:left w:w="0" w:type="dxa"/>
            <w:bottom w:w="0" w:type="dxa"/>
            <w:right w:w="0" w:type="dxa"/>
          </w:tblCellMar>
        </w:tblPrEx>
        <w:trPr>
          <w:trHeight w:val="105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群众满意度96％</w:t>
            </w:r>
          </w:p>
        </w:tc>
      </w:tr>
    </w:tbl>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jc w:val="center"/>
        <w:rPr>
          <w:rFonts w:ascii="仿宋" w:hAnsi="仿宋" w:eastAsia="仿宋"/>
          <w:color w:val="00000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6"/>
        <w:gridCol w:w="891"/>
        <w:gridCol w:w="1142"/>
        <w:gridCol w:w="2275"/>
        <w:gridCol w:w="2394"/>
        <w:gridCol w:w="2392"/>
      </w:tblGrid>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依法治区经费支出绩效目标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预算执行情况(万元)</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1万元</w:t>
            </w:r>
          </w:p>
        </w:tc>
      </w:tr>
      <w:tr>
        <w:tblPrEx>
          <w:tblCellMar>
            <w:top w:w="0" w:type="dxa"/>
            <w:left w:w="0" w:type="dxa"/>
            <w:bottom w:w="0" w:type="dxa"/>
            <w:right w:w="0" w:type="dxa"/>
          </w:tblCellMar>
        </w:tblPrEx>
        <w:trPr>
          <w:trHeight w:val="151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0</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实际完成目标</w:t>
            </w:r>
          </w:p>
        </w:tc>
      </w:tr>
      <w:tr>
        <w:tblPrEx>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加强法制宣传，提高群众的法律意识，依法治镇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加强法制宣传，提高群众的法律意识，依法治镇                                                                                                                         </w:t>
            </w: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ascii="仿宋" w:hAnsi="仿宋" w:eastAsia="仿宋" w:cs="仿宋"/>
                <w:color w:val="000000"/>
                <w:kern w:val="0"/>
                <w:sz w:val="24"/>
              </w:rPr>
              <w:t>12副</w:t>
            </w:r>
            <w:r>
              <w:rPr>
                <w:rFonts w:hint="eastAsia" w:ascii="仿宋" w:hAnsi="仿宋" w:eastAsia="仿宋" w:cs="仿宋"/>
                <w:color w:val="000000"/>
                <w:kern w:val="0"/>
                <w:sz w:val="24"/>
              </w:rPr>
              <w:t>，不少于12次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12副，不少于12次</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提高群众法律意识，知法，懂法用法律武器保护自己</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辖区内和谐安定</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确保群众满意度100%</w:t>
            </w:r>
          </w:p>
        </w:tc>
      </w:tr>
    </w:tbl>
    <w:p>
      <w:pPr>
        <w:spacing w:line="580" w:lineRule="exact"/>
        <w:rPr>
          <w:rFonts w:ascii="仿宋" w:hAnsi="仿宋" w:eastAsia="仿宋" w:cs="仿宋_GB2312"/>
          <w:sz w:val="32"/>
          <w:szCs w:val="32"/>
        </w:rPr>
      </w:pPr>
      <w:r>
        <w:rPr>
          <w:rFonts w:hint="eastAsia" w:ascii="仿宋" w:hAnsi="仿宋" w:eastAsia="仿宋" w:cs="楷体_GB2312"/>
          <w:b/>
          <w:bCs/>
          <w:sz w:val="32"/>
          <w:szCs w:val="32"/>
        </w:rPr>
        <w:t>（三）展绩效评价结果。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本部门按要求对2018年部门整体支出绩效评价情况开展自评，《白朝乡部门2018年部门整体支出绩效评价报告》见附件。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人大代表工作项目、森林防火项目、业务兵优待金等项目开展了绩效评价，《白朝乡项目2018年绩效评价报告》见附件。（非涉密部门均需公开部门整体支出评价报告，部门自行组织的绩效评价情况根据部门实际公开）</w:t>
      </w:r>
    </w:p>
    <w:p>
      <w:pPr>
        <w:spacing w:line="600" w:lineRule="exact"/>
        <w:ind w:firstLine="800" w:firstLineChars="250"/>
        <w:outlineLvl w:val="1"/>
        <w:rPr>
          <w:rStyle w:val="25"/>
          <w:rFonts w:ascii="黑体" w:hAnsi="黑体" w:eastAsia="黑体"/>
        </w:rPr>
      </w:pPr>
      <w:bookmarkStart w:id="47" w:name="_Toc15377221"/>
      <w:bookmarkStart w:id="48"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7"/>
      <w:bookmarkEnd w:id="48"/>
    </w:p>
    <w:p>
      <w:pPr>
        <w:spacing w:line="600" w:lineRule="exact"/>
        <w:ind w:firstLine="642"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2018</w:t>
      </w:r>
      <w:r>
        <w:rPr>
          <w:rFonts w:hint="eastAsia" w:ascii="仿宋_GB2312" w:hAnsi="仿宋_GB2312" w:eastAsia="仿宋_GB2312" w:cs="仿宋_GB2312"/>
          <w:sz w:val="32"/>
          <w:szCs w:val="32"/>
        </w:rPr>
        <w:t>年度，我乡机关运行经费支出190.2485万元，比2017年增加20.3985万元，增长10.72%。</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spacing w:line="600" w:lineRule="exact"/>
        <w:ind w:firstLine="642" w:firstLineChars="200"/>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2018年度，我乡政府采购支出总</w:t>
      </w:r>
      <w:r>
        <w:rPr>
          <w:rFonts w:hint="eastAsia" w:ascii="仿宋_GB2312" w:hAnsi="仿宋_GB2312" w:eastAsia="仿宋_GB2312" w:cs="仿宋_GB2312"/>
          <w:sz w:val="32"/>
          <w:szCs w:val="32"/>
        </w:rPr>
        <w:t>额3.3305万元，其中：政府办公用品采购支出3.3305万元、政府采购工程支出0万元、政府采购服务支出0万元。</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截至2018年12月31日，我乡共有车辆2辆，其中：一般公务用车2辆。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白朝乡部门2018年部门整体支出绩效评价报告</w:t>
      </w:r>
      <w:bookmarkEnd w:id="57"/>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
          <w:color w:val="000000"/>
          <w:sz w:val="32"/>
          <w:szCs w:val="32"/>
        </w:rPr>
        <w:t>白朝乡人民政府隶属利州区人民政府，属于行政机关单位，经费来源属于全额拨款，</w:t>
      </w:r>
      <w:r>
        <w:rPr>
          <w:rFonts w:hint="eastAsia" w:ascii="仿宋_GB2312" w:hAnsi="仿宋_GB2312" w:eastAsia="仿宋_GB2312" w:cs="仿宋_GB2312"/>
          <w:sz w:val="32"/>
          <w:szCs w:val="32"/>
        </w:rPr>
        <w:t>白朝乡机关内设6个机构，党委办、安全生产办、村建环卫办、社会事务管理办、计生办、财政所。</w:t>
      </w:r>
      <w:r>
        <w:rPr>
          <w:rFonts w:hint="eastAsia" w:ascii="仿宋" w:hAnsi="仿宋" w:eastAsia="仿宋" w:cs="仿宋"/>
          <w:color w:val="000000"/>
          <w:sz w:val="32"/>
          <w:szCs w:val="32"/>
        </w:rPr>
        <w:t>设立司法所、派出所、劳动保障所、林业站、农技站、5个区级部门延伸机构。</w:t>
      </w:r>
      <w:r>
        <w:rPr>
          <w:rFonts w:hint="eastAsia" w:ascii="仿宋_GB2312" w:hAnsi="仿宋_GB2312" w:eastAsia="仿宋_GB2312" w:cs="仿宋_GB2312"/>
          <w:sz w:val="32"/>
          <w:szCs w:val="32"/>
        </w:rPr>
        <w:t>白朝乡辖12个行政村，57个村民小组，1个社区居委会，2个居民小组，幅员面积146.25平方公里，辖区内建有1个现代农业园区。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1、执行党和国家的各项方针、政策、法令、法规，在区委、区政府领导下完成各项任务。</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2、制定并落实本行政区域的经济计划和措施，促进产业结构调整及其他经济保持平衡协调发展，全面提高人民群众的生活水平和生活质量。</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开展社会主义民主法制的宣传教育，保障公民的权利;制定社会治安综合治理工作规划并组织实施;加强社区管理工作，依法管理外来流动人口，处理人民来信来访，调解民间纠纷，打击违法犯罪，维护社会稳定。</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6、加强乡级财政的监督和管理，按计划组织、管理乡财政收入和支出，执行国家有关财经纪律和政策，保证国家财政收入的完成;做好统计工作。</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7、指导、支持、帮助村(居)民委员会的组织制度建设和业务建设，促进村(居)民委员会民主自治。</w:t>
      </w:r>
    </w:p>
    <w:p>
      <w:pPr>
        <w:spacing w:line="540" w:lineRule="exact"/>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8、制定和组织实施乡村建设规划;加强水利建设和环境综合整治工作，保护和改善生活环境和生态环境。</w:t>
      </w:r>
    </w:p>
    <w:p>
      <w:pPr>
        <w:spacing w:line="540" w:lineRule="exact"/>
        <w:ind w:firstLine="640"/>
        <w:rPr>
          <w:rFonts w:hAnsi="仿宋_GB2312" w:cs="仿宋_GB2312"/>
          <w:sz w:val="32"/>
          <w:szCs w:val="32"/>
        </w:rPr>
      </w:pPr>
      <w:r>
        <w:rPr>
          <w:rFonts w:hint="eastAsia" w:ascii="仿宋_GB2312" w:hAnsi="仿宋_GB2312" w:eastAsia="仿宋_GB2312" w:cs="仿宋_GB2312"/>
          <w:bCs/>
          <w:kern w:val="0"/>
          <w:sz w:val="32"/>
          <w:szCs w:val="32"/>
        </w:rPr>
        <w:t>9、承办区人民政府交办的其它事项。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白朝乡编制数33个，其中公务员编制19个，工勤编制3个，事业人员编制11个；白朝乡实有在职职工29人，其中公务员17人，事业人员10人，行政工人2人，退休人员11人。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2018年我乡本年收入合计1248.2909万元，其中：一般公共预算财政拨款收入1248.2909万元，占100%。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2018年我乡本年支出合计1248.2909万元，其中：基本支出708.24万元，占57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；项目支出540.05万元，占43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在编制预算时，我们认真制定部门绩效目标、设计目标完成办法、预算编制准确、支出控制严格、按计划执行进度、预算完成情况良好，无违规现象。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在编制专项预算时，程序严密、规划合理、结果符合、分配科学、分配及时、实施绩效良好、无违规现象。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我们对预算执行情况进行了详细地自评、按程序进行对外公示公开，社会满意度良好。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（一）评价结论。预算编制严谨、执行到位、效益良好。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（二）存在问题。个别项目编制有待进一步细化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（三）改进建议。加强项目精细化管理，向管理要质量、要效益，进一步提升财政资金的使用效益。</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8" w:name="_Toc15396617"/>
      <w:r>
        <w:rPr>
          <w:rStyle w:val="24"/>
          <w:rFonts w:hint="eastAsia" w:ascii="仿宋" w:hAnsi="仿宋" w:eastAsia="仿宋"/>
          <w:b w:val="0"/>
          <w:bCs w:val="0"/>
          <w:sz w:val="32"/>
          <w:szCs w:val="32"/>
        </w:rPr>
        <w:t>附件2</w:t>
      </w:r>
      <w:bookmarkEnd w:id="58"/>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2018年白朝乡人大代表项目支出绩效评价报告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项目评价实施方案情况：对辖区的代表工作预算5.88万元工作经费，用于宣传公业务开支、会议等开支，保障我乡人大代表工作有效开展。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1、通过宣传教育，提升了群众的监督政府工作意识；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2、通过保障公业务开支；保障人大代表工作正常运转；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3、提升了人大对政府工作的监督，营造良好的政治生态环境。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白朝先这些年建设任务重，为了更好地促进政府各项工作有利开展，结合财政局专项经费保障预算，我们设置了人大代表工作专项经费预算，通过经费保障，提升社会对政府工作的监督力度。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通过保障宣传、公业务开支等，保障我乡人大代表工作有效开展。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通过宣传教育，提升了群众的监督政府工作意识；通过保障公业务开支；保障人大代表工作正常运转；提升了人大对政府工作的监督，营造良好的政治生态环境。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1、资金分配有待进一步优化。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1、进一步探索人大代表监督工作，不断学习创新，符合社会不断发展的需求；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2、进一步优化资金分配，确保宣传工作和保障工作都得到保障。</w:t>
      </w:r>
    </w:p>
    <w:p>
      <w:pPr>
        <w:spacing w:line="580" w:lineRule="exact"/>
        <w:ind w:firstLine="640" w:firstLineChars="200"/>
        <w:rPr>
          <w:rFonts w:ascii="仿宋" w:hAnsi="仿宋" w:eastAsia="仿宋" w:cs="仿宋_GB2312"/>
          <w:sz w:val="32"/>
          <w:szCs w:val="32"/>
        </w:rPr>
      </w:pP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2018年白朝乡森林防火项目支出绩效评价报告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项目评价实施方案情况：对辖区的防火工作预算2万元工作经费，用于森林防火宣传、巡逻员补助、公业务开支等，确保辖区无森林火灾。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1、保障了辖区防火宣传开支，提升了群众的防火意识；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2、保障了辖区防火巡逻队员补助；确保防火工作正常运转；</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3、提升了辖区生态环境质量，为地方可持续发展提供有利条件。</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我乡辖区森林面积大，防火压力大，为了更好的保护生态环境，结合财政局专项经费保障预算，我们设置了森林防火专项经费预算，通过经费保障，确保辖区无森林火灾。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通过保障防火宣传、巡逻队员补助、村社区防火公业务开支，乡主要领导巡视、包片领导及包村干部监督检查，确保无森林火灾发生。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保障了辖区防火宣传开支，提升了群众的防火意识；保障了辖区防火巡逻队员补助；确保防火工作正常运转；提升了辖区生态环境质量，为地方可持续发展提供有利条件，社会满意度高。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1、森林防火工作管理制度有待进一步细化；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1、进一步细化森林防火工作管理制度，并抓好落实和监督工作；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2、进一步优化资金分配，确保宣传工作和保障工作都得到保障。</w:t>
      </w:r>
    </w:p>
    <w:p>
      <w:pPr>
        <w:spacing w:line="580" w:lineRule="exact"/>
        <w:jc w:val="center"/>
        <w:rPr>
          <w:rFonts w:ascii="黑体" w:hAnsi="黑体" w:eastAsia="黑体" w:cs="方正小标宋简体"/>
        </w:rPr>
      </w:pPr>
      <w:r>
        <w:rPr>
          <w:rFonts w:hint="eastAsia" w:ascii="黑体" w:hAnsi="黑体" w:eastAsia="黑体" w:cs="方正小标宋简体"/>
          <w:sz w:val="44"/>
          <w:szCs w:val="44"/>
        </w:rPr>
        <w:t>2018年白朝乡义务兵优待金项目支出绩效评价报告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项目评价实施方案情况：对辖区的义务兵优待金预算8.94万元，保障我乡义务兵应享受的福利。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1、按时足额发放优待金8.94万元，确保义务兵应享受的福利。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2、激发了军人及家属的爱国热情，积极为祖国做贡献，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3、提升了社会拥军优属风气。</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白朝乡响应国家号召，每年都有很多青年才俊踊跃参军，为了让义务兵享受国家福利，结合财政局专项经费保障预算，我们设置了义务兵优待金专项经费预算，通过经费保障，激发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通过按时足额发放义务兵优待金，保障我乡义务兵享受国家规定的福利待遇。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通过宣传教育，提升了社会拥军优属意识；激发了军人及家属的爱国热情，积极为祖国做贡献。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1、根据社会的发展应逐年提高。</w:t>
      </w:r>
    </w:p>
    <w:p>
      <w:pPr>
        <w:spacing w:line="580" w:lineRule="exact"/>
        <w:ind w:firstLine="640" w:firstLineChars="200"/>
        <w:rPr>
          <w:rFonts w:ascii="仿宋" w:hAnsi="仿宋" w:eastAsia="仿宋" w:cs="仿宋_GB2312"/>
          <w:sz w:val="32"/>
          <w:szCs w:val="32"/>
        </w:rPr>
      </w:pPr>
    </w:p>
    <w:p>
      <w:pPr>
        <w:spacing w:line="580" w:lineRule="exact"/>
        <w:jc w:val="center"/>
        <w:rPr>
          <w:rFonts w:ascii="仿宋_GB2312" w:hAnsi="仿宋_GB2312" w:eastAsia="仿宋_GB2312" w:cs="仿宋_GB2312"/>
          <w:sz w:val="32"/>
          <w:szCs w:val="32"/>
        </w:rPr>
      </w:pPr>
      <w:r>
        <w:rPr>
          <w:rFonts w:hint="eastAsia" w:ascii="黑体" w:hAnsi="黑体" w:eastAsia="黑体" w:cs="方正小标宋简体"/>
          <w:sz w:val="44"/>
          <w:szCs w:val="44"/>
        </w:rPr>
        <w:t>2018年白朝乡</w:t>
      </w:r>
      <w:r>
        <w:rPr>
          <w:rFonts w:hint="eastAsia" w:ascii="黑体" w:hAnsi="黑体" w:eastAsia="黑体"/>
          <w:b/>
          <w:bCs/>
          <w:color w:val="000000"/>
          <w:sz w:val="44"/>
          <w:szCs w:val="44"/>
        </w:rPr>
        <w:t>场镇基础设施及路灯</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widowControl/>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1、保证城镇基础设施（道路、街道）的正常运行</w:t>
      </w:r>
    </w:p>
    <w:p>
      <w:pPr>
        <w:widowControl/>
        <w:ind w:firstLine="640" w:firstLineChars="20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kern w:val="0"/>
          <w:sz w:val="32"/>
          <w:szCs w:val="32"/>
        </w:rPr>
        <w:t>保证城镇及个别村正常街道照。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widowControl/>
        <w:ind w:firstLine="640" w:firstLineChars="200"/>
        <w:jc w:val="lef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1、保证城镇基础设施（道路、街道）的正常运行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
          <w:color w:val="000000"/>
          <w:kern w:val="0"/>
          <w:sz w:val="32"/>
          <w:szCs w:val="32"/>
        </w:rPr>
        <w:t>保证城镇保环境卫生</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为了城镇照明需求、城镇环境一干二净及基础设施完好，及时对街道毁损街道恢复，完善街道管网。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通过及时对街道毁损街道恢复，完善街道管网，加强对项目的监督管理，确保项目按时竣工并投入使用，到达预期目标。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改善城镇基础设施条件，方便群众生活；促进项目村可持续发展。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2018年白朝乡依法治区工作经费项目支出绩效评价报告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w:t>
      </w:r>
      <w:r>
        <w:rPr>
          <w:rFonts w:hint="eastAsia" w:ascii="仿宋" w:hAnsi="仿宋" w:eastAsia="仿宋" w:cs="仿宋_GB2312"/>
          <w:sz w:val="32"/>
          <w:szCs w:val="32"/>
        </w:rPr>
        <w:t>：依法治区工作重点为辖区内全年的法治宣传，法律进乡村，进学校，进企业等宣讲活动。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评价指标：全年法律宣传费用支付情况，法律宣传活动开展次数。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评价方式：资料翻阅，法律宣传效果展示，群众问卷调查。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：该项目总体实施较好，开展法律进学校、进乡村、进企业。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依法治国是党领导群众的基本方略，依法治区是依法治国的基层具体实践。提高群众法律意识，使群众遇事懂法，关键时刻用法律武器保护自己。确保辖区的安定和谐。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w:t>
      </w:r>
      <w:r>
        <w:rPr>
          <w:rFonts w:hint="eastAsia" w:ascii="仿宋" w:hAnsi="仿宋" w:eastAsia="仿宋" w:cs="仿宋_GB2312"/>
          <w:sz w:val="32"/>
          <w:szCs w:val="32"/>
        </w:rPr>
        <w:t>1万元全部资金主要是用于法治宣传，辖区内法治宣传标语制作。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宣传活动开展法律进学校、进乡村、进企业制作宣传标语。</w:t>
      </w:r>
      <w:r>
        <w:rPr>
          <w:rFonts w:ascii="仿宋" w:hAnsi="仿宋" w:eastAsia="仿宋" w:cs="仿宋_GB2312"/>
          <w:sz w:val="32"/>
          <w:szCs w:val="32"/>
        </w:rPr>
        <w:t>项目</w:t>
      </w:r>
      <w:r>
        <w:rPr>
          <w:rFonts w:hint="eastAsia" w:ascii="仿宋" w:hAnsi="仿宋" w:eastAsia="仿宋" w:cs="仿宋_GB2312"/>
          <w:sz w:val="32"/>
          <w:szCs w:val="32"/>
        </w:rPr>
        <w:t>提高群众法律意识，知法，懂法用法律武器保护自己；促进辖区内和谐安定，群众满意度较高。</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1、法</w:t>
      </w:r>
      <w:r>
        <w:rPr>
          <w:rFonts w:hint="eastAsia" w:ascii="仿宋_GB2312" w:hAnsi="仿宋_GB2312" w:eastAsia="仿宋_GB2312" w:cs="仿宋_GB2312"/>
          <w:sz w:val="32"/>
          <w:szCs w:val="32"/>
        </w:rPr>
        <w:t>律宣传措施和方式单一</w:t>
      </w:r>
      <w:r>
        <w:rPr>
          <w:rFonts w:hint="eastAsia" w:ascii="仿宋_GB2312" w:hAnsi="仿宋_GB2312" w:cs="仿宋_GB2312"/>
          <w:sz w:val="32"/>
          <w:szCs w:val="32"/>
        </w:rPr>
        <w:t>。</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2、创新法律宣传方式方法，进一步提高群众法律意识。</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09CC"/>
    <w:multiLevelType w:val="singleLevel"/>
    <w:tmpl w:val="876B09CC"/>
    <w:lvl w:ilvl="0" w:tentative="0">
      <w:start w:val="1"/>
      <w:numFmt w:val="decimal"/>
      <w:suff w:val="nothing"/>
      <w:lvlText w:val="%1、"/>
      <w:lvlJc w:val="left"/>
      <w:pPr>
        <w:ind w:left="0" w:firstLine="0"/>
      </w:pPr>
    </w:lvl>
  </w:abstractNum>
  <w:abstractNum w:abstractNumId="1">
    <w:nsid w:val="A86348F4"/>
    <w:multiLevelType w:val="singleLevel"/>
    <w:tmpl w:val="A86348F4"/>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2"/>
  </w:num>
  <w:num w:numId="3">
    <w:abstractNumId w:val="6"/>
  </w:num>
  <w:num w:numId="4">
    <w:abstractNumId w:val="4"/>
  </w:num>
  <w:num w:numId="5">
    <w:abstractNumId w:val="0"/>
    <w:lvlOverride w:ilvl="0">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000F"/>
    <w:rsid w:val="000222C6"/>
    <w:rsid w:val="0002549F"/>
    <w:rsid w:val="00055CCD"/>
    <w:rsid w:val="0006487A"/>
    <w:rsid w:val="00065F8F"/>
    <w:rsid w:val="000768F2"/>
    <w:rsid w:val="0009184B"/>
    <w:rsid w:val="0009593C"/>
    <w:rsid w:val="000B047F"/>
    <w:rsid w:val="000B5923"/>
    <w:rsid w:val="000B5A48"/>
    <w:rsid w:val="000B6FF3"/>
    <w:rsid w:val="000B77EA"/>
    <w:rsid w:val="000C2082"/>
    <w:rsid w:val="000C3467"/>
    <w:rsid w:val="000C3CA6"/>
    <w:rsid w:val="000C70C8"/>
    <w:rsid w:val="000D1267"/>
    <w:rsid w:val="000D1D50"/>
    <w:rsid w:val="000D5782"/>
    <w:rsid w:val="000E6613"/>
    <w:rsid w:val="000E7119"/>
    <w:rsid w:val="00114E9B"/>
    <w:rsid w:val="001231A9"/>
    <w:rsid w:val="0013781C"/>
    <w:rsid w:val="0014729F"/>
    <w:rsid w:val="00157BAB"/>
    <w:rsid w:val="001654D1"/>
    <w:rsid w:val="0018106D"/>
    <w:rsid w:val="001877A7"/>
    <w:rsid w:val="00191536"/>
    <w:rsid w:val="001929AB"/>
    <w:rsid w:val="00196687"/>
    <w:rsid w:val="001A2779"/>
    <w:rsid w:val="001B6073"/>
    <w:rsid w:val="001C0962"/>
    <w:rsid w:val="001D7531"/>
    <w:rsid w:val="001E737D"/>
    <w:rsid w:val="001F0592"/>
    <w:rsid w:val="001F7506"/>
    <w:rsid w:val="002006CD"/>
    <w:rsid w:val="00201DE5"/>
    <w:rsid w:val="00202B36"/>
    <w:rsid w:val="00204B7A"/>
    <w:rsid w:val="00205CAB"/>
    <w:rsid w:val="00205CE8"/>
    <w:rsid w:val="0021101A"/>
    <w:rsid w:val="00220536"/>
    <w:rsid w:val="0022653B"/>
    <w:rsid w:val="00235629"/>
    <w:rsid w:val="00245AEE"/>
    <w:rsid w:val="00260C38"/>
    <w:rsid w:val="002616C0"/>
    <w:rsid w:val="002662AA"/>
    <w:rsid w:val="00272070"/>
    <w:rsid w:val="00280496"/>
    <w:rsid w:val="00295495"/>
    <w:rsid w:val="002B2613"/>
    <w:rsid w:val="002D21DA"/>
    <w:rsid w:val="002F1818"/>
    <w:rsid w:val="002F567B"/>
    <w:rsid w:val="00303E10"/>
    <w:rsid w:val="003216A9"/>
    <w:rsid w:val="00346194"/>
    <w:rsid w:val="0037013F"/>
    <w:rsid w:val="00380C92"/>
    <w:rsid w:val="003919C5"/>
    <w:rsid w:val="003A484F"/>
    <w:rsid w:val="003B0BE0"/>
    <w:rsid w:val="003B0C1B"/>
    <w:rsid w:val="003B688C"/>
    <w:rsid w:val="003C0291"/>
    <w:rsid w:val="003C39AE"/>
    <w:rsid w:val="003C7B60"/>
    <w:rsid w:val="003D1FB2"/>
    <w:rsid w:val="003D66DA"/>
    <w:rsid w:val="003E1310"/>
    <w:rsid w:val="003E6F55"/>
    <w:rsid w:val="00406254"/>
    <w:rsid w:val="00410B44"/>
    <w:rsid w:val="004223DE"/>
    <w:rsid w:val="00426FDF"/>
    <w:rsid w:val="00434489"/>
    <w:rsid w:val="00437085"/>
    <w:rsid w:val="00443880"/>
    <w:rsid w:val="00445579"/>
    <w:rsid w:val="004464F4"/>
    <w:rsid w:val="00451E3B"/>
    <w:rsid w:val="00471401"/>
    <w:rsid w:val="00473F31"/>
    <w:rsid w:val="0048263A"/>
    <w:rsid w:val="00487E5D"/>
    <w:rsid w:val="004A1696"/>
    <w:rsid w:val="004A711F"/>
    <w:rsid w:val="004B199D"/>
    <w:rsid w:val="004B2CCC"/>
    <w:rsid w:val="004B4690"/>
    <w:rsid w:val="004D2CB0"/>
    <w:rsid w:val="004E01F4"/>
    <w:rsid w:val="004E0A2D"/>
    <w:rsid w:val="004E206B"/>
    <w:rsid w:val="004E6DF7"/>
    <w:rsid w:val="004F0FBD"/>
    <w:rsid w:val="00505A47"/>
    <w:rsid w:val="00512FDA"/>
    <w:rsid w:val="00520DA0"/>
    <w:rsid w:val="005357ED"/>
    <w:rsid w:val="005664BB"/>
    <w:rsid w:val="00570597"/>
    <w:rsid w:val="0057481D"/>
    <w:rsid w:val="0058486E"/>
    <w:rsid w:val="0059424F"/>
    <w:rsid w:val="005A07D0"/>
    <w:rsid w:val="005B43BA"/>
    <w:rsid w:val="005D1C8B"/>
    <w:rsid w:val="005D5CED"/>
    <w:rsid w:val="005F1A4C"/>
    <w:rsid w:val="00602F3C"/>
    <w:rsid w:val="00603D2D"/>
    <w:rsid w:val="00604D83"/>
    <w:rsid w:val="00605688"/>
    <w:rsid w:val="006070AF"/>
    <w:rsid w:val="00607E6C"/>
    <w:rsid w:val="006101B1"/>
    <w:rsid w:val="00614E44"/>
    <w:rsid w:val="00622830"/>
    <w:rsid w:val="00630AEF"/>
    <w:rsid w:val="006325F8"/>
    <w:rsid w:val="00634C9A"/>
    <w:rsid w:val="006440E4"/>
    <w:rsid w:val="0064437B"/>
    <w:rsid w:val="006575C5"/>
    <w:rsid w:val="0066343B"/>
    <w:rsid w:val="00664777"/>
    <w:rsid w:val="006748A4"/>
    <w:rsid w:val="00683E73"/>
    <w:rsid w:val="00687650"/>
    <w:rsid w:val="006A3141"/>
    <w:rsid w:val="006A5E34"/>
    <w:rsid w:val="006B2422"/>
    <w:rsid w:val="006B2B9A"/>
    <w:rsid w:val="006C1937"/>
    <w:rsid w:val="006F020C"/>
    <w:rsid w:val="00707271"/>
    <w:rsid w:val="007127B7"/>
    <w:rsid w:val="007416B6"/>
    <w:rsid w:val="00746F48"/>
    <w:rsid w:val="0075404D"/>
    <w:rsid w:val="0076182A"/>
    <w:rsid w:val="00763C18"/>
    <w:rsid w:val="007652DF"/>
    <w:rsid w:val="00767343"/>
    <w:rsid w:val="00767B7E"/>
    <w:rsid w:val="007770C3"/>
    <w:rsid w:val="00784D24"/>
    <w:rsid w:val="00785FBA"/>
    <w:rsid w:val="00786E4A"/>
    <w:rsid w:val="007875EB"/>
    <w:rsid w:val="007875EE"/>
    <w:rsid w:val="0079426B"/>
    <w:rsid w:val="007958C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57EB8"/>
    <w:rsid w:val="00860645"/>
    <w:rsid w:val="00871F71"/>
    <w:rsid w:val="00885AF4"/>
    <w:rsid w:val="008939CD"/>
    <w:rsid w:val="008B768C"/>
    <w:rsid w:val="008C4DB1"/>
    <w:rsid w:val="008C4EAF"/>
    <w:rsid w:val="008C5176"/>
    <w:rsid w:val="008C7FD0"/>
    <w:rsid w:val="008D5894"/>
    <w:rsid w:val="008E0368"/>
    <w:rsid w:val="008E1DE7"/>
    <w:rsid w:val="008E6996"/>
    <w:rsid w:val="008E707C"/>
    <w:rsid w:val="008F3F2C"/>
    <w:rsid w:val="008F648D"/>
    <w:rsid w:val="00900B08"/>
    <w:rsid w:val="00902155"/>
    <w:rsid w:val="00902FA3"/>
    <w:rsid w:val="00904BBA"/>
    <w:rsid w:val="00907796"/>
    <w:rsid w:val="00923564"/>
    <w:rsid w:val="0092392E"/>
    <w:rsid w:val="009315F9"/>
    <w:rsid w:val="009357FD"/>
    <w:rsid w:val="00937C72"/>
    <w:rsid w:val="00946945"/>
    <w:rsid w:val="00951248"/>
    <w:rsid w:val="0095152F"/>
    <w:rsid w:val="00954C49"/>
    <w:rsid w:val="00965DAC"/>
    <w:rsid w:val="0097099F"/>
    <w:rsid w:val="00971997"/>
    <w:rsid w:val="00971FFC"/>
    <w:rsid w:val="00974E76"/>
    <w:rsid w:val="0098660A"/>
    <w:rsid w:val="009931C3"/>
    <w:rsid w:val="009B2C43"/>
    <w:rsid w:val="009B4EAE"/>
    <w:rsid w:val="009B7573"/>
    <w:rsid w:val="009C22F4"/>
    <w:rsid w:val="009C2E98"/>
    <w:rsid w:val="009C4630"/>
    <w:rsid w:val="009D3447"/>
    <w:rsid w:val="009D4711"/>
    <w:rsid w:val="009F1185"/>
    <w:rsid w:val="009F18CD"/>
    <w:rsid w:val="009F2A13"/>
    <w:rsid w:val="00A04EB0"/>
    <w:rsid w:val="00A13CC1"/>
    <w:rsid w:val="00A16847"/>
    <w:rsid w:val="00A2214A"/>
    <w:rsid w:val="00A237D8"/>
    <w:rsid w:val="00A268C4"/>
    <w:rsid w:val="00A307CD"/>
    <w:rsid w:val="00A32EBF"/>
    <w:rsid w:val="00A40A00"/>
    <w:rsid w:val="00A4142F"/>
    <w:rsid w:val="00A451BE"/>
    <w:rsid w:val="00A46E58"/>
    <w:rsid w:val="00A56DF2"/>
    <w:rsid w:val="00A67AB5"/>
    <w:rsid w:val="00A91760"/>
    <w:rsid w:val="00A91C1C"/>
    <w:rsid w:val="00A93393"/>
    <w:rsid w:val="00A93B00"/>
    <w:rsid w:val="00A93C21"/>
    <w:rsid w:val="00AC3C6A"/>
    <w:rsid w:val="00AD43D3"/>
    <w:rsid w:val="00AD5620"/>
    <w:rsid w:val="00AD7C1B"/>
    <w:rsid w:val="00AE16BA"/>
    <w:rsid w:val="00AE1EBE"/>
    <w:rsid w:val="00AE713B"/>
    <w:rsid w:val="00AF023D"/>
    <w:rsid w:val="00B03C9D"/>
    <w:rsid w:val="00B060AE"/>
    <w:rsid w:val="00B10517"/>
    <w:rsid w:val="00B12852"/>
    <w:rsid w:val="00B14E76"/>
    <w:rsid w:val="00B161B8"/>
    <w:rsid w:val="00B2048C"/>
    <w:rsid w:val="00B310B9"/>
    <w:rsid w:val="00B35F3F"/>
    <w:rsid w:val="00B36CBB"/>
    <w:rsid w:val="00B425E0"/>
    <w:rsid w:val="00B440AA"/>
    <w:rsid w:val="00B44B70"/>
    <w:rsid w:val="00B473A9"/>
    <w:rsid w:val="00B53C56"/>
    <w:rsid w:val="00B77EA6"/>
    <w:rsid w:val="00B81598"/>
    <w:rsid w:val="00B841F1"/>
    <w:rsid w:val="00B944D6"/>
    <w:rsid w:val="00BB4DF0"/>
    <w:rsid w:val="00BC289F"/>
    <w:rsid w:val="00BC5361"/>
    <w:rsid w:val="00BC5460"/>
    <w:rsid w:val="00BC6B50"/>
    <w:rsid w:val="00BD0E25"/>
    <w:rsid w:val="00BD6203"/>
    <w:rsid w:val="00BE15D1"/>
    <w:rsid w:val="00BE1EF0"/>
    <w:rsid w:val="00BF0786"/>
    <w:rsid w:val="00BF5BD6"/>
    <w:rsid w:val="00BF6D4F"/>
    <w:rsid w:val="00C03E31"/>
    <w:rsid w:val="00C33E72"/>
    <w:rsid w:val="00C354B2"/>
    <w:rsid w:val="00C35554"/>
    <w:rsid w:val="00C42709"/>
    <w:rsid w:val="00C533CC"/>
    <w:rsid w:val="00C5751C"/>
    <w:rsid w:val="00C61BFC"/>
    <w:rsid w:val="00C62B85"/>
    <w:rsid w:val="00C65438"/>
    <w:rsid w:val="00C722CE"/>
    <w:rsid w:val="00C76A82"/>
    <w:rsid w:val="00C87942"/>
    <w:rsid w:val="00C91CBB"/>
    <w:rsid w:val="00CA0565"/>
    <w:rsid w:val="00CB0489"/>
    <w:rsid w:val="00CB72AD"/>
    <w:rsid w:val="00CC09B6"/>
    <w:rsid w:val="00CC666F"/>
    <w:rsid w:val="00CD1E3F"/>
    <w:rsid w:val="00CE44F6"/>
    <w:rsid w:val="00CE49DA"/>
    <w:rsid w:val="00CE7B61"/>
    <w:rsid w:val="00CF46B8"/>
    <w:rsid w:val="00CF6391"/>
    <w:rsid w:val="00D00095"/>
    <w:rsid w:val="00D20620"/>
    <w:rsid w:val="00D26091"/>
    <w:rsid w:val="00D3491F"/>
    <w:rsid w:val="00D34E7C"/>
    <w:rsid w:val="00D35489"/>
    <w:rsid w:val="00D51276"/>
    <w:rsid w:val="00D6156C"/>
    <w:rsid w:val="00D7035F"/>
    <w:rsid w:val="00DA533C"/>
    <w:rsid w:val="00DA65AC"/>
    <w:rsid w:val="00DA69C3"/>
    <w:rsid w:val="00DB1913"/>
    <w:rsid w:val="00DC35F5"/>
    <w:rsid w:val="00DC410D"/>
    <w:rsid w:val="00DC68CA"/>
    <w:rsid w:val="00DC7CBA"/>
    <w:rsid w:val="00DC7EB3"/>
    <w:rsid w:val="00DD577A"/>
    <w:rsid w:val="00DD61EE"/>
    <w:rsid w:val="00DD73B7"/>
    <w:rsid w:val="00DF28BC"/>
    <w:rsid w:val="00DF34B9"/>
    <w:rsid w:val="00E01053"/>
    <w:rsid w:val="00E07ACF"/>
    <w:rsid w:val="00E207E8"/>
    <w:rsid w:val="00E20D4E"/>
    <w:rsid w:val="00E248FF"/>
    <w:rsid w:val="00E331A1"/>
    <w:rsid w:val="00E33202"/>
    <w:rsid w:val="00E336A9"/>
    <w:rsid w:val="00E50624"/>
    <w:rsid w:val="00E55B62"/>
    <w:rsid w:val="00E568DF"/>
    <w:rsid w:val="00E64269"/>
    <w:rsid w:val="00E8215D"/>
    <w:rsid w:val="00E82267"/>
    <w:rsid w:val="00E85785"/>
    <w:rsid w:val="00EA010F"/>
    <w:rsid w:val="00EA2891"/>
    <w:rsid w:val="00ED1B63"/>
    <w:rsid w:val="00ED3C1F"/>
    <w:rsid w:val="00ED4085"/>
    <w:rsid w:val="00ED420E"/>
    <w:rsid w:val="00EE2F57"/>
    <w:rsid w:val="00EE66AE"/>
    <w:rsid w:val="00EF2969"/>
    <w:rsid w:val="00EF4C34"/>
    <w:rsid w:val="00EF77C6"/>
    <w:rsid w:val="00F05438"/>
    <w:rsid w:val="00F1361C"/>
    <w:rsid w:val="00F160C7"/>
    <w:rsid w:val="00F262AA"/>
    <w:rsid w:val="00F262BF"/>
    <w:rsid w:val="00F36D8F"/>
    <w:rsid w:val="00F417B1"/>
    <w:rsid w:val="00F47B8C"/>
    <w:rsid w:val="00F602DF"/>
    <w:rsid w:val="00F700DE"/>
    <w:rsid w:val="00F75125"/>
    <w:rsid w:val="00F81FD9"/>
    <w:rsid w:val="00F841AA"/>
    <w:rsid w:val="00FA23E8"/>
    <w:rsid w:val="00FB2F84"/>
    <w:rsid w:val="00FC4EDA"/>
    <w:rsid w:val="00FD3CC1"/>
    <w:rsid w:val="00FE675D"/>
    <w:rsid w:val="00FF1E02"/>
    <w:rsid w:val="00FF30B4"/>
    <w:rsid w:val="00FF320C"/>
    <w:rsid w:val="00FF7F15"/>
    <w:rsid w:val="10C055FF"/>
    <w:rsid w:val="16BB723D"/>
    <w:rsid w:val="240371BF"/>
    <w:rsid w:val="29FD04D3"/>
    <w:rsid w:val="319F7F4E"/>
    <w:rsid w:val="476FFF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2520</Words>
  <Characters>14364</Characters>
  <Lines>119</Lines>
  <Paragraphs>33</Paragraphs>
  <TotalTime>863</TotalTime>
  <ScaleCrop>false</ScaleCrop>
  <LinksUpToDate>false</LinksUpToDate>
  <CharactersWithSpaces>16851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2024-06-04T10:40:16Z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