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1" w:name="_Toc15396597"/>
      <w:bookmarkStart w:id="2" w:name="_Toc15377425"/>
      <w:bookmarkStart w:id="3" w:name="_Toc15377193"/>
      <w:bookmarkStart w:id="4" w:name="_Toc15378441"/>
      <w:bookmarkStart w:id="5" w:name="_Toc15396475"/>
      <w:r>
        <w:rPr>
          <w:rFonts w:hint="eastAsia" w:ascii="方正小标宋简体" w:hAnsi="黑体" w:eastAsia="方正小标宋简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pStyle w:val="12"/>
        <w:rPr>
          <w:rFonts w:hint="eastAsia" w:ascii="方正小标宋简体" w:hAnsi="宋体" w:eastAsia="方正小标宋简体"/>
          <w:color w:val="000000"/>
          <w:sz w:val="72"/>
          <w:szCs w:val="72"/>
        </w:rPr>
      </w:pPr>
      <w:bookmarkStart w:id="6" w:name="_Toc15396598"/>
      <w:bookmarkStart w:id="7" w:name="_Toc15377194"/>
      <w:bookmarkStart w:id="8" w:name="_Toc15396476"/>
      <w:bookmarkStart w:id="9" w:name="_Toc15377426"/>
      <w:bookmarkStart w:id="10" w:name="_Toc15378442"/>
      <w:r>
        <w:rPr>
          <w:rFonts w:hint="eastAsia" w:ascii="方正小标宋简体" w:hAnsi="宋体" w:eastAsia="方正小标宋简体"/>
          <w:color w:val="000000"/>
          <w:sz w:val="72"/>
          <w:szCs w:val="72"/>
        </w:rPr>
        <w:t>广元市利州区</w:t>
      </w:r>
      <w:bookmarkEnd w:id="0"/>
      <w:bookmarkStart w:id="11" w:name="_Toc15306268"/>
      <w:r>
        <w:rPr>
          <w:rFonts w:hint="eastAsia" w:ascii="方正小标宋简体" w:hAnsi="宋体" w:eastAsia="方正小标宋简体"/>
          <w:color w:val="000000"/>
          <w:sz w:val="72"/>
          <w:szCs w:val="72"/>
        </w:rPr>
        <w:t>人民政府万缘街</w:t>
      </w:r>
      <w:bookmarkStart w:id="73" w:name="_GoBack"/>
      <w:bookmarkEnd w:id="73"/>
      <w:r>
        <w:rPr>
          <w:rFonts w:hint="eastAsia" w:ascii="方正小标宋简体" w:hAnsi="宋体" w:eastAsia="方正小标宋简体"/>
          <w:color w:val="000000"/>
          <w:sz w:val="72"/>
          <w:szCs w:val="72"/>
        </w:rPr>
        <w:t>道办事处部门决算</w:t>
      </w:r>
      <w:bookmarkEnd w:id="6"/>
      <w:bookmarkEnd w:id="7"/>
      <w:bookmarkEnd w:id="8"/>
      <w:bookmarkEnd w:id="9"/>
      <w:bookmarkEnd w:id="10"/>
      <w:bookmarkEnd w:id="11"/>
    </w:p>
    <w:p>
      <w:pPr>
        <w:pStyle w:val="12"/>
        <w:rPr>
          <w:rFonts w:hint="eastAsia" w:ascii="方正小标宋简体" w:hAnsi="宋体" w:eastAsia="方正小标宋简体"/>
          <w:color w:val="000000"/>
          <w:sz w:val="72"/>
          <w:szCs w:val="72"/>
        </w:rPr>
      </w:pPr>
    </w:p>
    <w:p>
      <w:pPr>
        <w:pStyle w:val="12"/>
        <w:rPr>
          <w:rFonts w:hint="eastAsia" w:ascii="方正小标宋简体" w:hAnsi="宋体" w:eastAsia="方正小标宋简体"/>
          <w:color w:val="000000"/>
          <w:sz w:val="72"/>
          <w:szCs w:val="72"/>
        </w:rPr>
      </w:pPr>
    </w:p>
    <w:p>
      <w:pPr>
        <w:pStyle w:val="12"/>
        <w:rPr>
          <w:rFonts w:hint="eastAsia" w:ascii="方正小标宋简体" w:hAnsi="宋体" w:eastAsia="方正小标宋简体"/>
          <w:color w:val="000000"/>
          <w:sz w:val="72"/>
          <w:szCs w:val="72"/>
        </w:rPr>
      </w:pPr>
    </w:p>
    <w:p>
      <w:pPr>
        <w:pStyle w:val="12"/>
        <w:rPr>
          <w:rFonts w:hint="eastAsia" w:ascii="方正仿宋简体" w:eastAsia="方正仿宋简体"/>
          <w:sz w:val="32"/>
        </w:rPr>
      </w:pPr>
      <w:r>
        <w:rPr>
          <w:rFonts w:hint="eastAsia" w:ascii="方正仿宋简体" w:eastAsia="方正仿宋简体"/>
          <w:sz w:val="32"/>
        </w:rPr>
        <w:t>公开时间：2021年9月28日</w:t>
      </w:r>
    </w:p>
    <w:p>
      <w:pPr>
        <w:widowControl/>
        <w:jc w:val="left"/>
        <w:rPr>
          <w:rFonts w:ascii="方正小标宋简体" w:hAnsi="宋体" w:eastAsia="方正小标宋简体"/>
          <w:color w:val="000000"/>
          <w:sz w:val="36"/>
          <w:szCs w:val="36"/>
        </w:rPr>
      </w:pPr>
      <w:r>
        <w:rPr>
          <w:rFonts w:ascii="方正小标宋简体" w:hAnsi="宋体" w:eastAsia="方正小标宋简体"/>
          <w:color w:val="000000"/>
          <w:sz w:val="36"/>
          <w:szCs w:val="36"/>
        </w:rPr>
        <w:br w:type="page"/>
      </w:r>
      <w:r>
        <w:rPr>
          <w:rFonts w:ascii="方正小标宋简体" w:hAnsi="宋体" w:eastAsia="方正小标宋简体"/>
          <w:color w:val="000000"/>
          <w:sz w:val="36"/>
          <w:szCs w:val="36"/>
        </w:rPr>
        <w:br w:type="page"/>
      </w:r>
    </w:p>
    <w:p>
      <w:pPr>
        <w:widowControl/>
        <w:jc w:val="center"/>
        <w:rPr>
          <w:rFonts w:hint="eastAsia" w:ascii="方正小标宋简体" w:hAnsi="黑体" w:eastAsia="方正小标宋简体"/>
          <w:color w:val="000000"/>
          <w:sz w:val="48"/>
          <w:szCs w:val="48"/>
        </w:rPr>
      </w:pPr>
      <w:r>
        <w:rPr>
          <w:rFonts w:hint="eastAsia" w:ascii="方正小标宋简体" w:hAnsi="黑体" w:eastAsia="方正小标宋简体"/>
          <w:color w:val="000000"/>
          <w:sz w:val="44"/>
          <w:szCs w:val="48"/>
        </w:rPr>
        <w:t>目  录</w:t>
      </w:r>
    </w:p>
    <w:p>
      <w:pPr>
        <w:pStyle w:val="12"/>
        <w:adjustRightInd w:val="0"/>
        <w:snapToGrid w:val="0"/>
        <w:spacing w:before="0" w:line="440" w:lineRule="exact"/>
        <w:jc w:val="left"/>
        <w:rPr>
          <w:rFonts w:hint="eastAsia"/>
          <w:sz w:val="24"/>
        </w:rPr>
      </w:pPr>
      <w:bookmarkStart w:id="12" w:name="_Toc15377196"/>
      <w:bookmarkStart w:id="13" w:name="_Toc15396599"/>
    </w:p>
    <w:p>
      <w:pPr>
        <w:pStyle w:val="12"/>
        <w:adjustRightInd w:val="0"/>
        <w:snapToGrid w:val="0"/>
        <w:spacing w:before="0" w:line="576" w:lineRule="exact"/>
        <w:ind w:firstLine="640" w:firstLineChars="200"/>
        <w:jc w:val="left"/>
        <w:rPr>
          <w:rFonts w:hint="eastAsia" w:ascii="方正黑体简体" w:eastAsia="方正黑体简体"/>
          <w:sz w:val="32"/>
        </w:rPr>
      </w:pPr>
      <w:r>
        <w:rPr>
          <w:rFonts w:hint="eastAsia" w:ascii="方正黑体简体" w:eastAsia="方正黑体简体"/>
          <w:sz w:val="32"/>
        </w:rPr>
        <w:t>第一部分    部门概况</w:t>
      </w:r>
    </w:p>
    <w:p>
      <w:pPr>
        <w:pStyle w:val="12"/>
        <w:adjustRightInd w:val="0"/>
        <w:snapToGrid w:val="0"/>
        <w:spacing w:before="0" w:line="576" w:lineRule="exact"/>
        <w:ind w:firstLine="640" w:firstLineChars="200"/>
        <w:jc w:val="left"/>
        <w:rPr>
          <w:rFonts w:hint="eastAsia" w:ascii="方正仿宋简体" w:eastAsia="方正仿宋简体"/>
          <w:sz w:val="32"/>
          <w:szCs w:val="24"/>
        </w:rPr>
      </w:pPr>
      <w:r>
        <w:rPr>
          <w:rFonts w:hint="eastAsia" w:ascii="方正仿宋简体" w:eastAsia="方正仿宋简体"/>
          <w:sz w:val="32"/>
        </w:rPr>
        <w:t xml:space="preserve">    一、基本职能及主要工作</w:t>
      </w:r>
    </w:p>
    <w:p>
      <w:pPr>
        <w:pStyle w:val="13"/>
        <w:adjustRightInd w:val="0"/>
        <w:snapToGrid w:val="0"/>
        <w:spacing w:line="576" w:lineRule="exact"/>
        <w:ind w:firstLine="640" w:firstLineChars="200"/>
        <w:jc w:val="left"/>
        <w:rPr>
          <w:rFonts w:hint="eastAsia" w:ascii="方正仿宋简体" w:hAnsi="仿宋" w:eastAsia="方正仿宋简体"/>
          <w:sz w:val="32"/>
        </w:rPr>
      </w:pPr>
      <w:r>
        <w:rPr>
          <w:rFonts w:hint="eastAsia" w:ascii="方正仿宋简体" w:eastAsia="方正仿宋简体"/>
          <w:sz w:val="32"/>
        </w:rPr>
        <w:t xml:space="preserve"> 二、机构设置</w:t>
      </w:r>
    </w:p>
    <w:p>
      <w:pPr>
        <w:pStyle w:val="12"/>
        <w:adjustRightInd w:val="0"/>
        <w:snapToGrid w:val="0"/>
        <w:spacing w:before="0" w:line="576" w:lineRule="exact"/>
        <w:ind w:firstLine="640" w:firstLineChars="200"/>
        <w:jc w:val="left"/>
        <w:rPr>
          <w:rFonts w:hint="eastAsia" w:ascii="方正黑体简体" w:eastAsia="方正黑体简体"/>
          <w:sz w:val="32"/>
        </w:rPr>
      </w:pPr>
      <w:r>
        <w:rPr>
          <w:rFonts w:hint="eastAsia" w:ascii="方正黑体简体" w:eastAsia="方正黑体简体"/>
          <w:sz w:val="32"/>
        </w:rPr>
        <w:t>第二部分    部门决算情况说明</w:t>
      </w:r>
    </w:p>
    <w:p>
      <w:pPr>
        <w:pStyle w:val="13"/>
        <w:adjustRightInd w:val="0"/>
        <w:snapToGrid w:val="0"/>
        <w:spacing w:line="576" w:lineRule="exact"/>
        <w:ind w:firstLine="640" w:firstLineChars="200"/>
        <w:jc w:val="left"/>
        <w:rPr>
          <w:rFonts w:hint="eastAsia" w:ascii="方正仿宋简体" w:hAnsi="仿宋" w:eastAsia="方正仿宋简体"/>
          <w:sz w:val="32"/>
        </w:rPr>
      </w:pPr>
      <w:r>
        <w:rPr>
          <w:rFonts w:hint="eastAsia" w:ascii="方正仿宋简体" w:eastAsia="方正仿宋简体"/>
          <w:sz w:val="32"/>
        </w:rPr>
        <w:t xml:space="preserve"> 一、收入支出决算总体情况说明</w:t>
      </w:r>
    </w:p>
    <w:p>
      <w:pPr>
        <w:pStyle w:val="13"/>
        <w:adjustRightInd w:val="0"/>
        <w:snapToGrid w:val="0"/>
        <w:spacing w:line="576" w:lineRule="exact"/>
        <w:ind w:firstLine="640" w:firstLineChars="200"/>
        <w:jc w:val="left"/>
        <w:rPr>
          <w:rFonts w:hint="eastAsia" w:ascii="方正仿宋简体" w:hAnsi="仿宋" w:eastAsia="方正仿宋简体"/>
          <w:sz w:val="32"/>
        </w:rPr>
      </w:pPr>
      <w:r>
        <w:rPr>
          <w:rFonts w:hint="eastAsia" w:ascii="方正仿宋简体" w:eastAsia="方正仿宋简体"/>
          <w:sz w:val="32"/>
        </w:rPr>
        <w:t xml:space="preserve"> 二、收入决算情况说明</w:t>
      </w:r>
    </w:p>
    <w:p>
      <w:pPr>
        <w:pStyle w:val="13"/>
        <w:adjustRightInd w:val="0"/>
        <w:snapToGrid w:val="0"/>
        <w:spacing w:line="576" w:lineRule="exact"/>
        <w:ind w:firstLine="640" w:firstLineChars="200"/>
        <w:jc w:val="left"/>
        <w:rPr>
          <w:rFonts w:hint="eastAsia" w:ascii="方正仿宋简体" w:hAnsi="仿宋" w:eastAsia="方正仿宋简体"/>
          <w:sz w:val="32"/>
        </w:rPr>
      </w:pPr>
      <w:r>
        <w:rPr>
          <w:rFonts w:hint="eastAsia" w:ascii="方正仿宋简体" w:eastAsia="方正仿宋简体"/>
          <w:sz w:val="32"/>
        </w:rPr>
        <w:t xml:space="preserve"> 三、支出决算情况说明</w:t>
      </w:r>
    </w:p>
    <w:p>
      <w:pPr>
        <w:pStyle w:val="13"/>
        <w:adjustRightInd w:val="0"/>
        <w:snapToGrid w:val="0"/>
        <w:spacing w:line="576" w:lineRule="exact"/>
        <w:ind w:firstLine="640" w:firstLineChars="200"/>
        <w:jc w:val="left"/>
        <w:rPr>
          <w:rFonts w:hint="eastAsia" w:ascii="方正仿宋简体" w:hAnsi="仿宋" w:eastAsia="方正仿宋简体"/>
          <w:sz w:val="32"/>
        </w:rPr>
      </w:pPr>
      <w:r>
        <w:rPr>
          <w:rFonts w:hint="eastAsia" w:ascii="方正仿宋简体" w:eastAsia="方正仿宋简体"/>
          <w:sz w:val="32"/>
        </w:rPr>
        <w:t xml:space="preserve"> 四、财政拨款收入支出决算总体情况说明</w:t>
      </w:r>
    </w:p>
    <w:p>
      <w:pPr>
        <w:pStyle w:val="13"/>
        <w:adjustRightInd w:val="0"/>
        <w:snapToGrid w:val="0"/>
        <w:spacing w:line="576" w:lineRule="exact"/>
        <w:ind w:firstLine="640" w:firstLineChars="200"/>
        <w:jc w:val="left"/>
        <w:rPr>
          <w:rFonts w:hint="eastAsia" w:ascii="方正仿宋简体" w:hAnsi="仿宋" w:eastAsia="方正仿宋简体"/>
          <w:sz w:val="32"/>
        </w:rPr>
      </w:pPr>
      <w:r>
        <w:rPr>
          <w:rFonts w:hint="eastAsia" w:ascii="方正仿宋简体" w:eastAsia="方正仿宋简体"/>
          <w:sz w:val="32"/>
        </w:rPr>
        <w:t xml:space="preserve"> 五、一般公共预算财政拨款支出决算情况说明</w:t>
      </w:r>
    </w:p>
    <w:p>
      <w:pPr>
        <w:pStyle w:val="13"/>
        <w:adjustRightInd w:val="0"/>
        <w:snapToGrid w:val="0"/>
        <w:spacing w:line="576" w:lineRule="exact"/>
        <w:ind w:firstLine="640" w:firstLineChars="200"/>
        <w:jc w:val="left"/>
        <w:rPr>
          <w:rFonts w:hint="eastAsia" w:ascii="方正仿宋简体" w:hAnsi="仿宋" w:eastAsia="方正仿宋简体"/>
          <w:sz w:val="32"/>
        </w:rPr>
      </w:pPr>
      <w:r>
        <w:rPr>
          <w:rFonts w:hint="eastAsia" w:ascii="方正仿宋简体" w:eastAsia="方正仿宋简体"/>
          <w:sz w:val="32"/>
        </w:rPr>
        <w:t xml:space="preserve"> 六、一般公共预算财政拨款基本支出决算情况说明</w:t>
      </w:r>
    </w:p>
    <w:p>
      <w:pPr>
        <w:pStyle w:val="13"/>
        <w:adjustRightInd w:val="0"/>
        <w:snapToGrid w:val="0"/>
        <w:spacing w:line="576" w:lineRule="exact"/>
        <w:ind w:firstLine="640" w:firstLineChars="200"/>
        <w:jc w:val="left"/>
        <w:rPr>
          <w:rFonts w:hint="eastAsia" w:ascii="方正仿宋简体" w:hAnsi="仿宋" w:eastAsia="方正仿宋简体"/>
          <w:sz w:val="32"/>
        </w:rPr>
      </w:pPr>
      <w:r>
        <w:rPr>
          <w:rFonts w:hint="eastAsia" w:ascii="方正仿宋简体" w:eastAsia="方正仿宋简体"/>
          <w:sz w:val="32"/>
        </w:rPr>
        <w:t xml:space="preserve"> 七、“三公”经费财政拨款支出决算情况说明</w:t>
      </w:r>
    </w:p>
    <w:p>
      <w:pPr>
        <w:pStyle w:val="13"/>
        <w:adjustRightInd w:val="0"/>
        <w:snapToGrid w:val="0"/>
        <w:spacing w:line="576" w:lineRule="exact"/>
        <w:ind w:firstLine="640" w:firstLineChars="200"/>
        <w:jc w:val="left"/>
        <w:rPr>
          <w:rFonts w:hint="eastAsia" w:ascii="方正仿宋简体" w:hAnsi="仿宋" w:eastAsia="方正仿宋简体"/>
          <w:sz w:val="32"/>
        </w:rPr>
      </w:pPr>
      <w:r>
        <w:rPr>
          <w:rFonts w:hint="eastAsia" w:ascii="方正仿宋简体" w:eastAsia="方正仿宋简体"/>
          <w:sz w:val="32"/>
        </w:rPr>
        <w:t xml:space="preserve"> 八、政府性基金预算支出决算情况说明</w:t>
      </w:r>
    </w:p>
    <w:p>
      <w:pPr>
        <w:pStyle w:val="13"/>
        <w:adjustRightInd w:val="0"/>
        <w:snapToGrid w:val="0"/>
        <w:spacing w:line="576" w:lineRule="exact"/>
        <w:ind w:leftChars="0" w:firstLine="640" w:firstLineChars="200"/>
        <w:jc w:val="left"/>
        <w:rPr>
          <w:rFonts w:hint="eastAsia" w:ascii="方正仿宋简体" w:hAnsi="仿宋" w:eastAsia="方正仿宋简体"/>
          <w:sz w:val="32"/>
        </w:rPr>
      </w:pPr>
      <w:r>
        <w:rPr>
          <w:rFonts w:hint="eastAsia" w:ascii="方正仿宋简体" w:hAnsi="仿宋" w:eastAsia="方正仿宋简体"/>
          <w:sz w:val="32"/>
        </w:rPr>
        <w:t xml:space="preserve"> 九、</w:t>
      </w:r>
      <w:r>
        <w:rPr>
          <w:rFonts w:hint="eastAsia" w:ascii="方正仿宋简体" w:eastAsia="方正仿宋简体"/>
          <w:sz w:val="32"/>
        </w:rPr>
        <w:t>国有资本经营预算支出决算情况说明</w:t>
      </w:r>
    </w:p>
    <w:p>
      <w:pPr>
        <w:adjustRightInd w:val="0"/>
        <w:snapToGrid w:val="0"/>
        <w:spacing w:line="576" w:lineRule="exact"/>
        <w:ind w:firstLine="640" w:firstLineChars="200"/>
        <w:jc w:val="left"/>
        <w:rPr>
          <w:rFonts w:hint="eastAsia" w:ascii="方正仿宋简体" w:hAnsi="仿宋" w:eastAsia="方正仿宋简体"/>
          <w:sz w:val="32"/>
        </w:rPr>
      </w:pPr>
      <w:r>
        <w:rPr>
          <w:rStyle w:val="17"/>
          <w:rFonts w:hint="eastAsia" w:ascii="方正仿宋简体" w:hAnsi="仿宋" w:eastAsia="方正仿宋简体"/>
          <w:color w:val="000000"/>
          <w:sz w:val="32"/>
          <w:u w:val="none"/>
        </w:rPr>
        <w:t xml:space="preserve">    十、</w:t>
      </w:r>
      <w:r>
        <w:rPr>
          <w:rFonts w:hint="eastAsia" w:ascii="方正仿宋简体" w:eastAsia="方正仿宋简体"/>
          <w:sz w:val="32"/>
        </w:rPr>
        <w:t>其他重要事项的情况说明</w:t>
      </w:r>
      <w:r>
        <w:rPr>
          <w:rFonts w:hint="eastAsia" w:ascii="方正仿宋简体" w:hAnsi="仿宋" w:eastAsia="方正仿宋简体"/>
          <w:sz w:val="32"/>
        </w:rPr>
        <w:tab/>
      </w:r>
    </w:p>
    <w:p>
      <w:pPr>
        <w:pStyle w:val="12"/>
        <w:adjustRightInd w:val="0"/>
        <w:snapToGrid w:val="0"/>
        <w:spacing w:before="0" w:line="576" w:lineRule="exact"/>
        <w:ind w:firstLine="640" w:firstLineChars="200"/>
        <w:jc w:val="left"/>
        <w:rPr>
          <w:rFonts w:hint="eastAsia" w:ascii="方正黑体简体" w:eastAsia="方正黑体简体"/>
          <w:sz w:val="32"/>
        </w:rPr>
      </w:pPr>
      <w:r>
        <w:rPr>
          <w:rFonts w:hint="eastAsia" w:ascii="方正黑体简体" w:eastAsia="方正黑体简体"/>
          <w:sz w:val="32"/>
        </w:rPr>
        <w:t>第三部分  名词解释</w:t>
      </w:r>
    </w:p>
    <w:p>
      <w:pPr>
        <w:pStyle w:val="12"/>
        <w:adjustRightInd w:val="0"/>
        <w:snapToGrid w:val="0"/>
        <w:spacing w:before="0" w:line="576" w:lineRule="exact"/>
        <w:ind w:firstLine="640" w:firstLineChars="200"/>
        <w:jc w:val="left"/>
        <w:rPr>
          <w:rFonts w:hint="eastAsia" w:ascii="方正黑体简体" w:eastAsia="方正黑体简体"/>
          <w:sz w:val="32"/>
        </w:rPr>
      </w:pPr>
      <w:r>
        <w:rPr>
          <w:rFonts w:hint="eastAsia" w:ascii="方正黑体简体" w:eastAsia="方正黑体简体"/>
          <w:sz w:val="32"/>
        </w:rPr>
        <w:t>第四部分  附件</w:t>
      </w:r>
    </w:p>
    <w:p>
      <w:pPr>
        <w:pStyle w:val="13"/>
        <w:adjustRightInd w:val="0"/>
        <w:snapToGrid w:val="0"/>
        <w:spacing w:line="576" w:lineRule="exact"/>
        <w:ind w:firstLine="640" w:firstLineChars="200"/>
        <w:jc w:val="left"/>
        <w:rPr>
          <w:rFonts w:hint="eastAsia" w:ascii="方正仿宋简体" w:hAnsi="仿宋" w:eastAsia="方正仿宋简体"/>
          <w:sz w:val="32"/>
        </w:rPr>
      </w:pPr>
      <w:r>
        <w:rPr>
          <w:rFonts w:hint="eastAsia" w:ascii="方正仿宋简体" w:eastAsia="方正仿宋简体"/>
          <w:sz w:val="32"/>
        </w:rPr>
        <w:t xml:space="preserve"> 附件1</w:t>
      </w:r>
    </w:p>
    <w:p>
      <w:pPr>
        <w:pStyle w:val="13"/>
        <w:adjustRightInd w:val="0"/>
        <w:snapToGrid w:val="0"/>
        <w:spacing w:line="576" w:lineRule="exact"/>
        <w:ind w:firstLine="640" w:firstLineChars="200"/>
        <w:jc w:val="left"/>
        <w:rPr>
          <w:rFonts w:hint="eastAsia" w:ascii="方正仿宋简体" w:hAnsi="仿宋" w:eastAsia="方正仿宋简体"/>
          <w:sz w:val="32"/>
        </w:rPr>
      </w:pPr>
      <w:r>
        <w:rPr>
          <w:rFonts w:hint="eastAsia" w:ascii="方正仿宋简体" w:eastAsia="方正仿宋简体"/>
          <w:sz w:val="32"/>
        </w:rPr>
        <w:t xml:space="preserve"> 附件2</w:t>
      </w:r>
    </w:p>
    <w:p>
      <w:pPr>
        <w:pStyle w:val="12"/>
        <w:adjustRightInd w:val="0"/>
        <w:snapToGrid w:val="0"/>
        <w:spacing w:before="0" w:line="576" w:lineRule="exact"/>
        <w:ind w:firstLine="640" w:firstLineChars="200"/>
        <w:jc w:val="left"/>
        <w:rPr>
          <w:rFonts w:hint="eastAsia" w:ascii="方正黑体简体" w:eastAsia="方正黑体简体"/>
          <w:sz w:val="32"/>
        </w:rPr>
      </w:pPr>
      <w:r>
        <w:rPr>
          <w:rFonts w:hint="eastAsia" w:ascii="方正黑体简体" w:eastAsia="方正黑体简体"/>
          <w:sz w:val="32"/>
        </w:rPr>
        <w:t>第五部分  附表</w:t>
      </w:r>
    </w:p>
    <w:p>
      <w:pPr>
        <w:pStyle w:val="12"/>
        <w:adjustRightInd w:val="0"/>
        <w:snapToGrid w:val="0"/>
        <w:spacing w:before="0" w:line="576" w:lineRule="exact"/>
        <w:ind w:firstLine="640" w:firstLineChars="200"/>
        <w:jc w:val="left"/>
        <w:rPr>
          <w:rFonts w:hint="eastAsia" w:ascii="方正黑体简体" w:eastAsia="方正黑体简体"/>
          <w:sz w:val="32"/>
        </w:rPr>
      </w:pPr>
      <w:r>
        <w:rPr>
          <w:rFonts w:hint="eastAsia" w:ascii="方正黑体简体" w:eastAsia="方正黑体简体"/>
          <w:sz w:val="32"/>
        </w:rPr>
        <w:t xml:space="preserve">    </w:t>
      </w:r>
      <w:r>
        <w:rPr>
          <w:rFonts w:hint="eastAsia" w:ascii="方正仿宋简体" w:eastAsia="方正仿宋简体"/>
          <w:sz w:val="32"/>
        </w:rPr>
        <w:t>一、收入支出决算总表</w:t>
      </w:r>
    </w:p>
    <w:p>
      <w:pPr>
        <w:pStyle w:val="12"/>
        <w:adjustRightInd w:val="0"/>
        <w:snapToGrid w:val="0"/>
        <w:spacing w:before="0" w:line="576" w:lineRule="exact"/>
        <w:ind w:firstLine="640" w:firstLineChars="200"/>
        <w:jc w:val="left"/>
        <w:rPr>
          <w:rFonts w:hint="eastAsia" w:ascii="方正仿宋简体" w:eastAsia="方正仿宋简体"/>
          <w:sz w:val="32"/>
        </w:rPr>
      </w:pPr>
      <w:r>
        <w:rPr>
          <w:rFonts w:hint="eastAsia" w:ascii="方正黑体简体" w:eastAsia="方正黑体简体"/>
          <w:sz w:val="32"/>
        </w:rPr>
        <w:t xml:space="preserve">    </w:t>
      </w:r>
      <w:r>
        <w:rPr>
          <w:rFonts w:hint="eastAsia" w:ascii="方正仿宋简体" w:eastAsia="方正仿宋简体"/>
          <w:sz w:val="32"/>
        </w:rPr>
        <w:t>二、收入决算表</w:t>
      </w:r>
    </w:p>
    <w:p>
      <w:pPr>
        <w:pStyle w:val="12"/>
        <w:adjustRightInd w:val="0"/>
        <w:snapToGrid w:val="0"/>
        <w:spacing w:before="0" w:line="576" w:lineRule="exact"/>
        <w:ind w:firstLine="640" w:firstLineChars="200"/>
        <w:jc w:val="left"/>
        <w:rPr>
          <w:rFonts w:hint="eastAsia" w:ascii="方正仿宋简体" w:eastAsia="方正仿宋简体"/>
          <w:sz w:val="32"/>
        </w:rPr>
      </w:pPr>
      <w:r>
        <w:rPr>
          <w:rFonts w:hint="eastAsia" w:ascii="方正仿宋简体" w:eastAsia="方正仿宋简体"/>
          <w:sz w:val="32"/>
        </w:rPr>
        <w:t xml:space="preserve">    三、支出决算表</w:t>
      </w:r>
    </w:p>
    <w:p>
      <w:pPr>
        <w:pStyle w:val="12"/>
        <w:adjustRightInd w:val="0"/>
        <w:snapToGrid w:val="0"/>
        <w:spacing w:before="0" w:line="576" w:lineRule="exact"/>
        <w:ind w:firstLine="640" w:firstLineChars="200"/>
        <w:jc w:val="left"/>
        <w:rPr>
          <w:rFonts w:hint="eastAsia" w:ascii="方正仿宋简体" w:eastAsia="方正仿宋简体"/>
          <w:sz w:val="32"/>
        </w:rPr>
      </w:pPr>
      <w:r>
        <w:rPr>
          <w:rFonts w:hint="eastAsia" w:ascii="方正仿宋简体" w:eastAsia="方正仿宋简体"/>
          <w:sz w:val="32"/>
        </w:rPr>
        <w:t xml:space="preserve">    四、财政拨款收入支出决算总表</w:t>
      </w:r>
    </w:p>
    <w:p>
      <w:pPr>
        <w:pStyle w:val="12"/>
        <w:adjustRightInd w:val="0"/>
        <w:snapToGrid w:val="0"/>
        <w:spacing w:before="0" w:line="576" w:lineRule="exact"/>
        <w:ind w:firstLine="640" w:firstLineChars="200"/>
        <w:jc w:val="left"/>
        <w:rPr>
          <w:rFonts w:hint="eastAsia" w:ascii="方正仿宋简体" w:eastAsia="方正仿宋简体"/>
          <w:sz w:val="32"/>
        </w:rPr>
      </w:pPr>
      <w:r>
        <w:rPr>
          <w:rFonts w:hint="eastAsia" w:ascii="方正仿宋简体" w:eastAsia="方正仿宋简体"/>
          <w:sz w:val="32"/>
        </w:rPr>
        <w:t xml:space="preserve">    五、财政拨款支出决算明细表</w:t>
      </w:r>
    </w:p>
    <w:p>
      <w:pPr>
        <w:pStyle w:val="12"/>
        <w:adjustRightInd w:val="0"/>
        <w:snapToGrid w:val="0"/>
        <w:spacing w:before="0" w:line="576" w:lineRule="exact"/>
        <w:ind w:firstLine="640" w:firstLineChars="200"/>
        <w:jc w:val="left"/>
        <w:rPr>
          <w:rFonts w:hint="eastAsia" w:ascii="方正仿宋简体" w:eastAsia="方正仿宋简体"/>
          <w:sz w:val="32"/>
        </w:rPr>
      </w:pPr>
      <w:r>
        <w:rPr>
          <w:rFonts w:hint="eastAsia" w:ascii="方正仿宋简体" w:eastAsia="方正仿宋简体"/>
          <w:sz w:val="32"/>
        </w:rPr>
        <w:t xml:space="preserve">    六、一般公共预算财政拨款支出决算表</w:t>
      </w:r>
    </w:p>
    <w:p>
      <w:pPr>
        <w:pStyle w:val="12"/>
        <w:adjustRightInd w:val="0"/>
        <w:snapToGrid w:val="0"/>
        <w:spacing w:before="0" w:line="576" w:lineRule="exact"/>
        <w:ind w:firstLine="640" w:firstLineChars="200"/>
        <w:jc w:val="left"/>
        <w:rPr>
          <w:rFonts w:hint="eastAsia" w:ascii="方正仿宋简体" w:eastAsia="方正仿宋简体"/>
          <w:sz w:val="32"/>
        </w:rPr>
      </w:pPr>
      <w:r>
        <w:rPr>
          <w:rFonts w:hint="eastAsia" w:ascii="方正仿宋简体" w:eastAsia="方正仿宋简体"/>
          <w:sz w:val="32"/>
        </w:rPr>
        <w:t xml:space="preserve">    七、一般公共预算财政拨款支出决算明细表</w:t>
      </w:r>
    </w:p>
    <w:p>
      <w:pPr>
        <w:pStyle w:val="12"/>
        <w:adjustRightInd w:val="0"/>
        <w:snapToGrid w:val="0"/>
        <w:spacing w:before="0" w:line="576" w:lineRule="exact"/>
        <w:ind w:firstLine="640" w:firstLineChars="200"/>
        <w:jc w:val="left"/>
        <w:rPr>
          <w:rFonts w:hint="eastAsia" w:ascii="方正仿宋简体" w:eastAsia="方正仿宋简体"/>
          <w:sz w:val="32"/>
        </w:rPr>
      </w:pPr>
      <w:r>
        <w:rPr>
          <w:rFonts w:hint="eastAsia" w:ascii="方正仿宋简体" w:eastAsia="方正仿宋简体"/>
          <w:sz w:val="32"/>
        </w:rPr>
        <w:t xml:space="preserve">    八、一般公共预算财政拨款基本支出决算表</w:t>
      </w:r>
    </w:p>
    <w:p>
      <w:pPr>
        <w:pStyle w:val="12"/>
        <w:adjustRightInd w:val="0"/>
        <w:snapToGrid w:val="0"/>
        <w:spacing w:before="0" w:line="576" w:lineRule="exact"/>
        <w:ind w:firstLine="640" w:firstLineChars="200"/>
        <w:jc w:val="left"/>
        <w:rPr>
          <w:rFonts w:hint="eastAsia" w:ascii="方正仿宋简体" w:eastAsia="方正仿宋简体"/>
          <w:sz w:val="32"/>
        </w:rPr>
      </w:pPr>
      <w:r>
        <w:rPr>
          <w:rFonts w:hint="eastAsia" w:ascii="方正仿宋简体" w:eastAsia="方正仿宋简体"/>
          <w:sz w:val="32"/>
        </w:rPr>
        <w:t xml:space="preserve">    九、一般公共预算财政拨款项目支出决算表</w:t>
      </w:r>
    </w:p>
    <w:p>
      <w:pPr>
        <w:pStyle w:val="12"/>
        <w:adjustRightInd w:val="0"/>
        <w:snapToGrid w:val="0"/>
        <w:spacing w:before="0" w:line="576" w:lineRule="exact"/>
        <w:ind w:firstLine="640" w:firstLineChars="200"/>
        <w:jc w:val="left"/>
        <w:rPr>
          <w:rFonts w:hint="eastAsia" w:ascii="方正仿宋简体" w:eastAsia="方正仿宋简体"/>
          <w:sz w:val="32"/>
        </w:rPr>
      </w:pPr>
      <w:r>
        <w:rPr>
          <w:rFonts w:hint="eastAsia" w:ascii="方正仿宋简体" w:eastAsia="方正仿宋简体"/>
          <w:sz w:val="32"/>
        </w:rPr>
        <w:t xml:space="preserve">    十、一般公共预算财政拨款“三公”经费支出决算表</w:t>
      </w:r>
    </w:p>
    <w:p>
      <w:pPr>
        <w:pStyle w:val="12"/>
        <w:adjustRightInd w:val="0"/>
        <w:snapToGrid w:val="0"/>
        <w:spacing w:before="0" w:line="576" w:lineRule="exact"/>
        <w:ind w:firstLine="640" w:firstLineChars="200"/>
        <w:jc w:val="left"/>
        <w:rPr>
          <w:rFonts w:hint="eastAsia" w:ascii="方正仿宋简体" w:eastAsia="方正仿宋简体"/>
          <w:sz w:val="32"/>
        </w:rPr>
      </w:pPr>
      <w:r>
        <w:rPr>
          <w:rFonts w:hint="eastAsia" w:ascii="方正仿宋简体" w:eastAsia="方正仿宋简体"/>
          <w:sz w:val="32"/>
        </w:rPr>
        <w:t xml:space="preserve">    十一、政府性基金预算财政拨款收入支出决算表</w:t>
      </w:r>
    </w:p>
    <w:p>
      <w:pPr>
        <w:pStyle w:val="12"/>
        <w:adjustRightInd w:val="0"/>
        <w:snapToGrid w:val="0"/>
        <w:spacing w:before="0" w:line="576" w:lineRule="exact"/>
        <w:ind w:firstLine="640" w:firstLineChars="200"/>
        <w:jc w:val="left"/>
        <w:rPr>
          <w:rFonts w:hint="eastAsia" w:ascii="方正仿宋简体" w:eastAsia="方正仿宋简体"/>
          <w:spacing w:val="-20"/>
          <w:sz w:val="32"/>
        </w:rPr>
      </w:pPr>
      <w:r>
        <w:rPr>
          <w:rFonts w:hint="eastAsia" w:ascii="方正仿宋简体" w:eastAsia="方正仿宋简体"/>
          <w:sz w:val="32"/>
        </w:rPr>
        <w:t xml:space="preserve">    十二、</w:t>
      </w:r>
      <w:r>
        <w:rPr>
          <w:rFonts w:hint="eastAsia" w:ascii="方正仿宋简体" w:eastAsia="方正仿宋简体"/>
          <w:spacing w:val="-20"/>
          <w:sz w:val="32"/>
        </w:rPr>
        <w:t>政府性基金预算财政拨款“三公”经费支出决算表</w:t>
      </w:r>
    </w:p>
    <w:p>
      <w:pPr>
        <w:pStyle w:val="12"/>
        <w:adjustRightInd w:val="0"/>
        <w:snapToGrid w:val="0"/>
        <w:spacing w:before="0" w:line="576" w:lineRule="exact"/>
        <w:ind w:firstLine="640" w:firstLineChars="200"/>
        <w:jc w:val="left"/>
        <w:rPr>
          <w:rFonts w:hint="eastAsia" w:ascii="方正仿宋简体" w:eastAsia="方正仿宋简体"/>
          <w:sz w:val="32"/>
        </w:rPr>
      </w:pPr>
      <w:r>
        <w:rPr>
          <w:rFonts w:hint="eastAsia" w:ascii="方正仿宋简体" w:eastAsia="方正仿宋简体"/>
          <w:sz w:val="32"/>
        </w:rPr>
        <w:t xml:space="preserve">    十三、国有资本经营预算财政拨款收入支出决算表</w:t>
      </w:r>
    </w:p>
    <w:p>
      <w:pPr>
        <w:pStyle w:val="12"/>
        <w:adjustRightInd w:val="0"/>
        <w:snapToGrid w:val="0"/>
        <w:spacing w:before="0" w:line="576" w:lineRule="exact"/>
        <w:ind w:firstLine="640" w:firstLineChars="200"/>
        <w:jc w:val="left"/>
        <w:rPr>
          <w:rFonts w:hint="eastAsia" w:ascii="方正仿宋简体" w:eastAsia="方正仿宋简体"/>
          <w:sz w:val="32"/>
        </w:rPr>
      </w:pPr>
      <w:r>
        <w:rPr>
          <w:rFonts w:hint="eastAsia" w:ascii="方正仿宋简体" w:eastAsia="方正仿宋简体"/>
          <w:sz w:val="32"/>
        </w:rPr>
        <w:t xml:space="preserve">    十四、国有资本经营预算财政拨款支出决算</w:t>
      </w:r>
    </w:p>
    <w:p>
      <w:pPr>
        <w:pStyle w:val="12"/>
        <w:adjustRightInd w:val="0"/>
        <w:snapToGrid w:val="0"/>
        <w:spacing w:before="0" w:line="576" w:lineRule="exact"/>
        <w:ind w:firstLine="640" w:firstLineChars="200"/>
        <w:jc w:val="left"/>
        <w:rPr>
          <w:rFonts w:hint="eastAsia" w:ascii="方正仿宋简体" w:eastAsia="方正仿宋简体"/>
          <w:sz w:val="32"/>
        </w:rPr>
      </w:pPr>
      <w:r>
        <w:rPr>
          <w:rFonts w:hint="eastAsia" w:ascii="方正仿宋简体" w:eastAsia="方正仿宋简体"/>
          <w:sz w:val="32"/>
        </w:rPr>
        <w:t xml:space="preserve">    </w:t>
      </w:r>
      <w:r>
        <w:rPr>
          <w:rFonts w:hint="eastAsia" w:ascii="方正仿宋简体" w:eastAsia="方正仿宋简体"/>
          <w:color w:val="FF0000"/>
          <w:sz w:val="32"/>
        </w:rPr>
        <w:t xml:space="preserve"> (注：请部门根据实际注明页码)</w:t>
      </w:r>
    </w:p>
    <w:p>
      <w:pPr>
        <w:widowControl/>
        <w:ind w:firstLine="1280" w:firstLineChars="400"/>
        <w:jc w:val="left"/>
        <w:rPr>
          <w:rFonts w:ascii="方正仿宋简体" w:hAnsi="仿宋" w:eastAsia="方正仿宋简体"/>
          <w:color w:val="FF0000"/>
          <w:sz w:val="32"/>
        </w:rPr>
      </w:pPr>
      <w:r>
        <w:rPr>
          <w:rFonts w:ascii="方正仿宋简体" w:hAnsi="仿宋" w:eastAsia="方正仿宋简体"/>
          <w:color w:val="FF0000"/>
          <w:sz w:val="32"/>
        </w:rPr>
        <w:br w:type="page"/>
      </w:r>
    </w:p>
    <w:bookmarkEnd w:id="12"/>
    <w:bookmarkEnd w:id="13"/>
    <w:p>
      <w:pPr>
        <w:pStyle w:val="12"/>
        <w:adjustRightInd w:val="0"/>
        <w:snapToGrid w:val="0"/>
        <w:spacing w:before="0" w:line="576" w:lineRule="exact"/>
        <w:rPr>
          <w:rFonts w:hint="eastAsia" w:ascii="方正小标宋简体" w:eastAsia="方正小标宋简体"/>
          <w:sz w:val="44"/>
        </w:rPr>
      </w:pPr>
      <w:r>
        <w:rPr>
          <w:rFonts w:hint="eastAsia" w:ascii="方正小标宋简体" w:eastAsia="方正小标宋简体"/>
          <w:sz w:val="44"/>
        </w:rPr>
        <w:t>第一部分  部门概况</w:t>
      </w:r>
      <w:bookmarkStart w:id="14" w:name="_Toc15396600"/>
      <w:bookmarkStart w:id="15" w:name="_Toc15377197"/>
    </w:p>
    <w:p>
      <w:pPr>
        <w:pStyle w:val="12"/>
        <w:adjustRightInd w:val="0"/>
        <w:snapToGrid w:val="0"/>
        <w:spacing w:before="0" w:line="576" w:lineRule="exact"/>
        <w:jc w:val="left"/>
        <w:rPr>
          <w:rFonts w:hint="eastAsia" w:ascii="方正仿宋简体" w:eastAsia="方正仿宋简体"/>
          <w:sz w:val="32"/>
        </w:rPr>
      </w:pPr>
    </w:p>
    <w:p>
      <w:pPr>
        <w:pStyle w:val="12"/>
        <w:adjustRightInd w:val="0"/>
        <w:snapToGrid w:val="0"/>
        <w:spacing w:before="0" w:line="576" w:lineRule="exact"/>
        <w:jc w:val="left"/>
        <w:rPr>
          <w:rStyle w:val="27"/>
          <w:rFonts w:ascii="方正仿宋简体" w:hAnsi="仿宋" w:eastAsia="方正仿宋简体" w:cs="Times New Roman"/>
          <w:b w:val="0"/>
          <w:bCs w:val="0"/>
          <w:szCs w:val="24"/>
        </w:rPr>
      </w:pPr>
      <w:r>
        <w:rPr>
          <w:rFonts w:hint="eastAsia" w:ascii="黑体" w:hAnsi="黑体" w:eastAsia="黑体"/>
          <w:color w:val="000000"/>
        </w:rPr>
        <w:t xml:space="preserve">    一、基</w:t>
      </w:r>
      <w:r>
        <w:rPr>
          <w:rStyle w:val="27"/>
          <w:rFonts w:hint="eastAsia" w:ascii="黑体" w:hAnsi="黑体" w:eastAsia="黑体"/>
          <w:b w:val="0"/>
          <w:bCs w:val="0"/>
        </w:rPr>
        <w:t>本职能及主要工作</w:t>
      </w:r>
      <w:bookmarkEnd w:id="14"/>
      <w:bookmarkEnd w:id="15"/>
    </w:p>
    <w:p>
      <w:pPr>
        <w:pStyle w:val="7"/>
        <w:adjustRightInd w:val="0"/>
        <w:snapToGrid w:val="0"/>
        <w:spacing w:beforeLines="0" w:line="576" w:lineRule="exact"/>
        <w:ind w:firstLine="672" w:firstLineChars="210"/>
        <w:outlineLvl w:val="2"/>
        <w:rPr>
          <w:rFonts w:hint="eastAsia" w:ascii="方正楷体简体" w:hAnsi="仿宋" w:eastAsia="方正楷体简体"/>
          <w:bCs/>
          <w:color w:val="000000"/>
          <w:sz w:val="32"/>
          <w:szCs w:val="32"/>
        </w:rPr>
      </w:pPr>
      <w:bookmarkStart w:id="16" w:name="_Toc15377198"/>
      <w:bookmarkStart w:id="17" w:name="_Toc15378445"/>
      <w:r>
        <w:rPr>
          <w:rFonts w:hint="eastAsia" w:ascii="方正楷体简体" w:hAnsi="仿宋" w:eastAsia="方正楷体简体"/>
          <w:bCs/>
          <w:color w:val="000000"/>
          <w:sz w:val="32"/>
          <w:szCs w:val="32"/>
        </w:rPr>
        <w:t>（一）主要职能（职能参照区政府批准的三定方案）</w:t>
      </w:r>
      <w:bookmarkEnd w:id="16"/>
      <w:bookmarkEnd w:id="17"/>
    </w:p>
    <w:p>
      <w:pPr>
        <w:spacing w:line="576" w:lineRule="exact"/>
        <w:ind w:firstLine="640" w:firstLineChars="200"/>
        <w:rPr>
          <w:rFonts w:hint="eastAsia" w:ascii="方正仿宋简体" w:eastAsia="方正仿宋简体"/>
          <w:sz w:val="32"/>
          <w:szCs w:val="32"/>
        </w:rPr>
      </w:pPr>
      <w:bookmarkStart w:id="18" w:name="_Toc15378446"/>
      <w:bookmarkStart w:id="19" w:name="_Toc15377199"/>
      <w:r>
        <w:rPr>
          <w:rFonts w:hint="eastAsia" w:ascii="方正仿宋简体" w:eastAsia="方正仿宋简体" w:cs="仿宋_GB2312"/>
          <w:sz w:val="32"/>
          <w:szCs w:val="32"/>
        </w:rPr>
        <w:t>1、执行党和国家的各项方针、政策、法令、法规，在区委、区政府领导下完成各项任务。</w:t>
      </w:r>
    </w:p>
    <w:p>
      <w:pPr>
        <w:spacing w:line="576" w:lineRule="exact"/>
        <w:ind w:firstLine="627" w:firstLineChars="196"/>
        <w:rPr>
          <w:rFonts w:hint="eastAsia" w:ascii="方正仿宋简体" w:eastAsia="方正仿宋简体"/>
          <w:sz w:val="32"/>
          <w:szCs w:val="32"/>
        </w:rPr>
      </w:pPr>
      <w:r>
        <w:rPr>
          <w:rFonts w:hint="eastAsia" w:ascii="方正仿宋简体" w:eastAsia="方正仿宋简体" w:cs="仿宋_GB2312"/>
          <w:sz w:val="32"/>
          <w:szCs w:val="32"/>
        </w:rPr>
        <w:t>2、建设社会主义物质文明和精神文明，以经济建设为中心，发展街道工业以及与居民密切相关的第三产业。</w:t>
      </w:r>
    </w:p>
    <w:p>
      <w:pPr>
        <w:spacing w:line="576" w:lineRule="exact"/>
        <w:ind w:firstLine="627" w:firstLineChars="196"/>
        <w:rPr>
          <w:rFonts w:hint="eastAsia" w:ascii="方正仿宋简体" w:eastAsia="方正仿宋简体"/>
          <w:sz w:val="32"/>
          <w:szCs w:val="32"/>
        </w:rPr>
      </w:pPr>
      <w:r>
        <w:rPr>
          <w:rFonts w:hint="eastAsia" w:ascii="方正仿宋简体" w:eastAsia="方正仿宋简体" w:cs="仿宋_GB2312"/>
          <w:sz w:val="32"/>
          <w:szCs w:val="32"/>
        </w:rPr>
        <w:t>3、负责辖区内的社会治安综合治理，人民调解、法律服务工作，依照有关规定管理外来流动人员。</w:t>
      </w:r>
    </w:p>
    <w:p>
      <w:pPr>
        <w:spacing w:line="576" w:lineRule="exact"/>
        <w:ind w:firstLine="627" w:firstLineChars="196"/>
        <w:rPr>
          <w:rFonts w:hint="eastAsia" w:ascii="方正仿宋简体" w:eastAsia="方正仿宋简体"/>
          <w:sz w:val="32"/>
          <w:szCs w:val="32"/>
        </w:rPr>
      </w:pPr>
      <w:r>
        <w:rPr>
          <w:rFonts w:hint="eastAsia" w:ascii="方正仿宋简体" w:eastAsia="方正仿宋简体" w:cs="仿宋_GB2312"/>
          <w:sz w:val="32"/>
          <w:szCs w:val="32"/>
        </w:rPr>
        <w:t>4、开展社区服务、拥军优属工作，负责社区优抚、社会救济、社会福利、社区文化、科普、体育、教育工作。</w:t>
      </w:r>
    </w:p>
    <w:p>
      <w:pPr>
        <w:spacing w:line="576" w:lineRule="exact"/>
        <w:ind w:firstLine="627" w:firstLineChars="196"/>
        <w:rPr>
          <w:rFonts w:hint="eastAsia" w:ascii="方正仿宋简体" w:eastAsia="方正仿宋简体"/>
          <w:sz w:val="32"/>
          <w:szCs w:val="32"/>
        </w:rPr>
      </w:pPr>
      <w:r>
        <w:rPr>
          <w:rFonts w:hint="eastAsia" w:ascii="方正仿宋简体" w:eastAsia="方正仿宋简体" w:cs="仿宋_GB2312"/>
          <w:sz w:val="32"/>
          <w:szCs w:val="32"/>
        </w:rPr>
        <w:t>5、按照职责范围做好城市建设管理监察、计划生育、爱国卫生、市容环境卫生、环境保护、劳动就业、安全生产等管理工作。</w:t>
      </w:r>
    </w:p>
    <w:p>
      <w:pPr>
        <w:spacing w:line="576" w:lineRule="exact"/>
        <w:ind w:firstLine="627" w:firstLineChars="196"/>
        <w:rPr>
          <w:rFonts w:hint="eastAsia" w:ascii="方正仿宋简体" w:eastAsia="方正仿宋简体"/>
          <w:sz w:val="32"/>
          <w:szCs w:val="32"/>
        </w:rPr>
      </w:pPr>
      <w:r>
        <w:rPr>
          <w:rFonts w:hint="eastAsia" w:ascii="方正仿宋简体" w:eastAsia="方正仿宋简体" w:cs="仿宋_GB2312"/>
          <w:sz w:val="32"/>
          <w:szCs w:val="32"/>
        </w:rPr>
        <w:t>6、配合有关部门做好防汛、防风、防火、防震、抢险和防灾救灾工作。</w:t>
      </w:r>
    </w:p>
    <w:p>
      <w:pPr>
        <w:spacing w:line="576" w:lineRule="exact"/>
        <w:ind w:firstLine="627" w:firstLineChars="196"/>
        <w:rPr>
          <w:rFonts w:hint="eastAsia" w:ascii="方正仿宋简体" w:eastAsia="方正仿宋简体"/>
          <w:sz w:val="32"/>
          <w:szCs w:val="32"/>
        </w:rPr>
      </w:pPr>
      <w:r>
        <w:rPr>
          <w:rFonts w:hint="eastAsia" w:ascii="方正仿宋简体" w:eastAsia="方正仿宋简体" w:cs="仿宋_GB2312"/>
          <w:sz w:val="32"/>
          <w:szCs w:val="32"/>
        </w:rPr>
        <w:t>7、维护老年人、妇女、儿童、青少年和残疾人的合法权益，尊重少数民族的风俗习惯和保障少数民族的权益。</w:t>
      </w:r>
    </w:p>
    <w:p>
      <w:pPr>
        <w:spacing w:line="576" w:lineRule="exact"/>
        <w:ind w:firstLine="627" w:firstLineChars="196"/>
        <w:rPr>
          <w:rFonts w:hint="eastAsia" w:ascii="方正仿宋简体" w:eastAsia="方正仿宋简体"/>
          <w:sz w:val="32"/>
          <w:szCs w:val="32"/>
        </w:rPr>
      </w:pPr>
      <w:r>
        <w:rPr>
          <w:rFonts w:hint="eastAsia" w:ascii="方正仿宋简体" w:eastAsia="方正仿宋简体" w:cs="仿宋_GB2312"/>
          <w:sz w:val="32"/>
          <w:szCs w:val="32"/>
        </w:rPr>
        <w:t>8、指导和帮助村、社区的工作，促进村、社区的依法建设和发挥自我教育、自我管理、自我服务的作用。</w:t>
      </w:r>
    </w:p>
    <w:p>
      <w:pPr>
        <w:spacing w:line="576" w:lineRule="exact"/>
        <w:ind w:firstLine="627" w:firstLineChars="196"/>
        <w:rPr>
          <w:rFonts w:hint="eastAsia" w:ascii="方正仿宋简体" w:eastAsia="方正仿宋简体"/>
          <w:sz w:val="32"/>
          <w:szCs w:val="32"/>
        </w:rPr>
      </w:pPr>
      <w:r>
        <w:rPr>
          <w:rFonts w:hint="eastAsia" w:ascii="方正仿宋简体" w:eastAsia="方正仿宋简体" w:cs="仿宋_GB2312"/>
          <w:sz w:val="32"/>
          <w:szCs w:val="32"/>
        </w:rPr>
        <w:t>9、向市、区人民政府反映群众的意见和要求，办理人民群众的来信来访等事项。</w:t>
      </w:r>
    </w:p>
    <w:p>
      <w:pPr>
        <w:pStyle w:val="7"/>
        <w:adjustRightInd w:val="0"/>
        <w:snapToGrid w:val="0"/>
        <w:spacing w:beforeLines="0" w:line="576" w:lineRule="exact"/>
        <w:ind w:firstLine="672" w:firstLineChars="210"/>
        <w:outlineLvl w:val="2"/>
        <w:rPr>
          <w:rFonts w:hint="eastAsia" w:ascii="方正楷体简体" w:hAnsi="仿宋" w:eastAsia="方正楷体简体"/>
          <w:bCs/>
          <w:color w:val="000000"/>
          <w:sz w:val="32"/>
          <w:szCs w:val="32"/>
        </w:rPr>
      </w:pPr>
      <w:r>
        <w:rPr>
          <w:rFonts w:hint="eastAsia" w:ascii="方正楷体简体" w:hAnsi="仿宋" w:eastAsia="方正楷体简体"/>
          <w:bCs/>
          <w:color w:val="000000"/>
          <w:sz w:val="32"/>
          <w:szCs w:val="32"/>
        </w:rPr>
        <w:t>（二）2020年重点工作完成情况</w:t>
      </w:r>
      <w:bookmarkEnd w:id="18"/>
      <w:bookmarkEnd w:id="19"/>
      <w:r>
        <w:rPr>
          <w:rFonts w:hint="eastAsia" w:ascii="方正楷体简体" w:hAnsi="仿宋" w:eastAsia="方正楷体简体"/>
          <w:bCs/>
          <w:color w:val="000000"/>
          <w:sz w:val="32"/>
          <w:szCs w:val="32"/>
        </w:rPr>
        <w:t>。</w:t>
      </w:r>
      <w:r>
        <w:rPr>
          <w:rFonts w:hint="eastAsia" w:ascii="方正仿宋简体" w:hAnsi="仿宋" w:eastAsia="方正仿宋简体" w:cs="宋体"/>
          <w:bCs/>
          <w:color w:val="000000" w:themeColor="text1"/>
          <w:sz w:val="32"/>
          <w:szCs w:val="32"/>
        </w:rPr>
        <w:t>2020年是中国共产党第一个百年奋斗目标的实现之年，是全面建成小康社会和实施“十三五”规划的收官之年，同时也是万缘街道顺应全省乡镇区划调整改革应运而生，立新开局之年。今年来，万缘街道党工委、办事处带领全体干部职工按照把万缘建成“发展极核、治理样板、宜居新城”的工作思路，克服开局之难、疫情防控、森林防火防汛等各种困难和压力，广泛动员、依靠和带领辖区广大党员干部和人民群众顽强拼搏、真抓实干、奋勇争先，各项工作均取得较好成绩。</w:t>
      </w:r>
    </w:p>
    <w:p>
      <w:pPr>
        <w:spacing w:line="576" w:lineRule="exact"/>
        <w:ind w:firstLine="640" w:firstLineChars="200"/>
        <w:rPr>
          <w:rFonts w:hint="eastAsia" w:ascii="方正仿宋简体" w:hAnsi="华文中宋" w:eastAsia="方正仿宋简体"/>
          <w:bCs/>
          <w:color w:val="000000" w:themeColor="text1"/>
          <w:sz w:val="32"/>
          <w:szCs w:val="32"/>
        </w:rPr>
      </w:pPr>
      <w:r>
        <w:rPr>
          <w:rFonts w:hint="eastAsia" w:ascii="方正楷体简体" w:hAnsi="仿宋" w:eastAsia="方正楷体简体"/>
          <w:bCs/>
          <w:color w:val="000000"/>
          <w:kern w:val="0"/>
          <w:sz w:val="32"/>
          <w:szCs w:val="32"/>
        </w:rPr>
        <w:t>（三）大胆创新，筑牢基层党建堡垒。</w:t>
      </w:r>
      <w:r>
        <w:rPr>
          <w:rFonts w:hint="eastAsia" w:ascii="方正仿宋简体" w:eastAsia="方正仿宋简体"/>
          <w:color w:val="000000" w:themeColor="text1"/>
          <w:sz w:val="32"/>
          <w:szCs w:val="32"/>
        </w:rPr>
        <w:t>深入学习</w:t>
      </w:r>
      <w:r>
        <w:rPr>
          <w:rFonts w:hint="eastAsia" w:ascii="方正仿宋简体" w:eastAsia="方正仿宋简体"/>
          <w:color w:val="000000" w:themeColor="text1"/>
          <w:sz w:val="32"/>
          <w:szCs w:val="32"/>
          <w:lang w:eastAsia="zh-CN"/>
        </w:rPr>
        <w:t>贯彻</w:t>
      </w:r>
      <w:r>
        <w:rPr>
          <w:rFonts w:hint="eastAsia" w:ascii="方正仿宋简体" w:eastAsia="方正仿宋简体"/>
          <w:color w:val="000000" w:themeColor="text1"/>
          <w:sz w:val="32"/>
          <w:szCs w:val="32"/>
        </w:rPr>
        <w:t>习近平新时代中国特色社会主义思想</w:t>
      </w:r>
      <w:r>
        <w:rPr>
          <w:rFonts w:hint="eastAsia" w:ascii="方正仿宋简体" w:eastAsia="方正仿宋简体"/>
          <w:color w:val="000000" w:themeColor="text1"/>
          <w:sz w:val="32"/>
          <w:szCs w:val="32"/>
          <w:lang w:eastAsia="zh-CN"/>
        </w:rPr>
        <w:t>和党的十九大精神</w:t>
      </w:r>
      <w:r>
        <w:rPr>
          <w:rFonts w:hint="eastAsia" w:ascii="方正仿宋简体" w:eastAsia="方正仿宋简体"/>
          <w:color w:val="000000" w:themeColor="text1"/>
          <w:sz w:val="32"/>
          <w:szCs w:val="32"/>
        </w:rPr>
        <w:t>，</w:t>
      </w:r>
      <w:r>
        <w:rPr>
          <w:rFonts w:hint="eastAsia" w:ascii="方正仿宋简体" w:hAnsi="仿宋" w:eastAsia="方正仿宋简体" w:cs="宋体"/>
          <w:bCs/>
          <w:color w:val="000000" w:themeColor="text1"/>
          <w:kern w:val="0"/>
          <w:sz w:val="32"/>
          <w:szCs w:val="32"/>
        </w:rPr>
        <w:t>认真开展“不忘初心</w:t>
      </w:r>
      <w:r>
        <w:rPr>
          <w:rFonts w:hint="eastAsia" w:ascii="方正仿宋简体" w:hAnsi="仿宋" w:eastAsia="方正仿宋简体" w:cs="宋体"/>
          <w:bCs/>
          <w:color w:val="000000" w:themeColor="text1"/>
          <w:kern w:val="0"/>
          <w:sz w:val="32"/>
          <w:szCs w:val="32"/>
          <w:lang w:eastAsia="zh-CN"/>
        </w:rPr>
        <w:t>、</w:t>
      </w:r>
      <w:r>
        <w:rPr>
          <w:rFonts w:hint="eastAsia" w:ascii="方正仿宋简体" w:hAnsi="仿宋" w:eastAsia="方正仿宋简体" w:cs="宋体"/>
          <w:bCs/>
          <w:color w:val="000000" w:themeColor="text1"/>
          <w:kern w:val="0"/>
          <w:sz w:val="32"/>
          <w:szCs w:val="32"/>
        </w:rPr>
        <w:t>牢记使命”主题教育，</w:t>
      </w:r>
      <w:r>
        <w:rPr>
          <w:rFonts w:hint="eastAsia" w:ascii="方正仿宋简体" w:eastAsia="方正仿宋简体"/>
          <w:color w:val="000000" w:themeColor="text1"/>
          <w:sz w:val="32"/>
          <w:szCs w:val="32"/>
        </w:rPr>
        <w:t>深入推进软弱涣散基层党组织整顿，以组织生活会、“三会一课”等严肃党内政治生活，强化党员干部先锋意识。突出抓好城市党建、两新党建，</w:t>
      </w:r>
      <w:r>
        <w:rPr>
          <w:rFonts w:hint="eastAsia" w:ascii="方正仿宋简体" w:hAnsi="仿宋_GB2312" w:eastAsia="方正仿宋简体" w:cs="仿宋_GB2312"/>
          <w:color w:val="000000" w:themeColor="text1"/>
          <w:sz w:val="32"/>
          <w:szCs w:val="32"/>
        </w:rPr>
        <w:t>以党支部为引领推动小区发展。如以南岸阳光、托斯卡纳为试点，打造红色小区。</w:t>
      </w:r>
      <w:r>
        <w:rPr>
          <w:rFonts w:hint="eastAsia" w:ascii="方正仿宋简体" w:hAnsi="仿宋_GB2312" w:eastAsia="方正仿宋简体" w:cs="仿宋_GB2312"/>
          <w:bCs/>
          <w:sz w:val="32"/>
          <w:szCs w:val="32"/>
        </w:rPr>
        <w:t>今年共培养积极分子3名，发展预备党员3名，转正党员5名。</w:t>
      </w:r>
    </w:p>
    <w:p>
      <w:pPr>
        <w:spacing w:line="576" w:lineRule="exact"/>
        <w:ind w:firstLine="640" w:firstLineChars="200"/>
        <w:rPr>
          <w:rFonts w:hint="eastAsia" w:ascii="方正仿宋简体" w:hAnsi="华文中宋" w:eastAsia="方正仿宋简体"/>
          <w:bCs/>
          <w:color w:val="000000" w:themeColor="text1"/>
          <w:sz w:val="32"/>
          <w:szCs w:val="32"/>
        </w:rPr>
      </w:pPr>
      <w:r>
        <w:rPr>
          <w:rFonts w:hint="eastAsia" w:ascii="方正楷体简体" w:hAnsi="仿宋" w:eastAsia="方正楷体简体"/>
          <w:bCs/>
          <w:color w:val="000000"/>
          <w:kern w:val="0"/>
          <w:sz w:val="32"/>
          <w:szCs w:val="32"/>
        </w:rPr>
        <w:t>（四）深化认识，高度重视意识形态。</w:t>
      </w:r>
      <w:r>
        <w:rPr>
          <w:rFonts w:hint="eastAsia" w:ascii="方正仿宋简体" w:hAnsi="仿宋_GB2312" w:eastAsia="方正仿宋简体" w:cs="仿宋_GB2312"/>
          <w:b/>
          <w:bCs/>
          <w:color w:val="000000" w:themeColor="text1"/>
          <w:sz w:val="32"/>
          <w:szCs w:val="32"/>
        </w:rPr>
        <w:t>一是</w:t>
      </w:r>
      <w:r>
        <w:rPr>
          <w:rFonts w:hint="eastAsia" w:ascii="方正仿宋简体" w:hAnsi="仿宋_GB2312" w:eastAsia="方正仿宋简体" w:cs="仿宋_GB2312"/>
          <w:color w:val="000000" w:themeColor="text1"/>
          <w:sz w:val="32"/>
          <w:szCs w:val="32"/>
        </w:rPr>
        <w:t>加强思想政治引领，把学习贯彻党的十九大精神、习近平新时代中国特色社会主义思想作为首要政治任务，全年共召开4次党工委会议，专题研究意识形态工作。</w:t>
      </w:r>
      <w:r>
        <w:rPr>
          <w:rFonts w:hint="eastAsia" w:ascii="方正仿宋简体" w:hAnsi="仿宋_GB2312" w:eastAsia="方正仿宋简体" w:cs="仿宋_GB2312"/>
          <w:b/>
          <w:bCs/>
          <w:color w:val="000000" w:themeColor="text1"/>
          <w:sz w:val="32"/>
          <w:szCs w:val="32"/>
        </w:rPr>
        <w:t>二是</w:t>
      </w:r>
      <w:r>
        <w:rPr>
          <w:rFonts w:hint="eastAsia" w:ascii="方正仿宋简体" w:hAnsi="仿宋_GB2312" w:eastAsia="方正仿宋简体" w:cs="仿宋_GB2312"/>
          <w:color w:val="000000" w:themeColor="text1"/>
          <w:sz w:val="32"/>
          <w:szCs w:val="32"/>
        </w:rPr>
        <w:t>以“网格制”严格落实意识形态工作责任制，用习近平新时代中国特色社会主义思想武装全党、教育群众。</w:t>
      </w:r>
      <w:r>
        <w:rPr>
          <w:rFonts w:hint="eastAsia" w:ascii="方正仿宋简体" w:hAnsi="仿宋_GB2312" w:eastAsia="方正仿宋简体" w:cs="仿宋_GB2312"/>
          <w:b/>
          <w:bCs/>
          <w:color w:val="000000" w:themeColor="text1"/>
          <w:sz w:val="32"/>
          <w:szCs w:val="32"/>
        </w:rPr>
        <w:t>三是</w:t>
      </w:r>
      <w:r>
        <w:rPr>
          <w:rFonts w:hint="eastAsia" w:ascii="方正仿宋简体" w:hAnsi="仿宋_GB2312" w:eastAsia="方正仿宋简体" w:cs="仿宋_GB2312"/>
          <w:color w:val="000000" w:themeColor="text1"/>
          <w:sz w:val="32"/>
          <w:szCs w:val="32"/>
        </w:rPr>
        <w:t>加强网络意识形态阵地管控，以”万缘发布”公众号为平台，壮大网上正能量，牢牢掌握网上舆论工作主动权。</w:t>
      </w:r>
      <w:r>
        <w:rPr>
          <w:rFonts w:hint="eastAsia" w:ascii="方正仿宋简体" w:hAnsi="仿宋_GB2312" w:eastAsia="方正仿宋简体" w:cs="仿宋_GB2312"/>
          <w:b/>
          <w:bCs/>
          <w:color w:val="000000" w:themeColor="text1"/>
          <w:sz w:val="32"/>
          <w:szCs w:val="32"/>
        </w:rPr>
        <w:t>四是</w:t>
      </w:r>
      <w:r>
        <w:rPr>
          <w:rFonts w:hint="eastAsia" w:ascii="方正仿宋简体" w:hAnsi="仿宋_GB2312" w:eastAsia="方正仿宋简体" w:cs="仿宋_GB2312"/>
          <w:color w:val="000000" w:themeColor="text1"/>
          <w:sz w:val="32"/>
          <w:szCs w:val="32"/>
        </w:rPr>
        <w:t>加强意识形态领域工作队伍建设，组建宣讲员队伍和文化志愿者队伍，广泛开展领导干部和百姓微宣讲、参与服务基层文化建设和群众文化活动。</w:t>
      </w:r>
    </w:p>
    <w:p>
      <w:pPr>
        <w:shd w:val="clear" w:color="auto" w:fill="FFFFFF"/>
        <w:spacing w:line="576" w:lineRule="exact"/>
        <w:ind w:firstLine="640" w:firstLineChars="200"/>
        <w:rPr>
          <w:rFonts w:hint="eastAsia" w:ascii="方正仿宋简体" w:hAnsi="仿宋_GB2312" w:eastAsia="方正仿宋简体" w:cs="仿宋_GB2312"/>
          <w:color w:val="000000" w:themeColor="text1"/>
          <w:sz w:val="32"/>
          <w:szCs w:val="32"/>
        </w:rPr>
      </w:pPr>
      <w:r>
        <w:rPr>
          <w:rFonts w:hint="eastAsia" w:ascii="方正楷体简体" w:hAnsi="仿宋" w:eastAsia="方正楷体简体"/>
          <w:bCs/>
          <w:color w:val="000000"/>
          <w:kern w:val="0"/>
          <w:sz w:val="32"/>
          <w:szCs w:val="32"/>
        </w:rPr>
        <w:t>（五）正风肃纪，扎实开展党风廉政建设。</w:t>
      </w:r>
      <w:r>
        <w:rPr>
          <w:rFonts w:hint="eastAsia" w:ascii="方正仿宋简体" w:hAnsi="仿宋_GB2312" w:eastAsia="方正仿宋简体" w:cs="仿宋_GB2312"/>
          <w:color w:val="000000" w:themeColor="text1"/>
          <w:sz w:val="32"/>
          <w:szCs w:val="32"/>
        </w:rPr>
        <w:t>进一步完善了全面从严治党“三张清单”，厘清了党工委管党治党主体责任、书记第一责、班子成员“一岗双责”。制定了《机关干部管理考核办法》和《科级干部一岗多责制度》。全年专题研究党风廉政3次，召开警示教育大会3次，开展监督检查21次，对存在“四风”苗头问题的4名党员干部进行了警示谈话，处理党员干部信访9起，党纪处分2人、诫勉谈话6人、提醒谈话2人。</w:t>
      </w:r>
    </w:p>
    <w:p>
      <w:pPr>
        <w:spacing w:line="576" w:lineRule="exact"/>
        <w:ind w:firstLine="640" w:firstLineChars="200"/>
        <w:rPr>
          <w:rFonts w:hint="eastAsia" w:ascii="方正仿宋简体" w:hAnsi="仿宋" w:eastAsia="方正仿宋简体" w:cs="黑体"/>
          <w:bCs/>
          <w:color w:val="000000" w:themeColor="text1"/>
          <w:kern w:val="0"/>
          <w:sz w:val="32"/>
          <w:szCs w:val="32"/>
        </w:rPr>
      </w:pPr>
      <w:r>
        <w:rPr>
          <w:rFonts w:hint="eastAsia" w:ascii="方正楷体简体" w:hAnsi="仿宋" w:eastAsia="方正楷体简体"/>
          <w:bCs/>
          <w:color w:val="000000"/>
          <w:kern w:val="0"/>
          <w:sz w:val="32"/>
          <w:szCs w:val="32"/>
        </w:rPr>
        <w:t>（六）深化加强，稳步实施精准脱贫。</w:t>
      </w:r>
      <w:r>
        <w:rPr>
          <w:rFonts w:hint="eastAsia" w:ascii="方正仿宋简体" w:hAnsi="仿宋_GB2312" w:eastAsia="方正仿宋简体" w:cs="仿宋_GB2312"/>
          <w:color w:val="000000" w:themeColor="text1"/>
          <w:sz w:val="32"/>
          <w:szCs w:val="32"/>
          <w:shd w:val="clear" w:color="auto" w:fill="FFFFFF"/>
        </w:rPr>
        <w:t>为确保各项扶贫政策的落实，进一步巩固脱贫成果。按照脱贫攻坚“百日攻坚”，巩固提升“两不愁三保障”脱贫成果，持续开展落实帮扶措施。2020年我办安排人员到户产业扶持资金共11.4万元；累计发放小额扶贫贷款19户（已还4户），贷款余额59.86万元，支持发展商贸、种养等产业；认真开展“百日攻坚”总复习三轮问题大排查工作，户排查问题共3个，已及时解决。我办为贫困户李再奇介绍工作，解决了受疫情的影响就业难的问题，按期按时全部完成了整改清零目标。通过梳理、各级考核、检查、督查、审计、自查等反馈问题整改到位，实现了清零目标。</w:t>
      </w:r>
    </w:p>
    <w:p>
      <w:pPr>
        <w:shd w:val="clear" w:color="auto" w:fill="FFFFFF"/>
        <w:spacing w:line="576" w:lineRule="exact"/>
        <w:ind w:firstLine="640" w:firstLineChars="200"/>
        <w:rPr>
          <w:rFonts w:hint="eastAsia" w:ascii="方正仿宋简体" w:hAnsi="宋体" w:eastAsia="方正仿宋简体" w:cs="宋体"/>
          <w:color w:val="000000" w:themeColor="text1"/>
          <w:kern w:val="0"/>
          <w:sz w:val="24"/>
        </w:rPr>
      </w:pPr>
      <w:r>
        <w:rPr>
          <w:rFonts w:hint="eastAsia" w:ascii="方正楷体简体" w:hAnsi="仿宋" w:eastAsia="方正楷体简体"/>
          <w:bCs/>
          <w:color w:val="000000"/>
          <w:kern w:val="0"/>
          <w:sz w:val="32"/>
          <w:szCs w:val="32"/>
        </w:rPr>
        <w:t>（七）真抓实管，切实加强</w:t>
      </w:r>
      <w:r>
        <w:rPr>
          <w:rFonts w:hint="eastAsia" w:ascii="方正楷体简体" w:hAnsi="仿宋" w:eastAsia="方正楷体简体"/>
          <w:bCs/>
          <w:color w:val="000000"/>
          <w:kern w:val="0"/>
          <w:sz w:val="32"/>
          <w:szCs w:val="32"/>
          <w:lang w:eastAsia="zh-CN"/>
        </w:rPr>
        <w:t>环保督察</w:t>
      </w:r>
      <w:r>
        <w:rPr>
          <w:rFonts w:hint="eastAsia" w:ascii="方正楷体简体" w:hAnsi="仿宋" w:eastAsia="方正楷体简体"/>
          <w:bCs/>
          <w:color w:val="000000"/>
          <w:kern w:val="0"/>
          <w:sz w:val="32"/>
          <w:szCs w:val="32"/>
        </w:rPr>
        <w:t>整治。</w:t>
      </w:r>
      <w:r>
        <w:rPr>
          <w:rFonts w:hint="eastAsia" w:ascii="方正仿宋简体" w:eastAsia="方正仿宋简体"/>
          <w:b/>
          <w:color w:val="000000" w:themeColor="text1"/>
          <w:sz w:val="32"/>
          <w:szCs w:val="32"/>
        </w:rPr>
        <w:t>一是落实工作责任。</w:t>
      </w:r>
      <w:r>
        <w:rPr>
          <w:rFonts w:hint="eastAsia" w:ascii="方正仿宋简体" w:eastAsia="方正仿宋简体"/>
          <w:color w:val="000000" w:themeColor="text1"/>
          <w:sz w:val="32"/>
          <w:szCs w:val="32"/>
        </w:rPr>
        <w:t>按职能条块分成的九大督查组，建好环保台账,常态化开展督导检查。</w:t>
      </w:r>
      <w:r>
        <w:rPr>
          <w:rFonts w:hint="eastAsia" w:ascii="方正仿宋简体" w:eastAsia="方正仿宋简体"/>
          <w:b/>
          <w:color w:val="000000" w:themeColor="text1"/>
          <w:sz w:val="32"/>
          <w:szCs w:val="32"/>
        </w:rPr>
        <w:t>二是重点监控环保黑点。</w:t>
      </w:r>
      <w:r>
        <w:rPr>
          <w:rFonts w:hint="eastAsia" w:ascii="方正仿宋简体" w:eastAsia="方正仿宋简体"/>
          <w:color w:val="000000" w:themeColor="text1"/>
          <w:sz w:val="32"/>
          <w:szCs w:val="32"/>
        </w:rPr>
        <w:t>针对环保黑点开展整治，做好巡查、督查，坚决杜绝环保案件的发生。</w:t>
      </w:r>
      <w:r>
        <w:rPr>
          <w:rFonts w:hint="eastAsia" w:ascii="方正仿宋简体" w:eastAsia="方正仿宋简体"/>
          <w:b/>
          <w:color w:val="000000" w:themeColor="text1"/>
          <w:sz w:val="32"/>
          <w:szCs w:val="32"/>
        </w:rPr>
        <w:t>三是多种形式开展环保教育。</w:t>
      </w:r>
      <w:r>
        <w:rPr>
          <w:rFonts w:hint="eastAsia" w:ascii="方正仿宋简体" w:eastAsia="方正仿宋简体"/>
          <w:color w:val="000000" w:themeColor="text1"/>
          <w:sz w:val="32"/>
          <w:szCs w:val="32"/>
        </w:rPr>
        <w:t>采取微信公众号平台、直联、党员联系户等方式，牢树 “绿水青山就是金山银山”的发展理念。2020年，我街道没有发生较大的环保案件，环保整治取得重大成效。</w:t>
      </w:r>
    </w:p>
    <w:p>
      <w:pPr>
        <w:shd w:val="clear" w:color="auto" w:fill="FFFFFF"/>
        <w:spacing w:line="576" w:lineRule="exact"/>
        <w:ind w:firstLine="640" w:firstLineChars="200"/>
        <w:rPr>
          <w:rFonts w:hint="eastAsia" w:ascii="方正仿宋简体" w:eastAsia="方正仿宋简体"/>
          <w:color w:val="000000" w:themeColor="text1"/>
          <w:sz w:val="32"/>
          <w:szCs w:val="32"/>
        </w:rPr>
      </w:pPr>
      <w:r>
        <w:rPr>
          <w:rFonts w:hint="eastAsia" w:ascii="方正楷体简体" w:hAnsi="仿宋" w:eastAsia="方正楷体简体"/>
          <w:bCs/>
          <w:color w:val="000000"/>
          <w:kern w:val="0"/>
          <w:sz w:val="32"/>
          <w:szCs w:val="32"/>
        </w:rPr>
        <w:t>（八）综合施策，全力推进禁毒工作。</w:t>
      </w:r>
      <w:r>
        <w:rPr>
          <w:rFonts w:hint="eastAsia" w:ascii="方正仿宋简体" w:eastAsia="方正仿宋简体"/>
          <w:color w:val="000000" w:themeColor="text1"/>
          <w:sz w:val="32"/>
          <w:szCs w:val="32"/>
        </w:rPr>
        <w:t>我办制定禁毒工作领导小组、工作方案等，多次召开禁毒工作会议。多次组织网格员摸排辖区内的各个居民小区及重点场所、土地种植等情况，排查我辖区种毒、制毒、吸毒等情况。在“6.26”国际禁毒日，组织各机关单位，村（社区）等人员在法治广场开展禁毒宣传工作。</w:t>
      </w:r>
    </w:p>
    <w:p>
      <w:pPr>
        <w:spacing w:line="576" w:lineRule="exact"/>
        <w:ind w:firstLine="640" w:firstLineChars="200"/>
        <w:rPr>
          <w:rFonts w:hint="eastAsia" w:ascii="方正仿宋简体" w:eastAsia="方正仿宋简体"/>
          <w:color w:val="000000" w:themeColor="text1"/>
          <w:sz w:val="32"/>
          <w:szCs w:val="32"/>
        </w:rPr>
      </w:pPr>
      <w:r>
        <w:rPr>
          <w:rFonts w:hint="eastAsia" w:ascii="方正楷体简体" w:hAnsi="仿宋" w:eastAsia="方正楷体简体"/>
          <w:bCs/>
          <w:color w:val="000000"/>
          <w:kern w:val="0"/>
          <w:sz w:val="32"/>
          <w:szCs w:val="32"/>
        </w:rPr>
        <w:t>（九）精心部署，全力推进社会稳定。</w:t>
      </w:r>
      <w:r>
        <w:rPr>
          <w:rFonts w:hint="eastAsia" w:ascii="方正仿宋简体" w:eastAsia="方正仿宋简体"/>
          <w:color w:val="000000" w:themeColor="text1"/>
          <w:sz w:val="32"/>
          <w:szCs w:val="32"/>
        </w:rPr>
        <w:t>为了排查安全隐患，维护社会稳定。我办实行不稳定因素及时上报制度，并在本年度多次排查我辖区安全隐患及不稳定人员，建立不稳定因素工作台账。截至2020年，我办共排查出安全隐患8起，不稳定人员19人，并对严重不稳定的4人实行“四包一”方案，把责任落实到个人。在2020年，我办共维护稳定14次，并在全国、省、市两会期间全程维稳，确保不发生进京赴省的信访行为。</w:t>
      </w:r>
    </w:p>
    <w:p>
      <w:pPr>
        <w:spacing w:line="576" w:lineRule="exact"/>
        <w:ind w:firstLine="640" w:firstLineChars="200"/>
        <w:rPr>
          <w:rFonts w:hint="eastAsia" w:ascii="方正仿宋简体" w:eastAsia="方正仿宋简体"/>
          <w:color w:val="000000" w:themeColor="text1"/>
          <w:sz w:val="32"/>
          <w:szCs w:val="32"/>
        </w:rPr>
      </w:pPr>
      <w:r>
        <w:rPr>
          <w:rFonts w:hint="eastAsia" w:ascii="方正楷体简体" w:hAnsi="仿宋" w:eastAsia="方正楷体简体"/>
          <w:bCs/>
          <w:color w:val="000000"/>
          <w:kern w:val="0"/>
          <w:sz w:val="32"/>
          <w:szCs w:val="32"/>
        </w:rPr>
        <w:t>（十）统筹推进，依法治理再上台阶。</w:t>
      </w:r>
      <w:r>
        <w:rPr>
          <w:rFonts w:hint="eastAsia" w:ascii="方正仿宋简体" w:eastAsia="方正仿宋简体"/>
          <w:color w:val="000000" w:themeColor="text1"/>
          <w:sz w:val="32"/>
          <w:szCs w:val="32"/>
        </w:rPr>
        <w:t>一是我办制定依法治理工作领导小组、工作方案等。并下村（社区）开展普法工作。二是在法治广场开展防电信诈骗活动，给未成年人做普法工作，关爱保护未成年人。三是开展“法律进社区”活动，宣讲民法典。</w:t>
      </w:r>
    </w:p>
    <w:p>
      <w:pPr>
        <w:spacing w:line="576" w:lineRule="exact"/>
        <w:ind w:firstLine="640" w:firstLineChars="200"/>
        <w:rPr>
          <w:rFonts w:hint="eastAsia" w:ascii="方正仿宋简体" w:hAnsi="仿宋_GB2312" w:eastAsia="方正仿宋简体" w:cs="仿宋_GB2312"/>
          <w:color w:val="000000" w:themeColor="text1"/>
          <w:sz w:val="32"/>
          <w:szCs w:val="32"/>
        </w:rPr>
      </w:pPr>
      <w:r>
        <w:rPr>
          <w:rFonts w:hint="eastAsia" w:ascii="方正楷体简体" w:hAnsi="仿宋" w:eastAsia="方正楷体简体"/>
          <w:bCs/>
          <w:color w:val="000000"/>
          <w:kern w:val="0"/>
          <w:sz w:val="32"/>
          <w:szCs w:val="32"/>
        </w:rPr>
        <w:t>（十一）集中精力，大力推进重点项目。</w:t>
      </w:r>
      <w:r>
        <w:rPr>
          <w:rFonts w:hint="eastAsia" w:ascii="方正仿宋简体" w:eastAsia="方正仿宋简体"/>
          <w:color w:val="000000" w:themeColor="text1"/>
          <w:sz w:val="32"/>
          <w:szCs w:val="32"/>
        </w:rPr>
        <w:t>集中街道精干力量，大力推进市重点项目的征地拆迁工作。</w:t>
      </w:r>
      <w:r>
        <w:rPr>
          <w:rFonts w:hint="eastAsia" w:ascii="方正仿宋简体" w:hAnsi="仿宋_GB2312" w:eastAsia="方正仿宋简体" w:cs="仿宋_GB2312"/>
          <w:color w:val="000000" w:themeColor="text1"/>
          <w:sz w:val="32"/>
          <w:szCs w:val="32"/>
        </w:rPr>
        <w:t>全年新启动实施项目8个，续建项目8个，</w:t>
      </w:r>
      <w:r>
        <w:rPr>
          <w:rFonts w:hint="eastAsia" w:ascii="方正仿宋简体" w:eastAsia="方正仿宋简体"/>
          <w:color w:val="000000" w:themeColor="text1"/>
          <w:sz w:val="32"/>
          <w:szCs w:val="32"/>
        </w:rPr>
        <w:t>全年共征地214.25亩，补偿83万余元，房屋</w:t>
      </w:r>
      <w:r>
        <w:rPr>
          <w:rFonts w:hint="eastAsia" w:ascii="方正仿宋简体" w:hAnsi="仿宋_GB2312" w:eastAsia="方正仿宋简体" w:cs="仿宋_GB2312"/>
          <w:color w:val="000000" w:themeColor="text1"/>
          <w:sz w:val="32"/>
          <w:szCs w:val="32"/>
        </w:rPr>
        <w:t>清收71户1000余万元，搬迁坟茔103座。</w:t>
      </w:r>
    </w:p>
    <w:p>
      <w:pPr>
        <w:spacing w:line="576" w:lineRule="exact"/>
        <w:ind w:firstLine="640" w:firstLineChars="200"/>
        <w:rPr>
          <w:rFonts w:hint="eastAsia" w:ascii="方正仿宋简体" w:hAnsi="仿宋_GB2312" w:eastAsia="方正仿宋简体" w:cs="仿宋_GB2312"/>
          <w:color w:val="000000" w:themeColor="text1"/>
          <w:sz w:val="32"/>
          <w:szCs w:val="32"/>
        </w:rPr>
      </w:pPr>
      <w:r>
        <w:rPr>
          <w:rFonts w:hint="eastAsia" w:ascii="方正楷体简体" w:hAnsi="仿宋" w:eastAsia="方正楷体简体"/>
          <w:bCs/>
          <w:color w:val="000000"/>
          <w:kern w:val="0"/>
          <w:sz w:val="32"/>
          <w:szCs w:val="32"/>
        </w:rPr>
        <w:t>（十二）精心组织，经济体量持续壮大。</w:t>
      </w:r>
      <w:r>
        <w:rPr>
          <w:rFonts w:hint="eastAsia" w:ascii="方正仿宋简体" w:eastAsia="方正仿宋简体"/>
          <w:color w:val="000000" w:themeColor="text1"/>
          <w:sz w:val="32"/>
          <w:szCs w:val="32"/>
        </w:rPr>
        <w:t>全年地区生产总值增速目标5.6%，1-9月份地区生产总值</w:t>
      </w:r>
      <w:r>
        <w:rPr>
          <w:rFonts w:hint="eastAsia" w:ascii="方正仿宋简体" w:eastAsia="方正仿宋简体"/>
          <w:sz w:val="32"/>
          <w:szCs w:val="32"/>
        </w:rPr>
        <w:t>增速</w:t>
      </w:r>
      <w:r>
        <w:rPr>
          <w:rFonts w:hint="eastAsia" w:ascii="方正仿宋简体" w:eastAsia="方正仿宋简体"/>
          <w:color w:val="000000"/>
          <w:sz w:val="32"/>
          <w:szCs w:val="32"/>
        </w:rPr>
        <w:t>2.6%。</w:t>
      </w:r>
      <w:r>
        <w:rPr>
          <w:rFonts w:hint="eastAsia" w:ascii="方正仿宋简体" w:hAnsi="宋体" w:eastAsia="方正仿宋简体" w:cs="宋体"/>
          <w:sz w:val="32"/>
          <w:szCs w:val="32"/>
        </w:rPr>
        <w:t>年城镇居民人均可支配收入全年目标增速</w:t>
      </w:r>
      <w:r>
        <w:rPr>
          <w:rFonts w:hint="eastAsia" w:ascii="方正仿宋简体" w:hAnsi="宋体" w:eastAsia="方正仿宋简体" w:cs="宋体"/>
          <w:color w:val="000000"/>
          <w:sz w:val="32"/>
          <w:szCs w:val="32"/>
        </w:rPr>
        <w:t>9.2%，1-9月实际增速6.6%。农村居民人均可支配收入全年目标增速9.0%，1-9月实际增速9.2%。</w:t>
      </w:r>
      <w:r>
        <w:rPr>
          <w:rFonts w:hint="eastAsia" w:ascii="方正仿宋简体" w:eastAsia="方正仿宋简体"/>
          <w:sz w:val="32"/>
          <w:szCs w:val="32"/>
        </w:rPr>
        <w:t>1-10月固定资产投资完成16.8198亿元，完成目标比例的86.7%，其中区本级固定资产投资完成8.312亿元，完成目标任务比例的103.9%，基本完成全年目标任务。</w:t>
      </w:r>
    </w:p>
    <w:p>
      <w:pPr>
        <w:spacing w:line="576" w:lineRule="exact"/>
        <w:ind w:firstLine="640" w:firstLineChars="200"/>
        <w:rPr>
          <w:rFonts w:hint="eastAsia" w:ascii="方正仿宋简体" w:eastAsia="方正仿宋简体"/>
          <w:sz w:val="32"/>
          <w:szCs w:val="32"/>
        </w:rPr>
      </w:pPr>
      <w:r>
        <w:rPr>
          <w:rFonts w:hint="eastAsia" w:ascii="方正楷体简体" w:hAnsi="仿宋" w:eastAsia="方正楷体简体"/>
          <w:bCs/>
          <w:color w:val="000000"/>
          <w:kern w:val="0"/>
          <w:sz w:val="32"/>
          <w:szCs w:val="32"/>
        </w:rPr>
        <w:t>（十三）科学谋划，产业结构不断优化。</w:t>
      </w:r>
      <w:r>
        <w:rPr>
          <w:rFonts w:hint="eastAsia" w:ascii="方正仿宋简体" w:eastAsia="方正仿宋简体"/>
          <w:sz w:val="32"/>
          <w:szCs w:val="32"/>
        </w:rPr>
        <w:t>全力推进脱贫攻坚与乡村振兴的有效衔接，提高农民整体素质为出发点，深入推进农民工返乡创业，大力发展和培育特色产业，丰富推广农民农业新技术，依托辖区地理和产业优势，大力推进农旅产业融合发展，依托农家乐、万和村梨园等平台着力打造万缘新亮点。</w:t>
      </w:r>
    </w:p>
    <w:p>
      <w:pPr>
        <w:shd w:val="clear" w:color="auto" w:fill="FFFFFF"/>
        <w:spacing w:line="576" w:lineRule="exact"/>
        <w:ind w:firstLine="640" w:firstLineChars="200"/>
        <w:rPr>
          <w:rFonts w:hint="eastAsia" w:ascii="方正楷体简体" w:hAnsi="仿宋" w:eastAsia="方正楷体简体"/>
          <w:bCs/>
          <w:color w:val="000000"/>
          <w:kern w:val="0"/>
          <w:sz w:val="32"/>
          <w:szCs w:val="32"/>
        </w:rPr>
      </w:pPr>
      <w:r>
        <w:rPr>
          <w:rFonts w:hint="eastAsia" w:ascii="方正楷体简体" w:hAnsi="仿宋" w:eastAsia="方正楷体简体"/>
          <w:bCs/>
          <w:color w:val="000000"/>
          <w:kern w:val="0"/>
          <w:sz w:val="32"/>
          <w:szCs w:val="32"/>
        </w:rPr>
        <w:t>（十四）社会各项工作协调发展</w:t>
      </w:r>
    </w:p>
    <w:p>
      <w:pPr>
        <w:spacing w:line="576" w:lineRule="exact"/>
        <w:ind w:firstLine="642" w:firstLineChars="200"/>
        <w:rPr>
          <w:rFonts w:hint="eastAsia" w:ascii="方正仿宋简体" w:eastAsia="方正仿宋简体"/>
          <w:color w:val="000000" w:themeColor="text1"/>
          <w:sz w:val="32"/>
          <w:szCs w:val="32"/>
        </w:rPr>
      </w:pPr>
      <w:r>
        <w:rPr>
          <w:rFonts w:hint="eastAsia" w:ascii="方正仿宋简体" w:hAnsi="仿宋" w:eastAsia="方正仿宋简体" w:cs="宋体"/>
          <w:b/>
          <w:color w:val="000000" w:themeColor="text1"/>
          <w:kern w:val="0"/>
          <w:sz w:val="32"/>
          <w:szCs w:val="32"/>
        </w:rPr>
        <w:t>1.规范执法程序严处违建行为。</w:t>
      </w:r>
      <w:r>
        <w:rPr>
          <w:rFonts w:hint="eastAsia" w:ascii="方正仿宋简体" w:eastAsia="方正仿宋简体"/>
          <w:color w:val="000000" w:themeColor="text1"/>
          <w:sz w:val="32"/>
          <w:szCs w:val="32"/>
        </w:rPr>
        <w:t>截至2020年，共发放《行政执法调查通知书》 44份，《限期改正通知书》85份，《强制拆除公告》69份、《强制拆除催告书》69份。督促自行拆除违法建设10起，约270平方米。依法强制拆除违法建设8处，约400平方米。</w:t>
      </w:r>
    </w:p>
    <w:p>
      <w:pPr>
        <w:shd w:val="clear" w:color="auto" w:fill="FFFFFF"/>
        <w:spacing w:line="576" w:lineRule="exact"/>
        <w:ind w:firstLine="642" w:firstLineChars="200"/>
        <w:rPr>
          <w:rFonts w:hint="eastAsia" w:ascii="方正仿宋简体" w:eastAsia="方正仿宋简体"/>
          <w:color w:val="000000" w:themeColor="text1"/>
          <w:sz w:val="32"/>
          <w:szCs w:val="32"/>
        </w:rPr>
      </w:pPr>
      <w:r>
        <w:rPr>
          <w:rFonts w:hint="eastAsia" w:ascii="方正仿宋简体" w:eastAsia="方正仿宋简体"/>
          <w:b/>
          <w:bCs/>
          <w:color w:val="000000" w:themeColor="text1"/>
          <w:sz w:val="32"/>
          <w:szCs w:val="32"/>
        </w:rPr>
        <w:t>2.“河长制”全面推进。</w:t>
      </w:r>
      <w:r>
        <w:rPr>
          <w:rFonts w:hint="eastAsia" w:ascii="方正仿宋简体" w:eastAsia="方正仿宋简体"/>
          <w:color w:val="000000" w:themeColor="text1"/>
          <w:sz w:val="32"/>
          <w:szCs w:val="32"/>
        </w:rPr>
        <w:t>强化组织领导，加强宣传引导，坚持河道常态化整治。及时更换辖区河长制公示牌，共计8个，制作宣传标语10幅。街道、村社值班人员的24小时值班值守制度和重点监测点监测人员的24小时巡查制度。</w:t>
      </w:r>
    </w:p>
    <w:p>
      <w:pPr>
        <w:spacing w:line="576" w:lineRule="exact"/>
        <w:ind w:firstLine="642" w:firstLineChars="200"/>
        <w:rPr>
          <w:rFonts w:hint="eastAsia" w:ascii="方正仿宋简体" w:eastAsia="方正仿宋简体"/>
          <w:color w:val="000000" w:themeColor="text1"/>
          <w:sz w:val="32"/>
          <w:szCs w:val="32"/>
        </w:rPr>
      </w:pPr>
      <w:r>
        <w:rPr>
          <w:rFonts w:hint="eastAsia" w:ascii="方正仿宋简体" w:eastAsia="方正仿宋简体"/>
          <w:b/>
          <w:bCs/>
          <w:color w:val="000000" w:themeColor="text1"/>
          <w:sz w:val="32"/>
          <w:szCs w:val="32"/>
        </w:rPr>
        <w:t>3..全面落实计划生育政策。</w:t>
      </w:r>
      <w:r>
        <w:rPr>
          <w:rFonts w:hint="eastAsia" w:ascii="方正仿宋简体" w:eastAsia="方正仿宋简体"/>
          <w:color w:val="000000" w:themeColor="text1"/>
          <w:sz w:val="32"/>
          <w:szCs w:val="32"/>
        </w:rPr>
        <w:t>2020年街道新出生129人，办理生育服务证105人。进一步落实计划生育相关奖扶政策，计划生育特别扶助：7户9人（其中独生子女死亡6户7人，金额63840元;独生子女残疾1户2人，金额15600元）。独生子女父母奖励金:93人，金额11160元；独生子女农村扶贫61人，金额58560元。其中计划生育农村奖扶15人，享受金额共计14400元，办理生育服务证40人，补办独生子女证1人。</w:t>
      </w:r>
    </w:p>
    <w:p>
      <w:pPr>
        <w:spacing w:line="576" w:lineRule="exact"/>
        <w:ind w:firstLine="642" w:firstLineChars="200"/>
        <w:rPr>
          <w:rFonts w:hint="eastAsia" w:ascii="方正仿宋简体" w:eastAsia="方正仿宋简体"/>
          <w:color w:val="000000" w:themeColor="text1"/>
          <w:sz w:val="32"/>
          <w:szCs w:val="32"/>
        </w:rPr>
      </w:pPr>
      <w:r>
        <w:rPr>
          <w:rFonts w:hint="eastAsia" w:ascii="方正仿宋简体" w:eastAsia="方正仿宋简体"/>
          <w:b/>
          <w:bCs/>
          <w:color w:val="000000" w:themeColor="text1"/>
          <w:sz w:val="32"/>
          <w:szCs w:val="32"/>
        </w:rPr>
        <w:t>4.农村医疗保障服务成效显著。</w:t>
      </w:r>
      <w:r>
        <w:rPr>
          <w:rFonts w:hint="eastAsia" w:ascii="方正仿宋简体" w:eastAsia="方正仿宋简体"/>
          <w:color w:val="000000" w:themeColor="text1"/>
          <w:sz w:val="32"/>
          <w:szCs w:val="32"/>
        </w:rPr>
        <w:t>自万缘街道成立以来，办理万缘社区失地农民医保323人，办理居民医疗保险新参保459人，办理养老保险认证1432人，办理居民养老保险新参保340人。</w:t>
      </w:r>
    </w:p>
    <w:p>
      <w:pPr>
        <w:shd w:val="clear" w:color="auto" w:fill="FFFFFF"/>
        <w:spacing w:line="576" w:lineRule="exact"/>
        <w:ind w:firstLine="642" w:firstLineChars="200"/>
        <w:rPr>
          <w:rFonts w:hint="eastAsia" w:ascii="方正仿宋简体" w:hAnsi="宋体" w:eastAsia="方正仿宋简体" w:cs="宋体"/>
          <w:color w:val="000000" w:themeColor="text1"/>
          <w:kern w:val="0"/>
          <w:sz w:val="24"/>
        </w:rPr>
      </w:pPr>
      <w:r>
        <w:rPr>
          <w:rFonts w:hint="eastAsia" w:ascii="方正仿宋简体" w:eastAsia="方正仿宋简体"/>
          <w:b/>
          <w:bCs/>
          <w:color w:val="000000" w:themeColor="text1"/>
          <w:sz w:val="32"/>
          <w:szCs w:val="32"/>
        </w:rPr>
        <w:t>5.教育文卫事业统筹推进。</w:t>
      </w:r>
      <w:r>
        <w:rPr>
          <w:rFonts w:hint="eastAsia" w:ascii="方正仿宋简体" w:eastAsia="方正仿宋简体"/>
          <w:color w:val="000000" w:themeColor="text1"/>
          <w:sz w:val="32"/>
          <w:szCs w:val="32"/>
        </w:rPr>
        <w:t>努力推动基本公共教育服务均等化进程，全力打造村级公共文化服务中心，精心组织各种文艺培训活动。认真做好辖区内新冠疫情防控及动物卫生监督执法巡查工作，加强新冠疫情的监控预防，确保群众的餐桌安全和畜禽产品质量安全。</w:t>
      </w:r>
    </w:p>
    <w:p>
      <w:pPr>
        <w:shd w:val="clear" w:color="auto" w:fill="FFFFFF"/>
        <w:spacing w:line="576" w:lineRule="exact"/>
        <w:ind w:firstLine="642" w:firstLineChars="200"/>
        <w:rPr>
          <w:rFonts w:hint="eastAsia" w:ascii="方正仿宋简体" w:eastAsia="方正仿宋简体"/>
          <w:color w:val="000000" w:themeColor="text1"/>
          <w:sz w:val="32"/>
          <w:szCs w:val="32"/>
        </w:rPr>
      </w:pPr>
      <w:r>
        <w:rPr>
          <w:rFonts w:hint="eastAsia" w:ascii="方正仿宋简体" w:eastAsia="方正仿宋简体"/>
          <w:b/>
          <w:bCs/>
          <w:color w:val="000000" w:themeColor="text1"/>
          <w:sz w:val="32"/>
          <w:szCs w:val="32"/>
        </w:rPr>
        <w:t>6.安全生产工作常抓不懈。</w:t>
      </w:r>
      <w:r>
        <w:rPr>
          <w:rFonts w:hint="eastAsia" w:ascii="方正仿宋简体" w:hAnsi="仿宋" w:eastAsia="方正仿宋简体" w:cs="宋体"/>
          <w:bCs/>
          <w:color w:val="000000" w:themeColor="text1"/>
          <w:sz w:val="32"/>
          <w:szCs w:val="32"/>
        </w:rPr>
        <w:t>落实安全生产党政同责、一岗双责、齐抓共管</w:t>
      </w:r>
      <w:r>
        <w:rPr>
          <w:rFonts w:hint="eastAsia" w:ascii="方正仿宋简体" w:hAnsi="仿宋" w:eastAsia="方正仿宋简体" w:cs="宋体"/>
          <w:bCs/>
          <w:color w:val="000000" w:themeColor="text1"/>
          <w:sz w:val="32"/>
          <w:szCs w:val="32"/>
          <w:lang w:eastAsia="zh-CN"/>
        </w:rPr>
        <w:t>、失职追责</w:t>
      </w:r>
      <w:r>
        <w:rPr>
          <w:rFonts w:hint="eastAsia" w:ascii="方正仿宋简体" w:hAnsi="仿宋" w:eastAsia="方正仿宋简体" w:cs="宋体"/>
          <w:bCs/>
          <w:color w:val="000000" w:themeColor="text1"/>
          <w:sz w:val="32"/>
          <w:szCs w:val="32"/>
        </w:rPr>
        <w:t>要求，开展地质灾害、防汛抗旱等安全应急演练活动5余次，开展各项检查50余次，对坝坝宴进行全覆盖备案登记，对校外培训机构进行摸底排查，全年未发生一例集体食物中毒事件，未发生一例重特大安全事故，未发生一例森林火情火警。</w:t>
      </w:r>
    </w:p>
    <w:p>
      <w:pPr>
        <w:spacing w:line="576" w:lineRule="exact"/>
        <w:ind w:firstLine="642" w:firstLineChars="200"/>
        <w:rPr>
          <w:rFonts w:hint="eastAsia" w:ascii="方正仿宋简体" w:hAnsi="方正仿宋简体" w:eastAsia="方正仿宋简体" w:cs="方正仿宋简体"/>
          <w:color w:val="000000" w:themeColor="text1"/>
          <w:sz w:val="32"/>
          <w:szCs w:val="32"/>
        </w:rPr>
      </w:pPr>
      <w:r>
        <w:rPr>
          <w:rFonts w:hint="eastAsia" w:ascii="方正仿宋简体" w:eastAsia="方正仿宋简体"/>
          <w:b/>
          <w:bCs/>
          <w:color w:val="000000" w:themeColor="text1"/>
          <w:sz w:val="32"/>
          <w:szCs w:val="32"/>
        </w:rPr>
        <w:t>7.民政工作再上新台阶。</w:t>
      </w:r>
      <w:r>
        <w:rPr>
          <w:rFonts w:hint="eastAsia" w:ascii="方正仿宋简体" w:hAnsi="仿宋" w:eastAsia="方正仿宋简体" w:cs="宋体"/>
          <w:bCs/>
          <w:color w:val="000000" w:themeColor="text1"/>
          <w:sz w:val="32"/>
          <w:szCs w:val="32"/>
        </w:rPr>
        <w:t>疫情发生以来，为做好农民工出行工作，共办理预约体检登记2601人，实际办理健康体检登记2552人。共为农民工推荐企业100余家，岗位900余个，组织辖区4人坐直达务工地专列到浙江嘉善县务工。</w:t>
      </w:r>
    </w:p>
    <w:p>
      <w:pPr>
        <w:spacing w:line="576" w:lineRule="exact"/>
        <w:ind w:firstLine="642" w:firstLineChars="200"/>
        <w:rPr>
          <w:rFonts w:hint="eastAsia" w:ascii="方正仿宋简体" w:hAnsi="仿宋" w:eastAsia="方正仿宋简体" w:cs="宋体"/>
          <w:bCs/>
          <w:color w:val="000000" w:themeColor="text1"/>
          <w:sz w:val="32"/>
          <w:szCs w:val="32"/>
        </w:rPr>
      </w:pPr>
      <w:r>
        <w:rPr>
          <w:rFonts w:hint="eastAsia" w:ascii="方正仿宋简体" w:eastAsia="方正仿宋简体"/>
          <w:b/>
          <w:bCs/>
          <w:color w:val="000000" w:themeColor="text1"/>
          <w:sz w:val="32"/>
          <w:szCs w:val="32"/>
        </w:rPr>
        <w:t>8.大力开展疫情防控工作</w:t>
      </w:r>
      <w:r>
        <w:rPr>
          <w:rFonts w:hint="eastAsia" w:ascii="方正仿宋简体" w:hAnsi="仿宋" w:eastAsia="方正仿宋简体" w:cs="宋体"/>
          <w:bCs/>
          <w:color w:val="000000" w:themeColor="text1"/>
          <w:sz w:val="32"/>
          <w:szCs w:val="32"/>
        </w:rPr>
        <w:t>。自新冠疫情暴发以来，经区就业局批准，万缘街道共开发了30个防疫协管员临时公益性岗位，分配于各村（社区）；全国疫情响应级别调整后，目前保留12个防疫协管员临时公益性岗位，平均分配于辖区四个社区。</w:t>
      </w:r>
    </w:p>
    <w:p>
      <w:pPr>
        <w:pStyle w:val="32"/>
        <w:spacing w:line="576" w:lineRule="exact"/>
        <w:ind w:firstLine="642" w:firstLineChars="200"/>
        <w:rPr>
          <w:rFonts w:hint="eastAsia" w:ascii="方正仿宋简体" w:hAnsi="仿宋" w:eastAsia="方正仿宋简体" w:cs="宋体"/>
          <w:bCs/>
          <w:color w:val="000000" w:themeColor="text1"/>
          <w:sz w:val="32"/>
          <w:szCs w:val="32"/>
        </w:rPr>
      </w:pPr>
      <w:r>
        <w:rPr>
          <w:rFonts w:hint="eastAsia" w:ascii="方正仿宋简体" w:hAnsi="仿宋" w:eastAsia="方正仿宋简体" w:cs="宋体"/>
          <w:b/>
          <w:bCs/>
          <w:color w:val="000000" w:themeColor="text1"/>
          <w:sz w:val="32"/>
          <w:szCs w:val="32"/>
        </w:rPr>
        <w:t>9.有力防范化解重大风险。</w:t>
      </w:r>
      <w:r>
        <w:rPr>
          <w:rFonts w:hint="eastAsia" w:ascii="方正仿宋简体" w:hAnsi="仿宋" w:eastAsia="方正仿宋简体" w:cs="宋体"/>
          <w:bCs/>
          <w:color w:val="000000" w:themeColor="text1"/>
          <w:sz w:val="32"/>
          <w:szCs w:val="32"/>
        </w:rPr>
        <w:t>定期排查各类矛盾纠纷隐患，建立台账分类处置。有序化解万缘湿地公园等重大矛盾纠纷，协助区法院顺利完成原栖凤游乐场资产处置历史遗留问题。健全完善“四包一”机制，敏感群体在全国、省、市两会等重大节点确保稳定。全年接待群众来信来访60余人次，书面回复市、区信访问题20件次，办理市（区）委书记、市（区）长信箱信51件，处置网络舆情51件。</w:t>
      </w:r>
    </w:p>
    <w:p>
      <w:pPr>
        <w:spacing w:line="576" w:lineRule="exact"/>
        <w:ind w:firstLine="642" w:firstLineChars="200"/>
        <w:rPr>
          <w:rFonts w:hint="eastAsia" w:ascii="方正仿宋简体" w:hAnsi="仿宋" w:eastAsia="方正仿宋简体" w:cs="宋体"/>
          <w:bCs/>
          <w:color w:val="000000" w:themeColor="text1"/>
          <w:sz w:val="32"/>
          <w:szCs w:val="32"/>
        </w:rPr>
      </w:pPr>
      <w:r>
        <w:rPr>
          <w:rFonts w:hint="eastAsia" w:ascii="方正仿宋简体" w:hAnsi="仿宋" w:eastAsia="方正仿宋简体" w:cs="宋体"/>
          <w:b/>
          <w:bCs/>
          <w:color w:val="000000" w:themeColor="text1"/>
          <w:sz w:val="32"/>
          <w:szCs w:val="32"/>
        </w:rPr>
        <w:t>10、民族宗教工作得到长久发展。</w:t>
      </w:r>
      <w:r>
        <w:rPr>
          <w:rFonts w:hint="eastAsia" w:ascii="方正仿宋简体" w:hAnsi="仿宋" w:eastAsia="方正仿宋简体" w:cs="宋体"/>
          <w:bCs/>
          <w:color w:val="000000" w:themeColor="text1"/>
          <w:sz w:val="32"/>
          <w:szCs w:val="32"/>
        </w:rPr>
        <w:t>我办遵照区政法统战委的指示精神，对辖区内的少数民族人员进行摸排，目前共摸排出我辖区常住少数民族4人，流动少数民族6人。对我辖区机关单位的各民主党派等人士进行摸排，目前共摸排出12名党外人士。团结各民主党派、无党派人士，团结各少数民族人民，切实做好我辖区的民族工作。</w:t>
      </w:r>
    </w:p>
    <w:p>
      <w:pPr>
        <w:pStyle w:val="32"/>
        <w:spacing w:line="576" w:lineRule="exact"/>
        <w:ind w:firstLine="640" w:firstLineChars="200"/>
        <w:rPr>
          <w:rFonts w:hint="eastAsia" w:ascii="方正仿宋简体" w:hAnsi="仿宋" w:eastAsia="方正仿宋简体" w:cs="宋体"/>
          <w:bCs/>
          <w:color w:val="000000" w:themeColor="text1"/>
          <w:sz w:val="32"/>
          <w:szCs w:val="32"/>
        </w:rPr>
      </w:pPr>
      <w:r>
        <w:rPr>
          <w:rFonts w:hint="eastAsia" w:ascii="方正仿宋简体" w:hAnsi="仿宋" w:eastAsia="方正仿宋简体" w:cs="宋体"/>
          <w:bCs/>
          <w:color w:val="000000" w:themeColor="text1"/>
          <w:sz w:val="32"/>
          <w:szCs w:val="32"/>
        </w:rPr>
        <w:t>此外，统战、侨务、保密、档案、老龄、残疾人、妇联、团委等工作稳步推进。</w:t>
      </w:r>
      <w:bookmarkStart w:id="20" w:name="_Toc15377200"/>
      <w:bookmarkStart w:id="21" w:name="_Toc15396601"/>
    </w:p>
    <w:p>
      <w:pPr>
        <w:pStyle w:val="32"/>
        <w:spacing w:line="576" w:lineRule="exact"/>
        <w:ind w:firstLine="640" w:firstLineChars="200"/>
        <w:rPr>
          <w:rFonts w:hint="eastAsia" w:ascii="方正黑体简体" w:hAnsi="Arial Unicode MS" w:eastAsia="方正黑体简体" w:cs="Arial Unicode MS"/>
          <w:sz w:val="32"/>
          <w:szCs w:val="32"/>
        </w:rPr>
      </w:pPr>
      <w:r>
        <w:rPr>
          <w:rFonts w:hint="eastAsia" w:ascii="方正黑体简体" w:hAnsi="Arial Unicode MS" w:eastAsia="方正黑体简体" w:cs="Arial Unicode MS"/>
          <w:bCs/>
          <w:color w:val="000000" w:themeColor="text1"/>
          <w:sz w:val="32"/>
          <w:szCs w:val="32"/>
        </w:rPr>
        <w:t>二、机</w:t>
      </w:r>
      <w:r>
        <w:rPr>
          <w:rFonts w:hint="eastAsia" w:ascii="方正黑体简体" w:hAnsi="Arial Unicode MS" w:eastAsia="方正黑体简体" w:cs="Arial Unicode MS"/>
          <w:color w:val="000000" w:themeColor="text1"/>
          <w:sz w:val="32"/>
          <w:szCs w:val="32"/>
        </w:rPr>
        <w:t>构设置</w:t>
      </w:r>
      <w:bookmarkEnd w:id="20"/>
      <w:bookmarkEnd w:id="21"/>
    </w:p>
    <w:p>
      <w:pPr>
        <w:widowControl/>
        <w:spacing w:line="576" w:lineRule="exact"/>
        <w:ind w:firstLine="640" w:firstLineChars="200"/>
        <w:jc w:val="left"/>
        <w:rPr>
          <w:rFonts w:hint="eastAsia" w:ascii="方正仿宋简体" w:eastAsia="方正仿宋简体"/>
          <w:sz w:val="32"/>
          <w:szCs w:val="32"/>
        </w:rPr>
      </w:pPr>
      <w:r>
        <w:rPr>
          <w:rFonts w:hint="eastAsia" w:ascii="方正仿宋简体" w:eastAsia="方正仿宋简体" w:cs="仿宋_GB2312"/>
          <w:color w:val="000000" w:themeColor="text1"/>
          <w:sz w:val="32"/>
          <w:szCs w:val="32"/>
        </w:rPr>
        <w:t>我办下设</w:t>
      </w:r>
      <w:r>
        <w:rPr>
          <w:rFonts w:hint="eastAsia" w:ascii="方正仿宋简体" w:eastAsia="方正仿宋简体"/>
          <w:color w:val="000000" w:themeColor="text1"/>
          <w:sz w:val="32"/>
          <w:szCs w:val="32"/>
        </w:rPr>
        <w:t>党政综合办</w:t>
      </w:r>
      <w:r>
        <w:rPr>
          <w:rFonts w:hint="eastAsia" w:ascii="方正仿宋简体" w:eastAsia="方正仿宋简体"/>
          <w:sz w:val="32"/>
          <w:szCs w:val="32"/>
        </w:rPr>
        <w:t>公室、党建办公室、综合治理办公室、公共服务办公室、发展保障办公室、综合执法协调办公室、应急管理办公室、党群服务中心、农业服务中心和社会事务中心。</w:t>
      </w:r>
      <w:bookmarkStart w:id="22" w:name="_Toc15377204"/>
      <w:bookmarkStart w:id="23" w:name="_Toc15396602"/>
    </w:p>
    <w:p>
      <w:pPr>
        <w:widowControl/>
        <w:jc w:val="left"/>
        <w:rPr>
          <w:rFonts w:hint="eastAsia" w:ascii="黑体" w:hAnsi="黑体" w:eastAsia="黑体"/>
          <w:color w:val="000000"/>
        </w:rPr>
      </w:pPr>
      <w:r>
        <w:rPr>
          <w:rFonts w:ascii="黑体" w:hAnsi="黑体" w:eastAsia="黑体"/>
          <w:color w:val="000000"/>
        </w:rPr>
        <w:br w:type="page"/>
      </w:r>
    </w:p>
    <w:p>
      <w:pPr>
        <w:widowControl/>
        <w:spacing w:line="576" w:lineRule="exact"/>
        <w:jc w:val="center"/>
        <w:rPr>
          <w:rStyle w:val="26"/>
          <w:rFonts w:hint="eastAsia" w:ascii="方正小标宋简体" w:hAnsi="黑体" w:eastAsia="方正小标宋简体"/>
          <w:b w:val="0"/>
          <w:bCs w:val="0"/>
        </w:rPr>
      </w:pPr>
      <w:r>
        <w:rPr>
          <w:rFonts w:hint="eastAsia" w:ascii="方正小标宋简体" w:hAnsi="黑体" w:eastAsia="方正小标宋简体"/>
          <w:color w:val="000000"/>
          <w:sz w:val="44"/>
          <w:szCs w:val="44"/>
        </w:rPr>
        <w:t xml:space="preserve">第二部分    </w:t>
      </w:r>
      <w:r>
        <w:rPr>
          <w:rStyle w:val="26"/>
          <w:rFonts w:hint="eastAsia" w:ascii="方正小标宋简体" w:hAnsi="黑体" w:eastAsia="方正小标宋简体"/>
          <w:b w:val="0"/>
          <w:bCs w:val="0"/>
        </w:rPr>
        <w:t>2020年度部门决算情况说明</w:t>
      </w:r>
      <w:bookmarkEnd w:id="22"/>
      <w:bookmarkEnd w:id="23"/>
      <w:bookmarkStart w:id="24" w:name="_Toc15377205"/>
      <w:bookmarkStart w:id="25" w:name="_Toc15396603"/>
    </w:p>
    <w:p>
      <w:pPr>
        <w:widowControl/>
        <w:spacing w:line="576" w:lineRule="exact"/>
        <w:jc w:val="center"/>
        <w:rPr>
          <w:rStyle w:val="26"/>
          <w:rFonts w:hint="eastAsia" w:ascii="方正小标宋简体" w:hAnsi="黑体" w:eastAsia="方正小标宋简体"/>
          <w:b w:val="0"/>
          <w:bCs w:val="0"/>
        </w:rPr>
      </w:pPr>
    </w:p>
    <w:p>
      <w:pPr>
        <w:widowControl/>
        <w:spacing w:line="576" w:lineRule="exact"/>
        <w:jc w:val="left"/>
        <w:rPr>
          <w:rStyle w:val="27"/>
          <w:rFonts w:hint="eastAsia" w:ascii="方正黑体简体" w:hAnsi="黑体" w:eastAsia="方正黑体简体"/>
          <w:b w:val="0"/>
          <w:color w:val="000000" w:themeColor="text1"/>
        </w:rPr>
      </w:pPr>
      <w:r>
        <w:rPr>
          <w:rStyle w:val="27"/>
          <w:rFonts w:hint="eastAsia" w:ascii="黑体" w:hAnsi="黑体" w:eastAsia="黑体"/>
          <w:b w:val="0"/>
          <w:color w:val="000000" w:themeColor="text1"/>
        </w:rPr>
        <w:t xml:space="preserve">    </w:t>
      </w:r>
      <w:r>
        <w:rPr>
          <w:rStyle w:val="27"/>
          <w:rFonts w:hint="eastAsia" w:ascii="方正黑体简体" w:hAnsi="黑体" w:eastAsia="方正黑体简体"/>
          <w:b w:val="0"/>
          <w:color w:val="000000" w:themeColor="text1"/>
        </w:rPr>
        <w:t>一、</w:t>
      </w:r>
      <w:r>
        <w:rPr>
          <w:rStyle w:val="27"/>
          <w:rFonts w:hint="eastAsia" w:ascii="方正黑体简体" w:hAnsi="黑体" w:eastAsia="方正黑体简体"/>
          <w:b w:val="0"/>
        </w:rPr>
        <w:t>收</w:t>
      </w:r>
      <w:r>
        <w:rPr>
          <w:rStyle w:val="27"/>
          <w:rFonts w:hint="eastAsia" w:ascii="方正黑体简体" w:hAnsi="黑体" w:eastAsia="方正黑体简体"/>
          <w:b w:val="0"/>
          <w:color w:val="000000" w:themeColor="text1"/>
        </w:rPr>
        <w:t>入支出决算总体情况说明</w:t>
      </w:r>
      <w:bookmarkEnd w:id="24"/>
      <w:bookmarkEnd w:id="25"/>
    </w:p>
    <w:p>
      <w:pPr>
        <w:spacing w:line="576" w:lineRule="exact"/>
        <w:ind w:firstLine="640" w:firstLineChars="200"/>
        <w:rPr>
          <w:rFonts w:hint="eastAsia" w:ascii="方正仿宋简体" w:eastAsia="方正仿宋简体"/>
          <w:color w:val="000000" w:themeColor="text1"/>
          <w:sz w:val="32"/>
          <w:szCs w:val="32"/>
        </w:rPr>
      </w:pPr>
      <w:r>
        <w:rPr>
          <w:rFonts w:hint="eastAsia" w:ascii="方正仿宋简体" w:hAnsi="仿宋" w:eastAsia="方正仿宋简体"/>
          <w:color w:val="000000" w:themeColor="text1"/>
          <w:sz w:val="32"/>
          <w:szCs w:val="32"/>
        </w:rPr>
        <w:drawing>
          <wp:anchor distT="0" distB="0" distL="114300" distR="114300" simplePos="0" relativeHeight="251659264" behindDoc="0" locked="0" layoutInCell="1" allowOverlap="1">
            <wp:simplePos x="0" y="0"/>
            <wp:positionH relativeFrom="column">
              <wp:posOffset>163195</wp:posOffset>
            </wp:positionH>
            <wp:positionV relativeFrom="paragraph">
              <wp:posOffset>3013075</wp:posOffset>
            </wp:positionV>
            <wp:extent cx="5080000" cy="3571875"/>
            <wp:effectExtent l="4445" t="4445" r="20955" b="50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方正仿宋简体" w:hAnsi="仿宋" w:eastAsia="方正仿宋简体"/>
          <w:color w:val="000000" w:themeColor="text1"/>
          <w:sz w:val="32"/>
          <w:szCs w:val="32"/>
        </w:rPr>
        <w:t>2020年度收入897.75万元，支出554.38万元。与2019年相比，收入增加了897.75万元，增长了100%，支出增加554.38万元，增长了100%。主要变动原因：2020年万缘街道办事处成立。（图1：收、支决算总计变动情况图）（柱状图）</w:t>
      </w:r>
    </w:p>
    <w:p>
      <w:pPr>
        <w:spacing w:line="576" w:lineRule="exact"/>
        <w:ind w:left="640"/>
        <w:outlineLvl w:val="1"/>
        <w:rPr>
          <w:rStyle w:val="27"/>
          <w:rFonts w:ascii="黑体" w:hAnsi="黑体" w:eastAsia="黑体"/>
          <w:b w:val="0"/>
          <w:color w:val="000000" w:themeColor="text1"/>
        </w:rPr>
      </w:pPr>
      <w:bookmarkStart w:id="26" w:name="_Toc15396604"/>
      <w:bookmarkStart w:id="27" w:name="_Toc15377206"/>
      <w:r>
        <w:rPr>
          <w:rFonts w:hint="eastAsia" w:ascii="黑体" w:hAnsi="黑体" w:eastAsia="黑体"/>
          <w:color w:val="000000" w:themeColor="text1"/>
          <w:sz w:val="32"/>
          <w:szCs w:val="32"/>
        </w:rPr>
        <w:t>二、收</w:t>
      </w:r>
      <w:r>
        <w:rPr>
          <w:rStyle w:val="27"/>
          <w:rFonts w:hint="eastAsia" w:ascii="黑体" w:hAnsi="黑体" w:eastAsia="黑体"/>
          <w:b w:val="0"/>
          <w:color w:val="000000" w:themeColor="text1"/>
        </w:rPr>
        <w:t>入决算情况说明</w:t>
      </w:r>
      <w:bookmarkEnd w:id="26"/>
      <w:bookmarkEnd w:id="27"/>
    </w:p>
    <w:p>
      <w:pPr>
        <w:spacing w:line="576" w:lineRule="exact"/>
        <w:ind w:firstLine="640" w:firstLineChars="200"/>
        <w:outlineLvl w:val="1"/>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2020年本年收入合计897.75万元，其中：一般公共预算财政拨款收入897.75万元，占100</w:t>
      </w:r>
      <w:r>
        <w:rPr>
          <w:rFonts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t>；政府性基金预算财政拨款收入0万元，占0</w:t>
      </w:r>
      <w:r>
        <w:rPr>
          <w:rFonts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t>；上级补助收入0万元，占0</w:t>
      </w:r>
      <w:r>
        <w:rPr>
          <w:rFonts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t>；事业收入0万元，占0</w:t>
      </w:r>
      <w:r>
        <w:rPr>
          <w:rFonts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t>；经营收入0万元，占0</w:t>
      </w:r>
      <w:r>
        <w:rPr>
          <w:rFonts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t>；附属单位上缴收入0万元，占0</w:t>
      </w:r>
      <w:r>
        <w:rPr>
          <w:rFonts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t>；其他收入0万元，占0</w:t>
      </w:r>
      <w:r>
        <w:rPr>
          <w:rFonts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drawing>
          <wp:anchor distT="0" distB="0" distL="114300" distR="114300" simplePos="0" relativeHeight="251660288" behindDoc="0" locked="0" layoutInCell="1" allowOverlap="1">
            <wp:simplePos x="0" y="0"/>
            <wp:positionH relativeFrom="column">
              <wp:posOffset>242570</wp:posOffset>
            </wp:positionH>
            <wp:positionV relativeFrom="paragraph">
              <wp:posOffset>41910</wp:posOffset>
            </wp:positionV>
            <wp:extent cx="5080000" cy="3810000"/>
            <wp:effectExtent l="4445" t="4445" r="2095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（图2：收入决算结构图）（饼状图）</w:t>
      </w:r>
    </w:p>
    <w:p>
      <w:pPr>
        <w:spacing w:line="600" w:lineRule="exact"/>
        <w:ind w:left="640"/>
        <w:outlineLvl w:val="1"/>
        <w:rPr>
          <w:rStyle w:val="27"/>
          <w:rFonts w:ascii="黑体" w:hAnsi="黑体" w:eastAsia="黑体"/>
          <w:b w:val="0"/>
        </w:rPr>
      </w:pPr>
      <w:bookmarkStart w:id="28" w:name="_Toc15377207"/>
      <w:bookmarkStart w:id="29" w:name="_Toc15396605"/>
      <w:r>
        <w:rPr>
          <w:rFonts w:hint="eastAsia" w:ascii="黑体" w:hAnsi="黑体" w:eastAsia="黑体"/>
          <w:sz w:val="32"/>
          <w:szCs w:val="32"/>
        </w:rPr>
        <w:t>三、支</w:t>
      </w:r>
      <w:r>
        <w:rPr>
          <w:rStyle w:val="27"/>
          <w:rFonts w:hint="eastAsia" w:ascii="黑体" w:hAnsi="黑体" w:eastAsia="黑体"/>
          <w:b w:val="0"/>
        </w:rPr>
        <w:t>出决算情况说明</w:t>
      </w:r>
      <w:bookmarkEnd w:id="28"/>
      <w:bookmarkEnd w:id="29"/>
    </w:p>
    <w:p>
      <w:pPr>
        <w:spacing w:line="576" w:lineRule="exact"/>
        <w:ind w:firstLine="640" w:firstLineChars="200"/>
        <w:outlineLvl w:val="1"/>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2020年本年支出合计554.38万元，其中：基本支出427.06万元，占77.04</w:t>
      </w:r>
      <w:r>
        <w:rPr>
          <w:rFonts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t>；项目支出127.32万元，占22.97</w:t>
      </w:r>
      <w:r>
        <w:rPr>
          <w:rFonts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t>；上缴上级支出0万元，占0</w:t>
      </w:r>
      <w:r>
        <w:rPr>
          <w:rFonts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t>；经营支出0万元，占0</w:t>
      </w:r>
      <w:r>
        <w:rPr>
          <w:rFonts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t>；对附属单位补助支出0万元，占0</w:t>
      </w:r>
      <w:r>
        <w:rPr>
          <w:rFonts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t>。</w:t>
      </w:r>
    </w:p>
    <w:p>
      <w:pPr>
        <w:spacing w:line="600" w:lineRule="exact"/>
        <w:ind w:firstLine="640" w:firstLineChars="200"/>
        <w:rPr>
          <w:rFonts w:ascii="方正仿宋简体" w:hAnsi="仿宋" w:eastAsia="方正仿宋简体"/>
          <w:color w:val="000000" w:themeColor="text1"/>
          <w:sz w:val="32"/>
          <w:szCs w:val="32"/>
        </w:rPr>
      </w:pPr>
    </w:p>
    <w:p>
      <w:pPr>
        <w:spacing w:line="60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drawing>
          <wp:anchor distT="0" distB="0" distL="114300" distR="114300" simplePos="0" relativeHeight="251663360" behindDoc="0" locked="0" layoutInCell="1" allowOverlap="1">
            <wp:simplePos x="0" y="0"/>
            <wp:positionH relativeFrom="column">
              <wp:posOffset>144145</wp:posOffset>
            </wp:positionH>
            <wp:positionV relativeFrom="paragraph">
              <wp:posOffset>991870</wp:posOffset>
            </wp:positionV>
            <wp:extent cx="5080000" cy="3810000"/>
            <wp:effectExtent l="19050" t="0" r="25400" b="0"/>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方正仿宋简体" w:hAnsi="仿宋" w:eastAsia="方正仿宋简体"/>
          <w:color w:val="000000" w:themeColor="text1"/>
          <w:sz w:val="32"/>
          <w:szCs w:val="32"/>
        </w:rPr>
        <w:t>（图3：支出决算结构图）（饼状图）</w:t>
      </w:r>
    </w:p>
    <w:p>
      <w:pPr>
        <w:pStyle w:val="2"/>
        <w:rPr>
          <w:rFonts w:eastAsia="仿宋"/>
        </w:rPr>
      </w:pPr>
      <w:r>
        <w:rPr>
          <w:rFonts w:hint="eastAsia" w:eastAsia="仿宋"/>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（图4：财政拨款收、支决算总计变动情况）（柱状图）</w:t>
      </w:r>
    </w:p>
    <w:p>
      <w:pPr>
        <w:spacing w:line="600" w:lineRule="exact"/>
        <w:ind w:firstLine="640" w:firstLineChars="200"/>
        <w:outlineLvl w:val="1"/>
        <w:rPr>
          <w:rStyle w:val="27"/>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2020年财政拨款收入897.75万元，支出554.38万元。与2019年相比，财政拨款收入增加897.75万元,增长100%财政拨款支出增加554.38万元，增长100</w:t>
      </w:r>
      <w:r>
        <w:rPr>
          <w:rFonts w:ascii="方正仿宋简体" w:hAnsi="仿宋" w:eastAsia="方正仿宋简体"/>
          <w:color w:val="000000" w:themeColor="text1"/>
          <w:sz w:val="32"/>
          <w:szCs w:val="32"/>
        </w:rPr>
        <w:t>%</w:t>
      </w:r>
      <w:r>
        <w:rPr>
          <w:rFonts w:hint="eastAsia" w:ascii="方正仿宋简体" w:hAnsi="仿宋" w:eastAsia="方正仿宋简体"/>
          <w:color w:val="000000" w:themeColor="text1"/>
          <w:sz w:val="32"/>
          <w:szCs w:val="32"/>
        </w:rPr>
        <w:t>。主要变动原因：2020年万缘街道办事处成立。</w:t>
      </w:r>
    </w:p>
    <w:p>
      <w:pPr>
        <w:spacing w:line="60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（图4：财政拨款收、支决算总计变动情况）（柱状图）</w:t>
      </w:r>
    </w:p>
    <w:p>
      <w:pPr>
        <w:spacing w:line="600" w:lineRule="exact"/>
        <w:ind w:firstLine="640" w:firstLineChars="200"/>
        <w:outlineLvl w:val="1"/>
        <w:rPr>
          <w:rStyle w:val="27"/>
          <w:rFonts w:hint="eastAsia" w:ascii="方正黑体简体" w:hAnsi="黑体" w:eastAsia="方正黑体简体"/>
          <w:b w:val="0"/>
        </w:rPr>
      </w:pPr>
      <w:bookmarkStart w:id="32" w:name="_Toc15377209"/>
      <w:bookmarkStart w:id="33" w:name="_Toc15396607"/>
      <w:r>
        <w:rPr>
          <w:rFonts w:hint="eastAsia" w:ascii="方正黑体简体" w:hAnsi="黑体" w:eastAsia="方正黑体简体"/>
          <w:sz w:val="32"/>
          <w:szCs w:val="32"/>
        </w:rPr>
        <w:t>五、</w:t>
      </w:r>
      <w:r>
        <w:rPr>
          <w:rFonts w:hint="eastAsia" w:ascii="方正黑体简体" w:hAnsi="黑体" w:eastAsia="方正黑体简体"/>
          <w:b/>
          <w:sz w:val="32"/>
          <w:szCs w:val="32"/>
        </w:rPr>
        <w:t>一</w:t>
      </w:r>
      <w:r>
        <w:rPr>
          <w:rStyle w:val="27"/>
          <w:rFonts w:hint="eastAsia" w:ascii="方正黑体简体" w:hAnsi="黑体" w:eastAsia="方正黑体简体"/>
          <w:b w:val="0"/>
        </w:rPr>
        <w:t>般公共预算财政拨款支出决算情况说明</w:t>
      </w:r>
      <w:bookmarkEnd w:id="32"/>
      <w:bookmarkEnd w:id="33"/>
    </w:p>
    <w:p>
      <w:pPr>
        <w:spacing w:line="600" w:lineRule="exact"/>
        <w:ind w:firstLine="640" w:firstLineChars="200"/>
        <w:outlineLvl w:val="2"/>
        <w:rPr>
          <w:rFonts w:hint="eastAsia" w:ascii="方正楷体简体" w:hAnsi="仿宋" w:eastAsia="方正楷体简体"/>
          <w:sz w:val="32"/>
          <w:szCs w:val="32"/>
        </w:rPr>
      </w:pPr>
      <w:bookmarkStart w:id="34" w:name="_Toc15377210"/>
      <w:r>
        <w:rPr>
          <w:rFonts w:hint="eastAsia" w:ascii="方正楷体简体" w:hAnsi="仿宋" w:eastAsia="方正楷体简体"/>
          <w:sz w:val="32"/>
          <w:szCs w:val="32"/>
        </w:rPr>
        <w:t>（一）一般公共预算财政拨款支出决算总体情况</w:t>
      </w:r>
      <w:bookmarkEnd w:id="34"/>
    </w:p>
    <w:p>
      <w:pPr>
        <w:spacing w:line="60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drawing>
          <wp:anchor distT="0" distB="0" distL="114300" distR="114300" simplePos="0" relativeHeight="251661312" behindDoc="0" locked="0" layoutInCell="1" allowOverlap="1">
            <wp:simplePos x="0" y="0"/>
            <wp:positionH relativeFrom="column">
              <wp:posOffset>191770</wp:posOffset>
            </wp:positionH>
            <wp:positionV relativeFrom="paragraph">
              <wp:posOffset>2399665</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方正仿宋简体" w:hAnsi="仿宋" w:eastAsia="方正仿宋简体"/>
          <w:sz w:val="32"/>
          <w:szCs w:val="32"/>
        </w:rPr>
        <w:t>2020年一般公共预算财政拨款支出554.38万元，占本年支出合计的100%。与2019年相比，一般公共预算财政拨款增加554.38万元，增长100%。主要变动原因</w:t>
      </w:r>
      <w:r>
        <w:rPr>
          <w:rFonts w:hint="eastAsia" w:ascii="方正仿宋简体" w:hAnsi="仿宋" w:eastAsia="方正仿宋简体"/>
          <w:color w:val="000000" w:themeColor="text1"/>
          <w:sz w:val="32"/>
          <w:szCs w:val="32"/>
        </w:rPr>
        <w:t>2020年万缘街道办事处成立</w:t>
      </w:r>
      <w:r>
        <w:rPr>
          <w:rFonts w:hint="eastAsia" w:ascii="方正仿宋简体" w:hAnsi="仿宋" w:eastAsia="方正仿宋简体"/>
          <w:sz w:val="32"/>
          <w:szCs w:val="32"/>
        </w:rPr>
        <w:t>。</w:t>
      </w:r>
    </w:p>
    <w:p>
      <w:pPr>
        <w:spacing w:line="600" w:lineRule="exact"/>
        <w:ind w:firstLine="640" w:firstLineChars="200"/>
        <w:rPr>
          <w:rFonts w:ascii="方正仿宋简体" w:hAnsi="仿宋" w:eastAsia="方正仿宋简体"/>
          <w:sz w:val="32"/>
          <w:szCs w:val="32"/>
        </w:rPr>
      </w:pPr>
    </w:p>
    <w:p>
      <w:pPr>
        <w:spacing w:line="600" w:lineRule="exact"/>
        <w:rPr>
          <w:rFonts w:ascii="方正仿宋简体" w:hAnsi="仿宋" w:eastAsia="方正仿宋简体"/>
          <w:sz w:val="32"/>
          <w:szCs w:val="32"/>
        </w:rPr>
      </w:pPr>
      <w:r>
        <w:rPr>
          <w:rFonts w:hint="eastAsia" w:ascii="方正仿宋简体" w:hAnsi="仿宋" w:eastAsia="方正仿宋简体"/>
          <w:sz w:val="32"/>
          <w:szCs w:val="32"/>
        </w:rPr>
        <w:t>（图5：一般公共预算财政拨款支出决算变动情况）（柱状图）</w:t>
      </w:r>
    </w:p>
    <w:p>
      <w:pPr>
        <w:spacing w:line="600" w:lineRule="exact"/>
        <w:ind w:firstLine="640" w:firstLineChars="200"/>
        <w:rPr>
          <w:rFonts w:ascii="仿宋" w:hAnsi="仿宋" w:eastAsia="仿宋"/>
          <w:color w:val="FF0000"/>
          <w:sz w:val="32"/>
          <w:szCs w:val="32"/>
        </w:rPr>
      </w:pPr>
    </w:p>
    <w:p>
      <w:pPr>
        <w:spacing w:line="600" w:lineRule="exact"/>
        <w:ind w:firstLine="640" w:firstLineChars="200"/>
        <w:outlineLvl w:val="2"/>
        <w:rPr>
          <w:rFonts w:hint="eastAsia" w:ascii="方正楷体简体" w:hAnsi="仿宋" w:eastAsia="方正楷体简体"/>
          <w:sz w:val="32"/>
          <w:szCs w:val="32"/>
        </w:rPr>
      </w:pPr>
      <w:bookmarkStart w:id="35" w:name="_Toc15377211"/>
      <w:r>
        <w:rPr>
          <w:rFonts w:hint="eastAsia" w:ascii="方正楷体简体" w:hAnsi="仿宋" w:eastAsia="方正楷体简体"/>
          <w:sz w:val="32"/>
          <w:szCs w:val="32"/>
        </w:rPr>
        <w:t>（二）一般公共预算财政拨款支出决算结构情况</w:t>
      </w:r>
      <w:bookmarkEnd w:id="35"/>
    </w:p>
    <w:p>
      <w:pPr>
        <w:spacing w:line="600" w:lineRule="exact"/>
        <w:ind w:firstLine="640"/>
        <w:rPr>
          <w:rFonts w:ascii="方正仿宋简体" w:hAnsi="仿宋" w:eastAsia="方正仿宋简体"/>
          <w:sz w:val="32"/>
          <w:szCs w:val="32"/>
        </w:rPr>
      </w:pPr>
      <w:r>
        <w:rPr>
          <w:rFonts w:hint="eastAsia" w:ascii="方正仿宋简体" w:hAnsi="仿宋" w:eastAsia="方正仿宋简体"/>
          <w:sz w:val="32"/>
          <w:szCs w:val="32"/>
        </w:rPr>
        <w:t>2020年一般公共预算财政拨款支出554.38万元，主要用于以下方面</w:t>
      </w:r>
      <w:r>
        <w:rPr>
          <w:rFonts w:ascii="方正仿宋简体" w:hAnsi="仿宋" w:eastAsia="方正仿宋简体"/>
          <w:sz w:val="32"/>
          <w:szCs w:val="32"/>
        </w:rPr>
        <w:t>:</w:t>
      </w:r>
      <w:r>
        <w:rPr>
          <w:rFonts w:hint="eastAsia" w:ascii="方正仿宋简体" w:hAnsi="仿宋" w:eastAsia="方正仿宋简体"/>
          <w:sz w:val="32"/>
          <w:szCs w:val="32"/>
        </w:rPr>
        <w:t>一般公共服务（类）支出340.28万元，占61.38</w:t>
      </w:r>
      <w:r>
        <w:rPr>
          <w:rFonts w:ascii="方正仿宋简体" w:hAnsi="仿宋" w:eastAsia="方正仿宋简体"/>
          <w:sz w:val="32"/>
          <w:szCs w:val="32"/>
        </w:rPr>
        <w:t>%</w:t>
      </w:r>
      <w:r>
        <w:rPr>
          <w:rFonts w:hint="eastAsia" w:ascii="方正仿宋简体" w:hAnsi="仿宋" w:eastAsia="方正仿宋简体"/>
          <w:sz w:val="32"/>
          <w:szCs w:val="32"/>
        </w:rPr>
        <w:t>；文化旅游体育与传媒（类）支出5万元，占0.9</w:t>
      </w:r>
      <w:r>
        <w:rPr>
          <w:rFonts w:ascii="方正仿宋简体" w:hAnsi="仿宋" w:eastAsia="方正仿宋简体"/>
          <w:sz w:val="32"/>
          <w:szCs w:val="32"/>
        </w:rPr>
        <w:t>%</w:t>
      </w:r>
      <w:r>
        <w:rPr>
          <w:rFonts w:hint="eastAsia" w:ascii="方正仿宋简体" w:hAnsi="仿宋" w:eastAsia="方正仿宋简体"/>
          <w:sz w:val="32"/>
          <w:szCs w:val="32"/>
        </w:rPr>
        <w:t>；社会保障和就业（类）支出36.09万元，占6.51</w:t>
      </w:r>
      <w:r>
        <w:rPr>
          <w:rFonts w:ascii="方正仿宋简体" w:hAnsi="仿宋" w:eastAsia="方正仿宋简体"/>
          <w:sz w:val="32"/>
          <w:szCs w:val="32"/>
        </w:rPr>
        <w:t>%</w:t>
      </w:r>
      <w:r>
        <w:rPr>
          <w:rFonts w:hint="eastAsia" w:ascii="方正仿宋简体" w:hAnsi="仿宋" w:eastAsia="方正仿宋简体"/>
          <w:sz w:val="32"/>
          <w:szCs w:val="32"/>
        </w:rPr>
        <w:t>；医疗卫生支出14.31万元，占2.58%；农林水支出135.39万元，占24.4%；住房保障支出23.31万元，占4.2</w:t>
      </w:r>
      <w:r>
        <w:rPr>
          <w:rFonts w:ascii="方正仿宋简体" w:hAnsi="仿宋" w:eastAsia="方正仿宋简体"/>
          <w:sz w:val="32"/>
          <w:szCs w:val="32"/>
        </w:rPr>
        <w:t>%</w:t>
      </w:r>
      <w:r>
        <w:rPr>
          <w:rFonts w:hint="eastAsia" w:ascii="方正仿宋简体" w:hAnsi="仿宋" w:eastAsia="方正仿宋简体"/>
          <w:sz w:val="32"/>
          <w:szCs w:val="32"/>
        </w:rPr>
        <w:t>。（罗列全部功能分类科目，至类级。）</w:t>
      </w:r>
    </w:p>
    <w:p>
      <w:pPr>
        <w:spacing w:line="60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（图6：一般公共预算财政拨款支出决算结构）（饼状图）</w:t>
      </w:r>
      <w:r>
        <w:rPr>
          <w:rFonts w:hint="eastAsia" w:ascii="仿宋" w:hAnsi="仿宋" w:eastAsia="仿宋"/>
          <w:color w:val="000000" w:themeColor="text1"/>
          <w:sz w:val="32"/>
          <w:szCs w:val="32"/>
        </w:rPr>
        <w:drawing>
          <wp:anchor distT="0" distB="0" distL="114300" distR="114300" simplePos="0" relativeHeight="251662336" behindDoc="0" locked="0" layoutInCell="1" allowOverlap="1">
            <wp:simplePos x="0" y="0"/>
            <wp:positionH relativeFrom="column">
              <wp:posOffset>20320</wp:posOffset>
            </wp:positionH>
            <wp:positionV relativeFrom="paragraph">
              <wp:posOffset>600075</wp:posOffset>
            </wp:positionV>
            <wp:extent cx="5080000" cy="3810000"/>
            <wp:effectExtent l="4445" t="4445" r="20955" b="1460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outlineLvl w:val="2"/>
        <w:rPr>
          <w:rFonts w:hint="eastAsia" w:ascii="方正楷体简体" w:hAnsi="仿宋" w:eastAsia="方正楷体简体"/>
          <w:sz w:val="32"/>
          <w:szCs w:val="32"/>
        </w:rPr>
      </w:pPr>
      <w:bookmarkStart w:id="36" w:name="_Toc15377212"/>
      <w:r>
        <w:rPr>
          <w:rFonts w:hint="eastAsia" w:ascii="方正楷体简体" w:hAnsi="仿宋" w:eastAsia="方正楷体简体"/>
          <w:sz w:val="32"/>
          <w:szCs w:val="32"/>
        </w:rPr>
        <w:t>（三）一般公共预算财政拨款支出决算具体情况</w:t>
      </w:r>
      <w:bookmarkEnd w:id="36"/>
    </w:p>
    <w:p>
      <w:pPr>
        <w:spacing w:line="600" w:lineRule="exact"/>
        <w:ind w:firstLine="640" w:firstLineChars="200"/>
        <w:outlineLvl w:val="2"/>
        <w:rPr>
          <w:rFonts w:hint="eastAsia" w:ascii="方正仿宋简体" w:hAnsi="仿宋" w:eastAsia="方正仿宋简体"/>
          <w:sz w:val="32"/>
          <w:szCs w:val="32"/>
        </w:rPr>
      </w:pPr>
      <w:bookmarkStart w:id="37" w:name="_Toc15377444"/>
      <w:bookmarkStart w:id="38" w:name="_Toc15378460"/>
      <w:bookmarkStart w:id="39" w:name="_Toc15377213"/>
      <w:r>
        <w:rPr>
          <w:rFonts w:hint="eastAsia" w:ascii="方正仿宋简体" w:hAnsi="仿宋" w:eastAsia="方正仿宋简体"/>
          <w:sz w:val="32"/>
          <w:szCs w:val="32"/>
        </w:rPr>
        <w:t>2020年一般公共预算支出决算数为554.38，</w:t>
      </w:r>
      <w:r>
        <w:rPr>
          <w:rFonts w:hint="eastAsia" w:ascii="方正仿宋简体" w:eastAsia="方正仿宋简体"/>
          <w:b/>
          <w:sz w:val="32"/>
          <w:szCs w:val="32"/>
        </w:rPr>
        <w:t>完成预算61.75%。其中：</w:t>
      </w:r>
      <w:bookmarkEnd w:id="37"/>
      <w:bookmarkEnd w:id="38"/>
      <w:bookmarkEnd w:id="39"/>
    </w:p>
    <w:p>
      <w:pPr>
        <w:spacing w:line="600" w:lineRule="exact"/>
        <w:ind w:firstLine="642" w:firstLineChars="200"/>
        <w:outlineLvl w:val="2"/>
        <w:rPr>
          <w:rFonts w:hint="eastAsia" w:ascii="方正仿宋简体" w:hAnsi="仿宋" w:eastAsia="方正仿宋简体"/>
          <w:sz w:val="32"/>
          <w:szCs w:val="32"/>
        </w:rPr>
      </w:pPr>
      <w:r>
        <w:rPr>
          <w:rFonts w:hint="eastAsia" w:ascii="方正仿宋简体" w:eastAsia="方正仿宋简体"/>
          <w:b/>
          <w:sz w:val="32"/>
          <w:szCs w:val="32"/>
        </w:rPr>
        <w:t>1.一般公共服务:</w:t>
      </w:r>
      <w:r>
        <w:rPr>
          <w:rFonts w:hint="eastAsia" w:ascii="方正仿宋简体" w:eastAsia="方正仿宋简体"/>
          <w:sz w:val="32"/>
          <w:szCs w:val="32"/>
        </w:rPr>
        <w:t>支出决算为340.28万元，完成预算88.85%，</w:t>
      </w:r>
      <w:r>
        <w:rPr>
          <w:rFonts w:hint="eastAsia" w:ascii="方正仿宋简体" w:hAnsi="仿宋" w:eastAsia="方正仿宋简体"/>
          <w:sz w:val="32"/>
          <w:szCs w:val="32"/>
        </w:rPr>
        <w:t>决算数小于预算数的主要原因是应付人员调资及未付的办公费。其中：</w:t>
      </w:r>
      <w:r>
        <w:rPr>
          <w:rFonts w:hint="eastAsia" w:ascii="方正仿宋简体" w:hAnsi="仿宋" w:eastAsia="方正仿宋简体"/>
          <w:b/>
          <w:sz w:val="32"/>
          <w:szCs w:val="32"/>
        </w:rPr>
        <w:t>一般公共服务支出-</w:t>
      </w:r>
      <w:r>
        <w:rPr>
          <w:rFonts w:hint="eastAsia" w:ascii="方正仿宋简体" w:hAnsi="仿宋" w:eastAsia="方正仿宋简体"/>
          <w:sz w:val="32"/>
          <w:szCs w:val="32"/>
        </w:rPr>
        <w:t>政府办公厅（室）--行政运行168.1万元，</w:t>
      </w:r>
      <w:r>
        <w:rPr>
          <w:rFonts w:hint="eastAsia" w:ascii="方正仿宋简体" w:hAnsi="仿宋" w:eastAsia="方正仿宋简体"/>
          <w:b/>
          <w:sz w:val="32"/>
          <w:szCs w:val="32"/>
        </w:rPr>
        <w:t>一般公共服务支出-</w:t>
      </w:r>
      <w:r>
        <w:rPr>
          <w:rFonts w:hint="eastAsia" w:ascii="方正仿宋简体" w:hAnsi="仿宋" w:eastAsia="方正仿宋简体"/>
          <w:sz w:val="32"/>
          <w:szCs w:val="32"/>
        </w:rPr>
        <w:t>政府办公厅（室）--一般行政管理事务支出54.49万元；</w:t>
      </w:r>
      <w:r>
        <w:rPr>
          <w:rFonts w:hint="eastAsia" w:ascii="方正仿宋简体" w:hAnsi="仿宋" w:eastAsia="方正仿宋简体"/>
          <w:b/>
          <w:sz w:val="32"/>
          <w:szCs w:val="32"/>
        </w:rPr>
        <w:t>一般公共服务支出-</w:t>
      </w:r>
      <w:r>
        <w:rPr>
          <w:rFonts w:hint="eastAsia" w:ascii="方正仿宋简体" w:hAnsi="仿宋" w:eastAsia="方正仿宋简体"/>
          <w:sz w:val="32"/>
          <w:szCs w:val="32"/>
        </w:rPr>
        <w:t>财政事务--行政运行14.53万元；</w:t>
      </w:r>
      <w:r>
        <w:rPr>
          <w:rFonts w:hint="eastAsia" w:ascii="方正仿宋简体" w:hAnsi="仿宋" w:eastAsia="方正仿宋简体"/>
          <w:b/>
          <w:sz w:val="32"/>
          <w:szCs w:val="32"/>
        </w:rPr>
        <w:t>一般公共服务支出-</w:t>
      </w:r>
      <w:r>
        <w:rPr>
          <w:rFonts w:hint="eastAsia" w:ascii="方正仿宋简体" w:hAnsi="仿宋" w:eastAsia="方正仿宋简体"/>
          <w:sz w:val="32"/>
          <w:szCs w:val="32"/>
        </w:rPr>
        <w:t>党委办公厅（室）及相关机构事务--行政运行84.8万元，</w:t>
      </w:r>
      <w:r>
        <w:rPr>
          <w:rFonts w:hint="eastAsia" w:ascii="方正仿宋简体" w:hAnsi="仿宋" w:eastAsia="方正仿宋简体"/>
          <w:b/>
          <w:sz w:val="32"/>
          <w:szCs w:val="32"/>
        </w:rPr>
        <w:t>一般公共服务支出-</w:t>
      </w:r>
      <w:r>
        <w:rPr>
          <w:rFonts w:hint="eastAsia" w:ascii="方正仿宋简体" w:hAnsi="仿宋" w:eastAsia="方正仿宋简体"/>
          <w:sz w:val="32"/>
          <w:szCs w:val="32"/>
        </w:rPr>
        <w:t>党委办公厅（室）及相关机构事务--一般行政管理事务18万元，</w:t>
      </w:r>
      <w:r>
        <w:rPr>
          <w:rFonts w:hint="eastAsia" w:ascii="方正仿宋简体" w:hAnsi="仿宋" w:eastAsia="方正仿宋简体"/>
          <w:b/>
          <w:sz w:val="32"/>
          <w:szCs w:val="32"/>
        </w:rPr>
        <w:t>一般公共服务支出-</w:t>
      </w:r>
      <w:r>
        <w:rPr>
          <w:rFonts w:hint="eastAsia" w:ascii="方正仿宋简体" w:hAnsi="仿宋" w:eastAsia="方正仿宋简体"/>
          <w:sz w:val="32"/>
          <w:szCs w:val="32"/>
        </w:rPr>
        <w:t>党委办公厅（室）及相关机构事务--专项业务费0.36万元。</w:t>
      </w:r>
    </w:p>
    <w:p>
      <w:pPr>
        <w:spacing w:line="600" w:lineRule="exact"/>
        <w:ind w:firstLine="642" w:firstLineChars="200"/>
        <w:rPr>
          <w:rFonts w:hint="eastAsia" w:ascii="方正仿宋简体" w:hAnsi="仿宋" w:eastAsia="方正仿宋简体"/>
          <w:sz w:val="32"/>
          <w:szCs w:val="32"/>
        </w:rPr>
      </w:pPr>
      <w:r>
        <w:rPr>
          <w:rFonts w:hint="eastAsia" w:ascii="方正仿宋简体" w:eastAsia="方正仿宋简体"/>
          <w:b/>
          <w:sz w:val="32"/>
          <w:szCs w:val="32"/>
        </w:rPr>
        <w:t>2.文化旅游体育与传媒：</w:t>
      </w:r>
      <w:r>
        <w:rPr>
          <w:rFonts w:hint="eastAsia" w:ascii="方正仿宋简体" w:hAnsi="仿宋" w:eastAsia="方正仿宋简体"/>
          <w:sz w:val="32"/>
          <w:szCs w:val="32"/>
        </w:rPr>
        <w:t>决算数为5万元，完成预算100%，</w:t>
      </w:r>
      <w:r>
        <w:rPr>
          <w:rFonts w:hint="eastAsia" w:ascii="方正仿宋简体" w:eastAsia="方正仿宋简体"/>
          <w:sz w:val="32"/>
          <w:szCs w:val="32"/>
        </w:rPr>
        <w:t>决算数等于预算数。</w:t>
      </w:r>
      <w:r>
        <w:rPr>
          <w:rFonts w:hint="eastAsia" w:ascii="方正仿宋简体" w:hAnsi="仿宋" w:eastAsia="方正仿宋简体"/>
          <w:sz w:val="32"/>
          <w:szCs w:val="32"/>
        </w:rPr>
        <w:t>其中：</w:t>
      </w:r>
      <w:r>
        <w:rPr>
          <w:rFonts w:hint="eastAsia" w:ascii="方正仿宋简体" w:hAnsi="仿宋" w:eastAsia="方正仿宋简体"/>
          <w:b/>
          <w:sz w:val="32"/>
          <w:szCs w:val="32"/>
        </w:rPr>
        <w:t>文化旅游体育与传媒支出-其他文化旅游体育与传媒支出-其他文化旅游体育与传媒支出5万元。</w:t>
      </w:r>
    </w:p>
    <w:p>
      <w:pPr>
        <w:spacing w:line="600" w:lineRule="exact"/>
        <w:ind w:firstLine="642" w:firstLineChars="200"/>
        <w:rPr>
          <w:rFonts w:hint="eastAsia" w:ascii="方正仿宋简体" w:hAnsi="仿宋" w:eastAsia="方正仿宋简体"/>
          <w:sz w:val="32"/>
          <w:szCs w:val="32"/>
        </w:rPr>
      </w:pPr>
      <w:r>
        <w:rPr>
          <w:rFonts w:hint="eastAsia" w:ascii="方正仿宋简体" w:eastAsia="方正仿宋简体"/>
          <w:b/>
          <w:sz w:val="32"/>
          <w:szCs w:val="32"/>
        </w:rPr>
        <w:t>3.社会保障和就业：</w:t>
      </w:r>
      <w:r>
        <w:rPr>
          <w:rFonts w:hint="eastAsia" w:ascii="方正仿宋简体" w:eastAsia="方正仿宋简体"/>
          <w:sz w:val="32"/>
          <w:szCs w:val="32"/>
        </w:rPr>
        <w:t>决算为36.09万元，完成预算82.89%，</w:t>
      </w:r>
      <w:r>
        <w:rPr>
          <w:rFonts w:hint="eastAsia" w:ascii="方正仿宋简体" w:hAnsi="仿宋" w:eastAsia="方正仿宋简体"/>
          <w:sz w:val="32"/>
          <w:szCs w:val="32"/>
        </w:rPr>
        <w:t>决算数小于预算数的主要原因是应付人员调资及未付的办公费。其中：</w:t>
      </w:r>
      <w:r>
        <w:rPr>
          <w:rFonts w:hint="eastAsia" w:ascii="方正仿宋简体" w:hAnsi="仿宋" w:eastAsia="方正仿宋简体"/>
          <w:b/>
          <w:sz w:val="32"/>
          <w:szCs w:val="32"/>
        </w:rPr>
        <w:t>社会保障和就业支出-机关事业单位基本养老保险缴费支出27.15万元，社会保障和就业支出-企业改革补助-其他企业改革发展补助支出2.65万元，社会保障和就业支出-抚恤-义务兵优待支出4.07万元，社会保障和就业支出—其他社会保障和就业支出-其他社会保障和就业支出2.22万元。</w:t>
      </w:r>
    </w:p>
    <w:p>
      <w:pPr>
        <w:spacing w:line="600" w:lineRule="exact"/>
        <w:ind w:firstLine="642" w:firstLineChars="200"/>
        <w:rPr>
          <w:rFonts w:hint="eastAsia" w:ascii="方正仿宋简体" w:hAnsi="仿宋" w:eastAsia="方正仿宋简体"/>
          <w:sz w:val="32"/>
          <w:szCs w:val="32"/>
        </w:rPr>
      </w:pPr>
      <w:r>
        <w:rPr>
          <w:rFonts w:hint="eastAsia" w:ascii="方正仿宋简体" w:hAnsi="仿宋" w:eastAsia="方正仿宋简体"/>
          <w:b/>
          <w:sz w:val="32"/>
          <w:szCs w:val="32"/>
        </w:rPr>
        <w:t>4.卫生健康支出</w:t>
      </w:r>
      <w:r>
        <w:rPr>
          <w:rFonts w:hint="eastAsia" w:ascii="方正仿宋简体" w:eastAsia="方正仿宋简体"/>
          <w:b/>
          <w:sz w:val="32"/>
          <w:szCs w:val="32"/>
        </w:rPr>
        <w:t>:</w:t>
      </w:r>
      <w:r>
        <w:rPr>
          <w:rFonts w:hint="eastAsia" w:ascii="方正仿宋简体" w:eastAsia="方正仿宋简体"/>
          <w:sz w:val="32"/>
          <w:szCs w:val="32"/>
        </w:rPr>
        <w:t>支出决算为14.31万元，完成预算82.72%，</w:t>
      </w:r>
      <w:r>
        <w:rPr>
          <w:rFonts w:hint="eastAsia" w:ascii="方正仿宋简体" w:hAnsi="仿宋" w:eastAsia="方正仿宋简体"/>
          <w:sz w:val="32"/>
          <w:szCs w:val="32"/>
        </w:rPr>
        <w:t>决算数小于预算数的主要原因是应付人员调资。其中：</w:t>
      </w:r>
      <w:r>
        <w:rPr>
          <w:rFonts w:hint="eastAsia" w:ascii="方正仿宋简体" w:hAnsi="仿宋" w:eastAsia="方正仿宋简体"/>
          <w:b/>
          <w:sz w:val="32"/>
          <w:szCs w:val="32"/>
        </w:rPr>
        <w:t>卫生健康支出-行政事业单位医疗-行政单位医疗14.31万元。</w:t>
      </w:r>
    </w:p>
    <w:p>
      <w:pPr>
        <w:spacing w:line="600" w:lineRule="exact"/>
        <w:ind w:firstLine="642" w:firstLineChars="200"/>
        <w:rPr>
          <w:rFonts w:hint="eastAsia" w:ascii="方正仿宋简体" w:hAnsi="仿宋" w:eastAsia="方正仿宋简体"/>
          <w:sz w:val="32"/>
          <w:szCs w:val="32"/>
        </w:rPr>
      </w:pPr>
      <w:r>
        <w:rPr>
          <w:rFonts w:hint="eastAsia" w:ascii="方正仿宋简体" w:eastAsia="方正仿宋简体"/>
          <w:b/>
          <w:sz w:val="32"/>
          <w:szCs w:val="32"/>
        </w:rPr>
        <w:t>5.农林水支出:</w:t>
      </w:r>
      <w:r>
        <w:rPr>
          <w:rFonts w:hint="eastAsia" w:ascii="方正仿宋简体" w:eastAsia="方正仿宋简体"/>
          <w:sz w:val="32"/>
          <w:szCs w:val="32"/>
        </w:rPr>
        <w:t>支出决算为135.39万元，完成预算32.01%，</w:t>
      </w:r>
      <w:r>
        <w:rPr>
          <w:rFonts w:hint="eastAsia" w:ascii="方正仿宋简体" w:hAnsi="仿宋" w:eastAsia="方正仿宋简体"/>
          <w:sz w:val="32"/>
          <w:szCs w:val="32"/>
        </w:rPr>
        <w:t>决算数小于预算数的主要原因是应付人员调资及未付的办公费。</w:t>
      </w:r>
      <w:r>
        <w:rPr>
          <w:rFonts w:hint="eastAsia" w:ascii="方正仿宋简体" w:eastAsia="方正仿宋简体"/>
          <w:b/>
          <w:sz w:val="32"/>
          <w:szCs w:val="32"/>
        </w:rPr>
        <w:t>农林水支出-农业农村-其他农业农村支出30万元，农林水支出-水利-防汛2万元，农林水支出-扶贫-其他扶贫支出0.75万元，农林水支出-农村综合改革-对村民委员会和村党支部的补助92.64万元，农林水支出-农村综合改革-其他农村综合改革支出10万元。</w:t>
      </w:r>
    </w:p>
    <w:p>
      <w:pPr>
        <w:spacing w:line="600" w:lineRule="exact"/>
        <w:ind w:firstLine="642" w:firstLineChars="200"/>
        <w:rPr>
          <w:rFonts w:hint="eastAsia" w:ascii="方正仿宋简体" w:hAnsi="仿宋" w:eastAsia="方正仿宋简体"/>
          <w:sz w:val="32"/>
          <w:szCs w:val="32"/>
        </w:rPr>
      </w:pPr>
      <w:r>
        <w:rPr>
          <w:rFonts w:hint="eastAsia" w:ascii="方正仿宋简体" w:eastAsia="方正仿宋简体"/>
          <w:b/>
          <w:sz w:val="32"/>
          <w:szCs w:val="32"/>
        </w:rPr>
        <w:t>6.住房保障:</w:t>
      </w:r>
      <w:r>
        <w:rPr>
          <w:rFonts w:hint="eastAsia" w:ascii="方正仿宋简体" w:eastAsia="方正仿宋简体"/>
          <w:sz w:val="32"/>
          <w:szCs w:val="32"/>
        </w:rPr>
        <w:t>支出决算为23.31万元，完成预算89.83%，</w:t>
      </w:r>
      <w:r>
        <w:rPr>
          <w:rFonts w:hint="eastAsia" w:ascii="方正仿宋简体" w:hAnsi="仿宋" w:eastAsia="方正仿宋简体"/>
          <w:sz w:val="32"/>
          <w:szCs w:val="32"/>
        </w:rPr>
        <w:t>决算数小于预算数的主要原因是人员调动</w:t>
      </w:r>
      <w:r>
        <w:rPr>
          <w:rFonts w:hint="eastAsia" w:ascii="方正仿宋简体" w:eastAsia="方正仿宋简体"/>
          <w:sz w:val="32"/>
          <w:szCs w:val="32"/>
        </w:rPr>
        <w:t>。</w:t>
      </w:r>
      <w:r>
        <w:rPr>
          <w:rFonts w:hint="eastAsia" w:ascii="方正仿宋简体" w:hAnsi="仿宋" w:eastAsia="方正仿宋简体"/>
          <w:sz w:val="32"/>
          <w:szCs w:val="32"/>
        </w:rPr>
        <w:t>其中：住房保障支出-住房改革支出-住房公积金23.31万元。</w:t>
      </w:r>
    </w:p>
    <w:p>
      <w:pPr>
        <w:spacing w:line="600" w:lineRule="exact"/>
        <w:rPr>
          <w:rFonts w:hint="eastAsia" w:ascii="方正仿宋简体" w:hAnsi="仿宋" w:eastAsia="方正仿宋简体"/>
          <w:sz w:val="32"/>
          <w:szCs w:val="32"/>
        </w:rPr>
      </w:pPr>
      <w:r>
        <w:rPr>
          <w:rFonts w:hint="eastAsia" w:ascii="方正仿宋简体" w:hAnsi="仿宋" w:eastAsia="方正仿宋简体"/>
          <w:sz w:val="32"/>
          <w:szCs w:val="32"/>
        </w:rPr>
        <w:t>（注：数据来源于财决Z03表，罗列全部功能分类科目至项级。上述“预算”口径为调整预算数。增减变动原因为决算数&lt;项级&gt;和调整预算数&lt;项级&gt;比较，与预算数持平可以不写原因。）</w:t>
      </w:r>
    </w:p>
    <w:p>
      <w:pPr>
        <w:tabs>
          <w:tab w:val="right" w:pos="8306"/>
        </w:tabs>
        <w:spacing w:line="600" w:lineRule="exact"/>
        <w:ind w:firstLine="640"/>
        <w:outlineLvl w:val="1"/>
        <w:rPr>
          <w:rFonts w:hint="eastAsia" w:ascii="方正黑体简体" w:hAnsi="仿宋" w:eastAsia="方正黑体简体"/>
          <w:b/>
          <w:bCs/>
          <w:sz w:val="32"/>
          <w:szCs w:val="32"/>
        </w:rPr>
      </w:pPr>
      <w:bookmarkStart w:id="40" w:name="_Toc15396608"/>
      <w:bookmarkStart w:id="41" w:name="_Toc15377214"/>
      <w:r>
        <w:rPr>
          <w:rFonts w:hint="eastAsia" w:ascii="方正黑体简体" w:hAnsi="仿宋" w:eastAsia="方正黑体简体"/>
          <w:sz w:val="32"/>
          <w:szCs w:val="32"/>
        </w:rPr>
        <w:t>六、一</w:t>
      </w:r>
      <w:r>
        <w:rPr>
          <w:rFonts w:hint="eastAsia" w:ascii="方正黑体简体" w:hAnsi="仿宋" w:eastAsia="方正黑体简体"/>
          <w:bCs/>
          <w:sz w:val="32"/>
          <w:szCs w:val="32"/>
        </w:rPr>
        <w:t>般公共预算财政拨款基本支出决算情况说明</w:t>
      </w:r>
      <w:bookmarkEnd w:id="40"/>
      <w:bookmarkEnd w:id="41"/>
      <w:r>
        <w:rPr>
          <w:rFonts w:hint="eastAsia" w:ascii="方正黑体简体" w:hAnsi="仿宋" w:eastAsia="方正黑体简体"/>
          <w:bCs/>
          <w:sz w:val="32"/>
          <w:szCs w:val="32"/>
        </w:rPr>
        <w:tab/>
      </w:r>
    </w:p>
    <w:p>
      <w:pPr>
        <w:spacing w:line="600" w:lineRule="exact"/>
        <w:ind w:firstLine="645"/>
        <w:rPr>
          <w:rFonts w:hint="eastAsia" w:ascii="方正仿宋简体" w:hAnsi="仿宋" w:eastAsia="方正仿宋简体"/>
          <w:sz w:val="32"/>
          <w:szCs w:val="32"/>
        </w:rPr>
      </w:pPr>
      <w:r>
        <w:rPr>
          <w:rFonts w:hint="eastAsia" w:ascii="方正仿宋简体" w:hAnsi="仿宋" w:eastAsia="方正仿宋简体"/>
          <w:sz w:val="32"/>
          <w:szCs w:val="32"/>
        </w:rPr>
        <w:t>2020年一般公共预算财政拨款基本支出427.06万元，其中：</w:t>
      </w:r>
    </w:p>
    <w:p>
      <w:pPr>
        <w:spacing w:line="576" w:lineRule="exact"/>
        <w:rPr>
          <w:rFonts w:hint="eastAsia" w:ascii="方正仿宋简体" w:hAnsi="仿宋" w:eastAsia="方正仿宋简体"/>
          <w:color w:val="000000" w:themeColor="text1"/>
          <w:sz w:val="32"/>
          <w:szCs w:val="32"/>
        </w:rPr>
      </w:pPr>
      <w:r>
        <w:rPr>
          <w:rFonts w:hint="eastAsia" w:ascii="方正仿宋简体" w:hAnsi="仿宋" w:eastAsia="方正仿宋简体"/>
          <w:sz w:val="32"/>
          <w:szCs w:val="32"/>
        </w:rPr>
        <w:t>人员经费378.17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方正仿宋简体" w:hAnsi="仿宋" w:eastAsia="方正仿宋简体"/>
          <w:sz w:val="32"/>
          <w:szCs w:val="32"/>
        </w:rPr>
        <w:br w:type="textWrapping"/>
      </w:r>
      <w:r>
        <w:rPr>
          <w:rFonts w:hint="eastAsia" w:ascii="方正仿宋简体" w:hAnsi="仿宋" w:eastAsia="方正仿宋简体"/>
          <w:color w:val="FF0000"/>
          <w:sz w:val="32"/>
          <w:szCs w:val="32"/>
        </w:rPr>
        <w:t>　　</w:t>
      </w:r>
      <w:r>
        <w:rPr>
          <w:rFonts w:hint="eastAsia" w:ascii="方正仿宋简体" w:hAnsi="仿宋" w:eastAsia="方正仿宋简体"/>
          <w:color w:val="000000" w:themeColor="text1"/>
          <w:sz w:val="32"/>
          <w:szCs w:val="32"/>
        </w:rPr>
        <w:t>日常公用经费48.89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76" w:lineRule="exact"/>
        <w:ind w:firstLine="640"/>
        <w:outlineLvl w:val="1"/>
        <w:rPr>
          <w:rFonts w:ascii="方正黑体简体" w:hAnsi="仿宋" w:eastAsia="方正黑体简体"/>
          <w:sz w:val="32"/>
          <w:szCs w:val="32"/>
        </w:rPr>
      </w:pPr>
      <w:bookmarkStart w:id="42" w:name="_Toc15396609"/>
      <w:bookmarkStart w:id="43" w:name="_Toc15377215"/>
      <w:bookmarkStart w:id="44" w:name="_Toc15396610"/>
      <w:bookmarkStart w:id="45" w:name="_Toc15377218"/>
      <w:r>
        <w:rPr>
          <w:rFonts w:hint="eastAsia" w:ascii="方正黑体简体" w:hAnsi="仿宋" w:eastAsia="方正黑体简体"/>
          <w:bCs/>
          <w:sz w:val="32"/>
          <w:szCs w:val="32"/>
        </w:rPr>
        <w:t>七、</w:t>
      </w:r>
      <w:r>
        <w:rPr>
          <w:rFonts w:hint="eastAsia" w:ascii="方正黑体简体" w:hAnsi="仿宋" w:eastAsia="方正黑体简体"/>
          <w:b/>
          <w:sz w:val="32"/>
          <w:szCs w:val="32"/>
        </w:rPr>
        <w:t>“</w:t>
      </w:r>
      <w:r>
        <w:rPr>
          <w:rFonts w:hint="eastAsia" w:ascii="方正黑体简体" w:hAnsi="仿宋" w:eastAsia="方正黑体简体"/>
          <w:sz w:val="32"/>
          <w:szCs w:val="32"/>
        </w:rPr>
        <w:t>三公”经费财政拨款支出决算情况说明</w:t>
      </w:r>
      <w:bookmarkEnd w:id="42"/>
      <w:bookmarkEnd w:id="43"/>
    </w:p>
    <w:p>
      <w:pPr>
        <w:spacing w:line="576" w:lineRule="exact"/>
        <w:ind w:firstLine="640"/>
        <w:outlineLvl w:val="2"/>
        <w:rPr>
          <w:rFonts w:hint="eastAsia" w:ascii="方正楷体简体" w:hAnsi="仿宋" w:eastAsia="方正楷体简体"/>
          <w:color w:val="000000"/>
          <w:sz w:val="32"/>
          <w:szCs w:val="32"/>
        </w:rPr>
      </w:pPr>
      <w:bookmarkStart w:id="46" w:name="_Toc15377216"/>
      <w:r>
        <w:rPr>
          <w:rFonts w:hint="eastAsia" w:ascii="方正楷体简体" w:hAnsi="仿宋" w:eastAsia="方正楷体简体"/>
          <w:color w:val="000000"/>
          <w:sz w:val="32"/>
          <w:szCs w:val="32"/>
        </w:rPr>
        <w:t>（一）“三公”经费财政拨款支出决算总体情况说明</w:t>
      </w:r>
      <w:bookmarkEnd w:id="46"/>
    </w:p>
    <w:p>
      <w:pPr>
        <w:spacing w:line="576" w:lineRule="exact"/>
        <w:ind w:firstLine="64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2020年“三公”经费财政拨款支出决算为0万元，完成预算0%。</w:t>
      </w:r>
    </w:p>
    <w:p>
      <w:pPr>
        <w:spacing w:line="576" w:lineRule="exact"/>
        <w:ind w:firstLine="640"/>
        <w:rPr>
          <w:rFonts w:hint="eastAsia" w:ascii="方正仿宋简体" w:hAnsi="仿宋" w:eastAsia="方正仿宋简体"/>
          <w:b/>
          <w:color w:val="FF0000"/>
          <w:sz w:val="32"/>
          <w:szCs w:val="32"/>
        </w:rPr>
      </w:pPr>
      <w:r>
        <w:rPr>
          <w:rFonts w:hint="eastAsia" w:ascii="方正仿宋简体" w:hAnsi="仿宋" w:eastAsia="方正仿宋简体"/>
          <w:b/>
          <w:color w:val="FF0000"/>
          <w:sz w:val="32"/>
          <w:szCs w:val="32"/>
        </w:rPr>
        <w:t>（注：上述“预算”口径为调整预算数，包括政府性基金支出决算情况。）</w:t>
      </w:r>
    </w:p>
    <w:p>
      <w:pPr>
        <w:spacing w:line="576" w:lineRule="exact"/>
        <w:ind w:firstLine="640"/>
        <w:outlineLvl w:val="2"/>
        <w:rPr>
          <w:rFonts w:hint="eastAsia" w:ascii="方正楷体简体" w:hAnsi="仿宋" w:eastAsia="方正楷体简体"/>
          <w:color w:val="000000"/>
          <w:sz w:val="32"/>
          <w:szCs w:val="32"/>
        </w:rPr>
      </w:pPr>
      <w:bookmarkStart w:id="47" w:name="_Toc15377217"/>
      <w:r>
        <w:rPr>
          <w:rFonts w:hint="eastAsia" w:ascii="方正楷体简体" w:hAnsi="仿宋" w:eastAsia="方正楷体简体"/>
          <w:color w:val="000000"/>
          <w:sz w:val="32"/>
          <w:szCs w:val="32"/>
        </w:rPr>
        <w:t>（二）“三公”经费财政拨款支出决算具体情况说明</w:t>
      </w:r>
      <w:bookmarkEnd w:id="47"/>
    </w:p>
    <w:p>
      <w:pPr>
        <w:spacing w:line="576" w:lineRule="exact"/>
        <w:ind w:firstLine="64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2020年“三公”经费财政拨款支出决算中，因公出国（境）费支出决算0万元，占0%；公务用车购置及运行维护费支出决算0万元，占0%；公务接待费支出决算0万元，占0%。具体情况如下：</w:t>
      </w:r>
    </w:p>
    <w:p>
      <w:pPr>
        <w:spacing w:line="576" w:lineRule="exact"/>
        <w:ind w:firstLine="64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（图7：“三公”经费财政拨款支出结构）（饼状图）</w:t>
      </w:r>
    </w:p>
    <w:p>
      <w:pPr>
        <w:numPr>
          <w:ilvl w:val="0"/>
          <w:numId w:val="1"/>
        </w:numPr>
        <w:spacing w:line="576" w:lineRule="exact"/>
        <w:ind w:firstLine="640"/>
        <w:rPr>
          <w:rFonts w:hint="eastAsia" w:ascii="方正仿宋简体" w:eastAsia="方正仿宋简体"/>
          <w:color w:val="000000"/>
          <w:sz w:val="32"/>
          <w:szCs w:val="32"/>
        </w:rPr>
      </w:pPr>
      <w:r>
        <w:rPr>
          <w:rFonts w:hint="eastAsia" w:ascii="方正仿宋简体" w:eastAsia="方正仿宋简体"/>
          <w:b/>
          <w:color w:val="000000"/>
          <w:sz w:val="32"/>
          <w:szCs w:val="32"/>
        </w:rPr>
        <w:t>因公出国（境）经费支出</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w:t>
      </w:r>
      <w:r>
        <w:rPr>
          <w:rStyle w:val="16"/>
          <w:rFonts w:hint="eastAsia" w:ascii="方正仿宋简体" w:hAnsi="仿宋" w:eastAsia="方正仿宋简体"/>
          <w:b w:val="0"/>
          <w:bCs/>
          <w:color w:val="000000"/>
          <w:sz w:val="32"/>
          <w:szCs w:val="32"/>
        </w:rPr>
        <w:t>完成预算</w:t>
      </w:r>
      <w:r>
        <w:rPr>
          <w:rFonts w:hint="eastAsia" w:ascii="方正仿宋简体" w:hAnsi="仿宋" w:eastAsia="方正仿宋简体"/>
          <w:color w:val="000000"/>
          <w:sz w:val="32"/>
          <w:szCs w:val="32"/>
        </w:rPr>
        <w:t>0</w:t>
      </w:r>
      <w:r>
        <w:rPr>
          <w:rStyle w:val="16"/>
          <w:rFonts w:hint="eastAsia" w:ascii="方正仿宋简体" w:hAnsi="仿宋" w:eastAsia="方正仿宋简体"/>
          <w:b w:val="0"/>
          <w:bCs/>
          <w:color w:val="000000"/>
          <w:sz w:val="32"/>
          <w:szCs w:val="32"/>
        </w:rPr>
        <w:t>%。</w:t>
      </w:r>
      <w:r>
        <w:rPr>
          <w:rFonts w:hint="eastAsia" w:ascii="方正仿宋简体" w:eastAsia="方正仿宋简体"/>
          <w:color w:val="000000"/>
          <w:sz w:val="32"/>
          <w:szCs w:val="32"/>
        </w:rPr>
        <w:t>全年安排因公出国（境）团组</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次，出国（境）</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人。因公出国（境）支出决算比2019年增加/减少</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万元，增长/下降</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w:t>
      </w:r>
    </w:p>
    <w:p>
      <w:pPr>
        <w:numPr>
          <w:ilvl w:val="0"/>
          <w:numId w:val="1"/>
        </w:numPr>
        <w:spacing w:line="576" w:lineRule="exact"/>
        <w:ind w:left="0" w:leftChars="0" w:firstLine="640" w:firstLineChars="0"/>
        <w:rPr>
          <w:rFonts w:hint="eastAsia" w:ascii="方正仿宋简体" w:eastAsia="方正仿宋简体"/>
          <w:b/>
          <w:color w:val="000000"/>
          <w:sz w:val="32"/>
          <w:szCs w:val="32"/>
        </w:rPr>
      </w:pPr>
      <w:r>
        <w:rPr>
          <w:rFonts w:hint="eastAsia" w:ascii="方正仿宋简体" w:eastAsia="方正仿宋简体"/>
          <w:b/>
          <w:color w:val="000000"/>
          <w:sz w:val="32"/>
          <w:szCs w:val="32"/>
        </w:rPr>
        <w:t>公务用车购置及运行维护费支出</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w:t>
      </w:r>
      <w:r>
        <w:rPr>
          <w:rStyle w:val="16"/>
          <w:rFonts w:hint="eastAsia" w:ascii="方正仿宋简体" w:hAnsi="仿宋" w:eastAsia="方正仿宋简体"/>
          <w:b w:val="0"/>
          <w:bCs/>
          <w:color w:val="000000"/>
          <w:sz w:val="32"/>
          <w:szCs w:val="32"/>
        </w:rPr>
        <w:t>完成预算</w:t>
      </w:r>
      <w:r>
        <w:rPr>
          <w:rFonts w:hint="eastAsia" w:ascii="方正仿宋简体" w:hAnsi="仿宋" w:eastAsia="方正仿宋简体"/>
          <w:color w:val="000000"/>
          <w:sz w:val="32"/>
          <w:szCs w:val="32"/>
        </w:rPr>
        <w:t>0</w:t>
      </w:r>
      <w:r>
        <w:rPr>
          <w:rStyle w:val="16"/>
          <w:rFonts w:hint="eastAsia" w:ascii="方正仿宋简体" w:hAnsi="仿宋" w:eastAsia="方正仿宋简体"/>
          <w:b w:val="0"/>
          <w:bCs/>
          <w:color w:val="000000"/>
          <w:sz w:val="32"/>
          <w:szCs w:val="32"/>
        </w:rPr>
        <w:t>%。</w:t>
      </w:r>
      <w:r>
        <w:rPr>
          <w:rFonts w:hint="eastAsia" w:ascii="方正仿宋简体" w:eastAsia="方正仿宋简体"/>
          <w:color w:val="000000"/>
          <w:sz w:val="32"/>
          <w:szCs w:val="32"/>
        </w:rPr>
        <w:t>公务用车购置及运行维护费支出决算比2019年增加/减少</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万元，增长/下降</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%。其中：</w:t>
      </w:r>
      <w:r>
        <w:rPr>
          <w:rFonts w:hint="eastAsia" w:ascii="方正仿宋简体" w:eastAsia="方正仿宋简体"/>
          <w:b/>
          <w:color w:val="000000"/>
          <w:sz w:val="32"/>
          <w:szCs w:val="32"/>
        </w:rPr>
        <w:t>公务用车购置支出</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万元。全年按规定更新购置公务用车</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辆，其中：轿车</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辆、金额</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万元，越野车</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辆、金额</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万元，载客汽车</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辆、金额</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万元，主要用于…。截至2020年12月底，单位共有公务用车</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辆，其中：轿车</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辆、越野车</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辆、载客汽车</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辆。</w:t>
      </w:r>
    </w:p>
    <w:p>
      <w:pPr>
        <w:spacing w:line="576" w:lineRule="exact"/>
        <w:ind w:firstLine="640"/>
        <w:rPr>
          <w:rFonts w:hint="eastAsia" w:ascii="方正仿宋简体" w:eastAsia="方正仿宋简体"/>
          <w:color w:val="000000"/>
          <w:sz w:val="32"/>
          <w:szCs w:val="32"/>
        </w:rPr>
      </w:pPr>
      <w:r>
        <w:rPr>
          <w:rFonts w:hint="eastAsia" w:ascii="方正仿宋简体" w:eastAsia="方正仿宋简体"/>
          <w:b/>
          <w:color w:val="000000"/>
          <w:sz w:val="32"/>
          <w:szCs w:val="32"/>
        </w:rPr>
        <w:t>公务用车运行维护费支出</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w:t>
      </w:r>
    </w:p>
    <w:p>
      <w:pPr>
        <w:spacing w:line="576" w:lineRule="exact"/>
        <w:ind w:firstLine="640"/>
        <w:rPr>
          <w:rFonts w:hint="eastAsia" w:ascii="方正仿宋简体" w:eastAsia="方正仿宋简体"/>
          <w:color w:val="000000"/>
          <w:sz w:val="32"/>
          <w:szCs w:val="32"/>
        </w:rPr>
      </w:pPr>
      <w:r>
        <w:rPr>
          <w:rFonts w:hint="eastAsia" w:ascii="方正仿宋简体" w:eastAsia="方正仿宋简体"/>
          <w:b/>
          <w:color w:val="000000"/>
          <w:sz w:val="32"/>
          <w:szCs w:val="32"/>
        </w:rPr>
        <w:t>3.公务接待费支出</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w:t>
      </w:r>
      <w:r>
        <w:rPr>
          <w:rStyle w:val="16"/>
          <w:rFonts w:hint="eastAsia" w:ascii="方正仿宋简体" w:hAnsi="仿宋" w:eastAsia="方正仿宋简体"/>
          <w:b w:val="0"/>
          <w:bCs/>
          <w:color w:val="000000"/>
          <w:sz w:val="32"/>
          <w:szCs w:val="32"/>
        </w:rPr>
        <w:t>完成预算</w:t>
      </w:r>
      <w:r>
        <w:rPr>
          <w:rFonts w:hint="eastAsia" w:ascii="方正仿宋简体" w:hAnsi="仿宋" w:eastAsia="方正仿宋简体"/>
          <w:color w:val="000000"/>
          <w:sz w:val="32"/>
          <w:szCs w:val="32"/>
        </w:rPr>
        <w:t>0</w:t>
      </w:r>
      <w:r>
        <w:rPr>
          <w:rStyle w:val="16"/>
          <w:rFonts w:hint="eastAsia" w:ascii="方正仿宋简体" w:hAnsi="仿宋" w:eastAsia="方正仿宋简体"/>
          <w:b w:val="0"/>
          <w:bCs/>
          <w:color w:val="000000"/>
          <w:sz w:val="32"/>
          <w:szCs w:val="32"/>
        </w:rPr>
        <w:t>%。</w:t>
      </w:r>
      <w:r>
        <w:rPr>
          <w:rFonts w:hint="eastAsia" w:ascii="方正仿宋简体" w:eastAsia="方正仿宋简体"/>
          <w:color w:val="000000"/>
          <w:sz w:val="32"/>
          <w:szCs w:val="32"/>
        </w:rPr>
        <w:t>公务接待费支出决算比2019年增加/减少</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万元，增长/下降</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%。其中：</w:t>
      </w:r>
    </w:p>
    <w:p>
      <w:pPr>
        <w:spacing w:line="576" w:lineRule="exact"/>
        <w:ind w:firstLine="640"/>
        <w:rPr>
          <w:rFonts w:hint="eastAsia" w:ascii="方正仿宋简体" w:eastAsia="方正仿宋简体"/>
          <w:color w:val="000000"/>
          <w:sz w:val="32"/>
          <w:szCs w:val="32"/>
        </w:rPr>
      </w:pPr>
      <w:r>
        <w:rPr>
          <w:rFonts w:hint="eastAsia" w:ascii="方正仿宋简体" w:hAnsi="仿宋" w:eastAsia="方正仿宋简体"/>
          <w:b/>
          <w:color w:val="000000"/>
          <w:sz w:val="32"/>
          <w:szCs w:val="32"/>
        </w:rPr>
        <w:t>国内公务接待支出</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万元。国内公务接待</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批次，</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人次（不包括陪同人员），共计支出</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w:t>
      </w:r>
    </w:p>
    <w:p>
      <w:pPr>
        <w:spacing w:line="576" w:lineRule="exact"/>
        <w:ind w:firstLine="642" w:firstLineChars="200"/>
        <w:rPr>
          <w:rFonts w:hint="eastAsia" w:ascii="方正仿宋简体" w:eastAsia="方正仿宋简体"/>
          <w:color w:val="000000"/>
          <w:sz w:val="32"/>
          <w:szCs w:val="32"/>
        </w:rPr>
      </w:pPr>
      <w:r>
        <w:rPr>
          <w:rFonts w:hint="eastAsia" w:ascii="方正仿宋简体" w:hAnsi="仿宋" w:eastAsia="方正仿宋简体"/>
          <w:b/>
          <w:color w:val="000000"/>
          <w:sz w:val="32"/>
          <w:szCs w:val="32"/>
        </w:rPr>
        <w:t>外事接待支出</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万元，外事接待</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批次，</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人，共计支出</w:t>
      </w:r>
      <w:r>
        <w:rPr>
          <w:rFonts w:hint="eastAsia" w:ascii="方正仿宋简体" w:hAnsi="仿宋" w:eastAsia="方正仿宋简体"/>
          <w:color w:val="000000"/>
          <w:sz w:val="32"/>
          <w:szCs w:val="32"/>
        </w:rPr>
        <w:t>0</w:t>
      </w:r>
      <w:r>
        <w:rPr>
          <w:rFonts w:hint="eastAsia" w:ascii="方正仿宋简体" w:eastAsia="方正仿宋简体"/>
          <w:color w:val="000000"/>
          <w:sz w:val="32"/>
          <w:szCs w:val="32"/>
        </w:rPr>
        <w:t>万元。</w:t>
      </w:r>
    </w:p>
    <w:p>
      <w:pPr>
        <w:spacing w:line="576" w:lineRule="exact"/>
        <w:ind w:firstLine="640" w:firstLineChars="200"/>
        <w:outlineLvl w:val="1"/>
        <w:rPr>
          <w:rFonts w:ascii="方正黑体简体" w:hAnsi="仿宋" w:eastAsia="方正黑体简体"/>
          <w:b/>
          <w:bCs/>
          <w:sz w:val="32"/>
          <w:szCs w:val="32"/>
        </w:rPr>
      </w:pPr>
      <w:r>
        <w:rPr>
          <w:rFonts w:hint="eastAsia" w:ascii="方正黑体简体" w:hAnsi="仿宋" w:eastAsia="方正黑体简体"/>
          <w:sz w:val="32"/>
          <w:szCs w:val="32"/>
        </w:rPr>
        <w:t>八、</w:t>
      </w:r>
      <w:r>
        <w:rPr>
          <w:rFonts w:hint="eastAsia" w:ascii="方正黑体简体" w:hAnsi="仿宋" w:eastAsia="方正黑体简体"/>
          <w:bCs/>
          <w:sz w:val="32"/>
          <w:szCs w:val="32"/>
        </w:rPr>
        <w:t>政府性基金预算支出决算情况说明</w:t>
      </w:r>
      <w:bookmarkEnd w:id="44"/>
      <w:bookmarkEnd w:id="45"/>
    </w:p>
    <w:p>
      <w:pPr>
        <w:spacing w:line="576" w:lineRule="exact"/>
        <w:ind w:firstLine="64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2020年政府性基金预算拨款支出0万元。</w:t>
      </w:r>
    </w:p>
    <w:p>
      <w:pPr>
        <w:spacing w:line="576" w:lineRule="exact"/>
        <w:ind w:firstLine="640" w:firstLineChars="200"/>
        <w:outlineLvl w:val="1"/>
        <w:rPr>
          <w:rFonts w:ascii="方正黑体简体" w:hAnsi="仿宋" w:eastAsia="方正黑体简体"/>
          <w:bCs/>
          <w:sz w:val="32"/>
          <w:szCs w:val="32"/>
        </w:rPr>
      </w:pPr>
      <w:bookmarkStart w:id="48" w:name="_Toc15377219"/>
      <w:bookmarkStart w:id="49" w:name="_Toc15396611"/>
      <w:r>
        <w:rPr>
          <w:rFonts w:hint="eastAsia" w:ascii="方正黑体简体" w:hAnsi="仿宋" w:eastAsia="方正黑体简体"/>
          <w:bCs/>
          <w:sz w:val="32"/>
          <w:szCs w:val="32"/>
        </w:rPr>
        <w:t>九、国有资本经营预算支出决算情况说明</w:t>
      </w:r>
      <w:bookmarkEnd w:id="48"/>
      <w:bookmarkEnd w:id="49"/>
    </w:p>
    <w:p>
      <w:pPr>
        <w:spacing w:line="576" w:lineRule="exact"/>
        <w:ind w:firstLine="64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2020年国有资本经营预算拨款支出0万元。</w:t>
      </w:r>
    </w:p>
    <w:p>
      <w:pPr>
        <w:spacing w:line="576" w:lineRule="exact"/>
        <w:ind w:firstLine="640" w:firstLineChars="200"/>
        <w:outlineLvl w:val="1"/>
        <w:rPr>
          <w:rFonts w:ascii="方正黑体简体" w:hAnsi="仿宋" w:eastAsia="方正黑体简体"/>
          <w:b/>
          <w:sz w:val="32"/>
          <w:szCs w:val="32"/>
        </w:rPr>
      </w:pPr>
      <w:bookmarkStart w:id="50" w:name="_Toc15396612"/>
      <w:bookmarkStart w:id="51" w:name="_Toc15377221"/>
      <w:r>
        <w:rPr>
          <w:rFonts w:hint="eastAsia" w:ascii="方正黑体简体" w:hAnsi="仿宋" w:eastAsia="方正黑体简体"/>
          <w:bCs/>
          <w:sz w:val="32"/>
          <w:szCs w:val="32"/>
        </w:rPr>
        <w:t>十</w:t>
      </w:r>
      <w:r>
        <w:rPr>
          <w:rFonts w:hint="eastAsia" w:ascii="方正黑体简体" w:hAnsi="仿宋" w:eastAsia="方正黑体简体"/>
          <w:b/>
          <w:sz w:val="32"/>
          <w:szCs w:val="32"/>
        </w:rPr>
        <w:t>、</w:t>
      </w:r>
      <w:r>
        <w:rPr>
          <w:rFonts w:hint="eastAsia" w:ascii="方正黑体简体" w:hAnsi="仿宋" w:eastAsia="方正黑体简体"/>
          <w:sz w:val="32"/>
          <w:szCs w:val="32"/>
        </w:rPr>
        <w:t>其他重要事项的情况说明</w:t>
      </w:r>
      <w:bookmarkEnd w:id="50"/>
      <w:bookmarkEnd w:id="51"/>
    </w:p>
    <w:p>
      <w:pPr>
        <w:spacing w:line="576" w:lineRule="exact"/>
        <w:ind w:firstLine="640" w:firstLineChars="200"/>
        <w:outlineLvl w:val="2"/>
        <w:rPr>
          <w:rFonts w:hint="eastAsia" w:ascii="方正楷体简体" w:hAnsi="仿宋" w:eastAsia="方正楷体简体"/>
          <w:color w:val="000000" w:themeColor="text1"/>
          <w:sz w:val="32"/>
          <w:szCs w:val="32"/>
        </w:rPr>
      </w:pPr>
      <w:bookmarkStart w:id="52" w:name="_Toc15377222"/>
      <w:r>
        <w:rPr>
          <w:rFonts w:hint="eastAsia" w:ascii="方正楷体简体" w:hAnsi="仿宋" w:eastAsia="方正楷体简体"/>
          <w:color w:val="000000" w:themeColor="text1"/>
          <w:sz w:val="32"/>
          <w:szCs w:val="32"/>
        </w:rPr>
        <w:t>（一）机关运行经费支出情况</w:t>
      </w:r>
      <w:bookmarkEnd w:id="52"/>
    </w:p>
    <w:p>
      <w:pPr>
        <w:spacing w:line="576"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2020年，街道机关运行经费支出48.9万元，比2019年增加48.9万元，增长100%。主要原因是</w:t>
      </w:r>
      <w:r>
        <w:rPr>
          <w:rFonts w:hint="eastAsia" w:ascii="方正仿宋简体" w:hAnsi="仿宋" w:eastAsia="方正仿宋简体"/>
          <w:color w:val="000000" w:themeColor="text1"/>
          <w:sz w:val="32"/>
          <w:szCs w:val="32"/>
        </w:rPr>
        <w:t>2020年万缘街道办事处成立。</w:t>
      </w:r>
    </w:p>
    <w:p>
      <w:pPr>
        <w:spacing w:line="576" w:lineRule="exact"/>
        <w:ind w:firstLine="642" w:firstLineChars="200"/>
        <w:rPr>
          <w:rFonts w:hint="eastAsia" w:ascii="方正仿宋简体" w:hAnsi="仿宋" w:eastAsia="方正仿宋简体"/>
          <w:b/>
          <w:color w:val="000000" w:themeColor="text1"/>
          <w:sz w:val="32"/>
          <w:szCs w:val="32"/>
        </w:rPr>
      </w:pPr>
      <w:r>
        <w:rPr>
          <w:rFonts w:hint="eastAsia" w:ascii="方正仿宋简体" w:hAnsi="仿宋" w:eastAsia="方正仿宋简体"/>
          <w:b/>
          <w:color w:val="000000" w:themeColor="text1"/>
          <w:sz w:val="32"/>
          <w:szCs w:val="32"/>
        </w:rPr>
        <w:t>（注：数据来源于财决附03表）</w:t>
      </w:r>
    </w:p>
    <w:p>
      <w:pPr>
        <w:spacing w:line="576" w:lineRule="exact"/>
        <w:ind w:firstLine="642" w:firstLineChars="200"/>
        <w:outlineLvl w:val="2"/>
        <w:rPr>
          <w:rFonts w:hint="eastAsia" w:ascii="方正仿宋简体" w:eastAsia="方正仿宋简体"/>
          <w:color w:val="000000" w:themeColor="text1"/>
        </w:rPr>
      </w:pPr>
      <w:r>
        <w:rPr>
          <w:rFonts w:hint="eastAsia" w:ascii="方正仿宋简体" w:hAnsi="仿宋" w:eastAsia="方正仿宋简体"/>
          <w:b/>
          <w:color w:val="000000" w:themeColor="text1"/>
          <w:sz w:val="32"/>
          <w:szCs w:val="32"/>
        </w:rPr>
        <w:t>（数据来源于决算系统中决算报表中机构运行信息表）</w:t>
      </w:r>
    </w:p>
    <w:p>
      <w:pPr>
        <w:spacing w:line="576" w:lineRule="exact"/>
        <w:ind w:firstLine="640" w:firstLineChars="200"/>
        <w:outlineLvl w:val="2"/>
        <w:rPr>
          <w:rFonts w:hint="eastAsia" w:ascii="方正楷体简体" w:hAnsi="仿宋" w:eastAsia="方正楷体简体"/>
          <w:color w:val="000000" w:themeColor="text1"/>
          <w:sz w:val="32"/>
          <w:szCs w:val="32"/>
        </w:rPr>
      </w:pPr>
      <w:bookmarkStart w:id="53" w:name="_Toc15377223"/>
      <w:r>
        <w:rPr>
          <w:rFonts w:hint="eastAsia" w:ascii="方正楷体简体" w:hAnsi="仿宋" w:eastAsia="方正楷体简体"/>
          <w:color w:val="000000" w:themeColor="text1"/>
          <w:sz w:val="32"/>
          <w:szCs w:val="32"/>
        </w:rPr>
        <w:t>（二）政府采购支出情况</w:t>
      </w:r>
      <w:bookmarkEnd w:id="53"/>
    </w:p>
    <w:p>
      <w:pPr>
        <w:spacing w:line="576"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2020年，政府采购支出总额6.65万元，其中：政府采购货物支出6.65万元。主要用于</w:t>
      </w:r>
      <w:r>
        <w:rPr>
          <w:rFonts w:hint="eastAsia" w:ascii="方正仿宋简体" w:eastAsia="方正仿宋简体" w:cs="仿宋_GB2312"/>
          <w:color w:val="000000" w:themeColor="text1"/>
          <w:sz w:val="32"/>
          <w:szCs w:val="32"/>
        </w:rPr>
        <w:t>重点项目拆迁办、维稳办等办公室的电脑、打印机等设备的购置。授予中小企业合同金额0万元，占政府采购支出总额的0%，其中：授予小微企业合同金额6.65万元，占政府采购支出总额的100%。</w:t>
      </w:r>
    </w:p>
    <w:p>
      <w:pPr>
        <w:spacing w:line="576" w:lineRule="exact"/>
        <w:ind w:firstLine="642" w:firstLineChars="200"/>
        <w:rPr>
          <w:rFonts w:hint="eastAsia" w:ascii="方正仿宋简体" w:hAnsi="仿宋" w:eastAsia="方正仿宋简体"/>
          <w:b/>
          <w:color w:val="000000" w:themeColor="text1"/>
          <w:sz w:val="32"/>
          <w:szCs w:val="32"/>
        </w:rPr>
      </w:pPr>
      <w:r>
        <w:rPr>
          <w:rFonts w:hint="eastAsia" w:ascii="方正仿宋简体" w:hAnsi="仿宋" w:eastAsia="方正仿宋简体"/>
          <w:b/>
          <w:color w:val="000000" w:themeColor="text1"/>
          <w:sz w:val="32"/>
          <w:szCs w:val="32"/>
        </w:rPr>
        <w:t>（注：数据来源于财决附03表）</w:t>
      </w:r>
    </w:p>
    <w:p>
      <w:pPr>
        <w:spacing w:line="576" w:lineRule="exact"/>
        <w:ind w:firstLine="640" w:firstLineChars="200"/>
        <w:outlineLvl w:val="2"/>
        <w:rPr>
          <w:rFonts w:hint="eastAsia" w:ascii="方正楷体简体" w:hAnsi="仿宋" w:eastAsia="方正楷体简体"/>
          <w:color w:val="000000" w:themeColor="text1"/>
          <w:sz w:val="32"/>
          <w:szCs w:val="32"/>
        </w:rPr>
      </w:pPr>
      <w:bookmarkStart w:id="54" w:name="_Toc15377224"/>
      <w:r>
        <w:rPr>
          <w:rFonts w:hint="eastAsia" w:ascii="方正楷体简体" w:hAnsi="仿宋" w:eastAsia="方正楷体简体"/>
          <w:color w:val="000000" w:themeColor="text1"/>
          <w:sz w:val="32"/>
          <w:szCs w:val="32"/>
        </w:rPr>
        <w:t>（三）国有资产占有使用情况</w:t>
      </w:r>
      <w:bookmarkEnd w:id="54"/>
    </w:p>
    <w:p>
      <w:pPr>
        <w:autoSpaceDE w:val="0"/>
        <w:autoSpaceDN w:val="0"/>
        <w:adjustRightInd w:val="0"/>
        <w:spacing w:line="576" w:lineRule="exact"/>
        <w:ind w:firstLine="640" w:firstLineChars="200"/>
        <w:jc w:val="left"/>
        <w:rPr>
          <w:rFonts w:hint="eastAsia" w:ascii="方正仿宋简体" w:hAnsi="仿宋" w:eastAsia="方正仿宋简体"/>
          <w:b/>
          <w:color w:val="000000" w:themeColor="text1"/>
          <w:sz w:val="32"/>
          <w:szCs w:val="32"/>
        </w:rPr>
      </w:pPr>
      <w:r>
        <w:rPr>
          <w:rFonts w:hint="eastAsia" w:ascii="方正仿宋简体" w:eastAsia="方正仿宋简体"/>
          <w:color w:val="000000" w:themeColor="text1"/>
          <w:sz w:val="32"/>
          <w:szCs w:val="32"/>
        </w:rPr>
        <w:t>截至2020年12月31日，共有车辆0辆。</w:t>
      </w:r>
      <w:r>
        <w:rPr>
          <w:rFonts w:hint="eastAsia" w:ascii="方正仿宋简体" w:hAnsi="仿宋" w:eastAsia="方正仿宋简体"/>
          <w:b/>
          <w:color w:val="000000" w:themeColor="text1"/>
          <w:sz w:val="32"/>
          <w:szCs w:val="32"/>
        </w:rPr>
        <w:t>（注：数据来源财决附03表，按部门决算报表填报数据罗列车辆情况。）</w:t>
      </w:r>
    </w:p>
    <w:p>
      <w:pPr>
        <w:spacing w:line="576" w:lineRule="exact"/>
        <w:ind w:firstLine="640" w:firstLineChars="200"/>
        <w:outlineLvl w:val="2"/>
        <w:rPr>
          <w:rFonts w:hint="eastAsia" w:ascii="方正楷体简体" w:hAnsi="仿宋" w:eastAsia="方正楷体简体"/>
          <w:color w:val="000000" w:themeColor="text1"/>
          <w:sz w:val="32"/>
          <w:szCs w:val="32"/>
        </w:rPr>
      </w:pPr>
      <w:r>
        <w:rPr>
          <w:rFonts w:hint="eastAsia" w:ascii="方正楷体简体" w:hAnsi="仿宋" w:eastAsia="方正楷体简体"/>
          <w:color w:val="000000" w:themeColor="text1"/>
          <w:sz w:val="32"/>
          <w:szCs w:val="32"/>
        </w:rPr>
        <w:t>（四）预算绩效管理情况</w:t>
      </w:r>
    </w:p>
    <w:p>
      <w:pPr>
        <w:spacing w:line="576"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根据预算绩效管理要求，本单位在年初预算编制阶段，组织对万缘街道办事处项目开展了预算事前绩效评估，对9个项目编制了绩效目标，预算执行过程中，选取9个项目开展绩效监控，年终执行完毕后，对9个项目开展了绩效目标完成情况梳理填报。</w:t>
      </w:r>
    </w:p>
    <w:p>
      <w:pPr>
        <w:spacing w:line="576" w:lineRule="exact"/>
        <w:ind w:firstLine="640" w:firstLineChars="200"/>
        <w:rPr>
          <w:rFonts w:hint="eastAsia" w:ascii="方正仿宋简体" w:hAnsi="仿宋_GB2312" w:eastAsia="方正仿宋简体" w:cs="仿宋_GB2312"/>
          <w:sz w:val="32"/>
          <w:szCs w:val="32"/>
          <w:shd w:val="clear" w:color="auto" w:fill="FFFF00"/>
        </w:rPr>
      </w:pPr>
      <w:r>
        <w:rPr>
          <w:rFonts w:hint="eastAsia" w:ascii="方正仿宋简体" w:hAnsi="仿宋_GB2312" w:eastAsia="方正仿宋简体" w:cs="仿宋_GB2312"/>
          <w:sz w:val="32"/>
          <w:szCs w:val="32"/>
        </w:rPr>
        <w:t>本单位按要求对2020年部门整体支出开展绩效自评，从评价情况来看</w:t>
      </w:r>
      <w:r>
        <w:rPr>
          <w:rFonts w:hint="eastAsia" w:ascii="方正仿宋简体" w:eastAsia="方正仿宋简体"/>
          <w:color w:val="000000"/>
          <w:sz w:val="32"/>
          <w:szCs w:val="32"/>
        </w:rPr>
        <w:t>2020年我办部门整体支出绩效评价自查自评结果良好，按照预算绩效管理要求，本</w:t>
      </w:r>
      <w:r>
        <w:rPr>
          <w:rFonts w:hint="eastAsia" w:ascii="方正仿宋简体" w:hAnsi="仿宋_GB2312" w:eastAsia="方正仿宋简体" w:cs="仿宋_GB2312"/>
          <w:sz w:val="32"/>
          <w:szCs w:val="32"/>
        </w:rPr>
        <w:t>单位</w:t>
      </w:r>
      <w:r>
        <w:rPr>
          <w:rFonts w:hint="eastAsia" w:ascii="方正仿宋简体" w:eastAsia="方正仿宋简体"/>
          <w:color w:val="000000"/>
          <w:sz w:val="32"/>
          <w:szCs w:val="32"/>
        </w:rPr>
        <w:t>对2020年整体支出开展绩效自评，自评得分97分，基本支出保证了部门的正常运行和日常工作的正常开展，项目支出能够保障重点工作的开展，达到预期绩效目标</w:t>
      </w:r>
      <w:r>
        <w:rPr>
          <w:rFonts w:hint="eastAsia" w:ascii="方正仿宋简体" w:hAnsi="仿宋_GB2312" w:eastAsia="方正仿宋简体" w:cs="仿宋_GB2312"/>
          <w:sz w:val="32"/>
          <w:szCs w:val="32"/>
        </w:rPr>
        <w:t>。</w:t>
      </w:r>
      <w:r>
        <w:rPr>
          <w:rFonts w:hint="eastAsia" w:ascii="方正仿宋简体" w:eastAsia="方正仿宋简体"/>
          <w:color w:val="000000"/>
          <w:sz w:val="32"/>
          <w:szCs w:val="32"/>
        </w:rPr>
        <w:t>本</w:t>
      </w:r>
      <w:r>
        <w:rPr>
          <w:rFonts w:hint="eastAsia" w:ascii="方正仿宋简体" w:hAnsi="仿宋_GB2312" w:eastAsia="方正仿宋简体" w:cs="仿宋_GB2312"/>
          <w:sz w:val="32"/>
          <w:szCs w:val="32"/>
        </w:rPr>
        <w:t>单位</w:t>
      </w:r>
      <w:r>
        <w:rPr>
          <w:rFonts w:hint="eastAsia" w:ascii="方正仿宋简体" w:eastAsia="方正仿宋简体"/>
          <w:color w:val="000000"/>
          <w:sz w:val="32"/>
          <w:szCs w:val="32"/>
        </w:rPr>
        <w:t>还自行组织了5个项目绩效评价，从评价情况来看项目整体支出绩效评价较好，项目支出能够保障重点工作的开展，达到预期了绩效目标。</w:t>
      </w:r>
    </w:p>
    <w:p>
      <w:pPr>
        <w:spacing w:line="576" w:lineRule="exact"/>
        <w:ind w:firstLine="640" w:firstLineChars="200"/>
        <w:rPr>
          <w:rFonts w:hint="eastAsia" w:ascii="方正仿宋简体" w:hAnsi="仿宋_GB2312" w:eastAsia="方正仿宋简体" w:cs="仿宋_GB2312"/>
          <w:color w:val="000000" w:themeColor="text1"/>
          <w:sz w:val="32"/>
          <w:szCs w:val="32"/>
        </w:rPr>
      </w:pPr>
      <w:r>
        <w:rPr>
          <w:rFonts w:hint="eastAsia" w:ascii="方正仿宋简体" w:hAnsi="楷体_GB2312" w:eastAsia="方正仿宋简体" w:cs="楷体_GB2312"/>
          <w:color w:val="000000" w:themeColor="text1"/>
          <w:sz w:val="32"/>
          <w:szCs w:val="32"/>
        </w:rPr>
        <w:t>1.项目绩效目标完成情况。</w:t>
      </w:r>
      <w:r>
        <w:rPr>
          <w:rFonts w:hint="eastAsia" w:ascii="方正仿宋简体" w:hAnsi="楷体_GB2312" w:eastAsia="方正仿宋简体" w:cs="楷体_GB2312"/>
          <w:color w:val="000000" w:themeColor="text1"/>
          <w:sz w:val="32"/>
          <w:szCs w:val="32"/>
        </w:rPr>
        <w:br w:type="textWrapping"/>
      </w:r>
      <w:r>
        <w:rPr>
          <w:rFonts w:hint="eastAsia" w:ascii="方正仿宋简体" w:hAnsi="仿宋_GB2312" w:eastAsia="方正仿宋简体" w:cs="仿宋_GB2312"/>
          <w:color w:val="000000" w:themeColor="text1"/>
          <w:sz w:val="32"/>
          <w:szCs w:val="32"/>
        </w:rPr>
        <w:t xml:space="preserve">    本部门在2020年度部门决算中反映“森林防火专项经费”“义务兵优待金”“80岁老党员生活补助”“美丽乡村建设”“依法治区专项工作”等5个项目绩效目标实际完成情况。（本单位部门项目绩效目标个数在5个以上的，选取5个项目进行公开，目标个数在5个以下的，全部进行公开，公开内容包括选取的全部项目完成情况综述和完成情况表）。</w:t>
      </w:r>
    </w:p>
    <w:p>
      <w:pPr>
        <w:spacing w:line="576"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color w:val="000000" w:themeColor="text1"/>
          <w:sz w:val="32"/>
          <w:szCs w:val="32"/>
        </w:rPr>
        <w:t>（1）森林防火项目绩效目标完成情况综述。项目全年预算数2万元，执行数为2万元，完成预算的100%。</w:t>
      </w:r>
      <w:r>
        <w:rPr>
          <w:rFonts w:hint="eastAsia" w:ascii="方正仿宋简体" w:hAnsi="仿宋_GB2312" w:eastAsia="方正仿宋简体" w:cs="仿宋_GB2312"/>
          <w:sz w:val="32"/>
          <w:szCs w:val="32"/>
        </w:rPr>
        <w:t>通过项目实施，有效防范辖区森林火灾的发生，保障森林防火宣传，</w:t>
      </w:r>
      <w:r>
        <w:rPr>
          <w:rFonts w:hint="eastAsia" w:ascii="方正仿宋简体" w:hAnsi="仿宋_GB2312" w:eastAsia="方正仿宋简体" w:cs="仿宋_GB2312"/>
          <w:color w:val="000000" w:themeColor="text1"/>
          <w:sz w:val="32"/>
          <w:szCs w:val="32"/>
        </w:rPr>
        <w:t>确保林区森林资源安全，绿</w:t>
      </w:r>
      <w:r>
        <w:rPr>
          <w:rFonts w:hint="eastAsia" w:ascii="方正仿宋简体" w:hAnsi="仿宋_GB2312" w:eastAsia="方正仿宋简体" w:cs="仿宋_GB2312"/>
          <w:sz w:val="32"/>
          <w:szCs w:val="32"/>
        </w:rPr>
        <w:t>化面积逐年提升。发现问题：群众森林防火意识还需加强。下一步改进措施：加强森林防火宣传，创新宣传方式方法。</w:t>
      </w:r>
    </w:p>
    <w:p>
      <w:pPr>
        <w:spacing w:line="576" w:lineRule="exact"/>
        <w:ind w:firstLine="640" w:firstLineChars="200"/>
        <w:rPr>
          <w:rFonts w:hint="eastAsia" w:ascii="方正仿宋简体" w:hAnsi="仿宋_GB2312" w:eastAsia="方正仿宋简体"/>
          <w:color w:val="000000" w:themeColor="text1"/>
          <w:sz w:val="32"/>
          <w:szCs w:val="32"/>
        </w:rPr>
      </w:pPr>
      <w:r>
        <w:rPr>
          <w:rFonts w:hint="eastAsia" w:ascii="方正仿宋简体" w:hAnsi="仿宋_GB2312" w:eastAsia="方正仿宋简体" w:cs="仿宋_GB2312"/>
          <w:color w:val="000000" w:themeColor="text1"/>
          <w:sz w:val="32"/>
          <w:szCs w:val="32"/>
        </w:rPr>
        <w:t>（2）义务兵优待金项目绩效目标完成情况综述。项目全年预算数4.07万元，执行数为4.07万元，完成预算的100%，通过项目实施，保障了我国国防事业的发展，提高了适龄公民积极履行兵役的意愿。通过对农村义务兵优待金的发放，体现了社会各级拥军爱军，增加了适龄青年履行兵役义务的积极性，发现的主要问题：</w:t>
      </w:r>
      <w:r>
        <w:rPr>
          <w:rFonts w:hint="eastAsia" w:ascii="方正仿宋简体" w:eastAsia="方正仿宋简体" w:cs="仿宋_GB2312"/>
          <w:color w:val="000000" w:themeColor="text1"/>
          <w:sz w:val="32"/>
          <w:szCs w:val="32"/>
        </w:rPr>
        <w:t>预算执行进度不够严格</w:t>
      </w:r>
      <w:r>
        <w:rPr>
          <w:rFonts w:hint="eastAsia" w:ascii="方正仿宋简体" w:hAnsi="仿宋_GB2312" w:eastAsia="方正仿宋简体" w:cs="仿宋_GB2312"/>
          <w:color w:val="000000" w:themeColor="text1"/>
          <w:sz w:val="32"/>
          <w:szCs w:val="32"/>
        </w:rPr>
        <w:t>。下一步改进措施：</w:t>
      </w:r>
      <w:r>
        <w:rPr>
          <w:rFonts w:hint="eastAsia" w:ascii="方正仿宋简体" w:eastAsia="方正仿宋简体" w:cs="仿宋_GB2312"/>
          <w:color w:val="000000" w:themeColor="text1"/>
          <w:sz w:val="32"/>
          <w:szCs w:val="32"/>
        </w:rPr>
        <w:t>严格按照预算执行。</w:t>
      </w:r>
    </w:p>
    <w:p>
      <w:pPr>
        <w:spacing w:line="576" w:lineRule="exact"/>
        <w:ind w:firstLine="640" w:firstLineChars="200"/>
        <w:rPr>
          <w:rFonts w:hint="eastAsia" w:ascii="方正仿宋简体" w:hAnsi="仿宋_GB2312" w:eastAsia="方正仿宋简体"/>
          <w:color w:val="000000" w:themeColor="text1"/>
          <w:sz w:val="32"/>
          <w:szCs w:val="32"/>
        </w:rPr>
      </w:pPr>
      <w:r>
        <w:rPr>
          <w:rFonts w:hint="eastAsia" w:ascii="方正仿宋简体" w:hAnsi="仿宋_GB2312" w:eastAsia="方正仿宋简体" w:cs="仿宋_GB2312"/>
          <w:color w:val="000000" w:themeColor="text1"/>
          <w:sz w:val="32"/>
          <w:szCs w:val="32"/>
        </w:rPr>
        <w:t>（3）80岁老党员生活补助项目绩效目标完成情况综述。项目全年预算数0.48万元，执行数为0.36万元，完成预算的75%。通过项目实施，体现党组织对基层老党员的关爱，让退休党员体会到幸福感。发现的主要问题：纳入高龄老党员更新不及时。下一步改进措施：实行动态监管。</w:t>
      </w:r>
    </w:p>
    <w:p>
      <w:pPr>
        <w:spacing w:line="576" w:lineRule="exact"/>
        <w:ind w:firstLine="640" w:firstLineChars="200"/>
        <w:rPr>
          <w:rFonts w:hint="eastAsia"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rPr>
        <w:t>（4）美丽乡村建设绩效目标完成情况综述。项目全年预算数10万元，执行数为10万元，完成预算的100%。通过项目实施，提升万和村的硬实力，修缮了道路，完善了基础设施。</w:t>
      </w:r>
    </w:p>
    <w:p>
      <w:pPr>
        <w:spacing w:line="576"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（5）依法治区项目绩效目标完成情况综述。项目全年预算数1万元，执行数为1万元，完成预算的100%。通过项目实施，增强了全社会的法律意识，做到了依法办事，发现的主要问题：</w:t>
      </w:r>
      <w:r>
        <w:rPr>
          <w:rFonts w:hint="eastAsia" w:ascii="方正仿宋简体" w:eastAsia="方正仿宋简体" w:cs="仿宋_GB2312"/>
          <w:sz w:val="32"/>
          <w:szCs w:val="32"/>
        </w:rPr>
        <w:t>预算执行不够科学</w:t>
      </w:r>
      <w:r>
        <w:rPr>
          <w:rFonts w:hint="eastAsia" w:ascii="方正仿宋简体" w:hAnsi="仿宋_GB2312" w:eastAsia="方正仿宋简体" w:cs="仿宋_GB2312"/>
          <w:sz w:val="32"/>
          <w:szCs w:val="32"/>
        </w:rPr>
        <w:t>。下一步改进措施：科学预算，严格按照预算执行。</w:t>
      </w:r>
    </w:p>
    <w:p>
      <w:pPr>
        <w:spacing w:line="576" w:lineRule="exact"/>
        <w:ind w:firstLine="720" w:firstLineChars="200"/>
        <w:rPr>
          <w:rFonts w:hint="eastAsia" w:ascii="方正仿宋简体" w:hAnsi="黑体" w:eastAsia="方正仿宋简体" w:cs="黑体"/>
          <w:color w:val="000000"/>
          <w:kern w:val="0"/>
          <w:sz w:val="36"/>
          <w:szCs w:val="36"/>
        </w:rPr>
      </w:pPr>
    </w:p>
    <w:p>
      <w:pPr>
        <w:spacing w:line="580" w:lineRule="exact"/>
        <w:ind w:firstLine="640" w:firstLineChars="200"/>
        <w:rPr>
          <w:rFonts w:ascii="仿宋_GB2312" w:hAnsi="仿宋_GB2312" w:eastAsia="仿宋_GB2312"/>
          <w:color w:val="000000" w:themeColor="text1"/>
          <w:sz w:val="32"/>
          <w:szCs w:val="32"/>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spacing w:line="580" w:lineRule="exact"/>
              <w:ind w:firstLine="800" w:firstLineChars="200"/>
              <w:jc w:val="center"/>
              <w:rPr>
                <w:rFonts w:hint="eastAsia" w:ascii="方正小标宋简体" w:eastAsia="方正小标宋简体"/>
                <w:color w:val="000000"/>
                <w:sz w:val="36"/>
                <w:szCs w:val="36"/>
              </w:rPr>
            </w:pPr>
            <w:r>
              <w:rPr>
                <w:rFonts w:hint="eastAsia" w:ascii="方正小标宋简体" w:hAnsi="黑体" w:eastAsia="方正小标宋简体" w:cs="黑体"/>
                <w:color w:val="000000"/>
                <w:kern w:val="0"/>
                <w:sz w:val="40"/>
                <w:szCs w:val="36"/>
              </w:rPr>
              <w:t>项目支出绩效目标完成情况表</w:t>
            </w:r>
            <w:r>
              <w:rPr>
                <w:rFonts w:hint="eastAsia" w:ascii="方正小标宋简体" w:hAnsi="宋体" w:eastAsia="方正小标宋简体" w:cs="宋体"/>
                <w:color w:val="000000"/>
                <w:kern w:val="0"/>
                <w:sz w:val="40"/>
                <w:szCs w:val="36"/>
              </w:rPr>
              <w:t>(2020年度)</w:t>
            </w:r>
          </w:p>
        </w:tc>
      </w:tr>
      <w:tr>
        <w:tblPrEx>
          <w:tblCellMar>
            <w:top w:w="0" w:type="dxa"/>
            <w:left w:w="0" w:type="dxa"/>
            <w:bottom w:w="0" w:type="dxa"/>
            <w:right w:w="0" w:type="dxa"/>
          </w:tblCellMar>
        </w:tblPrEx>
        <w:trPr>
          <w:trHeight w:val="43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森林防火项目</w:t>
            </w:r>
          </w:p>
        </w:tc>
      </w:tr>
      <w:tr>
        <w:tblPrEx>
          <w:tblCellMar>
            <w:top w:w="0" w:type="dxa"/>
            <w:left w:w="0" w:type="dxa"/>
            <w:bottom w:w="0" w:type="dxa"/>
            <w:right w:w="0" w:type="dxa"/>
          </w:tblCellMar>
        </w:tblPrEx>
        <w:trPr>
          <w:trHeight w:val="452"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广元市利州区万缘街道办事处</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2万元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2万元</w:t>
            </w:r>
          </w:p>
        </w:tc>
      </w:tr>
      <w:tr>
        <w:tblPrEx>
          <w:tblCellMar>
            <w:top w:w="0" w:type="dxa"/>
            <w:left w:w="0" w:type="dxa"/>
            <w:bottom w:w="0" w:type="dxa"/>
            <w:right w:w="0" w:type="dxa"/>
          </w:tblCellMar>
        </w:tblPrEx>
        <w:trPr>
          <w:trHeight w:val="151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rPr>
            </w:pP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绿化面积逐年提升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确保林区森林资源安全</w:t>
            </w:r>
          </w:p>
        </w:tc>
      </w:tr>
      <w:tr>
        <w:tblPrEx>
          <w:tblCellMar>
            <w:top w:w="0" w:type="dxa"/>
            <w:left w:w="0" w:type="dxa"/>
            <w:bottom w:w="0" w:type="dxa"/>
            <w:right w:w="0" w:type="dxa"/>
          </w:tblCellMar>
        </w:tblPrEx>
        <w:trPr>
          <w:trHeight w:val="104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普及相关森林防灭火知识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制作宣传牌200张、发放防火通告1200余份，制作大型固定标语27幅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制作宣传牌200张、发放防火通告1200余份，制作大型固定标语27幅</w:t>
            </w:r>
          </w:p>
        </w:tc>
      </w:tr>
      <w:tr>
        <w:tblPrEx>
          <w:tblCellMar>
            <w:top w:w="0" w:type="dxa"/>
            <w:left w:w="0" w:type="dxa"/>
            <w:bottom w:w="0" w:type="dxa"/>
            <w:right w:w="0" w:type="dxa"/>
          </w:tblCellMar>
        </w:tblPrEx>
        <w:trPr>
          <w:trHeight w:val="129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定期落实检查整改“回头看”，确保质量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定期检查整改“回头看”，确保质量</w:t>
            </w:r>
          </w:p>
        </w:tc>
      </w:tr>
      <w:tr>
        <w:tblPrEx>
          <w:tblCellMar>
            <w:top w:w="0" w:type="dxa"/>
            <w:left w:w="0" w:type="dxa"/>
            <w:bottom w:w="0" w:type="dxa"/>
            <w:right w:w="0" w:type="dxa"/>
          </w:tblCellMar>
        </w:tblPrEx>
        <w:trPr>
          <w:trHeight w:val="129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r>
      <w:tr>
        <w:tblPrEx>
          <w:tblCellMar>
            <w:top w:w="0" w:type="dxa"/>
            <w:left w:w="0" w:type="dxa"/>
            <w:bottom w:w="0" w:type="dxa"/>
            <w:right w:w="0" w:type="dxa"/>
          </w:tblCellMar>
        </w:tblPrEx>
        <w:trPr>
          <w:trHeight w:val="129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有明显提高</w:t>
            </w:r>
          </w:p>
        </w:tc>
      </w:tr>
    </w:tbl>
    <w:p>
      <w:pPr>
        <w:rPr>
          <w:rFonts w:ascii="Calibri" w:hAnsi="Calibri" w:cs="Calibri"/>
        </w:rPr>
      </w:pPr>
    </w:p>
    <w:p>
      <w:pPr>
        <w:rPr>
          <w:rFonts w:ascii="Calibri" w:hAnsi="Calibri" w:cs="Calibri"/>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1738" w:hanging="1738" w:hangingChars="395"/>
              <w:jc w:val="center"/>
              <w:textAlignment w:val="center"/>
              <w:rPr>
                <w:rFonts w:hint="eastAsia" w:ascii="方正小标宋简体" w:eastAsia="方正小标宋简体"/>
                <w:color w:val="000000"/>
                <w:sz w:val="36"/>
                <w:szCs w:val="36"/>
              </w:rPr>
            </w:pPr>
            <w:r>
              <w:rPr>
                <w:rFonts w:hint="eastAsia" w:ascii="方正小标宋简体" w:hAnsi="黑体" w:eastAsia="方正小标宋简体" w:cs="黑体"/>
                <w:color w:val="000000"/>
                <w:kern w:val="0"/>
                <w:sz w:val="44"/>
                <w:szCs w:val="36"/>
              </w:rPr>
              <w:t>项目支出绩效目标完成情况表</w:t>
            </w:r>
            <w:r>
              <w:rPr>
                <w:rFonts w:hint="eastAsia" w:ascii="方正小标宋简体" w:hAnsi="宋体" w:eastAsia="方正小标宋简体" w:cs="宋体"/>
                <w:color w:val="000000"/>
                <w:kern w:val="0"/>
                <w:sz w:val="44"/>
                <w:szCs w:val="36"/>
              </w:rPr>
              <w:t>(2020年度)</w:t>
            </w:r>
          </w:p>
        </w:tc>
      </w:tr>
      <w:tr>
        <w:tblPrEx>
          <w:tblCellMar>
            <w:top w:w="0" w:type="dxa"/>
            <w:left w:w="0" w:type="dxa"/>
            <w:bottom w:w="0" w:type="dxa"/>
            <w:right w:w="0" w:type="dxa"/>
          </w:tblCellMar>
        </w:tblPrEx>
        <w:trPr>
          <w:trHeight w:val="43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义务兵优待金项目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广元市利州区万缘街道办事处</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4.07万元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4.07万元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4.07万元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4.07万元</w:t>
            </w:r>
          </w:p>
        </w:tc>
      </w:tr>
      <w:tr>
        <w:trPr>
          <w:trHeight w:val="151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rPr>
            </w:pP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确保现役军人补助到位，拥军爱军。</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补助及时足额到位，激发了有志青年的爱国热情</w:t>
            </w:r>
          </w:p>
        </w:tc>
      </w:tr>
      <w:tr>
        <w:trPr>
          <w:trHeight w:val="104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保障现役军人补助发放到位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足额发放补助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发放4.07万元</w:t>
            </w:r>
          </w:p>
        </w:tc>
      </w:tr>
      <w:tr>
        <w:tblPrEx>
          <w:tblCellMar>
            <w:top w:w="0" w:type="dxa"/>
            <w:left w:w="0" w:type="dxa"/>
            <w:bottom w:w="0" w:type="dxa"/>
            <w:right w:w="0" w:type="dxa"/>
          </w:tblCellMar>
        </w:tblPrEx>
        <w:trPr>
          <w:trHeight w:val="129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sz w:val="24"/>
              </w:rPr>
              <w:t>100%</w:t>
            </w:r>
            <w:r>
              <w:rPr>
                <w:rFonts w:hint="eastAsia" w:ascii="宋体" w:cs="宋体"/>
                <w:color w:val="000000"/>
                <w:sz w:val="24"/>
              </w:rPr>
              <w:t>及时足额发放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在规定时限内发放补助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及时足额发放</w:t>
            </w:r>
          </w:p>
        </w:tc>
      </w:tr>
      <w:tr>
        <w:tblPrEx>
          <w:tblCellMar>
            <w:top w:w="0" w:type="dxa"/>
            <w:left w:w="0" w:type="dxa"/>
            <w:bottom w:w="0" w:type="dxa"/>
            <w:right w:w="0" w:type="dxa"/>
          </w:tblCellMar>
        </w:tblPrEx>
        <w:trPr>
          <w:trHeight w:val="104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社会效益</w:t>
            </w:r>
          </w:p>
          <w:p>
            <w:pPr>
              <w:widowControl/>
              <w:jc w:val="center"/>
              <w:textAlignment w:val="center"/>
              <w:rPr>
                <w:rFonts w:ascii="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适龄公民积极履行兵役义务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提高了适龄公民积极履行兵役的意愿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增加了适龄青年履行兵役义务的积极性</w:t>
            </w:r>
          </w:p>
        </w:tc>
      </w:tr>
      <w:tr>
        <w:tblPrEx>
          <w:tblCellMar>
            <w:top w:w="0" w:type="dxa"/>
            <w:left w:w="0" w:type="dxa"/>
            <w:bottom w:w="0" w:type="dxa"/>
            <w:right w:w="0" w:type="dxa"/>
          </w:tblCellMar>
        </w:tblPrEx>
        <w:trPr>
          <w:trHeight w:val="105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社会公众满意度指标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社会满意度100％</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1738" w:hanging="1738" w:hangingChars="395"/>
              <w:jc w:val="center"/>
              <w:textAlignment w:val="center"/>
              <w:rPr>
                <w:rFonts w:ascii="方正小标宋简体" w:hAnsi="黑体" w:eastAsia="方正小标宋简体" w:cs="黑体"/>
                <w:color w:val="000000"/>
                <w:kern w:val="0"/>
                <w:sz w:val="44"/>
                <w:szCs w:val="36"/>
              </w:rPr>
            </w:pPr>
            <w:r>
              <w:rPr>
                <w:rFonts w:hint="eastAsia" w:ascii="方正小标宋简体" w:hAnsi="黑体" w:eastAsia="方正小标宋简体" w:cs="黑体"/>
                <w:color w:val="000000"/>
                <w:kern w:val="0"/>
                <w:sz w:val="44"/>
                <w:szCs w:val="36"/>
              </w:rPr>
              <w:t>项目支出绩效目标完成情况表</w:t>
            </w:r>
            <w:r>
              <w:rPr>
                <w:rFonts w:ascii="方正小标宋简体" w:hAnsi="黑体" w:eastAsia="方正小标宋简体" w:cs="黑体"/>
                <w:color w:val="000000"/>
                <w:kern w:val="0"/>
                <w:sz w:val="44"/>
                <w:szCs w:val="36"/>
              </w:rPr>
              <w:t>(</w:t>
            </w:r>
            <w:r>
              <w:rPr>
                <w:rFonts w:hint="eastAsia" w:ascii="方正小标宋简体" w:hAnsi="黑体" w:eastAsia="方正小标宋简体" w:cs="黑体"/>
                <w:color w:val="000000"/>
                <w:kern w:val="0"/>
                <w:sz w:val="44"/>
                <w:szCs w:val="36"/>
              </w:rPr>
              <w:t>2020年度</w:t>
            </w:r>
            <w:r>
              <w:rPr>
                <w:rFonts w:ascii="方正小标宋简体" w:hAnsi="黑体" w:eastAsia="方正小标宋简体" w:cs="黑体"/>
                <w:color w:val="000000"/>
                <w:kern w:val="0"/>
                <w:sz w:val="44"/>
                <w:szCs w:val="36"/>
              </w:rPr>
              <w:t>)</w:t>
            </w:r>
          </w:p>
        </w:tc>
      </w:tr>
      <w:tr>
        <w:tblPrEx>
          <w:tblCellMar>
            <w:top w:w="0" w:type="dxa"/>
            <w:left w:w="0" w:type="dxa"/>
            <w:bottom w:w="0" w:type="dxa"/>
            <w:right w:w="0" w:type="dxa"/>
          </w:tblCellMar>
        </w:tblPrEx>
        <w:trPr>
          <w:trHeight w:val="43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hAnsi="宋体" w:cs="宋体"/>
                <w:color w:val="000000"/>
                <w:kern w:val="0"/>
                <w:sz w:val="24"/>
              </w:rPr>
              <w:t>80</w:t>
            </w:r>
            <w:r>
              <w:rPr>
                <w:rFonts w:hint="eastAsia" w:ascii="宋体" w:hAnsi="宋体" w:cs="宋体"/>
                <w:color w:val="000000"/>
                <w:kern w:val="0"/>
                <w:sz w:val="24"/>
              </w:rPr>
              <w:t>岁老党员生活补助项目</w:t>
            </w:r>
          </w:p>
        </w:tc>
      </w:tr>
      <w:tr>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广元市利州区万缘街道办事处</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0.48万元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r>
              <w:rPr>
                <w:rFonts w:hint="eastAsia" w:ascii="宋体" w:cs="宋体"/>
                <w:color w:val="000000"/>
                <w:sz w:val="24"/>
              </w:rPr>
              <w:t>0.36万元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0.48万元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r>
              <w:rPr>
                <w:rFonts w:hint="eastAsia" w:ascii="宋体" w:cs="宋体"/>
                <w:color w:val="000000"/>
                <w:sz w:val="24"/>
              </w:rPr>
              <w:t>0.48万元</w:t>
            </w:r>
          </w:p>
        </w:tc>
      </w:tr>
      <w:tr>
        <w:tblPrEx>
          <w:tblCellMar>
            <w:top w:w="0" w:type="dxa"/>
            <w:left w:w="0" w:type="dxa"/>
            <w:bottom w:w="0" w:type="dxa"/>
            <w:right w:w="0" w:type="dxa"/>
          </w:tblCellMar>
        </w:tblPrEx>
        <w:trPr>
          <w:trHeight w:val="151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rPr>
            </w:pPr>
          </w:p>
        </w:tc>
      </w:tr>
      <w:tr>
        <w:tblPrEx>
          <w:tblCellMar>
            <w:top w:w="0" w:type="dxa"/>
            <w:left w:w="0" w:type="dxa"/>
            <w:bottom w:w="0" w:type="dxa"/>
            <w:right w:w="0" w:type="dxa"/>
          </w:tblCellMar>
        </w:tblPrEx>
        <w:trPr>
          <w:trHeight w:val="59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将党组织的温暖和关怀送到老党员的心中</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关爱老党员</w:t>
            </w:r>
          </w:p>
        </w:tc>
      </w:tr>
      <w:tr>
        <w:tblPrEx>
          <w:tblCellMar>
            <w:top w:w="0" w:type="dxa"/>
            <w:left w:w="0" w:type="dxa"/>
            <w:bottom w:w="0" w:type="dxa"/>
            <w:right w:w="0" w:type="dxa"/>
          </w:tblCellMar>
        </w:tblPrEx>
        <w:trPr>
          <w:trHeight w:val="104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129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cs="宋体"/>
                <w:color w:val="000000"/>
                <w:sz w:val="24"/>
              </w:rPr>
              <w:t>时效性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及时发放到位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按月计算，及时发放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共发放0.36万元</w:t>
            </w:r>
          </w:p>
        </w:tc>
      </w:tr>
      <w:tr>
        <w:tblPrEx>
          <w:tblCellMar>
            <w:top w:w="0" w:type="dxa"/>
            <w:left w:w="0" w:type="dxa"/>
            <w:bottom w:w="0" w:type="dxa"/>
            <w:right w:w="0" w:type="dxa"/>
          </w:tblCellMar>
        </w:tblPrEx>
        <w:trPr>
          <w:trHeight w:val="104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党组织对基层老党员的关爱</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让退休党员体会到幸福感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cs="宋体"/>
                <w:color w:val="000000"/>
                <w:sz w:val="24"/>
              </w:rPr>
              <w:t>让退休党员体会到幸福感</w:t>
            </w:r>
          </w:p>
        </w:tc>
      </w:tr>
      <w:tr>
        <w:tblPrEx>
          <w:tblCellMar>
            <w:top w:w="0" w:type="dxa"/>
            <w:left w:w="0" w:type="dxa"/>
            <w:bottom w:w="0" w:type="dxa"/>
            <w:right w:w="0" w:type="dxa"/>
          </w:tblCellMar>
        </w:tblPrEx>
        <w:trPr>
          <w:trHeight w:val="105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群众满意度</w:t>
            </w:r>
            <w:r>
              <w:rPr>
                <w:rFonts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群众满意度</w:t>
            </w:r>
            <w:r>
              <w:rPr>
                <w:rFonts w:ascii="宋体" w:cs="宋体"/>
                <w:color w:val="000000"/>
                <w:sz w:val="24"/>
              </w:rPr>
              <w:t>100%</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hint="eastAsia" w:ascii="黑体" w:hAnsi="黑体" w:eastAsia="黑体"/>
                <w:color w:val="000000"/>
                <w:kern w:val="0"/>
                <w:sz w:val="36"/>
                <w:szCs w:val="36"/>
              </w:rPr>
            </w:pPr>
          </w:p>
          <w:p>
            <w:pPr>
              <w:pStyle w:val="25"/>
              <w:widowControl/>
              <w:ind w:left="4173" w:leftChars="1310" w:hanging="1422" w:hangingChars="395"/>
              <w:textAlignment w:val="center"/>
              <w:rPr>
                <w:rFonts w:ascii="黑体" w:hAnsi="黑体" w:eastAsia="黑体"/>
                <w:color w:val="000000"/>
                <w:kern w:val="0"/>
                <w:sz w:val="36"/>
                <w:szCs w:val="36"/>
              </w:rPr>
            </w:pPr>
          </w:p>
          <w:p>
            <w:pPr>
              <w:pStyle w:val="25"/>
              <w:widowControl/>
              <w:ind w:left="4173" w:leftChars="1310" w:hanging="1422" w:hangingChars="395"/>
              <w:textAlignment w:val="center"/>
              <w:rPr>
                <w:rFonts w:ascii="黑体" w:hAnsi="黑体" w:eastAsia="黑体"/>
                <w:color w:val="000000"/>
                <w:kern w:val="0"/>
                <w:sz w:val="36"/>
                <w:szCs w:val="36"/>
              </w:rPr>
            </w:pPr>
          </w:p>
          <w:p>
            <w:pPr>
              <w:pStyle w:val="25"/>
              <w:widowControl/>
              <w:ind w:left="1738" w:hanging="1738" w:hangingChars="395"/>
              <w:jc w:val="center"/>
              <w:textAlignment w:val="center"/>
              <w:rPr>
                <w:rFonts w:hint="eastAsia" w:ascii="方正小标宋简体" w:eastAsia="方正小标宋简体"/>
                <w:color w:val="000000"/>
                <w:sz w:val="36"/>
                <w:szCs w:val="36"/>
              </w:rPr>
            </w:pPr>
            <w:r>
              <w:rPr>
                <w:rFonts w:hint="eastAsia" w:ascii="方正小标宋简体" w:hAnsi="黑体" w:eastAsia="方正小标宋简体" w:cs="黑体"/>
                <w:color w:val="000000"/>
                <w:kern w:val="0"/>
                <w:sz w:val="44"/>
                <w:szCs w:val="36"/>
              </w:rPr>
              <w:t>项目支出绩效目标完成情况表</w:t>
            </w:r>
            <w:r>
              <w:rPr>
                <w:rFonts w:hint="eastAsia" w:ascii="方正小标宋简体" w:hAnsi="宋体" w:eastAsia="方正小标宋简体" w:cs="宋体"/>
                <w:color w:val="000000"/>
                <w:kern w:val="0"/>
                <w:sz w:val="44"/>
                <w:szCs w:val="36"/>
              </w:rPr>
              <w:t>(2020年度)</w:t>
            </w:r>
          </w:p>
        </w:tc>
      </w:tr>
      <w:tr>
        <w:tblPrEx>
          <w:tblCellMar>
            <w:top w:w="0" w:type="dxa"/>
            <w:left w:w="0" w:type="dxa"/>
            <w:bottom w:w="0" w:type="dxa"/>
            <w:right w:w="0" w:type="dxa"/>
          </w:tblCellMar>
        </w:tblPrEx>
        <w:trPr>
          <w:trHeight w:val="43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themeColor="text1"/>
                <w:kern w:val="0"/>
                <w:sz w:val="24"/>
              </w:rPr>
              <w:t>美丽乡村建设项目</w:t>
            </w:r>
          </w:p>
        </w:tc>
      </w:tr>
      <w:tr>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广元市利州区万缘街道办事处</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r>
              <w:rPr>
                <w:rFonts w:hint="eastAsia" w:ascii="宋体" w:cs="宋体"/>
                <w:color w:val="000000"/>
                <w:sz w:val="24"/>
              </w:rPr>
              <w:t>10万元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r>
              <w:rPr>
                <w:rFonts w:hint="eastAsia" w:ascii="宋体" w:cs="宋体"/>
                <w:color w:val="000000"/>
                <w:sz w:val="24"/>
              </w:rPr>
              <w:t>10万元</w:t>
            </w:r>
          </w:p>
        </w:tc>
      </w:tr>
      <w:tr>
        <w:tblPrEx>
          <w:tblCellMar>
            <w:top w:w="0" w:type="dxa"/>
            <w:left w:w="0" w:type="dxa"/>
            <w:bottom w:w="0" w:type="dxa"/>
            <w:right w:w="0" w:type="dxa"/>
          </w:tblCellMar>
        </w:tblPrEx>
        <w:trPr>
          <w:trHeight w:val="151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rPr>
            </w:pP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产业示范园区建设，完善基础设施</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完善道路、水利等生产性基础设施，进行土地平整</w:t>
            </w:r>
          </w:p>
        </w:tc>
      </w:tr>
      <w:tr>
        <w:tblPrEx>
          <w:tblCellMar>
            <w:top w:w="0" w:type="dxa"/>
            <w:left w:w="0" w:type="dxa"/>
            <w:bottom w:w="0" w:type="dxa"/>
            <w:right w:w="0" w:type="dxa"/>
          </w:tblCellMar>
        </w:tblPrEx>
        <w:trPr>
          <w:trHeight w:val="104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p>
          <w:p>
            <w:pPr>
              <w:pStyle w:val="2"/>
              <w:ind w:left="0" w:leftChars="0" w:firstLine="720" w:firstLineChars="300"/>
            </w:pPr>
            <w:r>
              <w:rPr>
                <w:rFonts w:hint="eastAsia" w:ascii="宋体" w:cs="宋体"/>
                <w:color w:val="000000"/>
                <w:sz w:val="24"/>
              </w:rPr>
              <w:t>道路建设</w:t>
            </w:r>
          </w:p>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新建园区道路5.8公里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新建园区道路5.8公里</w:t>
            </w:r>
          </w:p>
        </w:tc>
      </w:tr>
      <w:tr>
        <w:tblPrEx>
          <w:tblCellMar>
            <w:top w:w="0" w:type="dxa"/>
            <w:left w:w="0" w:type="dxa"/>
            <w:bottom w:w="0" w:type="dxa"/>
            <w:right w:w="0" w:type="dxa"/>
          </w:tblCellMar>
        </w:tblPrEx>
        <w:trPr>
          <w:trHeight w:val="129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可持续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梨园系统建设导视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cs="宋体"/>
                <w:color w:val="000000"/>
                <w:sz w:val="24"/>
              </w:rPr>
              <w:t>带动优势特色产业发展，带动农民持续快速增收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cs="宋体"/>
                <w:color w:val="000000"/>
                <w:sz w:val="24"/>
              </w:rPr>
              <w:t>带动优势特色产业发展，带动农民持续快速增收</w:t>
            </w:r>
          </w:p>
        </w:tc>
      </w:tr>
      <w:tr>
        <w:tblPrEx>
          <w:tblCellMar>
            <w:top w:w="0" w:type="dxa"/>
            <w:left w:w="0" w:type="dxa"/>
            <w:bottom w:w="0" w:type="dxa"/>
            <w:right w:w="0" w:type="dxa"/>
          </w:tblCellMar>
        </w:tblPrEx>
        <w:trPr>
          <w:trHeight w:val="105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社会满意度100</w:t>
            </w:r>
            <w:r>
              <w:rPr>
                <w:rFonts w:asci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社会满意度100</w:t>
            </w:r>
            <w:r>
              <w:rPr>
                <w:rFonts w:ascii="宋体" w:cs="宋体"/>
                <w:color w:val="000000"/>
                <w:sz w:val="24"/>
              </w:rPr>
              <w:t>%</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1738" w:hanging="1738" w:hangingChars="395"/>
              <w:textAlignment w:val="center"/>
              <w:rPr>
                <w:rFonts w:hint="eastAsia" w:ascii="方正小标宋简体" w:hAnsi="黑体" w:eastAsia="方正小标宋简体" w:cs="黑体"/>
                <w:color w:val="000000"/>
                <w:kern w:val="0"/>
                <w:sz w:val="44"/>
                <w:szCs w:val="36"/>
              </w:rPr>
            </w:pPr>
          </w:p>
          <w:p>
            <w:pPr>
              <w:pStyle w:val="25"/>
              <w:widowControl/>
              <w:ind w:left="1738" w:hanging="1738" w:hangingChars="395"/>
              <w:textAlignment w:val="center"/>
              <w:rPr>
                <w:rFonts w:ascii="方正小标宋简体" w:hAnsi="黑体" w:eastAsia="方正小标宋简体" w:cs="黑体"/>
                <w:color w:val="000000"/>
                <w:kern w:val="0"/>
                <w:sz w:val="44"/>
                <w:szCs w:val="36"/>
              </w:rPr>
            </w:pPr>
          </w:p>
          <w:p>
            <w:pPr>
              <w:pStyle w:val="25"/>
              <w:widowControl/>
              <w:ind w:left="1738" w:hanging="1738" w:hangingChars="395"/>
              <w:jc w:val="center"/>
              <w:textAlignment w:val="center"/>
              <w:rPr>
                <w:rFonts w:ascii="宋体"/>
                <w:color w:val="000000"/>
                <w:sz w:val="36"/>
                <w:szCs w:val="36"/>
              </w:rPr>
            </w:pPr>
            <w:r>
              <w:rPr>
                <w:rFonts w:hint="eastAsia" w:ascii="方正小标宋简体" w:hAnsi="宋体" w:eastAsia="方正小标宋简体" w:cs="宋体"/>
                <w:color w:val="000000"/>
                <w:kern w:val="0"/>
                <w:sz w:val="44"/>
                <w:szCs w:val="36"/>
              </w:rPr>
              <w:t>项目支出绩效目标完成情况表</w:t>
            </w:r>
            <w:r>
              <w:rPr>
                <w:rFonts w:ascii="方正小标宋简体" w:hAnsi="宋体" w:eastAsia="方正小标宋简体" w:cs="宋体"/>
                <w:color w:val="000000"/>
                <w:kern w:val="0"/>
                <w:sz w:val="44"/>
                <w:szCs w:val="36"/>
              </w:rPr>
              <w:t>(</w:t>
            </w:r>
            <w:r>
              <w:rPr>
                <w:rFonts w:hint="eastAsia" w:ascii="方正小标宋简体" w:hAnsi="宋体" w:eastAsia="方正小标宋简体" w:cs="宋体"/>
                <w:color w:val="000000"/>
                <w:kern w:val="0"/>
                <w:sz w:val="44"/>
                <w:szCs w:val="36"/>
              </w:rPr>
              <w:t>2020年度</w:t>
            </w:r>
            <w:r>
              <w:rPr>
                <w:rFonts w:ascii="方正小标宋简体" w:hAnsi="宋体" w:eastAsia="方正小标宋简体" w:cs="宋体"/>
                <w:color w:val="000000"/>
                <w:kern w:val="0"/>
                <w:sz w:val="44"/>
                <w:szCs w:val="36"/>
              </w:rPr>
              <w:t>)</w:t>
            </w:r>
          </w:p>
        </w:tc>
      </w:tr>
      <w:tr>
        <w:tblPrEx>
          <w:tblCellMar>
            <w:top w:w="0" w:type="dxa"/>
            <w:left w:w="0" w:type="dxa"/>
            <w:bottom w:w="0" w:type="dxa"/>
            <w:right w:w="0" w:type="dxa"/>
          </w:tblCellMar>
        </w:tblPrEx>
        <w:trPr>
          <w:trHeight w:val="43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依法治区项目</w:t>
            </w:r>
          </w:p>
        </w:tc>
      </w:tr>
      <w:tr>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广元市利州区万缘街道办事处</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1万元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1万元</w:t>
            </w:r>
          </w:p>
        </w:tc>
      </w:tr>
      <w:tr>
        <w:tblPrEx>
          <w:tblCellMar>
            <w:top w:w="0" w:type="dxa"/>
            <w:left w:w="0" w:type="dxa"/>
            <w:bottom w:w="0" w:type="dxa"/>
            <w:right w:w="0" w:type="dxa"/>
          </w:tblCellMar>
        </w:tblPrEx>
        <w:trPr>
          <w:trHeight w:val="151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rPr>
            </w:pP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开展全民学法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职工知法懂法</w:t>
            </w:r>
          </w:p>
        </w:tc>
      </w:tr>
      <w:tr>
        <w:tblPrEx>
          <w:tblCellMar>
            <w:top w:w="0" w:type="dxa"/>
            <w:left w:w="0" w:type="dxa"/>
            <w:bottom w:w="0" w:type="dxa"/>
            <w:right w:w="0" w:type="dxa"/>
          </w:tblCellMar>
        </w:tblPrEx>
        <w:trPr>
          <w:trHeight w:val="104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4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单位职工和村社干部带头学法，加强执法人员能力培训每季度</w:t>
            </w:r>
            <w:r>
              <w:rPr>
                <w:rFonts w:ascii="宋体" w:cs="宋体"/>
                <w:color w:val="000000"/>
                <w:sz w:val="24"/>
              </w:rPr>
              <w:t>1</w:t>
            </w:r>
            <w:r>
              <w:rPr>
                <w:rFonts w:hint="eastAsia" w:ascii="宋体" w:cs="宋体"/>
                <w:color w:val="000000"/>
                <w:sz w:val="24"/>
              </w:rPr>
              <w:t>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单位职工和村社干部带头学法，加强执法人员能力培训每季度</w:t>
            </w:r>
            <w:r>
              <w:rPr>
                <w:rFonts w:ascii="宋体" w:cs="宋体"/>
                <w:color w:val="000000"/>
                <w:sz w:val="24"/>
              </w:rPr>
              <w:t>1</w:t>
            </w:r>
            <w:r>
              <w:rPr>
                <w:rFonts w:hint="eastAsia" w:ascii="宋体" w:cs="宋体"/>
                <w:color w:val="000000"/>
                <w:sz w:val="24"/>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实现预期指标</w:t>
            </w:r>
          </w:p>
        </w:tc>
      </w:tr>
      <w:tr>
        <w:tblPrEx>
          <w:tblCellMar>
            <w:top w:w="0" w:type="dxa"/>
            <w:left w:w="0" w:type="dxa"/>
            <w:bottom w:w="0" w:type="dxa"/>
            <w:right w:w="0" w:type="dxa"/>
          </w:tblCellMar>
        </w:tblPrEx>
        <w:trPr>
          <w:trHeight w:val="129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围绕热点难点问题开展专项治理，全面推进依法治区工作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全面推进依法治区工作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全面推进依法治区工作</w:t>
            </w:r>
          </w:p>
        </w:tc>
      </w:tr>
      <w:tr>
        <w:tblPrEx>
          <w:tblCellMar>
            <w:top w:w="0" w:type="dxa"/>
            <w:left w:w="0" w:type="dxa"/>
            <w:bottom w:w="0" w:type="dxa"/>
            <w:right w:w="0" w:type="dxa"/>
          </w:tblCellMar>
        </w:tblPrEx>
        <w:trPr>
          <w:trHeight w:val="104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增强全社会的法律意识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干部带着学，群众集中学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干部带着学，群众集中学</w:t>
            </w:r>
          </w:p>
        </w:tc>
      </w:tr>
      <w:tr>
        <w:tblPrEx>
          <w:tblCellMar>
            <w:top w:w="0" w:type="dxa"/>
            <w:left w:w="0" w:type="dxa"/>
            <w:bottom w:w="0" w:type="dxa"/>
            <w:right w:w="0" w:type="dxa"/>
          </w:tblCellMar>
        </w:tblPrEx>
        <w:trPr>
          <w:trHeight w:val="129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可持续影响</w:t>
            </w:r>
          </w:p>
          <w:p>
            <w:pPr>
              <w:widowControl/>
              <w:jc w:val="center"/>
              <w:textAlignment w:val="center"/>
              <w:rPr>
                <w:rFonts w:ascii="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继续扩大学法人群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社会满意度</w:t>
            </w:r>
            <w:r>
              <w:rPr>
                <w:rFonts w:ascii="宋体" w:cs="宋体"/>
                <w:color w:val="000000"/>
                <w:sz w:val="24"/>
              </w:rPr>
              <w:t>99%</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社会满意度</w:t>
            </w:r>
            <w:r>
              <w:rPr>
                <w:rFonts w:ascii="宋体" w:cs="宋体"/>
                <w:color w:val="000000"/>
                <w:sz w:val="24"/>
              </w:rPr>
              <w:t>99%</w:t>
            </w:r>
          </w:p>
        </w:tc>
      </w:tr>
    </w:tbl>
    <w:p>
      <w:pPr>
        <w:spacing w:line="580" w:lineRule="exact"/>
        <w:ind w:firstLine="640" w:firstLineChars="200"/>
        <w:rPr>
          <w:rFonts w:hint="eastAsia" w:ascii="仿宋_GB2312" w:hAnsi="仿宋_GB2312" w:eastAsia="仿宋_GB2312" w:cs="仿宋_GB2312"/>
          <w:sz w:val="32"/>
          <w:szCs w:val="32"/>
        </w:rPr>
      </w:pPr>
    </w:p>
    <w:p>
      <w:pPr>
        <w:pStyle w:val="2"/>
      </w:pPr>
    </w:p>
    <w:p>
      <w:pPr>
        <w:spacing w:line="580" w:lineRule="exact"/>
        <w:ind w:left="630"/>
        <w:rPr>
          <w:rFonts w:hint="eastAsia" w:ascii="方正仿宋简体" w:hAnsi="仿宋_GB2312" w:eastAsia="方正仿宋简体" w:cs="仿宋_GB2312"/>
          <w:b/>
          <w:sz w:val="32"/>
          <w:szCs w:val="32"/>
        </w:rPr>
      </w:pPr>
      <w:r>
        <w:rPr>
          <w:rFonts w:hint="eastAsia" w:ascii="方正仿宋简体" w:hAnsi="楷体_GB2312" w:eastAsia="方正仿宋简体" w:cs="楷体_GB2312"/>
          <w:b/>
          <w:sz w:val="32"/>
          <w:szCs w:val="32"/>
        </w:rPr>
        <w:t>2.部门绩效评价结果</w:t>
      </w:r>
    </w:p>
    <w:p>
      <w:pPr>
        <w:spacing w:line="580"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本部门按要求对2020年部门整体支出绩效评价情况开展自评，《万缘办事处2020年部门整体支出绩效评价报告》见附件（附件1）。</w:t>
      </w:r>
    </w:p>
    <w:p>
      <w:pPr>
        <w:spacing w:line="580"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本部门自行组织对</w:t>
      </w:r>
      <w:r>
        <w:rPr>
          <w:rFonts w:hint="eastAsia" w:ascii="方正仿宋简体" w:hAnsi="仿宋_GB2312" w:eastAsia="方正仿宋简体" w:cs="仿宋_GB2312"/>
          <w:color w:val="000000" w:themeColor="text1"/>
          <w:sz w:val="32"/>
          <w:szCs w:val="32"/>
        </w:rPr>
        <w:t>“森林防火专项经费”“义务兵优待金”“80岁老党员生活补助”“美丽乡村建设”“依法治区专项工作”</w:t>
      </w:r>
      <w:r>
        <w:rPr>
          <w:rFonts w:hint="eastAsia" w:ascii="方正仿宋简体" w:hAnsi="仿宋_GB2312" w:eastAsia="方正仿宋简体" w:cs="仿宋_GB2312"/>
          <w:sz w:val="32"/>
          <w:szCs w:val="32"/>
        </w:rPr>
        <w:t>项目开展了绩效评价《万缘办事处项目2020年绩效评价报告》见附件。（非涉密部门均需公开部门整体支出评价报告，部门自行组织的绩效评价情况根据部门实际公开）</w:t>
      </w:r>
    </w:p>
    <w:p>
      <w:pPr>
        <w:widowControl/>
        <w:jc w:val="left"/>
        <w:rPr>
          <w:rFonts w:hint="eastAsia" w:ascii="方正仿宋简体" w:eastAsia="方正仿宋简体"/>
          <w:b/>
          <w:color w:val="000000"/>
          <w:sz w:val="32"/>
          <w:szCs w:val="32"/>
        </w:rPr>
      </w:pPr>
      <w:r>
        <w:rPr>
          <w:rFonts w:hint="eastAsia" w:ascii="方正仿宋简体" w:eastAsia="方正仿宋简体"/>
          <w:b/>
          <w:color w:val="000000"/>
          <w:sz w:val="32"/>
          <w:szCs w:val="32"/>
        </w:rPr>
        <w:br w:type="page"/>
      </w:r>
    </w:p>
    <w:p>
      <w:pPr>
        <w:numPr>
          <w:ilvl w:val="0"/>
          <w:numId w:val="2"/>
        </w:numPr>
        <w:spacing w:line="600" w:lineRule="exact"/>
        <w:ind w:firstLine="660" w:firstLineChars="150"/>
        <w:jc w:val="center"/>
        <w:outlineLvl w:val="0"/>
        <w:rPr>
          <w:rStyle w:val="26"/>
          <w:rFonts w:hint="eastAsia" w:ascii="方正小标宋简体" w:hAnsi="黑体" w:eastAsia="方正小标宋简体"/>
          <w:b w:val="0"/>
        </w:rPr>
      </w:pPr>
      <w:bookmarkStart w:id="55" w:name="_Toc15396613"/>
      <w:bookmarkStart w:id="56" w:name="_Toc15377225"/>
      <w:r>
        <w:rPr>
          <w:rFonts w:hint="eastAsia" w:ascii="方正小标宋简体" w:hAnsi="黑体" w:eastAsia="方正小标宋简体"/>
          <w:color w:val="000000"/>
          <w:sz w:val="44"/>
          <w:szCs w:val="44"/>
        </w:rPr>
        <w:t xml:space="preserve">  名</w:t>
      </w:r>
      <w:r>
        <w:rPr>
          <w:rStyle w:val="26"/>
          <w:rFonts w:hint="eastAsia" w:ascii="方正小标宋简体" w:hAnsi="黑体" w:eastAsia="方正小标宋简体"/>
          <w:b w:val="0"/>
        </w:rPr>
        <w:t>词解释</w:t>
      </w:r>
      <w:bookmarkEnd w:id="55"/>
      <w:bookmarkEnd w:id="56"/>
    </w:p>
    <w:p>
      <w:pPr>
        <w:spacing w:line="600" w:lineRule="exact"/>
        <w:jc w:val="left"/>
        <w:rPr>
          <w:rFonts w:hint="eastAsia" w:ascii="方正仿宋简体" w:eastAsia="方正仿宋简体"/>
          <w:b/>
          <w:color w:val="000000"/>
          <w:sz w:val="44"/>
          <w:szCs w:val="44"/>
        </w:rPr>
      </w:pPr>
    </w:p>
    <w:p>
      <w:pPr>
        <w:pStyle w:val="24"/>
        <w:spacing w:line="560" w:lineRule="exact"/>
        <w:ind w:firstLine="640" w:firstLineChars="200"/>
        <w:rPr>
          <w:rFonts w:hint="eastAsia" w:ascii="方正仿宋简体" w:eastAsia="方正仿宋简体"/>
          <w:sz w:val="32"/>
          <w:szCs w:val="32"/>
        </w:rPr>
      </w:pPr>
      <w:bookmarkStart w:id="57" w:name="_Toc15377226"/>
      <w:r>
        <w:rPr>
          <w:rFonts w:hint="eastAsia" w:ascii="方正仿宋简体" w:eastAsia="方正仿宋简体"/>
          <w:sz w:val="32"/>
          <w:szCs w:val="32"/>
        </w:rPr>
        <w:t>1.财政拨款收入：指单位从同级财政部门取得的财政预算资金。</w:t>
      </w:r>
    </w:p>
    <w:p>
      <w:pPr>
        <w:pStyle w:val="24"/>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2.事业收入：指事业单位开展专业业务活动及辅助活动取得的收入。如…（二级预算单位事业收入情况）等。</w:t>
      </w:r>
    </w:p>
    <w:p>
      <w:pPr>
        <w:pStyle w:val="24"/>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3.经营收入：指事业单位在专业业务活动及其辅助活动之外开展非独立核算经营活动取得的收入。如…（二级预算单位经营收入情况）等。</w:t>
      </w:r>
    </w:p>
    <w:p>
      <w:pPr>
        <w:pStyle w:val="24"/>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4.其他收入：指单位取得的除上述收入以外的各项收入。主要是…（收入类型）等。</w:t>
      </w:r>
    </w:p>
    <w:p>
      <w:pPr>
        <w:pStyle w:val="24"/>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4"/>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6.年初结转和结余：指以前年度尚未完成、结转到本年按有关规定继续使用的资金。</w:t>
      </w:r>
    </w:p>
    <w:p>
      <w:pPr>
        <w:pStyle w:val="24"/>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7.结余分配：指事业单位按照事业单位会计制度的规定从非财政补助结余中分配的事业基金和职工福利基金等。</w:t>
      </w:r>
    </w:p>
    <w:p>
      <w:pPr>
        <w:pStyle w:val="24"/>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8、年末结转和结余：指单位按有关规定结转到下年或以后年度继续使用的资金。</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9.一般公共服务支出：反映政府提供一般公共服务的支出。</w:t>
      </w:r>
    </w:p>
    <w:p>
      <w:pPr>
        <w:numPr>
          <w:ilvl w:val="0"/>
          <w:numId w:val="3"/>
        </w:num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一般公共服务支出-人大事务-代表工作：反映人大代表开展各类视察等方面的支出；</w:t>
      </w:r>
    </w:p>
    <w:p>
      <w:pPr>
        <w:numPr>
          <w:ilvl w:val="0"/>
          <w:numId w:val="3"/>
        </w:num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一般公共服务支出-政府办公厅（室）--行政运行：反映行政单位的基本支出；</w:t>
      </w:r>
    </w:p>
    <w:p>
      <w:pPr>
        <w:numPr>
          <w:ilvl w:val="0"/>
          <w:numId w:val="3"/>
        </w:num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一般公共服务支出-政府办公厅（室）--一般行政管理事务：反映行政单位未单独设置项级科目的其他项目支出；</w:t>
      </w:r>
    </w:p>
    <w:p>
      <w:pPr>
        <w:numPr>
          <w:ilvl w:val="0"/>
          <w:numId w:val="3"/>
        </w:num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一般公共服务支出-财政事务--行政运行：反映财政事务方面的支出</w:t>
      </w:r>
    </w:p>
    <w:p>
      <w:pPr>
        <w:numPr>
          <w:ilvl w:val="0"/>
          <w:numId w:val="3"/>
        </w:num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一般公共服务支出-财政事务--其他财政事务支出：反映行政单位未单独设置项级科目的其他项目支出；</w:t>
      </w:r>
    </w:p>
    <w:p>
      <w:pPr>
        <w:numPr>
          <w:ilvl w:val="0"/>
          <w:numId w:val="3"/>
        </w:num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一般公共服务支出-党委办公厅（室）及相关机构事务--行政运行：反映党委办公厅（室）及相关机构的支出；</w:t>
      </w:r>
    </w:p>
    <w:p>
      <w:pPr>
        <w:numPr>
          <w:ilvl w:val="0"/>
          <w:numId w:val="3"/>
        </w:num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一般公共服务支出-党委办公厅（室）及相关机构事务--专项业务费；反映党委办公厅（室）及相关机构开展专项业务所发生的支出。</w:t>
      </w:r>
    </w:p>
    <w:p>
      <w:pPr>
        <w:spacing w:line="600" w:lineRule="exact"/>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 xml:space="preserve">    10、文化体育与传媒支出:反映政府在文化、文物、体育、广播影视、新闻出版等方面的支出。</w:t>
      </w:r>
    </w:p>
    <w:p>
      <w:pPr>
        <w:spacing w:line="600" w:lineRule="exact"/>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 xml:space="preserve">     （1）文化体育与传媒支出-文化-行政运行：反映行政单位的基本支出；</w:t>
      </w:r>
    </w:p>
    <w:p>
      <w:pPr>
        <w:spacing w:line="600" w:lineRule="exact"/>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 xml:space="preserve">      （2）文化体育与传媒支出-其他文化体育与传媒支出-其他文化体育与传媒支出：反映文化体育与传媒支出所列项目以外的其他用于文化体育与传媒方面的支出。　</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 xml:space="preserve"> 11.社会保障和就业支出：反映政府在社会保障和就业方面的支出。</w:t>
      </w:r>
    </w:p>
    <w:p>
      <w:pPr>
        <w:numPr>
          <w:ilvl w:val="0"/>
          <w:numId w:val="4"/>
        </w:num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社会保障和就业支出-行政事业单位离退休-未归口管理的行政事业单位离退休：反映未实行归口管理的行政事业单位开支的离退休经费；</w:t>
      </w:r>
    </w:p>
    <w:p>
      <w:pPr>
        <w:numPr>
          <w:ilvl w:val="0"/>
          <w:numId w:val="4"/>
        </w:num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社会保障和就业支出-行政事业单位离退休-机关事业单位基本养老保险缴费支出：反映机关事业单位实施养老保险制度由单位缴纳的基本养老保险支出；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社会保障和就业支出-抚恤-义务兵优待：反映用于义务兵优待方面的支出；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社会保障和就业支出-其他社会保障和就业支出-其他社会保障和就业支出：反映除社会保障和就业支出项目以外其他用于社会保障和就业方面的支出；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　12.医疗卫生与计划生育支出:反映政府医疗卫生与计划生育管理方面的支出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医疗卫生与计划生育支出-医疗卫生与计划生育管理事务-行政运行:反映行政单位的基本支出；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医疗卫生与计划生育支出-计划生育事务-计划生育服务：反映计划生育服务支出；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医疗卫生与计划生育支出-计划生育事务-其他计划生育事务支出：反映除医疗卫生与计划生育项目以外其他用于医疗卫生与计划生育方面的支出。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13.节能环保支出：节能环保支出-污染防治-排污费安排的支出是指用排污费安排的支出。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14.城乡社区支出：反映政府城乡社区管理事务方面的支出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（1）城乡社区支出-城乡社区管理事务-行政运行：反映行政单位的基本支出；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（2）城乡社区支出-城乡社区管理事务-一般行政管理事务：反映行政单位未单独设置项级科目的其他项目支出；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（3）城乡社区支出-城乡社区公共设施-小城镇基础设施建设：反映用于小城镇路、气、税、电等基本建设反面的支出。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15.农林水支出：反映政府农林水事务方面的支出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（1）农林水支出-农业-行政运行：反映行政单位的基本支出；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（2）农林水支出-农业-农业结构调整补贴：反映政府对农业结构调整给予的补贴；</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（3）农林水支出-农业-其他农业支出：；农林水反映农林水支出-农业所列项目以外的其他农林水支出-农业方面的支出；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（4）支出-林业-林业防灾：反映为预防和补救、救治森林火灾、林业有害生物灾害、自然水灾、旱灾等发生的支出；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（5）农林水支出-水利-行政运行:反映行政单位的基本支出；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 xml:space="preserve"> (6)农林水支出-扶贫-其他扶贫支出:反映除农林水支出-扶贫项目以外其他用于农林水支出-扶贫方面的支出；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 xml:space="preserve"> (7)农林水支出-农村综合改革-一事一议的补助:反映农村税费改革后对村级公益事业一事一议的补助支出；</w:t>
      </w:r>
    </w:p>
    <w:p>
      <w:pPr>
        <w:spacing w:line="600" w:lineRule="exact"/>
        <w:ind w:firstLine="640" w:firstLineChars="200"/>
        <w:jc w:val="left"/>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 xml:space="preserve">（8）农林水支出-农村综合改革-对村民委员会和村党支部的补助：反映各级财政对村民委员会和村党支部的补助支出，以及支持建立县级基本财力保障机制安排的村级组织运转奖励金；              </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（9）农林水事务-农村综合改革-其他农林水事务：反映除农林水事务-农村综合改革项目以外其他用于农林水事务-农村综合改革方面的支出；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16.住房保障支出：住房保障支出-住房改革支出-住房公积金：反映行政事业单位按人力资源和社会保障部、财政部规定的基本工资和津贴补贴以及规定比例为职工缴纳的住房公积金。</w:t>
      </w:r>
    </w:p>
    <w:p>
      <w:pPr>
        <w:spacing w:line="600" w:lineRule="exact"/>
        <w:ind w:firstLine="640"/>
        <w:rPr>
          <w:rFonts w:hint="eastAsia" w:ascii="方正仿宋简体" w:hAnsi="仿宋" w:eastAsia="方正仿宋简体"/>
          <w:b/>
          <w:color w:val="000000"/>
          <w:sz w:val="32"/>
          <w:szCs w:val="32"/>
        </w:rPr>
      </w:pPr>
      <w:r>
        <w:rPr>
          <w:rFonts w:hint="eastAsia" w:ascii="方正仿宋简体" w:hAnsi="仿宋" w:eastAsia="方正仿宋简体"/>
          <w:b/>
          <w:color w:val="000000"/>
          <w:sz w:val="32"/>
          <w:szCs w:val="32"/>
        </w:rPr>
        <w:t>（解释本部门决算报表中全部功能分类科目至项级，请参照《2019年政府收支分类科目》增减内容。）</w:t>
      </w:r>
    </w:p>
    <w:p>
      <w:pPr>
        <w:ind w:firstLine="640" w:firstLineChars="200"/>
        <w:rPr>
          <w:rFonts w:hint="eastAsia" w:ascii="方正仿宋简体" w:eastAsia="方正仿宋简体"/>
          <w:color w:val="000000"/>
          <w:sz w:val="32"/>
          <w:szCs w:val="32"/>
        </w:rPr>
      </w:pPr>
      <w:r>
        <w:rPr>
          <w:rFonts w:hint="eastAsia" w:ascii="方正仿宋简体" w:eastAsia="方正仿宋简体"/>
          <w:color w:val="000000"/>
          <w:sz w:val="32"/>
          <w:szCs w:val="32"/>
        </w:rPr>
        <w:t>17.基本支出：指为保障机构正常运转、完成日常工作任务而发生的人员支出和公用支出。</w:t>
      </w:r>
    </w:p>
    <w:p>
      <w:pPr>
        <w:ind w:firstLine="640" w:firstLineChars="200"/>
        <w:rPr>
          <w:rFonts w:hint="eastAsia" w:ascii="方正仿宋简体" w:eastAsia="方正仿宋简体"/>
          <w:color w:val="000000"/>
          <w:sz w:val="32"/>
          <w:szCs w:val="32"/>
        </w:rPr>
      </w:pPr>
      <w:r>
        <w:rPr>
          <w:rFonts w:hint="eastAsia" w:ascii="方正仿宋简体" w:eastAsia="方正仿宋简体"/>
          <w:color w:val="000000"/>
          <w:sz w:val="32"/>
          <w:szCs w:val="32"/>
        </w:rPr>
        <w:t>18.项目支出：指在基本支出之外为完成特定行政任务和事业发展目标所发生的支出。</w:t>
      </w:r>
    </w:p>
    <w:p>
      <w:pPr>
        <w:ind w:firstLine="640" w:firstLineChars="200"/>
        <w:rPr>
          <w:rFonts w:hint="eastAsia" w:ascii="方正仿宋简体" w:eastAsia="方正仿宋简体"/>
          <w:color w:val="000000"/>
          <w:sz w:val="32"/>
          <w:szCs w:val="32"/>
        </w:rPr>
      </w:pPr>
      <w:r>
        <w:rPr>
          <w:rFonts w:hint="eastAsia" w:ascii="方正仿宋简体" w:eastAsia="方正仿宋简体"/>
          <w:color w:val="000000"/>
          <w:sz w:val="32"/>
          <w:szCs w:val="32"/>
        </w:rPr>
        <w:t>19.经营支出：指事业单位在专业业务活动及其辅助活动之外开展非独立核算经营活动发生的支出。</w:t>
      </w:r>
    </w:p>
    <w:p>
      <w:pPr>
        <w:pStyle w:val="24"/>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eastAsia" w:ascii="方正仿宋简体" w:eastAsia="方正仿宋简体" w:cs="黑体"/>
          <w:sz w:val="32"/>
          <w:szCs w:val="32"/>
        </w:rPr>
      </w:pPr>
      <w:r>
        <w:rPr>
          <w:rFonts w:hint="eastAsia" w:ascii="方正仿宋简体" w:eastAsia="方正仿宋简体"/>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hint="eastAsia" w:ascii="方正仿宋简体" w:hAnsi="仿宋" w:eastAsia="方正仿宋简体"/>
          <w:b/>
          <w:color w:val="000000"/>
          <w:sz w:val="32"/>
          <w:szCs w:val="32"/>
        </w:rPr>
      </w:pPr>
      <w:r>
        <w:rPr>
          <w:rFonts w:hint="eastAsia" w:ascii="方正仿宋简体" w:hAnsi="仿宋" w:eastAsia="方正仿宋简体"/>
          <w:b/>
          <w:color w:val="000000"/>
          <w:sz w:val="32"/>
          <w:szCs w:val="32"/>
        </w:rPr>
        <w:t>（名词解释部分请根据各部门实际列支情况罗列，并根据本部门职责职能增减名词解释内容。）</w:t>
      </w:r>
    </w:p>
    <w:p>
      <w:pPr>
        <w:spacing w:line="600" w:lineRule="exact"/>
        <w:jc w:val="center"/>
        <w:outlineLvl w:val="0"/>
        <w:rPr>
          <w:rStyle w:val="26"/>
          <w:rFonts w:hint="eastAsia" w:ascii="方正小标宋简体" w:hAnsi="黑体" w:eastAsia="方正小标宋简体"/>
          <w:b w:val="0"/>
        </w:rPr>
      </w:pPr>
      <w:r>
        <w:rPr>
          <w:rFonts w:hint="eastAsia" w:ascii="方正仿宋简体" w:eastAsia="方正仿宋简体"/>
          <w:b/>
          <w:color w:val="000000"/>
          <w:sz w:val="44"/>
          <w:szCs w:val="44"/>
        </w:rPr>
        <w:br w:type="page"/>
      </w:r>
      <w:bookmarkStart w:id="58" w:name="_Toc15396614"/>
      <w:r>
        <w:rPr>
          <w:rFonts w:hint="eastAsia" w:ascii="方正小标宋简体" w:hAnsi="黑体" w:eastAsia="方正小标宋简体"/>
          <w:color w:val="000000"/>
          <w:sz w:val="44"/>
          <w:szCs w:val="44"/>
        </w:rPr>
        <w:t>第</w:t>
      </w:r>
      <w:r>
        <w:rPr>
          <w:rStyle w:val="26"/>
          <w:rFonts w:hint="eastAsia" w:ascii="方正小标宋简体" w:hAnsi="黑体" w:eastAsia="方正小标宋简体"/>
          <w:b w:val="0"/>
        </w:rPr>
        <w:t>四部分   附件</w:t>
      </w:r>
      <w:bookmarkEnd w:id="58"/>
    </w:p>
    <w:p>
      <w:pPr>
        <w:spacing w:line="600" w:lineRule="exact"/>
        <w:jc w:val="left"/>
        <w:outlineLvl w:val="0"/>
        <w:rPr>
          <w:rFonts w:hint="eastAsia" w:ascii="方正仿宋简体" w:hAnsi="黑体" w:eastAsia="方正仿宋简体" w:cs="黑体"/>
          <w:sz w:val="32"/>
          <w:szCs w:val="32"/>
        </w:rPr>
      </w:pPr>
    </w:p>
    <w:p>
      <w:pPr>
        <w:spacing w:line="600" w:lineRule="exact"/>
        <w:jc w:val="left"/>
        <w:outlineLvl w:val="0"/>
        <w:rPr>
          <w:rFonts w:hint="eastAsia" w:ascii="方正仿宋简体" w:hAnsi="方正小标宋简体" w:eastAsia="方正仿宋简体" w:cs="方正小标宋简体"/>
          <w:sz w:val="32"/>
          <w:szCs w:val="32"/>
        </w:rPr>
      </w:pPr>
      <w:r>
        <w:rPr>
          <w:rFonts w:hint="eastAsia" w:ascii="方正仿宋简体" w:hAnsi="黑体" w:eastAsia="方正仿宋简体" w:cs="黑体"/>
          <w:sz w:val="32"/>
          <w:szCs w:val="32"/>
        </w:rPr>
        <w:t>附件1</w:t>
      </w:r>
    </w:p>
    <w:p>
      <w:pPr>
        <w:spacing w:line="576" w:lineRule="exact"/>
        <w:jc w:val="center"/>
        <w:rPr>
          <w:rFonts w:hint="eastAsia" w:ascii="方正小标宋简体" w:hAnsi="宋体" w:eastAsia="方正小标宋简体"/>
          <w:color w:val="000000"/>
          <w:spacing w:val="-20"/>
          <w:w w:val="95"/>
          <w:kern w:val="0"/>
          <w:sz w:val="44"/>
          <w:szCs w:val="44"/>
          <w:lang w:val="zh-CN"/>
        </w:rPr>
      </w:pPr>
      <w:r>
        <w:rPr>
          <w:rFonts w:hint="eastAsia" w:ascii="方正小标宋简体" w:hAnsi="宋体" w:eastAsia="方正小标宋简体"/>
          <w:color w:val="000000"/>
          <w:spacing w:val="-20"/>
          <w:w w:val="95"/>
          <w:kern w:val="0"/>
          <w:sz w:val="44"/>
          <w:szCs w:val="44"/>
        </w:rPr>
        <w:t>万缘街道办事处2020年部门</w:t>
      </w:r>
      <w:r>
        <w:rPr>
          <w:rFonts w:hint="eastAsia" w:ascii="方正小标宋简体" w:hAnsi="宋体" w:eastAsia="方正小标宋简体"/>
          <w:color w:val="000000"/>
          <w:spacing w:val="-20"/>
          <w:w w:val="95"/>
          <w:kern w:val="0"/>
          <w:sz w:val="44"/>
          <w:szCs w:val="44"/>
          <w:lang w:val="zh-CN"/>
        </w:rPr>
        <w:t>整体支出绩效评价报告</w:t>
      </w:r>
    </w:p>
    <w:p>
      <w:pPr>
        <w:widowControl/>
        <w:spacing w:line="576" w:lineRule="exact"/>
        <w:ind w:firstLine="640" w:firstLineChars="200"/>
        <w:contextualSpacing/>
        <w:jc w:val="center"/>
        <w:rPr>
          <w:rFonts w:hint="eastAsia" w:ascii="方正仿宋简体" w:hAnsi="宋体" w:eastAsia="方正仿宋简体"/>
          <w:sz w:val="32"/>
          <w:szCs w:val="32"/>
          <w:shd w:val="clear" w:color="auto" w:fill="FFFFFF"/>
        </w:rPr>
      </w:pPr>
      <w:r>
        <w:rPr>
          <w:rFonts w:hint="eastAsia" w:ascii="方正仿宋简体" w:hAnsi="宋体" w:eastAsia="方正仿宋简体"/>
          <w:sz w:val="32"/>
          <w:szCs w:val="32"/>
          <w:shd w:val="clear" w:color="auto" w:fill="FFFFFF"/>
        </w:rPr>
        <w:t>（报告范围包括机关和下属单位）</w:t>
      </w:r>
    </w:p>
    <w:p>
      <w:pPr>
        <w:widowControl/>
        <w:adjustRightInd w:val="0"/>
        <w:snapToGrid w:val="0"/>
        <w:spacing w:line="576" w:lineRule="exact"/>
        <w:ind w:firstLine="480" w:firstLineChars="200"/>
        <w:contextualSpacing/>
        <w:jc w:val="left"/>
        <w:rPr>
          <w:rFonts w:hint="eastAsia" w:ascii="方正仿宋简体" w:hAnsi="宋体" w:eastAsia="方正仿宋简体" w:cs="宋体"/>
          <w:color w:val="000000"/>
          <w:kern w:val="0"/>
          <w:sz w:val="24"/>
          <w:szCs w:val="32"/>
          <w:shd w:val="clear" w:color="auto" w:fill="FFFFFF"/>
        </w:rPr>
      </w:pPr>
    </w:p>
    <w:p>
      <w:pPr>
        <w:widowControl/>
        <w:adjustRightInd w:val="0"/>
        <w:snapToGrid w:val="0"/>
        <w:spacing w:line="576" w:lineRule="exact"/>
        <w:ind w:firstLine="640" w:firstLineChars="200"/>
        <w:contextualSpacing/>
        <w:jc w:val="left"/>
        <w:rPr>
          <w:rFonts w:hint="eastAsia" w:ascii="方正黑体简体" w:hAnsi="宋体" w:eastAsia="方正黑体简体" w:cs="宋体"/>
          <w:color w:val="000000"/>
          <w:kern w:val="0"/>
          <w:sz w:val="32"/>
          <w:szCs w:val="32"/>
          <w:shd w:val="clear" w:color="auto" w:fill="FFFFFF"/>
          <w:lang w:val="zh-CN"/>
        </w:rPr>
      </w:pPr>
      <w:r>
        <w:rPr>
          <w:rFonts w:hint="eastAsia" w:ascii="方正黑体简体" w:hAnsi="宋体" w:eastAsia="方正黑体简体" w:cs="宋体"/>
          <w:color w:val="000000"/>
          <w:kern w:val="0"/>
          <w:sz w:val="32"/>
          <w:szCs w:val="32"/>
          <w:shd w:val="clear" w:color="auto" w:fill="FFFFFF"/>
        </w:rPr>
        <w:t>一、</w:t>
      </w:r>
      <w:r>
        <w:rPr>
          <w:rFonts w:hint="eastAsia" w:ascii="方正黑体简体" w:hAnsi="宋体" w:eastAsia="方正黑体简体" w:cs="宋体"/>
          <w:color w:val="000000"/>
          <w:kern w:val="0"/>
          <w:sz w:val="32"/>
          <w:szCs w:val="32"/>
          <w:shd w:val="clear" w:color="auto" w:fill="FFFFFF"/>
          <w:lang w:val="zh-CN"/>
        </w:rPr>
        <w:t>部门（单位）概况</w:t>
      </w:r>
    </w:p>
    <w:p>
      <w:pPr>
        <w:widowControl/>
        <w:adjustRightInd w:val="0"/>
        <w:snapToGrid w:val="0"/>
        <w:spacing w:line="576" w:lineRule="exact"/>
        <w:ind w:firstLine="640" w:firstLineChars="200"/>
        <w:contextualSpacing/>
        <w:jc w:val="left"/>
        <w:rPr>
          <w:rFonts w:hint="eastAsia" w:ascii="方正楷体简体" w:hAnsi="宋体" w:eastAsia="方正楷体简体" w:cs="宋体"/>
          <w:color w:val="000000"/>
          <w:kern w:val="0"/>
          <w:sz w:val="32"/>
          <w:szCs w:val="32"/>
          <w:shd w:val="clear" w:color="auto" w:fill="FFFFFF"/>
          <w:lang w:val="zh-CN"/>
        </w:rPr>
      </w:pPr>
      <w:r>
        <w:rPr>
          <w:rFonts w:hint="eastAsia" w:ascii="方正楷体简体" w:hAnsi="宋体" w:eastAsia="方正楷体简体" w:cs="宋体"/>
          <w:color w:val="000000"/>
          <w:kern w:val="0"/>
          <w:sz w:val="32"/>
          <w:szCs w:val="32"/>
          <w:shd w:val="clear" w:color="auto" w:fill="FFFFFF"/>
          <w:lang w:val="zh-CN"/>
        </w:rPr>
        <w:t>（一）机构组成</w:t>
      </w:r>
    </w:p>
    <w:p>
      <w:pPr>
        <w:widowControl/>
        <w:spacing w:line="576" w:lineRule="exact"/>
        <w:ind w:firstLine="640" w:firstLineChars="200"/>
        <w:jc w:val="left"/>
        <w:rPr>
          <w:rFonts w:hint="eastAsia" w:ascii="方正仿宋简体" w:hAnsi="宋体" w:eastAsia="方正仿宋简体" w:cs="宋体"/>
          <w:color w:val="FF0000"/>
          <w:kern w:val="0"/>
          <w:sz w:val="32"/>
          <w:szCs w:val="32"/>
          <w:shd w:val="clear" w:color="auto" w:fill="FFFFFF"/>
          <w:lang w:val="zh-CN"/>
        </w:rPr>
      </w:pPr>
      <w:r>
        <w:rPr>
          <w:rFonts w:hint="eastAsia" w:ascii="方正仿宋简体" w:eastAsia="方正仿宋简体" w:cs="仿宋_GB2312"/>
          <w:color w:val="000000" w:themeColor="text1"/>
          <w:sz w:val="32"/>
          <w:szCs w:val="32"/>
        </w:rPr>
        <w:t>我办下设</w:t>
      </w:r>
      <w:r>
        <w:rPr>
          <w:rFonts w:hint="eastAsia" w:ascii="方正仿宋简体" w:eastAsia="方正仿宋简体"/>
          <w:color w:val="000000" w:themeColor="text1"/>
          <w:sz w:val="32"/>
          <w:szCs w:val="32"/>
        </w:rPr>
        <w:t>党政综合办</w:t>
      </w:r>
      <w:r>
        <w:rPr>
          <w:rFonts w:hint="eastAsia" w:ascii="方正仿宋简体" w:eastAsia="方正仿宋简体"/>
          <w:sz w:val="32"/>
          <w:szCs w:val="32"/>
        </w:rPr>
        <w:t>公室、党建办公室、综合治理办公室、公共服务办公室、发展保障办公室、综合执法协调办公室、应急管理办公室、党群服务中心、农业服务中心和社会事务中心。</w:t>
      </w:r>
    </w:p>
    <w:p>
      <w:pPr>
        <w:adjustRightInd w:val="0"/>
        <w:snapToGrid w:val="0"/>
        <w:spacing w:line="576" w:lineRule="exact"/>
        <w:ind w:firstLine="640" w:firstLineChars="200"/>
        <w:contextualSpacing/>
        <w:jc w:val="left"/>
        <w:rPr>
          <w:rFonts w:hint="eastAsia" w:ascii="方正楷体简体" w:hAnsi="宋体" w:eastAsia="方正楷体简体" w:cs="宋体"/>
          <w:color w:val="000000"/>
          <w:kern w:val="0"/>
          <w:sz w:val="32"/>
          <w:szCs w:val="32"/>
          <w:shd w:val="clear" w:color="auto" w:fill="FFFFFF"/>
          <w:lang w:val="zh-CN"/>
        </w:rPr>
      </w:pPr>
      <w:r>
        <w:rPr>
          <w:rFonts w:hint="eastAsia" w:ascii="方正楷体简体" w:hAnsi="宋体" w:eastAsia="方正楷体简体" w:cs="宋体"/>
          <w:color w:val="000000"/>
          <w:kern w:val="0"/>
          <w:sz w:val="32"/>
          <w:szCs w:val="32"/>
          <w:shd w:val="clear" w:color="auto" w:fill="FFFFFF"/>
          <w:lang w:val="zh-CN"/>
        </w:rPr>
        <w:t>（二）机构职能</w:t>
      </w:r>
    </w:p>
    <w:p>
      <w:pPr>
        <w:shd w:val="clear" w:color="auto" w:fill="FFFFFF"/>
        <w:spacing w:line="576" w:lineRule="exact"/>
        <w:ind w:firstLine="640"/>
        <w:jc w:val="left"/>
        <w:rPr>
          <w:rFonts w:hint="eastAsia" w:ascii="方正仿宋简体" w:eastAsia="方正仿宋简体"/>
          <w:sz w:val="32"/>
          <w:szCs w:val="32"/>
        </w:rPr>
      </w:pPr>
      <w:r>
        <w:rPr>
          <w:rFonts w:hint="eastAsia" w:ascii="方正仿宋简体" w:eastAsia="方正仿宋简体" w:cs="仿宋_GB2312"/>
          <w:sz w:val="32"/>
          <w:szCs w:val="32"/>
        </w:rPr>
        <w:t>1.贯彻执行党和国家的路线方针、政策以及市、区关于街道工作方面的指示，制订具体的管理办法并组织实施。</w:t>
      </w:r>
    </w:p>
    <w:p>
      <w:pPr>
        <w:shd w:val="clear" w:color="auto" w:fill="FFFFFF"/>
        <w:spacing w:line="576" w:lineRule="exact"/>
        <w:ind w:firstLine="640"/>
        <w:jc w:val="left"/>
        <w:rPr>
          <w:rFonts w:hint="eastAsia" w:ascii="方正仿宋简体" w:eastAsia="方正仿宋简体"/>
          <w:sz w:val="32"/>
          <w:szCs w:val="32"/>
        </w:rPr>
      </w:pPr>
      <w:r>
        <w:rPr>
          <w:rFonts w:hint="eastAsia" w:ascii="方正仿宋简体" w:eastAsia="方正仿宋简体" w:cs="仿宋_GB2312"/>
          <w:sz w:val="32"/>
          <w:szCs w:val="32"/>
        </w:rPr>
        <w:t>2．指导、搞好辖区内居委会的工作，支持、帮助居民委员会加强思想、组织、制度建设，向上级人民政府和有关部门及时反映居民的意见、建议和要求。</w:t>
      </w:r>
    </w:p>
    <w:p>
      <w:pPr>
        <w:shd w:val="clear" w:color="auto" w:fill="FFFFFF"/>
        <w:spacing w:line="576" w:lineRule="exact"/>
        <w:ind w:firstLine="640"/>
        <w:jc w:val="left"/>
        <w:rPr>
          <w:rFonts w:hint="eastAsia" w:ascii="方正仿宋简体" w:eastAsia="方正仿宋简体"/>
          <w:sz w:val="32"/>
          <w:szCs w:val="32"/>
        </w:rPr>
      </w:pPr>
      <w:r>
        <w:rPr>
          <w:rFonts w:hint="eastAsia" w:ascii="方正仿宋简体" w:eastAsia="方正仿宋简体" w:cs="仿宋_GB2312"/>
          <w:sz w:val="32"/>
          <w:szCs w:val="32"/>
        </w:rPr>
        <w:t>3．抓好社区文化建设，开展文明街道、文明单位，文明小区建设活动，组织居民开展经常性的文化、娱乐、体育活动。</w:t>
      </w:r>
    </w:p>
    <w:p>
      <w:pPr>
        <w:shd w:val="clear" w:color="auto" w:fill="FFFFFF"/>
        <w:spacing w:line="576" w:lineRule="exact"/>
        <w:ind w:firstLine="640"/>
        <w:jc w:val="left"/>
        <w:rPr>
          <w:rFonts w:hint="eastAsia" w:ascii="方正仿宋简体" w:eastAsia="方正仿宋简体"/>
          <w:sz w:val="32"/>
          <w:szCs w:val="32"/>
        </w:rPr>
      </w:pPr>
      <w:r>
        <w:rPr>
          <w:rFonts w:hint="eastAsia" w:ascii="方正仿宋简体" w:eastAsia="方正仿宋简体" w:cs="仿宋_GB2312"/>
          <w:sz w:val="32"/>
          <w:szCs w:val="32"/>
        </w:rPr>
        <w:t>4．负责街道的人民调解、治安保卫工作，加强对违法青少年的帮教转化，保护老人、妇女、儿童的合法权益。</w:t>
      </w:r>
    </w:p>
    <w:p>
      <w:pPr>
        <w:shd w:val="clear" w:color="auto" w:fill="FFFFFF"/>
        <w:spacing w:line="576" w:lineRule="exact"/>
        <w:ind w:firstLine="640"/>
        <w:jc w:val="left"/>
        <w:rPr>
          <w:rFonts w:hint="eastAsia" w:ascii="方正仿宋简体" w:eastAsia="方正仿宋简体"/>
          <w:sz w:val="32"/>
          <w:szCs w:val="32"/>
        </w:rPr>
      </w:pPr>
      <w:r>
        <w:rPr>
          <w:rFonts w:hint="eastAsia" w:ascii="方正仿宋简体" w:eastAsia="方正仿宋简体" w:cs="仿宋_GB2312"/>
          <w:sz w:val="32"/>
          <w:szCs w:val="32"/>
        </w:rPr>
        <w:t>5．协助有关部门做好辖区拥军优属、优抚安置、社会救济、殡葬改革、残疾人就业等工作；积极开展便民利民的社区服务和社区教育工作。</w:t>
      </w:r>
    </w:p>
    <w:p>
      <w:pPr>
        <w:shd w:val="clear" w:color="auto" w:fill="FFFFFF"/>
        <w:spacing w:line="576" w:lineRule="exact"/>
        <w:ind w:firstLine="640"/>
        <w:jc w:val="left"/>
        <w:rPr>
          <w:rFonts w:hint="eastAsia" w:ascii="方正仿宋简体" w:eastAsia="方正仿宋简体"/>
          <w:sz w:val="32"/>
          <w:szCs w:val="32"/>
        </w:rPr>
      </w:pPr>
      <w:r>
        <w:rPr>
          <w:rFonts w:hint="eastAsia" w:ascii="方正仿宋简体" w:eastAsia="方正仿宋简体" w:cs="仿宋_GB2312"/>
          <w:sz w:val="32"/>
          <w:szCs w:val="32"/>
        </w:rPr>
        <w:t>6．会同有关部门做好辖区内常住和流动人口的管理及计划生育工作，完成区下达的各项计划生育指标任务。</w:t>
      </w:r>
    </w:p>
    <w:p>
      <w:pPr>
        <w:shd w:val="clear" w:color="auto" w:fill="FFFFFF"/>
        <w:spacing w:line="576" w:lineRule="exact"/>
        <w:ind w:firstLine="640"/>
        <w:jc w:val="left"/>
        <w:rPr>
          <w:rFonts w:hint="eastAsia" w:ascii="方正仿宋简体" w:eastAsia="方正仿宋简体"/>
          <w:sz w:val="32"/>
          <w:szCs w:val="32"/>
        </w:rPr>
      </w:pPr>
      <w:r>
        <w:rPr>
          <w:rFonts w:hint="eastAsia" w:ascii="方正仿宋简体" w:eastAsia="方正仿宋简体"/>
          <w:sz w:val="32"/>
          <w:szCs w:val="32"/>
        </w:rPr>
        <w:t> </w:t>
      </w:r>
      <w:r>
        <w:rPr>
          <w:rFonts w:hint="eastAsia" w:ascii="方正仿宋简体" w:eastAsia="方正仿宋简体" w:cs="仿宋_GB2312"/>
          <w:sz w:val="32"/>
          <w:szCs w:val="32"/>
        </w:rPr>
        <w:t>7．协助武装部门做好辖区民兵训练和公民服兵役工作。</w:t>
      </w:r>
    </w:p>
    <w:p>
      <w:pPr>
        <w:shd w:val="clear" w:color="auto" w:fill="FFFFFF"/>
        <w:spacing w:line="576" w:lineRule="exact"/>
        <w:ind w:firstLine="640"/>
        <w:jc w:val="left"/>
        <w:rPr>
          <w:rFonts w:hint="eastAsia" w:ascii="方正仿宋简体" w:eastAsia="方正仿宋简体"/>
          <w:sz w:val="32"/>
          <w:szCs w:val="32"/>
        </w:rPr>
      </w:pPr>
      <w:r>
        <w:rPr>
          <w:rFonts w:hint="eastAsia" w:ascii="方正仿宋简体" w:eastAsia="方正仿宋简体"/>
          <w:sz w:val="32"/>
          <w:szCs w:val="32"/>
        </w:rPr>
        <w:t> </w:t>
      </w:r>
      <w:r>
        <w:rPr>
          <w:rFonts w:hint="eastAsia" w:ascii="方正仿宋简体" w:eastAsia="方正仿宋简体" w:cs="仿宋_GB2312"/>
          <w:sz w:val="32"/>
          <w:szCs w:val="32"/>
        </w:rPr>
        <w:t>8．负责在辖区开展普法教育工作，做好民事调解，开展法律咨询、服务等工作，维护居民的合法权益，搞好辖区内社会治安综合治理工作。</w:t>
      </w:r>
    </w:p>
    <w:p>
      <w:pPr>
        <w:shd w:val="clear" w:color="auto" w:fill="FFFFFF"/>
        <w:spacing w:line="576" w:lineRule="exact"/>
        <w:ind w:firstLine="640"/>
        <w:jc w:val="left"/>
        <w:rPr>
          <w:rFonts w:hint="eastAsia" w:ascii="方正仿宋简体" w:eastAsia="方正仿宋简体"/>
          <w:sz w:val="32"/>
          <w:szCs w:val="32"/>
        </w:rPr>
      </w:pPr>
      <w:r>
        <w:rPr>
          <w:rFonts w:hint="eastAsia" w:ascii="方正仿宋简体" w:eastAsia="方正仿宋简体"/>
          <w:sz w:val="32"/>
          <w:szCs w:val="32"/>
        </w:rPr>
        <w:t> </w:t>
      </w:r>
      <w:r>
        <w:rPr>
          <w:rFonts w:hint="eastAsia" w:ascii="方正仿宋简体" w:eastAsia="方正仿宋简体" w:cs="仿宋_GB2312"/>
          <w:sz w:val="32"/>
          <w:szCs w:val="32"/>
        </w:rPr>
        <w:t>9．负责本辖区的城市管理工作，发动群众开展爱国卫生运动，绿化、美化、净化城市环境，协助有关部门做好环境卫生、环境保护工作。</w:t>
      </w:r>
    </w:p>
    <w:p>
      <w:pPr>
        <w:shd w:val="clear" w:color="auto" w:fill="FFFFFF"/>
        <w:spacing w:line="576" w:lineRule="exact"/>
        <w:ind w:firstLine="640"/>
        <w:jc w:val="left"/>
        <w:rPr>
          <w:rFonts w:hint="eastAsia" w:ascii="方正仿宋简体" w:eastAsia="方正仿宋简体"/>
          <w:sz w:val="32"/>
          <w:szCs w:val="32"/>
        </w:rPr>
      </w:pPr>
      <w:r>
        <w:rPr>
          <w:rFonts w:hint="eastAsia" w:ascii="方正仿宋简体" w:eastAsia="方正仿宋简体"/>
          <w:sz w:val="32"/>
          <w:szCs w:val="32"/>
        </w:rPr>
        <w:t> </w:t>
      </w:r>
      <w:r>
        <w:rPr>
          <w:rFonts w:hint="eastAsia" w:ascii="方正仿宋简体" w:eastAsia="方正仿宋简体" w:cs="仿宋_GB2312"/>
          <w:sz w:val="32"/>
          <w:szCs w:val="32"/>
        </w:rPr>
        <w:t>10．负责研究辖区经济发展的规划，协助有关部门抓好安全生产工作。</w:t>
      </w:r>
    </w:p>
    <w:p>
      <w:pPr>
        <w:shd w:val="clear" w:color="auto" w:fill="FFFFFF"/>
        <w:spacing w:line="576" w:lineRule="exact"/>
        <w:ind w:firstLine="640"/>
        <w:jc w:val="left"/>
        <w:rPr>
          <w:rFonts w:hint="eastAsia" w:ascii="方正仿宋简体" w:eastAsia="方正仿宋简体"/>
          <w:sz w:val="32"/>
          <w:szCs w:val="32"/>
        </w:rPr>
      </w:pPr>
      <w:r>
        <w:rPr>
          <w:rFonts w:hint="eastAsia" w:ascii="方正仿宋简体" w:eastAsia="方正仿宋简体"/>
          <w:sz w:val="32"/>
          <w:szCs w:val="32"/>
        </w:rPr>
        <w:t> </w:t>
      </w:r>
      <w:r>
        <w:rPr>
          <w:rFonts w:hint="eastAsia" w:ascii="方正仿宋简体" w:eastAsia="方正仿宋简体" w:cs="仿宋_GB2312"/>
          <w:sz w:val="32"/>
          <w:szCs w:val="32"/>
        </w:rPr>
        <w:t>11．配合有关部门做好辖区内的三防、抢险救灾、安全生产检查、居民迁移等工作。</w:t>
      </w:r>
      <w:r>
        <w:rPr>
          <w:rFonts w:hint="eastAsia" w:ascii="方正仿宋简体" w:eastAsia="方正仿宋简体"/>
          <w:sz w:val="32"/>
          <w:szCs w:val="32"/>
        </w:rPr>
        <w:t> </w:t>
      </w:r>
    </w:p>
    <w:p>
      <w:pPr>
        <w:shd w:val="clear" w:color="auto" w:fill="FFFFFF"/>
        <w:spacing w:line="576" w:lineRule="exact"/>
        <w:ind w:firstLine="800" w:firstLineChars="250"/>
        <w:jc w:val="left"/>
        <w:rPr>
          <w:rFonts w:hint="eastAsia" w:ascii="方正仿宋简体" w:hAnsi="宋体" w:eastAsia="方正仿宋简体" w:cs="宋体"/>
          <w:color w:val="000000"/>
          <w:kern w:val="0"/>
          <w:sz w:val="32"/>
          <w:szCs w:val="32"/>
          <w:shd w:val="clear" w:color="auto" w:fill="FFFFFF"/>
          <w:lang w:val="zh-CN"/>
        </w:rPr>
      </w:pPr>
      <w:r>
        <w:rPr>
          <w:rFonts w:hint="eastAsia" w:ascii="方正仿宋简体" w:eastAsia="方正仿宋简体" w:cs="仿宋_GB2312"/>
          <w:sz w:val="32"/>
          <w:szCs w:val="32"/>
        </w:rPr>
        <w:t>12．承办区委、区政府交办的其他工作。</w:t>
      </w:r>
      <w:r>
        <w:rPr>
          <w:rFonts w:hint="eastAsia" w:ascii="方正仿宋简体" w:eastAsia="方正仿宋简体"/>
          <w:sz w:val="32"/>
          <w:szCs w:val="32"/>
        </w:rPr>
        <w:t> </w:t>
      </w:r>
    </w:p>
    <w:p>
      <w:pPr>
        <w:adjustRightInd w:val="0"/>
        <w:snapToGrid w:val="0"/>
        <w:spacing w:line="576" w:lineRule="exact"/>
        <w:ind w:firstLine="640" w:firstLineChars="200"/>
        <w:contextualSpacing/>
        <w:jc w:val="left"/>
        <w:rPr>
          <w:rFonts w:hint="eastAsia" w:ascii="方正楷体简体" w:hAnsi="宋体" w:eastAsia="方正楷体简体" w:cs="宋体"/>
          <w:color w:val="000000"/>
          <w:kern w:val="0"/>
          <w:sz w:val="32"/>
          <w:szCs w:val="32"/>
          <w:shd w:val="clear" w:color="auto" w:fill="FFFFFF"/>
          <w:lang w:val="zh-CN"/>
        </w:rPr>
      </w:pPr>
      <w:r>
        <w:rPr>
          <w:rFonts w:hint="eastAsia" w:ascii="方正楷体简体" w:hAnsi="宋体" w:eastAsia="方正楷体简体" w:cs="宋体"/>
          <w:color w:val="000000"/>
          <w:kern w:val="0"/>
          <w:sz w:val="32"/>
          <w:szCs w:val="32"/>
          <w:shd w:val="clear" w:color="auto" w:fill="FFFFFF"/>
          <w:lang w:val="zh-CN"/>
        </w:rPr>
        <w:t>（三）人员概况</w:t>
      </w:r>
    </w:p>
    <w:p>
      <w:pPr>
        <w:spacing w:line="576" w:lineRule="exact"/>
        <w:ind w:firstLine="640" w:firstLineChars="200"/>
        <w:rPr>
          <w:rFonts w:hint="eastAsia" w:ascii="方正仿宋简体" w:hAnsi="宋体" w:eastAsia="方正仿宋简体" w:cs="宋体"/>
          <w:kern w:val="0"/>
          <w:sz w:val="32"/>
          <w:szCs w:val="32"/>
          <w:shd w:val="clear" w:color="auto" w:fill="FFFFFF"/>
          <w:lang w:val="zh-CN"/>
        </w:rPr>
      </w:pPr>
      <w:r>
        <w:rPr>
          <w:rFonts w:hint="eastAsia" w:ascii="方正仿宋简体" w:eastAsia="方正仿宋简体" w:cs="仿宋_GB2312"/>
          <w:sz w:val="32"/>
          <w:szCs w:val="32"/>
        </w:rPr>
        <w:t>广元市利州万缘街道办事处行政</w:t>
      </w:r>
      <w:r>
        <w:rPr>
          <w:rFonts w:hint="eastAsia" w:ascii="方正仿宋简体" w:eastAsia="方正仿宋简体"/>
          <w:sz w:val="32"/>
          <w:szCs w:val="32"/>
        </w:rPr>
        <w:t>编制54人，其中行政编25个，事业编27个，机关工勤2个；现有49人，其中行政人员21人，机关工勤2人，事业人员26人</w:t>
      </w:r>
      <w:r>
        <w:rPr>
          <w:rFonts w:hint="eastAsia" w:ascii="方正仿宋简体" w:eastAsia="方正仿宋简体" w:cs="仿宋_GB2312"/>
          <w:sz w:val="32"/>
          <w:szCs w:val="32"/>
        </w:rPr>
        <w:t>。</w:t>
      </w:r>
    </w:p>
    <w:p>
      <w:pPr>
        <w:adjustRightInd w:val="0"/>
        <w:snapToGrid w:val="0"/>
        <w:spacing w:line="576" w:lineRule="exact"/>
        <w:ind w:firstLine="640" w:firstLineChars="200"/>
        <w:contextualSpacing/>
        <w:jc w:val="left"/>
        <w:rPr>
          <w:rFonts w:hint="eastAsia" w:ascii="方正黑体简体" w:hAnsi="宋体" w:eastAsia="方正黑体简体" w:cs="宋体"/>
          <w:kern w:val="0"/>
          <w:sz w:val="32"/>
          <w:szCs w:val="32"/>
          <w:shd w:val="clear" w:color="auto" w:fill="FFFFFF"/>
        </w:rPr>
      </w:pPr>
      <w:r>
        <w:rPr>
          <w:rFonts w:hint="eastAsia" w:ascii="方正黑体简体" w:hAnsi="宋体" w:eastAsia="方正黑体简体" w:cs="宋体"/>
          <w:kern w:val="0"/>
          <w:sz w:val="32"/>
          <w:szCs w:val="32"/>
          <w:shd w:val="clear" w:color="auto" w:fill="FFFFFF"/>
        </w:rPr>
        <w:t>二、部门财政资金收支情况</w:t>
      </w:r>
    </w:p>
    <w:p>
      <w:pPr>
        <w:adjustRightInd w:val="0"/>
        <w:snapToGrid w:val="0"/>
        <w:spacing w:line="576" w:lineRule="exact"/>
        <w:ind w:firstLine="640" w:firstLineChars="200"/>
        <w:contextualSpacing/>
        <w:jc w:val="left"/>
        <w:rPr>
          <w:rFonts w:hint="eastAsia" w:ascii="方正楷体简体" w:hAnsi="宋体" w:eastAsia="方正楷体简体" w:cs="宋体"/>
          <w:color w:val="000000"/>
          <w:kern w:val="0"/>
          <w:sz w:val="32"/>
          <w:szCs w:val="32"/>
          <w:shd w:val="clear" w:color="auto" w:fill="FFFFFF"/>
          <w:lang w:val="zh-CN"/>
        </w:rPr>
      </w:pPr>
      <w:r>
        <w:rPr>
          <w:rFonts w:hint="eastAsia" w:ascii="方正楷体简体" w:hAnsi="宋体" w:eastAsia="方正楷体简体" w:cs="宋体"/>
          <w:color w:val="000000"/>
          <w:kern w:val="0"/>
          <w:sz w:val="32"/>
          <w:szCs w:val="32"/>
          <w:shd w:val="clear" w:color="auto" w:fill="FFFFFF"/>
          <w:lang w:val="zh-CN"/>
        </w:rPr>
        <w:t>（一）部门财政资金收入情况</w:t>
      </w:r>
    </w:p>
    <w:p>
      <w:pPr>
        <w:spacing w:line="576" w:lineRule="exact"/>
        <w:ind w:firstLine="640" w:firstLineChars="200"/>
        <w:rPr>
          <w:rFonts w:hint="eastAsia" w:ascii="方正仿宋简体" w:hAnsi="宋体" w:eastAsia="方正仿宋简体" w:cs="宋体"/>
          <w:color w:val="000000"/>
          <w:kern w:val="0"/>
          <w:sz w:val="32"/>
          <w:szCs w:val="32"/>
          <w:shd w:val="clear" w:color="auto" w:fill="FFFFFF"/>
          <w:lang w:val="zh-CN"/>
        </w:rPr>
      </w:pPr>
      <w:r>
        <w:rPr>
          <w:rFonts w:hint="eastAsia" w:ascii="方正仿宋简体" w:hAnsi="仿宋" w:eastAsia="方正仿宋简体" w:cs="仿宋"/>
          <w:color w:val="000000"/>
          <w:sz w:val="32"/>
          <w:szCs w:val="32"/>
        </w:rPr>
        <w:t>2020年财政资金收入897.75万元。</w:t>
      </w:r>
    </w:p>
    <w:p>
      <w:pPr>
        <w:numPr>
          <w:ilvl w:val="0"/>
          <w:numId w:val="5"/>
        </w:numPr>
        <w:adjustRightInd w:val="0"/>
        <w:snapToGrid w:val="0"/>
        <w:spacing w:line="576" w:lineRule="exact"/>
        <w:ind w:firstLine="640" w:firstLineChars="200"/>
        <w:contextualSpacing/>
        <w:jc w:val="left"/>
        <w:rPr>
          <w:rFonts w:hint="eastAsia" w:ascii="方正楷体简体" w:hAnsi="宋体" w:eastAsia="方正楷体简体" w:cs="宋体"/>
          <w:color w:val="000000"/>
          <w:kern w:val="0"/>
          <w:sz w:val="32"/>
          <w:szCs w:val="32"/>
          <w:shd w:val="clear" w:color="auto" w:fill="FFFFFF"/>
          <w:lang w:val="zh-CN"/>
        </w:rPr>
      </w:pPr>
      <w:r>
        <w:rPr>
          <w:rFonts w:hint="eastAsia" w:ascii="方正楷体简体" w:hAnsi="宋体" w:eastAsia="方正楷体简体" w:cs="宋体"/>
          <w:color w:val="000000"/>
          <w:kern w:val="0"/>
          <w:sz w:val="32"/>
          <w:szCs w:val="32"/>
          <w:shd w:val="clear" w:color="auto" w:fill="FFFFFF"/>
          <w:lang w:val="zh-CN"/>
        </w:rPr>
        <w:t>部门财政资金支出情况。</w:t>
      </w:r>
    </w:p>
    <w:p>
      <w:pPr>
        <w:adjustRightInd w:val="0"/>
        <w:snapToGrid w:val="0"/>
        <w:spacing w:line="576" w:lineRule="exact"/>
        <w:ind w:left="420" w:leftChars="200" w:firstLine="320" w:firstLineChars="100"/>
        <w:contextualSpacing/>
        <w:jc w:val="left"/>
        <w:rPr>
          <w:rFonts w:hint="eastAsia" w:ascii="方正仿宋简体" w:hAnsi="宋体" w:eastAsia="方正仿宋简体" w:cs="宋体"/>
          <w:color w:val="000000"/>
          <w:kern w:val="0"/>
          <w:sz w:val="32"/>
          <w:szCs w:val="32"/>
          <w:shd w:val="clear" w:color="auto" w:fill="FFFFFF"/>
          <w:lang w:val="zh-CN"/>
        </w:rPr>
      </w:pPr>
      <w:r>
        <w:rPr>
          <w:rFonts w:hint="eastAsia" w:ascii="方正仿宋简体" w:hAnsi="仿宋" w:eastAsia="方正仿宋简体" w:cs="仿宋"/>
          <w:color w:val="000000"/>
          <w:sz w:val="32"/>
          <w:szCs w:val="32"/>
        </w:rPr>
        <w:t>2020年财政资金支出554.38万元。</w:t>
      </w:r>
    </w:p>
    <w:p>
      <w:pPr>
        <w:adjustRightInd w:val="0"/>
        <w:snapToGrid w:val="0"/>
        <w:spacing w:line="576" w:lineRule="exact"/>
        <w:ind w:firstLine="640" w:firstLineChars="200"/>
        <w:contextualSpacing/>
        <w:jc w:val="left"/>
        <w:rPr>
          <w:rFonts w:hint="eastAsia" w:ascii="方正黑体简体" w:hAnsi="宋体" w:eastAsia="方正黑体简体" w:cs="宋体"/>
          <w:kern w:val="0"/>
          <w:sz w:val="32"/>
          <w:szCs w:val="32"/>
          <w:shd w:val="clear" w:color="auto" w:fill="FFFFFF"/>
        </w:rPr>
      </w:pPr>
      <w:r>
        <w:rPr>
          <w:rFonts w:hint="eastAsia" w:ascii="方正黑体简体" w:hAnsi="宋体" w:eastAsia="方正黑体简体" w:cs="宋体"/>
          <w:kern w:val="0"/>
          <w:sz w:val="32"/>
          <w:szCs w:val="32"/>
          <w:shd w:val="clear" w:color="auto" w:fill="FFFFFF"/>
        </w:rPr>
        <w:t>三、部门整体预算绩效管理情况</w:t>
      </w:r>
    </w:p>
    <w:p>
      <w:pPr>
        <w:adjustRightInd w:val="0"/>
        <w:snapToGrid w:val="0"/>
        <w:spacing w:line="576" w:lineRule="exact"/>
        <w:ind w:firstLine="640" w:firstLineChars="200"/>
        <w:contextualSpacing/>
        <w:jc w:val="left"/>
        <w:rPr>
          <w:rFonts w:hint="eastAsia" w:ascii="方正楷体简体" w:hAnsi="宋体" w:eastAsia="方正楷体简体" w:cs="宋体"/>
          <w:color w:val="000000"/>
          <w:kern w:val="0"/>
          <w:sz w:val="32"/>
          <w:szCs w:val="32"/>
          <w:shd w:val="clear" w:color="auto" w:fill="FFFFFF"/>
          <w:lang w:val="zh-CN"/>
        </w:rPr>
      </w:pPr>
      <w:r>
        <w:rPr>
          <w:rFonts w:hint="eastAsia" w:ascii="方正楷体简体" w:hAnsi="宋体" w:eastAsia="方正楷体简体" w:cs="宋体"/>
          <w:color w:val="000000"/>
          <w:kern w:val="0"/>
          <w:sz w:val="32"/>
          <w:szCs w:val="32"/>
          <w:shd w:val="clear" w:color="auto" w:fill="FFFFFF"/>
          <w:lang w:val="zh-CN"/>
        </w:rPr>
        <w:t>（一）部门预算管理</w:t>
      </w:r>
    </w:p>
    <w:p>
      <w:pPr>
        <w:spacing w:line="576" w:lineRule="exact"/>
        <w:ind w:firstLine="640" w:firstLineChars="200"/>
        <w:rPr>
          <w:rFonts w:hint="eastAsia" w:ascii="方正仿宋简体" w:hAnsi="仿宋" w:eastAsia="方正仿宋简体"/>
          <w:sz w:val="32"/>
          <w:szCs w:val="32"/>
        </w:rPr>
      </w:pPr>
      <w:r>
        <w:rPr>
          <w:rFonts w:hint="eastAsia" w:ascii="方正仿宋简体" w:hAnsi="仿宋" w:eastAsia="方正仿宋简体" w:cs="仿宋"/>
          <w:sz w:val="32"/>
          <w:szCs w:val="32"/>
        </w:rPr>
        <w:t>认真制定绩效目标、计划目标完成情况、预算编制准确、严格控制支出、预算动态调整、按进度执行、预算完成情况良好，无违规事件。</w:t>
      </w:r>
    </w:p>
    <w:p>
      <w:pPr>
        <w:adjustRightInd w:val="0"/>
        <w:snapToGrid w:val="0"/>
        <w:spacing w:line="576" w:lineRule="exact"/>
        <w:ind w:firstLine="640" w:firstLineChars="200"/>
        <w:contextualSpacing/>
        <w:jc w:val="left"/>
        <w:rPr>
          <w:rFonts w:hint="eastAsia" w:ascii="方正楷体简体" w:hAnsi="宋体" w:eastAsia="方正楷体简体" w:cs="宋体"/>
          <w:color w:val="000000"/>
          <w:kern w:val="0"/>
          <w:sz w:val="32"/>
          <w:szCs w:val="32"/>
          <w:shd w:val="clear" w:color="auto" w:fill="FFFFFF"/>
          <w:lang w:val="zh-CN"/>
        </w:rPr>
      </w:pPr>
      <w:r>
        <w:rPr>
          <w:rFonts w:hint="eastAsia" w:ascii="方正楷体简体" w:hAnsi="宋体" w:eastAsia="方正楷体简体" w:cs="宋体"/>
          <w:color w:val="000000"/>
          <w:kern w:val="0"/>
          <w:sz w:val="32"/>
          <w:szCs w:val="32"/>
          <w:shd w:val="clear" w:color="auto" w:fill="FFFFFF"/>
          <w:lang w:val="zh-CN"/>
        </w:rPr>
        <w:t>（二）结果应用情况</w:t>
      </w:r>
    </w:p>
    <w:p>
      <w:pPr>
        <w:spacing w:line="576" w:lineRule="exact"/>
        <w:ind w:firstLine="640" w:firstLineChars="200"/>
        <w:rPr>
          <w:rFonts w:hint="eastAsia" w:ascii="方正仿宋简体" w:hAnsi="仿宋" w:eastAsia="方正仿宋简体"/>
          <w:sz w:val="32"/>
          <w:szCs w:val="32"/>
        </w:rPr>
      </w:pPr>
      <w:r>
        <w:rPr>
          <w:rFonts w:hint="eastAsia" w:ascii="方正仿宋简体" w:hAnsi="仿宋" w:eastAsia="方正仿宋简体" w:cs="仿宋"/>
          <w:sz w:val="32"/>
          <w:szCs w:val="32"/>
        </w:rPr>
        <w:t>我们对预算执行情况进行了详细地自评、按程序进行对外公示公开，社会满意度良好。</w:t>
      </w:r>
    </w:p>
    <w:p>
      <w:pPr>
        <w:adjustRightInd w:val="0"/>
        <w:snapToGrid w:val="0"/>
        <w:spacing w:line="576" w:lineRule="exact"/>
        <w:ind w:firstLine="640" w:firstLineChars="200"/>
        <w:contextualSpacing/>
        <w:jc w:val="left"/>
        <w:rPr>
          <w:rFonts w:hint="eastAsia" w:ascii="方正黑体简体" w:hAnsi="宋体" w:eastAsia="方正黑体简体" w:cs="宋体"/>
          <w:kern w:val="0"/>
          <w:sz w:val="32"/>
          <w:szCs w:val="32"/>
          <w:shd w:val="clear" w:color="auto" w:fill="FFFFFF"/>
        </w:rPr>
      </w:pPr>
      <w:r>
        <w:rPr>
          <w:rFonts w:hint="eastAsia" w:ascii="方正黑体简体" w:hAnsi="宋体" w:eastAsia="方正黑体简体" w:cs="宋体"/>
          <w:kern w:val="0"/>
          <w:sz w:val="32"/>
          <w:szCs w:val="32"/>
          <w:shd w:val="clear" w:color="auto" w:fill="FFFFFF"/>
        </w:rPr>
        <w:t>四、评价结论及建议</w:t>
      </w:r>
    </w:p>
    <w:p>
      <w:pPr>
        <w:spacing w:line="576" w:lineRule="exact"/>
        <w:ind w:firstLine="640" w:firstLineChars="200"/>
        <w:rPr>
          <w:rFonts w:hint="eastAsia" w:ascii="方正仿宋简体" w:hAnsi="仿宋" w:eastAsia="方正仿宋简体"/>
          <w:sz w:val="32"/>
          <w:szCs w:val="32"/>
        </w:rPr>
      </w:pPr>
      <w:r>
        <w:rPr>
          <w:rFonts w:hint="eastAsia" w:ascii="方正楷体简体" w:hAnsi="宋体" w:eastAsia="方正楷体简体" w:cs="宋体"/>
          <w:color w:val="000000"/>
          <w:kern w:val="0"/>
          <w:sz w:val="32"/>
          <w:szCs w:val="32"/>
          <w:shd w:val="clear" w:color="auto" w:fill="FFFFFF"/>
          <w:lang w:val="zh-CN"/>
        </w:rPr>
        <w:t>（一）评价结论。</w:t>
      </w:r>
      <w:r>
        <w:rPr>
          <w:rFonts w:hint="eastAsia" w:ascii="方正仿宋简体" w:hAnsi="仿宋" w:eastAsia="方正仿宋简体" w:cs="仿宋"/>
          <w:sz w:val="32"/>
          <w:szCs w:val="32"/>
        </w:rPr>
        <w:t>预算编制严谨、执行到位、效益良好。</w:t>
      </w:r>
    </w:p>
    <w:p>
      <w:pPr>
        <w:spacing w:line="576" w:lineRule="exact"/>
        <w:ind w:firstLine="640" w:firstLineChars="200"/>
        <w:rPr>
          <w:rFonts w:hint="eastAsia" w:ascii="方正仿宋简体" w:hAnsi="仿宋" w:eastAsia="方正仿宋简体"/>
          <w:sz w:val="32"/>
          <w:szCs w:val="32"/>
        </w:rPr>
      </w:pPr>
      <w:r>
        <w:rPr>
          <w:rFonts w:hint="eastAsia" w:ascii="方正仿宋简体" w:hAnsi="仿宋" w:eastAsia="方正仿宋简体" w:cs="仿宋"/>
          <w:sz w:val="32"/>
          <w:szCs w:val="32"/>
        </w:rPr>
        <w:t>（</w:t>
      </w:r>
      <w:r>
        <w:rPr>
          <w:rFonts w:hint="eastAsia" w:ascii="方正楷体简体" w:hAnsi="宋体" w:eastAsia="方正楷体简体" w:cs="宋体"/>
          <w:color w:val="000000"/>
          <w:kern w:val="0"/>
          <w:sz w:val="32"/>
          <w:szCs w:val="32"/>
          <w:shd w:val="clear" w:color="auto" w:fill="FFFFFF"/>
          <w:lang w:val="zh-CN"/>
        </w:rPr>
        <w:t>二）存在问题。</w:t>
      </w:r>
      <w:r>
        <w:rPr>
          <w:rFonts w:hint="eastAsia" w:ascii="方正仿宋简体" w:hAnsi="仿宋" w:eastAsia="方正仿宋简体" w:cs="仿宋"/>
          <w:sz w:val="32"/>
          <w:szCs w:val="32"/>
        </w:rPr>
        <w:t>个别项目编制有待进一步精细化</w:t>
      </w:r>
    </w:p>
    <w:p>
      <w:pPr>
        <w:spacing w:line="576" w:lineRule="exact"/>
        <w:ind w:firstLine="640" w:firstLineChars="200"/>
        <w:rPr>
          <w:rFonts w:hint="eastAsia" w:ascii="方正仿宋简体" w:hAnsi="仿宋" w:eastAsia="方正仿宋简体"/>
          <w:sz w:val="32"/>
          <w:szCs w:val="32"/>
        </w:rPr>
      </w:pPr>
      <w:r>
        <w:rPr>
          <w:rFonts w:hint="eastAsia" w:ascii="方正楷体简体" w:hAnsi="宋体" w:eastAsia="方正楷体简体" w:cs="宋体"/>
          <w:color w:val="000000"/>
          <w:kern w:val="0"/>
          <w:sz w:val="32"/>
          <w:szCs w:val="32"/>
          <w:shd w:val="clear" w:color="auto" w:fill="FFFFFF"/>
          <w:lang w:val="zh-CN"/>
        </w:rPr>
        <w:t>（三）改进建议。</w:t>
      </w:r>
      <w:r>
        <w:rPr>
          <w:rFonts w:hint="eastAsia" w:ascii="方正仿宋简体" w:hAnsi="仿宋" w:eastAsia="方正仿宋简体" w:cs="仿宋"/>
          <w:sz w:val="32"/>
          <w:szCs w:val="32"/>
        </w:rPr>
        <w:t>加强项目精细化管理，向管理要质量、要效益，进一步提升财政资金的使用效益。</w:t>
      </w:r>
    </w:p>
    <w:p>
      <w:pPr>
        <w:jc w:val="left"/>
        <w:rPr>
          <w:rFonts w:hint="eastAsia" w:ascii="方正仿宋简体" w:hAnsi="仿宋_GB2312" w:eastAsia="方正仿宋简体"/>
          <w:sz w:val="32"/>
          <w:szCs w:val="32"/>
        </w:rPr>
      </w:pPr>
    </w:p>
    <w:p>
      <w:pPr>
        <w:adjustRightInd w:val="0"/>
        <w:snapToGrid w:val="0"/>
        <w:spacing w:line="580" w:lineRule="exact"/>
        <w:ind w:firstLine="640" w:firstLineChars="200"/>
        <w:contextualSpacing/>
        <w:jc w:val="left"/>
        <w:rPr>
          <w:rFonts w:hint="eastAsia" w:ascii="方正仿宋简体" w:hAnsi="宋体" w:eastAsia="方正仿宋简体" w:cs="宋体"/>
          <w:color w:val="000000"/>
          <w:kern w:val="0"/>
          <w:sz w:val="32"/>
          <w:szCs w:val="32"/>
          <w:shd w:val="clear" w:color="auto" w:fill="FFFFFF"/>
          <w:lang w:val="zh-CN"/>
        </w:rPr>
      </w:pPr>
    </w:p>
    <w:p>
      <w:pPr>
        <w:spacing w:line="580" w:lineRule="exact"/>
        <w:ind w:firstLine="640" w:firstLineChars="200"/>
        <w:rPr>
          <w:rFonts w:hint="eastAsia" w:ascii="方正仿宋简体" w:hAnsi="仿宋_GB2312" w:eastAsia="方正仿宋简体" w:cs="仿宋_GB2312"/>
          <w:sz w:val="32"/>
          <w:szCs w:val="32"/>
        </w:rPr>
      </w:pPr>
    </w:p>
    <w:p>
      <w:pPr>
        <w:pStyle w:val="2"/>
      </w:pPr>
    </w:p>
    <w:p>
      <w:pPr>
        <w:spacing w:line="580" w:lineRule="exact"/>
        <w:ind w:firstLine="640" w:firstLineChars="200"/>
        <w:rPr>
          <w:rFonts w:hint="eastAsia" w:ascii="方正仿宋简体" w:hAnsi="仿宋_GB2312" w:eastAsia="方正仿宋简体" w:cs="仿宋_GB2312"/>
          <w:sz w:val="32"/>
          <w:szCs w:val="32"/>
        </w:rPr>
      </w:pPr>
    </w:p>
    <w:p>
      <w:pPr>
        <w:spacing w:line="580" w:lineRule="exact"/>
        <w:ind w:firstLine="640" w:firstLineChars="200"/>
        <w:rPr>
          <w:rFonts w:hint="eastAsia" w:ascii="方正仿宋简体" w:hAnsi="仿宋_GB2312" w:eastAsia="方正仿宋简体" w:cs="仿宋_GB2312"/>
          <w:sz w:val="32"/>
          <w:szCs w:val="32"/>
        </w:rPr>
      </w:pPr>
    </w:p>
    <w:p>
      <w:pPr>
        <w:spacing w:line="576" w:lineRule="exact"/>
        <w:rPr>
          <w:rFonts w:hint="eastAsia" w:ascii="方正仿宋简体" w:hAnsi="仿宋_GB2312" w:eastAsia="方正仿宋简体" w:cs="仿宋_GB2312"/>
          <w:sz w:val="32"/>
          <w:szCs w:val="32"/>
        </w:rPr>
      </w:pPr>
      <w:r>
        <w:rPr>
          <w:rFonts w:hint="eastAsia" w:ascii="方正仿宋简体" w:hAnsi="黑体" w:eastAsia="方正仿宋简体" w:cs="黑体"/>
          <w:sz w:val="32"/>
          <w:szCs w:val="32"/>
        </w:rPr>
        <w:t>附件2</w:t>
      </w:r>
    </w:p>
    <w:p>
      <w:pPr>
        <w:spacing w:line="576" w:lineRule="exact"/>
        <w:jc w:val="center"/>
        <w:rPr>
          <w:rFonts w:hint="eastAsia" w:ascii="方正小标宋简体" w:hAnsi="黑体" w:eastAsia="方正小标宋简体"/>
          <w:sz w:val="44"/>
          <w:szCs w:val="44"/>
        </w:rPr>
      </w:pPr>
      <w:r>
        <w:rPr>
          <w:rFonts w:hint="eastAsia" w:ascii="方正小标宋简体" w:hAnsi="黑体" w:eastAsia="方正小标宋简体" w:cs="黑体"/>
          <w:sz w:val="44"/>
          <w:szCs w:val="44"/>
        </w:rPr>
        <w:t>2020年森林防火项目支出绩效评价报告</w:t>
      </w:r>
    </w:p>
    <w:p>
      <w:pPr>
        <w:spacing w:line="576" w:lineRule="exact"/>
        <w:ind w:firstLine="640" w:firstLineChars="200"/>
        <w:rPr>
          <w:rFonts w:hint="eastAsia" w:ascii="方正仿宋简体" w:hAnsi="仿宋_GB2312" w:eastAsia="方正仿宋简体"/>
          <w:sz w:val="32"/>
          <w:szCs w:val="32"/>
        </w:rPr>
      </w:pPr>
    </w:p>
    <w:p>
      <w:pPr>
        <w:numPr>
          <w:ilvl w:val="0"/>
          <w:numId w:val="6"/>
        </w:numPr>
        <w:adjustRightInd w:val="0"/>
        <w:snapToGrid w:val="0"/>
        <w:spacing w:line="576" w:lineRule="exact"/>
        <w:ind w:firstLine="720"/>
        <w:rPr>
          <w:rFonts w:hint="eastAsia" w:ascii="方正黑体简体" w:hAnsi="宋体" w:eastAsia="方正黑体简体"/>
          <w:sz w:val="32"/>
          <w:szCs w:val="32"/>
          <w:lang w:val="zh-CN"/>
        </w:rPr>
      </w:pPr>
      <w:r>
        <w:rPr>
          <w:rFonts w:hint="eastAsia" w:ascii="方正黑体简体" w:hAnsi="宋体" w:eastAsia="方正黑体简体"/>
          <w:sz w:val="32"/>
          <w:szCs w:val="32"/>
          <w:lang w:val="zh-CN"/>
        </w:rPr>
        <w:t>项目概况</w:t>
      </w:r>
    </w:p>
    <w:p>
      <w:pPr>
        <w:adjustRightInd w:val="0"/>
        <w:snapToGrid w:val="0"/>
        <w:spacing w:line="576" w:lineRule="exact"/>
        <w:ind w:left="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（一）项目基本情况</w:t>
      </w:r>
    </w:p>
    <w:p>
      <w:pPr>
        <w:adjustRightInd w:val="0"/>
        <w:snapToGrid w:val="0"/>
        <w:spacing w:line="576" w:lineRule="exact"/>
        <w:ind w:firstLine="640" w:firstLineChars="200"/>
        <w:rPr>
          <w:rFonts w:hint="eastAsia" w:ascii="方正仿宋简体" w:hAnsi="仿宋_GB2312" w:eastAsia="方正仿宋简体" w:cs="仿宋_GB2312"/>
          <w:sz w:val="32"/>
          <w:szCs w:val="32"/>
        </w:rPr>
      </w:pPr>
      <w:r>
        <w:rPr>
          <w:rFonts w:hint="eastAsia" w:ascii="方正仿宋简体" w:hAnsi="仿宋" w:eastAsia="方正仿宋简体" w:cs="仿宋"/>
          <w:sz w:val="32"/>
          <w:szCs w:val="32"/>
        </w:rPr>
        <w:t>1.项目评价实施方案情况：</w:t>
      </w:r>
      <w:r>
        <w:rPr>
          <w:rFonts w:hint="eastAsia" w:ascii="方正仿宋简体" w:hAnsi="仿宋_GB2312" w:eastAsia="方正仿宋简体" w:cs="仿宋_GB2312"/>
          <w:sz w:val="32"/>
          <w:szCs w:val="32"/>
        </w:rPr>
        <w:t>有效防范辖区森林火灾的发生，保障森林防火宣传，提高群众森林防火意识，绿化面积逐年提升。</w:t>
      </w:r>
    </w:p>
    <w:p>
      <w:pPr>
        <w:spacing w:line="576" w:lineRule="exact"/>
        <w:ind w:firstLine="640" w:firstLineChars="200"/>
        <w:rPr>
          <w:rFonts w:hint="eastAsia" w:ascii="方正仿宋简体" w:hAnsi="仿宋" w:eastAsia="方正仿宋简体" w:cs="仿宋_GB2312"/>
          <w:color w:val="000000" w:themeColor="text1"/>
          <w:w w:val="95"/>
          <w:sz w:val="32"/>
          <w:szCs w:val="32"/>
        </w:rPr>
      </w:pPr>
      <w:r>
        <w:rPr>
          <w:rFonts w:hint="eastAsia" w:ascii="方正仿宋简体" w:hAnsi="宋体" w:eastAsia="方正仿宋简体"/>
          <w:color w:val="000000" w:themeColor="text1"/>
          <w:sz w:val="32"/>
          <w:szCs w:val="32"/>
          <w:lang w:val="zh-CN"/>
        </w:rPr>
        <w:t>2.</w:t>
      </w:r>
      <w:r>
        <w:rPr>
          <w:rFonts w:hint="eastAsia" w:ascii="方正仿宋简体" w:hAnsi="宋体" w:eastAsia="方正仿宋简体"/>
          <w:color w:val="000000" w:themeColor="text1"/>
          <w:w w:val="95"/>
          <w:sz w:val="32"/>
          <w:szCs w:val="32"/>
          <w:lang w:val="zh-CN"/>
        </w:rPr>
        <w:t>项目立项、资金申报的依据</w:t>
      </w:r>
      <w:r>
        <w:rPr>
          <w:rFonts w:hint="eastAsia" w:ascii="方正仿宋简体" w:hAnsi="宋体" w:eastAsia="方正仿宋简体"/>
          <w:color w:val="000000" w:themeColor="text1"/>
          <w:w w:val="95"/>
          <w:sz w:val="32"/>
          <w:szCs w:val="32"/>
        </w:rPr>
        <w:t>:</w:t>
      </w:r>
      <w:r>
        <w:rPr>
          <w:rFonts w:hint="eastAsia" w:ascii="方正仿宋简体" w:hAnsi="仿宋" w:eastAsia="方正仿宋简体" w:cs="仿宋_GB2312"/>
          <w:color w:val="000000" w:themeColor="text1"/>
          <w:w w:val="95"/>
          <w:sz w:val="32"/>
          <w:szCs w:val="32"/>
        </w:rPr>
        <w:t>森林火灾是一种突发性强、破坏性大、处置救助较为困难的自然灾害。由于其来势迅猛、毁灭性强等，给国家和人民造成严重的损失，不仅包括财产和资源损失，还会引起人身伤亡事故的发生。所以森林防火工作的实施相当重要。</w:t>
      </w:r>
    </w:p>
    <w:p>
      <w:pPr>
        <w:spacing w:line="576" w:lineRule="exact"/>
        <w:ind w:firstLine="640" w:firstLineChars="200"/>
        <w:rPr>
          <w:rFonts w:hint="eastAsia" w:ascii="方正仿宋简体" w:hAnsi="仿宋_GB2312" w:eastAsia="方正仿宋简体" w:cs="仿宋_GB2312"/>
          <w:sz w:val="32"/>
          <w:szCs w:val="32"/>
        </w:rPr>
      </w:pPr>
      <w:r>
        <w:rPr>
          <w:rFonts w:hint="eastAsia" w:ascii="方正仿宋简体" w:hAnsi="宋体" w:eastAsia="方正仿宋简体"/>
          <w:sz w:val="32"/>
          <w:szCs w:val="32"/>
          <w:lang w:val="zh-CN"/>
        </w:rPr>
        <w:t>3．</w:t>
      </w:r>
      <w:r>
        <w:rPr>
          <w:rFonts w:hint="eastAsia" w:ascii="方正仿宋简体" w:hAnsi="仿宋" w:eastAsia="方正仿宋简体" w:cs="仿宋_GB2312"/>
          <w:sz w:val="32"/>
          <w:szCs w:val="32"/>
        </w:rPr>
        <w:t>资金分配情况（资金分配管理的科学合理性）：该项目财政</w:t>
      </w:r>
      <w:r>
        <w:rPr>
          <w:rFonts w:hint="eastAsia" w:ascii="方正仿宋简体" w:hAnsi="仿宋_GB2312" w:eastAsia="方正仿宋简体" w:cs="仿宋_GB2312"/>
          <w:sz w:val="32"/>
          <w:szCs w:val="32"/>
        </w:rPr>
        <w:t>全年预算数2万元.</w:t>
      </w:r>
    </w:p>
    <w:p>
      <w:pPr>
        <w:pStyle w:val="2"/>
        <w:spacing w:line="576" w:lineRule="exact"/>
        <w:ind w:left="0" w:leftChars="0" w:firstLine="640"/>
        <w:rPr>
          <w:rFonts w:hint="eastAsia" w:ascii="方正仿宋简体" w:eastAsia="方正仿宋简体"/>
        </w:rPr>
      </w:pPr>
      <w:r>
        <w:rPr>
          <w:rFonts w:hint="eastAsia" w:ascii="方正仿宋简体" w:hAnsi="宋体" w:eastAsia="方正仿宋简体"/>
          <w:sz w:val="32"/>
          <w:szCs w:val="32"/>
          <w:lang w:val="zh-CN"/>
        </w:rPr>
        <w:t>4．资金分配的原则及考虑因素</w:t>
      </w:r>
      <w:r>
        <w:rPr>
          <w:rFonts w:hint="eastAsia" w:ascii="方正仿宋简体" w:hAnsi="宋体" w:eastAsia="方正仿宋简体"/>
          <w:sz w:val="32"/>
          <w:szCs w:val="32"/>
        </w:rPr>
        <w:t>:主要用于购买</w:t>
      </w:r>
      <w:r>
        <w:rPr>
          <w:rFonts w:hint="eastAsia" w:ascii="方正仿宋简体" w:hAnsi="仿宋" w:eastAsia="方正仿宋简体" w:cs="仿宋_GB2312"/>
          <w:sz w:val="32"/>
          <w:szCs w:val="32"/>
        </w:rPr>
        <w:t>防火物资以及防火宣传标示标牌的制作和安装。</w:t>
      </w:r>
    </w:p>
    <w:p>
      <w:pPr>
        <w:adjustRightInd w:val="0"/>
        <w:snapToGrid w:val="0"/>
        <w:spacing w:line="576" w:lineRule="exact"/>
        <w:ind w:firstLine="720"/>
        <w:rPr>
          <w:rFonts w:hint="eastAsia" w:ascii="方正仿宋简体" w:hAnsi="宋体" w:eastAsia="方正仿宋简体"/>
          <w:b/>
          <w:sz w:val="32"/>
          <w:szCs w:val="32"/>
          <w:lang w:val="zh-CN"/>
        </w:rPr>
      </w:pPr>
      <w:r>
        <w:rPr>
          <w:rFonts w:hint="eastAsia" w:ascii="方正楷体简体" w:hAnsi="宋体" w:eastAsia="方正楷体简体"/>
          <w:sz w:val="32"/>
          <w:szCs w:val="32"/>
          <w:lang w:val="zh-CN"/>
        </w:rPr>
        <w:t>（二）项目绩效目标</w:t>
      </w:r>
    </w:p>
    <w:p>
      <w:pPr>
        <w:spacing w:line="576" w:lineRule="exact"/>
        <w:ind w:firstLine="640" w:firstLineChars="200"/>
        <w:rPr>
          <w:rFonts w:hint="eastAsia" w:ascii="方正仿宋简体" w:hAnsi="仿宋" w:eastAsia="方正仿宋简体" w:cs="仿宋_GB2312"/>
          <w:sz w:val="32"/>
          <w:szCs w:val="32"/>
        </w:rPr>
      </w:pPr>
      <w:r>
        <w:rPr>
          <w:rFonts w:hint="eastAsia" w:ascii="方正仿宋简体" w:hAnsi="宋体" w:eastAsia="方正仿宋简体"/>
          <w:sz w:val="32"/>
          <w:szCs w:val="32"/>
          <w:lang w:val="zh-CN"/>
        </w:rPr>
        <w:t>1．项目主要内容。</w:t>
      </w:r>
      <w:r>
        <w:rPr>
          <w:rFonts w:hint="eastAsia" w:ascii="方正仿宋简体" w:hAnsi="仿宋" w:eastAsia="方正仿宋简体" w:cs="仿宋_GB2312"/>
          <w:sz w:val="32"/>
          <w:szCs w:val="32"/>
        </w:rPr>
        <w:t>防范森林火灾，保护珍稀植物，增强群众防火意识。</w:t>
      </w:r>
    </w:p>
    <w:p>
      <w:pPr>
        <w:spacing w:line="576" w:lineRule="exact"/>
        <w:ind w:firstLine="640" w:firstLineChars="200"/>
        <w:rPr>
          <w:rFonts w:hint="eastAsia" w:ascii="方正仿宋简体" w:hAnsi="仿宋" w:eastAsia="方正仿宋简体" w:cs="仿宋_GB2312"/>
          <w:sz w:val="32"/>
          <w:szCs w:val="32"/>
        </w:rPr>
      </w:pPr>
      <w:r>
        <w:rPr>
          <w:rFonts w:hint="eastAsia" w:ascii="方正仿宋简体" w:hAnsi="宋体" w:eastAsia="方正仿宋简体"/>
          <w:sz w:val="32"/>
          <w:szCs w:val="32"/>
          <w:lang w:val="zh-CN"/>
        </w:rPr>
        <w:t>2．</w:t>
      </w:r>
      <w:r>
        <w:rPr>
          <w:rFonts w:hint="eastAsia" w:ascii="方正仿宋简体" w:hAnsi="仿宋" w:eastAsia="方正仿宋简体" w:cs="仿宋_GB2312"/>
          <w:sz w:val="32"/>
          <w:szCs w:val="32"/>
        </w:rPr>
        <w:t>项目目标完成情况：</w:t>
      </w:r>
      <w:r>
        <w:rPr>
          <w:rFonts w:hint="eastAsia" w:ascii="方正仿宋简体" w:hAnsi="仿宋_GB2312" w:eastAsia="方正仿宋简体" w:cs="仿宋_GB2312"/>
          <w:sz w:val="32"/>
          <w:szCs w:val="32"/>
        </w:rPr>
        <w:t>通过项目实施，有效防范辖区森林火灾的发生，保护珍稀植物，保障森林防火宣传，提高群众森林防火意识，绿化面积逐年提升。</w:t>
      </w:r>
    </w:p>
    <w:p>
      <w:pPr>
        <w:adjustRightInd w:val="0"/>
        <w:snapToGrid w:val="0"/>
        <w:spacing w:line="576" w:lineRule="exact"/>
        <w:ind w:firstLine="640" w:firstLineChars="200"/>
        <w:rPr>
          <w:rFonts w:hint="eastAsia" w:ascii="方正仿宋简体" w:hAnsi="宋体" w:eastAsia="方正仿宋简体"/>
          <w:sz w:val="32"/>
          <w:szCs w:val="32"/>
          <w:lang w:val="zh-CN"/>
        </w:rPr>
      </w:pPr>
      <w:r>
        <w:rPr>
          <w:rFonts w:hint="eastAsia" w:ascii="方正仿宋简体" w:hAnsi="宋体" w:eastAsia="方正仿宋简体"/>
          <w:sz w:val="32"/>
          <w:szCs w:val="32"/>
          <w:lang w:val="zh-CN"/>
        </w:rPr>
        <w:t>3．分析评价申报内容与实际相符，申报目标可行性高。</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（三）项目自评步骤及方法</w:t>
      </w:r>
    </w:p>
    <w:p>
      <w:pPr>
        <w:spacing w:line="576" w:lineRule="exact"/>
        <w:ind w:firstLine="640" w:firstLineChars="200"/>
        <w:rPr>
          <w:rFonts w:hint="eastAsia" w:ascii="方正仿宋简体" w:hAnsi="仿宋" w:eastAsia="方正仿宋简体" w:cs="仿宋_GB2312"/>
          <w:sz w:val="32"/>
          <w:szCs w:val="32"/>
        </w:rPr>
      </w:pPr>
      <w:r>
        <w:rPr>
          <w:rFonts w:hint="eastAsia" w:ascii="方正仿宋简体" w:hAnsi="仿宋" w:eastAsia="方正仿宋简体" w:cs="仿宋_GB2312"/>
          <w:sz w:val="32"/>
          <w:szCs w:val="32"/>
        </w:rPr>
        <w:t>支付凭证资料查阅，相关资料翻阅，森林火灾发生控制率。</w:t>
      </w:r>
    </w:p>
    <w:p>
      <w:pPr>
        <w:adjustRightInd w:val="0"/>
        <w:snapToGrid w:val="0"/>
        <w:spacing w:line="576" w:lineRule="exact"/>
        <w:ind w:firstLine="720"/>
        <w:rPr>
          <w:rFonts w:hint="eastAsia" w:ascii="方正黑体简体" w:hAnsi="宋体" w:eastAsia="方正黑体简体"/>
          <w:sz w:val="32"/>
          <w:szCs w:val="32"/>
          <w:lang w:val="zh-CN"/>
        </w:rPr>
      </w:pPr>
      <w:r>
        <w:rPr>
          <w:rFonts w:hint="eastAsia" w:ascii="方正黑体简体" w:hAnsi="宋体" w:eastAsia="方正黑体简体"/>
          <w:sz w:val="32"/>
          <w:szCs w:val="32"/>
          <w:lang w:val="zh-CN"/>
        </w:rPr>
        <w:t>二、项目资金申报及使用情况</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（一）项目资金申报及批复情况</w:t>
      </w:r>
    </w:p>
    <w:p>
      <w:pPr>
        <w:adjustRightInd w:val="0"/>
        <w:snapToGrid w:val="0"/>
        <w:spacing w:line="576" w:lineRule="exact"/>
        <w:ind w:firstLine="720"/>
        <w:rPr>
          <w:rFonts w:hint="eastAsia" w:ascii="方正仿宋简体" w:hAnsi="宋体" w:eastAsia="方正仿宋简体"/>
          <w:sz w:val="32"/>
          <w:szCs w:val="32"/>
          <w:lang w:val="zh-CN"/>
        </w:rPr>
      </w:pPr>
      <w:r>
        <w:rPr>
          <w:rFonts w:hint="eastAsia" w:ascii="方正仿宋简体" w:hAnsi="宋体" w:eastAsia="方正仿宋简体"/>
          <w:sz w:val="32"/>
          <w:szCs w:val="32"/>
          <w:lang w:val="zh-CN"/>
        </w:rPr>
        <w:t>项目资金申报由年初预算统一向区财政申报，由区政府统一上报区人代会进行批复。</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（二）资金计划、到位及使用情况</w:t>
      </w:r>
    </w:p>
    <w:p>
      <w:pPr>
        <w:adjustRightInd w:val="0"/>
        <w:snapToGrid w:val="0"/>
        <w:spacing w:line="576" w:lineRule="exact"/>
        <w:ind w:firstLine="720"/>
        <w:rPr>
          <w:rFonts w:hint="eastAsia" w:ascii="方正仿宋简体" w:hAnsi="宋体" w:eastAsia="方正仿宋简体"/>
          <w:sz w:val="32"/>
          <w:szCs w:val="32"/>
        </w:rPr>
      </w:pPr>
      <w:r>
        <w:rPr>
          <w:rFonts w:hint="eastAsia" w:ascii="方正仿宋简体" w:hAnsi="宋体" w:eastAsia="方正仿宋简体"/>
          <w:sz w:val="32"/>
          <w:szCs w:val="32"/>
          <w:lang w:val="zh-CN"/>
        </w:rPr>
        <w:t>1．资金计划。该项目由区财政统一年初预算</w:t>
      </w:r>
      <w:r>
        <w:rPr>
          <w:rFonts w:hint="eastAsia" w:ascii="方正仿宋简体" w:hAnsi="宋体" w:eastAsia="方正仿宋简体"/>
          <w:sz w:val="32"/>
          <w:szCs w:val="32"/>
        </w:rPr>
        <w:t xml:space="preserve">2万元。  </w:t>
      </w:r>
    </w:p>
    <w:p>
      <w:pPr>
        <w:adjustRightInd w:val="0"/>
        <w:snapToGrid w:val="0"/>
        <w:spacing w:line="576" w:lineRule="exact"/>
        <w:ind w:firstLine="720"/>
        <w:rPr>
          <w:rFonts w:hint="eastAsia" w:ascii="方正仿宋简体" w:hAnsi="宋体" w:eastAsia="方正仿宋简体"/>
          <w:sz w:val="32"/>
          <w:szCs w:val="32"/>
        </w:rPr>
      </w:pPr>
      <w:r>
        <w:rPr>
          <w:rFonts w:hint="eastAsia" w:ascii="方正仿宋简体" w:hAnsi="宋体" w:eastAsia="方正仿宋简体"/>
          <w:sz w:val="32"/>
          <w:szCs w:val="32"/>
          <w:lang w:val="zh-CN"/>
        </w:rPr>
        <w:t>2．资金到位情况：该项目财政预算</w:t>
      </w:r>
      <w:r>
        <w:rPr>
          <w:rFonts w:hint="eastAsia" w:ascii="方正仿宋简体" w:hAnsi="宋体" w:eastAsia="方正仿宋简体"/>
          <w:sz w:val="32"/>
          <w:szCs w:val="32"/>
        </w:rPr>
        <w:t>2万元全部到位。</w:t>
      </w:r>
    </w:p>
    <w:p>
      <w:pPr>
        <w:adjustRightInd w:val="0"/>
        <w:snapToGrid w:val="0"/>
        <w:spacing w:line="576" w:lineRule="exact"/>
        <w:ind w:firstLine="720"/>
        <w:rPr>
          <w:rFonts w:hint="eastAsia" w:ascii="方正仿宋简体" w:hAnsi="仿宋_GB2312" w:eastAsia="方正仿宋简体" w:cs="仿宋_GB2312"/>
          <w:sz w:val="32"/>
          <w:szCs w:val="32"/>
        </w:rPr>
      </w:pPr>
      <w:r>
        <w:rPr>
          <w:rFonts w:hint="eastAsia" w:ascii="方正仿宋简体" w:hAnsi="宋体" w:eastAsia="方正仿宋简体"/>
          <w:sz w:val="32"/>
          <w:szCs w:val="32"/>
          <w:lang w:val="zh-CN"/>
        </w:rPr>
        <w:t>3．资金使用：</w:t>
      </w:r>
      <w:r>
        <w:rPr>
          <w:rFonts w:hint="eastAsia" w:ascii="方正仿宋简体" w:hAnsi="仿宋_GB2312" w:eastAsia="方正仿宋简体" w:cs="仿宋_GB2312"/>
          <w:sz w:val="32"/>
          <w:szCs w:val="32"/>
        </w:rPr>
        <w:t>执行数为2万元，完成预算的100%。</w:t>
      </w:r>
    </w:p>
    <w:p>
      <w:pPr>
        <w:adjustRightInd w:val="0"/>
        <w:snapToGrid w:val="0"/>
        <w:spacing w:line="576" w:lineRule="exact"/>
        <w:ind w:firstLine="720"/>
        <w:rPr>
          <w:rFonts w:hint="eastAsia" w:ascii="方正黑体简体" w:hAnsi="宋体" w:eastAsia="方正黑体简体"/>
          <w:sz w:val="32"/>
          <w:szCs w:val="32"/>
          <w:lang w:val="zh-CN"/>
        </w:rPr>
      </w:pPr>
      <w:r>
        <w:rPr>
          <w:rFonts w:hint="eastAsia" w:ascii="方正黑体简体" w:hAnsi="宋体" w:eastAsia="方正黑体简体"/>
          <w:sz w:val="32"/>
          <w:szCs w:val="32"/>
          <w:lang w:val="zh-CN"/>
        </w:rPr>
        <w:t>三、项目绩效情况</w:t>
      </w:r>
      <w:r>
        <w:rPr>
          <w:rFonts w:hint="eastAsia" w:ascii="方正黑体简体" w:hAnsi="宋体" w:eastAsia="方正黑体简体"/>
          <w:sz w:val="32"/>
          <w:szCs w:val="32"/>
          <w:lang w:val="zh-CN"/>
        </w:rPr>
        <w:tab/>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（一）项目完成情况</w:t>
      </w:r>
    </w:p>
    <w:p>
      <w:pPr>
        <w:spacing w:line="576" w:lineRule="exact"/>
        <w:ind w:firstLine="640" w:firstLineChars="200"/>
        <w:rPr>
          <w:rFonts w:hint="eastAsia" w:ascii="方正仿宋简体" w:hAnsi="仿宋_GB2312" w:eastAsia="方正仿宋简体" w:cs="仿宋_GB2312"/>
          <w:sz w:val="32"/>
          <w:szCs w:val="32"/>
        </w:rPr>
      </w:pPr>
      <w:r>
        <w:rPr>
          <w:rFonts w:hint="eastAsia" w:ascii="方正仿宋简体" w:hAnsi="仿宋" w:eastAsia="方正仿宋简体" w:cs="仿宋_GB2312"/>
          <w:sz w:val="32"/>
          <w:szCs w:val="32"/>
        </w:rPr>
        <w:t>该项目实施较好，</w:t>
      </w:r>
      <w:r>
        <w:rPr>
          <w:rFonts w:hint="eastAsia" w:ascii="方正仿宋简体" w:hAnsi="仿宋_GB2312" w:eastAsia="方正仿宋简体" w:cs="仿宋_GB2312"/>
          <w:sz w:val="32"/>
          <w:szCs w:val="32"/>
        </w:rPr>
        <w:t>全年预算数2万元，执行数为2万元，完成预算的100%。</w:t>
      </w:r>
    </w:p>
    <w:p>
      <w:pPr>
        <w:adjustRightInd w:val="0"/>
        <w:snapToGrid w:val="0"/>
        <w:spacing w:line="576" w:lineRule="exact"/>
        <w:ind w:firstLine="640" w:firstLineChars="20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（二）项目效益情况</w:t>
      </w:r>
    </w:p>
    <w:p>
      <w:pPr>
        <w:spacing w:line="576" w:lineRule="exact"/>
        <w:ind w:firstLine="640" w:firstLineChars="200"/>
        <w:rPr>
          <w:rFonts w:hint="eastAsia" w:ascii="方正仿宋简体" w:hAnsi="仿宋" w:eastAsia="方正仿宋简体" w:cs="仿宋_GB2312"/>
          <w:sz w:val="32"/>
          <w:szCs w:val="32"/>
          <w:lang w:val="zh-CN"/>
        </w:rPr>
      </w:pPr>
      <w:r>
        <w:rPr>
          <w:rFonts w:hint="eastAsia" w:ascii="方正仿宋简体" w:hAnsi="仿宋" w:eastAsia="方正仿宋简体" w:cs="仿宋_GB2312"/>
          <w:sz w:val="32"/>
          <w:szCs w:val="32"/>
        </w:rPr>
        <w:t>经济效益：保护珍稀植物；</w:t>
      </w:r>
      <w:r>
        <w:rPr>
          <w:rFonts w:hint="eastAsia" w:ascii="方正仿宋简体" w:hAnsi="仿宋" w:eastAsia="方正仿宋简体" w:cs="仿宋_GB2312"/>
          <w:sz w:val="32"/>
          <w:szCs w:val="32"/>
          <w:lang w:val="zh-CN"/>
        </w:rPr>
        <w:t>社会效益：</w:t>
      </w:r>
      <w:r>
        <w:rPr>
          <w:rFonts w:hint="eastAsia" w:ascii="方正仿宋简体" w:hAnsi="仿宋" w:eastAsia="方正仿宋简体" w:cs="仿宋_GB2312"/>
          <w:sz w:val="32"/>
          <w:szCs w:val="32"/>
        </w:rPr>
        <w:t>提高群众森林防火意识；生态效益：无森林火灾，绿化面积逐年提升益；可持续影响：无森林火灾，绿化面积逐年提升；确保群众满意度100%。</w:t>
      </w:r>
    </w:p>
    <w:p>
      <w:pPr>
        <w:spacing w:line="576" w:lineRule="exact"/>
        <w:ind w:firstLine="640" w:firstLineChars="200"/>
        <w:rPr>
          <w:rFonts w:hint="eastAsia" w:ascii="方正黑体简体" w:hAnsi="宋体" w:eastAsia="方正黑体简体"/>
          <w:sz w:val="32"/>
          <w:szCs w:val="32"/>
          <w:lang w:val="zh-CN"/>
        </w:rPr>
      </w:pPr>
      <w:r>
        <w:rPr>
          <w:rFonts w:hint="eastAsia" w:ascii="方正黑体简体" w:hAnsi="宋体" w:eastAsia="方正黑体简体"/>
          <w:sz w:val="32"/>
          <w:szCs w:val="32"/>
          <w:lang w:val="zh-CN"/>
        </w:rPr>
        <w:t>四、存在主要问题</w:t>
      </w:r>
    </w:p>
    <w:p>
      <w:pPr>
        <w:spacing w:line="576" w:lineRule="exact"/>
        <w:ind w:firstLine="640" w:firstLineChars="200"/>
        <w:rPr>
          <w:rFonts w:hint="eastAsia" w:ascii="方正仿宋简体" w:hAnsi="仿宋" w:eastAsia="方正仿宋简体" w:cs="仿宋_GB2312"/>
          <w:sz w:val="32"/>
          <w:szCs w:val="32"/>
        </w:rPr>
      </w:pPr>
      <w:r>
        <w:rPr>
          <w:rFonts w:hint="eastAsia" w:ascii="方正仿宋简体" w:hAnsi="仿宋_GB2312" w:eastAsia="方正仿宋简体" w:cs="仿宋_GB2312"/>
          <w:sz w:val="32"/>
          <w:szCs w:val="32"/>
        </w:rPr>
        <w:t>群众森林防火意识依然不足，需进一步加强宣传。</w:t>
      </w:r>
    </w:p>
    <w:p>
      <w:pPr>
        <w:spacing w:line="576" w:lineRule="exact"/>
        <w:ind w:firstLine="640" w:firstLineChars="200"/>
        <w:rPr>
          <w:rFonts w:hint="eastAsia" w:ascii="方正黑体简体" w:hAnsi="宋体" w:eastAsia="方正黑体简体"/>
          <w:sz w:val="32"/>
          <w:szCs w:val="32"/>
          <w:lang w:val="zh-CN"/>
        </w:rPr>
      </w:pPr>
      <w:r>
        <w:rPr>
          <w:rFonts w:hint="eastAsia" w:ascii="方正黑体简体" w:hAnsi="宋体" w:eastAsia="方正黑体简体"/>
          <w:sz w:val="32"/>
          <w:szCs w:val="32"/>
          <w:lang w:val="zh-CN"/>
        </w:rPr>
        <w:t>五、相关措施建议</w:t>
      </w:r>
    </w:p>
    <w:p>
      <w:pPr>
        <w:spacing w:line="576" w:lineRule="exact"/>
        <w:ind w:firstLine="640" w:firstLineChars="200"/>
        <w:rPr>
          <w:rStyle w:val="26"/>
          <w:rFonts w:hint="eastAsia" w:ascii="方正仿宋简体" w:hAnsi="仿宋" w:eastAsia="方正仿宋简体"/>
          <w:b w:val="0"/>
          <w:bCs w:val="0"/>
          <w:sz w:val="32"/>
          <w:szCs w:val="32"/>
        </w:rPr>
      </w:pPr>
      <w:r>
        <w:rPr>
          <w:rFonts w:hint="eastAsia" w:ascii="方正仿宋简体" w:hAnsi="仿宋_GB2312" w:eastAsia="方正仿宋简体" w:cs="仿宋_GB2312"/>
          <w:sz w:val="32"/>
          <w:szCs w:val="32"/>
        </w:rPr>
        <w:t>加强森林防火宣传，创新宣传方式方法，提高群众防火意识。</w:t>
      </w:r>
    </w:p>
    <w:p>
      <w:pPr>
        <w:spacing w:line="576" w:lineRule="exact"/>
        <w:jc w:val="center"/>
        <w:rPr>
          <w:rFonts w:hint="eastAsia" w:ascii="方正小标宋简体" w:hAnsi="黑体" w:eastAsia="方正小标宋简体"/>
          <w:spacing w:val="-20"/>
          <w:sz w:val="44"/>
          <w:szCs w:val="44"/>
        </w:rPr>
      </w:pPr>
      <w:r>
        <w:rPr>
          <w:rFonts w:hint="eastAsia" w:ascii="方正小标宋简体" w:hAnsi="黑体" w:eastAsia="方正小标宋简体" w:cs="黑体"/>
          <w:spacing w:val="-20"/>
          <w:sz w:val="44"/>
          <w:szCs w:val="44"/>
        </w:rPr>
        <w:t>2020年义务兵优待金项目支出绩效评价报告</w:t>
      </w:r>
    </w:p>
    <w:p>
      <w:pPr>
        <w:spacing w:line="576" w:lineRule="exact"/>
        <w:ind w:firstLine="640" w:firstLineChars="200"/>
        <w:rPr>
          <w:rFonts w:hint="eastAsia" w:ascii="方正仿宋简体" w:hAnsi="仿宋_GB2312" w:eastAsia="方正仿宋简体"/>
          <w:sz w:val="32"/>
          <w:szCs w:val="32"/>
        </w:rPr>
      </w:pPr>
    </w:p>
    <w:p>
      <w:pPr>
        <w:numPr>
          <w:ilvl w:val="0"/>
          <w:numId w:val="7"/>
        </w:numPr>
        <w:adjustRightInd w:val="0"/>
        <w:snapToGrid w:val="0"/>
        <w:spacing w:line="576" w:lineRule="exact"/>
        <w:ind w:firstLine="720"/>
        <w:rPr>
          <w:rFonts w:hint="eastAsia" w:ascii="方正黑体简体" w:hAnsi="宋体" w:eastAsia="方正黑体简体"/>
          <w:sz w:val="32"/>
          <w:szCs w:val="32"/>
          <w:lang w:val="zh-CN"/>
        </w:rPr>
      </w:pPr>
      <w:r>
        <w:rPr>
          <w:rFonts w:hint="eastAsia" w:ascii="方正黑体简体" w:hAnsi="宋体" w:eastAsia="方正黑体简体"/>
          <w:sz w:val="32"/>
          <w:szCs w:val="32"/>
          <w:lang w:val="zh-CN"/>
        </w:rPr>
        <w:t>项目概况</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（一）项目基本情况</w:t>
      </w:r>
    </w:p>
    <w:p>
      <w:pPr>
        <w:spacing w:line="576" w:lineRule="exact"/>
        <w:ind w:firstLine="640" w:firstLineChars="200"/>
        <w:rPr>
          <w:rFonts w:hint="eastAsia" w:ascii="方正仿宋简体" w:hAnsi="仿宋" w:eastAsia="方正仿宋简体" w:cs="仿宋"/>
          <w:sz w:val="32"/>
          <w:szCs w:val="32"/>
        </w:rPr>
      </w:pPr>
      <w:r>
        <w:rPr>
          <w:rFonts w:hint="eastAsia" w:ascii="方正仿宋简体" w:hAnsi="仿宋" w:eastAsia="方正仿宋简体" w:cs="仿宋"/>
          <w:sz w:val="32"/>
          <w:szCs w:val="32"/>
        </w:rPr>
        <w:t>项目评价实施方案情况：对辖区的义务兵优待金预算4.07万元，</w:t>
      </w:r>
      <w:r>
        <w:rPr>
          <w:rFonts w:hint="eastAsia" w:ascii="方正仿宋简体" w:hAnsi="仿宋_GB2312" w:eastAsia="方正仿宋简体" w:cs="仿宋_GB2312"/>
          <w:sz w:val="32"/>
          <w:szCs w:val="32"/>
        </w:rPr>
        <w:t>提高了适龄公民积极履行兵役的意愿</w:t>
      </w:r>
      <w:r>
        <w:rPr>
          <w:rFonts w:hint="eastAsia" w:ascii="方正仿宋简体" w:hAnsi="仿宋" w:eastAsia="方正仿宋简体" w:cs="仿宋"/>
          <w:sz w:val="32"/>
          <w:szCs w:val="32"/>
        </w:rPr>
        <w:t>。</w:t>
      </w:r>
    </w:p>
    <w:p>
      <w:pPr>
        <w:spacing w:line="576" w:lineRule="exact"/>
        <w:ind w:firstLine="640" w:firstLineChars="200"/>
        <w:rPr>
          <w:rFonts w:hint="eastAsia" w:ascii="方正仿宋简体" w:hAnsi="仿宋" w:eastAsia="方正仿宋简体" w:cs="仿宋_GB2312"/>
          <w:sz w:val="32"/>
          <w:szCs w:val="32"/>
        </w:rPr>
      </w:pPr>
      <w:r>
        <w:rPr>
          <w:rFonts w:hint="eastAsia" w:ascii="方正仿宋简体" w:hAnsi="宋体" w:eastAsia="方正仿宋简体"/>
          <w:sz w:val="32"/>
          <w:szCs w:val="32"/>
          <w:lang w:val="zh-CN"/>
        </w:rPr>
        <w:t>2．项目立项、资金申报的依据</w:t>
      </w:r>
      <w:r>
        <w:rPr>
          <w:rFonts w:hint="eastAsia" w:ascii="方正仿宋简体" w:hAnsi="宋体" w:eastAsia="方正仿宋简体"/>
          <w:sz w:val="32"/>
          <w:szCs w:val="32"/>
        </w:rPr>
        <w:t>:</w:t>
      </w:r>
      <w:r>
        <w:rPr>
          <w:rFonts w:hint="eastAsia" w:ascii="方正仿宋简体" w:hAnsi="仿宋" w:eastAsia="方正仿宋简体" w:cs="仿宋_GB2312"/>
          <w:sz w:val="32"/>
          <w:szCs w:val="32"/>
        </w:rPr>
        <w:t>据有关政策规定，退伍军人按照服役年数，给予每月相应的生活补助。</w:t>
      </w:r>
    </w:p>
    <w:p>
      <w:pPr>
        <w:spacing w:line="576" w:lineRule="exact"/>
        <w:ind w:firstLine="640" w:firstLineChars="200"/>
        <w:rPr>
          <w:rFonts w:hint="eastAsia" w:ascii="方正仿宋简体" w:hAnsi="仿宋_GB2312" w:eastAsia="方正仿宋简体" w:cs="仿宋_GB2312"/>
          <w:sz w:val="32"/>
          <w:szCs w:val="32"/>
        </w:rPr>
      </w:pPr>
      <w:r>
        <w:rPr>
          <w:rFonts w:hint="eastAsia" w:ascii="方正仿宋简体" w:hAnsi="宋体" w:eastAsia="方正仿宋简体"/>
          <w:sz w:val="32"/>
          <w:szCs w:val="32"/>
          <w:lang w:val="zh-CN"/>
        </w:rPr>
        <w:t>3．</w:t>
      </w:r>
      <w:r>
        <w:rPr>
          <w:rFonts w:hint="eastAsia" w:ascii="方正仿宋简体" w:hAnsi="仿宋" w:eastAsia="方正仿宋简体" w:cs="仿宋_GB2312"/>
          <w:sz w:val="32"/>
          <w:szCs w:val="32"/>
        </w:rPr>
        <w:t>资金分配情况（资金分配管理的科学合理性）：该项目</w:t>
      </w:r>
      <w:r>
        <w:rPr>
          <w:rFonts w:hint="eastAsia" w:ascii="方正仿宋简体" w:hAnsi="仿宋_GB2312" w:eastAsia="方正仿宋简体" w:cs="仿宋_GB2312"/>
          <w:sz w:val="32"/>
          <w:szCs w:val="32"/>
        </w:rPr>
        <w:t>全年预算数4.07万元。</w:t>
      </w:r>
    </w:p>
    <w:p>
      <w:pPr>
        <w:spacing w:line="576" w:lineRule="exact"/>
        <w:ind w:firstLine="640" w:firstLineChars="200"/>
        <w:rPr>
          <w:rFonts w:hint="eastAsia" w:ascii="方正仿宋简体" w:hAnsi="仿宋" w:eastAsia="方正仿宋简体" w:cs="仿宋_GB2312"/>
          <w:sz w:val="32"/>
          <w:szCs w:val="32"/>
        </w:rPr>
      </w:pPr>
      <w:r>
        <w:rPr>
          <w:rFonts w:hint="eastAsia" w:ascii="方正仿宋简体" w:hAnsi="宋体" w:eastAsia="方正仿宋简体"/>
          <w:sz w:val="32"/>
          <w:szCs w:val="32"/>
          <w:lang w:val="zh-CN"/>
        </w:rPr>
        <w:t>4．资金分配的原则及考虑因素</w:t>
      </w:r>
      <w:r>
        <w:rPr>
          <w:rFonts w:hint="eastAsia" w:ascii="方正仿宋简体" w:hAnsi="宋体" w:eastAsia="方正仿宋简体"/>
          <w:sz w:val="32"/>
          <w:szCs w:val="32"/>
        </w:rPr>
        <w:t>:按照实际情况统计我办现役军人人数而定。</w:t>
      </w:r>
    </w:p>
    <w:p>
      <w:pPr>
        <w:spacing w:line="576" w:lineRule="exact"/>
        <w:ind w:firstLine="640" w:firstLineChars="200"/>
        <w:rPr>
          <w:rFonts w:hint="eastAsia" w:ascii="方正楷体简体" w:hAnsi="宋体" w:eastAsia="方正楷体简体"/>
          <w:sz w:val="32"/>
          <w:szCs w:val="32"/>
          <w:lang w:val="zh-CN"/>
        </w:rPr>
      </w:pPr>
      <w:r>
        <w:rPr>
          <w:rFonts w:hint="eastAsia" w:ascii="方正仿宋简体" w:hAnsi="仿宋" w:eastAsia="方正仿宋简体" w:cs="仿宋_GB2312"/>
          <w:sz w:val="32"/>
          <w:szCs w:val="32"/>
        </w:rPr>
        <w:t>（二）</w:t>
      </w:r>
      <w:r>
        <w:rPr>
          <w:rFonts w:hint="eastAsia" w:ascii="方正楷体简体" w:hAnsi="宋体" w:eastAsia="方正楷体简体"/>
          <w:sz w:val="32"/>
          <w:szCs w:val="32"/>
          <w:lang w:val="zh-CN"/>
        </w:rPr>
        <w:t>项目绩效目标</w:t>
      </w:r>
    </w:p>
    <w:p>
      <w:pPr>
        <w:spacing w:line="576" w:lineRule="exact"/>
        <w:ind w:firstLine="640" w:firstLineChars="200"/>
        <w:rPr>
          <w:rFonts w:hint="eastAsia" w:ascii="方正仿宋简体" w:hAnsi="仿宋" w:eastAsia="方正仿宋简体" w:cs="仿宋_GB2312"/>
          <w:sz w:val="32"/>
          <w:szCs w:val="32"/>
        </w:rPr>
      </w:pPr>
      <w:r>
        <w:rPr>
          <w:rFonts w:hint="eastAsia" w:ascii="方正楷体简体" w:hAnsi="宋体" w:eastAsia="方正楷体简体"/>
          <w:sz w:val="32"/>
          <w:szCs w:val="32"/>
          <w:lang w:val="zh-CN"/>
        </w:rPr>
        <w:t>1.</w:t>
      </w:r>
      <w:r>
        <w:rPr>
          <w:rFonts w:hint="eastAsia" w:ascii="方正仿宋简体" w:hAnsi="宋体" w:eastAsia="方正仿宋简体"/>
          <w:sz w:val="32"/>
          <w:szCs w:val="32"/>
          <w:lang w:val="zh-CN"/>
        </w:rPr>
        <w:t>项目主要内容。</w:t>
      </w:r>
      <w:r>
        <w:rPr>
          <w:rFonts w:hint="eastAsia" w:ascii="方正仿宋简体" w:hAnsi="仿宋" w:eastAsia="方正仿宋简体" w:cs="仿宋"/>
          <w:sz w:val="32"/>
          <w:szCs w:val="32"/>
        </w:rPr>
        <w:t>我办积极响应国家号召，优秀青年踊跃参军，为了体现拥军爱军，结合财政局专项经费预算保障，设置了义务兵优待金专项经费，</w:t>
      </w:r>
      <w:r>
        <w:rPr>
          <w:rFonts w:hint="eastAsia" w:ascii="方正仿宋简体" w:hAnsi="仿宋_GB2312" w:eastAsia="方正仿宋简体" w:cs="仿宋_GB2312"/>
          <w:sz w:val="32"/>
          <w:szCs w:val="32"/>
        </w:rPr>
        <w:t>通过对农村义务兵优待金的发放，增加了适龄青年履行兵役义务的积极性，</w:t>
      </w:r>
      <w:r>
        <w:rPr>
          <w:rFonts w:hint="eastAsia" w:ascii="方正仿宋简体" w:hAnsi="仿宋" w:eastAsia="方正仿宋简体" w:cs="仿宋"/>
          <w:sz w:val="32"/>
          <w:szCs w:val="32"/>
        </w:rPr>
        <w:t>激发军人及家属的爱国热情。</w:t>
      </w:r>
    </w:p>
    <w:p>
      <w:pPr>
        <w:spacing w:line="576" w:lineRule="exact"/>
        <w:ind w:firstLine="640" w:firstLineChars="200"/>
        <w:rPr>
          <w:rFonts w:hint="eastAsia" w:ascii="方正仿宋简体" w:hAnsi="仿宋" w:eastAsia="方正仿宋简体" w:cs="仿宋_GB2312"/>
          <w:sz w:val="32"/>
          <w:szCs w:val="32"/>
        </w:rPr>
      </w:pPr>
      <w:r>
        <w:rPr>
          <w:rFonts w:hint="eastAsia" w:ascii="方正仿宋简体" w:hAnsi="仿宋" w:eastAsia="方正仿宋简体" w:cs="仿宋_GB2312"/>
          <w:sz w:val="32"/>
          <w:szCs w:val="32"/>
        </w:rPr>
        <w:t>2.项目目标完成情况：</w:t>
      </w:r>
      <w:r>
        <w:rPr>
          <w:rFonts w:hint="eastAsia" w:ascii="方正仿宋简体" w:hAnsi="仿宋" w:eastAsia="方正仿宋简体" w:cs="仿宋"/>
          <w:sz w:val="32"/>
          <w:szCs w:val="32"/>
        </w:rPr>
        <w:t>及时足额发放义务兵优待金，保障了义务兵享受国家规定的福利待遇的权利。</w:t>
      </w:r>
    </w:p>
    <w:p>
      <w:pPr>
        <w:spacing w:line="576" w:lineRule="exact"/>
        <w:ind w:firstLine="640" w:firstLineChars="200"/>
        <w:rPr>
          <w:rFonts w:hint="eastAsia" w:ascii="方正仿宋简体" w:hAnsi="仿宋" w:eastAsia="方正仿宋简体" w:cs="仿宋_GB2312"/>
          <w:sz w:val="32"/>
          <w:szCs w:val="32"/>
        </w:rPr>
      </w:pPr>
      <w:r>
        <w:rPr>
          <w:rFonts w:hint="eastAsia" w:ascii="方正仿宋简体" w:hAnsi="仿宋" w:eastAsia="方正仿宋简体" w:cs="仿宋_GB2312"/>
          <w:sz w:val="32"/>
          <w:szCs w:val="32"/>
        </w:rPr>
        <w:t>3.</w:t>
      </w:r>
      <w:r>
        <w:rPr>
          <w:rFonts w:hint="eastAsia" w:ascii="方正仿宋简体" w:hAnsi="宋体" w:eastAsia="方正仿宋简体"/>
          <w:sz w:val="32"/>
          <w:szCs w:val="32"/>
          <w:lang w:val="zh-CN"/>
        </w:rPr>
        <w:t>分析评价申报内容与实际相符，申报目标可行性高。</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（三）项目自评步骤及方法</w:t>
      </w:r>
    </w:p>
    <w:p>
      <w:pPr>
        <w:spacing w:line="576" w:lineRule="exact"/>
        <w:ind w:firstLine="640" w:firstLineChars="200"/>
        <w:rPr>
          <w:rFonts w:hint="eastAsia" w:ascii="方正仿宋简体" w:hAnsi="仿宋" w:eastAsia="方正仿宋简体" w:cs="仿宋_GB2312"/>
          <w:sz w:val="32"/>
          <w:szCs w:val="32"/>
        </w:rPr>
      </w:pPr>
      <w:r>
        <w:rPr>
          <w:rFonts w:hint="eastAsia" w:ascii="方正仿宋简体" w:hAnsi="仿宋" w:eastAsia="方正仿宋简体" w:cs="仿宋_GB2312"/>
          <w:sz w:val="32"/>
          <w:szCs w:val="32"/>
        </w:rPr>
        <w:t>支付凭证资料查阅，电话抽查是否真实发放到位。</w:t>
      </w:r>
    </w:p>
    <w:p>
      <w:pPr>
        <w:adjustRightInd w:val="0"/>
        <w:snapToGrid w:val="0"/>
        <w:spacing w:line="576" w:lineRule="exact"/>
        <w:ind w:firstLine="720"/>
        <w:rPr>
          <w:rFonts w:hint="eastAsia" w:ascii="方正黑体简体" w:hAnsi="宋体" w:eastAsia="方正黑体简体"/>
          <w:sz w:val="32"/>
          <w:szCs w:val="32"/>
        </w:rPr>
      </w:pPr>
      <w:r>
        <w:rPr>
          <w:rFonts w:hint="eastAsia" w:ascii="方正黑体简体" w:hAnsi="宋体" w:eastAsia="方正黑体简体"/>
          <w:sz w:val="32"/>
          <w:szCs w:val="32"/>
        </w:rPr>
        <w:t>二、项目资金申报及使用情况</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（一）项目资金申报及批复情况</w:t>
      </w:r>
    </w:p>
    <w:p>
      <w:pPr>
        <w:adjustRightInd w:val="0"/>
        <w:snapToGrid w:val="0"/>
        <w:spacing w:line="576" w:lineRule="exact"/>
        <w:ind w:firstLine="720"/>
        <w:rPr>
          <w:rFonts w:hint="eastAsia" w:ascii="方正仿宋简体" w:hAnsi="宋体" w:eastAsia="方正仿宋简体"/>
          <w:sz w:val="32"/>
          <w:szCs w:val="32"/>
          <w:lang w:val="zh-CN"/>
        </w:rPr>
      </w:pPr>
      <w:r>
        <w:rPr>
          <w:rFonts w:hint="eastAsia" w:ascii="方正仿宋简体" w:hAnsi="宋体" w:eastAsia="方正仿宋简体"/>
          <w:sz w:val="32"/>
          <w:szCs w:val="32"/>
          <w:lang w:val="zh-CN"/>
        </w:rPr>
        <w:t>项目资金申报由年初预算统一向区财政申报，由区政府统一上报上人代会进行批复。</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（二）资金计划、到位及使用情况（可用表格形式反映）</w:t>
      </w:r>
    </w:p>
    <w:p>
      <w:pPr>
        <w:adjustRightInd w:val="0"/>
        <w:snapToGrid w:val="0"/>
        <w:spacing w:line="576" w:lineRule="exact"/>
        <w:ind w:firstLine="720"/>
        <w:rPr>
          <w:rFonts w:hint="eastAsia" w:ascii="方正仿宋简体" w:hAnsi="宋体" w:eastAsia="方正仿宋简体"/>
          <w:sz w:val="32"/>
          <w:szCs w:val="32"/>
        </w:rPr>
      </w:pPr>
      <w:r>
        <w:rPr>
          <w:rFonts w:hint="eastAsia" w:ascii="方正仿宋简体" w:hAnsi="宋体" w:eastAsia="方正仿宋简体"/>
          <w:sz w:val="32"/>
          <w:szCs w:val="32"/>
          <w:lang w:val="zh-CN"/>
        </w:rPr>
        <w:t>1．资金计划。该项目由区财政统一年初预算</w:t>
      </w:r>
      <w:r>
        <w:rPr>
          <w:rFonts w:hint="eastAsia" w:ascii="方正仿宋简体" w:hAnsi="宋体" w:eastAsia="方正仿宋简体"/>
          <w:sz w:val="32"/>
          <w:szCs w:val="32"/>
        </w:rPr>
        <w:t xml:space="preserve">4.07万元。  </w:t>
      </w:r>
    </w:p>
    <w:p>
      <w:pPr>
        <w:adjustRightInd w:val="0"/>
        <w:snapToGrid w:val="0"/>
        <w:spacing w:line="576" w:lineRule="exact"/>
        <w:ind w:firstLine="720"/>
        <w:rPr>
          <w:rFonts w:hint="eastAsia" w:ascii="方正仿宋简体" w:hAnsi="宋体" w:eastAsia="方正仿宋简体"/>
          <w:sz w:val="32"/>
          <w:szCs w:val="32"/>
        </w:rPr>
      </w:pPr>
      <w:r>
        <w:rPr>
          <w:rFonts w:hint="eastAsia" w:ascii="方正仿宋简体" w:hAnsi="宋体" w:eastAsia="方正仿宋简体"/>
          <w:sz w:val="32"/>
          <w:szCs w:val="32"/>
          <w:lang w:val="zh-CN"/>
        </w:rPr>
        <w:t>2．资金到位情况：该项目财政预算</w:t>
      </w:r>
      <w:r>
        <w:rPr>
          <w:rFonts w:hint="eastAsia" w:ascii="方正仿宋简体" w:hAnsi="宋体" w:eastAsia="方正仿宋简体"/>
          <w:sz w:val="32"/>
          <w:szCs w:val="32"/>
        </w:rPr>
        <w:t>4.07万元全部到位。</w:t>
      </w:r>
    </w:p>
    <w:p>
      <w:pPr>
        <w:adjustRightInd w:val="0"/>
        <w:snapToGrid w:val="0"/>
        <w:spacing w:line="576" w:lineRule="exact"/>
        <w:ind w:firstLine="640" w:firstLineChars="200"/>
        <w:rPr>
          <w:rFonts w:hint="eastAsia" w:ascii="方正仿宋简体" w:hAnsi="仿宋" w:eastAsia="方正仿宋简体" w:cs="仿宋_GB2312"/>
          <w:sz w:val="32"/>
          <w:szCs w:val="32"/>
        </w:rPr>
      </w:pPr>
      <w:r>
        <w:rPr>
          <w:rFonts w:hint="eastAsia" w:ascii="方正仿宋简体" w:hAnsi="宋体" w:eastAsia="方正仿宋简体"/>
          <w:sz w:val="32"/>
          <w:szCs w:val="32"/>
          <w:lang w:val="zh-CN"/>
        </w:rPr>
        <w:t>3．资金使用：</w:t>
      </w:r>
      <w:r>
        <w:rPr>
          <w:rFonts w:hint="eastAsia" w:ascii="方正仿宋简体" w:hAnsi="仿宋" w:eastAsia="方正仿宋简体" w:cs="仿宋_GB2312"/>
          <w:sz w:val="32"/>
          <w:szCs w:val="32"/>
        </w:rPr>
        <w:t>辖区内符合条件的</w:t>
      </w:r>
      <w:r>
        <w:rPr>
          <w:rFonts w:hint="eastAsia" w:ascii="方正仿宋简体" w:hAnsi="仿宋_GB2312" w:eastAsia="方正仿宋简体" w:cs="仿宋_GB2312"/>
          <w:sz w:val="32"/>
          <w:szCs w:val="32"/>
        </w:rPr>
        <w:t>义</w:t>
      </w:r>
      <w:r>
        <w:rPr>
          <w:rFonts w:hint="eastAsia" w:ascii="方正仿宋简体" w:hAnsi="仿宋" w:eastAsia="方正仿宋简体" w:cs="仿宋_GB2312"/>
          <w:sz w:val="32"/>
          <w:szCs w:val="32"/>
        </w:rPr>
        <w:t xml:space="preserve">务兵生活补助 。  </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（三）项目财务管理情况</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仿宋简体" w:hAnsi="仿宋" w:eastAsia="方正仿宋简体" w:cs="仿宋_GB2312"/>
          <w:sz w:val="32"/>
          <w:szCs w:val="32"/>
        </w:rPr>
        <w:t>我办严格执行财务管理制度，及时处理相关账务，进行规范的会计核算。</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黑体简体" w:hAnsi="宋体" w:eastAsia="方正黑体简体"/>
          <w:sz w:val="32"/>
          <w:szCs w:val="32"/>
        </w:rPr>
        <w:t>三、项目绩效情况</w:t>
      </w:r>
      <w:r>
        <w:rPr>
          <w:rFonts w:hint="eastAsia" w:ascii="方正黑体简体" w:hAnsi="宋体" w:eastAsia="方正黑体简体"/>
          <w:sz w:val="32"/>
          <w:szCs w:val="32"/>
        </w:rPr>
        <w:tab/>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（一）项目完成情况</w:t>
      </w:r>
    </w:p>
    <w:p>
      <w:pPr>
        <w:spacing w:line="576" w:lineRule="exact"/>
        <w:ind w:firstLine="640" w:firstLineChars="200"/>
        <w:rPr>
          <w:rFonts w:hint="eastAsia" w:ascii="方正仿宋简体" w:hAnsi="仿宋_GB2312" w:eastAsia="方正仿宋简体"/>
          <w:sz w:val="32"/>
          <w:szCs w:val="32"/>
        </w:rPr>
      </w:pPr>
      <w:r>
        <w:rPr>
          <w:rFonts w:hint="eastAsia" w:ascii="方正仿宋简体" w:hAnsi="仿宋" w:eastAsia="方正仿宋简体" w:cs="仿宋"/>
          <w:sz w:val="32"/>
          <w:szCs w:val="32"/>
        </w:rPr>
        <w:t>按时足额发放优待金4.07万元，确保义务兵应享受的权利。</w:t>
      </w:r>
      <w:r>
        <w:rPr>
          <w:rFonts w:hint="eastAsia" w:ascii="方正仿宋简体" w:hAnsi="仿宋_GB2312" w:eastAsia="方正仿宋简体" w:cs="仿宋_GB2312"/>
          <w:sz w:val="32"/>
          <w:szCs w:val="32"/>
        </w:rPr>
        <w:t>通过对农村义务兵优待金的发放，体现了社会各级拥军爱军，增加了适龄青年履行兵役义务的积极性。</w:t>
      </w:r>
    </w:p>
    <w:p>
      <w:pPr>
        <w:adjustRightInd w:val="0"/>
        <w:snapToGrid w:val="0"/>
        <w:spacing w:line="576" w:lineRule="exact"/>
        <w:ind w:firstLine="640" w:firstLineChars="20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（二）项目效益情况</w:t>
      </w:r>
    </w:p>
    <w:p>
      <w:pPr>
        <w:spacing w:line="576" w:lineRule="exact"/>
        <w:ind w:firstLine="640" w:firstLineChars="200"/>
        <w:rPr>
          <w:rFonts w:hint="eastAsia" w:ascii="方正仿宋简体" w:hAnsi="仿宋_GB2312" w:eastAsia="方正仿宋简体" w:cs="仿宋_GB2312"/>
          <w:sz w:val="32"/>
          <w:szCs w:val="32"/>
        </w:rPr>
      </w:pPr>
      <w:r>
        <w:rPr>
          <w:rFonts w:hint="eastAsia" w:ascii="方正仿宋简体" w:hAnsi="仿宋" w:eastAsia="方正仿宋简体" w:cs="仿宋"/>
          <w:sz w:val="32"/>
          <w:szCs w:val="32"/>
        </w:rPr>
        <w:t>通过宣传教育，优秀青年踊跃参军，</w:t>
      </w:r>
      <w:r>
        <w:rPr>
          <w:rFonts w:hint="eastAsia" w:ascii="方正仿宋简体" w:hAnsi="仿宋_GB2312" w:eastAsia="方正仿宋简体" w:cs="仿宋_GB2312"/>
          <w:sz w:val="32"/>
          <w:szCs w:val="32"/>
        </w:rPr>
        <w:t>适龄青年履行兵役义务的积极性大大提高。</w:t>
      </w:r>
    </w:p>
    <w:p>
      <w:pPr>
        <w:shd w:val="clear" w:color="auto" w:fill="FFFFFF" w:themeFill="background1"/>
        <w:spacing w:line="576" w:lineRule="exact"/>
        <w:ind w:firstLine="640" w:firstLineChars="200"/>
        <w:rPr>
          <w:rFonts w:hint="eastAsia" w:ascii="方正仿宋简体" w:hAnsi="仿宋" w:eastAsia="方正仿宋简体" w:cs="仿宋_GB2312"/>
          <w:sz w:val="32"/>
          <w:szCs w:val="32"/>
        </w:rPr>
      </w:pPr>
      <w:r>
        <w:rPr>
          <w:rFonts w:hint="eastAsia" w:ascii="方正黑体简体" w:hAnsi="宋体" w:eastAsia="方正黑体简体"/>
          <w:sz w:val="32"/>
          <w:szCs w:val="32"/>
        </w:rPr>
        <w:t>四、存在主要问题：</w:t>
      </w:r>
      <w:r>
        <w:rPr>
          <w:rFonts w:hint="eastAsia" w:ascii="方正仿宋简体" w:hAnsi="仿宋_GB2312" w:eastAsia="方正仿宋简体" w:cs="仿宋_GB2312"/>
          <w:sz w:val="32"/>
          <w:szCs w:val="32"/>
          <w:shd w:val="clear" w:color="auto" w:fill="FFFFFF" w:themeFill="background1"/>
        </w:rPr>
        <w:t>新增退伍军人流动量较大。</w:t>
      </w:r>
    </w:p>
    <w:p>
      <w:pPr>
        <w:spacing w:line="576" w:lineRule="exact"/>
        <w:ind w:firstLine="640" w:firstLineChars="200"/>
        <w:rPr>
          <w:rStyle w:val="26"/>
          <w:rFonts w:hint="eastAsia" w:ascii="方正仿宋简体" w:hAnsi="仿宋" w:eastAsia="方正仿宋简体"/>
          <w:b w:val="0"/>
          <w:bCs w:val="0"/>
          <w:sz w:val="32"/>
          <w:szCs w:val="32"/>
        </w:rPr>
      </w:pPr>
      <w:r>
        <w:rPr>
          <w:rFonts w:hint="eastAsia" w:ascii="方正黑体简体" w:hAnsi="宋体" w:eastAsia="方正黑体简体"/>
          <w:sz w:val="32"/>
          <w:szCs w:val="32"/>
        </w:rPr>
        <w:t>五、相关措施建议：</w:t>
      </w:r>
      <w:r>
        <w:rPr>
          <w:rFonts w:hint="eastAsia" w:ascii="方正仿宋简体" w:hAnsi="仿宋_GB2312" w:eastAsia="方正仿宋简体" w:cs="仿宋_GB2312"/>
          <w:sz w:val="32"/>
          <w:szCs w:val="32"/>
          <w:shd w:val="clear" w:color="auto" w:fill="FFFFFF" w:themeFill="background1"/>
        </w:rPr>
        <w:t>提前就辖区内将新增退伍军人人数做好摸底，及时收集数据，保障资金支付的时效性。</w:t>
      </w:r>
    </w:p>
    <w:p>
      <w:pPr>
        <w:spacing w:line="576"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2020年80岁老党员生活补助项目支出</w:t>
      </w:r>
    </w:p>
    <w:p>
      <w:pPr>
        <w:spacing w:line="576" w:lineRule="exact"/>
        <w:jc w:val="center"/>
        <w:rPr>
          <w:rFonts w:hint="eastAsia" w:ascii="方正小标宋简体" w:hAnsi="黑体" w:eastAsia="方正小标宋简体"/>
          <w:sz w:val="44"/>
          <w:szCs w:val="44"/>
        </w:rPr>
      </w:pPr>
      <w:r>
        <w:rPr>
          <w:rFonts w:hint="eastAsia" w:ascii="方正小标宋简体" w:hAnsi="黑体" w:eastAsia="方正小标宋简体" w:cs="黑体"/>
          <w:sz w:val="44"/>
          <w:szCs w:val="44"/>
        </w:rPr>
        <w:t>绩效评价报告</w:t>
      </w:r>
    </w:p>
    <w:p>
      <w:pPr>
        <w:spacing w:line="576" w:lineRule="exact"/>
        <w:ind w:firstLine="640" w:firstLineChars="200"/>
        <w:rPr>
          <w:rFonts w:hint="eastAsia" w:ascii="方正仿宋简体" w:hAnsi="仿宋_GB2312" w:eastAsia="方正仿宋简体"/>
          <w:sz w:val="32"/>
          <w:szCs w:val="32"/>
        </w:rPr>
      </w:pPr>
    </w:p>
    <w:p>
      <w:pPr>
        <w:spacing w:line="576" w:lineRule="exact"/>
        <w:ind w:firstLine="640" w:firstLineChars="200"/>
        <w:rPr>
          <w:rFonts w:hint="eastAsia" w:ascii="方正黑体简体" w:hAnsi="仿宋" w:eastAsia="方正黑体简体"/>
          <w:sz w:val="32"/>
          <w:szCs w:val="32"/>
        </w:rPr>
      </w:pPr>
      <w:r>
        <w:rPr>
          <w:rFonts w:hint="eastAsia" w:ascii="方正黑体简体" w:hAnsi="仿宋" w:eastAsia="方正黑体简体" w:cs="仿宋"/>
          <w:sz w:val="32"/>
          <w:szCs w:val="32"/>
        </w:rPr>
        <w:t>一、评价工作开展及项目情况</w:t>
      </w:r>
    </w:p>
    <w:p>
      <w:pPr>
        <w:spacing w:line="576" w:lineRule="exact"/>
        <w:ind w:firstLine="640" w:firstLineChars="200"/>
        <w:rPr>
          <w:rFonts w:hint="eastAsia" w:ascii="方正仿宋简体" w:hAnsi="仿宋" w:eastAsia="方正仿宋简体"/>
          <w:sz w:val="32"/>
          <w:szCs w:val="32"/>
        </w:rPr>
      </w:pPr>
      <w:r>
        <w:rPr>
          <w:rFonts w:hint="eastAsia" w:ascii="方正仿宋简体" w:hAnsi="仿宋" w:eastAsia="方正仿宋简体" w:cs="仿宋"/>
          <w:sz w:val="32"/>
          <w:szCs w:val="32"/>
        </w:rPr>
        <w:t>项目评价实施方案情况：</w:t>
      </w:r>
      <w:r>
        <w:rPr>
          <w:rFonts w:hint="eastAsia" w:ascii="方正仿宋简体" w:hAnsi="仿宋_GB2312" w:eastAsia="方正仿宋简体" w:cs="仿宋_GB2312"/>
          <w:sz w:val="32"/>
          <w:szCs w:val="32"/>
        </w:rPr>
        <w:t>全年预算数0.48万元，执行数为0.36万元，原因：我办退休老党员流动量较大，统计有一定困难。通过项目实施，让退休党员体会到幸福感</w:t>
      </w:r>
      <w:r>
        <w:rPr>
          <w:rFonts w:hint="eastAsia" w:ascii="方正仿宋简体" w:hAnsi="仿宋" w:eastAsia="方正仿宋简体" w:cs="仿宋"/>
          <w:sz w:val="32"/>
          <w:szCs w:val="32"/>
        </w:rPr>
        <w:t>。</w:t>
      </w:r>
    </w:p>
    <w:p>
      <w:pPr>
        <w:spacing w:line="576" w:lineRule="exact"/>
        <w:ind w:firstLine="640" w:firstLineChars="200"/>
        <w:rPr>
          <w:rFonts w:hint="eastAsia" w:ascii="方正黑体简体" w:hAnsi="仿宋" w:eastAsia="方正黑体简体" w:cs="仿宋"/>
          <w:sz w:val="32"/>
          <w:szCs w:val="32"/>
        </w:rPr>
      </w:pPr>
      <w:r>
        <w:rPr>
          <w:rFonts w:hint="eastAsia" w:ascii="方正黑体简体" w:hAnsi="仿宋" w:eastAsia="方正黑体简体" w:cs="仿宋"/>
          <w:sz w:val="32"/>
          <w:szCs w:val="32"/>
        </w:rPr>
        <w:t>二、评价结论及绩效分析</w:t>
      </w:r>
    </w:p>
    <w:p>
      <w:pPr>
        <w:spacing w:line="576" w:lineRule="exact"/>
        <w:ind w:firstLine="640" w:firstLineChars="200"/>
        <w:rPr>
          <w:rFonts w:hint="eastAsia" w:ascii="方正楷体简体" w:hAnsi="仿宋" w:eastAsia="方正楷体简体" w:cs="仿宋"/>
          <w:sz w:val="32"/>
          <w:szCs w:val="32"/>
        </w:rPr>
      </w:pPr>
      <w:r>
        <w:rPr>
          <w:rFonts w:hint="eastAsia" w:ascii="方正楷体简体" w:hAnsi="仿宋" w:eastAsia="方正楷体简体" w:cs="仿宋"/>
          <w:sz w:val="32"/>
          <w:szCs w:val="32"/>
        </w:rPr>
        <w:t>（一）评价结论</w:t>
      </w:r>
    </w:p>
    <w:p>
      <w:pPr>
        <w:spacing w:line="576" w:lineRule="exact"/>
        <w:ind w:firstLine="640" w:firstLineChars="200"/>
        <w:rPr>
          <w:rFonts w:hint="eastAsia" w:ascii="方正仿宋简体" w:hAnsi="仿宋" w:eastAsia="方正仿宋简体"/>
          <w:sz w:val="32"/>
          <w:szCs w:val="32"/>
        </w:rPr>
      </w:pPr>
      <w:r>
        <w:rPr>
          <w:rFonts w:hint="eastAsia" w:ascii="方正仿宋简体" w:hAnsi="仿宋_GB2312" w:eastAsia="方正仿宋简体" w:cs="仿宋_GB2312"/>
          <w:sz w:val="32"/>
          <w:szCs w:val="32"/>
        </w:rPr>
        <w:t>让退休党员体会到幸福感，体现党组织对基层老党员的关爱</w:t>
      </w:r>
      <w:r>
        <w:rPr>
          <w:rFonts w:hint="eastAsia" w:ascii="方正仿宋简体" w:hAnsi="仿宋" w:eastAsia="方正仿宋简体" w:cs="仿宋"/>
          <w:sz w:val="32"/>
          <w:szCs w:val="32"/>
        </w:rPr>
        <w:t>。</w:t>
      </w:r>
    </w:p>
    <w:p>
      <w:pPr>
        <w:spacing w:line="576" w:lineRule="exact"/>
        <w:ind w:firstLine="640" w:firstLineChars="200"/>
        <w:rPr>
          <w:rFonts w:hint="eastAsia" w:ascii="方正楷体简体" w:hAnsi="仿宋" w:eastAsia="方正楷体简体"/>
          <w:sz w:val="32"/>
          <w:szCs w:val="32"/>
        </w:rPr>
      </w:pPr>
      <w:r>
        <w:rPr>
          <w:rFonts w:hint="eastAsia" w:ascii="方正楷体简体" w:hAnsi="仿宋" w:eastAsia="方正楷体简体" w:cs="仿宋"/>
          <w:sz w:val="32"/>
          <w:szCs w:val="32"/>
        </w:rPr>
        <w:t>（二）绩效分析</w:t>
      </w:r>
    </w:p>
    <w:p>
      <w:pPr>
        <w:spacing w:line="576" w:lineRule="exact"/>
        <w:ind w:firstLine="642" w:firstLineChars="200"/>
        <w:rPr>
          <w:rFonts w:hint="eastAsia" w:ascii="方正仿宋简体" w:hAnsi="仿宋" w:eastAsia="方正仿宋简体"/>
          <w:b/>
          <w:sz w:val="32"/>
          <w:szCs w:val="32"/>
        </w:rPr>
      </w:pPr>
      <w:r>
        <w:rPr>
          <w:rFonts w:hint="eastAsia" w:ascii="方正仿宋简体" w:hAnsi="仿宋" w:eastAsia="方正仿宋简体" w:cs="仿宋"/>
          <w:b/>
          <w:sz w:val="32"/>
          <w:szCs w:val="32"/>
        </w:rPr>
        <w:t>1、项目决策</w:t>
      </w:r>
    </w:p>
    <w:p>
      <w:pPr>
        <w:spacing w:line="576" w:lineRule="exact"/>
        <w:ind w:firstLine="640" w:firstLineChars="200"/>
        <w:rPr>
          <w:rFonts w:hint="eastAsia" w:ascii="方正仿宋简体" w:hAnsi="仿宋_GB2312" w:eastAsia="方正仿宋简体"/>
          <w:sz w:val="32"/>
          <w:szCs w:val="32"/>
        </w:rPr>
      </w:pPr>
      <w:r>
        <w:rPr>
          <w:rFonts w:hint="eastAsia" w:ascii="方正仿宋简体" w:hAnsi="仿宋_GB2312" w:eastAsia="方正仿宋简体" w:cs="仿宋_GB2312"/>
          <w:sz w:val="32"/>
          <w:szCs w:val="32"/>
        </w:rPr>
        <w:t>让退休党员体会到幸福感，体现党组织对基层老党员的关爱</w:t>
      </w:r>
    </w:p>
    <w:p>
      <w:pPr>
        <w:spacing w:line="576" w:lineRule="exact"/>
        <w:ind w:firstLine="642" w:firstLineChars="200"/>
        <w:rPr>
          <w:rFonts w:hint="eastAsia" w:ascii="方正仿宋简体" w:hAnsi="仿宋" w:eastAsia="方正仿宋简体"/>
          <w:b/>
          <w:sz w:val="32"/>
          <w:szCs w:val="32"/>
        </w:rPr>
      </w:pPr>
      <w:r>
        <w:rPr>
          <w:rFonts w:hint="eastAsia" w:ascii="方正仿宋简体" w:hAnsi="仿宋" w:eastAsia="方正仿宋简体" w:cs="仿宋"/>
          <w:b/>
          <w:sz w:val="32"/>
          <w:szCs w:val="32"/>
        </w:rPr>
        <w:t>2、项目管理</w:t>
      </w:r>
    </w:p>
    <w:p>
      <w:pPr>
        <w:spacing w:line="576" w:lineRule="exact"/>
        <w:ind w:firstLine="640" w:firstLineChars="200"/>
        <w:rPr>
          <w:rFonts w:hint="eastAsia" w:ascii="方正仿宋简体" w:hAnsi="仿宋_GB2312" w:eastAsia="方正仿宋简体"/>
          <w:sz w:val="32"/>
          <w:szCs w:val="32"/>
        </w:rPr>
      </w:pPr>
      <w:r>
        <w:rPr>
          <w:rFonts w:hint="eastAsia" w:ascii="方正仿宋简体" w:hAnsi="仿宋_GB2312" w:eastAsia="方正仿宋简体" w:cs="仿宋_GB2312"/>
          <w:sz w:val="32"/>
          <w:szCs w:val="32"/>
        </w:rPr>
        <w:t>全年预算数0.48万元，执行数为0.36万元，</w:t>
      </w:r>
    </w:p>
    <w:p>
      <w:pPr>
        <w:spacing w:line="576" w:lineRule="exact"/>
        <w:ind w:firstLine="642" w:firstLineChars="200"/>
        <w:rPr>
          <w:rFonts w:hint="eastAsia" w:ascii="方正仿宋简体" w:hAnsi="仿宋" w:eastAsia="方正仿宋简体"/>
          <w:b/>
          <w:sz w:val="32"/>
          <w:szCs w:val="32"/>
        </w:rPr>
      </w:pPr>
      <w:r>
        <w:rPr>
          <w:rFonts w:hint="eastAsia" w:ascii="方正仿宋简体" w:hAnsi="仿宋" w:eastAsia="方正仿宋简体" w:cs="仿宋"/>
          <w:b/>
          <w:sz w:val="32"/>
          <w:szCs w:val="32"/>
        </w:rPr>
        <w:t>3、项目绩效</w:t>
      </w:r>
    </w:p>
    <w:p>
      <w:pPr>
        <w:spacing w:line="576" w:lineRule="exact"/>
        <w:ind w:firstLine="640" w:firstLineChars="200"/>
        <w:rPr>
          <w:rFonts w:hint="eastAsia" w:ascii="方正仿宋简体" w:hAnsi="仿宋_GB2312" w:eastAsia="方正仿宋简体"/>
          <w:sz w:val="32"/>
          <w:szCs w:val="32"/>
        </w:rPr>
      </w:pPr>
      <w:r>
        <w:rPr>
          <w:rFonts w:hint="eastAsia" w:ascii="方正仿宋简体" w:hAnsi="仿宋_GB2312" w:eastAsia="方正仿宋简体" w:cs="仿宋_GB2312"/>
          <w:sz w:val="32"/>
          <w:szCs w:val="32"/>
        </w:rPr>
        <w:t>通过项目实施，让退休党员体会到幸福感，体现党组织对基层老党员的关爱</w:t>
      </w:r>
      <w:r>
        <w:rPr>
          <w:rFonts w:hint="eastAsia" w:ascii="方正仿宋简体" w:hAnsi="仿宋" w:eastAsia="方正仿宋简体" w:cs="仿宋"/>
          <w:sz w:val="32"/>
          <w:szCs w:val="32"/>
        </w:rPr>
        <w:t>，社会满意度高</w:t>
      </w:r>
      <w:r>
        <w:rPr>
          <w:rFonts w:hint="eastAsia" w:ascii="方正仿宋简体" w:hAnsi="仿宋_GB2312" w:eastAsia="方正仿宋简体" w:cs="仿宋_GB2312"/>
          <w:sz w:val="32"/>
          <w:szCs w:val="32"/>
        </w:rPr>
        <w:t>。</w:t>
      </w:r>
    </w:p>
    <w:p>
      <w:pPr>
        <w:spacing w:line="576" w:lineRule="exact"/>
        <w:ind w:firstLine="640" w:firstLineChars="200"/>
        <w:rPr>
          <w:rFonts w:hint="eastAsia" w:ascii="方正黑体简体" w:hAnsi="仿宋" w:eastAsia="方正黑体简体" w:cs="仿宋"/>
          <w:sz w:val="32"/>
          <w:szCs w:val="32"/>
        </w:rPr>
      </w:pPr>
      <w:r>
        <w:rPr>
          <w:rFonts w:hint="eastAsia" w:ascii="方正黑体简体" w:hAnsi="仿宋" w:eastAsia="方正黑体简体" w:cs="仿宋"/>
          <w:sz w:val="32"/>
          <w:szCs w:val="32"/>
        </w:rPr>
        <w:t>三、存在主要问题</w:t>
      </w:r>
    </w:p>
    <w:p>
      <w:pPr>
        <w:spacing w:line="576" w:lineRule="exact"/>
        <w:ind w:firstLine="640" w:firstLineChars="200"/>
        <w:rPr>
          <w:rFonts w:hint="eastAsia" w:ascii="方正仿宋简体" w:hAnsi="仿宋" w:eastAsia="方正仿宋简体"/>
          <w:sz w:val="32"/>
          <w:szCs w:val="32"/>
        </w:rPr>
      </w:pPr>
      <w:r>
        <w:rPr>
          <w:rFonts w:hint="eastAsia" w:ascii="方正仿宋简体" w:hAnsi="仿宋_GB2312" w:eastAsia="方正仿宋简体" w:cs="仿宋_GB2312"/>
          <w:sz w:val="32"/>
          <w:szCs w:val="32"/>
        </w:rPr>
        <w:t>纳入高龄老党员更新不及时，统计存在误差。</w:t>
      </w:r>
    </w:p>
    <w:p>
      <w:pPr>
        <w:spacing w:line="576" w:lineRule="exact"/>
        <w:ind w:firstLine="640" w:firstLineChars="200"/>
        <w:rPr>
          <w:rFonts w:hint="eastAsia" w:ascii="方正黑体简体" w:hAnsi="仿宋" w:eastAsia="方正黑体简体" w:cs="仿宋"/>
          <w:sz w:val="32"/>
          <w:szCs w:val="32"/>
        </w:rPr>
      </w:pPr>
      <w:r>
        <w:rPr>
          <w:rFonts w:hint="eastAsia" w:ascii="方正黑体简体" w:hAnsi="仿宋" w:eastAsia="方正黑体简体" w:cs="仿宋"/>
          <w:sz w:val="32"/>
          <w:szCs w:val="32"/>
        </w:rPr>
        <w:t>四、相关措施建议</w:t>
      </w:r>
    </w:p>
    <w:p>
      <w:pPr>
        <w:spacing w:line="576" w:lineRule="exact"/>
        <w:ind w:left="640"/>
        <w:rPr>
          <w:rFonts w:hint="eastAsia" w:ascii="方正仿宋简体" w:hAnsi="黑体" w:eastAsia="方正仿宋简体"/>
          <w:sz w:val="44"/>
          <w:szCs w:val="44"/>
        </w:rPr>
      </w:pPr>
      <w:r>
        <w:rPr>
          <w:rFonts w:hint="eastAsia" w:ascii="方正仿宋简体" w:hAnsi="仿宋_GB2312" w:eastAsia="方正仿宋简体" w:cs="仿宋_GB2312"/>
          <w:sz w:val="32"/>
          <w:szCs w:val="32"/>
        </w:rPr>
        <w:t>实行动态监管。</w:t>
      </w:r>
    </w:p>
    <w:p>
      <w:pPr>
        <w:spacing w:line="576"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2020年美丽乡村建设支出绩效评价报告</w:t>
      </w:r>
    </w:p>
    <w:p>
      <w:pPr>
        <w:adjustRightInd w:val="0"/>
        <w:snapToGrid w:val="0"/>
        <w:spacing w:line="576" w:lineRule="exact"/>
        <w:ind w:firstLine="720"/>
        <w:rPr>
          <w:rFonts w:hint="eastAsia" w:ascii="方正仿宋简体" w:hAnsi="宋体" w:eastAsia="方正仿宋简体"/>
          <w:sz w:val="32"/>
          <w:szCs w:val="32"/>
        </w:rPr>
      </w:pPr>
    </w:p>
    <w:p>
      <w:pPr>
        <w:adjustRightInd w:val="0"/>
        <w:snapToGrid w:val="0"/>
        <w:spacing w:line="576" w:lineRule="exact"/>
        <w:ind w:firstLine="720"/>
        <w:rPr>
          <w:rFonts w:hint="eastAsia" w:ascii="方正黑体简体" w:hAnsi="仿宋" w:eastAsia="方正黑体简体" w:cs="仿宋"/>
          <w:sz w:val="32"/>
          <w:szCs w:val="32"/>
        </w:rPr>
      </w:pPr>
      <w:r>
        <w:rPr>
          <w:rFonts w:hint="eastAsia" w:ascii="方正黑体简体" w:hAnsi="仿宋" w:eastAsia="方正黑体简体" w:cs="仿宋"/>
          <w:sz w:val="32"/>
          <w:szCs w:val="32"/>
        </w:rPr>
        <w:t>一、项目概况</w:t>
      </w:r>
    </w:p>
    <w:p>
      <w:pPr>
        <w:adjustRightInd w:val="0"/>
        <w:snapToGrid w:val="0"/>
        <w:spacing w:line="576" w:lineRule="exact"/>
        <w:ind w:firstLine="720"/>
        <w:rPr>
          <w:rFonts w:hint="eastAsia" w:ascii="方正楷体简体" w:hAnsi="仿宋" w:eastAsia="方正楷体简体" w:cs="仿宋"/>
          <w:sz w:val="32"/>
          <w:szCs w:val="32"/>
        </w:rPr>
      </w:pPr>
      <w:r>
        <w:rPr>
          <w:rFonts w:hint="eastAsia" w:ascii="方正楷体简体" w:hAnsi="仿宋" w:eastAsia="方正楷体简体" w:cs="仿宋"/>
          <w:sz w:val="32"/>
          <w:szCs w:val="32"/>
        </w:rPr>
        <w:t>（一）项目基本情况</w:t>
      </w:r>
    </w:p>
    <w:p>
      <w:pPr>
        <w:spacing w:line="576" w:lineRule="exact"/>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lang w:val="zh-CN"/>
        </w:rPr>
        <w:t>1．项目主管部门（单位）在该项目管理中的职能</w:t>
      </w:r>
      <w:r>
        <w:rPr>
          <w:rFonts w:hint="eastAsia" w:ascii="方正仿宋简体" w:hAnsi="宋体" w:eastAsia="方正仿宋简体"/>
          <w:sz w:val="32"/>
          <w:szCs w:val="32"/>
        </w:rPr>
        <w:t>:</w:t>
      </w:r>
      <w:r>
        <w:rPr>
          <w:rFonts w:hint="eastAsia" w:ascii="方正仿宋简体" w:hAnsi="宋体" w:eastAsia="方正仿宋简体"/>
          <w:sz w:val="32"/>
          <w:szCs w:val="32"/>
          <w:lang w:val="zh-CN"/>
        </w:rPr>
        <w:t>主动融入新型城镇化，促进城乡产业、基础设施、公共服务一体化发展。大力发展农业优势特色产业和农村二三产业，促进新村与产业融合发展。</w:t>
      </w:r>
    </w:p>
    <w:p>
      <w:pPr>
        <w:pStyle w:val="2"/>
        <w:spacing w:line="576" w:lineRule="exact"/>
        <w:ind w:left="0" w:leftChars="0" w:firstLine="640"/>
        <w:rPr>
          <w:rFonts w:hint="eastAsia" w:ascii="方正仿宋简体" w:hAnsi="宋体" w:eastAsia="方正仿宋简体"/>
          <w:sz w:val="32"/>
          <w:szCs w:val="32"/>
        </w:rPr>
      </w:pPr>
      <w:r>
        <w:rPr>
          <w:rFonts w:hint="eastAsia" w:ascii="方正仿宋简体" w:hAnsi="宋体" w:eastAsia="方正仿宋简体"/>
          <w:sz w:val="32"/>
          <w:szCs w:val="32"/>
          <w:lang w:val="zh-CN"/>
        </w:rPr>
        <w:t>2．项目立项、资金申报的依据</w:t>
      </w:r>
      <w:r>
        <w:rPr>
          <w:rFonts w:hint="eastAsia" w:ascii="方正仿宋简体" w:hAnsi="宋体" w:eastAsia="方正仿宋简体"/>
          <w:sz w:val="32"/>
          <w:szCs w:val="32"/>
        </w:rPr>
        <w:t>:</w:t>
      </w:r>
      <w:r>
        <w:rPr>
          <w:rFonts w:hint="eastAsia" w:ascii="方正仿宋简体" w:hAnsi="宋体" w:eastAsia="方正仿宋简体"/>
          <w:sz w:val="32"/>
          <w:szCs w:val="32"/>
          <w:lang w:val="zh-CN"/>
        </w:rPr>
        <w:t>按照“规划科学、生产发展、生活宽裕、乡风文明、村容整洁、管理民主，宜居、宜业的可持续发展乡村”的总体要求，根据美丽乡村建设项目内容，结合本村实际，实施该项目。</w:t>
      </w:r>
    </w:p>
    <w:p>
      <w:pPr>
        <w:spacing w:line="576" w:lineRule="exact"/>
        <w:ind w:firstLine="640" w:firstLineChars="200"/>
        <w:rPr>
          <w:rFonts w:hint="eastAsia" w:ascii="方正仿宋简体" w:hAnsi="仿宋" w:eastAsia="方正仿宋简体" w:cs="仿宋_GB2312"/>
          <w:sz w:val="32"/>
          <w:szCs w:val="32"/>
        </w:rPr>
      </w:pPr>
      <w:r>
        <w:rPr>
          <w:rFonts w:hint="eastAsia" w:ascii="方正仿宋简体" w:hAnsi="宋体" w:eastAsia="方正仿宋简体"/>
          <w:sz w:val="32"/>
          <w:szCs w:val="32"/>
          <w:lang w:val="zh-CN"/>
        </w:rPr>
        <w:t>3．</w:t>
      </w:r>
      <w:r>
        <w:rPr>
          <w:rFonts w:hint="eastAsia" w:ascii="方正仿宋简体" w:hAnsi="仿宋" w:eastAsia="方正仿宋简体" w:cs="仿宋_GB2312"/>
          <w:sz w:val="32"/>
          <w:szCs w:val="32"/>
        </w:rPr>
        <w:t>资金分配情况（资金分配管理的科学合理性）：该项目2020</w:t>
      </w:r>
      <w:r>
        <w:rPr>
          <w:rFonts w:hint="eastAsia" w:ascii="方正仿宋简体" w:hAnsi="仿宋_GB2312" w:eastAsia="方正仿宋简体" w:cs="仿宋_GB2312"/>
          <w:sz w:val="32"/>
          <w:szCs w:val="32"/>
        </w:rPr>
        <w:t>年预算数10万元。</w:t>
      </w:r>
    </w:p>
    <w:p>
      <w:pPr>
        <w:spacing w:line="576" w:lineRule="exact"/>
        <w:ind w:firstLine="640" w:firstLineChars="200"/>
        <w:rPr>
          <w:rFonts w:hint="eastAsia" w:ascii="方正仿宋简体" w:hAnsi="宋体" w:eastAsia="方正仿宋简体"/>
          <w:sz w:val="32"/>
          <w:szCs w:val="32"/>
          <w:lang w:val="zh-CN"/>
        </w:rPr>
      </w:pPr>
      <w:r>
        <w:rPr>
          <w:rFonts w:hint="eastAsia" w:ascii="方正仿宋简体" w:hAnsi="宋体" w:eastAsia="方正仿宋简体"/>
          <w:sz w:val="32"/>
          <w:szCs w:val="32"/>
          <w:lang w:val="zh-CN"/>
        </w:rPr>
        <w:t>4．资金分配的原则及考虑因素</w:t>
      </w:r>
      <w:r>
        <w:rPr>
          <w:rFonts w:hint="eastAsia" w:ascii="方正仿宋简体" w:hAnsi="宋体" w:eastAsia="方正仿宋简体"/>
          <w:sz w:val="32"/>
          <w:szCs w:val="32"/>
        </w:rPr>
        <w:t>:</w:t>
      </w:r>
      <w:r>
        <w:rPr>
          <w:rFonts w:hint="eastAsia" w:ascii="方正仿宋简体" w:hAnsi="宋体" w:eastAsia="方正仿宋简体"/>
          <w:sz w:val="32"/>
          <w:szCs w:val="32"/>
          <w:lang w:val="zh-CN"/>
        </w:rPr>
        <w:t>从本村实际出发，从方便群众生产生活出发，制定方案。</w:t>
      </w:r>
    </w:p>
    <w:p>
      <w:pPr>
        <w:adjustRightInd w:val="0"/>
        <w:snapToGrid w:val="0"/>
        <w:spacing w:line="576" w:lineRule="exact"/>
        <w:ind w:firstLine="640" w:firstLineChars="200"/>
        <w:rPr>
          <w:rFonts w:hint="eastAsia" w:ascii="方正楷体简体" w:hAnsi="仿宋" w:eastAsia="方正楷体简体" w:cs="仿宋"/>
          <w:sz w:val="32"/>
          <w:szCs w:val="32"/>
        </w:rPr>
      </w:pPr>
      <w:r>
        <w:rPr>
          <w:rFonts w:hint="eastAsia" w:ascii="方正楷体简体" w:hAnsi="仿宋" w:eastAsia="方正楷体简体" w:cs="仿宋"/>
          <w:sz w:val="32"/>
          <w:szCs w:val="32"/>
        </w:rPr>
        <w:t>（二）项目绩效目标</w:t>
      </w:r>
    </w:p>
    <w:p>
      <w:pPr>
        <w:pStyle w:val="2"/>
        <w:spacing w:line="576" w:lineRule="exact"/>
        <w:ind w:left="0" w:leftChars="0" w:firstLine="640"/>
        <w:rPr>
          <w:rFonts w:hint="eastAsia" w:ascii="方正仿宋简体" w:hAnsi="宋体" w:eastAsia="方正仿宋简体"/>
          <w:sz w:val="32"/>
          <w:szCs w:val="32"/>
          <w:lang w:val="zh-CN"/>
        </w:rPr>
      </w:pPr>
      <w:r>
        <w:rPr>
          <w:rFonts w:hint="eastAsia" w:ascii="方正仿宋简体" w:hAnsi="宋体" w:eastAsia="方正仿宋简体"/>
          <w:sz w:val="32"/>
          <w:szCs w:val="32"/>
          <w:lang w:val="zh-CN"/>
        </w:rPr>
        <w:t>1．项目主要内容。</w:t>
      </w:r>
    </w:p>
    <w:p>
      <w:pPr>
        <w:spacing w:line="576" w:lineRule="exact"/>
        <w:ind w:firstLine="608" w:firstLineChars="200"/>
        <w:rPr>
          <w:rFonts w:hint="eastAsia" w:ascii="方正仿宋简体" w:hAnsi="宋体" w:eastAsia="方正仿宋简体"/>
          <w:w w:val="95"/>
          <w:sz w:val="32"/>
          <w:szCs w:val="32"/>
          <w:lang w:val="zh-CN"/>
        </w:rPr>
      </w:pPr>
      <w:r>
        <w:rPr>
          <w:rFonts w:hint="eastAsia" w:ascii="方正仿宋简体" w:hAnsi="宋体" w:eastAsia="方正仿宋简体"/>
          <w:w w:val="95"/>
          <w:sz w:val="32"/>
          <w:szCs w:val="32"/>
          <w:lang w:val="zh-CN"/>
        </w:rPr>
        <w:t>以助农增收、致富奔康为核心，以深化农村改革为动力，以乡村振兴战略为总抓手，大力实施村庄规划、产业提升、旧村改造、环境整治、公共服务、文化传承“六大行动”，巩固提升脱贫攻坚成果，加快建设“业兴、家富、人和、村美”的美丽乡村，把和平村建成省级美丽乡村示范村，为实现全面小康奠定坚实基础。</w:t>
      </w:r>
    </w:p>
    <w:p>
      <w:pPr>
        <w:pStyle w:val="2"/>
        <w:numPr>
          <w:ilvl w:val="0"/>
          <w:numId w:val="8"/>
        </w:numPr>
        <w:spacing w:line="576" w:lineRule="exact"/>
        <w:ind w:left="0" w:leftChars="0" w:firstLine="640"/>
        <w:rPr>
          <w:rFonts w:hint="eastAsia" w:ascii="方正仿宋简体" w:hAnsi="仿宋" w:eastAsia="方正仿宋简体" w:cs="仿宋_GB2312"/>
          <w:sz w:val="32"/>
          <w:szCs w:val="32"/>
        </w:rPr>
      </w:pPr>
      <w:r>
        <w:rPr>
          <w:rFonts w:hint="eastAsia" w:ascii="方正仿宋简体" w:hAnsi="仿宋" w:eastAsia="方正仿宋简体" w:cs="仿宋_GB2312"/>
          <w:sz w:val="32"/>
          <w:szCs w:val="32"/>
        </w:rPr>
        <w:t>项目目标完成情况</w:t>
      </w:r>
    </w:p>
    <w:p>
      <w:pPr>
        <w:pStyle w:val="2"/>
        <w:spacing w:line="576" w:lineRule="exact"/>
        <w:ind w:left="0" w:leftChars="0" w:firstLine="0" w:firstLineChars="0"/>
        <w:rPr>
          <w:rFonts w:hint="eastAsia" w:ascii="方正仿宋简体" w:hAnsi="仿宋" w:eastAsia="方正仿宋简体" w:cs="仿宋_GB2312"/>
          <w:sz w:val="32"/>
          <w:szCs w:val="32"/>
        </w:rPr>
      </w:pPr>
      <w:r>
        <w:rPr>
          <w:rFonts w:hint="eastAsia" w:ascii="方正仿宋简体" w:hAnsi="宋体" w:eastAsia="方正仿宋简体"/>
          <w:sz w:val="32"/>
          <w:szCs w:val="32"/>
          <w:lang w:val="zh-CN"/>
        </w:rPr>
        <w:t xml:space="preserve">    增加了农民收入，完善了基础设施，保护了生态环境，改善了环境面貌，提高了幸福指数。</w:t>
      </w:r>
    </w:p>
    <w:p>
      <w:pPr>
        <w:adjustRightInd w:val="0"/>
        <w:snapToGrid w:val="0"/>
        <w:spacing w:line="576" w:lineRule="exact"/>
        <w:ind w:firstLine="640" w:firstLineChars="200"/>
        <w:rPr>
          <w:rFonts w:hint="eastAsia" w:ascii="方正仿宋简体" w:hAnsi="宋体" w:eastAsia="方正仿宋简体"/>
          <w:sz w:val="32"/>
          <w:szCs w:val="32"/>
          <w:lang w:val="zh-CN"/>
        </w:rPr>
      </w:pPr>
      <w:r>
        <w:rPr>
          <w:rFonts w:hint="eastAsia" w:ascii="方正仿宋简体" w:hAnsi="宋体" w:eastAsia="方正仿宋简体"/>
          <w:sz w:val="32"/>
          <w:szCs w:val="32"/>
          <w:lang w:val="zh-CN"/>
        </w:rPr>
        <w:t>3．分析评价申报内容与实际相符，申报目标可行高。</w:t>
      </w:r>
    </w:p>
    <w:p>
      <w:pPr>
        <w:adjustRightInd w:val="0"/>
        <w:snapToGrid w:val="0"/>
        <w:spacing w:line="576" w:lineRule="exact"/>
        <w:ind w:firstLine="720"/>
        <w:rPr>
          <w:rFonts w:hint="eastAsia" w:ascii="方正黑体简体" w:hAnsi="宋体" w:eastAsia="方正黑体简体"/>
          <w:sz w:val="32"/>
          <w:szCs w:val="32"/>
        </w:rPr>
      </w:pPr>
      <w:r>
        <w:rPr>
          <w:rFonts w:hint="eastAsia" w:ascii="方正黑体简体" w:hAnsi="宋体" w:eastAsia="方正黑体简体"/>
          <w:sz w:val="32"/>
          <w:szCs w:val="32"/>
        </w:rPr>
        <w:t>二、项目资金申报及使用情况</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（一）项目资金申报及批复情况</w:t>
      </w:r>
    </w:p>
    <w:p>
      <w:pPr>
        <w:adjustRightInd w:val="0"/>
        <w:snapToGrid w:val="0"/>
        <w:spacing w:line="576" w:lineRule="exact"/>
        <w:ind w:firstLine="720"/>
        <w:rPr>
          <w:rFonts w:hint="eastAsia" w:ascii="方正仿宋简体" w:hAnsi="宋体" w:eastAsia="方正仿宋简体"/>
          <w:sz w:val="32"/>
          <w:szCs w:val="32"/>
          <w:lang w:val="zh-CN"/>
        </w:rPr>
      </w:pPr>
      <w:r>
        <w:rPr>
          <w:rFonts w:hint="eastAsia" w:ascii="方正仿宋简体" w:hAnsi="宋体" w:eastAsia="方正仿宋简体"/>
          <w:sz w:val="32"/>
          <w:szCs w:val="32"/>
          <w:lang w:val="zh-CN"/>
        </w:rPr>
        <w:t>项目资金申报由年初预算统一向区财政申报，由区政府统一上报上人代会进行批复。</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（二）资金计划、到位及使用情况</w:t>
      </w:r>
    </w:p>
    <w:p>
      <w:pPr>
        <w:pStyle w:val="2"/>
        <w:spacing w:line="576" w:lineRule="exact"/>
        <w:ind w:left="0" w:leftChars="0" w:firstLine="640"/>
        <w:rPr>
          <w:rFonts w:hint="eastAsia" w:ascii="方正仿宋简体" w:hAnsi="宋体" w:eastAsia="方正仿宋简体"/>
          <w:sz w:val="32"/>
          <w:szCs w:val="32"/>
        </w:rPr>
      </w:pPr>
      <w:r>
        <w:rPr>
          <w:rFonts w:hint="eastAsia" w:ascii="方正仿宋简体" w:hAnsi="仿宋" w:eastAsia="方正仿宋简体" w:cs="仿宋_GB2312"/>
          <w:sz w:val="32"/>
          <w:szCs w:val="32"/>
          <w:lang w:val="zh-CN"/>
        </w:rPr>
        <w:t>1．资金计划。</w:t>
      </w:r>
      <w:r>
        <w:rPr>
          <w:rFonts w:hint="eastAsia" w:ascii="方正仿宋简体" w:hAnsi="宋体" w:eastAsia="方正仿宋简体"/>
          <w:sz w:val="32"/>
          <w:szCs w:val="32"/>
          <w:lang w:val="zh-CN"/>
        </w:rPr>
        <w:t>该项目由区财政统一年初预算</w:t>
      </w:r>
      <w:r>
        <w:rPr>
          <w:rFonts w:hint="eastAsia" w:ascii="方正仿宋简体" w:hAnsi="宋体" w:eastAsia="方正仿宋简体"/>
          <w:sz w:val="32"/>
          <w:szCs w:val="32"/>
        </w:rPr>
        <w:t>10万元。</w:t>
      </w:r>
    </w:p>
    <w:p>
      <w:pPr>
        <w:pStyle w:val="2"/>
        <w:spacing w:line="576" w:lineRule="exact"/>
        <w:ind w:left="0" w:leftChars="0" w:firstLine="640"/>
        <w:rPr>
          <w:rFonts w:hint="eastAsia" w:ascii="方正仿宋简体" w:hAnsi="仿宋" w:eastAsia="方正仿宋简体" w:cs="仿宋_GB2312"/>
          <w:sz w:val="32"/>
          <w:szCs w:val="32"/>
          <w:lang w:val="zh-CN"/>
        </w:rPr>
      </w:pPr>
      <w:r>
        <w:rPr>
          <w:rFonts w:hint="eastAsia" w:ascii="方正仿宋简体" w:hAnsi="仿宋" w:eastAsia="方正仿宋简体" w:cs="仿宋_GB2312"/>
          <w:sz w:val="32"/>
          <w:szCs w:val="32"/>
          <w:lang w:val="zh-CN"/>
        </w:rPr>
        <w:t>2．资金到位情况：</w:t>
      </w:r>
      <w:r>
        <w:rPr>
          <w:rFonts w:hint="eastAsia" w:ascii="方正仿宋简体" w:hAnsi="宋体" w:eastAsia="方正仿宋简体"/>
          <w:sz w:val="32"/>
          <w:szCs w:val="32"/>
          <w:lang w:val="zh-CN"/>
        </w:rPr>
        <w:t>该项目财政预算</w:t>
      </w:r>
      <w:r>
        <w:rPr>
          <w:rFonts w:hint="eastAsia" w:ascii="方正仿宋简体" w:hAnsi="宋体" w:eastAsia="方正仿宋简体"/>
          <w:sz w:val="32"/>
          <w:szCs w:val="32"/>
        </w:rPr>
        <w:t>10万元已到位。</w:t>
      </w:r>
    </w:p>
    <w:p>
      <w:pPr>
        <w:pStyle w:val="2"/>
        <w:spacing w:line="576" w:lineRule="exact"/>
        <w:ind w:left="0" w:leftChars="0" w:firstLine="640"/>
        <w:rPr>
          <w:rFonts w:hint="eastAsia" w:ascii="方正仿宋简体" w:hAnsi="仿宋" w:eastAsia="方正仿宋简体" w:cs="仿宋_GB2312"/>
          <w:sz w:val="32"/>
          <w:szCs w:val="32"/>
          <w:lang w:val="zh-CN"/>
        </w:rPr>
      </w:pPr>
      <w:r>
        <w:rPr>
          <w:rFonts w:hint="eastAsia" w:ascii="方正仿宋简体" w:hAnsi="仿宋" w:eastAsia="方正仿宋简体" w:cs="仿宋_GB2312"/>
          <w:sz w:val="32"/>
          <w:szCs w:val="32"/>
          <w:lang w:val="zh-CN"/>
        </w:rPr>
        <w:t>3．资金使用。已用于修缮道路。</w:t>
      </w:r>
    </w:p>
    <w:p>
      <w:pPr>
        <w:adjustRightInd w:val="0"/>
        <w:snapToGrid w:val="0"/>
        <w:spacing w:line="576" w:lineRule="exact"/>
        <w:ind w:firstLine="720"/>
        <w:rPr>
          <w:rFonts w:hint="eastAsia" w:ascii="方正黑体简体" w:hAnsi="宋体" w:eastAsia="方正黑体简体"/>
          <w:sz w:val="32"/>
          <w:szCs w:val="32"/>
        </w:rPr>
      </w:pPr>
      <w:r>
        <w:rPr>
          <w:rFonts w:hint="eastAsia" w:ascii="方正黑体简体" w:hAnsi="宋体" w:eastAsia="方正黑体简体"/>
          <w:sz w:val="32"/>
          <w:szCs w:val="32"/>
        </w:rPr>
        <w:t>四、项目绩效情况</w:t>
      </w:r>
      <w:r>
        <w:rPr>
          <w:rFonts w:hint="eastAsia" w:ascii="方正黑体简体" w:hAnsi="宋体" w:eastAsia="方正黑体简体"/>
          <w:sz w:val="32"/>
          <w:szCs w:val="32"/>
        </w:rPr>
        <w:tab/>
      </w:r>
    </w:p>
    <w:p>
      <w:pPr>
        <w:spacing w:line="576" w:lineRule="exact"/>
        <w:ind w:firstLine="640" w:firstLineChars="200"/>
        <w:rPr>
          <w:rFonts w:hint="eastAsia" w:ascii="方正仿宋简体" w:hAnsi="宋体" w:eastAsia="方正仿宋简体"/>
          <w:sz w:val="32"/>
          <w:szCs w:val="32"/>
          <w:lang w:val="zh-CN"/>
        </w:rPr>
      </w:pPr>
      <w:r>
        <w:rPr>
          <w:rFonts w:hint="eastAsia" w:ascii="方正楷体简体" w:hAnsi="宋体" w:eastAsia="方正楷体简体"/>
          <w:sz w:val="32"/>
          <w:szCs w:val="32"/>
          <w:lang w:val="zh-CN"/>
        </w:rPr>
        <w:t>（一）项目完成情况。</w:t>
      </w:r>
      <w:r>
        <w:rPr>
          <w:rFonts w:hint="eastAsia" w:ascii="方正仿宋简体" w:hAnsi="宋体" w:eastAsia="方正仿宋简体"/>
          <w:sz w:val="32"/>
          <w:szCs w:val="32"/>
          <w:lang w:val="zh-CN"/>
        </w:rPr>
        <w:t>规范化管理，大大提升了万和村硬实力，进一步推动了产业发展转型。调动了农民积极性、引导参与社会投入，农民自己动手建设幸福美丽家园，提升了社会满意度。</w:t>
      </w:r>
    </w:p>
    <w:p>
      <w:pPr>
        <w:adjustRightInd w:val="0"/>
        <w:snapToGrid w:val="0"/>
        <w:spacing w:line="576" w:lineRule="exact"/>
        <w:ind w:firstLine="640" w:firstLineChars="20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（二）项目效益情况。</w:t>
      </w:r>
      <w:r>
        <w:rPr>
          <w:rFonts w:hint="eastAsia" w:ascii="方正仿宋简体" w:hAnsi="宋体" w:eastAsia="方正仿宋简体"/>
          <w:sz w:val="32"/>
          <w:szCs w:val="32"/>
          <w:lang w:val="zh-CN"/>
        </w:rPr>
        <w:t>新栽植翠玉、羊脂秋月等优质梨400亩，林下配套栽种绿色蔬菜，应用生态除草新技术，对新栽植的梨园铺设除草黑地膜。</w:t>
      </w:r>
    </w:p>
    <w:p>
      <w:pPr>
        <w:adjustRightInd w:val="0"/>
        <w:snapToGrid w:val="0"/>
        <w:spacing w:line="576" w:lineRule="exact"/>
        <w:ind w:firstLine="640" w:firstLineChars="200"/>
        <w:rPr>
          <w:rFonts w:hint="eastAsia" w:ascii="方正仿宋简体" w:hAnsi="宋体" w:eastAsia="方正仿宋简体"/>
          <w:sz w:val="32"/>
          <w:szCs w:val="32"/>
          <w:lang w:val="zh-CN"/>
        </w:rPr>
      </w:pPr>
      <w:r>
        <w:rPr>
          <w:rFonts w:hint="eastAsia" w:ascii="方正黑体简体" w:hAnsi="宋体" w:eastAsia="方正黑体简体"/>
          <w:sz w:val="32"/>
          <w:szCs w:val="32"/>
        </w:rPr>
        <w:t>五、存在主要问题：</w:t>
      </w:r>
      <w:r>
        <w:rPr>
          <w:rFonts w:hint="eastAsia" w:ascii="方正仿宋简体" w:hAnsi="宋体" w:eastAsia="方正仿宋简体"/>
          <w:sz w:val="32"/>
          <w:szCs w:val="32"/>
          <w:lang w:val="zh-CN"/>
        </w:rPr>
        <w:t>无</w:t>
      </w:r>
    </w:p>
    <w:p>
      <w:pPr>
        <w:adjustRightInd w:val="0"/>
        <w:snapToGrid w:val="0"/>
        <w:spacing w:line="576" w:lineRule="exact"/>
        <w:ind w:firstLine="720"/>
        <w:rPr>
          <w:rFonts w:hint="eastAsia" w:ascii="方正仿宋简体" w:hAnsi="宋体" w:eastAsia="方正仿宋简体"/>
          <w:sz w:val="32"/>
          <w:szCs w:val="32"/>
          <w:lang w:val="zh-CN"/>
        </w:rPr>
      </w:pPr>
      <w:r>
        <w:rPr>
          <w:rFonts w:hint="eastAsia" w:ascii="方正仿宋简体" w:hAnsi="宋体" w:eastAsia="方正仿宋简体"/>
          <w:sz w:val="32"/>
          <w:szCs w:val="32"/>
          <w:lang w:val="zh-CN"/>
        </w:rPr>
        <w:t>六、相关措施建议：无</w:t>
      </w:r>
    </w:p>
    <w:p>
      <w:pPr>
        <w:spacing w:line="576" w:lineRule="exact"/>
        <w:jc w:val="center"/>
        <w:rPr>
          <w:rFonts w:hint="eastAsia" w:ascii="方正小标宋简体" w:hAnsi="黑体" w:eastAsia="方正小标宋简体"/>
          <w:sz w:val="44"/>
          <w:szCs w:val="44"/>
        </w:rPr>
      </w:pPr>
      <w:r>
        <w:rPr>
          <w:rFonts w:hint="eastAsia" w:ascii="方正小标宋简体" w:hAnsi="黑体" w:eastAsia="方正小标宋简体" w:cs="黑体"/>
          <w:sz w:val="44"/>
          <w:szCs w:val="44"/>
        </w:rPr>
        <w:t>2020年依法治区项目支出绩效评价报告</w:t>
      </w:r>
    </w:p>
    <w:p>
      <w:pPr>
        <w:adjustRightInd w:val="0"/>
        <w:snapToGrid w:val="0"/>
        <w:spacing w:line="576" w:lineRule="exact"/>
        <w:ind w:firstLine="720"/>
        <w:rPr>
          <w:rFonts w:hint="eastAsia" w:ascii="方正仿宋简体" w:hAnsi="宋体" w:eastAsia="方正仿宋简体"/>
          <w:sz w:val="32"/>
          <w:szCs w:val="32"/>
        </w:rPr>
      </w:pPr>
    </w:p>
    <w:p>
      <w:pPr>
        <w:adjustRightInd w:val="0"/>
        <w:snapToGrid w:val="0"/>
        <w:spacing w:line="576" w:lineRule="exact"/>
        <w:ind w:firstLine="720"/>
        <w:rPr>
          <w:rFonts w:hint="eastAsia" w:ascii="方正黑体简体" w:hAnsi="宋体" w:eastAsia="方正黑体简体"/>
          <w:sz w:val="32"/>
          <w:szCs w:val="32"/>
          <w:lang w:val="zh-CN"/>
        </w:rPr>
      </w:pPr>
      <w:r>
        <w:rPr>
          <w:rFonts w:hint="eastAsia" w:ascii="方正黑体简体" w:hAnsi="宋体" w:eastAsia="方正黑体简体"/>
          <w:sz w:val="32"/>
          <w:szCs w:val="32"/>
        </w:rPr>
        <w:t>一、</w:t>
      </w:r>
      <w:r>
        <w:rPr>
          <w:rFonts w:hint="eastAsia" w:ascii="方正黑体简体" w:hAnsi="宋体" w:eastAsia="方正黑体简体"/>
          <w:sz w:val="32"/>
          <w:szCs w:val="32"/>
          <w:lang w:val="zh-CN"/>
        </w:rPr>
        <w:t>项目基本情况</w:t>
      </w:r>
    </w:p>
    <w:p>
      <w:pPr>
        <w:adjustRightInd w:val="0"/>
        <w:snapToGrid w:val="0"/>
        <w:spacing w:line="576" w:lineRule="exact"/>
        <w:ind w:firstLine="720"/>
        <w:rPr>
          <w:rFonts w:hint="eastAsia" w:ascii="方正仿宋简体" w:hAnsi="宋体" w:eastAsia="方正仿宋简体"/>
          <w:sz w:val="32"/>
          <w:szCs w:val="32"/>
        </w:rPr>
      </w:pPr>
      <w:r>
        <w:rPr>
          <w:rFonts w:hint="eastAsia" w:ascii="方正仿宋简体" w:hAnsi="宋体" w:eastAsia="方正仿宋简体"/>
          <w:sz w:val="32"/>
          <w:szCs w:val="32"/>
          <w:lang w:val="zh-CN"/>
        </w:rPr>
        <w:t>1．项目主管部门（单位）在该项目管理中的职能</w:t>
      </w:r>
      <w:r>
        <w:rPr>
          <w:rFonts w:hint="eastAsia" w:ascii="方正仿宋简体" w:hAnsi="宋体" w:eastAsia="方正仿宋简体"/>
          <w:sz w:val="32"/>
          <w:szCs w:val="32"/>
        </w:rPr>
        <w:t>:</w:t>
      </w:r>
      <w:r>
        <w:rPr>
          <w:rFonts w:hint="eastAsia" w:ascii="方正仿宋简体" w:hAnsi="仿宋" w:eastAsia="方正仿宋简体" w:cs="仿宋_GB2312"/>
          <w:sz w:val="32"/>
          <w:szCs w:val="32"/>
        </w:rPr>
        <w:t>主管部门主要是确保法治宣传到位，提高辖区居民法律意识。</w:t>
      </w:r>
    </w:p>
    <w:p>
      <w:pPr>
        <w:spacing w:line="576" w:lineRule="exact"/>
        <w:ind w:firstLine="640" w:firstLineChars="200"/>
        <w:rPr>
          <w:rFonts w:hint="eastAsia" w:ascii="方正仿宋简体" w:hAnsi="仿宋" w:eastAsia="方正仿宋简体" w:cs="仿宋_GB2312"/>
          <w:sz w:val="32"/>
          <w:szCs w:val="32"/>
        </w:rPr>
      </w:pPr>
      <w:r>
        <w:rPr>
          <w:rFonts w:hint="eastAsia" w:ascii="方正仿宋简体" w:hAnsi="宋体" w:eastAsia="方正仿宋简体"/>
          <w:sz w:val="32"/>
          <w:szCs w:val="32"/>
          <w:lang w:val="zh-CN"/>
        </w:rPr>
        <w:t>2．项目立项、资金申报的依据</w:t>
      </w:r>
      <w:r>
        <w:rPr>
          <w:rFonts w:hint="eastAsia" w:ascii="方正仿宋简体" w:hAnsi="宋体" w:eastAsia="方正仿宋简体"/>
          <w:sz w:val="32"/>
          <w:szCs w:val="32"/>
        </w:rPr>
        <w:t>:</w:t>
      </w:r>
      <w:r>
        <w:rPr>
          <w:rFonts w:hint="eastAsia" w:ascii="方正仿宋简体" w:hAnsi="仿宋" w:eastAsia="方正仿宋简体" w:cs="仿宋_GB2312"/>
          <w:sz w:val="32"/>
          <w:szCs w:val="32"/>
        </w:rPr>
        <w:t>依法治国是党领导群众的基本方略，依法治区是依法治国的基层具体实践。</w:t>
      </w:r>
    </w:p>
    <w:p>
      <w:pPr>
        <w:spacing w:line="576" w:lineRule="exact"/>
        <w:ind w:firstLine="640" w:firstLineChars="200"/>
        <w:rPr>
          <w:rFonts w:hint="eastAsia" w:ascii="方正仿宋简体" w:hAnsi="仿宋" w:eastAsia="方正仿宋简体" w:cs="仿宋_GB2312"/>
          <w:sz w:val="32"/>
          <w:szCs w:val="32"/>
        </w:rPr>
      </w:pPr>
      <w:r>
        <w:rPr>
          <w:rFonts w:hint="eastAsia" w:ascii="方正仿宋简体" w:hAnsi="宋体" w:eastAsia="方正仿宋简体"/>
          <w:sz w:val="32"/>
          <w:szCs w:val="32"/>
          <w:lang w:val="zh-CN"/>
        </w:rPr>
        <w:t>3．</w:t>
      </w:r>
      <w:r>
        <w:rPr>
          <w:rFonts w:hint="eastAsia" w:ascii="方正仿宋简体" w:hAnsi="仿宋" w:eastAsia="方正仿宋简体" w:cs="仿宋_GB2312"/>
          <w:sz w:val="32"/>
          <w:szCs w:val="32"/>
        </w:rPr>
        <w:t>资金分配情况（资金分配管理的科学合理性）：全部资金主要是用于法治宣传，辖区内法治宣传标语制作。</w:t>
      </w:r>
    </w:p>
    <w:p>
      <w:pPr>
        <w:adjustRightInd w:val="0"/>
        <w:snapToGrid w:val="0"/>
        <w:spacing w:line="576" w:lineRule="exact"/>
        <w:ind w:firstLine="720"/>
        <w:rPr>
          <w:rFonts w:hint="eastAsia" w:ascii="方正仿宋简体" w:hAnsi="仿宋" w:eastAsia="方正仿宋简体" w:cs="仿宋_GB2312"/>
          <w:sz w:val="32"/>
          <w:szCs w:val="32"/>
        </w:rPr>
      </w:pPr>
      <w:r>
        <w:rPr>
          <w:rFonts w:hint="eastAsia" w:ascii="方正仿宋简体" w:hAnsi="宋体" w:eastAsia="方正仿宋简体"/>
          <w:sz w:val="32"/>
          <w:szCs w:val="32"/>
          <w:lang w:val="zh-CN"/>
        </w:rPr>
        <w:t>4．资金分配的原则及考虑因素</w:t>
      </w:r>
      <w:r>
        <w:rPr>
          <w:rFonts w:hint="eastAsia" w:ascii="方正仿宋简体" w:hAnsi="宋体" w:eastAsia="方正仿宋简体"/>
          <w:sz w:val="32"/>
          <w:szCs w:val="32"/>
        </w:rPr>
        <w:t>:</w:t>
      </w:r>
      <w:r>
        <w:rPr>
          <w:rFonts w:hint="eastAsia" w:ascii="方正仿宋简体" w:hAnsi="仿宋" w:eastAsia="方正仿宋简体" w:cs="仿宋_GB2312"/>
          <w:sz w:val="32"/>
          <w:szCs w:val="32"/>
        </w:rPr>
        <w:t>依法治国是党领导群众的基本方略，依法治区是依法治国的基层具体实践。主要是用于法治宣传，辖区内法治宣传标语制作。</w:t>
      </w:r>
    </w:p>
    <w:p>
      <w:pPr>
        <w:adjustRightInd w:val="0"/>
        <w:snapToGrid w:val="0"/>
        <w:spacing w:line="576" w:lineRule="exact"/>
        <w:ind w:firstLine="720"/>
        <w:rPr>
          <w:rFonts w:hint="eastAsia" w:ascii="方正黑体简体" w:hAnsi="宋体" w:eastAsia="方正黑体简体"/>
          <w:sz w:val="32"/>
          <w:szCs w:val="32"/>
          <w:lang w:val="zh-CN"/>
        </w:rPr>
      </w:pPr>
      <w:r>
        <w:rPr>
          <w:rFonts w:hint="eastAsia" w:ascii="方正黑体简体" w:hAnsi="宋体" w:eastAsia="方正黑体简体"/>
          <w:sz w:val="32"/>
          <w:szCs w:val="32"/>
          <w:lang w:val="zh-CN"/>
        </w:rPr>
        <w:t>二、项目绩效目标</w:t>
      </w:r>
    </w:p>
    <w:p>
      <w:pPr>
        <w:spacing w:line="576" w:lineRule="exact"/>
        <w:ind w:firstLine="640" w:firstLineChars="200"/>
        <w:rPr>
          <w:rFonts w:hint="eastAsia" w:ascii="方正仿宋简体" w:hAnsi="仿宋_GB2312" w:eastAsia="方正仿宋简体"/>
          <w:sz w:val="32"/>
          <w:szCs w:val="32"/>
        </w:rPr>
      </w:pPr>
      <w:r>
        <w:rPr>
          <w:rFonts w:hint="eastAsia" w:ascii="方正仿宋简体" w:hAnsi="宋体" w:eastAsia="方正仿宋简体"/>
          <w:sz w:val="32"/>
          <w:szCs w:val="32"/>
          <w:lang w:val="zh-CN"/>
        </w:rPr>
        <w:t>1．项目主要内容。</w:t>
      </w:r>
      <w:r>
        <w:rPr>
          <w:rFonts w:hint="eastAsia" w:ascii="方正仿宋简体" w:hAnsi="仿宋_GB2312" w:eastAsia="方正仿宋简体" w:cs="仿宋_GB2312"/>
          <w:sz w:val="32"/>
          <w:szCs w:val="32"/>
        </w:rPr>
        <w:t>围绕热点难点问题开展专项治理，全面推进依法治区工作。</w:t>
      </w:r>
    </w:p>
    <w:p>
      <w:pPr>
        <w:spacing w:line="576" w:lineRule="exact"/>
        <w:ind w:firstLine="640" w:firstLineChars="200"/>
        <w:rPr>
          <w:rFonts w:hint="eastAsia" w:ascii="方正仿宋简体" w:hAnsi="仿宋" w:eastAsia="方正仿宋简体"/>
          <w:sz w:val="32"/>
          <w:szCs w:val="32"/>
        </w:rPr>
      </w:pPr>
      <w:r>
        <w:rPr>
          <w:rFonts w:hint="eastAsia" w:ascii="方正仿宋简体" w:hAnsi="宋体" w:eastAsia="方正仿宋简体"/>
          <w:sz w:val="32"/>
          <w:szCs w:val="32"/>
          <w:lang w:val="zh-CN"/>
        </w:rPr>
        <w:t>2．</w:t>
      </w:r>
      <w:r>
        <w:rPr>
          <w:rFonts w:hint="eastAsia" w:ascii="方正仿宋简体" w:hAnsi="仿宋" w:eastAsia="方正仿宋简体" w:cs="仿宋"/>
          <w:sz w:val="32"/>
          <w:szCs w:val="32"/>
        </w:rPr>
        <w:t>项目目标完成情况及时高效，项目增强了全民法律意识，资金使用效率高、受益群体满意度高。</w:t>
      </w:r>
    </w:p>
    <w:p>
      <w:pPr>
        <w:adjustRightInd w:val="0"/>
        <w:snapToGrid w:val="0"/>
        <w:spacing w:line="576" w:lineRule="exact"/>
        <w:ind w:firstLine="640" w:firstLineChars="200"/>
        <w:rPr>
          <w:rFonts w:hint="eastAsia" w:ascii="方正仿宋简体" w:hAnsi="宋体" w:eastAsia="方正仿宋简体"/>
          <w:sz w:val="32"/>
          <w:szCs w:val="32"/>
          <w:lang w:val="zh-CN"/>
        </w:rPr>
      </w:pPr>
      <w:r>
        <w:rPr>
          <w:rFonts w:hint="eastAsia" w:ascii="方正仿宋简体" w:hAnsi="宋体" w:eastAsia="方正仿宋简体"/>
          <w:sz w:val="32"/>
          <w:szCs w:val="32"/>
          <w:lang w:val="zh-CN"/>
        </w:rPr>
        <w:t>3．分析评价申报内容与实际相符，申报目标可行高。</w:t>
      </w:r>
    </w:p>
    <w:p>
      <w:pPr>
        <w:adjustRightInd w:val="0"/>
        <w:snapToGrid w:val="0"/>
        <w:spacing w:line="576" w:lineRule="exact"/>
        <w:ind w:firstLine="720"/>
        <w:rPr>
          <w:rFonts w:hint="eastAsia" w:ascii="方正黑体简体" w:hAnsi="宋体" w:eastAsia="方正黑体简体"/>
          <w:sz w:val="32"/>
          <w:szCs w:val="32"/>
          <w:lang w:val="zh-CN"/>
        </w:rPr>
      </w:pPr>
      <w:r>
        <w:rPr>
          <w:rFonts w:hint="eastAsia" w:ascii="方正黑体简体" w:hAnsi="宋体" w:eastAsia="方正黑体简体"/>
          <w:sz w:val="32"/>
          <w:szCs w:val="32"/>
          <w:lang w:val="zh-CN"/>
        </w:rPr>
        <w:t>三、项目自评步骤及方法</w:t>
      </w:r>
    </w:p>
    <w:p>
      <w:pPr>
        <w:spacing w:line="576" w:lineRule="exact"/>
        <w:ind w:firstLine="640" w:firstLineChars="200"/>
        <w:rPr>
          <w:rFonts w:hint="eastAsia" w:ascii="方正仿宋简体" w:hAnsi="仿宋" w:eastAsia="方正仿宋简体" w:cs="仿宋_GB2312"/>
          <w:sz w:val="32"/>
          <w:szCs w:val="32"/>
        </w:rPr>
      </w:pPr>
      <w:r>
        <w:rPr>
          <w:rFonts w:hint="eastAsia" w:ascii="方正仿宋简体" w:hAnsi="仿宋" w:eastAsia="方正仿宋简体" w:cs="仿宋_GB2312"/>
          <w:sz w:val="32"/>
          <w:szCs w:val="32"/>
        </w:rPr>
        <w:t>资料翻阅，法律宣传效果展示，群众问卷调查群众满意度。</w:t>
      </w:r>
    </w:p>
    <w:p>
      <w:pPr>
        <w:adjustRightInd w:val="0"/>
        <w:snapToGrid w:val="0"/>
        <w:spacing w:line="576" w:lineRule="exact"/>
        <w:ind w:firstLine="720"/>
        <w:rPr>
          <w:rFonts w:hint="eastAsia" w:ascii="方正黑体简体" w:hAnsi="宋体" w:eastAsia="方正黑体简体"/>
          <w:sz w:val="32"/>
          <w:szCs w:val="32"/>
          <w:lang w:val="zh-CN"/>
        </w:rPr>
      </w:pPr>
      <w:r>
        <w:rPr>
          <w:rFonts w:hint="eastAsia" w:ascii="方正黑体简体" w:hAnsi="宋体" w:eastAsia="方正黑体简体"/>
          <w:sz w:val="32"/>
          <w:szCs w:val="32"/>
          <w:lang w:val="zh-CN"/>
        </w:rPr>
        <w:t>四、项目资金申报及使用情况</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（一）项目资金申报及批复情况</w:t>
      </w:r>
    </w:p>
    <w:p>
      <w:pPr>
        <w:adjustRightInd w:val="0"/>
        <w:snapToGrid w:val="0"/>
        <w:spacing w:line="576" w:lineRule="exact"/>
        <w:ind w:firstLine="720"/>
        <w:rPr>
          <w:rFonts w:hint="eastAsia" w:ascii="方正仿宋简体" w:hAnsi="宋体" w:eastAsia="方正仿宋简体"/>
          <w:sz w:val="32"/>
          <w:szCs w:val="32"/>
          <w:lang w:val="zh-CN"/>
        </w:rPr>
      </w:pPr>
      <w:r>
        <w:rPr>
          <w:rFonts w:hint="eastAsia" w:ascii="方正仿宋简体" w:hAnsi="宋体" w:eastAsia="方正仿宋简体"/>
          <w:sz w:val="32"/>
          <w:szCs w:val="32"/>
          <w:lang w:val="zh-CN"/>
        </w:rPr>
        <w:t>项目资金申报由年初预算统一向区财政申报，由区政府统一上报上人代会进行批复。</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（二）资金计划、到位及使用情况</w:t>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仿宋简体" w:hAnsi="仿宋_GB2312" w:eastAsia="方正仿宋简体" w:cs="仿宋_GB2312"/>
          <w:sz w:val="32"/>
          <w:szCs w:val="32"/>
        </w:rPr>
        <w:t>全年预算数1万元，执行数为1万元，为了提高全民学法进度，进行了专项经费预算，确保增强全民的法律意识。</w:t>
      </w:r>
    </w:p>
    <w:p>
      <w:pPr>
        <w:adjustRightInd w:val="0"/>
        <w:snapToGrid w:val="0"/>
        <w:spacing w:line="576" w:lineRule="exact"/>
        <w:ind w:firstLine="720"/>
        <w:rPr>
          <w:rFonts w:hint="eastAsia" w:ascii="方正黑体简体" w:hAnsi="宋体" w:eastAsia="方正黑体简体"/>
          <w:sz w:val="32"/>
          <w:szCs w:val="32"/>
          <w:lang w:val="zh-CN"/>
        </w:rPr>
      </w:pPr>
      <w:r>
        <w:rPr>
          <w:rFonts w:hint="eastAsia" w:ascii="方正黑体简体" w:hAnsi="宋体" w:eastAsia="方正黑体简体"/>
          <w:sz w:val="32"/>
          <w:szCs w:val="32"/>
        </w:rPr>
        <w:t>五、项目绩效情况</w:t>
      </w:r>
      <w:r>
        <w:rPr>
          <w:rFonts w:hint="eastAsia" w:ascii="方正黑体简体" w:hAnsi="宋体" w:eastAsia="方正黑体简体"/>
          <w:sz w:val="32"/>
          <w:szCs w:val="32"/>
          <w:lang w:val="zh-CN"/>
        </w:rPr>
        <w:tab/>
      </w:r>
    </w:p>
    <w:p>
      <w:pPr>
        <w:adjustRightInd w:val="0"/>
        <w:snapToGrid w:val="0"/>
        <w:spacing w:line="576" w:lineRule="exact"/>
        <w:ind w:firstLine="72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（一）项目完成情况</w:t>
      </w:r>
    </w:p>
    <w:p>
      <w:pPr>
        <w:spacing w:line="576" w:lineRule="exact"/>
        <w:ind w:firstLine="640" w:firstLineChars="200"/>
        <w:rPr>
          <w:rFonts w:hint="eastAsia" w:ascii="方正仿宋简体" w:hAnsi="仿宋" w:eastAsia="方正仿宋简体"/>
          <w:sz w:val="32"/>
          <w:szCs w:val="32"/>
        </w:rPr>
      </w:pPr>
      <w:r>
        <w:rPr>
          <w:rFonts w:hint="eastAsia" w:ascii="方正仿宋简体" w:hAnsi="仿宋_GB2312" w:eastAsia="方正仿宋简体" w:cs="仿宋_GB2312"/>
          <w:sz w:val="32"/>
          <w:szCs w:val="32"/>
        </w:rPr>
        <w:t>建立健全领导干部带头学法制度；加强了执法人员法制能力培训；开展全民学法知法懂法活动</w:t>
      </w:r>
      <w:r>
        <w:rPr>
          <w:rFonts w:hint="eastAsia" w:ascii="方正仿宋简体" w:hAnsi="仿宋" w:eastAsia="方正仿宋简体" w:cs="仿宋"/>
          <w:sz w:val="32"/>
          <w:szCs w:val="32"/>
        </w:rPr>
        <w:t>。</w:t>
      </w:r>
    </w:p>
    <w:p>
      <w:pPr>
        <w:adjustRightInd w:val="0"/>
        <w:snapToGrid w:val="0"/>
        <w:spacing w:line="576" w:lineRule="exact"/>
        <w:ind w:firstLine="640" w:firstLineChars="200"/>
        <w:rPr>
          <w:rFonts w:hint="eastAsia" w:ascii="方正楷体简体" w:hAnsi="宋体" w:eastAsia="方正楷体简体"/>
          <w:sz w:val="32"/>
          <w:szCs w:val="32"/>
          <w:lang w:val="zh-CN"/>
        </w:rPr>
      </w:pPr>
      <w:r>
        <w:rPr>
          <w:rFonts w:hint="eastAsia" w:ascii="方正楷体简体" w:hAnsi="宋体" w:eastAsia="方正楷体简体"/>
          <w:sz w:val="32"/>
          <w:szCs w:val="32"/>
          <w:lang w:val="zh-CN"/>
        </w:rPr>
        <w:t>（二）项目效益情况</w:t>
      </w:r>
    </w:p>
    <w:p>
      <w:pPr>
        <w:spacing w:line="576" w:lineRule="exact"/>
        <w:ind w:firstLine="640" w:firstLineChars="200"/>
        <w:rPr>
          <w:rFonts w:hint="eastAsia" w:ascii="方正仿宋简体" w:hAnsi="仿宋" w:eastAsia="方正仿宋简体" w:cs="仿宋"/>
          <w:sz w:val="32"/>
          <w:szCs w:val="32"/>
        </w:rPr>
      </w:pPr>
      <w:r>
        <w:rPr>
          <w:rFonts w:hint="eastAsia" w:ascii="方正仿宋简体" w:hAnsi="仿宋_GB2312" w:eastAsia="方正仿宋简体" w:cs="仿宋_GB2312"/>
          <w:sz w:val="32"/>
          <w:szCs w:val="32"/>
        </w:rPr>
        <w:t>增强了全社会的法律意识，做到了依法办事</w:t>
      </w:r>
      <w:r>
        <w:rPr>
          <w:rFonts w:hint="eastAsia" w:ascii="方正仿宋简体" w:hAnsi="仿宋" w:eastAsia="方正仿宋简体" w:cs="仿宋"/>
          <w:sz w:val="32"/>
          <w:szCs w:val="32"/>
        </w:rPr>
        <w:t>。项目目标完成情况及时高效，项目增强了全民法律意识，资金使用效率高、受益群体满意度高。</w:t>
      </w:r>
    </w:p>
    <w:p>
      <w:pPr>
        <w:adjustRightInd w:val="0"/>
        <w:snapToGrid w:val="0"/>
        <w:spacing w:line="576" w:lineRule="exact"/>
        <w:ind w:firstLine="720"/>
        <w:rPr>
          <w:rFonts w:hint="eastAsia" w:ascii="方正黑体简体" w:hAnsi="宋体" w:eastAsia="方正黑体简体"/>
          <w:sz w:val="32"/>
          <w:szCs w:val="32"/>
        </w:rPr>
      </w:pPr>
      <w:r>
        <w:rPr>
          <w:rFonts w:hint="eastAsia" w:ascii="方正黑体简体" w:hAnsi="宋体" w:eastAsia="方正黑体简体"/>
          <w:sz w:val="32"/>
          <w:szCs w:val="32"/>
        </w:rPr>
        <w:t>六、存在主要问题</w:t>
      </w:r>
    </w:p>
    <w:p>
      <w:pPr>
        <w:spacing w:line="576" w:lineRule="exact"/>
        <w:ind w:firstLine="640" w:firstLineChars="200"/>
        <w:rPr>
          <w:rFonts w:hint="eastAsia" w:ascii="方正仿宋简体" w:hAnsi="仿宋" w:eastAsia="方正仿宋简体" w:cs="仿宋_GB2312"/>
          <w:sz w:val="32"/>
          <w:szCs w:val="32"/>
        </w:rPr>
      </w:pPr>
      <w:r>
        <w:rPr>
          <w:rFonts w:hint="eastAsia" w:ascii="方正仿宋简体" w:hAnsi="仿宋" w:eastAsia="方正仿宋简体" w:cs="仿宋_GB2312"/>
          <w:sz w:val="32"/>
          <w:szCs w:val="32"/>
        </w:rPr>
        <w:t>经费有限，宣传力度不到位，部分群众法律意识有待提高。</w:t>
      </w:r>
    </w:p>
    <w:p>
      <w:pPr>
        <w:adjustRightInd w:val="0"/>
        <w:snapToGrid w:val="0"/>
        <w:spacing w:line="576" w:lineRule="exact"/>
        <w:ind w:firstLine="720"/>
        <w:rPr>
          <w:rFonts w:hint="eastAsia" w:ascii="方正黑体简体" w:hAnsi="宋体" w:eastAsia="方正黑体简体"/>
          <w:sz w:val="32"/>
          <w:szCs w:val="32"/>
        </w:rPr>
      </w:pPr>
      <w:r>
        <w:rPr>
          <w:rFonts w:hint="eastAsia" w:ascii="方正黑体简体" w:hAnsi="宋体" w:eastAsia="方正黑体简体"/>
          <w:sz w:val="32"/>
          <w:szCs w:val="32"/>
        </w:rPr>
        <w:t>七、相关措施建议</w:t>
      </w:r>
    </w:p>
    <w:p>
      <w:pPr>
        <w:tabs>
          <w:tab w:val="left" w:pos="312"/>
        </w:tabs>
        <w:spacing w:line="576" w:lineRule="exact"/>
        <w:ind w:firstLine="640" w:firstLineChars="200"/>
        <w:rPr>
          <w:rFonts w:hint="eastAsia" w:ascii="方正仿宋简体" w:hAnsi="仿宋_GB2312" w:eastAsia="方正仿宋简体"/>
          <w:sz w:val="32"/>
          <w:szCs w:val="32"/>
        </w:rPr>
      </w:pPr>
      <w:r>
        <w:rPr>
          <w:rFonts w:hint="eastAsia" w:ascii="方正仿宋简体" w:hAnsi="仿宋_GB2312" w:eastAsia="方正仿宋简体" w:cs="仿宋_GB2312"/>
          <w:sz w:val="32"/>
          <w:szCs w:val="32"/>
        </w:rPr>
        <w:t>科学预算，严格按照预算执行。</w:t>
      </w:r>
    </w:p>
    <w:p>
      <w:pPr>
        <w:pStyle w:val="2"/>
        <w:spacing w:line="576" w:lineRule="exact"/>
        <w:rPr>
          <w:rFonts w:hint="eastAsia" w:ascii="方正仿宋简体" w:eastAsia="方正仿宋简体"/>
        </w:rPr>
      </w:pPr>
    </w:p>
    <w:p>
      <w:pPr>
        <w:spacing w:line="576" w:lineRule="exact"/>
        <w:ind w:firstLine="640" w:firstLineChars="200"/>
        <w:rPr>
          <w:rFonts w:hint="eastAsia" w:ascii="方正仿宋简体" w:hAnsi="仿宋" w:eastAsia="方正仿宋简体"/>
          <w:sz w:val="32"/>
          <w:szCs w:val="32"/>
        </w:rPr>
      </w:pPr>
    </w:p>
    <w:p>
      <w:pPr>
        <w:pStyle w:val="2"/>
      </w:pPr>
    </w:p>
    <w:p>
      <w:pPr>
        <w:tabs>
          <w:tab w:val="left" w:pos="312"/>
        </w:tabs>
        <w:spacing w:line="576" w:lineRule="exact"/>
        <w:rPr>
          <w:rFonts w:hint="eastAsia" w:ascii="方正仿宋简体" w:hAnsi="仿宋_GB2312" w:eastAsia="方正仿宋简体"/>
          <w:sz w:val="32"/>
          <w:szCs w:val="32"/>
        </w:rPr>
      </w:pPr>
    </w:p>
    <w:p>
      <w:pPr>
        <w:spacing w:line="576" w:lineRule="exact"/>
        <w:outlineLvl w:val="0"/>
        <w:rPr>
          <w:rStyle w:val="26"/>
          <w:rFonts w:hint="eastAsia" w:ascii="方正仿宋简体" w:hAnsi="黑体" w:eastAsia="方正仿宋简体"/>
          <w:b w:val="0"/>
        </w:rPr>
      </w:pPr>
    </w:p>
    <w:p>
      <w:pPr>
        <w:spacing w:line="576" w:lineRule="exact"/>
        <w:jc w:val="center"/>
        <w:outlineLvl w:val="0"/>
        <w:rPr>
          <w:rStyle w:val="26"/>
          <w:rFonts w:hint="eastAsia" w:ascii="方正小标宋简体" w:hAnsi="黑体" w:eastAsia="方正小标宋简体"/>
          <w:b w:val="0"/>
        </w:rPr>
      </w:pPr>
      <w:bookmarkStart w:id="59" w:name="_Toc15396618"/>
      <w:r>
        <w:rPr>
          <w:rFonts w:hint="eastAsia" w:ascii="方正小标宋简体" w:hAnsi="黑体" w:eastAsia="方正小标宋简体"/>
          <w:color w:val="000000"/>
          <w:sz w:val="44"/>
          <w:szCs w:val="44"/>
        </w:rPr>
        <w:t>第</w:t>
      </w:r>
      <w:r>
        <w:rPr>
          <w:rStyle w:val="26"/>
          <w:rFonts w:hint="eastAsia" w:ascii="方正小标宋简体" w:hAnsi="黑体" w:eastAsia="方正小标宋简体"/>
          <w:b w:val="0"/>
        </w:rPr>
        <w:t>五部分   附表</w:t>
      </w:r>
      <w:bookmarkEnd w:id="57"/>
      <w:bookmarkEnd w:id="59"/>
    </w:p>
    <w:p>
      <w:pPr>
        <w:spacing w:line="576" w:lineRule="exact"/>
        <w:jc w:val="center"/>
        <w:outlineLvl w:val="0"/>
        <w:rPr>
          <w:rFonts w:hint="eastAsia" w:ascii="方正仿宋简体" w:hAnsi="仿宋" w:eastAsia="方正仿宋简体"/>
          <w:b/>
          <w:color w:val="000000"/>
          <w:sz w:val="44"/>
          <w:szCs w:val="44"/>
        </w:rPr>
      </w:pPr>
    </w:p>
    <w:p>
      <w:pPr>
        <w:ind w:firstLine="640" w:firstLineChars="200"/>
        <w:rPr>
          <w:rFonts w:hint="eastAsia" w:ascii="方正仿宋简体" w:eastAsia="方正仿宋简体"/>
          <w:color w:val="000000"/>
          <w:sz w:val="32"/>
          <w:szCs w:val="32"/>
        </w:rPr>
      </w:pPr>
      <w:bookmarkStart w:id="60" w:name="_Toc15396619"/>
      <w:r>
        <w:rPr>
          <w:rFonts w:hint="eastAsia" w:ascii="方正仿宋简体" w:eastAsia="方正仿宋简体"/>
          <w:color w:val="000000"/>
          <w:sz w:val="32"/>
          <w:szCs w:val="32"/>
        </w:rPr>
        <w:t>一、收</w:t>
      </w:r>
      <w:r>
        <w:rPr>
          <w:rStyle w:val="27"/>
          <w:rFonts w:hint="eastAsia" w:ascii="方正仿宋简体" w:hAnsi="仿宋" w:eastAsia="方正仿宋简体"/>
          <w:b w:val="0"/>
          <w:bCs w:val="0"/>
        </w:rPr>
        <w:t>入支出决算总表</w:t>
      </w:r>
      <w:bookmarkEnd w:id="60"/>
    </w:p>
    <w:p>
      <w:pPr>
        <w:ind w:firstLine="640" w:firstLineChars="200"/>
        <w:rPr>
          <w:rFonts w:hint="eastAsia" w:ascii="方正仿宋简体" w:eastAsia="方正仿宋简体"/>
          <w:color w:val="000000"/>
          <w:sz w:val="32"/>
          <w:szCs w:val="32"/>
        </w:rPr>
      </w:pPr>
      <w:bookmarkStart w:id="61" w:name="_Toc15396620"/>
      <w:r>
        <w:rPr>
          <w:rFonts w:hint="eastAsia" w:ascii="方正仿宋简体" w:eastAsia="方正仿宋简体"/>
          <w:color w:val="000000"/>
          <w:sz w:val="32"/>
          <w:szCs w:val="32"/>
        </w:rPr>
        <w:t>二、收</w:t>
      </w:r>
      <w:r>
        <w:rPr>
          <w:rStyle w:val="27"/>
          <w:rFonts w:hint="eastAsia" w:ascii="方正仿宋简体" w:hAnsi="仿宋" w:eastAsia="方正仿宋简体"/>
          <w:b w:val="0"/>
          <w:bCs w:val="0"/>
        </w:rPr>
        <w:t>入决算表</w:t>
      </w:r>
      <w:bookmarkEnd w:id="61"/>
    </w:p>
    <w:p>
      <w:pPr>
        <w:ind w:firstLine="640" w:firstLineChars="200"/>
        <w:rPr>
          <w:rFonts w:hint="eastAsia" w:ascii="方正仿宋简体" w:eastAsia="方正仿宋简体"/>
          <w:color w:val="000000"/>
          <w:sz w:val="32"/>
          <w:szCs w:val="32"/>
        </w:rPr>
      </w:pPr>
      <w:bookmarkStart w:id="62" w:name="_Toc15396621"/>
      <w:r>
        <w:rPr>
          <w:rStyle w:val="27"/>
          <w:rFonts w:hint="eastAsia" w:ascii="方正仿宋简体" w:hAnsi="仿宋" w:eastAsia="方正仿宋简体"/>
          <w:b w:val="0"/>
          <w:bCs w:val="0"/>
        </w:rPr>
        <w:t>三、</w:t>
      </w:r>
      <w:r>
        <w:rPr>
          <w:rFonts w:hint="eastAsia" w:ascii="方正仿宋简体" w:eastAsia="方正仿宋简体"/>
          <w:color w:val="000000"/>
          <w:sz w:val="32"/>
          <w:szCs w:val="32"/>
        </w:rPr>
        <w:t>支</w:t>
      </w:r>
      <w:r>
        <w:rPr>
          <w:rStyle w:val="27"/>
          <w:rFonts w:hint="eastAsia" w:ascii="方正仿宋简体" w:hAnsi="仿宋" w:eastAsia="方正仿宋简体"/>
          <w:b w:val="0"/>
          <w:bCs w:val="0"/>
        </w:rPr>
        <w:t>出决算表</w:t>
      </w:r>
      <w:bookmarkEnd w:id="62"/>
    </w:p>
    <w:p>
      <w:pPr>
        <w:ind w:firstLine="640" w:firstLineChars="200"/>
        <w:rPr>
          <w:rFonts w:hint="eastAsia" w:ascii="方正仿宋简体" w:eastAsia="方正仿宋简体"/>
          <w:b/>
          <w:color w:val="000000"/>
          <w:sz w:val="32"/>
          <w:szCs w:val="32"/>
        </w:rPr>
      </w:pPr>
      <w:bookmarkStart w:id="63" w:name="_Toc15396622"/>
      <w:r>
        <w:rPr>
          <w:rStyle w:val="27"/>
          <w:rFonts w:hint="eastAsia" w:ascii="方正仿宋简体" w:hAnsi="仿宋" w:eastAsia="方正仿宋简体"/>
          <w:b w:val="0"/>
          <w:bCs w:val="0"/>
        </w:rPr>
        <w:t>四、</w:t>
      </w:r>
      <w:r>
        <w:rPr>
          <w:rFonts w:hint="eastAsia" w:ascii="方正仿宋简体" w:eastAsia="方正仿宋简体"/>
          <w:color w:val="000000"/>
          <w:sz w:val="32"/>
          <w:szCs w:val="32"/>
        </w:rPr>
        <w:t>财</w:t>
      </w:r>
      <w:r>
        <w:rPr>
          <w:rStyle w:val="27"/>
          <w:rFonts w:hint="eastAsia" w:ascii="方正仿宋简体" w:hAnsi="仿宋" w:eastAsia="方正仿宋简体"/>
          <w:b w:val="0"/>
          <w:bCs w:val="0"/>
        </w:rPr>
        <w:t>政拨款收入支出决算总表</w:t>
      </w:r>
      <w:bookmarkEnd w:id="63"/>
    </w:p>
    <w:p>
      <w:pPr>
        <w:ind w:firstLine="640" w:firstLineChars="200"/>
        <w:rPr>
          <w:rStyle w:val="27"/>
          <w:rFonts w:hint="eastAsia" w:ascii="方正仿宋简体" w:hAnsi="仿宋" w:eastAsia="方正仿宋简体"/>
        </w:rPr>
      </w:pPr>
      <w:bookmarkStart w:id="64" w:name="_Toc15396623"/>
      <w:r>
        <w:rPr>
          <w:rStyle w:val="27"/>
          <w:rFonts w:hint="eastAsia" w:ascii="方正仿宋简体" w:hAnsi="仿宋" w:eastAsia="方正仿宋简体"/>
          <w:b w:val="0"/>
          <w:bCs w:val="0"/>
        </w:rPr>
        <w:t>五、</w:t>
      </w:r>
      <w:r>
        <w:rPr>
          <w:rFonts w:hint="eastAsia" w:ascii="方正仿宋简体" w:eastAsia="方正仿宋简体"/>
          <w:color w:val="000000"/>
          <w:sz w:val="32"/>
          <w:szCs w:val="32"/>
        </w:rPr>
        <w:t>财</w:t>
      </w:r>
      <w:r>
        <w:rPr>
          <w:rStyle w:val="27"/>
          <w:rFonts w:hint="eastAsia" w:ascii="方正仿宋简体" w:hAnsi="仿宋" w:eastAsia="方正仿宋简体"/>
          <w:b w:val="0"/>
          <w:bCs w:val="0"/>
        </w:rPr>
        <w:t>政拨款支出决算明细表</w:t>
      </w:r>
      <w:bookmarkEnd w:id="64"/>
      <w:bookmarkStart w:id="65" w:name="_Toc15396624"/>
    </w:p>
    <w:p>
      <w:pPr>
        <w:ind w:firstLine="640" w:firstLineChars="200"/>
        <w:rPr>
          <w:rFonts w:hint="eastAsia" w:ascii="方正仿宋简体" w:eastAsia="方正仿宋简体"/>
          <w:color w:val="000000"/>
          <w:sz w:val="32"/>
          <w:szCs w:val="32"/>
        </w:rPr>
      </w:pPr>
      <w:r>
        <w:rPr>
          <w:rStyle w:val="27"/>
          <w:rFonts w:hint="eastAsia" w:ascii="方正仿宋简体" w:hAnsi="仿宋" w:eastAsia="方正仿宋简体"/>
          <w:b w:val="0"/>
          <w:bCs w:val="0"/>
        </w:rPr>
        <w:t>六、</w:t>
      </w:r>
      <w:r>
        <w:rPr>
          <w:rFonts w:hint="eastAsia" w:ascii="方正仿宋简体" w:eastAsia="方正仿宋简体"/>
          <w:color w:val="000000"/>
          <w:sz w:val="32"/>
          <w:szCs w:val="32"/>
        </w:rPr>
        <w:t>一</w:t>
      </w:r>
      <w:r>
        <w:rPr>
          <w:rStyle w:val="27"/>
          <w:rFonts w:hint="eastAsia" w:ascii="方正仿宋简体" w:hAnsi="仿宋" w:eastAsia="方正仿宋简体"/>
          <w:b w:val="0"/>
          <w:bCs w:val="0"/>
        </w:rPr>
        <w:t>般公共预算财政拨款支出决算表</w:t>
      </w:r>
      <w:bookmarkEnd w:id="65"/>
    </w:p>
    <w:p>
      <w:pPr>
        <w:ind w:firstLine="640" w:firstLineChars="200"/>
        <w:rPr>
          <w:rFonts w:hint="eastAsia" w:ascii="方正仿宋简体" w:eastAsia="方正仿宋简体"/>
          <w:color w:val="000000"/>
          <w:sz w:val="32"/>
          <w:szCs w:val="32"/>
        </w:rPr>
      </w:pPr>
      <w:bookmarkStart w:id="66" w:name="_Toc15396625"/>
      <w:r>
        <w:rPr>
          <w:rStyle w:val="27"/>
          <w:rFonts w:hint="eastAsia" w:ascii="方正仿宋简体" w:hAnsi="仿宋" w:eastAsia="方正仿宋简体"/>
          <w:b w:val="0"/>
          <w:bCs w:val="0"/>
        </w:rPr>
        <w:t>七、</w:t>
      </w:r>
      <w:r>
        <w:rPr>
          <w:rFonts w:hint="eastAsia" w:ascii="方正仿宋简体" w:eastAsia="方正仿宋简体"/>
          <w:color w:val="000000"/>
          <w:sz w:val="32"/>
          <w:szCs w:val="32"/>
        </w:rPr>
        <w:t>一</w:t>
      </w:r>
      <w:r>
        <w:rPr>
          <w:rStyle w:val="27"/>
          <w:rFonts w:hint="eastAsia" w:ascii="方正仿宋简体" w:hAnsi="仿宋" w:eastAsia="方正仿宋简体"/>
          <w:b w:val="0"/>
          <w:bCs w:val="0"/>
        </w:rPr>
        <w:t>般公共预算财政拨款支出决算明细表</w:t>
      </w:r>
      <w:bookmarkEnd w:id="66"/>
    </w:p>
    <w:p>
      <w:pPr>
        <w:ind w:firstLine="640" w:firstLineChars="200"/>
        <w:rPr>
          <w:rFonts w:hint="eastAsia" w:ascii="方正仿宋简体" w:eastAsia="方正仿宋简体"/>
          <w:color w:val="000000"/>
          <w:sz w:val="32"/>
          <w:szCs w:val="32"/>
        </w:rPr>
      </w:pPr>
      <w:bookmarkStart w:id="67" w:name="_Toc15396626"/>
      <w:r>
        <w:rPr>
          <w:rStyle w:val="27"/>
          <w:rFonts w:hint="eastAsia" w:ascii="方正仿宋简体" w:hAnsi="仿宋" w:eastAsia="方正仿宋简体"/>
          <w:b w:val="0"/>
          <w:bCs w:val="0"/>
        </w:rPr>
        <w:t>八、</w:t>
      </w:r>
      <w:r>
        <w:rPr>
          <w:rFonts w:hint="eastAsia" w:ascii="方正仿宋简体" w:eastAsia="方正仿宋简体"/>
          <w:color w:val="000000"/>
          <w:sz w:val="32"/>
          <w:szCs w:val="32"/>
        </w:rPr>
        <w:t>一</w:t>
      </w:r>
      <w:r>
        <w:rPr>
          <w:rStyle w:val="27"/>
          <w:rFonts w:hint="eastAsia" w:ascii="方正仿宋简体" w:hAnsi="仿宋" w:eastAsia="方正仿宋简体"/>
          <w:b w:val="0"/>
          <w:bCs w:val="0"/>
        </w:rPr>
        <w:t>般公共预算财政拨款基本支出决算表</w:t>
      </w:r>
      <w:bookmarkEnd w:id="67"/>
    </w:p>
    <w:p>
      <w:pPr>
        <w:ind w:firstLine="640" w:firstLineChars="200"/>
        <w:rPr>
          <w:rFonts w:hint="eastAsia" w:ascii="方正仿宋简体" w:eastAsia="方正仿宋简体"/>
          <w:color w:val="000000"/>
          <w:sz w:val="32"/>
          <w:szCs w:val="32"/>
        </w:rPr>
      </w:pPr>
      <w:bookmarkStart w:id="68" w:name="_Toc15396627"/>
      <w:r>
        <w:rPr>
          <w:rStyle w:val="27"/>
          <w:rFonts w:hint="eastAsia" w:ascii="方正仿宋简体" w:hAnsi="仿宋" w:eastAsia="方正仿宋简体"/>
          <w:b w:val="0"/>
          <w:bCs w:val="0"/>
        </w:rPr>
        <w:t>九、</w:t>
      </w:r>
      <w:r>
        <w:rPr>
          <w:rFonts w:hint="eastAsia" w:ascii="方正仿宋简体" w:eastAsia="方正仿宋简体"/>
          <w:color w:val="000000"/>
          <w:sz w:val="32"/>
          <w:szCs w:val="32"/>
        </w:rPr>
        <w:t>一</w:t>
      </w:r>
      <w:r>
        <w:rPr>
          <w:rStyle w:val="27"/>
          <w:rFonts w:hint="eastAsia" w:ascii="方正仿宋简体" w:hAnsi="仿宋" w:eastAsia="方正仿宋简体"/>
          <w:b w:val="0"/>
          <w:bCs w:val="0"/>
        </w:rPr>
        <w:t>般公共预算财政拨款项目支出决算表</w:t>
      </w:r>
      <w:bookmarkEnd w:id="68"/>
    </w:p>
    <w:p>
      <w:pPr>
        <w:ind w:firstLine="640" w:firstLineChars="200"/>
        <w:rPr>
          <w:rFonts w:hint="eastAsia" w:ascii="方正仿宋简体" w:eastAsia="方正仿宋简体"/>
          <w:color w:val="000000"/>
          <w:sz w:val="32"/>
          <w:szCs w:val="32"/>
        </w:rPr>
      </w:pPr>
      <w:bookmarkStart w:id="69" w:name="_Toc15396628"/>
      <w:r>
        <w:rPr>
          <w:rStyle w:val="27"/>
          <w:rFonts w:hint="eastAsia" w:ascii="方正仿宋简体" w:hAnsi="仿宋" w:eastAsia="方正仿宋简体"/>
          <w:b w:val="0"/>
          <w:bCs w:val="0"/>
        </w:rPr>
        <w:t>十、</w:t>
      </w:r>
      <w:r>
        <w:rPr>
          <w:rFonts w:hint="eastAsia" w:ascii="方正仿宋简体" w:eastAsia="方正仿宋简体"/>
          <w:color w:val="000000"/>
          <w:sz w:val="32"/>
          <w:szCs w:val="32"/>
        </w:rPr>
        <w:t>一</w:t>
      </w:r>
      <w:r>
        <w:rPr>
          <w:rStyle w:val="27"/>
          <w:rFonts w:hint="eastAsia" w:ascii="方正仿宋简体" w:hAnsi="仿宋" w:eastAsia="方正仿宋简体"/>
          <w:b w:val="0"/>
          <w:bCs w:val="0"/>
        </w:rPr>
        <w:t>般公共预算财政拨款“三公”经费支出决算表</w:t>
      </w:r>
      <w:bookmarkEnd w:id="69"/>
    </w:p>
    <w:p>
      <w:pPr>
        <w:ind w:firstLine="640" w:firstLineChars="200"/>
        <w:rPr>
          <w:rFonts w:hint="eastAsia" w:ascii="方正仿宋简体" w:eastAsia="方正仿宋简体"/>
          <w:color w:val="000000"/>
          <w:sz w:val="32"/>
          <w:szCs w:val="32"/>
        </w:rPr>
      </w:pPr>
      <w:bookmarkStart w:id="70" w:name="_Toc15396629"/>
      <w:r>
        <w:rPr>
          <w:rStyle w:val="27"/>
          <w:rFonts w:hint="eastAsia" w:ascii="方正仿宋简体" w:hAnsi="仿宋" w:eastAsia="方正仿宋简体"/>
          <w:b w:val="0"/>
          <w:bCs w:val="0"/>
        </w:rPr>
        <w:t>十一、</w:t>
      </w:r>
      <w:r>
        <w:rPr>
          <w:rFonts w:hint="eastAsia" w:ascii="方正仿宋简体" w:eastAsia="方正仿宋简体"/>
          <w:color w:val="000000"/>
          <w:sz w:val="32"/>
          <w:szCs w:val="32"/>
        </w:rPr>
        <w:t>政</w:t>
      </w:r>
      <w:r>
        <w:rPr>
          <w:rStyle w:val="27"/>
          <w:rFonts w:hint="eastAsia" w:ascii="方正仿宋简体" w:hAnsi="仿宋" w:eastAsia="方正仿宋简体"/>
          <w:b w:val="0"/>
          <w:bCs w:val="0"/>
        </w:rPr>
        <w:t>府性基金预算财政拨款收入支出决算表</w:t>
      </w:r>
      <w:bookmarkEnd w:id="70"/>
    </w:p>
    <w:p>
      <w:pPr>
        <w:ind w:firstLine="640" w:firstLineChars="200"/>
        <w:rPr>
          <w:rFonts w:hint="eastAsia" w:ascii="方正仿宋简体" w:eastAsia="方正仿宋简体"/>
          <w:color w:val="000000"/>
          <w:sz w:val="32"/>
          <w:szCs w:val="32"/>
        </w:rPr>
      </w:pPr>
      <w:bookmarkStart w:id="71" w:name="_Toc15396630"/>
      <w:r>
        <w:rPr>
          <w:rStyle w:val="27"/>
          <w:rFonts w:hint="eastAsia" w:ascii="方正仿宋简体" w:hAnsi="仿宋" w:eastAsia="方正仿宋简体"/>
          <w:b w:val="0"/>
          <w:bCs w:val="0"/>
        </w:rPr>
        <w:t>十二、</w:t>
      </w:r>
      <w:r>
        <w:rPr>
          <w:rFonts w:hint="eastAsia" w:ascii="方正仿宋简体" w:eastAsia="方正仿宋简体"/>
          <w:color w:val="000000"/>
          <w:sz w:val="32"/>
          <w:szCs w:val="32"/>
        </w:rPr>
        <w:t>政</w:t>
      </w:r>
      <w:r>
        <w:rPr>
          <w:rStyle w:val="27"/>
          <w:rFonts w:hint="eastAsia" w:ascii="方正仿宋简体" w:hAnsi="仿宋" w:eastAsia="方正仿宋简体"/>
          <w:b w:val="0"/>
          <w:bCs w:val="0"/>
        </w:rPr>
        <w:t>府性基金预算财政拨款“三公”经费支出决算表</w:t>
      </w:r>
      <w:bookmarkEnd w:id="71"/>
    </w:p>
    <w:p>
      <w:pPr>
        <w:ind w:firstLine="640" w:firstLineChars="200"/>
        <w:rPr>
          <w:rFonts w:hint="eastAsia" w:ascii="方正仿宋简体" w:eastAsia="方正仿宋简体"/>
          <w:color w:val="000000" w:themeColor="text1"/>
          <w:sz w:val="32"/>
          <w:szCs w:val="32"/>
        </w:rPr>
      </w:pPr>
      <w:bookmarkStart w:id="72" w:name="_Toc15396631"/>
      <w:r>
        <w:rPr>
          <w:rStyle w:val="27"/>
          <w:rFonts w:hint="eastAsia" w:ascii="方正仿宋简体" w:hAnsi="仿宋" w:eastAsia="方正仿宋简体"/>
          <w:b w:val="0"/>
          <w:bCs w:val="0"/>
        </w:rPr>
        <w:t>十三、</w:t>
      </w:r>
      <w:r>
        <w:rPr>
          <w:rFonts w:hint="eastAsia" w:ascii="方正仿宋简体" w:eastAsia="方正仿宋简体"/>
          <w:color w:val="000000"/>
          <w:sz w:val="32"/>
          <w:szCs w:val="32"/>
        </w:rPr>
        <w:t>国</w:t>
      </w:r>
      <w:r>
        <w:rPr>
          <w:rStyle w:val="27"/>
          <w:rFonts w:hint="eastAsia" w:ascii="方正仿宋简体" w:hAnsi="仿宋" w:eastAsia="方正仿宋简体"/>
          <w:b w:val="0"/>
          <w:bCs w:val="0"/>
        </w:rPr>
        <w:t>有资本经营预算支出决算表</w:t>
      </w:r>
      <w:bookmarkEnd w:id="72"/>
    </w:p>
    <w:sectPr>
      <w:footerReference r:id="rId6" w:type="first"/>
      <w:headerReference r:id="rId3" w:type="default"/>
      <w:footerReference r:id="rId4" w:type="default"/>
      <w:footerReference r:id="rId5" w:type="even"/>
      <w:pgSz w:w="11906" w:h="16838"/>
      <w:pgMar w:top="2098" w:right="1474" w:bottom="1985"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8968"/>
      <w:docPartObj>
        <w:docPartGallery w:val="autotext"/>
      </w:docPartObj>
    </w:sdtPr>
    <w:sdtContent>
      <w:p>
        <w:pPr>
          <w:pStyle w:val="10"/>
          <w:jc w:val="right"/>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w:t>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8975"/>
      <w:docPartObj>
        <w:docPartGallery w:val="autotext"/>
      </w:docPartObj>
    </w:sdtPr>
    <w:sdtEndPr>
      <w:rPr>
        <w:sz w:val="28"/>
        <w:szCs w:val="28"/>
      </w:rPr>
    </w:sdtEndPr>
    <w:sdtContent>
      <w:p>
        <w:pPr>
          <w:pStyle w:val="1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rFonts w:hint="eastAsia"/>
            <w:sz w:val="28"/>
            <w:szCs w:val="28"/>
          </w:rPr>
          <w:t>—</w:t>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8951"/>
      <w:docPartObj>
        <w:docPartGallery w:val="autotext"/>
      </w:docPartObj>
    </w:sdtPr>
    <w:sdtEndPr>
      <w:rPr>
        <w:sz w:val="28"/>
        <w:szCs w:val="28"/>
      </w:rPr>
    </w:sdtEndPr>
    <w:sdtContent>
      <w:p>
        <w:pPr>
          <w:pStyle w:val="1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A49E3"/>
    <w:multiLevelType w:val="singleLevel"/>
    <w:tmpl w:val="970A49E3"/>
    <w:lvl w:ilvl="0" w:tentative="0">
      <w:start w:val="1"/>
      <w:numFmt w:val="chineseCounting"/>
      <w:suff w:val="nothing"/>
      <w:lvlText w:val="%1、"/>
      <w:lvlJc w:val="left"/>
      <w:rPr>
        <w:rFonts w:hint="eastAsia"/>
      </w:rPr>
    </w:lvl>
  </w:abstractNum>
  <w:abstractNum w:abstractNumId="1">
    <w:nsid w:val="A3C79DEA"/>
    <w:multiLevelType w:val="singleLevel"/>
    <w:tmpl w:val="A3C79DEA"/>
    <w:lvl w:ilvl="0" w:tentative="0">
      <w:start w:val="1"/>
      <w:numFmt w:val="decimal"/>
      <w:lvlText w:val="%1."/>
      <w:lvlJc w:val="left"/>
      <w:pPr>
        <w:tabs>
          <w:tab w:val="left" w:pos="312"/>
        </w:tabs>
      </w:pPr>
    </w:lvl>
  </w:abstractNum>
  <w:abstractNum w:abstractNumId="2">
    <w:nsid w:val="E2FA047D"/>
    <w:multiLevelType w:val="singleLevel"/>
    <w:tmpl w:val="E2FA047D"/>
    <w:lvl w:ilvl="0" w:tentative="0">
      <w:start w:val="3"/>
      <w:numFmt w:val="chineseCounting"/>
      <w:suff w:val="space"/>
      <w:lvlText w:val="第%1部分"/>
      <w:lvlJc w:val="left"/>
      <w:rPr>
        <w:rFonts w:hint="eastAsia" w:ascii="方正小标宋简体" w:eastAsia="方正小标宋简体"/>
      </w:rPr>
    </w:lvl>
  </w:abstractNum>
  <w:abstractNum w:abstractNumId="3">
    <w:nsid w:val="05773AF0"/>
    <w:multiLevelType w:val="singleLevel"/>
    <w:tmpl w:val="05773AF0"/>
    <w:lvl w:ilvl="0" w:tentative="0">
      <w:start w:val="2"/>
      <w:numFmt w:val="decimal"/>
      <w:suff w:val="nothing"/>
      <w:lvlText w:val="%1．"/>
      <w:lvlJc w:val="left"/>
    </w:lvl>
  </w:abstractNum>
  <w:abstractNum w:abstractNumId="4">
    <w:nsid w:val="190DACE0"/>
    <w:multiLevelType w:val="singleLevel"/>
    <w:tmpl w:val="190DACE0"/>
    <w:lvl w:ilvl="0" w:tentative="0">
      <w:start w:val="2"/>
      <w:numFmt w:val="chineseCounting"/>
      <w:suff w:val="nothing"/>
      <w:lvlText w:val="（%1）"/>
      <w:lvlJc w:val="left"/>
      <w:rPr>
        <w:rFonts w:hint="eastAsia"/>
      </w:rPr>
    </w:lvl>
  </w:abstractNum>
  <w:abstractNum w:abstractNumId="5">
    <w:nsid w:val="59B526BD"/>
    <w:multiLevelType w:val="singleLevel"/>
    <w:tmpl w:val="59B526BD"/>
    <w:lvl w:ilvl="0" w:tentative="0">
      <w:start w:val="1"/>
      <w:numFmt w:val="decimal"/>
      <w:suff w:val="nothing"/>
      <w:lvlText w:val="（%1）"/>
      <w:lvlJc w:val="left"/>
    </w:lvl>
  </w:abstractNum>
  <w:abstractNum w:abstractNumId="6">
    <w:nsid w:val="59B52ADB"/>
    <w:multiLevelType w:val="singleLevel"/>
    <w:tmpl w:val="59B52ADB"/>
    <w:lvl w:ilvl="0" w:tentative="0">
      <w:start w:val="1"/>
      <w:numFmt w:val="decimal"/>
      <w:suff w:val="nothing"/>
      <w:lvlText w:val="（%1）"/>
      <w:lvlJc w:val="left"/>
    </w:lvl>
  </w:abstractNum>
  <w:abstractNum w:abstractNumId="7">
    <w:nsid w:val="5C8E1B1F"/>
    <w:multiLevelType w:val="singleLevel"/>
    <w:tmpl w:val="5C8E1B1F"/>
    <w:lvl w:ilvl="0" w:tentative="0">
      <w:start w:val="1"/>
      <w:numFmt w:val="chineseCounting"/>
      <w:suff w:val="nothing"/>
      <w:lvlText w:val="%1、"/>
      <w:lvlJc w:val="left"/>
      <w:rPr>
        <w:rFonts w:hint="eastAsia"/>
      </w:r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5CCA"/>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0AA"/>
    <w:rsid w:val="002616C0"/>
    <w:rsid w:val="00265372"/>
    <w:rsid w:val="002662AA"/>
    <w:rsid w:val="00280496"/>
    <w:rsid w:val="00294DC9"/>
    <w:rsid w:val="00295495"/>
    <w:rsid w:val="002A31DE"/>
    <w:rsid w:val="002B2613"/>
    <w:rsid w:val="002D19B0"/>
    <w:rsid w:val="002D6D05"/>
    <w:rsid w:val="002E6AD4"/>
    <w:rsid w:val="002F1818"/>
    <w:rsid w:val="002F567B"/>
    <w:rsid w:val="003216A9"/>
    <w:rsid w:val="00335A74"/>
    <w:rsid w:val="0036233A"/>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36C"/>
    <w:rsid w:val="006748A4"/>
    <w:rsid w:val="00681A31"/>
    <w:rsid w:val="00683E73"/>
    <w:rsid w:val="006A3141"/>
    <w:rsid w:val="006A5E34"/>
    <w:rsid w:val="006B2422"/>
    <w:rsid w:val="006B2B9A"/>
    <w:rsid w:val="006C1937"/>
    <w:rsid w:val="006C2B55"/>
    <w:rsid w:val="006F020C"/>
    <w:rsid w:val="007127B7"/>
    <w:rsid w:val="0071798E"/>
    <w:rsid w:val="00720F73"/>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B7536"/>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B18A5"/>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649B4"/>
    <w:rsid w:val="01A1734E"/>
    <w:rsid w:val="01C76FE6"/>
    <w:rsid w:val="02551A62"/>
    <w:rsid w:val="026E7680"/>
    <w:rsid w:val="02701890"/>
    <w:rsid w:val="027A1B68"/>
    <w:rsid w:val="02AB284E"/>
    <w:rsid w:val="02AC7600"/>
    <w:rsid w:val="031357AF"/>
    <w:rsid w:val="03303BFF"/>
    <w:rsid w:val="03FA4E53"/>
    <w:rsid w:val="03FF2803"/>
    <w:rsid w:val="040E441D"/>
    <w:rsid w:val="042C622C"/>
    <w:rsid w:val="04D44DC3"/>
    <w:rsid w:val="04F83978"/>
    <w:rsid w:val="04F9042A"/>
    <w:rsid w:val="050A76C5"/>
    <w:rsid w:val="052A53F9"/>
    <w:rsid w:val="05301C1D"/>
    <w:rsid w:val="053923F9"/>
    <w:rsid w:val="05531591"/>
    <w:rsid w:val="0577237C"/>
    <w:rsid w:val="059503E5"/>
    <w:rsid w:val="05B956A6"/>
    <w:rsid w:val="06082367"/>
    <w:rsid w:val="06310194"/>
    <w:rsid w:val="064D29C4"/>
    <w:rsid w:val="06731FDC"/>
    <w:rsid w:val="068E7E81"/>
    <w:rsid w:val="06C66BB1"/>
    <w:rsid w:val="07071B84"/>
    <w:rsid w:val="07072ADD"/>
    <w:rsid w:val="07170E35"/>
    <w:rsid w:val="07FA2C1B"/>
    <w:rsid w:val="08074547"/>
    <w:rsid w:val="08506C62"/>
    <w:rsid w:val="087D6C02"/>
    <w:rsid w:val="0881167A"/>
    <w:rsid w:val="08DC7FB0"/>
    <w:rsid w:val="090727FA"/>
    <w:rsid w:val="0A046C17"/>
    <w:rsid w:val="0A250B73"/>
    <w:rsid w:val="0A35617A"/>
    <w:rsid w:val="0A8D5064"/>
    <w:rsid w:val="0ADA521E"/>
    <w:rsid w:val="0AEA4BCA"/>
    <w:rsid w:val="0B102E15"/>
    <w:rsid w:val="0B4550C5"/>
    <w:rsid w:val="0BD1408A"/>
    <w:rsid w:val="0C9C619E"/>
    <w:rsid w:val="0D0968DD"/>
    <w:rsid w:val="0D151D5B"/>
    <w:rsid w:val="0DA734A5"/>
    <w:rsid w:val="0DBC0330"/>
    <w:rsid w:val="0DC73787"/>
    <w:rsid w:val="0DCC15AB"/>
    <w:rsid w:val="0DDC0476"/>
    <w:rsid w:val="0DEE18FB"/>
    <w:rsid w:val="0E003024"/>
    <w:rsid w:val="0E582BCD"/>
    <w:rsid w:val="0EB61655"/>
    <w:rsid w:val="0EFE50BE"/>
    <w:rsid w:val="0F6D1E2A"/>
    <w:rsid w:val="0F6D4379"/>
    <w:rsid w:val="0FC005A6"/>
    <w:rsid w:val="0FC978B7"/>
    <w:rsid w:val="0FE83FE2"/>
    <w:rsid w:val="0FED5E82"/>
    <w:rsid w:val="100C126F"/>
    <w:rsid w:val="10662137"/>
    <w:rsid w:val="10797E00"/>
    <w:rsid w:val="108A4580"/>
    <w:rsid w:val="1095280E"/>
    <w:rsid w:val="10A15C06"/>
    <w:rsid w:val="10B3552D"/>
    <w:rsid w:val="10C055FF"/>
    <w:rsid w:val="10DC1E58"/>
    <w:rsid w:val="11411544"/>
    <w:rsid w:val="115101B2"/>
    <w:rsid w:val="11634A1C"/>
    <w:rsid w:val="11684F88"/>
    <w:rsid w:val="11CF2920"/>
    <w:rsid w:val="11DB32DB"/>
    <w:rsid w:val="11F9202A"/>
    <w:rsid w:val="120D187A"/>
    <w:rsid w:val="123335AD"/>
    <w:rsid w:val="12570426"/>
    <w:rsid w:val="126353E4"/>
    <w:rsid w:val="12A77889"/>
    <w:rsid w:val="12F97E84"/>
    <w:rsid w:val="133B2846"/>
    <w:rsid w:val="136F725E"/>
    <w:rsid w:val="1389086A"/>
    <w:rsid w:val="13974385"/>
    <w:rsid w:val="13B15964"/>
    <w:rsid w:val="145F72B5"/>
    <w:rsid w:val="1469257A"/>
    <w:rsid w:val="14A8629C"/>
    <w:rsid w:val="15017DAE"/>
    <w:rsid w:val="15075E60"/>
    <w:rsid w:val="15263E67"/>
    <w:rsid w:val="153C3C32"/>
    <w:rsid w:val="153D0E93"/>
    <w:rsid w:val="157A0909"/>
    <w:rsid w:val="157E2D0C"/>
    <w:rsid w:val="15910536"/>
    <w:rsid w:val="15FF03A3"/>
    <w:rsid w:val="161F7D18"/>
    <w:rsid w:val="169070FF"/>
    <w:rsid w:val="16BB723D"/>
    <w:rsid w:val="16D863F6"/>
    <w:rsid w:val="16F40E11"/>
    <w:rsid w:val="1715093C"/>
    <w:rsid w:val="177C6E4A"/>
    <w:rsid w:val="179056E3"/>
    <w:rsid w:val="17BD4123"/>
    <w:rsid w:val="17E7182B"/>
    <w:rsid w:val="17F81AA2"/>
    <w:rsid w:val="18113262"/>
    <w:rsid w:val="18231708"/>
    <w:rsid w:val="183D5D8B"/>
    <w:rsid w:val="183D7EE0"/>
    <w:rsid w:val="185B2936"/>
    <w:rsid w:val="187A0EC6"/>
    <w:rsid w:val="19130F8C"/>
    <w:rsid w:val="193655A3"/>
    <w:rsid w:val="1940217D"/>
    <w:rsid w:val="1943159B"/>
    <w:rsid w:val="197000C5"/>
    <w:rsid w:val="199315F6"/>
    <w:rsid w:val="19B5668F"/>
    <w:rsid w:val="1A0376CD"/>
    <w:rsid w:val="1A1A70A5"/>
    <w:rsid w:val="1A90560E"/>
    <w:rsid w:val="1AA66002"/>
    <w:rsid w:val="1AB227B3"/>
    <w:rsid w:val="1AF85190"/>
    <w:rsid w:val="1AFC5C92"/>
    <w:rsid w:val="1B930C4A"/>
    <w:rsid w:val="1C180F75"/>
    <w:rsid w:val="1C391902"/>
    <w:rsid w:val="1CA515C8"/>
    <w:rsid w:val="1CDD28FB"/>
    <w:rsid w:val="1CE1799A"/>
    <w:rsid w:val="1D105B48"/>
    <w:rsid w:val="1D82749A"/>
    <w:rsid w:val="1D883F48"/>
    <w:rsid w:val="1DE34133"/>
    <w:rsid w:val="1E2A04B6"/>
    <w:rsid w:val="1E6E34C2"/>
    <w:rsid w:val="1E8C3DCD"/>
    <w:rsid w:val="1EB4441D"/>
    <w:rsid w:val="1EEE16F8"/>
    <w:rsid w:val="1EF23E06"/>
    <w:rsid w:val="1F2A3532"/>
    <w:rsid w:val="1F756E15"/>
    <w:rsid w:val="1F9D1D34"/>
    <w:rsid w:val="1FAC27ED"/>
    <w:rsid w:val="1FBB05D3"/>
    <w:rsid w:val="1FE05ECC"/>
    <w:rsid w:val="1FFE5B37"/>
    <w:rsid w:val="200026B8"/>
    <w:rsid w:val="20141463"/>
    <w:rsid w:val="205012A8"/>
    <w:rsid w:val="20A22BA1"/>
    <w:rsid w:val="20E94833"/>
    <w:rsid w:val="2155075D"/>
    <w:rsid w:val="21AE3E34"/>
    <w:rsid w:val="21B119C5"/>
    <w:rsid w:val="21CC7DBA"/>
    <w:rsid w:val="21E92A99"/>
    <w:rsid w:val="21EA047D"/>
    <w:rsid w:val="220D4B4B"/>
    <w:rsid w:val="22444119"/>
    <w:rsid w:val="22B66C21"/>
    <w:rsid w:val="23033442"/>
    <w:rsid w:val="231629B1"/>
    <w:rsid w:val="23443B4F"/>
    <w:rsid w:val="234A13DE"/>
    <w:rsid w:val="23733EFE"/>
    <w:rsid w:val="2380500B"/>
    <w:rsid w:val="23905DB1"/>
    <w:rsid w:val="23C66B9B"/>
    <w:rsid w:val="23FF3DF5"/>
    <w:rsid w:val="23FF60A6"/>
    <w:rsid w:val="240371BF"/>
    <w:rsid w:val="24767118"/>
    <w:rsid w:val="24836DB2"/>
    <w:rsid w:val="24A565E2"/>
    <w:rsid w:val="24B675C0"/>
    <w:rsid w:val="250A1E81"/>
    <w:rsid w:val="25320108"/>
    <w:rsid w:val="253309F7"/>
    <w:rsid w:val="25636C0F"/>
    <w:rsid w:val="2593183E"/>
    <w:rsid w:val="25BC02F4"/>
    <w:rsid w:val="25CC0E33"/>
    <w:rsid w:val="25D51ACE"/>
    <w:rsid w:val="262028DD"/>
    <w:rsid w:val="26435538"/>
    <w:rsid w:val="264C0439"/>
    <w:rsid w:val="264C43F8"/>
    <w:rsid w:val="266218DB"/>
    <w:rsid w:val="266F3015"/>
    <w:rsid w:val="26BD63D3"/>
    <w:rsid w:val="26CC7118"/>
    <w:rsid w:val="26D030D1"/>
    <w:rsid w:val="27086AFF"/>
    <w:rsid w:val="27333865"/>
    <w:rsid w:val="27416652"/>
    <w:rsid w:val="27486810"/>
    <w:rsid w:val="277D2496"/>
    <w:rsid w:val="279C771D"/>
    <w:rsid w:val="27F016C1"/>
    <w:rsid w:val="27F67C93"/>
    <w:rsid w:val="280A0842"/>
    <w:rsid w:val="281248B0"/>
    <w:rsid w:val="28276681"/>
    <w:rsid w:val="287B70F2"/>
    <w:rsid w:val="2885565A"/>
    <w:rsid w:val="28AC6DB2"/>
    <w:rsid w:val="29185CBE"/>
    <w:rsid w:val="29282890"/>
    <w:rsid w:val="29354220"/>
    <w:rsid w:val="293E4369"/>
    <w:rsid w:val="29476215"/>
    <w:rsid w:val="29A75408"/>
    <w:rsid w:val="29CE11AB"/>
    <w:rsid w:val="29FD04D3"/>
    <w:rsid w:val="2A4B0B98"/>
    <w:rsid w:val="2A660AF4"/>
    <w:rsid w:val="2A8605C2"/>
    <w:rsid w:val="2A985D88"/>
    <w:rsid w:val="2A9B27F2"/>
    <w:rsid w:val="2A9B63B9"/>
    <w:rsid w:val="2AB620AA"/>
    <w:rsid w:val="2B39269E"/>
    <w:rsid w:val="2B6804F6"/>
    <w:rsid w:val="2BA94284"/>
    <w:rsid w:val="2BB449EB"/>
    <w:rsid w:val="2BD17B41"/>
    <w:rsid w:val="2BD620A5"/>
    <w:rsid w:val="2BF1593F"/>
    <w:rsid w:val="2C137D6D"/>
    <w:rsid w:val="2C5217F6"/>
    <w:rsid w:val="2C5E5394"/>
    <w:rsid w:val="2C757DAC"/>
    <w:rsid w:val="2C7626C5"/>
    <w:rsid w:val="2C99399B"/>
    <w:rsid w:val="2CB542A5"/>
    <w:rsid w:val="2CC1016A"/>
    <w:rsid w:val="2D316EE1"/>
    <w:rsid w:val="2D4B67FB"/>
    <w:rsid w:val="2DA95B05"/>
    <w:rsid w:val="2DB4132B"/>
    <w:rsid w:val="2DB5042C"/>
    <w:rsid w:val="2DC86935"/>
    <w:rsid w:val="2DFC3FCB"/>
    <w:rsid w:val="2EB11936"/>
    <w:rsid w:val="2F5E7729"/>
    <w:rsid w:val="2F894D54"/>
    <w:rsid w:val="2F9E3B58"/>
    <w:rsid w:val="2FC04733"/>
    <w:rsid w:val="2FD558CF"/>
    <w:rsid w:val="2FE11A34"/>
    <w:rsid w:val="2FFF3A4F"/>
    <w:rsid w:val="300D1CA8"/>
    <w:rsid w:val="300E280D"/>
    <w:rsid w:val="305220DA"/>
    <w:rsid w:val="305A6B54"/>
    <w:rsid w:val="308515CC"/>
    <w:rsid w:val="30C0743E"/>
    <w:rsid w:val="30F96FAA"/>
    <w:rsid w:val="310C7141"/>
    <w:rsid w:val="313554B0"/>
    <w:rsid w:val="31763300"/>
    <w:rsid w:val="31963703"/>
    <w:rsid w:val="319F7F4E"/>
    <w:rsid w:val="31B306CB"/>
    <w:rsid w:val="31EC4E09"/>
    <w:rsid w:val="32202D1D"/>
    <w:rsid w:val="323703B5"/>
    <w:rsid w:val="324B109E"/>
    <w:rsid w:val="32711E0D"/>
    <w:rsid w:val="32CB1E72"/>
    <w:rsid w:val="330A0A46"/>
    <w:rsid w:val="33234EA6"/>
    <w:rsid w:val="33287711"/>
    <w:rsid w:val="334E44B0"/>
    <w:rsid w:val="339130CC"/>
    <w:rsid w:val="33C37FDC"/>
    <w:rsid w:val="33FE27F9"/>
    <w:rsid w:val="34310846"/>
    <w:rsid w:val="346F3915"/>
    <w:rsid w:val="347E756D"/>
    <w:rsid w:val="349C471C"/>
    <w:rsid w:val="34A92465"/>
    <w:rsid w:val="34D80120"/>
    <w:rsid w:val="34E36FF6"/>
    <w:rsid w:val="34EE3D8A"/>
    <w:rsid w:val="35032BD7"/>
    <w:rsid w:val="351D73E1"/>
    <w:rsid w:val="353E67AD"/>
    <w:rsid w:val="354939E2"/>
    <w:rsid w:val="35FA399C"/>
    <w:rsid w:val="364702CB"/>
    <w:rsid w:val="36490347"/>
    <w:rsid w:val="36810B08"/>
    <w:rsid w:val="36A76D4D"/>
    <w:rsid w:val="36F61ECF"/>
    <w:rsid w:val="37331B24"/>
    <w:rsid w:val="373742D6"/>
    <w:rsid w:val="37381770"/>
    <w:rsid w:val="37973DAD"/>
    <w:rsid w:val="37974204"/>
    <w:rsid w:val="38153E68"/>
    <w:rsid w:val="381D0D6C"/>
    <w:rsid w:val="383F0A8C"/>
    <w:rsid w:val="3859528A"/>
    <w:rsid w:val="3880616B"/>
    <w:rsid w:val="3882325E"/>
    <w:rsid w:val="388F489E"/>
    <w:rsid w:val="38B80CFE"/>
    <w:rsid w:val="38CB0EF9"/>
    <w:rsid w:val="38E42172"/>
    <w:rsid w:val="391C0730"/>
    <w:rsid w:val="391C2A09"/>
    <w:rsid w:val="394D7E47"/>
    <w:rsid w:val="395B7B8F"/>
    <w:rsid w:val="398E31EA"/>
    <w:rsid w:val="39BA343D"/>
    <w:rsid w:val="39F9422E"/>
    <w:rsid w:val="3A8C1605"/>
    <w:rsid w:val="3AB1301B"/>
    <w:rsid w:val="3ADA64FB"/>
    <w:rsid w:val="3AE42EC2"/>
    <w:rsid w:val="3B235A5B"/>
    <w:rsid w:val="3B27154E"/>
    <w:rsid w:val="3B2B443A"/>
    <w:rsid w:val="3B367E6B"/>
    <w:rsid w:val="3B4A1C62"/>
    <w:rsid w:val="3B8A6B11"/>
    <w:rsid w:val="3BA42099"/>
    <w:rsid w:val="3BE36EEA"/>
    <w:rsid w:val="3C2E5E9E"/>
    <w:rsid w:val="3C710705"/>
    <w:rsid w:val="3C776B81"/>
    <w:rsid w:val="3CBA485F"/>
    <w:rsid w:val="3CBF73A8"/>
    <w:rsid w:val="3CCC0773"/>
    <w:rsid w:val="3CD85831"/>
    <w:rsid w:val="3D053A07"/>
    <w:rsid w:val="3D45239E"/>
    <w:rsid w:val="3D9B00DB"/>
    <w:rsid w:val="3DB26C81"/>
    <w:rsid w:val="3DDF3F2D"/>
    <w:rsid w:val="3DF15677"/>
    <w:rsid w:val="3DFF4209"/>
    <w:rsid w:val="3E297C47"/>
    <w:rsid w:val="3EAA772C"/>
    <w:rsid w:val="3ECD26AE"/>
    <w:rsid w:val="3EE96A5E"/>
    <w:rsid w:val="3F012898"/>
    <w:rsid w:val="3F410A0B"/>
    <w:rsid w:val="3F9D1DBB"/>
    <w:rsid w:val="3FC5288D"/>
    <w:rsid w:val="3FCF1D69"/>
    <w:rsid w:val="403F2BC2"/>
    <w:rsid w:val="40466D16"/>
    <w:rsid w:val="407202DA"/>
    <w:rsid w:val="40B60362"/>
    <w:rsid w:val="40D13BB2"/>
    <w:rsid w:val="41AA6639"/>
    <w:rsid w:val="41B45A02"/>
    <w:rsid w:val="41C86415"/>
    <w:rsid w:val="426F2FE9"/>
    <w:rsid w:val="429919E7"/>
    <w:rsid w:val="429D7B41"/>
    <w:rsid w:val="429E4286"/>
    <w:rsid w:val="4304478F"/>
    <w:rsid w:val="43086021"/>
    <w:rsid w:val="431F1D00"/>
    <w:rsid w:val="43630F9A"/>
    <w:rsid w:val="43682FE0"/>
    <w:rsid w:val="43FF66CD"/>
    <w:rsid w:val="4429443D"/>
    <w:rsid w:val="4446001D"/>
    <w:rsid w:val="448046DC"/>
    <w:rsid w:val="448859E1"/>
    <w:rsid w:val="449D5232"/>
    <w:rsid w:val="44A32546"/>
    <w:rsid w:val="44F625B5"/>
    <w:rsid w:val="45026417"/>
    <w:rsid w:val="451B55D0"/>
    <w:rsid w:val="4615774E"/>
    <w:rsid w:val="469E2BA9"/>
    <w:rsid w:val="46A201FF"/>
    <w:rsid w:val="46A641D6"/>
    <w:rsid w:val="47046375"/>
    <w:rsid w:val="470B1D76"/>
    <w:rsid w:val="472E3886"/>
    <w:rsid w:val="474B6DEA"/>
    <w:rsid w:val="47632267"/>
    <w:rsid w:val="476962B9"/>
    <w:rsid w:val="478B1666"/>
    <w:rsid w:val="479555CF"/>
    <w:rsid w:val="47A940D6"/>
    <w:rsid w:val="47FA1204"/>
    <w:rsid w:val="486975EB"/>
    <w:rsid w:val="489968BE"/>
    <w:rsid w:val="48A17F1D"/>
    <w:rsid w:val="48D469B2"/>
    <w:rsid w:val="491233B9"/>
    <w:rsid w:val="49424D0E"/>
    <w:rsid w:val="4948005A"/>
    <w:rsid w:val="49556CF9"/>
    <w:rsid w:val="49E806D0"/>
    <w:rsid w:val="49FB05EB"/>
    <w:rsid w:val="4A0E65E2"/>
    <w:rsid w:val="4AA903CE"/>
    <w:rsid w:val="4B0945C1"/>
    <w:rsid w:val="4B3C42A1"/>
    <w:rsid w:val="4B676FE1"/>
    <w:rsid w:val="4B68267E"/>
    <w:rsid w:val="4B86235C"/>
    <w:rsid w:val="4BAB12AE"/>
    <w:rsid w:val="4BAF789A"/>
    <w:rsid w:val="4BD47053"/>
    <w:rsid w:val="4CB708CE"/>
    <w:rsid w:val="4CF476C2"/>
    <w:rsid w:val="4D0C7A0A"/>
    <w:rsid w:val="4D1D2C61"/>
    <w:rsid w:val="4D9F31B0"/>
    <w:rsid w:val="4DCE4AA4"/>
    <w:rsid w:val="4E1306B7"/>
    <w:rsid w:val="4E2A5D06"/>
    <w:rsid w:val="4E30023B"/>
    <w:rsid w:val="4E4B5B01"/>
    <w:rsid w:val="4E7628D4"/>
    <w:rsid w:val="4EAE2A6F"/>
    <w:rsid w:val="4ECE2238"/>
    <w:rsid w:val="4EFD471E"/>
    <w:rsid w:val="4F473777"/>
    <w:rsid w:val="4F693D9F"/>
    <w:rsid w:val="4F8056FC"/>
    <w:rsid w:val="4F905E41"/>
    <w:rsid w:val="4FB70E0D"/>
    <w:rsid w:val="4FF005D9"/>
    <w:rsid w:val="500B4082"/>
    <w:rsid w:val="505967A0"/>
    <w:rsid w:val="509A5659"/>
    <w:rsid w:val="50B025F1"/>
    <w:rsid w:val="50C3168F"/>
    <w:rsid w:val="50DE2AC4"/>
    <w:rsid w:val="50DF1A18"/>
    <w:rsid w:val="50EF4417"/>
    <w:rsid w:val="50F851C1"/>
    <w:rsid w:val="51495F25"/>
    <w:rsid w:val="52223078"/>
    <w:rsid w:val="523A61D8"/>
    <w:rsid w:val="52592E67"/>
    <w:rsid w:val="52AD517B"/>
    <w:rsid w:val="53017E21"/>
    <w:rsid w:val="53026646"/>
    <w:rsid w:val="53127D68"/>
    <w:rsid w:val="538A76E2"/>
    <w:rsid w:val="542C01CD"/>
    <w:rsid w:val="5433442D"/>
    <w:rsid w:val="54676CE0"/>
    <w:rsid w:val="548938F8"/>
    <w:rsid w:val="54C75FBD"/>
    <w:rsid w:val="54D004FE"/>
    <w:rsid w:val="54DB4A9F"/>
    <w:rsid w:val="55260669"/>
    <w:rsid w:val="55DC68E1"/>
    <w:rsid w:val="560E41A9"/>
    <w:rsid w:val="56362901"/>
    <w:rsid w:val="56542432"/>
    <w:rsid w:val="56AC2E74"/>
    <w:rsid w:val="57497BA2"/>
    <w:rsid w:val="57FA4612"/>
    <w:rsid w:val="581C454A"/>
    <w:rsid w:val="58971BAA"/>
    <w:rsid w:val="58C01A27"/>
    <w:rsid w:val="59333326"/>
    <w:rsid w:val="598805EB"/>
    <w:rsid w:val="5991008D"/>
    <w:rsid w:val="59A46F9E"/>
    <w:rsid w:val="59A91F95"/>
    <w:rsid w:val="59AF5661"/>
    <w:rsid w:val="59AF7C22"/>
    <w:rsid w:val="59E95950"/>
    <w:rsid w:val="59F372AA"/>
    <w:rsid w:val="5A275F37"/>
    <w:rsid w:val="5A416DC4"/>
    <w:rsid w:val="5A47724D"/>
    <w:rsid w:val="5A671047"/>
    <w:rsid w:val="5A6E6BA5"/>
    <w:rsid w:val="5A73077E"/>
    <w:rsid w:val="5A862B2A"/>
    <w:rsid w:val="5A957C50"/>
    <w:rsid w:val="5AC00495"/>
    <w:rsid w:val="5AE62588"/>
    <w:rsid w:val="5AE86D4C"/>
    <w:rsid w:val="5AEA6080"/>
    <w:rsid w:val="5AEE5508"/>
    <w:rsid w:val="5B3E1379"/>
    <w:rsid w:val="5B59199B"/>
    <w:rsid w:val="5B646ADE"/>
    <w:rsid w:val="5B724997"/>
    <w:rsid w:val="5BE14E88"/>
    <w:rsid w:val="5C1F2288"/>
    <w:rsid w:val="5C3042C0"/>
    <w:rsid w:val="5C615DD0"/>
    <w:rsid w:val="5CDF62CB"/>
    <w:rsid w:val="5D073B2F"/>
    <w:rsid w:val="5D1F4E9C"/>
    <w:rsid w:val="5D5177E6"/>
    <w:rsid w:val="5DAA4826"/>
    <w:rsid w:val="5DC408C5"/>
    <w:rsid w:val="5DD9305B"/>
    <w:rsid w:val="5E115D30"/>
    <w:rsid w:val="5E3172BC"/>
    <w:rsid w:val="5EB064E1"/>
    <w:rsid w:val="5ED35C6D"/>
    <w:rsid w:val="5EE9479F"/>
    <w:rsid w:val="5F157E20"/>
    <w:rsid w:val="5F1613B2"/>
    <w:rsid w:val="5F3051DA"/>
    <w:rsid w:val="5F306B3A"/>
    <w:rsid w:val="5F4C3B77"/>
    <w:rsid w:val="5F534838"/>
    <w:rsid w:val="5F5420AA"/>
    <w:rsid w:val="5F581771"/>
    <w:rsid w:val="5F850DAA"/>
    <w:rsid w:val="5FA61073"/>
    <w:rsid w:val="60722AFD"/>
    <w:rsid w:val="60786CFB"/>
    <w:rsid w:val="61440BA7"/>
    <w:rsid w:val="615E726D"/>
    <w:rsid w:val="615F0838"/>
    <w:rsid w:val="6162619E"/>
    <w:rsid w:val="616437ED"/>
    <w:rsid w:val="616F521E"/>
    <w:rsid w:val="61C063BF"/>
    <w:rsid w:val="61C45148"/>
    <w:rsid w:val="61CF78AB"/>
    <w:rsid w:val="61E40F03"/>
    <w:rsid w:val="62502C3F"/>
    <w:rsid w:val="6262364D"/>
    <w:rsid w:val="627B049A"/>
    <w:rsid w:val="62892A36"/>
    <w:rsid w:val="628F387C"/>
    <w:rsid w:val="62E04EF0"/>
    <w:rsid w:val="63086352"/>
    <w:rsid w:val="63123B50"/>
    <w:rsid w:val="63287E4E"/>
    <w:rsid w:val="633D5A2A"/>
    <w:rsid w:val="633E0401"/>
    <w:rsid w:val="6381765D"/>
    <w:rsid w:val="63D171CF"/>
    <w:rsid w:val="642F23A9"/>
    <w:rsid w:val="653E09A9"/>
    <w:rsid w:val="6543272B"/>
    <w:rsid w:val="657D45AE"/>
    <w:rsid w:val="65876C48"/>
    <w:rsid w:val="65B60C0C"/>
    <w:rsid w:val="6601753A"/>
    <w:rsid w:val="6610575F"/>
    <w:rsid w:val="661C5792"/>
    <w:rsid w:val="66607E48"/>
    <w:rsid w:val="668C6C85"/>
    <w:rsid w:val="66D87F46"/>
    <w:rsid w:val="66E10727"/>
    <w:rsid w:val="66FC00AA"/>
    <w:rsid w:val="674779CC"/>
    <w:rsid w:val="67596B86"/>
    <w:rsid w:val="675A136B"/>
    <w:rsid w:val="675E473F"/>
    <w:rsid w:val="677F49A8"/>
    <w:rsid w:val="67D47F11"/>
    <w:rsid w:val="67F441A5"/>
    <w:rsid w:val="68004162"/>
    <w:rsid w:val="6988419A"/>
    <w:rsid w:val="6A03043F"/>
    <w:rsid w:val="6A242EBE"/>
    <w:rsid w:val="6A323A40"/>
    <w:rsid w:val="6A461EDD"/>
    <w:rsid w:val="6B0D15D1"/>
    <w:rsid w:val="6B1D2341"/>
    <w:rsid w:val="6B3B4591"/>
    <w:rsid w:val="6B602EE5"/>
    <w:rsid w:val="6B6F772B"/>
    <w:rsid w:val="6B886644"/>
    <w:rsid w:val="6C155DCD"/>
    <w:rsid w:val="6C3833A6"/>
    <w:rsid w:val="6C4E10E5"/>
    <w:rsid w:val="6C8B0100"/>
    <w:rsid w:val="6C8D5BAD"/>
    <w:rsid w:val="6CA062CA"/>
    <w:rsid w:val="6D46279D"/>
    <w:rsid w:val="6D86372D"/>
    <w:rsid w:val="6DA74BD1"/>
    <w:rsid w:val="6DB601AA"/>
    <w:rsid w:val="6E782B5B"/>
    <w:rsid w:val="6E9903FE"/>
    <w:rsid w:val="6E9E7796"/>
    <w:rsid w:val="6EB170AC"/>
    <w:rsid w:val="6F3536D7"/>
    <w:rsid w:val="6F4E0A4A"/>
    <w:rsid w:val="6F966776"/>
    <w:rsid w:val="6FC30DB5"/>
    <w:rsid w:val="6FF75671"/>
    <w:rsid w:val="70160001"/>
    <w:rsid w:val="70C34D86"/>
    <w:rsid w:val="70C607B9"/>
    <w:rsid w:val="70E24A30"/>
    <w:rsid w:val="70F37EC0"/>
    <w:rsid w:val="70F4189B"/>
    <w:rsid w:val="712632E6"/>
    <w:rsid w:val="713E1022"/>
    <w:rsid w:val="71D0432D"/>
    <w:rsid w:val="72734D90"/>
    <w:rsid w:val="72AB3390"/>
    <w:rsid w:val="72FE40D5"/>
    <w:rsid w:val="740468BB"/>
    <w:rsid w:val="74980F3A"/>
    <w:rsid w:val="74DA3903"/>
    <w:rsid w:val="74F71C61"/>
    <w:rsid w:val="74FD5F12"/>
    <w:rsid w:val="753127EC"/>
    <w:rsid w:val="75761417"/>
    <w:rsid w:val="75CD6A17"/>
    <w:rsid w:val="75E32189"/>
    <w:rsid w:val="76244E29"/>
    <w:rsid w:val="766665D3"/>
    <w:rsid w:val="7679161E"/>
    <w:rsid w:val="76946710"/>
    <w:rsid w:val="769B6568"/>
    <w:rsid w:val="769D755F"/>
    <w:rsid w:val="7734512E"/>
    <w:rsid w:val="7757080E"/>
    <w:rsid w:val="77573911"/>
    <w:rsid w:val="775851B9"/>
    <w:rsid w:val="779E027D"/>
    <w:rsid w:val="77A255E0"/>
    <w:rsid w:val="77B3698A"/>
    <w:rsid w:val="77C51DF7"/>
    <w:rsid w:val="77D405F0"/>
    <w:rsid w:val="77ED1484"/>
    <w:rsid w:val="781D2DCC"/>
    <w:rsid w:val="786725BC"/>
    <w:rsid w:val="78A67E75"/>
    <w:rsid w:val="78BB0810"/>
    <w:rsid w:val="78E73610"/>
    <w:rsid w:val="790200F3"/>
    <w:rsid w:val="792A3122"/>
    <w:rsid w:val="794E371B"/>
    <w:rsid w:val="79965424"/>
    <w:rsid w:val="79B279E3"/>
    <w:rsid w:val="7A397523"/>
    <w:rsid w:val="7A444779"/>
    <w:rsid w:val="7A8D5AAD"/>
    <w:rsid w:val="7AA43449"/>
    <w:rsid w:val="7AB75D59"/>
    <w:rsid w:val="7B5D5697"/>
    <w:rsid w:val="7B7226FA"/>
    <w:rsid w:val="7BEB4250"/>
    <w:rsid w:val="7C3A170D"/>
    <w:rsid w:val="7C5C309B"/>
    <w:rsid w:val="7D433A05"/>
    <w:rsid w:val="7DB31411"/>
    <w:rsid w:val="7DB510A4"/>
    <w:rsid w:val="7DCF733F"/>
    <w:rsid w:val="7E132DCD"/>
    <w:rsid w:val="7E622734"/>
    <w:rsid w:val="7E750997"/>
    <w:rsid w:val="7EAE7723"/>
    <w:rsid w:val="7F65537C"/>
    <w:rsid w:val="7F9975B3"/>
    <w:rsid w:val="7FDC0D88"/>
    <w:rsid w:val="F342036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4"/>
    <w:qFormat/>
    <w:uiPriority w:val="9"/>
    <w:rPr>
      <w:rFonts w:ascii="Times New Roman" w:hAnsi="Times New Roman"/>
      <w:b/>
      <w:bCs/>
      <w:kern w:val="44"/>
      <w:sz w:val="44"/>
      <w:szCs w:val="44"/>
    </w:rPr>
  </w:style>
  <w:style w:type="character" w:customStyle="1" w:styleId="27">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8">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6"/>
    <w:qFormat/>
    <w:uiPriority w:val="9"/>
    <w:rPr>
      <w:rFonts w:ascii="Times New Roman" w:hAnsi="Times New Roman"/>
      <w:b/>
      <w:bCs/>
      <w:kern w:val="2"/>
      <w:sz w:val="32"/>
      <w:szCs w:val="32"/>
    </w:rPr>
  </w:style>
  <w:style w:type="paragraph" w:customStyle="1" w:styleId="31">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3">
    <w:name w:val="标题 1 Char1"/>
    <w:basedOn w:val="15"/>
    <w:link w:val="4"/>
    <w:qFormat/>
    <w:locked/>
    <w:uiPriority w:val="99"/>
    <w:rPr>
      <w:rFonts w:ascii="Times New Roman" w:hAnsi="Times New Roman" w:cs="Times New Roman"/>
      <w:b/>
      <w:bCs/>
      <w:kern w:val="44"/>
      <w:sz w:val="44"/>
      <w:szCs w:val="44"/>
    </w:rPr>
  </w:style>
  <w:style w:type="character" w:customStyle="1" w:styleId="34">
    <w:name w:val="标题 2 Char1"/>
    <w:basedOn w:val="15"/>
    <w:link w:val="5"/>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40" b="0" i="0" u="none" strike="noStrike" kern="1200" cap="none" spc="0" normalizeH="0" baseline="0">
              <a:solidFill>
                <a:schemeClr val="tx1"/>
              </a:solidFill>
              <a:uFill>
                <a:solidFill>
                  <a:schemeClr val="tx1"/>
                </a:solidFill>
              </a:uFill>
              <a:latin typeface="+mn-lt"/>
              <a:ea typeface="+mn-ea"/>
              <a:cs typeface="+mn-cs"/>
            </a:defRPr>
          </a:pPr>
        </a:p>
      </c:txPr>
    </c:title>
    <c:autoTitleDeleted val="false"/>
    <c:plotArea>
      <c:layout>
        <c:manualLayout>
          <c:layoutTarget val="inner"/>
          <c:xMode val="edge"/>
          <c:yMode val="edge"/>
          <c:x val="0.0902"/>
          <c:y val="0.1325"/>
          <c:w val="0.8823"/>
          <c:h val="0.711733333333333"/>
        </c:manualLayout>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elete val="true"/>
          </c:dLbls>
          <c:cat>
            <c:strRef>
              <c:f>Sheet1!$A$2:$A$3</c:f>
              <c:strCache>
                <c:ptCount val="2"/>
                <c:pt idx="0">
                  <c:v>2019年</c:v>
                </c:pt>
                <c:pt idx="1">
                  <c:v>2020年</c:v>
                </c:pt>
              </c:strCache>
            </c:strRef>
          </c:cat>
          <c:val>
            <c:numRef>
              <c:f>Sheet1!$B$2:$B$3</c:f>
              <c:numCache>
                <c:formatCode>General</c:formatCode>
                <c:ptCount val="2"/>
                <c:pt idx="0">
                  <c:v>0</c:v>
                </c:pt>
                <c:pt idx="1">
                  <c:v>897.75</c:v>
                </c:pt>
              </c:numCache>
            </c:numRef>
          </c:val>
        </c:ser>
        <c:ser>
          <c:idx val="1"/>
          <c:order val="1"/>
          <c:tx>
            <c:strRef>
              <c:f>Sheet1!$C$1</c:f>
              <c:strCache>
                <c:ptCount val="1"/>
                <c:pt idx="0">
                  <c:v>支出</c:v>
                </c:pt>
              </c:strCache>
            </c:strRef>
          </c:tx>
          <c:spPr>
            <a:solidFill>
              <a:schemeClr val="accent2"/>
            </a:solidFill>
            <a:ln>
              <a:noFill/>
            </a:ln>
            <a:effectLst/>
          </c:spPr>
          <c:invertIfNegative val="false"/>
          <c:dLbls>
            <c:delete val="true"/>
          </c:dLbls>
          <c:cat>
            <c:strRef>
              <c:f>Sheet1!$A$2:$A$3</c:f>
              <c:strCache>
                <c:ptCount val="2"/>
                <c:pt idx="0">
                  <c:v>2019年</c:v>
                </c:pt>
                <c:pt idx="1">
                  <c:v>2020年</c:v>
                </c:pt>
              </c:strCache>
            </c:strRef>
          </c:cat>
          <c:val>
            <c:numRef>
              <c:f>Sheet1!$C$2:$C$3</c:f>
              <c:numCache>
                <c:formatCode>General</c:formatCode>
                <c:ptCount val="2"/>
                <c:pt idx="0">
                  <c:v>0</c:v>
                </c:pt>
                <c:pt idx="1">
                  <c:v>554.38</c:v>
                </c:pt>
              </c:numCache>
            </c:numRef>
          </c:val>
        </c:ser>
        <c:dLbls>
          <c:showLegendKey val="false"/>
          <c:showVal val="false"/>
          <c:showCatName val="false"/>
          <c:showSerName val="false"/>
          <c:showPercent val="false"/>
          <c:showBubbleSize val="false"/>
        </c:dLbls>
        <c:gapWidth val="219"/>
        <c:overlap val="-27"/>
        <c:axId val="89613440"/>
        <c:axId val="8961574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Sheet1!$A$2:$A$3</c15:sqref>
                        </c15:formulaRef>
                      </c:ext>
                    </c:extLst>
                    <c:strCache>
                      <c:ptCount val="2"/>
                      <c:pt idx="0">
                        <c:v>2019年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8961344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crossAx val="89615744"/>
        <c:crosses val="autoZero"/>
        <c:auto val="true"/>
        <c:lblAlgn val="ctr"/>
        <c:lblOffset val="100"/>
        <c:noMultiLvlLbl val="false"/>
      </c:catAx>
      <c:valAx>
        <c:axId val="8961574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crossAx val="89613440"/>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Entry>
      <c:legendEntry>
        <c:idx val="1"/>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200" u="none" strike="noStrike" kern="1200" cap="none" spc="0" normalizeH="0">
          <a:solidFill>
            <a:schemeClr val="tx1"/>
          </a:solidFill>
          <a:uFill>
            <a:solidFill>
              <a:schemeClr val="tx1"/>
            </a:solidFill>
          </a:uFill>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列1</c:v>
                </c:pt>
              </c:strCache>
            </c:strRef>
          </c:tx>
          <c:explosion val="0"/>
          <c:dPt>
            <c:idx val="0"/>
            <c:bubble3D val="false"/>
            <c:spPr>
              <a:solidFill>
                <a:schemeClr val="accent6"/>
              </a:solidFill>
              <a:ln w="19050">
                <a:solidFill>
                  <a:schemeClr val="lt1"/>
                </a:solidFill>
              </a:ln>
              <a:effectLst/>
            </c:spPr>
          </c:dPt>
          <c:dPt>
            <c:idx val="1"/>
            <c:bubble3D val="false"/>
            <c:spPr>
              <a:solidFill>
                <a:schemeClr val="accent5"/>
              </a:solidFill>
              <a:ln w="19050">
                <a:solidFill>
                  <a:schemeClr val="lt1"/>
                </a:solidFill>
              </a:ln>
              <a:effectLst/>
            </c:spPr>
          </c:dPt>
          <c:dLbls>
            <c:dLbl>
              <c:idx val="0"/>
              <c:layout>
                <c:manualLayout>
                  <c:x val="0.080431290874879"/>
                  <c:y val="-0.017277704928693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854811478549945"/>
                  <c:y val="0.0086753709879161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0.00%</c:formatCode>
                <c:ptCount val="2"/>
                <c:pt idx="0">
                  <c:v>1</c:v>
                </c:pt>
                <c:pt idx="1" c:formatCode="General">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true"/>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1075625"/>
          <c:y val="0.920833333333333"/>
        </c:manualLayout>
      </c:layout>
      <c:overlay val="false"/>
      <c:spPr>
        <a:noFill/>
        <a:ln>
          <a:noFill/>
        </a:ln>
        <a:effectLst/>
      </c:spPr>
      <c:txPr>
        <a:bodyPr rot="0" spcFirstLastPara="0" vertOverflow="ellipsis" vert="horz" wrap="square" anchor="ctr" anchorCtr="true"/>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5"/>
    </mc:Choice>
    <mc:Fallback>
      <c:style val="5"/>
    </mc:Fallback>
  </mc:AlternateContent>
  <c:chart>
    <c:autoTitleDeleted val="true"/>
    <c:plotArea>
      <c:layout>
        <c:manualLayout>
          <c:layoutTarget val="inner"/>
          <c:xMode val="edge"/>
          <c:yMode val="edge"/>
          <c:x val="0.2090625"/>
          <c:y val="0.1245"/>
          <c:w val="0.570625000000001"/>
          <c:h val="0.760833333333334"/>
        </c:manualLayout>
      </c:layout>
      <c:pieChart>
        <c:varyColors val="true"/>
        <c:ser>
          <c:idx val="0"/>
          <c:order val="0"/>
          <c:tx>
            <c:strRef>
              <c:f>Sheet1!$B$1</c:f>
              <c:strCache>
                <c:ptCount val="1"/>
                <c:pt idx="0">
                  <c:v>列1</c:v>
                </c:pt>
              </c:strCache>
            </c:strRef>
          </c:tx>
          <c:explosion val="0"/>
          <c:dPt>
            <c:idx val="0"/>
            <c:bubble3D val="false"/>
            <c:spPr>
              <a:solidFill>
                <a:schemeClr val="accent3">
                  <a:shade val="76667"/>
                </a:schemeClr>
              </a:solidFill>
              <a:ln w="19050">
                <a:solidFill>
                  <a:schemeClr val="lt1"/>
                </a:solidFill>
              </a:ln>
              <a:effectLst/>
            </c:spPr>
          </c:dPt>
          <c:dPt>
            <c:idx val="1"/>
            <c:bubble3D val="false"/>
            <c:spPr>
              <a:solidFill>
                <a:schemeClr val="accent3">
                  <a:tint val="76667"/>
                </a:schemeClr>
              </a:solidFill>
              <a:ln w="19050">
                <a:solidFill>
                  <a:schemeClr val="lt1"/>
                </a:solidFill>
              </a:ln>
              <a:effectLst/>
            </c:spPr>
          </c:dPt>
          <c:dLbls>
            <c:dLbl>
              <c:idx val="0"/>
              <c:layout>
                <c:manualLayout>
                  <c:x val="0.0290858290296831"/>
                  <c:y val="-0.0098693221224145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278915993395562"/>
                  <c:y val="0.017369324803315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0.7704</c:v>
                </c:pt>
                <c:pt idx="1">
                  <c:v>0.2297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3769375"/>
          <c:y val="0.922"/>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elete val="true"/>
          </c:dLbls>
          <c:cat>
            <c:strRef>
              <c:f>Sheet1!$A$2:$A$3</c:f>
              <c:strCache>
                <c:ptCount val="2"/>
                <c:pt idx="0">
                  <c:v>2019年</c:v>
                </c:pt>
                <c:pt idx="1">
                  <c:v>2020年</c:v>
                </c:pt>
              </c:strCache>
            </c:strRef>
          </c:cat>
          <c:val>
            <c:numRef>
              <c:f>Sheet1!$B$2:$B$3</c:f>
              <c:numCache>
                <c:formatCode>General</c:formatCode>
                <c:ptCount val="2"/>
                <c:pt idx="0">
                  <c:v>0</c:v>
                </c:pt>
                <c:pt idx="1">
                  <c:v>897.75</c:v>
                </c:pt>
              </c:numCache>
            </c:numRef>
          </c:val>
        </c:ser>
        <c:ser>
          <c:idx val="1"/>
          <c:order val="1"/>
          <c:tx>
            <c:strRef>
              <c:f>Sheet1!$C$1</c:f>
              <c:strCache>
                <c:ptCount val="1"/>
                <c:pt idx="0">
                  <c:v>支出</c:v>
                </c:pt>
              </c:strCache>
            </c:strRef>
          </c:tx>
          <c:spPr>
            <a:solidFill>
              <a:schemeClr val="accent2"/>
            </a:solidFill>
            <a:ln>
              <a:noFill/>
            </a:ln>
            <a:effectLst/>
          </c:spPr>
          <c:invertIfNegative val="false"/>
          <c:dLbls>
            <c:delete val="true"/>
          </c:dLbls>
          <c:cat>
            <c:strRef>
              <c:f>Sheet1!$A$2:$A$3</c:f>
              <c:strCache>
                <c:ptCount val="2"/>
                <c:pt idx="0">
                  <c:v>2019年</c:v>
                </c:pt>
                <c:pt idx="1">
                  <c:v>2020年</c:v>
                </c:pt>
              </c:strCache>
            </c:strRef>
          </c:cat>
          <c:val>
            <c:numRef>
              <c:f>Sheet1!$C$2:$C$3</c:f>
              <c:numCache>
                <c:formatCode>General</c:formatCode>
                <c:ptCount val="2"/>
                <c:pt idx="0">
                  <c:v>0</c:v>
                </c:pt>
                <c:pt idx="1">
                  <c:v>554.38</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2019年</c:v>
                </c:pt>
                <c:pt idx="1">
                  <c:v>2020年</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152361984"/>
        <c:axId val="152445696"/>
      </c:barChart>
      <c:catAx>
        <c:axId val="15236198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2445696"/>
        <c:crosses val="autoZero"/>
        <c:auto val="true"/>
        <c:lblAlgn val="ctr"/>
        <c:lblOffset val="100"/>
        <c:noMultiLvlLbl val="false"/>
      </c:catAx>
      <c:valAx>
        <c:axId val="15244569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236198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5"/>
    </mc:Choice>
    <mc:Fallback>
      <c:style val="5"/>
    </mc:Fallback>
  </mc:AlternateContent>
  <c:chart>
    <c:autoTitleDeleted val="true"/>
    <c:plotArea>
      <c:layout>
        <c:manualLayout>
          <c:layoutTarget val="inner"/>
          <c:xMode val="edge"/>
          <c:yMode val="edge"/>
          <c:x val="0.088325"/>
          <c:y val="0.0346666666666667"/>
          <c:w val="0.8823"/>
          <c:h val="0.802066666666667"/>
        </c:manualLayout>
      </c:layout>
      <c:barChart>
        <c:barDir val="col"/>
        <c:grouping val="clustered"/>
        <c:varyColors val="false"/>
        <c:ser>
          <c:idx val="0"/>
          <c:order val="0"/>
          <c:tx>
            <c:strRef>
              <c:f>Sheet1!$B$1</c:f>
              <c:strCache>
                <c:ptCount val="1"/>
                <c:pt idx="0">
                  <c:v>一般公共预算财政拨款支出</c:v>
                </c:pt>
              </c:strCache>
            </c:strRef>
          </c:tx>
          <c:spPr>
            <a:solidFill>
              <a:schemeClr val="accent3">
                <a:shade val="65000"/>
              </a:schemeClr>
            </a:solidFill>
            <a:ln>
              <a:noFill/>
            </a:ln>
            <a:effectLst/>
          </c:spPr>
          <c:invertIfNegative val="false"/>
          <c:dLbls>
            <c:delete val="true"/>
          </c:dLbls>
          <c:cat>
            <c:strRef>
              <c:f>Sheet1!$A$2:$A$3</c:f>
              <c:strCache>
                <c:ptCount val="2"/>
                <c:pt idx="0">
                  <c:v>2019年</c:v>
                </c:pt>
                <c:pt idx="1">
                  <c:v>2020年</c:v>
                </c:pt>
              </c:strCache>
            </c:strRef>
          </c:cat>
          <c:val>
            <c:numRef>
              <c:f>Sheet1!$B$2:$B$3</c:f>
              <c:numCache>
                <c:formatCode>General</c:formatCode>
                <c:ptCount val="2"/>
                <c:pt idx="0">
                  <c:v>0</c:v>
                </c:pt>
                <c:pt idx="1">
                  <c:v>554.38</c:v>
                </c:pt>
              </c:numCache>
            </c:numRef>
          </c:val>
        </c:ser>
        <c:ser>
          <c:idx val="1"/>
          <c:order val="1"/>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2019年</c:v>
                </c:pt>
                <c:pt idx="1">
                  <c:v>2020年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tint val="65000"/>
              </a:schemeClr>
            </a:solidFill>
            <a:ln>
              <a:noFill/>
            </a:ln>
            <a:effectLst/>
          </c:spPr>
          <c:invertIfNegative val="false"/>
          <c:dLbls>
            <c:delete val="true"/>
          </c:dLbls>
          <c:cat>
            <c:strRef>
              <c:f>Sheet1!$A$2:$A$3</c:f>
              <c:strCache>
                <c:ptCount val="2"/>
                <c:pt idx="0">
                  <c:v>2019年</c:v>
                </c:pt>
                <c:pt idx="1">
                  <c:v>2020年</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160516736"/>
        <c:axId val="160587136"/>
      </c:barChart>
      <c:catAx>
        <c:axId val="160516736"/>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0587136"/>
        <c:crosses val="autoZero"/>
        <c:auto val="true"/>
        <c:lblAlgn val="ctr"/>
        <c:lblOffset val="100"/>
        <c:noMultiLvlLbl val="false"/>
      </c:catAx>
      <c:valAx>
        <c:axId val="16058713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0516736"/>
        <c:crosses val="autoZero"/>
        <c:crossBetween val="between"/>
      </c:valAx>
      <c:spPr>
        <a:noFill/>
        <a:ln>
          <a:noFill/>
        </a:ln>
        <a:effectLst/>
      </c:spPr>
    </c:plotArea>
    <c:legend>
      <c:legendPos val="b"/>
      <c:legendEntry>
        <c:idx val="1"/>
        <c:delete val="true"/>
      </c:legendEntry>
      <c:legendEntry>
        <c:idx val="2"/>
        <c:delete val="true"/>
      </c:legendEntry>
      <c:layout>
        <c:manualLayout>
          <c:xMode val="edge"/>
          <c:yMode val="edge"/>
          <c:x val="0.3560625"/>
          <c:y val="0.912"/>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Lbls>
            <c:dLbl>
              <c:idx val="0"/>
              <c:layout>
                <c:manualLayout>
                  <c:x val="0.0514432548748089"/>
                  <c:y val="0.0038688153794895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573357321612843"/>
                  <c:y val="-0.015095503613753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164808500032175"/>
                  <c:y val="-0.023827524361970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352651656468447"/>
                  <c:y val="0.067326083928805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0160187370968322"/>
                  <c:y val="-0.02288006660538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201919376727128"/>
                  <c:y val="0.016389172956738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一般公共服务</c:v>
                </c:pt>
                <c:pt idx="1">
                  <c:v>文化旅游体育与传媒</c:v>
                </c:pt>
                <c:pt idx="2">
                  <c:v>社会保障和就业</c:v>
                </c:pt>
                <c:pt idx="3">
                  <c:v>医疗卫生</c:v>
                </c:pt>
                <c:pt idx="4">
                  <c:v>农林水</c:v>
                </c:pt>
                <c:pt idx="5">
                  <c:v>住房保障</c:v>
                </c:pt>
              </c:strCache>
            </c:strRef>
          </c:cat>
          <c:val>
            <c:numRef>
              <c:f>Sheet1!$B$2:$B$7</c:f>
              <c:numCache>
                <c:formatCode>0.00%</c:formatCode>
                <c:ptCount val="6"/>
                <c:pt idx="0">
                  <c:v>0.6138</c:v>
                </c:pt>
                <c:pt idx="1">
                  <c:v>0.009</c:v>
                </c:pt>
                <c:pt idx="2">
                  <c:v>0.0651</c:v>
                </c:pt>
                <c:pt idx="3">
                  <c:v>0.0258</c:v>
                </c:pt>
                <c:pt idx="4">
                  <c:v>0.244</c:v>
                </c:pt>
                <c:pt idx="5">
                  <c:v>0.042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4"/>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5"/>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50</Pages>
  <Words>3012</Words>
  <Characters>17169</Characters>
  <Lines>143</Lines>
  <Paragraphs>40</Paragraphs>
  <TotalTime>9</TotalTime>
  <ScaleCrop>false</ScaleCrop>
  <LinksUpToDate>false</LinksUpToDate>
  <CharactersWithSpaces>20141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2020-08-04T17:49:00Z</dcterms:created>
  <dc:creator>曹颖</dc:creator>
  <cp:lastModifiedBy>user</cp:lastModifiedBy>
  <cp:lastPrinted>2020-07-23T18:58:00Z</cp:lastPrinted>
  <dcterms:modified xsi:type="dcterms:W3CDTF">2024-06-03T10:34:25Z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3F3DBE52A9C44C5D9FDB8D14DD49884E</vt:lpwstr>
  </property>
</Properties>
</file>