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Start w:id="73" w:name="_GoBack"/>
      <w:bookmarkEnd w:id="73"/>
    </w:p>
    <w:p>
      <w:pPr>
        <w:adjustRightInd w:val="0"/>
        <w:snapToGrid w:val="0"/>
        <w:spacing w:line="360" w:lineRule="auto"/>
        <w:jc w:val="center"/>
        <w:outlineLvl w:val="0"/>
        <w:rPr>
          <w:rFonts w:hint="eastAsia" w:ascii="方正小标宋简体" w:hAnsi="宋体" w:eastAsia="方正小标宋简体"/>
          <w:color w:val="000000"/>
          <w:sz w:val="52"/>
          <w:szCs w:val="52"/>
          <w:lang w:val="en-US" w:eastAsia="zh-CN"/>
        </w:rPr>
      </w:pPr>
      <w:bookmarkStart w:id="6" w:name="_Toc15377194"/>
      <w:bookmarkStart w:id="7" w:name="_Toc15396598"/>
      <w:bookmarkStart w:id="8" w:name="_Toc15396476"/>
      <w:bookmarkStart w:id="9" w:name="_Toc15378442"/>
      <w:bookmarkStart w:id="10" w:name="_Toc15377426"/>
      <w:r>
        <w:rPr>
          <w:rFonts w:hint="eastAsia" w:ascii="方正小标宋简体" w:hAnsi="宋体" w:eastAsia="方正小标宋简体"/>
          <w:color w:val="000000"/>
          <w:sz w:val="52"/>
          <w:szCs w:val="52"/>
          <w:lang w:val="en-US" w:eastAsia="zh-CN"/>
        </w:rPr>
        <w:t>中共</w:t>
      </w:r>
      <w:r>
        <w:rPr>
          <w:rFonts w:hint="eastAsia" w:ascii="方正小标宋简体" w:hAnsi="宋体" w:eastAsia="方正小标宋简体"/>
          <w:color w:val="000000"/>
          <w:sz w:val="52"/>
          <w:szCs w:val="52"/>
          <w:lang w:eastAsia="zh-CN"/>
        </w:rPr>
        <w:t>广元市利州区</w:t>
      </w:r>
      <w:bookmarkEnd w:id="0"/>
      <w:bookmarkStart w:id="11" w:name="_Toc15306268"/>
      <w:r>
        <w:rPr>
          <w:rFonts w:hint="eastAsia" w:ascii="方正小标宋简体" w:hAnsi="宋体" w:eastAsia="方正小标宋简体"/>
          <w:color w:val="000000"/>
          <w:sz w:val="52"/>
          <w:szCs w:val="52"/>
          <w:lang w:val="en-US" w:eastAsia="zh-CN"/>
        </w:rPr>
        <w:t>委统战部</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第一部分 部门概况</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一、基本职能及主要工作...................................................4</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二、机构设置...................................................................8</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第二部分度部门决算情况说明....................... ........................9</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一、收入支出决算总体情况说明........................................9</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二、收入决算情况说明......................................................9</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三、支出决算情况说明....................................................10</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四、财政拨款收入支出决算总体情况说明........................10</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五、一般公共预算财政拨款支出决算情况说明.................11</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六、一般公共预算财政拨款基本支出决算情况说明...........14</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七、“三公”经费财政拨款支出决算情况说明..................14</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八、政府性基金预算支出决算情况说明............................15</w:t>
      </w:r>
    </w:p>
    <w:p>
      <w:pPr>
        <w:pStyle w:val="11"/>
        <w:adjustRightInd w:val="0"/>
        <w:snapToGrid w:val="0"/>
        <w:spacing w:line="440" w:lineRule="exact"/>
        <w:ind w:leftChars="0"/>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九、 国有资本经营预算支出决算情况说明.......................15</w:t>
      </w:r>
    </w:p>
    <w:p>
      <w:pPr>
        <w:pStyle w:val="11"/>
        <w:adjustRightInd w:val="0"/>
        <w:snapToGrid w:val="0"/>
        <w:spacing w:line="440" w:lineRule="exact"/>
        <w:ind w:leftChars="0"/>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十、其他重要事项的情况说明.........................................15</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第三部分 名词解释.............................................................25</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第四部分 附件...................................................................28</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附件1...........................................................................28</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附件2...........................................................................34</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第五部分 附表...................................................................44</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一、收入支出决算总表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二、收入决算表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三、支出决算表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四、财政拨款收入支出决算总表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五、财政拨款支出决算明细表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六、一般公共预算财政拨款支出决算表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七、一般公共预算财政拨款支出决算明细表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八、一般公共预算财政拨款基本支出决算表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九、一般公共预算财政拨款项目支出决算表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十、一般公共预算财政拨款“三公”经费支出决算表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十一、政府性基金预算财政拨款收入支出决算表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十二、政府性基金预算财政拨款“三公”经费支出决算表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十三、国有资本经营预算支出决算表</w:t>
      </w:r>
    </w:p>
    <w:p>
      <w:pPr>
        <w:widowControl/>
        <w:spacing w:line="440" w:lineRule="exact"/>
        <w:jc w:val="left"/>
        <w:rPr>
          <w:rFonts w:hint="eastAsia" w:ascii="方正仿宋简体" w:hAnsi="方正仿宋简体" w:eastAsia="方正仿宋简体" w:cs="方正仿宋简体"/>
          <w:bCs/>
          <w:kern w:val="44"/>
          <w:sz w:val="30"/>
          <w:szCs w:val="30"/>
        </w:rPr>
      </w:pPr>
      <w:bookmarkStart w:id="12" w:name="_Toc15396599"/>
      <w:bookmarkStart w:id="13" w:name="_Toc15377196"/>
      <w:r>
        <w:rPr>
          <w:rFonts w:hint="eastAsia" w:ascii="方正仿宋简体" w:hAnsi="方正仿宋简体" w:eastAsia="方正仿宋简体" w:cs="方正仿宋简体"/>
          <w:b/>
          <w:sz w:val="30"/>
          <w:szCs w:val="30"/>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overflowPunct w:val="0"/>
        <w:spacing w:line="576" w:lineRule="exact"/>
        <w:ind w:firstLine="640" w:firstLineChars="200"/>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overflowPunct w:val="0"/>
        <w:spacing w:line="576" w:lineRule="exact"/>
        <w:rPr>
          <w:rFonts w:hint="eastAsia" w:ascii="仿宋" w:hAnsi="仿宋" w:eastAsia="仿宋" w:cs="Times New Roman"/>
          <w:bCs/>
          <w:color w:val="000000"/>
          <w:kern w:val="0"/>
          <w:sz w:val="32"/>
          <w:szCs w:val="32"/>
          <w:lang w:val="en-US" w:eastAsia="zh-CN" w:bidi="ar-SA"/>
        </w:rPr>
      </w:pPr>
      <w:r>
        <w:rPr>
          <w:rFonts w:hint="eastAsia" w:ascii="方正仿宋简体" w:eastAsia="方正仿宋简体" w:cs="仿宋"/>
          <w:b/>
          <w:bCs/>
          <w:color w:val="000000"/>
          <w:sz w:val="32"/>
          <w:szCs w:val="32"/>
        </w:rPr>
        <w:t xml:space="preserve">    </w:t>
      </w:r>
      <w:r>
        <w:rPr>
          <w:rFonts w:hint="eastAsia" w:ascii="仿宋" w:hAnsi="仿宋" w:eastAsia="仿宋" w:cs="Times New Roman"/>
          <w:bCs/>
          <w:color w:val="000000"/>
          <w:kern w:val="0"/>
          <w:sz w:val="32"/>
          <w:szCs w:val="32"/>
          <w:lang w:val="en-US" w:eastAsia="zh-CN" w:bidi="ar-SA"/>
        </w:rPr>
        <w:t>1、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落实党中央和省委、市委、区委关于统一战线工作重大决策部署，巩固壮大最广泛的统一战线。</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2、研究拟订统一战线工作的政策并推动落实，深入调查研究，及时向区委报告统一战线工作情况并提出建议，统筹协调和指导各乡镇（街道）、各部门（单位）统一战线工作。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负责发现、培养党外代表人士，制定党外干部培养规划，负责党外人士的政治安排，会同有关部门做好安排党外人士担任政府和司法机关等领导职务的工作，推动高等学校、人民团体、科研院所、国有企业党外干部安排工作。协助民主党派支委、区工商联做好干部管理工作，反映和协调解决党外代表人士工作生活中的实际困难。</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贯彻落实党的宣传工作方针，统筹推进全区统一战线宣传和意识形态工作，组织贯彻落实党中央、省委、市委、区委统一战线宣传工作政策和规划，统筹推进网络统战工作，研判涉及统一战线的舆情并协调有关部门应对处置。</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5、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6、贯彻落实党的民族工作方针，研究拟订民族工作中的政策和重大措施，协调处理民族工作中的重大问题，协调做好少数民族干部工作。依法管理民族事务，全面促进民族事业发展。</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7、贯彻落实党的宗教工作基本方针和政策，研究拟订宗教工作的政策措施并督促落实。依法管理宗教事务，保护公民宗教信仰自由和正常的宗教活动，维护宗教界合法权益，抵御境外利用宗教进行渗透，引导各宗教坚持中国化方向，巩固和发展同宗教界的爱国统一战线。</w:t>
      </w:r>
    </w:p>
    <w:p>
      <w:pPr>
        <w:overflowPunct w:val="0"/>
        <w:spacing w:line="576"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8、规范民间信仰活动，依法管理民间信仰，维护民间信仰信众的合法权益；挖掘民间信仰中的优秀传统文化资源，引导民间信仰信众爱国守法、团结友善，服务社会、维护和谐。</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9、负责联系、培养无党派代表人士，支持、帮助无党派人士加强自身建设、发挥作用。调查研究全区党外知识分子情况并提出政策建议，联系、培养党外知识分子代表人士，开展思想政治工作，指导高等学校、科研院所、国有企业等有关单位开展统战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10、负责联系、培养新的社会阶层代表人士，支持、帮助新的社会阶层人士加强自身建设、发挥作用。调查研究全区新的社会阶层人士情况并提出政策建议，开展思想政治工作，指导社会组织开展新的社会阶层人士统战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11、承担全区非公有制经济协调工作，负责全区非公有制经济代表人士工作，参与制定、推动落实鼓励支持引导非公有制经济发展的政策，调查研究全区非公有制经济人士情况并提出政策建议，了解和反映非公有制经济人士的意见，团结、服务、引导、教育非公有制经济人士，促进非公有制经济健康发展和非公有制经济人士健康成长。</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12、统一领导港澳统战工作。牵头开展港澳统战工作，贯彻落实党的海外统战工作政策和规划并组织协调、督促检查落实，会同有关部门对香港、澳门地区统一战线工作进行调查研究并提出政策建议，联系香港、澳门有关党派、团体及代表人士。</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13、统一管理台湾事务工作。贯彻落实党的对台工作方针政策，研究、拟订全区对台工作计划，经批准后组织实施。组织、指导、管理、协调区级部门（单位）和各乡镇（街道）对台工作，指导我区各民主党派、工商联和其他人民团体有关重点人物、重大活动等方面的涉台工作。调查研究台湾形势和两岸关系发展动向及利台交流合作、人员往来发展情况，提出对策建议。开展利台交流联络活动，会同有关部门协调指导我区对台经贸工作和金融、文化、学术、体育、科技、卫生等各个领域的交流与合作，以及利台人员往来、考察、研讨等工作。指导全区对台宣传、涉台教育，负责有关台湾工作的新闻发布。统筹协调全区涉台法律事务，会同有关部门依法开展涉台权益保护工作。负责区委对台工作领导小组办公室日常工作。指导全区台胞台属联谊会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14、统一管理侨务工作，贯彻落实党的侨务工作方针政策，拟订全区侨务工作规划并组织协调、督促检查落实，调查研究侨情和侨务工作情况，管理侨务事务，统筹协调有关部门和社会团体涉侨工作，联系海外有关侨团和代表人士，负责海外侨胞代表人士在相关统战团体的安排，指导推动涉侨宣传、文化交流、华文教育工作等，保护华侨和归侨侨眷在区内的合法权利和利益。</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15、受区委委托，领导区工商联党组，指导工商联工作。统一领导区民族宗教事务工作。做好统一战线有关单位和团体及事业单位的管理工作。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16、完成区委交办的其他任务。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w:t>
      </w:r>
      <w:r>
        <w:rPr>
          <w:rFonts w:hint="eastAsia" w:ascii="仿宋" w:hAnsi="仿宋" w:eastAsia="仿宋"/>
          <w:bCs/>
          <w:color w:val="000000"/>
          <w:sz w:val="32"/>
          <w:szCs w:val="32"/>
          <w:lang w:val="en-US" w:eastAsia="zh-CN"/>
        </w:rPr>
        <w:t>利州</w:t>
      </w:r>
      <w:r>
        <w:rPr>
          <w:rFonts w:hint="eastAsia" w:ascii="仿宋" w:hAnsi="仿宋" w:eastAsia="仿宋"/>
          <w:bCs/>
          <w:color w:val="000000"/>
          <w:sz w:val="32"/>
          <w:szCs w:val="32"/>
        </w:rPr>
        <w:t>统</w:t>
      </w:r>
      <w:r>
        <w:rPr>
          <w:rFonts w:hint="eastAsia" w:ascii="仿宋" w:hAnsi="仿宋" w:eastAsia="仿宋"/>
          <w:bCs/>
          <w:color w:val="000000"/>
          <w:sz w:val="32"/>
          <w:szCs w:val="32"/>
          <w:lang w:val="en-US" w:eastAsia="zh-CN"/>
        </w:rPr>
        <w:t>一</w:t>
      </w:r>
      <w:r>
        <w:rPr>
          <w:rFonts w:hint="eastAsia" w:ascii="仿宋" w:hAnsi="仿宋" w:eastAsia="仿宋"/>
          <w:bCs/>
          <w:color w:val="000000"/>
          <w:sz w:val="32"/>
          <w:szCs w:val="32"/>
        </w:rPr>
        <w:t>战</w:t>
      </w:r>
      <w:r>
        <w:rPr>
          <w:rFonts w:hint="eastAsia" w:ascii="仿宋" w:hAnsi="仿宋" w:eastAsia="仿宋"/>
          <w:bCs/>
          <w:color w:val="000000"/>
          <w:sz w:val="32"/>
          <w:szCs w:val="32"/>
          <w:lang w:val="en-US" w:eastAsia="zh-CN"/>
        </w:rPr>
        <w:t>线</w:t>
      </w:r>
      <w:r>
        <w:rPr>
          <w:rFonts w:hint="eastAsia" w:ascii="仿宋" w:hAnsi="仿宋" w:eastAsia="仿宋"/>
          <w:bCs/>
          <w:color w:val="000000"/>
          <w:sz w:val="32"/>
          <w:szCs w:val="32"/>
        </w:rPr>
        <w:t>工作在区委</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区政府</w:t>
      </w:r>
      <w:r>
        <w:rPr>
          <w:rFonts w:hint="eastAsia" w:ascii="仿宋" w:hAnsi="仿宋" w:eastAsia="仿宋"/>
          <w:bCs/>
          <w:color w:val="000000"/>
          <w:sz w:val="32"/>
          <w:szCs w:val="32"/>
        </w:rPr>
        <w:t>的领导和市委统战部的指导下，认真贯彻中央统战工作的方针政策，积极完成各项任务，取得明显成效。</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一是进一步加强统战工作的组织领导，充分认识做好新形势下统战工作的重要性，加强了领导联系党派工作制度，形成了密切联系、相互支持的良好氛围。</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二是完善了民主监督制度，健全了党外代表人士联系制度，加强联谊交友，完成了党外干部教育任务，提高了党外干部的参政议政、合作共事能力。做好了党外干部的培养、选拔、推荐工作。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三是加强了对民族宗教的监管，依法对宗教事务和场点进行管理，引导宗教与社会相适应，引导信教群众发扬“爱教守法、崇尚文明、科技致富”。指导民族村发展产业。</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中共广元市利州区委统战部下属二级单位0个，其中行政单位0个，参照公务员法管理的事业单位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中共广元市利州区委统战部</w:t>
      </w:r>
      <w:r>
        <w:rPr>
          <w:rFonts w:hint="eastAsia" w:ascii="仿宋" w:hAnsi="仿宋" w:eastAsia="仿宋"/>
          <w:color w:val="000000"/>
          <w:sz w:val="32"/>
          <w:szCs w:val="32"/>
        </w:rPr>
        <w:t>2018年度部门决算编制范围的二级预算单位包括：</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sz w:val="32"/>
          <w:szCs w:val="32"/>
        </w:rPr>
        <w:t>无</w:t>
      </w:r>
      <w:r>
        <w:rPr>
          <w:rFonts w:ascii="仿宋" w:hAnsi="仿宋" w:eastAsia="仿宋"/>
          <w:color w:val="000000"/>
          <w:sz w:val="32"/>
          <w:szCs w:val="32"/>
        </w:rPr>
        <w:br w:type="page"/>
      </w:r>
    </w:p>
    <w:p>
      <w:pPr>
        <w:widowControl/>
        <w:jc w:val="left"/>
        <w:rPr>
          <w:rStyle w:val="25"/>
          <w:rFonts w:ascii="黑体" w:hAnsi="黑体" w:eastAsia="黑体"/>
          <w:b w:val="0"/>
          <w:bCs w:val="0"/>
        </w:rPr>
      </w:pPr>
      <w:bookmarkStart w:id="22" w:name="_Toc15377204"/>
      <w:bookmarkStart w:id="23" w:name="_Toc15396602"/>
      <w:r>
        <w:rPr>
          <w:rStyle w:val="25"/>
          <w:rFonts w:hint="eastAsia" w:ascii="黑体" w:hAnsi="黑体" w:eastAsia="黑体"/>
          <w:b w:val="0"/>
          <w:bCs w:val="0"/>
        </w:rPr>
        <w:t>第二部分 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val="en-US" w:eastAsia="zh-CN"/>
        </w:rPr>
        <w:t>入总计317.91万元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312.83</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119.09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和123.67</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59.9%和65.38</w:t>
      </w:r>
      <w:r>
        <w:rPr>
          <w:rFonts w:ascii="仿宋" w:hAnsi="仿宋" w:eastAsia="仿宋"/>
          <w:color w:val="000000"/>
          <w:sz w:val="32"/>
          <w:szCs w:val="32"/>
        </w:rPr>
        <w:t>%</w:t>
      </w:r>
      <w:r>
        <w:rPr>
          <w:rFonts w:hint="eastAsia" w:ascii="仿宋" w:hAnsi="仿宋" w:eastAsia="仿宋"/>
          <w:color w:val="000000"/>
          <w:sz w:val="32"/>
          <w:szCs w:val="32"/>
        </w:rPr>
        <w:t>。主要变动原因是人员经费增加和项目增加</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sz w:val="32"/>
          <w:szCs w:val="32"/>
        </w:rPr>
      </w:pPr>
      <w:r>
        <w:rPr>
          <w:rFonts w:hint="eastAsia" w:ascii="仿宋" w:hAnsi="仿宋" w:eastAsia="仿宋"/>
          <w:color w:val="000000"/>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_GB2312" w:eastAsia="仿宋"/>
          <w:color w:val="FF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317.91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317.91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312.83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217.18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69.42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95.65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30.58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val="en-US" w:eastAsia="zh-CN"/>
        </w:rPr>
        <w:t>入总计317.91万元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312.83</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119.09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和123.67</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59.9%和65.38</w:t>
      </w:r>
      <w:r>
        <w:rPr>
          <w:rFonts w:ascii="仿宋" w:hAnsi="仿宋" w:eastAsia="仿宋"/>
          <w:color w:val="000000"/>
          <w:sz w:val="32"/>
          <w:szCs w:val="32"/>
        </w:rPr>
        <w:t>%</w:t>
      </w:r>
      <w:r>
        <w:rPr>
          <w:rFonts w:hint="eastAsia" w:ascii="仿宋" w:hAnsi="仿宋" w:eastAsia="仿宋"/>
          <w:color w:val="000000"/>
          <w:sz w:val="32"/>
          <w:szCs w:val="32"/>
        </w:rPr>
        <w:t>。主要变动原因是人员经费增加和项目增加</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312.83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val="en-US" w:eastAsia="zh-CN"/>
        </w:rPr>
        <w:t>支出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123.67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65.38</w:t>
      </w:r>
      <w:r>
        <w:rPr>
          <w:rFonts w:ascii="仿宋" w:hAnsi="仿宋" w:eastAsia="仿宋"/>
          <w:color w:val="000000"/>
          <w:sz w:val="32"/>
          <w:szCs w:val="32"/>
        </w:rPr>
        <w:t>%</w:t>
      </w:r>
      <w:r>
        <w:rPr>
          <w:rFonts w:hint="eastAsia" w:ascii="仿宋" w:hAnsi="仿宋" w:eastAsia="仿宋"/>
          <w:color w:val="000000"/>
          <w:sz w:val="32"/>
          <w:szCs w:val="32"/>
        </w:rPr>
        <w:t>。主要变动原因是人员经费增加和项目增加</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312.83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b/>
          <w:color w:val="000000" w:themeColor="text1"/>
          <w:sz w:val="32"/>
          <w:szCs w:val="32"/>
          <w:lang w:val="en-US" w:eastAsia="zh-CN"/>
          <w14:textFill>
            <w14:solidFill>
              <w14:schemeClr w14:val="tx1"/>
            </w14:solidFill>
          </w14:textFill>
        </w:rPr>
        <w:t>201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支出271.21万元，占</w:t>
      </w:r>
      <w:r>
        <w:rPr>
          <w:rFonts w:hint="eastAsia" w:ascii="仿宋" w:hAnsi="仿宋" w:eastAsia="仿宋"/>
          <w:color w:val="000000" w:themeColor="text1"/>
          <w:sz w:val="32"/>
          <w:szCs w:val="32"/>
          <w:lang w:val="en-US" w:eastAsia="zh-CN"/>
          <w14:textFill>
            <w14:solidFill>
              <w14:schemeClr w14:val="tx1"/>
            </w14:solidFill>
          </w14:textFill>
        </w:rPr>
        <w:t>86.7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支出21.4万元，占</w:t>
      </w:r>
      <w:r>
        <w:rPr>
          <w:rFonts w:hint="eastAsia" w:ascii="仿宋" w:hAnsi="仿宋" w:eastAsia="仿宋"/>
          <w:color w:val="000000" w:themeColor="text1"/>
          <w:sz w:val="32"/>
          <w:szCs w:val="32"/>
          <w:lang w:val="en-US" w:eastAsia="zh-CN"/>
          <w14:textFill>
            <w14:solidFill>
              <w14:schemeClr w14:val="tx1"/>
            </w14:solidFill>
          </w14:textFill>
        </w:rPr>
        <w:t>6.84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医疗卫生与计划生育（210）</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6.67万元，占</w:t>
      </w:r>
      <w:r>
        <w:rPr>
          <w:rFonts w:hint="eastAsia" w:ascii="仿宋" w:hAnsi="仿宋" w:eastAsia="仿宋"/>
          <w:color w:val="000000" w:themeColor="text1"/>
          <w:sz w:val="32"/>
          <w:szCs w:val="32"/>
          <w:lang w:val="en-US" w:eastAsia="zh-CN"/>
          <w14:textFill>
            <w14:solidFill>
              <w14:schemeClr w14:val="tx1"/>
            </w14:solidFill>
          </w14:textFill>
        </w:rPr>
        <w:t>2.13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农林水（213）支出1.1万元，占0.35%；</w:t>
      </w:r>
      <w:r>
        <w:rPr>
          <w:rFonts w:hint="eastAsia" w:ascii="仿宋" w:hAnsi="仿宋" w:eastAsia="仿宋"/>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221）</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12.45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312.83万元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98.4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auto"/>
          <w:sz w:val="32"/>
          <w:szCs w:val="32"/>
        </w:rPr>
      </w:pPr>
      <w:r>
        <w:rPr>
          <w:rStyle w:val="15"/>
          <w:rFonts w:ascii="仿宋" w:hAnsi="仿宋" w:eastAsia="仿宋"/>
          <w:bCs/>
          <w:color w:val="auto"/>
          <w:sz w:val="32"/>
          <w:szCs w:val="32"/>
        </w:rPr>
        <w:t>1.</w:t>
      </w:r>
      <w:r>
        <w:rPr>
          <w:rStyle w:val="15"/>
          <w:rFonts w:hint="eastAsia" w:ascii="仿宋" w:hAnsi="仿宋" w:eastAsia="仿宋"/>
          <w:bCs/>
          <w:color w:val="auto"/>
          <w:sz w:val="32"/>
          <w:szCs w:val="32"/>
        </w:rPr>
        <w:t>一般公共服务（类）201（款）34（项）01</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271.21</w:t>
      </w:r>
      <w:r>
        <w:rPr>
          <w:rStyle w:val="15"/>
          <w:rFonts w:hint="eastAsia" w:ascii="仿宋" w:hAnsi="仿宋" w:eastAsia="仿宋"/>
          <w:b w:val="0"/>
          <w:bCs/>
          <w:color w:val="auto"/>
          <w:sz w:val="32"/>
          <w:szCs w:val="32"/>
        </w:rPr>
        <w:t>万元，完成预算91.</w:t>
      </w:r>
      <w:r>
        <w:rPr>
          <w:rStyle w:val="15"/>
          <w:rFonts w:hint="eastAsia" w:ascii="仿宋" w:hAnsi="仿宋" w:eastAsia="仿宋"/>
          <w:b w:val="0"/>
          <w:bCs/>
          <w:color w:val="auto"/>
          <w:sz w:val="32"/>
          <w:szCs w:val="32"/>
          <w:lang w:val="en-US" w:eastAsia="zh-CN"/>
        </w:rPr>
        <w:t>36</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，决算数小于预算数的主要原因是部分工作未在年终完成，所以存在未全额支付。</w:t>
      </w:r>
    </w:p>
    <w:p>
      <w:pPr>
        <w:spacing w:line="600" w:lineRule="exact"/>
        <w:ind w:firstLine="642" w:firstLineChars="200"/>
        <w:rPr>
          <w:rStyle w:val="15"/>
          <w:rFonts w:ascii="仿宋" w:hAnsi="仿宋" w:eastAsia="仿宋"/>
          <w:b w:val="0"/>
          <w:bCs/>
          <w:color w:val="auto"/>
          <w:sz w:val="32"/>
          <w:szCs w:val="32"/>
        </w:rPr>
      </w:pPr>
      <w:r>
        <w:rPr>
          <w:rStyle w:val="15"/>
          <w:rFonts w:ascii="仿宋" w:hAnsi="仿宋" w:eastAsia="仿宋"/>
          <w:bCs/>
          <w:color w:val="auto"/>
          <w:sz w:val="32"/>
          <w:szCs w:val="32"/>
        </w:rPr>
        <w:t>2.</w:t>
      </w:r>
      <w:r>
        <w:rPr>
          <w:rFonts w:ascii="仿宋" w:hAnsi="仿宋" w:eastAsia="仿宋"/>
          <w:b/>
          <w:color w:val="auto"/>
          <w:sz w:val="32"/>
          <w:szCs w:val="32"/>
        </w:rPr>
        <w:t xml:space="preserve"> </w:t>
      </w:r>
      <w:r>
        <w:rPr>
          <w:rStyle w:val="15"/>
          <w:rFonts w:hint="eastAsia" w:ascii="仿宋" w:hAnsi="仿宋" w:eastAsia="仿宋"/>
          <w:bCs/>
          <w:color w:val="auto"/>
          <w:sz w:val="32"/>
          <w:szCs w:val="32"/>
        </w:rPr>
        <w:t>社会保障和就业（类）208（款）05（项）05</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21.4</w:t>
      </w:r>
      <w:r>
        <w:rPr>
          <w:rStyle w:val="15"/>
          <w:rFonts w:hint="eastAsia" w:ascii="仿宋" w:hAnsi="仿宋" w:eastAsia="仿宋"/>
          <w:b w:val="0"/>
          <w:bCs/>
          <w:color w:val="auto"/>
          <w:sz w:val="32"/>
          <w:szCs w:val="32"/>
        </w:rPr>
        <w:t>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rPr>
        <w:t>决算数等于预算数</w:t>
      </w:r>
      <w:r>
        <w:rPr>
          <w:rStyle w:val="15"/>
          <w:rFonts w:hint="eastAsia" w:ascii="仿宋" w:hAnsi="仿宋" w:eastAsia="仿宋"/>
          <w:b w:val="0"/>
          <w:bCs/>
          <w:color w:val="auto"/>
          <w:sz w:val="32"/>
          <w:szCs w:val="32"/>
        </w:rPr>
        <w:t>。</w:t>
      </w:r>
    </w:p>
    <w:p>
      <w:pPr>
        <w:spacing w:line="600" w:lineRule="exact"/>
        <w:ind w:firstLine="640" w:firstLineChars="200"/>
        <w:rPr>
          <w:rFonts w:ascii="仿宋" w:hAnsi="仿宋" w:eastAsia="仿宋"/>
          <w:b/>
          <w:color w:val="auto"/>
          <w:sz w:val="32"/>
          <w:szCs w:val="32"/>
        </w:rPr>
      </w:pPr>
      <w:r>
        <w:rPr>
          <w:rStyle w:val="15"/>
          <w:rFonts w:hint="eastAsia" w:ascii="仿宋" w:hAnsi="仿宋" w:eastAsia="仿宋"/>
          <w:b w:val="0"/>
          <w:bCs/>
          <w:color w:val="auto"/>
          <w:sz w:val="32"/>
          <w:szCs w:val="32"/>
        </w:rPr>
        <w:t>6</w:t>
      </w:r>
      <w:r>
        <w:rPr>
          <w:rStyle w:val="15"/>
          <w:rFonts w:ascii="仿宋" w:hAnsi="仿宋" w:eastAsia="仿宋"/>
          <w:bCs/>
          <w:color w:val="auto"/>
          <w:sz w:val="32"/>
          <w:szCs w:val="32"/>
        </w:rPr>
        <w:t>.</w:t>
      </w:r>
      <w:r>
        <w:rPr>
          <w:rStyle w:val="15"/>
          <w:rFonts w:hint="eastAsia" w:ascii="仿宋" w:hAnsi="仿宋" w:eastAsia="仿宋"/>
          <w:bCs/>
          <w:color w:val="auto"/>
          <w:sz w:val="32"/>
          <w:szCs w:val="32"/>
        </w:rPr>
        <w:t>医疗卫生与计划生育（类）210（款）11（项）01</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6.67</w:t>
      </w:r>
      <w:r>
        <w:rPr>
          <w:rStyle w:val="15"/>
          <w:rFonts w:hint="eastAsia" w:ascii="仿宋" w:hAnsi="仿宋" w:eastAsia="仿宋"/>
          <w:b w:val="0"/>
          <w:bCs/>
          <w:color w:val="auto"/>
          <w:sz w:val="32"/>
          <w:szCs w:val="32"/>
        </w:rPr>
        <w:t>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rPr>
        <w:t>决算数等于预算数</w:t>
      </w:r>
      <w:r>
        <w:rPr>
          <w:rStyle w:val="15"/>
          <w:rFonts w:hint="eastAsia" w:ascii="仿宋" w:hAnsi="仿宋" w:eastAsia="仿宋"/>
          <w:b w:val="0"/>
          <w:bCs/>
          <w:color w:val="auto"/>
          <w:sz w:val="32"/>
          <w:szCs w:val="32"/>
        </w:rPr>
        <w:t>。</w:t>
      </w:r>
    </w:p>
    <w:p>
      <w:pPr>
        <w:spacing w:line="600" w:lineRule="exact"/>
        <w:ind w:firstLine="640" w:firstLineChars="200"/>
        <w:rPr>
          <w:rStyle w:val="15"/>
          <w:rFonts w:ascii="仿宋" w:hAnsi="仿宋" w:eastAsia="仿宋"/>
          <w:b w:val="0"/>
          <w:bCs/>
          <w:color w:val="auto"/>
          <w:sz w:val="32"/>
          <w:szCs w:val="32"/>
        </w:rPr>
      </w:pPr>
      <w:r>
        <w:rPr>
          <w:rFonts w:hint="eastAsia" w:ascii="仿宋" w:hAnsi="仿宋" w:eastAsia="仿宋"/>
          <w:color w:val="auto"/>
          <w:sz w:val="32"/>
          <w:szCs w:val="32"/>
        </w:rPr>
        <w:t>8.农林水（类）213（款）05（项）99：支出决算数为</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万元，</w:t>
      </w:r>
      <w:r>
        <w:rPr>
          <w:rStyle w:val="15"/>
          <w:rFonts w:hint="eastAsia" w:ascii="仿宋" w:hAnsi="仿宋" w:eastAsia="仿宋"/>
          <w:b w:val="0"/>
          <w:bCs/>
          <w:color w:val="auto"/>
          <w:sz w:val="32"/>
          <w:szCs w:val="32"/>
        </w:rPr>
        <w:t>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rPr>
        <w:t>决算数等于预算数</w:t>
      </w:r>
      <w:r>
        <w:rPr>
          <w:rStyle w:val="15"/>
          <w:rFonts w:hint="eastAsia" w:ascii="仿宋" w:hAnsi="仿宋" w:eastAsia="仿宋"/>
          <w:b w:val="0"/>
          <w:bCs/>
          <w:color w:val="auto"/>
          <w:sz w:val="32"/>
          <w:szCs w:val="32"/>
        </w:rPr>
        <w:t>。</w:t>
      </w:r>
    </w:p>
    <w:p>
      <w:pPr>
        <w:spacing w:line="600" w:lineRule="exact"/>
        <w:ind w:firstLine="640" w:firstLineChars="200"/>
        <w:rPr>
          <w:rFonts w:ascii="仿宋" w:hAnsi="仿宋" w:eastAsia="仿宋"/>
          <w:b/>
          <w:color w:val="auto"/>
          <w:sz w:val="32"/>
          <w:szCs w:val="32"/>
        </w:rPr>
      </w:pPr>
      <w:r>
        <w:rPr>
          <w:rStyle w:val="15"/>
          <w:rFonts w:hint="eastAsia" w:ascii="仿宋" w:hAnsi="仿宋" w:eastAsia="仿宋"/>
          <w:b w:val="0"/>
          <w:bCs/>
          <w:color w:val="auto"/>
          <w:sz w:val="32"/>
          <w:szCs w:val="32"/>
        </w:rPr>
        <w:t>9.住房保障（类）221（款）02（项）01：支出决算数为</w:t>
      </w:r>
      <w:r>
        <w:rPr>
          <w:rStyle w:val="15"/>
          <w:rFonts w:hint="eastAsia" w:ascii="仿宋" w:hAnsi="仿宋" w:eastAsia="仿宋"/>
          <w:b w:val="0"/>
          <w:bCs/>
          <w:color w:val="auto"/>
          <w:sz w:val="32"/>
          <w:szCs w:val="32"/>
          <w:lang w:val="en-US" w:eastAsia="zh-CN"/>
        </w:rPr>
        <w:t>12.45</w:t>
      </w:r>
      <w:r>
        <w:rPr>
          <w:rStyle w:val="15"/>
          <w:rFonts w:hint="eastAsia" w:ascii="仿宋" w:hAnsi="仿宋" w:eastAsia="仿宋"/>
          <w:b w:val="0"/>
          <w:bCs/>
          <w:color w:val="auto"/>
          <w:sz w:val="32"/>
          <w:szCs w:val="32"/>
        </w:rPr>
        <w:t>万元, 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rPr>
        <w:t>决算数等于预算数</w:t>
      </w:r>
      <w:r>
        <w:rPr>
          <w:rStyle w:val="15"/>
          <w:rFonts w:hint="eastAsia" w:ascii="仿宋" w:hAnsi="仿宋" w:eastAsia="仿宋"/>
          <w:b w:val="0"/>
          <w:bCs/>
          <w:color w:val="auto"/>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217.18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167.12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50.06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9.87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val="en-US" w:eastAsia="zh-CN"/>
        </w:rPr>
        <w:t>与</w:t>
      </w:r>
      <w:r>
        <w:rPr>
          <w:rFonts w:hint="eastAsia" w:ascii="仿宋" w:hAnsi="仿宋" w:eastAsia="仿宋"/>
          <w:color w:val="000000"/>
          <w:sz w:val="32"/>
          <w:szCs w:val="32"/>
        </w:rPr>
        <w:t>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9.87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eastAsia="zh-CN"/>
        </w:rPr>
        <w:t>０</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eastAsia="zh-CN"/>
        </w:rPr>
        <w:t>９</w:t>
      </w:r>
      <w:r>
        <w:rPr>
          <w:rFonts w:hint="eastAsia" w:ascii="仿宋_GB2312" w:eastAsia="仿宋_GB2312"/>
          <w:color w:val="000000"/>
          <w:sz w:val="32"/>
          <w:szCs w:val="32"/>
          <w:lang w:val="en-US" w:eastAsia="zh-CN"/>
        </w:rPr>
        <w:t>.87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9.87</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58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1235</w:t>
      </w:r>
      <w:r>
        <w:rPr>
          <w:rFonts w:hint="eastAsia" w:ascii="仿宋_GB2312" w:eastAsia="仿宋_GB2312"/>
          <w:color w:val="000000"/>
          <w:sz w:val="32"/>
          <w:szCs w:val="32"/>
        </w:rPr>
        <w:t>人次（不包括陪同人员），共计支出9.87万元，具体内容包括：接待其他外市县参观共计</w:t>
      </w:r>
      <w:r>
        <w:rPr>
          <w:rFonts w:hint="eastAsia" w:ascii="仿宋_GB2312" w:eastAsia="仿宋_GB2312"/>
          <w:color w:val="000000"/>
          <w:sz w:val="32"/>
          <w:szCs w:val="32"/>
          <w:lang w:val="en-US" w:eastAsia="zh-CN"/>
        </w:rPr>
        <w:t>5.9</w:t>
      </w:r>
      <w:r>
        <w:rPr>
          <w:rFonts w:hint="eastAsia" w:ascii="仿宋_GB2312" w:eastAsia="仿宋_GB2312"/>
          <w:color w:val="000000"/>
          <w:sz w:val="32"/>
          <w:szCs w:val="32"/>
        </w:rPr>
        <w:t>万元；接待省级单位检查工作等</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万元；接待上级党派组织</w:t>
      </w:r>
      <w:r>
        <w:rPr>
          <w:rFonts w:hint="eastAsia" w:ascii="仿宋_GB2312" w:eastAsia="仿宋_GB2312"/>
          <w:color w:val="000000"/>
          <w:sz w:val="32"/>
          <w:szCs w:val="32"/>
          <w:lang w:val="en-US" w:eastAsia="zh-CN"/>
        </w:rPr>
        <w:t>1.27</w:t>
      </w:r>
      <w:r>
        <w:rPr>
          <w:rFonts w:hint="eastAsia" w:ascii="仿宋_GB2312" w:eastAsia="仿宋_GB2312"/>
          <w:color w:val="000000"/>
          <w:sz w:val="32"/>
          <w:szCs w:val="32"/>
        </w:rPr>
        <w:t>万元。</w:t>
      </w: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 w:hAnsi="仿宋" w:eastAsia="仿宋_GB2312"/>
          <w:b/>
          <w:color w:val="FF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区委统战部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50.05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7.05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16.4</w:t>
      </w:r>
      <w:r>
        <w:rPr>
          <w:rFonts w:ascii="仿宋_GB2312" w:eastAsia="仿宋_GB2312"/>
          <w:color w:val="000000"/>
          <w:sz w:val="32"/>
          <w:szCs w:val="32"/>
        </w:rPr>
        <w:t>%</w:t>
      </w:r>
      <w:r>
        <w:rPr>
          <w:rFonts w:hint="eastAsia" w:ascii="仿宋_GB2312" w:eastAsia="仿宋_GB2312"/>
          <w:color w:val="000000"/>
          <w:sz w:val="32"/>
          <w:szCs w:val="32"/>
          <w:lang w:val="en-US" w:eastAsia="zh-CN"/>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w:t>
      </w:r>
      <w:bookmarkEnd w:id="53"/>
      <w:r>
        <w:rPr>
          <w:rFonts w:hint="eastAsia" w:ascii="仿宋" w:hAnsi="仿宋" w:eastAsia="仿宋"/>
          <w:b/>
          <w:color w:val="000000"/>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根据预算绩效管理要求，本部门（单位）在年初预算编制阶段，组织对早期归国华侨生活补助项目等开展了预算事前绩效评估，对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发现的主要问题：在经费使用过程中有些不规范现象。下一步改进措施：加强对资金的管理，制定相关措施，严格按规定执行，杜绝一切资金使用不规范行为。</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val="en-US" w:eastAsia="zh-CN"/>
        </w:rPr>
        <w:t>项目开展能顺利进行，制定严格的审批制度，并落实执行。</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年度部门决算中反映“早期归国华侨生活补助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、“九广合作及党派团体工作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、“无党派知识分子工作”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台联、新联会、知联会工作经费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早期归国华侨生活补助项目绩效目标完成情况综述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万元，完成预算的100%。通过项目实施，</w:t>
      </w:r>
      <w:r>
        <w:rPr>
          <w:rFonts w:hint="eastAsia" w:ascii="仿宋_GB2312" w:hAnsi="仿宋_GB2312" w:eastAsia="仿宋_GB2312" w:cs="仿宋_GB2312"/>
          <w:sz w:val="32"/>
          <w:szCs w:val="32"/>
          <w:lang w:val="en-US" w:eastAsia="zh-CN"/>
        </w:rPr>
        <w:t>早期归国华侨的</w:t>
      </w:r>
      <w:r>
        <w:rPr>
          <w:rFonts w:hint="eastAsia" w:ascii="仿宋_GB2312" w:hAnsi="仿宋_GB2312" w:eastAsia="仿宋_GB2312" w:cs="仿宋_GB2312"/>
          <w:sz w:val="32"/>
          <w:szCs w:val="32"/>
        </w:rPr>
        <w:t>老人表达了党和政府对早期归国华侨的关心关怀，对他们为祖国作出的贡献表示了肯定，为提高他们老年生活质量，给予他们生活上的适当补助，让他们感受到祖国的温暖。发现的主要问题：补助标准偏低。下一步改进措施：积极向区政府汇报他们的具体困难情况，协调相关部门解决好相关困难。</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九广合作及党派团体工作项目绩效目标完成情况综述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完成预算的100%。通过项目实施，保障了区级6个民主党派工作的顺利开展，为培养党外干部提供了有效意见，为政治协商、民主监督提供了资金保障。发现的主要问题：在经费使用过程中有些不规范现象。下一步改进措施：加强对党派资金的管理，制定相关措施，严格按规定执行，杜绝一切资金使用不规范行为。</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新的社会阶层数据调查及非公经济党组建设非公经济综合评论项目绩效目标完成情况综述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2万元，执行数为2万元，完成预算的100%。通过项目实施，了解了当前非公经济现状，为利州区经济社会发展提供参考意见建议，正确引导了非公经济活动的规范开展。发现的主要问题：非公经济组织建设不完善。下一步改进措施：协调组织部门到非公经济场所开展调研，为其组织建设提供服务。</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无党派知识分子工作项目绩效目标完成情况综述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3万元，执行数为3万元，完成预算的100%。通过项目实施，对无党派知识分子起到了积极的引领作用，让他们在思想上能和党中央保持高度一致。发现的主要问题：党外知识分子有时不能积极主动的参与党和政府的活动。下一步改进措施：加强学习，提高思想站位，始终让他们与党保持一致。</w:t>
      </w:r>
    </w:p>
    <w:p>
      <w:pPr>
        <w:tabs>
          <w:tab w:val="left" w:pos="312"/>
        </w:tabs>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（5）台联、新联会、知联会工作</w:t>
      </w:r>
      <w:r>
        <w:rPr>
          <w:rFonts w:hint="eastAsia" w:ascii="仿宋_GB2312" w:hAnsi="仿宋_GB2312" w:eastAsia="仿宋_GB2312" w:cs="仿宋_GB2312"/>
          <w:sz w:val="32"/>
          <w:szCs w:val="32"/>
        </w:rPr>
        <w:t>绩效目标完成情况综述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万元，完成预算的100%。通过项目实施，</w:t>
      </w:r>
      <w:r>
        <w:rPr>
          <w:rFonts w:hint="eastAsia" w:ascii="仿宋_GB2312" w:hAnsi="仿宋_GB2312" w:eastAsia="仿宋_GB2312" w:cs="仿宋_GB2312"/>
          <w:sz w:val="32"/>
          <w:szCs w:val="32"/>
          <w:lang w:val="en-US" w:eastAsia="zh-CN"/>
        </w:rPr>
        <w:t>让台属、党外知识分子等感受到党的温暖，坚定不移的坚持中国共产党的领导，不断为经济社会发展作贡献。下一步改进措施：多举办素质提升教育。</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早期归国华侨生活补助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中国共产党广元市利州区委员会统一战线工作部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提高早期归国华侨的生活质量，让他们感受到党和政府的关怀。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表达了党和政府对早期归国华侨的关心关怀，对他们为祖国作出的贡献表示了肯定，为提高他们老年生活质量，给予他们生活上的适当补助，让他们感受到祖国的温暖。</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提高生活</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在年底前完成</w:t>
            </w:r>
            <w:r>
              <w:rPr>
                <w:rFonts w:hint="eastAsia" w:ascii="宋体" w:hAnsi="宋体" w:cs="宋体"/>
                <w:color w:val="000000"/>
                <w:sz w:val="24"/>
                <w:lang w:val="en-US" w:eastAsia="zh-CN"/>
              </w:rPr>
              <w:t>2.4</w:t>
            </w:r>
            <w:r>
              <w:rPr>
                <w:rFonts w:hint="eastAsia" w:ascii="宋体" w:hAnsi="宋体" w:cs="宋体"/>
                <w:color w:val="000000"/>
                <w:sz w:val="24"/>
              </w:rPr>
              <w:t>万元资金拨付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已近期完成</w:t>
            </w:r>
            <w:r>
              <w:rPr>
                <w:rFonts w:hint="eastAsia" w:ascii="宋体" w:hAnsi="宋体" w:cs="宋体"/>
                <w:color w:val="000000"/>
                <w:sz w:val="24"/>
                <w:lang w:val="en-US" w:eastAsia="zh-CN"/>
              </w:rPr>
              <w:t>2.4</w:t>
            </w:r>
            <w:r>
              <w:rPr>
                <w:rFonts w:hint="eastAsia" w:ascii="宋体" w:hAnsi="宋体" w:cs="宋体"/>
                <w:color w:val="000000"/>
                <w:sz w:val="24"/>
              </w:rPr>
              <w:t>万元</w:t>
            </w:r>
          </w:p>
          <w:p>
            <w:pPr>
              <w:widowControl/>
              <w:jc w:val="center"/>
              <w:textAlignment w:val="center"/>
              <w:rPr>
                <w:rFonts w:ascii="宋体" w:hAnsi="宋体" w:cs="宋体"/>
                <w:color w:val="000000"/>
                <w:sz w:val="24"/>
              </w:rPr>
            </w:pPr>
            <w:r>
              <w:rPr>
                <w:rFonts w:hint="eastAsia" w:ascii="宋体" w:hAnsi="宋体" w:cs="宋体"/>
                <w:color w:val="000000"/>
                <w:sz w:val="24"/>
              </w:rPr>
              <w:t>拨付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提高爱国激情感受党的关怀</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让早期归国华侨感受到党和政府的关怀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古里、石宏、林万卷和陈巧凤四位老人感受到的祖国的关怀</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让四位老人满意</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让古里、石宏、林万卷和陈巧凤四位老人满意这项工作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已达到相关目的，得到了老人的认可</w:t>
            </w: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九广合作及党派团体工作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中国共产党广元市利州区委员会统一战线工作部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35</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35</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保障全区6个民主党派工作顺利开展。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为全区6个民主党派工作提供了保障，完成了</w:t>
            </w:r>
            <w:r>
              <w:rPr>
                <w:rFonts w:hint="eastAsia" w:ascii="宋体" w:hAnsi="宋体" w:cs="宋体"/>
                <w:color w:val="000000"/>
                <w:sz w:val="24"/>
                <w:lang w:val="en-US" w:eastAsia="zh-CN"/>
              </w:rPr>
              <w:t>35</w:t>
            </w:r>
            <w:r>
              <w:rPr>
                <w:rFonts w:hint="eastAsia" w:ascii="宋体" w:hAnsi="宋体" w:cs="宋体"/>
                <w:color w:val="000000"/>
                <w:sz w:val="24"/>
              </w:rPr>
              <w:t>万元的资金拨付。</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提高民主党派成员的思想认识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全年召开党外干部培训2次，提高学员思想认识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已完成培训100余人次</w:t>
            </w:r>
          </w:p>
        </w:tc>
      </w:tr>
      <w:tr>
        <w:tblPrEx>
          <w:tblCellMar>
            <w:top w:w="0" w:type="dxa"/>
            <w:left w:w="0" w:type="dxa"/>
            <w:bottom w:w="0" w:type="dxa"/>
            <w:right w:w="0" w:type="dxa"/>
          </w:tblCellMar>
        </w:tblPrEx>
        <w:trPr>
          <w:trHeight w:val="12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保障党派工作顺利开展</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保障政治协商、民主监督的开展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拨付党派经费</w:t>
            </w:r>
            <w:r>
              <w:rPr>
                <w:rFonts w:hint="eastAsia" w:ascii="宋体" w:hAnsi="宋体" w:cs="宋体"/>
                <w:color w:val="000000"/>
                <w:sz w:val="24"/>
                <w:lang w:val="en-US" w:eastAsia="zh-CN"/>
              </w:rPr>
              <w:t>35</w:t>
            </w:r>
            <w:r>
              <w:rPr>
                <w:rFonts w:hint="eastAsia" w:ascii="宋体" w:hAnsi="宋体" w:cs="宋体"/>
                <w:color w:val="000000"/>
                <w:sz w:val="24"/>
              </w:rPr>
              <w:t>万元，保障工作顺利开展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已按期完成资金拨付</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党派工作出实效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选拔培养党外干部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党外干部已按规定配比任职</w:t>
            </w:r>
          </w:p>
        </w:tc>
      </w:tr>
      <w:tr>
        <w:tblPrEx>
          <w:tblCellMar>
            <w:top w:w="0" w:type="dxa"/>
            <w:left w:w="0" w:type="dxa"/>
            <w:bottom w:w="0" w:type="dxa"/>
            <w:right w:w="0" w:type="dxa"/>
          </w:tblCellMar>
        </w:tblPrEx>
        <w:trPr>
          <w:trHeight w:val="1042"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党派成员对统战工作的高度认可</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使党派成员能感受到共产党领导的坚定性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党派成员从思想、行动上表达了对共产党领导的认可</w:t>
            </w:r>
          </w:p>
        </w:tc>
      </w:tr>
    </w:tbl>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新的社会阶层数据调查及非公经济党组建设非公经济综合评论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中国共产党广元市利州区委员会统一战线工作部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引导全区非公经济工作顺利开展。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正确引导全区非公经济发展，完成了2万元的资金规范使用。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提高非公经济对党的正确认识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召开非公经济代表人士培训会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已完成相关培训</w:t>
            </w:r>
          </w:p>
        </w:tc>
      </w:tr>
      <w:tr>
        <w:tblPrEx>
          <w:tblCellMar>
            <w:top w:w="0" w:type="dxa"/>
            <w:left w:w="0" w:type="dxa"/>
            <w:bottom w:w="0" w:type="dxa"/>
            <w:right w:w="0" w:type="dxa"/>
          </w:tblCellMar>
        </w:tblPrEx>
        <w:trPr>
          <w:trHeight w:val="12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对全区非公经济组织建设提供意见</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对全区非公经济进行调研，对其组织建设提供意见建议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已完成部分组织建设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非公经济人士对统战工作的高度认可</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使非公经济人士能感受到共产党领导的坚定性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非公经济代表人士从思想、行动上表达了对共产党领导的认可</w:t>
            </w:r>
          </w:p>
        </w:tc>
      </w:tr>
    </w:tbl>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无党派知识分子工作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中国共产党广元市利州区委员会统一战线工作部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提高党外知识分子思想认识，始终与党中央保持一致。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正确引导党外知识分子，积极开展党外知识分子工作，完成了3万元的资金规范使用。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提高党外知识分子对党的正确认识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通过多种形式开展思想教育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已完成相关学习工作</w:t>
            </w:r>
          </w:p>
        </w:tc>
      </w:tr>
      <w:tr>
        <w:tblPrEx>
          <w:tblCellMar>
            <w:top w:w="0" w:type="dxa"/>
            <w:left w:w="0" w:type="dxa"/>
            <w:bottom w:w="0" w:type="dxa"/>
            <w:right w:w="0" w:type="dxa"/>
          </w:tblCellMar>
        </w:tblPrEx>
        <w:trPr>
          <w:trHeight w:val="12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对党外知识分子队伍建设提供意见</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对全区党外知识分子结构开展调研，对其队伍建设提供意见建议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已提出相关意见建议，并逐步实施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提高党外知识分子对统战工作的满意度</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使党外知识分子能感受到共产党领导的坚定性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党外知识分子对统战工作高度认可</w:t>
            </w:r>
          </w:p>
        </w:tc>
      </w:tr>
    </w:tbl>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kern w:val="0"/>
                <w:sz w:val="24"/>
                <w:lang w:val="en-US" w:eastAsia="zh-CN"/>
              </w:rPr>
              <w:t>台联、新联会、知联会工作经费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中国共产党广元市利州区委员会统一战线工作部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引导台联、新联会、知联会成员提升素质，为经济社会发展献计出力。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保障了台联、新联会、知联会工作开展，完成了15万元资金的规范使用。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提高</w:t>
            </w:r>
            <w:r>
              <w:rPr>
                <w:rFonts w:hint="eastAsia" w:ascii="宋体" w:hAnsi="宋体" w:cs="宋体"/>
                <w:color w:val="000000"/>
                <w:sz w:val="24"/>
                <w:lang w:val="en-US" w:eastAsia="zh-CN"/>
              </w:rPr>
              <w:t>台联、新联会、知联会成员素质</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举办以提升素质为主题的培训班一期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于2019年8月举办一期培训</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指导</w:t>
            </w:r>
            <w:r>
              <w:rPr>
                <w:rFonts w:hint="eastAsia" w:ascii="宋体" w:hAnsi="宋体" w:cs="宋体"/>
                <w:color w:val="000000"/>
                <w:sz w:val="24"/>
                <w:lang w:val="en-US" w:eastAsia="zh-CN"/>
              </w:rPr>
              <w:t>台联、新联会、知联会开展工作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三个统战团体工作开展有序进行，为经济社会发展作贡献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三个统战团体能在统战部的指导下开展工作，起到一定的引领作用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团体成员对统战工作的满意度</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使</w:t>
            </w:r>
            <w:r>
              <w:rPr>
                <w:rFonts w:hint="eastAsia" w:ascii="宋体" w:hAnsi="宋体" w:cs="宋体"/>
                <w:color w:val="000000"/>
                <w:sz w:val="24"/>
                <w:lang w:val="en-US" w:eastAsia="zh-CN"/>
              </w:rPr>
              <w:t>三个统战团体成员</w:t>
            </w:r>
            <w:r>
              <w:rPr>
                <w:rFonts w:hint="eastAsia" w:ascii="宋体" w:hAnsi="宋体" w:cs="宋体"/>
                <w:color w:val="000000"/>
                <w:sz w:val="24"/>
              </w:rPr>
              <w:t>能感受到共产党领导的坚定性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团体成员</w:t>
            </w:r>
            <w:r>
              <w:rPr>
                <w:rFonts w:hint="eastAsia" w:ascii="宋体" w:hAnsi="宋体" w:cs="宋体"/>
                <w:color w:val="000000"/>
                <w:sz w:val="24"/>
              </w:rPr>
              <w:t>对统战工作高度认可</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年部门整体支出绩效评价情况开展自评，《中国共产党广元市利州区委员会统一战线工作部201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本部门自行组织对早期归国华侨生活补助项目、九广合作及党派团体工作项目、新的社会阶层数据调查及非公经济党组建设非公经济综合评论项目、无党派知识分子工作项目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台联、新联会、知联会工作</w:t>
      </w:r>
      <w:r>
        <w:rPr>
          <w:rFonts w:hint="eastAsia" w:ascii="仿宋_GB2312" w:hAnsi="仿宋_GB2312" w:eastAsia="仿宋_GB2312" w:cs="仿宋_GB2312"/>
          <w:sz w:val="32"/>
          <w:szCs w:val="32"/>
        </w:rPr>
        <w:t>开展了绩效评价，《项目201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4" w:name="_Toc15396613"/>
      <w:bookmarkStart w:id="55"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4"/>
      <w:bookmarkEnd w:id="55"/>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bookmarkStart w:id="56"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9.</w:t>
      </w:r>
      <w:r>
        <w:rPr>
          <w:rFonts w:hint="eastAsia" w:ascii="仿宋_GB2312" w:hAnsi="Calibri" w:eastAsia="仿宋_GB2312" w:cs="仿宋"/>
          <w:color w:val="000000"/>
          <w:kern w:val="0"/>
          <w:sz w:val="32"/>
          <w:szCs w:val="32"/>
        </w:rPr>
        <w:t>一般公共服务（类）201（款）34（项）01：指中国共产党统战部门的事务的基本支出。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10.</w:t>
      </w:r>
      <w:r>
        <w:rPr>
          <w:rFonts w:hint="eastAsia" w:ascii="仿宋_GB2312" w:hAnsi="Calibri" w:eastAsia="仿宋_GB2312" w:cs="仿宋"/>
          <w:color w:val="000000"/>
          <w:kern w:val="0"/>
          <w:sz w:val="32"/>
          <w:szCs w:val="32"/>
        </w:rPr>
        <w:t xml:space="preserve"> 一般公共服务（类）201（款）34（项）02：指中国共产党统战部门的未单独设置项级科目的其他项目支出。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11.社会保障和就业（类）208（款）05（项）05：指机关事业单位实施养老保险制度由单位缴纳的基本养老保险费支出。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2</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 xml:space="preserve"> 社会保障和就业（类）208（款）05（项）06：指机关事业单位实施养老保险制度由单位实际缴纳的职业年金支出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医疗卫生与计划生育（类）210（款）11（项）01：指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4</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农林水（类）213（款）05（项）99：指其他用于扶贫方面的支出。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住房保障（类）221（款）02（项）01：指行政事业单位按人力资源和社会保障部、财政部规定的基本工资和津贴补贴以及规定比例为职工缴纳的住房公积金。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57"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黑体" w:hAnsi="黑体" w:eastAsia="黑体" w:cs="方正小标宋简体"/>
          <w:sz w:val="36"/>
          <w:szCs w:val="36"/>
          <w:lang w:val="zh-CN"/>
        </w:rPr>
      </w:pPr>
      <w:r>
        <w:rPr>
          <w:rFonts w:hint="eastAsia" w:ascii="黑体" w:hAnsi="黑体" w:eastAsia="黑体" w:cs="方正小标宋简体"/>
          <w:sz w:val="36"/>
          <w:szCs w:val="36"/>
        </w:rPr>
        <w:t>中国共产党广元市利州区委员会统一战线工作部2019年部门</w:t>
      </w:r>
      <w:r>
        <w:rPr>
          <w:rFonts w:hint="eastAsia" w:ascii="黑体" w:hAnsi="黑体" w:eastAsia="黑体" w:cs="方正小标宋简体"/>
          <w:sz w:val="36"/>
          <w:szCs w:val="36"/>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：中国共产党广元市利州区委员会统一战线工作部是区委联系统一战线的职能机关，本单位属独立编制机构，属一级预算单位，无下属单位。</w:t>
      </w:r>
    </w:p>
    <w:p>
      <w:pPr>
        <w:overflowPunct w:val="0"/>
        <w:spacing w:line="576" w:lineRule="exact"/>
        <w:ind w:firstLine="640" w:firstLineChars="200"/>
        <w:rPr>
          <w:rFonts w:hint="eastAsia" w:ascii="仿宋" w:hAnsi="仿宋" w:eastAsia="仿宋" w:cs="Times New Roman"/>
          <w:bCs/>
          <w:color w:val="000000"/>
          <w:kern w:val="0"/>
          <w:sz w:val="32"/>
          <w:szCs w:val="32"/>
          <w:lang w:val="en-US" w:eastAsia="zh-CN" w:bidi="ar-SA"/>
        </w:rPr>
      </w:pPr>
      <w:r>
        <w:rPr>
          <w:rFonts w:ascii="仿宋" w:hAnsi="仿宋" w:eastAsia="仿宋" w:cs="仿宋_GB2312"/>
          <w:sz w:val="32"/>
          <w:szCs w:val="32"/>
        </w:rPr>
        <w:t>（二）机构职能</w:t>
      </w:r>
      <w:r>
        <w:rPr>
          <w:rFonts w:hint="eastAsia" w:ascii="仿宋" w:hAnsi="仿宋" w:eastAsia="仿宋" w:cs="仿宋_GB2312"/>
          <w:sz w:val="32"/>
          <w:szCs w:val="32"/>
        </w:rPr>
        <w:t>：</w:t>
      </w:r>
      <w:r>
        <w:rPr>
          <w:rFonts w:hint="eastAsia" w:ascii="方正仿宋简体" w:eastAsia="方正仿宋简体" w:cs="仿宋"/>
          <w:b/>
          <w:bCs/>
          <w:color w:val="000000"/>
          <w:sz w:val="32"/>
          <w:szCs w:val="32"/>
        </w:rPr>
        <w:t xml:space="preserve"> </w:t>
      </w:r>
      <w:r>
        <w:rPr>
          <w:rFonts w:hint="eastAsia" w:ascii="仿宋" w:hAnsi="仿宋" w:eastAsia="仿宋" w:cs="Times New Roman"/>
          <w:bCs/>
          <w:color w:val="000000"/>
          <w:kern w:val="0"/>
          <w:sz w:val="32"/>
          <w:szCs w:val="32"/>
          <w:lang w:val="en-US" w:eastAsia="zh-CN" w:bidi="ar-SA"/>
        </w:rPr>
        <w:t>1、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落实党中央和省委、市委、区委关于统一战线工作重大决策部署，巩固壮大最广泛的统一战线。</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2、研究拟订统一战线工作的政策并推动落实，深入调查研究，及时向区委报告统一战线工作情况并提出建议，统筹协调和指导各乡镇（街道）、各部门（单位）统一战线工作。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负责发现、培养党外代表人士，制定党外干部培养规划，负责党外人士的政治安排，会同有关部门做好安排党外人士担任政府和司法机关等领导职务的工作，推动高等学校、人民团体、科研院所、国有企业党外干部安排工作。协助民主党派支委、区工商联做好干部管理工作，反映和协调解决党外代表人士工作生活中的实际困难。</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贯彻落实党的宣传工作方针，统筹推进全区统一战线宣传和意识形态工作，组织贯彻落实党中央、省委、市委、区委统一战线宣传工作政策和规划，统筹推进网络统战工作，研判涉及统一战线的舆情并协调有关部门应对处置。</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5、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6、贯彻落实党的民族工作方针，研究拟订民族工作中的政策和重大措施，协调处理民族工作中的重大问题，协调做好少数民族干部工作。依法管理民族事务，全面促进民族事业发展。</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7、贯彻落实党的宗教工作基本方针和政策，研究拟订宗教工作的政策措施并督促落实。依法管理宗教事务，保护公民宗教信仰自由和正常的宗教活动，维护宗教界合法权益，抵御境外利用宗教进行渗透，引导各宗教坚持中国化方向，巩固和发展同宗教界的爱国统一战线。</w:t>
      </w:r>
    </w:p>
    <w:p>
      <w:pPr>
        <w:overflowPunct w:val="0"/>
        <w:spacing w:line="576"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8、规范民间信仰活动，依法管理民间信仰，维护民间信仰信众的合法权益；挖掘民间信仰中的优秀传统文化资源，引导民间信仰信众爱国守法、团结友善，服务社会、维护和谐。</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9、负责联系、培养无党派代表人士，支持、帮助无党派人士加强自身建设、发挥作用。调查研究全区党外知识分子情况并提出政策建议，联系、培养党外知识分子代表人士，开展思想政治工作，指导高等学校、科研院所、国有企业等有关单位开展统战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10、负责联系、培养新的社会阶层代表人士，支持、帮助新的社会阶层人士加强自身建设、发挥作用。调查研究全区新的社会阶层人士情况并提出政策建议，开展思想政治工作，指导社会组织开展新的社会阶层人士统战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11、承担全区非公有制经济协调工作，负责全区非公有制经济代表人士工作，参与制定、推动落实鼓励支持引导非公有制经济发展的政策，调查研究全区非公有制经济人士情况并提出政策建议，了解和反映非公有制经济人士的意见，团结、服务、引导、教育非公有制经济人士，促进非公有制经济健康发展和非公有制经济人士健康成长。</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12、统一领导港澳统战工作。牵头开展港澳统战工作，贯彻落实党的海外统战工作政策和规划并组织协调、督促检查落实，会同有关部门对香港、澳门地区统一战线工作进行调查研究并提出政策建议，联系香港、澳门有关党派、团体及代表人士。</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13、统一管理台湾事务工作。贯彻落实党的对台工作方针政策，研究、拟订全区对台工作计划，经批准后组织实施。组织、指导、管理、协调区级部门（单位）和各乡镇（街道）对台工作，指导我区各民主党派、工商联和其他人民团体有关重点人物、重大活动等方面的涉台工作。调查研究台湾形势和两岸关系发展动向及利台交流合作、人员往来发展情况，提出对策建议。开展利台交流联络活动，会同有关部门协调指导我区对台经贸工作和金融、文化、学术、体育、科技、卫生等各个领域的交流与合作，以及利台人员往来、考察、研讨等工作。指导全区对台宣传、涉台教育，负责有关台湾工作的新闻发布。统筹协调全区涉台法律事务，会同有关部门依法开展涉台权益保护工作。负责区委对台工作领导小组办公室日常工作。指导全区台胞台属联谊会工作。</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14、统一管理侨务工作，贯彻落实党的侨务工作方针政策，拟订全区侨务工作规划并组织协调、督促检查落实，调查研究侨情和侨务工作情况，管理侨务事务，统筹协调有关部门和社会团体涉侨工作，联系海外有关侨团和代表人士，负责海外侨胞代表人士在相关统战团体的安排，指导推动涉侨宣传、文化交流、华文教育工作等，保护华侨和归侨侨眷在区内的合法权利和利益。</w:t>
      </w:r>
    </w:p>
    <w:p>
      <w:pPr>
        <w:overflowPunct w:val="0"/>
        <w:spacing w:line="576" w:lineRule="exact"/>
        <w:ind w:firstLine="64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15、受区委委托，领导区工商联党组，指导工商联工作。统一领导区民族宗教事务工作。做好统一战线有关单位和团体及事业单位的管理工作。</w:t>
      </w:r>
    </w:p>
    <w:p>
      <w:pPr>
        <w:overflowPunct w:val="0"/>
        <w:spacing w:line="576" w:lineRule="exact"/>
        <w:ind w:firstLine="640"/>
        <w:rPr>
          <w:rFonts w:ascii="仿宋" w:hAnsi="仿宋" w:eastAsia="仿宋"/>
          <w:bCs/>
          <w:color w:val="000000"/>
          <w:sz w:val="32"/>
          <w:szCs w:val="32"/>
        </w:rPr>
      </w:pPr>
      <w:r>
        <w:rPr>
          <w:rFonts w:hint="eastAsia" w:ascii="仿宋" w:hAnsi="仿宋" w:eastAsia="仿宋" w:cs="Times New Roman"/>
          <w:bCs/>
          <w:color w:val="000000"/>
          <w:kern w:val="0"/>
          <w:sz w:val="32"/>
          <w:szCs w:val="32"/>
          <w:lang w:val="en-US" w:eastAsia="zh-CN" w:bidi="ar-SA"/>
        </w:rPr>
        <w:t>16、完成区委交办的其他任务。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：本单位共有编制数1</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名，其中行政编制8名，事业编制</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名。实有人员</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名，其中行政人员</w:t>
      </w:r>
      <w:r>
        <w:rPr>
          <w:rFonts w:hint="eastAsia" w:ascii="仿宋" w:hAnsi="仿宋" w:eastAsia="仿宋" w:cs="仿宋_GB2312"/>
          <w:sz w:val="32"/>
          <w:szCs w:val="32"/>
          <w:lang w:val="en-US" w:eastAsia="zh-CN"/>
        </w:rPr>
        <w:t>13</w:t>
      </w:r>
      <w:r>
        <w:rPr>
          <w:rFonts w:hint="eastAsia" w:ascii="仿宋" w:hAnsi="仿宋" w:eastAsia="仿宋" w:cs="仿宋_GB2312"/>
          <w:sz w:val="32"/>
          <w:szCs w:val="32"/>
        </w:rPr>
        <w:t>名，事业人员2名。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317.91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317.91</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；政府性基金预算财政拨款收入0万元；国有资本经营预算财政拨款收入0万元；事业收入0万元；经营收入0万元；附属单位上缴收入0万元；其他收入0万元。</w:t>
      </w:r>
    </w:p>
    <w:p>
      <w:p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312.83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217.18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69.42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95.65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30.58</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成立了以常务副部长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95%以上，个别工作在实施中未全部完成，存在暂未支付资金现象。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本单位整体预算管理情况良好，各种资金使用公正公开，不徇私舞弊，不违规违纪。受到统战对象的高度认可，让他们感受到了党的关怀。</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年区委统战部在区委的领导下，在市委统战部的指导下，顺利完成了绩效目标考核，并取得优异成绩。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：在资金使用上有未严格按照用途进行分配使用现象。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：下一步单位财务工作人员要严格把关，确保各项资金正确使用，遵守资金使用制度，杜绝违规违纪现象。</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58" w:name="_Toc15396617"/>
      <w:r>
        <w:rPr>
          <w:rStyle w:val="25"/>
          <w:rFonts w:hint="eastAsia" w:ascii="仿宋" w:hAnsi="仿宋" w:eastAsia="仿宋"/>
          <w:b w:val="0"/>
          <w:bCs w:val="0"/>
          <w:sz w:val="32"/>
          <w:szCs w:val="32"/>
        </w:rPr>
        <w:t>附件2</w:t>
      </w:r>
      <w:bookmarkEnd w:id="5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年早期归国华侨生活补助支出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早期归国华侨生活补助支出项目是党和政府为进一步体现对早期归国并作出贡献华侨的关心关怀，为提高老人生活质量，安享晚年生活提供的生活补助。 我区有四位老人享受该项待遇，分别是古里、石宏、林万卷、陈巧凤。</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该项目得到四位早期归国华侨的高度认可，感受到了党的关心关怀。</w:t>
      </w:r>
    </w:p>
    <w:p>
      <w:pPr>
        <w:spacing w:line="580" w:lineRule="exact"/>
        <w:ind w:firstLine="720" w:firstLineChars="200"/>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得分</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按时拨付情况</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4分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6分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10分</w:t>
            </w:r>
          </w:p>
        </w:tc>
        <w:tc>
          <w:tcPr>
            <w:tcW w:w="2268"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根据《四川省人民政府外事任务办公室 四川省财政厅关于发放早期归国华侨生活补助的通知》川外侨发〔2017〕9号文件要求，经区委、区政府同意，向我区早期归国华侨古里、石宏、林万卷、陈巧凤发放每人每月500元生活补助，并从2017年起执行。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年该项目合计</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万元，早期归国华侨古里、石宏、林万卷、陈巧凤每人每月500元生活补助标准，年终一次性发放。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该项目已在201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年实施，四位老人对党的关心表示了</w:t>
      </w:r>
      <w:r>
        <w:rPr>
          <w:rFonts w:hint="eastAsia" w:ascii="仿宋" w:hAnsi="仿宋" w:eastAsia="仿宋" w:cs="仿宋_GB2312"/>
          <w:sz w:val="32"/>
          <w:szCs w:val="32"/>
          <w:lang w:eastAsia="zh-CN"/>
        </w:rPr>
        <w:t>衷心感谢</w:t>
      </w:r>
      <w:r>
        <w:rPr>
          <w:rFonts w:hint="eastAsia" w:ascii="仿宋" w:hAnsi="仿宋" w:eastAsia="仿宋" w:cs="仿宋_GB2312"/>
          <w:sz w:val="32"/>
          <w:szCs w:val="32"/>
        </w:rPr>
        <w:t>，表示要引导家人感恩祖国，为地方经济建设作贡献。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根据当今社会生活水平，补助标准偏低。</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我单位将实时了解掌握老人生活、身体情况，及时向区委汇报，协调财政部门在适当的时候提高补助标准。</w:t>
      </w:r>
    </w:p>
    <w:p>
      <w:pPr>
        <w:spacing w:line="580" w:lineRule="exact"/>
        <w:ind w:firstLine="640" w:firstLineChars="200"/>
        <w:rPr>
          <w:rFonts w:ascii="仿宋" w:hAnsi="仿宋" w:eastAsia="仿宋" w:cs="仿宋_GB2312"/>
          <w:sz w:val="32"/>
          <w:szCs w:val="32"/>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年九广合作及党派团体工作项目支出绩效评价报告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广合作及党派团体工作是为保障区级民主党派组织民革、民盟、民建、民进、农工民主党和九三学社工作顺利开展，以及九广合作相关项目工作开展，而预算的财政资金。民主党派在资金使用中制定使用办法，严格按照要求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全区6个民主党派能得到资金使用保障，并为统一战线工作作出积极贡献。</w:t>
      </w: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党派满意度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民 革</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民 盟</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民 建</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民 进</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农工民主党</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九三学社</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9</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广合作及党派团体工作属财政资金常年预算项目，是为保障区级民主党派组织民革、民盟、民建、民进、农工民主党和九三学社工作顺利开展，保障九广合作相关项目工作开展，而预算的财政资金。以此保证民主监督和政治协商工作的顺利进行，具有鲜明的目的性和政策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九广合作及党派团体工作资金总共预算</w:t>
      </w:r>
      <w:r>
        <w:rPr>
          <w:rFonts w:hint="eastAsia" w:ascii="仿宋" w:hAnsi="仿宋" w:eastAsia="仿宋" w:cs="仿宋_GB2312"/>
          <w:sz w:val="32"/>
          <w:szCs w:val="32"/>
          <w:lang w:val="en-US" w:eastAsia="zh-CN"/>
        </w:rPr>
        <w:t>35</w:t>
      </w:r>
      <w:r>
        <w:rPr>
          <w:rFonts w:hint="eastAsia" w:ascii="仿宋" w:hAnsi="仿宋" w:eastAsia="仿宋" w:cs="仿宋_GB2312"/>
          <w:sz w:val="32"/>
          <w:szCs w:val="32"/>
        </w:rPr>
        <w:t>万元，实施中采取基本平均原则，按时间进度拨付，年终不拖欠，保证资金到位。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广合作及党派团体工作资金总共预算给6个民主党派，主要保障其工作顺利开展，保证党派成员感受到共产党的关心关怀。该项目的实施提高的广大统战成员对党和政府的满意度，以促使最大限度发挥民主监督作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党派资金在报销过程中存在</w:t>
      </w:r>
      <w:r>
        <w:rPr>
          <w:rFonts w:hint="eastAsia" w:ascii="仿宋" w:hAnsi="仿宋" w:eastAsia="仿宋" w:cs="仿宋_GB2312"/>
          <w:sz w:val="32"/>
          <w:szCs w:val="32"/>
          <w:lang w:val="en-US" w:eastAsia="zh-CN"/>
        </w:rPr>
        <w:t>不规范</w:t>
      </w:r>
      <w:r>
        <w:rPr>
          <w:rFonts w:hint="eastAsia" w:ascii="仿宋" w:hAnsi="仿宋" w:eastAsia="仿宋" w:cs="仿宋_GB2312"/>
          <w:sz w:val="32"/>
          <w:szCs w:val="32"/>
        </w:rPr>
        <w:t>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 xml:space="preserve">制定相应的票据管理规范化制度，严格把控，杜绝不规范现象。 </w:t>
      </w: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年新的社会阶层数据调查及非公经济党组建设非公经济综合评论项目支出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新的社会阶层数据调查及非公经济党组建设非公经济综合评论是为全面掌握非公经济情况，帮助非公经济开展组织建设，而预算的财政资金。本单位在资金使用中制定使用办法，严格按照要求执行。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本单位积极组织协调人员对全区非公经济进行了解，并掌握相关数据，协调组织部门帮扶建立非公经济内的党组织，为非公经济统战工作作出积极贡献。</w:t>
      </w: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非公经济数据调查</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帮扶建立组织</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1.5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9</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新的社会阶层数据调查及非公经济党组建设非公经济综合评论属财政资金常年预算项目，是为对全区非公经济数据有全面的了解，尽可能在符合条件的地方建设党组织，为非公经济的发展提供可行性服务。而预算的财政资金。以此保证非公经济领域的健康有序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新的社会阶层数据调查及非公经济党组建设非公经济综合评论工作资金总共预算2万元，实施中采取先制定使用计划，按先计划后实施原则，按实际发生进行报销，年终不拖欠，保证资金到位。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新的社会阶层数据调查及非公经济党组建设非公经济综合评论工作资金，主要用于了解全区非公经济工作开展情况，保证非公经济领域的健康有序发展。该项目的实施提高了经济统战工作的社会知名度，能</w:t>
      </w:r>
      <w:r>
        <w:rPr>
          <w:rFonts w:hint="eastAsia" w:ascii="仿宋" w:hAnsi="仿宋" w:eastAsia="仿宋" w:cs="仿宋_GB2312"/>
          <w:sz w:val="32"/>
          <w:szCs w:val="32"/>
          <w:lang w:eastAsia="zh-CN"/>
        </w:rPr>
        <w:t>更好地为</w:t>
      </w:r>
      <w:r>
        <w:rPr>
          <w:rFonts w:hint="eastAsia" w:ascii="仿宋" w:hAnsi="仿宋" w:eastAsia="仿宋" w:cs="仿宋_GB2312"/>
          <w:sz w:val="32"/>
          <w:szCs w:val="32"/>
        </w:rPr>
        <w:t>非公经济服务。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在资金使用过程中没有做到专款专用，有挪用现象发生。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 xml:space="preserve">健全资金使用制度，严格资金使用程序，财务人员要严控专项资金使用。 </w:t>
      </w: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年无党派知识分子工作项目支出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无党派知识分子工作是为更好的服务于无党派知识分子队伍，全面掌握无党派知识分子队伍发展情况，帮助队伍建设，而预算的财政资金。本单位在资金使用中制定使用办法，严格按照要求执行。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本单位积极对全区无党派知识分子队伍进行了解，并掌握部分代表人士情况，引导他们发挥个人和团体力量，为全区经济社会发展作贡献。</w:t>
      </w:r>
    </w:p>
    <w:p>
      <w:pPr>
        <w:spacing w:line="580" w:lineRule="exact"/>
        <w:ind w:firstLine="640" w:firstLineChars="200"/>
        <w:rPr>
          <w:rFonts w:ascii="仿宋" w:hAnsi="仿宋" w:eastAsia="仿宋" w:cs="仿宋_GB2312"/>
          <w:sz w:val="32"/>
          <w:szCs w:val="32"/>
        </w:rPr>
      </w:pP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思想引领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3.5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队伍建设</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3</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3</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9.5</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无党派知识分子工作属财政资金常年预算项目，是为对全区无党派知识分子队伍有全面的了解，尽最大可能提高队伍建设质量，</w:t>
      </w:r>
      <w:r>
        <w:rPr>
          <w:rFonts w:hint="eastAsia" w:ascii="仿宋" w:hAnsi="仿宋" w:eastAsia="仿宋" w:cs="仿宋_GB2312"/>
          <w:sz w:val="32"/>
          <w:szCs w:val="32"/>
          <w:lang w:eastAsia="zh-CN"/>
        </w:rPr>
        <w:t>更好地为</w:t>
      </w:r>
      <w:r>
        <w:rPr>
          <w:rFonts w:hint="eastAsia" w:ascii="仿宋" w:hAnsi="仿宋" w:eastAsia="仿宋" w:cs="仿宋_GB2312"/>
          <w:sz w:val="32"/>
          <w:szCs w:val="32"/>
        </w:rPr>
        <w:t>无党派知识分子服务，而预算的财政资金。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无党派知识分子工作工作资金总共预算3万元，实施中采取先制定使用计划，按先计划后实施原则，按实际发生进行报销，年终不拖欠，保证资金到位。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无党派知识分子工作资金，主要用于对全区无党派知识分子队伍有全面的了解，尽最大可能提高队伍建设质量，</w:t>
      </w:r>
      <w:r>
        <w:rPr>
          <w:rFonts w:hint="eastAsia" w:ascii="仿宋" w:hAnsi="仿宋" w:eastAsia="仿宋" w:cs="仿宋_GB2312"/>
          <w:sz w:val="32"/>
          <w:szCs w:val="32"/>
          <w:lang w:eastAsia="zh-CN"/>
        </w:rPr>
        <w:t>更好地为</w:t>
      </w:r>
      <w:r>
        <w:rPr>
          <w:rFonts w:hint="eastAsia" w:ascii="仿宋" w:hAnsi="仿宋" w:eastAsia="仿宋" w:cs="仿宋_GB2312"/>
          <w:sz w:val="32"/>
          <w:szCs w:val="32"/>
        </w:rPr>
        <w:t>无党派知识分子服务，该项目的实施能</w:t>
      </w:r>
      <w:r>
        <w:rPr>
          <w:rFonts w:hint="eastAsia" w:ascii="仿宋" w:hAnsi="仿宋" w:eastAsia="仿宋" w:cs="仿宋_GB2312"/>
          <w:sz w:val="32"/>
          <w:szCs w:val="32"/>
          <w:lang w:eastAsia="zh-CN"/>
        </w:rPr>
        <w:t>更好地为</w:t>
      </w:r>
      <w:r>
        <w:rPr>
          <w:rFonts w:hint="eastAsia" w:ascii="仿宋" w:hAnsi="仿宋" w:eastAsia="仿宋" w:cs="仿宋_GB2312"/>
          <w:sz w:val="32"/>
          <w:szCs w:val="32"/>
        </w:rPr>
        <w:t>党外知识分子队伍服务。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在资金使用过程中没有做到专款专用，有挪用现象发生。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 xml:space="preserve">健全资金使用制度，严格资金使用程序，财务人员要严控专项资金使用。 </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val="en-US" w:eastAsia="zh-CN"/>
        </w:rPr>
        <w:t>台联、新联会、知联会</w:t>
      </w:r>
      <w:r>
        <w:rPr>
          <w:rFonts w:hint="eastAsia" w:ascii="黑体" w:hAnsi="黑体" w:eastAsia="黑体" w:cs="方正小标宋简体"/>
          <w:sz w:val="44"/>
          <w:szCs w:val="44"/>
        </w:rPr>
        <w:t>工作项目支出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台联、新联会、知联会三个统战团体</w:t>
      </w:r>
      <w:r>
        <w:rPr>
          <w:rFonts w:hint="eastAsia" w:ascii="仿宋" w:hAnsi="仿宋" w:eastAsia="仿宋" w:cs="仿宋_GB2312"/>
          <w:sz w:val="32"/>
          <w:szCs w:val="32"/>
        </w:rPr>
        <w:t>工作是为更好的服务于</w:t>
      </w:r>
      <w:r>
        <w:rPr>
          <w:rFonts w:hint="eastAsia" w:ascii="仿宋" w:hAnsi="仿宋" w:eastAsia="仿宋" w:cs="仿宋_GB2312"/>
          <w:sz w:val="32"/>
          <w:szCs w:val="32"/>
          <w:lang w:val="en-US" w:eastAsia="zh-CN"/>
        </w:rPr>
        <w:t>统战团体成员</w:t>
      </w:r>
      <w:r>
        <w:rPr>
          <w:rFonts w:hint="eastAsia" w:ascii="仿宋" w:hAnsi="仿宋" w:eastAsia="仿宋" w:cs="仿宋_GB2312"/>
          <w:sz w:val="32"/>
          <w:szCs w:val="32"/>
        </w:rPr>
        <w:t>，全面掌握</w:t>
      </w:r>
      <w:r>
        <w:rPr>
          <w:rFonts w:hint="eastAsia" w:ascii="仿宋" w:hAnsi="仿宋" w:eastAsia="仿宋" w:cs="仿宋_GB2312"/>
          <w:sz w:val="32"/>
          <w:szCs w:val="32"/>
          <w:lang w:val="en-US" w:eastAsia="zh-CN"/>
        </w:rPr>
        <w:t>成员</w:t>
      </w:r>
      <w:r>
        <w:rPr>
          <w:rFonts w:hint="eastAsia" w:ascii="仿宋" w:hAnsi="仿宋" w:eastAsia="仿宋" w:cs="仿宋_GB2312"/>
          <w:sz w:val="32"/>
          <w:szCs w:val="32"/>
        </w:rPr>
        <w:t>情况，帮助队伍建设，而预算的财政资金。本单位在资金使用中制定使用办法，严格按照要求执行。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本单位积极对全区</w:t>
      </w:r>
      <w:r>
        <w:rPr>
          <w:rFonts w:hint="eastAsia" w:ascii="仿宋" w:hAnsi="仿宋" w:eastAsia="仿宋" w:cs="仿宋_GB2312"/>
          <w:sz w:val="32"/>
          <w:szCs w:val="32"/>
          <w:lang w:val="en-US" w:eastAsia="zh-CN"/>
        </w:rPr>
        <w:t>三个统战团体成员</w:t>
      </w:r>
      <w:r>
        <w:rPr>
          <w:rFonts w:hint="eastAsia" w:ascii="仿宋" w:hAnsi="仿宋" w:eastAsia="仿宋" w:cs="仿宋_GB2312"/>
          <w:sz w:val="32"/>
          <w:szCs w:val="32"/>
        </w:rPr>
        <w:t>进行了解，并掌握部分代表人士情况，引导他们发挥个人和团体力量，为全区经济社会发展作贡献。</w:t>
      </w:r>
    </w:p>
    <w:p>
      <w:pPr>
        <w:spacing w:line="580" w:lineRule="exact"/>
        <w:ind w:firstLine="640" w:firstLineChars="200"/>
        <w:rPr>
          <w:rFonts w:ascii="仿宋" w:hAnsi="仿宋" w:eastAsia="仿宋" w:cs="仿宋_GB2312"/>
          <w:sz w:val="32"/>
          <w:szCs w:val="32"/>
        </w:rPr>
      </w:pPr>
    </w:p>
    <w:p>
      <w:pPr>
        <w:spacing w:line="580" w:lineRule="exact"/>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 分</w:t>
            </w:r>
          </w:p>
        </w:tc>
        <w:tc>
          <w:tcPr>
            <w:tcW w:w="2841"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lang w:val="en-US" w:eastAsia="zh-CN"/>
              </w:rPr>
              <w:t>政治</w:t>
            </w:r>
            <w:r>
              <w:rPr>
                <w:rFonts w:hint="eastAsia" w:ascii="仿宋" w:hAnsi="仿宋" w:eastAsia="仿宋" w:cs="仿宋_GB2312"/>
                <w:sz w:val="32"/>
                <w:szCs w:val="32"/>
              </w:rPr>
              <w:t>思想引领</w:t>
            </w:r>
          </w:p>
        </w:tc>
        <w:tc>
          <w:tcPr>
            <w:tcW w:w="2841" w:type="dxa"/>
          </w:tcPr>
          <w:p>
            <w:pPr>
              <w:spacing w:line="580" w:lineRule="exact"/>
              <w:jc w:val="center"/>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4</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lang w:val="en-US" w:eastAsia="zh-CN"/>
              </w:rPr>
              <w:t>成员</w:t>
            </w:r>
            <w:r>
              <w:rPr>
                <w:rFonts w:hint="eastAsia" w:ascii="仿宋" w:hAnsi="仿宋" w:eastAsia="仿宋" w:cs="仿宋_GB2312"/>
                <w:sz w:val="32"/>
                <w:szCs w:val="32"/>
              </w:rPr>
              <w:t>队伍建设</w:t>
            </w:r>
          </w:p>
        </w:tc>
        <w:tc>
          <w:tcPr>
            <w:tcW w:w="2841" w:type="dxa"/>
          </w:tcPr>
          <w:p>
            <w:pPr>
              <w:spacing w:line="580" w:lineRule="exact"/>
              <w:jc w:val="center"/>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3.5</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841" w:type="dxa"/>
          </w:tcPr>
          <w:p>
            <w:pPr>
              <w:spacing w:line="580" w:lineRule="exact"/>
              <w:jc w:val="center"/>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w:t>
            </w:r>
          </w:p>
        </w:tc>
        <w:tc>
          <w:tcPr>
            <w:tcW w:w="2841" w:type="dxa"/>
          </w:tcPr>
          <w:p>
            <w:pPr>
              <w:spacing w:line="58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  计</w:t>
            </w:r>
          </w:p>
        </w:tc>
        <w:tc>
          <w:tcPr>
            <w:tcW w:w="2841" w:type="dxa"/>
          </w:tcPr>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9.5</w:t>
            </w:r>
          </w:p>
        </w:tc>
        <w:tc>
          <w:tcPr>
            <w:tcW w:w="2841"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台联、新联会、知联会</w:t>
      </w:r>
      <w:r>
        <w:rPr>
          <w:rFonts w:hint="eastAsia" w:ascii="仿宋" w:hAnsi="仿宋" w:eastAsia="仿宋" w:cs="仿宋_GB2312"/>
          <w:sz w:val="32"/>
          <w:szCs w:val="32"/>
        </w:rPr>
        <w:t>工作属财政资金常年预算项目，是为对全区</w:t>
      </w:r>
      <w:r>
        <w:rPr>
          <w:rFonts w:hint="eastAsia" w:ascii="仿宋" w:hAnsi="仿宋" w:eastAsia="仿宋" w:cs="仿宋_GB2312"/>
          <w:sz w:val="32"/>
          <w:szCs w:val="32"/>
          <w:lang w:val="en-US" w:eastAsia="zh-CN"/>
        </w:rPr>
        <w:t>统战团体成员</w:t>
      </w:r>
      <w:r>
        <w:rPr>
          <w:rFonts w:hint="eastAsia" w:ascii="仿宋" w:hAnsi="仿宋" w:eastAsia="仿宋" w:cs="仿宋_GB2312"/>
          <w:sz w:val="32"/>
          <w:szCs w:val="32"/>
        </w:rPr>
        <w:t>队伍有全面的了解，尽最大可能提高队伍建设质量，</w:t>
      </w:r>
      <w:r>
        <w:rPr>
          <w:rFonts w:hint="eastAsia" w:ascii="仿宋" w:hAnsi="仿宋" w:eastAsia="仿宋" w:cs="仿宋_GB2312"/>
          <w:sz w:val="32"/>
          <w:szCs w:val="32"/>
          <w:lang w:eastAsia="zh-CN"/>
        </w:rPr>
        <w:t>更好地为</w:t>
      </w:r>
      <w:r>
        <w:rPr>
          <w:rFonts w:hint="eastAsia" w:ascii="仿宋" w:hAnsi="仿宋" w:eastAsia="仿宋" w:cs="仿宋_GB2312"/>
          <w:sz w:val="32"/>
          <w:szCs w:val="32"/>
          <w:lang w:val="en-US" w:eastAsia="zh-CN"/>
        </w:rPr>
        <w:t>统一战线</w:t>
      </w:r>
      <w:r>
        <w:rPr>
          <w:rFonts w:hint="eastAsia" w:ascii="仿宋" w:hAnsi="仿宋" w:eastAsia="仿宋" w:cs="仿宋_GB2312"/>
          <w:sz w:val="32"/>
          <w:szCs w:val="32"/>
        </w:rPr>
        <w:t>服务，而预算的财政资金。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台联、新联会、知联会</w:t>
      </w:r>
      <w:r>
        <w:rPr>
          <w:rFonts w:hint="eastAsia" w:ascii="仿宋" w:hAnsi="仿宋" w:eastAsia="仿宋" w:cs="仿宋_GB2312"/>
          <w:sz w:val="32"/>
          <w:szCs w:val="32"/>
        </w:rPr>
        <w:t>工作资金总共预算</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万元，实施中采取先制定使用计划，按先计划后实施原则，按实际发生进行报销，年终不拖欠，保证资金到位。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台联、新联会、知联会</w:t>
      </w:r>
      <w:r>
        <w:rPr>
          <w:rFonts w:hint="eastAsia" w:ascii="仿宋" w:hAnsi="仿宋" w:eastAsia="仿宋" w:cs="仿宋_GB2312"/>
          <w:sz w:val="32"/>
          <w:szCs w:val="32"/>
        </w:rPr>
        <w:t>工作资金，主要用于对全区</w:t>
      </w:r>
      <w:r>
        <w:rPr>
          <w:rFonts w:hint="eastAsia" w:ascii="仿宋" w:hAnsi="仿宋" w:eastAsia="仿宋" w:cs="仿宋_GB2312"/>
          <w:sz w:val="32"/>
          <w:szCs w:val="32"/>
          <w:lang w:val="en-US" w:eastAsia="zh-CN"/>
        </w:rPr>
        <w:t>统战成员</w:t>
      </w:r>
      <w:r>
        <w:rPr>
          <w:rFonts w:hint="eastAsia" w:ascii="仿宋" w:hAnsi="仿宋" w:eastAsia="仿宋" w:cs="仿宋_GB2312"/>
          <w:sz w:val="32"/>
          <w:szCs w:val="32"/>
        </w:rPr>
        <w:t>队伍有全面的了解，尽最大可能提高队伍建设质量，该项目的实施能</w:t>
      </w:r>
      <w:r>
        <w:rPr>
          <w:rFonts w:hint="eastAsia" w:ascii="仿宋" w:hAnsi="仿宋" w:eastAsia="仿宋" w:cs="仿宋_GB2312"/>
          <w:sz w:val="32"/>
          <w:szCs w:val="32"/>
          <w:lang w:eastAsia="zh-CN"/>
        </w:rPr>
        <w:t>更好地为</w:t>
      </w:r>
      <w:r>
        <w:rPr>
          <w:rFonts w:hint="eastAsia" w:ascii="仿宋" w:hAnsi="仿宋" w:eastAsia="仿宋" w:cs="仿宋_GB2312"/>
          <w:sz w:val="32"/>
          <w:szCs w:val="32"/>
          <w:lang w:val="en-US" w:eastAsia="zh-CN"/>
        </w:rPr>
        <w:t>统一战线</w:t>
      </w:r>
      <w:r>
        <w:rPr>
          <w:rFonts w:hint="eastAsia" w:ascii="仿宋" w:hAnsi="仿宋" w:eastAsia="仿宋" w:cs="仿宋_GB2312"/>
          <w:sz w:val="32"/>
          <w:szCs w:val="32"/>
        </w:rPr>
        <w:t>队伍服务。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w:t>
      </w:r>
      <w:r>
        <w:rPr>
          <w:rFonts w:hint="eastAsia" w:ascii="仿宋" w:hAnsi="仿宋" w:eastAsia="仿宋" w:cs="仿宋_GB2312"/>
          <w:sz w:val="32"/>
          <w:szCs w:val="32"/>
          <w:lang w:val="en-US" w:eastAsia="zh-CN"/>
        </w:rPr>
        <w:t>资金使用中存在资料不完善现象</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 xml:space="preserve">健全资金使用制度，严格资金使用程序，财务人员要严控专项资金使用。 </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6"/>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F11355"/>
    <w:rsid w:val="10C055FF"/>
    <w:rsid w:val="16BB723D"/>
    <w:rsid w:val="240371BF"/>
    <w:rsid w:val="29FD04D3"/>
    <w:rsid w:val="319F7F4E"/>
    <w:rsid w:val="353E67AD"/>
    <w:rsid w:val="386A3581"/>
    <w:rsid w:val="4D4C5C09"/>
    <w:rsid w:val="4D752939"/>
    <w:rsid w:val="4ECE2238"/>
    <w:rsid w:val="72734D90"/>
    <w:rsid w:val="770A3CA7"/>
    <w:rsid w:val="77447FC2"/>
    <w:rsid w:val="9FDFCCC5"/>
    <w:rsid w:val="ADBF48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年收支对比图</a:t>
            </a:r>
            <a:endParaRPr lang="en-US" altLang="zh-CN"/>
          </a:p>
        </c:rich>
      </c:tx>
      <c:layout/>
      <c:overlay val="false"/>
      <c:spPr>
        <a:noFill/>
        <a:ln>
          <a:noFill/>
        </a:ln>
        <a:effectLst/>
      </c:spPr>
    </c:title>
    <c:autoTitleDeleted val="false"/>
    <c:plotArea>
      <c:layout/>
      <c:barChart>
        <c:barDir val="col"/>
        <c:grouping val="clustered"/>
        <c:varyColors val="false"/>
        <c:ser>
          <c:idx val="0"/>
          <c:order val="0"/>
          <c:tx>
            <c:strRef>
              <c:f>Sheet1!#REF!</c:f>
              <c:strCache>
                <c:ptCount val="1"/>
                <c:pt idx="0">
                  <c:v/>
                </c:pt>
              </c:strCache>
            </c:strRef>
          </c:tx>
          <c:spPr>
            <a:solidFill>
              <a:schemeClr val="accent1"/>
            </a:solidFill>
            <a:ln>
              <a:noFill/>
            </a:ln>
            <a:effectLst/>
          </c:spPr>
          <c:invertIfNegative val="false"/>
          <c:dLbls>
            <c:delete val="true"/>
          </c:dLbls>
          <c:cat>
            <c:strRef>
              <c:f>Sheet1!$A$1:$A$4</c:f>
              <c:strCache>
                <c:ptCount val="4"/>
                <c:pt idx="0">
                  <c:v>2018年收入</c:v>
                </c:pt>
                <c:pt idx="1">
                  <c:v>2019年收入</c:v>
                </c:pt>
                <c:pt idx="2">
                  <c:v>2018年支出</c:v>
                </c:pt>
                <c:pt idx="3">
                  <c:v>2019年支出</c:v>
                </c:pt>
              </c:strCache>
            </c:strRef>
          </c:cat>
          <c:val>
            <c:numRef>
              <c:f>Sheet1!$B$1:$B$4</c:f>
              <c:numCache>
                <c:formatCode>General</c:formatCode>
                <c:ptCount val="4"/>
                <c:pt idx="0">
                  <c:v>2.4</c:v>
                </c:pt>
                <c:pt idx="1">
                  <c:v>5</c:v>
                </c:pt>
                <c:pt idx="2">
                  <c:v>2.3</c:v>
                </c:pt>
                <c:pt idx="3">
                  <c:v>4.6</c:v>
                </c:pt>
              </c:numCache>
            </c:numRef>
          </c:val>
        </c:ser>
        <c:dLbls>
          <c:showLegendKey val="false"/>
          <c:showVal val="false"/>
          <c:showCatName val="false"/>
          <c:showSerName val="false"/>
          <c:showPercent val="false"/>
          <c:showBubbleSize val="false"/>
        </c:dLbls>
        <c:gapWidth val="219"/>
        <c:overlap val="-27"/>
        <c:axId val="254580321"/>
        <c:axId val="749744735"/>
      </c:barChart>
      <c:catAx>
        <c:axId val="25458032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9744735"/>
        <c:crosses val="autoZero"/>
        <c:auto val="true"/>
        <c:lblAlgn val="ctr"/>
        <c:lblOffset val="100"/>
        <c:noMultiLvlLbl val="false"/>
      </c:catAx>
      <c:valAx>
        <c:axId val="749744735"/>
        <c:scaling>
          <c:orientation val="minMax"/>
        </c:scaling>
        <c:delete val="tru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458032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支出情况对比图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6.9</c:v>
                </c:pt>
                <c:pt idx="1">
                  <c:v>3.1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年财政拨款收支对比图</a:t>
            </a:r>
            <a:endParaRPr lang="en-US" altLang="zh-CN"/>
          </a:p>
        </c:rich>
      </c:tx>
      <c:layout/>
      <c:overlay val="false"/>
      <c:spPr>
        <a:noFill/>
        <a:ln>
          <a:noFill/>
        </a:ln>
        <a:effectLst/>
      </c:spPr>
    </c:title>
    <c:autoTitleDeleted val="false"/>
    <c:plotArea>
      <c:layout/>
      <c:barChart>
        <c:barDir val="col"/>
        <c:grouping val="clustered"/>
        <c:varyColors val="false"/>
        <c:ser>
          <c:idx val="0"/>
          <c:order val="0"/>
          <c:tx>
            <c:strRef>
              <c:f>Sheet1!#REF!</c:f>
              <c:strCache>
                <c:ptCount val="1"/>
                <c:pt idx="0">
                  <c:v/>
                </c:pt>
              </c:strCache>
            </c:strRef>
          </c:tx>
          <c:spPr>
            <a:solidFill>
              <a:schemeClr val="accent1"/>
            </a:solidFill>
            <a:ln>
              <a:noFill/>
            </a:ln>
            <a:effectLst/>
          </c:spPr>
          <c:invertIfNegative val="false"/>
          <c:dLbls>
            <c:delete val="true"/>
          </c:dLbls>
          <c:cat>
            <c:strRef>
              <c:f>Sheet1!$A$1:$A$4</c:f>
              <c:strCache>
                <c:ptCount val="4"/>
                <c:pt idx="0">
                  <c:v>2018年收入</c:v>
                </c:pt>
                <c:pt idx="1">
                  <c:v>2019年收入</c:v>
                </c:pt>
                <c:pt idx="2">
                  <c:v>2018年支出</c:v>
                </c:pt>
                <c:pt idx="3">
                  <c:v>2019年支出</c:v>
                </c:pt>
              </c:strCache>
            </c:strRef>
          </c:cat>
          <c:val>
            <c:numRef>
              <c:f>Sheet1!$B$1:$B$4</c:f>
              <c:numCache>
                <c:formatCode>General</c:formatCode>
                <c:ptCount val="4"/>
                <c:pt idx="0">
                  <c:v>2.4</c:v>
                </c:pt>
                <c:pt idx="1">
                  <c:v>5</c:v>
                </c:pt>
                <c:pt idx="2">
                  <c:v>2.3</c:v>
                </c:pt>
                <c:pt idx="3">
                  <c:v>4.6</c:v>
                </c:pt>
              </c:numCache>
            </c:numRef>
          </c:val>
        </c:ser>
        <c:dLbls>
          <c:showLegendKey val="false"/>
          <c:showVal val="false"/>
          <c:showCatName val="false"/>
          <c:showSerName val="false"/>
          <c:showPercent val="false"/>
          <c:showBubbleSize val="false"/>
        </c:dLbls>
        <c:gapWidth val="219"/>
        <c:overlap val="-27"/>
        <c:axId val="254580321"/>
        <c:axId val="749744735"/>
      </c:barChart>
      <c:catAx>
        <c:axId val="25458032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9744735"/>
        <c:crosses val="autoZero"/>
        <c:auto val="true"/>
        <c:lblAlgn val="ctr"/>
        <c:lblOffset val="100"/>
        <c:noMultiLvlLbl val="false"/>
      </c:catAx>
      <c:valAx>
        <c:axId val="749744735"/>
        <c:scaling>
          <c:orientation val="minMax"/>
        </c:scaling>
        <c:delete val="tru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458032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年一般公共预算拨款支出对比图</a:t>
            </a:r>
            <a:endParaRPr lang="en-US" altLang="zh-CN"/>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2018年支出</c:v>
                </c:pt>
                <c:pt idx="1">
                  <c:v>2019年支出</c:v>
                </c:pt>
              </c:strCache>
            </c:strRef>
          </c:cat>
          <c:val>
            <c:numRef>
              <c:f>Sheet1!$B$2:$B$3</c:f>
              <c:numCache>
                <c:formatCode>General</c:formatCode>
                <c:ptCount val="2"/>
                <c:pt idx="0">
                  <c:v>3.9</c:v>
                </c:pt>
                <c:pt idx="1">
                  <c:v>6.2</c:v>
                </c:pt>
              </c:numCache>
            </c:numRef>
          </c:val>
        </c:ser>
        <c:dLbls>
          <c:showLegendKey val="false"/>
          <c:showVal val="false"/>
          <c:showCatName val="false"/>
          <c:showSerName val="false"/>
          <c:showPercent val="false"/>
          <c:showBubbleSize val="false"/>
        </c:dLbls>
        <c:gapWidth val="150"/>
        <c:overlap val="100"/>
        <c:axId val="486487189"/>
        <c:axId val="768992745"/>
      </c:barChart>
      <c:catAx>
        <c:axId val="48648718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68992745"/>
        <c:crosses val="autoZero"/>
        <c:auto val="true"/>
        <c:lblAlgn val="ctr"/>
        <c:lblOffset val="100"/>
        <c:noMultiLvlLbl val="false"/>
      </c:catAx>
      <c:valAx>
        <c:axId val="768992745"/>
        <c:scaling>
          <c:orientation val="minMax"/>
        </c:scaling>
        <c:delete val="tru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648718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一般公共预算财政拨款支出对比图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Sheet1!$A$2:$A$6</c:f>
              <c:strCache>
                <c:ptCount val="5"/>
                <c:pt idx="0">
                  <c:v>一般公共服务支出</c:v>
                </c:pt>
                <c:pt idx="1">
                  <c:v>社会保障和就业支出</c:v>
                </c:pt>
                <c:pt idx="2">
                  <c:v>医疗卫生和计划生育支出</c:v>
                </c:pt>
                <c:pt idx="3">
                  <c:v>农林水支出</c:v>
                </c:pt>
                <c:pt idx="4">
                  <c:v>住房保障支出</c:v>
                </c:pt>
              </c:strCache>
            </c:strRef>
          </c:cat>
          <c:val>
            <c:numRef>
              <c:f>Sheet1!$B$2:$B$6</c:f>
              <c:numCache>
                <c:formatCode>General</c:formatCode>
                <c:ptCount val="5"/>
                <c:pt idx="0">
                  <c:v>86.7</c:v>
                </c:pt>
                <c:pt idx="1">
                  <c:v>6.84</c:v>
                </c:pt>
                <c:pt idx="2">
                  <c:v>6.67</c:v>
                </c:pt>
                <c:pt idx="3">
                  <c:v>0.35</c:v>
                </c:pt>
                <c:pt idx="4">
                  <c:v>3.98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25</TotalTime>
  <ScaleCrop>false</ScaleCrop>
  <LinksUpToDate>false</LinksUpToDate>
  <CharactersWithSpaces>8536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2020-07-23T18:58:00Z</cp:lastPrinted>
  <dcterms:modified xsi:type="dcterms:W3CDTF">2024-05-27T11:56:46Z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