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s="方正小标宋简体"/>
          <w:color w:val="000000"/>
          <w:sz w:val="72"/>
          <w:szCs w:val="72"/>
        </w:rPr>
      </w:pPr>
      <w:bookmarkStart w:id="0" w:name="_Toc15306267"/>
    </w:p>
    <w:p>
      <w:pPr>
        <w:spacing w:line="600" w:lineRule="exact"/>
        <w:jc w:val="center"/>
        <w:outlineLvl w:val="0"/>
        <w:rPr>
          <w:rFonts w:ascii="方正小标宋简体" w:hAnsi="宋体" w:eastAsia="方正小标宋简体" w:cs="方正小标宋简体"/>
          <w:color w:val="000000"/>
          <w:sz w:val="72"/>
          <w:szCs w:val="72"/>
        </w:rPr>
      </w:pPr>
    </w:p>
    <w:p>
      <w:pPr>
        <w:spacing w:line="600" w:lineRule="exact"/>
        <w:jc w:val="center"/>
        <w:outlineLvl w:val="0"/>
        <w:rPr>
          <w:rFonts w:ascii="方正小标宋简体" w:hAnsi="宋体" w:eastAsia="方正小标宋简体" w:cs="方正小标宋简体"/>
          <w:color w:val="000000"/>
          <w:sz w:val="72"/>
          <w:szCs w:val="72"/>
        </w:rPr>
      </w:pPr>
    </w:p>
    <w:p>
      <w:pPr>
        <w:spacing w:line="600" w:lineRule="exact"/>
        <w:jc w:val="center"/>
        <w:outlineLvl w:val="0"/>
        <w:rPr>
          <w:rFonts w:ascii="方正小标宋简体" w:hAnsi="宋体" w:eastAsia="方正小标宋简体" w:cs="方正小标宋简体"/>
          <w:color w:val="000000"/>
          <w:sz w:val="72"/>
          <w:szCs w:val="72"/>
        </w:rPr>
      </w:pPr>
    </w:p>
    <w:p>
      <w:pPr>
        <w:adjustRightInd w:val="0"/>
        <w:snapToGrid w:val="0"/>
        <w:spacing w:line="360" w:lineRule="auto"/>
        <w:jc w:val="center"/>
        <w:outlineLvl w:val="0"/>
        <w:rPr>
          <w:rFonts w:ascii="方正小标宋简体" w:hAnsi="宋体" w:eastAsia="方正小标宋简体" w:cs="方正小标宋简体"/>
          <w:color w:val="000000"/>
          <w:sz w:val="72"/>
          <w:szCs w:val="72"/>
        </w:rPr>
      </w:pPr>
      <w:bookmarkStart w:id="1" w:name="_Toc15377193"/>
      <w:bookmarkStart w:id="2" w:name="_Toc15378441"/>
      <w:bookmarkStart w:id="3" w:name="_Toc15396475"/>
      <w:bookmarkStart w:id="4" w:name="_Toc15377425"/>
      <w:bookmarkStart w:id="5" w:name="_Toc15396597"/>
      <w:r>
        <w:rPr>
          <w:rFonts w:hint="eastAsia" w:ascii="黑体" w:hAnsi="宋体" w:eastAsia="黑体" w:cs="黑体"/>
          <w:color w:val="000000"/>
          <w:sz w:val="72"/>
          <w:szCs w:val="72"/>
        </w:rPr>
        <w:t>2018</w:t>
      </w:r>
      <w:r>
        <w:rPr>
          <w:rFonts w:hint="eastAsia" w:ascii="方正小标宋简体" w:hAnsi="宋体" w:eastAsia="方正小标宋简体" w:cs="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s="方正小标宋简体"/>
          <w:color w:val="000000"/>
          <w:sz w:val="72"/>
          <w:szCs w:val="72"/>
        </w:rPr>
      </w:pPr>
      <w:bookmarkStart w:id="6" w:name="_Toc15396598"/>
      <w:bookmarkStart w:id="7" w:name="_Toc15377194"/>
      <w:bookmarkStart w:id="8" w:name="_Toc15378442"/>
      <w:bookmarkStart w:id="9" w:name="_Toc15377426"/>
      <w:bookmarkStart w:id="10" w:name="_Toc15396476"/>
      <w:r>
        <w:rPr>
          <w:rFonts w:hint="eastAsia" w:ascii="方正小标宋简体" w:hAnsi="宋体" w:eastAsia="方正小标宋简体" w:cs="方正小标宋简体"/>
          <w:color w:val="000000"/>
          <w:sz w:val="72"/>
          <w:szCs w:val="72"/>
        </w:rPr>
        <w:t>四川</w:t>
      </w:r>
      <w:bookmarkEnd w:id="0"/>
      <w:bookmarkStart w:id="11" w:name="_Toc15306268"/>
      <w:r>
        <w:rPr>
          <w:rFonts w:hint="eastAsia" w:ascii="方正小标宋简体" w:hAnsi="宋体" w:eastAsia="方正小标宋简体" w:cs="方正小标宋简体"/>
          <w:color w:val="000000"/>
          <w:sz w:val="72"/>
          <w:szCs w:val="72"/>
        </w:rPr>
        <w:t>天曌山国家森林公园管理局部门决算</w:t>
      </w:r>
      <w:bookmarkEnd w:id="6"/>
      <w:bookmarkEnd w:id="7"/>
      <w:bookmarkEnd w:id="8"/>
      <w:bookmarkEnd w:id="9"/>
      <w:bookmarkEnd w:id="10"/>
      <w:bookmarkEnd w:id="11"/>
    </w:p>
    <w:p>
      <w:pPr>
        <w:widowControl/>
        <w:jc w:val="center"/>
        <w:rPr>
          <w:rFonts w:ascii="黑体" w:hAnsi="宋体" w:eastAsia="黑体" w:cs="黑体"/>
          <w:color w:val="000000"/>
          <w:sz w:val="48"/>
          <w:szCs w:val="48"/>
        </w:rPr>
      </w:pPr>
      <w:r>
        <w:rPr>
          <w:rFonts w:hint="eastAsia" w:ascii="方正小标宋简体" w:hAnsi="宋体" w:eastAsia="方正小标宋简体" w:cs="Times New Roman"/>
          <w:color w:val="000000"/>
          <w:sz w:val="36"/>
          <w:szCs w:val="36"/>
        </w:rPr>
        <w:br w:type="page"/>
      </w:r>
      <w:r>
        <w:rPr>
          <w:rFonts w:hint="eastAsia" w:ascii="黑体" w:hAnsi="宋体" w:eastAsia="黑体" w:cs="黑体"/>
          <w:color w:val="000000"/>
          <w:sz w:val="48"/>
          <w:szCs w:val="48"/>
        </w:rPr>
        <w:t>目录</w:t>
      </w:r>
    </w:p>
    <w:p>
      <w:pPr>
        <w:widowControl/>
        <w:jc w:val="center"/>
        <w:rPr>
          <w:rFonts w:ascii="黑体" w:hAnsi="宋体" w:eastAsia="黑体" w:cs="Times New Roman"/>
          <w:sz w:val="28"/>
          <w:szCs w:val="28"/>
        </w:rPr>
      </w:pPr>
      <w:r>
        <w:rPr>
          <w:rFonts w:hint="eastAsia" w:ascii="黑体" w:hAnsi="宋体" w:eastAsia="黑体" w:cs="黑体"/>
          <w:color w:val="000000"/>
          <w:sz w:val="48"/>
          <w:szCs w:val="48"/>
        </w:rPr>
        <w:fldChar w:fldCharType="begin"/>
      </w:r>
      <w:r>
        <w:rPr>
          <w:rFonts w:hint="eastAsia" w:ascii="黑体" w:hAnsi="宋体" w:eastAsia="黑体" w:cs="黑体"/>
          <w:color w:val="000000"/>
          <w:sz w:val="48"/>
          <w:szCs w:val="48"/>
        </w:rPr>
        <w:instrText xml:space="preserve"> TOC \o "1-2" \h \z \u </w:instrText>
      </w:r>
      <w:r>
        <w:rPr>
          <w:rFonts w:hint="eastAsia" w:ascii="黑体" w:hAnsi="宋体" w:eastAsia="黑体" w:cs="黑体"/>
          <w:color w:val="000000"/>
          <w:sz w:val="48"/>
          <w:szCs w:val="48"/>
        </w:rPr>
        <w:fldChar w:fldCharType="separate"/>
      </w:r>
    </w:p>
    <w:p>
      <w:pPr>
        <w:pStyle w:val="9"/>
        <w:widowControl/>
        <w:rPr>
          <w:rFonts w:hint="default"/>
        </w:rPr>
      </w:pPr>
      <w:r>
        <w:t>公开时间：2019年</w:t>
      </w:r>
      <w:r>
        <w:rPr>
          <w:rFonts w:hint="eastAsia"/>
          <w:lang w:val="en-US" w:eastAsia="zh-CN"/>
        </w:rPr>
        <w:t>9</w:t>
      </w:r>
      <w:r>
        <w:t>月</w:t>
      </w:r>
      <w:r>
        <w:rPr>
          <w:rFonts w:hint="eastAsia"/>
          <w:lang w:val="en-US" w:eastAsia="zh-CN"/>
        </w:rPr>
        <w:t>12</w:t>
      </w:r>
      <w:r>
        <w:t>日</w:t>
      </w:r>
    </w:p>
    <w:p/>
    <w:p>
      <w:pPr>
        <w:pStyle w:val="9"/>
        <w:widowControl/>
        <w:rPr>
          <w:rFonts w:hint="default"/>
        </w:rPr>
      </w:pPr>
      <w:r>
        <w:fldChar w:fldCharType="begin"/>
      </w:r>
      <w:r>
        <w:instrText xml:space="preserve"> HYPERLINK "file:///C:\\Users\\User\\Desktop\\2018年部门决算编制说明范本%20(天曌山管理局).docx" \l "_Toc15396599" </w:instrText>
      </w:r>
      <w:r>
        <w:fldChar w:fldCharType="separate"/>
      </w:r>
      <w:r>
        <w:rPr>
          <w:rStyle w:val="16"/>
        </w:rPr>
        <w:t>第一部分 部门概况</w:t>
      </w:r>
      <w:r>
        <w:rPr>
          <w:rStyle w:val="16"/>
          <w:color w:val="auto"/>
          <w:u w:val="none"/>
        </w:rPr>
        <w:tab/>
      </w:r>
      <w:r>
        <w:rPr>
          <w:rStyle w:val="16"/>
          <w:color w:val="auto"/>
          <w:u w:val="none"/>
        </w:rPr>
        <w:t>4</w:t>
      </w:r>
      <w:r>
        <w:rPr>
          <w:rStyle w:val="16"/>
          <w:color w:val="auto"/>
          <w:u w:val="none"/>
        </w:rPr>
        <w:fldChar w:fldCharType="end"/>
      </w:r>
    </w:p>
    <w:p>
      <w:pPr>
        <w:pStyle w:val="10"/>
        <w:widowControl/>
        <w:rPr>
          <w:rFonts w:ascii="仿宋" w:hAnsi="仿宋" w:eastAsia="仿宋"/>
          <w:sz w:val="28"/>
          <w:szCs w:val="28"/>
        </w:rPr>
      </w:pPr>
      <w:r>
        <w:fldChar w:fldCharType="begin"/>
      </w:r>
      <w:r>
        <w:instrText xml:space="preserve"> HYPERLINK "file:///C:\\Users\\User\\Desktop\\2018年部门决算编制说明范本%20(天曌山管理局).docx" \l "_Toc15396600" </w:instrText>
      </w:r>
      <w:r>
        <w:fldChar w:fldCharType="separate"/>
      </w:r>
      <w:r>
        <w:rPr>
          <w:rStyle w:val="16"/>
          <w:rFonts w:hint="eastAsia" w:ascii="仿宋" w:hAnsi="仿宋" w:eastAsia="仿宋" w:cs="仿宋"/>
          <w:sz w:val="28"/>
          <w:szCs w:val="28"/>
        </w:rPr>
        <w:t>一、基本职能及主要工作</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t>4</w:t>
      </w:r>
      <w:r>
        <w:rPr>
          <w:rStyle w:val="16"/>
          <w:rFonts w:hint="eastAsia" w:ascii="仿宋" w:hAnsi="仿宋" w:eastAsia="仿宋" w:cs="仿宋"/>
          <w:color w:val="auto"/>
          <w:sz w:val="28"/>
          <w:szCs w:val="28"/>
          <w:u w:val="none"/>
        </w:rPr>
        <w:fldChar w:fldCharType="end"/>
      </w:r>
    </w:p>
    <w:p>
      <w:pPr>
        <w:pStyle w:val="10"/>
        <w:widowControl/>
        <w:rPr>
          <w:rFonts w:ascii="仿宋" w:hAnsi="仿宋" w:eastAsia="仿宋"/>
          <w:sz w:val="28"/>
          <w:szCs w:val="28"/>
        </w:rPr>
      </w:pPr>
      <w:r>
        <w:fldChar w:fldCharType="begin"/>
      </w:r>
      <w:r>
        <w:instrText xml:space="preserve"> HYPERLINK "file:///C:\\Users\\User\\Desktop\\2018年部门决算编制说明范本%20(天曌山管理局).docx" \l "_Toc15396601" </w:instrText>
      </w:r>
      <w:r>
        <w:fldChar w:fldCharType="separate"/>
      </w:r>
      <w:r>
        <w:rPr>
          <w:rStyle w:val="16"/>
          <w:rFonts w:hint="eastAsia" w:ascii="仿宋" w:hAnsi="仿宋" w:eastAsia="仿宋" w:cs="仿宋"/>
          <w:sz w:val="28"/>
          <w:szCs w:val="28"/>
        </w:rPr>
        <w:t>二、机构设置</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t>6</w:t>
      </w:r>
      <w:r>
        <w:rPr>
          <w:rStyle w:val="16"/>
          <w:rFonts w:hint="eastAsia" w:ascii="仿宋" w:hAnsi="仿宋" w:eastAsia="仿宋" w:cs="仿宋"/>
          <w:color w:val="auto"/>
          <w:sz w:val="28"/>
          <w:szCs w:val="28"/>
          <w:u w:val="none"/>
        </w:rPr>
        <w:fldChar w:fldCharType="end"/>
      </w:r>
    </w:p>
    <w:p>
      <w:pPr>
        <w:pStyle w:val="9"/>
        <w:widowControl/>
        <w:rPr>
          <w:rFonts w:hint="default"/>
        </w:rPr>
      </w:pPr>
      <w:r>
        <w:fldChar w:fldCharType="begin"/>
      </w:r>
      <w:r>
        <w:instrText xml:space="preserve"> HYPERLINK "file:///C:\\Users\\User\\Desktop\\2018年部门决算编制说明范本%20(天曌山管理局).docx" \l "_Toc15396602" </w:instrText>
      </w:r>
      <w:r>
        <w:fldChar w:fldCharType="separate"/>
      </w:r>
      <w:r>
        <w:rPr>
          <w:rStyle w:val="16"/>
        </w:rPr>
        <w:t>第二部分 2018年度部门决算情况说明</w:t>
      </w:r>
      <w:r>
        <w:rPr>
          <w:rStyle w:val="16"/>
          <w:color w:val="auto"/>
          <w:u w:val="none"/>
        </w:rPr>
        <w:tab/>
      </w:r>
      <w:r>
        <w:rPr>
          <w:rStyle w:val="16"/>
          <w:color w:val="auto"/>
          <w:u w:val="none"/>
        </w:rPr>
        <w:fldChar w:fldCharType="begin"/>
      </w:r>
      <w:r>
        <w:rPr>
          <w:rStyle w:val="16"/>
          <w:color w:val="auto"/>
          <w:u w:val="none"/>
        </w:rPr>
        <w:instrText xml:space="preserve"> PAGEREF _Toc15396602 \h </w:instrText>
      </w:r>
      <w:r>
        <w:rPr>
          <w:rStyle w:val="16"/>
          <w:color w:val="auto"/>
          <w:u w:val="none"/>
        </w:rPr>
        <w:fldChar w:fldCharType="separate"/>
      </w:r>
      <w:r>
        <w:rPr>
          <w:rStyle w:val="16"/>
          <w:rFonts w:hint="default"/>
          <w:color w:val="auto"/>
          <w:u w:val="none"/>
        </w:rPr>
        <w:t>6</w:t>
      </w:r>
      <w:r>
        <w:rPr>
          <w:rStyle w:val="16"/>
          <w:color w:val="auto"/>
          <w:u w:val="none"/>
        </w:rPr>
        <w:fldChar w:fldCharType="end"/>
      </w:r>
      <w:r>
        <w:rPr>
          <w:rStyle w:val="16"/>
          <w:color w:val="auto"/>
          <w:u w:val="none"/>
        </w:rPr>
        <w:fldChar w:fldCharType="end"/>
      </w:r>
    </w:p>
    <w:p>
      <w:pPr>
        <w:pStyle w:val="10"/>
        <w:widowControl/>
        <w:rPr>
          <w:rFonts w:ascii="仿宋" w:hAnsi="仿宋" w:eastAsia="仿宋"/>
          <w:sz w:val="28"/>
          <w:szCs w:val="28"/>
        </w:rPr>
      </w:pPr>
      <w:r>
        <w:fldChar w:fldCharType="begin"/>
      </w:r>
      <w:r>
        <w:instrText xml:space="preserve"> HYPERLINK "file:///C:\\Users\\User\\Desktop\\2018年部门决算编制说明范本%20(天曌山管理局).docx" \l "_Toc15396603" </w:instrText>
      </w:r>
      <w:r>
        <w:fldChar w:fldCharType="separate"/>
      </w:r>
      <w:r>
        <w:rPr>
          <w:rStyle w:val="16"/>
          <w:rFonts w:hint="eastAsia" w:ascii="仿宋" w:hAnsi="仿宋" w:eastAsia="仿宋"/>
          <w:bCs/>
          <w:sz w:val="28"/>
          <w:szCs w:val="28"/>
        </w:rPr>
        <w:t>一、</w:t>
      </w:r>
      <w:r>
        <w:rPr>
          <w:rStyle w:val="16"/>
          <w:rFonts w:hint="eastAsia" w:ascii="仿宋" w:hAnsi="仿宋" w:eastAsia="仿宋" w:cs="仿宋"/>
          <w:sz w:val="28"/>
          <w:szCs w:val="28"/>
        </w:rPr>
        <w:t>收</w:t>
      </w:r>
      <w:r>
        <w:rPr>
          <w:rStyle w:val="16"/>
          <w:rFonts w:hint="eastAsia" w:ascii="仿宋" w:hAnsi="仿宋" w:eastAsia="仿宋"/>
          <w:bCs/>
          <w:sz w:val="28"/>
          <w:szCs w:val="28"/>
        </w:rPr>
        <w:t>入支出决算总体情况说明</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fldChar w:fldCharType="begin"/>
      </w:r>
      <w:r>
        <w:rPr>
          <w:rStyle w:val="16"/>
          <w:rFonts w:hint="eastAsia" w:ascii="仿宋" w:hAnsi="仿宋" w:eastAsia="仿宋" w:cs="仿宋"/>
          <w:color w:val="auto"/>
          <w:sz w:val="28"/>
          <w:szCs w:val="28"/>
          <w:u w:val="none"/>
        </w:rPr>
        <w:instrText xml:space="preserve"> PAGEREF _Toc15396603 \h </w:instrText>
      </w:r>
      <w:r>
        <w:rPr>
          <w:rStyle w:val="16"/>
          <w:rFonts w:hint="eastAsia" w:ascii="仿宋" w:hAnsi="仿宋" w:eastAsia="仿宋" w:cs="仿宋"/>
          <w:color w:val="auto"/>
          <w:sz w:val="28"/>
          <w:szCs w:val="28"/>
          <w:u w:val="none"/>
        </w:rPr>
        <w:fldChar w:fldCharType="separate"/>
      </w:r>
      <w:r>
        <w:rPr>
          <w:rStyle w:val="16"/>
          <w:rFonts w:ascii="仿宋" w:hAnsi="仿宋" w:eastAsia="仿宋" w:cs="仿宋"/>
          <w:color w:val="auto"/>
          <w:sz w:val="28"/>
          <w:szCs w:val="28"/>
          <w:u w:val="none"/>
        </w:rPr>
        <w:t>6</w:t>
      </w:r>
      <w:r>
        <w:rPr>
          <w:rStyle w:val="16"/>
          <w:rFonts w:hint="eastAsia" w:ascii="仿宋" w:hAnsi="仿宋" w:eastAsia="仿宋" w:cs="仿宋"/>
          <w:color w:val="auto"/>
          <w:sz w:val="28"/>
          <w:szCs w:val="28"/>
          <w:u w:val="none"/>
        </w:rPr>
        <w:fldChar w:fldCharType="end"/>
      </w:r>
      <w:r>
        <w:rPr>
          <w:rStyle w:val="16"/>
          <w:rFonts w:hint="eastAsia" w:ascii="仿宋" w:hAnsi="仿宋" w:eastAsia="仿宋" w:cs="仿宋"/>
          <w:color w:val="auto"/>
          <w:sz w:val="28"/>
          <w:szCs w:val="28"/>
          <w:u w:val="none"/>
        </w:rPr>
        <w:fldChar w:fldCharType="end"/>
      </w:r>
    </w:p>
    <w:p>
      <w:pPr>
        <w:pStyle w:val="10"/>
        <w:widowControl/>
        <w:rPr>
          <w:rFonts w:ascii="仿宋" w:hAnsi="仿宋" w:eastAsia="仿宋"/>
          <w:sz w:val="28"/>
          <w:szCs w:val="28"/>
        </w:rPr>
      </w:pPr>
      <w:r>
        <w:fldChar w:fldCharType="begin"/>
      </w:r>
      <w:r>
        <w:instrText xml:space="preserve"> HYPERLINK "file:///C:\\Users\\User\\Desktop\\2018年部门决算编制说明范本%20(天曌山管理局).docx" \l "_Toc15396604" </w:instrText>
      </w:r>
      <w:r>
        <w:fldChar w:fldCharType="separate"/>
      </w:r>
      <w:r>
        <w:rPr>
          <w:rStyle w:val="16"/>
          <w:rFonts w:hint="eastAsia" w:ascii="仿宋" w:hAnsi="仿宋" w:eastAsia="仿宋"/>
          <w:bCs/>
          <w:sz w:val="28"/>
          <w:szCs w:val="28"/>
        </w:rPr>
        <w:t>二、</w:t>
      </w:r>
      <w:r>
        <w:rPr>
          <w:rStyle w:val="16"/>
          <w:rFonts w:hint="eastAsia" w:ascii="仿宋" w:hAnsi="仿宋" w:eastAsia="仿宋" w:cs="仿宋"/>
          <w:sz w:val="28"/>
          <w:szCs w:val="28"/>
        </w:rPr>
        <w:t>收</w:t>
      </w:r>
      <w:r>
        <w:rPr>
          <w:rStyle w:val="16"/>
          <w:rFonts w:hint="eastAsia" w:ascii="仿宋" w:hAnsi="仿宋" w:eastAsia="仿宋"/>
          <w:bCs/>
          <w:sz w:val="28"/>
          <w:szCs w:val="28"/>
        </w:rPr>
        <w:t>入决算情况说明</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fldChar w:fldCharType="begin"/>
      </w:r>
      <w:r>
        <w:rPr>
          <w:rStyle w:val="16"/>
          <w:rFonts w:hint="eastAsia" w:ascii="仿宋" w:hAnsi="仿宋" w:eastAsia="仿宋" w:cs="仿宋"/>
          <w:color w:val="auto"/>
          <w:sz w:val="28"/>
          <w:szCs w:val="28"/>
          <w:u w:val="none"/>
        </w:rPr>
        <w:instrText xml:space="preserve"> PAGEREF _Toc15396604 \h </w:instrText>
      </w:r>
      <w:r>
        <w:rPr>
          <w:rStyle w:val="16"/>
          <w:rFonts w:hint="eastAsia" w:ascii="仿宋" w:hAnsi="仿宋" w:eastAsia="仿宋" w:cs="仿宋"/>
          <w:color w:val="auto"/>
          <w:sz w:val="28"/>
          <w:szCs w:val="28"/>
          <w:u w:val="none"/>
        </w:rPr>
        <w:fldChar w:fldCharType="separate"/>
      </w:r>
      <w:r>
        <w:rPr>
          <w:rStyle w:val="16"/>
          <w:rFonts w:ascii="仿宋" w:hAnsi="仿宋" w:eastAsia="仿宋" w:cs="仿宋"/>
          <w:color w:val="auto"/>
          <w:sz w:val="28"/>
          <w:szCs w:val="28"/>
          <w:u w:val="none"/>
        </w:rPr>
        <w:t>7</w:t>
      </w:r>
      <w:r>
        <w:rPr>
          <w:rStyle w:val="16"/>
          <w:rFonts w:hint="eastAsia" w:ascii="仿宋" w:hAnsi="仿宋" w:eastAsia="仿宋" w:cs="仿宋"/>
          <w:color w:val="auto"/>
          <w:sz w:val="28"/>
          <w:szCs w:val="28"/>
          <w:u w:val="none"/>
        </w:rPr>
        <w:fldChar w:fldCharType="end"/>
      </w:r>
      <w:r>
        <w:rPr>
          <w:rStyle w:val="16"/>
          <w:rFonts w:hint="eastAsia" w:ascii="仿宋" w:hAnsi="仿宋" w:eastAsia="仿宋" w:cs="仿宋"/>
          <w:color w:val="auto"/>
          <w:sz w:val="28"/>
          <w:szCs w:val="28"/>
          <w:u w:val="none"/>
        </w:rPr>
        <w:fldChar w:fldCharType="end"/>
      </w:r>
    </w:p>
    <w:p>
      <w:pPr>
        <w:pStyle w:val="10"/>
        <w:widowControl/>
        <w:rPr>
          <w:rFonts w:ascii="仿宋" w:hAnsi="仿宋" w:eastAsia="仿宋"/>
          <w:sz w:val="28"/>
          <w:szCs w:val="28"/>
        </w:rPr>
      </w:pPr>
      <w:r>
        <w:fldChar w:fldCharType="begin"/>
      </w:r>
      <w:r>
        <w:instrText xml:space="preserve"> HYPERLINK "file:///C:\\Users\\User\\Desktop\\2018年部门决算编制说明范本%20(天曌山管理局).docx" \l "_Toc15396605" </w:instrText>
      </w:r>
      <w:r>
        <w:fldChar w:fldCharType="separate"/>
      </w:r>
      <w:r>
        <w:rPr>
          <w:rStyle w:val="16"/>
          <w:rFonts w:hint="eastAsia" w:ascii="仿宋" w:hAnsi="仿宋" w:eastAsia="仿宋"/>
          <w:bCs/>
          <w:sz w:val="28"/>
          <w:szCs w:val="28"/>
        </w:rPr>
        <w:t>三、</w:t>
      </w:r>
      <w:r>
        <w:rPr>
          <w:rStyle w:val="16"/>
          <w:rFonts w:hint="eastAsia" w:ascii="仿宋" w:hAnsi="仿宋" w:eastAsia="仿宋" w:cs="仿宋"/>
          <w:sz w:val="28"/>
          <w:szCs w:val="28"/>
        </w:rPr>
        <w:t>支</w:t>
      </w:r>
      <w:r>
        <w:rPr>
          <w:rStyle w:val="16"/>
          <w:rFonts w:hint="eastAsia" w:ascii="仿宋" w:hAnsi="仿宋" w:eastAsia="仿宋"/>
          <w:bCs/>
          <w:sz w:val="28"/>
          <w:szCs w:val="28"/>
        </w:rPr>
        <w:t>出决算情况说明</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fldChar w:fldCharType="begin"/>
      </w:r>
      <w:r>
        <w:rPr>
          <w:rStyle w:val="16"/>
          <w:rFonts w:hint="eastAsia" w:ascii="仿宋" w:hAnsi="仿宋" w:eastAsia="仿宋" w:cs="仿宋"/>
          <w:color w:val="auto"/>
          <w:sz w:val="28"/>
          <w:szCs w:val="28"/>
          <w:u w:val="none"/>
        </w:rPr>
        <w:instrText xml:space="preserve"> PAGEREF _Toc15396605 \h </w:instrText>
      </w:r>
      <w:r>
        <w:rPr>
          <w:rStyle w:val="16"/>
          <w:rFonts w:hint="eastAsia" w:ascii="仿宋" w:hAnsi="仿宋" w:eastAsia="仿宋" w:cs="仿宋"/>
          <w:color w:val="auto"/>
          <w:sz w:val="28"/>
          <w:szCs w:val="28"/>
          <w:u w:val="none"/>
        </w:rPr>
        <w:fldChar w:fldCharType="separate"/>
      </w:r>
      <w:r>
        <w:rPr>
          <w:rStyle w:val="16"/>
          <w:rFonts w:ascii="仿宋" w:hAnsi="仿宋" w:eastAsia="仿宋" w:cs="仿宋"/>
          <w:color w:val="auto"/>
          <w:sz w:val="28"/>
          <w:szCs w:val="28"/>
          <w:u w:val="none"/>
        </w:rPr>
        <w:t>8</w:t>
      </w:r>
      <w:r>
        <w:rPr>
          <w:rStyle w:val="16"/>
          <w:rFonts w:hint="eastAsia" w:ascii="仿宋" w:hAnsi="仿宋" w:eastAsia="仿宋" w:cs="仿宋"/>
          <w:color w:val="auto"/>
          <w:sz w:val="28"/>
          <w:szCs w:val="28"/>
          <w:u w:val="none"/>
        </w:rPr>
        <w:fldChar w:fldCharType="end"/>
      </w:r>
      <w:r>
        <w:rPr>
          <w:rStyle w:val="16"/>
          <w:rFonts w:hint="eastAsia" w:ascii="仿宋" w:hAnsi="仿宋" w:eastAsia="仿宋" w:cs="仿宋"/>
          <w:color w:val="auto"/>
          <w:sz w:val="28"/>
          <w:szCs w:val="28"/>
          <w:u w:val="none"/>
        </w:rPr>
        <w:fldChar w:fldCharType="end"/>
      </w:r>
    </w:p>
    <w:p>
      <w:pPr>
        <w:pStyle w:val="10"/>
        <w:widowControl/>
        <w:rPr>
          <w:rFonts w:ascii="仿宋" w:hAnsi="仿宋" w:eastAsia="仿宋"/>
          <w:sz w:val="28"/>
          <w:szCs w:val="28"/>
        </w:rPr>
      </w:pPr>
      <w:r>
        <w:fldChar w:fldCharType="begin"/>
      </w:r>
      <w:r>
        <w:instrText xml:space="preserve"> HYPERLINK "file:///C:\\Users\\User\\Desktop\\2018年部门决算编制说明范本%20(天曌山管理局).docx" \l "_Toc15396606" </w:instrText>
      </w:r>
      <w:r>
        <w:fldChar w:fldCharType="separate"/>
      </w:r>
      <w:r>
        <w:rPr>
          <w:rStyle w:val="16"/>
          <w:rFonts w:hint="eastAsia" w:ascii="仿宋" w:hAnsi="仿宋" w:eastAsia="仿宋" w:cs="仿宋"/>
          <w:sz w:val="28"/>
          <w:szCs w:val="28"/>
        </w:rPr>
        <w:t>四、财</w:t>
      </w:r>
      <w:r>
        <w:rPr>
          <w:rStyle w:val="16"/>
          <w:rFonts w:hint="eastAsia" w:ascii="仿宋" w:hAnsi="仿宋" w:eastAsia="仿宋"/>
          <w:bCs/>
          <w:sz w:val="28"/>
          <w:szCs w:val="28"/>
        </w:rPr>
        <w:t>政拨款收入支出决算总体情况说明</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fldChar w:fldCharType="begin"/>
      </w:r>
      <w:r>
        <w:rPr>
          <w:rStyle w:val="16"/>
          <w:rFonts w:hint="eastAsia" w:ascii="仿宋" w:hAnsi="仿宋" w:eastAsia="仿宋" w:cs="仿宋"/>
          <w:color w:val="auto"/>
          <w:sz w:val="28"/>
          <w:szCs w:val="28"/>
          <w:u w:val="none"/>
        </w:rPr>
        <w:instrText xml:space="preserve"> PAGEREF _Toc15396606 \h </w:instrText>
      </w:r>
      <w:r>
        <w:rPr>
          <w:rStyle w:val="16"/>
          <w:rFonts w:hint="eastAsia" w:ascii="仿宋" w:hAnsi="仿宋" w:eastAsia="仿宋" w:cs="仿宋"/>
          <w:color w:val="auto"/>
          <w:sz w:val="28"/>
          <w:szCs w:val="28"/>
          <w:u w:val="none"/>
        </w:rPr>
        <w:fldChar w:fldCharType="separate"/>
      </w:r>
      <w:r>
        <w:rPr>
          <w:rStyle w:val="16"/>
          <w:rFonts w:ascii="仿宋" w:hAnsi="仿宋" w:eastAsia="仿宋" w:cs="仿宋"/>
          <w:color w:val="auto"/>
          <w:sz w:val="28"/>
          <w:szCs w:val="28"/>
          <w:u w:val="none"/>
        </w:rPr>
        <w:t>8</w:t>
      </w:r>
      <w:r>
        <w:rPr>
          <w:rStyle w:val="16"/>
          <w:rFonts w:hint="eastAsia" w:ascii="仿宋" w:hAnsi="仿宋" w:eastAsia="仿宋" w:cs="仿宋"/>
          <w:color w:val="auto"/>
          <w:sz w:val="28"/>
          <w:szCs w:val="28"/>
          <w:u w:val="none"/>
        </w:rPr>
        <w:fldChar w:fldCharType="end"/>
      </w:r>
      <w:r>
        <w:rPr>
          <w:rStyle w:val="16"/>
          <w:rFonts w:hint="eastAsia" w:ascii="仿宋" w:hAnsi="仿宋" w:eastAsia="仿宋" w:cs="仿宋"/>
          <w:color w:val="auto"/>
          <w:sz w:val="28"/>
          <w:szCs w:val="28"/>
          <w:u w:val="none"/>
        </w:rPr>
        <w:fldChar w:fldCharType="end"/>
      </w:r>
    </w:p>
    <w:p>
      <w:pPr>
        <w:pStyle w:val="10"/>
        <w:widowControl/>
        <w:rPr>
          <w:rFonts w:ascii="仿宋" w:hAnsi="仿宋" w:eastAsia="仿宋"/>
          <w:sz w:val="28"/>
          <w:szCs w:val="28"/>
        </w:rPr>
      </w:pPr>
      <w:r>
        <w:fldChar w:fldCharType="begin"/>
      </w:r>
      <w:r>
        <w:instrText xml:space="preserve"> HYPERLINK "file:///C:\\Users\\User\\Desktop\\2018年部门决算编制说明范本%20(天曌山管理局).docx" \l "_Toc15396607" </w:instrText>
      </w:r>
      <w:r>
        <w:fldChar w:fldCharType="separate"/>
      </w:r>
      <w:r>
        <w:rPr>
          <w:rStyle w:val="16"/>
          <w:rFonts w:hint="eastAsia" w:ascii="仿宋" w:hAnsi="仿宋" w:eastAsia="仿宋" w:cs="仿宋"/>
          <w:sz w:val="28"/>
          <w:szCs w:val="28"/>
        </w:rPr>
        <w:t>五、一</w:t>
      </w:r>
      <w:r>
        <w:rPr>
          <w:rStyle w:val="16"/>
          <w:rFonts w:hint="eastAsia" w:ascii="仿宋" w:hAnsi="仿宋" w:eastAsia="仿宋"/>
          <w:bCs/>
          <w:sz w:val="28"/>
          <w:szCs w:val="28"/>
        </w:rPr>
        <w:t>般公共预算财政拨款支出决算情况说明</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fldChar w:fldCharType="begin"/>
      </w:r>
      <w:r>
        <w:rPr>
          <w:rStyle w:val="16"/>
          <w:rFonts w:hint="eastAsia" w:ascii="仿宋" w:hAnsi="仿宋" w:eastAsia="仿宋" w:cs="仿宋"/>
          <w:color w:val="auto"/>
          <w:sz w:val="28"/>
          <w:szCs w:val="28"/>
          <w:u w:val="none"/>
        </w:rPr>
        <w:instrText xml:space="preserve"> PAGEREF _Toc15396607 \h </w:instrText>
      </w:r>
      <w:r>
        <w:rPr>
          <w:rStyle w:val="16"/>
          <w:rFonts w:hint="eastAsia" w:ascii="仿宋" w:hAnsi="仿宋" w:eastAsia="仿宋" w:cs="仿宋"/>
          <w:color w:val="auto"/>
          <w:sz w:val="28"/>
          <w:szCs w:val="28"/>
          <w:u w:val="none"/>
        </w:rPr>
        <w:fldChar w:fldCharType="separate"/>
      </w:r>
      <w:r>
        <w:rPr>
          <w:rStyle w:val="16"/>
          <w:rFonts w:ascii="仿宋" w:hAnsi="仿宋" w:eastAsia="仿宋" w:cs="仿宋"/>
          <w:color w:val="auto"/>
          <w:sz w:val="28"/>
          <w:szCs w:val="28"/>
          <w:u w:val="none"/>
        </w:rPr>
        <w:t>9</w:t>
      </w:r>
      <w:r>
        <w:rPr>
          <w:rStyle w:val="16"/>
          <w:rFonts w:hint="eastAsia" w:ascii="仿宋" w:hAnsi="仿宋" w:eastAsia="仿宋" w:cs="仿宋"/>
          <w:color w:val="auto"/>
          <w:sz w:val="28"/>
          <w:szCs w:val="28"/>
          <w:u w:val="none"/>
        </w:rPr>
        <w:fldChar w:fldCharType="end"/>
      </w:r>
      <w:r>
        <w:rPr>
          <w:rStyle w:val="16"/>
          <w:rFonts w:hint="eastAsia" w:ascii="仿宋" w:hAnsi="仿宋" w:eastAsia="仿宋" w:cs="仿宋"/>
          <w:color w:val="auto"/>
          <w:sz w:val="28"/>
          <w:szCs w:val="28"/>
          <w:u w:val="none"/>
        </w:rPr>
        <w:fldChar w:fldCharType="end"/>
      </w:r>
    </w:p>
    <w:p>
      <w:pPr>
        <w:pStyle w:val="10"/>
        <w:widowControl/>
        <w:rPr>
          <w:rFonts w:ascii="仿宋" w:hAnsi="仿宋" w:eastAsia="仿宋"/>
          <w:sz w:val="28"/>
          <w:szCs w:val="28"/>
        </w:rPr>
      </w:pPr>
      <w:r>
        <w:fldChar w:fldCharType="begin"/>
      </w:r>
      <w:r>
        <w:instrText xml:space="preserve"> HYPERLINK "file:///C:\\Users\\User\\Desktop\\2018年部门决算编制说明范本%20(天曌山管理局).docx" \l "_Toc15396608" </w:instrText>
      </w:r>
      <w:r>
        <w:fldChar w:fldCharType="separate"/>
      </w:r>
      <w:r>
        <w:rPr>
          <w:rStyle w:val="16"/>
          <w:rFonts w:hint="eastAsia" w:ascii="仿宋" w:hAnsi="仿宋" w:eastAsia="仿宋" w:cs="仿宋"/>
          <w:sz w:val="28"/>
          <w:szCs w:val="28"/>
        </w:rPr>
        <w:t>六、一</w:t>
      </w:r>
      <w:r>
        <w:rPr>
          <w:rStyle w:val="16"/>
          <w:rFonts w:hint="eastAsia" w:ascii="仿宋" w:hAnsi="仿宋" w:eastAsia="仿宋"/>
          <w:bCs/>
          <w:sz w:val="28"/>
          <w:szCs w:val="28"/>
        </w:rPr>
        <w:t>般公共预算财政拨款基本支出决算情况说明</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fldChar w:fldCharType="begin"/>
      </w:r>
      <w:r>
        <w:rPr>
          <w:rStyle w:val="16"/>
          <w:rFonts w:hint="eastAsia" w:ascii="仿宋" w:hAnsi="仿宋" w:eastAsia="仿宋" w:cs="仿宋"/>
          <w:color w:val="auto"/>
          <w:sz w:val="28"/>
          <w:szCs w:val="28"/>
          <w:u w:val="none"/>
        </w:rPr>
        <w:instrText xml:space="preserve"> PAGEREF _Toc15396608 \h </w:instrText>
      </w:r>
      <w:r>
        <w:rPr>
          <w:rStyle w:val="16"/>
          <w:rFonts w:hint="eastAsia" w:ascii="仿宋" w:hAnsi="仿宋" w:eastAsia="仿宋" w:cs="仿宋"/>
          <w:color w:val="auto"/>
          <w:sz w:val="28"/>
          <w:szCs w:val="28"/>
          <w:u w:val="none"/>
        </w:rPr>
        <w:fldChar w:fldCharType="separate"/>
      </w:r>
      <w:r>
        <w:rPr>
          <w:rStyle w:val="16"/>
          <w:rFonts w:ascii="仿宋" w:hAnsi="仿宋" w:eastAsia="仿宋" w:cs="仿宋"/>
          <w:color w:val="auto"/>
          <w:sz w:val="28"/>
          <w:szCs w:val="28"/>
          <w:u w:val="none"/>
        </w:rPr>
        <w:t>12</w:t>
      </w:r>
      <w:r>
        <w:rPr>
          <w:rStyle w:val="16"/>
          <w:rFonts w:hint="eastAsia" w:ascii="仿宋" w:hAnsi="仿宋" w:eastAsia="仿宋" w:cs="仿宋"/>
          <w:color w:val="auto"/>
          <w:sz w:val="28"/>
          <w:szCs w:val="28"/>
          <w:u w:val="none"/>
        </w:rPr>
        <w:fldChar w:fldCharType="end"/>
      </w:r>
      <w:r>
        <w:rPr>
          <w:rStyle w:val="16"/>
          <w:rFonts w:hint="eastAsia" w:ascii="仿宋" w:hAnsi="仿宋" w:eastAsia="仿宋" w:cs="仿宋"/>
          <w:color w:val="auto"/>
          <w:sz w:val="28"/>
          <w:szCs w:val="28"/>
          <w:u w:val="none"/>
        </w:rPr>
        <w:fldChar w:fldCharType="end"/>
      </w:r>
    </w:p>
    <w:p>
      <w:pPr>
        <w:pStyle w:val="10"/>
        <w:widowControl/>
        <w:rPr>
          <w:rFonts w:ascii="仿宋" w:hAnsi="仿宋" w:eastAsia="仿宋"/>
          <w:sz w:val="28"/>
          <w:szCs w:val="28"/>
        </w:rPr>
      </w:pPr>
      <w:r>
        <w:fldChar w:fldCharType="begin"/>
      </w:r>
      <w:r>
        <w:instrText xml:space="preserve"> HYPERLINK "file:///C:\\Users\\User\\Desktop\\2018年部门决算编制说明范本%20(天曌山管理局).docx" \l "_Toc15396609" </w:instrText>
      </w:r>
      <w:r>
        <w:fldChar w:fldCharType="separate"/>
      </w:r>
      <w:r>
        <w:rPr>
          <w:rStyle w:val="16"/>
          <w:rFonts w:hint="eastAsia" w:ascii="仿宋" w:hAnsi="仿宋" w:eastAsia="仿宋" w:cs="仿宋"/>
          <w:sz w:val="28"/>
          <w:szCs w:val="28"/>
        </w:rPr>
        <w:t>七、“</w:t>
      </w:r>
      <w:r>
        <w:rPr>
          <w:rStyle w:val="16"/>
          <w:rFonts w:hint="eastAsia" w:ascii="仿宋" w:hAnsi="仿宋" w:eastAsia="仿宋"/>
          <w:bCs/>
          <w:sz w:val="28"/>
          <w:szCs w:val="28"/>
        </w:rPr>
        <w:t>三公”经费财政拨款支出决算情况说明</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fldChar w:fldCharType="begin"/>
      </w:r>
      <w:r>
        <w:rPr>
          <w:rStyle w:val="16"/>
          <w:rFonts w:hint="eastAsia" w:ascii="仿宋" w:hAnsi="仿宋" w:eastAsia="仿宋" w:cs="仿宋"/>
          <w:color w:val="auto"/>
          <w:sz w:val="28"/>
          <w:szCs w:val="28"/>
          <w:u w:val="none"/>
        </w:rPr>
        <w:instrText xml:space="preserve"> PAGEREF _Toc15396609 \h </w:instrText>
      </w:r>
      <w:r>
        <w:rPr>
          <w:rStyle w:val="16"/>
          <w:rFonts w:hint="eastAsia" w:ascii="仿宋" w:hAnsi="仿宋" w:eastAsia="仿宋" w:cs="仿宋"/>
          <w:color w:val="auto"/>
          <w:sz w:val="28"/>
          <w:szCs w:val="28"/>
          <w:u w:val="none"/>
        </w:rPr>
        <w:fldChar w:fldCharType="separate"/>
      </w:r>
      <w:r>
        <w:rPr>
          <w:rStyle w:val="16"/>
          <w:rFonts w:ascii="仿宋" w:hAnsi="仿宋" w:eastAsia="仿宋" w:cs="仿宋"/>
          <w:color w:val="auto"/>
          <w:sz w:val="28"/>
          <w:szCs w:val="28"/>
          <w:u w:val="none"/>
        </w:rPr>
        <w:t>13</w:t>
      </w:r>
      <w:r>
        <w:rPr>
          <w:rStyle w:val="16"/>
          <w:rFonts w:hint="eastAsia" w:ascii="仿宋" w:hAnsi="仿宋" w:eastAsia="仿宋" w:cs="仿宋"/>
          <w:color w:val="auto"/>
          <w:sz w:val="28"/>
          <w:szCs w:val="28"/>
          <w:u w:val="none"/>
        </w:rPr>
        <w:fldChar w:fldCharType="end"/>
      </w:r>
      <w:r>
        <w:rPr>
          <w:rStyle w:val="16"/>
          <w:rFonts w:hint="eastAsia" w:ascii="仿宋" w:hAnsi="仿宋" w:eastAsia="仿宋" w:cs="仿宋"/>
          <w:color w:val="auto"/>
          <w:sz w:val="28"/>
          <w:szCs w:val="28"/>
          <w:u w:val="none"/>
        </w:rPr>
        <w:fldChar w:fldCharType="end"/>
      </w:r>
    </w:p>
    <w:p>
      <w:pPr>
        <w:pStyle w:val="10"/>
        <w:widowControl/>
        <w:rPr>
          <w:rFonts w:ascii="仿宋" w:hAnsi="仿宋" w:eastAsia="仿宋"/>
          <w:sz w:val="28"/>
          <w:szCs w:val="28"/>
        </w:rPr>
      </w:pPr>
      <w:r>
        <w:fldChar w:fldCharType="begin"/>
      </w:r>
      <w:r>
        <w:instrText xml:space="preserve"> HYPERLINK "file:///C:\\Users\\User\\Desktop\\2018年部门决算编制说明范本%20(天曌山管理局).docx" \l "_Toc15396610" </w:instrText>
      </w:r>
      <w:r>
        <w:fldChar w:fldCharType="separate"/>
      </w:r>
      <w:r>
        <w:rPr>
          <w:rStyle w:val="16"/>
          <w:rFonts w:hint="eastAsia" w:ascii="仿宋" w:hAnsi="仿宋" w:eastAsia="仿宋" w:cs="仿宋"/>
          <w:sz w:val="28"/>
          <w:szCs w:val="28"/>
        </w:rPr>
        <w:t>八、</w:t>
      </w:r>
      <w:r>
        <w:rPr>
          <w:rStyle w:val="16"/>
          <w:rFonts w:hint="eastAsia" w:ascii="仿宋" w:hAnsi="仿宋" w:eastAsia="仿宋"/>
          <w:bCs/>
          <w:sz w:val="28"/>
          <w:szCs w:val="28"/>
        </w:rPr>
        <w:t>政府性基金预算支出决算情况说明</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fldChar w:fldCharType="begin"/>
      </w:r>
      <w:r>
        <w:rPr>
          <w:rStyle w:val="16"/>
          <w:rFonts w:hint="eastAsia" w:ascii="仿宋" w:hAnsi="仿宋" w:eastAsia="仿宋" w:cs="仿宋"/>
          <w:color w:val="auto"/>
          <w:sz w:val="28"/>
          <w:szCs w:val="28"/>
          <w:u w:val="none"/>
        </w:rPr>
        <w:instrText xml:space="preserve"> PAGEREF _Toc15396610 \h </w:instrText>
      </w:r>
      <w:r>
        <w:rPr>
          <w:rStyle w:val="16"/>
          <w:rFonts w:hint="eastAsia" w:ascii="仿宋" w:hAnsi="仿宋" w:eastAsia="仿宋" w:cs="仿宋"/>
          <w:color w:val="auto"/>
          <w:sz w:val="28"/>
          <w:szCs w:val="28"/>
          <w:u w:val="none"/>
        </w:rPr>
        <w:fldChar w:fldCharType="separate"/>
      </w:r>
      <w:r>
        <w:rPr>
          <w:rStyle w:val="16"/>
          <w:rFonts w:ascii="仿宋" w:hAnsi="仿宋" w:eastAsia="仿宋" w:cs="仿宋"/>
          <w:color w:val="auto"/>
          <w:sz w:val="28"/>
          <w:szCs w:val="28"/>
          <w:u w:val="none"/>
        </w:rPr>
        <w:t>14</w:t>
      </w:r>
      <w:r>
        <w:rPr>
          <w:rStyle w:val="16"/>
          <w:rFonts w:hint="eastAsia" w:ascii="仿宋" w:hAnsi="仿宋" w:eastAsia="仿宋" w:cs="仿宋"/>
          <w:color w:val="auto"/>
          <w:sz w:val="28"/>
          <w:szCs w:val="28"/>
          <w:u w:val="none"/>
        </w:rPr>
        <w:fldChar w:fldCharType="end"/>
      </w:r>
      <w:r>
        <w:rPr>
          <w:rStyle w:val="16"/>
          <w:rFonts w:hint="eastAsia" w:ascii="仿宋" w:hAnsi="仿宋" w:eastAsia="仿宋" w:cs="仿宋"/>
          <w:color w:val="auto"/>
          <w:sz w:val="28"/>
          <w:szCs w:val="28"/>
          <w:u w:val="none"/>
        </w:rPr>
        <w:fldChar w:fldCharType="end"/>
      </w:r>
    </w:p>
    <w:p>
      <w:pPr>
        <w:pStyle w:val="10"/>
        <w:widowControl/>
      </w:pPr>
      <w:r>
        <w:fldChar w:fldCharType="begin"/>
      </w:r>
      <w:r>
        <w:instrText xml:space="preserve"> HYPERLINK "file:///C:\\Users\\User\\Desktop\\2018年部门决算编制说明范本%20(天曌山管理局).docx" \l "_Toc15396611" </w:instrText>
      </w:r>
      <w:r>
        <w:fldChar w:fldCharType="separate"/>
      </w:r>
      <w:r>
        <w:rPr>
          <w:rStyle w:val="16"/>
          <w:rFonts w:hint="eastAsia" w:ascii="仿宋" w:hAnsi="仿宋" w:eastAsia="仿宋"/>
          <w:bCs/>
          <w:sz w:val="28"/>
          <w:szCs w:val="28"/>
        </w:rPr>
        <w:t>九、</w:t>
      </w:r>
      <w:r>
        <w:rPr>
          <w:rStyle w:val="16"/>
          <w:rFonts w:hint="eastAsia" w:ascii="仿宋" w:hAnsi="仿宋" w:eastAsia="仿宋" w:cs="仿宋"/>
          <w:sz w:val="28"/>
          <w:szCs w:val="28"/>
        </w:rPr>
        <w:t xml:space="preserve"> 国</w:t>
      </w:r>
      <w:r>
        <w:rPr>
          <w:rStyle w:val="16"/>
          <w:rFonts w:hint="eastAsia" w:ascii="仿宋" w:hAnsi="仿宋" w:eastAsia="仿宋"/>
          <w:bCs/>
          <w:sz w:val="28"/>
          <w:szCs w:val="28"/>
        </w:rPr>
        <w:t>有资本经营预算支出决算情况说明</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fldChar w:fldCharType="begin"/>
      </w:r>
      <w:r>
        <w:rPr>
          <w:rStyle w:val="16"/>
          <w:rFonts w:hint="eastAsia" w:ascii="仿宋" w:hAnsi="仿宋" w:eastAsia="仿宋" w:cs="仿宋"/>
          <w:color w:val="auto"/>
          <w:sz w:val="28"/>
          <w:szCs w:val="28"/>
          <w:u w:val="none"/>
        </w:rPr>
        <w:instrText xml:space="preserve"> PAGEREF _Toc15396611 \h </w:instrText>
      </w:r>
      <w:r>
        <w:rPr>
          <w:rStyle w:val="16"/>
          <w:rFonts w:hint="eastAsia" w:ascii="仿宋" w:hAnsi="仿宋" w:eastAsia="仿宋" w:cs="仿宋"/>
          <w:color w:val="auto"/>
          <w:sz w:val="28"/>
          <w:szCs w:val="28"/>
          <w:u w:val="none"/>
        </w:rPr>
        <w:fldChar w:fldCharType="separate"/>
      </w:r>
      <w:r>
        <w:rPr>
          <w:rStyle w:val="16"/>
          <w:rFonts w:ascii="仿宋" w:hAnsi="仿宋" w:eastAsia="仿宋" w:cs="仿宋"/>
          <w:color w:val="auto"/>
          <w:sz w:val="28"/>
          <w:szCs w:val="28"/>
          <w:u w:val="none"/>
        </w:rPr>
        <w:t>15</w:t>
      </w:r>
      <w:r>
        <w:rPr>
          <w:rStyle w:val="16"/>
          <w:rFonts w:hint="eastAsia" w:ascii="仿宋" w:hAnsi="仿宋" w:eastAsia="仿宋" w:cs="仿宋"/>
          <w:color w:val="auto"/>
          <w:sz w:val="28"/>
          <w:szCs w:val="28"/>
          <w:u w:val="none"/>
        </w:rPr>
        <w:fldChar w:fldCharType="end"/>
      </w:r>
      <w:r>
        <w:rPr>
          <w:rStyle w:val="16"/>
          <w:rFonts w:hint="eastAsia" w:ascii="仿宋" w:hAnsi="仿宋" w:eastAsia="仿宋" w:cs="仿宋"/>
          <w:color w:val="auto"/>
          <w:sz w:val="28"/>
          <w:szCs w:val="28"/>
          <w:u w:val="none"/>
        </w:rPr>
        <w:fldChar w:fldCharType="end"/>
      </w:r>
    </w:p>
    <w:p>
      <w:pPr>
        <w:pStyle w:val="10"/>
        <w:widowControl/>
        <w:ind w:leftChars="0"/>
        <w:rPr>
          <w:rFonts w:ascii="仿宋" w:hAnsi="仿宋" w:eastAsia="仿宋" w:cs="黑体"/>
          <w:bCs/>
          <w:color w:val="FF0000"/>
          <w:sz w:val="32"/>
          <w:szCs w:val="32"/>
        </w:rPr>
      </w:pPr>
      <w:r>
        <w:rPr>
          <w:rFonts w:hint="eastAsia" w:ascii="仿宋" w:hAnsi="仿宋" w:eastAsia="仿宋"/>
          <w:sz w:val="32"/>
          <w:szCs w:val="32"/>
        </w:rPr>
        <w:t>十、</w:t>
      </w:r>
      <w:r>
        <w:fldChar w:fldCharType="begin"/>
      </w:r>
      <w:r>
        <w:instrText xml:space="preserve"> HYPERLINK "file:///C:\\Users\\User\\Desktop\\2018年部门决算编制说明范本%20(天曌山管理局).docx" \l "_Toc15396611" </w:instrText>
      </w:r>
      <w:r>
        <w:fldChar w:fldCharType="separate"/>
      </w:r>
      <w:r>
        <w:rPr>
          <w:rFonts w:ascii="仿宋" w:hAnsi="仿宋" w:eastAsia="仿宋"/>
          <w:sz w:val="32"/>
          <w:szCs w:val="32"/>
        </w:rPr>
        <w:t>预算绩效情况说明</w:t>
      </w:r>
      <w:r>
        <w:rPr>
          <w:rStyle w:val="16"/>
          <w:rFonts w:hint="eastAsia" w:ascii="仿宋" w:hAnsi="仿宋" w:eastAsia="仿宋" w:cs="仿宋"/>
          <w:color w:val="auto"/>
          <w:sz w:val="32"/>
          <w:szCs w:val="32"/>
          <w:u w:val="none"/>
        </w:rPr>
        <w:tab/>
      </w:r>
      <w:r>
        <w:rPr>
          <w:rStyle w:val="16"/>
          <w:rFonts w:hint="eastAsia" w:ascii="仿宋" w:hAnsi="仿宋" w:eastAsia="仿宋" w:cs="仿宋"/>
          <w:color w:val="auto"/>
          <w:sz w:val="32"/>
          <w:szCs w:val="32"/>
          <w:u w:val="none"/>
        </w:rPr>
        <w:fldChar w:fldCharType="begin"/>
      </w:r>
      <w:r>
        <w:rPr>
          <w:rStyle w:val="16"/>
          <w:rFonts w:hint="eastAsia" w:ascii="仿宋" w:hAnsi="仿宋" w:eastAsia="仿宋" w:cs="仿宋"/>
          <w:color w:val="auto"/>
          <w:sz w:val="32"/>
          <w:szCs w:val="32"/>
          <w:u w:val="none"/>
        </w:rPr>
        <w:instrText xml:space="preserve"> PAGEREF _Toc15396611 \h </w:instrText>
      </w:r>
      <w:r>
        <w:rPr>
          <w:rStyle w:val="16"/>
          <w:rFonts w:hint="eastAsia" w:ascii="仿宋" w:hAnsi="仿宋" w:eastAsia="仿宋" w:cs="仿宋"/>
          <w:color w:val="auto"/>
          <w:sz w:val="32"/>
          <w:szCs w:val="32"/>
          <w:u w:val="none"/>
        </w:rPr>
        <w:fldChar w:fldCharType="separate"/>
      </w:r>
      <w:r>
        <w:rPr>
          <w:rStyle w:val="16"/>
          <w:rFonts w:ascii="仿宋" w:hAnsi="仿宋" w:eastAsia="仿宋" w:cs="仿宋"/>
          <w:color w:val="auto"/>
          <w:sz w:val="32"/>
          <w:szCs w:val="32"/>
          <w:u w:val="none"/>
        </w:rPr>
        <w:t>15</w:t>
      </w:r>
      <w:r>
        <w:rPr>
          <w:rStyle w:val="16"/>
          <w:rFonts w:hint="eastAsia" w:ascii="仿宋" w:hAnsi="仿宋" w:eastAsia="仿宋" w:cs="仿宋"/>
          <w:color w:val="auto"/>
          <w:sz w:val="32"/>
          <w:szCs w:val="32"/>
          <w:u w:val="none"/>
        </w:rPr>
        <w:fldChar w:fldCharType="end"/>
      </w:r>
      <w:r>
        <w:rPr>
          <w:rStyle w:val="16"/>
          <w:rFonts w:hint="eastAsia" w:ascii="仿宋" w:hAnsi="仿宋" w:eastAsia="仿宋" w:cs="仿宋"/>
          <w:color w:val="auto"/>
          <w:sz w:val="32"/>
          <w:szCs w:val="32"/>
          <w:u w:val="none"/>
        </w:rPr>
        <w:fldChar w:fldCharType="end"/>
      </w:r>
      <w:r>
        <w:rPr>
          <w:rStyle w:val="19"/>
          <w:rFonts w:hint="eastAsia" w:ascii="仿宋" w:hAnsi="仿宋" w:eastAsia="仿宋" w:cs="黑体"/>
          <w:bCs/>
          <w:color w:val="FF0000"/>
        </w:rPr>
        <w:t xml:space="preserve">                </w:t>
      </w:r>
    </w:p>
    <w:p>
      <w:pPr>
        <w:pStyle w:val="10"/>
        <w:widowControl/>
        <w:rPr>
          <w:rFonts w:ascii="仿宋" w:hAnsi="仿宋" w:eastAsia="仿宋"/>
          <w:sz w:val="28"/>
          <w:szCs w:val="28"/>
        </w:rPr>
      </w:pPr>
      <w:r>
        <w:fldChar w:fldCharType="begin"/>
      </w:r>
      <w:r>
        <w:instrText xml:space="preserve"> HYPERLINK "file:///C:\\Users\\User\\Desktop\\2018年部门决算编制说明范本%20(天曌山管理局).docx" \l "_Toc15396612" </w:instrText>
      </w:r>
      <w:r>
        <w:fldChar w:fldCharType="separate"/>
      </w:r>
      <w:r>
        <w:rPr>
          <w:rStyle w:val="16"/>
          <w:rFonts w:hint="eastAsia" w:ascii="仿宋" w:hAnsi="仿宋" w:eastAsia="仿宋" w:cs="仿宋"/>
          <w:sz w:val="28"/>
          <w:szCs w:val="28"/>
        </w:rPr>
        <w:t>十</w:t>
      </w:r>
      <w:r>
        <w:rPr>
          <w:rStyle w:val="16"/>
          <w:rFonts w:hint="eastAsia" w:ascii="仿宋" w:hAnsi="仿宋" w:eastAsia="仿宋"/>
          <w:bCs/>
          <w:sz w:val="28"/>
          <w:szCs w:val="28"/>
        </w:rPr>
        <w:t>一、其他重要事项的情况说明</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fldChar w:fldCharType="begin"/>
      </w:r>
      <w:r>
        <w:rPr>
          <w:rStyle w:val="16"/>
          <w:rFonts w:hint="eastAsia" w:ascii="仿宋" w:hAnsi="仿宋" w:eastAsia="仿宋" w:cs="仿宋"/>
          <w:color w:val="auto"/>
          <w:sz w:val="28"/>
          <w:szCs w:val="28"/>
          <w:u w:val="none"/>
        </w:rPr>
        <w:instrText xml:space="preserve"> PAGEREF _Toc15396612 \h </w:instrText>
      </w:r>
      <w:r>
        <w:rPr>
          <w:rStyle w:val="16"/>
          <w:rFonts w:hint="eastAsia" w:ascii="仿宋" w:hAnsi="仿宋" w:eastAsia="仿宋" w:cs="仿宋"/>
          <w:color w:val="auto"/>
          <w:sz w:val="28"/>
          <w:szCs w:val="28"/>
          <w:u w:val="none"/>
        </w:rPr>
        <w:fldChar w:fldCharType="separate"/>
      </w:r>
      <w:r>
        <w:rPr>
          <w:rStyle w:val="16"/>
          <w:rFonts w:ascii="仿宋" w:hAnsi="仿宋" w:eastAsia="仿宋" w:cs="仿宋"/>
          <w:color w:val="auto"/>
          <w:sz w:val="28"/>
          <w:szCs w:val="28"/>
          <w:u w:val="none"/>
        </w:rPr>
        <w:t>1</w:t>
      </w:r>
      <w:r>
        <w:rPr>
          <w:rStyle w:val="16"/>
          <w:rFonts w:hint="eastAsia" w:ascii="仿宋" w:hAnsi="仿宋" w:eastAsia="仿宋" w:cs="仿宋"/>
          <w:color w:val="auto"/>
          <w:sz w:val="28"/>
          <w:szCs w:val="28"/>
          <w:u w:val="none"/>
        </w:rPr>
        <w:fldChar w:fldCharType="end"/>
      </w:r>
      <w:r>
        <w:rPr>
          <w:rStyle w:val="16"/>
          <w:rFonts w:hint="eastAsia" w:ascii="仿宋" w:hAnsi="仿宋" w:eastAsia="仿宋" w:cs="仿宋"/>
          <w:color w:val="auto"/>
          <w:sz w:val="28"/>
          <w:szCs w:val="28"/>
          <w:u w:val="none"/>
        </w:rPr>
        <w:fldChar w:fldCharType="end"/>
      </w:r>
      <w:r>
        <w:rPr>
          <w:rFonts w:hint="eastAsia"/>
          <w:sz w:val="30"/>
          <w:szCs w:val="30"/>
        </w:rPr>
        <w:t>9</w:t>
      </w:r>
    </w:p>
    <w:p>
      <w:pPr>
        <w:pStyle w:val="9"/>
        <w:widowControl/>
        <w:rPr>
          <w:rFonts w:hint="default"/>
        </w:rPr>
      </w:pPr>
      <w:r>
        <w:fldChar w:fldCharType="begin"/>
      </w:r>
      <w:r>
        <w:instrText xml:space="preserve"> HYPERLINK "file:///C:\\Users\\User\\Desktop\\2018年部门决算编制说明范本%20(天曌山管理局).docx" \l "_Toc15396613" </w:instrText>
      </w:r>
      <w:r>
        <w:fldChar w:fldCharType="separate"/>
      </w:r>
      <w:r>
        <w:rPr>
          <w:rStyle w:val="16"/>
          <w:bCs/>
          <w:kern w:val="44"/>
        </w:rPr>
        <w:t>第三部分</w:t>
      </w:r>
      <w:r>
        <w:rPr>
          <w:rStyle w:val="16"/>
        </w:rPr>
        <w:t xml:space="preserve"> 名</w:t>
      </w:r>
      <w:r>
        <w:rPr>
          <w:rStyle w:val="16"/>
          <w:bCs/>
          <w:kern w:val="44"/>
        </w:rPr>
        <w:t>词解释</w:t>
      </w:r>
      <w:r>
        <w:rPr>
          <w:rStyle w:val="16"/>
          <w:color w:val="auto"/>
          <w:u w:val="none"/>
        </w:rPr>
        <w:tab/>
      </w:r>
      <w:r>
        <w:rPr>
          <w:rStyle w:val="16"/>
          <w:color w:val="auto"/>
          <w:u w:val="none"/>
        </w:rPr>
        <w:t>20</w:t>
      </w:r>
      <w:r>
        <w:rPr>
          <w:rStyle w:val="16"/>
          <w:color w:val="auto"/>
          <w:u w:val="none"/>
        </w:rPr>
        <w:fldChar w:fldCharType="end"/>
      </w:r>
    </w:p>
    <w:p>
      <w:pPr>
        <w:pStyle w:val="9"/>
        <w:widowControl/>
        <w:rPr>
          <w:rFonts w:hint="default"/>
        </w:rPr>
      </w:pPr>
      <w:r>
        <w:fldChar w:fldCharType="begin"/>
      </w:r>
      <w:r>
        <w:instrText xml:space="preserve"> HYPERLINK "file:///C:\\Users\\User\\Desktop\\2018年部门决算编制说明范本%20(天曌山管理局).docx" \l "_Toc15396614" </w:instrText>
      </w:r>
      <w:r>
        <w:fldChar w:fldCharType="separate"/>
      </w:r>
      <w:r>
        <w:rPr>
          <w:rStyle w:val="16"/>
        </w:rPr>
        <w:t>第</w:t>
      </w:r>
      <w:r>
        <w:rPr>
          <w:rStyle w:val="16"/>
          <w:bCs/>
          <w:kern w:val="44"/>
        </w:rPr>
        <w:t>四部分 附件</w:t>
      </w:r>
      <w:r>
        <w:rPr>
          <w:rStyle w:val="16"/>
          <w:color w:val="auto"/>
          <w:u w:val="none"/>
        </w:rPr>
        <w:tab/>
      </w:r>
      <w:r>
        <w:rPr>
          <w:rStyle w:val="16"/>
          <w:color w:val="auto"/>
          <w:u w:val="none"/>
        </w:rPr>
        <w:fldChar w:fldCharType="begin"/>
      </w:r>
      <w:r>
        <w:rPr>
          <w:rStyle w:val="16"/>
          <w:color w:val="auto"/>
          <w:u w:val="none"/>
        </w:rPr>
        <w:instrText xml:space="preserve"> PAGEREF _Toc15396614 \h </w:instrText>
      </w:r>
      <w:r>
        <w:rPr>
          <w:rStyle w:val="16"/>
          <w:color w:val="auto"/>
          <w:u w:val="none"/>
        </w:rPr>
        <w:fldChar w:fldCharType="separate"/>
      </w:r>
      <w:r>
        <w:rPr>
          <w:rStyle w:val="16"/>
          <w:rFonts w:hint="default"/>
          <w:color w:val="auto"/>
          <w:u w:val="none"/>
        </w:rPr>
        <w:t>2</w:t>
      </w:r>
      <w:r>
        <w:rPr>
          <w:rStyle w:val="16"/>
          <w:color w:val="auto"/>
          <w:u w:val="none"/>
        </w:rPr>
        <w:fldChar w:fldCharType="end"/>
      </w:r>
      <w:r>
        <w:rPr>
          <w:rStyle w:val="16"/>
          <w:color w:val="auto"/>
          <w:u w:val="none"/>
        </w:rPr>
        <w:fldChar w:fldCharType="end"/>
      </w:r>
      <w:r>
        <w:t>4</w:t>
      </w:r>
    </w:p>
    <w:p>
      <w:pPr>
        <w:pStyle w:val="10"/>
        <w:widowControl/>
        <w:rPr>
          <w:rFonts w:ascii="仿宋" w:hAnsi="仿宋" w:eastAsia="仿宋"/>
          <w:sz w:val="28"/>
          <w:szCs w:val="28"/>
        </w:rPr>
      </w:pPr>
      <w:r>
        <w:fldChar w:fldCharType="begin"/>
      </w:r>
      <w:r>
        <w:instrText xml:space="preserve"> HYPERLINK "file:///C:\\Users\\User\\Desktop\\2018年部门决算编制说明范本%20(天曌山管理局).docx" \l "_Toc15396615" </w:instrText>
      </w:r>
      <w:r>
        <w:fldChar w:fldCharType="separate"/>
      </w:r>
      <w:r>
        <w:rPr>
          <w:rStyle w:val="16"/>
          <w:rFonts w:hint="eastAsia" w:ascii="仿宋" w:hAnsi="仿宋" w:eastAsia="仿宋" w:cs="仿宋"/>
          <w:kern w:val="44"/>
          <w:sz w:val="28"/>
          <w:szCs w:val="28"/>
        </w:rPr>
        <w:t>附件1</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fldChar w:fldCharType="begin"/>
      </w:r>
      <w:r>
        <w:rPr>
          <w:rStyle w:val="16"/>
          <w:rFonts w:hint="eastAsia" w:ascii="仿宋" w:hAnsi="仿宋" w:eastAsia="仿宋" w:cs="仿宋"/>
          <w:color w:val="auto"/>
          <w:sz w:val="28"/>
          <w:szCs w:val="28"/>
          <w:u w:val="none"/>
        </w:rPr>
        <w:instrText xml:space="preserve"> PAGEREF _Toc15396615 \h </w:instrText>
      </w:r>
      <w:r>
        <w:rPr>
          <w:rStyle w:val="16"/>
          <w:rFonts w:hint="eastAsia" w:ascii="仿宋" w:hAnsi="仿宋" w:eastAsia="仿宋" w:cs="仿宋"/>
          <w:color w:val="auto"/>
          <w:sz w:val="28"/>
          <w:szCs w:val="28"/>
          <w:u w:val="none"/>
        </w:rPr>
        <w:fldChar w:fldCharType="separate"/>
      </w:r>
      <w:r>
        <w:rPr>
          <w:rStyle w:val="16"/>
          <w:rFonts w:ascii="仿宋" w:hAnsi="仿宋" w:eastAsia="仿宋" w:cs="仿宋"/>
          <w:color w:val="auto"/>
          <w:sz w:val="28"/>
          <w:szCs w:val="28"/>
          <w:u w:val="none"/>
        </w:rPr>
        <w:t>2</w:t>
      </w:r>
      <w:r>
        <w:rPr>
          <w:rStyle w:val="16"/>
          <w:rFonts w:hint="eastAsia" w:ascii="仿宋" w:hAnsi="仿宋" w:eastAsia="仿宋" w:cs="仿宋"/>
          <w:color w:val="auto"/>
          <w:sz w:val="28"/>
          <w:szCs w:val="28"/>
          <w:u w:val="none"/>
        </w:rPr>
        <w:t>4</w:t>
      </w:r>
      <w:r>
        <w:rPr>
          <w:rStyle w:val="16"/>
          <w:rFonts w:hint="eastAsia" w:ascii="仿宋" w:hAnsi="仿宋" w:eastAsia="仿宋" w:cs="仿宋"/>
          <w:color w:val="auto"/>
          <w:sz w:val="28"/>
          <w:szCs w:val="28"/>
          <w:u w:val="none"/>
        </w:rPr>
        <w:fldChar w:fldCharType="end"/>
      </w:r>
      <w:r>
        <w:rPr>
          <w:rStyle w:val="16"/>
          <w:rFonts w:hint="eastAsia" w:ascii="仿宋" w:hAnsi="仿宋" w:eastAsia="仿宋" w:cs="仿宋"/>
          <w:color w:val="auto"/>
          <w:sz w:val="28"/>
          <w:szCs w:val="28"/>
          <w:u w:val="none"/>
        </w:rPr>
        <w:fldChar w:fldCharType="end"/>
      </w:r>
    </w:p>
    <w:p>
      <w:pPr>
        <w:pStyle w:val="10"/>
        <w:widowControl/>
        <w:rPr>
          <w:rFonts w:ascii="仿宋" w:hAnsi="仿宋" w:eastAsia="仿宋"/>
          <w:sz w:val="30"/>
          <w:szCs w:val="30"/>
        </w:rPr>
      </w:pPr>
      <w:r>
        <w:fldChar w:fldCharType="begin"/>
      </w:r>
      <w:r>
        <w:instrText xml:space="preserve"> HYPERLINK "file:///C:\\Users\\User\\Desktop\\2018年部门决算编制说明范本%20(天曌山管理局).docx" \l "_Toc15396617" </w:instrText>
      </w:r>
      <w:r>
        <w:fldChar w:fldCharType="separate"/>
      </w:r>
      <w:r>
        <w:rPr>
          <w:rStyle w:val="16"/>
          <w:rFonts w:hint="eastAsia" w:ascii="仿宋" w:hAnsi="仿宋" w:eastAsia="仿宋" w:cs="仿宋"/>
          <w:kern w:val="44"/>
          <w:sz w:val="28"/>
          <w:szCs w:val="28"/>
        </w:rPr>
        <w:t>附件2</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fldChar w:fldCharType="begin"/>
      </w:r>
      <w:r>
        <w:rPr>
          <w:rStyle w:val="16"/>
          <w:rFonts w:hint="eastAsia" w:ascii="仿宋" w:hAnsi="仿宋" w:eastAsia="仿宋" w:cs="仿宋"/>
          <w:color w:val="auto"/>
          <w:sz w:val="28"/>
          <w:szCs w:val="28"/>
          <w:u w:val="none"/>
        </w:rPr>
        <w:instrText xml:space="preserve"> PAGEREF _Toc15396617 \h </w:instrText>
      </w:r>
      <w:r>
        <w:rPr>
          <w:rStyle w:val="16"/>
          <w:rFonts w:hint="eastAsia" w:ascii="仿宋" w:hAnsi="仿宋" w:eastAsia="仿宋" w:cs="仿宋"/>
          <w:color w:val="auto"/>
          <w:sz w:val="28"/>
          <w:szCs w:val="28"/>
          <w:u w:val="none"/>
        </w:rPr>
        <w:fldChar w:fldCharType="separate"/>
      </w:r>
      <w:r>
        <w:rPr>
          <w:rStyle w:val="16"/>
          <w:rFonts w:ascii="仿宋" w:hAnsi="仿宋" w:eastAsia="仿宋" w:cs="仿宋"/>
          <w:color w:val="auto"/>
          <w:sz w:val="28"/>
          <w:szCs w:val="28"/>
          <w:u w:val="none"/>
        </w:rPr>
        <w:t>2</w:t>
      </w:r>
      <w:r>
        <w:rPr>
          <w:rStyle w:val="16"/>
          <w:rFonts w:hint="eastAsia" w:ascii="仿宋" w:hAnsi="仿宋" w:eastAsia="仿宋" w:cs="仿宋"/>
          <w:color w:val="auto"/>
          <w:sz w:val="28"/>
          <w:szCs w:val="28"/>
          <w:u w:val="none"/>
        </w:rPr>
        <w:fldChar w:fldCharType="end"/>
      </w:r>
      <w:r>
        <w:rPr>
          <w:rStyle w:val="16"/>
          <w:rFonts w:hint="eastAsia" w:ascii="仿宋" w:hAnsi="仿宋" w:eastAsia="仿宋" w:cs="仿宋"/>
          <w:color w:val="auto"/>
          <w:sz w:val="28"/>
          <w:szCs w:val="28"/>
          <w:u w:val="none"/>
        </w:rPr>
        <w:fldChar w:fldCharType="end"/>
      </w:r>
      <w:r>
        <w:rPr>
          <w:rFonts w:hint="eastAsia" w:ascii="仿宋" w:hAnsi="仿宋" w:eastAsia="仿宋"/>
          <w:sz w:val="30"/>
          <w:szCs w:val="30"/>
        </w:rPr>
        <w:t>8</w:t>
      </w:r>
    </w:p>
    <w:p>
      <w:pPr>
        <w:pStyle w:val="9"/>
        <w:widowControl/>
        <w:rPr>
          <w:rFonts w:hint="default"/>
        </w:rPr>
      </w:pPr>
      <w:r>
        <w:fldChar w:fldCharType="begin"/>
      </w:r>
      <w:r>
        <w:instrText xml:space="preserve"> HYPERLINK "file:///C:\\Users\\User\\Desktop\\2018年部门决算编制说明范本%20(天曌山管理局).docx" \l "_Toc15396618" </w:instrText>
      </w:r>
      <w:r>
        <w:fldChar w:fldCharType="separate"/>
      </w:r>
      <w:r>
        <w:rPr>
          <w:rStyle w:val="16"/>
        </w:rPr>
        <w:t>第</w:t>
      </w:r>
      <w:r>
        <w:rPr>
          <w:rStyle w:val="16"/>
          <w:bCs/>
          <w:kern w:val="44"/>
        </w:rPr>
        <w:t>五部分 附表</w:t>
      </w:r>
      <w:r>
        <w:rPr>
          <w:rStyle w:val="16"/>
          <w:color w:val="auto"/>
          <w:u w:val="none"/>
        </w:rPr>
        <w:tab/>
      </w:r>
      <w:r>
        <w:rPr>
          <w:rStyle w:val="16"/>
          <w:color w:val="auto"/>
          <w:u w:val="none"/>
        </w:rPr>
        <w:fldChar w:fldCharType="end"/>
      </w:r>
      <w:r>
        <w:t>33</w:t>
      </w:r>
    </w:p>
    <w:p>
      <w:pPr>
        <w:pStyle w:val="10"/>
        <w:widowControl/>
        <w:rPr>
          <w:rFonts w:ascii="仿宋" w:hAnsi="仿宋" w:eastAsia="仿宋"/>
          <w:sz w:val="28"/>
          <w:szCs w:val="28"/>
        </w:rPr>
      </w:pPr>
      <w:r>
        <w:rPr>
          <w:rFonts w:hint="eastAsia" w:ascii="仿宋" w:hAnsi="仿宋" w:eastAsia="仿宋" w:cs="仿宋"/>
          <w:sz w:val="28"/>
          <w:szCs w:val="28"/>
        </w:rPr>
        <w:t>一、</w:t>
      </w:r>
      <w:r>
        <w:fldChar w:fldCharType="begin"/>
      </w:r>
      <w:r>
        <w:instrText xml:space="preserve"> HYPERLINK "file:///C:\\Users\\User\\Desktop\\2018年部门决算编制说明范本%20(天曌山管理局).docx" \l "_Toc15396619" </w:instrText>
      </w:r>
      <w:r>
        <w:fldChar w:fldCharType="separate"/>
      </w:r>
      <w:r>
        <w:rPr>
          <w:rStyle w:val="16"/>
          <w:rFonts w:hint="eastAsia" w:ascii="仿宋" w:hAnsi="仿宋" w:eastAsia="仿宋" w:cs="仿宋"/>
          <w:sz w:val="28"/>
          <w:szCs w:val="28"/>
        </w:rPr>
        <w:t>收入支出决算总表</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t>33</w:t>
      </w:r>
      <w:r>
        <w:rPr>
          <w:rStyle w:val="16"/>
          <w:rFonts w:hint="eastAsia" w:ascii="仿宋" w:hAnsi="仿宋" w:eastAsia="仿宋" w:cs="仿宋"/>
          <w:color w:val="auto"/>
          <w:sz w:val="28"/>
          <w:szCs w:val="28"/>
          <w:u w:val="none"/>
        </w:rPr>
        <w:fldChar w:fldCharType="end"/>
      </w:r>
    </w:p>
    <w:p>
      <w:pPr>
        <w:pStyle w:val="10"/>
        <w:widowControl/>
        <w:rPr>
          <w:rFonts w:ascii="仿宋" w:hAnsi="仿宋" w:eastAsia="仿宋"/>
          <w:sz w:val="28"/>
          <w:szCs w:val="28"/>
        </w:rPr>
      </w:pPr>
      <w:r>
        <w:rPr>
          <w:rFonts w:hint="eastAsia" w:ascii="仿宋" w:hAnsi="仿宋" w:eastAsia="仿宋" w:cs="仿宋"/>
          <w:sz w:val="28"/>
          <w:szCs w:val="28"/>
        </w:rPr>
        <w:t>二、</w:t>
      </w:r>
      <w:r>
        <w:fldChar w:fldCharType="begin"/>
      </w:r>
      <w:r>
        <w:instrText xml:space="preserve"> HYPERLINK "file:///C:\\Users\\User\\Desktop\\2018年部门决算编制说明范本%20(天曌山管理局).docx" \l "_Toc15396620" </w:instrText>
      </w:r>
      <w:r>
        <w:fldChar w:fldCharType="separate"/>
      </w:r>
      <w:r>
        <w:rPr>
          <w:rStyle w:val="16"/>
          <w:rFonts w:hint="eastAsia" w:ascii="仿宋" w:hAnsi="仿宋" w:eastAsia="仿宋" w:cs="仿宋"/>
          <w:sz w:val="28"/>
          <w:szCs w:val="28"/>
        </w:rPr>
        <w:t>收入总表</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fldChar w:fldCharType="end"/>
      </w:r>
      <w:r>
        <w:rPr>
          <w:rFonts w:hint="eastAsia" w:ascii="仿宋" w:hAnsi="仿宋" w:eastAsia="仿宋"/>
          <w:sz w:val="30"/>
          <w:szCs w:val="30"/>
        </w:rPr>
        <w:t>33</w:t>
      </w:r>
    </w:p>
    <w:p>
      <w:pPr>
        <w:pStyle w:val="10"/>
        <w:widowControl/>
        <w:rPr>
          <w:rFonts w:ascii="仿宋" w:hAnsi="仿宋" w:eastAsia="仿宋"/>
          <w:sz w:val="28"/>
          <w:szCs w:val="28"/>
        </w:rPr>
      </w:pPr>
      <w:r>
        <w:rPr>
          <w:rFonts w:hint="eastAsia" w:ascii="仿宋" w:hAnsi="仿宋" w:eastAsia="仿宋" w:cs="仿宋"/>
          <w:sz w:val="28"/>
          <w:szCs w:val="28"/>
        </w:rPr>
        <w:t>三、</w:t>
      </w:r>
      <w:r>
        <w:fldChar w:fldCharType="begin"/>
      </w:r>
      <w:r>
        <w:instrText xml:space="preserve"> HYPERLINK "file:///C:\\Users\\User\\Desktop\\2018年部门决算编制说明范本%20(天曌山管理局).docx" \l "_Toc15396621" </w:instrText>
      </w:r>
      <w:r>
        <w:fldChar w:fldCharType="separate"/>
      </w:r>
      <w:r>
        <w:rPr>
          <w:rStyle w:val="16"/>
          <w:rFonts w:hint="eastAsia" w:ascii="仿宋" w:hAnsi="仿宋" w:eastAsia="仿宋" w:cs="仿宋"/>
          <w:sz w:val="28"/>
          <w:szCs w:val="28"/>
        </w:rPr>
        <w:t>支出总表</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t>33</w:t>
      </w:r>
      <w:r>
        <w:rPr>
          <w:rStyle w:val="16"/>
          <w:rFonts w:hint="eastAsia" w:ascii="仿宋" w:hAnsi="仿宋" w:eastAsia="仿宋" w:cs="仿宋"/>
          <w:color w:val="auto"/>
          <w:sz w:val="28"/>
          <w:szCs w:val="28"/>
          <w:u w:val="none"/>
        </w:rPr>
        <w:fldChar w:fldCharType="end"/>
      </w:r>
    </w:p>
    <w:p>
      <w:pPr>
        <w:pStyle w:val="10"/>
        <w:widowControl/>
        <w:rPr>
          <w:rFonts w:ascii="仿宋" w:hAnsi="仿宋" w:eastAsia="仿宋"/>
          <w:sz w:val="28"/>
          <w:szCs w:val="28"/>
        </w:rPr>
      </w:pPr>
      <w:r>
        <w:rPr>
          <w:rFonts w:hint="eastAsia" w:ascii="仿宋" w:hAnsi="仿宋" w:eastAsia="仿宋" w:cs="仿宋"/>
          <w:sz w:val="28"/>
          <w:szCs w:val="28"/>
        </w:rPr>
        <w:t>四、</w:t>
      </w:r>
      <w:r>
        <w:fldChar w:fldCharType="begin"/>
      </w:r>
      <w:r>
        <w:instrText xml:space="preserve"> HYPERLINK "file:///C:\\Users\\User\\Desktop\\2018年部门决算编制说明范本%20(天曌山管理局).docx" \l "_Toc15396622" </w:instrText>
      </w:r>
      <w:r>
        <w:fldChar w:fldCharType="separate"/>
      </w:r>
      <w:r>
        <w:rPr>
          <w:rStyle w:val="16"/>
          <w:rFonts w:hint="eastAsia" w:ascii="仿宋" w:hAnsi="仿宋" w:eastAsia="仿宋" w:cs="仿宋"/>
          <w:sz w:val="28"/>
          <w:szCs w:val="28"/>
        </w:rPr>
        <w:t>财政拨款收入支出决算总表</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t>33</w:t>
      </w:r>
      <w:r>
        <w:rPr>
          <w:rStyle w:val="16"/>
          <w:rFonts w:hint="eastAsia" w:ascii="仿宋" w:hAnsi="仿宋" w:eastAsia="仿宋" w:cs="仿宋"/>
          <w:color w:val="auto"/>
          <w:sz w:val="28"/>
          <w:szCs w:val="28"/>
          <w:u w:val="none"/>
        </w:rPr>
        <w:fldChar w:fldCharType="end"/>
      </w:r>
    </w:p>
    <w:p>
      <w:pPr>
        <w:pStyle w:val="10"/>
        <w:widowControl/>
        <w:rPr>
          <w:rFonts w:ascii="仿宋" w:hAnsi="仿宋" w:eastAsia="仿宋" w:cs="仿宋"/>
          <w:sz w:val="28"/>
          <w:szCs w:val="28"/>
        </w:rPr>
      </w:pPr>
      <w:r>
        <w:rPr>
          <w:rFonts w:hint="eastAsia" w:ascii="仿宋" w:hAnsi="仿宋" w:eastAsia="仿宋" w:cs="仿宋"/>
          <w:sz w:val="28"/>
          <w:szCs w:val="28"/>
        </w:rPr>
        <w:t>五、</w:t>
      </w:r>
      <w:r>
        <w:fldChar w:fldCharType="begin"/>
      </w:r>
      <w:r>
        <w:instrText xml:space="preserve"> HYPERLINK "file:///C:\\Users\\User\\Desktop\\2018年部门决算编制说明范本%20(天曌山管理局).docx" \l "_Toc15396623" </w:instrText>
      </w:r>
      <w:r>
        <w:fldChar w:fldCharType="separate"/>
      </w:r>
      <w:r>
        <w:rPr>
          <w:rStyle w:val="16"/>
          <w:rFonts w:hint="eastAsia" w:ascii="仿宋" w:hAnsi="仿宋" w:eastAsia="仿宋" w:cs="仿宋"/>
          <w:color w:val="auto"/>
          <w:sz w:val="28"/>
          <w:szCs w:val="28"/>
          <w:u w:val="none"/>
        </w:rPr>
        <w:t>财政拨款支出决算明细表（政府经济分类科目）</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t>33</w:t>
      </w:r>
      <w:r>
        <w:rPr>
          <w:rStyle w:val="16"/>
          <w:rFonts w:hint="eastAsia" w:ascii="仿宋" w:hAnsi="仿宋" w:eastAsia="仿宋" w:cs="仿宋"/>
          <w:color w:val="auto"/>
          <w:sz w:val="28"/>
          <w:szCs w:val="28"/>
          <w:u w:val="none"/>
        </w:rPr>
        <w:fldChar w:fldCharType="end"/>
      </w:r>
    </w:p>
    <w:p>
      <w:pPr>
        <w:pStyle w:val="10"/>
        <w:widowControl/>
        <w:rPr>
          <w:rFonts w:ascii="仿宋" w:hAnsi="仿宋" w:eastAsia="仿宋"/>
          <w:sz w:val="28"/>
          <w:szCs w:val="28"/>
        </w:rPr>
      </w:pPr>
      <w:r>
        <w:rPr>
          <w:rFonts w:hint="eastAsia" w:ascii="仿宋" w:hAnsi="仿宋" w:eastAsia="仿宋" w:cs="仿宋"/>
          <w:sz w:val="28"/>
          <w:szCs w:val="28"/>
        </w:rPr>
        <w:t>六、</w:t>
      </w:r>
      <w:r>
        <w:fldChar w:fldCharType="begin"/>
      </w:r>
      <w:r>
        <w:instrText xml:space="preserve"> HYPERLINK "file:///C:\\Users\\User\\Desktop\\2018年部门决算编制说明范本%20(天曌山管理局).docx" \l "_Toc15396624" </w:instrText>
      </w:r>
      <w:r>
        <w:fldChar w:fldCharType="separate"/>
      </w:r>
      <w:r>
        <w:rPr>
          <w:rStyle w:val="16"/>
          <w:rFonts w:hint="eastAsia" w:ascii="仿宋" w:hAnsi="仿宋" w:eastAsia="仿宋" w:cs="仿宋"/>
          <w:sz w:val="28"/>
          <w:szCs w:val="28"/>
        </w:rPr>
        <w:t>一般公共预算财政拨款支出决算表</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t>33</w:t>
      </w:r>
      <w:r>
        <w:rPr>
          <w:rStyle w:val="16"/>
          <w:rFonts w:hint="eastAsia" w:ascii="仿宋" w:hAnsi="仿宋" w:eastAsia="仿宋" w:cs="仿宋"/>
          <w:color w:val="auto"/>
          <w:sz w:val="28"/>
          <w:szCs w:val="28"/>
          <w:u w:val="none"/>
        </w:rPr>
        <w:fldChar w:fldCharType="end"/>
      </w:r>
    </w:p>
    <w:p>
      <w:pPr>
        <w:pStyle w:val="10"/>
        <w:widowControl/>
        <w:rPr>
          <w:rFonts w:ascii="仿宋" w:hAnsi="仿宋" w:eastAsia="仿宋"/>
          <w:sz w:val="28"/>
          <w:szCs w:val="28"/>
        </w:rPr>
      </w:pPr>
      <w:r>
        <w:rPr>
          <w:rFonts w:hint="eastAsia" w:ascii="仿宋" w:hAnsi="仿宋" w:eastAsia="仿宋" w:cs="仿宋"/>
          <w:sz w:val="28"/>
          <w:szCs w:val="28"/>
        </w:rPr>
        <w:t>七、</w:t>
      </w:r>
      <w:r>
        <w:fldChar w:fldCharType="begin"/>
      </w:r>
      <w:r>
        <w:instrText xml:space="preserve"> HYPERLINK "file:///C:\\Users\\User\\Desktop\\2018年部门决算编制说明范本%20(天曌山管理局).docx" \l "_Toc15396625" </w:instrText>
      </w:r>
      <w:r>
        <w:fldChar w:fldCharType="separate"/>
      </w:r>
      <w:r>
        <w:rPr>
          <w:rStyle w:val="16"/>
          <w:rFonts w:hint="eastAsia" w:ascii="仿宋" w:hAnsi="仿宋" w:eastAsia="仿宋" w:cs="仿宋"/>
          <w:sz w:val="28"/>
          <w:szCs w:val="28"/>
        </w:rPr>
        <w:t>一般公共预算财政拨款支出决算明细表</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t>33</w:t>
      </w:r>
      <w:r>
        <w:rPr>
          <w:rStyle w:val="16"/>
          <w:rFonts w:hint="eastAsia" w:ascii="仿宋" w:hAnsi="仿宋" w:eastAsia="仿宋" w:cs="仿宋"/>
          <w:color w:val="auto"/>
          <w:sz w:val="28"/>
          <w:szCs w:val="28"/>
          <w:u w:val="none"/>
        </w:rPr>
        <w:fldChar w:fldCharType="end"/>
      </w:r>
    </w:p>
    <w:p>
      <w:pPr>
        <w:pStyle w:val="10"/>
        <w:widowControl/>
        <w:rPr>
          <w:rFonts w:ascii="仿宋" w:hAnsi="仿宋" w:eastAsia="仿宋"/>
          <w:sz w:val="28"/>
          <w:szCs w:val="28"/>
        </w:rPr>
      </w:pPr>
      <w:r>
        <w:rPr>
          <w:rFonts w:hint="eastAsia" w:ascii="仿宋" w:hAnsi="仿宋" w:eastAsia="仿宋" w:cs="仿宋"/>
          <w:sz w:val="28"/>
          <w:szCs w:val="28"/>
        </w:rPr>
        <w:t>八、</w:t>
      </w:r>
      <w:r>
        <w:fldChar w:fldCharType="begin"/>
      </w:r>
      <w:r>
        <w:instrText xml:space="preserve"> HYPERLINK "file:///C:\\Users\\User\\Desktop\\2018年部门决算编制说明范本%20(天曌山管理局).docx" \l "_Toc15396626" </w:instrText>
      </w:r>
      <w:r>
        <w:fldChar w:fldCharType="separate"/>
      </w:r>
      <w:r>
        <w:rPr>
          <w:rStyle w:val="16"/>
          <w:rFonts w:hint="eastAsia" w:ascii="仿宋" w:hAnsi="仿宋" w:eastAsia="仿宋" w:cs="仿宋"/>
          <w:sz w:val="28"/>
          <w:szCs w:val="28"/>
        </w:rPr>
        <w:t>一般公共预算财政拨款基本支出决算表</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t>33</w:t>
      </w:r>
      <w:r>
        <w:rPr>
          <w:rStyle w:val="16"/>
          <w:rFonts w:hint="eastAsia" w:ascii="仿宋" w:hAnsi="仿宋" w:eastAsia="仿宋" w:cs="仿宋"/>
          <w:color w:val="auto"/>
          <w:sz w:val="28"/>
          <w:szCs w:val="28"/>
          <w:u w:val="none"/>
        </w:rPr>
        <w:fldChar w:fldCharType="end"/>
      </w:r>
    </w:p>
    <w:p>
      <w:pPr>
        <w:pStyle w:val="10"/>
        <w:widowControl/>
        <w:rPr>
          <w:rFonts w:ascii="仿宋" w:hAnsi="仿宋" w:eastAsia="仿宋"/>
          <w:sz w:val="30"/>
          <w:szCs w:val="30"/>
        </w:rPr>
      </w:pPr>
      <w:r>
        <w:rPr>
          <w:rFonts w:hint="eastAsia" w:ascii="仿宋" w:hAnsi="仿宋" w:eastAsia="仿宋" w:cs="仿宋"/>
          <w:sz w:val="28"/>
          <w:szCs w:val="28"/>
        </w:rPr>
        <w:t>九、</w:t>
      </w:r>
      <w:r>
        <w:fldChar w:fldCharType="begin"/>
      </w:r>
      <w:r>
        <w:instrText xml:space="preserve"> HYPERLINK "file:///C:\\Users\\User\\Desktop\\2018年部门决算编制说明范本%20(天曌山管理局).docx" \l "_Toc15396627" </w:instrText>
      </w:r>
      <w:r>
        <w:fldChar w:fldCharType="separate"/>
      </w:r>
      <w:r>
        <w:rPr>
          <w:rStyle w:val="16"/>
          <w:rFonts w:hint="eastAsia" w:ascii="仿宋" w:hAnsi="仿宋" w:eastAsia="仿宋" w:cs="仿宋"/>
          <w:sz w:val="28"/>
          <w:szCs w:val="28"/>
        </w:rPr>
        <w:t>一般公共预算财政拨款项目支出决算表</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fldChar w:fldCharType="end"/>
      </w:r>
      <w:r>
        <w:rPr>
          <w:rFonts w:hint="eastAsia" w:ascii="仿宋" w:hAnsi="仿宋" w:eastAsia="仿宋"/>
          <w:sz w:val="30"/>
          <w:szCs w:val="30"/>
        </w:rPr>
        <w:t>33</w:t>
      </w:r>
    </w:p>
    <w:p>
      <w:pPr>
        <w:pStyle w:val="10"/>
        <w:widowControl/>
        <w:rPr>
          <w:rFonts w:ascii="仿宋" w:hAnsi="仿宋" w:eastAsia="仿宋"/>
          <w:sz w:val="28"/>
          <w:szCs w:val="28"/>
        </w:rPr>
      </w:pPr>
      <w:r>
        <w:rPr>
          <w:rFonts w:hint="eastAsia" w:ascii="仿宋" w:hAnsi="仿宋" w:eastAsia="仿宋" w:cs="仿宋"/>
          <w:sz w:val="28"/>
          <w:szCs w:val="28"/>
        </w:rPr>
        <w:t>十、</w:t>
      </w:r>
      <w:r>
        <w:fldChar w:fldCharType="begin"/>
      </w:r>
      <w:r>
        <w:instrText xml:space="preserve"> HYPERLINK "file:///C:\\Users\\User\\Desktop\\2018年部门决算编制说明范本%20(天曌山管理局).docx" \l "_Toc15396628" </w:instrText>
      </w:r>
      <w:r>
        <w:fldChar w:fldCharType="separate"/>
      </w:r>
      <w:r>
        <w:rPr>
          <w:rStyle w:val="16"/>
          <w:rFonts w:hint="eastAsia" w:ascii="仿宋" w:hAnsi="仿宋" w:eastAsia="仿宋" w:cs="仿宋"/>
          <w:sz w:val="28"/>
          <w:szCs w:val="28"/>
        </w:rPr>
        <w:t>一般公共预算财政拨款“三公”经费支出决算表</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fldChar w:fldCharType="end"/>
      </w:r>
      <w:r>
        <w:rPr>
          <w:rFonts w:hint="eastAsia" w:ascii="仿宋" w:hAnsi="仿宋" w:eastAsia="仿宋"/>
          <w:sz w:val="30"/>
          <w:szCs w:val="30"/>
        </w:rPr>
        <w:t>33</w:t>
      </w:r>
    </w:p>
    <w:p>
      <w:pPr>
        <w:pStyle w:val="10"/>
        <w:widowControl/>
        <w:rPr>
          <w:rFonts w:ascii="仿宋" w:hAnsi="仿宋" w:eastAsia="仿宋"/>
          <w:sz w:val="28"/>
          <w:szCs w:val="28"/>
        </w:rPr>
      </w:pPr>
      <w:r>
        <w:rPr>
          <w:rFonts w:hint="eastAsia" w:ascii="仿宋" w:hAnsi="仿宋" w:eastAsia="仿宋" w:cs="仿宋"/>
          <w:sz w:val="28"/>
          <w:szCs w:val="28"/>
        </w:rPr>
        <w:t>十一、</w:t>
      </w:r>
      <w:r>
        <w:fldChar w:fldCharType="begin"/>
      </w:r>
      <w:r>
        <w:instrText xml:space="preserve"> HYPERLINK "file:///C:\\Users\\User\\Desktop\\2018年部门决算编制说明范本%20(天曌山管理局).docx" \l "_Toc15396629" </w:instrText>
      </w:r>
      <w:r>
        <w:fldChar w:fldCharType="separate"/>
      </w:r>
      <w:r>
        <w:rPr>
          <w:rStyle w:val="16"/>
          <w:rFonts w:hint="eastAsia" w:ascii="仿宋" w:hAnsi="仿宋" w:eastAsia="仿宋" w:cs="仿宋"/>
          <w:sz w:val="28"/>
          <w:szCs w:val="28"/>
        </w:rPr>
        <w:t>政府性基金预算财政拨款收入支出决算表</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t>33</w:t>
      </w:r>
      <w:r>
        <w:rPr>
          <w:rStyle w:val="16"/>
          <w:rFonts w:hint="eastAsia" w:ascii="仿宋" w:hAnsi="仿宋" w:eastAsia="仿宋" w:cs="仿宋"/>
          <w:color w:val="auto"/>
          <w:sz w:val="28"/>
          <w:szCs w:val="28"/>
          <w:u w:val="none"/>
        </w:rPr>
        <w:fldChar w:fldCharType="end"/>
      </w:r>
    </w:p>
    <w:p>
      <w:pPr>
        <w:pStyle w:val="10"/>
        <w:widowControl/>
        <w:rPr>
          <w:rFonts w:ascii="仿宋" w:hAnsi="仿宋" w:eastAsia="仿宋"/>
          <w:sz w:val="28"/>
          <w:szCs w:val="28"/>
        </w:rPr>
      </w:pPr>
      <w:r>
        <w:rPr>
          <w:rFonts w:hint="eastAsia" w:ascii="仿宋" w:hAnsi="仿宋" w:eastAsia="仿宋" w:cs="仿宋"/>
          <w:sz w:val="28"/>
          <w:szCs w:val="28"/>
        </w:rPr>
        <w:t>十二、</w:t>
      </w:r>
      <w:r>
        <w:fldChar w:fldCharType="begin"/>
      </w:r>
      <w:r>
        <w:instrText xml:space="preserve"> HYPERLINK "file:///C:\\Users\\User\\Desktop\\2018年部门决算编制说明范本%20(天曌山管理局).docx" \l "_Toc15396630" </w:instrText>
      </w:r>
      <w:r>
        <w:fldChar w:fldCharType="separate"/>
      </w:r>
      <w:r>
        <w:rPr>
          <w:rStyle w:val="16"/>
          <w:rFonts w:hint="eastAsia" w:ascii="仿宋" w:hAnsi="仿宋" w:eastAsia="仿宋" w:cs="仿宋"/>
          <w:sz w:val="28"/>
          <w:szCs w:val="28"/>
        </w:rPr>
        <w:t>政府性基金预算财政拨款“三公”经费支出决算表</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t>33</w:t>
      </w:r>
      <w:r>
        <w:rPr>
          <w:rStyle w:val="16"/>
          <w:rFonts w:hint="eastAsia" w:ascii="仿宋" w:hAnsi="仿宋" w:eastAsia="仿宋" w:cs="仿宋"/>
          <w:color w:val="auto"/>
          <w:sz w:val="28"/>
          <w:szCs w:val="28"/>
          <w:u w:val="none"/>
        </w:rPr>
        <w:fldChar w:fldCharType="end"/>
      </w:r>
    </w:p>
    <w:p>
      <w:pPr>
        <w:pStyle w:val="10"/>
        <w:widowControl/>
      </w:pPr>
      <w:r>
        <w:rPr>
          <w:rFonts w:hint="eastAsia" w:ascii="仿宋" w:hAnsi="仿宋" w:eastAsia="仿宋" w:cs="仿宋"/>
          <w:sz w:val="28"/>
          <w:szCs w:val="28"/>
        </w:rPr>
        <w:t>十三、</w:t>
      </w:r>
      <w:r>
        <w:fldChar w:fldCharType="begin"/>
      </w:r>
      <w:r>
        <w:instrText xml:space="preserve"> HYPERLINK "file:///C:\\Users\\User\\Desktop\\2018年部门决算编制说明范本%20(天曌山管理局).docx" \l "_Toc15396631" </w:instrText>
      </w:r>
      <w:r>
        <w:fldChar w:fldCharType="separate"/>
      </w:r>
      <w:r>
        <w:rPr>
          <w:rStyle w:val="16"/>
          <w:rFonts w:hint="eastAsia" w:ascii="仿宋" w:hAnsi="仿宋" w:eastAsia="仿宋" w:cs="仿宋"/>
          <w:sz w:val="28"/>
          <w:szCs w:val="28"/>
        </w:rPr>
        <w:t>国有资本经营预算支出决算表</w:t>
      </w:r>
      <w:r>
        <w:rPr>
          <w:rStyle w:val="16"/>
          <w:rFonts w:hint="eastAsia" w:ascii="仿宋" w:hAnsi="仿宋" w:eastAsia="仿宋" w:cs="仿宋"/>
          <w:color w:val="auto"/>
          <w:sz w:val="28"/>
          <w:szCs w:val="28"/>
          <w:u w:val="none"/>
        </w:rPr>
        <w:tab/>
      </w:r>
      <w:r>
        <w:rPr>
          <w:rStyle w:val="16"/>
          <w:rFonts w:hint="eastAsia" w:ascii="仿宋" w:hAnsi="仿宋" w:eastAsia="仿宋" w:cs="仿宋"/>
          <w:color w:val="auto"/>
          <w:sz w:val="28"/>
          <w:szCs w:val="28"/>
          <w:u w:val="none"/>
        </w:rPr>
        <w:t>33</w:t>
      </w:r>
      <w:r>
        <w:rPr>
          <w:rStyle w:val="16"/>
          <w:rFonts w:hint="eastAsia" w:ascii="仿宋" w:hAnsi="仿宋" w:eastAsia="仿宋" w:cs="仿宋"/>
          <w:color w:val="auto"/>
          <w:sz w:val="28"/>
          <w:szCs w:val="28"/>
          <w:u w:val="none"/>
        </w:rPr>
        <w:fldChar w:fldCharType="end"/>
      </w:r>
    </w:p>
    <w:p>
      <w:pPr>
        <w:widowControl/>
        <w:ind w:firstLine="480" w:firstLineChars="200"/>
        <w:jc w:val="left"/>
        <w:rPr>
          <w:rFonts w:ascii="仿宋" w:hAnsi="仿宋" w:eastAsia="仿宋" w:cs="仿宋"/>
          <w:color w:val="000000"/>
          <w:sz w:val="24"/>
        </w:rPr>
      </w:pPr>
      <w:r>
        <w:rPr>
          <w:rFonts w:hint="eastAsia" w:ascii="仿宋" w:hAnsi="仿宋" w:eastAsia="仿宋" w:cs="仿宋"/>
          <w:color w:val="000000"/>
          <w:sz w:val="24"/>
        </w:rPr>
        <w:fldChar w:fldCharType="end"/>
      </w:r>
      <w:r>
        <w:rPr>
          <w:rFonts w:ascii="仿宋" w:hAnsi="仿宋" w:eastAsia="仿宋" w:cs="仿宋"/>
          <w:color w:val="000000"/>
          <w:sz w:val="24"/>
        </w:rPr>
        <w:t xml:space="preserve"> </w:t>
      </w:r>
    </w:p>
    <w:p>
      <w:pPr>
        <w:widowControl/>
        <w:jc w:val="left"/>
        <w:rPr>
          <w:rFonts w:ascii="黑体" w:hAnsi="宋体" w:eastAsia="黑体" w:cs="黑体"/>
          <w:bCs/>
          <w:kern w:val="44"/>
          <w:sz w:val="44"/>
          <w:szCs w:val="44"/>
        </w:rPr>
      </w:pPr>
      <w:r>
        <w:rPr>
          <w:rFonts w:hint="eastAsia" w:ascii="黑体" w:hAnsi="宋体" w:eastAsia="黑体" w:cs="Times New Roman"/>
          <w:b/>
        </w:rPr>
        <w:br w:type="page"/>
      </w:r>
      <w:bookmarkStart w:id="12" w:name="_Toc15377196"/>
      <w:bookmarkStart w:id="13" w:name="_Toc15396599"/>
    </w:p>
    <w:p>
      <w:pPr>
        <w:pStyle w:val="2"/>
        <w:widowControl/>
        <w:jc w:val="center"/>
        <w:rPr>
          <w:rFonts w:ascii="黑体" w:hAnsi="宋体" w:eastAsia="黑体" w:cs="黑体"/>
          <w:b w:val="0"/>
          <w:bCs/>
        </w:rPr>
      </w:pPr>
      <w:r>
        <w:rPr>
          <w:rFonts w:hint="eastAsia" w:ascii="黑体" w:hAnsi="宋体" w:eastAsia="黑体" w:cs="黑体"/>
          <w:b w:val="0"/>
          <w:bCs/>
        </w:rPr>
        <w:t xml:space="preserve">第一部分 </w:t>
      </w:r>
      <w:r>
        <w:rPr>
          <w:rStyle w:val="20"/>
          <w:rFonts w:hint="eastAsia" w:ascii="黑体" w:hAnsi="宋体" w:eastAsia="黑体" w:cs="黑体"/>
          <w:b/>
        </w:rPr>
        <w:t>部门概况</w:t>
      </w:r>
      <w:bookmarkEnd w:id="12"/>
      <w:bookmarkEnd w:id="13"/>
    </w:p>
    <w:p>
      <w:pPr>
        <w:widowControl/>
        <w:jc w:val="left"/>
        <w:rPr>
          <w:rFonts w:ascii="黑体" w:hAnsi="Times New Roman" w:eastAsia="黑体" w:cs="黑体"/>
          <w:color w:val="000000"/>
          <w:sz w:val="32"/>
          <w:szCs w:val="32"/>
        </w:rPr>
      </w:pPr>
    </w:p>
    <w:p>
      <w:pPr>
        <w:pStyle w:val="3"/>
        <w:widowControl/>
        <w:rPr>
          <w:rFonts w:ascii="仿宋" w:hAnsi="仿宋" w:eastAsia="仿宋" w:cs="仿宋"/>
        </w:rPr>
      </w:pPr>
      <w:bookmarkStart w:id="14" w:name="_Toc15377197"/>
      <w:bookmarkStart w:id="15" w:name="_Toc15396600"/>
      <w:r>
        <w:rPr>
          <w:rFonts w:hint="eastAsia" w:ascii="黑体" w:hAnsi="宋体" w:eastAsia="黑体" w:cs="黑体"/>
          <w:b w:val="0"/>
          <w:bCs/>
          <w:color w:val="000000"/>
        </w:rPr>
        <w:t>一、基</w:t>
      </w:r>
      <w:r>
        <w:rPr>
          <w:rStyle w:val="19"/>
          <w:rFonts w:hint="eastAsia" w:ascii="黑体" w:hAnsi="宋体" w:eastAsia="黑体" w:cs="黑体"/>
          <w:b/>
        </w:rPr>
        <w:t>本职能及主要工作</w:t>
      </w:r>
      <w:bookmarkEnd w:id="14"/>
      <w:bookmarkEnd w:id="15"/>
    </w:p>
    <w:p>
      <w:pPr>
        <w:pStyle w:val="5"/>
        <w:widowControl/>
        <w:adjustRightInd w:val="0"/>
        <w:snapToGrid w:val="0"/>
        <w:spacing w:before="93" w:line="600" w:lineRule="exact"/>
        <w:ind w:firstLine="672" w:firstLineChars="210"/>
        <w:outlineLvl w:val="2"/>
        <w:rPr>
          <w:rFonts w:hint="default" w:ascii="仿宋" w:hAnsi="仿宋" w:eastAsia="仿宋" w:cs="仿宋"/>
          <w:bCs/>
          <w:color w:val="000000"/>
          <w:sz w:val="32"/>
          <w:szCs w:val="32"/>
        </w:rPr>
      </w:pPr>
      <w:bookmarkStart w:id="16" w:name="_Toc15377198"/>
      <w:bookmarkStart w:id="17" w:name="_Toc15378445"/>
      <w:r>
        <w:rPr>
          <w:rFonts w:ascii="仿宋" w:hAnsi="仿宋" w:eastAsia="仿宋" w:cs="仿宋"/>
          <w:bCs/>
          <w:color w:val="000000"/>
          <w:sz w:val="32"/>
          <w:szCs w:val="32"/>
        </w:rPr>
        <w:t>（一）主要职能。</w:t>
      </w:r>
      <w:bookmarkEnd w:id="16"/>
      <w:bookmarkEnd w:id="17"/>
    </w:p>
    <w:p>
      <w:pPr>
        <w:pStyle w:val="5"/>
        <w:widowControl/>
        <w:adjustRightInd w:val="0"/>
        <w:snapToGrid w:val="0"/>
        <w:spacing w:before="93" w:line="600" w:lineRule="exact"/>
        <w:ind w:firstLine="672" w:firstLineChars="210"/>
        <w:outlineLvl w:val="2"/>
        <w:rPr>
          <w:rFonts w:hint="default" w:ascii="仿宋" w:hAnsi="仿宋" w:eastAsia="仿宋" w:cs="仿宋"/>
          <w:bCs/>
          <w:color w:val="000000"/>
          <w:sz w:val="32"/>
          <w:szCs w:val="32"/>
        </w:rPr>
      </w:pPr>
      <w:r>
        <w:rPr>
          <w:rFonts w:ascii="仿宋" w:hAnsi="仿宋" w:eastAsia="仿宋" w:cs="仿宋"/>
          <w:bCs/>
          <w:color w:val="000000"/>
          <w:sz w:val="32"/>
          <w:szCs w:val="32"/>
        </w:rPr>
        <w:t>1、拟定和组织实施森林公园建设和发展规划；</w:t>
      </w:r>
    </w:p>
    <w:p>
      <w:pPr>
        <w:pStyle w:val="5"/>
        <w:widowControl/>
        <w:adjustRightInd w:val="0"/>
        <w:snapToGrid w:val="0"/>
        <w:spacing w:before="93" w:line="600" w:lineRule="exact"/>
        <w:ind w:firstLine="672" w:firstLineChars="210"/>
        <w:outlineLvl w:val="2"/>
        <w:rPr>
          <w:rFonts w:hint="default" w:ascii="仿宋" w:hAnsi="仿宋" w:eastAsia="仿宋" w:cs="仿宋"/>
          <w:bCs/>
          <w:color w:val="000000"/>
          <w:sz w:val="32"/>
          <w:szCs w:val="32"/>
        </w:rPr>
      </w:pPr>
      <w:r>
        <w:rPr>
          <w:rFonts w:ascii="仿宋" w:hAnsi="仿宋" w:eastAsia="仿宋" w:cs="仿宋"/>
          <w:bCs/>
          <w:color w:val="000000"/>
          <w:sz w:val="32"/>
          <w:szCs w:val="32"/>
        </w:rPr>
        <w:t>2、负责森林公园风景区历史、文化资源的开发利用和保护工作，协调做好景区内文物保护工作；</w:t>
      </w:r>
    </w:p>
    <w:p>
      <w:pPr>
        <w:pStyle w:val="5"/>
        <w:widowControl/>
        <w:adjustRightInd w:val="0"/>
        <w:snapToGrid w:val="0"/>
        <w:spacing w:before="93" w:line="600" w:lineRule="exact"/>
        <w:ind w:firstLine="672" w:firstLineChars="210"/>
        <w:outlineLvl w:val="2"/>
        <w:rPr>
          <w:rFonts w:hint="default" w:ascii="仿宋" w:hAnsi="仿宋" w:eastAsia="仿宋" w:cs="仿宋"/>
          <w:bCs/>
          <w:color w:val="000000"/>
          <w:sz w:val="32"/>
          <w:szCs w:val="32"/>
        </w:rPr>
      </w:pPr>
      <w:r>
        <w:rPr>
          <w:rFonts w:ascii="仿宋" w:hAnsi="仿宋" w:eastAsia="仿宋" w:cs="仿宋"/>
          <w:bCs/>
          <w:color w:val="000000"/>
          <w:sz w:val="32"/>
          <w:szCs w:val="32"/>
        </w:rPr>
        <w:t>3、监督管理森林公园景区内从事旅游业和其他服务的单位、个人的经营活动；</w:t>
      </w:r>
    </w:p>
    <w:p>
      <w:pPr>
        <w:pStyle w:val="5"/>
        <w:widowControl/>
        <w:adjustRightInd w:val="0"/>
        <w:snapToGrid w:val="0"/>
        <w:spacing w:before="93" w:line="600" w:lineRule="exact"/>
        <w:ind w:firstLine="672" w:firstLineChars="210"/>
        <w:outlineLvl w:val="2"/>
        <w:rPr>
          <w:rFonts w:hint="default" w:ascii="仿宋" w:hAnsi="仿宋" w:eastAsia="仿宋" w:cs="仿宋"/>
          <w:bCs/>
          <w:color w:val="000000"/>
          <w:sz w:val="32"/>
          <w:szCs w:val="32"/>
        </w:rPr>
      </w:pPr>
      <w:r>
        <w:rPr>
          <w:rFonts w:ascii="仿宋" w:hAnsi="仿宋" w:eastAsia="仿宋" w:cs="仿宋"/>
          <w:bCs/>
          <w:color w:val="000000"/>
          <w:sz w:val="32"/>
          <w:szCs w:val="32"/>
        </w:rPr>
        <w:t>4、会同有关部门协调改善旅游环境，促进旅游景区发展及项目打造；</w:t>
      </w:r>
    </w:p>
    <w:p>
      <w:pPr>
        <w:pStyle w:val="5"/>
        <w:widowControl/>
        <w:adjustRightInd w:val="0"/>
        <w:snapToGrid w:val="0"/>
        <w:spacing w:before="93" w:line="600" w:lineRule="exact"/>
        <w:ind w:firstLine="672" w:firstLineChars="210"/>
        <w:outlineLvl w:val="2"/>
        <w:rPr>
          <w:rFonts w:hint="default" w:ascii="仿宋" w:hAnsi="仿宋" w:eastAsia="仿宋" w:cs="仿宋"/>
          <w:bCs/>
          <w:color w:val="000000"/>
          <w:sz w:val="32"/>
          <w:szCs w:val="32"/>
        </w:rPr>
      </w:pPr>
      <w:bookmarkStart w:id="18" w:name="_Toc15377199"/>
      <w:bookmarkStart w:id="19" w:name="_Toc15378446"/>
      <w:r>
        <w:rPr>
          <w:rFonts w:ascii="仿宋" w:hAnsi="仿宋" w:eastAsia="仿宋" w:cs="仿宋"/>
          <w:bCs/>
          <w:color w:val="000000"/>
          <w:sz w:val="32"/>
          <w:szCs w:val="32"/>
        </w:rPr>
        <w:t>5、监督管理森林公园景区内市场秩序和服务质量，受理消费者投诉，会同有关部门查处侵害消费者和经营者合法权益的行为；</w:t>
      </w:r>
    </w:p>
    <w:p>
      <w:pPr>
        <w:pStyle w:val="5"/>
        <w:widowControl/>
        <w:adjustRightInd w:val="0"/>
        <w:snapToGrid w:val="0"/>
        <w:spacing w:before="93" w:line="600" w:lineRule="exact"/>
        <w:ind w:firstLine="672" w:firstLineChars="210"/>
        <w:outlineLvl w:val="2"/>
        <w:rPr>
          <w:rFonts w:hint="default" w:ascii="仿宋" w:hAnsi="仿宋" w:eastAsia="仿宋" w:cs="仿宋"/>
          <w:bCs/>
          <w:color w:val="000000"/>
          <w:sz w:val="32"/>
          <w:szCs w:val="32"/>
        </w:rPr>
      </w:pPr>
      <w:r>
        <w:rPr>
          <w:rFonts w:ascii="仿宋" w:hAnsi="仿宋" w:eastAsia="仿宋" w:cs="仿宋"/>
          <w:bCs/>
          <w:color w:val="000000"/>
          <w:sz w:val="32"/>
          <w:szCs w:val="32"/>
        </w:rPr>
        <w:t>6、负责森林公园景区宣传工作；</w:t>
      </w:r>
    </w:p>
    <w:p>
      <w:pPr>
        <w:pStyle w:val="5"/>
        <w:widowControl/>
        <w:adjustRightInd w:val="0"/>
        <w:snapToGrid w:val="0"/>
        <w:spacing w:before="93" w:line="600" w:lineRule="exact"/>
        <w:ind w:firstLine="672" w:firstLineChars="210"/>
        <w:outlineLvl w:val="2"/>
        <w:rPr>
          <w:rFonts w:hint="default" w:ascii="仿宋" w:hAnsi="仿宋" w:eastAsia="仿宋" w:cs="仿宋"/>
          <w:bCs/>
          <w:color w:val="000000"/>
          <w:sz w:val="32"/>
          <w:szCs w:val="32"/>
        </w:rPr>
      </w:pPr>
      <w:r>
        <w:rPr>
          <w:rFonts w:ascii="仿宋" w:hAnsi="仿宋" w:eastAsia="仿宋" w:cs="仿宋"/>
          <w:bCs/>
          <w:color w:val="000000"/>
          <w:sz w:val="32"/>
          <w:szCs w:val="32"/>
        </w:rPr>
        <w:t>7、监管森林公园景区内经营及游客的人身、财产安全工作；</w:t>
      </w:r>
    </w:p>
    <w:p>
      <w:pPr>
        <w:pStyle w:val="5"/>
        <w:widowControl/>
        <w:adjustRightInd w:val="0"/>
        <w:snapToGrid w:val="0"/>
        <w:spacing w:before="93" w:line="600" w:lineRule="exact"/>
        <w:ind w:firstLine="672" w:firstLineChars="210"/>
        <w:outlineLvl w:val="2"/>
        <w:rPr>
          <w:rFonts w:hint="default" w:ascii="仿宋" w:hAnsi="仿宋" w:eastAsia="仿宋" w:cs="仿宋"/>
          <w:bCs/>
          <w:color w:val="000000"/>
          <w:sz w:val="32"/>
          <w:szCs w:val="32"/>
        </w:rPr>
      </w:pPr>
      <w:r>
        <w:rPr>
          <w:rFonts w:ascii="仿宋" w:hAnsi="仿宋" w:eastAsia="仿宋" w:cs="仿宋"/>
          <w:bCs/>
          <w:color w:val="000000"/>
          <w:sz w:val="32"/>
          <w:szCs w:val="32"/>
        </w:rPr>
        <w:t>8、承担区政府交办的其他工作。</w:t>
      </w:r>
    </w:p>
    <w:p>
      <w:pPr>
        <w:pStyle w:val="5"/>
        <w:widowControl/>
        <w:adjustRightInd w:val="0"/>
        <w:snapToGrid w:val="0"/>
        <w:spacing w:before="93" w:line="600" w:lineRule="exact"/>
        <w:ind w:firstLine="672" w:firstLineChars="210"/>
        <w:outlineLvl w:val="2"/>
        <w:rPr>
          <w:rFonts w:hint="default" w:ascii="仿宋" w:hAnsi="仿宋" w:eastAsia="仿宋" w:cs="仿宋"/>
          <w:bCs/>
          <w:color w:val="000000"/>
          <w:sz w:val="32"/>
          <w:szCs w:val="32"/>
        </w:rPr>
      </w:pPr>
      <w:r>
        <w:rPr>
          <w:rFonts w:ascii="仿宋" w:hAnsi="仿宋" w:eastAsia="仿宋" w:cs="仿宋"/>
          <w:bCs/>
          <w:color w:val="000000"/>
          <w:sz w:val="32"/>
          <w:szCs w:val="32"/>
        </w:rPr>
        <w:t>（二）2018年重点工作完成情况。</w:t>
      </w:r>
      <w:bookmarkEnd w:id="18"/>
      <w:bookmarkEnd w:id="19"/>
    </w:p>
    <w:p>
      <w:pPr>
        <w:pStyle w:val="5"/>
        <w:widowControl/>
        <w:adjustRightInd w:val="0"/>
        <w:snapToGrid w:val="0"/>
        <w:spacing w:before="93" w:line="600" w:lineRule="exact"/>
        <w:ind w:firstLine="672" w:firstLineChars="210"/>
        <w:outlineLvl w:val="2"/>
        <w:rPr>
          <w:rFonts w:hint="default" w:ascii="仿宋" w:hAnsi="仿宋" w:eastAsia="仿宋" w:cs="仿宋"/>
          <w:bCs/>
          <w:color w:val="000000"/>
          <w:sz w:val="32"/>
          <w:szCs w:val="32"/>
        </w:rPr>
      </w:pPr>
      <w:r>
        <w:rPr>
          <w:rFonts w:ascii="仿宋" w:hAnsi="仿宋" w:eastAsia="仿宋" w:cs="仿宋"/>
          <w:bCs/>
          <w:color w:val="000000"/>
          <w:sz w:val="32"/>
          <w:szCs w:val="32"/>
        </w:rPr>
        <w:t>1、完善景区规划，促进景区发展提升</w:t>
      </w:r>
    </w:p>
    <w:p>
      <w:pPr>
        <w:pStyle w:val="5"/>
        <w:widowControl/>
        <w:adjustRightInd w:val="0"/>
        <w:snapToGrid w:val="0"/>
        <w:spacing w:before="93" w:line="600" w:lineRule="exact"/>
        <w:ind w:firstLine="672" w:firstLineChars="210"/>
        <w:outlineLvl w:val="2"/>
        <w:rPr>
          <w:rFonts w:hint="default" w:ascii="仿宋" w:hAnsi="仿宋" w:eastAsia="仿宋" w:cs="仿宋"/>
          <w:bCs/>
          <w:color w:val="000000"/>
          <w:sz w:val="32"/>
          <w:szCs w:val="32"/>
        </w:rPr>
      </w:pPr>
      <w:r>
        <w:rPr>
          <w:rFonts w:ascii="仿宋" w:hAnsi="仿宋" w:eastAsia="仿宋" w:cs="仿宋"/>
          <w:bCs/>
          <w:color w:val="000000"/>
          <w:sz w:val="32"/>
          <w:szCs w:val="32"/>
        </w:rPr>
        <w:t>（1）全面完成天曌山森林风景资源调查，进一步摸清了资源状况，为景区规划、资源保护和开发利用提供佯实的依据。</w:t>
      </w:r>
    </w:p>
    <w:p>
      <w:pPr>
        <w:pStyle w:val="5"/>
        <w:widowControl/>
        <w:adjustRightInd w:val="0"/>
        <w:snapToGrid w:val="0"/>
        <w:spacing w:before="93" w:line="600" w:lineRule="exact"/>
        <w:ind w:firstLine="672" w:firstLineChars="210"/>
        <w:outlineLvl w:val="2"/>
        <w:rPr>
          <w:rFonts w:hint="default" w:ascii="仿宋" w:hAnsi="仿宋" w:eastAsia="仿宋" w:cs="仿宋"/>
          <w:bCs/>
          <w:color w:val="000000"/>
          <w:sz w:val="32"/>
          <w:szCs w:val="32"/>
        </w:rPr>
      </w:pPr>
      <w:r>
        <w:rPr>
          <w:rFonts w:ascii="仿宋" w:hAnsi="仿宋" w:eastAsia="仿宋" w:cs="仿宋"/>
          <w:bCs/>
          <w:color w:val="000000"/>
          <w:sz w:val="32"/>
          <w:szCs w:val="32"/>
        </w:rPr>
        <w:t>（2）完成天曌山旅游区概念性总体规划。</w:t>
      </w:r>
    </w:p>
    <w:p>
      <w:pPr>
        <w:pStyle w:val="5"/>
        <w:widowControl/>
        <w:adjustRightInd w:val="0"/>
        <w:snapToGrid w:val="0"/>
        <w:spacing w:before="93" w:line="600" w:lineRule="exact"/>
        <w:ind w:firstLine="672" w:firstLineChars="210"/>
        <w:outlineLvl w:val="2"/>
        <w:rPr>
          <w:rFonts w:hint="default" w:ascii="仿宋" w:hAnsi="仿宋" w:eastAsia="仿宋" w:cs="仿宋"/>
          <w:bCs/>
          <w:color w:val="000000"/>
          <w:sz w:val="32"/>
          <w:szCs w:val="32"/>
        </w:rPr>
      </w:pPr>
      <w:r>
        <w:rPr>
          <w:rFonts w:ascii="仿宋" w:hAnsi="仿宋" w:eastAsia="仿宋" w:cs="仿宋"/>
          <w:bCs/>
          <w:color w:val="000000"/>
          <w:sz w:val="32"/>
          <w:szCs w:val="32"/>
        </w:rPr>
        <w:t>（3）完成天曌山森林公园森林防火规划。</w:t>
      </w:r>
    </w:p>
    <w:p>
      <w:pPr>
        <w:pStyle w:val="5"/>
        <w:widowControl/>
        <w:adjustRightInd w:val="0"/>
        <w:snapToGrid w:val="0"/>
        <w:spacing w:before="93" w:line="600" w:lineRule="exact"/>
        <w:ind w:firstLine="672" w:firstLineChars="210"/>
        <w:outlineLvl w:val="2"/>
        <w:rPr>
          <w:rFonts w:hint="default" w:ascii="仿宋" w:hAnsi="仿宋" w:eastAsia="仿宋" w:cs="仿宋"/>
          <w:bCs/>
          <w:color w:val="000000"/>
          <w:sz w:val="32"/>
          <w:szCs w:val="32"/>
        </w:rPr>
      </w:pPr>
      <w:r>
        <w:rPr>
          <w:rFonts w:ascii="仿宋" w:hAnsi="仿宋" w:eastAsia="仿宋" w:cs="仿宋"/>
          <w:bCs/>
          <w:color w:val="000000"/>
          <w:sz w:val="32"/>
          <w:szCs w:val="32"/>
        </w:rPr>
        <w:t>2、强力推进景区品质提升建设</w:t>
      </w:r>
    </w:p>
    <w:p>
      <w:pPr>
        <w:pStyle w:val="5"/>
        <w:widowControl/>
        <w:adjustRightInd w:val="0"/>
        <w:snapToGrid w:val="0"/>
        <w:spacing w:before="93" w:line="600" w:lineRule="exact"/>
        <w:ind w:firstLine="672" w:firstLineChars="210"/>
        <w:outlineLvl w:val="2"/>
        <w:rPr>
          <w:rFonts w:hint="default" w:ascii="仿宋" w:hAnsi="仿宋" w:eastAsia="仿宋" w:cs="仿宋"/>
          <w:bCs/>
          <w:color w:val="000000"/>
          <w:sz w:val="32"/>
          <w:szCs w:val="32"/>
        </w:rPr>
      </w:pPr>
      <w:r>
        <w:rPr>
          <w:rFonts w:ascii="仿宋" w:hAnsi="仿宋" w:eastAsia="仿宋" w:cs="仿宋"/>
          <w:bCs/>
          <w:color w:val="000000"/>
          <w:sz w:val="32"/>
          <w:szCs w:val="32"/>
        </w:rPr>
        <w:t>（1）全面实施转移支付禁止开发补助资金建设项目，项目已完成形象进度的70%。</w:t>
      </w:r>
    </w:p>
    <w:p>
      <w:pPr>
        <w:pStyle w:val="5"/>
        <w:widowControl/>
        <w:adjustRightInd w:val="0"/>
        <w:snapToGrid w:val="0"/>
        <w:spacing w:before="93" w:line="600" w:lineRule="exact"/>
        <w:ind w:firstLine="672" w:firstLineChars="210"/>
        <w:outlineLvl w:val="2"/>
        <w:rPr>
          <w:rFonts w:hint="default" w:ascii="仿宋" w:hAnsi="仿宋" w:eastAsia="仿宋" w:cs="仿宋"/>
          <w:bCs/>
          <w:color w:val="000000"/>
          <w:sz w:val="32"/>
          <w:szCs w:val="32"/>
        </w:rPr>
      </w:pPr>
      <w:r>
        <w:rPr>
          <w:rFonts w:ascii="仿宋" w:hAnsi="仿宋" w:eastAsia="仿宋" w:cs="仿宋"/>
          <w:bCs/>
          <w:color w:val="000000"/>
          <w:sz w:val="32"/>
          <w:szCs w:val="32"/>
        </w:rPr>
        <w:t>（2）天曌山保护利用设施项目建设完工。</w:t>
      </w:r>
    </w:p>
    <w:p>
      <w:pPr>
        <w:pStyle w:val="5"/>
        <w:widowControl/>
        <w:adjustRightInd w:val="0"/>
        <w:snapToGrid w:val="0"/>
        <w:spacing w:before="93" w:line="600" w:lineRule="exact"/>
        <w:ind w:firstLine="672" w:firstLineChars="210"/>
        <w:outlineLvl w:val="2"/>
        <w:rPr>
          <w:rFonts w:hint="default" w:ascii="仿宋" w:hAnsi="仿宋" w:eastAsia="仿宋" w:cs="仿宋"/>
          <w:bCs/>
          <w:color w:val="000000"/>
          <w:sz w:val="32"/>
          <w:szCs w:val="32"/>
        </w:rPr>
      </w:pPr>
      <w:r>
        <w:rPr>
          <w:rFonts w:ascii="仿宋" w:hAnsi="仿宋" w:eastAsia="仿宋" w:cs="仿宋"/>
          <w:bCs/>
          <w:color w:val="000000"/>
          <w:sz w:val="32"/>
          <w:szCs w:val="32"/>
        </w:rPr>
        <w:t>（3）汉王洞工区危旧道路改造项目完成水稳层铺设。</w:t>
      </w:r>
    </w:p>
    <w:p>
      <w:pPr>
        <w:pStyle w:val="5"/>
        <w:widowControl/>
        <w:adjustRightInd w:val="0"/>
        <w:snapToGrid w:val="0"/>
        <w:spacing w:before="93" w:line="600" w:lineRule="exact"/>
        <w:ind w:firstLine="672" w:firstLineChars="210"/>
        <w:outlineLvl w:val="2"/>
        <w:rPr>
          <w:rFonts w:hint="default" w:ascii="仿宋" w:hAnsi="仿宋" w:eastAsia="仿宋" w:cs="仿宋"/>
          <w:bCs/>
          <w:color w:val="000000"/>
          <w:sz w:val="32"/>
          <w:szCs w:val="32"/>
        </w:rPr>
      </w:pPr>
      <w:r>
        <w:rPr>
          <w:rFonts w:ascii="仿宋" w:hAnsi="仿宋" w:eastAsia="仿宋" w:cs="仿宋"/>
          <w:bCs/>
          <w:color w:val="000000"/>
          <w:sz w:val="32"/>
          <w:szCs w:val="32"/>
        </w:rPr>
        <w:t>（4）完成2018年国家生态功能区方案评审，并启动建设。</w:t>
      </w:r>
    </w:p>
    <w:p>
      <w:pPr>
        <w:pStyle w:val="5"/>
        <w:widowControl/>
        <w:adjustRightInd w:val="0"/>
        <w:snapToGrid w:val="0"/>
        <w:spacing w:before="93" w:line="600" w:lineRule="exact"/>
        <w:ind w:firstLine="672" w:firstLineChars="210"/>
        <w:outlineLvl w:val="2"/>
        <w:rPr>
          <w:rFonts w:hint="default" w:ascii="仿宋" w:hAnsi="仿宋" w:eastAsia="仿宋" w:cs="仿宋"/>
          <w:bCs/>
          <w:color w:val="000000"/>
          <w:sz w:val="32"/>
          <w:szCs w:val="32"/>
        </w:rPr>
      </w:pPr>
      <w:r>
        <w:rPr>
          <w:rFonts w:ascii="仿宋" w:hAnsi="仿宋" w:eastAsia="仿宋" w:cs="仿宋"/>
          <w:bCs/>
          <w:color w:val="000000"/>
          <w:sz w:val="32"/>
          <w:szCs w:val="32"/>
        </w:rPr>
        <w:t>3、宣传营销工作稳步推进，坚持“政府主导、市场运作”的原则。以市场为导向，强化“政企联动”促进旅游市场营销，坚持“市县（区）统筹、抱团发展”整合营销理念，开展一系列的促销活动。先后参加了广元旅游在西安、重庆、成都、海口等地的宣传推介活动，邀请新华网、凤凰网、中国网、四川电视台、广元电视台等多家媒体对天曌山景区进了专题宣传报道，极大地提高了景区的知名度。</w:t>
      </w:r>
    </w:p>
    <w:p>
      <w:pPr>
        <w:pStyle w:val="5"/>
        <w:widowControl/>
        <w:adjustRightInd w:val="0"/>
        <w:snapToGrid w:val="0"/>
        <w:spacing w:before="93" w:line="600" w:lineRule="exact"/>
        <w:ind w:firstLine="672" w:firstLineChars="210"/>
        <w:outlineLvl w:val="2"/>
        <w:rPr>
          <w:rFonts w:hint="default" w:ascii="仿宋" w:hAnsi="仿宋" w:eastAsia="仿宋" w:cs="仿宋"/>
          <w:bCs/>
          <w:color w:val="000000"/>
          <w:sz w:val="32"/>
          <w:szCs w:val="32"/>
        </w:rPr>
      </w:pPr>
      <w:r>
        <w:rPr>
          <w:rFonts w:ascii="仿宋" w:hAnsi="仿宋" w:eastAsia="仿宋" w:cs="仿宋"/>
          <w:bCs/>
          <w:color w:val="000000"/>
          <w:sz w:val="32"/>
          <w:szCs w:val="32"/>
        </w:rPr>
        <w:t>4、招商引资工作成效显著，全年完成招商引资任务2亿元。</w:t>
      </w:r>
    </w:p>
    <w:p>
      <w:pPr>
        <w:pStyle w:val="3"/>
        <w:widowControl/>
      </w:pPr>
      <w:bookmarkStart w:id="20" w:name="_Toc15377200"/>
      <w:bookmarkStart w:id="21" w:name="_Toc15396601"/>
      <w:r>
        <w:rPr>
          <w:rFonts w:hint="eastAsia" w:ascii="黑体" w:eastAsia="黑体" w:cs="黑体"/>
          <w:b w:val="0"/>
          <w:bCs/>
          <w:color w:val="000000"/>
        </w:rPr>
        <w:t>二、</w:t>
      </w:r>
      <w:r>
        <w:rPr>
          <w:rFonts w:hint="eastAsia" w:ascii="黑体" w:hAnsi="宋体" w:eastAsia="黑体" w:cs="黑体"/>
          <w:b w:val="0"/>
          <w:bCs/>
          <w:color w:val="000000"/>
        </w:rPr>
        <w:t>机</w:t>
      </w:r>
      <w:r>
        <w:rPr>
          <w:rStyle w:val="19"/>
          <w:rFonts w:hint="eastAsia" w:ascii="黑体" w:hAnsi="宋体" w:eastAsia="黑体" w:cs="黑体"/>
          <w:b/>
        </w:rPr>
        <w:t>构设置</w:t>
      </w:r>
      <w:bookmarkEnd w:id="20"/>
      <w:bookmarkEnd w:id="21"/>
    </w:p>
    <w:p>
      <w:pPr>
        <w:ind w:firstLine="800" w:firstLineChars="250"/>
        <w:rPr>
          <w:rFonts w:ascii="仿宋" w:hAnsi="仿宋" w:eastAsia="仿宋" w:cs="仿宋"/>
          <w:sz w:val="32"/>
          <w:szCs w:val="32"/>
        </w:rPr>
      </w:pPr>
      <w:r>
        <w:rPr>
          <w:rFonts w:hint="eastAsia" w:ascii="仿宋" w:hAnsi="仿宋" w:eastAsia="仿宋" w:cs="仿宋"/>
          <w:sz w:val="32"/>
          <w:szCs w:val="32"/>
        </w:rPr>
        <w:t>四川天曌山国家森林公园管理局下属二级单位0个，其中行政单位0个，参照公务员法管理的事业单位</w:t>
      </w:r>
      <w:r>
        <w:rPr>
          <w:rFonts w:hint="eastAsia" w:ascii="仿宋" w:hAnsi="仿宋" w:eastAsia="仿宋" w:cs="仿宋"/>
          <w:bCs/>
          <w:sz w:val="32"/>
          <w:szCs w:val="32"/>
        </w:rPr>
        <w:t>0</w:t>
      </w:r>
      <w:r>
        <w:rPr>
          <w:rFonts w:hint="eastAsia" w:ascii="仿宋" w:hAnsi="仿宋" w:eastAsia="仿宋" w:cs="仿宋"/>
          <w:sz w:val="32"/>
          <w:szCs w:val="32"/>
        </w:rPr>
        <w:t>个，其他事业单位1个。</w:t>
      </w:r>
    </w:p>
    <w:p>
      <w:pPr>
        <w:pStyle w:val="5"/>
        <w:widowControl/>
        <w:adjustRightInd w:val="0"/>
        <w:snapToGrid w:val="0"/>
        <w:spacing w:before="93" w:line="600" w:lineRule="exact"/>
        <w:ind w:firstLine="672" w:firstLineChars="210"/>
        <w:rPr>
          <w:rFonts w:hint="default" w:ascii="仿宋" w:hAnsi="仿宋" w:eastAsia="仿宋" w:cs="仿宋"/>
          <w:color w:val="000000"/>
          <w:sz w:val="32"/>
          <w:szCs w:val="32"/>
        </w:rPr>
      </w:pPr>
      <w:r>
        <w:rPr>
          <w:rFonts w:ascii="仿宋" w:hAnsi="仿宋" w:eastAsia="仿宋" w:cs="仿宋"/>
          <w:color w:val="000000"/>
          <w:sz w:val="32"/>
          <w:szCs w:val="32"/>
        </w:rPr>
        <w:t>纳入</w:t>
      </w:r>
      <w:r>
        <w:rPr>
          <w:rFonts w:ascii="仿宋" w:hAnsi="仿宋" w:eastAsia="仿宋" w:cs="仿宋"/>
          <w:sz w:val="32"/>
          <w:szCs w:val="32"/>
        </w:rPr>
        <w:t>四川天曌山国家森林公园管理局</w:t>
      </w:r>
      <w:r>
        <w:rPr>
          <w:rFonts w:ascii="仿宋" w:hAnsi="仿宋" w:eastAsia="仿宋" w:cs="仿宋"/>
          <w:color w:val="000000"/>
          <w:sz w:val="32"/>
          <w:szCs w:val="32"/>
        </w:rPr>
        <w:t>2018年度部门决算编制范围的二级预算单位为0个。</w:t>
      </w:r>
    </w:p>
    <w:p>
      <w:pPr>
        <w:pStyle w:val="2"/>
        <w:widowControl/>
        <w:ind w:right="440"/>
        <w:jc w:val="right"/>
        <w:rPr>
          <w:rFonts w:ascii="黑体" w:hAnsi="宋体" w:eastAsia="黑体" w:cs="黑体"/>
        </w:rPr>
      </w:pPr>
      <w:bookmarkStart w:id="22" w:name="_Toc15396602"/>
      <w:bookmarkStart w:id="23" w:name="_Toc15377204"/>
      <w:r>
        <w:rPr>
          <w:rFonts w:hint="eastAsia" w:ascii="黑体" w:hAnsi="宋体" w:eastAsia="黑体" w:cs="黑体"/>
          <w:b w:val="0"/>
          <w:bCs/>
          <w:color w:val="000000"/>
        </w:rPr>
        <w:t>第二部分</w:t>
      </w:r>
      <w:r>
        <w:rPr>
          <w:rFonts w:hint="eastAsia" w:ascii="黑体" w:hAnsi="宋体" w:eastAsia="黑体" w:cs="黑体"/>
          <w:color w:val="000000"/>
        </w:rPr>
        <w:t xml:space="preserve"> </w:t>
      </w:r>
      <w:r>
        <w:rPr>
          <w:rStyle w:val="20"/>
          <w:rFonts w:hint="eastAsia" w:ascii="黑体" w:hAnsi="宋体" w:eastAsia="黑体" w:cs="黑体"/>
          <w:b/>
        </w:rPr>
        <w:t>2018年度部门决算情况说明</w:t>
      </w:r>
      <w:bookmarkEnd w:id="22"/>
      <w:bookmarkEnd w:id="23"/>
    </w:p>
    <w:p>
      <w:pPr>
        <w:pStyle w:val="23"/>
        <w:widowControl/>
        <w:numPr>
          <w:ilvl w:val="0"/>
          <w:numId w:val="1"/>
        </w:numPr>
        <w:spacing w:line="600" w:lineRule="exact"/>
        <w:ind w:firstLineChars="0"/>
        <w:outlineLvl w:val="1"/>
        <w:rPr>
          <w:rFonts w:ascii="黑体" w:hAnsi="宋体" w:eastAsia="黑体" w:cs="黑体"/>
          <w:bCs/>
          <w:sz w:val="32"/>
          <w:szCs w:val="32"/>
        </w:rPr>
      </w:pPr>
      <w:bookmarkStart w:id="24" w:name="_Toc15396603"/>
      <w:bookmarkStart w:id="25" w:name="_Toc15377205"/>
      <w:r>
        <w:rPr>
          <w:rFonts w:hint="eastAsia" w:ascii="黑体" w:hAnsi="宋体" w:eastAsia="黑体" w:cs="黑体"/>
          <w:color w:val="000000"/>
          <w:sz w:val="32"/>
          <w:szCs w:val="32"/>
        </w:rPr>
        <w:t>收</w:t>
      </w:r>
      <w:r>
        <w:rPr>
          <w:rStyle w:val="19"/>
          <w:rFonts w:hint="eastAsia" w:ascii="黑体" w:hAnsi="宋体" w:eastAsia="黑体" w:cs="黑体"/>
          <w:b w:val="0"/>
          <w:bCs/>
        </w:rPr>
        <w:t>入支出决算总体情况说明</w:t>
      </w:r>
      <w:bookmarkEnd w:id="24"/>
      <w:bookmarkEnd w:id="25"/>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2018年度收入总计468.46万元。与2017年相比，收入总计增加20.36万元，增长4.54%。主要变动原因是人员工资调资及社保费、引进人才安家费的增加。</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2018年度支出总计451.08万元。与2017年相比，支出总计增加238.62万元，增长112.31%。主要变动原因是人员工资及社保费、引进人才安家费的增加，以及项目支出的增加。</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（图1：收、支决算总计变动情况图）（柱状图）</w:t>
      </w:r>
    </w:p>
    <w:p>
      <w:pPr>
        <w:ind w:firstLine="640" w:firstLineChars="200"/>
        <w:jc w:val="left"/>
        <w:rPr>
          <w:rFonts w:ascii="仿宋_GB2312" w:eastAsia="仿宋_GB2312" w:cs="仿宋_GB2312"/>
          <w:color w:val="000000"/>
          <w:sz w:val="32"/>
          <w:szCs w:val="32"/>
        </w:rPr>
      </w:pPr>
      <w:r>
        <w:rPr>
          <w:rFonts w:hint="eastAsia" w:ascii="仿宋_GB2312" w:eastAsia="仿宋_GB2312" w:cs="仿宋_GB2312"/>
          <w:color w:val="000000"/>
          <w:sz w:val="32"/>
          <w:szCs w:val="32"/>
        </w:rPr>
        <w:drawing>
          <wp:inline distT="0" distB="0" distL="0" distR="0">
            <wp:extent cx="5274310" cy="3076575"/>
            <wp:effectExtent l="19050" t="0" r="2159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3"/>
        <w:widowControl/>
        <w:numPr>
          <w:ilvl w:val="0"/>
          <w:numId w:val="1"/>
        </w:numPr>
        <w:spacing w:line="600" w:lineRule="exact"/>
        <w:ind w:firstLineChars="0"/>
        <w:outlineLvl w:val="1"/>
        <w:rPr>
          <w:rFonts w:ascii="黑体" w:hAnsi="宋体" w:eastAsia="黑体" w:cs="黑体"/>
          <w:bCs/>
          <w:sz w:val="32"/>
          <w:szCs w:val="32"/>
        </w:rPr>
      </w:pPr>
      <w:bookmarkStart w:id="26" w:name="_Toc15396604"/>
      <w:bookmarkStart w:id="27" w:name="_Toc15377206"/>
      <w:r>
        <w:rPr>
          <w:rFonts w:hint="eastAsia" w:ascii="黑体" w:hAnsi="宋体" w:eastAsia="黑体" w:cs="黑体"/>
          <w:color w:val="000000"/>
          <w:sz w:val="32"/>
          <w:szCs w:val="32"/>
        </w:rPr>
        <w:t>收</w:t>
      </w:r>
      <w:r>
        <w:rPr>
          <w:rStyle w:val="19"/>
          <w:rFonts w:hint="eastAsia" w:ascii="黑体" w:hAnsi="宋体" w:eastAsia="黑体" w:cs="黑体"/>
          <w:b w:val="0"/>
          <w:bCs/>
        </w:rPr>
        <w:t>入决算情况说明</w:t>
      </w:r>
      <w:bookmarkEnd w:id="26"/>
      <w:bookmarkEnd w:id="27"/>
    </w:p>
    <w:p>
      <w:pPr>
        <w:spacing w:line="500" w:lineRule="exact"/>
        <w:ind w:firstLine="640" w:firstLineChars="200"/>
        <w:outlineLvl w:val="1"/>
        <w:rPr>
          <w:rFonts w:ascii="仿宋" w:hAnsi="仿宋" w:eastAsia="仿宋" w:cs="仿宋"/>
          <w:color w:val="000000"/>
          <w:sz w:val="32"/>
          <w:szCs w:val="32"/>
        </w:rPr>
      </w:pPr>
      <w:r>
        <w:rPr>
          <w:rFonts w:hint="eastAsia" w:ascii="仿宋" w:hAnsi="仿宋" w:eastAsia="仿宋" w:cs="仿宋"/>
          <w:color w:val="000000"/>
          <w:sz w:val="32"/>
          <w:szCs w:val="32"/>
        </w:rPr>
        <w:t>2018年本年收入合计468.46万元，其中：一般公共预算财政拨款收入468.46万元，占100%；政府性基金预算财政拨款收入0万元，占0%；国有资本经营预算财政拨款收入0万元，占0%；事业收入0万元，占0%；经营收入0万元，占0%；附属单位上缴收入0万元，占0%；其他收入0万元，占0%。</w:t>
      </w:r>
    </w:p>
    <w:p>
      <w:pPr>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（图2：收入决算结构图）（饼状图）</w:t>
      </w:r>
    </w:p>
    <w:p/>
    <w:p>
      <w:pPr>
        <w:rPr>
          <w:rFonts w:ascii="仿宋_GB2312" w:eastAsia="仿宋_GB2312" w:cs="仿宋_GB2312"/>
          <w:color w:val="FF0000"/>
          <w:sz w:val="32"/>
          <w:szCs w:val="32"/>
        </w:rPr>
      </w:pPr>
      <w:r>
        <w:rPr>
          <w:rFonts w:hint="eastAsia" w:ascii="仿宋_GB2312" w:eastAsia="仿宋_GB2312" w:cs="仿宋_GB2312"/>
          <w:color w:val="FF0000"/>
          <w:sz w:val="32"/>
          <w:szCs w:val="32"/>
        </w:rPr>
        <w:drawing>
          <wp:inline distT="0" distB="0" distL="0" distR="0">
            <wp:extent cx="5181600" cy="2771775"/>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3"/>
        <w:widowControl/>
        <w:numPr>
          <w:ilvl w:val="0"/>
          <w:numId w:val="1"/>
        </w:numPr>
        <w:spacing w:line="600" w:lineRule="exact"/>
        <w:ind w:firstLineChars="0"/>
        <w:outlineLvl w:val="1"/>
        <w:rPr>
          <w:rFonts w:ascii="黑体" w:hAnsi="宋体" w:eastAsia="黑体" w:cs="黑体"/>
          <w:bCs/>
          <w:sz w:val="32"/>
          <w:szCs w:val="32"/>
        </w:rPr>
      </w:pPr>
      <w:bookmarkStart w:id="28" w:name="_Toc15396605"/>
      <w:bookmarkStart w:id="29" w:name="_Toc15377207"/>
      <w:r>
        <w:rPr>
          <w:rFonts w:hint="eastAsia" w:ascii="黑体" w:hAnsi="宋体" w:eastAsia="黑体" w:cs="黑体"/>
          <w:color w:val="000000"/>
          <w:sz w:val="32"/>
          <w:szCs w:val="32"/>
        </w:rPr>
        <w:t>支</w:t>
      </w:r>
      <w:r>
        <w:rPr>
          <w:rStyle w:val="19"/>
          <w:rFonts w:hint="eastAsia" w:ascii="黑体" w:hAnsi="宋体" w:eastAsia="黑体" w:cs="黑体"/>
          <w:b w:val="0"/>
          <w:bCs/>
        </w:rPr>
        <w:t>出决算情况说明</w:t>
      </w:r>
      <w:bookmarkEnd w:id="28"/>
      <w:bookmarkEnd w:id="29"/>
    </w:p>
    <w:p>
      <w:pPr>
        <w:spacing w:line="600" w:lineRule="exact"/>
        <w:ind w:firstLine="640"/>
        <w:rPr>
          <w:rFonts w:ascii="仿宋" w:hAnsi="仿宋" w:eastAsia="仿宋" w:cs="仿宋"/>
          <w:color w:val="000000"/>
          <w:sz w:val="32"/>
          <w:szCs w:val="32"/>
          <w:shd w:val="pct10" w:color="auto" w:fill="FFFFFF"/>
        </w:rPr>
      </w:pPr>
      <w:r>
        <w:rPr>
          <w:rFonts w:hint="eastAsia" w:ascii="仿宋" w:hAnsi="仿宋" w:eastAsia="仿宋" w:cs="仿宋"/>
          <w:color w:val="000000"/>
          <w:sz w:val="32"/>
          <w:szCs w:val="32"/>
        </w:rPr>
        <w:t>2018年本年支出合计451.08万元，其中：基本支出139.65万元，占30.96%；项目支出311.43万元，占69.04%；上缴上级支出0万元，占0%；经营支出0万元，占0%；对附属单位补助支出0万元，占0%。</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（图3：支出决算结构图）（饼状图）</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drawing>
          <wp:inline distT="0" distB="0" distL="0" distR="0">
            <wp:extent cx="5274310" cy="3076575"/>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Fonts w:ascii="黑体" w:hAnsi="宋体" w:eastAsia="黑体" w:cs="黑体"/>
          <w:bCs/>
          <w:sz w:val="32"/>
          <w:szCs w:val="32"/>
        </w:rPr>
      </w:pPr>
      <w:bookmarkStart w:id="30" w:name="_Toc15396606"/>
      <w:bookmarkStart w:id="31" w:name="_Toc15377208"/>
      <w:r>
        <w:rPr>
          <w:rFonts w:hint="eastAsia" w:ascii="黑体" w:hAnsi="宋体" w:eastAsia="黑体" w:cs="黑体"/>
          <w:color w:val="000000"/>
          <w:sz w:val="32"/>
          <w:szCs w:val="32"/>
        </w:rPr>
        <w:t>四、财</w:t>
      </w:r>
      <w:r>
        <w:rPr>
          <w:rStyle w:val="19"/>
          <w:rFonts w:hint="eastAsia" w:ascii="黑体" w:hAnsi="宋体" w:eastAsia="黑体" w:cs="黑体"/>
          <w:b w:val="0"/>
          <w:bCs/>
        </w:rPr>
        <w:t>政拨款收入支出决算总体情况说明</w:t>
      </w:r>
      <w:bookmarkEnd w:id="30"/>
      <w:bookmarkEnd w:id="31"/>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2018年财政拨款收入总计468.46万元。与2017年相比，财政拨款收入总计增加20.36万元，增长4.54%。主要变动原因是人员工资调资及社保费、引进人才安家费增加。</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2018年财政拨款支出总计451.08万元。与2017年相比，财政拨款支出总计增加238.62万元，增长112.31%。主要变动原因是人员工资调资及社保费、引进人才安家费的增加，以及项目支出的增加。</w:t>
      </w:r>
    </w:p>
    <w:p>
      <w:pPr>
        <w:ind w:firstLine="640"/>
        <w:rPr>
          <w:rFonts w:ascii="仿宋" w:hAnsi="仿宋" w:eastAsia="仿宋" w:cs="仿宋"/>
          <w:b/>
          <w:color w:val="00B050"/>
          <w:sz w:val="32"/>
          <w:szCs w:val="32"/>
        </w:rPr>
      </w:pPr>
      <w:bookmarkStart w:id="76" w:name="_GoBack"/>
      <w:bookmarkEnd w:id="76"/>
      <w:r>
        <w:rPr>
          <w:rFonts w:hint="eastAsia" w:ascii="仿宋" w:hAnsi="仿宋" w:eastAsia="仿宋" w:cs="仿宋"/>
          <w:b/>
          <w:color w:val="000000"/>
          <w:sz w:val="32"/>
          <w:szCs w:val="32"/>
        </w:rPr>
        <w:t>（除国有资本经营预算外，数据来源于财决Z01-1表，口径为“总计”数+国有资本经营预算。）</w:t>
      </w:r>
    </w:p>
    <w:p>
      <w:pPr>
        <w:spacing w:line="600" w:lineRule="exact"/>
        <w:ind w:firstLine="640" w:firstLineChars="200"/>
        <w:outlineLvl w:val="1"/>
        <w:rPr>
          <w:rFonts w:ascii="黑体" w:hAnsi="宋体" w:eastAsia="黑体" w:cs="黑体"/>
          <w:bCs/>
          <w:sz w:val="32"/>
          <w:szCs w:val="32"/>
        </w:rPr>
      </w:pPr>
      <w:bookmarkStart w:id="32" w:name="_Toc15377209"/>
      <w:bookmarkStart w:id="33" w:name="_Toc15396607"/>
      <w:r>
        <w:rPr>
          <w:rFonts w:hint="eastAsia" w:ascii="黑体" w:hAnsi="宋体" w:eastAsia="黑体" w:cs="黑体"/>
          <w:color w:val="000000"/>
          <w:sz w:val="32"/>
          <w:szCs w:val="32"/>
        </w:rPr>
        <w:t>五、</w:t>
      </w:r>
      <w:r>
        <w:rPr>
          <w:rFonts w:hint="eastAsia" w:ascii="黑体" w:hAnsi="宋体" w:eastAsia="黑体" w:cs="黑体"/>
          <w:b/>
          <w:color w:val="000000"/>
          <w:sz w:val="32"/>
          <w:szCs w:val="32"/>
        </w:rPr>
        <w:t>一</w:t>
      </w:r>
      <w:r>
        <w:rPr>
          <w:rStyle w:val="19"/>
          <w:rFonts w:hint="eastAsia" w:ascii="黑体" w:hAnsi="宋体" w:eastAsia="黑体" w:cs="黑体"/>
          <w:b w:val="0"/>
          <w:bCs/>
        </w:rPr>
        <w:t>般公共预算财政拨款支出决算情况说明</w:t>
      </w:r>
      <w:bookmarkEnd w:id="32"/>
      <w:bookmarkEnd w:id="33"/>
    </w:p>
    <w:p>
      <w:pPr>
        <w:spacing w:line="600" w:lineRule="exact"/>
        <w:ind w:firstLine="642" w:firstLineChars="200"/>
        <w:outlineLvl w:val="2"/>
        <w:rPr>
          <w:rFonts w:ascii="仿宋" w:hAnsi="仿宋" w:eastAsia="仿宋" w:cs="仿宋"/>
          <w:b/>
          <w:color w:val="000000"/>
          <w:sz w:val="32"/>
          <w:szCs w:val="32"/>
        </w:rPr>
      </w:pPr>
      <w:bookmarkStart w:id="34" w:name="_Toc15377210"/>
      <w:r>
        <w:rPr>
          <w:rFonts w:hint="eastAsia" w:ascii="仿宋" w:hAnsi="仿宋" w:eastAsia="仿宋" w:cs="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2018年一般公共预算财政拨款支出451.08万元，占本年支出合计的100%。与2017年相比，一般公共预算财政拨款增加238.62万元，增长112.31%。主要变动原因是人员工资调资及社保费的增加、引进人才安家费，以及项目增加。</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（图5：一般公共预算财政拨款支出决算变动情况）（柱状图）</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drawing>
          <wp:inline distT="0" distB="0" distL="0" distR="0">
            <wp:extent cx="5274310" cy="307657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2" w:firstLineChars="200"/>
        <w:outlineLvl w:val="2"/>
        <w:rPr>
          <w:rFonts w:ascii="仿宋" w:hAnsi="仿宋" w:eastAsia="仿宋" w:cs="仿宋"/>
          <w:b/>
          <w:color w:val="000000"/>
          <w:sz w:val="32"/>
          <w:szCs w:val="32"/>
        </w:rPr>
      </w:pPr>
      <w:bookmarkStart w:id="35" w:name="_Toc15377211"/>
      <w:r>
        <w:rPr>
          <w:rFonts w:hint="eastAsia" w:ascii="仿宋" w:hAnsi="仿宋" w:eastAsia="仿宋" w:cs="仿宋"/>
          <w:b/>
          <w:color w:val="000000"/>
          <w:sz w:val="32"/>
          <w:szCs w:val="32"/>
        </w:rPr>
        <w:t>（二）一般公共预算财政拨款支出决算结构情况</w:t>
      </w:r>
      <w:bookmarkEnd w:id="35"/>
    </w:p>
    <w:p>
      <w:pPr>
        <w:spacing w:line="600" w:lineRule="exact"/>
        <w:ind w:firstLine="64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2018年一般公共预算财政拨款支出451.08万元，主要用于以下方面:</w:t>
      </w:r>
      <w:r>
        <w:rPr>
          <w:rFonts w:hint="eastAsia" w:ascii="仿宋" w:hAnsi="仿宋" w:eastAsia="仿宋" w:cs="仿宋"/>
          <w:b/>
          <w:color w:val="000000" w:themeColor="text1"/>
          <w:sz w:val="32"/>
          <w:szCs w:val="32"/>
        </w:rPr>
        <w:t>一般公共服务（类）</w:t>
      </w:r>
      <w:r>
        <w:rPr>
          <w:rFonts w:hint="eastAsia" w:ascii="仿宋" w:hAnsi="仿宋" w:eastAsia="仿宋" w:cs="仿宋"/>
          <w:color w:val="000000" w:themeColor="text1"/>
          <w:sz w:val="32"/>
          <w:szCs w:val="32"/>
        </w:rPr>
        <w:t>支出111.50万元，占24.72%；文化体育与传媒（类）支出144.89万元，占32.12 %；</w:t>
      </w:r>
      <w:r>
        <w:rPr>
          <w:rFonts w:hint="eastAsia" w:ascii="仿宋" w:hAnsi="仿宋" w:eastAsia="仿宋" w:cs="仿宋"/>
          <w:b/>
          <w:color w:val="000000" w:themeColor="text1"/>
          <w:sz w:val="32"/>
          <w:szCs w:val="32"/>
        </w:rPr>
        <w:t>社会保障和就业（类）</w:t>
      </w:r>
      <w:r>
        <w:rPr>
          <w:rFonts w:hint="eastAsia" w:ascii="仿宋" w:hAnsi="仿宋" w:eastAsia="仿宋" w:cs="仿宋"/>
          <w:color w:val="000000" w:themeColor="text1"/>
          <w:sz w:val="32"/>
          <w:szCs w:val="32"/>
        </w:rPr>
        <w:t>支出14.17万元，占3.14%；医疗卫生（类）支出5.47万元，占1.21%；节能环保（类）支出166.55万元，占36.92%；住房保障（类）支出8.50万元，占1.89%；</w:t>
      </w:r>
      <w:r>
        <w:rPr>
          <w:rFonts w:hint="eastAsia" w:ascii="仿宋" w:hAnsi="仿宋" w:eastAsia="仿宋" w:cs="仿宋"/>
          <w:b/>
          <w:color w:val="000000" w:themeColor="text1"/>
          <w:sz w:val="32"/>
          <w:szCs w:val="32"/>
        </w:rPr>
        <w:t>（罗列全部功能分类科目，至类级。）</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（图6：一般公共预算财政拨款支出决算结构）（饼状图）</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drawing>
          <wp:inline distT="0" distB="0" distL="0" distR="0">
            <wp:extent cx="5274310" cy="307657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2" w:firstLineChars="200"/>
        <w:outlineLvl w:val="2"/>
        <w:rPr>
          <w:rFonts w:ascii="仿宋" w:hAnsi="仿宋" w:eastAsia="仿宋" w:cs="仿宋"/>
          <w:b/>
          <w:color w:val="000000"/>
          <w:sz w:val="32"/>
          <w:szCs w:val="32"/>
        </w:rPr>
      </w:pPr>
      <w:bookmarkStart w:id="36" w:name="_Toc15377212"/>
      <w:r>
        <w:rPr>
          <w:rFonts w:hint="eastAsia" w:ascii="仿宋" w:hAnsi="仿宋" w:eastAsia="仿宋" w:cs="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s="仿宋"/>
          <w:color w:val="FF0000"/>
          <w:sz w:val="32"/>
          <w:szCs w:val="32"/>
        </w:rPr>
      </w:pPr>
      <w:bookmarkStart w:id="37" w:name="_Toc15377213"/>
      <w:bookmarkStart w:id="38" w:name="_Toc15378460"/>
      <w:bookmarkStart w:id="39" w:name="_Toc15377444"/>
      <w:r>
        <w:rPr>
          <w:rFonts w:hint="eastAsia" w:ascii="仿宋" w:hAnsi="仿宋" w:eastAsia="仿宋" w:cs="仿宋"/>
          <w:b/>
          <w:color w:val="000000"/>
          <w:sz w:val="32"/>
          <w:szCs w:val="32"/>
        </w:rPr>
        <w:t>2018年一般公共预算支出决算数为451.08</w:t>
      </w:r>
      <w:r>
        <w:rPr>
          <w:rFonts w:hint="eastAsia" w:ascii="仿宋" w:hAnsi="仿宋" w:eastAsia="仿宋" w:cs="仿宋"/>
          <w:color w:val="000000"/>
          <w:sz w:val="32"/>
          <w:szCs w:val="32"/>
        </w:rPr>
        <w:t>，</w:t>
      </w:r>
      <w:r>
        <w:rPr>
          <w:rStyle w:val="14"/>
          <w:rFonts w:hint="eastAsia" w:ascii="仿宋" w:hAnsi="仿宋" w:eastAsia="仿宋" w:cs="仿宋"/>
          <w:bCs/>
          <w:color w:val="000000"/>
          <w:sz w:val="32"/>
          <w:szCs w:val="32"/>
        </w:rPr>
        <w:t>完成预算67.12%。其中：</w:t>
      </w:r>
      <w:bookmarkEnd w:id="37"/>
      <w:bookmarkEnd w:id="38"/>
      <w:bookmarkEnd w:id="39"/>
    </w:p>
    <w:p>
      <w:pPr>
        <w:ind w:firstLine="642" w:firstLineChars="200"/>
        <w:rPr>
          <w:rFonts w:ascii="宋体" w:hAnsi="宋体" w:eastAsia="宋体" w:cs="Arial"/>
          <w:color w:val="000000" w:themeColor="text1"/>
          <w:kern w:val="0"/>
          <w:sz w:val="30"/>
          <w:szCs w:val="30"/>
        </w:rPr>
      </w:pPr>
      <w:r>
        <w:rPr>
          <w:rStyle w:val="14"/>
          <w:rFonts w:hint="eastAsia" w:ascii="仿宋" w:hAnsi="仿宋" w:eastAsia="仿宋" w:cs="仿宋"/>
          <w:bCs/>
          <w:color w:val="000000" w:themeColor="text1"/>
          <w:sz w:val="32"/>
          <w:szCs w:val="32"/>
        </w:rPr>
        <w:t>1.一般公共服务（类）</w:t>
      </w:r>
      <w:r>
        <w:rPr>
          <w:rFonts w:hint="eastAsia" w:ascii="仿宋" w:hAnsi="仿宋" w:eastAsia="仿宋" w:cs="Arial"/>
          <w:color w:val="000000" w:themeColor="text1"/>
          <w:kern w:val="0"/>
          <w:sz w:val="30"/>
          <w:szCs w:val="30"/>
        </w:rPr>
        <w:t>政府办公厅（室）及相关机构事务</w:t>
      </w:r>
    </w:p>
    <w:p>
      <w:pPr>
        <w:rPr>
          <w:rStyle w:val="14"/>
          <w:rFonts w:ascii="仿宋" w:hAnsi="仿宋" w:eastAsia="仿宋" w:cs="仿宋"/>
          <w:b w:val="0"/>
          <w:bCs/>
          <w:color w:val="000000" w:themeColor="text1"/>
          <w:sz w:val="32"/>
          <w:szCs w:val="32"/>
        </w:rPr>
      </w:pPr>
      <w:r>
        <w:rPr>
          <w:rStyle w:val="14"/>
          <w:rFonts w:hint="eastAsia" w:ascii="仿宋" w:hAnsi="仿宋" w:eastAsia="仿宋" w:cs="仿宋"/>
          <w:bCs/>
          <w:color w:val="000000" w:themeColor="text1"/>
          <w:sz w:val="32"/>
          <w:szCs w:val="32"/>
        </w:rPr>
        <w:t>（款）</w:t>
      </w:r>
      <w:r>
        <w:rPr>
          <w:rFonts w:hint="eastAsia" w:ascii="仿宋" w:hAnsi="仿宋" w:eastAsia="仿宋" w:cs="Arial"/>
          <w:color w:val="000000" w:themeColor="text1"/>
          <w:kern w:val="0"/>
          <w:sz w:val="30"/>
          <w:szCs w:val="30"/>
        </w:rPr>
        <w:t>行政运行</w:t>
      </w:r>
      <w:r>
        <w:rPr>
          <w:rStyle w:val="14"/>
          <w:rFonts w:hint="eastAsia" w:ascii="仿宋" w:hAnsi="仿宋" w:eastAsia="仿宋" w:cs="仿宋"/>
          <w:bCs/>
          <w:color w:val="000000" w:themeColor="text1"/>
          <w:sz w:val="32"/>
          <w:szCs w:val="32"/>
        </w:rPr>
        <w:t>（项）:</w:t>
      </w:r>
      <w:r>
        <w:rPr>
          <w:rStyle w:val="14"/>
          <w:rFonts w:hint="eastAsia" w:ascii="仿宋" w:hAnsi="仿宋" w:eastAsia="仿宋" w:cs="仿宋"/>
          <w:b w:val="0"/>
          <w:bCs/>
          <w:color w:val="000000" w:themeColor="text1"/>
          <w:sz w:val="32"/>
          <w:szCs w:val="32"/>
        </w:rPr>
        <w:t xml:space="preserve"> 支出决算为</w:t>
      </w:r>
      <w:r>
        <w:rPr>
          <w:rFonts w:hint="eastAsia" w:ascii="仿宋" w:hAnsi="仿宋" w:eastAsia="仿宋" w:cs="Arial"/>
          <w:color w:val="000000" w:themeColor="text1"/>
          <w:kern w:val="0"/>
          <w:sz w:val="30"/>
          <w:szCs w:val="30"/>
        </w:rPr>
        <w:t>111.50</w:t>
      </w:r>
      <w:r>
        <w:rPr>
          <w:rStyle w:val="14"/>
          <w:rFonts w:hint="eastAsia" w:ascii="仿宋" w:hAnsi="仿宋" w:eastAsia="仿宋" w:cs="仿宋"/>
          <w:b w:val="0"/>
          <w:bCs/>
          <w:color w:val="000000" w:themeColor="text1"/>
          <w:sz w:val="32"/>
          <w:szCs w:val="32"/>
        </w:rPr>
        <w:t>万元，完成预算98.59%，决算数小于预算数的主要原因是办公费支付票据未到，未支付。</w:t>
      </w:r>
    </w:p>
    <w:p>
      <w:pPr>
        <w:spacing w:line="600" w:lineRule="exact"/>
        <w:ind w:firstLine="642" w:firstLineChars="200"/>
        <w:rPr>
          <w:rFonts w:ascii="仿宋" w:hAnsi="仿宋" w:eastAsia="仿宋" w:cs="仿宋"/>
          <w:b/>
          <w:color w:val="000000" w:themeColor="text1"/>
          <w:sz w:val="32"/>
          <w:szCs w:val="32"/>
        </w:rPr>
      </w:pPr>
      <w:r>
        <w:rPr>
          <w:rStyle w:val="14"/>
          <w:rFonts w:hint="eastAsia" w:ascii="仿宋" w:hAnsi="仿宋" w:eastAsia="仿宋" w:cs="仿宋"/>
          <w:bCs/>
          <w:color w:val="000000" w:themeColor="text1"/>
          <w:sz w:val="32"/>
          <w:szCs w:val="32"/>
        </w:rPr>
        <w:t>2.文化体育与传媒（类）其他文化体育与传媒（款）其他文化体育与传媒（项）:</w:t>
      </w:r>
      <w:r>
        <w:rPr>
          <w:rStyle w:val="14"/>
          <w:rFonts w:hint="eastAsia" w:ascii="仿宋" w:hAnsi="仿宋" w:eastAsia="仿宋" w:cs="仿宋"/>
          <w:b w:val="0"/>
          <w:bCs/>
          <w:color w:val="000000" w:themeColor="text1"/>
          <w:sz w:val="32"/>
          <w:szCs w:val="32"/>
        </w:rPr>
        <w:t xml:space="preserve"> 支出决算为144.89万元，完成预算100%，决算数等于预算数的。</w:t>
      </w:r>
    </w:p>
    <w:p>
      <w:pPr>
        <w:spacing w:line="600" w:lineRule="exact"/>
        <w:ind w:firstLine="642" w:firstLineChars="200"/>
        <w:rPr>
          <w:rFonts w:ascii="仿宋" w:hAnsi="仿宋" w:eastAsia="仿宋" w:cs="仿宋"/>
          <w:b/>
          <w:color w:val="000000" w:themeColor="text1"/>
          <w:sz w:val="32"/>
          <w:szCs w:val="32"/>
        </w:rPr>
      </w:pPr>
      <w:r>
        <w:rPr>
          <w:rStyle w:val="14"/>
          <w:rFonts w:hint="eastAsia" w:ascii="仿宋" w:hAnsi="仿宋" w:eastAsia="仿宋" w:cs="仿宋"/>
          <w:bCs/>
          <w:color w:val="000000" w:themeColor="text1"/>
          <w:sz w:val="32"/>
          <w:szCs w:val="32"/>
        </w:rPr>
        <w:t>3.社会保障和就业（类）行政事业单位离退休（款）机关事业单位基本养老保险缴费（项）:</w:t>
      </w:r>
      <w:r>
        <w:rPr>
          <w:rStyle w:val="14"/>
          <w:rFonts w:hint="eastAsia" w:ascii="仿宋" w:hAnsi="仿宋" w:eastAsia="仿宋" w:cs="仿宋"/>
          <w:b w:val="0"/>
          <w:bCs/>
          <w:color w:val="000000" w:themeColor="text1"/>
          <w:sz w:val="32"/>
          <w:szCs w:val="32"/>
        </w:rPr>
        <w:t xml:space="preserve"> 支出决算为14.17万元，完成预算100%，决算数等于预算数的。</w:t>
      </w:r>
    </w:p>
    <w:p>
      <w:pPr>
        <w:spacing w:line="600" w:lineRule="exact"/>
        <w:ind w:firstLine="642" w:firstLineChars="200"/>
        <w:rPr>
          <w:rStyle w:val="14"/>
          <w:rFonts w:ascii="仿宋" w:hAnsi="仿宋" w:eastAsia="仿宋" w:cs="仿宋"/>
          <w:b w:val="0"/>
          <w:bCs/>
          <w:color w:val="000000" w:themeColor="text1"/>
          <w:sz w:val="32"/>
          <w:szCs w:val="32"/>
        </w:rPr>
      </w:pPr>
      <w:r>
        <w:rPr>
          <w:rStyle w:val="14"/>
          <w:rFonts w:hint="eastAsia" w:ascii="仿宋" w:hAnsi="仿宋" w:eastAsia="仿宋" w:cs="仿宋"/>
          <w:bCs/>
          <w:color w:val="000000" w:themeColor="text1"/>
          <w:sz w:val="32"/>
          <w:szCs w:val="32"/>
        </w:rPr>
        <w:t>4.医疗卫生与计划生育（类）行政事业单位医疗（款）事业单位医疗（项）:</w:t>
      </w:r>
      <w:r>
        <w:rPr>
          <w:rStyle w:val="14"/>
          <w:rFonts w:hint="eastAsia" w:ascii="仿宋" w:hAnsi="仿宋" w:eastAsia="仿宋" w:cs="仿宋"/>
          <w:b w:val="0"/>
          <w:bCs/>
          <w:color w:val="000000" w:themeColor="text1"/>
          <w:sz w:val="32"/>
          <w:szCs w:val="32"/>
        </w:rPr>
        <w:t>支出决算为5.47万元，完成预算100%，决算数等于预算数的。</w:t>
      </w:r>
    </w:p>
    <w:p>
      <w:pPr>
        <w:spacing w:line="600" w:lineRule="exact"/>
        <w:ind w:firstLine="640" w:firstLineChars="200"/>
        <w:rPr>
          <w:rFonts w:ascii="仿宋" w:hAnsi="仿宋" w:eastAsia="仿宋" w:cs="仿宋"/>
          <w:b/>
          <w:color w:val="000000" w:themeColor="text1"/>
          <w:sz w:val="32"/>
          <w:szCs w:val="32"/>
        </w:rPr>
      </w:pPr>
      <w:r>
        <w:rPr>
          <w:rFonts w:hint="eastAsia" w:ascii="仿宋" w:hAnsi="仿宋" w:eastAsia="仿宋" w:cs="仿宋"/>
          <w:color w:val="000000" w:themeColor="text1"/>
          <w:sz w:val="32"/>
          <w:szCs w:val="32"/>
        </w:rPr>
        <w:t>5．节能环保（类）自然生态保护（款）生态保护（项）：支出166.55万元，完成预算22.34%，</w:t>
      </w:r>
      <w:r>
        <w:rPr>
          <w:rStyle w:val="14"/>
          <w:rFonts w:hint="eastAsia" w:ascii="仿宋" w:hAnsi="仿宋" w:eastAsia="仿宋" w:cs="仿宋"/>
          <w:b w:val="0"/>
          <w:bCs/>
          <w:color w:val="000000" w:themeColor="text1"/>
          <w:sz w:val="32"/>
          <w:szCs w:val="32"/>
        </w:rPr>
        <w:t>决算数小于预算数的主要原因是国家重点生态功能区转移项目工程未完工</w:t>
      </w:r>
      <w:r>
        <w:rPr>
          <w:rFonts w:hint="eastAsia" w:ascii="仿宋" w:hAnsi="仿宋" w:eastAsia="仿宋" w:cs="仿宋"/>
          <w:color w:val="000000" w:themeColor="text1"/>
          <w:sz w:val="32"/>
          <w:szCs w:val="32"/>
        </w:rPr>
        <w:t>；</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6．住房保障（类）住房改革（款）住房公积金（项）支出8.50万元，完成预算100 %。</w:t>
      </w:r>
    </w:p>
    <w:p>
      <w:pPr>
        <w:ind w:firstLine="642" w:firstLineChars="200"/>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（数据来源财决08表，罗列全部功能分类科目至项级。上述“预算”口径为调整预算数。增减变动原因为决算数&lt;项级&gt;和调整预算数&lt;项级&gt;比较，与预算数持平可以不写原因。）</w:t>
      </w:r>
    </w:p>
    <w:p>
      <w:pPr>
        <w:tabs>
          <w:tab w:val="right" w:pos="8306"/>
        </w:tabs>
        <w:spacing w:line="600" w:lineRule="exact"/>
        <w:ind w:firstLine="640"/>
        <w:outlineLvl w:val="1"/>
        <w:rPr>
          <w:sz w:val="32"/>
          <w:szCs w:val="32"/>
        </w:rPr>
      </w:pPr>
      <w:bookmarkStart w:id="40" w:name="_Toc15377214"/>
      <w:bookmarkStart w:id="41" w:name="_Toc15396608"/>
      <w:r>
        <w:rPr>
          <w:rFonts w:hint="eastAsia" w:ascii="黑体" w:hAnsi="Times New Roman" w:eastAsia="黑体" w:cs="黑体"/>
          <w:color w:val="000000"/>
          <w:sz w:val="32"/>
          <w:szCs w:val="32"/>
        </w:rPr>
        <w:t>六</w:t>
      </w:r>
      <w:r>
        <w:rPr>
          <w:rFonts w:hint="eastAsia" w:ascii="黑体" w:hAnsi="Times New Roman" w:eastAsia="黑体" w:cs="黑体"/>
          <w:b/>
          <w:color w:val="000000"/>
          <w:sz w:val="32"/>
          <w:szCs w:val="32"/>
        </w:rPr>
        <w:t>、</w:t>
      </w:r>
      <w:r>
        <w:rPr>
          <w:rFonts w:hint="eastAsia" w:ascii="黑体" w:hAnsi="宋体" w:eastAsia="黑体" w:cs="黑体"/>
          <w:b/>
          <w:color w:val="000000"/>
          <w:sz w:val="32"/>
          <w:szCs w:val="32"/>
        </w:rPr>
        <w:t>一</w:t>
      </w:r>
      <w:r>
        <w:rPr>
          <w:rStyle w:val="19"/>
          <w:rFonts w:hint="eastAsia" w:ascii="黑体" w:hAnsi="宋体" w:eastAsia="黑体" w:cs="黑体"/>
          <w:b w:val="0"/>
          <w:bCs/>
        </w:rPr>
        <w:t>般公共预算财政拨款基本支出决算情况说明</w:t>
      </w:r>
      <w:bookmarkEnd w:id="40"/>
      <w:bookmarkEnd w:id="41"/>
      <w:r>
        <w:rPr>
          <w:rStyle w:val="19"/>
          <w:rFonts w:hint="eastAsia" w:ascii="黑体" w:hAnsi="宋体" w:eastAsia="黑体" w:cs="黑体"/>
          <w:b w:val="0"/>
          <w:bCs/>
        </w:rPr>
        <w:tab/>
      </w:r>
    </w:p>
    <w:p>
      <w:pPr>
        <w:spacing w:line="60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2018年一般公共预算财政拨款基本支出139.64万元，其中：</w:t>
      </w:r>
    </w:p>
    <w:p>
      <w:pPr>
        <w:spacing w:line="600" w:lineRule="exact"/>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人员经费127.71万元，主要包括：基本工资、津贴补贴、绩效工资、机关事业单位基本养老保险缴费、职工基本医疗保险缴费、其他工资福利支出、生活补助、奖励金、住房公积金、其他对个人和家庭的补助支出等。</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公用经费11.93万元，主要包括：办公费、印刷费、电费、邮电费、差旅费、公务接待费、工会经费、福利费、公务用车运行维护费等。</w:t>
      </w:r>
    </w:p>
    <w:p>
      <w:pPr>
        <w:spacing w:line="600" w:lineRule="exact"/>
        <w:ind w:firstLine="640"/>
        <w:rPr>
          <w:rFonts w:ascii="仿宋" w:hAnsi="仿宋" w:eastAsia="仿宋" w:cs="仿宋"/>
          <w:b/>
          <w:color w:val="000000"/>
          <w:sz w:val="32"/>
          <w:szCs w:val="32"/>
        </w:rPr>
      </w:pPr>
      <w:r>
        <w:rPr>
          <w:rFonts w:hint="eastAsia" w:ascii="仿宋" w:hAnsi="仿宋" w:eastAsia="仿宋" w:cs="仿宋"/>
          <w:b/>
          <w:color w:val="000000"/>
          <w:sz w:val="32"/>
          <w:szCs w:val="32"/>
        </w:rPr>
        <w:t>（数据来源财决07表，根据本部门实际支出情况罗列全部经济分类科目。）</w:t>
      </w:r>
    </w:p>
    <w:p>
      <w:pPr>
        <w:spacing w:line="600" w:lineRule="exact"/>
        <w:ind w:firstLine="640"/>
        <w:rPr>
          <w:rFonts w:ascii="仿宋" w:hAnsi="仿宋" w:eastAsia="仿宋" w:cs="仿宋"/>
          <w:b/>
          <w:color w:val="FF0000"/>
          <w:sz w:val="32"/>
          <w:szCs w:val="32"/>
        </w:rPr>
      </w:pPr>
    </w:p>
    <w:p>
      <w:pPr>
        <w:spacing w:line="600" w:lineRule="exact"/>
        <w:ind w:firstLine="640"/>
        <w:outlineLvl w:val="1"/>
        <w:rPr>
          <w:rFonts w:ascii="黑体" w:hAnsi="宋体" w:eastAsia="黑体" w:cs="黑体"/>
          <w:bCs/>
          <w:sz w:val="32"/>
          <w:szCs w:val="32"/>
        </w:rPr>
      </w:pPr>
      <w:bookmarkStart w:id="42" w:name="_Toc15396609"/>
      <w:bookmarkStart w:id="43" w:name="_Toc15377215"/>
      <w:r>
        <w:rPr>
          <w:rFonts w:hint="eastAsia" w:ascii="黑体" w:hAnsi="Times New Roman" w:eastAsia="黑体" w:cs="黑体"/>
          <w:color w:val="000000"/>
          <w:sz w:val="32"/>
          <w:szCs w:val="32"/>
        </w:rPr>
        <w:t>七、</w:t>
      </w:r>
      <w:r>
        <w:rPr>
          <w:rStyle w:val="19"/>
          <w:rFonts w:hint="eastAsia" w:ascii="黑体" w:hAnsi="宋体" w:eastAsia="黑体" w:cs="黑体"/>
        </w:rPr>
        <w:t>“</w:t>
      </w:r>
      <w:r>
        <w:rPr>
          <w:rStyle w:val="19"/>
          <w:rFonts w:hint="eastAsia" w:ascii="黑体" w:hAnsi="宋体" w:eastAsia="黑体" w:cs="黑体"/>
          <w:b w:val="0"/>
          <w:bCs/>
        </w:rPr>
        <w:t>三公”经费财政拨款支出决算情况说明</w:t>
      </w:r>
      <w:bookmarkEnd w:id="42"/>
      <w:bookmarkEnd w:id="43"/>
    </w:p>
    <w:p>
      <w:pPr>
        <w:spacing w:line="600" w:lineRule="exact"/>
        <w:ind w:firstLine="640"/>
        <w:outlineLvl w:val="2"/>
        <w:rPr>
          <w:rFonts w:ascii="仿宋" w:hAnsi="仿宋" w:eastAsia="仿宋" w:cs="仿宋"/>
          <w:b/>
          <w:color w:val="000000"/>
          <w:sz w:val="32"/>
          <w:szCs w:val="32"/>
        </w:rPr>
      </w:pPr>
      <w:bookmarkStart w:id="44" w:name="_Toc15377216"/>
      <w:r>
        <w:rPr>
          <w:rFonts w:hint="eastAsia" w:ascii="仿宋" w:hAnsi="仿宋" w:eastAsia="仿宋" w:cs="仿宋"/>
          <w:b/>
          <w:color w:val="000000"/>
          <w:sz w:val="32"/>
          <w:szCs w:val="32"/>
        </w:rPr>
        <w:t>（一）“三公”经费财政拨款支出决算总体情况说明</w:t>
      </w:r>
      <w:bookmarkEnd w:id="44"/>
    </w:p>
    <w:p>
      <w:pPr>
        <w:spacing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2018年“三公”经费财政拨款支出决算为2.6万元，完成预算100%，决算数与预算数持平。</w:t>
      </w:r>
    </w:p>
    <w:p>
      <w:pPr>
        <w:spacing w:line="600" w:lineRule="exact"/>
        <w:ind w:firstLine="640"/>
        <w:rPr>
          <w:rFonts w:ascii="仿宋" w:hAnsi="仿宋" w:eastAsia="仿宋" w:cs="仿宋"/>
          <w:b/>
          <w:color w:val="000000"/>
          <w:sz w:val="32"/>
          <w:szCs w:val="32"/>
        </w:rPr>
      </w:pPr>
      <w:r>
        <w:rPr>
          <w:rFonts w:hint="eastAsia" w:ascii="仿宋" w:hAnsi="仿宋" w:eastAsia="仿宋" w:cs="仿宋"/>
          <w:b/>
          <w:color w:val="000000"/>
          <w:sz w:val="32"/>
          <w:szCs w:val="32"/>
        </w:rPr>
        <w:t>（上述“预算”口径为调整预算数，包括政府性基金支出决算情况。）</w:t>
      </w:r>
    </w:p>
    <w:p>
      <w:pPr>
        <w:spacing w:line="600" w:lineRule="exact"/>
        <w:ind w:firstLine="640"/>
        <w:outlineLvl w:val="2"/>
        <w:rPr>
          <w:rFonts w:ascii="仿宋" w:hAnsi="仿宋" w:eastAsia="仿宋" w:cs="仿宋"/>
          <w:b/>
          <w:color w:val="000000"/>
          <w:sz w:val="32"/>
          <w:szCs w:val="32"/>
        </w:rPr>
      </w:pPr>
      <w:bookmarkStart w:id="45" w:name="_Toc15377217"/>
      <w:r>
        <w:rPr>
          <w:rFonts w:hint="eastAsia" w:ascii="仿宋" w:hAnsi="仿宋" w:eastAsia="仿宋" w:cs="仿宋"/>
          <w:b/>
          <w:color w:val="000000"/>
          <w:sz w:val="32"/>
          <w:szCs w:val="32"/>
        </w:rPr>
        <w:t>（二）“三公”经费财政拨款支出决算具体情况说明</w:t>
      </w:r>
      <w:bookmarkEnd w:id="45"/>
    </w:p>
    <w:p>
      <w:pPr>
        <w:spacing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2018年“三公”经费财政拨款支出决算中，因公出国（境）费支出决算0万元，占0%；公务用车购置及运行维护费支出决算2.2万元，占45.83%；公务接待费支出决算2.6万元，占54.17%。具体情况如下：</w:t>
      </w:r>
    </w:p>
    <w:p>
      <w:pPr>
        <w:spacing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（图8：“三公”经费财政拨款支出结构）（饼状图）</w:t>
      </w:r>
    </w:p>
    <w:p>
      <w:pPr>
        <w:ind w:firstLine="641"/>
        <w:rPr>
          <w:rFonts w:ascii="仿宋" w:hAnsi="仿宋" w:eastAsia="仿宋" w:cs="仿宋"/>
          <w:color w:val="000000"/>
          <w:sz w:val="32"/>
          <w:szCs w:val="32"/>
        </w:rPr>
      </w:pPr>
      <w:r>
        <w:rPr>
          <w:rFonts w:ascii="仿宋" w:hAnsi="仿宋" w:eastAsia="仿宋" w:cs="仿宋"/>
          <w:color w:val="000000"/>
          <w:sz w:val="32"/>
          <w:szCs w:val="32"/>
        </w:rPr>
        <w:drawing>
          <wp:inline distT="0" distB="0" distL="0" distR="0">
            <wp:extent cx="5274310" cy="3076575"/>
            <wp:effectExtent l="19050" t="0" r="2159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rPr>
          <w:rFonts w:ascii="仿宋" w:hAnsi="仿宋" w:eastAsia="仿宋" w:cs="仿宋_GB2312"/>
          <w:color w:val="000000"/>
          <w:sz w:val="30"/>
          <w:szCs w:val="30"/>
        </w:rPr>
      </w:pPr>
      <w:r>
        <w:rPr>
          <w:rFonts w:hint="eastAsia" w:ascii="仿宋" w:hAnsi="仿宋" w:eastAsia="仿宋" w:cs="仿宋_GB2312"/>
          <w:b/>
          <w:color w:val="000000"/>
          <w:sz w:val="30"/>
          <w:szCs w:val="30"/>
        </w:rPr>
        <w:t>1.因公出国（境）经费支出</w:t>
      </w:r>
      <w:r>
        <w:rPr>
          <w:rFonts w:hint="eastAsia" w:ascii="仿宋" w:hAnsi="仿宋" w:eastAsia="仿宋" w:cs="仿宋_GB2312"/>
          <w:color w:val="000000"/>
          <w:sz w:val="30"/>
          <w:szCs w:val="30"/>
        </w:rPr>
        <w:t>0万元。</w:t>
      </w:r>
    </w:p>
    <w:p>
      <w:pPr>
        <w:spacing w:line="600" w:lineRule="exact"/>
        <w:ind w:firstLine="640"/>
        <w:rPr>
          <w:rFonts w:ascii="仿宋" w:hAnsi="仿宋" w:eastAsia="仿宋" w:cs="仿宋_GB2312"/>
          <w:b/>
          <w:color w:val="000000" w:themeColor="text1"/>
          <w:sz w:val="32"/>
          <w:szCs w:val="32"/>
        </w:rPr>
      </w:pPr>
      <w:r>
        <w:rPr>
          <w:rFonts w:hint="eastAsia" w:ascii="仿宋" w:hAnsi="仿宋" w:eastAsia="仿宋" w:cs="仿宋_GB2312"/>
          <w:b/>
          <w:color w:val="000000" w:themeColor="text1"/>
          <w:sz w:val="32"/>
          <w:szCs w:val="32"/>
        </w:rPr>
        <w:t>2.公务用车购置及运行维护费支出</w:t>
      </w:r>
      <w:r>
        <w:rPr>
          <w:rFonts w:hint="eastAsia" w:ascii="仿宋" w:hAnsi="仿宋" w:eastAsia="仿宋" w:cs="仿宋_GB2312"/>
          <w:color w:val="000000" w:themeColor="text1"/>
          <w:sz w:val="32"/>
          <w:szCs w:val="32"/>
        </w:rPr>
        <w:t>2.2万元,</w:t>
      </w:r>
      <w:r>
        <w:rPr>
          <w:rStyle w:val="14"/>
          <w:rFonts w:hint="eastAsia" w:ascii="仿宋" w:hAnsi="仿宋" w:eastAsia="仿宋" w:cs="仿宋"/>
          <w:b w:val="0"/>
          <w:bCs/>
          <w:color w:val="000000" w:themeColor="text1"/>
          <w:sz w:val="32"/>
          <w:szCs w:val="32"/>
        </w:rPr>
        <w:t>完成预算100%。</w:t>
      </w:r>
      <w:r>
        <w:rPr>
          <w:rFonts w:hint="eastAsia" w:ascii="仿宋" w:hAnsi="仿宋" w:eastAsia="仿宋" w:cs="仿宋_GB2312"/>
          <w:color w:val="000000" w:themeColor="text1"/>
          <w:sz w:val="32"/>
          <w:szCs w:val="32"/>
        </w:rPr>
        <w:t>公务用车购置及运行维护费支出决算比2017年减少0.925万元，下降29.6%。主要原因是公务用车经费压减。</w:t>
      </w:r>
    </w:p>
    <w:p>
      <w:pPr>
        <w:spacing w:line="600" w:lineRule="exact"/>
        <w:ind w:firstLine="640" w:firstLineChars="200"/>
        <w:rPr>
          <w:rFonts w:ascii="仿宋" w:hAnsi="仿宋" w:eastAsia="仿宋" w:cs="仿宋_GB2312"/>
          <w:b/>
          <w:color w:val="000000" w:themeColor="text1"/>
          <w:sz w:val="32"/>
          <w:szCs w:val="32"/>
        </w:rPr>
      </w:pPr>
      <w:r>
        <w:rPr>
          <w:rFonts w:hint="eastAsia" w:ascii="仿宋" w:hAnsi="仿宋" w:eastAsia="仿宋" w:cs="仿宋_GB2312"/>
          <w:color w:val="000000" w:themeColor="text1"/>
          <w:sz w:val="32"/>
          <w:szCs w:val="32"/>
        </w:rPr>
        <w:t>其中：</w:t>
      </w:r>
      <w:r>
        <w:rPr>
          <w:rFonts w:hint="eastAsia" w:ascii="仿宋" w:hAnsi="仿宋" w:eastAsia="仿宋" w:cs="仿宋_GB2312"/>
          <w:b/>
          <w:color w:val="000000" w:themeColor="text1"/>
          <w:sz w:val="32"/>
          <w:szCs w:val="32"/>
        </w:rPr>
        <w:t>公务用车购置支出</w:t>
      </w:r>
      <w:r>
        <w:rPr>
          <w:rFonts w:hint="eastAsia" w:ascii="仿宋" w:hAnsi="仿宋" w:eastAsia="仿宋" w:cs="仿宋_GB2312"/>
          <w:color w:val="000000" w:themeColor="text1"/>
          <w:sz w:val="32"/>
          <w:szCs w:val="32"/>
        </w:rPr>
        <w:t>0万元。全年按规定更新购置公务用车0辆，其中：轿车0辆、金额0万元，越野车0辆、金额0万元，载客汽车0辆、金额0万元。截至2018年12月底，单位共有公务用车1辆，其中：轿车1辆。</w:t>
      </w:r>
    </w:p>
    <w:p>
      <w:pPr>
        <w:spacing w:line="600" w:lineRule="exact"/>
        <w:ind w:firstLine="640"/>
        <w:rPr>
          <w:rFonts w:ascii="仿宋" w:hAnsi="仿宋" w:eastAsia="仿宋" w:cs="仿宋_GB2312"/>
          <w:color w:val="000000" w:themeColor="text1"/>
          <w:sz w:val="32"/>
          <w:szCs w:val="32"/>
        </w:rPr>
      </w:pPr>
      <w:r>
        <w:rPr>
          <w:rFonts w:hint="eastAsia" w:ascii="仿宋" w:hAnsi="仿宋" w:eastAsia="仿宋" w:cs="仿宋_GB2312"/>
          <w:b/>
          <w:color w:val="000000" w:themeColor="text1"/>
          <w:sz w:val="32"/>
          <w:szCs w:val="32"/>
        </w:rPr>
        <w:t>公务用车运行维护费支出</w:t>
      </w:r>
      <w:r>
        <w:rPr>
          <w:rFonts w:hint="eastAsia" w:ascii="仿宋" w:hAnsi="仿宋" w:eastAsia="仿宋" w:cs="仿宋_GB2312"/>
          <w:color w:val="000000" w:themeColor="text1"/>
          <w:sz w:val="32"/>
          <w:szCs w:val="32"/>
        </w:rPr>
        <w:t>2.6万元。主要用于天曌山景区招商引资、景区宣传推广等所需的公务用车燃料费、维修费、过路过桥费、保险费等支出。</w:t>
      </w:r>
    </w:p>
    <w:p>
      <w:pPr>
        <w:spacing w:line="600" w:lineRule="exact"/>
        <w:ind w:firstLine="640"/>
        <w:rPr>
          <w:rFonts w:ascii="仿宋" w:hAnsi="仿宋" w:eastAsia="仿宋" w:cs="仿宋_GB2312"/>
          <w:color w:val="000000" w:themeColor="text1"/>
          <w:sz w:val="32"/>
          <w:szCs w:val="32"/>
        </w:rPr>
      </w:pPr>
      <w:r>
        <w:rPr>
          <w:rFonts w:hint="eastAsia" w:ascii="仿宋" w:hAnsi="仿宋" w:eastAsia="仿宋" w:cs="仿宋_GB2312"/>
          <w:b/>
          <w:color w:val="000000" w:themeColor="text1"/>
          <w:sz w:val="32"/>
          <w:szCs w:val="32"/>
        </w:rPr>
        <w:t>3.公务接待费支出2.6</w:t>
      </w:r>
      <w:r>
        <w:rPr>
          <w:rFonts w:hint="eastAsia" w:ascii="仿宋" w:hAnsi="仿宋" w:eastAsia="仿宋" w:cs="仿宋_GB2312"/>
          <w:color w:val="000000" w:themeColor="text1"/>
          <w:sz w:val="32"/>
          <w:szCs w:val="32"/>
        </w:rPr>
        <w:t>万元</w:t>
      </w:r>
      <w:r>
        <w:rPr>
          <w:rStyle w:val="14"/>
          <w:rFonts w:hint="eastAsia" w:ascii="仿宋" w:hAnsi="仿宋" w:eastAsia="仿宋" w:cs="仿宋"/>
          <w:b w:val="0"/>
          <w:bCs/>
          <w:color w:val="000000" w:themeColor="text1"/>
          <w:sz w:val="32"/>
          <w:szCs w:val="32"/>
        </w:rPr>
        <w:t>。</w:t>
      </w:r>
      <w:r>
        <w:rPr>
          <w:rFonts w:hint="eastAsia" w:ascii="仿宋" w:hAnsi="仿宋" w:eastAsia="仿宋" w:cs="仿宋_GB2312"/>
          <w:color w:val="000000" w:themeColor="text1"/>
          <w:sz w:val="32"/>
          <w:szCs w:val="32"/>
        </w:rPr>
        <w:t>主要用于执行公务、开展业务活动开支的交通费、住宿费、用餐费等。国内公务接待41批次，325人次（不包括陪同人员），共计支出2.6万元，具体内容包括：招商引资项目2.6万。其中：</w:t>
      </w:r>
    </w:p>
    <w:p>
      <w:pPr>
        <w:spacing w:line="600" w:lineRule="exact"/>
        <w:ind w:firstLine="642" w:firstLineChars="200"/>
        <w:rPr>
          <w:rFonts w:ascii="仿宋" w:hAnsi="仿宋" w:eastAsia="仿宋" w:cs="仿宋_GB2312"/>
          <w:color w:val="000000" w:themeColor="text1"/>
          <w:sz w:val="32"/>
          <w:szCs w:val="32"/>
        </w:rPr>
      </w:pPr>
      <w:r>
        <w:rPr>
          <w:rFonts w:hint="eastAsia" w:ascii="仿宋" w:hAnsi="仿宋" w:eastAsia="仿宋" w:cs="仿宋"/>
          <w:b/>
          <w:color w:val="000000" w:themeColor="text1"/>
          <w:sz w:val="32"/>
          <w:szCs w:val="32"/>
        </w:rPr>
        <w:t>外事接待支出</w:t>
      </w:r>
      <w:r>
        <w:rPr>
          <w:rFonts w:hint="eastAsia" w:ascii="仿宋" w:hAnsi="仿宋" w:eastAsia="仿宋" w:cs="仿宋"/>
          <w:color w:val="000000" w:themeColor="text1"/>
          <w:sz w:val="32"/>
          <w:szCs w:val="32"/>
        </w:rPr>
        <w:t>0</w:t>
      </w:r>
      <w:r>
        <w:rPr>
          <w:rFonts w:hint="eastAsia" w:ascii="仿宋" w:hAnsi="仿宋" w:eastAsia="仿宋" w:cs="仿宋_GB2312"/>
          <w:color w:val="000000" w:themeColor="text1"/>
          <w:sz w:val="32"/>
          <w:szCs w:val="32"/>
        </w:rPr>
        <w:t>万元，外事接待0批次，0人，共计支出0万元。</w:t>
      </w:r>
    </w:p>
    <w:p>
      <w:pPr>
        <w:spacing w:line="600" w:lineRule="exact"/>
        <w:ind w:firstLine="640"/>
        <w:rPr>
          <w:rFonts w:ascii="仿宋" w:hAnsi="仿宋" w:eastAsia="仿宋" w:cs="黑体"/>
          <w:color w:val="000000" w:themeColor="text1"/>
          <w:sz w:val="32"/>
          <w:szCs w:val="32"/>
        </w:rPr>
      </w:pPr>
      <w:r>
        <w:rPr>
          <w:rFonts w:hint="eastAsia" w:ascii="仿宋" w:hAnsi="仿宋" w:eastAsia="仿宋" w:cs="仿宋"/>
          <w:b/>
          <w:color w:val="000000" w:themeColor="text1"/>
          <w:sz w:val="32"/>
          <w:szCs w:val="32"/>
        </w:rPr>
        <w:t>其他国内公务接待支出</w:t>
      </w:r>
      <w:r>
        <w:rPr>
          <w:rFonts w:hint="eastAsia" w:ascii="仿宋" w:hAnsi="仿宋" w:eastAsia="仿宋" w:cs="仿宋"/>
          <w:color w:val="000000" w:themeColor="text1"/>
          <w:sz w:val="32"/>
          <w:szCs w:val="32"/>
        </w:rPr>
        <w:t>2.6</w:t>
      </w:r>
      <w:r>
        <w:rPr>
          <w:rFonts w:hint="eastAsia" w:ascii="仿宋" w:hAnsi="仿宋" w:eastAsia="仿宋" w:cs="仿宋_GB2312"/>
          <w:color w:val="000000" w:themeColor="text1"/>
          <w:sz w:val="32"/>
          <w:szCs w:val="32"/>
        </w:rPr>
        <w:t>万元，主要用于天曌山景区招商引资项目。</w:t>
      </w:r>
      <w:bookmarkStart w:id="46" w:name="_Toc15377218"/>
      <w:bookmarkStart w:id="47" w:name="_Toc15396610"/>
    </w:p>
    <w:p>
      <w:pPr>
        <w:spacing w:line="600" w:lineRule="exact"/>
        <w:ind w:firstLine="640"/>
        <w:outlineLvl w:val="1"/>
        <w:rPr>
          <w:rFonts w:ascii="黑体" w:hAnsi="黑体" w:eastAsia="黑体" w:cs="黑体"/>
          <w:b/>
          <w:color w:val="000000" w:themeColor="text1"/>
          <w:sz w:val="32"/>
          <w:szCs w:val="32"/>
        </w:rPr>
      </w:pPr>
      <w:r>
        <w:rPr>
          <w:rFonts w:hint="eastAsia" w:ascii="黑体" w:hAnsi="黑体" w:eastAsia="黑体" w:cs="黑体"/>
          <w:b/>
          <w:color w:val="000000" w:themeColor="text1"/>
          <w:sz w:val="32"/>
          <w:szCs w:val="32"/>
        </w:rPr>
        <w:t>八、</w:t>
      </w:r>
      <w:r>
        <w:rPr>
          <w:rStyle w:val="19"/>
          <w:rFonts w:hint="eastAsia" w:ascii="黑体" w:hAnsi="黑体" w:eastAsia="黑体" w:cs="黑体"/>
          <w:b w:val="0"/>
          <w:bCs/>
          <w:color w:val="000000" w:themeColor="text1"/>
        </w:rPr>
        <w:t>政府性基金预算支出决算情况说明</w:t>
      </w:r>
      <w:bookmarkEnd w:id="46"/>
      <w:bookmarkEnd w:id="47"/>
    </w:p>
    <w:p>
      <w:pPr>
        <w:spacing w:line="600" w:lineRule="exact"/>
        <w:ind w:firstLine="64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2018年政府性基金预算拨款支出0万元。</w:t>
      </w:r>
    </w:p>
    <w:p>
      <w:pPr>
        <w:numPr>
          <w:ilvl w:val="0"/>
          <w:numId w:val="2"/>
        </w:numPr>
        <w:spacing w:line="600" w:lineRule="exact"/>
        <w:ind w:firstLine="640"/>
        <w:outlineLvl w:val="1"/>
        <w:rPr>
          <w:rFonts w:ascii="黑体" w:hAnsi="黑体" w:eastAsia="黑体" w:cs="黑体"/>
          <w:bCs/>
          <w:color w:val="000000" w:themeColor="text1"/>
          <w:sz w:val="32"/>
          <w:szCs w:val="32"/>
        </w:rPr>
      </w:pPr>
      <w:bookmarkStart w:id="48" w:name="_Toc15377219"/>
      <w:bookmarkStart w:id="49" w:name="_Toc15396611"/>
      <w:r>
        <w:rPr>
          <w:rStyle w:val="19"/>
          <w:rFonts w:hint="eastAsia" w:ascii="黑体" w:hAnsi="黑体" w:eastAsia="黑体" w:cs="黑体"/>
          <w:b w:val="0"/>
          <w:bCs/>
          <w:color w:val="000000" w:themeColor="text1"/>
        </w:rPr>
        <w:t>国有资本经营预算支出决算情况说明</w:t>
      </w:r>
      <w:bookmarkEnd w:id="48"/>
      <w:bookmarkEnd w:id="49"/>
    </w:p>
    <w:p>
      <w:pPr>
        <w:spacing w:line="600" w:lineRule="exact"/>
        <w:ind w:firstLine="64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2018年国有资本经营预算拨款支出0万元。</w:t>
      </w:r>
    </w:p>
    <w:p>
      <w:pPr>
        <w:pStyle w:val="23"/>
        <w:widowControl/>
        <w:numPr>
          <w:ilvl w:val="0"/>
          <w:numId w:val="3"/>
        </w:numPr>
        <w:spacing w:line="580" w:lineRule="exact"/>
        <w:ind w:firstLineChars="0"/>
        <w:rPr>
          <w:rFonts w:ascii="黑体" w:hAnsi="黑体" w:eastAsia="黑体" w:cs="黑体"/>
          <w:bCs/>
          <w:color w:val="000000" w:themeColor="text1"/>
          <w:sz w:val="32"/>
          <w:szCs w:val="32"/>
        </w:rPr>
      </w:pPr>
      <w:r>
        <w:rPr>
          <w:rStyle w:val="19"/>
          <w:rFonts w:hint="eastAsia" w:ascii="黑体" w:hAnsi="黑体" w:eastAsia="黑体" w:cs="黑体"/>
          <w:b w:val="0"/>
          <w:bCs/>
          <w:color w:val="000000" w:themeColor="text1"/>
        </w:rPr>
        <w:t>预算绩效情况说明</w:t>
      </w:r>
    </w:p>
    <w:p>
      <w:pPr>
        <w:numPr>
          <w:ilvl w:val="0"/>
          <w:numId w:val="4"/>
        </w:numPr>
        <w:spacing w:line="580" w:lineRule="exact"/>
        <w:ind w:firstLine="642" w:firstLineChars="200"/>
        <w:rPr>
          <w:rFonts w:ascii="仿宋" w:hAnsi="仿宋" w:eastAsia="仿宋" w:cs="楷体_GB2312"/>
          <w:b/>
          <w:color w:val="000000" w:themeColor="text1"/>
          <w:sz w:val="32"/>
          <w:szCs w:val="32"/>
        </w:rPr>
      </w:pPr>
      <w:r>
        <w:rPr>
          <w:rFonts w:hint="eastAsia" w:ascii="仿宋" w:hAnsi="仿宋" w:eastAsia="仿宋" w:cs="楷体_GB2312"/>
          <w:b/>
          <w:color w:val="000000" w:themeColor="text1"/>
          <w:sz w:val="32"/>
          <w:szCs w:val="32"/>
        </w:rPr>
        <w:t>预算绩效管理工作开展情况。</w:t>
      </w:r>
    </w:p>
    <w:p>
      <w:pPr>
        <w:spacing w:line="58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根据预算绩效管理要求，本部门（单位）在年初预算编制阶段，组织对</w:t>
      </w:r>
      <w:r>
        <w:rPr>
          <w:rFonts w:hint="eastAsia" w:ascii="仿宋" w:hAnsi="仿宋" w:eastAsia="仿宋" w:cs="宋体"/>
          <w:color w:val="000000" w:themeColor="text1"/>
          <w:sz w:val="32"/>
          <w:szCs w:val="32"/>
        </w:rPr>
        <w:t>国家重点生态功能区转移项目和保护利用设施建设</w:t>
      </w:r>
      <w:r>
        <w:rPr>
          <w:rFonts w:hint="eastAsia" w:ascii="仿宋" w:hAnsi="仿宋" w:eastAsia="仿宋" w:cs="仿宋_GB2312"/>
          <w:color w:val="000000" w:themeColor="text1"/>
          <w:sz w:val="32"/>
          <w:szCs w:val="32"/>
        </w:rPr>
        <w:t>项目开展了预算事前绩效评估，对2个项目编制了绩效目标，预算执行过程中，选取2个项目开展绩效监控，年终执行完毕后，对2个项目开展了绩效目标完成情况梳理填报。</w:t>
      </w:r>
    </w:p>
    <w:p>
      <w:pPr>
        <w:spacing w:line="58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本部门按要求对2018年部门整体支出开展绩效自评，从评价情况来看完成较好，及时、高效，保障了全局各项重点工作有序开展。本部门还自行组织了2个项目绩效评价，从评价情况来看这2个项目都已基本完成，达到预期目标，有效保障了全局各项重点工作有序开展。</w:t>
      </w:r>
    </w:p>
    <w:p>
      <w:pPr>
        <w:numPr>
          <w:ilvl w:val="0"/>
          <w:numId w:val="4"/>
        </w:numPr>
        <w:spacing w:line="580" w:lineRule="exact"/>
        <w:ind w:firstLine="642" w:firstLineChars="200"/>
        <w:rPr>
          <w:rFonts w:ascii="仿宋" w:hAnsi="仿宋" w:eastAsia="仿宋" w:cs="仿宋_GB2312"/>
          <w:color w:val="000000" w:themeColor="text1"/>
          <w:sz w:val="32"/>
          <w:szCs w:val="32"/>
        </w:rPr>
      </w:pPr>
      <w:r>
        <w:rPr>
          <w:rFonts w:hint="eastAsia" w:ascii="仿宋" w:hAnsi="仿宋" w:eastAsia="仿宋" w:cs="楷体_GB2312"/>
          <w:b/>
          <w:color w:val="000000" w:themeColor="text1"/>
          <w:sz w:val="32"/>
          <w:szCs w:val="32"/>
        </w:rPr>
        <w:t>项目绩效目标完成情况。</w:t>
      </w:r>
      <w:r>
        <w:rPr>
          <w:rFonts w:hint="eastAsia" w:ascii="仿宋" w:hAnsi="仿宋" w:eastAsia="仿宋" w:cs="楷体_GB2312"/>
          <w:b/>
          <w:color w:val="000000" w:themeColor="text1"/>
          <w:sz w:val="32"/>
          <w:szCs w:val="32"/>
        </w:rPr>
        <w:br w:type="textWrapping"/>
      </w:r>
      <w:r>
        <w:rPr>
          <w:rFonts w:hint="eastAsia" w:ascii="仿宋" w:hAnsi="仿宋" w:eastAsia="仿宋" w:cs="仿宋_GB2312"/>
          <w:color w:val="000000" w:themeColor="text1"/>
          <w:sz w:val="32"/>
          <w:szCs w:val="32"/>
        </w:rPr>
        <w:t xml:space="preserve">    本部门在2018年度部门决算中反映“</w:t>
      </w:r>
      <w:r>
        <w:rPr>
          <w:rFonts w:hint="eastAsia" w:ascii="仿宋" w:hAnsi="仿宋" w:eastAsia="仿宋" w:cs="宋体"/>
          <w:color w:val="000000" w:themeColor="text1"/>
          <w:sz w:val="32"/>
          <w:szCs w:val="32"/>
        </w:rPr>
        <w:t>国家重点生态功能区转移支付资金项目</w:t>
      </w:r>
      <w:r>
        <w:rPr>
          <w:rFonts w:hint="eastAsia" w:ascii="仿宋" w:hAnsi="仿宋" w:eastAsia="仿宋" w:cs="仿宋_GB2312"/>
          <w:color w:val="000000" w:themeColor="text1"/>
          <w:sz w:val="32"/>
          <w:szCs w:val="32"/>
        </w:rPr>
        <w:t>”“</w:t>
      </w:r>
      <w:r>
        <w:rPr>
          <w:rFonts w:hint="eastAsia" w:ascii="仿宋" w:hAnsi="仿宋" w:eastAsia="仿宋" w:cs="宋体"/>
          <w:color w:val="000000" w:themeColor="text1"/>
          <w:sz w:val="32"/>
          <w:szCs w:val="32"/>
        </w:rPr>
        <w:t>保护利用设施建设项目</w:t>
      </w:r>
      <w:r>
        <w:rPr>
          <w:rFonts w:hint="eastAsia" w:ascii="仿宋" w:hAnsi="仿宋" w:eastAsia="仿宋" w:cs="仿宋_GB2312"/>
          <w:color w:val="000000" w:themeColor="text1"/>
          <w:sz w:val="32"/>
          <w:szCs w:val="32"/>
        </w:rPr>
        <w:t>”等2个项目绩效目标实际完成情况。</w:t>
      </w:r>
    </w:p>
    <w:p>
      <w:pPr>
        <w:numPr>
          <w:ilvl w:val="0"/>
          <w:numId w:val="5"/>
        </w:numPr>
        <w:spacing w:line="580" w:lineRule="exact"/>
        <w:ind w:firstLine="640" w:firstLineChars="200"/>
        <w:rPr>
          <w:rFonts w:ascii="仿宋" w:hAnsi="仿宋" w:eastAsia="仿宋" w:cs="仿宋_GB2312"/>
          <w:color w:val="000000" w:themeColor="text1"/>
          <w:sz w:val="32"/>
          <w:szCs w:val="32"/>
        </w:rPr>
      </w:pPr>
      <w:r>
        <w:rPr>
          <w:rFonts w:hint="eastAsia" w:ascii="仿宋" w:hAnsi="仿宋" w:eastAsia="仿宋" w:cs="宋体"/>
          <w:color w:val="000000" w:themeColor="text1"/>
          <w:sz w:val="32"/>
          <w:szCs w:val="32"/>
        </w:rPr>
        <w:t>国家重点生态功能区转移支付资金项目</w:t>
      </w:r>
      <w:r>
        <w:rPr>
          <w:rFonts w:hint="eastAsia" w:ascii="仿宋" w:hAnsi="仿宋" w:eastAsia="仿宋" w:cs="仿宋_GB2312"/>
          <w:color w:val="000000" w:themeColor="text1"/>
          <w:sz w:val="32"/>
          <w:szCs w:val="32"/>
        </w:rPr>
        <w:t>绩效目标完成情况综述。项目全年预算数745.44万元，执行数为166.54万元，完成预算的22.34%。通过项目实施，改善公园基础设施条件，完善了公园森林防火规划，提高了公园的管理能力水平，改善公园的森林生态景观，同时增加旅游综合收入，带动周边农家乐发展，增加了就业岗位，推进了我区旅游产业发展和经济建设。发现的主要问题：由于</w:t>
      </w:r>
      <w:r>
        <w:rPr>
          <w:rFonts w:ascii="仿宋" w:hAnsi="仿宋" w:eastAsia="仿宋"/>
          <w:color w:val="000000" w:themeColor="text1"/>
          <w:sz w:val="32"/>
          <w:szCs w:val="32"/>
        </w:rPr>
        <w:t>天曌山国家森林公园海拔较高，冬季气候寒冷，每年10月底至第二年3月都不具备施工条件，项目进展缓慢</w:t>
      </w:r>
      <w:r>
        <w:rPr>
          <w:rFonts w:hint="eastAsia" w:ascii="仿宋" w:hAnsi="仿宋" w:eastAsia="仿宋" w:cs="仿宋_GB2312"/>
          <w:color w:val="000000" w:themeColor="text1"/>
          <w:sz w:val="32"/>
          <w:szCs w:val="32"/>
        </w:rPr>
        <w:t>。下一步改进措施：在可施工时间段，加快进度，力争保质保量的完成项目。</w:t>
      </w:r>
    </w:p>
    <w:p>
      <w:pPr>
        <w:numPr>
          <w:ilvl w:val="0"/>
          <w:numId w:val="5"/>
        </w:numPr>
        <w:spacing w:line="580" w:lineRule="exact"/>
        <w:ind w:firstLine="640" w:firstLineChars="200"/>
        <w:rPr>
          <w:rFonts w:ascii="仿宋" w:hAnsi="仿宋" w:eastAsia="仿宋" w:cs="仿宋_GB2312"/>
          <w:color w:val="000000" w:themeColor="text1"/>
          <w:sz w:val="32"/>
          <w:szCs w:val="32"/>
        </w:rPr>
      </w:pPr>
      <w:r>
        <w:rPr>
          <w:rFonts w:hint="eastAsia" w:ascii="仿宋" w:hAnsi="仿宋" w:eastAsia="仿宋" w:cs="宋体"/>
          <w:color w:val="000000" w:themeColor="text1"/>
          <w:sz w:val="32"/>
          <w:szCs w:val="32"/>
        </w:rPr>
        <w:t>保护利用设施建设项目</w:t>
      </w:r>
      <w:r>
        <w:rPr>
          <w:rFonts w:hint="eastAsia" w:ascii="仿宋" w:hAnsi="仿宋" w:eastAsia="仿宋" w:cs="仿宋_GB2312"/>
          <w:color w:val="000000" w:themeColor="text1"/>
          <w:sz w:val="32"/>
          <w:szCs w:val="32"/>
        </w:rPr>
        <w:t>绩效目标完成情况综述。项目全年预算数144.89万元，执行数为144.89万元，完成预算的100%。通过项目实施，</w:t>
      </w:r>
      <w:r>
        <w:rPr>
          <w:rFonts w:hint="eastAsia" w:ascii="仿宋" w:hAnsi="仿宋" w:eastAsia="仿宋"/>
          <w:color w:val="000000" w:themeColor="text1"/>
          <w:sz w:val="32"/>
          <w:szCs w:val="32"/>
        </w:rPr>
        <w:t>提高森林保持水土、涵养水源等功能，促进生态系统良性循环，保障了景区的生态可持续性发展，保护和合理利用森林风景资源和生物多样性、普及生态文化知识、发展生态旅游，使公园森林风景资源得到有效保护和利用</w:t>
      </w:r>
      <w:r>
        <w:rPr>
          <w:rFonts w:hint="eastAsia" w:ascii="仿宋" w:hAnsi="仿宋" w:eastAsia="仿宋" w:cs="仿宋_GB2312"/>
          <w:color w:val="000000" w:themeColor="text1"/>
          <w:sz w:val="32"/>
          <w:szCs w:val="32"/>
        </w:rPr>
        <w:t>，发现的主要问题：生态旅游建设还有些滞后。下一步改进措施：要加大招商引资力度，尽快推进森林旅游项目的开展。</w:t>
      </w:r>
    </w:p>
    <w:tbl>
      <w:tblPr>
        <w:tblStyle w:val="12"/>
        <w:tblpPr w:leftFromText="180" w:rightFromText="180" w:vertAnchor="text" w:horzAnchor="page" w:tblpXSpec="center" w:tblpY="423"/>
        <w:tblOverlap w:val="never"/>
        <w:tblW w:w="10229" w:type="dxa"/>
        <w:tblInd w:w="0" w:type="dxa"/>
        <w:tblLayout w:type="fixed"/>
        <w:tblCellMar>
          <w:top w:w="0" w:type="dxa"/>
          <w:left w:w="0" w:type="dxa"/>
          <w:bottom w:w="0" w:type="dxa"/>
          <w:right w:w="0" w:type="dxa"/>
        </w:tblCellMar>
      </w:tblPr>
      <w:tblGrid>
        <w:gridCol w:w="659"/>
        <w:gridCol w:w="1367"/>
        <w:gridCol w:w="1025"/>
        <w:gridCol w:w="2392"/>
        <w:gridCol w:w="2394"/>
        <w:gridCol w:w="2392"/>
      </w:tblGrid>
      <w:tr>
        <w:tblPrEx>
          <w:tblCellMar>
            <w:top w:w="0" w:type="dxa"/>
            <w:left w:w="0" w:type="dxa"/>
            <w:bottom w:w="0" w:type="dxa"/>
            <w:right w:w="0" w:type="dxa"/>
          </w:tblCellMar>
        </w:tblPrEx>
        <w:trPr>
          <w:trHeight w:val="1034" w:hRule="atLeast"/>
        </w:trPr>
        <w:tc>
          <w:tcPr>
            <w:tcW w:w="10229" w:type="dxa"/>
            <w:gridSpan w:val="6"/>
            <w:shd w:val="clear" w:color="auto" w:fill="auto"/>
            <w:tcMar>
              <w:top w:w="15" w:type="dxa"/>
              <w:left w:w="15"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宋体" w:eastAsia="黑体" w:cs="宋体"/>
                <w:bCs/>
                <w:color w:val="000000"/>
                <w:kern w:val="0"/>
                <w:sz w:val="36"/>
                <w:szCs w:val="36"/>
              </w:rPr>
              <w:t>项目支出绩效目标完成情况表</w:t>
            </w:r>
            <w:r>
              <w:rPr>
                <w:rFonts w:hint="eastAsia" w:ascii="宋体" w:hAnsi="宋体" w:cs="宋体"/>
                <w:b/>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30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四川天曌山国家森林公园国家重点生态功能区转移支付资金项目</w:t>
            </w:r>
          </w:p>
        </w:tc>
      </w:tr>
      <w:tr>
        <w:tblPrEx>
          <w:tblCellMar>
            <w:top w:w="0" w:type="dxa"/>
            <w:left w:w="0" w:type="dxa"/>
            <w:bottom w:w="0" w:type="dxa"/>
            <w:right w:w="0" w:type="dxa"/>
          </w:tblCellMar>
        </w:tblPrEx>
        <w:trPr>
          <w:trHeight w:val="276" w:hRule="atLeast"/>
        </w:trPr>
        <w:tc>
          <w:tcPr>
            <w:tcW w:w="30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745.44万元</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166.54万元</w:t>
            </w:r>
          </w:p>
        </w:tc>
      </w:tr>
      <w:tr>
        <w:tblPrEx>
          <w:tblCellMar>
            <w:top w:w="0" w:type="dxa"/>
            <w:left w:w="0" w:type="dxa"/>
            <w:bottom w:w="0" w:type="dxa"/>
            <w:right w:w="0" w:type="dxa"/>
          </w:tblCellMar>
        </w:tblPrEx>
        <w:trPr>
          <w:trHeight w:val="27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0"/>
                <w:szCs w:val="20"/>
              </w:rPr>
            </w:pP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745.44万元</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166.54万元</w:t>
            </w:r>
          </w:p>
        </w:tc>
      </w:tr>
      <w:tr>
        <w:tblPrEx>
          <w:tblCellMar>
            <w:top w:w="0" w:type="dxa"/>
            <w:left w:w="0" w:type="dxa"/>
            <w:bottom w:w="0" w:type="dxa"/>
            <w:right w:w="0" w:type="dxa"/>
          </w:tblCellMar>
        </w:tblPrEx>
        <w:trPr>
          <w:trHeight w:val="1511"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0"/>
                <w:szCs w:val="20"/>
              </w:rPr>
            </w:pP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0"/>
                <w:szCs w:val="20"/>
              </w:rPr>
            </w:pPr>
          </w:p>
        </w:tc>
        <w:tc>
          <w:tcPr>
            <w:tcW w:w="47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420" w:firstLineChars="200"/>
              <w:jc w:val="left"/>
              <w:textAlignment w:val="center"/>
              <w:rPr>
                <w:rFonts w:ascii="宋体" w:hAnsi="宋体" w:cs="宋体"/>
                <w:color w:val="000000"/>
                <w:szCs w:val="21"/>
              </w:rPr>
            </w:pPr>
            <w:r>
              <w:rPr>
                <w:rFonts w:hint="eastAsia" w:ascii="宋体" w:hAnsi="宋体" w:cs="仿宋_GB2312"/>
                <w:kern w:val="0"/>
                <w:szCs w:val="21"/>
              </w:rPr>
              <w:t>完成汉王洞工区1公里林区危旧道路改造及安防工程项目，游客中心LED屏采购，森林防火规划，古树名木调查等工程项目</w:t>
            </w:r>
          </w:p>
        </w:tc>
        <w:tc>
          <w:tcPr>
            <w:tcW w:w="4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420" w:firstLineChars="200"/>
              <w:jc w:val="left"/>
              <w:textAlignment w:val="center"/>
              <w:rPr>
                <w:rFonts w:ascii="宋体" w:hAnsi="宋体" w:cs="宋体"/>
                <w:color w:val="000000"/>
                <w:szCs w:val="21"/>
              </w:rPr>
            </w:pPr>
            <w:r>
              <w:rPr>
                <w:rFonts w:hint="eastAsia" w:ascii="宋体" w:hAnsi="宋体" w:cs="仿宋_GB2312"/>
                <w:kern w:val="0"/>
                <w:szCs w:val="21"/>
              </w:rPr>
              <w:t>完成汉王洞工区1公里林区危旧道路改造及安防工程项目，游客中心LED屏采购，森林防火规划，古树名木调查等工程项目</w:t>
            </w:r>
          </w:p>
        </w:tc>
      </w:tr>
      <w:tr>
        <w:tblPrEx>
          <w:tblCellMar>
            <w:top w:w="0" w:type="dxa"/>
            <w:left w:w="0" w:type="dxa"/>
            <w:bottom w:w="0" w:type="dxa"/>
            <w:right w:w="0" w:type="dxa"/>
          </w:tblCellMar>
        </w:tblPrEx>
        <w:trPr>
          <w:trHeight w:val="769"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实际完成指标值(包含数字及文字描述)</w:t>
            </w:r>
          </w:p>
        </w:tc>
      </w:tr>
      <w:tr>
        <w:tblPrEx>
          <w:tblCellMar>
            <w:top w:w="0" w:type="dxa"/>
            <w:left w:w="0" w:type="dxa"/>
            <w:bottom w:w="0" w:type="dxa"/>
            <w:right w:w="0" w:type="dxa"/>
          </w:tblCellMar>
        </w:tblPrEx>
        <w:trPr>
          <w:trHeight w:val="209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完成项目预期数量指标</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Cs w:val="21"/>
              </w:rPr>
            </w:pPr>
            <w:r>
              <w:rPr>
                <w:rFonts w:hint="eastAsia" w:ascii="宋体" w:hAnsi="宋体" w:cs="仿宋_GB2312"/>
                <w:kern w:val="0"/>
                <w:szCs w:val="21"/>
              </w:rPr>
              <w:t>完成汉王洞工区1公里林区危旧道路改造及安防工程项目，游客中心LED屏采购，森林防火规划，古树名木调查，绿化管护等工程项目</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Cs w:val="21"/>
              </w:rPr>
            </w:pPr>
            <w:r>
              <w:rPr>
                <w:rFonts w:hint="eastAsia" w:ascii="宋体" w:hAnsi="宋体" w:cs="仿宋_GB2312"/>
                <w:kern w:val="0"/>
                <w:szCs w:val="21"/>
              </w:rPr>
              <w:t>完成汉王洞工区1公里林区危旧道路改造及安防工程项目，游客中心LED屏采购，森林防火规划，古树名木调查，绿化管护等工程项目</w:t>
            </w:r>
          </w:p>
        </w:tc>
      </w:tr>
      <w:tr>
        <w:tblPrEx>
          <w:tblCellMar>
            <w:top w:w="0" w:type="dxa"/>
            <w:left w:w="0" w:type="dxa"/>
            <w:bottom w:w="0" w:type="dxa"/>
            <w:right w:w="0" w:type="dxa"/>
          </w:tblCellMar>
        </w:tblPrEx>
        <w:trPr>
          <w:trHeight w:val="67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按设计及国家质量标准要求完成工程</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达到优良工程</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达到优良工程</w:t>
            </w:r>
          </w:p>
        </w:tc>
      </w:tr>
      <w:tr>
        <w:tblPrEx>
          <w:tblCellMar>
            <w:top w:w="0" w:type="dxa"/>
            <w:left w:w="0" w:type="dxa"/>
            <w:bottom w:w="0" w:type="dxa"/>
            <w:right w:w="0" w:type="dxa"/>
          </w:tblCellMar>
        </w:tblPrEx>
        <w:trPr>
          <w:trHeight w:val="71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按时完成年底工程建设内容</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Cs w:val="21"/>
              </w:rPr>
            </w:pPr>
            <w:r>
              <w:rPr>
                <w:rFonts w:hint="eastAsia" w:ascii="宋体" w:hAnsi="宋体" w:cs="宋体"/>
                <w:color w:val="000000"/>
                <w:szCs w:val="21"/>
              </w:rPr>
              <w:t>2018年12月完成当年工程建设内容</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Cs w:val="21"/>
              </w:rPr>
            </w:pPr>
            <w:r>
              <w:rPr>
                <w:rFonts w:hint="eastAsia" w:ascii="宋体" w:hAnsi="宋体" w:cs="宋体"/>
                <w:color w:val="000000"/>
                <w:szCs w:val="21"/>
              </w:rPr>
              <w:t>2018年12月完成当年工程建设内容</w:t>
            </w:r>
          </w:p>
        </w:tc>
      </w:tr>
      <w:tr>
        <w:tblPrEx>
          <w:tblCellMar>
            <w:top w:w="0" w:type="dxa"/>
            <w:left w:w="0" w:type="dxa"/>
            <w:bottom w:w="0" w:type="dxa"/>
            <w:right w:w="0" w:type="dxa"/>
          </w:tblCellMar>
        </w:tblPrEx>
        <w:trPr>
          <w:trHeight w:val="104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经济效益</w:t>
            </w:r>
          </w:p>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增加旅游综合收入，带动周边发展和增加就业。</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Cs w:val="21"/>
              </w:rPr>
            </w:pPr>
            <w:r>
              <w:rPr>
                <w:rFonts w:hint="eastAsia" w:ascii="宋体" w:hAnsi="宋体" w:cs="宋体"/>
                <w:color w:val="000000"/>
                <w:szCs w:val="21"/>
              </w:rPr>
              <w:t>改善公园基础设施条件，增加旅游综合收入，带动周边20户农家乐发展，增加就业50人。</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改善公园基础设施条件，增加旅游综合收入，带动周边20户农家乐发展，增加就业50人。</w:t>
            </w:r>
          </w:p>
        </w:tc>
      </w:tr>
      <w:tr>
        <w:tblPrEx>
          <w:tblCellMar>
            <w:top w:w="0" w:type="dxa"/>
            <w:left w:w="0" w:type="dxa"/>
            <w:bottom w:w="0" w:type="dxa"/>
            <w:right w:w="0" w:type="dxa"/>
          </w:tblCellMar>
        </w:tblPrEx>
        <w:trPr>
          <w:trHeight w:val="129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社会效益</w:t>
            </w:r>
          </w:p>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szCs w:val="21"/>
              </w:rPr>
              <w:t>提高天曌山国家森林公园的管理能力水平，改善公园森林生态景观，</w:t>
            </w:r>
            <w:r>
              <w:rPr>
                <w:rFonts w:hint="eastAsia" w:ascii="宋体" w:hAnsi="宋体" w:cs="宋体"/>
                <w:szCs w:val="21"/>
                <w:lang w:val="zh-CN"/>
              </w:rPr>
              <w:t>促进森林旅游活动开展，丰富森林旅游内容，推进我区旅游产业发展和</w:t>
            </w:r>
            <w:r>
              <w:rPr>
                <w:rFonts w:hint="eastAsia" w:ascii="宋体" w:hAnsi="宋体" w:cs="宋体"/>
                <w:kern w:val="0"/>
                <w:szCs w:val="21"/>
                <w:lang w:val="zh-CN"/>
              </w:rPr>
              <w:t>经济建设</w:t>
            </w:r>
            <w:r>
              <w:rPr>
                <w:rFonts w:ascii="宋体" w:hAnsi="宋体" w:cs="宋体"/>
                <w:color w:val="000000"/>
                <w:szCs w:val="21"/>
              </w:rPr>
              <w:t xml:space="preserve"> </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Cs w:val="21"/>
              </w:rPr>
            </w:pPr>
            <w:r>
              <w:rPr>
                <w:rFonts w:hint="eastAsia" w:ascii="宋体" w:hAnsi="宋体"/>
                <w:szCs w:val="21"/>
              </w:rPr>
              <w:t>提高天曌山国家森林公园的管理能力水平，改善公园森林生态景观，</w:t>
            </w:r>
            <w:r>
              <w:rPr>
                <w:rFonts w:hint="eastAsia" w:ascii="宋体" w:hAnsi="宋体" w:cs="宋体"/>
                <w:szCs w:val="21"/>
                <w:lang w:val="zh-CN"/>
              </w:rPr>
              <w:t>促进森林旅游活动开展，丰富森林旅游内容，推进我区旅游产业发展和</w:t>
            </w:r>
            <w:r>
              <w:rPr>
                <w:rFonts w:hint="eastAsia" w:ascii="宋体" w:hAnsi="宋体" w:cs="宋体"/>
                <w:kern w:val="0"/>
                <w:szCs w:val="21"/>
                <w:lang w:val="zh-CN"/>
              </w:rPr>
              <w:t>经济建设</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Cs w:val="21"/>
              </w:rPr>
            </w:pPr>
            <w:r>
              <w:rPr>
                <w:rFonts w:hint="eastAsia" w:ascii="宋体" w:hAnsi="宋体"/>
                <w:szCs w:val="21"/>
              </w:rPr>
              <w:t>提高天曌山国家森林公园的管理能力水平，改善公园森林生态景观，</w:t>
            </w:r>
            <w:r>
              <w:rPr>
                <w:rFonts w:hint="eastAsia" w:ascii="宋体" w:hAnsi="宋体" w:cs="宋体"/>
                <w:szCs w:val="21"/>
                <w:lang w:val="zh-CN"/>
              </w:rPr>
              <w:t>促进森林旅游活动开展，丰富森林旅游内容，推进我区旅游产业发展和</w:t>
            </w:r>
            <w:r>
              <w:rPr>
                <w:rFonts w:hint="eastAsia" w:ascii="宋体" w:hAnsi="宋体" w:cs="宋体"/>
                <w:kern w:val="0"/>
                <w:szCs w:val="21"/>
                <w:lang w:val="zh-CN"/>
              </w:rPr>
              <w:t>经济建设</w:t>
            </w:r>
          </w:p>
        </w:tc>
      </w:tr>
      <w:tr>
        <w:tblPrEx>
          <w:tblCellMar>
            <w:top w:w="0" w:type="dxa"/>
            <w:left w:w="0" w:type="dxa"/>
            <w:bottom w:w="0" w:type="dxa"/>
            <w:right w:w="0" w:type="dxa"/>
          </w:tblCellMar>
        </w:tblPrEx>
        <w:trPr>
          <w:trHeight w:val="129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生态效益</w:t>
            </w:r>
          </w:p>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szCs w:val="21"/>
              </w:rPr>
              <w:t>保护和合理利用森林风景资源和生物多样性、普及生态文化知识、发展生态旅游，使公园森林风景资源得到有效保护和利用</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 w:val="24"/>
              </w:rPr>
            </w:pPr>
            <w:r>
              <w:rPr>
                <w:rFonts w:hint="eastAsia" w:ascii="宋体" w:hAnsi="宋体"/>
                <w:szCs w:val="21"/>
              </w:rPr>
              <w:t>保护和合理利用森林风景资源和生物多样性、普及生态文化知识、发展生态旅游，使公园森林风景资源得到有效保护和利用</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szCs w:val="21"/>
              </w:rPr>
              <w:t>保护和合理利用森林风景资源和生物多样性、普及生态文化知识、发展生态旅游，使公园森林风景资源得到有效保护和利用</w:t>
            </w:r>
          </w:p>
        </w:tc>
      </w:tr>
      <w:tr>
        <w:tblPrEx>
          <w:tblCellMar>
            <w:top w:w="0" w:type="dxa"/>
            <w:left w:w="0" w:type="dxa"/>
            <w:bottom w:w="0" w:type="dxa"/>
            <w:right w:w="0" w:type="dxa"/>
          </w:tblCellMar>
        </w:tblPrEx>
        <w:trPr>
          <w:trHeight w:val="105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Times New Roman" w:hAnsi="Times New Roman"/>
              </w:rPr>
              <w:t>实现以游养林，以林促游的良性循环，达到森林资源的永续利用</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 w:val="24"/>
              </w:rPr>
            </w:pPr>
            <w:r>
              <w:rPr>
                <w:rFonts w:hint="eastAsia" w:ascii="Times New Roman" w:hAnsi="Times New Roman"/>
              </w:rPr>
              <w:t>实现以游养林，以林促游的良性循环，达到森林资源的永续利用</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Times New Roman" w:hAnsi="Times New Roman"/>
              </w:rPr>
              <w:t>实现以游养林，以林促游的良性循环，达到森林资源的永续利用</w:t>
            </w:r>
          </w:p>
        </w:tc>
      </w:tr>
      <w:tr>
        <w:tblPrEx>
          <w:tblCellMar>
            <w:top w:w="0" w:type="dxa"/>
            <w:left w:w="0" w:type="dxa"/>
            <w:bottom w:w="0" w:type="dxa"/>
            <w:right w:w="0" w:type="dxa"/>
          </w:tblCellMar>
        </w:tblPrEx>
        <w:trPr>
          <w:trHeight w:val="105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项目达优良工程，游客满意度达96%。</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项目达优良工程，游客满意度达96%。</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项目达优良工程，游客满意度达96%。</w:t>
            </w:r>
          </w:p>
        </w:tc>
      </w:tr>
      <w:tr>
        <w:tblPrEx>
          <w:tblCellMar>
            <w:top w:w="0" w:type="dxa"/>
            <w:left w:w="0" w:type="dxa"/>
            <w:bottom w:w="0" w:type="dxa"/>
            <w:right w:w="0" w:type="dxa"/>
          </w:tblCellMar>
        </w:tblPrEx>
        <w:trPr>
          <w:trHeight w:val="1034" w:hRule="atLeast"/>
        </w:trPr>
        <w:tc>
          <w:tcPr>
            <w:tcW w:w="10229" w:type="dxa"/>
            <w:gridSpan w:val="6"/>
            <w:shd w:val="clear" w:color="auto" w:fill="auto"/>
            <w:tcMar>
              <w:top w:w="15" w:type="dxa"/>
              <w:left w:w="15" w:type="dxa"/>
              <w:right w:w="15" w:type="dxa"/>
            </w:tcMar>
            <w:vAlign w:val="center"/>
          </w:tcPr>
          <w:p>
            <w:pPr>
              <w:pStyle w:val="23"/>
              <w:widowControl/>
              <w:ind w:left="4173" w:leftChars="1310" w:hanging="1422" w:hangingChars="395"/>
              <w:textAlignment w:val="center"/>
              <w:rPr>
                <w:rFonts w:ascii="黑体" w:hAnsi="宋体" w:eastAsia="黑体" w:cs="宋体"/>
                <w:bCs/>
                <w:color w:val="000000"/>
                <w:kern w:val="0"/>
                <w:sz w:val="36"/>
                <w:szCs w:val="36"/>
              </w:rPr>
            </w:pPr>
          </w:p>
          <w:p>
            <w:pPr>
              <w:pStyle w:val="23"/>
              <w:widowControl/>
              <w:ind w:left="4173" w:leftChars="1310" w:hanging="1422" w:hangingChars="395"/>
              <w:textAlignment w:val="center"/>
              <w:rPr>
                <w:rFonts w:ascii="黑体" w:hAnsi="宋体" w:eastAsia="黑体" w:cs="宋体"/>
                <w:bCs/>
                <w:color w:val="000000"/>
                <w:kern w:val="0"/>
                <w:sz w:val="36"/>
                <w:szCs w:val="36"/>
              </w:rPr>
            </w:pPr>
          </w:p>
          <w:p>
            <w:pPr>
              <w:pStyle w:val="23"/>
              <w:widowControl/>
              <w:ind w:left="4173" w:leftChars="1310" w:hanging="1422" w:hangingChars="395"/>
              <w:textAlignment w:val="center"/>
              <w:rPr>
                <w:rFonts w:ascii="黑体" w:hAnsi="宋体" w:eastAsia="黑体" w:cs="宋体"/>
                <w:bCs/>
                <w:color w:val="000000"/>
                <w:kern w:val="0"/>
                <w:sz w:val="36"/>
                <w:szCs w:val="36"/>
              </w:rPr>
            </w:pPr>
          </w:p>
          <w:p>
            <w:pPr>
              <w:pStyle w:val="23"/>
              <w:widowControl/>
              <w:ind w:left="4173" w:leftChars="1310" w:hanging="1422" w:hangingChars="395"/>
              <w:textAlignment w:val="center"/>
              <w:rPr>
                <w:rFonts w:ascii="黑体" w:hAnsi="宋体" w:eastAsia="黑体" w:cs="宋体"/>
                <w:bCs/>
                <w:color w:val="000000"/>
                <w:kern w:val="0"/>
                <w:sz w:val="36"/>
                <w:szCs w:val="36"/>
              </w:rPr>
            </w:pPr>
          </w:p>
          <w:p>
            <w:pPr>
              <w:pStyle w:val="23"/>
              <w:widowControl/>
              <w:ind w:left="4173" w:leftChars="1310" w:hanging="1422" w:hangingChars="395"/>
              <w:textAlignment w:val="center"/>
              <w:rPr>
                <w:rFonts w:ascii="宋体" w:hAnsi="宋体" w:cs="宋体"/>
                <w:color w:val="000000"/>
                <w:sz w:val="36"/>
                <w:szCs w:val="36"/>
              </w:rPr>
            </w:pPr>
            <w:r>
              <w:rPr>
                <w:rFonts w:hint="eastAsia" w:ascii="黑体" w:hAnsi="宋体" w:eastAsia="黑体" w:cs="宋体"/>
                <w:bCs/>
                <w:color w:val="000000"/>
                <w:kern w:val="0"/>
                <w:sz w:val="36"/>
                <w:szCs w:val="36"/>
              </w:rPr>
              <w:t>项目支出绩效目标完成情况表</w:t>
            </w:r>
            <w:r>
              <w:rPr>
                <w:rFonts w:hint="eastAsia" w:ascii="宋体" w:hAnsi="宋体" w:cs="宋体"/>
                <w:b/>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30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四川天曌山国家森林公园保护利用设施建设项目</w:t>
            </w:r>
          </w:p>
        </w:tc>
      </w:tr>
      <w:tr>
        <w:tblPrEx>
          <w:tblCellMar>
            <w:top w:w="0" w:type="dxa"/>
            <w:left w:w="0" w:type="dxa"/>
            <w:bottom w:w="0" w:type="dxa"/>
            <w:right w:w="0" w:type="dxa"/>
          </w:tblCellMar>
        </w:tblPrEx>
        <w:trPr>
          <w:trHeight w:val="276" w:hRule="atLeast"/>
        </w:trPr>
        <w:tc>
          <w:tcPr>
            <w:tcW w:w="30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144.89万元</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144.89万元</w:t>
            </w:r>
          </w:p>
        </w:tc>
      </w:tr>
      <w:tr>
        <w:tblPrEx>
          <w:tblCellMar>
            <w:top w:w="0" w:type="dxa"/>
            <w:left w:w="0" w:type="dxa"/>
            <w:bottom w:w="0" w:type="dxa"/>
            <w:right w:w="0" w:type="dxa"/>
          </w:tblCellMar>
        </w:tblPrEx>
        <w:trPr>
          <w:trHeight w:val="27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0"/>
                <w:szCs w:val="20"/>
              </w:rPr>
            </w:pP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144.89万元</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144.89万元</w:t>
            </w:r>
          </w:p>
        </w:tc>
      </w:tr>
      <w:tr>
        <w:tblPrEx>
          <w:tblCellMar>
            <w:top w:w="0" w:type="dxa"/>
            <w:left w:w="0" w:type="dxa"/>
            <w:bottom w:w="0" w:type="dxa"/>
            <w:right w:w="0" w:type="dxa"/>
          </w:tblCellMar>
        </w:tblPrEx>
        <w:trPr>
          <w:trHeight w:val="1511"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0"/>
                <w:szCs w:val="20"/>
              </w:rPr>
            </w:pP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0"/>
                <w:szCs w:val="20"/>
              </w:rPr>
            </w:pPr>
          </w:p>
        </w:tc>
        <w:tc>
          <w:tcPr>
            <w:tcW w:w="47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420" w:firstLineChars="200"/>
              <w:jc w:val="left"/>
              <w:textAlignment w:val="center"/>
              <w:rPr>
                <w:rFonts w:ascii="宋体" w:hAnsi="宋体" w:cs="宋体"/>
                <w:color w:val="000000"/>
                <w:szCs w:val="21"/>
              </w:rPr>
            </w:pPr>
            <w:r>
              <w:rPr>
                <w:rFonts w:hint="eastAsia" w:ascii="宋体" w:hAnsi="宋体" w:cs="仿宋_GB2312"/>
                <w:kern w:val="0"/>
                <w:szCs w:val="21"/>
              </w:rPr>
              <w:t>完成步游道6.2公里，完成森林体验和森林养生节点建设4处；森林防火物资、垃圾桶、移动厕所等完成采购并交付使用；修建完成停车场5处；完成休息廊亭20处；栏杆安装完成2700米</w:t>
            </w:r>
          </w:p>
        </w:tc>
        <w:tc>
          <w:tcPr>
            <w:tcW w:w="4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ind w:firstLine="420" w:firstLineChars="200"/>
              <w:jc w:val="left"/>
              <w:textAlignment w:val="center"/>
              <w:rPr>
                <w:rFonts w:ascii="宋体" w:hAnsi="宋体" w:cs="宋体"/>
                <w:color w:val="000000"/>
                <w:szCs w:val="21"/>
              </w:rPr>
            </w:pPr>
            <w:r>
              <w:rPr>
                <w:rFonts w:hint="eastAsia" w:ascii="宋体" w:hAnsi="宋体" w:cs="仿宋_GB2312"/>
                <w:kern w:val="0"/>
                <w:szCs w:val="21"/>
              </w:rPr>
              <w:t>完成步游道6.2公里，完成森林体验和森林养生节点建设4处；森林防火物资、垃圾桶、移动厕所等完成采购并交付使用；修建完成停车场5处；完成休息廊亭20处；栏杆安装完成2700米</w:t>
            </w:r>
          </w:p>
        </w:tc>
      </w:tr>
      <w:tr>
        <w:tblPrEx>
          <w:tblCellMar>
            <w:top w:w="0" w:type="dxa"/>
            <w:left w:w="0" w:type="dxa"/>
            <w:bottom w:w="0" w:type="dxa"/>
            <w:right w:w="0" w:type="dxa"/>
          </w:tblCellMar>
        </w:tblPrEx>
        <w:trPr>
          <w:trHeight w:val="769"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实际完成指标值(包含数字及文字描述)</w:t>
            </w:r>
          </w:p>
        </w:tc>
      </w:tr>
      <w:tr>
        <w:tblPrEx>
          <w:tblCellMar>
            <w:top w:w="0" w:type="dxa"/>
            <w:left w:w="0" w:type="dxa"/>
            <w:bottom w:w="0" w:type="dxa"/>
            <w:right w:w="0" w:type="dxa"/>
          </w:tblCellMar>
        </w:tblPrEx>
        <w:trPr>
          <w:trHeight w:val="280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完成项目预期数量指标</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Cs w:val="21"/>
              </w:rPr>
            </w:pPr>
            <w:r>
              <w:rPr>
                <w:rFonts w:hint="eastAsia" w:ascii="宋体" w:hAnsi="宋体" w:cs="仿宋_GB2312"/>
                <w:kern w:val="0"/>
                <w:szCs w:val="21"/>
              </w:rPr>
              <w:t>完成步游道6.2公里，完成森林体验和森林养生节点建设4处；森林防火物资、垃圾桶、移动厕所等完成采购并交付使用；修建完成停车场5处；完成休息廊亭20处；栏杆安装完成2700米</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Cs w:val="21"/>
              </w:rPr>
            </w:pPr>
            <w:r>
              <w:rPr>
                <w:rFonts w:hint="eastAsia" w:ascii="宋体" w:hAnsi="宋体" w:cs="仿宋_GB2312"/>
                <w:kern w:val="0"/>
                <w:szCs w:val="21"/>
              </w:rPr>
              <w:t>完成步游道6.2公里，完成森林体验和森林养生节点建设4处；森林防火物资、垃圾桶、移动厕所等完成采购并交付使用；修建完成停车场5处；完成休息廊亭20处；栏杆安装完成2700米</w:t>
            </w:r>
          </w:p>
        </w:tc>
      </w:tr>
      <w:tr>
        <w:tblPrEx>
          <w:tblCellMar>
            <w:top w:w="0" w:type="dxa"/>
            <w:left w:w="0" w:type="dxa"/>
            <w:bottom w:w="0" w:type="dxa"/>
            <w:right w:w="0" w:type="dxa"/>
          </w:tblCellMar>
        </w:tblPrEx>
        <w:trPr>
          <w:trHeight w:val="67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按设计及国家质量标准要求完成工程</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达到优良工程</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达到优良工程</w:t>
            </w:r>
          </w:p>
        </w:tc>
      </w:tr>
      <w:tr>
        <w:tblPrEx>
          <w:tblCellMar>
            <w:top w:w="0" w:type="dxa"/>
            <w:left w:w="0" w:type="dxa"/>
            <w:bottom w:w="0" w:type="dxa"/>
            <w:right w:w="0" w:type="dxa"/>
          </w:tblCellMar>
        </w:tblPrEx>
        <w:trPr>
          <w:trHeight w:val="71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按时完成年底工程建设内容</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Cs w:val="21"/>
              </w:rPr>
            </w:pPr>
            <w:r>
              <w:rPr>
                <w:rFonts w:hint="eastAsia" w:ascii="宋体" w:hAnsi="宋体" w:cs="宋体"/>
                <w:color w:val="000000"/>
                <w:szCs w:val="21"/>
              </w:rPr>
              <w:t>2018年12月完成当年工程建设内容</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Cs w:val="21"/>
              </w:rPr>
            </w:pPr>
            <w:r>
              <w:rPr>
                <w:rFonts w:hint="eastAsia" w:ascii="宋体" w:hAnsi="宋体" w:cs="宋体"/>
                <w:color w:val="000000"/>
                <w:szCs w:val="21"/>
              </w:rPr>
              <w:t>2018年12月完成当年工程建设内容</w:t>
            </w:r>
          </w:p>
        </w:tc>
      </w:tr>
      <w:tr>
        <w:tblPrEx>
          <w:tblCellMar>
            <w:top w:w="0" w:type="dxa"/>
            <w:left w:w="0" w:type="dxa"/>
            <w:bottom w:w="0" w:type="dxa"/>
            <w:right w:w="0" w:type="dxa"/>
          </w:tblCellMar>
        </w:tblPrEx>
        <w:trPr>
          <w:trHeight w:val="104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经济效益</w:t>
            </w:r>
          </w:p>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带动周边发展和增加就业。</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Cs w:val="21"/>
              </w:rPr>
            </w:pPr>
            <w:r>
              <w:rPr>
                <w:rFonts w:hint="eastAsia" w:ascii="宋体" w:hAnsi="宋体" w:cs="宋体"/>
                <w:color w:val="000000"/>
                <w:szCs w:val="21"/>
              </w:rPr>
              <w:t>改善公园基础设施条件，增加旅游综合收入，带动周边20户农家乐发展，增加就业50人。</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改善公园基础设施条件，增加旅游综合收入，带动周边20户农家乐发展，增加就业50人。</w:t>
            </w:r>
          </w:p>
        </w:tc>
      </w:tr>
      <w:tr>
        <w:tblPrEx>
          <w:tblCellMar>
            <w:top w:w="0" w:type="dxa"/>
            <w:left w:w="0" w:type="dxa"/>
            <w:bottom w:w="0" w:type="dxa"/>
            <w:right w:w="0" w:type="dxa"/>
          </w:tblCellMar>
        </w:tblPrEx>
        <w:trPr>
          <w:trHeight w:val="129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社会效益</w:t>
            </w:r>
          </w:p>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改善基础设施条件，</w:t>
            </w:r>
            <w:r>
              <w:rPr>
                <w:rFonts w:hint="eastAsia"/>
                <w:szCs w:val="21"/>
              </w:rPr>
              <w:t>提高旅游区的吸引能力和客源市场竞争力，有利于规划区内文物保护和文化的传承，</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Cs w:val="21"/>
              </w:rPr>
            </w:pPr>
            <w:r>
              <w:rPr>
                <w:rFonts w:hint="eastAsia" w:ascii="宋体" w:hAnsi="宋体" w:cs="宋体"/>
                <w:color w:val="000000"/>
                <w:szCs w:val="21"/>
              </w:rPr>
              <w:t>改善公园内外交通条件，</w:t>
            </w:r>
            <w:r>
              <w:rPr>
                <w:rFonts w:hint="eastAsia"/>
                <w:szCs w:val="21"/>
              </w:rPr>
              <w:t>提高旅游区的吸引能力和客源市场竞争力，推动相关行业的发展，有利于规划区内文物保护和文化的传承</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Cs w:val="21"/>
              </w:rPr>
            </w:pPr>
            <w:r>
              <w:rPr>
                <w:rFonts w:hint="eastAsia" w:ascii="宋体" w:hAnsi="宋体" w:cs="宋体"/>
                <w:color w:val="000000"/>
                <w:szCs w:val="21"/>
              </w:rPr>
              <w:t>改善公园内外交通条件，</w:t>
            </w:r>
            <w:r>
              <w:rPr>
                <w:rFonts w:hint="eastAsia"/>
                <w:szCs w:val="21"/>
              </w:rPr>
              <w:t>提高旅游区的吸引能力和客源市场竞争力，推动相关行业的发展，有利于规划区内文物保护和文化的传承</w:t>
            </w:r>
          </w:p>
        </w:tc>
      </w:tr>
      <w:tr>
        <w:tblPrEx>
          <w:tblCellMar>
            <w:top w:w="0" w:type="dxa"/>
            <w:left w:w="0" w:type="dxa"/>
            <w:bottom w:w="0" w:type="dxa"/>
            <w:right w:w="0" w:type="dxa"/>
          </w:tblCellMar>
        </w:tblPrEx>
        <w:trPr>
          <w:trHeight w:val="129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生态效益</w:t>
            </w:r>
          </w:p>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Times New Roman" w:hAnsi="Times New Roman"/>
              </w:rPr>
              <w:t>提高森林保持水土、涵养水源等功能，促进生态系统良性循环。</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 w:val="24"/>
              </w:rPr>
            </w:pPr>
            <w:r>
              <w:rPr>
                <w:rFonts w:hint="eastAsia" w:ascii="Times New Roman" w:hAnsi="Times New Roman"/>
              </w:rPr>
              <w:t>提高森林保持水土、涵养水源等功能，促进生态系统良性循环。</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Times New Roman" w:hAnsi="Times New Roman"/>
              </w:rPr>
              <w:t>提高森林保持水土、涵养水源等功能，促进生态系统良性循环。</w:t>
            </w:r>
          </w:p>
        </w:tc>
      </w:tr>
      <w:tr>
        <w:tblPrEx>
          <w:tblCellMar>
            <w:top w:w="0" w:type="dxa"/>
            <w:left w:w="0" w:type="dxa"/>
            <w:bottom w:w="0" w:type="dxa"/>
            <w:right w:w="0" w:type="dxa"/>
          </w:tblCellMar>
        </w:tblPrEx>
        <w:trPr>
          <w:trHeight w:val="105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Times New Roman" w:hAnsi="Times New Roman"/>
              </w:rPr>
              <w:t>实现以游养林，以林促游的良性循环，达到森林资源的永续利用</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cs="宋体"/>
                <w:color w:val="000000"/>
                <w:sz w:val="24"/>
              </w:rPr>
            </w:pPr>
            <w:r>
              <w:rPr>
                <w:rFonts w:hint="eastAsia" w:ascii="Times New Roman" w:hAnsi="Times New Roman"/>
              </w:rPr>
              <w:t>实现以游养林，以林促游的良性循环，达到森林资源的永续利用</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Times New Roman" w:hAnsi="Times New Roman"/>
              </w:rPr>
              <w:t>实现以游养林，以林促游的良性循环，达到森林资源的永续利用</w:t>
            </w:r>
          </w:p>
        </w:tc>
      </w:tr>
      <w:tr>
        <w:tblPrEx>
          <w:tblCellMar>
            <w:top w:w="0" w:type="dxa"/>
            <w:left w:w="0" w:type="dxa"/>
            <w:bottom w:w="0" w:type="dxa"/>
            <w:right w:w="0" w:type="dxa"/>
          </w:tblCellMar>
        </w:tblPrEx>
        <w:trPr>
          <w:trHeight w:val="105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sz w:val="20"/>
                <w:szCs w:val="20"/>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项目达优良工程，游客满意度达96%。</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项目达优良工程，游客满意度达96%。</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项目达优良工程，游客满意度达96%。</w:t>
            </w:r>
          </w:p>
        </w:tc>
      </w:tr>
    </w:tbl>
    <w:p>
      <w:pPr>
        <w:tabs>
          <w:tab w:val="left" w:pos="312"/>
        </w:tabs>
        <w:spacing w:line="580" w:lineRule="exact"/>
        <w:ind w:left="640"/>
        <w:rPr>
          <w:rFonts w:ascii="仿宋_GB2312" w:hAnsi="仿宋_GB2312" w:eastAsia="仿宋_GB2312" w:cs="仿宋_GB2312"/>
          <w:color w:val="FF0000"/>
          <w:sz w:val="32"/>
          <w:szCs w:val="32"/>
        </w:rPr>
      </w:pPr>
    </w:p>
    <w:p>
      <w:pPr>
        <w:numPr>
          <w:ilvl w:val="0"/>
          <w:numId w:val="4"/>
        </w:numPr>
        <w:spacing w:line="580" w:lineRule="exact"/>
        <w:ind w:firstLine="642" w:firstLineChars="200"/>
        <w:rPr>
          <w:rFonts w:ascii="仿宋" w:hAnsi="仿宋" w:eastAsia="仿宋" w:cs="仿宋_GB2312"/>
          <w:color w:val="000000" w:themeColor="text1"/>
          <w:sz w:val="32"/>
          <w:szCs w:val="32"/>
        </w:rPr>
      </w:pPr>
      <w:r>
        <w:rPr>
          <w:rFonts w:hint="eastAsia" w:ascii="仿宋" w:hAnsi="仿宋" w:eastAsia="仿宋" w:cs="楷体_GB2312"/>
          <w:b/>
          <w:color w:val="000000" w:themeColor="text1"/>
          <w:sz w:val="32"/>
          <w:szCs w:val="32"/>
        </w:rPr>
        <w:t>部门开展绩效评价结果。</w:t>
      </w:r>
    </w:p>
    <w:p>
      <w:pPr>
        <w:spacing w:line="58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本部门按要求对2018年部门整体支出绩效评价情况开展自评，《部门2018年部门整体支出绩效评价报告》见附件。</w:t>
      </w:r>
    </w:p>
    <w:p>
      <w:pPr>
        <w:spacing w:line="580" w:lineRule="exact"/>
        <w:ind w:firstLine="640" w:firstLineChars="200"/>
        <w:rPr>
          <w:rFonts w:ascii="仿宋" w:hAnsi="仿宋" w:eastAsia="仿宋" w:cs="方正小标宋简体"/>
          <w:color w:val="000000" w:themeColor="text1"/>
          <w:sz w:val="32"/>
          <w:szCs w:val="32"/>
        </w:rPr>
      </w:pPr>
      <w:r>
        <w:rPr>
          <w:rFonts w:hint="eastAsia" w:ascii="仿宋" w:hAnsi="仿宋" w:eastAsia="仿宋" w:cs="仿宋_GB2312"/>
          <w:color w:val="000000" w:themeColor="text1"/>
          <w:sz w:val="32"/>
          <w:szCs w:val="32"/>
        </w:rPr>
        <w:t>本部门自行组织对</w:t>
      </w:r>
      <w:r>
        <w:rPr>
          <w:rFonts w:hint="eastAsia" w:ascii="仿宋" w:hAnsi="仿宋" w:eastAsia="仿宋" w:cs="宋体"/>
          <w:color w:val="000000" w:themeColor="text1"/>
          <w:sz w:val="32"/>
          <w:szCs w:val="32"/>
        </w:rPr>
        <w:t>保护利用设施建设项目</w:t>
      </w:r>
      <w:r>
        <w:rPr>
          <w:rFonts w:hint="eastAsia" w:ascii="仿宋" w:hAnsi="仿宋" w:eastAsia="仿宋" w:cs="仿宋_GB2312"/>
          <w:color w:val="000000" w:themeColor="text1"/>
          <w:sz w:val="32"/>
          <w:szCs w:val="32"/>
        </w:rPr>
        <w:t>、</w:t>
      </w:r>
      <w:r>
        <w:rPr>
          <w:rFonts w:hint="eastAsia" w:ascii="仿宋" w:hAnsi="仿宋" w:eastAsia="仿宋" w:cs="宋体"/>
          <w:color w:val="000000" w:themeColor="text1"/>
          <w:sz w:val="32"/>
          <w:szCs w:val="32"/>
        </w:rPr>
        <w:t>国家重点生态功能区转移支付资金</w:t>
      </w:r>
      <w:r>
        <w:rPr>
          <w:rFonts w:hint="eastAsia" w:ascii="仿宋" w:hAnsi="仿宋" w:eastAsia="仿宋" w:cs="仿宋_GB2312"/>
          <w:color w:val="000000" w:themeColor="text1"/>
          <w:sz w:val="32"/>
          <w:szCs w:val="32"/>
        </w:rPr>
        <w:t>项目开展了绩效评价，《</w:t>
      </w:r>
      <w:r>
        <w:rPr>
          <w:rFonts w:hint="eastAsia" w:ascii="仿宋" w:hAnsi="仿宋" w:eastAsia="仿宋" w:cs="宋体"/>
          <w:color w:val="000000" w:themeColor="text1"/>
          <w:sz w:val="32"/>
          <w:szCs w:val="32"/>
        </w:rPr>
        <w:t>保护利用设施建设项目</w:t>
      </w:r>
      <w:r>
        <w:rPr>
          <w:rFonts w:hint="eastAsia" w:ascii="仿宋" w:hAnsi="仿宋" w:eastAsia="仿宋" w:cs="仿宋_GB2312"/>
          <w:color w:val="000000" w:themeColor="text1"/>
          <w:sz w:val="32"/>
          <w:szCs w:val="32"/>
        </w:rPr>
        <w:t>、</w:t>
      </w:r>
      <w:r>
        <w:rPr>
          <w:rFonts w:hint="eastAsia" w:ascii="仿宋" w:hAnsi="仿宋" w:eastAsia="仿宋" w:cs="宋体"/>
          <w:color w:val="000000" w:themeColor="text1"/>
          <w:sz w:val="32"/>
          <w:szCs w:val="32"/>
        </w:rPr>
        <w:t>国家重点生态功能区转移支付资金项目</w:t>
      </w:r>
      <w:r>
        <w:rPr>
          <w:rFonts w:hint="eastAsia" w:ascii="仿宋" w:hAnsi="仿宋" w:eastAsia="仿宋" w:cs="仿宋_GB2312"/>
          <w:color w:val="000000" w:themeColor="text1"/>
          <w:sz w:val="32"/>
          <w:szCs w:val="32"/>
        </w:rPr>
        <w:t>2018年绩效评价报告》见附件。（非涉密部门均需公开部门整体支出评价报告，部门自行组织的绩效评价情况根据部门实际公开）</w:t>
      </w:r>
    </w:p>
    <w:p>
      <w:pPr>
        <w:spacing w:line="600" w:lineRule="exact"/>
        <w:ind w:firstLine="800" w:firstLineChars="250"/>
        <w:outlineLvl w:val="1"/>
        <w:rPr>
          <w:rFonts w:ascii="黑体" w:hAnsi="宋体" w:eastAsia="黑体" w:cs="黑体"/>
          <w:sz w:val="32"/>
          <w:szCs w:val="32"/>
        </w:rPr>
      </w:pPr>
      <w:bookmarkStart w:id="50" w:name="_Toc15396612"/>
      <w:bookmarkStart w:id="51" w:name="_Toc15377221"/>
      <w:r>
        <w:rPr>
          <w:rFonts w:hint="eastAsia" w:ascii="黑体" w:hAnsi="宋体" w:eastAsia="黑体" w:cs="黑体"/>
          <w:color w:val="000000"/>
          <w:sz w:val="32"/>
          <w:szCs w:val="32"/>
        </w:rPr>
        <w:t>十</w:t>
      </w:r>
      <w:r>
        <w:rPr>
          <w:rStyle w:val="19"/>
          <w:rFonts w:hint="eastAsia" w:ascii="黑体" w:hAnsi="宋体" w:eastAsia="黑体" w:cs="黑体"/>
        </w:rPr>
        <w:t>一、</w:t>
      </w:r>
      <w:r>
        <w:rPr>
          <w:rStyle w:val="19"/>
          <w:rFonts w:hint="eastAsia" w:ascii="黑体" w:hAnsi="宋体" w:eastAsia="黑体" w:cs="黑体"/>
          <w:b w:val="0"/>
          <w:bCs/>
        </w:rPr>
        <w:t>其他重要事项的情况说明</w:t>
      </w:r>
      <w:bookmarkEnd w:id="50"/>
      <w:bookmarkEnd w:id="51"/>
    </w:p>
    <w:p>
      <w:pPr>
        <w:spacing w:line="600" w:lineRule="exact"/>
        <w:ind w:firstLine="642" w:firstLineChars="200"/>
        <w:outlineLvl w:val="2"/>
        <w:rPr>
          <w:rFonts w:ascii="仿宋" w:hAnsi="仿宋" w:eastAsia="仿宋" w:cs="仿宋"/>
          <w:color w:val="000000"/>
          <w:sz w:val="32"/>
          <w:szCs w:val="32"/>
        </w:rPr>
      </w:pPr>
      <w:bookmarkStart w:id="52" w:name="_Toc15377222"/>
      <w:r>
        <w:rPr>
          <w:rFonts w:hint="eastAsia" w:ascii="仿宋" w:hAnsi="仿宋" w:eastAsia="仿宋" w:cs="仿宋"/>
          <w:b/>
          <w:color w:val="000000"/>
          <w:sz w:val="32"/>
          <w:szCs w:val="32"/>
        </w:rPr>
        <w:t>（一）机关运行经费支出情况</w:t>
      </w:r>
      <w:bookmarkEnd w:id="52"/>
    </w:p>
    <w:p>
      <w:pPr>
        <w:spacing w:line="60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2018年，</w:t>
      </w:r>
      <w:r>
        <w:rPr>
          <w:rFonts w:hint="eastAsia" w:ascii="仿宋" w:hAnsi="仿宋" w:eastAsia="仿宋"/>
          <w:color w:val="000000"/>
          <w:sz w:val="30"/>
          <w:szCs w:val="30"/>
        </w:rPr>
        <w:t>四川天曌山国家森林公园管理局</w:t>
      </w:r>
      <w:r>
        <w:rPr>
          <w:rFonts w:hint="eastAsia" w:ascii="仿宋" w:hAnsi="仿宋" w:eastAsia="仿宋" w:cs="仿宋_GB2312"/>
          <w:color w:val="000000"/>
          <w:sz w:val="30"/>
          <w:szCs w:val="30"/>
        </w:rPr>
        <w:t>机关运行经费支出11.93万元，比2017年减少0.81万元，下降6.36%。主要原因是经费压减。</w:t>
      </w:r>
    </w:p>
    <w:p>
      <w:pPr>
        <w:spacing w:line="600" w:lineRule="exact"/>
        <w:ind w:firstLine="640"/>
        <w:rPr>
          <w:rFonts w:ascii="仿宋" w:hAnsi="仿宋" w:eastAsia="仿宋" w:cs="仿宋"/>
          <w:b/>
          <w:color w:val="000000"/>
          <w:sz w:val="32"/>
          <w:szCs w:val="32"/>
        </w:rPr>
      </w:pPr>
      <w:r>
        <w:rPr>
          <w:rFonts w:hint="eastAsia" w:ascii="仿宋" w:hAnsi="仿宋" w:eastAsia="仿宋" w:cs="仿宋"/>
          <w:b/>
          <w:color w:val="000000"/>
          <w:sz w:val="32"/>
          <w:szCs w:val="32"/>
        </w:rPr>
        <w:t>（数据来源财决CS05表）</w:t>
      </w:r>
    </w:p>
    <w:p>
      <w:pPr>
        <w:autoSpaceDE w:val="0"/>
        <w:autoSpaceDN w:val="0"/>
        <w:adjustRightInd w:val="0"/>
        <w:spacing w:line="600" w:lineRule="exact"/>
        <w:ind w:firstLine="642" w:firstLineChars="200"/>
        <w:jc w:val="left"/>
        <w:outlineLvl w:val="2"/>
        <w:rPr>
          <w:rFonts w:ascii="仿宋" w:hAnsi="仿宋" w:eastAsia="仿宋" w:cs="仿宋"/>
          <w:b/>
          <w:color w:val="000000"/>
          <w:sz w:val="32"/>
          <w:szCs w:val="32"/>
        </w:rPr>
      </w:pPr>
      <w:bookmarkStart w:id="53" w:name="_Toc15377223"/>
      <w:r>
        <w:rPr>
          <w:rFonts w:hint="eastAsia" w:ascii="仿宋" w:hAnsi="仿宋" w:eastAsia="仿宋" w:cs="仿宋"/>
          <w:b/>
          <w:color w:val="000000"/>
          <w:sz w:val="32"/>
          <w:szCs w:val="32"/>
        </w:rPr>
        <w:t>（二）政府采购支出情况</w:t>
      </w:r>
      <w:bookmarkEnd w:id="53"/>
    </w:p>
    <w:p>
      <w:pPr>
        <w:spacing w:line="600" w:lineRule="exact"/>
        <w:ind w:firstLine="600" w:firstLineChars="200"/>
        <w:rPr>
          <w:rFonts w:ascii="仿宋" w:hAnsi="仿宋" w:eastAsia="仿宋" w:cs="仿宋_GB2312"/>
          <w:color w:val="000000" w:themeColor="text1"/>
          <w:sz w:val="30"/>
          <w:szCs w:val="30"/>
        </w:rPr>
      </w:pPr>
      <w:r>
        <w:rPr>
          <w:rFonts w:hint="eastAsia" w:ascii="仿宋" w:hAnsi="仿宋" w:eastAsia="仿宋" w:cs="仿宋_GB2312"/>
          <w:color w:val="000000" w:themeColor="text1"/>
          <w:sz w:val="30"/>
          <w:szCs w:val="30"/>
        </w:rPr>
        <w:t>2018年，</w:t>
      </w:r>
      <w:r>
        <w:rPr>
          <w:rFonts w:hint="eastAsia" w:ascii="仿宋" w:hAnsi="仿宋" w:eastAsia="仿宋"/>
          <w:color w:val="000000" w:themeColor="text1"/>
          <w:sz w:val="30"/>
          <w:szCs w:val="30"/>
        </w:rPr>
        <w:t>四川天曌山国家森林公园管理局</w:t>
      </w:r>
      <w:r>
        <w:rPr>
          <w:rFonts w:hint="eastAsia" w:ascii="仿宋" w:hAnsi="仿宋" w:eastAsia="仿宋" w:cs="仿宋_GB2312"/>
          <w:color w:val="000000" w:themeColor="text1"/>
          <w:sz w:val="30"/>
          <w:szCs w:val="30"/>
        </w:rPr>
        <w:t>政府采购支出总额289.74万元，其中：政府采购货物支出42.36万元，主要用展示天曌山景区LED屏的购买；政府采购工程支出237.93万元，主要用于保护利用设施和生态功能区转移支付项目施工费；政府采购服务支出9.45万元，主要用于森林防火规划的制作费。授予中小企业合同金额79.41万元，占政府采购支出总额的27.41%，其中：授予小微企业合同金额18.9万元，占政府采购支出总额的6.52%。</w:t>
      </w:r>
    </w:p>
    <w:p>
      <w:pPr>
        <w:autoSpaceDE w:val="0"/>
        <w:autoSpaceDN w:val="0"/>
        <w:adjustRightInd w:val="0"/>
        <w:spacing w:line="600" w:lineRule="exact"/>
        <w:ind w:firstLine="642" w:firstLineChars="200"/>
        <w:jc w:val="left"/>
        <w:outlineLvl w:val="2"/>
        <w:rPr>
          <w:rFonts w:ascii="仿宋" w:hAnsi="仿宋" w:eastAsia="仿宋" w:cs="仿宋"/>
          <w:b/>
          <w:color w:val="000000"/>
          <w:sz w:val="32"/>
          <w:szCs w:val="32"/>
        </w:rPr>
      </w:pPr>
      <w:r>
        <w:rPr>
          <w:rFonts w:hint="eastAsia" w:ascii="仿宋" w:hAnsi="仿宋" w:eastAsia="仿宋" w:cs="仿宋"/>
          <w:b/>
          <w:color w:val="000000"/>
          <w:sz w:val="32"/>
          <w:szCs w:val="32"/>
        </w:rPr>
        <w:t>（数据来源财决CS06表）</w:t>
      </w:r>
    </w:p>
    <w:p>
      <w:pPr>
        <w:autoSpaceDE w:val="0"/>
        <w:autoSpaceDN w:val="0"/>
        <w:adjustRightInd w:val="0"/>
        <w:spacing w:line="600" w:lineRule="exact"/>
        <w:ind w:firstLine="642" w:firstLineChars="200"/>
        <w:jc w:val="left"/>
        <w:outlineLvl w:val="2"/>
        <w:rPr>
          <w:rFonts w:ascii="仿宋" w:hAnsi="仿宋" w:eastAsia="仿宋" w:cs="仿宋"/>
          <w:b/>
          <w:color w:val="000000"/>
          <w:sz w:val="32"/>
          <w:szCs w:val="32"/>
        </w:rPr>
      </w:pPr>
      <w:bookmarkStart w:id="54" w:name="_Toc15377224"/>
      <w:r>
        <w:rPr>
          <w:rFonts w:hint="eastAsia" w:ascii="仿宋" w:hAnsi="仿宋" w:eastAsia="仿宋" w:cs="仿宋"/>
          <w:b/>
          <w:color w:val="000000"/>
          <w:sz w:val="32"/>
          <w:szCs w:val="32"/>
        </w:rPr>
        <w:t>（三）国有资产占有使用情况</w:t>
      </w:r>
      <w:bookmarkEnd w:id="54"/>
    </w:p>
    <w:p>
      <w:pPr>
        <w:autoSpaceDE w:val="0"/>
        <w:autoSpaceDN w:val="0"/>
        <w:adjustRightInd w:val="0"/>
        <w:spacing w:line="600" w:lineRule="exact"/>
        <w:ind w:firstLine="600" w:firstLineChars="200"/>
        <w:jc w:val="left"/>
        <w:rPr>
          <w:rFonts w:ascii="仿宋" w:hAnsi="仿宋" w:eastAsia="仿宋" w:cs="仿宋_GB2312"/>
          <w:color w:val="000000"/>
          <w:sz w:val="30"/>
          <w:szCs w:val="30"/>
        </w:rPr>
      </w:pPr>
      <w:r>
        <w:rPr>
          <w:rFonts w:hint="eastAsia" w:ascii="仿宋" w:hAnsi="仿宋" w:eastAsia="仿宋" w:cs="仿宋_GB2312"/>
          <w:color w:val="000000"/>
          <w:sz w:val="30"/>
          <w:szCs w:val="30"/>
        </w:rPr>
        <w:t>截至2018年12月31日，我单位共有车辆辆，其中：部级领导干部用车0辆、一般公务用车0辆、一般执法执勤用车0辆、特种专业技术用车0辆、其他用车1辆，其他用车主要是用于景区招商引资、宣传推广用。单价50万元以上通用设备0台（套），单价100万元以上专用设备0台（套）。</w:t>
      </w:r>
    </w:p>
    <w:p>
      <w:pPr>
        <w:autoSpaceDE w:val="0"/>
        <w:autoSpaceDN w:val="0"/>
        <w:adjustRightInd w:val="0"/>
        <w:spacing w:line="600" w:lineRule="exact"/>
        <w:ind w:firstLine="602" w:firstLineChars="200"/>
        <w:jc w:val="left"/>
        <w:outlineLvl w:val="2"/>
        <w:rPr>
          <w:rFonts w:ascii="仿宋" w:hAnsi="仿宋" w:eastAsia="仿宋" w:cs="仿宋"/>
          <w:b/>
          <w:color w:val="000000"/>
          <w:sz w:val="30"/>
          <w:szCs w:val="30"/>
        </w:rPr>
      </w:pPr>
      <w:r>
        <w:rPr>
          <w:rFonts w:hint="eastAsia" w:ascii="仿宋" w:hAnsi="仿宋" w:eastAsia="仿宋" w:cs="仿宋"/>
          <w:b/>
          <w:color w:val="000000"/>
          <w:sz w:val="30"/>
          <w:szCs w:val="30"/>
        </w:rPr>
        <w:t>（数据来源财决CS05表，按部门决算报表填报数据罗列车辆情况。）</w:t>
      </w:r>
    </w:p>
    <w:p>
      <w:pPr>
        <w:numPr>
          <w:ilvl w:val="0"/>
          <w:numId w:val="6"/>
        </w:numPr>
        <w:spacing w:line="600" w:lineRule="exact"/>
        <w:ind w:firstLine="662" w:firstLineChars="150"/>
        <w:jc w:val="center"/>
        <w:outlineLvl w:val="0"/>
        <w:rPr>
          <w:rFonts w:ascii="黑体" w:hAnsi="宋体" w:eastAsia="黑体" w:cs="黑体"/>
          <w:bCs/>
          <w:sz w:val="44"/>
          <w:szCs w:val="44"/>
        </w:rPr>
      </w:pPr>
      <w:bookmarkStart w:id="55" w:name="_Toc15377225"/>
      <w:bookmarkStart w:id="56" w:name="_Toc15396613"/>
      <w:r>
        <w:rPr>
          <w:rFonts w:hint="eastAsia" w:ascii="黑体" w:hAnsi="宋体" w:eastAsia="黑体" w:cs="黑体"/>
          <w:b/>
          <w:color w:val="000000"/>
          <w:sz w:val="44"/>
          <w:szCs w:val="44"/>
        </w:rPr>
        <w:t>名</w:t>
      </w:r>
      <w:r>
        <w:rPr>
          <w:rStyle w:val="20"/>
          <w:rFonts w:hint="eastAsia" w:ascii="黑体" w:hAnsi="宋体" w:eastAsia="黑体" w:cs="黑体"/>
          <w:b w:val="0"/>
          <w:bCs/>
        </w:rPr>
        <w:t>词解释</w:t>
      </w:r>
      <w:bookmarkEnd w:id="55"/>
      <w:bookmarkEnd w:id="56"/>
    </w:p>
    <w:p>
      <w:pPr>
        <w:spacing w:line="600" w:lineRule="exact"/>
        <w:jc w:val="left"/>
        <w:rPr>
          <w:rFonts w:ascii="宋体" w:hAnsi="Times New Roman" w:eastAsia="宋体" w:cs="宋体"/>
          <w:b/>
          <w:color w:val="000000"/>
          <w:sz w:val="44"/>
          <w:szCs w:val="44"/>
        </w:rPr>
      </w:pPr>
    </w:p>
    <w:p>
      <w:pPr>
        <w:pStyle w:val="28"/>
        <w:widowControl/>
        <w:spacing w:line="560" w:lineRule="exact"/>
        <w:ind w:firstLine="600" w:firstLineChars="200"/>
        <w:rPr>
          <w:rFonts w:hint="default" w:hAnsi="仿宋" w:cs="仿宋_GB2312"/>
          <w:sz w:val="30"/>
          <w:szCs w:val="30"/>
        </w:rPr>
      </w:pPr>
      <w:r>
        <w:rPr>
          <w:rFonts w:hAnsi="仿宋" w:cs="仿宋_GB2312"/>
          <w:sz w:val="30"/>
          <w:szCs w:val="30"/>
        </w:rPr>
        <w:t>1.财政拨款收入：指单位从同级财政部门取得的财政预算资金。</w:t>
      </w:r>
    </w:p>
    <w:p>
      <w:pPr>
        <w:pStyle w:val="28"/>
        <w:widowControl/>
        <w:spacing w:line="560" w:lineRule="exact"/>
        <w:ind w:firstLine="600" w:firstLineChars="200"/>
        <w:rPr>
          <w:rFonts w:hint="default" w:hAnsi="仿宋" w:cs="仿宋_GB2312"/>
          <w:sz w:val="30"/>
          <w:szCs w:val="30"/>
        </w:rPr>
      </w:pPr>
      <w:r>
        <w:rPr>
          <w:rFonts w:hAnsi="仿宋" w:cs="仿宋_GB2312"/>
          <w:sz w:val="30"/>
          <w:szCs w:val="30"/>
        </w:rPr>
        <w:t>2.事业收入：指事业单位开展专业业务活动及辅助活动取得的收入。如…（二级预算单位事业收入情况）等。</w:t>
      </w:r>
    </w:p>
    <w:p>
      <w:pPr>
        <w:pStyle w:val="28"/>
        <w:widowControl/>
        <w:spacing w:line="560" w:lineRule="exact"/>
        <w:ind w:firstLine="600" w:firstLineChars="200"/>
        <w:rPr>
          <w:rFonts w:hint="default" w:hAnsi="仿宋" w:cs="仿宋_GB2312"/>
          <w:sz w:val="30"/>
          <w:szCs w:val="30"/>
        </w:rPr>
      </w:pPr>
      <w:r>
        <w:rPr>
          <w:rFonts w:hAnsi="仿宋" w:cs="仿宋_GB2312"/>
          <w:sz w:val="30"/>
          <w:szCs w:val="30"/>
        </w:rPr>
        <w:t>3.经营收入：指事业单位在专业业务活动及其辅助活动之外开展非独立核算经营活动取得的收入。如…（二级预算单位经营收入情况）等。</w:t>
      </w:r>
    </w:p>
    <w:p>
      <w:pPr>
        <w:pStyle w:val="28"/>
        <w:widowControl/>
        <w:spacing w:line="560" w:lineRule="exact"/>
        <w:ind w:firstLine="600" w:firstLineChars="200"/>
        <w:rPr>
          <w:rFonts w:hint="default" w:hAnsi="仿宋" w:cs="仿宋_GB2312"/>
          <w:sz w:val="30"/>
          <w:szCs w:val="30"/>
        </w:rPr>
      </w:pPr>
      <w:r>
        <w:rPr>
          <w:rFonts w:hAnsi="仿宋" w:cs="仿宋_GB2312"/>
          <w:sz w:val="30"/>
          <w:szCs w:val="30"/>
        </w:rPr>
        <w:t xml:space="preserve">4.其他收入：指单位取得的除上述收入以外的各项收入。主要是…（收入类型）等。 </w:t>
      </w:r>
    </w:p>
    <w:p>
      <w:pPr>
        <w:pStyle w:val="28"/>
        <w:widowControl/>
        <w:spacing w:line="560" w:lineRule="exact"/>
        <w:ind w:firstLine="600" w:firstLineChars="200"/>
        <w:rPr>
          <w:rFonts w:hint="default" w:hAnsi="仿宋" w:cs="仿宋_GB2312"/>
          <w:sz w:val="30"/>
          <w:szCs w:val="30"/>
        </w:rPr>
      </w:pPr>
      <w:r>
        <w:rPr>
          <w:rFonts w:hAnsi="仿宋" w:cs="仿宋_GB2312"/>
          <w:sz w:val="30"/>
          <w:szCs w:val="30"/>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8"/>
        <w:widowControl/>
        <w:spacing w:line="560" w:lineRule="exact"/>
        <w:ind w:firstLine="600" w:firstLineChars="200"/>
        <w:rPr>
          <w:rFonts w:hint="default" w:hAnsi="仿宋" w:cs="仿宋_GB2312"/>
          <w:sz w:val="30"/>
          <w:szCs w:val="30"/>
        </w:rPr>
      </w:pPr>
      <w:r>
        <w:rPr>
          <w:rFonts w:hAnsi="仿宋" w:cs="仿宋_GB2312"/>
          <w:sz w:val="30"/>
          <w:szCs w:val="30"/>
        </w:rPr>
        <w:t xml:space="preserve">6.年初结转和结余：指以前年度尚未完成、结转到本年按有关规定继续使用的资金。 </w:t>
      </w:r>
    </w:p>
    <w:p>
      <w:pPr>
        <w:pStyle w:val="28"/>
        <w:widowControl/>
        <w:spacing w:line="560" w:lineRule="exact"/>
        <w:ind w:firstLine="600" w:firstLineChars="200"/>
        <w:rPr>
          <w:rFonts w:hint="default" w:hAnsi="仿宋" w:cs="仿宋_GB2312"/>
          <w:sz w:val="30"/>
          <w:szCs w:val="30"/>
        </w:rPr>
      </w:pPr>
      <w:r>
        <w:rPr>
          <w:rFonts w:hAnsi="仿宋" w:cs="仿宋_GB2312"/>
          <w:sz w:val="30"/>
          <w:szCs w:val="30"/>
        </w:rPr>
        <w:t>7.结余分配：指事业单位按照事业单位会计制度的规定从非财政补助结余中分配的事业基金和职工福利基金等。</w:t>
      </w:r>
    </w:p>
    <w:p>
      <w:pPr>
        <w:pStyle w:val="28"/>
        <w:widowControl/>
        <w:spacing w:line="560" w:lineRule="exact"/>
        <w:ind w:firstLine="600" w:firstLineChars="200"/>
        <w:rPr>
          <w:rFonts w:hint="default" w:hAnsi="仿宋" w:cs="仿宋_GB2312"/>
          <w:sz w:val="30"/>
          <w:szCs w:val="30"/>
        </w:rPr>
      </w:pPr>
      <w:r>
        <w:rPr>
          <w:rFonts w:hAnsi="仿宋" w:cs="仿宋_GB2312"/>
          <w:sz w:val="30"/>
          <w:szCs w:val="30"/>
        </w:rPr>
        <w:t>8、年末结转和结余：指单位按有关规定结转到下年或以后年度继续使用的资金。</w:t>
      </w:r>
    </w:p>
    <w:p>
      <w:pPr>
        <w:ind w:firstLine="600" w:firstLineChars="200"/>
        <w:rPr>
          <w:rFonts w:ascii="仿宋" w:hAnsi="仿宋" w:eastAsia="仿宋" w:cs="Arial"/>
          <w:color w:val="000000" w:themeColor="text1"/>
          <w:kern w:val="0"/>
          <w:sz w:val="30"/>
          <w:szCs w:val="30"/>
        </w:rPr>
      </w:pPr>
      <w:r>
        <w:rPr>
          <w:rStyle w:val="14"/>
          <w:rFonts w:hint="eastAsia" w:ascii="仿宋" w:hAnsi="仿宋" w:eastAsia="仿宋" w:cs="仿宋"/>
          <w:b w:val="0"/>
          <w:bCs/>
          <w:color w:val="000000" w:themeColor="text1"/>
          <w:sz w:val="30"/>
          <w:szCs w:val="30"/>
        </w:rPr>
        <w:t>9.一般公共服务（类）</w:t>
      </w:r>
      <w:r>
        <w:rPr>
          <w:rFonts w:hint="eastAsia" w:ascii="仿宋" w:hAnsi="仿宋" w:eastAsia="仿宋" w:cs="Arial"/>
          <w:color w:val="000000" w:themeColor="text1"/>
          <w:kern w:val="0"/>
          <w:sz w:val="30"/>
          <w:szCs w:val="30"/>
        </w:rPr>
        <w:t>政府办公厅（室）及相关机构事务</w:t>
      </w:r>
    </w:p>
    <w:p>
      <w:pPr>
        <w:rPr>
          <w:rStyle w:val="14"/>
          <w:rFonts w:ascii="仿宋" w:hAnsi="仿宋" w:eastAsia="仿宋" w:cs="仿宋"/>
          <w:b w:val="0"/>
          <w:bCs/>
          <w:color w:val="000000" w:themeColor="text1"/>
          <w:sz w:val="30"/>
          <w:szCs w:val="30"/>
        </w:rPr>
      </w:pPr>
      <w:r>
        <w:rPr>
          <w:rStyle w:val="14"/>
          <w:rFonts w:hint="eastAsia" w:ascii="仿宋" w:hAnsi="仿宋" w:eastAsia="仿宋" w:cs="仿宋"/>
          <w:b w:val="0"/>
          <w:bCs/>
          <w:color w:val="000000" w:themeColor="text1"/>
          <w:sz w:val="30"/>
          <w:szCs w:val="30"/>
        </w:rPr>
        <w:t>（款）</w:t>
      </w:r>
      <w:r>
        <w:rPr>
          <w:rFonts w:hint="eastAsia" w:ascii="仿宋" w:hAnsi="仿宋" w:eastAsia="仿宋" w:cs="Arial"/>
          <w:color w:val="000000" w:themeColor="text1"/>
          <w:kern w:val="0"/>
          <w:sz w:val="30"/>
          <w:szCs w:val="30"/>
        </w:rPr>
        <w:t>行政运行</w:t>
      </w:r>
      <w:r>
        <w:rPr>
          <w:rStyle w:val="14"/>
          <w:rFonts w:hint="eastAsia" w:ascii="仿宋" w:hAnsi="仿宋" w:eastAsia="仿宋" w:cs="仿宋"/>
          <w:b w:val="0"/>
          <w:bCs/>
          <w:color w:val="000000" w:themeColor="text1"/>
          <w:sz w:val="30"/>
          <w:szCs w:val="30"/>
        </w:rPr>
        <w:t>（项）指：反映行政单位（包括实行公务员管理的事业单位）的基本支出。</w:t>
      </w:r>
    </w:p>
    <w:p>
      <w:pPr>
        <w:spacing w:line="600" w:lineRule="exact"/>
        <w:ind w:firstLine="600" w:firstLineChars="200"/>
        <w:rPr>
          <w:rStyle w:val="14"/>
          <w:rFonts w:ascii="仿宋" w:hAnsi="仿宋" w:eastAsia="仿宋" w:cs="仿宋"/>
          <w:b w:val="0"/>
          <w:bCs/>
          <w:color w:val="000000" w:themeColor="text1"/>
          <w:sz w:val="30"/>
          <w:szCs w:val="30"/>
        </w:rPr>
      </w:pPr>
      <w:r>
        <w:rPr>
          <w:rStyle w:val="14"/>
          <w:rFonts w:hint="eastAsia" w:ascii="仿宋" w:hAnsi="仿宋" w:eastAsia="仿宋" w:cs="仿宋"/>
          <w:b w:val="0"/>
          <w:bCs/>
          <w:color w:val="000000" w:themeColor="text1"/>
          <w:sz w:val="30"/>
          <w:szCs w:val="30"/>
        </w:rPr>
        <w:t>10.文化体育与传媒（类）其他文化体育与传媒（款）其他文化体育与传媒（项）指：反映除上述项目以外其他文化体育与传媒方面的支出。</w:t>
      </w:r>
    </w:p>
    <w:p>
      <w:pPr>
        <w:spacing w:line="600" w:lineRule="exact"/>
        <w:ind w:firstLine="600" w:firstLineChars="200"/>
        <w:rPr>
          <w:rFonts w:ascii="仿宋" w:hAnsi="仿宋" w:eastAsia="仿宋" w:cs="仿宋"/>
          <w:color w:val="000000" w:themeColor="text1"/>
          <w:sz w:val="30"/>
          <w:szCs w:val="30"/>
        </w:rPr>
      </w:pPr>
      <w:r>
        <w:rPr>
          <w:rStyle w:val="14"/>
          <w:rFonts w:hint="eastAsia" w:ascii="仿宋" w:hAnsi="仿宋" w:eastAsia="仿宋" w:cs="仿宋"/>
          <w:b w:val="0"/>
          <w:bCs/>
          <w:color w:val="000000" w:themeColor="text1"/>
          <w:sz w:val="30"/>
          <w:szCs w:val="30"/>
        </w:rPr>
        <w:t>11.社会保障和就业（类）行政事业单位离退休（款）机关事业单位基本养老保险缴费（项）指：反映机关事业单位实施养老保险制度由单位缴纳的基本养老保险费支出。</w:t>
      </w:r>
    </w:p>
    <w:p>
      <w:pPr>
        <w:spacing w:line="600" w:lineRule="exact"/>
        <w:ind w:firstLine="600" w:firstLineChars="200"/>
        <w:rPr>
          <w:rStyle w:val="14"/>
          <w:rFonts w:ascii="仿宋" w:hAnsi="仿宋" w:eastAsia="仿宋" w:cs="仿宋"/>
          <w:b w:val="0"/>
          <w:bCs/>
          <w:color w:val="000000" w:themeColor="text1"/>
          <w:sz w:val="30"/>
          <w:szCs w:val="30"/>
        </w:rPr>
      </w:pPr>
      <w:r>
        <w:rPr>
          <w:rStyle w:val="14"/>
          <w:rFonts w:hint="eastAsia" w:ascii="仿宋" w:hAnsi="仿宋" w:eastAsia="仿宋" w:cs="仿宋"/>
          <w:b w:val="0"/>
          <w:bCs/>
          <w:color w:val="000000" w:themeColor="text1"/>
          <w:sz w:val="30"/>
          <w:szCs w:val="30"/>
        </w:rPr>
        <w:t>12.医疗卫生与计划生育（类）行政事业单位医疗（款）事业单位医疗（项）指：反映财政部门集中安排的事业单位基本医疗保险缴费经费，未参加医疗保险的事业单位的公费医疗经费，按国家规定享受离休人员待遇的医疗经费。</w:t>
      </w:r>
    </w:p>
    <w:p>
      <w:pPr>
        <w:spacing w:line="60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13．节能环保（类）自然生态保护（款）生态保护（项）指：反映用于生态功能保护区、生态示范区、生态省（市、县</w:t>
      </w:r>
      <w:r>
        <w:rPr>
          <w:rFonts w:ascii="仿宋" w:hAnsi="仿宋" w:eastAsia="仿宋" w:cs="仿宋"/>
          <w:color w:val="000000" w:themeColor="text1"/>
          <w:sz w:val="30"/>
          <w:szCs w:val="30"/>
        </w:rPr>
        <w:t>）管理及能力建设、日常管护、宣教、试点示范等支出，生态修复支出，资源开发生态监管等支出。</w:t>
      </w:r>
    </w:p>
    <w:p>
      <w:pPr>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14．住房保障（类）住房改革（款）住房公积金（项）指;反映行政事业单位按人力资源和社会保障部、财政部规定的基本工资和津贴补贴以及规定比例为职工缴纳的住房公积金。</w:t>
      </w:r>
    </w:p>
    <w:p>
      <w:pPr>
        <w:spacing w:line="600" w:lineRule="exact"/>
        <w:ind w:firstLine="640"/>
        <w:rPr>
          <w:rFonts w:ascii="仿宋" w:hAnsi="仿宋" w:eastAsia="仿宋" w:cs="仿宋"/>
          <w:b/>
          <w:color w:val="000000"/>
          <w:sz w:val="32"/>
          <w:szCs w:val="32"/>
        </w:rPr>
      </w:pPr>
      <w:r>
        <w:rPr>
          <w:rFonts w:hint="eastAsia" w:ascii="仿宋" w:hAnsi="仿宋" w:eastAsia="仿宋" w:cs="仿宋"/>
          <w:b/>
          <w:color w:val="000000"/>
          <w:sz w:val="32"/>
          <w:szCs w:val="32"/>
        </w:rPr>
        <w:t>（解释本部门决算报表中全部功能分类科目至项级，请参照《2018年政府收支分类科目》增减内容。）</w:t>
      </w:r>
    </w:p>
    <w:p>
      <w:pPr>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15.基本支出：指为保障机构正常运转、完成日常工作任务而发生的人员支出和公用支出。</w:t>
      </w:r>
    </w:p>
    <w:p>
      <w:pPr>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16.项目支出：指在基本支出之外为完成特定行政任务和事业发展目标所发生的支出。 </w:t>
      </w:r>
    </w:p>
    <w:p>
      <w:pPr>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17.经营支出：指事业单位在专业业务活动及其辅助活动之外开展非独立核算经营活动发生的支出。</w:t>
      </w:r>
    </w:p>
    <w:p>
      <w:pPr>
        <w:pStyle w:val="28"/>
        <w:widowControl/>
        <w:spacing w:line="560" w:lineRule="exact"/>
        <w:ind w:firstLine="600" w:firstLineChars="200"/>
        <w:rPr>
          <w:rFonts w:hint="default" w:hAnsi="仿宋" w:cs="仿宋_GB2312"/>
          <w:sz w:val="30"/>
          <w:szCs w:val="30"/>
        </w:rPr>
      </w:pPr>
      <w:r>
        <w:rPr>
          <w:rFonts w:hAnsi="仿宋" w:cs="仿宋_GB2312"/>
          <w:sz w:val="30"/>
          <w:szCs w:val="30"/>
        </w:rPr>
        <w:t>18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widowControl/>
        <w:spacing w:line="560" w:lineRule="exact"/>
        <w:ind w:firstLine="600" w:firstLineChars="200"/>
        <w:rPr>
          <w:rFonts w:hint="default" w:hAnsi="仿宋" w:cs="黑体"/>
          <w:sz w:val="30"/>
          <w:szCs w:val="30"/>
        </w:rPr>
      </w:pPr>
      <w:r>
        <w:rPr>
          <w:rFonts w:hAnsi="仿宋" w:cs="仿宋_GB2312"/>
          <w:sz w:val="30"/>
          <w:szCs w:val="30"/>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02" w:firstLineChars="200"/>
        <w:rPr>
          <w:rFonts w:ascii="仿宋" w:hAnsi="仿宋" w:eastAsia="仿宋" w:cs="仿宋"/>
          <w:b/>
          <w:color w:val="000000"/>
          <w:sz w:val="30"/>
          <w:szCs w:val="30"/>
        </w:rPr>
      </w:pPr>
      <w:r>
        <w:rPr>
          <w:rFonts w:hint="eastAsia" w:ascii="仿宋" w:hAnsi="仿宋" w:eastAsia="仿宋" w:cs="仿宋"/>
          <w:b/>
          <w:color w:val="000000"/>
          <w:sz w:val="30"/>
          <w:szCs w:val="30"/>
        </w:rPr>
        <w:t>（名词解释部分请根据各部门实际列支情况罗列，并根据本部门职责职能增减名词解释内容。）</w:t>
      </w:r>
    </w:p>
    <w:p>
      <w:pPr>
        <w:spacing w:line="600" w:lineRule="exact"/>
        <w:jc w:val="center"/>
        <w:outlineLvl w:val="0"/>
        <w:rPr>
          <w:rFonts w:ascii="仿宋" w:hAnsi="仿宋" w:eastAsia="仿宋" w:cs="黑体"/>
          <w:bCs/>
          <w:sz w:val="30"/>
          <w:szCs w:val="30"/>
        </w:rPr>
      </w:pPr>
      <w:r>
        <w:rPr>
          <w:rFonts w:hint="eastAsia" w:ascii="仿宋" w:hAnsi="仿宋" w:eastAsia="仿宋" w:cs="Times New Roman"/>
          <w:b/>
          <w:color w:val="000000"/>
          <w:sz w:val="30"/>
          <w:szCs w:val="30"/>
        </w:rPr>
        <w:br w:type="page"/>
      </w:r>
      <w:bookmarkStart w:id="57" w:name="_Toc15396614"/>
      <w:bookmarkStart w:id="58" w:name="_Toc15377226"/>
      <w:r>
        <w:rPr>
          <w:rFonts w:hint="eastAsia" w:ascii="仿宋" w:hAnsi="仿宋" w:eastAsia="仿宋" w:cs="黑体"/>
          <w:color w:val="000000"/>
          <w:sz w:val="30"/>
          <w:szCs w:val="30"/>
        </w:rPr>
        <w:t>第</w:t>
      </w:r>
      <w:r>
        <w:rPr>
          <w:rStyle w:val="20"/>
          <w:rFonts w:hint="eastAsia" w:ascii="仿宋" w:hAnsi="仿宋" w:eastAsia="仿宋" w:cs="黑体"/>
          <w:b w:val="0"/>
          <w:bCs/>
          <w:sz w:val="30"/>
          <w:szCs w:val="30"/>
        </w:rPr>
        <w:t>四部分 附件</w:t>
      </w:r>
      <w:bookmarkEnd w:id="57"/>
    </w:p>
    <w:p>
      <w:pPr>
        <w:spacing w:line="600" w:lineRule="exact"/>
        <w:jc w:val="center"/>
        <w:outlineLvl w:val="0"/>
        <w:rPr>
          <w:rFonts w:ascii="仿宋" w:hAnsi="仿宋" w:eastAsia="仿宋"/>
          <w:sz w:val="30"/>
          <w:szCs w:val="30"/>
        </w:rPr>
      </w:pPr>
    </w:p>
    <w:p>
      <w:pPr>
        <w:pStyle w:val="3"/>
        <w:widowControl/>
        <w:rPr>
          <w:rFonts w:ascii="仿宋" w:hAnsi="仿宋" w:eastAsia="仿宋"/>
          <w:sz w:val="30"/>
          <w:szCs w:val="30"/>
        </w:rPr>
      </w:pPr>
      <w:bookmarkStart w:id="59" w:name="_Toc15396615"/>
      <w:r>
        <w:rPr>
          <w:rStyle w:val="20"/>
          <w:rFonts w:hint="eastAsia" w:ascii="仿宋" w:hAnsi="仿宋" w:eastAsia="仿宋"/>
          <w:b/>
          <w:sz w:val="30"/>
          <w:szCs w:val="30"/>
        </w:rPr>
        <w:t>附件1</w:t>
      </w:r>
      <w:bookmarkEnd w:id="59"/>
    </w:p>
    <w:p>
      <w:pPr>
        <w:spacing w:line="600" w:lineRule="exact"/>
        <w:jc w:val="center"/>
        <w:outlineLvl w:val="0"/>
        <w:rPr>
          <w:rFonts w:ascii="仿宋" w:hAnsi="仿宋" w:eastAsia="仿宋" w:cs="方正小标宋简体"/>
          <w:sz w:val="30"/>
          <w:szCs w:val="30"/>
        </w:rPr>
      </w:pPr>
      <w:bookmarkStart w:id="60" w:name="_Toc15396616"/>
      <w:r>
        <w:rPr>
          <w:rFonts w:hint="eastAsia" w:ascii="仿宋" w:hAnsi="仿宋" w:eastAsia="仿宋" w:cs="方正小标宋简体"/>
          <w:sz w:val="30"/>
          <w:szCs w:val="30"/>
        </w:rPr>
        <w:t>利州区部门2018年部门整体支出绩效评价报告</w:t>
      </w:r>
      <w:bookmarkEnd w:id="60"/>
    </w:p>
    <w:p>
      <w:pPr>
        <w:spacing w:line="580" w:lineRule="exact"/>
        <w:ind w:firstLine="600" w:firstLineChars="200"/>
        <w:rPr>
          <w:rFonts w:ascii="仿宋" w:hAnsi="仿宋" w:eastAsia="仿宋" w:cs="黑体"/>
          <w:sz w:val="30"/>
          <w:szCs w:val="30"/>
        </w:rPr>
      </w:pPr>
    </w:p>
    <w:p>
      <w:pPr>
        <w:spacing w:line="580" w:lineRule="exact"/>
        <w:ind w:firstLine="600" w:firstLineChars="200"/>
        <w:rPr>
          <w:rFonts w:ascii="仿宋" w:hAnsi="仿宋" w:eastAsia="仿宋" w:cs="黑体"/>
          <w:sz w:val="30"/>
          <w:szCs w:val="30"/>
        </w:rPr>
      </w:pPr>
      <w:r>
        <w:rPr>
          <w:rFonts w:hint="eastAsia" w:ascii="仿宋" w:hAnsi="仿宋" w:eastAsia="仿宋" w:cs="黑体"/>
          <w:sz w:val="30"/>
          <w:szCs w:val="30"/>
        </w:rPr>
        <w:t>一、部门（单位）概况</w:t>
      </w:r>
    </w:p>
    <w:p>
      <w:pPr>
        <w:overflowPunct w:val="0"/>
        <w:autoSpaceDE w:val="0"/>
        <w:autoSpaceDN w:val="0"/>
        <w:spacing w:line="580" w:lineRule="exact"/>
        <w:ind w:firstLine="600" w:firstLineChars="200"/>
        <w:rPr>
          <w:rFonts w:ascii="仿宋" w:hAnsi="仿宋" w:eastAsia="仿宋"/>
          <w:sz w:val="30"/>
          <w:szCs w:val="30"/>
        </w:rPr>
      </w:pPr>
      <w:r>
        <w:rPr>
          <w:rFonts w:hint="eastAsia" w:ascii="仿宋" w:hAnsi="仿宋" w:eastAsia="仿宋" w:cs="仿宋_GB2312"/>
          <w:color w:val="000000" w:themeColor="text1"/>
          <w:sz w:val="30"/>
          <w:szCs w:val="30"/>
        </w:rPr>
        <w:t>（一）机构组成:</w:t>
      </w:r>
      <w:r>
        <w:rPr>
          <w:rFonts w:hint="eastAsia" w:ascii="仿宋" w:hAnsi="仿宋" w:eastAsia="仿宋" w:cs="方正小标宋简体"/>
          <w:color w:val="000000" w:themeColor="text1"/>
          <w:sz w:val="30"/>
          <w:szCs w:val="30"/>
        </w:rPr>
        <w:t xml:space="preserve"> </w:t>
      </w:r>
      <w:r>
        <w:rPr>
          <w:rFonts w:hint="eastAsia" w:ascii="仿宋" w:hAnsi="仿宋" w:eastAsia="仿宋" w:cs="方正小标宋简体"/>
          <w:color w:val="000000"/>
          <w:sz w:val="30"/>
          <w:szCs w:val="30"/>
        </w:rPr>
        <w:t>四川天曌山国家森林公园管理局</w:t>
      </w:r>
      <w:r>
        <w:rPr>
          <w:rFonts w:hint="eastAsia" w:ascii="仿宋" w:hAnsi="仿宋" w:eastAsia="仿宋" w:cs="仿宋_GB2312"/>
          <w:sz w:val="30"/>
          <w:szCs w:val="30"/>
        </w:rPr>
        <w:t>属一级预算直属事业单位，</w:t>
      </w:r>
      <w:r>
        <w:rPr>
          <w:rFonts w:hint="eastAsia" w:ascii="仿宋" w:hAnsi="仿宋" w:eastAsia="仿宋"/>
          <w:sz w:val="30"/>
          <w:szCs w:val="30"/>
        </w:rPr>
        <w:t>现设置3个股室1个办公室的内设机构。</w:t>
      </w:r>
    </w:p>
    <w:p>
      <w:pPr>
        <w:overflowPunct w:val="0"/>
        <w:autoSpaceDE w:val="0"/>
        <w:autoSpaceDN w:val="0"/>
        <w:spacing w:line="580" w:lineRule="exact"/>
        <w:ind w:firstLine="600" w:firstLineChars="200"/>
        <w:rPr>
          <w:rFonts w:ascii="仿宋" w:hAnsi="仿宋" w:eastAsia="仿宋" w:cs="仿宋_GB2312"/>
          <w:sz w:val="30"/>
          <w:szCs w:val="30"/>
        </w:rPr>
      </w:pPr>
      <w:r>
        <w:rPr>
          <w:rFonts w:ascii="仿宋" w:hAnsi="仿宋" w:eastAsia="仿宋" w:cs="仿宋_GB2312"/>
          <w:sz w:val="30"/>
          <w:szCs w:val="30"/>
        </w:rPr>
        <w:t>（二）机构职能:</w:t>
      </w:r>
      <w:r>
        <w:rPr>
          <w:rFonts w:ascii="仿宋" w:hAnsi="仿宋" w:eastAsia="仿宋" w:cs="仿宋"/>
          <w:bCs/>
          <w:color w:val="000000"/>
          <w:sz w:val="30"/>
          <w:szCs w:val="30"/>
        </w:rPr>
        <w:t xml:space="preserve"> 1、拟定和组织实施森林公园建设和发展规划；2、负责森林公园风景区历史、文化资源的开发利用和保护工作，协调做好景区内文物保护工作；3、监督管理森林公园景区内从事旅游业和其他服务的单位、个人的经营活动；4、会同有关部门协调改善旅游环境，促进旅游景区发展及项目打造；5、监督管理森林公园景区内市场秩序和服务质量，受理消费者投诉，会同有关部门查处侵害消费者和经营者合法权益的行为；6、负责森林公园景区宣传工作；7、监管森林公园景区内经营及游客的人身、财产安全工作；8、承担区政府交办的其他工作。</w:t>
      </w:r>
    </w:p>
    <w:p>
      <w:pPr>
        <w:spacing w:line="58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（三）人员概况:共有事业管理编制14名，在职事业人员10人。</w:t>
      </w:r>
    </w:p>
    <w:p>
      <w:pPr>
        <w:spacing w:line="580" w:lineRule="exact"/>
        <w:ind w:firstLine="600" w:firstLineChars="200"/>
        <w:rPr>
          <w:rFonts w:ascii="仿宋" w:hAnsi="仿宋" w:eastAsia="仿宋" w:cs="黑体"/>
          <w:sz w:val="30"/>
          <w:szCs w:val="30"/>
        </w:rPr>
      </w:pPr>
      <w:r>
        <w:rPr>
          <w:rFonts w:hint="eastAsia" w:ascii="仿宋" w:hAnsi="仿宋" w:eastAsia="仿宋" w:cs="黑体"/>
          <w:sz w:val="30"/>
          <w:szCs w:val="30"/>
        </w:rPr>
        <w:t>二、部门财政资金收支情况</w:t>
      </w:r>
    </w:p>
    <w:p>
      <w:pPr>
        <w:spacing w:line="58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（一）部门财政资金收入情况：</w:t>
      </w:r>
    </w:p>
    <w:p>
      <w:pPr>
        <w:spacing w:line="580" w:lineRule="exact"/>
        <w:rPr>
          <w:rFonts w:ascii="仿宋" w:hAnsi="仿宋" w:eastAsia="仿宋" w:cs="仿宋_GB2312"/>
          <w:sz w:val="30"/>
          <w:szCs w:val="30"/>
        </w:rPr>
      </w:pPr>
      <w:r>
        <w:rPr>
          <w:rFonts w:hint="eastAsia" w:ascii="仿宋" w:hAnsi="仿宋" w:eastAsia="仿宋" w:cs="仿宋_GB2312"/>
          <w:sz w:val="30"/>
          <w:szCs w:val="30"/>
        </w:rPr>
        <w:t xml:space="preserve">    本年收入合计468.46万元，其中：一般公共预算财政拨款收入468.46万元，占100%。</w:t>
      </w:r>
    </w:p>
    <w:p>
      <w:pPr>
        <w:spacing w:line="58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（二）部门财政资金支出情况：</w:t>
      </w:r>
    </w:p>
    <w:p>
      <w:pPr>
        <w:spacing w:line="600" w:lineRule="exact"/>
        <w:ind w:firstLine="640"/>
        <w:rPr>
          <w:rFonts w:ascii="仿宋" w:hAnsi="仿宋" w:eastAsia="仿宋" w:cs="仿宋_GB2312"/>
          <w:sz w:val="30"/>
          <w:szCs w:val="30"/>
        </w:rPr>
      </w:pPr>
      <w:r>
        <w:rPr>
          <w:rFonts w:hint="eastAsia" w:ascii="仿宋" w:hAnsi="仿宋" w:eastAsia="仿宋" w:cs="仿宋"/>
          <w:color w:val="000000"/>
          <w:sz w:val="30"/>
          <w:szCs w:val="30"/>
        </w:rPr>
        <w:t>本年支出合计451.08万元，其中：基本支出139.65万元，占30.96%；项目支出311.43万元，占69.04%；上缴上级支出0万元，占0%；经营支出0万元，占0%；对附属单位补助支出0万元，占0%。</w:t>
      </w:r>
    </w:p>
    <w:p>
      <w:pPr>
        <w:pStyle w:val="29"/>
        <w:numPr>
          <w:ilvl w:val="0"/>
          <w:numId w:val="7"/>
        </w:numPr>
        <w:spacing w:line="580" w:lineRule="exact"/>
        <w:ind w:firstLineChars="0"/>
        <w:rPr>
          <w:rFonts w:ascii="仿宋" w:hAnsi="仿宋" w:eastAsia="仿宋" w:cs="黑体"/>
          <w:sz w:val="30"/>
          <w:szCs w:val="30"/>
        </w:rPr>
      </w:pPr>
      <w:r>
        <w:rPr>
          <w:rFonts w:hint="eastAsia" w:ascii="仿宋" w:hAnsi="仿宋" w:eastAsia="仿宋" w:cs="黑体"/>
          <w:sz w:val="30"/>
          <w:szCs w:val="30"/>
        </w:rPr>
        <w:t>部门整体预算绩效管理情况（根据适用指标体系进行调整）</w:t>
      </w:r>
    </w:p>
    <w:p>
      <w:pPr>
        <w:pStyle w:val="29"/>
        <w:numPr>
          <w:ilvl w:val="0"/>
          <w:numId w:val="8"/>
        </w:numPr>
        <w:spacing w:line="580" w:lineRule="exact"/>
        <w:ind w:firstLineChars="0"/>
        <w:rPr>
          <w:rFonts w:ascii="仿宋" w:hAnsi="仿宋" w:eastAsia="仿宋" w:cs="仿宋_GB2312"/>
          <w:sz w:val="30"/>
          <w:szCs w:val="30"/>
        </w:rPr>
      </w:pPr>
      <w:r>
        <w:rPr>
          <w:rFonts w:ascii="仿宋" w:hAnsi="仿宋" w:eastAsia="仿宋" w:cs="仿宋_GB2312"/>
          <w:sz w:val="30"/>
          <w:szCs w:val="30"/>
        </w:rPr>
        <w:t>部门预算管理。</w:t>
      </w:r>
    </w:p>
    <w:p>
      <w:pPr>
        <w:pStyle w:val="30"/>
        <w:spacing w:before="156" w:after="156"/>
        <w:ind w:firstLine="600"/>
        <w:rPr>
          <w:rFonts w:ascii="仿宋" w:hAnsi="仿宋" w:eastAsia="仿宋" w:cs="仿宋_GB2312"/>
          <w:color w:val="000000" w:themeColor="text1"/>
          <w:sz w:val="30"/>
          <w:szCs w:val="30"/>
        </w:rPr>
      </w:pPr>
      <w:r>
        <w:rPr>
          <w:rFonts w:hint="eastAsia" w:ascii="仿宋" w:hAnsi="仿宋" w:eastAsia="仿宋" w:cs="黑体"/>
          <w:sz w:val="30"/>
          <w:szCs w:val="30"/>
        </w:rPr>
        <w:t>根据国家、省、市、区旅游</w:t>
      </w:r>
      <w:r>
        <w:rPr>
          <w:rFonts w:hint="eastAsia" w:ascii="仿宋" w:hAnsi="仿宋" w:eastAsia="仿宋"/>
          <w:sz w:val="30"/>
          <w:szCs w:val="30"/>
        </w:rPr>
        <w:t>着力打造“一中心、五线路”产品，加快建设、提升重点旅游产品，配套旅游功能，完善旅游要素。“一中心”是通过建设“一枢纽、一城市核心综合体、一湖、四山”，把广元市城区建成川陕甘结合部旅游集散中心。 “四山”即凤凰山、乌龙山（含皇泽寺）、千佛崖、天曌山，建成女皇文化、佛教文化展示区。进一步完善广元作为中国优秀旅游城市的功能，建好游客咨询服务中心、散客接待中心、旅游车站和码头等设施，</w:t>
      </w:r>
      <w:r>
        <w:rPr>
          <w:rFonts w:hint="eastAsia" w:ascii="仿宋" w:hAnsi="仿宋" w:eastAsia="仿宋" w:cs="黑体"/>
          <w:sz w:val="30"/>
          <w:szCs w:val="30"/>
        </w:rPr>
        <w:t>以及</w:t>
      </w:r>
      <w:r>
        <w:rPr>
          <w:rFonts w:hint="eastAsia" w:ascii="仿宋" w:hAnsi="仿宋" w:eastAsia="仿宋"/>
          <w:sz w:val="30"/>
          <w:szCs w:val="30"/>
        </w:rPr>
        <w:t>《广元天曌山国家森林公园旅游发展总体规划》要求</w:t>
      </w:r>
      <w:r>
        <w:rPr>
          <w:rFonts w:hint="eastAsia" w:ascii="仿宋" w:hAnsi="仿宋" w:eastAsia="仿宋" w:cs="黑体"/>
          <w:sz w:val="30"/>
          <w:szCs w:val="30"/>
        </w:rPr>
        <w:t>，结合本单位实际，制定了本单位2018年重点工作，明确了具体绩效目标，制定了相关考核细则，</w:t>
      </w:r>
      <w:r>
        <w:rPr>
          <w:rFonts w:hint="eastAsia" w:ascii="仿宋" w:hAnsi="仿宋" w:eastAsia="仿宋" w:cs="仿宋_GB2312"/>
          <w:color w:val="000000" w:themeColor="text1"/>
          <w:sz w:val="30"/>
          <w:szCs w:val="30"/>
        </w:rPr>
        <w:t>本单位还成立了以局长为组长、各股室负责人为成员的绩效管理领导小组。年初也制定相应的股室绩效目标，分阶段进行相应的对照检查，确保目标的完成。严格按《预算法》的相关规定，根据单位实际情况和工作需要编制预算，遵照区委区政府精简开支的要求，各种支出厉行节约，严格按照年初预算合理安排全年各项支出，杜绝超预算支出、无预算支出。全年预算完成率43.73%，个别项目在实施中因天气和工期原因未全年完成。全年无违规违纪现象发生。</w:t>
      </w:r>
    </w:p>
    <w:p>
      <w:pPr>
        <w:pStyle w:val="29"/>
        <w:numPr>
          <w:ilvl w:val="0"/>
          <w:numId w:val="8"/>
        </w:numPr>
        <w:spacing w:line="580" w:lineRule="exact"/>
        <w:ind w:firstLineChars="0"/>
        <w:rPr>
          <w:rFonts w:ascii="仿宋" w:hAnsi="仿宋" w:eastAsia="仿宋" w:cs="仿宋_GB2312"/>
          <w:color w:val="000000" w:themeColor="text1"/>
          <w:sz w:val="30"/>
          <w:szCs w:val="30"/>
        </w:rPr>
      </w:pPr>
      <w:r>
        <w:rPr>
          <w:rFonts w:ascii="仿宋" w:hAnsi="仿宋" w:eastAsia="仿宋" w:cs="仿宋_GB2312"/>
          <w:color w:val="000000" w:themeColor="text1"/>
          <w:sz w:val="30"/>
          <w:szCs w:val="30"/>
        </w:rPr>
        <w:t>专项预算管理。</w:t>
      </w:r>
    </w:p>
    <w:p>
      <w:pPr>
        <w:spacing w:line="58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在项目管理实施时确定由项目实施股室为首要责任，监理或监理公司为项目实施监督负责人等，先制定项目实施的工作计划，根据项目进程及验收的实际完成量，按合同约定进行资金拨付使用。未达到目标或者工作执行不到位的，暂停资金拨付，待整改后再进行拨付使用。全年无违规违纪现象发生。</w:t>
      </w:r>
    </w:p>
    <w:p>
      <w:pPr>
        <w:pStyle w:val="29"/>
        <w:numPr>
          <w:ilvl w:val="0"/>
          <w:numId w:val="8"/>
        </w:numPr>
        <w:spacing w:line="580" w:lineRule="exact"/>
        <w:ind w:firstLineChars="0"/>
        <w:rPr>
          <w:rFonts w:ascii="仿宋" w:hAnsi="仿宋" w:eastAsia="仿宋" w:cs="仿宋_GB2312"/>
          <w:sz w:val="30"/>
          <w:szCs w:val="30"/>
        </w:rPr>
      </w:pPr>
      <w:r>
        <w:rPr>
          <w:rFonts w:ascii="仿宋" w:hAnsi="仿宋" w:eastAsia="仿宋" w:cs="仿宋_GB2312"/>
          <w:sz w:val="30"/>
          <w:szCs w:val="30"/>
        </w:rPr>
        <w:t>结果应用情况。</w:t>
      </w:r>
    </w:p>
    <w:p>
      <w:pPr>
        <w:spacing w:line="580" w:lineRule="exact"/>
        <w:ind w:firstLine="600" w:firstLineChars="200"/>
        <w:rPr>
          <w:rFonts w:ascii="仿宋" w:hAnsi="仿宋" w:eastAsia="仿宋" w:cs="黑体"/>
          <w:sz w:val="30"/>
          <w:szCs w:val="30"/>
        </w:rPr>
      </w:pPr>
      <w:r>
        <w:rPr>
          <w:rFonts w:hint="eastAsia" w:ascii="仿宋" w:hAnsi="仿宋" w:eastAsia="仿宋" w:cs="仿宋_GB2312"/>
          <w:sz w:val="30"/>
          <w:szCs w:val="30"/>
        </w:rPr>
        <w:t>我单位整体预算管理情况良好，各种资金严格按照资金用途来使用。</w:t>
      </w:r>
      <w:r>
        <w:rPr>
          <w:rFonts w:hint="eastAsia" w:ascii="仿宋" w:hAnsi="仿宋" w:eastAsia="仿宋"/>
          <w:sz w:val="30"/>
          <w:szCs w:val="30"/>
        </w:rPr>
        <w:t>根据单位实际情况，制定了相应的项目和资金管理办法，强化项目资金管理，认真做到专款专用，有效提高了资金的使用效益率。未出现截留、挪用、套取资金等违规违纪行为，保障了专项资金使用管理的规范性、安全性和有效。</w:t>
      </w:r>
    </w:p>
    <w:p>
      <w:pPr>
        <w:spacing w:line="580" w:lineRule="exact"/>
        <w:ind w:firstLine="600" w:firstLineChars="200"/>
        <w:rPr>
          <w:rFonts w:ascii="仿宋" w:hAnsi="仿宋" w:eastAsia="仿宋" w:cs="黑体"/>
          <w:sz w:val="30"/>
          <w:szCs w:val="30"/>
        </w:rPr>
      </w:pPr>
      <w:r>
        <w:rPr>
          <w:rFonts w:hint="eastAsia" w:ascii="仿宋" w:hAnsi="仿宋" w:eastAsia="仿宋" w:cs="黑体"/>
          <w:sz w:val="30"/>
          <w:szCs w:val="30"/>
        </w:rPr>
        <w:t>四、评价结论及建议</w:t>
      </w:r>
    </w:p>
    <w:p>
      <w:pPr>
        <w:spacing w:line="58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（一）评价结论。2018年我单位在局班子正确领导及各股室同志共同努力下通过绩效目标考核，并取得一定成绩。</w:t>
      </w:r>
      <w:r>
        <w:rPr>
          <w:rFonts w:hint="eastAsia" w:ascii="仿宋" w:hAnsi="仿宋" w:eastAsia="仿宋" w:cs="Times New Roman"/>
          <w:sz w:val="30"/>
          <w:szCs w:val="30"/>
        </w:rPr>
        <w:t>项目总体执行情况</w:t>
      </w:r>
      <w:r>
        <w:rPr>
          <w:rFonts w:hint="eastAsia" w:ascii="仿宋" w:hAnsi="仿宋" w:eastAsia="仿宋"/>
          <w:sz w:val="30"/>
          <w:szCs w:val="30"/>
        </w:rPr>
        <w:t>较</w:t>
      </w:r>
      <w:r>
        <w:rPr>
          <w:rFonts w:hint="eastAsia" w:ascii="仿宋" w:hAnsi="仿宋" w:eastAsia="仿宋" w:cs="Times New Roman"/>
          <w:sz w:val="30"/>
          <w:szCs w:val="30"/>
        </w:rPr>
        <w:t>好、资金管理上未出现问题、项目实施成效明显，不但提高了</w:t>
      </w:r>
      <w:r>
        <w:rPr>
          <w:rFonts w:hint="eastAsia" w:ascii="仿宋" w:hAnsi="仿宋" w:eastAsia="仿宋"/>
          <w:sz w:val="30"/>
          <w:szCs w:val="30"/>
        </w:rPr>
        <w:t>景区的可持续性开发，还提升了景区的服务质量，有力的</w:t>
      </w:r>
      <w:r>
        <w:rPr>
          <w:rFonts w:hint="eastAsia" w:ascii="仿宋" w:hAnsi="仿宋" w:eastAsia="仿宋" w:cs="Times New Roman"/>
          <w:sz w:val="30"/>
          <w:szCs w:val="30"/>
        </w:rPr>
        <w:t>推动了我区</w:t>
      </w:r>
      <w:r>
        <w:rPr>
          <w:rFonts w:hint="eastAsia" w:ascii="仿宋" w:hAnsi="仿宋" w:eastAsia="仿宋"/>
          <w:sz w:val="30"/>
          <w:szCs w:val="30"/>
        </w:rPr>
        <w:t>旅游</w:t>
      </w:r>
      <w:r>
        <w:rPr>
          <w:rFonts w:hint="eastAsia" w:ascii="仿宋" w:hAnsi="仿宋" w:eastAsia="仿宋" w:cs="Times New Roman"/>
          <w:sz w:val="30"/>
          <w:szCs w:val="30"/>
        </w:rPr>
        <w:t>经济的发展</w:t>
      </w:r>
      <w:r>
        <w:rPr>
          <w:rFonts w:hint="eastAsia" w:ascii="仿宋" w:hAnsi="仿宋" w:eastAsia="仿宋"/>
          <w:sz w:val="30"/>
          <w:szCs w:val="30"/>
        </w:rPr>
        <w:t>。</w:t>
      </w:r>
    </w:p>
    <w:p>
      <w:pPr>
        <w:spacing w:line="58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（二）存在问题。</w:t>
      </w:r>
    </w:p>
    <w:p>
      <w:pPr>
        <w:spacing w:line="580" w:lineRule="exact"/>
        <w:ind w:firstLine="600" w:firstLineChars="200"/>
        <w:rPr>
          <w:rFonts w:ascii="仿宋" w:hAnsi="仿宋" w:eastAsia="仿宋"/>
          <w:color w:val="333333"/>
          <w:sz w:val="30"/>
          <w:szCs w:val="30"/>
          <w:shd w:val="clear" w:color="auto" w:fill="FFFFFF"/>
        </w:rPr>
      </w:pPr>
      <w:r>
        <w:rPr>
          <w:rFonts w:hint="eastAsia" w:ascii="仿宋" w:hAnsi="仿宋" w:eastAsia="仿宋" w:cs="仿宋_GB2312"/>
          <w:sz w:val="30"/>
          <w:szCs w:val="30"/>
        </w:rPr>
        <w:t>1、</w:t>
      </w:r>
      <w:r>
        <w:rPr>
          <w:rFonts w:hint="eastAsia" w:ascii="仿宋" w:hAnsi="仿宋" w:eastAsia="仿宋"/>
          <w:bCs/>
          <w:color w:val="333333"/>
          <w:sz w:val="30"/>
          <w:szCs w:val="30"/>
          <w:shd w:val="clear" w:color="auto" w:fill="FFFFFF"/>
        </w:rPr>
        <w:t>景区开发建设投入不足</w:t>
      </w:r>
      <w:r>
        <w:rPr>
          <w:rFonts w:hint="eastAsia" w:ascii="仿宋" w:hAnsi="仿宋" w:eastAsia="仿宋"/>
          <w:color w:val="333333"/>
          <w:sz w:val="30"/>
          <w:szCs w:val="30"/>
          <w:shd w:val="clear" w:color="auto" w:fill="FFFFFF"/>
        </w:rPr>
        <w:t>。缺乏资金来源，基础设施、服务设施、景点建设严重滞后，旅游接待能力有待提高。</w:t>
      </w:r>
    </w:p>
    <w:p>
      <w:pPr>
        <w:spacing w:line="580" w:lineRule="exact"/>
        <w:ind w:firstLine="600" w:firstLineChars="200"/>
        <w:rPr>
          <w:rFonts w:ascii="仿宋" w:hAnsi="仿宋" w:eastAsia="仿宋"/>
          <w:color w:val="333333"/>
          <w:sz w:val="30"/>
          <w:szCs w:val="30"/>
          <w:shd w:val="clear" w:color="auto" w:fill="FFFFFF"/>
        </w:rPr>
      </w:pPr>
      <w:r>
        <w:rPr>
          <w:rFonts w:hint="eastAsia" w:ascii="仿宋" w:hAnsi="仿宋" w:eastAsia="仿宋"/>
          <w:color w:val="333333"/>
          <w:sz w:val="30"/>
          <w:szCs w:val="30"/>
          <w:shd w:val="clear" w:color="auto" w:fill="FFFFFF"/>
        </w:rPr>
        <w:t>2、</w:t>
      </w:r>
      <w:r>
        <w:rPr>
          <w:rFonts w:hint="eastAsia" w:ascii="仿宋" w:hAnsi="仿宋" w:eastAsia="仿宋"/>
          <w:bCs/>
          <w:color w:val="333333"/>
          <w:sz w:val="30"/>
          <w:szCs w:val="30"/>
          <w:shd w:val="clear" w:color="auto" w:fill="FFFFFF"/>
        </w:rPr>
        <w:t>资金安排还有待增加。</w:t>
      </w:r>
      <w:r>
        <w:rPr>
          <w:rFonts w:hint="eastAsia" w:ascii="仿宋" w:hAnsi="仿宋" w:eastAsia="仿宋"/>
          <w:color w:val="333333"/>
          <w:sz w:val="30"/>
          <w:szCs w:val="30"/>
          <w:shd w:val="clear" w:color="auto" w:fill="FFFFFF"/>
        </w:rPr>
        <w:t>特别是项目资金的安排上，不仅要保实施还要保时效。</w:t>
      </w:r>
    </w:p>
    <w:p>
      <w:pPr>
        <w:spacing w:line="580" w:lineRule="exact"/>
        <w:ind w:firstLine="600" w:firstLineChars="200"/>
        <w:rPr>
          <w:rFonts w:ascii="仿宋" w:hAnsi="仿宋" w:eastAsia="仿宋" w:cs="仿宋_GB2312"/>
          <w:sz w:val="30"/>
          <w:szCs w:val="30"/>
        </w:rPr>
      </w:pPr>
      <w:r>
        <w:rPr>
          <w:rFonts w:hint="eastAsia" w:ascii="仿宋" w:hAnsi="仿宋" w:eastAsia="仿宋"/>
          <w:bCs/>
          <w:color w:val="333333"/>
          <w:sz w:val="30"/>
          <w:szCs w:val="30"/>
          <w:shd w:val="clear" w:color="auto" w:fill="FFFFFF"/>
        </w:rPr>
        <w:t>3、各项支出略微混乱</w:t>
      </w:r>
      <w:r>
        <w:rPr>
          <w:rFonts w:hint="eastAsia" w:ascii="仿宋" w:hAnsi="仿宋" w:eastAsia="仿宋"/>
          <w:color w:val="333333"/>
          <w:sz w:val="30"/>
          <w:szCs w:val="30"/>
          <w:shd w:val="clear" w:color="auto" w:fill="FFFFFF"/>
        </w:rPr>
        <w:t>。本年度项目在实际经费列支中，存在基本支出和项目支出互相进行调剂的情况,原因是预算不够到位。</w:t>
      </w:r>
    </w:p>
    <w:p>
      <w:pPr>
        <w:spacing w:line="58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（三）改进建议。</w:t>
      </w:r>
    </w:p>
    <w:p>
      <w:pPr>
        <w:pStyle w:val="11"/>
        <w:spacing w:before="93" w:beforeAutospacing="0" w:after="0" w:afterAutospacing="0" w:line="450" w:lineRule="atLeast"/>
        <w:ind w:firstLine="640"/>
        <w:rPr>
          <w:rFonts w:ascii="仿宋" w:hAnsi="仿宋" w:eastAsia="仿宋"/>
          <w:color w:val="333333"/>
          <w:sz w:val="30"/>
          <w:szCs w:val="30"/>
        </w:rPr>
      </w:pPr>
      <w:r>
        <w:rPr>
          <w:rFonts w:hint="eastAsia" w:ascii="仿宋" w:hAnsi="仿宋" w:eastAsia="仿宋"/>
          <w:bCs/>
          <w:color w:val="333333"/>
          <w:sz w:val="30"/>
          <w:szCs w:val="30"/>
        </w:rPr>
        <w:t>1、科学合理预算。</w:t>
      </w:r>
      <w:r>
        <w:rPr>
          <w:rFonts w:hint="eastAsia" w:ascii="仿宋" w:hAnsi="仿宋" w:eastAsia="仿宋"/>
          <w:color w:val="333333"/>
          <w:sz w:val="30"/>
          <w:szCs w:val="30"/>
        </w:rPr>
        <w:t>按照《预算法》的相关规定，参考上一年的预算执行情况和本年度的绩效目标科学编制预算，避免年中大幅追加以及超预算，尽可能缩小预算调整率，提高政府采购执行率，提高预算编制的准确性。在预算执行中，严格按照预算项目支出，尽量避免预算项目间的资金调剂。</w:t>
      </w:r>
    </w:p>
    <w:p>
      <w:pPr>
        <w:pStyle w:val="11"/>
        <w:spacing w:before="0" w:beforeAutospacing="0" w:after="0" w:afterAutospacing="0" w:line="450" w:lineRule="atLeast"/>
        <w:ind w:firstLine="640"/>
        <w:rPr>
          <w:rFonts w:ascii="仿宋" w:hAnsi="仿宋" w:eastAsia="仿宋"/>
          <w:color w:val="333333"/>
          <w:sz w:val="30"/>
          <w:szCs w:val="30"/>
        </w:rPr>
      </w:pPr>
      <w:r>
        <w:rPr>
          <w:rFonts w:hint="eastAsia" w:ascii="仿宋" w:hAnsi="仿宋" w:eastAsia="仿宋"/>
          <w:bCs/>
          <w:color w:val="333333"/>
          <w:sz w:val="30"/>
          <w:szCs w:val="30"/>
        </w:rPr>
        <w:t>2、继续加强制度建设。</w:t>
      </w:r>
      <w:r>
        <w:rPr>
          <w:rFonts w:hint="eastAsia" w:ascii="仿宋" w:hAnsi="仿宋" w:eastAsia="仿宋"/>
          <w:color w:val="333333"/>
          <w:sz w:val="30"/>
          <w:szCs w:val="30"/>
        </w:rPr>
        <w:t>根据实际情况不断完善管理制度，强化单位内部控制，在实际执行过程中，从严要求，保证各指标不超标。</w:t>
      </w:r>
    </w:p>
    <w:p>
      <w:pPr>
        <w:pStyle w:val="11"/>
        <w:spacing w:before="0" w:beforeAutospacing="0" w:after="0" w:afterAutospacing="0" w:line="450" w:lineRule="atLeast"/>
        <w:ind w:firstLine="640"/>
        <w:rPr>
          <w:rFonts w:ascii="仿宋" w:hAnsi="仿宋" w:eastAsia="仿宋"/>
          <w:color w:val="333333"/>
          <w:sz w:val="30"/>
          <w:szCs w:val="30"/>
        </w:rPr>
      </w:pPr>
      <w:r>
        <w:rPr>
          <w:rFonts w:hint="eastAsia" w:ascii="仿宋" w:hAnsi="仿宋" w:eastAsia="仿宋"/>
          <w:bCs/>
          <w:color w:val="333333"/>
          <w:sz w:val="30"/>
          <w:szCs w:val="30"/>
        </w:rPr>
        <w:t>3、提高财务管理水平</w:t>
      </w:r>
      <w:r>
        <w:rPr>
          <w:rFonts w:hint="eastAsia" w:ascii="仿宋" w:hAnsi="仿宋" w:eastAsia="仿宋"/>
          <w:color w:val="333333"/>
          <w:sz w:val="30"/>
          <w:szCs w:val="30"/>
        </w:rPr>
        <w:t>。建议财务部门，加强对各部门财务管理方面的指导，帮助和督促单位各部门提高财务管理水平。</w:t>
      </w:r>
    </w:p>
    <w:p>
      <w:pPr>
        <w:pStyle w:val="11"/>
        <w:spacing w:before="93" w:beforeAutospacing="0" w:after="0" w:afterAutospacing="0" w:line="450" w:lineRule="atLeast"/>
        <w:ind w:firstLine="640"/>
        <w:rPr>
          <w:rFonts w:ascii="仿宋" w:hAnsi="仿宋" w:eastAsia="仿宋"/>
          <w:color w:val="333333"/>
          <w:sz w:val="30"/>
          <w:szCs w:val="30"/>
        </w:rPr>
      </w:pPr>
      <w:r>
        <w:rPr>
          <w:rFonts w:hint="eastAsia" w:ascii="仿宋" w:hAnsi="仿宋" w:eastAsia="仿宋"/>
          <w:bCs/>
          <w:color w:val="333333"/>
          <w:sz w:val="30"/>
          <w:szCs w:val="30"/>
        </w:rPr>
        <w:t>4、增加财政资金投入。</w:t>
      </w:r>
      <w:r>
        <w:rPr>
          <w:rFonts w:hint="eastAsia" w:ascii="仿宋" w:hAnsi="仿宋" w:eastAsia="仿宋"/>
          <w:color w:val="333333"/>
          <w:sz w:val="30"/>
          <w:szCs w:val="30"/>
        </w:rPr>
        <w:t>在确保基本支出的同时搞好基础设施配套建设，同时增加单位立项争资、招商引资专项经费，加强旅游开发经费保障。</w:t>
      </w:r>
    </w:p>
    <w:p>
      <w:pPr>
        <w:spacing w:line="580" w:lineRule="exact"/>
        <w:ind w:firstLine="600" w:firstLineChars="200"/>
        <w:rPr>
          <w:rFonts w:ascii="仿宋" w:hAnsi="仿宋" w:eastAsia="仿宋" w:cs="仿宋_GB2312"/>
          <w:sz w:val="30"/>
          <w:szCs w:val="30"/>
        </w:rPr>
      </w:pPr>
    </w:p>
    <w:p>
      <w:pPr>
        <w:spacing w:line="580" w:lineRule="exact"/>
        <w:ind w:firstLine="600" w:firstLineChars="200"/>
        <w:rPr>
          <w:rFonts w:ascii="仿宋" w:hAnsi="仿宋" w:eastAsia="仿宋" w:cs="仿宋_GB2312"/>
          <w:sz w:val="30"/>
          <w:szCs w:val="30"/>
        </w:rPr>
      </w:pPr>
    </w:p>
    <w:p>
      <w:pPr>
        <w:widowControl/>
        <w:jc w:val="left"/>
        <w:rPr>
          <w:rFonts w:ascii="仿宋" w:hAnsi="仿宋" w:eastAsia="仿宋"/>
          <w:sz w:val="30"/>
          <w:szCs w:val="30"/>
        </w:rPr>
      </w:pPr>
      <w:r>
        <w:rPr>
          <w:rFonts w:hint="eastAsia" w:ascii="仿宋" w:hAnsi="仿宋" w:eastAsia="仿宋" w:cs="仿宋_GB2312"/>
          <w:sz w:val="30"/>
          <w:szCs w:val="30"/>
        </w:rPr>
        <w:br w:type="page"/>
      </w:r>
      <w:bookmarkStart w:id="61" w:name="_Toc15396617"/>
      <w:r>
        <w:rPr>
          <w:rStyle w:val="20"/>
          <w:rFonts w:hint="eastAsia" w:ascii="仿宋" w:hAnsi="仿宋" w:eastAsia="仿宋"/>
          <w:sz w:val="30"/>
          <w:szCs w:val="30"/>
        </w:rPr>
        <w:t>附件2</w:t>
      </w:r>
      <w:bookmarkEnd w:id="61"/>
    </w:p>
    <w:p>
      <w:pPr>
        <w:spacing w:line="580" w:lineRule="exact"/>
        <w:jc w:val="center"/>
        <w:rPr>
          <w:rFonts w:ascii="黑体" w:hAnsi="宋体" w:eastAsia="黑体" w:cs="方正小标宋简体"/>
          <w:sz w:val="44"/>
          <w:szCs w:val="44"/>
        </w:rPr>
      </w:pPr>
      <w:r>
        <w:rPr>
          <w:rFonts w:hint="eastAsia" w:ascii="黑体" w:hAnsi="宋体" w:eastAsia="黑体" w:cs="方正小标宋简体"/>
          <w:sz w:val="44"/>
          <w:szCs w:val="44"/>
        </w:rPr>
        <w:t>2018年国家重点生态功能区转移支付项目支出绩效评价报告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项目完成汉王洞工区1公里林区危旧道路改造及安防工程，游客中心LED屏采购，森林防火规划，古树名木调查等工程项目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0"/>
          <w:szCs w:val="30"/>
        </w:rPr>
      </w:pPr>
      <w:r>
        <w:rPr>
          <w:rFonts w:hint="eastAsia" w:ascii="仿宋" w:hAnsi="仿宋" w:eastAsia="仿宋" w:cs="仿宋_GB2312"/>
          <w:sz w:val="32"/>
          <w:szCs w:val="32"/>
        </w:rPr>
        <w:t>该项目全年预算745.44万元，执行数为166.54万元，完成预算的22.34%，通过项目实施</w:t>
      </w:r>
      <w:r>
        <w:rPr>
          <w:rFonts w:hint="eastAsia" w:ascii="仿宋" w:hAnsi="仿宋" w:eastAsia="仿宋" w:cs="宋体"/>
          <w:color w:val="000000"/>
          <w:sz w:val="30"/>
          <w:szCs w:val="30"/>
        </w:rPr>
        <w:t>，改造</w:t>
      </w:r>
      <w:r>
        <w:rPr>
          <w:rFonts w:ascii="仿宋" w:hAnsi="仿宋" w:eastAsia="仿宋" w:cs="宋体"/>
          <w:color w:val="000000"/>
          <w:sz w:val="30"/>
          <w:szCs w:val="30"/>
        </w:rPr>
        <w:t>了汉王洞工区的危旧道路，改善了</w:t>
      </w:r>
      <w:r>
        <w:rPr>
          <w:rFonts w:hint="eastAsia" w:ascii="仿宋" w:hAnsi="仿宋" w:eastAsia="仿宋" w:cs="宋体"/>
          <w:color w:val="000000"/>
          <w:sz w:val="30"/>
          <w:szCs w:val="30"/>
        </w:rPr>
        <w:t>公园基础设施条件，促进了森林旅游的发展，提高了游客的满意度，项目取得了良好的效果（包括项目评价得分表）。</w:t>
      </w:r>
      <w:r>
        <w:rPr>
          <w:rFonts w:hint="eastAsia" w:ascii="仿宋" w:hAnsi="仿宋" w:eastAsia="仿宋" w:cs="仿宋_GB2312"/>
          <w:sz w:val="30"/>
          <w:szCs w:val="30"/>
        </w:rPr>
        <w:t xml:space="preserve"> </w:t>
      </w:r>
    </w:p>
    <w:tbl>
      <w:tblPr>
        <w:tblStyle w:val="12"/>
        <w:tblpPr w:leftFromText="180" w:rightFromText="180" w:vertAnchor="text" w:horzAnchor="page" w:tblpXSpec="center" w:tblpY="423"/>
        <w:tblOverlap w:val="never"/>
        <w:tblW w:w="10249" w:type="dxa"/>
        <w:tblInd w:w="0" w:type="dxa"/>
        <w:tblLayout w:type="fixed"/>
        <w:tblCellMar>
          <w:top w:w="0" w:type="dxa"/>
          <w:left w:w="0" w:type="dxa"/>
          <w:bottom w:w="0" w:type="dxa"/>
          <w:right w:w="0" w:type="dxa"/>
        </w:tblCellMar>
      </w:tblPr>
      <w:tblGrid>
        <w:gridCol w:w="319"/>
        <w:gridCol w:w="1525"/>
        <w:gridCol w:w="1197"/>
        <w:gridCol w:w="30"/>
        <w:gridCol w:w="2392"/>
        <w:gridCol w:w="2394"/>
        <w:gridCol w:w="2362"/>
        <w:gridCol w:w="30"/>
      </w:tblGrid>
      <w:tr>
        <w:tblPrEx>
          <w:tblCellMar>
            <w:top w:w="0" w:type="dxa"/>
            <w:left w:w="0" w:type="dxa"/>
            <w:bottom w:w="0" w:type="dxa"/>
            <w:right w:w="0" w:type="dxa"/>
          </w:tblCellMar>
        </w:tblPrEx>
        <w:trPr>
          <w:gridAfter w:val="1"/>
          <w:wAfter w:w="30" w:type="dxa"/>
          <w:trHeight w:val="1034" w:hRule="atLeast"/>
        </w:trPr>
        <w:tc>
          <w:tcPr>
            <w:tcW w:w="10219" w:type="dxa"/>
            <w:gridSpan w:val="7"/>
            <w:shd w:val="clear" w:color="auto" w:fill="auto"/>
            <w:tcMar>
              <w:top w:w="15" w:type="dxa"/>
              <w:left w:w="15"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宋体" w:eastAsia="黑体" w:cs="宋体"/>
                <w:bCs/>
                <w:color w:val="000000"/>
                <w:kern w:val="0"/>
                <w:sz w:val="36"/>
                <w:szCs w:val="36"/>
              </w:rPr>
              <w:t>项目支出绩效目标完成情况表</w:t>
            </w:r>
            <w:r>
              <w:rPr>
                <w:rFonts w:hint="eastAsia" w:ascii="宋体" w:hAnsi="宋体" w:cs="宋体"/>
                <w:b/>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gridAfter w:val="1"/>
          <w:wAfter w:w="30" w:type="dxa"/>
          <w:trHeight w:val="276" w:hRule="atLeast"/>
        </w:trPr>
        <w:tc>
          <w:tcPr>
            <w:tcW w:w="3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项目名称</w:t>
            </w:r>
          </w:p>
        </w:tc>
        <w:tc>
          <w:tcPr>
            <w:tcW w:w="71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四川天曌山国家森林公园国家重点生态功能区转移支付资金项目</w:t>
            </w:r>
          </w:p>
        </w:tc>
      </w:tr>
      <w:tr>
        <w:tblPrEx>
          <w:tblCellMar>
            <w:top w:w="0" w:type="dxa"/>
            <w:left w:w="0" w:type="dxa"/>
            <w:bottom w:w="0" w:type="dxa"/>
            <w:right w:w="0" w:type="dxa"/>
          </w:tblCellMar>
        </w:tblPrEx>
        <w:trPr>
          <w:trHeight w:val="494" w:hRule="atLeast"/>
        </w:trPr>
        <w:tc>
          <w:tcPr>
            <w:tcW w:w="319" w:type="dxa"/>
            <w:tcBorders>
              <w:top w:val="single" w:color="000000" w:sz="4" w:space="0"/>
              <w:left w:val="single" w:color="000000" w:sz="4" w:space="0"/>
              <w:bottom w:val="single" w:color="auto" w:sz="4" w:space="0"/>
            </w:tcBorders>
            <w:shd w:val="clear" w:color="auto" w:fill="auto"/>
            <w:tcMar>
              <w:top w:w="15" w:type="dxa"/>
              <w:left w:w="15" w:type="dxa"/>
              <w:right w:w="15" w:type="dxa"/>
            </w:tcMar>
            <w:vAlign w:val="center"/>
          </w:tcPr>
          <w:p>
            <w:pPr>
              <w:rPr>
                <w:szCs w:val="21"/>
              </w:rPr>
            </w:pPr>
          </w:p>
        </w:tc>
        <w:tc>
          <w:tcPr>
            <w:tcW w:w="1525"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一级指标</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二级指标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三级指标</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szCs w:val="21"/>
              </w:rPr>
              <w:t>分值</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szCs w:val="21"/>
              </w:rPr>
              <w:t>得分</w:t>
            </w:r>
          </w:p>
        </w:tc>
      </w:tr>
      <w:tr>
        <w:tblPrEx>
          <w:tblCellMar>
            <w:top w:w="0" w:type="dxa"/>
            <w:left w:w="0" w:type="dxa"/>
            <w:bottom w:w="0" w:type="dxa"/>
            <w:right w:w="0" w:type="dxa"/>
          </w:tblCellMar>
        </w:tblPrEx>
        <w:trPr>
          <w:trHeight w:val="832" w:hRule="atLeast"/>
        </w:trPr>
        <w:tc>
          <w:tcPr>
            <w:tcW w:w="319" w:type="dxa"/>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pPr>
              <w:spacing w:line="360" w:lineRule="exact"/>
              <w:rPr>
                <w:szCs w:val="21"/>
              </w:rPr>
            </w:pPr>
          </w:p>
        </w:tc>
        <w:tc>
          <w:tcPr>
            <w:tcW w:w="1525"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完成项目预期数量指标</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10</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8</w:t>
            </w:r>
          </w:p>
        </w:tc>
      </w:tr>
      <w:tr>
        <w:tblPrEx>
          <w:tblCellMar>
            <w:top w:w="0" w:type="dxa"/>
            <w:left w:w="0" w:type="dxa"/>
            <w:bottom w:w="0" w:type="dxa"/>
            <w:right w:w="0" w:type="dxa"/>
          </w:tblCellMar>
        </w:tblPrEx>
        <w:trPr>
          <w:trHeight w:val="672" w:hRule="atLeast"/>
        </w:trPr>
        <w:tc>
          <w:tcPr>
            <w:tcW w:w="319" w:type="dxa"/>
            <w:vMerge w:val="restart"/>
            <w:tcBorders>
              <w:top w:val="single" w:color="auto" w:sz="4" w:space="0"/>
              <w:left w:val="single" w:color="000000" w:sz="4" w:space="0"/>
              <w:bottom w:val="single" w:color="000000" w:sz="4" w:space="0"/>
            </w:tcBorders>
            <w:shd w:val="clear" w:color="auto" w:fill="auto"/>
            <w:tcMar>
              <w:top w:w="15" w:type="dxa"/>
              <w:left w:w="15" w:type="dxa"/>
              <w:right w:w="15" w:type="dxa"/>
            </w:tcMar>
            <w:vAlign w:val="center"/>
          </w:tcPr>
          <w:p>
            <w:pPr>
              <w:spacing w:line="360" w:lineRule="exact"/>
              <w:rPr>
                <w:szCs w:val="21"/>
              </w:rPr>
            </w:pPr>
          </w:p>
        </w:tc>
        <w:tc>
          <w:tcPr>
            <w:tcW w:w="1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质量指标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按设计及国家质量标准要求完成工程</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20</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20</w:t>
            </w:r>
          </w:p>
        </w:tc>
      </w:tr>
      <w:tr>
        <w:tblPrEx>
          <w:tblCellMar>
            <w:top w:w="0" w:type="dxa"/>
            <w:left w:w="0" w:type="dxa"/>
            <w:bottom w:w="0" w:type="dxa"/>
            <w:right w:w="0" w:type="dxa"/>
          </w:tblCellMar>
        </w:tblPrEx>
        <w:trPr>
          <w:trHeight w:val="826" w:hRule="atLeast"/>
        </w:trPr>
        <w:tc>
          <w:tcPr>
            <w:tcW w:w="319" w:type="dxa"/>
            <w:vMerge w:val="continue"/>
            <w:tcBorders>
              <w:top w:val="single" w:color="auto" w:sz="4" w:space="0"/>
              <w:left w:val="single" w:color="000000" w:sz="4" w:space="0"/>
              <w:bottom w:val="single" w:color="000000" w:sz="4" w:space="0"/>
            </w:tcBorders>
            <w:shd w:val="clear" w:color="auto" w:fill="auto"/>
            <w:tcMar>
              <w:top w:w="15" w:type="dxa"/>
              <w:left w:w="15" w:type="dxa"/>
              <w:right w:w="15" w:type="dxa"/>
            </w:tcMar>
            <w:vAlign w:val="center"/>
          </w:tcPr>
          <w:p>
            <w:pPr>
              <w:spacing w:line="360" w:lineRule="exact"/>
              <w:rPr>
                <w:szCs w:val="21"/>
              </w:rPr>
            </w:pPr>
          </w:p>
        </w:tc>
        <w:tc>
          <w:tcPr>
            <w:tcW w:w="1525" w:type="dxa"/>
            <w:tcBorders>
              <w:top w:val="single" w:color="auto" w:sz="4" w:space="0"/>
              <w:left w:val="nil"/>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227"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时效指标</w:t>
            </w:r>
          </w:p>
        </w:tc>
        <w:tc>
          <w:tcPr>
            <w:tcW w:w="239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textAlignment w:val="center"/>
              <w:rPr>
                <w:rFonts w:ascii="宋体" w:hAnsi="宋体" w:cs="宋体"/>
                <w:color w:val="000000"/>
                <w:szCs w:val="21"/>
              </w:rPr>
            </w:pPr>
            <w:r>
              <w:rPr>
                <w:rFonts w:hint="eastAsia" w:ascii="宋体" w:hAnsi="宋体" w:cs="宋体"/>
                <w:color w:val="000000"/>
                <w:szCs w:val="21"/>
              </w:rPr>
              <w:t>按时完成年底工程建</w:t>
            </w:r>
          </w:p>
          <w:p>
            <w:pPr>
              <w:spacing w:line="360" w:lineRule="exact"/>
              <w:jc w:val="center"/>
              <w:textAlignment w:val="center"/>
              <w:rPr>
                <w:rFonts w:ascii="宋体" w:hAnsi="宋体" w:cs="宋体"/>
                <w:color w:val="000000"/>
                <w:szCs w:val="21"/>
              </w:rPr>
            </w:pPr>
            <w:r>
              <w:rPr>
                <w:rFonts w:hint="eastAsia" w:ascii="宋体" w:hAnsi="宋体" w:cs="宋体"/>
                <w:color w:val="000000"/>
                <w:szCs w:val="21"/>
              </w:rPr>
              <w:t>设内容</w:t>
            </w:r>
          </w:p>
        </w:tc>
        <w:tc>
          <w:tcPr>
            <w:tcW w:w="239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textAlignment w:val="center"/>
              <w:rPr>
                <w:rFonts w:ascii="宋体" w:hAnsi="宋体" w:cs="宋体"/>
                <w:color w:val="000000"/>
                <w:szCs w:val="21"/>
              </w:rPr>
            </w:pPr>
            <w:r>
              <w:rPr>
                <w:rFonts w:hint="eastAsia" w:ascii="宋体" w:hAnsi="宋体" w:cs="宋体"/>
                <w:color w:val="000000"/>
                <w:szCs w:val="21"/>
              </w:rPr>
              <w:t>20</w:t>
            </w:r>
          </w:p>
        </w:tc>
        <w:tc>
          <w:tcPr>
            <w:tcW w:w="2392"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textAlignment w:val="center"/>
              <w:rPr>
                <w:rFonts w:ascii="宋体" w:hAnsi="宋体" w:cs="宋体"/>
                <w:color w:val="000000"/>
                <w:szCs w:val="21"/>
              </w:rPr>
            </w:pPr>
            <w:r>
              <w:rPr>
                <w:rFonts w:hint="eastAsia" w:ascii="宋体" w:hAnsi="宋体" w:cs="宋体"/>
                <w:color w:val="000000"/>
                <w:szCs w:val="21"/>
              </w:rPr>
              <w:t>15</w:t>
            </w:r>
          </w:p>
        </w:tc>
      </w:tr>
      <w:tr>
        <w:tblPrEx>
          <w:tblCellMar>
            <w:top w:w="0" w:type="dxa"/>
            <w:left w:w="0" w:type="dxa"/>
            <w:bottom w:w="0" w:type="dxa"/>
            <w:right w:w="0" w:type="dxa"/>
          </w:tblCellMar>
        </w:tblPrEx>
        <w:trPr>
          <w:trHeight w:val="831" w:hRule="atLeast"/>
        </w:trPr>
        <w:tc>
          <w:tcPr>
            <w:tcW w:w="319" w:type="dxa"/>
            <w:vMerge w:val="continue"/>
            <w:tcBorders>
              <w:top w:val="single" w:color="auto" w:sz="4" w:space="0"/>
              <w:left w:val="single" w:color="000000" w:sz="4" w:space="0"/>
              <w:bottom w:val="single" w:color="000000" w:sz="4" w:space="0"/>
            </w:tcBorders>
            <w:shd w:val="clear" w:color="auto" w:fill="auto"/>
            <w:tcMar>
              <w:top w:w="15" w:type="dxa"/>
              <w:left w:w="15" w:type="dxa"/>
              <w:right w:w="15" w:type="dxa"/>
            </w:tcMar>
            <w:vAlign w:val="center"/>
          </w:tcPr>
          <w:p>
            <w:pPr>
              <w:spacing w:line="360" w:lineRule="exact"/>
              <w:rPr>
                <w:szCs w:val="21"/>
              </w:rPr>
            </w:pPr>
          </w:p>
        </w:tc>
        <w:tc>
          <w:tcPr>
            <w:tcW w:w="1525" w:type="dxa"/>
            <w:tcBorders>
              <w:top w:val="single" w:color="auto" w:sz="4" w:space="0"/>
              <w:left w:val="nil"/>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227"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textAlignment w:val="center"/>
              <w:rPr>
                <w:rFonts w:ascii="宋体" w:hAnsi="宋体" w:cs="宋体"/>
                <w:color w:val="000000"/>
                <w:szCs w:val="21"/>
              </w:rPr>
            </w:pPr>
            <w:r>
              <w:rPr>
                <w:rFonts w:hint="eastAsia" w:ascii="宋体" w:hAnsi="宋体" w:cs="宋体"/>
                <w:color w:val="000000"/>
                <w:szCs w:val="21"/>
              </w:rPr>
              <w:t>经济效益</w:t>
            </w:r>
          </w:p>
          <w:p>
            <w:pPr>
              <w:spacing w:line="360" w:lineRule="exact"/>
              <w:jc w:val="center"/>
              <w:textAlignment w:val="center"/>
              <w:rPr>
                <w:rFonts w:ascii="宋体" w:hAnsi="宋体" w:cs="宋体"/>
                <w:color w:val="000000"/>
                <w:szCs w:val="21"/>
              </w:rPr>
            </w:pPr>
            <w:r>
              <w:rPr>
                <w:rFonts w:hint="eastAsia" w:ascii="宋体" w:hAnsi="宋体" w:cs="宋体"/>
                <w:color w:val="000000"/>
                <w:szCs w:val="21"/>
              </w:rPr>
              <w:t>指标</w:t>
            </w:r>
          </w:p>
        </w:tc>
        <w:tc>
          <w:tcPr>
            <w:tcW w:w="239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textAlignment w:val="center"/>
              <w:rPr>
                <w:rFonts w:ascii="宋体" w:hAnsi="宋体" w:cs="宋体"/>
                <w:color w:val="000000"/>
                <w:szCs w:val="21"/>
              </w:rPr>
            </w:pPr>
            <w:r>
              <w:rPr>
                <w:rFonts w:hint="eastAsia" w:ascii="宋体" w:hAnsi="宋体" w:cs="宋体"/>
                <w:color w:val="000000"/>
                <w:szCs w:val="21"/>
              </w:rPr>
              <w:t>增加旅游综合收入，带</w:t>
            </w:r>
          </w:p>
          <w:p>
            <w:pPr>
              <w:spacing w:line="360" w:lineRule="exact"/>
              <w:jc w:val="center"/>
              <w:textAlignment w:val="center"/>
              <w:rPr>
                <w:rFonts w:ascii="宋体" w:hAnsi="宋体" w:cs="宋体"/>
                <w:color w:val="000000"/>
                <w:szCs w:val="21"/>
              </w:rPr>
            </w:pPr>
            <w:r>
              <w:rPr>
                <w:rFonts w:hint="eastAsia" w:ascii="宋体" w:hAnsi="宋体" w:cs="宋体"/>
                <w:color w:val="000000"/>
                <w:szCs w:val="21"/>
              </w:rPr>
              <w:t>动周边发展和增加就业。</w:t>
            </w:r>
          </w:p>
        </w:tc>
        <w:tc>
          <w:tcPr>
            <w:tcW w:w="239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textAlignment w:val="center"/>
              <w:rPr>
                <w:rFonts w:ascii="宋体" w:hAnsi="宋体" w:cs="宋体"/>
                <w:color w:val="000000"/>
                <w:szCs w:val="21"/>
              </w:rPr>
            </w:pPr>
            <w:r>
              <w:rPr>
                <w:rFonts w:hint="eastAsia" w:ascii="宋体" w:hAnsi="宋体" w:cs="宋体"/>
                <w:color w:val="000000"/>
                <w:szCs w:val="21"/>
              </w:rPr>
              <w:t>10</w:t>
            </w:r>
          </w:p>
        </w:tc>
        <w:tc>
          <w:tcPr>
            <w:tcW w:w="2392"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textAlignment w:val="center"/>
              <w:rPr>
                <w:rFonts w:ascii="宋体" w:hAnsi="宋体" w:cs="宋体"/>
                <w:color w:val="000000"/>
                <w:szCs w:val="21"/>
              </w:rPr>
            </w:pPr>
            <w:r>
              <w:rPr>
                <w:rFonts w:hint="eastAsia" w:ascii="宋体" w:hAnsi="宋体" w:cs="宋体"/>
                <w:color w:val="000000"/>
                <w:szCs w:val="21"/>
              </w:rPr>
              <w:t>10</w:t>
            </w:r>
          </w:p>
        </w:tc>
      </w:tr>
      <w:tr>
        <w:tblPrEx>
          <w:tblCellMar>
            <w:top w:w="0" w:type="dxa"/>
            <w:left w:w="0" w:type="dxa"/>
            <w:bottom w:w="0" w:type="dxa"/>
            <w:right w:w="0" w:type="dxa"/>
          </w:tblCellMar>
        </w:tblPrEx>
        <w:trPr>
          <w:trHeight w:val="1297" w:hRule="atLeast"/>
        </w:trPr>
        <w:tc>
          <w:tcPr>
            <w:tcW w:w="319"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360" w:lineRule="exact"/>
              <w:rPr>
                <w:szCs w:val="21"/>
              </w:rPr>
            </w:pPr>
          </w:p>
        </w:tc>
        <w:tc>
          <w:tcPr>
            <w:tcW w:w="1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社会效益</w:t>
            </w:r>
          </w:p>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szCs w:val="21"/>
              </w:rPr>
              <w:t>提高天曌山国家森林公园的管理能力水平，改善公园森林生态景观，</w:t>
            </w:r>
            <w:r>
              <w:rPr>
                <w:rFonts w:hint="eastAsia" w:ascii="宋体" w:hAnsi="宋体" w:cs="宋体"/>
                <w:szCs w:val="21"/>
                <w:lang w:val="zh-CN"/>
              </w:rPr>
              <w:t>促进森林旅游活动开展，丰富森林旅游内容，推进我区旅游产业发展和</w:t>
            </w:r>
            <w:r>
              <w:rPr>
                <w:rFonts w:hint="eastAsia" w:ascii="宋体" w:hAnsi="宋体" w:cs="宋体"/>
                <w:kern w:val="0"/>
                <w:szCs w:val="21"/>
                <w:lang w:val="zh-CN"/>
              </w:rPr>
              <w:t>经济建设</w:t>
            </w:r>
            <w:r>
              <w:rPr>
                <w:rFonts w:ascii="宋体" w:hAnsi="宋体" w:cs="宋体"/>
                <w:color w:val="000000"/>
                <w:szCs w:val="21"/>
              </w:rPr>
              <w:t xml:space="preserve"> </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10</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10</w:t>
            </w:r>
          </w:p>
        </w:tc>
      </w:tr>
      <w:tr>
        <w:tblPrEx>
          <w:tblCellMar>
            <w:top w:w="0" w:type="dxa"/>
            <w:left w:w="0" w:type="dxa"/>
            <w:bottom w:w="0" w:type="dxa"/>
            <w:right w:w="0" w:type="dxa"/>
          </w:tblCellMar>
        </w:tblPrEx>
        <w:trPr>
          <w:trHeight w:val="1297" w:hRule="atLeast"/>
        </w:trPr>
        <w:tc>
          <w:tcPr>
            <w:tcW w:w="319"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360" w:lineRule="exact"/>
              <w:rPr>
                <w:szCs w:val="21"/>
              </w:rPr>
            </w:pPr>
          </w:p>
        </w:tc>
        <w:tc>
          <w:tcPr>
            <w:tcW w:w="1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Cs w:val="21"/>
              </w:rPr>
            </w:pPr>
            <w:r>
              <w:rPr>
                <w:rFonts w:hint="eastAsia" w:ascii="宋体" w:hAnsi="宋体" w:cs="宋体"/>
                <w:color w:val="000000"/>
                <w:kern w:val="0"/>
                <w:szCs w:val="21"/>
              </w:rPr>
              <w:t>效益指标</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生态效益</w:t>
            </w:r>
          </w:p>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szCs w:val="21"/>
              </w:rPr>
              <w:t>保护和合理利用森林风景资源和生物多样性、普及生态文化知识、发展生态旅游，使公园森林风景资源得到有效保护和利用</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10</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10</w:t>
            </w:r>
          </w:p>
        </w:tc>
      </w:tr>
      <w:tr>
        <w:tblPrEx>
          <w:tblCellMar>
            <w:top w:w="0" w:type="dxa"/>
            <w:left w:w="0" w:type="dxa"/>
            <w:bottom w:w="0" w:type="dxa"/>
            <w:right w:w="0" w:type="dxa"/>
          </w:tblCellMar>
        </w:tblPrEx>
        <w:trPr>
          <w:trHeight w:val="921" w:hRule="atLeast"/>
        </w:trPr>
        <w:tc>
          <w:tcPr>
            <w:tcW w:w="319"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360" w:lineRule="exact"/>
              <w:rPr>
                <w:szCs w:val="21"/>
              </w:rPr>
            </w:pPr>
          </w:p>
        </w:tc>
        <w:tc>
          <w:tcPr>
            <w:tcW w:w="1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Cs w:val="21"/>
              </w:rPr>
            </w:pPr>
            <w:r>
              <w:rPr>
                <w:rFonts w:hint="eastAsia" w:ascii="宋体" w:hAnsi="宋体" w:cs="宋体"/>
                <w:color w:val="000000"/>
                <w:kern w:val="0"/>
                <w:szCs w:val="21"/>
              </w:rPr>
              <w:t>效益指标</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可持续影响指标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Times New Roman" w:hAnsi="Times New Roman"/>
                <w:szCs w:val="21"/>
              </w:rPr>
              <w:t>实现以游养林，以林促游的良性循环，达到森林资源的永续利用</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10</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10</w:t>
            </w:r>
          </w:p>
        </w:tc>
      </w:tr>
      <w:tr>
        <w:tblPrEx>
          <w:tblCellMar>
            <w:top w:w="0" w:type="dxa"/>
            <w:left w:w="0" w:type="dxa"/>
            <w:bottom w:w="0" w:type="dxa"/>
            <w:right w:w="0" w:type="dxa"/>
          </w:tblCellMar>
        </w:tblPrEx>
        <w:trPr>
          <w:trHeight w:val="525" w:hRule="atLeast"/>
        </w:trPr>
        <w:tc>
          <w:tcPr>
            <w:tcW w:w="319"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360" w:lineRule="exact"/>
              <w:rPr>
                <w:szCs w:val="21"/>
              </w:rPr>
            </w:pPr>
          </w:p>
        </w:tc>
        <w:tc>
          <w:tcPr>
            <w:tcW w:w="1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满意度指标</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满意度指标</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项目达优良工程，游客满意度达96%。</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10</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10</w:t>
            </w:r>
          </w:p>
        </w:tc>
      </w:tr>
      <w:tr>
        <w:tblPrEx>
          <w:tblCellMar>
            <w:top w:w="0" w:type="dxa"/>
            <w:left w:w="0" w:type="dxa"/>
            <w:bottom w:w="0" w:type="dxa"/>
            <w:right w:w="0" w:type="dxa"/>
          </w:tblCellMar>
        </w:tblPrEx>
        <w:trPr>
          <w:trHeight w:val="409" w:hRule="atLeast"/>
        </w:trPr>
        <w:tc>
          <w:tcPr>
            <w:tcW w:w="31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360" w:lineRule="exact"/>
              <w:rPr>
                <w:szCs w:val="21"/>
              </w:rPr>
            </w:pPr>
          </w:p>
        </w:tc>
        <w:tc>
          <w:tcPr>
            <w:tcW w:w="1525"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kern w:val="0"/>
                <w:szCs w:val="21"/>
              </w:rPr>
            </w:pPr>
            <w:r>
              <w:rPr>
                <w:rFonts w:hint="eastAsia" w:ascii="宋体" w:hAnsi="宋体" w:cs="宋体"/>
                <w:color w:val="000000"/>
                <w:kern w:val="0"/>
                <w:szCs w:val="21"/>
              </w:rPr>
              <w:t>得  分</w:t>
            </w:r>
          </w:p>
        </w:tc>
        <w:tc>
          <w:tcPr>
            <w:tcW w:w="840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93分</w:t>
            </w:r>
          </w:p>
        </w:tc>
      </w:tr>
      <w:tr>
        <w:tblPrEx>
          <w:tblCellMar>
            <w:top w:w="0" w:type="dxa"/>
            <w:left w:w="0" w:type="dxa"/>
            <w:bottom w:w="0" w:type="dxa"/>
            <w:right w:w="0" w:type="dxa"/>
          </w:tblCellMar>
        </w:tblPrEx>
        <w:trPr>
          <w:gridAfter w:val="1"/>
          <w:wAfter w:w="30" w:type="dxa"/>
          <w:trHeight w:val="2083" w:hRule="atLeast"/>
        </w:trPr>
        <w:tc>
          <w:tcPr>
            <w:tcW w:w="10219" w:type="dxa"/>
            <w:gridSpan w:val="7"/>
            <w:tcBorders>
              <w:bottom w:val="nil"/>
            </w:tcBorders>
            <w:shd w:val="clear" w:color="auto" w:fill="auto"/>
            <w:tcMar>
              <w:top w:w="15" w:type="dxa"/>
              <w:left w:w="15"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p>
        </w:tc>
      </w:tr>
    </w:tbl>
    <w:p>
      <w:pPr>
        <w:spacing w:line="580" w:lineRule="exact"/>
        <w:ind w:firstLine="320" w:firstLineChars="1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1、项目决策</w:t>
      </w:r>
    </w:p>
    <w:p>
      <w:pPr>
        <w:spacing w:line="580" w:lineRule="exact"/>
        <w:ind w:firstLine="600" w:firstLineChars="200"/>
        <w:rPr>
          <w:rFonts w:ascii="仿宋" w:hAnsi="仿宋" w:eastAsia="仿宋" w:cs="仿宋_GB2312"/>
          <w:sz w:val="30"/>
          <w:szCs w:val="30"/>
        </w:rPr>
      </w:pPr>
      <w:r>
        <w:rPr>
          <w:rFonts w:hint="eastAsia" w:ascii="仿宋" w:hAnsi="仿宋" w:eastAsia="仿宋" w:cs="宋体"/>
          <w:color w:val="000000"/>
          <w:sz w:val="30"/>
          <w:szCs w:val="30"/>
        </w:rPr>
        <w:t>国家重点生态功能区转移支付资金项目是国家</w:t>
      </w:r>
      <w:r>
        <w:rPr>
          <w:rFonts w:hint="eastAsia" w:ascii="仿宋" w:hAnsi="仿宋" w:eastAsia="仿宋"/>
          <w:sz w:val="30"/>
          <w:szCs w:val="30"/>
        </w:rPr>
        <w:t>保护和合理利用森林风景资源和生物多样性、普及生态文化知识、发展生态旅游，使公园森林风景资源得到有效保护和利用的必要生态保障，绩效目标设置了完成指标、效益指标和满意度指标，分别考核了该项目的完成数量、质量、时效、经济效益、社会效益、生态效益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该项目全年预算数745.44万元，执行数为166.54万元，完成预算的22.34%，共支付工程项目进度款124.18万元，设施设备款42.36万元。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该项目的设施提高了景区的生态环境，改善了公园的基础设施条件和生态景观，促进了森林旅游活动的开展。项目整体建设较好。</w:t>
      </w:r>
    </w:p>
    <w:p>
      <w:pPr>
        <w:tabs>
          <w:tab w:val="left" w:pos="312"/>
        </w:tabs>
        <w:spacing w:line="58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sz w:val="32"/>
          <w:szCs w:val="32"/>
        </w:rPr>
        <w:t>三、存在主要问题：</w:t>
      </w:r>
      <w:r>
        <w:rPr>
          <w:rFonts w:hint="eastAsia" w:ascii="仿宋" w:hAnsi="仿宋" w:eastAsia="仿宋" w:cs="仿宋_GB2312"/>
          <w:color w:val="000000" w:themeColor="text1"/>
          <w:sz w:val="32"/>
          <w:szCs w:val="32"/>
        </w:rPr>
        <w:t>由于</w:t>
      </w:r>
      <w:r>
        <w:rPr>
          <w:rFonts w:ascii="仿宋" w:hAnsi="仿宋" w:eastAsia="仿宋"/>
          <w:color w:val="000000" w:themeColor="text1"/>
          <w:sz w:val="32"/>
          <w:szCs w:val="32"/>
        </w:rPr>
        <w:t>天曌山国家森林公园海拔较高，冬季气候寒冷，每年10月底至第二年3月都不具备施工条件，项目进展缓慢</w:t>
      </w:r>
      <w:r>
        <w:rPr>
          <w:rFonts w:hint="eastAsia" w:ascii="仿宋" w:hAnsi="仿宋" w:eastAsia="仿宋" w:cs="仿宋_GB2312"/>
          <w:color w:val="000000" w:themeColor="text1"/>
          <w:sz w:val="32"/>
          <w:szCs w:val="32"/>
        </w:rPr>
        <w:t>。</w:t>
      </w:r>
    </w:p>
    <w:p>
      <w:pPr>
        <w:tabs>
          <w:tab w:val="left" w:pos="312"/>
        </w:tabs>
        <w:spacing w:line="58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sz w:val="32"/>
          <w:szCs w:val="32"/>
        </w:rPr>
        <w:t>四、相关措施建议：</w:t>
      </w:r>
      <w:r>
        <w:rPr>
          <w:rFonts w:hint="eastAsia" w:ascii="仿宋" w:hAnsi="仿宋" w:eastAsia="仿宋" w:cs="仿宋_GB2312"/>
          <w:color w:val="000000" w:themeColor="text1"/>
          <w:sz w:val="32"/>
          <w:szCs w:val="32"/>
        </w:rPr>
        <w:t>在可施工时间段，加快施工进度，力争保质保量的完成项目。</w:t>
      </w:r>
    </w:p>
    <w:p>
      <w:pPr>
        <w:spacing w:line="580" w:lineRule="exact"/>
        <w:ind w:firstLine="640" w:firstLineChars="200"/>
        <w:rPr>
          <w:rFonts w:ascii="仿宋" w:hAnsi="仿宋" w:eastAsia="仿宋" w:cs="仿宋_GB2312"/>
          <w:sz w:val="32"/>
          <w:szCs w:val="32"/>
        </w:rPr>
      </w:pPr>
    </w:p>
    <w:p>
      <w:pPr>
        <w:spacing w:line="580" w:lineRule="exact"/>
        <w:jc w:val="center"/>
        <w:rPr>
          <w:rFonts w:ascii="黑体" w:hAnsi="黑体" w:eastAsia="黑体" w:cs="方正小标宋简体"/>
          <w:sz w:val="44"/>
          <w:szCs w:val="44"/>
        </w:rPr>
      </w:pPr>
      <w:bookmarkStart w:id="62" w:name="_Toc15396618"/>
      <w:r>
        <w:rPr>
          <w:rFonts w:hint="eastAsia" w:ascii="黑体" w:hAnsi="黑体" w:eastAsia="黑体" w:cs="方正小标宋简体"/>
          <w:sz w:val="44"/>
          <w:szCs w:val="44"/>
        </w:rPr>
        <w:t>2018年</w:t>
      </w:r>
      <w:r>
        <w:rPr>
          <w:rFonts w:hint="eastAsia" w:ascii="黑体" w:hAnsi="黑体" w:eastAsia="黑体" w:cs="宋体"/>
          <w:b/>
          <w:color w:val="000000"/>
          <w:sz w:val="44"/>
          <w:szCs w:val="44"/>
        </w:rPr>
        <w:t>保护利用设施建设项目</w:t>
      </w:r>
      <w:r>
        <w:rPr>
          <w:rFonts w:hint="eastAsia" w:ascii="黑体" w:hAnsi="黑体" w:eastAsia="黑体" w:cs="方正小标宋简体"/>
          <w:sz w:val="44"/>
          <w:szCs w:val="44"/>
        </w:rPr>
        <w:t>项目支出绩效评价报告</w:t>
      </w:r>
    </w:p>
    <w:p>
      <w:pPr>
        <w:spacing w:line="580" w:lineRule="exact"/>
        <w:ind w:firstLine="640" w:firstLineChars="200"/>
        <w:rPr>
          <w:rFonts w:ascii="黑体" w:hAnsi="黑体" w:eastAsia="黑体"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600" w:firstLineChars="200"/>
        <w:rPr>
          <w:rFonts w:ascii="仿宋" w:hAnsi="仿宋" w:eastAsia="仿宋" w:cs="仿宋_GB2312"/>
          <w:sz w:val="30"/>
          <w:szCs w:val="30"/>
        </w:rPr>
      </w:pPr>
      <w:r>
        <w:rPr>
          <w:rFonts w:hint="eastAsia" w:ascii="仿宋" w:hAnsi="仿宋" w:eastAsia="仿宋" w:cs="仿宋_GB2312"/>
          <w:kern w:val="0"/>
          <w:sz w:val="30"/>
          <w:szCs w:val="30"/>
        </w:rPr>
        <w:t>该项目完成景区步游道建设6.2公里，完成森林体验和森林养生节点建设4处；森林防火物资、垃圾桶、移动厕所等完成采购并交付使用；修建完成停车场5处；完成休息廊亭20处；栏杆安装完成2700米。</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color w:val="000000" w:themeColor="text1"/>
          <w:sz w:val="32"/>
          <w:szCs w:val="32"/>
        </w:rPr>
        <w:t>该项目全年预算数144.89万元，执行数为144.89万元，完成预算的100%。通过项目实施，增加了景区的基础设施，</w:t>
      </w:r>
      <w:r>
        <w:rPr>
          <w:rFonts w:hint="eastAsia" w:ascii="仿宋" w:hAnsi="仿宋" w:eastAsia="仿宋"/>
          <w:color w:val="000000" w:themeColor="text1"/>
          <w:sz w:val="32"/>
          <w:szCs w:val="32"/>
        </w:rPr>
        <w:t>改善了景区的旅游环境和周边的经济效益，使公园森林风景资源得到了有效保护和利用。</w:t>
      </w:r>
      <w:r>
        <w:rPr>
          <w:rFonts w:hint="eastAsia" w:ascii="仿宋" w:hAnsi="仿宋" w:eastAsia="仿宋" w:cs="仿宋_GB2312"/>
          <w:sz w:val="32"/>
          <w:szCs w:val="32"/>
        </w:rPr>
        <w:t>（包括项目评价得分表）</w:t>
      </w:r>
    </w:p>
    <w:tbl>
      <w:tblPr>
        <w:tblStyle w:val="12"/>
        <w:tblpPr w:leftFromText="180" w:rightFromText="180" w:vertAnchor="text" w:horzAnchor="page" w:tblpXSpec="center" w:tblpY="423"/>
        <w:tblOverlap w:val="never"/>
        <w:tblW w:w="9938" w:type="dxa"/>
        <w:tblInd w:w="0" w:type="dxa"/>
        <w:tblLayout w:type="fixed"/>
        <w:tblCellMar>
          <w:top w:w="0" w:type="dxa"/>
          <w:left w:w="0" w:type="dxa"/>
          <w:bottom w:w="0" w:type="dxa"/>
          <w:right w:w="0" w:type="dxa"/>
        </w:tblCellMar>
      </w:tblPr>
      <w:tblGrid>
        <w:gridCol w:w="659"/>
        <w:gridCol w:w="1766"/>
        <w:gridCol w:w="1418"/>
        <w:gridCol w:w="3402"/>
        <w:gridCol w:w="1559"/>
        <w:gridCol w:w="1134"/>
      </w:tblGrid>
      <w:tr>
        <w:tblPrEx>
          <w:tblCellMar>
            <w:top w:w="0" w:type="dxa"/>
            <w:left w:w="0" w:type="dxa"/>
            <w:bottom w:w="0" w:type="dxa"/>
            <w:right w:w="0" w:type="dxa"/>
          </w:tblCellMar>
        </w:tblPrEx>
        <w:trPr>
          <w:trHeight w:val="1034" w:hRule="atLeast"/>
        </w:trPr>
        <w:tc>
          <w:tcPr>
            <w:tcW w:w="9938" w:type="dxa"/>
            <w:gridSpan w:val="6"/>
            <w:shd w:val="clear" w:color="auto" w:fill="auto"/>
            <w:tcMar>
              <w:top w:w="15" w:type="dxa"/>
              <w:left w:w="15"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宋体" w:eastAsia="黑体" w:cs="宋体"/>
                <w:bCs/>
                <w:color w:val="000000"/>
                <w:kern w:val="0"/>
                <w:sz w:val="36"/>
                <w:szCs w:val="36"/>
              </w:rPr>
              <w:t>项目支出绩效目标完成情况表</w:t>
            </w:r>
            <w:r>
              <w:rPr>
                <w:rFonts w:hint="eastAsia" w:ascii="宋体" w:hAnsi="宋体" w:cs="宋体"/>
                <w:b/>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38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四川天曌山国家森林公园保护利用设施建设项目</w:t>
            </w:r>
          </w:p>
        </w:tc>
      </w:tr>
      <w:tr>
        <w:tblPrEx>
          <w:tblCellMar>
            <w:top w:w="0" w:type="dxa"/>
            <w:left w:w="0" w:type="dxa"/>
            <w:bottom w:w="0" w:type="dxa"/>
            <w:right w:w="0" w:type="dxa"/>
          </w:tblCellMar>
        </w:tblPrEx>
        <w:trPr>
          <w:trHeight w:val="377" w:hRule="atLeast"/>
        </w:trPr>
        <w:tc>
          <w:tcPr>
            <w:tcW w:w="659" w:type="dxa"/>
            <w:tcBorders>
              <w:top w:val="single" w:color="000000" w:sz="4" w:space="0"/>
              <w:left w:val="single" w:color="000000" w:sz="4" w:space="0"/>
              <w:bottom w:val="single" w:color="auto" w:sz="4" w:space="0"/>
            </w:tcBorders>
            <w:shd w:val="clear" w:color="auto" w:fill="auto"/>
            <w:tcMar>
              <w:top w:w="15" w:type="dxa"/>
              <w:left w:w="15" w:type="dxa"/>
              <w:right w:w="15" w:type="dxa"/>
            </w:tcMar>
            <w:vAlign w:val="center"/>
          </w:tcPr>
          <w:p>
            <w:pPr>
              <w:widowControl/>
              <w:textAlignment w:val="center"/>
              <w:rPr>
                <w:rFonts w:ascii="仿宋" w:hAnsi="仿宋" w:eastAsia="仿宋" w:cs="宋体"/>
                <w:color w:val="000000"/>
                <w:sz w:val="24"/>
              </w:rPr>
            </w:pPr>
          </w:p>
        </w:tc>
        <w:tc>
          <w:tcPr>
            <w:tcW w:w="17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4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340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分值</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得分</w:t>
            </w:r>
          </w:p>
        </w:tc>
      </w:tr>
      <w:tr>
        <w:tblPrEx>
          <w:tblCellMar>
            <w:top w:w="0" w:type="dxa"/>
            <w:left w:w="0" w:type="dxa"/>
            <w:bottom w:w="0" w:type="dxa"/>
            <w:right w:w="0" w:type="dxa"/>
          </w:tblCellMar>
        </w:tblPrEx>
        <w:trPr>
          <w:trHeight w:val="641" w:hRule="atLeast"/>
        </w:trPr>
        <w:tc>
          <w:tcPr>
            <w:tcW w:w="659" w:type="dxa"/>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pPr>
              <w:spacing w:line="360" w:lineRule="exact"/>
              <w:rPr>
                <w:rFonts w:ascii="仿宋" w:hAnsi="仿宋" w:eastAsia="仿宋"/>
                <w:sz w:val="24"/>
              </w:rPr>
            </w:pPr>
          </w:p>
        </w:tc>
        <w:tc>
          <w:tcPr>
            <w:tcW w:w="1766"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4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340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完成项目预期数量指标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10</w:t>
            </w:r>
          </w:p>
        </w:tc>
      </w:tr>
      <w:tr>
        <w:tblPrEx>
          <w:tblCellMar>
            <w:top w:w="0" w:type="dxa"/>
            <w:left w:w="0" w:type="dxa"/>
            <w:bottom w:w="0" w:type="dxa"/>
            <w:right w:w="0" w:type="dxa"/>
          </w:tblCellMar>
        </w:tblPrEx>
        <w:trPr>
          <w:trHeight w:val="672" w:hRule="atLeast"/>
        </w:trPr>
        <w:tc>
          <w:tcPr>
            <w:tcW w:w="659" w:type="dxa"/>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pPr>
              <w:spacing w:line="360" w:lineRule="exact"/>
              <w:rPr>
                <w:rFonts w:ascii="仿宋" w:hAnsi="仿宋" w:eastAsia="仿宋"/>
                <w:sz w:val="24"/>
              </w:rPr>
            </w:pPr>
          </w:p>
        </w:tc>
        <w:tc>
          <w:tcPr>
            <w:tcW w:w="176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质量指标</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按设计及国家质量标准要求完成工程</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20</w:t>
            </w:r>
          </w:p>
        </w:tc>
      </w:tr>
      <w:tr>
        <w:tblPrEx>
          <w:tblCellMar>
            <w:top w:w="0" w:type="dxa"/>
            <w:left w:w="0" w:type="dxa"/>
            <w:bottom w:w="0" w:type="dxa"/>
            <w:right w:w="0" w:type="dxa"/>
          </w:tblCellMar>
        </w:tblPrEx>
        <w:trPr>
          <w:trHeight w:val="718" w:hRule="atLeast"/>
        </w:trPr>
        <w:tc>
          <w:tcPr>
            <w:tcW w:w="659" w:type="dxa"/>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pPr>
              <w:spacing w:line="360" w:lineRule="exact"/>
              <w:rPr>
                <w:rFonts w:ascii="仿宋" w:hAnsi="仿宋" w:eastAsia="仿宋"/>
                <w:sz w:val="24"/>
              </w:rPr>
            </w:pPr>
          </w:p>
        </w:tc>
        <w:tc>
          <w:tcPr>
            <w:tcW w:w="176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时效指标</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按时完成年底工程建设内容</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10</w:t>
            </w:r>
          </w:p>
        </w:tc>
      </w:tr>
      <w:tr>
        <w:tblPrEx>
          <w:tblCellMar>
            <w:top w:w="0" w:type="dxa"/>
            <w:left w:w="0" w:type="dxa"/>
            <w:bottom w:w="0" w:type="dxa"/>
            <w:right w:w="0" w:type="dxa"/>
          </w:tblCellMar>
        </w:tblPrEx>
        <w:trPr>
          <w:trHeight w:val="716" w:hRule="atLeast"/>
        </w:trPr>
        <w:tc>
          <w:tcPr>
            <w:tcW w:w="659" w:type="dxa"/>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pPr>
              <w:spacing w:line="360" w:lineRule="exact"/>
              <w:rPr>
                <w:rFonts w:ascii="仿宋" w:hAnsi="仿宋" w:eastAsia="仿宋"/>
                <w:sz w:val="24"/>
              </w:rPr>
            </w:pPr>
          </w:p>
        </w:tc>
        <w:tc>
          <w:tcPr>
            <w:tcW w:w="176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效益指标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经济效益</w:t>
            </w:r>
          </w:p>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指标</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带动周边发展和增加就业。</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10</w:t>
            </w:r>
          </w:p>
        </w:tc>
      </w:tr>
      <w:tr>
        <w:tblPrEx>
          <w:tblCellMar>
            <w:top w:w="0" w:type="dxa"/>
            <w:left w:w="0" w:type="dxa"/>
            <w:bottom w:w="0" w:type="dxa"/>
            <w:right w:w="0" w:type="dxa"/>
          </w:tblCellMar>
        </w:tblPrEx>
        <w:trPr>
          <w:trHeight w:val="1297" w:hRule="atLeast"/>
        </w:trPr>
        <w:tc>
          <w:tcPr>
            <w:tcW w:w="659" w:type="dxa"/>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pPr>
              <w:spacing w:line="360" w:lineRule="exact"/>
              <w:rPr>
                <w:rFonts w:ascii="仿宋" w:hAnsi="仿宋" w:eastAsia="仿宋"/>
                <w:sz w:val="24"/>
              </w:rPr>
            </w:pPr>
          </w:p>
        </w:tc>
        <w:tc>
          <w:tcPr>
            <w:tcW w:w="176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效益指标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社会效益</w:t>
            </w:r>
          </w:p>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指标</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改善基础设施条件，</w:t>
            </w:r>
            <w:r>
              <w:rPr>
                <w:rFonts w:hint="eastAsia" w:ascii="仿宋" w:hAnsi="仿宋" w:eastAsia="仿宋"/>
                <w:sz w:val="24"/>
              </w:rPr>
              <w:t>提高旅游区的吸引能力和客源市场竞争力，有利于规划区内文物保护和文化的传承，</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14</w:t>
            </w:r>
          </w:p>
        </w:tc>
      </w:tr>
      <w:tr>
        <w:tblPrEx>
          <w:tblCellMar>
            <w:top w:w="0" w:type="dxa"/>
            <w:left w:w="0" w:type="dxa"/>
            <w:bottom w:w="0" w:type="dxa"/>
            <w:right w:w="0" w:type="dxa"/>
          </w:tblCellMar>
        </w:tblPrEx>
        <w:trPr>
          <w:trHeight w:val="982" w:hRule="atLeast"/>
        </w:trPr>
        <w:tc>
          <w:tcPr>
            <w:tcW w:w="659" w:type="dxa"/>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pPr>
              <w:spacing w:line="360" w:lineRule="exact"/>
              <w:rPr>
                <w:rFonts w:ascii="仿宋" w:hAnsi="仿宋" w:eastAsia="仿宋"/>
                <w:sz w:val="24"/>
              </w:rPr>
            </w:pPr>
          </w:p>
        </w:tc>
        <w:tc>
          <w:tcPr>
            <w:tcW w:w="176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效益指标</w:t>
            </w:r>
          </w:p>
        </w:tc>
        <w:tc>
          <w:tcPr>
            <w:tcW w:w="141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生态效益</w:t>
            </w:r>
          </w:p>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指标</w:t>
            </w:r>
          </w:p>
        </w:tc>
        <w:tc>
          <w:tcPr>
            <w:tcW w:w="340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sz w:val="24"/>
              </w:rPr>
              <w:t>提高森林保持水土、涵养水源等功能，促进生态系统良性循环。</w:t>
            </w:r>
          </w:p>
        </w:tc>
        <w:tc>
          <w:tcPr>
            <w:tcW w:w="155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15</w:t>
            </w:r>
          </w:p>
        </w:tc>
        <w:tc>
          <w:tcPr>
            <w:tcW w:w="11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14</w:t>
            </w:r>
          </w:p>
        </w:tc>
      </w:tr>
      <w:tr>
        <w:tblPrEx>
          <w:tblCellMar>
            <w:top w:w="0" w:type="dxa"/>
            <w:left w:w="0" w:type="dxa"/>
            <w:bottom w:w="0" w:type="dxa"/>
            <w:right w:w="0" w:type="dxa"/>
          </w:tblCellMar>
        </w:tblPrEx>
        <w:trPr>
          <w:trHeight w:val="827" w:hRule="atLeast"/>
        </w:trPr>
        <w:tc>
          <w:tcPr>
            <w:tcW w:w="659" w:type="dxa"/>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pPr>
              <w:spacing w:line="360" w:lineRule="exact"/>
              <w:rPr>
                <w:rFonts w:ascii="仿宋" w:hAnsi="仿宋" w:eastAsia="仿宋"/>
                <w:sz w:val="24"/>
              </w:rPr>
            </w:pPr>
          </w:p>
        </w:tc>
        <w:tc>
          <w:tcPr>
            <w:tcW w:w="176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效益指标</w:t>
            </w:r>
          </w:p>
        </w:tc>
        <w:tc>
          <w:tcPr>
            <w:tcW w:w="141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可持续影响指标</w:t>
            </w:r>
          </w:p>
        </w:tc>
        <w:tc>
          <w:tcPr>
            <w:tcW w:w="340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sz w:val="24"/>
              </w:rPr>
              <w:t>实现以游养林，以林促游的良性循环，达到森林资源的永续利用</w:t>
            </w:r>
          </w:p>
        </w:tc>
        <w:tc>
          <w:tcPr>
            <w:tcW w:w="155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10</w:t>
            </w:r>
          </w:p>
        </w:tc>
        <w:tc>
          <w:tcPr>
            <w:tcW w:w="113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10</w:t>
            </w:r>
          </w:p>
        </w:tc>
      </w:tr>
      <w:tr>
        <w:tblPrEx>
          <w:tblCellMar>
            <w:top w:w="0" w:type="dxa"/>
            <w:left w:w="0" w:type="dxa"/>
            <w:bottom w:w="0" w:type="dxa"/>
            <w:right w:w="0" w:type="dxa"/>
          </w:tblCellMar>
        </w:tblPrEx>
        <w:trPr>
          <w:trHeight w:val="825" w:hRule="atLeast"/>
        </w:trPr>
        <w:tc>
          <w:tcPr>
            <w:tcW w:w="659" w:type="dxa"/>
            <w:tcBorders>
              <w:top w:val="single" w:color="auto" w:sz="4" w:space="0"/>
              <w:left w:val="single" w:color="000000" w:sz="4" w:space="0"/>
              <w:bottom w:val="single" w:color="auto" w:sz="4" w:space="0"/>
            </w:tcBorders>
            <w:shd w:val="clear" w:color="auto" w:fill="auto"/>
            <w:tcMar>
              <w:top w:w="15" w:type="dxa"/>
              <w:left w:w="15" w:type="dxa"/>
              <w:right w:w="15" w:type="dxa"/>
            </w:tcMar>
            <w:vAlign w:val="center"/>
          </w:tcPr>
          <w:p>
            <w:pPr>
              <w:spacing w:line="360" w:lineRule="exact"/>
              <w:rPr>
                <w:rFonts w:ascii="仿宋" w:hAnsi="仿宋" w:eastAsia="仿宋"/>
                <w:sz w:val="24"/>
              </w:rPr>
            </w:pPr>
          </w:p>
        </w:tc>
        <w:tc>
          <w:tcPr>
            <w:tcW w:w="176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项目达优良工程，游客满意度达96%。</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9</w:t>
            </w:r>
          </w:p>
        </w:tc>
      </w:tr>
      <w:tr>
        <w:tblPrEx>
          <w:tblCellMar>
            <w:top w:w="0" w:type="dxa"/>
            <w:left w:w="0" w:type="dxa"/>
            <w:bottom w:w="0" w:type="dxa"/>
            <w:right w:w="0" w:type="dxa"/>
          </w:tblCellMar>
        </w:tblPrEx>
        <w:trPr>
          <w:trHeight w:val="1050" w:hRule="atLeast"/>
        </w:trPr>
        <w:tc>
          <w:tcPr>
            <w:tcW w:w="659" w:type="dxa"/>
            <w:tcBorders>
              <w:top w:val="single" w:color="auto" w:sz="4" w:space="0"/>
              <w:left w:val="single" w:color="000000" w:sz="4" w:space="0"/>
              <w:bottom w:val="single" w:color="000000" w:sz="4" w:space="0"/>
            </w:tcBorders>
            <w:shd w:val="clear" w:color="auto" w:fill="auto"/>
            <w:tcMar>
              <w:top w:w="15" w:type="dxa"/>
              <w:left w:w="15" w:type="dxa"/>
              <w:right w:w="15" w:type="dxa"/>
            </w:tcMar>
            <w:vAlign w:val="center"/>
          </w:tcPr>
          <w:p>
            <w:pPr>
              <w:spacing w:line="360" w:lineRule="exact"/>
              <w:rPr>
                <w:rFonts w:ascii="仿宋" w:hAnsi="仿宋" w:eastAsia="仿宋"/>
                <w:sz w:val="24"/>
              </w:rPr>
            </w:pPr>
          </w:p>
        </w:tc>
        <w:tc>
          <w:tcPr>
            <w:tcW w:w="176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得 分</w:t>
            </w:r>
          </w:p>
        </w:tc>
        <w:tc>
          <w:tcPr>
            <w:tcW w:w="75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97分</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1、项目决策</w:t>
      </w:r>
    </w:p>
    <w:p>
      <w:pPr>
        <w:spacing w:line="580" w:lineRule="exact"/>
        <w:ind w:firstLine="600" w:firstLineChars="200"/>
        <w:rPr>
          <w:rFonts w:ascii="仿宋" w:hAnsi="仿宋" w:eastAsia="仿宋" w:cs="仿宋_GB2312"/>
          <w:sz w:val="30"/>
          <w:szCs w:val="30"/>
        </w:rPr>
      </w:pPr>
      <w:r>
        <w:rPr>
          <w:rFonts w:hint="eastAsia" w:ascii="仿宋" w:hAnsi="仿宋" w:eastAsia="仿宋" w:cs="宋体"/>
          <w:color w:val="000000"/>
          <w:sz w:val="30"/>
          <w:szCs w:val="30"/>
        </w:rPr>
        <w:t>保护利用设施建设项目是为了</w:t>
      </w:r>
      <w:r>
        <w:rPr>
          <w:rFonts w:hint="eastAsia" w:ascii="仿宋" w:hAnsi="仿宋" w:eastAsia="仿宋"/>
          <w:sz w:val="30"/>
          <w:szCs w:val="30"/>
        </w:rPr>
        <w:t>提高森林保持水土、涵养水源等功能，促进生态系统良性循环的必要项目支出，绩效目标设置了完成指标、效益指标和满意度指标，分别考核了该项目的完成数量、质量、时效、经济效益、社会效益、生态效益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color w:val="000000" w:themeColor="text1"/>
          <w:sz w:val="32"/>
          <w:szCs w:val="32"/>
        </w:rPr>
        <w:t>该项目全年预算数144.89万元，执行数为144.89万元，完成预算的100%。</w:t>
      </w:r>
      <w:r>
        <w:rPr>
          <w:rFonts w:hint="eastAsia" w:ascii="仿宋" w:hAnsi="仿宋" w:eastAsia="仿宋" w:cs="仿宋_GB2312"/>
          <w:sz w:val="32"/>
          <w:szCs w:val="32"/>
        </w:rPr>
        <w:t>共支付工程项目进度款144.89万元。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3、项目绩效</w:t>
      </w:r>
    </w:p>
    <w:p>
      <w:pPr>
        <w:spacing w:line="580" w:lineRule="exact"/>
        <w:ind w:firstLine="600" w:firstLineChars="200"/>
        <w:rPr>
          <w:rFonts w:ascii="仿宋" w:hAnsi="仿宋" w:eastAsia="仿宋" w:cs="仿宋_GB2312"/>
          <w:kern w:val="0"/>
          <w:sz w:val="30"/>
          <w:szCs w:val="30"/>
        </w:rPr>
      </w:pPr>
      <w:r>
        <w:rPr>
          <w:rFonts w:hint="eastAsia" w:ascii="仿宋" w:hAnsi="仿宋" w:eastAsia="仿宋" w:cs="仿宋_GB2312"/>
          <w:color w:val="000000" w:themeColor="text1"/>
          <w:sz w:val="30"/>
          <w:szCs w:val="30"/>
        </w:rPr>
        <w:t>该项目</w:t>
      </w:r>
      <w:r>
        <w:rPr>
          <w:rFonts w:hint="eastAsia" w:ascii="仿宋" w:hAnsi="仿宋" w:eastAsia="仿宋" w:cs="仿宋_GB2312"/>
          <w:kern w:val="0"/>
          <w:sz w:val="30"/>
          <w:szCs w:val="30"/>
        </w:rPr>
        <w:t>完成步游道6.2公里，完成森林体验和森林养生节点建设4处；森林防火物资、垃圾桶、移动厕所等完成采购并交付使用；修建完成停车场5处；完成休息廊亭20处；栏杆安装完成2700米，达到优良工程，取得了良好的经济效益和社会效益，增加了旅游综合收入，带动了周边农家乐的发展，也增加了就业岗位，还改善了公园内外的交通条件，提高了旅游区招商引资的吸引力和客源的市场竞争力，也促进了生态系统良性循环，以达到森林资源的永续利用，游客的满意度达到了96%。</w:t>
      </w:r>
    </w:p>
    <w:p>
      <w:pPr>
        <w:tabs>
          <w:tab w:val="left" w:pos="312"/>
        </w:tabs>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四、存在主要问题：</w:t>
      </w:r>
      <w:r>
        <w:rPr>
          <w:rFonts w:hint="eastAsia" w:ascii="仿宋" w:hAnsi="仿宋" w:eastAsia="仿宋" w:cs="仿宋_GB2312"/>
          <w:color w:val="000000" w:themeColor="text1"/>
          <w:sz w:val="32"/>
          <w:szCs w:val="32"/>
        </w:rPr>
        <w:t>生态旅游建设还有些滞后</w:t>
      </w:r>
    </w:p>
    <w:p>
      <w:pPr>
        <w:tabs>
          <w:tab w:val="left" w:pos="312"/>
        </w:tabs>
        <w:spacing w:line="58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sz w:val="32"/>
          <w:szCs w:val="32"/>
        </w:rPr>
        <w:t>五、相关措施建议：</w:t>
      </w:r>
      <w:r>
        <w:rPr>
          <w:rFonts w:hint="eastAsia" w:ascii="仿宋" w:hAnsi="仿宋" w:eastAsia="仿宋" w:cs="仿宋_GB2312"/>
          <w:color w:val="000000" w:themeColor="text1"/>
          <w:sz w:val="32"/>
          <w:szCs w:val="32"/>
        </w:rPr>
        <w:t>要加大招商引资力度，尽快推进森林旅游项目的开展。</w:t>
      </w:r>
    </w:p>
    <w:p>
      <w:pPr>
        <w:spacing w:line="580" w:lineRule="exact"/>
        <w:ind w:firstLine="640" w:firstLineChars="200"/>
        <w:rPr>
          <w:rFonts w:ascii="仿宋" w:hAnsi="仿宋" w:eastAsia="仿宋" w:cs="仿宋_GB2312"/>
          <w:sz w:val="32"/>
          <w:szCs w:val="32"/>
        </w:rPr>
      </w:pPr>
    </w:p>
    <w:p>
      <w:pPr>
        <w:spacing w:line="600" w:lineRule="exact"/>
        <w:jc w:val="center"/>
        <w:outlineLvl w:val="0"/>
        <w:rPr>
          <w:rFonts w:ascii="黑体" w:hAnsi="宋体" w:eastAsia="黑体" w:cs="黑体"/>
          <w:color w:val="000000"/>
          <w:sz w:val="44"/>
          <w:szCs w:val="44"/>
        </w:rPr>
      </w:pPr>
    </w:p>
    <w:p>
      <w:pPr>
        <w:spacing w:line="600" w:lineRule="exact"/>
        <w:jc w:val="center"/>
        <w:outlineLvl w:val="0"/>
        <w:rPr>
          <w:rFonts w:ascii="黑体" w:hAnsi="宋体" w:eastAsia="黑体" w:cs="黑体"/>
          <w:bCs/>
          <w:sz w:val="44"/>
          <w:szCs w:val="44"/>
        </w:rPr>
      </w:pPr>
      <w:r>
        <w:rPr>
          <w:rFonts w:hint="eastAsia" w:ascii="黑体" w:hAnsi="宋体" w:eastAsia="黑体" w:cs="黑体"/>
          <w:color w:val="000000"/>
          <w:sz w:val="44"/>
          <w:szCs w:val="44"/>
        </w:rPr>
        <w:t>第</w:t>
      </w:r>
      <w:r>
        <w:rPr>
          <w:rStyle w:val="20"/>
          <w:rFonts w:hint="eastAsia" w:ascii="黑体" w:hAnsi="宋体" w:eastAsia="黑体" w:cs="黑体"/>
          <w:b w:val="0"/>
          <w:bCs/>
        </w:rPr>
        <w:t>五部分 附表</w:t>
      </w:r>
      <w:bookmarkEnd w:id="58"/>
      <w:bookmarkEnd w:id="62"/>
    </w:p>
    <w:p>
      <w:pPr>
        <w:spacing w:line="600" w:lineRule="exact"/>
        <w:jc w:val="center"/>
        <w:outlineLvl w:val="0"/>
        <w:rPr>
          <w:rFonts w:ascii="仿宋" w:hAnsi="仿宋" w:eastAsia="仿宋" w:cs="仿宋"/>
          <w:b/>
          <w:color w:val="000000"/>
          <w:sz w:val="44"/>
          <w:szCs w:val="44"/>
        </w:rPr>
      </w:pPr>
    </w:p>
    <w:p>
      <w:pPr>
        <w:pStyle w:val="3"/>
        <w:widowControl/>
        <w:rPr>
          <w:rFonts w:ascii="仿宋" w:hAnsi="仿宋" w:eastAsia="仿宋" w:cs="仿宋"/>
          <w:color w:val="000000"/>
        </w:rPr>
      </w:pPr>
      <w:bookmarkStart w:id="63" w:name="_Toc15396619"/>
      <w:r>
        <w:rPr>
          <w:rFonts w:hint="eastAsia" w:ascii="仿宋" w:hAnsi="仿宋" w:eastAsia="仿宋" w:cs="仿宋"/>
          <w:b w:val="0"/>
          <w:bCs/>
          <w:color w:val="000000"/>
        </w:rPr>
        <w:t>一、收</w:t>
      </w:r>
      <w:r>
        <w:rPr>
          <w:rStyle w:val="19"/>
          <w:rFonts w:hint="eastAsia" w:ascii="仿宋" w:hAnsi="仿宋" w:eastAsia="仿宋" w:cs="仿宋"/>
          <w:b/>
        </w:rPr>
        <w:t>入支出决算总表</w:t>
      </w:r>
      <w:bookmarkEnd w:id="63"/>
    </w:p>
    <w:p>
      <w:pPr>
        <w:pStyle w:val="3"/>
        <w:widowControl/>
        <w:rPr>
          <w:rFonts w:ascii="仿宋" w:hAnsi="仿宋" w:eastAsia="仿宋" w:cs="仿宋"/>
          <w:color w:val="000000"/>
        </w:rPr>
      </w:pPr>
      <w:bookmarkStart w:id="64" w:name="_Toc15396620"/>
      <w:r>
        <w:rPr>
          <w:rFonts w:hint="eastAsia" w:ascii="仿宋" w:hAnsi="仿宋" w:eastAsia="仿宋" w:cs="仿宋"/>
          <w:b w:val="0"/>
          <w:bCs/>
          <w:color w:val="000000"/>
        </w:rPr>
        <w:t>二、收</w:t>
      </w:r>
      <w:r>
        <w:rPr>
          <w:rStyle w:val="19"/>
          <w:rFonts w:hint="eastAsia" w:ascii="仿宋" w:hAnsi="仿宋" w:eastAsia="仿宋" w:cs="仿宋"/>
          <w:b/>
        </w:rPr>
        <w:t>入总表</w:t>
      </w:r>
      <w:bookmarkEnd w:id="64"/>
    </w:p>
    <w:p>
      <w:pPr>
        <w:pStyle w:val="3"/>
        <w:widowControl/>
        <w:rPr>
          <w:rFonts w:ascii="仿宋" w:hAnsi="仿宋" w:eastAsia="仿宋" w:cs="仿宋"/>
          <w:color w:val="000000"/>
        </w:rPr>
      </w:pPr>
      <w:bookmarkStart w:id="65" w:name="_Toc15396621"/>
      <w:r>
        <w:rPr>
          <w:rStyle w:val="19"/>
          <w:rFonts w:hint="eastAsia" w:ascii="仿宋" w:hAnsi="仿宋" w:eastAsia="仿宋" w:cs="仿宋"/>
          <w:b/>
        </w:rPr>
        <w:t>三、</w:t>
      </w:r>
      <w:r>
        <w:rPr>
          <w:rFonts w:hint="eastAsia" w:ascii="仿宋" w:hAnsi="仿宋" w:eastAsia="仿宋" w:cs="仿宋"/>
          <w:b w:val="0"/>
          <w:bCs/>
          <w:color w:val="000000"/>
        </w:rPr>
        <w:t>支</w:t>
      </w:r>
      <w:r>
        <w:rPr>
          <w:rStyle w:val="19"/>
          <w:rFonts w:hint="eastAsia" w:ascii="仿宋" w:hAnsi="仿宋" w:eastAsia="仿宋" w:cs="仿宋"/>
          <w:b/>
        </w:rPr>
        <w:t>出总表</w:t>
      </w:r>
      <w:bookmarkEnd w:id="65"/>
    </w:p>
    <w:p>
      <w:pPr>
        <w:pStyle w:val="3"/>
        <w:widowControl/>
        <w:rPr>
          <w:rFonts w:ascii="仿宋" w:hAnsi="仿宋" w:eastAsia="仿宋" w:cs="仿宋"/>
          <w:b w:val="0"/>
          <w:bCs/>
          <w:color w:val="000000"/>
        </w:rPr>
      </w:pPr>
      <w:bookmarkStart w:id="66" w:name="_Toc15396622"/>
      <w:r>
        <w:rPr>
          <w:rStyle w:val="19"/>
          <w:rFonts w:hint="eastAsia" w:ascii="仿宋" w:hAnsi="仿宋" w:eastAsia="仿宋" w:cs="仿宋"/>
          <w:b/>
        </w:rPr>
        <w:t>四、</w:t>
      </w:r>
      <w:r>
        <w:rPr>
          <w:rFonts w:hint="eastAsia" w:ascii="仿宋" w:hAnsi="仿宋" w:eastAsia="仿宋" w:cs="仿宋"/>
          <w:b w:val="0"/>
          <w:bCs/>
          <w:color w:val="000000"/>
        </w:rPr>
        <w:t>财</w:t>
      </w:r>
      <w:r>
        <w:rPr>
          <w:rStyle w:val="19"/>
          <w:rFonts w:hint="eastAsia" w:ascii="仿宋" w:hAnsi="仿宋" w:eastAsia="仿宋" w:cs="仿宋"/>
          <w:b/>
        </w:rPr>
        <w:t>政拨款收入支出决算总表</w:t>
      </w:r>
      <w:bookmarkEnd w:id="66"/>
    </w:p>
    <w:p>
      <w:pPr>
        <w:pStyle w:val="3"/>
        <w:widowControl/>
        <w:rPr>
          <w:rFonts w:ascii="仿宋" w:hAnsi="仿宋" w:eastAsia="仿宋" w:cs="仿宋"/>
          <w:color w:val="000000"/>
        </w:rPr>
      </w:pPr>
      <w:bookmarkStart w:id="67" w:name="_Toc15396623"/>
      <w:r>
        <w:rPr>
          <w:rStyle w:val="19"/>
          <w:rFonts w:hint="eastAsia" w:ascii="仿宋" w:hAnsi="仿宋" w:eastAsia="仿宋" w:cs="仿宋"/>
          <w:b/>
        </w:rPr>
        <w:t>五、</w:t>
      </w:r>
      <w:r>
        <w:rPr>
          <w:rFonts w:hint="eastAsia" w:ascii="仿宋" w:hAnsi="仿宋" w:eastAsia="仿宋" w:cs="仿宋"/>
          <w:b w:val="0"/>
          <w:bCs/>
          <w:color w:val="000000"/>
        </w:rPr>
        <w:t>财</w:t>
      </w:r>
      <w:r>
        <w:rPr>
          <w:rStyle w:val="19"/>
          <w:rFonts w:hint="eastAsia" w:ascii="仿宋" w:hAnsi="仿宋" w:eastAsia="仿宋" w:cs="仿宋"/>
          <w:b/>
        </w:rPr>
        <w:t>政拨款支出决算明细表（政府经济分类科目）</w:t>
      </w:r>
      <w:bookmarkEnd w:id="67"/>
    </w:p>
    <w:p>
      <w:pPr>
        <w:pStyle w:val="3"/>
        <w:widowControl/>
        <w:rPr>
          <w:rFonts w:ascii="仿宋" w:hAnsi="仿宋" w:eastAsia="仿宋" w:cs="仿宋"/>
          <w:color w:val="000000"/>
        </w:rPr>
      </w:pPr>
      <w:bookmarkStart w:id="68" w:name="_Toc15396624"/>
      <w:r>
        <w:rPr>
          <w:rStyle w:val="19"/>
          <w:rFonts w:hint="eastAsia" w:ascii="仿宋" w:hAnsi="仿宋" w:eastAsia="仿宋" w:cs="仿宋"/>
          <w:b/>
        </w:rPr>
        <w:t>六、</w:t>
      </w:r>
      <w:r>
        <w:rPr>
          <w:rFonts w:hint="eastAsia" w:ascii="仿宋" w:hAnsi="仿宋" w:eastAsia="仿宋" w:cs="仿宋"/>
          <w:b w:val="0"/>
          <w:bCs/>
          <w:color w:val="000000"/>
        </w:rPr>
        <w:t>一</w:t>
      </w:r>
      <w:r>
        <w:rPr>
          <w:rStyle w:val="19"/>
          <w:rFonts w:hint="eastAsia" w:ascii="仿宋" w:hAnsi="仿宋" w:eastAsia="仿宋" w:cs="仿宋"/>
          <w:b/>
        </w:rPr>
        <w:t>般公共预算财政拨款支出决算表</w:t>
      </w:r>
      <w:bookmarkEnd w:id="68"/>
    </w:p>
    <w:p>
      <w:pPr>
        <w:pStyle w:val="3"/>
        <w:widowControl/>
        <w:rPr>
          <w:rFonts w:ascii="仿宋" w:hAnsi="仿宋" w:eastAsia="仿宋" w:cs="仿宋"/>
          <w:color w:val="000000"/>
        </w:rPr>
      </w:pPr>
      <w:bookmarkStart w:id="69" w:name="_Toc15396625"/>
      <w:r>
        <w:rPr>
          <w:rStyle w:val="19"/>
          <w:rFonts w:hint="eastAsia" w:ascii="仿宋" w:hAnsi="仿宋" w:eastAsia="仿宋" w:cs="仿宋"/>
          <w:b/>
        </w:rPr>
        <w:t>七、</w:t>
      </w:r>
      <w:r>
        <w:rPr>
          <w:rFonts w:hint="eastAsia" w:ascii="仿宋" w:hAnsi="仿宋" w:eastAsia="仿宋" w:cs="仿宋"/>
          <w:b w:val="0"/>
          <w:bCs/>
          <w:color w:val="000000"/>
        </w:rPr>
        <w:t>一</w:t>
      </w:r>
      <w:r>
        <w:rPr>
          <w:rStyle w:val="19"/>
          <w:rFonts w:hint="eastAsia" w:ascii="仿宋" w:hAnsi="仿宋" w:eastAsia="仿宋" w:cs="仿宋"/>
          <w:b/>
        </w:rPr>
        <w:t>般公共预算财政拨款支出决算明细表</w:t>
      </w:r>
      <w:bookmarkEnd w:id="69"/>
    </w:p>
    <w:p>
      <w:pPr>
        <w:pStyle w:val="3"/>
        <w:widowControl/>
        <w:rPr>
          <w:rFonts w:ascii="仿宋" w:hAnsi="仿宋" w:eastAsia="仿宋" w:cs="仿宋"/>
          <w:color w:val="000000"/>
        </w:rPr>
      </w:pPr>
      <w:bookmarkStart w:id="70" w:name="_Toc15396626"/>
      <w:r>
        <w:rPr>
          <w:rStyle w:val="19"/>
          <w:rFonts w:hint="eastAsia" w:ascii="仿宋" w:hAnsi="仿宋" w:eastAsia="仿宋" w:cs="仿宋"/>
          <w:b/>
        </w:rPr>
        <w:t>八、</w:t>
      </w:r>
      <w:r>
        <w:rPr>
          <w:rFonts w:hint="eastAsia" w:ascii="仿宋" w:hAnsi="仿宋" w:eastAsia="仿宋" w:cs="仿宋"/>
          <w:b w:val="0"/>
          <w:bCs/>
          <w:color w:val="000000"/>
        </w:rPr>
        <w:t>一</w:t>
      </w:r>
      <w:r>
        <w:rPr>
          <w:rStyle w:val="19"/>
          <w:rFonts w:hint="eastAsia" w:ascii="仿宋" w:hAnsi="仿宋" w:eastAsia="仿宋" w:cs="仿宋"/>
          <w:b/>
        </w:rPr>
        <w:t>般公共预算财政拨款基本支出决算表</w:t>
      </w:r>
      <w:bookmarkEnd w:id="70"/>
    </w:p>
    <w:p>
      <w:pPr>
        <w:pStyle w:val="3"/>
        <w:widowControl/>
        <w:rPr>
          <w:rFonts w:ascii="仿宋" w:hAnsi="仿宋" w:eastAsia="仿宋" w:cs="仿宋"/>
          <w:color w:val="000000"/>
        </w:rPr>
      </w:pPr>
      <w:bookmarkStart w:id="71" w:name="_Toc15396627"/>
      <w:r>
        <w:rPr>
          <w:rStyle w:val="19"/>
          <w:rFonts w:hint="eastAsia" w:ascii="仿宋" w:hAnsi="仿宋" w:eastAsia="仿宋" w:cs="仿宋"/>
          <w:b/>
        </w:rPr>
        <w:t>九、</w:t>
      </w:r>
      <w:r>
        <w:rPr>
          <w:rFonts w:hint="eastAsia" w:ascii="仿宋" w:hAnsi="仿宋" w:eastAsia="仿宋" w:cs="仿宋"/>
          <w:b w:val="0"/>
          <w:bCs/>
          <w:color w:val="000000"/>
        </w:rPr>
        <w:t>一</w:t>
      </w:r>
      <w:r>
        <w:rPr>
          <w:rStyle w:val="19"/>
          <w:rFonts w:hint="eastAsia" w:ascii="仿宋" w:hAnsi="仿宋" w:eastAsia="仿宋" w:cs="仿宋"/>
          <w:b/>
        </w:rPr>
        <w:t>般公共预算财政拨款项目支出决算表</w:t>
      </w:r>
      <w:bookmarkEnd w:id="71"/>
    </w:p>
    <w:p>
      <w:pPr>
        <w:pStyle w:val="3"/>
        <w:widowControl/>
        <w:rPr>
          <w:rFonts w:ascii="仿宋" w:hAnsi="仿宋" w:eastAsia="仿宋" w:cs="仿宋"/>
          <w:color w:val="000000"/>
        </w:rPr>
      </w:pPr>
      <w:bookmarkStart w:id="72" w:name="_Toc15396628"/>
      <w:r>
        <w:rPr>
          <w:rStyle w:val="19"/>
          <w:rFonts w:hint="eastAsia" w:ascii="仿宋" w:hAnsi="仿宋" w:eastAsia="仿宋" w:cs="仿宋"/>
          <w:b/>
        </w:rPr>
        <w:t>十、</w:t>
      </w:r>
      <w:r>
        <w:rPr>
          <w:rFonts w:hint="eastAsia" w:ascii="仿宋" w:hAnsi="仿宋" w:eastAsia="仿宋" w:cs="仿宋"/>
          <w:b w:val="0"/>
          <w:bCs/>
          <w:color w:val="000000"/>
        </w:rPr>
        <w:t>一</w:t>
      </w:r>
      <w:r>
        <w:rPr>
          <w:rStyle w:val="19"/>
          <w:rFonts w:hint="eastAsia" w:ascii="仿宋" w:hAnsi="仿宋" w:eastAsia="仿宋" w:cs="仿宋"/>
          <w:b/>
        </w:rPr>
        <w:t>般公共预算财政拨款“三公”经费支出决算表</w:t>
      </w:r>
      <w:bookmarkEnd w:id="72"/>
    </w:p>
    <w:p>
      <w:pPr>
        <w:pStyle w:val="3"/>
        <w:widowControl/>
        <w:rPr>
          <w:rFonts w:ascii="仿宋" w:hAnsi="仿宋" w:eastAsia="仿宋" w:cs="仿宋"/>
          <w:color w:val="000000"/>
        </w:rPr>
      </w:pPr>
      <w:bookmarkStart w:id="73" w:name="_Toc15396629"/>
      <w:r>
        <w:rPr>
          <w:rStyle w:val="19"/>
          <w:rFonts w:hint="eastAsia" w:ascii="仿宋" w:hAnsi="仿宋" w:eastAsia="仿宋" w:cs="仿宋"/>
          <w:b/>
        </w:rPr>
        <w:t>十一、</w:t>
      </w:r>
      <w:r>
        <w:rPr>
          <w:rFonts w:hint="eastAsia" w:ascii="仿宋" w:hAnsi="仿宋" w:eastAsia="仿宋" w:cs="仿宋"/>
          <w:b w:val="0"/>
          <w:bCs/>
          <w:color w:val="000000"/>
        </w:rPr>
        <w:t>政</w:t>
      </w:r>
      <w:r>
        <w:rPr>
          <w:rStyle w:val="19"/>
          <w:rFonts w:hint="eastAsia" w:ascii="仿宋" w:hAnsi="仿宋" w:eastAsia="仿宋" w:cs="仿宋"/>
          <w:b/>
        </w:rPr>
        <w:t>府性基金预算财政拨款收入支出决算表</w:t>
      </w:r>
      <w:bookmarkEnd w:id="73"/>
    </w:p>
    <w:p>
      <w:pPr>
        <w:pStyle w:val="3"/>
        <w:widowControl/>
        <w:rPr>
          <w:rFonts w:ascii="仿宋" w:hAnsi="仿宋" w:eastAsia="仿宋" w:cs="仿宋"/>
          <w:color w:val="000000"/>
        </w:rPr>
      </w:pPr>
      <w:bookmarkStart w:id="74" w:name="_Toc15396630"/>
      <w:r>
        <w:rPr>
          <w:rStyle w:val="19"/>
          <w:rFonts w:hint="eastAsia" w:ascii="仿宋" w:hAnsi="仿宋" w:eastAsia="仿宋" w:cs="仿宋"/>
          <w:b/>
        </w:rPr>
        <w:t>十二、</w:t>
      </w:r>
      <w:r>
        <w:rPr>
          <w:rFonts w:hint="eastAsia" w:ascii="仿宋" w:hAnsi="仿宋" w:eastAsia="仿宋" w:cs="仿宋"/>
          <w:b w:val="0"/>
          <w:bCs/>
          <w:color w:val="000000"/>
        </w:rPr>
        <w:t>政</w:t>
      </w:r>
      <w:r>
        <w:rPr>
          <w:rStyle w:val="19"/>
          <w:rFonts w:hint="eastAsia" w:ascii="仿宋" w:hAnsi="仿宋" w:eastAsia="仿宋" w:cs="仿宋"/>
          <w:b/>
        </w:rPr>
        <w:t>府性基金预算财政拨款“三公”经费支出决算表</w:t>
      </w:r>
      <w:bookmarkEnd w:id="74"/>
    </w:p>
    <w:p>
      <w:pPr>
        <w:pStyle w:val="3"/>
        <w:widowControl/>
        <w:rPr>
          <w:rFonts w:ascii="仿宋" w:hAnsi="仿宋" w:eastAsia="仿宋" w:cs="仿宋"/>
          <w:color w:val="000000"/>
        </w:rPr>
      </w:pPr>
      <w:bookmarkStart w:id="75" w:name="_Toc15396631"/>
      <w:r>
        <w:rPr>
          <w:rStyle w:val="19"/>
          <w:rFonts w:hint="eastAsia" w:ascii="仿宋" w:hAnsi="仿宋" w:eastAsia="仿宋" w:cs="仿宋"/>
          <w:b/>
        </w:rPr>
        <w:t>十三、</w:t>
      </w:r>
      <w:r>
        <w:rPr>
          <w:rFonts w:hint="eastAsia" w:ascii="仿宋" w:hAnsi="仿宋" w:eastAsia="仿宋" w:cs="仿宋"/>
          <w:b w:val="0"/>
          <w:bCs/>
          <w:color w:val="000000"/>
        </w:rPr>
        <w:t>国</w:t>
      </w:r>
      <w:r>
        <w:rPr>
          <w:rStyle w:val="19"/>
          <w:rFonts w:hint="eastAsia" w:ascii="仿宋" w:hAnsi="仿宋" w:eastAsia="仿宋" w:cs="仿宋"/>
          <w:b/>
        </w:rPr>
        <w:t>有资本经营预算支出决算表</w:t>
      </w:r>
      <w:bookmarkEnd w:id="75"/>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011647"/>
      <w:docPartObj>
        <w:docPartGallery w:val="autotext"/>
      </w:docPartObj>
    </w:sdtPr>
    <w:sdtContent>
      <w:p>
        <w:pPr>
          <w:pStyle w:val="7"/>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21C32"/>
    <w:multiLevelType w:val="multilevel"/>
    <w:tmpl w:val="A0421C32"/>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B302D266"/>
    <w:multiLevelType w:val="multilevel"/>
    <w:tmpl w:val="B302D266"/>
    <w:lvl w:ilvl="0" w:tentative="0">
      <w:start w:val="1"/>
      <w:numFmt w:val="chineseCounting"/>
      <w:suff w:val="nothing"/>
      <w:lvlText w:val="（%1）"/>
      <w:lvlJc w:val="left"/>
      <w:pPr>
        <w:ind w:left="0" w:firstLine="0"/>
      </w:pPr>
      <w:rPr>
        <w:rFonts w:hint="eastAsia" w:ascii="楷体_GB2312" w:hAnsi="楷体_GB2312" w:eastAsia="楷体_GB2312" w:cs="楷体_GB2312"/>
        <w:b/>
        <w:bCs/>
        <w:sz w:val="32"/>
        <w:szCs w:val="3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B84A858B"/>
    <w:multiLevelType w:val="multilevel"/>
    <w:tmpl w:val="B84A858B"/>
    <w:lvl w:ilvl="0" w:tentative="0">
      <w:start w:val="9"/>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C5CFFD22"/>
    <w:multiLevelType w:val="multilevel"/>
    <w:tmpl w:val="C5CFFD22"/>
    <w:lvl w:ilvl="0" w:tentative="0">
      <w:start w:val="10"/>
      <w:numFmt w:val="japaneseCounting"/>
      <w:lvlText w:val="%1、"/>
      <w:lvlJc w:val="left"/>
      <w:pPr>
        <w:ind w:left="1287" w:hanging="7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D8447469"/>
    <w:multiLevelType w:val="multilevel"/>
    <w:tmpl w:val="D8447469"/>
    <w:lvl w:ilvl="0" w:tentative="0">
      <w:start w:val="3"/>
      <w:numFmt w:val="chineseCounting"/>
      <w:suff w:val="space"/>
      <w:lvlText w:val="第%1部分"/>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F10A2A52"/>
    <w:multiLevelType w:val="multilevel"/>
    <w:tmpl w:val="F10A2A52"/>
    <w:lvl w:ilvl="0" w:tentative="0">
      <w:start w:val="1"/>
      <w:numFmt w:val="japaneseCounting"/>
      <w:lvlText w:val="%1、"/>
      <w:lvlJc w:val="left"/>
      <w:pPr>
        <w:ind w:left="720" w:hanging="720"/>
      </w:pPr>
      <w:rPr>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46AA2B9D"/>
    <w:multiLevelType w:val="multilevel"/>
    <w:tmpl w:val="46AA2B9D"/>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8B878A0"/>
    <w:multiLevelType w:val="multilevel"/>
    <w:tmpl w:val="78B878A0"/>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3EA3438E"/>
    <w:rsid w:val="000048AF"/>
    <w:rsid w:val="0001178D"/>
    <w:rsid w:val="00023160"/>
    <w:rsid w:val="0004144A"/>
    <w:rsid w:val="000607D4"/>
    <w:rsid w:val="00063F97"/>
    <w:rsid w:val="000740A2"/>
    <w:rsid w:val="00094859"/>
    <w:rsid w:val="000B3A45"/>
    <w:rsid w:val="000E2A08"/>
    <w:rsid w:val="000E3EDC"/>
    <w:rsid w:val="000E47E7"/>
    <w:rsid w:val="0011494F"/>
    <w:rsid w:val="00120A1B"/>
    <w:rsid w:val="00130B26"/>
    <w:rsid w:val="001735CE"/>
    <w:rsid w:val="00197AE6"/>
    <w:rsid w:val="001A6E34"/>
    <w:rsid w:val="001B1FB3"/>
    <w:rsid w:val="001B49B5"/>
    <w:rsid w:val="001C1C45"/>
    <w:rsid w:val="001F6870"/>
    <w:rsid w:val="00214450"/>
    <w:rsid w:val="00214D7E"/>
    <w:rsid w:val="00222449"/>
    <w:rsid w:val="00230F23"/>
    <w:rsid w:val="00237F06"/>
    <w:rsid w:val="0024663F"/>
    <w:rsid w:val="00262755"/>
    <w:rsid w:val="00275A11"/>
    <w:rsid w:val="00286E6F"/>
    <w:rsid w:val="00295FCB"/>
    <w:rsid w:val="002D45E1"/>
    <w:rsid w:val="00316A3A"/>
    <w:rsid w:val="00324CAF"/>
    <w:rsid w:val="0033487A"/>
    <w:rsid w:val="003405FF"/>
    <w:rsid w:val="003463BF"/>
    <w:rsid w:val="0034730F"/>
    <w:rsid w:val="00352F4C"/>
    <w:rsid w:val="00365B12"/>
    <w:rsid w:val="003707C5"/>
    <w:rsid w:val="0038110C"/>
    <w:rsid w:val="00384573"/>
    <w:rsid w:val="00384CC4"/>
    <w:rsid w:val="003B7216"/>
    <w:rsid w:val="003C390A"/>
    <w:rsid w:val="003E0940"/>
    <w:rsid w:val="003F5DF8"/>
    <w:rsid w:val="003F74D6"/>
    <w:rsid w:val="00420CFF"/>
    <w:rsid w:val="0043013C"/>
    <w:rsid w:val="004352FA"/>
    <w:rsid w:val="00442A0D"/>
    <w:rsid w:val="00450ECF"/>
    <w:rsid w:val="00454E0A"/>
    <w:rsid w:val="00482FDE"/>
    <w:rsid w:val="004B66A6"/>
    <w:rsid w:val="004E464F"/>
    <w:rsid w:val="004E4BA9"/>
    <w:rsid w:val="004E6D36"/>
    <w:rsid w:val="00524AF2"/>
    <w:rsid w:val="0053067F"/>
    <w:rsid w:val="00551894"/>
    <w:rsid w:val="00554CA5"/>
    <w:rsid w:val="005A38FB"/>
    <w:rsid w:val="005A3ABC"/>
    <w:rsid w:val="005C074F"/>
    <w:rsid w:val="005C2866"/>
    <w:rsid w:val="005C42BE"/>
    <w:rsid w:val="005D2D60"/>
    <w:rsid w:val="005D3E5D"/>
    <w:rsid w:val="006336EC"/>
    <w:rsid w:val="00653D75"/>
    <w:rsid w:val="00665919"/>
    <w:rsid w:val="00671225"/>
    <w:rsid w:val="006724C1"/>
    <w:rsid w:val="00674D3A"/>
    <w:rsid w:val="006A3C46"/>
    <w:rsid w:val="006D22A9"/>
    <w:rsid w:val="006E2360"/>
    <w:rsid w:val="00710278"/>
    <w:rsid w:val="00716A27"/>
    <w:rsid w:val="00720A51"/>
    <w:rsid w:val="00732087"/>
    <w:rsid w:val="0074546C"/>
    <w:rsid w:val="00770E84"/>
    <w:rsid w:val="00796D9C"/>
    <w:rsid w:val="007A708D"/>
    <w:rsid w:val="007B0223"/>
    <w:rsid w:val="007C52AE"/>
    <w:rsid w:val="007E474A"/>
    <w:rsid w:val="007F4B75"/>
    <w:rsid w:val="00803EDD"/>
    <w:rsid w:val="008140AA"/>
    <w:rsid w:val="00820404"/>
    <w:rsid w:val="008420F0"/>
    <w:rsid w:val="00843307"/>
    <w:rsid w:val="00871B81"/>
    <w:rsid w:val="00876334"/>
    <w:rsid w:val="008802BB"/>
    <w:rsid w:val="008A033C"/>
    <w:rsid w:val="008A77A1"/>
    <w:rsid w:val="008D1AD3"/>
    <w:rsid w:val="008F14A1"/>
    <w:rsid w:val="008F7A1F"/>
    <w:rsid w:val="00902BF2"/>
    <w:rsid w:val="00911271"/>
    <w:rsid w:val="009606C9"/>
    <w:rsid w:val="009908F9"/>
    <w:rsid w:val="009B6BD4"/>
    <w:rsid w:val="009E0970"/>
    <w:rsid w:val="009F2033"/>
    <w:rsid w:val="00A02A94"/>
    <w:rsid w:val="00A17F8E"/>
    <w:rsid w:val="00A44982"/>
    <w:rsid w:val="00A50E09"/>
    <w:rsid w:val="00A6439C"/>
    <w:rsid w:val="00A71EB7"/>
    <w:rsid w:val="00AB5D58"/>
    <w:rsid w:val="00AB783B"/>
    <w:rsid w:val="00B14D7B"/>
    <w:rsid w:val="00B166E5"/>
    <w:rsid w:val="00B2185F"/>
    <w:rsid w:val="00B251BA"/>
    <w:rsid w:val="00B41EE0"/>
    <w:rsid w:val="00B8028F"/>
    <w:rsid w:val="00B87B2E"/>
    <w:rsid w:val="00B961A7"/>
    <w:rsid w:val="00BB6E19"/>
    <w:rsid w:val="00BC19F4"/>
    <w:rsid w:val="00BD0D8E"/>
    <w:rsid w:val="00C166BC"/>
    <w:rsid w:val="00C951FC"/>
    <w:rsid w:val="00CD1FCB"/>
    <w:rsid w:val="00D42914"/>
    <w:rsid w:val="00D452FE"/>
    <w:rsid w:val="00DB2F65"/>
    <w:rsid w:val="00E140FE"/>
    <w:rsid w:val="00E21505"/>
    <w:rsid w:val="00E4734D"/>
    <w:rsid w:val="00E47A86"/>
    <w:rsid w:val="00E51B52"/>
    <w:rsid w:val="00E5261E"/>
    <w:rsid w:val="00E54362"/>
    <w:rsid w:val="00ED10DE"/>
    <w:rsid w:val="00F02DC1"/>
    <w:rsid w:val="00F26229"/>
    <w:rsid w:val="00F26A70"/>
    <w:rsid w:val="00F33E36"/>
    <w:rsid w:val="00F51AFB"/>
    <w:rsid w:val="00F51F46"/>
    <w:rsid w:val="00F57E5D"/>
    <w:rsid w:val="00F711A4"/>
    <w:rsid w:val="00F719A7"/>
    <w:rsid w:val="00F847C8"/>
    <w:rsid w:val="00F87950"/>
    <w:rsid w:val="00FB6A84"/>
    <w:rsid w:val="00FB7AEF"/>
    <w:rsid w:val="0A0D1A86"/>
    <w:rsid w:val="3EA3438E"/>
    <w:rsid w:val="ECFE9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0"/>
    <w:pPr>
      <w:keepNext/>
      <w:keepLines/>
      <w:spacing w:before="340" w:after="330" w:line="576" w:lineRule="auto"/>
      <w:outlineLvl w:val="0"/>
    </w:pPr>
    <w:rPr>
      <w:rFonts w:ascii="Times New Roman" w:hAnsi="Times New Roman" w:eastAsia="宋体" w:cs="Times New Roman"/>
      <w:b/>
      <w:kern w:val="44"/>
      <w:sz w:val="44"/>
      <w:szCs w:val="44"/>
    </w:rPr>
  </w:style>
  <w:style w:type="paragraph" w:styleId="3">
    <w:name w:val="heading 2"/>
    <w:basedOn w:val="1"/>
    <w:next w:val="1"/>
    <w:link w:val="19"/>
    <w:semiHidden/>
    <w:unhideWhenUsed/>
    <w:qFormat/>
    <w:uiPriority w:val="0"/>
    <w:pPr>
      <w:keepNext/>
      <w:keepLines/>
      <w:spacing w:before="260" w:after="260" w:line="415" w:lineRule="auto"/>
      <w:outlineLvl w:val="1"/>
    </w:pPr>
    <w:rPr>
      <w:rFonts w:ascii="Cambria" w:hAnsi="Cambria" w:eastAsia="宋体" w:cs="Times New Roman"/>
      <w:b/>
      <w:sz w:val="32"/>
      <w:szCs w:val="32"/>
    </w:rPr>
  </w:style>
  <w:style w:type="paragraph" w:styleId="4">
    <w:name w:val="heading 3"/>
    <w:basedOn w:val="1"/>
    <w:next w:val="1"/>
    <w:link w:val="21"/>
    <w:semiHidden/>
    <w:unhideWhenUsed/>
    <w:qFormat/>
    <w:uiPriority w:val="0"/>
    <w:pPr>
      <w:keepNext/>
      <w:keepLines/>
      <w:spacing w:line="413" w:lineRule="auto"/>
      <w:outlineLvl w:val="2"/>
    </w:pPr>
    <w:rPr>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8"/>
    <w:qFormat/>
    <w:uiPriority w:val="0"/>
    <w:pPr>
      <w:spacing w:beforeLines="30"/>
    </w:pPr>
    <w:rPr>
      <w:rFonts w:hint="eastAsia" w:ascii="仿宋_GB2312" w:hAnsi="Times New Roman" w:eastAsia="仿宋_GB2312" w:cs="Times New Roman"/>
      <w:kern w:val="0"/>
      <w:sz w:val="30"/>
    </w:rPr>
  </w:style>
  <w:style w:type="paragraph" w:styleId="6">
    <w:name w:val="Balloon Text"/>
    <w:basedOn w:val="1"/>
    <w:link w:val="22"/>
    <w:qFormat/>
    <w:uiPriority w:val="0"/>
    <w:rPr>
      <w:sz w:val="18"/>
    </w:rPr>
  </w:style>
  <w:style w:type="paragraph" w:styleId="7">
    <w:name w:val="footer"/>
    <w:basedOn w:val="1"/>
    <w:link w:val="25"/>
    <w:qFormat/>
    <w:uiPriority w:val="99"/>
    <w:pPr>
      <w:tabs>
        <w:tab w:val="center" w:pos="4153"/>
        <w:tab w:val="right" w:pos="8306"/>
      </w:tabs>
      <w:snapToGrid w:val="0"/>
      <w:jc w:val="left"/>
    </w:pPr>
    <w:rPr>
      <w:sz w:val="18"/>
    </w:rPr>
  </w:style>
  <w:style w:type="paragraph" w:styleId="8">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pPr>
      <w:tabs>
        <w:tab w:val="right" w:leader="dot" w:pos="8296"/>
      </w:tabs>
      <w:spacing w:before="93"/>
      <w:jc w:val="center"/>
    </w:pPr>
    <w:rPr>
      <w:rFonts w:hint="eastAsia" w:ascii="仿宋" w:hAnsi="仿宋" w:eastAsia="仿宋" w:cs="Times New Roman"/>
      <w:sz w:val="28"/>
      <w:szCs w:val="28"/>
    </w:rPr>
  </w:style>
  <w:style w:type="paragraph" w:styleId="10">
    <w:name w:val="toc 2"/>
    <w:basedOn w:val="1"/>
    <w:next w:val="1"/>
    <w:qFormat/>
    <w:uiPriority w:val="0"/>
    <w:pPr>
      <w:tabs>
        <w:tab w:val="right" w:leader="dot" w:pos="8296"/>
      </w:tabs>
      <w:ind w:left="420" w:leftChars="200"/>
    </w:pPr>
    <w:rPr>
      <w:rFonts w:ascii="Times New Roman" w:hAnsi="Times New Roman" w:eastAsia="宋体" w:cs="Times New Roman"/>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4">
    <w:name w:val="Strong"/>
    <w:basedOn w:val="13"/>
    <w:qFormat/>
    <w:uiPriority w:val="0"/>
    <w:rPr>
      <w:b/>
    </w:rPr>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character" w:customStyle="1" w:styleId="17">
    <w:name w:val="Footer Char"/>
    <w:basedOn w:val="13"/>
    <w:qFormat/>
    <w:uiPriority w:val="0"/>
    <w:rPr>
      <w:rFonts w:hint="default" w:ascii="Times New Roman" w:hAnsi="Times New Roman" w:cs="Times New Roman"/>
      <w:sz w:val="18"/>
      <w:szCs w:val="18"/>
    </w:rPr>
  </w:style>
  <w:style w:type="character" w:customStyle="1" w:styleId="18">
    <w:name w:val="正文文本 Char"/>
    <w:basedOn w:val="13"/>
    <w:link w:val="5"/>
    <w:qFormat/>
    <w:uiPriority w:val="0"/>
    <w:rPr>
      <w:rFonts w:hint="eastAsia" w:ascii="仿宋_GB2312" w:hAnsi="Times New Roman" w:eastAsia="仿宋_GB2312" w:cs="仿宋_GB2312"/>
      <w:sz w:val="30"/>
      <w:szCs w:val="24"/>
    </w:rPr>
  </w:style>
  <w:style w:type="character" w:customStyle="1" w:styleId="19">
    <w:name w:val="标题 2 Char"/>
    <w:basedOn w:val="13"/>
    <w:link w:val="3"/>
    <w:qFormat/>
    <w:uiPriority w:val="0"/>
    <w:rPr>
      <w:rFonts w:hint="default" w:ascii="Cambria" w:hAnsi="Cambria" w:eastAsia="宋体" w:cs="Times New Roman"/>
      <w:b/>
      <w:kern w:val="2"/>
      <w:sz w:val="32"/>
      <w:szCs w:val="32"/>
    </w:rPr>
  </w:style>
  <w:style w:type="character" w:customStyle="1" w:styleId="20">
    <w:name w:val="标题 1 Char"/>
    <w:basedOn w:val="13"/>
    <w:link w:val="2"/>
    <w:qFormat/>
    <w:uiPriority w:val="0"/>
    <w:rPr>
      <w:rFonts w:hint="default" w:ascii="Times New Roman" w:hAnsi="Times New Roman" w:cs="Times New Roman"/>
      <w:b/>
      <w:kern w:val="44"/>
      <w:sz w:val="44"/>
      <w:szCs w:val="44"/>
    </w:rPr>
  </w:style>
  <w:style w:type="character" w:customStyle="1" w:styleId="21">
    <w:name w:val="标题 3 Char"/>
    <w:basedOn w:val="13"/>
    <w:link w:val="4"/>
    <w:qFormat/>
    <w:uiPriority w:val="0"/>
    <w:rPr>
      <w:rFonts w:hint="default" w:ascii="Times New Roman" w:hAnsi="Times New Roman" w:cs="Times New Roman"/>
      <w:b/>
      <w:kern w:val="2"/>
      <w:sz w:val="32"/>
      <w:szCs w:val="32"/>
    </w:rPr>
  </w:style>
  <w:style w:type="character" w:customStyle="1" w:styleId="22">
    <w:name w:val="批注框文本 Char"/>
    <w:basedOn w:val="13"/>
    <w:link w:val="6"/>
    <w:qFormat/>
    <w:uiPriority w:val="0"/>
    <w:rPr>
      <w:rFonts w:hint="default" w:ascii="Times New Roman" w:hAnsi="Times New Roman" w:cs="Times New Roman"/>
      <w:kern w:val="2"/>
      <w:sz w:val="18"/>
      <w:szCs w:val="18"/>
    </w:rPr>
  </w:style>
  <w:style w:type="paragraph" w:customStyle="1" w:styleId="23">
    <w:name w:val="msolistparagraph"/>
    <w:basedOn w:val="1"/>
    <w:qFormat/>
    <w:uiPriority w:val="0"/>
    <w:pPr>
      <w:ind w:firstLine="420" w:firstLineChars="200"/>
    </w:pPr>
    <w:rPr>
      <w:rFonts w:ascii="Times New Roman" w:hAnsi="Times New Roman" w:eastAsia="宋体" w:cs="Times New Roman"/>
    </w:rPr>
  </w:style>
  <w:style w:type="character" w:customStyle="1" w:styleId="24">
    <w:name w:val="页眉 Char"/>
    <w:basedOn w:val="13"/>
    <w:link w:val="8"/>
    <w:qFormat/>
    <w:uiPriority w:val="0"/>
    <w:rPr>
      <w:sz w:val="18"/>
      <w:szCs w:val="18"/>
    </w:rPr>
  </w:style>
  <w:style w:type="character" w:customStyle="1" w:styleId="25">
    <w:name w:val="页脚 Char"/>
    <w:basedOn w:val="13"/>
    <w:link w:val="7"/>
    <w:qFormat/>
    <w:uiPriority w:val="99"/>
    <w:rPr>
      <w:sz w:val="18"/>
      <w:szCs w:val="18"/>
    </w:rPr>
  </w:style>
  <w:style w:type="character" w:customStyle="1" w:styleId="26">
    <w:name w:val="Header Char"/>
    <w:basedOn w:val="13"/>
    <w:qFormat/>
    <w:uiPriority w:val="0"/>
    <w:rPr>
      <w:rFonts w:hint="default" w:ascii="Times New Roman" w:hAnsi="Times New Roman" w:cs="Times New Roman"/>
      <w:sz w:val="18"/>
      <w:szCs w:val="18"/>
    </w:rPr>
  </w:style>
  <w:style w:type="character" w:customStyle="1" w:styleId="27">
    <w:name w:val="Body Text Char"/>
    <w:basedOn w:val="13"/>
    <w:qFormat/>
    <w:uiPriority w:val="0"/>
    <w:rPr>
      <w:rFonts w:hint="default" w:ascii="Times New Roman" w:hAnsi="Times New Roman" w:cs="Times New Roman"/>
      <w:szCs w:val="24"/>
    </w:rPr>
  </w:style>
  <w:style w:type="paragraph" w:customStyle="1" w:styleId="28">
    <w:name w:val="Default"/>
    <w:basedOn w:val="1"/>
    <w:qFormat/>
    <w:uiPriority w:val="0"/>
    <w:pPr>
      <w:autoSpaceDE w:val="0"/>
      <w:autoSpaceDN w:val="0"/>
      <w:adjustRightInd w:val="0"/>
      <w:jc w:val="left"/>
    </w:pPr>
    <w:rPr>
      <w:rFonts w:hint="eastAsia" w:ascii="仿宋" w:hAnsi="Calibri" w:eastAsia="仿宋" w:cs="Times New Roman"/>
      <w:color w:val="000000"/>
      <w:kern w:val="0"/>
      <w:sz w:val="24"/>
    </w:rPr>
  </w:style>
  <w:style w:type="paragraph" w:styleId="29">
    <w:name w:val="List Paragraph"/>
    <w:basedOn w:val="1"/>
    <w:unhideWhenUsed/>
    <w:qFormat/>
    <w:uiPriority w:val="99"/>
    <w:pPr>
      <w:ind w:firstLine="420" w:firstLineChars="200"/>
    </w:pPr>
  </w:style>
  <w:style w:type="paragraph" w:customStyle="1" w:styleId="30">
    <w:name w:val="样式 样式 样式 样式 样式 样式 样式 样式 样式 首行缩进:  3.5 字符 + 首行缩进:  2 字符 段前: 0.5 行..."/>
    <w:basedOn w:val="1"/>
    <w:qFormat/>
    <w:uiPriority w:val="0"/>
    <w:pPr>
      <w:spacing w:beforeLines="50" w:afterLines="50" w:line="360" w:lineRule="auto"/>
      <w:ind w:firstLine="200" w:firstLineChars="200"/>
    </w:pPr>
    <w:rPr>
      <w:rFonts w:ascii="Times New Roman" w:hAnsi="Times New Roman" w:eastAsia="宋体"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2017年</c:v>
                </c:pt>
              </c:strCache>
            </c:strRef>
          </c:tx>
          <c:invertIfNegative val="false"/>
          <c:dLbls>
            <c:delete val="true"/>
          </c:dLbls>
          <c:cat>
            <c:strRef>
              <c:f>Sheet1!$A$2:$A$3</c:f>
              <c:strCache>
                <c:ptCount val="2"/>
                <c:pt idx="0">
                  <c:v>决算收入</c:v>
                </c:pt>
                <c:pt idx="1">
                  <c:v>决算支出</c:v>
                </c:pt>
              </c:strCache>
            </c:strRef>
          </c:cat>
          <c:val>
            <c:numRef>
              <c:f>Sheet1!$B$2:$B$3</c:f>
              <c:numCache>
                <c:formatCode>General</c:formatCode>
                <c:ptCount val="2"/>
                <c:pt idx="0">
                  <c:v>448.1</c:v>
                </c:pt>
                <c:pt idx="1">
                  <c:v>212.46</c:v>
                </c:pt>
              </c:numCache>
            </c:numRef>
          </c:val>
        </c:ser>
        <c:ser>
          <c:idx val="1"/>
          <c:order val="1"/>
          <c:tx>
            <c:strRef>
              <c:f>Sheet1!$C$1</c:f>
              <c:strCache>
                <c:ptCount val="1"/>
                <c:pt idx="0">
                  <c:v>2018年</c:v>
                </c:pt>
              </c:strCache>
            </c:strRef>
          </c:tx>
          <c:invertIfNegative val="false"/>
          <c:dLbls>
            <c:delete val="true"/>
          </c:dLbls>
          <c:cat>
            <c:strRef>
              <c:f>Sheet1!$A$2:$A$3</c:f>
              <c:strCache>
                <c:ptCount val="2"/>
                <c:pt idx="0">
                  <c:v>决算收入</c:v>
                </c:pt>
                <c:pt idx="1">
                  <c:v>决算支出</c:v>
                </c:pt>
              </c:strCache>
            </c:strRef>
          </c:cat>
          <c:val>
            <c:numRef>
              <c:f>Sheet1!$C$2:$C$3</c:f>
              <c:numCache>
                <c:formatCode>General</c:formatCode>
                <c:ptCount val="2"/>
                <c:pt idx="0">
                  <c:v>468.46</c:v>
                </c:pt>
                <c:pt idx="1">
                  <c:v>451.08</c:v>
                </c:pt>
              </c:numCache>
            </c:numRef>
          </c:val>
        </c:ser>
        <c:dLbls>
          <c:showLegendKey val="false"/>
          <c:showVal val="false"/>
          <c:showCatName val="false"/>
          <c:showSerName val="false"/>
          <c:showPercent val="false"/>
          <c:showBubbleSize val="false"/>
        </c:dLbls>
        <c:gapWidth val="150"/>
        <c:axId val="118135040"/>
        <c:axId val="118515584"/>
      </c:barChart>
      <c:catAx>
        <c:axId val="11813504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8515584"/>
        <c:crosses val="autoZero"/>
        <c:auto val="true"/>
        <c:lblAlgn val="ctr"/>
        <c:lblOffset val="100"/>
        <c:noMultiLvlLbl val="false"/>
      </c:catAx>
      <c:valAx>
        <c:axId val="118515584"/>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8135040"/>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0264868769564171"/>
          <c:y val="0.179153766769866"/>
          <c:w val="0.559392034218697"/>
          <c:h val="0.721775025799797"/>
        </c:manualLayout>
      </c:layout>
      <c:pieChart>
        <c:varyColors val="true"/>
        <c:ser>
          <c:idx val="0"/>
          <c:order val="0"/>
          <c:tx>
            <c:strRef>
              <c:f>Sheet1!$B$1</c:f>
              <c:strCache>
                <c:ptCount val="1"/>
                <c:pt idx="0">
                  <c:v>2018年收入</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delete val="true"/>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Sheet1!$B$2:$B$8</c:f>
              <c:numCache>
                <c:formatCode>General</c:formatCode>
                <c:ptCount val="7"/>
                <c:pt idx="0">
                  <c:v>100</c:v>
                </c:pt>
                <c:pt idx="1">
                  <c:v>0</c:v>
                </c:pt>
                <c:pt idx="2">
                  <c:v>0</c:v>
                </c:pt>
                <c:pt idx="3">
                  <c:v>0</c:v>
                </c:pt>
                <c:pt idx="4">
                  <c:v>0</c:v>
                </c:pt>
                <c:pt idx="5">
                  <c:v>0</c:v>
                </c:pt>
                <c:pt idx="6">
                  <c:v>0</c:v>
                </c:pt>
              </c:numCache>
            </c:numRef>
          </c:val>
        </c:ser>
        <c:dLbls>
          <c:showLegendKey val="false"/>
          <c:showVal val="false"/>
          <c:showCatName val="false"/>
          <c:showSerName val="false"/>
          <c:showPercent val="false"/>
          <c:showBubbleSize val="false"/>
          <c:showLeaderLines val="true"/>
        </c:dLbls>
        <c:firstSliceAng val="15"/>
      </c:pieChart>
      <c:spPr>
        <a:noFill/>
        <a:ln>
          <a:noFill/>
        </a:ln>
        <a:effectLst/>
      </c:spPr>
    </c:plotArea>
    <c:legend>
      <c:legendPos val="r"/>
      <c:layout>
        <c:manualLayout>
          <c:xMode val="edge"/>
          <c:yMode val="edge"/>
          <c:x val="0.655707950423852"/>
          <c:y val="0.193302292321819"/>
          <c:w val="0.329844662145383"/>
          <c:h val="0.693477649659118"/>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支出决算</c:v>
                </c:pt>
              </c:strCache>
            </c:strRef>
          </c:tx>
          <c:explosion val="0"/>
          <c:dPt>
            <c:idx val="0"/>
            <c:bubble3D val="false"/>
          </c:dPt>
          <c:dPt>
            <c:idx val="1"/>
            <c:bubble3D val="false"/>
          </c:dPt>
          <c:dPt>
            <c:idx val="2"/>
            <c:bubble3D val="false"/>
          </c:dPt>
          <c:dPt>
            <c:idx val="3"/>
            <c:bubble3D val="false"/>
          </c:dPt>
          <c:dPt>
            <c:idx val="4"/>
            <c:bubble3D val="false"/>
          </c:dPt>
          <c:dLbls>
            <c:delete val="true"/>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139.65</c:v>
                </c:pt>
                <c:pt idx="1">
                  <c:v>311.429999999999</c:v>
                </c:pt>
                <c:pt idx="2">
                  <c:v>0</c:v>
                </c:pt>
                <c:pt idx="3">
                  <c:v>0</c:v>
                </c:pt>
                <c:pt idx="4">
                  <c:v>0</c:v>
                </c:pt>
              </c:numCache>
            </c:numRef>
          </c:val>
        </c:ser>
        <c:dLbls>
          <c:showLegendKey val="false"/>
          <c:showVal val="fals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2017年</c:v>
                </c:pt>
              </c:strCache>
            </c:strRef>
          </c:tx>
          <c:invertIfNegative val="false"/>
          <c:dLbls>
            <c:delete val="true"/>
          </c:dLbls>
          <c:cat>
            <c:strRef>
              <c:f>Sheet1!$A$2</c:f>
              <c:strCache>
                <c:ptCount val="1"/>
                <c:pt idx="0">
                  <c:v>一般公共预算财政拨款支出</c:v>
                </c:pt>
              </c:strCache>
            </c:strRef>
          </c:cat>
          <c:val>
            <c:numRef>
              <c:f>Sheet1!$B$2</c:f>
              <c:numCache>
                <c:formatCode>General</c:formatCode>
                <c:ptCount val="1"/>
                <c:pt idx="0">
                  <c:v>212.46</c:v>
                </c:pt>
              </c:numCache>
            </c:numRef>
          </c:val>
        </c:ser>
        <c:ser>
          <c:idx val="1"/>
          <c:order val="1"/>
          <c:tx>
            <c:strRef>
              <c:f>Sheet1!$C$1</c:f>
              <c:strCache>
                <c:ptCount val="1"/>
                <c:pt idx="0">
                  <c:v>2018</c:v>
                </c:pt>
              </c:strCache>
            </c:strRef>
          </c:tx>
          <c:invertIfNegative val="false"/>
          <c:dLbls>
            <c:delete val="true"/>
          </c:dLbls>
          <c:cat>
            <c:strRef>
              <c:f>Sheet1!$A$2</c:f>
              <c:strCache>
                <c:ptCount val="1"/>
                <c:pt idx="0">
                  <c:v>一般公共预算财政拨款支出</c:v>
                </c:pt>
              </c:strCache>
            </c:strRef>
          </c:cat>
          <c:val>
            <c:numRef>
              <c:f>Sheet1!$C$2</c:f>
              <c:numCache>
                <c:formatCode>General</c:formatCode>
                <c:ptCount val="1"/>
                <c:pt idx="0">
                  <c:v>451.08</c:v>
                </c:pt>
              </c:numCache>
            </c:numRef>
          </c:val>
        </c:ser>
        <c:dLbls>
          <c:showLegendKey val="false"/>
          <c:showVal val="false"/>
          <c:showCatName val="false"/>
          <c:showSerName val="false"/>
          <c:showPercent val="false"/>
          <c:showBubbleSize val="false"/>
        </c:dLbls>
        <c:gapWidth val="150"/>
        <c:axId val="125232640"/>
        <c:axId val="125234176"/>
      </c:barChart>
      <c:catAx>
        <c:axId val="12523264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5234176"/>
        <c:crosses val="autoZero"/>
        <c:auto val="true"/>
        <c:lblAlgn val="ctr"/>
        <c:lblOffset val="100"/>
        <c:noMultiLvlLbl val="false"/>
      </c:catAx>
      <c:valAx>
        <c:axId val="12523417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5232640"/>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2018年一般公共预算财政拨款支出</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Lbls>
            <c:delete val="true"/>
          </c:dLbls>
          <c:cat>
            <c:strRef>
              <c:f>Sheet1!$A$2:$A$7</c:f>
              <c:strCache>
                <c:ptCount val="6"/>
                <c:pt idx="0">
                  <c:v>一般公共服务（类）支出</c:v>
                </c:pt>
                <c:pt idx="1">
                  <c:v>文化体育与传媒（类）支出</c:v>
                </c:pt>
                <c:pt idx="2">
                  <c:v>社会保障和就业(类)支出</c:v>
                </c:pt>
                <c:pt idx="3">
                  <c:v>医疗卫生（类）支出</c:v>
                </c:pt>
                <c:pt idx="4">
                  <c:v>节能环保（类）支出</c:v>
                </c:pt>
                <c:pt idx="5">
                  <c:v>住房保障（类）支出</c:v>
                </c:pt>
              </c:strCache>
            </c:strRef>
          </c:cat>
          <c:val>
            <c:numRef>
              <c:f>Sheet1!$B$2:$B$7</c:f>
              <c:numCache>
                <c:formatCode>General</c:formatCode>
                <c:ptCount val="6"/>
                <c:pt idx="0">
                  <c:v>111.5</c:v>
                </c:pt>
                <c:pt idx="1">
                  <c:v>144.89</c:v>
                </c:pt>
                <c:pt idx="2">
                  <c:v>14.17</c:v>
                </c:pt>
                <c:pt idx="3">
                  <c:v>5.47</c:v>
                </c:pt>
                <c:pt idx="4">
                  <c:v>166.55</c:v>
                </c:pt>
                <c:pt idx="5">
                  <c:v>8.5</c:v>
                </c:pt>
              </c:numCache>
            </c:numRef>
          </c:val>
        </c:ser>
        <c:dLbls>
          <c:showLegendKey val="false"/>
          <c:showVal val="fals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c:v>
                </c:pt>
              </c:strCache>
            </c:strRef>
          </c:tx>
          <c:explosion val="0"/>
          <c:dPt>
            <c:idx val="0"/>
            <c:bubble3D val="false"/>
          </c:dPt>
          <c:dPt>
            <c:idx val="1"/>
            <c:bubble3D val="false"/>
          </c:dPt>
          <c:dPt>
            <c:idx val="2"/>
            <c:bubble3D val="false"/>
          </c:dPt>
          <c:dLbls>
            <c:delete val="true"/>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3.2</c:v>
                </c:pt>
                <c:pt idx="2">
                  <c:v>1.4</c:v>
                </c:pt>
              </c:numCache>
            </c:numRef>
          </c:val>
        </c:ser>
        <c:dLbls>
          <c:showLegendKey val="false"/>
          <c:showVal val="fals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2731</Words>
  <Characters>15571</Characters>
  <Lines>129</Lines>
  <Paragraphs>36</Paragraphs>
  <TotalTime>1631</TotalTime>
  <ScaleCrop>false</ScaleCrop>
  <LinksUpToDate>false</LinksUpToDate>
  <CharactersWithSpaces>18266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2019-09-10T15:58:00Z</dcterms:created>
  <dc:creator>榴榴娃</dc:creator>
  <cp:lastModifiedBy>user</cp:lastModifiedBy>
  <cp:lastPrinted>2019-09-16T15:24:00Z</cp:lastPrinted>
  <dcterms:modified xsi:type="dcterms:W3CDTF">2024-05-27T10:31:01Z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