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宋体" w:eastAsia="方正仿宋简体" w:hAnsi="宋体"/>
          <w:sz w:val="28"/>
          <w:szCs w:val="28"/>
        </w:rPr>
      </w:pPr>
      <w:bookmarkStart w:id="0" w:name="_Toc15396475"/>
      <w:bookmarkStart w:id="1" w:name="_Toc15378441"/>
      <w:bookmarkStart w:id="2" w:name="_Toc15396597"/>
      <w:bookmarkStart w:id="3" w:name="_Toc15377425"/>
      <w:bookmarkStart w:id="4" w:name="_Toc15377193"/>
      <w:bookmarkStart w:id="5" w:name="_Toc15306267"/>
      <w:bookmarkStart w:id="6" w:name="_GoBack"/>
      <w:bookmarkEnd w:id="6"/>
    </w:p>
    <w:p>
      <w:pPr>
        <w:pStyle w:val="15"/>
        <w:spacing w:beforeLines="0" w:before="72"/>
      </w:pPr>
    </w:p>
    <w:p>
      <w:pPr>
        <w:adjustRightInd w:val="0"/>
        <w:snapToGrid w:val="0"/>
        <w:jc w:val="center"/>
        <w:rPr>
          <w:rFonts w:ascii="方正小标宋简体" w:eastAsia="方正小标宋简体" w:cs="方正小标宋简体" w:hAnsi="方正小标宋简体"/>
          <w:sz w:val="68"/>
          <w:szCs w:val="68"/>
        </w:rPr>
      </w:pPr>
      <w:bookmarkStart w:id="7" w:name="_Toc15396598"/>
      <w:bookmarkStart w:id="8" w:name="_Toc15377194"/>
      <w:bookmarkStart w:id="9" w:name="_Toc15396476"/>
      <w:bookmarkStart w:id="10" w:name="_Toc15377426"/>
      <w:bookmarkStart w:id="11" w:name="_Toc15378442"/>
      <w:bookmarkEnd w:id="0"/>
      <w:bookmarkEnd w:id="1"/>
      <w:bookmarkEnd w:id="2"/>
      <w:bookmarkEnd w:id="3"/>
      <w:bookmarkEnd w:id="4"/>
      <w:r>
        <w:rPr>
          <w:rFonts w:ascii="方正小标宋简体" w:eastAsia="方正小标宋简体" w:cs="方正小标宋简体" w:hAnsi="方正小标宋简体" w:hint="eastAsia"/>
          <w:sz w:val="68"/>
          <w:szCs w:val="68"/>
        </w:rPr>
        <w:t>四川省</w:t>
      </w:r>
      <w:bookmarkStart w:id="12" w:name="_Toc15306268"/>
      <w:bookmarkEnd w:id="5"/>
      <w:r>
        <w:rPr>
          <w:rFonts w:ascii="方正小标宋简体" w:eastAsia="方正小标宋简体" w:cs="方正小标宋简体" w:hAnsi="方正小标宋简体" w:hint="eastAsia"/>
          <w:sz w:val="68"/>
          <w:szCs w:val="68"/>
        </w:rPr>
        <w:t>广元市利州区人民政府雪峰街道办事处</w:t>
      </w:r>
    </w:p>
    <w:p>
      <w:pPr>
        <w:pStyle w:val="15"/>
        <w:spacing w:beforeLines="0" w:before="72"/>
      </w:pPr>
    </w:p>
    <w:p>
      <w:pPr>
        <w:adjustRightInd w:val="0"/>
        <w:snapToGrid w:val="0"/>
        <w:spacing w:line="288" w:lineRule="auto"/>
        <w:jc w:val="center"/>
        <w:rPr>
          <w:rFonts w:ascii="方正魏碑_GBK" w:eastAsia="方正魏碑_GBK" w:cs="方正小标宋简体" w:hAnsi="方正小标宋简体"/>
          <w:sz w:val="96"/>
          <w:szCs w:val="96"/>
        </w:rPr>
      </w:pPr>
      <w:r>
        <w:rPr>
          <w:rFonts w:ascii="方正魏碑_GBK" w:eastAsia="方正魏碑_GBK" w:cs="方正小标宋简体" w:hAnsi="方正小标宋简体" w:hint="eastAsia"/>
          <w:sz w:val="96"/>
          <w:szCs w:val="96"/>
        </w:rPr>
        <w:t>部</w:t>
      </w:r>
    </w:p>
    <w:p>
      <w:pPr>
        <w:adjustRightInd w:val="0"/>
        <w:snapToGrid w:val="0"/>
        <w:spacing w:line="288" w:lineRule="auto"/>
        <w:jc w:val="center"/>
        <w:rPr>
          <w:rFonts w:ascii="方正魏碑_GBK" w:eastAsia="方正魏碑_GBK" w:cs="方正小标宋简体" w:hAnsi="方正小标宋简体"/>
          <w:sz w:val="96"/>
          <w:szCs w:val="96"/>
        </w:rPr>
      </w:pPr>
      <w:r>
        <w:rPr>
          <w:rFonts w:ascii="方正魏碑_GBK" w:eastAsia="方正魏碑_GBK" w:cs="方正小标宋简体" w:hAnsi="方正小标宋简体" w:hint="eastAsia"/>
          <w:sz w:val="96"/>
          <w:szCs w:val="96"/>
        </w:rPr>
        <w:t>门</w:t>
      </w:r>
    </w:p>
    <w:p>
      <w:pPr>
        <w:adjustRightInd w:val="0"/>
        <w:snapToGrid w:val="0"/>
        <w:spacing w:line="288" w:lineRule="auto"/>
        <w:jc w:val="center"/>
        <w:rPr>
          <w:rFonts w:ascii="方正魏碑_GBK" w:eastAsia="方正魏碑_GBK" w:cs="方正小标宋简体" w:hAnsi="方正小标宋简体"/>
          <w:sz w:val="96"/>
          <w:szCs w:val="96"/>
        </w:rPr>
      </w:pPr>
      <w:r>
        <w:rPr>
          <w:rFonts w:ascii="方正魏碑_GBK" w:eastAsia="方正魏碑_GBK" w:cs="方正小标宋简体" w:hAnsi="方正小标宋简体" w:hint="eastAsia"/>
          <w:sz w:val="96"/>
          <w:szCs w:val="96"/>
        </w:rPr>
        <w:t>决</w:t>
      </w:r>
    </w:p>
    <w:p>
      <w:pPr>
        <w:adjustRightInd w:val="0"/>
        <w:snapToGrid w:val="0"/>
        <w:spacing w:line="288" w:lineRule="auto"/>
        <w:jc w:val="center"/>
        <w:rPr>
          <w:rFonts w:ascii="方正魏碑_GBK" w:eastAsia="方正魏碑_GBK" w:cs="方正小标宋简体" w:hAnsi="方正小标宋简体"/>
          <w:sz w:val="96"/>
          <w:szCs w:val="96"/>
        </w:rPr>
      </w:pPr>
      <w:r>
        <w:rPr>
          <w:rFonts w:ascii="方正魏碑_GBK" w:eastAsia="方正魏碑_GBK" w:cs="方正小标宋简体" w:hAnsi="方正小标宋简体" w:hint="eastAsia"/>
          <w:sz w:val="96"/>
          <w:szCs w:val="96"/>
        </w:rPr>
        <w:t>算</w:t>
      </w:r>
      <w:bookmarkEnd w:id="7"/>
      <w:bookmarkEnd w:id="8"/>
      <w:bookmarkEnd w:id="9"/>
      <w:bookmarkEnd w:id="10"/>
      <w:bookmarkEnd w:id="11"/>
      <w:bookmarkEnd w:id="12"/>
    </w:p>
    <w:p>
      <w:pPr>
        <w:adjustRightInd w:val="0"/>
        <w:snapToGrid w:val="0"/>
        <w:spacing w:line="288" w:lineRule="auto"/>
        <w:jc w:val="center"/>
        <w:rPr>
          <w:rFonts w:ascii="方正黑体简体" w:eastAsia="方正黑体简体" w:cs="方正小标宋简体" w:hAnsi="方正小标宋简体" w:hint="eastAsia"/>
          <w:sz w:val="40"/>
          <w:szCs w:val="40"/>
        </w:rPr>
      </w:pPr>
    </w:p>
    <w:p>
      <w:pPr>
        <w:adjustRightInd w:val="0"/>
        <w:snapToGrid w:val="0"/>
        <w:spacing w:line="288" w:lineRule="auto"/>
        <w:jc w:val="center"/>
        <w:rPr>
          <w:rFonts w:ascii="方正黑体简体" w:eastAsia="方正黑体简体" w:cs="方正小标宋简体" w:hAnsi="方正小标宋简体" w:hint="eastAsia"/>
          <w:sz w:val="40"/>
          <w:szCs w:val="40"/>
        </w:rPr>
      </w:pPr>
    </w:p>
    <w:p>
      <w:pPr>
        <w:adjustRightInd w:val="0"/>
        <w:snapToGrid w:val="0"/>
        <w:spacing w:line="288" w:lineRule="auto"/>
        <w:jc w:val="center"/>
        <w:rPr>
          <w:rFonts w:ascii="方正魏碑_GBK" w:eastAsia="方正魏碑_GBK" w:cs="方正小标宋简体" w:hAnsi="方正小标宋简体"/>
          <w:sz w:val="96"/>
          <w:szCs w:val="96"/>
        </w:rPr>
      </w:pPr>
      <w:r>
        <w:rPr>
          <w:rFonts w:ascii="方正黑体简体" w:eastAsia="方正黑体简体" w:cs="方正小标宋简体" w:hAnsi="方正小标宋简体" w:hint="eastAsia"/>
          <w:sz w:val="40"/>
          <w:szCs w:val="40"/>
        </w:rPr>
        <w:t>2021年度</w:t>
      </w:r>
    </w:p>
    <w:sdt>
      <w:sdtPr>
        <w:rPr>
          <w:lang w:val="zh-CN"/>
        </w:rPr>
        <w:id w:val="19028827"/>
        <w:docPartObj>
          <w:docPartGallery w:val="Table of Contents"/>
          <w:docPartUnique/>
        </w:docPartObj>
      </w:sdtPr>
      <w:sdtEndPr>
        <w:rPr>
          <w:lang w:val="en-US"/>
        </w:rPr>
      </w:sdtEndPr>
      <w:sdtContent>
        <w:p>
          <w:pPr>
            <w:widowControl/>
            <w:jc w:val="center"/>
            <w:rPr>
              <w:lang w:val="zh-CN"/>
            </w:rPr>
          </w:pPr>
        </w:p>
        <w:p>
          <w:pPr>
            <w:widowControl/>
            <w:jc w:val="both"/>
            <w:rPr>
              <w:lang w:val="zh-CN"/>
            </w:rPr>
          </w:pPr>
        </w:p>
        <w:p>
          <w:pPr>
            <w:widowControl/>
            <w:jc w:val="center"/>
            <w:rPr>
              <w:lang w:val="zh-CN"/>
            </w:rPr>
          </w:pPr>
          <w:r>
            <w:rPr>
              <w:lang w:val="zh-CN"/>
            </w:rPr>
            <w:t>目录</w:t>
          </w:r>
        </w:p>
        <w:p>
          <w:pPr>
            <w:pStyle w:val="21"/>
            <w:tabs>
              <w:tab w:val="right" w:leader="dot" w:pos="8296"/>
            </w:tabs>
          </w:pPr>
          <w:r>
            <w:rPr>
              <w:rFonts w:hint="eastAsia"/>
            </w:rPr>
            <w:t>公开时间：2022年9月20日</w:t>
          </w:r>
        </w:p>
        <w:p>
          <w:pPr>
            <w:rPr>
              <w:lang w:val="zh-CN"/>
            </w:rPr>
          </w:pPr>
        </w:p>
        <w:p>
          <w:pPr>
            <w:pStyle w:val="21"/>
            <w:tabs>
              <w:tab w:val="clear" w:pos="8296"/>
              <w:tab w:val="right" w:leader="dot" w:pos="8844"/>
            </w:tabs>
          </w:pPr>
          <w:r>
            <w:fldChar w:fldCharType="begin"/>
          </w:r>
          <w:r>
            <w:instrText xml:space="preserve"> TOC \o "1-3" \h \z \u </w:instrText>
          </w:r>
          <w:r>
            <w:fldChar w:fldCharType="separate"/>
          </w:r>
          <w:r>
            <w:fldChar w:fldCharType="begin"/>
          </w:r>
          <w:r>
            <w:instrText xml:space="preserve"> HYPERLINK \l _Toc6041 </w:instrText>
          </w:r>
          <w:r>
            <w:fldChar w:fldCharType="separate"/>
          </w:r>
          <w:r>
            <w:rPr>
              <w:rFonts w:ascii="黑体" w:eastAsia="黑体" w:hAnsi="黑体" w:hint="eastAsia"/>
            </w:rPr>
            <w:t xml:space="preserve">第一部分 </w:t>
          </w:r>
          <w:r>
            <w:rPr>
              <w:rFonts w:ascii="黑体" w:eastAsia="黑体" w:hAnsi="黑体" w:hint="eastAsia"/>
              <w:bCs w:val="0"/>
            </w:rPr>
            <w:t>部门概况</w:t>
          </w:r>
          <w:r>
            <w:tab/>
          </w:r>
          <w:r>
            <w:fldChar w:fldCharType="begin"/>
          </w:r>
          <w:r>
            <w:instrText xml:space="preserve"> PAGEREF _Toc6041 \h </w:instrText>
          </w:r>
          <w:r>
            <w:fldChar w:fldCharType="separate"/>
          </w:r>
          <w:r>
            <w:t>3</w:t>
          </w:r>
          <w:r>
            <w:fldChar w:fldCharType="end"/>
          </w:r>
          <w:r>
            <w:fldChar w:fldCharType="end"/>
          </w:r>
        </w:p>
        <w:p>
          <w:pPr>
            <w:pStyle w:val="22"/>
            <w:tabs>
              <w:tab w:val="clear" w:pos="8296"/>
              <w:tab w:val="right" w:leader="dot" w:pos="8844"/>
            </w:tabs>
          </w:pPr>
          <w:r>
            <w:fldChar w:fldCharType="begin"/>
          </w:r>
          <w:r>
            <w:instrText xml:space="preserve"> HYPERLINK \l _Toc193 </w:instrText>
          </w:r>
          <w:r>
            <w:fldChar w:fldCharType="separate"/>
          </w:r>
          <w:r>
            <w:rPr>
              <w:rFonts w:ascii="黑体" w:eastAsia="黑体" w:hAnsi="黑体" w:hint="eastAsia"/>
            </w:rPr>
            <w:t>一、基</w:t>
          </w:r>
          <w:r>
            <w:rPr>
              <w:rFonts w:ascii="黑体" w:eastAsia="黑体" w:hAnsi="黑体" w:hint="eastAsia"/>
              <w:bCs w:val="0"/>
            </w:rPr>
            <w:t>本职能及主要工作</w:t>
          </w:r>
          <w:r>
            <w:tab/>
          </w:r>
          <w:r>
            <w:fldChar w:fldCharType="begin"/>
          </w:r>
          <w:r>
            <w:instrText xml:space="preserve"> PAGEREF _Toc193 \h </w:instrText>
          </w:r>
          <w:r>
            <w:fldChar w:fldCharType="separate"/>
          </w:r>
          <w:r>
            <w:t>3</w:t>
          </w:r>
          <w:r>
            <w:fldChar w:fldCharType="end"/>
          </w:r>
          <w:r>
            <w:fldChar w:fldCharType="end"/>
          </w:r>
        </w:p>
        <w:p>
          <w:pPr>
            <w:pStyle w:val="17"/>
            <w:tabs>
              <w:tab w:val="clear" w:pos="8296"/>
              <w:tab w:val="right" w:leader="dot" w:pos="8844"/>
            </w:tabs>
          </w:pPr>
          <w:r>
            <w:fldChar w:fldCharType="begin"/>
          </w:r>
          <w:r>
            <w:instrText xml:space="preserve"> HYPERLINK \l _Toc14740 </w:instrText>
          </w:r>
          <w:r>
            <w:fldChar w:fldCharType="separate"/>
          </w:r>
          <w:r>
            <w:rPr>
              <w:rFonts w:eastAsia="楷体" w:hint="eastAsia"/>
              <w:bCs/>
              <w:szCs w:val="32"/>
            </w:rPr>
            <w:t>（一）主要职能</w:t>
          </w:r>
          <w:r>
            <w:tab/>
          </w:r>
          <w:r>
            <w:fldChar w:fldCharType="begin"/>
          </w:r>
          <w:r>
            <w:instrText xml:space="preserve"> PAGEREF _Toc14740 \h </w:instrText>
          </w:r>
          <w:r>
            <w:fldChar w:fldCharType="separate"/>
          </w:r>
          <w:r>
            <w:t>3</w:t>
          </w:r>
          <w:r>
            <w:fldChar w:fldCharType="end"/>
          </w:r>
          <w:r>
            <w:fldChar w:fldCharType="end"/>
          </w:r>
        </w:p>
        <w:p>
          <w:pPr>
            <w:pStyle w:val="17"/>
            <w:tabs>
              <w:tab w:val="clear" w:pos="8296"/>
              <w:tab w:val="right" w:leader="dot" w:pos="8844"/>
            </w:tabs>
          </w:pPr>
          <w:r>
            <w:fldChar w:fldCharType="begin"/>
          </w:r>
          <w:r>
            <w:instrText xml:space="preserve"> HYPERLINK \l _Toc3751 </w:instrText>
          </w:r>
          <w:r>
            <w:fldChar w:fldCharType="separate"/>
          </w:r>
          <w:r>
            <w:rPr>
              <w:rFonts w:ascii="楷体" w:eastAsia="楷体" w:cs="楷体_GB2312" w:hAnsi="楷体" w:hint="eastAsia"/>
              <w:bCs/>
              <w:snapToGrid w:val="0"/>
              <w:kern w:val="0"/>
              <w:szCs w:val="32"/>
            </w:rPr>
            <w:t>（二）主要工作及完成情况</w:t>
          </w:r>
          <w:r>
            <w:tab/>
          </w:r>
          <w:r>
            <w:fldChar w:fldCharType="begin"/>
          </w:r>
          <w:r>
            <w:instrText xml:space="preserve"> PAGEREF _Toc3751 \h </w:instrText>
          </w:r>
          <w:r>
            <w:fldChar w:fldCharType="separate"/>
          </w:r>
          <w:r>
            <w:t>4</w:t>
          </w:r>
          <w:r>
            <w:fldChar w:fldCharType="end"/>
          </w:r>
          <w:r>
            <w:fldChar w:fldCharType="end"/>
          </w:r>
        </w:p>
        <w:p>
          <w:pPr>
            <w:pStyle w:val="22"/>
            <w:tabs>
              <w:tab w:val="clear" w:pos="8296"/>
              <w:tab w:val="right" w:leader="dot" w:pos="8844"/>
            </w:tabs>
          </w:pPr>
          <w:r>
            <w:fldChar w:fldCharType="begin"/>
          </w:r>
          <w:r>
            <w:instrText xml:space="preserve"> HYPERLINK \l _Toc15229 </w:instrText>
          </w:r>
          <w:r>
            <w:fldChar w:fldCharType="separate"/>
          </w:r>
          <w:r>
            <w:rPr>
              <w:rFonts w:ascii="黑体" w:eastAsia="黑体" w:hAnsi="黑体" w:hint="eastAsia"/>
              <w:snapToGrid w:val="0"/>
              <w:kern w:val="0"/>
              <w:szCs w:val="32"/>
            </w:rPr>
            <w:t>二、</w:t>
          </w:r>
          <w:r>
            <w:rPr>
              <w:rFonts w:ascii="黑体" w:eastAsia="黑体" w:hAnsi="黑体" w:hint="eastAsia"/>
              <w:szCs w:val="32"/>
            </w:rPr>
            <w:t>机构设置</w:t>
          </w:r>
          <w:r>
            <w:tab/>
          </w:r>
          <w:r>
            <w:fldChar w:fldCharType="begin"/>
          </w:r>
          <w:r>
            <w:instrText xml:space="preserve"> PAGEREF _Toc15229 \h </w:instrText>
          </w:r>
          <w:r>
            <w:fldChar w:fldCharType="separate"/>
          </w:r>
          <w:r>
            <w:t>12</w:t>
          </w:r>
          <w:r>
            <w:fldChar w:fldCharType="end"/>
          </w:r>
          <w:r>
            <w:fldChar w:fldCharType="end"/>
          </w:r>
        </w:p>
        <w:p>
          <w:pPr>
            <w:pStyle w:val="21"/>
            <w:tabs>
              <w:tab w:val="clear" w:pos="8296"/>
              <w:tab w:val="right" w:leader="dot" w:pos="8844"/>
            </w:tabs>
          </w:pPr>
          <w:r>
            <w:fldChar w:fldCharType="begin"/>
          </w:r>
          <w:r>
            <w:instrText xml:space="preserve"> HYPERLINK \l _Toc28860 </w:instrText>
          </w:r>
          <w:r>
            <w:fldChar w:fldCharType="separate"/>
          </w:r>
          <w:r>
            <w:rPr>
              <w:rFonts w:ascii="黑体" w:eastAsia="黑体" w:hAnsi="黑体" w:hint="eastAsia"/>
            </w:rPr>
            <w:t>第二部分 2021年度</w:t>
          </w:r>
          <w:r>
            <w:rPr>
              <w:rFonts w:ascii="黑体" w:eastAsia="黑体" w:hAnsi="黑体" w:hint="eastAsia"/>
              <w:bCs/>
            </w:rPr>
            <w:t>部门决算情况说明</w:t>
          </w:r>
          <w:r>
            <w:tab/>
          </w:r>
          <w:r>
            <w:fldChar w:fldCharType="begin"/>
          </w:r>
          <w:r>
            <w:instrText xml:space="preserve"> PAGEREF _Toc28860 \h </w:instrText>
          </w:r>
          <w:r>
            <w:fldChar w:fldCharType="separate"/>
          </w:r>
          <w:r>
            <w:t>12</w:t>
          </w:r>
          <w:r>
            <w:fldChar w:fldCharType="end"/>
          </w:r>
          <w:r>
            <w:fldChar w:fldCharType="end"/>
          </w:r>
        </w:p>
        <w:p>
          <w:pPr>
            <w:pStyle w:val="22"/>
            <w:tabs>
              <w:tab w:val="clear" w:pos="8296"/>
              <w:tab w:val="right" w:leader="dot" w:pos="8844"/>
            </w:tabs>
          </w:pPr>
          <w:r>
            <w:fldChar w:fldCharType="begin"/>
          </w:r>
          <w:r>
            <w:instrText xml:space="preserve"> HYPERLINK \l _Toc7657 </w:instrText>
          </w:r>
          <w:r>
            <w:fldChar w:fldCharType="separate"/>
          </w:r>
          <w:r>
            <w:rPr>
              <w:rFonts w:ascii="黑体" w:eastAsia="黑体" w:hAnsi="黑体" w:hint="eastAsia"/>
              <w:szCs w:val="32"/>
            </w:rPr>
            <w:t>一、收</w:t>
          </w:r>
          <w:r>
            <w:rPr>
              <w:rFonts w:ascii="黑体" w:eastAsia="黑体" w:hAnsi="黑体" w:hint="eastAsia"/>
            </w:rPr>
            <w:t>入支出决算总体情况说明</w:t>
          </w:r>
          <w:r>
            <w:tab/>
          </w:r>
          <w:r>
            <w:fldChar w:fldCharType="begin"/>
          </w:r>
          <w:r>
            <w:instrText xml:space="preserve"> PAGEREF _Toc7657 \h </w:instrText>
          </w:r>
          <w:r>
            <w:fldChar w:fldCharType="separate"/>
          </w:r>
          <w:r>
            <w:t>12</w:t>
          </w:r>
          <w:r>
            <w:fldChar w:fldCharType="end"/>
          </w:r>
          <w:r>
            <w:fldChar w:fldCharType="end"/>
          </w:r>
        </w:p>
        <w:p>
          <w:pPr>
            <w:pStyle w:val="22"/>
            <w:tabs>
              <w:tab w:val="clear" w:pos="8296"/>
              <w:tab w:val="right" w:leader="dot" w:pos="8844"/>
            </w:tabs>
          </w:pPr>
          <w:r>
            <w:fldChar w:fldCharType="begin"/>
          </w:r>
          <w:r>
            <w:instrText xml:space="preserve"> HYPERLINK \l _Toc28438 </w:instrText>
          </w:r>
          <w:r>
            <w:fldChar w:fldCharType="separate"/>
          </w:r>
          <w:r>
            <w:rPr>
              <w:rFonts w:ascii="黑体" w:eastAsia="黑体" w:hAnsi="黑体" w:hint="eastAsia"/>
              <w:szCs w:val="32"/>
            </w:rPr>
            <w:t>二、收</w:t>
          </w:r>
          <w:r>
            <w:rPr>
              <w:rFonts w:ascii="黑体" w:eastAsia="黑体" w:hAnsi="黑体" w:hint="eastAsia"/>
            </w:rPr>
            <w:t>入决算情况说明</w:t>
          </w:r>
          <w:r>
            <w:tab/>
          </w:r>
          <w:r>
            <w:fldChar w:fldCharType="begin"/>
          </w:r>
          <w:r>
            <w:instrText xml:space="preserve"> PAGEREF _Toc28438 \h </w:instrText>
          </w:r>
          <w:r>
            <w:fldChar w:fldCharType="separate"/>
          </w:r>
          <w:r>
            <w:t>13</w:t>
          </w:r>
          <w:r>
            <w:fldChar w:fldCharType="end"/>
          </w:r>
          <w:r>
            <w:fldChar w:fldCharType="end"/>
          </w:r>
        </w:p>
        <w:p>
          <w:pPr>
            <w:pStyle w:val="22"/>
            <w:tabs>
              <w:tab w:val="clear" w:pos="8296"/>
              <w:tab w:val="right" w:leader="dot" w:pos="8844"/>
            </w:tabs>
          </w:pPr>
          <w:r>
            <w:fldChar w:fldCharType="begin"/>
          </w:r>
          <w:r>
            <w:instrText xml:space="preserve"> HYPERLINK \l _Toc29474 </w:instrText>
          </w:r>
          <w:r>
            <w:fldChar w:fldCharType="separate"/>
          </w:r>
          <w:r>
            <w:rPr>
              <w:rFonts w:ascii="黑体" w:eastAsia="黑体" w:hAnsi="黑体" w:hint="eastAsia"/>
              <w:szCs w:val="32"/>
            </w:rPr>
            <w:t>三、支</w:t>
          </w:r>
          <w:r>
            <w:rPr>
              <w:rFonts w:ascii="黑体" w:eastAsia="黑体" w:hAnsi="黑体" w:hint="eastAsia"/>
            </w:rPr>
            <w:t>出决算情况说明</w:t>
          </w:r>
          <w:r>
            <w:tab/>
          </w:r>
          <w:r>
            <w:fldChar w:fldCharType="begin"/>
          </w:r>
          <w:r>
            <w:instrText xml:space="preserve"> PAGEREF _Toc29474 \h </w:instrText>
          </w:r>
          <w:r>
            <w:fldChar w:fldCharType="separate"/>
          </w:r>
          <w:r>
            <w:t>14</w:t>
          </w:r>
          <w:r>
            <w:fldChar w:fldCharType="end"/>
          </w:r>
          <w:r>
            <w:fldChar w:fldCharType="end"/>
          </w:r>
        </w:p>
        <w:p>
          <w:pPr>
            <w:pStyle w:val="22"/>
            <w:tabs>
              <w:tab w:val="clear" w:pos="8296"/>
              <w:tab w:val="right" w:leader="dot" w:pos="8844"/>
            </w:tabs>
          </w:pPr>
          <w:r>
            <w:fldChar w:fldCharType="begin"/>
          </w:r>
          <w:r>
            <w:instrText xml:space="preserve"> HYPERLINK \l _Toc15158 </w:instrText>
          </w:r>
          <w:r>
            <w:fldChar w:fldCharType="separate"/>
          </w:r>
          <w:r>
            <w:rPr>
              <w:rFonts w:ascii="黑体" w:eastAsia="黑体" w:hAnsi="黑体" w:hint="eastAsia"/>
              <w:szCs w:val="32"/>
            </w:rPr>
            <w:t>四、财</w:t>
          </w:r>
          <w:r>
            <w:rPr>
              <w:rFonts w:ascii="黑体" w:eastAsia="黑体" w:hAnsi="黑体" w:hint="eastAsia"/>
            </w:rPr>
            <w:t>政拨款收入支出决算总体情况说明</w:t>
          </w:r>
          <w:r>
            <w:tab/>
          </w:r>
          <w:r>
            <w:fldChar w:fldCharType="begin"/>
          </w:r>
          <w:r>
            <w:instrText xml:space="preserve"> PAGEREF _Toc15158 \h </w:instrText>
          </w:r>
          <w:r>
            <w:fldChar w:fldCharType="separate"/>
          </w:r>
          <w:r>
            <w:t>14</w:t>
          </w:r>
          <w:r>
            <w:fldChar w:fldCharType="end"/>
          </w:r>
          <w:r>
            <w:fldChar w:fldCharType="end"/>
          </w:r>
        </w:p>
        <w:p>
          <w:pPr>
            <w:pStyle w:val="22"/>
            <w:tabs>
              <w:tab w:val="clear" w:pos="8296"/>
              <w:tab w:val="right" w:leader="dot" w:pos="8844"/>
            </w:tabs>
          </w:pPr>
          <w:r>
            <w:fldChar w:fldCharType="begin"/>
          </w:r>
          <w:r>
            <w:instrText xml:space="preserve"> HYPERLINK \l _Toc30077 </w:instrText>
          </w:r>
          <w:r>
            <w:fldChar w:fldCharType="separate"/>
          </w:r>
          <w:r>
            <w:rPr>
              <w:rFonts w:ascii="黑体" w:eastAsia="黑体" w:hAnsi="黑体" w:hint="eastAsia"/>
              <w:szCs w:val="32"/>
            </w:rPr>
            <w:t>五、一</w:t>
          </w:r>
          <w:r>
            <w:rPr>
              <w:rFonts w:ascii="黑体" w:eastAsia="黑体" w:hAnsi="黑体" w:hint="eastAsia"/>
            </w:rPr>
            <w:t>般公共预算财政拨款支出决算情况说明</w:t>
          </w:r>
          <w:r>
            <w:tab/>
          </w:r>
          <w:r>
            <w:fldChar w:fldCharType="begin"/>
          </w:r>
          <w:r>
            <w:instrText xml:space="preserve"> PAGEREF _Toc30077 \h </w:instrText>
          </w:r>
          <w:r>
            <w:fldChar w:fldCharType="separate"/>
          </w:r>
          <w:r>
            <w:t>15</w:t>
          </w:r>
          <w:r>
            <w:fldChar w:fldCharType="end"/>
          </w:r>
          <w:r>
            <w:fldChar w:fldCharType="end"/>
          </w:r>
        </w:p>
        <w:p>
          <w:pPr>
            <w:pStyle w:val="17"/>
            <w:tabs>
              <w:tab w:val="clear" w:pos="8296"/>
              <w:tab w:val="right" w:leader="dot" w:pos="8844"/>
            </w:tabs>
          </w:pPr>
          <w:r>
            <w:fldChar w:fldCharType="begin"/>
          </w:r>
          <w:r>
            <w:instrText xml:space="preserve"> HYPERLINK \l _Toc8594 </w:instrText>
          </w:r>
          <w:r>
            <w:fldChar w:fldCharType="separate"/>
          </w:r>
          <w:r>
            <w:rPr>
              <w:rFonts w:ascii="楷体" w:eastAsia="楷体" w:hAnsi="楷体" w:hint="eastAsia"/>
              <w:szCs w:val="32"/>
            </w:rPr>
            <w:t>（一）一般公共预算财政拨款支出决算总体情况</w:t>
          </w:r>
          <w:r>
            <w:tab/>
          </w:r>
          <w:r>
            <w:fldChar w:fldCharType="begin"/>
          </w:r>
          <w:r>
            <w:instrText xml:space="preserve"> PAGEREF _Toc8594 \h </w:instrText>
          </w:r>
          <w:r>
            <w:fldChar w:fldCharType="separate"/>
          </w:r>
          <w:r>
            <w:t>15</w:t>
          </w:r>
          <w:r>
            <w:fldChar w:fldCharType="end"/>
          </w:r>
          <w:r>
            <w:fldChar w:fldCharType="end"/>
          </w:r>
        </w:p>
        <w:p>
          <w:pPr>
            <w:pStyle w:val="17"/>
            <w:tabs>
              <w:tab w:val="clear" w:pos="8296"/>
              <w:tab w:val="right" w:leader="dot" w:pos="8844"/>
            </w:tabs>
          </w:pPr>
          <w:r>
            <w:fldChar w:fldCharType="begin"/>
          </w:r>
          <w:r>
            <w:instrText xml:space="preserve"> HYPERLINK \l _Toc5443 </w:instrText>
          </w:r>
          <w:r>
            <w:fldChar w:fldCharType="separate"/>
          </w:r>
          <w:r>
            <w:rPr>
              <w:rFonts w:ascii="楷体" w:eastAsia="楷体" w:hAnsi="楷体" w:hint="eastAsia"/>
              <w:szCs w:val="32"/>
            </w:rPr>
            <w:t>（二）一般公共预算财政拨款支出决算结构情况</w:t>
          </w:r>
          <w:r>
            <w:tab/>
          </w:r>
          <w:r>
            <w:fldChar w:fldCharType="begin"/>
          </w:r>
          <w:r>
            <w:instrText xml:space="preserve"> PAGEREF _Toc5443 \h </w:instrText>
          </w:r>
          <w:r>
            <w:fldChar w:fldCharType="separate"/>
          </w:r>
          <w:r>
            <w:t>16</w:t>
          </w:r>
          <w:r>
            <w:fldChar w:fldCharType="end"/>
          </w:r>
          <w:r>
            <w:fldChar w:fldCharType="end"/>
          </w:r>
        </w:p>
        <w:p>
          <w:pPr>
            <w:pStyle w:val="17"/>
            <w:tabs>
              <w:tab w:val="clear" w:pos="8296"/>
              <w:tab w:val="right" w:leader="dot" w:pos="8844"/>
            </w:tabs>
          </w:pPr>
          <w:r>
            <w:fldChar w:fldCharType="begin"/>
          </w:r>
          <w:r>
            <w:instrText xml:space="preserve"> HYPERLINK \l _Toc30799 </w:instrText>
          </w:r>
          <w:r>
            <w:fldChar w:fldCharType="separate"/>
          </w:r>
          <w:r>
            <w:rPr>
              <w:rFonts w:ascii="楷体" w:eastAsia="楷体" w:hAnsi="楷体" w:hint="eastAsia"/>
              <w:szCs w:val="32"/>
            </w:rPr>
            <w:t>（三）一般公共预算财政拨款支出决算具体情况</w:t>
          </w:r>
          <w:r>
            <w:tab/>
          </w:r>
          <w:r>
            <w:fldChar w:fldCharType="begin"/>
          </w:r>
          <w:r>
            <w:instrText xml:space="preserve"> PAGEREF _Toc30799 \h </w:instrText>
          </w:r>
          <w:r>
            <w:fldChar w:fldCharType="separate"/>
          </w:r>
          <w:r>
            <w:t>17</w:t>
          </w:r>
          <w:r>
            <w:fldChar w:fldCharType="end"/>
          </w:r>
          <w:r>
            <w:fldChar w:fldCharType="end"/>
          </w:r>
        </w:p>
        <w:p>
          <w:pPr>
            <w:pStyle w:val="22"/>
            <w:tabs>
              <w:tab w:val="clear" w:pos="8296"/>
              <w:tab w:val="right" w:leader="dot" w:pos="8844"/>
            </w:tabs>
          </w:pPr>
          <w:r>
            <w:fldChar w:fldCharType="begin"/>
          </w:r>
          <w:r>
            <w:instrText xml:space="preserve"> HYPERLINK \l _Toc25345 </w:instrText>
          </w:r>
          <w:r>
            <w:fldChar w:fldCharType="separate"/>
          </w:r>
          <w:r>
            <w:rPr>
              <w:rFonts w:ascii="黑体" w:eastAsia="黑体" w:hint="eastAsia"/>
              <w:szCs w:val="32"/>
            </w:rPr>
            <w:t>六、</w:t>
          </w:r>
          <w:r>
            <w:rPr>
              <w:rFonts w:ascii="黑体" w:eastAsia="黑体" w:hAnsi="黑体" w:hint="eastAsia"/>
              <w:szCs w:val="32"/>
            </w:rPr>
            <w:t>一</w:t>
          </w:r>
          <w:r>
            <w:rPr>
              <w:rFonts w:ascii="黑体" w:eastAsia="黑体" w:hAnsi="黑体" w:hint="eastAsia"/>
            </w:rPr>
            <w:t>般公共预算财政拨款基本支出决算情况说明</w:t>
          </w:r>
          <w:r>
            <w:tab/>
          </w:r>
          <w:r>
            <w:fldChar w:fldCharType="begin"/>
          </w:r>
          <w:r>
            <w:instrText xml:space="preserve"> PAGEREF _Toc25345 \h </w:instrText>
          </w:r>
          <w:r>
            <w:fldChar w:fldCharType="separate"/>
          </w:r>
          <w:r>
            <w:t>19</w:t>
          </w:r>
          <w:r>
            <w:fldChar w:fldCharType="end"/>
          </w:r>
          <w:r>
            <w:fldChar w:fldCharType="end"/>
          </w:r>
        </w:p>
        <w:p>
          <w:pPr>
            <w:pStyle w:val="22"/>
            <w:tabs>
              <w:tab w:val="clear" w:pos="8296"/>
              <w:tab w:val="right" w:leader="dot" w:pos="8844"/>
            </w:tabs>
          </w:pPr>
          <w:r>
            <w:fldChar w:fldCharType="begin"/>
          </w:r>
          <w:r>
            <w:instrText xml:space="preserve"> HYPERLINK \l _Toc15577 </w:instrText>
          </w:r>
          <w:r>
            <w:fldChar w:fldCharType="separate"/>
          </w:r>
          <w:r>
            <w:rPr>
              <w:rFonts w:ascii="黑体" w:eastAsia="黑体" w:hint="eastAsia"/>
              <w:szCs w:val="32"/>
            </w:rPr>
            <w:t>七、</w:t>
          </w:r>
          <w:r>
            <w:rPr>
              <w:rFonts w:ascii="黑体" w:eastAsia="黑体" w:hAnsi="黑体" w:hint="eastAsia"/>
            </w:rPr>
            <w:t>“三公”经费财政拨款支出决算情况说明</w:t>
          </w:r>
          <w:r>
            <w:tab/>
          </w:r>
          <w:r>
            <w:fldChar w:fldCharType="begin"/>
          </w:r>
          <w:r>
            <w:instrText xml:space="preserve"> PAGEREF _Toc15577 \h </w:instrText>
          </w:r>
          <w:r>
            <w:fldChar w:fldCharType="separate"/>
          </w:r>
          <w:r>
            <w:t>20</w:t>
          </w:r>
          <w:r>
            <w:fldChar w:fldCharType="end"/>
          </w:r>
          <w:r>
            <w:fldChar w:fldCharType="end"/>
          </w:r>
        </w:p>
        <w:p>
          <w:pPr>
            <w:pStyle w:val="17"/>
            <w:tabs>
              <w:tab w:val="clear" w:pos="8296"/>
              <w:tab w:val="right" w:leader="dot" w:pos="8844"/>
            </w:tabs>
          </w:pPr>
          <w:r>
            <w:fldChar w:fldCharType="begin"/>
          </w:r>
          <w:r>
            <w:instrText xml:space="preserve"> HYPERLINK \l _Toc8508 </w:instrText>
          </w:r>
          <w:r>
            <w:fldChar w:fldCharType="separate"/>
          </w:r>
          <w:r>
            <w:rPr>
              <w:rFonts w:ascii="楷体" w:eastAsia="楷体" w:hAnsi="楷体" w:hint="eastAsia"/>
              <w:szCs w:val="32"/>
            </w:rPr>
            <w:t>（一）“三公”经费财政拨款支出决算总体情况说明</w:t>
          </w:r>
          <w:r>
            <w:tab/>
          </w:r>
          <w:r>
            <w:fldChar w:fldCharType="begin"/>
          </w:r>
          <w:r>
            <w:instrText xml:space="preserve"> PAGEREF _Toc8508 \h </w:instrText>
          </w:r>
          <w:r>
            <w:fldChar w:fldCharType="separate"/>
          </w:r>
          <w:r>
            <w:t>20</w:t>
          </w:r>
          <w:r>
            <w:fldChar w:fldCharType="end"/>
          </w:r>
          <w:r>
            <w:fldChar w:fldCharType="end"/>
          </w:r>
        </w:p>
        <w:p>
          <w:pPr>
            <w:pStyle w:val="17"/>
            <w:tabs>
              <w:tab w:val="clear" w:pos="8296"/>
              <w:tab w:val="right" w:leader="dot" w:pos="8844"/>
            </w:tabs>
          </w:pPr>
          <w:r>
            <w:fldChar w:fldCharType="begin"/>
          </w:r>
          <w:r>
            <w:instrText xml:space="preserve"> HYPERLINK \l _Toc8000 </w:instrText>
          </w:r>
          <w:r>
            <w:fldChar w:fldCharType="separate"/>
          </w:r>
          <w:r>
            <w:rPr>
              <w:rFonts w:ascii="楷体" w:eastAsia="楷体" w:hAnsi="楷体" w:hint="eastAsia"/>
              <w:szCs w:val="32"/>
            </w:rPr>
            <w:t>（二）“三公”经费财政拨款支出决算具体情况说明</w:t>
          </w:r>
          <w:r>
            <w:tab/>
          </w:r>
          <w:r>
            <w:fldChar w:fldCharType="begin"/>
          </w:r>
          <w:r>
            <w:instrText xml:space="preserve"> PAGEREF _Toc8000 \h </w:instrText>
          </w:r>
          <w:r>
            <w:fldChar w:fldCharType="separate"/>
          </w:r>
          <w:r>
            <w:t>20</w:t>
          </w:r>
          <w:r>
            <w:fldChar w:fldCharType="end"/>
          </w:r>
          <w:r>
            <w:fldChar w:fldCharType="end"/>
          </w:r>
        </w:p>
        <w:p>
          <w:pPr>
            <w:pStyle w:val="22"/>
            <w:tabs>
              <w:tab w:val="clear" w:pos="8296"/>
              <w:tab w:val="right" w:leader="dot" w:pos="8844"/>
            </w:tabs>
          </w:pPr>
          <w:r>
            <w:fldChar w:fldCharType="begin"/>
          </w:r>
          <w:r>
            <w:instrText xml:space="preserve"> HYPERLINK \l _Toc24794 </w:instrText>
          </w:r>
          <w:r>
            <w:fldChar w:fldCharType="separate"/>
          </w:r>
          <w:r>
            <w:rPr>
              <w:rFonts w:ascii="黑体" w:eastAsia="黑体" w:hint="eastAsia"/>
              <w:szCs w:val="32"/>
            </w:rPr>
            <w:t>八、</w:t>
          </w:r>
          <w:r>
            <w:rPr>
              <w:rFonts w:ascii="黑体" w:eastAsia="黑体" w:hAnsi="黑体" w:hint="eastAsia"/>
            </w:rPr>
            <w:t>政府性基金预算支出决算情况说明</w:t>
          </w:r>
          <w:r>
            <w:tab/>
          </w:r>
          <w:r>
            <w:fldChar w:fldCharType="begin"/>
          </w:r>
          <w:r>
            <w:instrText xml:space="preserve"> PAGEREF _Toc24794 \h </w:instrText>
          </w:r>
          <w:r>
            <w:fldChar w:fldCharType="separate"/>
          </w:r>
          <w:r>
            <w:t>21</w:t>
          </w:r>
          <w:r>
            <w:fldChar w:fldCharType="end"/>
          </w:r>
          <w:r>
            <w:fldChar w:fldCharType="end"/>
          </w:r>
        </w:p>
        <w:p>
          <w:pPr>
            <w:pStyle w:val="22"/>
            <w:tabs>
              <w:tab w:val="clear" w:pos="8296"/>
              <w:tab w:val="right" w:leader="dot" w:pos="8844"/>
            </w:tabs>
          </w:pPr>
          <w:r>
            <w:fldChar w:fldCharType="begin"/>
          </w:r>
          <w:r>
            <w:instrText xml:space="preserve"> HYPERLINK \l _Toc29064 </w:instrText>
          </w:r>
          <w:r>
            <w:fldChar w:fldCharType="separate"/>
          </w:r>
          <w:r>
            <w:rPr>
              <w:rFonts w:ascii="黑体" w:eastAsia="黑体" w:hAnsi="黑体" w:hint="eastAsia"/>
            </w:rPr>
            <w:t>九、 国有资本经营预算支出决算情况说明</w:t>
          </w:r>
          <w:r>
            <w:tab/>
          </w:r>
          <w:r>
            <w:fldChar w:fldCharType="begin"/>
          </w:r>
          <w:r>
            <w:instrText xml:space="preserve"> PAGEREF _Toc29064 \h </w:instrText>
          </w:r>
          <w:r>
            <w:fldChar w:fldCharType="separate"/>
          </w:r>
          <w:r>
            <w:t>21</w:t>
          </w:r>
          <w:r>
            <w:fldChar w:fldCharType="end"/>
          </w:r>
          <w:r>
            <w:fldChar w:fldCharType="end"/>
          </w:r>
        </w:p>
        <w:p>
          <w:pPr>
            <w:pStyle w:val="22"/>
            <w:tabs>
              <w:tab w:val="clear" w:pos="8296"/>
              <w:tab w:val="right" w:leader="dot" w:pos="8844"/>
            </w:tabs>
          </w:pPr>
          <w:r>
            <w:fldChar w:fldCharType="begin"/>
          </w:r>
          <w:r>
            <w:instrText xml:space="preserve"> HYPERLINK \l _Toc26048 </w:instrText>
          </w:r>
          <w:r>
            <w:fldChar w:fldCharType="separate"/>
          </w:r>
          <w:r>
            <w:rPr>
              <w:rFonts w:ascii="黑体" w:eastAsia="黑体" w:hAnsi="黑体" w:hint="eastAsia"/>
            </w:rPr>
            <w:t>十、 其他重要事项的情况说明</w:t>
          </w:r>
          <w:r>
            <w:tab/>
          </w:r>
          <w:r>
            <w:fldChar w:fldCharType="begin"/>
          </w:r>
          <w:r>
            <w:instrText xml:space="preserve"> PAGEREF _Toc26048 \h </w:instrText>
          </w:r>
          <w:r>
            <w:fldChar w:fldCharType="separate"/>
          </w:r>
          <w:r>
            <w:t>21</w:t>
          </w:r>
          <w:r>
            <w:fldChar w:fldCharType="end"/>
          </w:r>
          <w:r>
            <w:fldChar w:fldCharType="end"/>
          </w:r>
        </w:p>
        <w:p>
          <w:pPr>
            <w:pStyle w:val="17"/>
            <w:tabs>
              <w:tab w:val="clear" w:pos="8296"/>
              <w:tab w:val="right" w:leader="dot" w:pos="8844"/>
            </w:tabs>
          </w:pPr>
          <w:r>
            <w:fldChar w:fldCharType="begin"/>
          </w:r>
          <w:r>
            <w:instrText xml:space="preserve"> HYPERLINK \l _Toc25151 </w:instrText>
          </w:r>
          <w:r>
            <w:fldChar w:fldCharType="separate"/>
          </w:r>
          <w:r>
            <w:rPr>
              <w:rFonts w:ascii="楷体" w:eastAsia="楷体" w:hAnsi="楷体" w:hint="eastAsia"/>
              <w:szCs w:val="32"/>
            </w:rPr>
            <w:t>（一）机关运行经费支出情况</w:t>
          </w:r>
          <w:r>
            <w:tab/>
          </w:r>
          <w:r>
            <w:fldChar w:fldCharType="begin"/>
          </w:r>
          <w:r>
            <w:instrText xml:space="preserve"> PAGEREF _Toc25151 \h </w:instrText>
          </w:r>
          <w:r>
            <w:fldChar w:fldCharType="separate"/>
          </w:r>
          <w:r>
            <w:t>21</w:t>
          </w:r>
          <w:r>
            <w:fldChar w:fldCharType="end"/>
          </w:r>
          <w:r>
            <w:fldChar w:fldCharType="end"/>
          </w:r>
        </w:p>
        <w:p>
          <w:pPr>
            <w:pStyle w:val="17"/>
            <w:tabs>
              <w:tab w:val="clear" w:pos="8296"/>
              <w:tab w:val="right" w:leader="dot" w:pos="8844"/>
            </w:tabs>
          </w:pPr>
          <w:r>
            <w:fldChar w:fldCharType="begin"/>
          </w:r>
          <w:r>
            <w:instrText xml:space="preserve"> HYPERLINK \l _Toc15735 </w:instrText>
          </w:r>
          <w:r>
            <w:fldChar w:fldCharType="separate"/>
          </w:r>
          <w:r>
            <w:rPr>
              <w:rFonts w:ascii="楷体" w:eastAsia="楷体" w:hAnsi="楷体" w:hint="eastAsia"/>
              <w:szCs w:val="32"/>
            </w:rPr>
            <w:t>（二）政府采购支出情况</w:t>
          </w:r>
          <w:r>
            <w:tab/>
          </w:r>
          <w:r>
            <w:fldChar w:fldCharType="begin"/>
          </w:r>
          <w:r>
            <w:instrText xml:space="preserve"> PAGEREF _Toc15735 \h </w:instrText>
          </w:r>
          <w:r>
            <w:fldChar w:fldCharType="separate"/>
          </w:r>
          <w:r>
            <w:t>21</w:t>
          </w:r>
          <w:r>
            <w:fldChar w:fldCharType="end"/>
          </w:r>
          <w:r>
            <w:fldChar w:fldCharType="end"/>
          </w:r>
        </w:p>
        <w:p>
          <w:pPr>
            <w:pStyle w:val="17"/>
            <w:tabs>
              <w:tab w:val="clear" w:pos="8296"/>
              <w:tab w:val="right" w:leader="dot" w:pos="8844"/>
            </w:tabs>
          </w:pPr>
          <w:r>
            <w:fldChar w:fldCharType="begin"/>
          </w:r>
          <w:r>
            <w:instrText xml:space="preserve"> HYPERLINK \l _Toc25893 </w:instrText>
          </w:r>
          <w:r>
            <w:fldChar w:fldCharType="separate"/>
          </w:r>
          <w:r>
            <w:rPr>
              <w:rFonts w:ascii="楷体" w:eastAsia="楷体" w:hAnsi="楷体" w:hint="eastAsia"/>
              <w:szCs w:val="32"/>
            </w:rPr>
            <w:t>（三）国有资产占有使用情况</w:t>
          </w:r>
          <w:r>
            <w:tab/>
          </w:r>
          <w:r>
            <w:fldChar w:fldCharType="begin"/>
          </w:r>
          <w:r>
            <w:instrText xml:space="preserve"> PAGEREF _Toc25893 \h </w:instrText>
          </w:r>
          <w:r>
            <w:fldChar w:fldCharType="separate"/>
          </w:r>
          <w:r>
            <w:t>21</w:t>
          </w:r>
          <w:r>
            <w:fldChar w:fldCharType="end"/>
          </w:r>
          <w:r>
            <w:fldChar w:fldCharType="end"/>
          </w:r>
        </w:p>
        <w:p>
          <w:pPr>
            <w:pStyle w:val="17"/>
            <w:tabs>
              <w:tab w:val="clear" w:pos="8296"/>
              <w:tab w:val="right" w:leader="dot" w:pos="8844"/>
            </w:tabs>
          </w:pPr>
          <w:r>
            <w:fldChar w:fldCharType="begin"/>
          </w:r>
          <w:r>
            <w:instrText xml:space="preserve"> HYPERLINK \l _Toc32718 </w:instrText>
          </w:r>
          <w:r>
            <w:fldChar w:fldCharType="separate"/>
          </w:r>
          <w:r>
            <w:rPr>
              <w:rFonts w:ascii="楷体" w:eastAsia="楷体" w:hAnsi="楷体" w:hint="eastAsia"/>
              <w:szCs w:val="32"/>
            </w:rPr>
            <w:t>（四）预算绩效管理情况</w:t>
          </w:r>
          <w:r>
            <w:tab/>
          </w:r>
          <w:r>
            <w:fldChar w:fldCharType="begin"/>
          </w:r>
          <w:r>
            <w:instrText xml:space="preserve"> PAGEREF _Toc32718 \h </w:instrText>
          </w:r>
          <w:r>
            <w:fldChar w:fldCharType="separate"/>
          </w:r>
          <w:r>
            <w:t>22</w:t>
          </w:r>
          <w:r>
            <w:fldChar w:fldCharType="end"/>
          </w:r>
          <w:r>
            <w:fldChar w:fldCharType="end"/>
          </w:r>
        </w:p>
        <w:p>
          <w:pPr>
            <w:pStyle w:val="21"/>
            <w:tabs>
              <w:tab w:val="clear" w:pos="8296"/>
              <w:tab w:val="right" w:leader="dot" w:pos="8844"/>
            </w:tabs>
          </w:pPr>
          <w:r>
            <w:fldChar w:fldCharType="begin"/>
          </w:r>
          <w:r>
            <w:instrText xml:space="preserve"> HYPERLINK \l _Toc420 </w:instrText>
          </w:r>
          <w:r>
            <w:fldChar w:fldCharType="separate"/>
          </w:r>
          <w:r>
            <w:rPr>
              <w:rFonts w:ascii="黑体" w:eastAsia="黑体" w:hAnsi="黑体" w:hint="eastAsia"/>
            </w:rPr>
            <w:t xml:space="preserve">第三部分 </w:t>
          </w:r>
          <w:r>
            <w:rPr>
              <w:rFonts w:ascii="黑体" w:eastAsia="黑体" w:hAnsi="黑体" w:hint="eastAsia"/>
              <w:szCs w:val="44"/>
            </w:rPr>
            <w:t>名</w:t>
          </w:r>
          <w:r>
            <w:rPr>
              <w:rFonts w:ascii="黑体" w:eastAsia="黑体" w:hAnsi="黑体" w:hint="eastAsia"/>
            </w:rPr>
            <w:t>词解释</w:t>
          </w:r>
          <w:r>
            <w:tab/>
          </w:r>
          <w:r>
            <w:fldChar w:fldCharType="begin"/>
          </w:r>
          <w:r>
            <w:instrText xml:space="preserve"> PAGEREF _Toc420 \h </w:instrText>
          </w:r>
          <w:r>
            <w:fldChar w:fldCharType="separate"/>
          </w:r>
          <w:r>
            <w:t>22</w:t>
          </w:r>
          <w:r>
            <w:fldChar w:fldCharType="end"/>
          </w:r>
          <w:r>
            <w:fldChar w:fldCharType="end"/>
          </w:r>
        </w:p>
        <w:p>
          <w:pPr>
            <w:pStyle w:val="21"/>
            <w:tabs>
              <w:tab w:val="clear" w:pos="8296"/>
              <w:tab w:val="right" w:leader="dot" w:pos="8844"/>
            </w:tabs>
          </w:pPr>
          <w:r>
            <w:fldChar w:fldCharType="begin"/>
          </w:r>
          <w:r>
            <w:instrText xml:space="preserve"> HYPERLINK \l _Toc12769 </w:instrText>
          </w:r>
          <w:r>
            <w:fldChar w:fldCharType="separate"/>
          </w:r>
          <w:r>
            <w:rPr>
              <w:rFonts w:ascii="黑体" w:eastAsia="黑体" w:hAnsi="黑体" w:hint="eastAsia"/>
              <w:szCs w:val="44"/>
            </w:rPr>
            <w:t>第</w:t>
          </w:r>
          <w:r>
            <w:rPr>
              <w:rFonts w:ascii="黑体" w:eastAsia="黑体" w:hAnsi="黑体" w:hint="eastAsia"/>
            </w:rPr>
            <w:t>四部分 附件</w:t>
          </w:r>
          <w:r>
            <w:tab/>
          </w:r>
          <w:r>
            <w:fldChar w:fldCharType="begin"/>
          </w:r>
          <w:r>
            <w:instrText xml:space="preserve"> PAGEREF _Toc12769 \h </w:instrText>
          </w:r>
          <w:r>
            <w:fldChar w:fldCharType="separate"/>
          </w:r>
          <w:r>
            <w:t>26</w:t>
          </w:r>
          <w:r>
            <w:fldChar w:fldCharType="end"/>
          </w:r>
          <w:r>
            <w:fldChar w:fldCharType="end"/>
          </w:r>
        </w:p>
        <w:p>
          <w:pPr>
            <w:pStyle w:val="22"/>
            <w:tabs>
              <w:tab w:val="clear" w:pos="8296"/>
              <w:tab w:val="right" w:leader="dot" w:pos="8844"/>
            </w:tabs>
          </w:pPr>
          <w:r>
            <w:fldChar w:fldCharType="begin"/>
          </w:r>
          <w:r>
            <w:instrText xml:space="preserve"> HYPERLINK \l _Toc15970 </w:instrText>
          </w:r>
          <w:r>
            <w:fldChar w:fldCharType="separate"/>
          </w:r>
          <w:r>
            <w:rPr>
              <w:rFonts w:ascii="方正小标宋简体" w:eastAsia="方正小标宋简体" w:hAnsi="宋体" w:hint="eastAsia"/>
              <w:kern w:val="0"/>
              <w:szCs w:val="44"/>
            </w:rPr>
            <w:t>一、整体绩效评价报告</w:t>
          </w:r>
          <w:r>
            <w:tab/>
          </w:r>
          <w:r>
            <w:fldChar w:fldCharType="begin"/>
          </w:r>
          <w:r>
            <w:instrText xml:space="preserve"> PAGEREF _Toc15970 \h </w:instrText>
          </w:r>
          <w:r>
            <w:fldChar w:fldCharType="separate"/>
          </w:r>
          <w:r>
            <w:t>26</w:t>
          </w:r>
          <w:r>
            <w:fldChar w:fldCharType="end"/>
          </w:r>
          <w:r>
            <w:fldChar w:fldCharType="end"/>
          </w:r>
        </w:p>
        <w:p>
          <w:pPr>
            <w:pStyle w:val="22"/>
            <w:tabs>
              <w:tab w:val="clear" w:pos="8296"/>
              <w:tab w:val="right" w:leader="dot" w:pos="8844"/>
            </w:tabs>
          </w:pPr>
          <w:r>
            <w:fldChar w:fldCharType="begin"/>
          </w:r>
          <w:r>
            <w:instrText xml:space="preserve"> HYPERLINK \l _Toc17889 </w:instrText>
          </w:r>
          <w:r>
            <w:fldChar w:fldCharType="separate"/>
          </w:r>
          <w:r>
            <w:rPr>
              <w:rFonts w:ascii="黑体" w:eastAsia="黑体" w:cs="方正小标宋简体" w:hAnsi="黑体" w:hint="eastAsia"/>
              <w:szCs w:val="40"/>
            </w:rPr>
            <w:t>二、2021年专项预算项目支出绩效自评报告</w:t>
          </w:r>
          <w:r>
            <w:tab/>
          </w:r>
          <w:r>
            <w:fldChar w:fldCharType="begin"/>
          </w:r>
          <w:r>
            <w:instrText xml:space="preserve"> PAGEREF _Toc17889 \h </w:instrText>
          </w:r>
          <w:r>
            <w:fldChar w:fldCharType="separate"/>
          </w:r>
          <w:r>
            <w:t>30</w:t>
          </w:r>
          <w:r>
            <w:fldChar w:fldCharType="end"/>
          </w:r>
          <w:r>
            <w:fldChar w:fldCharType="end"/>
          </w:r>
        </w:p>
        <w:p>
          <w:pPr>
            <w:pStyle w:val="17"/>
            <w:tabs>
              <w:tab w:val="clear" w:pos="8296"/>
              <w:tab w:val="right" w:leader="dot" w:pos="8844"/>
            </w:tabs>
          </w:pPr>
          <w:r>
            <w:fldChar w:fldCharType="begin"/>
          </w:r>
          <w:r>
            <w:instrText xml:space="preserve"> HYPERLINK \l _Toc23113 </w:instrText>
          </w:r>
          <w:r>
            <w:fldChar w:fldCharType="separate"/>
          </w:r>
          <w:r>
            <w:rPr>
              <w:rFonts w:ascii="黑体" w:eastAsia="黑体" w:cs="方正小标宋简体" w:hAnsi="黑体" w:hint="eastAsia"/>
              <w:kern w:val="2"/>
              <w:szCs w:val="40"/>
              <w:lang w:val="en-US"/>
            </w:rPr>
            <w:t>1.80岁老党员生活补助项目支出绩效自评报告</w:t>
          </w:r>
          <w:r>
            <w:tab/>
          </w:r>
          <w:r>
            <w:fldChar w:fldCharType="begin"/>
          </w:r>
          <w:r>
            <w:instrText xml:space="preserve"> PAGEREF _Toc23113 \h </w:instrText>
          </w:r>
          <w:r>
            <w:fldChar w:fldCharType="separate"/>
          </w:r>
          <w:r>
            <w:t>30</w:t>
          </w:r>
          <w:r>
            <w:fldChar w:fldCharType="end"/>
          </w:r>
          <w:r>
            <w:fldChar w:fldCharType="end"/>
          </w:r>
        </w:p>
        <w:p>
          <w:pPr>
            <w:pStyle w:val="17"/>
            <w:tabs>
              <w:tab w:val="clear" w:pos="8296"/>
              <w:tab w:val="right" w:leader="dot" w:pos="8844"/>
            </w:tabs>
          </w:pPr>
          <w:r>
            <w:fldChar w:fldCharType="begin"/>
          </w:r>
          <w:r>
            <w:instrText xml:space="preserve"> HYPERLINK \l _Toc18067 </w:instrText>
          </w:r>
          <w:r>
            <w:fldChar w:fldCharType="separate"/>
          </w:r>
          <w:r>
            <w:rPr>
              <w:rFonts w:ascii="黑体" w:eastAsia="黑体" w:cs="方正小标宋简体" w:hAnsi="黑体" w:hint="eastAsia"/>
              <w:kern w:val="2"/>
              <w:szCs w:val="40"/>
              <w:lang w:val="en-US"/>
            </w:rPr>
            <w:t>2.芸香社区房租</w:t>
          </w:r>
          <w:r>
            <w:rPr>
              <w:rFonts w:ascii="黑体" w:eastAsia="黑体" w:cs="方正小标宋简体" w:hAnsi="黑体" w:hint="eastAsia"/>
              <w:kern w:val="2"/>
              <w:szCs w:val="40"/>
            </w:rPr>
            <w:t>支出绩效自评报告</w:t>
          </w:r>
          <w:r>
            <w:tab/>
          </w:r>
          <w:r>
            <w:fldChar w:fldCharType="begin"/>
          </w:r>
          <w:r>
            <w:instrText xml:space="preserve"> PAGEREF _Toc18067 \h </w:instrText>
          </w:r>
          <w:r>
            <w:fldChar w:fldCharType="separate"/>
          </w:r>
          <w:r>
            <w:t>32</w:t>
          </w:r>
          <w:r>
            <w:fldChar w:fldCharType="end"/>
          </w:r>
          <w:r>
            <w:fldChar w:fldCharType="end"/>
          </w:r>
        </w:p>
        <w:p>
          <w:pPr>
            <w:pStyle w:val="17"/>
            <w:tabs>
              <w:tab w:val="clear" w:pos="8296"/>
              <w:tab w:val="right" w:leader="dot" w:pos="8844"/>
            </w:tabs>
          </w:pPr>
          <w:r>
            <w:fldChar w:fldCharType="begin"/>
          </w:r>
          <w:r>
            <w:instrText xml:space="preserve"> HYPERLINK \l _Toc18080 </w:instrText>
          </w:r>
          <w:r>
            <w:fldChar w:fldCharType="separate"/>
          </w:r>
          <w:r>
            <w:rPr>
              <w:rFonts w:ascii="黑体" w:eastAsia="黑体" w:cs="方正小标宋简体" w:hAnsi="黑体" w:hint="eastAsia"/>
              <w:kern w:val="2"/>
              <w:szCs w:val="40"/>
              <w:lang w:val="en-US"/>
            </w:rPr>
            <w:t>3.依法治区专项</w:t>
          </w:r>
          <w:r>
            <w:rPr>
              <w:rFonts w:ascii="黑体" w:eastAsia="黑体" w:cs="方正小标宋简体" w:hAnsi="黑体" w:hint="eastAsia"/>
              <w:kern w:val="2"/>
              <w:szCs w:val="40"/>
            </w:rPr>
            <w:t>支出绩效自评报告</w:t>
          </w:r>
          <w:r>
            <w:tab/>
          </w:r>
          <w:r>
            <w:fldChar w:fldCharType="begin"/>
          </w:r>
          <w:r>
            <w:instrText xml:space="preserve"> PAGEREF _Toc18080 \h </w:instrText>
          </w:r>
          <w:r>
            <w:fldChar w:fldCharType="separate"/>
          </w:r>
          <w:r>
            <w:t>34</w:t>
          </w:r>
          <w:r>
            <w:fldChar w:fldCharType="end"/>
          </w:r>
          <w:r>
            <w:fldChar w:fldCharType="end"/>
          </w:r>
        </w:p>
        <w:p>
          <w:pPr>
            <w:pStyle w:val="17"/>
            <w:tabs>
              <w:tab w:val="clear" w:pos="8296"/>
              <w:tab w:val="right" w:leader="dot" w:pos="8844"/>
            </w:tabs>
          </w:pPr>
          <w:r>
            <w:fldChar w:fldCharType="begin"/>
          </w:r>
          <w:r>
            <w:instrText xml:space="preserve"> HYPERLINK \l _Toc29544 </w:instrText>
          </w:r>
          <w:r>
            <w:fldChar w:fldCharType="separate"/>
          </w:r>
          <w:r>
            <w:rPr>
              <w:rFonts w:ascii="黑体" w:eastAsia="黑体" w:cs="方正大标宋简体" w:hAnsi="黑体" w:hint="eastAsia"/>
              <w:szCs w:val="44"/>
            </w:rPr>
            <w:t>4.老体协工作经费支出绩效自评报告</w:t>
          </w:r>
          <w:r>
            <w:tab/>
          </w:r>
          <w:r>
            <w:fldChar w:fldCharType="begin"/>
          </w:r>
          <w:r>
            <w:instrText xml:space="preserve"> PAGEREF _Toc29544 \h </w:instrText>
          </w:r>
          <w:r>
            <w:fldChar w:fldCharType="separate"/>
          </w:r>
          <w:r>
            <w:t>36</w:t>
          </w:r>
          <w:r>
            <w:fldChar w:fldCharType="end"/>
          </w:r>
          <w:r>
            <w:fldChar w:fldCharType="end"/>
          </w:r>
        </w:p>
        <w:p>
          <w:pPr>
            <w:pStyle w:val="17"/>
            <w:tabs>
              <w:tab w:val="clear" w:pos="8296"/>
              <w:tab w:val="right" w:leader="dot" w:pos="8844"/>
            </w:tabs>
          </w:pPr>
          <w:r>
            <w:fldChar w:fldCharType="begin"/>
          </w:r>
          <w:r>
            <w:instrText xml:space="preserve"> HYPERLINK \l _Toc13110 </w:instrText>
          </w:r>
          <w:r>
            <w:fldChar w:fldCharType="separate"/>
          </w:r>
          <w:r>
            <w:rPr>
              <w:rFonts w:ascii="黑体" w:eastAsia="黑体" w:cs="方正大标宋简体" w:hAnsi="黑体" w:hint="eastAsia"/>
              <w:szCs w:val="44"/>
            </w:rPr>
            <w:t>5.农村义务兵优待金项目支出绩效自评报告</w:t>
          </w:r>
          <w:r>
            <w:tab/>
          </w:r>
          <w:r>
            <w:fldChar w:fldCharType="begin"/>
          </w:r>
          <w:r>
            <w:instrText xml:space="preserve"> PAGEREF _Toc13110 \h </w:instrText>
          </w:r>
          <w:r>
            <w:fldChar w:fldCharType="separate"/>
          </w:r>
          <w:r>
            <w:t>38</w:t>
          </w:r>
          <w:r>
            <w:fldChar w:fldCharType="end"/>
          </w:r>
          <w:r>
            <w:fldChar w:fldCharType="end"/>
          </w:r>
        </w:p>
        <w:p>
          <w:pPr>
            <w:pStyle w:val="17"/>
            <w:tabs>
              <w:tab w:val="clear" w:pos="8296"/>
              <w:tab w:val="right" w:leader="dot" w:pos="8844"/>
            </w:tabs>
          </w:pPr>
          <w:r>
            <w:fldChar w:fldCharType="begin"/>
          </w:r>
          <w:r>
            <w:instrText xml:space="preserve"> HYPERLINK \l _Toc31373 </w:instrText>
          </w:r>
          <w:r>
            <w:fldChar w:fldCharType="separate"/>
          </w:r>
          <w:r>
            <w:rPr>
              <w:rFonts w:ascii="黑体" w:eastAsia="黑体" w:cs="方正大标宋简体" w:hAnsi="黑体" w:hint="eastAsia"/>
              <w:szCs w:val="44"/>
            </w:rPr>
            <w:t>6.大调解工作经费支出绩效自评报告</w:t>
          </w:r>
          <w:r>
            <w:tab/>
          </w:r>
          <w:r>
            <w:fldChar w:fldCharType="begin"/>
          </w:r>
          <w:r>
            <w:instrText xml:space="preserve"> PAGEREF _Toc31373 \h </w:instrText>
          </w:r>
          <w:r>
            <w:fldChar w:fldCharType="separate"/>
          </w:r>
          <w:r>
            <w:t>40</w:t>
          </w:r>
          <w:r>
            <w:fldChar w:fldCharType="end"/>
          </w:r>
          <w:r>
            <w:fldChar w:fldCharType="end"/>
          </w:r>
        </w:p>
        <w:p>
          <w:pPr>
            <w:pStyle w:val="17"/>
            <w:tabs>
              <w:tab w:val="clear" w:pos="8296"/>
              <w:tab w:val="right" w:leader="dot" w:pos="8844"/>
            </w:tabs>
          </w:pPr>
          <w:r>
            <w:fldChar w:fldCharType="begin"/>
          </w:r>
          <w:r>
            <w:instrText xml:space="preserve"> HYPERLINK \l _Toc17587 </w:instrText>
          </w:r>
          <w:r>
            <w:fldChar w:fldCharType="separate"/>
          </w:r>
          <w:r>
            <w:rPr>
              <w:rFonts w:ascii="黑体" w:eastAsia="黑体" w:cs="方正小标宋简体" w:hAnsi="黑体" w:hint="eastAsia"/>
              <w:kern w:val="2"/>
              <w:szCs w:val="44"/>
              <w:lang w:val="en-US"/>
            </w:rPr>
            <w:t>7.人大联络组专项经</w:t>
          </w:r>
          <w:r>
            <w:rPr>
              <w:rFonts w:ascii="黑体" w:eastAsia="黑体" w:cs="方正小标宋简体" w:hAnsi="黑体" w:hint="eastAsia"/>
              <w:kern w:val="2"/>
              <w:szCs w:val="44"/>
            </w:rPr>
            <w:t>费支出绩效自评报告</w:t>
          </w:r>
          <w:r>
            <w:tab/>
          </w:r>
          <w:r>
            <w:fldChar w:fldCharType="begin"/>
          </w:r>
          <w:r>
            <w:instrText xml:space="preserve"> PAGEREF _Toc17587 \h </w:instrText>
          </w:r>
          <w:r>
            <w:fldChar w:fldCharType="separate"/>
          </w:r>
          <w:r>
            <w:t>42</w:t>
          </w:r>
          <w:r>
            <w:fldChar w:fldCharType="end"/>
          </w:r>
          <w:r>
            <w:fldChar w:fldCharType="end"/>
          </w:r>
        </w:p>
        <w:p>
          <w:pPr>
            <w:pStyle w:val="17"/>
            <w:tabs>
              <w:tab w:val="clear" w:pos="8296"/>
              <w:tab w:val="right" w:leader="dot" w:pos="8844"/>
            </w:tabs>
          </w:pPr>
          <w:r>
            <w:fldChar w:fldCharType="begin"/>
          </w:r>
          <w:r>
            <w:instrText xml:space="preserve"> HYPERLINK \l _Toc10357 </w:instrText>
          </w:r>
          <w:r>
            <w:fldChar w:fldCharType="separate"/>
          </w:r>
          <w:r>
            <w:rPr>
              <w:rFonts w:ascii="黑体" w:eastAsia="黑体" w:cs="方正小标宋简体" w:hAnsi="黑体" w:hint="eastAsia"/>
              <w:kern w:val="2"/>
              <w:szCs w:val="44"/>
              <w:lang w:val="en-US"/>
            </w:rPr>
            <w:t>8.森林防火工作经费支出绩效自评报告</w:t>
          </w:r>
          <w:r>
            <w:tab/>
          </w:r>
          <w:r>
            <w:fldChar w:fldCharType="begin"/>
          </w:r>
          <w:r>
            <w:instrText xml:space="preserve"> PAGEREF _Toc10357 \h </w:instrText>
          </w:r>
          <w:r>
            <w:fldChar w:fldCharType="separate"/>
          </w:r>
          <w:r>
            <w:t>45</w:t>
          </w:r>
          <w:r>
            <w:fldChar w:fldCharType="end"/>
          </w:r>
          <w:r>
            <w:fldChar w:fldCharType="end"/>
          </w:r>
        </w:p>
        <w:p>
          <w:pPr>
            <w:pStyle w:val="17"/>
            <w:tabs>
              <w:tab w:val="clear" w:pos="8296"/>
              <w:tab w:val="right" w:leader="dot" w:pos="8844"/>
            </w:tabs>
          </w:pPr>
          <w:r>
            <w:fldChar w:fldCharType="begin"/>
          </w:r>
          <w:r>
            <w:instrText xml:space="preserve"> HYPERLINK \l _Toc3710 </w:instrText>
          </w:r>
          <w:r>
            <w:fldChar w:fldCharType="separate"/>
          </w:r>
          <w:r>
            <w:rPr>
              <w:rFonts w:ascii="黑体" w:eastAsia="黑体" w:cs="方正小标宋简体" w:hAnsi="黑体" w:hint="eastAsia"/>
              <w:kern w:val="2"/>
              <w:szCs w:val="44"/>
              <w:lang w:val="en-US"/>
            </w:rPr>
            <w:t>10.远程教育运行维护经费</w:t>
          </w:r>
          <w:r>
            <w:rPr>
              <w:rFonts w:ascii="黑体" w:eastAsia="黑体" w:cs="方正小标宋简体" w:hAnsi="黑体" w:hint="eastAsia"/>
              <w:kern w:val="2"/>
              <w:szCs w:val="44"/>
            </w:rPr>
            <w:t>支出绩效自评报告</w:t>
          </w:r>
          <w:r>
            <w:tab/>
          </w:r>
          <w:r>
            <w:fldChar w:fldCharType="begin"/>
          </w:r>
          <w:r>
            <w:instrText xml:space="preserve"> PAGEREF _Toc3710 \h </w:instrText>
          </w:r>
          <w:r>
            <w:fldChar w:fldCharType="separate"/>
          </w:r>
          <w:r>
            <w:t>49</w:t>
          </w:r>
          <w:r>
            <w:fldChar w:fldCharType="end"/>
          </w:r>
          <w:r>
            <w:fldChar w:fldCharType="end"/>
          </w:r>
        </w:p>
        <w:p>
          <w:pPr>
            <w:pStyle w:val="17"/>
            <w:tabs>
              <w:tab w:val="clear" w:pos="8296"/>
              <w:tab w:val="right" w:leader="dot" w:pos="8844"/>
            </w:tabs>
          </w:pPr>
          <w:r>
            <w:fldChar w:fldCharType="begin"/>
          </w:r>
          <w:r>
            <w:instrText xml:space="preserve"> HYPERLINK \l _Toc24740 </w:instrText>
          </w:r>
          <w:r>
            <w:fldChar w:fldCharType="separate"/>
          </w:r>
          <w:r>
            <w:rPr>
              <w:rFonts w:ascii="黑体" w:eastAsia="黑体" w:cs="方正小标宋简体" w:hAnsi="黑体" w:hint="eastAsia"/>
              <w:kern w:val="2"/>
              <w:szCs w:val="44"/>
              <w:lang w:val="en-US"/>
            </w:rPr>
            <w:t>11.基层武装专项</w:t>
          </w:r>
          <w:r>
            <w:rPr>
              <w:rFonts w:ascii="黑体" w:eastAsia="黑体" w:cs="方正小标宋简体" w:hAnsi="黑体" w:hint="eastAsia"/>
              <w:kern w:val="2"/>
              <w:szCs w:val="44"/>
            </w:rPr>
            <w:t>支出绩效自评报告</w:t>
          </w:r>
          <w:r>
            <w:tab/>
          </w:r>
          <w:r>
            <w:fldChar w:fldCharType="begin"/>
          </w:r>
          <w:r>
            <w:instrText xml:space="preserve"> PAGEREF _Toc24740 \h </w:instrText>
          </w:r>
          <w:r>
            <w:fldChar w:fldCharType="separate"/>
          </w:r>
          <w:r>
            <w:t>51</w:t>
          </w:r>
          <w:r>
            <w:fldChar w:fldCharType="end"/>
          </w:r>
          <w:r>
            <w:fldChar w:fldCharType="end"/>
          </w:r>
        </w:p>
        <w:p>
          <w:pPr>
            <w:pStyle w:val="17"/>
            <w:tabs>
              <w:tab w:val="clear" w:pos="8296"/>
              <w:tab w:val="right" w:leader="dot" w:pos="8844"/>
            </w:tabs>
          </w:pPr>
          <w:r>
            <w:fldChar w:fldCharType="begin"/>
          </w:r>
          <w:r>
            <w:instrText xml:space="preserve"> HYPERLINK \l _Toc29925 </w:instrText>
          </w:r>
          <w:r>
            <w:fldChar w:fldCharType="separate"/>
          </w:r>
          <w:r>
            <w:rPr>
              <w:rFonts w:ascii="黑体" w:eastAsia="黑体" w:cs="方正小标宋简体" w:hAnsi="黑体" w:hint="eastAsia"/>
              <w:kern w:val="2"/>
              <w:szCs w:val="44"/>
              <w:lang w:val="en-US"/>
            </w:rPr>
            <w:t>12.视频会议系统建设项目</w:t>
          </w:r>
          <w:r>
            <w:rPr>
              <w:rFonts w:ascii="黑体" w:eastAsia="黑体" w:cs="方正小标宋简体" w:hAnsi="黑体" w:hint="eastAsia"/>
              <w:kern w:val="2"/>
              <w:szCs w:val="44"/>
            </w:rPr>
            <w:t>支出绩效自评报告</w:t>
          </w:r>
          <w:r>
            <w:tab/>
          </w:r>
          <w:r>
            <w:fldChar w:fldCharType="begin"/>
          </w:r>
          <w:r>
            <w:instrText xml:space="preserve"> PAGEREF _Toc29925 \h </w:instrText>
          </w:r>
          <w:r>
            <w:fldChar w:fldCharType="separate"/>
          </w:r>
          <w:r>
            <w:t>53</w:t>
          </w:r>
          <w:r>
            <w:fldChar w:fldCharType="end"/>
          </w:r>
          <w:r>
            <w:fldChar w:fldCharType="end"/>
          </w:r>
        </w:p>
        <w:p>
          <w:pPr>
            <w:pStyle w:val="17"/>
            <w:tabs>
              <w:tab w:val="clear" w:pos="8296"/>
              <w:tab w:val="right" w:leader="dot" w:pos="8844"/>
            </w:tabs>
          </w:pPr>
          <w:r>
            <w:fldChar w:fldCharType="begin"/>
          </w:r>
          <w:r>
            <w:instrText xml:space="preserve"> HYPERLINK \l _Toc4537 </w:instrText>
          </w:r>
          <w:r>
            <w:fldChar w:fldCharType="separate"/>
          </w:r>
          <w:r>
            <w:rPr>
              <w:rFonts w:ascii="黑体" w:eastAsia="黑体" w:cs="方正小标宋简体" w:hAnsi="黑体" w:hint="eastAsia"/>
              <w:kern w:val="2"/>
              <w:szCs w:val="44"/>
              <w:lang w:val="en-US"/>
            </w:rPr>
            <w:t>13.计划生育宣传免费技术服务</w:t>
          </w:r>
          <w:r>
            <w:rPr>
              <w:rFonts w:ascii="黑体" w:eastAsia="黑体" w:cs="方正小标宋简体" w:hAnsi="黑体" w:hint="eastAsia"/>
              <w:kern w:val="2"/>
              <w:szCs w:val="44"/>
            </w:rPr>
            <w:t>费绩效自评告</w:t>
          </w:r>
          <w:r>
            <w:tab/>
          </w:r>
          <w:r>
            <w:fldChar w:fldCharType="begin"/>
          </w:r>
          <w:r>
            <w:instrText xml:space="preserve"> PAGEREF _Toc4537 \h </w:instrText>
          </w:r>
          <w:r>
            <w:fldChar w:fldCharType="separate"/>
          </w:r>
          <w:r>
            <w:t>55</w:t>
          </w:r>
          <w:r>
            <w:fldChar w:fldCharType="end"/>
          </w:r>
          <w:r>
            <w:fldChar w:fldCharType="end"/>
          </w:r>
        </w:p>
        <w:p>
          <w:pPr>
            <w:pStyle w:val="17"/>
            <w:tabs>
              <w:tab w:val="clear" w:pos="8296"/>
              <w:tab w:val="right" w:leader="dot" w:pos="8844"/>
            </w:tabs>
          </w:pPr>
          <w:r>
            <w:fldChar w:fldCharType="begin"/>
          </w:r>
          <w:r>
            <w:instrText xml:space="preserve"> HYPERLINK \l _Toc356 </w:instrText>
          </w:r>
          <w:r>
            <w:fldChar w:fldCharType="separate"/>
          </w:r>
          <w:r>
            <w:rPr>
              <w:rFonts w:ascii="黑体" w:eastAsia="黑体" w:cs="方正小标宋简体" w:hAnsi="黑体" w:hint="eastAsia"/>
              <w:kern w:val="2"/>
              <w:szCs w:val="44"/>
              <w:lang w:val="en-US"/>
            </w:rPr>
            <w:t>14.杨礼堂遗留问题专项</w:t>
          </w:r>
          <w:r>
            <w:rPr>
              <w:rFonts w:ascii="黑体" w:eastAsia="黑体" w:cs="方正小标宋简体" w:hAnsi="黑体" w:hint="eastAsia"/>
              <w:kern w:val="2"/>
              <w:szCs w:val="44"/>
            </w:rPr>
            <w:t>支出绩效自评报告</w:t>
          </w:r>
          <w:r>
            <w:tab/>
          </w:r>
          <w:r>
            <w:fldChar w:fldCharType="begin"/>
          </w:r>
          <w:r>
            <w:instrText xml:space="preserve"> PAGEREF _Toc356 \h </w:instrText>
          </w:r>
          <w:r>
            <w:fldChar w:fldCharType="separate"/>
          </w:r>
          <w:r>
            <w:t>58</w:t>
          </w:r>
          <w:r>
            <w:fldChar w:fldCharType="end"/>
          </w:r>
          <w:r>
            <w:fldChar w:fldCharType="end"/>
          </w:r>
        </w:p>
        <w:p>
          <w:pPr>
            <w:pStyle w:val="17"/>
            <w:tabs>
              <w:tab w:val="clear" w:pos="8296"/>
              <w:tab w:val="right" w:leader="dot" w:pos="8844"/>
            </w:tabs>
          </w:pPr>
          <w:r>
            <w:fldChar w:fldCharType="begin"/>
          </w:r>
          <w:r>
            <w:instrText xml:space="preserve"> HYPERLINK \l _Toc10012 </w:instrText>
          </w:r>
          <w:r>
            <w:fldChar w:fldCharType="separate"/>
          </w:r>
          <w:r>
            <w:rPr>
              <w:rFonts w:ascii="黑体" w:eastAsia="黑体" w:cs="方正大标宋简体" w:hAnsi="黑体" w:hint="eastAsia"/>
              <w:szCs w:val="44"/>
            </w:rPr>
            <w:t>15.宅基地管理工作经费支出绩效自评报告</w:t>
          </w:r>
          <w:r>
            <w:tab/>
          </w:r>
          <w:r>
            <w:fldChar w:fldCharType="begin"/>
          </w:r>
          <w:r>
            <w:instrText xml:space="preserve"> PAGEREF _Toc10012 \h </w:instrText>
          </w:r>
          <w:r>
            <w:fldChar w:fldCharType="separate"/>
          </w:r>
          <w:r>
            <w:t>60</w:t>
          </w:r>
          <w:r>
            <w:fldChar w:fldCharType="end"/>
          </w:r>
          <w:r>
            <w:fldChar w:fldCharType="end"/>
          </w:r>
        </w:p>
        <w:p>
          <w:pPr>
            <w:pStyle w:val="21"/>
            <w:tabs>
              <w:tab w:val="clear" w:pos="8296"/>
              <w:tab w:val="right" w:leader="dot" w:pos="8844"/>
            </w:tabs>
          </w:pPr>
          <w:r>
            <w:fldChar w:fldCharType="begin"/>
          </w:r>
          <w:r>
            <w:instrText xml:space="preserve"> HYPERLINK \l _Toc16957 </w:instrText>
          </w:r>
          <w:r>
            <w:fldChar w:fldCharType="separate"/>
          </w:r>
          <w:r>
            <w:rPr>
              <w:rFonts w:ascii="黑体" w:eastAsia="黑体" w:hAnsi="黑体" w:hint="eastAsia"/>
              <w:szCs w:val="44"/>
            </w:rPr>
            <w:t>第</w:t>
          </w:r>
          <w:r>
            <w:rPr>
              <w:rFonts w:ascii="黑体" w:eastAsia="黑体" w:hAnsi="黑体" w:hint="eastAsia"/>
            </w:rPr>
            <w:t>五部分 附表</w:t>
          </w:r>
          <w:r>
            <w:tab/>
          </w:r>
          <w:r>
            <w:fldChar w:fldCharType="begin"/>
          </w:r>
          <w:r>
            <w:instrText xml:space="preserve"> PAGEREF _Toc16957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_Toc19632 </w:instrText>
          </w:r>
          <w:r>
            <w:fldChar w:fldCharType="separate"/>
          </w:r>
          <w:r>
            <w:rPr>
              <w:rFonts w:ascii="宋体" w:eastAsia="方正仿宋简体" w:hAnsi="宋体" w:hint="eastAsia"/>
              <w:bCs/>
              <w:szCs w:val="32"/>
            </w:rPr>
            <w:t>一、收</w:t>
          </w:r>
          <w:r>
            <w:rPr>
              <w:rFonts w:ascii="宋体" w:eastAsia="方正仿宋简体" w:hAnsi="宋体" w:hint="eastAsia"/>
            </w:rPr>
            <w:t>入支出决算总表</w:t>
          </w:r>
          <w:r>
            <w:tab/>
          </w:r>
          <w:r>
            <w:fldChar w:fldCharType="begin"/>
          </w:r>
          <w:r>
            <w:instrText xml:space="preserve"> PAGEREF _Toc19632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_Toc22466 </w:instrText>
          </w:r>
          <w:r>
            <w:fldChar w:fldCharType="separate"/>
          </w:r>
          <w:r>
            <w:rPr>
              <w:rFonts w:ascii="宋体" w:eastAsia="方正仿宋简体" w:hAnsi="宋体" w:hint="eastAsia"/>
            </w:rPr>
            <w:t>二、收</w:t>
          </w:r>
          <w:r>
            <w:rPr>
              <w:rFonts w:ascii="宋体" w:eastAsia="方正仿宋简体" w:hAnsi="宋体" w:hint="eastAsia"/>
              <w:bCs/>
            </w:rPr>
            <w:t>入决算表</w:t>
          </w:r>
          <w:r>
            <w:tab/>
          </w:r>
          <w:r>
            <w:fldChar w:fldCharType="begin"/>
          </w:r>
          <w:r>
            <w:instrText xml:space="preserve"> PAGEREF _Toc22466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_Toc15736 </w:instrText>
          </w:r>
          <w:r>
            <w:fldChar w:fldCharType="separate"/>
          </w:r>
          <w:r>
            <w:rPr>
              <w:rFonts w:ascii="宋体" w:eastAsia="方正仿宋简体" w:hAnsi="宋体" w:hint="eastAsia"/>
              <w:bCs/>
            </w:rPr>
            <w:t>三、</w:t>
          </w:r>
          <w:r>
            <w:rPr>
              <w:rFonts w:ascii="宋体" w:eastAsia="方正仿宋简体" w:hAnsi="宋体" w:hint="eastAsia"/>
            </w:rPr>
            <w:t>支</w:t>
          </w:r>
          <w:r>
            <w:rPr>
              <w:rFonts w:ascii="宋体" w:eastAsia="方正仿宋简体" w:hAnsi="宋体" w:hint="eastAsia"/>
              <w:bCs/>
            </w:rPr>
            <w:t>出决算表</w:t>
          </w:r>
          <w:r>
            <w:tab/>
          </w:r>
          <w:r>
            <w:fldChar w:fldCharType="begin"/>
          </w:r>
          <w:r>
            <w:instrText xml:space="preserve"> PAGEREF _Toc15736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_Toc9473 </w:instrText>
          </w:r>
          <w:r>
            <w:fldChar w:fldCharType="separate"/>
          </w:r>
          <w:r>
            <w:rPr>
              <w:rFonts w:ascii="宋体" w:eastAsia="方正仿宋简体" w:hAnsi="宋体" w:hint="eastAsia"/>
              <w:bCs/>
            </w:rPr>
            <w:t>四、</w:t>
          </w:r>
          <w:r>
            <w:rPr>
              <w:rFonts w:ascii="宋体" w:eastAsia="方正仿宋简体" w:hAnsi="宋体" w:hint="eastAsia"/>
            </w:rPr>
            <w:t>财</w:t>
          </w:r>
          <w:r>
            <w:rPr>
              <w:rFonts w:ascii="宋体" w:eastAsia="方正仿宋简体" w:hAnsi="宋体" w:hint="eastAsia"/>
              <w:bCs/>
            </w:rPr>
            <w:t>政拨款收入支出决算总表</w:t>
          </w:r>
          <w:r>
            <w:tab/>
          </w:r>
          <w:r>
            <w:fldChar w:fldCharType="begin"/>
          </w:r>
          <w:r>
            <w:instrText xml:space="preserve"> PAGEREF _Toc9473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_Toc23577 </w:instrText>
          </w:r>
          <w:r>
            <w:fldChar w:fldCharType="separate"/>
          </w:r>
          <w:r>
            <w:rPr>
              <w:rFonts w:ascii="宋体" w:eastAsia="方正仿宋简体" w:hAnsi="宋体" w:hint="eastAsia"/>
              <w:bCs/>
            </w:rPr>
            <w:t>五、</w:t>
          </w:r>
          <w:r>
            <w:rPr>
              <w:rFonts w:ascii="宋体" w:eastAsia="方正仿宋简体" w:hAnsi="宋体" w:hint="eastAsia"/>
            </w:rPr>
            <w:t>财</w:t>
          </w:r>
          <w:r>
            <w:rPr>
              <w:rFonts w:ascii="宋体" w:eastAsia="方正仿宋简体" w:hAnsi="宋体" w:hint="eastAsia"/>
              <w:bCs/>
            </w:rPr>
            <w:t>政拨款支出决算明细表</w:t>
          </w:r>
          <w:r>
            <w:tab/>
          </w:r>
          <w:r>
            <w:fldChar w:fldCharType="begin"/>
          </w:r>
          <w:r>
            <w:instrText xml:space="preserve"> PAGEREF _Toc23577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_Toc1708 </w:instrText>
          </w:r>
          <w:r>
            <w:fldChar w:fldCharType="separate"/>
          </w:r>
          <w:r>
            <w:rPr>
              <w:rFonts w:ascii="宋体" w:eastAsia="方正仿宋简体" w:hAnsi="宋体" w:hint="eastAsia"/>
              <w:bCs/>
            </w:rPr>
            <w:t>六、</w:t>
          </w:r>
          <w:r>
            <w:rPr>
              <w:rFonts w:ascii="宋体" w:eastAsia="方正仿宋简体" w:hAnsi="宋体" w:hint="eastAsia"/>
            </w:rPr>
            <w:t>一</w:t>
          </w:r>
          <w:r>
            <w:rPr>
              <w:rFonts w:ascii="宋体" w:eastAsia="方正仿宋简体" w:hAnsi="宋体" w:hint="eastAsia"/>
              <w:bCs/>
            </w:rPr>
            <w:t>般公共预算财政拨款支出决算表</w:t>
          </w:r>
          <w:r>
            <w:tab/>
          </w:r>
          <w:r>
            <w:fldChar w:fldCharType="begin"/>
          </w:r>
          <w:r>
            <w:instrText xml:space="preserve"> PAGEREF _Toc1708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_Toc3217 </w:instrText>
          </w:r>
          <w:r>
            <w:fldChar w:fldCharType="separate"/>
          </w:r>
          <w:r>
            <w:rPr>
              <w:rFonts w:ascii="宋体" w:eastAsia="方正仿宋简体" w:hAnsi="宋体" w:hint="eastAsia"/>
              <w:bCs/>
            </w:rPr>
            <w:t>七、</w:t>
          </w:r>
          <w:r>
            <w:rPr>
              <w:rFonts w:ascii="宋体" w:eastAsia="方正仿宋简体" w:hAnsi="宋体" w:hint="eastAsia"/>
            </w:rPr>
            <w:t>一</w:t>
          </w:r>
          <w:r>
            <w:rPr>
              <w:rFonts w:ascii="宋体" w:eastAsia="方正仿宋简体" w:hAnsi="宋体" w:hint="eastAsia"/>
              <w:bCs/>
            </w:rPr>
            <w:t>般公共预算财政拨款支出决算明细表</w:t>
          </w:r>
          <w:r>
            <w:tab/>
          </w:r>
          <w:r>
            <w:fldChar w:fldCharType="begin"/>
          </w:r>
          <w:r>
            <w:instrText xml:space="preserve"> PAGEREF _Toc3217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_Toc19065 </w:instrText>
          </w:r>
          <w:r>
            <w:fldChar w:fldCharType="separate"/>
          </w:r>
          <w:r>
            <w:rPr>
              <w:rFonts w:ascii="宋体" w:eastAsia="方正仿宋简体" w:hAnsi="宋体" w:hint="eastAsia"/>
              <w:bCs/>
            </w:rPr>
            <w:t>八、</w:t>
          </w:r>
          <w:r>
            <w:rPr>
              <w:rFonts w:ascii="宋体" w:eastAsia="方正仿宋简体" w:hAnsi="宋体" w:hint="eastAsia"/>
            </w:rPr>
            <w:t>一</w:t>
          </w:r>
          <w:r>
            <w:rPr>
              <w:rFonts w:ascii="宋体" w:eastAsia="方正仿宋简体" w:hAnsi="宋体" w:hint="eastAsia"/>
              <w:bCs/>
            </w:rPr>
            <w:t>般公共预算财政拨款基本支出决算表</w:t>
          </w:r>
          <w:r>
            <w:tab/>
          </w:r>
          <w:r>
            <w:fldChar w:fldCharType="begin"/>
          </w:r>
          <w:r>
            <w:instrText xml:space="preserve"> PAGEREF _Toc19065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_Toc16553 </w:instrText>
          </w:r>
          <w:r>
            <w:fldChar w:fldCharType="separate"/>
          </w:r>
          <w:r>
            <w:rPr>
              <w:rFonts w:ascii="宋体" w:eastAsia="方正仿宋简体" w:hAnsi="宋体" w:hint="eastAsia"/>
              <w:bCs/>
            </w:rPr>
            <w:t>九、</w:t>
          </w:r>
          <w:r>
            <w:rPr>
              <w:rFonts w:ascii="宋体" w:eastAsia="方正仿宋简体" w:hAnsi="宋体" w:hint="eastAsia"/>
            </w:rPr>
            <w:t>一</w:t>
          </w:r>
          <w:r>
            <w:rPr>
              <w:rFonts w:ascii="宋体" w:eastAsia="方正仿宋简体" w:hAnsi="宋体" w:hint="eastAsia"/>
              <w:bCs/>
            </w:rPr>
            <w:t>般公共预算财政拨款项目支出决算表</w:t>
          </w:r>
          <w:r>
            <w:tab/>
          </w:r>
          <w:r>
            <w:fldChar w:fldCharType="begin"/>
          </w:r>
          <w:r>
            <w:instrText xml:space="preserve"> PAGEREF _Toc16553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_Toc12880 </w:instrText>
          </w:r>
          <w:r>
            <w:fldChar w:fldCharType="separate"/>
          </w:r>
          <w:r>
            <w:rPr>
              <w:rFonts w:ascii="宋体" w:eastAsia="方正仿宋简体" w:hAnsi="宋体" w:hint="eastAsia"/>
              <w:bCs/>
            </w:rPr>
            <w:t>十、</w:t>
          </w:r>
          <w:r>
            <w:rPr>
              <w:rFonts w:ascii="宋体" w:eastAsia="方正仿宋简体" w:hAnsi="宋体" w:hint="eastAsia"/>
            </w:rPr>
            <w:t>一</w:t>
          </w:r>
          <w:r>
            <w:rPr>
              <w:rFonts w:ascii="宋体" w:eastAsia="方正仿宋简体" w:hAnsi="宋体" w:hint="eastAsia"/>
              <w:bCs/>
            </w:rPr>
            <w:t>般公共预算财政拨款“三公”经费支出决算表</w:t>
          </w:r>
          <w:r>
            <w:tab/>
          </w:r>
          <w:r>
            <w:fldChar w:fldCharType="begin"/>
          </w:r>
          <w:r>
            <w:instrText xml:space="preserve"> PAGEREF _Toc12880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_Toc29926 </w:instrText>
          </w:r>
          <w:r>
            <w:fldChar w:fldCharType="separate"/>
          </w:r>
          <w:r>
            <w:rPr>
              <w:rFonts w:ascii="宋体" w:eastAsia="方正仿宋简体" w:hAnsi="宋体" w:hint="eastAsia"/>
              <w:bCs/>
            </w:rPr>
            <w:t>十一、</w:t>
          </w:r>
          <w:r>
            <w:rPr>
              <w:rFonts w:ascii="宋体" w:eastAsia="方正仿宋简体" w:hAnsi="宋体" w:hint="eastAsia"/>
            </w:rPr>
            <w:t>政</w:t>
          </w:r>
          <w:r>
            <w:rPr>
              <w:rFonts w:ascii="宋体" w:eastAsia="方正仿宋简体" w:hAnsi="宋体" w:hint="eastAsia"/>
              <w:bCs/>
            </w:rPr>
            <w:t>府性基金预算财政拨款收入支出决算表</w:t>
          </w:r>
          <w:r>
            <w:tab/>
          </w:r>
          <w:r>
            <w:fldChar w:fldCharType="begin"/>
          </w:r>
          <w:r>
            <w:instrText xml:space="preserve"> PAGEREF _Toc29926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_Toc27126 </w:instrText>
          </w:r>
          <w:r>
            <w:fldChar w:fldCharType="separate"/>
          </w:r>
          <w:r>
            <w:rPr>
              <w:rFonts w:ascii="宋体" w:eastAsia="方正仿宋简体" w:hAnsi="宋体" w:hint="eastAsia"/>
              <w:bCs/>
            </w:rPr>
            <w:t>十二、</w:t>
          </w:r>
          <w:r>
            <w:rPr>
              <w:rFonts w:ascii="宋体" w:eastAsia="方正仿宋简体" w:hAnsi="宋体" w:hint="eastAsia"/>
            </w:rPr>
            <w:t>政</w:t>
          </w:r>
          <w:r>
            <w:rPr>
              <w:rFonts w:ascii="宋体" w:eastAsia="方正仿宋简体" w:hAnsi="宋体" w:hint="eastAsia"/>
              <w:bCs/>
            </w:rPr>
            <w:t>府性基金预算财政拨款“三公”经费支出决算表</w:t>
          </w:r>
          <w:r>
            <w:tab/>
          </w:r>
          <w:r>
            <w:fldChar w:fldCharType="begin"/>
          </w:r>
          <w:r>
            <w:instrText xml:space="preserve"> PAGEREF _Toc27126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_Toc2560 </w:instrText>
          </w:r>
          <w:r>
            <w:fldChar w:fldCharType="separate"/>
          </w:r>
          <w:r>
            <w:rPr>
              <w:rFonts w:ascii="宋体" w:eastAsia="方正仿宋简体" w:hAnsi="宋体" w:hint="eastAsia"/>
              <w:bCs/>
            </w:rPr>
            <w:t>十三、</w:t>
          </w:r>
          <w:r>
            <w:rPr>
              <w:rFonts w:ascii="宋体" w:eastAsia="方正仿宋简体" w:hAnsi="宋体" w:hint="eastAsia"/>
            </w:rPr>
            <w:t>国</w:t>
          </w:r>
          <w:r>
            <w:rPr>
              <w:rFonts w:ascii="宋体" w:eastAsia="方正仿宋简体" w:hAnsi="宋体" w:hint="eastAsia"/>
              <w:bCs/>
            </w:rPr>
            <w:t>有资本经营预算财政拨款收入支出决算表</w:t>
          </w:r>
          <w:r>
            <w:tab/>
          </w:r>
          <w:r>
            <w:fldChar w:fldCharType="begin"/>
          </w:r>
          <w:r>
            <w:instrText xml:space="preserve"> PAGEREF _Toc2560 \h </w:instrText>
          </w:r>
          <w:r>
            <w:fldChar w:fldCharType="separate"/>
          </w:r>
          <w:r>
            <w:t>62</w:t>
          </w:r>
          <w:r>
            <w:fldChar w:fldCharType="end"/>
          </w:r>
          <w:r>
            <w:fldChar w:fldCharType="end"/>
          </w:r>
        </w:p>
        <w:p>
          <w:pPr>
            <w:pStyle w:val="22"/>
            <w:tabs>
              <w:tab w:val="clear" w:pos="8296"/>
              <w:tab w:val="right" w:leader="dot" w:pos="8844"/>
            </w:tabs>
          </w:pPr>
          <w:r>
            <w:fldChar w:fldCharType="begin"/>
          </w:r>
          <w:r>
            <w:instrText xml:space="preserve"> HYPERLINK \l _Toc19232 </w:instrText>
          </w:r>
          <w:r>
            <w:fldChar w:fldCharType="separate"/>
          </w:r>
          <w:r>
            <w:rPr>
              <w:rFonts w:ascii="宋体" w:eastAsia="方正仿宋简体" w:hAnsi="宋体" w:hint="eastAsia"/>
            </w:rPr>
            <w:t>十四、国有资本经营预算财政拨款支出决算表</w:t>
          </w:r>
          <w:r>
            <w:tab/>
          </w:r>
          <w:r>
            <w:fldChar w:fldCharType="begin"/>
          </w:r>
          <w:r>
            <w:instrText xml:space="preserve"> PAGEREF _Toc19232 \h </w:instrText>
          </w:r>
          <w:r>
            <w:fldChar w:fldCharType="separate"/>
          </w:r>
          <w:r>
            <w:t>62</w:t>
          </w:r>
          <w:r>
            <w:fldChar w:fldCharType="end"/>
          </w:r>
          <w:r>
            <w:fldChar w:fldCharType="end"/>
          </w:r>
        </w:p>
        <w:p>
          <w:r>
            <w:fldChar w:fldCharType="end"/>
          </w:r>
        </w:p>
      </w:sdtContent>
    </w:sdt>
    <w:p>
      <w:pPr>
        <w:pStyle w:val="1"/>
        <w:spacing w:line="240" w:lineRule="auto"/>
        <w:rPr>
          <w:rFonts w:ascii="仿宋_GB2312" w:eastAsia="仿宋_GB2312" w:hint="eastAsia"/>
          <w:b w:val="0"/>
          <w:bCs w:val="0"/>
          <w:kern w:val="0"/>
          <w:sz w:val="30"/>
          <w:szCs w:val="24"/>
        </w:rPr>
      </w:pPr>
      <w:bookmarkStart w:id="13" w:name="_Toc15396599"/>
      <w:bookmarkStart w:id="14" w:name="_Toc15377196"/>
    </w:p>
    <w:p/>
    <w:p>
      <w:pPr>
        <w:pStyle w:val="1"/>
        <w:spacing w:line="240" w:lineRule="auto"/>
        <w:jc w:val="center"/>
        <w:rPr>
          <w:rFonts w:ascii="黑体" w:eastAsia="黑体" w:hAnsi="黑体" w:hint="eastAsia"/>
          <w:b w:val="0"/>
        </w:rPr>
      </w:pPr>
    </w:p>
    <w:p>
      <w:pPr>
        <w:rPr>
          <w:rFonts w:ascii="黑体" w:eastAsia="黑体" w:hAnsi="黑体" w:hint="eastAsia"/>
          <w:b w:val="0"/>
        </w:rPr>
      </w:pPr>
    </w:p>
    <w:p>
      <w:pPr>
        <w:pStyle w:val="15"/>
        <w:rPr>
          <w:rFonts w:ascii="黑体" w:eastAsia="黑体" w:hAnsi="黑体" w:hint="eastAsia"/>
          <w:b w:val="0"/>
        </w:rPr>
      </w:pPr>
    </w:p>
    <w:p>
      <w:pPr>
        <w:pStyle w:val="15"/>
        <w:rPr>
          <w:rFonts w:ascii="黑体" w:eastAsia="黑体" w:hAnsi="黑体" w:hint="eastAsia"/>
          <w:b w:val="0"/>
        </w:rPr>
      </w:pPr>
    </w:p>
    <w:p>
      <w:pPr>
        <w:pStyle w:val="15"/>
        <w:rPr>
          <w:rFonts w:ascii="黑体" w:eastAsia="黑体" w:hAnsi="黑体" w:hint="eastAsia"/>
          <w:b w:val="0"/>
        </w:rPr>
      </w:pPr>
    </w:p>
    <w:p>
      <w:pPr>
        <w:pStyle w:val="15"/>
        <w:rPr>
          <w:rFonts w:ascii="黑体" w:eastAsia="黑体" w:hAnsi="黑体" w:hint="eastAsia"/>
          <w:b w:val="0"/>
        </w:rPr>
      </w:pPr>
    </w:p>
    <w:p>
      <w:pPr>
        <w:rPr>
          <w:rFonts w:hint="eastAsia"/>
        </w:rPr>
      </w:pPr>
    </w:p>
    <w:p>
      <w:pPr>
        <w:pStyle w:val="15"/>
        <w:spacing w:beforeLines="0" w:before="72"/>
      </w:pPr>
    </w:p>
    <w:p>
      <w:pPr>
        <w:pStyle w:val="1"/>
        <w:spacing w:line="240" w:lineRule="auto"/>
        <w:jc w:val="center"/>
        <w:rPr>
          <w:rFonts w:ascii="黑体" w:eastAsia="黑体" w:hAnsi="黑体" w:hint="eastAsia"/>
          <w:b w:val="0"/>
        </w:rPr>
      </w:pPr>
    </w:p>
    <w:p>
      <w:pPr>
        <w:pStyle w:val="1"/>
        <w:spacing w:line="240" w:lineRule="auto"/>
        <w:jc w:val="center"/>
        <w:rPr>
          <w:rStyle w:val="1Char"/>
          <w:rFonts w:ascii="黑体" w:eastAsia="黑体" w:hAnsi="黑体"/>
          <w:b/>
          <w:bCs w:val="0"/>
        </w:rPr>
      </w:pPr>
      <w:bookmarkStart w:id="15" w:name="_Toc6041"/>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bookmarkEnd w:id="15"/>
    </w:p>
    <w:p>
      <w:pPr>
        <w:pStyle w:val="2"/>
        <w:spacing w:before="120" w:after="120" w:line="415" w:lineRule="auto"/>
        <w:rPr>
          <w:rFonts w:ascii="黑体" w:eastAsia="黑体" w:hAnsi="黑体"/>
          <w:b w:val="0"/>
          <w:bCs w:val="0"/>
        </w:rPr>
      </w:pPr>
      <w:bookmarkStart w:id="16" w:name="_Toc15377197"/>
      <w:bookmarkStart w:id="17" w:name="_Toc15396600"/>
      <w:bookmarkStart w:id="18" w:name="_Toc193"/>
      <w:r>
        <w:rPr>
          <w:rFonts w:ascii="黑体" w:eastAsia="黑体" w:hAnsi="黑体" w:hint="eastAsia"/>
          <w:b w:val="0"/>
        </w:rPr>
        <w:t>一、基</w:t>
      </w:r>
      <w:r>
        <w:rPr>
          <w:rStyle w:val="2Char"/>
          <w:rFonts w:ascii="黑体" w:eastAsia="黑体" w:hAnsi="黑体" w:hint="eastAsia"/>
          <w:b w:val="0"/>
          <w:bCs w:val="0"/>
        </w:rPr>
        <w:t>本职能及主要工作</w:t>
      </w:r>
      <w:bookmarkEnd w:id="16"/>
      <w:bookmarkEnd w:id="17"/>
      <w:bookmarkEnd w:id="18"/>
    </w:p>
    <w:p>
      <w:pPr>
        <w:overflowPunct w:val="0"/>
        <w:adjustRightInd w:val="0"/>
        <w:snapToGrid w:val="0"/>
        <w:spacing w:line="580" w:lineRule="exact"/>
        <w:ind w:firstLineChars="200" w:firstLine="640"/>
        <w:outlineLvl w:val="2"/>
        <w:rPr>
          <w:rFonts w:eastAsia="楷体"/>
          <w:bCs/>
          <w:color w:val="000000"/>
          <w:sz w:val="32"/>
          <w:szCs w:val="32"/>
        </w:rPr>
      </w:pPr>
      <w:bookmarkStart w:id="19" w:name="_Toc14740"/>
      <w:bookmarkStart w:id="20" w:name="_Toc15377200"/>
      <w:bookmarkStart w:id="21" w:name="_Toc15396601"/>
      <w:r>
        <w:rPr>
          <w:rFonts w:eastAsia="楷体" w:hint="eastAsia"/>
          <w:bCs/>
          <w:color w:val="000000"/>
          <w:sz w:val="32"/>
          <w:szCs w:val="32"/>
        </w:rPr>
        <w:t>（一）主要职能</w:t>
      </w:r>
      <w:bookmarkEnd w:id="19"/>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1.加强党的建设。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2.统筹区域发展。统筹落实辖区发展的重大决策，参与辖区建设规划和公共服务设施布局，推动辖区健康、有序、可持续发展。涉农街道要加强农业农村工作。</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3.组织公共服务。组织实施与居民生活密切相关的各项公共服务，落实民生保障政策，加强社区（村）服务配套设施和综合服务平台建设，完善社区（村）综合服务功能。</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4.优化营商环境。优化投资、经营环境，推进重点项目建设和发展；联系和服务驻辖区单位、企业及市场主体，保护各种经济组织的合法权益。</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5.实施综合治理。组织领导、推进实施、综合协调辖区内城市管理、人口管理等综合性工作；组织开展辖区内环境综合治理，协助相关部门做好绿化美化、市政公共设施维护管理等工作。</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6.动员社会参与。动员指导辖区内各类单位、社会组织和社区（村）居民等社会力量参与社会治理，引导辖区单位履行社会责任，整合辖区内各种社会力量资源为街道社区（村）发展服务。</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7.领导基层自治。完善党组织领导下的基层民主选举、民主决策、民主管理、民主监督的规则、程序、办法；建立党建引领下的社区居民委员会、业主委员会、业主监督委员会、物业服务企业协调运行机制。</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8.维护安全稳定。负责辖区公共安全、平安建设、社会治安综合治理、安全生产状况的监督检查等相关工作，处理群众来信来访，化解矛盾纠纷。</w:t>
      </w:r>
    </w:p>
    <w:p>
      <w:pPr>
        <w:overflowPunct w:val="0"/>
        <w:adjustRightInd w:val="0"/>
        <w:snapToGrid w:val="0"/>
        <w:spacing w:line="360" w:lineRule="auto"/>
        <w:ind w:firstLineChars="200" w:firstLine="640"/>
        <w:rPr>
          <w:rFonts w:ascii="仿宋" w:eastAsia="仿宋" w:cs="仿宋" w:hAnsi="仿宋"/>
          <w:sz w:val="32"/>
          <w:szCs w:val="32"/>
        </w:rPr>
      </w:pPr>
      <w:r>
        <w:rPr>
          <w:rFonts w:ascii="仿宋" w:eastAsia="仿宋" w:cs="仿宋" w:hAnsi="仿宋" w:hint="eastAsia"/>
          <w:sz w:val="32"/>
          <w:szCs w:val="32"/>
        </w:rPr>
        <w:t>9.完成区委、区政府交办的其他事项。</w:t>
      </w:r>
    </w:p>
    <w:p>
      <w:pPr>
        <w:overflowPunct w:val="0"/>
        <w:adjustRightInd w:val="0"/>
        <w:snapToGrid w:val="0"/>
        <w:spacing w:line="576" w:lineRule="exact"/>
        <w:ind w:firstLineChars="200" w:firstLine="640"/>
        <w:outlineLvl w:val="2"/>
        <w:rPr>
          <w:rFonts w:ascii="楷体" w:eastAsia="楷体" w:cs="楷体_GB2312" w:hAnsi="楷体"/>
          <w:bCs/>
          <w:snapToGrid w:val="0"/>
          <w:kern w:val="0"/>
          <w:sz w:val="32"/>
          <w:szCs w:val="32"/>
        </w:rPr>
      </w:pPr>
      <w:bookmarkStart w:id="22" w:name="_Toc3751"/>
      <w:r>
        <w:rPr>
          <w:rFonts w:ascii="楷体" w:eastAsia="楷体" w:cs="楷体_GB2312" w:hAnsi="楷体" w:hint="eastAsia"/>
          <w:bCs/>
          <w:snapToGrid w:val="0"/>
          <w:kern w:val="0"/>
          <w:sz w:val="32"/>
          <w:szCs w:val="32"/>
        </w:rPr>
        <w:t>（二）主要工作及完成情况</w:t>
      </w:r>
      <w:bookmarkEnd w:id="22"/>
    </w:p>
    <w:p>
      <w:pPr>
        <w:overflowPunct w:val="0"/>
        <w:adjustRightInd w:val="0"/>
        <w:snapToGrid w:val="0"/>
        <w:spacing w:line="576" w:lineRule="exact"/>
        <w:ind w:firstLineChars="200" w:firstLine="640"/>
        <w:rPr>
          <w:rFonts w:ascii="仿宋" w:eastAsia="仿宋" w:cs="仿宋" w:hAnsi="仿宋"/>
          <w:sz w:val="32"/>
          <w:szCs w:val="32"/>
        </w:rPr>
      </w:pPr>
      <w:r>
        <w:rPr>
          <w:rFonts w:ascii="仿宋" w:eastAsia="仿宋" w:cs="仿宋" w:hAnsi="仿宋" w:hint="eastAsia"/>
          <w:sz w:val="32"/>
          <w:szCs w:val="32"/>
        </w:rPr>
        <w:t>2021年，在区委区政府的坚强领导下，在区级部门的关心指导下，街道党工委、办事处始终坚持以习近平新时代中国特色社会主义思想为指导，深入学习贯彻党的十九届五中、六中全会，以及省、市、区历次全会精神，紧紧围绕区委、区政府“13451”发展战略，坚持“党建引领、民生为本、低碳发展、和谐共融”的总体思路，狠抓目标任务落实，实现了街道经济社会平稳较快发展，各项工作再上新台阶。2021年，雪峰街道退役军人服务站成功创建为全国“枫桥式”基层退役军人服务站，老区宣传工作被全国老区宣传工作会议组委会表彰，芸香社区被评为全国示范性老年友好型社区、全省基层治理示范社区，雪峰街道党工委荣获全市优秀基层党组织荣誉称号，“三听三问三落实”工作法在全市推广。</w:t>
      </w:r>
    </w:p>
    <w:p>
      <w:pPr>
        <w:overflowPunct w:val="0"/>
        <w:adjustRightInd w:val="0"/>
        <w:snapToGrid w:val="0"/>
        <w:spacing w:line="576" w:lineRule="exact"/>
        <w:ind w:firstLineChars="200" w:firstLine="640"/>
        <w:rPr>
          <w:rFonts w:ascii="仿宋" w:eastAsia="仿宋" w:cs="楷体_GB2312" w:hAnsi="仿宋"/>
          <w:b/>
          <w:bCs/>
          <w:snapToGrid w:val="0"/>
          <w:kern w:val="0"/>
          <w:sz w:val="32"/>
          <w:szCs w:val="32"/>
        </w:rPr>
      </w:pPr>
      <w:r>
        <w:rPr>
          <w:rFonts w:ascii="仿宋" w:eastAsia="仿宋" w:cs="楷体_GB2312" w:hAnsi="仿宋" w:hint="eastAsia"/>
          <w:b/>
          <w:bCs/>
          <w:snapToGrid w:val="0"/>
          <w:kern w:val="0"/>
          <w:sz w:val="32"/>
          <w:szCs w:val="32"/>
        </w:rPr>
        <w:t>1.坚持“五个紧盯”模式，推动疫情防控常态化</w:t>
      </w:r>
    </w:p>
    <w:p>
      <w:pPr>
        <w:overflowPunct w:val="0"/>
        <w:adjustRightInd w:val="0"/>
        <w:snapToGrid w:val="0"/>
        <w:spacing w:line="576" w:lineRule="exact"/>
        <w:ind w:firstLineChars="200" w:firstLine="640"/>
        <w:rPr>
          <w:rFonts w:ascii="仿宋" w:eastAsia="仿宋" w:cs="仿宋_GB2312" w:hAnsi="仿宋"/>
          <w:snapToGrid w:val="0"/>
          <w:kern w:val="0"/>
          <w:sz w:val="32"/>
          <w:szCs w:val="32"/>
        </w:rPr>
      </w:pPr>
      <w:r>
        <w:rPr>
          <w:rFonts w:ascii="仿宋" w:eastAsia="仿宋" w:cs="仿宋_GB2312" w:hAnsi="仿宋" w:hint="eastAsia"/>
          <w:b/>
          <w:bCs/>
          <w:snapToGrid w:val="0"/>
          <w:kern w:val="0"/>
          <w:sz w:val="32"/>
          <w:szCs w:val="32"/>
        </w:rPr>
        <w:t>一是紧盯广泛宣传。</w:t>
      </w:r>
      <w:r>
        <w:rPr>
          <w:rFonts w:ascii="仿宋" w:eastAsia="仿宋" w:cs="仿宋_GB2312" w:hAnsi="仿宋" w:hint="eastAsia"/>
          <w:snapToGrid w:val="0"/>
          <w:kern w:val="0"/>
          <w:sz w:val="32"/>
          <w:szCs w:val="32"/>
        </w:rPr>
        <w:t>利用街道公众号、微信群、广播车、大喇叭等形式进行广泛宣传，截至目前，共</w:t>
      </w:r>
      <w:r>
        <w:rPr>
          <w:rFonts w:ascii="仿宋" w:eastAsia="仿宋" w:cs="仿宋_GB2312" w:hAnsi="仿宋" w:hint="eastAsia"/>
          <w:snapToGrid w:val="0"/>
          <w:kern w:val="0"/>
          <w:sz w:val="32"/>
          <w:szCs w:val="32"/>
          <w:lang w:val="zh-CN"/>
        </w:rPr>
        <w:t>悬挂横</w:t>
      </w:r>
      <w:r>
        <w:rPr>
          <w:rFonts w:ascii="仿宋" w:eastAsia="仿宋" w:cs="仿宋_GB2312" w:hAnsi="仿宋" w:hint="eastAsia"/>
          <w:snapToGrid w:val="0"/>
          <w:kern w:val="0"/>
          <w:sz w:val="32"/>
          <w:szCs w:val="32"/>
        </w:rPr>
        <w:t>幅标语339幅，发放宣传单2万余份，及时转发省市指挥部公告、通知等20余条。</w:t>
      </w:r>
      <w:r>
        <w:rPr>
          <w:rFonts w:ascii="仿宋" w:eastAsia="仿宋" w:cs="仿宋_GB2312" w:hAnsi="仿宋" w:hint="eastAsia"/>
          <w:b/>
          <w:bCs/>
          <w:snapToGrid w:val="0"/>
          <w:kern w:val="0"/>
          <w:sz w:val="32"/>
          <w:szCs w:val="32"/>
        </w:rPr>
        <w:t>二是紧盯信息核查。</w:t>
      </w:r>
      <w:r>
        <w:rPr>
          <w:rFonts w:ascii="仿宋" w:eastAsia="仿宋" w:cs="仿宋_GB2312" w:hAnsi="仿宋" w:hint="eastAsia"/>
          <w:snapToGrid w:val="0"/>
          <w:kern w:val="0"/>
          <w:sz w:val="32"/>
          <w:szCs w:val="32"/>
        </w:rPr>
        <w:t>按照“地毯式”排查的方式，通过微信沟通、电话到访等形式，对疫区返回人员逐人核实，做到“户户能联上、人人有登记”，确保了“一户不落，一人不差”。共核查省市大数据2076条，红黄码401条。</w:t>
      </w:r>
      <w:r>
        <w:rPr>
          <w:rFonts w:ascii="仿宋" w:eastAsia="仿宋" w:cs="仿宋_GB2312" w:hAnsi="仿宋" w:hint="eastAsia"/>
          <w:b/>
          <w:bCs/>
          <w:snapToGrid w:val="0"/>
          <w:kern w:val="0"/>
          <w:sz w:val="32"/>
          <w:szCs w:val="32"/>
        </w:rPr>
        <w:t>三是</w:t>
      </w:r>
      <w:r>
        <w:rPr>
          <w:rFonts w:ascii="仿宋" w:eastAsia="仿宋" w:cs="仿宋_GB2312" w:hAnsi="仿宋" w:hint="eastAsia"/>
          <w:b/>
          <w:bCs/>
          <w:snapToGrid w:val="0"/>
          <w:kern w:val="0"/>
          <w:sz w:val="32"/>
          <w:szCs w:val="32"/>
          <w:lang w:val="zh-CN"/>
        </w:rPr>
        <w:t>紧盯重点人员。</w:t>
      </w:r>
      <w:r>
        <w:rPr>
          <w:rFonts w:ascii="仿宋" w:eastAsia="仿宋" w:cs="仿宋_GB2312" w:hAnsi="仿宋" w:hint="eastAsia"/>
          <w:snapToGrid w:val="0"/>
          <w:kern w:val="0"/>
          <w:sz w:val="32"/>
          <w:szCs w:val="32"/>
          <w:lang w:val="zh-CN"/>
        </w:rPr>
        <w:t>依托楼栋长、物管、网格员等各种力量，进一步做好境外和国内重点地区来广人员的排查、管控等工作。截至目前，共排查境外人员</w:t>
      </w:r>
      <w:r>
        <w:rPr>
          <w:rFonts w:ascii="仿宋" w:eastAsia="仿宋" w:cs="仿宋_GB2312" w:hAnsi="仿宋" w:hint="eastAsia"/>
          <w:snapToGrid w:val="0"/>
          <w:kern w:val="0"/>
          <w:sz w:val="32"/>
          <w:szCs w:val="32"/>
        </w:rPr>
        <w:t>96</w:t>
      </w:r>
      <w:r>
        <w:rPr>
          <w:rFonts w:ascii="仿宋" w:eastAsia="仿宋" w:cs="仿宋_GB2312" w:hAnsi="仿宋" w:hint="eastAsia"/>
          <w:snapToGrid w:val="0"/>
          <w:kern w:val="0"/>
          <w:sz w:val="32"/>
          <w:szCs w:val="32"/>
          <w:lang w:val="zh-CN"/>
        </w:rPr>
        <w:t>人（未返回3</w:t>
      </w:r>
      <w:r>
        <w:rPr>
          <w:rFonts w:ascii="仿宋" w:eastAsia="仿宋" w:cs="仿宋_GB2312" w:hAnsi="仿宋" w:hint="eastAsia"/>
          <w:snapToGrid w:val="0"/>
          <w:kern w:val="0"/>
          <w:sz w:val="32"/>
          <w:szCs w:val="32"/>
        </w:rPr>
        <w:t>8</w:t>
      </w:r>
      <w:r>
        <w:rPr>
          <w:rFonts w:ascii="仿宋" w:eastAsia="仿宋" w:cs="仿宋_GB2312" w:hAnsi="仿宋" w:hint="eastAsia"/>
          <w:snapToGrid w:val="0"/>
          <w:kern w:val="0"/>
          <w:sz w:val="32"/>
          <w:szCs w:val="32"/>
          <w:lang w:val="zh-CN"/>
        </w:rPr>
        <w:t>人），国内中高风险地区人员根据区指挥部下发的管控措施动态管控。</w:t>
      </w:r>
      <w:r>
        <w:rPr>
          <w:rFonts w:ascii="仿宋" w:eastAsia="仿宋" w:cs="仿宋_GB2312" w:hAnsi="仿宋" w:hint="eastAsia"/>
          <w:b/>
          <w:bCs/>
          <w:snapToGrid w:val="0"/>
          <w:kern w:val="0"/>
          <w:sz w:val="32"/>
          <w:szCs w:val="32"/>
          <w:lang w:val="zh-CN"/>
        </w:rPr>
        <w:t>四是紧盯重点领域。</w:t>
      </w:r>
      <w:r>
        <w:rPr>
          <w:rFonts w:ascii="仿宋" w:eastAsia="仿宋" w:cs="仿宋_GB2312" w:hAnsi="仿宋" w:hint="eastAsia"/>
          <w:snapToGrid w:val="0"/>
          <w:kern w:val="0"/>
          <w:sz w:val="32"/>
          <w:szCs w:val="32"/>
          <w:lang w:val="zh-CN"/>
        </w:rPr>
        <w:t>对可能存在聚集性疫情风险的教育园区学校、网吧、酒店等重点人群和场所，每日开展隐患排查</w:t>
      </w:r>
      <w:r>
        <w:rPr>
          <w:rFonts w:ascii="仿宋" w:eastAsia="仿宋" w:cs="仿宋_GB2312" w:hAnsi="仿宋" w:hint="eastAsia"/>
          <w:snapToGrid w:val="0"/>
          <w:kern w:val="0"/>
          <w:sz w:val="32"/>
          <w:szCs w:val="32"/>
        </w:rPr>
        <w:t>2次。特别关注</w:t>
      </w:r>
      <w:r>
        <w:rPr>
          <w:rFonts w:ascii="仿宋" w:eastAsia="仿宋" w:cs="仿宋_GB2312" w:hAnsi="仿宋" w:hint="eastAsia"/>
          <w:snapToGrid w:val="0"/>
          <w:kern w:val="0"/>
          <w:sz w:val="32"/>
          <w:szCs w:val="32"/>
          <w:lang w:val="zh-CN"/>
        </w:rPr>
        <w:t>独居老人、留守儿童等群体，加大关心关爱和走访力度，发放口罩等防疫物资</w:t>
      </w:r>
      <w:r>
        <w:rPr>
          <w:rFonts w:ascii="仿宋" w:eastAsia="仿宋" w:cs="仿宋_GB2312" w:hAnsi="仿宋" w:hint="eastAsia"/>
          <w:snapToGrid w:val="0"/>
          <w:kern w:val="0"/>
          <w:sz w:val="32"/>
          <w:szCs w:val="32"/>
        </w:rPr>
        <w:t>1500余个</w:t>
      </w:r>
      <w:r>
        <w:rPr>
          <w:rFonts w:ascii="仿宋" w:eastAsia="仿宋" w:cs="仿宋_GB2312" w:hAnsi="仿宋" w:hint="eastAsia"/>
          <w:snapToGrid w:val="0"/>
          <w:kern w:val="0"/>
          <w:sz w:val="32"/>
          <w:szCs w:val="32"/>
          <w:lang w:val="zh-CN"/>
        </w:rPr>
        <w:t>。加大坝坝宴的监管，取消、缓办农村宴席</w:t>
      </w:r>
      <w:r>
        <w:rPr>
          <w:rFonts w:ascii="仿宋" w:eastAsia="仿宋" w:cs="仿宋_GB2312" w:hAnsi="仿宋" w:hint="eastAsia"/>
          <w:snapToGrid w:val="0"/>
          <w:kern w:val="0"/>
          <w:sz w:val="32"/>
          <w:szCs w:val="32"/>
        </w:rPr>
        <w:t>20余场。</w:t>
      </w:r>
      <w:r>
        <w:rPr>
          <w:rFonts w:ascii="仿宋" w:eastAsia="仿宋" w:cs="仿宋_GB2312" w:hAnsi="仿宋" w:hint="eastAsia"/>
          <w:b/>
          <w:bCs/>
          <w:snapToGrid w:val="0"/>
          <w:kern w:val="0"/>
          <w:sz w:val="32"/>
          <w:szCs w:val="32"/>
          <w:lang w:val="zh-CN"/>
        </w:rPr>
        <w:t>五是紧盯疫苗接种。</w:t>
      </w:r>
      <w:r>
        <w:rPr>
          <w:rFonts w:ascii="仿宋" w:eastAsia="仿宋" w:cs="仿宋_GB2312" w:hAnsi="仿宋" w:hint="eastAsia"/>
          <w:snapToGrid w:val="0"/>
          <w:kern w:val="0"/>
          <w:sz w:val="32"/>
          <w:szCs w:val="32"/>
          <w:lang w:val="zh-CN"/>
        </w:rPr>
        <w:t>细化分解接种目标计划，灵活设置接种点位、接种时间，全面加强服务保障，强化预约管理和现场组织，多措并举推进应接尽接、愿接尽接，截至目前</w:t>
      </w:r>
      <w:r>
        <w:rPr>
          <w:rFonts w:ascii="仿宋" w:eastAsia="仿宋" w:cs="仿宋_GB2312" w:hAnsi="仿宋" w:hint="eastAsia"/>
          <w:snapToGrid w:val="0"/>
          <w:kern w:val="0"/>
          <w:sz w:val="32"/>
          <w:szCs w:val="32"/>
        </w:rPr>
        <w:t>第一针剂次完成79916人，第二针完成75877人，3—11岁儿童完成9940人。</w:t>
      </w:r>
    </w:p>
    <w:p>
      <w:pPr>
        <w:tabs>
          <w:tab w:val="left" w:pos="1246"/>
        </w:tabs>
        <w:overflowPunct w:val="0"/>
        <w:adjustRightInd w:val="0"/>
        <w:snapToGrid w:val="0"/>
        <w:spacing w:line="576" w:lineRule="exact"/>
        <w:ind w:firstLineChars="200" w:firstLine="640"/>
        <w:rPr>
          <w:rFonts w:ascii="仿宋" w:eastAsia="仿宋" w:cs="楷体_GB2312" w:hAnsi="仿宋"/>
          <w:b/>
          <w:bCs/>
          <w:snapToGrid w:val="0"/>
          <w:kern w:val="0"/>
          <w:sz w:val="32"/>
          <w:szCs w:val="32"/>
        </w:rPr>
      </w:pPr>
      <w:r>
        <w:rPr>
          <w:rFonts w:ascii="仿宋" w:eastAsia="仿宋" w:cs="楷体_GB2312" w:hAnsi="仿宋" w:hint="eastAsia"/>
          <w:b/>
          <w:bCs/>
          <w:snapToGrid w:val="0"/>
          <w:kern w:val="0"/>
          <w:sz w:val="32"/>
          <w:szCs w:val="32"/>
        </w:rPr>
        <w:t>2.坚持加快转变方式，保持经济社会高质量发展</w:t>
      </w:r>
    </w:p>
    <w:p>
      <w:pPr>
        <w:tabs>
          <w:tab w:val="left" w:pos="1246"/>
        </w:tabs>
        <w:overflowPunct w:val="0"/>
        <w:adjustRightInd w:val="0"/>
        <w:snapToGrid w:val="0"/>
        <w:spacing w:line="576" w:lineRule="exact"/>
        <w:ind w:firstLineChars="200" w:firstLine="640"/>
        <w:rPr>
          <w:rFonts w:ascii="仿宋" w:eastAsia="仿宋" w:cs="仿宋_GB2312" w:hAnsi="仿宋"/>
          <w:snapToGrid w:val="0"/>
          <w:kern w:val="0"/>
          <w:sz w:val="32"/>
          <w:szCs w:val="32"/>
        </w:rPr>
      </w:pPr>
      <w:r>
        <w:rPr>
          <w:rFonts w:ascii="仿宋" w:eastAsia="仿宋" w:cs="仿宋_GB2312" w:hAnsi="仿宋" w:hint="eastAsia"/>
          <w:b/>
          <w:bCs/>
          <w:snapToGrid w:val="0"/>
          <w:kern w:val="0"/>
          <w:sz w:val="32"/>
          <w:szCs w:val="32"/>
        </w:rPr>
        <w:t>一是克服疫情影响，优化营商环境，经济指标逆势上扬。</w:t>
      </w:r>
      <w:r>
        <w:rPr>
          <w:rFonts w:ascii="仿宋" w:eastAsia="仿宋" w:cs="仿宋_GB2312" w:hAnsi="仿宋" w:hint="eastAsia"/>
          <w:snapToGrid w:val="0"/>
          <w:kern w:val="0"/>
          <w:sz w:val="32"/>
          <w:szCs w:val="32"/>
        </w:rPr>
        <w:t>聚焦聚力经济建设“三大主战场”，2021年地区生产总值增速12.4%，城镇居民人均可支配收入增速11.9%，农村居民人均可支配收入增速13.8%。全社会固定资产投资累计完成2.5亿元，规模以上工业企业产值达到2.4亿元，限上社消零完成2.7亿元，招商引资2.5亿元。</w:t>
      </w:r>
      <w:r>
        <w:rPr>
          <w:rFonts w:ascii="仿宋" w:eastAsia="仿宋" w:cs="仿宋_GB2312" w:hAnsi="仿宋" w:hint="eastAsia"/>
          <w:b/>
          <w:bCs/>
          <w:snapToGrid w:val="0"/>
          <w:kern w:val="0"/>
          <w:sz w:val="32"/>
          <w:szCs w:val="32"/>
        </w:rPr>
        <w:t>二是加强规范管理，强化统筹协调，项目建设可圈可点。</w:t>
      </w:r>
      <w:r>
        <w:rPr>
          <w:rFonts w:ascii="仿宋" w:eastAsia="仿宋" w:cs="仿宋_GB2312" w:hAnsi="仿宋" w:hint="eastAsia"/>
          <w:snapToGrid w:val="0"/>
          <w:kern w:val="0"/>
          <w:sz w:val="32"/>
          <w:szCs w:val="32"/>
        </w:rPr>
        <w:t>2021年市区共下达重点项目9个，其中市级项目8个，区级项目1个。柳林路道路工程、泡石弃土场项目、森林院子翠鸣谷项目、森林院子二期项目顺利推进，柳林路下穿项目、乐园路项目、实践基地二期建设、冰凌沟石灰岩开采加工项目稳中有序。2021年共完成拆迁房屋26栋，征收集体土地1032.32亩，搬迁坟地346座。为确保拆迁户尽快入住新房，启动全市首个限价商品房选房工作，314户拆迁户共选房475套，选车位139个。</w:t>
      </w:r>
      <w:r>
        <w:rPr>
          <w:rFonts w:ascii="仿宋" w:eastAsia="仿宋" w:cs="仿宋_GB2312" w:hAnsi="仿宋" w:hint="eastAsia"/>
          <w:b/>
          <w:bCs/>
          <w:snapToGrid w:val="0"/>
          <w:kern w:val="0"/>
          <w:sz w:val="32"/>
          <w:szCs w:val="32"/>
        </w:rPr>
        <w:t>三是创新发展思路，推进农村改革，农业产业初见形态。</w:t>
      </w:r>
      <w:r>
        <w:rPr>
          <w:rFonts w:ascii="仿宋" w:eastAsia="仿宋" w:cs="仿宋" w:hAnsi="仿宋" w:hint="eastAsia"/>
          <w:snapToGrid w:val="0"/>
          <w:kern w:val="0"/>
          <w:sz w:val="32"/>
          <w:szCs w:val="32"/>
        </w:rPr>
        <w:t>全面完成村集体经济登记赋码和股权确认，完善村集体经济组织架构和运行机制，扶持村集体经济融合发展试点项目全面落实落地。围绕区委构建“5+3”农业产业体系发展思路，大力发展前胡、茯苓、香菇产业。2021年，金山村新种植前胡200亩，茯苓20亩，投资50万元入股养牛场1个；新建竹品种园1个，启动村庄绿化提升2.5公里。全村共有核桃产业1000亩，山桐子500亩，樱桃、脆红李等水果产业92亩，畜禽规模养殖场10个，省级专业合作社1个，区级专业合作社1个。全面完成全年各项农业生产指标任务。</w:t>
      </w:r>
    </w:p>
    <w:p>
      <w:pPr>
        <w:tabs>
          <w:tab w:val="left" w:pos="1246"/>
        </w:tabs>
        <w:overflowPunct w:val="0"/>
        <w:adjustRightInd w:val="0"/>
        <w:snapToGrid w:val="0"/>
        <w:spacing w:line="576" w:lineRule="exact"/>
        <w:ind w:firstLineChars="200" w:firstLine="640"/>
        <w:rPr>
          <w:rFonts w:ascii="仿宋" w:eastAsia="仿宋" w:cs="仿宋_GB2312" w:hAnsi="仿宋"/>
          <w:snapToGrid w:val="0"/>
          <w:kern w:val="0"/>
          <w:sz w:val="32"/>
          <w:szCs w:val="32"/>
        </w:rPr>
      </w:pPr>
      <w:r>
        <w:rPr>
          <w:rFonts w:ascii="仿宋" w:eastAsia="仿宋" w:cs="楷体_GB2312" w:hAnsi="仿宋" w:hint="eastAsia"/>
          <w:b/>
          <w:bCs/>
          <w:snapToGrid w:val="0"/>
          <w:kern w:val="0"/>
          <w:sz w:val="32"/>
          <w:szCs w:val="32"/>
        </w:rPr>
        <w:t>3.坚持增进民生福祉，不断提升群众生活幸福度</w:t>
      </w:r>
    </w:p>
    <w:p>
      <w:pPr>
        <w:overflowPunct w:val="0"/>
        <w:adjustRightInd w:val="0"/>
        <w:snapToGrid w:val="0"/>
        <w:spacing w:line="576" w:lineRule="exact"/>
        <w:ind w:firstLineChars="200" w:firstLine="640"/>
        <w:rPr>
          <w:rFonts w:ascii="仿宋" w:eastAsia="仿宋" w:cs="仿宋_GB2312" w:hAnsi="仿宋"/>
          <w:snapToGrid w:val="0"/>
          <w:kern w:val="0"/>
          <w:sz w:val="32"/>
          <w:szCs w:val="32"/>
          <w:lang w:val="zh-CN"/>
        </w:rPr>
      </w:pPr>
      <w:r>
        <w:rPr>
          <w:rFonts w:ascii="仿宋" w:eastAsia="仿宋" w:cs="仿宋_GB2312" w:hAnsi="仿宋" w:hint="eastAsia"/>
          <w:b/>
          <w:bCs/>
          <w:snapToGrid w:val="0"/>
          <w:kern w:val="0"/>
          <w:sz w:val="32"/>
          <w:szCs w:val="32"/>
        </w:rPr>
        <w:t>一是脱贫攻坚成果与乡村振兴有效衔接持续巩固</w:t>
      </w:r>
      <w:r>
        <w:rPr>
          <w:rFonts w:ascii="仿宋" w:eastAsia="仿宋" w:cs="仿宋_GB2312" w:hAnsi="仿宋" w:hint="eastAsia"/>
          <w:snapToGrid w:val="0"/>
          <w:kern w:val="0"/>
          <w:sz w:val="32"/>
          <w:szCs w:val="32"/>
        </w:rPr>
        <w:t>。争取乡村振兴衔接资金</w:t>
      </w:r>
      <w:r>
        <w:rPr>
          <w:rFonts w:ascii="仿宋" w:eastAsia="仿宋" w:cs="仿宋_GB2312" w:hAnsi="仿宋"/>
          <w:snapToGrid w:val="0"/>
          <w:kern w:val="0"/>
          <w:sz w:val="32"/>
          <w:szCs w:val="32"/>
        </w:rPr>
        <w:t>83.79</w:t>
      </w:r>
      <w:r>
        <w:rPr>
          <w:rFonts w:ascii="仿宋" w:eastAsia="仿宋" w:cs="仿宋_GB2312" w:hAnsi="仿宋" w:hint="eastAsia"/>
          <w:snapToGrid w:val="0"/>
          <w:kern w:val="0"/>
          <w:sz w:val="32"/>
          <w:szCs w:val="32"/>
        </w:rPr>
        <w:t>万元，扶持村集体经济发展资金</w:t>
      </w:r>
      <w:r>
        <w:rPr>
          <w:rFonts w:ascii="仿宋" w:eastAsia="仿宋" w:cs="仿宋_GB2312" w:hAnsi="仿宋"/>
          <w:snapToGrid w:val="0"/>
          <w:kern w:val="0"/>
          <w:sz w:val="32"/>
          <w:szCs w:val="32"/>
        </w:rPr>
        <w:t>100</w:t>
      </w:r>
      <w:r>
        <w:rPr>
          <w:rFonts w:ascii="仿宋" w:eastAsia="仿宋" w:cs="仿宋_GB2312" w:hAnsi="仿宋" w:hint="eastAsia"/>
          <w:snapToGrid w:val="0"/>
          <w:kern w:val="0"/>
          <w:sz w:val="32"/>
          <w:szCs w:val="32"/>
        </w:rPr>
        <w:t>万元，林业产业资金</w:t>
      </w:r>
      <w:r>
        <w:rPr>
          <w:rFonts w:ascii="仿宋" w:eastAsia="仿宋" w:cs="仿宋_GB2312" w:hAnsi="仿宋"/>
          <w:snapToGrid w:val="0"/>
          <w:kern w:val="0"/>
          <w:sz w:val="32"/>
          <w:szCs w:val="32"/>
        </w:rPr>
        <w:t>80</w:t>
      </w:r>
      <w:r>
        <w:rPr>
          <w:rFonts w:ascii="仿宋" w:eastAsia="仿宋" w:cs="仿宋_GB2312" w:hAnsi="仿宋" w:hint="eastAsia"/>
          <w:snapToGrid w:val="0"/>
          <w:kern w:val="0"/>
          <w:sz w:val="32"/>
          <w:szCs w:val="32"/>
        </w:rPr>
        <w:t>万元，改善农村基础设施，发展壮大集体经济，带动群众致富增收。</w:t>
      </w:r>
      <w:r>
        <w:rPr>
          <w:rFonts w:ascii="仿宋" w:eastAsia="仿宋" w:cs="仿宋_GB2312" w:hAnsi="仿宋" w:hint="eastAsia"/>
          <w:b/>
          <w:bCs/>
          <w:snapToGrid w:val="0"/>
          <w:kern w:val="0"/>
          <w:sz w:val="32"/>
          <w:szCs w:val="32"/>
        </w:rPr>
        <w:t>二是</w:t>
      </w:r>
      <w:r>
        <w:rPr>
          <w:rFonts w:ascii="仿宋" w:eastAsia="仿宋" w:cs="仿宋_GB2312" w:hAnsi="仿宋" w:hint="eastAsia"/>
          <w:b/>
          <w:bCs/>
          <w:snapToGrid w:val="0"/>
          <w:kern w:val="0"/>
          <w:sz w:val="32"/>
          <w:szCs w:val="32"/>
          <w:lang w:val="zh-CN"/>
        </w:rPr>
        <w:t>低保和各类对象的救助补贴落到实处</w:t>
      </w:r>
      <w:r>
        <w:rPr>
          <w:rFonts w:ascii="仿宋" w:eastAsia="仿宋" w:cs="仿宋_GB2312" w:hAnsi="仿宋" w:hint="eastAsia"/>
          <w:b/>
          <w:bCs/>
          <w:snapToGrid w:val="0"/>
          <w:kern w:val="0"/>
          <w:sz w:val="32"/>
          <w:szCs w:val="32"/>
        </w:rPr>
        <w:t>。</w:t>
      </w:r>
      <w:r>
        <w:rPr>
          <w:rFonts w:ascii="仿宋" w:eastAsia="仿宋" w:cs="仿宋_GB2312" w:hAnsi="仿宋" w:hint="eastAsia"/>
          <w:snapToGrid w:val="0"/>
          <w:kern w:val="0"/>
          <w:sz w:val="32"/>
          <w:szCs w:val="32"/>
        </w:rPr>
        <w:t>全年</w:t>
      </w:r>
      <w:r>
        <w:rPr>
          <w:rFonts w:ascii="仿宋" w:eastAsia="仿宋" w:hAnsi="仿宋" w:hint="eastAsia"/>
          <w:snapToGrid w:val="0"/>
          <w:kern w:val="0"/>
          <w:sz w:val="32"/>
          <w:szCs w:val="32"/>
        </w:rPr>
        <w:t>办理大病医疗救助申请</w:t>
      </w:r>
      <w:r>
        <w:rPr>
          <w:rFonts w:ascii="仿宋" w:eastAsia="仿宋" w:hAnsi="仿宋"/>
          <w:snapToGrid w:val="0"/>
          <w:kern w:val="0"/>
          <w:sz w:val="32"/>
          <w:szCs w:val="32"/>
        </w:rPr>
        <w:t>15</w:t>
      </w:r>
      <w:r>
        <w:rPr>
          <w:rFonts w:ascii="仿宋" w:eastAsia="仿宋" w:hAnsi="仿宋" w:hint="eastAsia"/>
          <w:snapToGrid w:val="0"/>
          <w:kern w:val="0"/>
          <w:sz w:val="32"/>
          <w:szCs w:val="32"/>
        </w:rPr>
        <w:t>人次，救助金额</w:t>
      </w:r>
      <w:r>
        <w:rPr>
          <w:rFonts w:ascii="仿宋" w:eastAsia="仿宋" w:hAnsi="仿宋"/>
          <w:snapToGrid w:val="0"/>
          <w:kern w:val="0"/>
          <w:sz w:val="32"/>
          <w:szCs w:val="32"/>
        </w:rPr>
        <w:t>4.3</w:t>
      </w:r>
      <w:r>
        <w:rPr>
          <w:rFonts w:ascii="仿宋" w:eastAsia="仿宋" w:hAnsi="仿宋" w:hint="eastAsia"/>
          <w:snapToGrid w:val="0"/>
          <w:kern w:val="0"/>
          <w:sz w:val="32"/>
          <w:szCs w:val="32"/>
        </w:rPr>
        <w:t>万余元；民政临时困难救助</w:t>
      </w:r>
      <w:r>
        <w:rPr>
          <w:rFonts w:ascii="仿宋" w:eastAsia="仿宋" w:hAnsi="仿宋"/>
          <w:snapToGrid w:val="0"/>
          <w:kern w:val="0"/>
          <w:sz w:val="32"/>
          <w:szCs w:val="32"/>
        </w:rPr>
        <w:t>40</w:t>
      </w:r>
      <w:r>
        <w:rPr>
          <w:rFonts w:ascii="仿宋" w:eastAsia="仿宋" w:hAnsi="仿宋" w:hint="eastAsia"/>
          <w:snapToGrid w:val="0"/>
          <w:kern w:val="0"/>
          <w:sz w:val="32"/>
          <w:szCs w:val="32"/>
        </w:rPr>
        <w:t>余人次，救助金额</w:t>
      </w:r>
      <w:r>
        <w:rPr>
          <w:rFonts w:ascii="仿宋" w:eastAsia="仿宋" w:hAnsi="仿宋"/>
          <w:snapToGrid w:val="0"/>
          <w:kern w:val="0"/>
          <w:sz w:val="32"/>
          <w:szCs w:val="32"/>
        </w:rPr>
        <w:t>8</w:t>
      </w:r>
      <w:r>
        <w:rPr>
          <w:rFonts w:ascii="仿宋" w:eastAsia="仿宋" w:hAnsi="仿宋" w:hint="eastAsia"/>
          <w:snapToGrid w:val="0"/>
          <w:kern w:val="0"/>
          <w:sz w:val="32"/>
          <w:szCs w:val="32"/>
        </w:rPr>
        <w:t>万元；困难残疾人生活补贴</w:t>
      </w:r>
      <w:r>
        <w:rPr>
          <w:rFonts w:ascii="仿宋" w:eastAsia="仿宋" w:hAnsi="仿宋"/>
          <w:snapToGrid w:val="0"/>
          <w:kern w:val="0"/>
          <w:sz w:val="32"/>
          <w:szCs w:val="32"/>
        </w:rPr>
        <w:t>87</w:t>
      </w:r>
      <w:r>
        <w:rPr>
          <w:rFonts w:ascii="仿宋" w:eastAsia="仿宋" w:hAnsi="仿宋" w:hint="eastAsia"/>
          <w:snapToGrid w:val="0"/>
          <w:kern w:val="0"/>
          <w:sz w:val="32"/>
          <w:szCs w:val="32"/>
        </w:rPr>
        <w:t>人，补贴金额10万余元；绿色惠民殡葬政策</w:t>
      </w:r>
      <w:r>
        <w:rPr>
          <w:rFonts w:ascii="仿宋" w:eastAsia="仿宋" w:hAnsi="仿宋"/>
          <w:snapToGrid w:val="0"/>
          <w:kern w:val="0"/>
          <w:sz w:val="32"/>
          <w:szCs w:val="32"/>
        </w:rPr>
        <w:t>51</w:t>
      </w:r>
      <w:r>
        <w:rPr>
          <w:rFonts w:ascii="仿宋" w:eastAsia="仿宋" w:hAnsi="仿宋" w:hint="eastAsia"/>
          <w:snapToGrid w:val="0"/>
          <w:kern w:val="0"/>
          <w:sz w:val="32"/>
          <w:szCs w:val="32"/>
        </w:rPr>
        <w:t>人，发放金额</w:t>
      </w:r>
      <w:r>
        <w:rPr>
          <w:rFonts w:ascii="仿宋" w:eastAsia="仿宋" w:hAnsi="仿宋"/>
          <w:snapToGrid w:val="0"/>
          <w:kern w:val="0"/>
          <w:sz w:val="32"/>
          <w:szCs w:val="32"/>
        </w:rPr>
        <w:t>2.5</w:t>
      </w:r>
      <w:r>
        <w:rPr>
          <w:rFonts w:ascii="仿宋" w:eastAsia="仿宋" w:hAnsi="仿宋" w:hint="eastAsia"/>
          <w:snapToGrid w:val="0"/>
          <w:kern w:val="0"/>
          <w:sz w:val="32"/>
          <w:szCs w:val="32"/>
        </w:rPr>
        <w:t>万元。</w:t>
      </w:r>
      <w:r>
        <w:rPr>
          <w:rFonts w:ascii="仿宋" w:eastAsia="仿宋" w:hAnsi="仿宋" w:hint="eastAsia"/>
          <w:b/>
          <w:bCs/>
          <w:snapToGrid w:val="0"/>
          <w:kern w:val="0"/>
          <w:sz w:val="32"/>
          <w:szCs w:val="32"/>
        </w:rPr>
        <w:t>三是教育事业发展活力增强。</w:t>
      </w:r>
      <w:r>
        <w:rPr>
          <w:rFonts w:ascii="仿宋" w:eastAsia="仿宋" w:hAnsi="仿宋" w:hint="eastAsia"/>
          <w:snapToGrid w:val="0"/>
          <w:kern w:val="0"/>
          <w:sz w:val="32"/>
          <w:szCs w:val="32"/>
        </w:rPr>
        <w:t>受理教育扶贫救助基金学生资助申请</w:t>
      </w:r>
      <w:r>
        <w:rPr>
          <w:rFonts w:ascii="仿宋" w:eastAsia="仿宋" w:hAnsi="仿宋"/>
          <w:snapToGrid w:val="0"/>
          <w:kern w:val="0"/>
          <w:sz w:val="32"/>
          <w:szCs w:val="32"/>
        </w:rPr>
        <w:t>1</w:t>
      </w:r>
      <w:r>
        <w:rPr>
          <w:rFonts w:ascii="仿宋" w:eastAsia="仿宋" w:hAnsi="仿宋" w:hint="eastAsia"/>
          <w:snapToGrid w:val="0"/>
          <w:kern w:val="0"/>
          <w:sz w:val="32"/>
          <w:szCs w:val="32"/>
        </w:rPr>
        <w:t>人，做好夏季暑假期间学生防溺水宣传，完成华山路、五洲社区省级儿童之家的创建工作。</w:t>
      </w:r>
      <w:r>
        <w:rPr>
          <w:rFonts w:ascii="仿宋" w:eastAsia="仿宋" w:hAnsi="仿宋" w:hint="eastAsia"/>
          <w:b/>
          <w:bCs/>
          <w:snapToGrid w:val="0"/>
          <w:kern w:val="0"/>
          <w:sz w:val="32"/>
          <w:szCs w:val="32"/>
        </w:rPr>
        <w:t>四是计生卫生服务水平提升。</w:t>
      </w:r>
      <w:r>
        <w:rPr>
          <w:rFonts w:ascii="仿宋" w:eastAsia="仿宋" w:hAnsi="仿宋" w:hint="eastAsia"/>
          <w:snapToGrid w:val="0"/>
          <w:kern w:val="0"/>
          <w:sz w:val="32"/>
          <w:szCs w:val="32"/>
        </w:rPr>
        <w:t>持续进行全面放开三孩政策宣传，落实孕前优生健康检查</w:t>
      </w:r>
      <w:r>
        <w:rPr>
          <w:rFonts w:ascii="仿宋" w:eastAsia="仿宋" w:hAnsi="仿宋"/>
          <w:snapToGrid w:val="0"/>
          <w:kern w:val="0"/>
          <w:sz w:val="32"/>
          <w:szCs w:val="32"/>
        </w:rPr>
        <w:t>183</w:t>
      </w:r>
      <w:r>
        <w:rPr>
          <w:rFonts w:ascii="仿宋" w:eastAsia="仿宋" w:hAnsi="仿宋" w:hint="eastAsia"/>
          <w:snapToGrid w:val="0"/>
          <w:kern w:val="0"/>
          <w:sz w:val="32"/>
          <w:szCs w:val="32"/>
        </w:rPr>
        <w:t>人，各类计划生育奖励扶助</w:t>
      </w:r>
      <w:r>
        <w:rPr>
          <w:rFonts w:ascii="仿宋" w:eastAsia="仿宋" w:hAnsi="仿宋"/>
          <w:snapToGrid w:val="0"/>
          <w:kern w:val="0"/>
          <w:sz w:val="32"/>
          <w:szCs w:val="32"/>
        </w:rPr>
        <w:t>417</w:t>
      </w:r>
      <w:r>
        <w:rPr>
          <w:rFonts w:ascii="仿宋" w:eastAsia="仿宋" w:hAnsi="仿宋" w:hint="eastAsia"/>
          <w:snapToGrid w:val="0"/>
          <w:kern w:val="0"/>
          <w:sz w:val="32"/>
          <w:szCs w:val="32"/>
        </w:rPr>
        <w:t>人。开展慢性病防治、艾滋病防治活动1次，尘肺病随访</w:t>
      </w:r>
      <w:r>
        <w:rPr>
          <w:rFonts w:ascii="仿宋" w:eastAsia="仿宋" w:hAnsi="仿宋"/>
          <w:snapToGrid w:val="0"/>
          <w:kern w:val="0"/>
          <w:sz w:val="32"/>
          <w:szCs w:val="32"/>
        </w:rPr>
        <w:t>调查</w:t>
      </w:r>
      <w:r>
        <w:rPr>
          <w:rFonts w:ascii="仿宋" w:eastAsia="仿宋" w:hAnsi="仿宋" w:hint="eastAsia"/>
          <w:snapToGrid w:val="0"/>
          <w:kern w:val="0"/>
          <w:sz w:val="32"/>
          <w:szCs w:val="32"/>
        </w:rPr>
        <w:t>入户</w:t>
      </w:r>
      <w:r>
        <w:rPr>
          <w:rFonts w:ascii="仿宋" w:eastAsia="仿宋" w:hAnsi="仿宋"/>
          <w:snapToGrid w:val="0"/>
          <w:kern w:val="0"/>
          <w:sz w:val="32"/>
          <w:szCs w:val="32"/>
        </w:rPr>
        <w:t>核查</w:t>
      </w:r>
      <w:r>
        <w:rPr>
          <w:rFonts w:ascii="仿宋" w:eastAsia="仿宋" w:hAnsi="仿宋" w:hint="eastAsia"/>
          <w:snapToGrid w:val="0"/>
          <w:kern w:val="0"/>
          <w:sz w:val="32"/>
          <w:szCs w:val="32"/>
        </w:rPr>
        <w:t>2次，联合卫生服务中心开展义诊6次，发放宣传资料</w:t>
      </w:r>
      <w:r>
        <w:rPr>
          <w:rFonts w:ascii="仿宋" w:eastAsia="仿宋" w:hAnsi="仿宋"/>
          <w:snapToGrid w:val="0"/>
          <w:kern w:val="0"/>
          <w:sz w:val="32"/>
          <w:szCs w:val="32"/>
        </w:rPr>
        <w:t>1000</w:t>
      </w:r>
      <w:r>
        <w:rPr>
          <w:rFonts w:ascii="仿宋" w:eastAsia="仿宋" w:hAnsi="仿宋" w:hint="eastAsia"/>
          <w:snapToGrid w:val="0"/>
          <w:kern w:val="0"/>
          <w:sz w:val="32"/>
          <w:szCs w:val="32"/>
        </w:rPr>
        <w:t>余份。</w:t>
      </w:r>
      <w:r>
        <w:rPr>
          <w:rFonts w:ascii="仿宋" w:eastAsia="仿宋" w:hAnsi="仿宋" w:hint="eastAsia"/>
          <w:b/>
          <w:bCs/>
          <w:snapToGrid w:val="0"/>
          <w:kern w:val="0"/>
          <w:sz w:val="32"/>
          <w:szCs w:val="32"/>
        </w:rPr>
        <w:t>五是老年友好型社区工作模式逐步建立。</w:t>
      </w:r>
      <w:r>
        <w:rPr>
          <w:rFonts w:ascii="仿宋" w:eastAsia="仿宋" w:hAnsi="仿宋" w:hint="eastAsia"/>
          <w:snapToGrid w:val="0"/>
          <w:kern w:val="0"/>
          <w:sz w:val="32"/>
          <w:szCs w:val="32"/>
        </w:rPr>
        <w:t>申报辖区高龄老人补贴334人，完成九华社区“利州区老年综合服务体系”配套设施改造，更好满足老年人在居住环境、日常出行、健康服务、养老服务、社会参与、精神文化生活等方面的需要。</w:t>
      </w:r>
      <w:r>
        <w:rPr>
          <w:rFonts w:ascii="仿宋" w:eastAsia="仿宋" w:hAnsi="仿宋" w:hint="eastAsia"/>
          <w:b/>
          <w:bCs/>
          <w:snapToGrid w:val="0"/>
          <w:kern w:val="0"/>
          <w:sz w:val="32"/>
          <w:szCs w:val="32"/>
        </w:rPr>
        <w:t>六是退役军人事务工作提档升级。</w:t>
      </w:r>
      <w:r>
        <w:rPr>
          <w:rFonts w:ascii="仿宋" w:eastAsia="仿宋" w:hAnsi="仿宋" w:hint="eastAsia"/>
          <w:snapToGrid w:val="0"/>
          <w:kern w:val="0"/>
          <w:sz w:val="32"/>
          <w:szCs w:val="32"/>
        </w:rPr>
        <w:t>认真抓好全办老复退军人、革命伤残人员的优待抚恤和定期生活补助发放工作，做好辖区部分退役军人社保接续，为符合政策的18人完成补缴个人自付部分。完成五洲社区退役军人服务站打造，建成退役军人关爱超市。</w:t>
      </w:r>
    </w:p>
    <w:p>
      <w:pPr>
        <w:overflowPunct w:val="0"/>
        <w:adjustRightInd w:val="0"/>
        <w:snapToGrid w:val="0"/>
        <w:spacing w:line="576" w:lineRule="exact"/>
        <w:ind w:firstLineChars="200" w:firstLine="640"/>
        <w:rPr>
          <w:rFonts w:ascii="仿宋" w:eastAsia="仿宋" w:cs="楷体_GB2312" w:hAnsi="仿宋"/>
          <w:b/>
          <w:bCs/>
          <w:snapToGrid w:val="0"/>
          <w:kern w:val="0"/>
          <w:sz w:val="32"/>
          <w:szCs w:val="32"/>
        </w:rPr>
      </w:pPr>
      <w:r>
        <w:rPr>
          <w:rFonts w:ascii="仿宋" w:eastAsia="仿宋" w:cs="楷体_GB2312" w:hAnsi="仿宋" w:hint="eastAsia"/>
          <w:b/>
          <w:bCs/>
          <w:snapToGrid w:val="0"/>
          <w:kern w:val="0"/>
          <w:sz w:val="32"/>
          <w:szCs w:val="32"/>
        </w:rPr>
        <w:t>4.坚持群策群力群治，保护“绿水青山”好生态</w:t>
      </w:r>
    </w:p>
    <w:p>
      <w:pPr>
        <w:overflowPunct w:val="0"/>
        <w:adjustRightInd w:val="0"/>
        <w:snapToGrid w:val="0"/>
        <w:spacing w:line="576" w:lineRule="exact"/>
        <w:ind w:firstLineChars="200" w:firstLine="640"/>
        <w:rPr>
          <w:rFonts w:ascii="仿宋" w:eastAsia="仿宋" w:hAnsi="仿宋"/>
          <w:snapToGrid w:val="0"/>
          <w:kern w:val="0"/>
          <w:sz w:val="32"/>
          <w:szCs w:val="32"/>
        </w:rPr>
      </w:pPr>
      <w:r>
        <w:rPr>
          <w:rFonts w:ascii="仿宋" w:eastAsia="仿宋" w:hAnsi="仿宋" w:hint="eastAsia"/>
          <w:b/>
          <w:bCs/>
          <w:snapToGrid w:val="0"/>
          <w:kern w:val="0"/>
          <w:sz w:val="32"/>
          <w:szCs w:val="32"/>
        </w:rPr>
        <w:t>一是抓实环境卫生整治。</w:t>
      </w:r>
      <w:r>
        <w:rPr>
          <w:rFonts w:ascii="仿宋" w:eastAsia="仿宋" w:hAnsi="仿宋" w:hint="eastAsia"/>
          <w:snapToGrid w:val="0"/>
          <w:kern w:val="0"/>
          <w:sz w:val="32"/>
          <w:szCs w:val="32"/>
        </w:rPr>
        <w:t>围绕物业小区、开放式小区和背街小巷重点区域，找准整治短板难点，客观分析研判，以牛皮癣治理、占道经营门前五包、房前屋后清杂去乱、病媒生物除四害、督查督办等为抓手</w:t>
      </w:r>
      <w:r>
        <w:rPr>
          <w:rFonts w:ascii="仿宋" w:eastAsia="仿宋" w:cs="方正仿宋简体" w:hAnsi="仿宋" w:hint="eastAsia"/>
          <w:b/>
          <w:bCs/>
          <w:snapToGrid w:val="0"/>
          <w:kern w:val="0"/>
          <w:sz w:val="32"/>
          <w:szCs w:val="32"/>
        </w:rPr>
        <w:t>，</w:t>
      </w:r>
      <w:r>
        <w:rPr>
          <w:rFonts w:ascii="仿宋" w:eastAsia="仿宋" w:hAnsi="仿宋" w:hint="eastAsia"/>
          <w:snapToGrid w:val="0"/>
          <w:kern w:val="0"/>
          <w:sz w:val="32"/>
          <w:szCs w:val="32"/>
        </w:rPr>
        <w:t>持续</w:t>
      </w:r>
      <w:r>
        <w:rPr>
          <w:rFonts w:ascii="仿宋" w:eastAsia="仿宋" w:cs="仿宋_GB2312" w:hAnsi="仿宋" w:hint="eastAsia"/>
          <w:snapToGrid w:val="0"/>
          <w:kern w:val="0"/>
          <w:sz w:val="32"/>
          <w:szCs w:val="32"/>
        </w:rPr>
        <w:t>巩固国家卫生城市创建成果，顺利迎接国卫复审。</w:t>
      </w:r>
      <w:r>
        <w:rPr>
          <w:rFonts w:ascii="仿宋" w:eastAsia="仿宋" w:cs="仿宋" w:hAnsi="仿宋" w:hint="eastAsia"/>
          <w:snapToGrid w:val="0"/>
          <w:kern w:val="0"/>
          <w:sz w:val="32"/>
          <w:szCs w:val="32"/>
        </w:rPr>
        <w:t>农村垃圾处理覆盖率达100%，</w:t>
      </w:r>
      <w:r>
        <w:rPr>
          <w:rFonts w:ascii="仿宋" w:eastAsia="仿宋" w:cs="仿宋_GB2312" w:hAnsi="仿宋" w:hint="eastAsia"/>
          <w:snapToGrid w:val="0"/>
          <w:kern w:val="0"/>
          <w:sz w:val="32"/>
          <w:szCs w:val="32"/>
        </w:rPr>
        <w:t>农村卫生厕所普及率达</w:t>
      </w:r>
      <w:r>
        <w:rPr>
          <w:rFonts w:ascii="仿宋" w:eastAsia="仿宋" w:cs="仿宋_GB2312" w:hAnsi="仿宋"/>
          <w:snapToGrid w:val="0"/>
          <w:kern w:val="0"/>
          <w:sz w:val="32"/>
          <w:szCs w:val="32"/>
        </w:rPr>
        <w:t>95%</w:t>
      </w:r>
      <w:r>
        <w:rPr>
          <w:rFonts w:ascii="仿宋" w:eastAsia="仿宋" w:cs="仿宋_GB2312" w:hAnsi="仿宋" w:hint="eastAsia"/>
          <w:snapToGrid w:val="0"/>
          <w:kern w:val="0"/>
          <w:sz w:val="32"/>
          <w:szCs w:val="32"/>
        </w:rPr>
        <w:t>，</w:t>
      </w:r>
      <w:r>
        <w:rPr>
          <w:rFonts w:ascii="仿宋" w:eastAsia="仿宋" w:cs="仿宋_GB2312" w:hAnsi="仿宋" w:hint="eastAsia"/>
          <w:snapToGrid w:val="0"/>
          <w:kern w:val="0"/>
          <w:sz w:val="32"/>
          <w:szCs w:val="32"/>
          <w:lang w:val="zh-CN"/>
        </w:rPr>
        <w:t>人居环境</w:t>
      </w:r>
      <w:r>
        <w:rPr>
          <w:rFonts w:ascii="仿宋" w:eastAsia="仿宋" w:cs="仿宋_GB2312" w:hAnsi="仿宋" w:hint="eastAsia"/>
          <w:snapToGrid w:val="0"/>
          <w:kern w:val="0"/>
          <w:sz w:val="32"/>
          <w:szCs w:val="32"/>
        </w:rPr>
        <w:t>持续改善。</w:t>
      </w:r>
      <w:r>
        <w:rPr>
          <w:rFonts w:ascii="仿宋" w:eastAsia="仿宋" w:cs="仿宋_GB2312" w:hAnsi="仿宋" w:hint="eastAsia"/>
          <w:b/>
          <w:bCs/>
          <w:snapToGrid w:val="0"/>
          <w:kern w:val="0"/>
          <w:sz w:val="32"/>
          <w:szCs w:val="32"/>
        </w:rPr>
        <w:t>二是抓实生活垃圾分类。</w:t>
      </w:r>
      <w:r>
        <w:rPr>
          <w:rFonts w:ascii="仿宋" w:eastAsia="仿宋" w:cs="仿宋_GB2312" w:hAnsi="仿宋" w:hint="eastAsia"/>
          <w:snapToGrid w:val="0"/>
          <w:kern w:val="0"/>
          <w:sz w:val="32"/>
          <w:szCs w:val="32"/>
        </w:rPr>
        <w:t>机关生活垃圾分类、智慧家居馆生活垃圾分类收拣点等示范点位，迎接省、其他地市考察参观学习</w:t>
      </w:r>
      <w:r>
        <w:rPr>
          <w:rFonts w:ascii="仿宋" w:eastAsia="仿宋" w:cs="仿宋_GB2312" w:hAnsi="仿宋"/>
          <w:snapToGrid w:val="0"/>
          <w:kern w:val="0"/>
          <w:sz w:val="32"/>
          <w:szCs w:val="32"/>
        </w:rPr>
        <w:t>20</w:t>
      </w:r>
      <w:r>
        <w:rPr>
          <w:rFonts w:ascii="仿宋" w:eastAsia="仿宋" w:cs="仿宋_GB2312" w:hAnsi="仿宋" w:hint="eastAsia"/>
          <w:snapToGrid w:val="0"/>
          <w:kern w:val="0"/>
          <w:sz w:val="32"/>
          <w:szCs w:val="32"/>
        </w:rPr>
        <w:t>余次。</w:t>
      </w:r>
      <w:r>
        <w:rPr>
          <w:rFonts w:ascii="仿宋" w:eastAsia="仿宋" w:cs="仿宋_GB2312" w:hAnsi="仿宋" w:hint="eastAsia"/>
          <w:b/>
          <w:bCs/>
          <w:snapToGrid w:val="0"/>
          <w:kern w:val="0"/>
          <w:sz w:val="32"/>
          <w:szCs w:val="32"/>
        </w:rPr>
        <w:t>三是</w:t>
      </w:r>
      <w:r>
        <w:rPr>
          <w:rFonts w:ascii="仿宋" w:eastAsia="仿宋" w:hAnsi="仿宋" w:hint="eastAsia"/>
          <w:b/>
          <w:bCs/>
          <w:snapToGrid w:val="0"/>
          <w:kern w:val="0"/>
          <w:sz w:val="32"/>
          <w:szCs w:val="32"/>
        </w:rPr>
        <w:t>抓实“河长制”工作。</w:t>
      </w:r>
      <w:r>
        <w:rPr>
          <w:rFonts w:ascii="仿宋" w:eastAsia="仿宋" w:cs="仿宋_GB2312" w:hAnsi="仿宋" w:hint="eastAsia"/>
          <w:snapToGrid w:val="0"/>
          <w:kern w:val="0"/>
          <w:sz w:val="32"/>
          <w:szCs w:val="32"/>
        </w:rPr>
        <w:t>完善河库管理责任体系，</w:t>
      </w:r>
      <w:r>
        <w:rPr>
          <w:rFonts w:ascii="仿宋" w:eastAsia="仿宋" w:cs="仿宋_GB2312" w:hAnsi="仿宋" w:hint="eastAsia"/>
          <w:snapToGrid w:val="0"/>
          <w:kern w:val="0"/>
          <w:sz w:val="32"/>
          <w:szCs w:val="32"/>
          <w:lang w:val="zh-CN"/>
        </w:rPr>
        <w:t>对辖区</w:t>
      </w:r>
      <w:r>
        <w:rPr>
          <w:rFonts w:ascii="仿宋" w:eastAsia="仿宋" w:cs="仿宋_GB2312" w:hAnsi="仿宋"/>
          <w:snapToGrid w:val="0"/>
          <w:kern w:val="0"/>
          <w:sz w:val="32"/>
          <w:szCs w:val="32"/>
          <w:lang w:val="zh-CN"/>
        </w:rPr>
        <w:t>2</w:t>
      </w:r>
      <w:r>
        <w:rPr>
          <w:rFonts w:ascii="仿宋" w:eastAsia="仿宋" w:cs="仿宋_GB2312" w:hAnsi="仿宋" w:hint="eastAsia"/>
          <w:snapToGrid w:val="0"/>
          <w:kern w:val="0"/>
          <w:sz w:val="32"/>
          <w:szCs w:val="32"/>
          <w:lang w:val="zh-CN"/>
        </w:rPr>
        <w:t>河</w:t>
      </w:r>
      <w:r>
        <w:rPr>
          <w:rFonts w:ascii="仿宋" w:eastAsia="仿宋" w:cs="仿宋_GB2312" w:hAnsi="仿宋"/>
          <w:snapToGrid w:val="0"/>
          <w:kern w:val="0"/>
          <w:sz w:val="32"/>
          <w:szCs w:val="32"/>
          <w:lang w:val="zh-CN"/>
        </w:rPr>
        <w:t>2</w:t>
      </w:r>
      <w:r>
        <w:rPr>
          <w:rFonts w:ascii="仿宋" w:eastAsia="仿宋" w:cs="仿宋_GB2312" w:hAnsi="仿宋" w:hint="eastAsia"/>
          <w:snapToGrid w:val="0"/>
          <w:kern w:val="0"/>
          <w:sz w:val="32"/>
          <w:szCs w:val="32"/>
          <w:lang w:val="zh-CN"/>
        </w:rPr>
        <w:t>库</w:t>
      </w:r>
      <w:r>
        <w:rPr>
          <w:rFonts w:ascii="仿宋" w:eastAsia="仿宋" w:cs="仿宋_GB2312" w:hAnsi="仿宋"/>
          <w:snapToGrid w:val="0"/>
          <w:kern w:val="0"/>
          <w:sz w:val="32"/>
          <w:szCs w:val="32"/>
        </w:rPr>
        <w:t>16</w:t>
      </w:r>
      <w:r>
        <w:rPr>
          <w:rFonts w:ascii="仿宋" w:eastAsia="仿宋" w:cs="仿宋_GB2312" w:hAnsi="仿宋" w:hint="eastAsia"/>
          <w:snapToGrid w:val="0"/>
          <w:kern w:val="0"/>
          <w:sz w:val="32"/>
          <w:szCs w:val="32"/>
          <w:lang w:val="zh-CN"/>
        </w:rPr>
        <w:t>塘</w:t>
      </w:r>
      <w:r>
        <w:rPr>
          <w:rFonts w:ascii="仿宋" w:eastAsia="仿宋" w:cs="仿宋_GB2312" w:hAnsi="仿宋" w:hint="eastAsia"/>
          <w:snapToGrid w:val="0"/>
          <w:kern w:val="0"/>
          <w:sz w:val="32"/>
          <w:szCs w:val="32"/>
        </w:rPr>
        <w:t>常态化开展巡查督查和“四乱”整治，辖区水资源生态环境得到有效保护</w:t>
      </w:r>
      <w:r>
        <w:rPr>
          <w:rFonts w:ascii="仿宋" w:eastAsia="仿宋" w:cs="仿宋_GB2312" w:hAnsi="仿宋" w:hint="eastAsia"/>
          <w:snapToGrid w:val="0"/>
          <w:kern w:val="0"/>
          <w:sz w:val="32"/>
          <w:szCs w:val="32"/>
          <w:lang w:val="zh-CN"/>
        </w:rPr>
        <w:t>。</w:t>
      </w:r>
      <w:r>
        <w:rPr>
          <w:rFonts w:ascii="仿宋" w:eastAsia="仿宋" w:cs="仿宋_GB2312" w:hAnsi="仿宋" w:hint="eastAsia"/>
          <w:b/>
          <w:bCs/>
          <w:snapToGrid w:val="0"/>
          <w:kern w:val="0"/>
          <w:sz w:val="32"/>
          <w:szCs w:val="32"/>
          <w:lang w:val="zh-CN"/>
        </w:rPr>
        <w:t>四是抓实生态环境保护。</w:t>
      </w:r>
      <w:r>
        <w:rPr>
          <w:rFonts w:ascii="仿宋" w:eastAsia="仿宋" w:cs="仿宋_GB2312" w:hAnsi="仿宋" w:hint="eastAsia"/>
          <w:snapToGrid w:val="0"/>
          <w:kern w:val="0"/>
          <w:sz w:val="32"/>
          <w:szCs w:val="32"/>
          <w:lang w:val="zh-CN"/>
        </w:rPr>
        <w:t>对</w:t>
      </w:r>
      <w:r>
        <w:rPr>
          <w:rFonts w:ascii="仿宋" w:eastAsia="仿宋" w:cs="仿宋_GB2312" w:hAnsi="仿宋" w:hint="eastAsia"/>
          <w:snapToGrid w:val="0"/>
          <w:kern w:val="0"/>
          <w:sz w:val="32"/>
          <w:szCs w:val="32"/>
        </w:rPr>
        <w:t>环保督察问题</w:t>
      </w:r>
      <w:r>
        <w:rPr>
          <w:rFonts w:ascii="仿宋" w:eastAsia="仿宋" w:cs="仿宋_GB2312" w:hAnsi="仿宋"/>
          <w:snapToGrid w:val="0"/>
          <w:kern w:val="0"/>
          <w:sz w:val="32"/>
          <w:szCs w:val="32"/>
        </w:rPr>
        <w:t>27</w:t>
      </w:r>
      <w:r>
        <w:rPr>
          <w:rFonts w:ascii="仿宋" w:eastAsia="仿宋" w:cs="仿宋_GB2312" w:hAnsi="仿宋" w:hint="eastAsia"/>
          <w:snapToGrid w:val="0"/>
          <w:kern w:val="0"/>
          <w:sz w:val="32"/>
          <w:szCs w:val="32"/>
        </w:rPr>
        <w:t>件全覆盖开展“回头看”，常态化抓好畜禽养殖场、散乱污企业、非煤矿山等重点领域环保问题排查整改。</w:t>
      </w:r>
      <w:r>
        <w:rPr>
          <w:rFonts w:ascii="仿宋" w:eastAsia="仿宋" w:cs="仿宋_GB2312" w:hAnsi="仿宋" w:hint="eastAsia"/>
          <w:b/>
          <w:bCs/>
          <w:snapToGrid w:val="0"/>
          <w:kern w:val="0"/>
          <w:sz w:val="32"/>
          <w:szCs w:val="32"/>
        </w:rPr>
        <w:t>五是</w:t>
      </w:r>
      <w:r>
        <w:rPr>
          <w:rFonts w:ascii="仿宋" w:eastAsia="仿宋" w:hAnsi="仿宋" w:hint="eastAsia"/>
          <w:b/>
          <w:bCs/>
          <w:snapToGrid w:val="0"/>
          <w:kern w:val="0"/>
          <w:sz w:val="32"/>
          <w:szCs w:val="32"/>
        </w:rPr>
        <w:t>抓实森林资源发展。</w:t>
      </w:r>
      <w:r>
        <w:rPr>
          <w:rFonts w:ascii="仿宋" w:eastAsia="仿宋" w:cs="仿宋_GB2312" w:hAnsi="仿宋" w:hint="eastAsia"/>
          <w:snapToGrid w:val="0"/>
          <w:kern w:val="0"/>
          <w:sz w:val="32"/>
          <w:szCs w:val="32"/>
        </w:rPr>
        <w:t>扎实做好退耕还林工作，退耕面积保存率达</w:t>
      </w:r>
      <w:r>
        <w:rPr>
          <w:rFonts w:ascii="仿宋" w:eastAsia="仿宋" w:cs="仿宋_GB2312" w:hAnsi="仿宋"/>
          <w:snapToGrid w:val="0"/>
          <w:kern w:val="0"/>
          <w:sz w:val="32"/>
          <w:szCs w:val="32"/>
        </w:rPr>
        <w:t>90%</w:t>
      </w:r>
      <w:r>
        <w:rPr>
          <w:rFonts w:ascii="仿宋" w:eastAsia="仿宋" w:cs="仿宋_GB2312" w:hAnsi="仿宋" w:hint="eastAsia"/>
          <w:snapToGrid w:val="0"/>
          <w:kern w:val="0"/>
          <w:sz w:val="32"/>
          <w:szCs w:val="32"/>
        </w:rPr>
        <w:t>以上。开展</w:t>
      </w:r>
      <w:r>
        <w:rPr>
          <w:rFonts w:ascii="仿宋" w:eastAsia="仿宋" w:cs="仿宋_GB2312" w:hAnsi="仿宋" w:hint="eastAsia"/>
          <w:snapToGrid w:val="0"/>
          <w:kern w:val="0"/>
          <w:sz w:val="32"/>
          <w:szCs w:val="32"/>
          <w:lang w:val="zh-CN"/>
        </w:rPr>
        <w:t>义务</w:t>
      </w:r>
      <w:r>
        <w:rPr>
          <w:rFonts w:ascii="仿宋" w:eastAsia="仿宋" w:cs="仿宋_GB2312" w:hAnsi="仿宋" w:hint="eastAsia"/>
          <w:snapToGrid w:val="0"/>
          <w:kern w:val="0"/>
          <w:sz w:val="32"/>
          <w:szCs w:val="32"/>
        </w:rPr>
        <w:t>植树</w:t>
      </w:r>
      <w:r>
        <w:rPr>
          <w:rFonts w:ascii="仿宋" w:eastAsia="仿宋" w:cs="仿宋_GB2312" w:hAnsi="仿宋"/>
          <w:snapToGrid w:val="0"/>
          <w:kern w:val="0"/>
          <w:sz w:val="32"/>
          <w:szCs w:val="32"/>
          <w:lang w:val="zh-CN"/>
        </w:rPr>
        <w:t>1</w:t>
      </w:r>
      <w:r>
        <w:rPr>
          <w:rFonts w:ascii="仿宋" w:eastAsia="仿宋" w:cs="仿宋_GB2312" w:hAnsi="仿宋" w:hint="eastAsia"/>
          <w:snapToGrid w:val="0"/>
          <w:kern w:val="0"/>
          <w:sz w:val="32"/>
          <w:szCs w:val="32"/>
          <w:lang w:val="zh-CN"/>
        </w:rPr>
        <w:t>万余株，</w:t>
      </w:r>
      <w:r>
        <w:rPr>
          <w:rFonts w:ascii="仿宋" w:eastAsia="仿宋" w:cs="仿宋_GB2312" w:hAnsi="仿宋" w:hint="eastAsia"/>
          <w:snapToGrid w:val="0"/>
          <w:kern w:val="0"/>
          <w:sz w:val="32"/>
          <w:szCs w:val="32"/>
        </w:rPr>
        <w:t>完成</w:t>
      </w:r>
      <w:r>
        <w:rPr>
          <w:rFonts w:ascii="仿宋" w:eastAsia="仿宋" w:cs="仿宋_GB2312" w:hAnsi="仿宋" w:hint="eastAsia"/>
          <w:snapToGrid w:val="0"/>
          <w:kern w:val="0"/>
          <w:sz w:val="32"/>
          <w:szCs w:val="32"/>
          <w:lang w:val="zh-CN"/>
        </w:rPr>
        <w:t>造林</w:t>
      </w:r>
      <w:r>
        <w:rPr>
          <w:rFonts w:ascii="仿宋" w:eastAsia="仿宋" w:cs="仿宋_GB2312" w:hAnsi="仿宋"/>
          <w:snapToGrid w:val="0"/>
          <w:kern w:val="0"/>
          <w:sz w:val="32"/>
          <w:szCs w:val="32"/>
        </w:rPr>
        <w:t>150</w:t>
      </w:r>
      <w:r>
        <w:rPr>
          <w:rFonts w:ascii="仿宋" w:eastAsia="仿宋" w:cs="仿宋_GB2312" w:hAnsi="仿宋" w:hint="eastAsia"/>
          <w:snapToGrid w:val="0"/>
          <w:kern w:val="0"/>
          <w:sz w:val="32"/>
          <w:szCs w:val="32"/>
        </w:rPr>
        <w:t>亩，有效保护和促进辖区森林资源发展。</w:t>
      </w:r>
    </w:p>
    <w:p>
      <w:pPr>
        <w:overflowPunct w:val="0"/>
        <w:adjustRightInd w:val="0"/>
        <w:snapToGrid w:val="0"/>
        <w:spacing w:line="576" w:lineRule="exact"/>
        <w:ind w:firstLineChars="200" w:firstLine="640"/>
        <w:rPr>
          <w:rFonts w:ascii="仿宋" w:eastAsia="仿宋" w:cs="楷体_GB2312" w:hAnsi="仿宋"/>
          <w:b/>
          <w:bCs/>
          <w:snapToGrid w:val="0"/>
          <w:kern w:val="0"/>
          <w:sz w:val="32"/>
          <w:szCs w:val="32"/>
        </w:rPr>
      </w:pPr>
      <w:r>
        <w:rPr>
          <w:rFonts w:ascii="仿宋" w:eastAsia="仿宋" w:cs="楷体_GB2312" w:hAnsi="仿宋" w:hint="eastAsia"/>
          <w:b/>
          <w:bCs/>
          <w:snapToGrid w:val="0"/>
          <w:kern w:val="0"/>
          <w:sz w:val="32"/>
          <w:szCs w:val="32"/>
        </w:rPr>
        <w:t>5.坚持社会治理现代化，切实维护辖区安全稳定</w:t>
      </w:r>
    </w:p>
    <w:p>
      <w:pPr>
        <w:overflowPunct w:val="0"/>
        <w:adjustRightInd w:val="0"/>
        <w:snapToGrid w:val="0"/>
        <w:spacing w:line="576" w:lineRule="exact"/>
        <w:ind w:firstLineChars="200" w:firstLine="640"/>
        <w:rPr>
          <w:rFonts w:ascii="仿宋" w:eastAsia="仿宋" w:cs="仿宋_GB2312" w:hAnsi="仿宋"/>
          <w:snapToGrid w:val="0"/>
          <w:kern w:val="0"/>
          <w:sz w:val="32"/>
          <w:szCs w:val="32"/>
        </w:rPr>
      </w:pPr>
      <w:r>
        <w:rPr>
          <w:rFonts w:ascii="仿宋" w:eastAsia="仿宋" w:cs="仿宋_GB2312" w:hAnsi="仿宋" w:hint="eastAsia"/>
          <w:b/>
          <w:bCs/>
          <w:snapToGrid w:val="0"/>
          <w:kern w:val="0"/>
          <w:sz w:val="32"/>
          <w:szCs w:val="32"/>
        </w:rPr>
        <w:t>一是严格落实安全生产责任制。</w:t>
      </w:r>
      <w:r>
        <w:rPr>
          <w:rFonts w:ascii="仿宋" w:eastAsia="仿宋" w:cs="仿宋_GB2312" w:hAnsi="仿宋" w:hint="eastAsia"/>
          <w:snapToGrid w:val="0"/>
          <w:kern w:val="0"/>
          <w:sz w:val="32"/>
          <w:szCs w:val="32"/>
        </w:rPr>
        <w:t>坚持“党政同责，一岗双责”，全覆盖开展安全生产隐患排查</w:t>
      </w:r>
      <w:r>
        <w:rPr>
          <w:rFonts w:ascii="仿宋" w:eastAsia="仿宋" w:cs="仿宋_GB2312" w:hAnsi="仿宋"/>
          <w:snapToGrid w:val="0"/>
          <w:kern w:val="0"/>
          <w:sz w:val="32"/>
          <w:szCs w:val="32"/>
        </w:rPr>
        <w:t>30</w:t>
      </w:r>
      <w:r>
        <w:rPr>
          <w:rFonts w:ascii="仿宋" w:eastAsia="仿宋" w:cs="仿宋_GB2312" w:hAnsi="仿宋" w:hint="eastAsia"/>
          <w:snapToGrid w:val="0"/>
          <w:kern w:val="0"/>
          <w:sz w:val="32"/>
          <w:szCs w:val="32"/>
        </w:rPr>
        <w:t>余次，整治各类隐患</w:t>
      </w:r>
      <w:r>
        <w:rPr>
          <w:rFonts w:ascii="仿宋" w:eastAsia="仿宋" w:cs="仿宋_GB2312" w:hAnsi="仿宋"/>
          <w:snapToGrid w:val="0"/>
          <w:kern w:val="0"/>
          <w:sz w:val="32"/>
          <w:szCs w:val="32"/>
        </w:rPr>
        <w:t>88</w:t>
      </w:r>
      <w:r>
        <w:rPr>
          <w:rFonts w:ascii="仿宋" w:eastAsia="仿宋" w:cs="仿宋_GB2312" w:hAnsi="仿宋" w:hint="eastAsia"/>
          <w:snapToGrid w:val="0"/>
          <w:kern w:val="0"/>
          <w:sz w:val="32"/>
          <w:szCs w:val="32"/>
        </w:rPr>
        <w:t>处，开展消防、防汛及地质灾害演练活动</w:t>
      </w:r>
      <w:r>
        <w:rPr>
          <w:rFonts w:ascii="仿宋" w:eastAsia="仿宋" w:cs="仿宋_GB2312" w:hAnsi="仿宋"/>
          <w:snapToGrid w:val="0"/>
          <w:kern w:val="0"/>
          <w:sz w:val="32"/>
          <w:szCs w:val="32"/>
        </w:rPr>
        <w:t>4</w:t>
      </w:r>
      <w:r>
        <w:rPr>
          <w:rFonts w:ascii="仿宋" w:eastAsia="仿宋" w:cs="仿宋_GB2312" w:hAnsi="仿宋" w:hint="eastAsia"/>
          <w:snapToGrid w:val="0"/>
          <w:kern w:val="0"/>
          <w:sz w:val="32"/>
          <w:szCs w:val="32"/>
        </w:rPr>
        <w:t>次，全年无一例安全责任事故发生。</w:t>
      </w:r>
      <w:r>
        <w:rPr>
          <w:rFonts w:ascii="仿宋" w:eastAsia="仿宋" w:cs="仿宋_GB2312" w:hAnsi="仿宋" w:hint="eastAsia"/>
          <w:b/>
          <w:bCs/>
          <w:snapToGrid w:val="0"/>
          <w:kern w:val="0"/>
          <w:sz w:val="32"/>
          <w:szCs w:val="32"/>
        </w:rPr>
        <w:t>二是切实加强防汛减灾工作。</w:t>
      </w:r>
      <w:r>
        <w:rPr>
          <w:rFonts w:ascii="仿宋" w:eastAsia="仿宋" w:cs="仿宋_GB2312" w:hAnsi="仿宋" w:hint="eastAsia"/>
          <w:snapToGrid w:val="0"/>
          <w:kern w:val="0"/>
          <w:sz w:val="32"/>
          <w:szCs w:val="32"/>
        </w:rPr>
        <w:t>开展防汛减灾应急演练1次，完善防汛抢险应急物资储备。强化应急处置，防汛减灾紧急转移167人次，开展地灾点救助21户49人。投入资金21.5万元，开展隐患整治交通3处、河道1处、山体滑坡41处。三</w:t>
      </w:r>
      <w:r>
        <w:rPr>
          <w:rFonts w:ascii="仿宋" w:eastAsia="仿宋" w:cs="仿宋_GB2312" w:hAnsi="仿宋" w:hint="eastAsia"/>
          <w:b/>
          <w:bCs/>
          <w:snapToGrid w:val="0"/>
          <w:kern w:val="0"/>
          <w:sz w:val="32"/>
          <w:szCs w:val="32"/>
        </w:rPr>
        <w:t>是坚决</w:t>
      </w:r>
      <w:r>
        <w:rPr>
          <w:rFonts w:ascii="仿宋" w:eastAsia="仿宋" w:cs="仿宋_GB2312" w:hAnsi="仿宋" w:hint="eastAsia"/>
          <w:b/>
          <w:bCs/>
          <w:snapToGrid w:val="0"/>
          <w:kern w:val="0"/>
          <w:sz w:val="32"/>
          <w:szCs w:val="32"/>
          <w:lang w:val="zh-CN"/>
        </w:rPr>
        <w:t>守住社会稳定大局。</w:t>
      </w:r>
      <w:r>
        <w:rPr>
          <w:rFonts w:ascii="仿宋" w:eastAsia="仿宋" w:cs="仿宋_GB2312" w:hAnsi="仿宋" w:hint="eastAsia"/>
          <w:snapToGrid w:val="0"/>
          <w:kern w:val="0"/>
          <w:sz w:val="32"/>
          <w:szCs w:val="32"/>
        </w:rPr>
        <w:t>针对辖区重点人员和涉军、集资、务工欠薪、拆迁等不稳定因素进行认真研判，落实化解稳控工作责任。</w:t>
      </w:r>
      <w:r>
        <w:rPr>
          <w:rFonts w:ascii="仿宋" w:eastAsia="仿宋" w:cs="仿宋_GB2312" w:hAnsi="仿宋" w:hint="eastAsia"/>
          <w:snapToGrid w:val="0"/>
          <w:kern w:val="0"/>
          <w:sz w:val="32"/>
          <w:szCs w:val="32"/>
          <w:lang w:val="zh-CN"/>
        </w:rPr>
        <w:t>全年共</w:t>
      </w:r>
      <w:r>
        <w:rPr>
          <w:rFonts w:ascii="仿宋" w:eastAsia="仿宋" w:cs="仿宋_GB2312" w:hAnsi="仿宋" w:hint="eastAsia"/>
          <w:snapToGrid w:val="0"/>
          <w:kern w:val="0"/>
          <w:sz w:val="32"/>
          <w:szCs w:val="32"/>
        </w:rPr>
        <w:t>办理各级信访件85件，12345政务服务热线457件，处置红星商业广场、利州公馆等各类突发事件6起。</w:t>
      </w:r>
      <w:r>
        <w:rPr>
          <w:rFonts w:ascii="仿宋" w:eastAsia="仿宋" w:cs="仿宋_GB2312" w:hAnsi="仿宋" w:hint="eastAsia"/>
          <w:snapToGrid w:val="0"/>
          <w:kern w:val="0"/>
          <w:sz w:val="32"/>
          <w:szCs w:val="32"/>
          <w:lang w:val="zh-CN"/>
        </w:rPr>
        <w:t>大力化解黑石坡小产权拆迁户信访问题，目前已达成协议</w:t>
      </w:r>
      <w:r>
        <w:rPr>
          <w:rFonts w:ascii="仿宋" w:eastAsia="仿宋" w:cs="仿宋_GB2312" w:hAnsi="仿宋" w:hint="eastAsia"/>
          <w:snapToGrid w:val="0"/>
          <w:kern w:val="0"/>
          <w:sz w:val="32"/>
          <w:szCs w:val="32"/>
        </w:rPr>
        <w:t>9户</w:t>
      </w:r>
      <w:r>
        <w:rPr>
          <w:rFonts w:ascii="仿宋" w:eastAsia="仿宋" w:cs="仿宋_GB2312" w:hAnsi="仿宋" w:hint="eastAsia"/>
          <w:snapToGrid w:val="0"/>
          <w:kern w:val="0"/>
          <w:sz w:val="32"/>
          <w:szCs w:val="32"/>
          <w:lang w:val="zh-CN"/>
        </w:rPr>
        <w:t>。在重点时期、地点开展治安巡查</w:t>
      </w:r>
      <w:r>
        <w:rPr>
          <w:rFonts w:ascii="仿宋" w:eastAsia="仿宋" w:cs="仿宋_GB2312" w:hAnsi="仿宋" w:hint="eastAsia"/>
          <w:snapToGrid w:val="0"/>
          <w:kern w:val="0"/>
          <w:sz w:val="32"/>
          <w:szCs w:val="32"/>
        </w:rPr>
        <w:t>3</w:t>
      </w:r>
      <w:r>
        <w:rPr>
          <w:rFonts w:ascii="仿宋" w:eastAsia="仿宋" w:cs="仿宋_GB2312" w:hAnsi="仿宋" w:hint="eastAsia"/>
          <w:snapToGrid w:val="0"/>
          <w:kern w:val="0"/>
          <w:sz w:val="32"/>
          <w:szCs w:val="32"/>
          <w:lang w:val="zh-CN"/>
        </w:rPr>
        <w:t>00余人次，完成了建党</w:t>
      </w:r>
      <w:r>
        <w:rPr>
          <w:rFonts w:ascii="仿宋" w:eastAsia="仿宋" w:cs="仿宋_GB2312" w:hAnsi="仿宋"/>
          <w:snapToGrid w:val="0"/>
          <w:kern w:val="0"/>
          <w:sz w:val="32"/>
          <w:szCs w:val="32"/>
        </w:rPr>
        <w:t>100</w:t>
      </w:r>
      <w:r>
        <w:rPr>
          <w:rFonts w:ascii="仿宋" w:eastAsia="仿宋" w:cs="仿宋_GB2312" w:hAnsi="仿宋" w:hint="eastAsia"/>
          <w:snapToGrid w:val="0"/>
          <w:kern w:val="0"/>
          <w:sz w:val="32"/>
          <w:szCs w:val="32"/>
        </w:rPr>
        <w:t>周年系列庆祝活动，及</w:t>
      </w:r>
      <w:r>
        <w:rPr>
          <w:rFonts w:ascii="仿宋" w:eastAsia="仿宋" w:cs="仿宋_GB2312" w:hAnsi="仿宋" w:hint="eastAsia"/>
          <w:snapToGrid w:val="0"/>
          <w:kern w:val="0"/>
          <w:sz w:val="32"/>
          <w:szCs w:val="32"/>
          <w:lang w:val="zh-CN"/>
        </w:rPr>
        <w:t>全国、省、市“两会”等重要会议、重要活动期间的维稳工作。</w:t>
      </w:r>
      <w:r>
        <w:rPr>
          <w:rFonts w:ascii="仿宋" w:eastAsia="仿宋" w:cs="仿宋_GB2312" w:hAnsi="仿宋" w:hint="eastAsia"/>
          <w:b/>
          <w:bCs/>
          <w:snapToGrid w:val="0"/>
          <w:kern w:val="0"/>
          <w:sz w:val="32"/>
          <w:szCs w:val="32"/>
          <w:lang w:val="zh-CN"/>
        </w:rPr>
        <w:t>四是切实加大反电信诈骗和非法集资宣传。</w:t>
      </w:r>
      <w:r>
        <w:rPr>
          <w:rFonts w:ascii="仿宋" w:eastAsia="仿宋" w:cs="仿宋" w:hAnsi="仿宋" w:hint="eastAsia"/>
          <w:snapToGrid w:val="0"/>
          <w:kern w:val="0"/>
          <w:sz w:val="32"/>
          <w:szCs w:val="32"/>
        </w:rPr>
        <w:t>运用LED显示屏、条幅标语、宣传单等方式，提醒广大群众擦亮眼睛、提高警惕、不落陷阱，共同参与到防范和打击“电信网络诈骗”“非法集资”等犯罪活动中来，维护社会稳定和谐。</w:t>
      </w:r>
      <w:r>
        <w:rPr>
          <w:rFonts w:ascii="仿宋" w:eastAsia="仿宋" w:cs="仿宋" w:hAnsi="仿宋" w:hint="eastAsia"/>
          <w:b/>
          <w:bCs/>
          <w:snapToGrid w:val="0"/>
          <w:kern w:val="0"/>
          <w:sz w:val="32"/>
          <w:szCs w:val="32"/>
        </w:rPr>
        <w:t>五是</w:t>
      </w:r>
      <w:r>
        <w:rPr>
          <w:rFonts w:ascii="仿宋" w:eastAsia="仿宋" w:cs="仿宋_GB2312" w:hAnsi="仿宋" w:hint="eastAsia"/>
          <w:b/>
          <w:bCs/>
          <w:snapToGrid w:val="0"/>
          <w:kern w:val="0"/>
          <w:sz w:val="32"/>
          <w:szCs w:val="32"/>
          <w:lang w:val="zh-CN"/>
        </w:rPr>
        <w:t>积极开展学法普法活动。</w:t>
      </w:r>
      <w:r>
        <w:rPr>
          <w:rFonts w:ascii="仿宋" w:eastAsia="仿宋" w:cs="仿宋_GB2312" w:hAnsi="仿宋" w:hint="eastAsia"/>
          <w:snapToGrid w:val="0"/>
          <w:kern w:val="0"/>
          <w:sz w:val="32"/>
          <w:szCs w:val="32"/>
          <w:lang w:val="zh-CN"/>
        </w:rPr>
        <w:t>开展宣传教育</w:t>
      </w:r>
      <w:r>
        <w:rPr>
          <w:rFonts w:ascii="仿宋" w:eastAsia="仿宋" w:cs="仿宋_GB2312" w:hAnsi="仿宋"/>
          <w:snapToGrid w:val="0"/>
          <w:kern w:val="0"/>
          <w:sz w:val="32"/>
          <w:szCs w:val="32"/>
          <w:lang w:val="zh-CN"/>
        </w:rPr>
        <w:t>8</w:t>
      </w:r>
      <w:r>
        <w:rPr>
          <w:rFonts w:ascii="仿宋" w:eastAsia="仿宋" w:cs="仿宋_GB2312" w:hAnsi="仿宋" w:hint="eastAsia"/>
          <w:snapToGrid w:val="0"/>
          <w:kern w:val="0"/>
          <w:sz w:val="32"/>
          <w:szCs w:val="32"/>
          <w:lang w:val="zh-CN"/>
        </w:rPr>
        <w:t>场次，发放普法宣传资料1</w:t>
      </w:r>
      <w:r>
        <w:rPr>
          <w:rFonts w:ascii="仿宋" w:eastAsia="仿宋" w:cs="仿宋_GB2312" w:hAnsi="仿宋" w:hint="eastAsia"/>
          <w:snapToGrid w:val="0"/>
          <w:kern w:val="0"/>
          <w:sz w:val="32"/>
          <w:szCs w:val="32"/>
        </w:rPr>
        <w:t>.</w:t>
      </w:r>
      <w:r>
        <w:rPr>
          <w:rFonts w:ascii="仿宋" w:eastAsia="仿宋" w:cs="仿宋_GB2312" w:hAnsi="仿宋" w:hint="eastAsia"/>
          <w:snapToGrid w:val="0"/>
          <w:kern w:val="0"/>
          <w:sz w:val="32"/>
          <w:szCs w:val="32"/>
          <w:lang w:val="zh-CN"/>
        </w:rPr>
        <w:t>2万余份，调处各类矛盾纠纷</w:t>
      </w:r>
      <w:r>
        <w:rPr>
          <w:rFonts w:ascii="仿宋" w:eastAsia="仿宋" w:cs="仿宋_GB2312" w:hAnsi="仿宋" w:hint="eastAsia"/>
          <w:snapToGrid w:val="0"/>
          <w:kern w:val="0"/>
          <w:sz w:val="32"/>
          <w:szCs w:val="32"/>
        </w:rPr>
        <w:t>89</w:t>
      </w:r>
      <w:r>
        <w:rPr>
          <w:rFonts w:ascii="仿宋" w:eastAsia="仿宋" w:cs="仿宋_GB2312" w:hAnsi="仿宋" w:hint="eastAsia"/>
          <w:snapToGrid w:val="0"/>
          <w:kern w:val="0"/>
          <w:sz w:val="32"/>
          <w:szCs w:val="32"/>
          <w:lang w:val="zh-CN"/>
        </w:rPr>
        <w:t>件，调解成功率达</w:t>
      </w:r>
      <w:r>
        <w:rPr>
          <w:rFonts w:ascii="仿宋" w:eastAsia="仿宋" w:cs="仿宋_GB2312" w:hAnsi="仿宋"/>
          <w:snapToGrid w:val="0"/>
          <w:kern w:val="0"/>
          <w:sz w:val="32"/>
          <w:szCs w:val="32"/>
          <w:lang w:val="zh-CN"/>
        </w:rPr>
        <w:t>100%</w:t>
      </w:r>
      <w:r>
        <w:rPr>
          <w:rFonts w:ascii="仿宋" w:eastAsia="仿宋" w:cs="仿宋_GB2312" w:hAnsi="仿宋" w:hint="eastAsia"/>
          <w:snapToGrid w:val="0"/>
          <w:kern w:val="0"/>
          <w:sz w:val="32"/>
          <w:szCs w:val="32"/>
          <w:lang w:val="zh-CN"/>
        </w:rPr>
        <w:t>。办理法律咨询</w:t>
      </w:r>
      <w:r>
        <w:rPr>
          <w:rFonts w:ascii="仿宋" w:eastAsia="仿宋" w:cs="仿宋_GB2312" w:hAnsi="仿宋"/>
          <w:snapToGrid w:val="0"/>
          <w:kern w:val="0"/>
          <w:sz w:val="32"/>
          <w:szCs w:val="32"/>
          <w:lang w:val="zh-CN"/>
        </w:rPr>
        <w:t>70</w:t>
      </w:r>
      <w:r>
        <w:rPr>
          <w:rFonts w:ascii="仿宋" w:eastAsia="仿宋" w:cs="仿宋_GB2312" w:hAnsi="仿宋" w:hint="eastAsia"/>
          <w:snapToGrid w:val="0"/>
          <w:kern w:val="0"/>
          <w:sz w:val="32"/>
          <w:szCs w:val="32"/>
          <w:lang w:val="zh-CN"/>
        </w:rPr>
        <w:t>件，协助办理法律援助案件</w:t>
      </w:r>
      <w:r>
        <w:rPr>
          <w:rFonts w:ascii="仿宋" w:eastAsia="仿宋" w:cs="仿宋_GB2312" w:hAnsi="仿宋"/>
          <w:snapToGrid w:val="0"/>
          <w:kern w:val="0"/>
          <w:sz w:val="32"/>
          <w:szCs w:val="32"/>
          <w:lang w:val="zh-CN"/>
        </w:rPr>
        <w:t>2</w:t>
      </w:r>
      <w:r>
        <w:rPr>
          <w:rFonts w:ascii="仿宋" w:eastAsia="仿宋" w:cs="仿宋_GB2312" w:hAnsi="仿宋" w:hint="eastAsia"/>
          <w:snapToGrid w:val="0"/>
          <w:kern w:val="0"/>
          <w:sz w:val="32"/>
          <w:szCs w:val="32"/>
          <w:lang w:val="zh-CN"/>
        </w:rPr>
        <w:t>件，形成了良好法治环境</w:t>
      </w:r>
      <w:r>
        <w:rPr>
          <w:rFonts w:ascii="仿宋" w:eastAsia="仿宋" w:cs="仿宋_GB2312" w:hAnsi="仿宋" w:hint="eastAsia"/>
          <w:snapToGrid w:val="0"/>
          <w:kern w:val="0"/>
          <w:sz w:val="32"/>
          <w:szCs w:val="32"/>
        </w:rPr>
        <w:t>。</w:t>
      </w:r>
    </w:p>
    <w:p>
      <w:pPr>
        <w:overflowPunct w:val="0"/>
        <w:adjustRightInd w:val="0"/>
        <w:snapToGrid w:val="0"/>
        <w:spacing w:line="576" w:lineRule="exact"/>
        <w:ind w:firstLineChars="200" w:firstLine="640"/>
        <w:rPr>
          <w:rFonts w:ascii="仿宋" w:eastAsia="仿宋" w:cs="仿宋_GB2312" w:hAnsi="仿宋"/>
          <w:snapToGrid w:val="0"/>
          <w:kern w:val="0"/>
          <w:sz w:val="32"/>
          <w:szCs w:val="32"/>
        </w:rPr>
      </w:pPr>
      <w:r>
        <w:rPr>
          <w:rFonts w:ascii="仿宋" w:eastAsia="仿宋" w:cs="楷体" w:hAnsi="仿宋" w:hint="eastAsia"/>
          <w:b/>
          <w:bCs/>
          <w:snapToGrid w:val="0"/>
          <w:kern w:val="0"/>
          <w:sz w:val="32"/>
          <w:szCs w:val="32"/>
        </w:rPr>
        <w:t>6.坚持管党治党主体责任，着力提高党的建设质量</w:t>
      </w:r>
    </w:p>
    <w:p>
      <w:pPr>
        <w:overflowPunct w:val="0"/>
        <w:adjustRightInd w:val="0"/>
        <w:snapToGrid w:val="0"/>
        <w:spacing w:line="576" w:lineRule="exact"/>
        <w:ind w:firstLineChars="200" w:firstLine="640"/>
        <w:rPr>
          <w:rFonts w:ascii="仿宋" w:eastAsia="仿宋" w:hAnsi="仿宋"/>
          <w:snapToGrid w:val="0"/>
          <w:kern w:val="0"/>
          <w:sz w:val="32"/>
          <w:szCs w:val="32"/>
        </w:rPr>
      </w:pPr>
      <w:r>
        <w:rPr>
          <w:rFonts w:ascii="仿宋" w:eastAsia="仿宋" w:cs="仿宋_GB2312" w:hAnsi="仿宋" w:hint="eastAsia"/>
          <w:b/>
          <w:bCs/>
          <w:snapToGrid w:val="0"/>
          <w:kern w:val="0"/>
          <w:sz w:val="32"/>
          <w:szCs w:val="32"/>
        </w:rPr>
        <w:t>一是全面深化基层党组织建设。</w:t>
      </w:r>
      <w:r>
        <w:rPr>
          <w:rFonts w:ascii="仿宋" w:eastAsia="仿宋" w:cs="仿宋_GB2312" w:hAnsi="仿宋" w:hint="eastAsia"/>
          <w:snapToGrid w:val="0"/>
          <w:kern w:val="0"/>
          <w:sz w:val="32"/>
          <w:szCs w:val="32"/>
        </w:rPr>
        <w:t>圆满完成村（社区）“两委”换届、市区党代表推选工作，扎实做好两项改革“后半篇”文章。精心组织建党</w:t>
      </w:r>
      <w:r>
        <w:rPr>
          <w:rFonts w:ascii="仿宋" w:eastAsia="仿宋" w:cs="仿宋_GB2312" w:hAnsi="仿宋"/>
          <w:snapToGrid w:val="0"/>
          <w:kern w:val="0"/>
          <w:sz w:val="32"/>
          <w:szCs w:val="32"/>
        </w:rPr>
        <w:t>100</w:t>
      </w:r>
      <w:r>
        <w:rPr>
          <w:rFonts w:ascii="仿宋" w:eastAsia="仿宋" w:cs="仿宋_GB2312" w:hAnsi="仿宋" w:hint="eastAsia"/>
          <w:snapToGrid w:val="0"/>
          <w:kern w:val="0"/>
          <w:sz w:val="32"/>
          <w:szCs w:val="32"/>
        </w:rPr>
        <w:t>周年系列庆祝活动，颁发“光荣在党</w:t>
      </w:r>
      <w:r>
        <w:rPr>
          <w:rFonts w:ascii="仿宋" w:eastAsia="仿宋" w:cs="仿宋_GB2312" w:hAnsi="仿宋"/>
          <w:snapToGrid w:val="0"/>
          <w:kern w:val="0"/>
          <w:sz w:val="32"/>
          <w:szCs w:val="32"/>
        </w:rPr>
        <w:t>50</w:t>
      </w:r>
      <w:r>
        <w:rPr>
          <w:rFonts w:ascii="仿宋" w:eastAsia="仿宋" w:cs="仿宋_GB2312" w:hAnsi="仿宋" w:hint="eastAsia"/>
          <w:snapToGrid w:val="0"/>
          <w:kern w:val="0"/>
          <w:sz w:val="32"/>
          <w:szCs w:val="32"/>
        </w:rPr>
        <w:t>周年”纪念章</w:t>
      </w:r>
      <w:r>
        <w:rPr>
          <w:rFonts w:ascii="仿宋" w:eastAsia="仿宋" w:cs="仿宋_GB2312" w:hAnsi="仿宋"/>
          <w:snapToGrid w:val="0"/>
          <w:kern w:val="0"/>
          <w:sz w:val="32"/>
          <w:szCs w:val="32"/>
        </w:rPr>
        <w:t>260</w:t>
      </w:r>
      <w:r>
        <w:rPr>
          <w:rFonts w:ascii="仿宋" w:eastAsia="仿宋" w:cs="仿宋_GB2312" w:hAnsi="仿宋" w:hint="eastAsia"/>
          <w:snapToGrid w:val="0"/>
          <w:kern w:val="0"/>
          <w:sz w:val="32"/>
          <w:szCs w:val="32"/>
        </w:rPr>
        <w:t>枚。完成雪峰寺社区、泡石社区党群服务中心亲民化改造任务。新建奥林春天等小区党支部11个。扎实推进两新组织“两个覆盖”集中攻坚行动。新发展党员12名，接收中铁成都局等2家国有企业退休党员16名。引进成立专业社工服务站1个，</w:t>
      </w:r>
      <w:r>
        <w:rPr>
          <w:rFonts w:ascii="仿宋" w:eastAsia="仿宋" w:cs="仿宋_GB2312" w:hAnsi="仿宋"/>
          <w:snapToGrid w:val="0"/>
          <w:kern w:val="0"/>
          <w:sz w:val="32"/>
          <w:szCs w:val="32"/>
        </w:rPr>
        <w:t>培育社区自组织</w:t>
      </w:r>
      <w:r>
        <w:rPr>
          <w:rFonts w:ascii="仿宋" w:eastAsia="仿宋" w:cs="仿宋_GB2312" w:hAnsi="仿宋" w:hint="eastAsia"/>
          <w:snapToGrid w:val="0"/>
          <w:kern w:val="0"/>
          <w:sz w:val="32"/>
          <w:szCs w:val="32"/>
        </w:rPr>
        <w:t>15</w:t>
      </w:r>
      <w:r>
        <w:rPr>
          <w:rFonts w:ascii="仿宋" w:eastAsia="仿宋" w:cs="仿宋_GB2312" w:hAnsi="仿宋"/>
          <w:snapToGrid w:val="0"/>
          <w:kern w:val="0"/>
          <w:sz w:val="32"/>
          <w:szCs w:val="32"/>
        </w:rPr>
        <w:t>支，盘活社区阵地资源引进新社会组织</w:t>
      </w:r>
      <w:r>
        <w:rPr>
          <w:rFonts w:ascii="仿宋" w:eastAsia="仿宋" w:cs="仿宋_GB2312" w:hAnsi="仿宋" w:hint="eastAsia"/>
          <w:snapToGrid w:val="0"/>
          <w:kern w:val="0"/>
          <w:sz w:val="32"/>
          <w:szCs w:val="32"/>
        </w:rPr>
        <w:t>1</w:t>
      </w:r>
      <w:r>
        <w:rPr>
          <w:rFonts w:ascii="仿宋" w:eastAsia="仿宋" w:cs="仿宋_GB2312" w:hAnsi="仿宋"/>
          <w:snapToGrid w:val="0"/>
          <w:kern w:val="0"/>
          <w:sz w:val="32"/>
          <w:szCs w:val="32"/>
        </w:rPr>
        <w:t>家</w:t>
      </w:r>
      <w:r>
        <w:rPr>
          <w:rFonts w:ascii="仿宋" w:eastAsia="仿宋" w:cs="仿宋_GB2312" w:hAnsi="仿宋" w:hint="eastAsia"/>
          <w:snapToGrid w:val="0"/>
          <w:kern w:val="0"/>
          <w:sz w:val="32"/>
          <w:szCs w:val="32"/>
        </w:rPr>
        <w:t>。与成都玉林东路社区等2个社区开展党建结对共建，</w:t>
      </w:r>
      <w:r>
        <w:rPr>
          <w:rFonts w:ascii="仿宋" w:eastAsia="仿宋" w:cs="仿宋_GB2312" w:hAnsi="仿宋"/>
          <w:snapToGrid w:val="0"/>
          <w:kern w:val="0"/>
          <w:sz w:val="32"/>
          <w:szCs w:val="32"/>
        </w:rPr>
        <w:t>召开社区层面党建联席会议</w:t>
      </w:r>
      <w:r>
        <w:rPr>
          <w:rFonts w:ascii="仿宋" w:eastAsia="仿宋" w:cs="仿宋_GB2312" w:hAnsi="仿宋" w:hint="eastAsia"/>
          <w:snapToGrid w:val="0"/>
          <w:kern w:val="0"/>
          <w:sz w:val="32"/>
          <w:szCs w:val="32"/>
        </w:rPr>
        <w:t>15</w:t>
      </w:r>
      <w:r>
        <w:rPr>
          <w:rFonts w:ascii="仿宋" w:eastAsia="仿宋" w:cs="仿宋_GB2312" w:hAnsi="仿宋"/>
          <w:snapToGrid w:val="0"/>
          <w:kern w:val="0"/>
          <w:sz w:val="32"/>
          <w:szCs w:val="32"/>
        </w:rPr>
        <w:t>次，协调解决急难愁盼问题</w:t>
      </w:r>
      <w:r>
        <w:rPr>
          <w:rFonts w:ascii="仿宋" w:eastAsia="仿宋" w:cs="仿宋_GB2312" w:hAnsi="仿宋" w:hint="eastAsia"/>
          <w:snapToGrid w:val="0"/>
          <w:kern w:val="0"/>
          <w:sz w:val="32"/>
          <w:szCs w:val="32"/>
        </w:rPr>
        <w:t>120</w:t>
      </w:r>
      <w:r>
        <w:rPr>
          <w:rFonts w:ascii="仿宋" w:eastAsia="仿宋" w:cs="仿宋_GB2312" w:hAnsi="仿宋"/>
          <w:snapToGrid w:val="0"/>
          <w:kern w:val="0"/>
          <w:sz w:val="32"/>
          <w:szCs w:val="32"/>
        </w:rPr>
        <w:t>余</w:t>
      </w:r>
      <w:r>
        <w:rPr>
          <w:rFonts w:ascii="仿宋" w:eastAsia="仿宋" w:cs="仿宋_GB2312" w:hAnsi="仿宋" w:hint="eastAsia"/>
          <w:snapToGrid w:val="0"/>
          <w:kern w:val="0"/>
          <w:sz w:val="32"/>
          <w:szCs w:val="32"/>
        </w:rPr>
        <w:t>个</w:t>
      </w:r>
      <w:r>
        <w:rPr>
          <w:rFonts w:ascii="仿宋" w:eastAsia="仿宋" w:cs="仿宋_GB2312" w:hAnsi="仿宋"/>
          <w:snapToGrid w:val="0"/>
          <w:kern w:val="0"/>
          <w:sz w:val="32"/>
          <w:szCs w:val="32"/>
        </w:rPr>
        <w:t>。</w:t>
      </w:r>
      <w:r>
        <w:rPr>
          <w:rFonts w:ascii="仿宋" w:eastAsia="仿宋" w:cs="仿宋_GB2312" w:hAnsi="仿宋" w:hint="eastAsia"/>
          <w:b/>
          <w:bCs/>
          <w:snapToGrid w:val="0"/>
          <w:kern w:val="0"/>
          <w:sz w:val="32"/>
          <w:szCs w:val="32"/>
        </w:rPr>
        <w:t>二是</w:t>
      </w:r>
      <w:r>
        <w:rPr>
          <w:rFonts w:ascii="仿宋" w:eastAsia="仿宋" w:cs="Calibri" w:hAnsi="仿宋" w:hint="eastAsia"/>
          <w:b/>
          <w:bCs/>
          <w:snapToGrid w:val="0"/>
          <w:kern w:val="0"/>
          <w:sz w:val="32"/>
          <w:szCs w:val="32"/>
        </w:rPr>
        <w:t>强化党风廉政建设和反腐败工作一体推进。</w:t>
      </w:r>
      <w:r>
        <w:rPr>
          <w:rFonts w:ascii="仿宋" w:eastAsia="仿宋" w:cs="Calibri" w:hAnsi="仿宋" w:hint="eastAsia"/>
          <w:snapToGrid w:val="0"/>
          <w:kern w:val="0"/>
          <w:sz w:val="32"/>
          <w:szCs w:val="32"/>
        </w:rPr>
        <w:t>细化全面从严治党“三张清单”，厘清各项具体责任</w:t>
      </w:r>
      <w:r>
        <w:rPr>
          <w:rFonts w:ascii="仿宋" w:eastAsia="仿宋" w:cs="Calibri" w:hAnsi="仿宋"/>
          <w:snapToGrid w:val="0"/>
          <w:kern w:val="0"/>
          <w:sz w:val="32"/>
          <w:szCs w:val="32"/>
        </w:rPr>
        <w:t>43</w:t>
      </w:r>
      <w:r>
        <w:rPr>
          <w:rFonts w:ascii="仿宋" w:eastAsia="仿宋" w:cs="Calibri" w:hAnsi="仿宋" w:hint="eastAsia"/>
          <w:snapToGrid w:val="0"/>
          <w:kern w:val="0"/>
          <w:sz w:val="32"/>
          <w:szCs w:val="32"/>
        </w:rPr>
        <w:t>项。党工委书记对班子成员、中层干部、村（社区）常职干部开展全覆盖谈心谈话约</w:t>
      </w:r>
      <w:r>
        <w:rPr>
          <w:rFonts w:ascii="仿宋" w:eastAsia="仿宋" w:cs="Calibri" w:hAnsi="仿宋"/>
          <w:snapToGrid w:val="0"/>
          <w:kern w:val="0"/>
          <w:sz w:val="32"/>
          <w:szCs w:val="32"/>
        </w:rPr>
        <w:t>200</w:t>
      </w:r>
      <w:r>
        <w:rPr>
          <w:rFonts w:ascii="仿宋" w:eastAsia="仿宋" w:cs="Calibri" w:hAnsi="仿宋" w:hint="eastAsia"/>
          <w:snapToGrid w:val="0"/>
          <w:kern w:val="0"/>
          <w:sz w:val="32"/>
          <w:szCs w:val="32"/>
        </w:rPr>
        <w:t>余人次。</w:t>
      </w:r>
      <w:r>
        <w:rPr>
          <w:rFonts w:ascii="仿宋" w:eastAsia="仿宋" w:cs="方正仿宋简体" w:hAnsi="仿宋" w:hint="eastAsia"/>
          <w:bCs/>
          <w:snapToGrid w:val="0"/>
          <w:kern w:val="0"/>
          <w:sz w:val="32"/>
          <w:szCs w:val="32"/>
        </w:rPr>
        <w:t>常抓警示教育，筑牢党员干部思想道德防线。组织机关干部观看警示教育片3次，通报党员干部违规违纪典型案例6次，召开酒驾醉驾警示教育会2次，受教育党员干部300余人次。</w:t>
      </w:r>
      <w:r>
        <w:rPr>
          <w:rFonts w:ascii="仿宋" w:eastAsia="仿宋" w:cs="仿宋_GB2312" w:hAnsi="仿宋" w:hint="eastAsia"/>
          <w:bCs/>
          <w:snapToGrid w:val="0"/>
          <w:kern w:val="0"/>
          <w:sz w:val="32"/>
          <w:szCs w:val="32"/>
        </w:rPr>
        <w:t>强化监督执纪。</w:t>
      </w:r>
      <w:r>
        <w:rPr>
          <w:rFonts w:ascii="仿宋" w:eastAsia="仿宋" w:cs="方正仿宋简体" w:hAnsi="仿宋" w:hint="eastAsia"/>
          <w:bCs/>
          <w:snapToGrid w:val="0"/>
          <w:kern w:val="0"/>
          <w:sz w:val="32"/>
          <w:szCs w:val="32"/>
        </w:rPr>
        <w:t>2021年街道纪工委共调查处理信访线索10件，立案查处党员2人次，发出会议纪律、环境卫生整治、疫情防控等工作督查通报6期，通报干部24人次，通过诫勉谈话、提醒谈话、约谈等方式组织处理12人次，以零容忍的坚决态度，依规依纪管党治党。狠抓干部纪律作风整顿。持续整治小进即满、不思进取等12个方面的突出问题，党工委班子自查出8个方面9个问题，机关干部自查出12个方面258个问题，制定整改措施394条，逐一落实整改。开展“小金库”专项治理，领导干部、公职人员违规插手干预工程建设治理，“吃公函”问题排查清理、“窗口腐败”问题专项整治活动，推动干部纪律作风向好转变，坚决防止“四风”问题反弹回潮、隐形变异。</w:t>
      </w:r>
      <w:r>
        <w:rPr>
          <w:rFonts w:ascii="仿宋" w:eastAsia="仿宋" w:cs="方正仿宋简体" w:hAnsi="仿宋" w:hint="eastAsia"/>
          <w:b/>
          <w:snapToGrid w:val="0"/>
          <w:kern w:val="0"/>
          <w:sz w:val="32"/>
          <w:szCs w:val="32"/>
        </w:rPr>
        <w:t>三是</w:t>
      </w:r>
      <w:r>
        <w:rPr>
          <w:rFonts w:ascii="仿宋" w:eastAsia="仿宋" w:cs="仿宋_GB2312" w:hAnsi="仿宋" w:hint="eastAsia"/>
          <w:b/>
          <w:bCs/>
          <w:snapToGrid w:val="0"/>
          <w:kern w:val="0"/>
          <w:sz w:val="32"/>
          <w:szCs w:val="32"/>
        </w:rPr>
        <w:t>加强意识形态领域管控。</w:t>
      </w:r>
      <w:r>
        <w:rPr>
          <w:rFonts w:ascii="仿宋" w:eastAsia="仿宋" w:cs="仿宋_GB2312" w:hAnsi="仿宋" w:hint="eastAsia"/>
          <w:snapToGrid w:val="0"/>
          <w:kern w:val="0"/>
          <w:sz w:val="32"/>
          <w:szCs w:val="32"/>
        </w:rPr>
        <w:t>全面贯彻落实党工委意识形态工作责任制，</w:t>
      </w:r>
      <w:r>
        <w:rPr>
          <w:rFonts w:ascii="仿宋" w:eastAsia="仿宋" w:cs="仿宋_GB2312" w:hAnsi="仿宋" w:hint="eastAsia"/>
          <w:snapToGrid w:val="0"/>
          <w:kern w:val="0"/>
          <w:sz w:val="32"/>
          <w:szCs w:val="32"/>
          <w:lang w:val="zh-CN"/>
        </w:rPr>
        <w:t>开展理论中心组集中学习</w:t>
      </w:r>
      <w:r>
        <w:rPr>
          <w:rFonts w:ascii="仿宋" w:eastAsia="仿宋" w:cs="仿宋_GB2312" w:hAnsi="仿宋"/>
          <w:snapToGrid w:val="0"/>
          <w:kern w:val="0"/>
          <w:sz w:val="32"/>
          <w:szCs w:val="32"/>
        </w:rPr>
        <w:t>12</w:t>
      </w:r>
      <w:r>
        <w:rPr>
          <w:rFonts w:ascii="仿宋" w:eastAsia="仿宋" w:cs="仿宋_GB2312" w:hAnsi="仿宋" w:hint="eastAsia"/>
          <w:snapToGrid w:val="0"/>
          <w:kern w:val="0"/>
          <w:sz w:val="32"/>
          <w:szCs w:val="32"/>
        </w:rPr>
        <w:t>次，会前学习</w:t>
      </w:r>
      <w:r>
        <w:rPr>
          <w:rFonts w:ascii="仿宋" w:eastAsia="仿宋" w:cs="仿宋_GB2312" w:hAnsi="仿宋"/>
          <w:snapToGrid w:val="0"/>
          <w:kern w:val="0"/>
          <w:sz w:val="32"/>
          <w:szCs w:val="32"/>
        </w:rPr>
        <w:t>31</w:t>
      </w:r>
      <w:r>
        <w:rPr>
          <w:rFonts w:ascii="仿宋" w:eastAsia="仿宋" w:cs="仿宋_GB2312" w:hAnsi="仿宋" w:hint="eastAsia"/>
          <w:snapToGrid w:val="0"/>
          <w:kern w:val="0"/>
          <w:sz w:val="32"/>
          <w:szCs w:val="32"/>
        </w:rPr>
        <w:t>次，</w:t>
      </w:r>
      <w:r>
        <w:rPr>
          <w:rFonts w:ascii="仿宋" w:eastAsia="仿宋" w:cs="仿宋_GB2312" w:hAnsi="仿宋" w:hint="eastAsia"/>
          <w:snapToGrid w:val="0"/>
          <w:kern w:val="0"/>
          <w:sz w:val="32"/>
          <w:szCs w:val="32"/>
          <w:lang w:val="zh-CN"/>
        </w:rPr>
        <w:t>理论学习入脑入心。扎实开展党史学习教育，九华社区、芸香社区“我为群众办实事”实践活动受到省委甘霖常委及中央党史巡回指导组、省委第四巡回指导组和广大群众的充分肯定。开展社会宣传巡查100余次，非法宗教出版物专项清理活动4次，妥善处置网络舆情17件，累计在市级及以上主流媒体发稿68条，充分发挥“两微”平台等</w:t>
      </w:r>
      <w:r>
        <w:rPr>
          <w:rFonts w:ascii="仿宋" w:eastAsia="仿宋" w:cs="仿宋_GB2312" w:hAnsi="仿宋" w:hint="eastAsia"/>
          <w:snapToGrid w:val="0"/>
          <w:kern w:val="0"/>
          <w:sz w:val="32"/>
          <w:szCs w:val="32"/>
        </w:rPr>
        <w:t>新媒体宣传作用，推送文章</w:t>
      </w:r>
      <w:r>
        <w:rPr>
          <w:rFonts w:ascii="仿宋" w:eastAsia="仿宋" w:cs="仿宋_GB2312" w:hAnsi="仿宋"/>
          <w:snapToGrid w:val="0"/>
          <w:kern w:val="0"/>
          <w:sz w:val="32"/>
          <w:szCs w:val="32"/>
        </w:rPr>
        <w:t>500</w:t>
      </w:r>
      <w:r>
        <w:rPr>
          <w:rFonts w:ascii="仿宋" w:eastAsia="仿宋" w:cs="仿宋_GB2312" w:hAnsi="仿宋" w:hint="eastAsia"/>
          <w:snapToGrid w:val="0"/>
          <w:kern w:val="0"/>
          <w:sz w:val="32"/>
          <w:szCs w:val="32"/>
        </w:rPr>
        <w:t>余条</w:t>
      </w:r>
      <w:r>
        <w:rPr>
          <w:rFonts w:ascii="仿宋" w:eastAsia="仿宋" w:cs="仿宋_GB2312" w:hAnsi="仿宋" w:hint="eastAsia"/>
          <w:snapToGrid w:val="0"/>
          <w:kern w:val="0"/>
          <w:sz w:val="32"/>
          <w:szCs w:val="32"/>
          <w:lang w:val="zh-CN"/>
        </w:rPr>
        <w:t>。</w:t>
      </w:r>
    </w:p>
    <w:p>
      <w:pPr>
        <w:overflowPunct w:val="0"/>
        <w:adjustRightInd w:val="0"/>
        <w:snapToGrid w:val="0"/>
        <w:spacing w:line="576" w:lineRule="exact"/>
        <w:ind w:firstLineChars="200" w:firstLine="640"/>
        <w:rPr>
          <w:rFonts w:ascii="仿宋" w:eastAsia="仿宋" w:cs="黑体" w:hAnsi="仿宋"/>
          <w:b/>
          <w:snapToGrid w:val="0"/>
          <w:kern w:val="0"/>
          <w:sz w:val="32"/>
          <w:szCs w:val="32"/>
        </w:rPr>
      </w:pPr>
      <w:r>
        <w:rPr>
          <w:rFonts w:ascii="仿宋" w:eastAsia="仿宋" w:cs="黑体" w:hAnsi="仿宋" w:hint="eastAsia"/>
          <w:b/>
          <w:snapToGrid w:val="0"/>
          <w:kern w:val="0"/>
          <w:sz w:val="32"/>
          <w:szCs w:val="32"/>
        </w:rPr>
        <w:t>7.持续夯实基础，坚持问计于民，亮点工作有特色</w:t>
      </w:r>
    </w:p>
    <w:p>
      <w:pPr>
        <w:overflowPunct w:val="0"/>
        <w:adjustRightInd w:val="0"/>
        <w:snapToGrid w:val="0"/>
        <w:spacing w:line="576" w:lineRule="exact"/>
        <w:ind w:firstLineChars="200" w:firstLine="640"/>
        <w:rPr>
          <w:rFonts w:ascii="仿宋" w:eastAsia="仿宋" w:hAnsi="仿宋"/>
          <w:snapToGrid w:val="0"/>
          <w:kern w:val="0"/>
          <w:sz w:val="32"/>
          <w:szCs w:val="32"/>
        </w:rPr>
      </w:pPr>
      <w:r>
        <w:rPr>
          <w:rFonts w:ascii="仿宋" w:eastAsia="仿宋" w:cs="仿宋_GB2312" w:hAnsi="仿宋" w:hint="eastAsia"/>
          <w:b/>
          <w:bCs/>
          <w:snapToGrid w:val="0"/>
          <w:kern w:val="0"/>
          <w:sz w:val="32"/>
          <w:szCs w:val="32"/>
        </w:rPr>
        <w:t>一是持续开展推广“三听三问三落实”工作法。</w:t>
      </w:r>
      <w:r>
        <w:rPr>
          <w:rFonts w:ascii="仿宋" w:eastAsia="仿宋" w:cs="仿宋_GB2312" w:hAnsi="仿宋" w:hint="eastAsia"/>
          <w:snapToGrid w:val="0"/>
          <w:kern w:val="0"/>
          <w:sz w:val="32"/>
          <w:szCs w:val="32"/>
          <w:lang w:val="zh-CN"/>
        </w:rPr>
        <w:t>今年累计召开坝坝会1</w:t>
      </w:r>
      <w:r>
        <w:rPr>
          <w:rFonts w:ascii="仿宋" w:eastAsia="仿宋" w:cs="仿宋_GB2312" w:hAnsi="仿宋"/>
          <w:snapToGrid w:val="0"/>
          <w:kern w:val="0"/>
          <w:sz w:val="32"/>
          <w:szCs w:val="32"/>
          <w:lang w:val="zh-CN"/>
        </w:rPr>
        <w:t>0</w:t>
      </w:r>
      <w:r>
        <w:rPr>
          <w:rFonts w:ascii="仿宋" w:eastAsia="仿宋" w:cs="仿宋_GB2312" w:hAnsi="仿宋" w:hint="eastAsia"/>
          <w:snapToGrid w:val="0"/>
          <w:kern w:val="0"/>
          <w:sz w:val="32"/>
          <w:szCs w:val="32"/>
          <w:lang w:val="zh-CN"/>
        </w:rPr>
        <w:t>场，线上线下收集群众问题建议9</w:t>
      </w:r>
      <w:r>
        <w:rPr>
          <w:rFonts w:ascii="仿宋" w:eastAsia="仿宋" w:cs="仿宋_GB2312" w:hAnsi="仿宋"/>
          <w:snapToGrid w:val="0"/>
          <w:kern w:val="0"/>
          <w:sz w:val="32"/>
          <w:szCs w:val="32"/>
          <w:lang w:val="zh-CN"/>
        </w:rPr>
        <w:t>8</w:t>
      </w:r>
      <w:r>
        <w:rPr>
          <w:rFonts w:ascii="仿宋" w:eastAsia="仿宋" w:cs="仿宋_GB2312" w:hAnsi="仿宋" w:hint="eastAsia"/>
          <w:snapToGrid w:val="0"/>
          <w:kern w:val="0"/>
          <w:sz w:val="32"/>
          <w:szCs w:val="32"/>
          <w:lang w:val="zh-CN"/>
        </w:rPr>
        <w:t>条，现场回复问题建议2</w:t>
      </w:r>
      <w:r>
        <w:rPr>
          <w:rFonts w:ascii="仿宋" w:eastAsia="仿宋" w:cs="仿宋_GB2312" w:hAnsi="仿宋"/>
          <w:snapToGrid w:val="0"/>
          <w:kern w:val="0"/>
          <w:sz w:val="32"/>
          <w:szCs w:val="32"/>
          <w:lang w:val="zh-CN"/>
        </w:rPr>
        <w:t>2</w:t>
      </w:r>
      <w:r>
        <w:rPr>
          <w:rFonts w:ascii="仿宋" w:eastAsia="仿宋" w:cs="仿宋_GB2312" w:hAnsi="仿宋" w:hint="eastAsia"/>
          <w:snapToGrid w:val="0"/>
          <w:kern w:val="0"/>
          <w:sz w:val="32"/>
          <w:szCs w:val="32"/>
          <w:lang w:val="zh-CN"/>
        </w:rPr>
        <w:t>条，纳入整改台账问题7</w:t>
      </w:r>
      <w:r>
        <w:rPr>
          <w:rFonts w:ascii="仿宋" w:eastAsia="仿宋" w:cs="仿宋_GB2312" w:hAnsi="仿宋"/>
          <w:snapToGrid w:val="0"/>
          <w:kern w:val="0"/>
          <w:sz w:val="32"/>
          <w:szCs w:val="32"/>
          <w:lang w:val="zh-CN"/>
        </w:rPr>
        <w:t>0</w:t>
      </w:r>
      <w:r>
        <w:rPr>
          <w:rFonts w:ascii="仿宋" w:eastAsia="仿宋" w:cs="仿宋_GB2312" w:hAnsi="仿宋" w:hint="eastAsia"/>
          <w:snapToGrid w:val="0"/>
          <w:kern w:val="0"/>
          <w:sz w:val="32"/>
          <w:szCs w:val="32"/>
          <w:lang w:val="zh-CN"/>
        </w:rPr>
        <w:t>条，现已整改问题6</w:t>
      </w:r>
      <w:r>
        <w:rPr>
          <w:rFonts w:ascii="仿宋" w:eastAsia="仿宋" w:cs="仿宋_GB2312" w:hAnsi="仿宋"/>
          <w:snapToGrid w:val="0"/>
          <w:kern w:val="0"/>
          <w:sz w:val="32"/>
          <w:szCs w:val="32"/>
          <w:lang w:val="zh-CN"/>
        </w:rPr>
        <w:t>0</w:t>
      </w:r>
      <w:r>
        <w:rPr>
          <w:rFonts w:ascii="仿宋" w:eastAsia="仿宋" w:cs="仿宋_GB2312" w:hAnsi="仿宋" w:hint="eastAsia"/>
          <w:snapToGrid w:val="0"/>
          <w:kern w:val="0"/>
          <w:sz w:val="32"/>
          <w:szCs w:val="32"/>
          <w:lang w:val="zh-CN"/>
        </w:rPr>
        <w:t>余个</w:t>
      </w:r>
      <w:r>
        <w:rPr>
          <w:rFonts w:ascii="仿宋" w:eastAsia="仿宋" w:cs="仿宋_GB2312" w:hAnsi="仿宋" w:hint="eastAsia"/>
          <w:snapToGrid w:val="0"/>
          <w:kern w:val="0"/>
          <w:sz w:val="32"/>
          <w:szCs w:val="32"/>
        </w:rPr>
        <w:t>。</w:t>
      </w:r>
      <w:r>
        <w:rPr>
          <w:rFonts w:ascii="仿宋" w:eastAsia="仿宋" w:cs="仿宋_GB2312" w:hAnsi="仿宋" w:hint="eastAsia"/>
          <w:b/>
          <w:bCs/>
          <w:snapToGrid w:val="0"/>
          <w:kern w:val="0"/>
          <w:sz w:val="32"/>
          <w:szCs w:val="32"/>
        </w:rPr>
        <w:t>二是健全机制推进重点项目建设。</w:t>
      </w:r>
      <w:r>
        <w:rPr>
          <w:rFonts w:ascii="仿宋" w:eastAsia="仿宋" w:cs="仿宋_GB2312" w:hAnsi="仿宋" w:hint="eastAsia"/>
          <w:snapToGrid w:val="0"/>
          <w:kern w:val="0"/>
          <w:sz w:val="32"/>
          <w:szCs w:val="32"/>
          <w:lang w:val="zh-CN"/>
        </w:rPr>
        <w:t>健全完善了领导干部包项目一般干部包农户、时间倒推责任倒序、周会商、月激励等“六大”重点项目推进机制，持续推进“三有一树”廉洁征拆工作法。</w:t>
      </w:r>
      <w:r>
        <w:rPr>
          <w:rFonts w:ascii="仿宋" w:eastAsia="仿宋" w:cs="仿宋_GB2312" w:hAnsi="仿宋" w:hint="eastAsia"/>
          <w:b/>
          <w:bCs/>
          <w:snapToGrid w:val="0"/>
          <w:kern w:val="0"/>
          <w:sz w:val="32"/>
          <w:szCs w:val="32"/>
        </w:rPr>
        <w:t>三是优化营商环境助力经济发展。</w:t>
      </w:r>
      <w:r>
        <w:rPr>
          <w:rFonts w:ascii="仿宋" w:eastAsia="仿宋" w:cs="仿宋_GB2312" w:hAnsi="仿宋" w:hint="eastAsia"/>
          <w:snapToGrid w:val="0"/>
          <w:kern w:val="0"/>
          <w:sz w:val="32"/>
          <w:szCs w:val="32"/>
          <w:lang w:val="zh-CN"/>
        </w:rPr>
        <w:t>大力优化营商环境，提升基层服务能力，推进“一网通办”，打通群众和企业办事的难点、痛点、堵点，吸引更多企业落户雪峰</w:t>
      </w:r>
      <w:r>
        <w:rPr>
          <w:rFonts w:ascii="仿宋" w:eastAsia="仿宋" w:hAnsi="仿宋" w:hint="eastAsia"/>
          <w:snapToGrid w:val="0"/>
          <w:kern w:val="0"/>
          <w:sz w:val="32"/>
          <w:szCs w:val="32"/>
        </w:rPr>
        <w:t>。</w:t>
      </w:r>
      <w:r>
        <w:rPr>
          <w:rFonts w:ascii="仿宋" w:eastAsia="仿宋" w:cs="仿宋_GB2312" w:hAnsi="仿宋" w:hint="eastAsia"/>
          <w:b/>
          <w:bCs/>
          <w:snapToGrid w:val="0"/>
          <w:kern w:val="0"/>
          <w:sz w:val="32"/>
          <w:szCs w:val="32"/>
        </w:rPr>
        <w:t>四是拥军优属军民一家亲。</w:t>
      </w:r>
      <w:r>
        <w:rPr>
          <w:rFonts w:ascii="仿宋" w:eastAsia="仿宋" w:hAnsi="仿宋" w:hint="eastAsia"/>
          <w:snapToGrid w:val="0"/>
          <w:kern w:val="0"/>
          <w:sz w:val="32"/>
          <w:szCs w:val="32"/>
        </w:rPr>
        <w:t>五洲社区退役军人服务站和退役军人关爱超市的建成，</w:t>
      </w:r>
      <w:r>
        <w:rPr>
          <w:rFonts w:ascii="仿宋" w:eastAsia="仿宋" w:cs="仿宋_GB2312" w:hAnsi="仿宋" w:hint="eastAsia"/>
          <w:snapToGrid w:val="0"/>
          <w:kern w:val="0"/>
          <w:sz w:val="32"/>
          <w:szCs w:val="32"/>
        </w:rPr>
        <w:t>谱写了新时代军地一家亲、军民鱼水情的双拥新篇章，</w:t>
      </w:r>
      <w:r>
        <w:rPr>
          <w:rFonts w:ascii="仿宋" w:eastAsia="仿宋" w:hAnsi="仿宋" w:hint="eastAsia"/>
          <w:snapToGrid w:val="0"/>
          <w:kern w:val="0"/>
          <w:sz w:val="32"/>
          <w:szCs w:val="32"/>
        </w:rPr>
        <w:t>顺利接受省、市、区各级领导的调研检查工作6次。</w:t>
      </w:r>
      <w:r>
        <w:rPr>
          <w:rFonts w:ascii="仿宋" w:eastAsia="仿宋" w:hAnsi="仿宋" w:hint="eastAsia"/>
          <w:b/>
          <w:bCs/>
          <w:snapToGrid w:val="0"/>
          <w:kern w:val="0"/>
          <w:sz w:val="32"/>
          <w:szCs w:val="32"/>
        </w:rPr>
        <w:t>五是</w:t>
      </w:r>
      <w:r>
        <w:rPr>
          <w:rFonts w:ascii="仿宋" w:eastAsia="仿宋" w:cs="仿宋_GB2312" w:hAnsi="仿宋" w:hint="eastAsia"/>
          <w:b/>
          <w:bCs/>
          <w:snapToGrid w:val="0"/>
          <w:kern w:val="0"/>
          <w:sz w:val="32"/>
          <w:szCs w:val="32"/>
          <w:lang w:val="zh-CN"/>
        </w:rPr>
        <w:t>强化党建带动示范引领</w:t>
      </w:r>
      <w:r>
        <w:rPr>
          <w:rFonts w:ascii="仿宋" w:eastAsia="仿宋" w:cs="仿宋_GB2312" w:hAnsi="仿宋" w:hint="eastAsia"/>
          <w:b/>
          <w:bCs/>
          <w:snapToGrid w:val="0"/>
          <w:kern w:val="0"/>
          <w:sz w:val="32"/>
          <w:szCs w:val="32"/>
        </w:rPr>
        <w:t>。</w:t>
      </w:r>
      <w:r>
        <w:rPr>
          <w:rFonts w:ascii="仿宋" w:eastAsia="仿宋" w:cs="仿宋_GB2312" w:hAnsi="仿宋" w:hint="eastAsia"/>
          <w:snapToGrid w:val="0"/>
          <w:kern w:val="0"/>
          <w:sz w:val="32"/>
          <w:szCs w:val="32"/>
        </w:rPr>
        <w:t>石大广荣获全市优秀党务工作者荣誉称号，张艳、焦志军等4名党员荣获全区优秀共产党员荣誉称号。7月迎接中组部老干部局副局长赵胜利同志调研五洲社区离退休党建工作。</w:t>
      </w:r>
    </w:p>
    <w:p>
      <w:pPr>
        <w:overflowPunct w:val="0"/>
        <w:adjustRightInd w:val="0"/>
        <w:snapToGrid w:val="0"/>
        <w:spacing w:line="576" w:lineRule="exact"/>
        <w:ind w:firstLineChars="200" w:firstLine="640"/>
        <w:outlineLvl w:val="1"/>
        <w:rPr>
          <w:rFonts w:ascii="黑体" w:eastAsia="黑体" w:hAnsi="黑体"/>
          <w:snapToGrid w:val="0"/>
          <w:kern w:val="0"/>
          <w:sz w:val="32"/>
          <w:szCs w:val="32"/>
        </w:rPr>
      </w:pPr>
      <w:bookmarkStart w:id="23" w:name="_Toc15229"/>
      <w:r>
        <w:rPr>
          <w:rFonts w:ascii="黑体" w:eastAsia="黑体" w:hAnsi="黑体" w:hint="eastAsia"/>
          <w:snapToGrid w:val="0"/>
          <w:kern w:val="0"/>
          <w:sz w:val="32"/>
          <w:szCs w:val="32"/>
        </w:rPr>
        <w:t>二、</w:t>
      </w:r>
      <w:bookmarkStart w:id="24" w:name="_Toc15377204"/>
      <w:bookmarkStart w:id="25" w:name="_Toc15396602"/>
      <w:bookmarkEnd w:id="20"/>
      <w:bookmarkEnd w:id="21"/>
      <w:r>
        <w:rPr>
          <w:rFonts w:ascii="黑体" w:eastAsia="黑体" w:hAnsi="黑体" w:hint="eastAsia"/>
          <w:sz w:val="32"/>
          <w:szCs w:val="32"/>
        </w:rPr>
        <w:t>机构设置</w:t>
      </w:r>
      <w:bookmarkEnd w:id="23"/>
    </w:p>
    <w:p>
      <w:pPr>
        <w:overflowPunct w:val="0"/>
        <w:adjustRightInd w:val="0"/>
        <w:snapToGrid w:val="0"/>
        <w:spacing w:line="360" w:lineRule="auto"/>
        <w:ind w:firstLineChars="200" w:firstLine="640"/>
        <w:jc w:val="left"/>
      </w:pPr>
      <w:r>
        <w:rPr>
          <w:rFonts w:ascii="仿宋" w:eastAsia="仿宋" w:cs="仿宋" w:hAnsi="仿宋" w:hint="eastAsia"/>
          <w:sz w:val="32"/>
          <w:szCs w:val="32"/>
        </w:rPr>
        <w:t>雪峰街道下属二级预算单位0个，下设7个内设机构分别是：党政综合与社区建设办公室、党建工作办公室、综合行政执法办公室、综合治理办公室、公共服务办公室、发展保障办公室、应急管理办公室；设置3个一类事业单位，分别是：党群服务中心、社区事务中心、农业综合服务中心。</w:t>
      </w:r>
    </w:p>
    <w:p>
      <w:pPr>
        <w:overflowPunct w:val="0"/>
        <w:adjustRightInd w:val="0"/>
        <w:snapToGrid w:val="0"/>
        <w:spacing w:line="360" w:lineRule="auto"/>
        <w:ind w:firstLineChars="200" w:firstLine="640"/>
        <w:jc w:val="left"/>
        <w:rPr>
          <w:rFonts w:ascii="仿宋" w:eastAsia="仿宋" w:cs="仿宋" w:hAnsi="仿宋"/>
          <w:sz w:val="32"/>
        </w:rPr>
      </w:pPr>
      <w:r>
        <w:rPr>
          <w:rFonts w:ascii="仿宋" w:eastAsia="仿宋" w:cs="仿宋" w:hAnsi="仿宋" w:hint="eastAsia"/>
          <w:sz w:val="32"/>
        </w:rPr>
        <w:t>雪峰街道机关核定行政编制 23名，事业编制22名，机关工勤编制2名。2021年底雪峰街道机关在编的行政编制22名，事业编制24名；机关工勤人员事业编制2名；退休人员11名。</w:t>
      </w:r>
    </w:p>
    <w:p>
      <w:pPr>
        <w:pStyle w:val="1"/>
        <w:spacing w:line="240" w:lineRule="auto"/>
        <w:ind w:right="442"/>
        <w:jc w:val="center"/>
        <w:rPr>
          <w:rFonts w:ascii="黑体" w:eastAsia="黑体" w:hAnsi="黑体"/>
          <w:b w:val="0"/>
        </w:rPr>
      </w:pPr>
      <w:bookmarkStart w:id="26" w:name="_Toc28860"/>
      <w:r>
        <w:rPr>
          <w:rFonts w:ascii="黑体" w:eastAsia="黑体" w:hAnsi="黑体" w:hint="eastAsia"/>
          <w:b w:val="0"/>
        </w:rPr>
        <w:t>第二部分 2021年度</w:t>
      </w:r>
      <w:r>
        <w:rPr>
          <w:rStyle w:val="1Char"/>
          <w:rFonts w:ascii="黑体" w:eastAsia="黑体" w:hAnsi="黑体" w:hint="eastAsia"/>
          <w:b w:val="0"/>
          <w:bCs/>
        </w:rPr>
        <w:t>部门决算情况说明</w:t>
      </w:r>
      <w:bookmarkEnd w:id="24"/>
      <w:bookmarkEnd w:id="25"/>
      <w:bookmarkEnd w:id="26"/>
    </w:p>
    <w:p>
      <w:pPr>
        <w:spacing w:line="600" w:lineRule="exact"/>
        <w:ind w:left="641"/>
        <w:outlineLvl w:val="1"/>
        <w:rPr>
          <w:rStyle w:val="2Char"/>
          <w:rFonts w:ascii="黑体" w:eastAsia="黑体" w:hAnsi="黑体"/>
          <w:b w:val="0"/>
        </w:rPr>
      </w:pPr>
      <w:bookmarkStart w:id="27" w:name="_Toc15377205"/>
      <w:bookmarkStart w:id="28" w:name="_Toc15396603"/>
      <w:bookmarkStart w:id="29" w:name="_Toc7657"/>
      <w:r>
        <w:rPr>
          <w:rFonts w:ascii="黑体" w:eastAsia="黑体" w:hAnsi="黑体" w:hint="eastAsia"/>
          <w:sz w:val="32"/>
          <w:szCs w:val="32"/>
        </w:rPr>
        <w:t>一、收</w:t>
      </w:r>
      <w:r>
        <w:rPr>
          <w:rStyle w:val="2Char"/>
          <w:rFonts w:ascii="黑体" w:eastAsia="黑体" w:hAnsi="黑体" w:hint="eastAsia"/>
          <w:b w:val="0"/>
        </w:rPr>
        <w:t>入支出决算总体情况说明</w:t>
      </w:r>
      <w:bookmarkEnd w:id="27"/>
      <w:bookmarkEnd w:id="28"/>
      <w:bookmarkEnd w:id="29"/>
    </w:p>
    <w:p>
      <w:pPr>
        <w:spacing w:line="600" w:lineRule="exact"/>
        <w:ind w:firstLineChars="200" w:firstLine="640"/>
        <w:rPr>
          <w:rFonts w:ascii="仿宋" w:eastAsia="仿宋" w:hAnsi="仿宋" w:hint="eastAsia"/>
          <w:sz w:val="32"/>
          <w:szCs w:val="32"/>
          <w:lang w:eastAsia="zh-CN"/>
        </w:rPr>
      </w:pPr>
      <w:r>
        <w:rPr>
          <w:rFonts w:ascii="仿宋" w:eastAsia="仿宋" w:hAnsi="仿宋" w:hint="eastAsia"/>
          <w:sz w:val="32"/>
          <w:szCs w:val="32"/>
        </w:rPr>
        <w:t>2021年度收</w:t>
      </w:r>
      <w:r>
        <w:rPr>
          <w:rFonts w:ascii="仿宋" w:eastAsia="仿宋" w:hAnsi="仿宋" w:hint="eastAsia"/>
          <w:sz w:val="32"/>
          <w:szCs w:val="32"/>
          <w:lang w:eastAsia="zh-CN"/>
        </w:rPr>
        <w:t>、</w:t>
      </w:r>
      <w:r>
        <w:rPr>
          <w:rFonts w:ascii="仿宋" w:eastAsia="仿宋" w:hAnsi="仿宋" w:hint="eastAsia"/>
          <w:sz w:val="32"/>
          <w:szCs w:val="32"/>
        </w:rPr>
        <w:t>支总计1423.01万元。与2020年收</w:t>
      </w:r>
      <w:r>
        <w:rPr>
          <w:rFonts w:ascii="仿宋" w:eastAsia="仿宋" w:hAnsi="仿宋" w:hint="eastAsia"/>
          <w:sz w:val="32"/>
          <w:szCs w:val="32"/>
          <w:lang w:eastAsia="zh-CN"/>
        </w:rPr>
        <w:t>、</w:t>
      </w:r>
      <w:r>
        <w:rPr>
          <w:rFonts w:ascii="仿宋" w:eastAsia="仿宋" w:hAnsi="仿宋" w:hint="eastAsia"/>
          <w:sz w:val="32"/>
          <w:szCs w:val="32"/>
        </w:rPr>
        <w:t>支总计1045.73万元相比，收</w:t>
      </w:r>
      <w:r>
        <w:rPr>
          <w:rFonts w:ascii="仿宋" w:eastAsia="仿宋" w:hAnsi="仿宋" w:hint="eastAsia"/>
          <w:sz w:val="32"/>
          <w:szCs w:val="32"/>
          <w:lang w:eastAsia="zh-CN"/>
        </w:rPr>
        <w:t>、</w:t>
      </w:r>
      <w:r>
        <w:rPr>
          <w:rFonts w:ascii="仿宋" w:eastAsia="仿宋" w:hAnsi="仿宋" w:hint="eastAsia"/>
          <w:sz w:val="32"/>
          <w:szCs w:val="32"/>
        </w:rPr>
        <w:t>支增加377.28万元，增长36.08</w:t>
      </w:r>
      <w:r>
        <w:rPr>
          <w:rFonts w:ascii="仿宋" w:eastAsia="仿宋" w:hAnsi="仿宋"/>
          <w:sz w:val="32"/>
          <w:szCs w:val="32"/>
        </w:rPr>
        <w:t>%</w:t>
      </w:r>
      <w:r>
        <w:rPr>
          <w:rFonts w:ascii="仿宋" w:eastAsia="仿宋" w:hAnsi="仿宋" w:hint="eastAsia"/>
          <w:sz w:val="32"/>
          <w:szCs w:val="32"/>
        </w:rPr>
        <w:t>。主要变动原因是人员和项目的增加</w:t>
      </w:r>
      <w:r>
        <w:rPr>
          <w:rFonts w:ascii="仿宋" w:eastAsia="仿宋" w:hAnsi="仿宋" w:hint="eastAsia"/>
          <w:sz w:val="32"/>
          <w:szCs w:val="32"/>
          <w:lang w:eastAsia="zh-CN"/>
        </w:rPr>
        <w:t>。</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spacing w:line="600" w:lineRule="exact"/>
        <w:ind w:firstLineChars="200" w:firstLine="640"/>
        <w:jc w:val="left"/>
        <w:rPr>
          <w:rFonts w:ascii="仿宋_GB2312" w:eastAsia="仿宋_GB2312"/>
          <w:sz w:val="32"/>
          <w:szCs w:val="32"/>
        </w:rPr>
      </w:pPr>
    </w:p>
    <w:p>
      <w:pPr>
        <w:pStyle w:val="15"/>
        <w:spacing w:beforeLines="0" w:before="72"/>
        <w:rPr>
          <w:sz w:val="32"/>
          <w:szCs w:val="32"/>
        </w:rPr>
      </w:pPr>
      <w:r>
        <w:rPr>
          <w:color w:val="000000"/>
          <w:sz w:val="32"/>
          <w:szCs w:val="32"/>
        </w:rPr>
        <w:drawing>
          <wp:inline distT="0" distB="0" distL="0" distR="0">
            <wp:extent cx="5219700" cy="3067050"/>
            <wp:effectExtent l="0" t="0" r="0" b="0"/>
            <wp:docPr id="1" name="图表 8"/>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ind w:left="641"/>
        <w:outlineLvl w:val="1"/>
        <w:rPr>
          <w:rStyle w:val="2Char"/>
          <w:rFonts w:ascii="黑体" w:eastAsia="黑体" w:hAnsi="黑体"/>
          <w:b w:val="0"/>
        </w:rPr>
      </w:pPr>
      <w:bookmarkStart w:id="30" w:name="_Toc15377206"/>
      <w:bookmarkStart w:id="31" w:name="_Toc15396604"/>
      <w:bookmarkStart w:id="32" w:name="_Toc28438"/>
      <w:r>
        <w:rPr>
          <w:rFonts w:ascii="黑体" w:eastAsia="黑体" w:hAnsi="黑体" w:hint="eastAsia"/>
          <w:sz w:val="32"/>
          <w:szCs w:val="32"/>
        </w:rPr>
        <w:t>二、收</w:t>
      </w:r>
      <w:r>
        <w:rPr>
          <w:rStyle w:val="2Char"/>
          <w:rFonts w:ascii="黑体" w:eastAsia="黑体" w:hAnsi="黑体" w:hint="eastAsia"/>
          <w:b w:val="0"/>
        </w:rPr>
        <w:t>入决算情况说明</w:t>
      </w:r>
      <w:bookmarkEnd w:id="30"/>
      <w:bookmarkEnd w:id="31"/>
      <w:bookmarkEnd w:id="32"/>
    </w:p>
    <w:p>
      <w:pPr>
        <w:spacing w:line="600" w:lineRule="exact"/>
        <w:ind w:firstLineChars="200" w:firstLine="640"/>
        <w:rPr>
          <w:rFonts w:ascii="仿宋" w:eastAsia="仿宋" w:hAnsi="仿宋" w:hint="eastAsia"/>
          <w:sz w:val="32"/>
          <w:szCs w:val="32"/>
        </w:rPr>
      </w:pPr>
      <w:r>
        <w:rPr>
          <w:rFonts w:ascii="仿宋" w:eastAsia="仿宋" w:hAnsi="仿宋"/>
          <w:sz w:val="32"/>
          <w:szCs w:val="32"/>
        </w:rPr>
        <w:t>20</w:t>
      </w:r>
      <w:r>
        <w:rPr>
          <w:rFonts w:ascii="仿宋" w:eastAsia="仿宋" w:hAnsi="仿宋" w:hint="eastAsia"/>
          <w:sz w:val="32"/>
          <w:szCs w:val="32"/>
        </w:rPr>
        <w:t>21年本年收入合计1157.72万元，其中：一般公共预算财政拨款收入1157.72万元，占100</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01表）</w:t>
      </w:r>
    </w:p>
    <w:p>
      <w:pPr>
        <w:spacing w:line="600" w:lineRule="exact"/>
        <w:jc w:val="center"/>
        <w:rPr>
          <w:rFonts w:ascii="仿宋" w:eastAsia="仿宋" w:hAnsi="仿宋"/>
          <w:sz w:val="32"/>
          <w:szCs w:val="32"/>
        </w:rPr>
      </w:pPr>
      <w:r>
        <w:rPr>
          <w:rFonts w:ascii="仿宋" w:eastAsia="仿宋" w:hAnsi="仿宋" w:hint="eastAsia"/>
          <w:sz w:val="32"/>
          <w:szCs w:val="32"/>
        </w:rPr>
        <w:t>（图2：收入决算结构图）（饼状图）</w:t>
      </w:r>
    </w:p>
    <w:p>
      <w:pPr>
        <w:pStyle w:val="15"/>
        <w:spacing w:beforeLines="0" w:before="72"/>
      </w:pPr>
      <w:r>
        <w:rPr>
          <w:color w:val="000000"/>
          <w:sz w:val="32"/>
          <w:szCs w:val="32"/>
        </w:rPr>
        <w:drawing>
          <wp:inline distT="0" distB="0" distL="0" distR="0">
            <wp:extent cx="5041900" cy="2519680"/>
            <wp:effectExtent l="0" t="0" r="0" b="0"/>
            <wp:docPr id="2" name="图表 2"/>
            <wp:cNvGraphicFramePr>
              <a:graphicFrameLocks noChangeAspect="1"/>
            </wp:cNvGraphicFramePr>
            <a:graphic>
              <a:graphicData uri="http://schemas.openxmlformats.org/drawingml/2006/chart">
                <c:chart xmlns:c="http://schemas.openxmlformats.org/drawingml/2006/chart" r:id="rId5"/>
              </a:graphicData>
            </a:graphic>
          </wp:inline>
        </w:drawing>
      </w:r>
    </w:p>
    <w:p>
      <w:pPr>
        <w:spacing w:line="600" w:lineRule="exact"/>
        <w:ind w:left="641"/>
        <w:outlineLvl w:val="1"/>
        <w:rPr>
          <w:rFonts w:ascii="黑体" w:eastAsia="黑体" w:cs="Times New Roman" w:hAnsi="黑体"/>
          <w:bCs/>
          <w:sz w:val="32"/>
          <w:szCs w:val="32"/>
        </w:rPr>
      </w:pPr>
      <w:bookmarkStart w:id="33" w:name="_Toc15396605"/>
      <w:bookmarkStart w:id="34" w:name="_Toc15377207"/>
      <w:bookmarkStart w:id="35" w:name="_Toc29474"/>
      <w:r>
        <w:rPr>
          <w:rFonts w:ascii="黑体" w:eastAsia="黑体" w:hAnsi="黑体" w:hint="eastAsia"/>
          <w:sz w:val="32"/>
          <w:szCs w:val="32"/>
        </w:rPr>
        <w:t>三、支</w:t>
      </w:r>
      <w:r>
        <w:rPr>
          <w:rStyle w:val="2Char"/>
          <w:rFonts w:ascii="黑体" w:eastAsia="黑体" w:hAnsi="黑体" w:hint="eastAsia"/>
          <w:b w:val="0"/>
        </w:rPr>
        <w:t>出决算情况说明</w:t>
      </w:r>
      <w:bookmarkEnd w:id="33"/>
      <w:bookmarkEnd w:id="34"/>
      <w:bookmarkEnd w:id="35"/>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21年本年支出合计1273.21万元，其中：基本支出1013.92万元，占79.63</w:t>
      </w:r>
      <w:r>
        <w:rPr>
          <w:rFonts w:ascii="仿宋" w:eastAsia="仿宋" w:hAnsi="仿宋"/>
          <w:sz w:val="32"/>
          <w:szCs w:val="32"/>
        </w:rPr>
        <w:t>%</w:t>
      </w:r>
      <w:r>
        <w:rPr>
          <w:rFonts w:ascii="仿宋" w:eastAsia="仿宋" w:hAnsi="仿宋" w:hint="eastAsia"/>
          <w:sz w:val="32"/>
          <w:szCs w:val="32"/>
        </w:rPr>
        <w:t>；项目支出259.29万元，占20.37</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04</w:t>
      </w:r>
      <w:r>
        <w:rPr>
          <w:rFonts w:ascii="仿宋" w:eastAsia="仿宋" w:hAnsi="仿宋" w:hint="eastAsia"/>
          <w:b/>
          <w:sz w:val="32"/>
          <w:szCs w:val="32"/>
        </w:rPr>
        <w:t>表。）</w:t>
      </w:r>
    </w:p>
    <w:p>
      <w:pPr>
        <w:spacing w:line="600" w:lineRule="exact"/>
        <w:jc w:val="center"/>
        <w:rPr>
          <w:rFonts w:ascii="仿宋" w:eastAsia="仿宋" w:hAnsi="仿宋"/>
          <w:sz w:val="32"/>
          <w:szCs w:val="32"/>
        </w:rPr>
      </w:pPr>
      <w:r>
        <w:rPr>
          <w:rFonts w:ascii="仿宋" w:eastAsia="仿宋" w:hAnsi="仿宋" w:hint="eastAsia"/>
          <w:sz w:val="32"/>
          <w:szCs w:val="32"/>
        </w:rPr>
        <w:t>（图3：支出决算结构图）（饼状图）</w:t>
      </w:r>
    </w:p>
    <w:p>
      <w:pPr>
        <w:jc w:val="center"/>
        <w:rPr>
          <w:rFonts w:ascii="仿宋_GB2312" w:eastAsia="仿宋_GB2312"/>
          <w:sz w:val="32"/>
          <w:szCs w:val="32"/>
        </w:rPr>
      </w:pPr>
      <w:r>
        <w:rPr>
          <w:rFonts w:ascii="仿宋_GB2312" w:eastAsia="仿宋_GB2312"/>
          <w:color w:val="000000"/>
          <w:sz w:val="32"/>
          <w:szCs w:val="32"/>
        </w:rPr>
        <w:drawing>
          <wp:inline distT="0" distB="0" distL="0" distR="0">
            <wp:extent cx="4837429" cy="2519680"/>
            <wp:effectExtent l="0" t="0" r="0" b="0"/>
            <wp:docPr id="3" name="图表 3"/>
            <wp:cNvGraphicFramePr>
              <a:graphicFrameLocks noChangeAspect="1"/>
            </wp:cNvGraphicFramePr>
            <a:graphic>
              <a:graphicData uri="http://schemas.openxmlformats.org/drawingml/2006/chart">
                <c:chart xmlns:c="http://schemas.openxmlformats.org/drawingml/2006/chart" r:id="rId6"/>
              </a:graphicData>
            </a:graphic>
          </wp:inline>
        </w:drawing>
      </w:r>
    </w:p>
    <w:p>
      <w:pPr>
        <w:spacing w:line="600" w:lineRule="exact"/>
        <w:ind w:left="641"/>
        <w:outlineLvl w:val="1"/>
        <w:rPr>
          <w:rFonts w:ascii="黑体" w:eastAsia="黑体" w:cs="Times New Roman" w:hAnsi="黑体"/>
          <w:bCs/>
          <w:sz w:val="32"/>
          <w:szCs w:val="32"/>
        </w:rPr>
      </w:pPr>
      <w:bookmarkStart w:id="36" w:name="_Toc15377208"/>
      <w:bookmarkStart w:id="37" w:name="_Toc15396606"/>
      <w:bookmarkStart w:id="38" w:name="_Toc1515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6"/>
      <w:bookmarkEnd w:id="37"/>
      <w:bookmarkEnd w:id="38"/>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Pr>
          <w:rFonts w:ascii="仿宋" w:eastAsia="仿宋" w:hAnsi="仿宋"/>
          <w:sz w:val="32"/>
          <w:szCs w:val="32"/>
        </w:rPr>
        <w:t>1423.01</w:t>
      </w:r>
      <w:r>
        <w:rPr>
          <w:rFonts w:ascii="仿宋" w:eastAsia="仿宋" w:hAnsi="仿宋" w:hint="eastAsia"/>
          <w:sz w:val="32"/>
          <w:szCs w:val="32"/>
        </w:rPr>
        <w:t>万元。与2020年收、支总计1045.73万元，收、支增加377.28万元，收、支增长36.08</w:t>
      </w:r>
      <w:r>
        <w:rPr>
          <w:rFonts w:ascii="仿宋" w:eastAsia="仿宋" w:hAnsi="仿宋"/>
          <w:sz w:val="32"/>
          <w:szCs w:val="32"/>
        </w:rPr>
        <w:t>%</w:t>
      </w:r>
      <w:r>
        <w:rPr>
          <w:rFonts w:ascii="仿宋" w:eastAsia="仿宋" w:hAnsi="仿宋" w:hint="eastAsia"/>
          <w:sz w:val="32"/>
          <w:szCs w:val="32"/>
        </w:rPr>
        <w:t>。主要变动原因是人员和项目增加。</w:t>
      </w:r>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01-1</w:t>
      </w:r>
      <w:r>
        <w:rPr>
          <w:rFonts w:ascii="仿宋" w:eastAsia="仿宋" w:hAnsi="仿宋" w:hint="eastAsia"/>
          <w:b/>
          <w:sz w:val="32"/>
          <w:szCs w:val="32"/>
        </w:rPr>
        <w:t>表</w:t>
      </w:r>
      <w:r>
        <w:rPr>
          <w:rFonts w:ascii="仿宋" w:eastAsia="仿宋" w:hAnsi="仿宋"/>
          <w:b/>
          <w:sz w:val="32"/>
          <w:szCs w:val="32"/>
        </w:rPr>
        <w:t>）</w:t>
      </w:r>
    </w:p>
    <w:p>
      <w:pPr>
        <w:spacing w:line="600" w:lineRule="exact"/>
        <w:jc w:val="center"/>
        <w:rPr>
          <w:rFonts w:ascii="仿宋" w:eastAsia="仿宋" w:hAnsi="仿宋"/>
          <w:sz w:val="32"/>
          <w:szCs w:val="32"/>
        </w:rPr>
      </w:pPr>
      <w:r>
        <w:rPr>
          <w:rFonts w:ascii="仿宋" w:eastAsia="仿宋" w:hAnsi="仿宋" w:hint="eastAsia"/>
          <w:sz w:val="32"/>
          <w:szCs w:val="32"/>
        </w:rPr>
        <w:t>（图4：财政拨款收、支决算总计变动情况）（柱状图）</w:t>
      </w:r>
    </w:p>
    <w:p>
      <w:pPr>
        <w:jc w:val="center"/>
        <w:rPr>
          <w:rFonts w:ascii="仿宋" w:eastAsia="仿宋" w:hAnsi="仿宋"/>
          <w:b/>
          <w:sz w:val="32"/>
          <w:szCs w:val="32"/>
        </w:rPr>
      </w:pPr>
      <w:r>
        <w:rPr>
          <w:rFonts w:ascii="仿宋_GB2312" w:eastAsia="仿宋_GB2312"/>
          <w:color w:val="000000"/>
          <w:sz w:val="32"/>
          <w:szCs w:val="32"/>
        </w:rPr>
        <w:drawing>
          <wp:inline distT="0" distB="0" distL="0" distR="0">
            <wp:extent cx="5256530" cy="2115185"/>
            <wp:effectExtent l="0" t="0" r="0" b="0"/>
            <wp:docPr id="4" name="图表 4"/>
            <wp:cNvGraphicFramePr>
              <a:graphicFrameLocks noChangeAspect="1"/>
            </wp:cNvGraphicFramePr>
            <a:graphic>
              <a:graphicData uri="http://schemas.openxmlformats.org/drawingml/2006/chart">
                <c:chart xmlns:c="http://schemas.openxmlformats.org/drawingml/2006/chart" r:id="rId7"/>
              </a:graphicData>
            </a:graphic>
          </wp:inline>
        </w:drawing>
      </w:r>
    </w:p>
    <w:p>
      <w:pPr>
        <w:spacing w:line="600" w:lineRule="exact"/>
        <w:ind w:firstLineChars="200" w:firstLine="640"/>
        <w:outlineLvl w:val="1"/>
        <w:rPr>
          <w:rStyle w:val="2Char"/>
          <w:rFonts w:ascii="黑体" w:eastAsia="黑体" w:hAnsi="黑体"/>
          <w:b w:val="0"/>
        </w:rPr>
      </w:pPr>
      <w:bookmarkStart w:id="39" w:name="_Toc15377209"/>
      <w:bookmarkStart w:id="40" w:name="_Toc15396607"/>
      <w:bookmarkStart w:id="41" w:name="_Toc3007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9"/>
      <w:bookmarkEnd w:id="40"/>
      <w:bookmarkEnd w:id="41"/>
    </w:p>
    <w:p>
      <w:pPr>
        <w:spacing w:line="600" w:lineRule="exact"/>
        <w:ind w:firstLineChars="200" w:firstLine="640"/>
        <w:outlineLvl w:val="2"/>
        <w:rPr>
          <w:rFonts w:ascii="楷体" w:eastAsia="楷体" w:hAnsi="楷体"/>
          <w:sz w:val="32"/>
          <w:szCs w:val="32"/>
        </w:rPr>
      </w:pPr>
      <w:bookmarkStart w:id="42" w:name="_Toc15377210"/>
      <w:bookmarkStart w:id="43" w:name="_Toc8594"/>
      <w:r>
        <w:rPr>
          <w:rFonts w:ascii="楷体" w:eastAsia="楷体" w:hAnsi="楷体" w:hint="eastAsia"/>
          <w:sz w:val="32"/>
          <w:szCs w:val="32"/>
        </w:rPr>
        <w:t>（一）一般公共预算财政拨款支出决算总体情况</w:t>
      </w:r>
      <w:bookmarkEnd w:id="42"/>
      <w:bookmarkEnd w:id="43"/>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21年一般公共预算财政拨款支出1273.21万元，占本年支出合计的100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w:t>
      </w:r>
      <w:r>
        <w:rPr>
          <w:rFonts w:ascii="仿宋" w:eastAsia="仿宋" w:hAnsi="仿宋" w:hint="eastAsia"/>
          <w:color w:val="000000"/>
          <w:sz w:val="32"/>
          <w:szCs w:val="32"/>
        </w:rPr>
        <w:t>一般公共预算财政拨款支出769.83万元</w:t>
      </w:r>
      <w:r>
        <w:rPr>
          <w:rFonts w:ascii="仿宋" w:eastAsia="仿宋" w:hAnsi="仿宋" w:hint="eastAsia"/>
          <w:sz w:val="32"/>
          <w:szCs w:val="32"/>
        </w:rPr>
        <w:t>相比，增加503.38万元，增长65.39</w:t>
      </w:r>
      <w:r>
        <w:rPr>
          <w:rFonts w:ascii="仿宋" w:eastAsia="仿宋" w:hAnsi="仿宋"/>
          <w:sz w:val="32"/>
          <w:szCs w:val="32"/>
        </w:rPr>
        <w:t>%</w:t>
      </w:r>
      <w:r>
        <w:rPr>
          <w:rFonts w:ascii="仿宋" w:eastAsia="仿宋" w:hAnsi="仿宋" w:hint="eastAsia"/>
          <w:sz w:val="32"/>
          <w:szCs w:val="32"/>
        </w:rPr>
        <w:t>。主要变动原因是社区干部工资调整及项目增加。</w:t>
      </w:r>
    </w:p>
    <w:p>
      <w:pPr>
        <w:spacing w:line="600" w:lineRule="exact"/>
        <w:jc w:val="center"/>
        <w:rPr>
          <w:rFonts w:ascii="仿宋" w:eastAsia="仿宋" w:hAnsi="仿宋"/>
          <w:sz w:val="32"/>
          <w:szCs w:val="32"/>
        </w:rPr>
      </w:pPr>
      <w:r>
        <w:rPr>
          <w:rFonts w:ascii="仿宋" w:eastAsia="仿宋" w:hAnsi="仿宋" w:hint="eastAsia"/>
          <w:sz w:val="32"/>
          <w:szCs w:val="32"/>
        </w:rPr>
        <w:t>（图5：一般公共预算财政拨款支出决算变动情况）（柱状图）</w:t>
      </w:r>
    </w:p>
    <w:p>
      <w:pPr>
        <w:rPr>
          <w:rFonts w:ascii="仿宋" w:eastAsia="仿宋" w:hAnsi="仿宋"/>
          <w:sz w:val="32"/>
          <w:szCs w:val="32"/>
        </w:rPr>
      </w:pPr>
      <w:r>
        <w:rPr>
          <w:rFonts w:ascii="仿宋_GB2312" w:eastAsia="仿宋_GB2312"/>
          <w:color w:val="000000"/>
          <w:sz w:val="32"/>
          <w:szCs w:val="32"/>
        </w:rPr>
        <w:drawing>
          <wp:inline distT="0" distB="0" distL="0" distR="0">
            <wp:extent cx="5256530" cy="1814829"/>
            <wp:effectExtent l="0" t="0" r="0" b="0"/>
            <wp:docPr id="5" name="图表 5"/>
            <wp:cNvGraphicFramePr>
              <a:graphicFrameLocks noChangeAspect="1"/>
            </wp:cNvGraphicFramePr>
            <a:graphic>
              <a:graphicData uri="http://schemas.openxmlformats.org/drawingml/2006/chart">
                <c:chart xmlns:c="http://schemas.openxmlformats.org/drawingml/2006/chart" r:id="rId8"/>
              </a:graphicData>
            </a:graphic>
          </wp:inline>
        </w:drawing>
      </w:r>
    </w:p>
    <w:p>
      <w:pPr>
        <w:spacing w:line="600" w:lineRule="exact"/>
        <w:ind w:firstLineChars="200" w:firstLine="640"/>
        <w:outlineLvl w:val="2"/>
        <w:rPr>
          <w:rFonts w:ascii="楷体" w:eastAsia="楷体" w:hAnsi="楷体"/>
          <w:sz w:val="32"/>
          <w:szCs w:val="32"/>
        </w:rPr>
      </w:pPr>
      <w:bookmarkStart w:id="44" w:name="_Toc15377211"/>
      <w:bookmarkStart w:id="45" w:name="_Toc5443"/>
      <w:r>
        <w:rPr>
          <w:rFonts w:ascii="楷体" w:eastAsia="楷体" w:hAnsi="楷体" w:hint="eastAsia"/>
          <w:sz w:val="32"/>
          <w:szCs w:val="32"/>
        </w:rPr>
        <w:t>（二）一般公共预算财政拨款支出决算结构情况</w:t>
      </w:r>
      <w:bookmarkEnd w:id="44"/>
      <w:bookmarkEnd w:id="45"/>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21年一般公共预算财政拨款支出1273.21万元，主要用于以下方面：</w:t>
      </w:r>
      <w:r>
        <w:rPr>
          <w:rFonts w:ascii="仿宋" w:eastAsia="仿宋" w:hAnsi="仿宋" w:hint="eastAsia"/>
          <w:b/>
          <w:sz w:val="32"/>
          <w:szCs w:val="32"/>
        </w:rPr>
        <w:t>一般公共服务（类）</w:t>
      </w:r>
      <w:r>
        <w:rPr>
          <w:rFonts w:ascii="仿宋" w:eastAsia="仿宋" w:hAnsi="仿宋" w:hint="eastAsia"/>
          <w:sz w:val="32"/>
          <w:szCs w:val="32"/>
        </w:rPr>
        <w:t>支出518.69万元，占40.74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w:t>
      </w:r>
      <w:r>
        <w:rPr>
          <w:rFonts w:ascii="仿宋" w:eastAsia="仿宋" w:hAnsi="仿宋" w:hint="eastAsia"/>
          <w:b/>
          <w:sz w:val="32"/>
          <w:szCs w:val="32"/>
        </w:rPr>
        <w:t>（类）</w:t>
      </w:r>
      <w:r>
        <w:rPr>
          <w:rFonts w:ascii="仿宋" w:eastAsia="仿宋" w:hAnsi="仿宋" w:hint="eastAsia"/>
          <w:sz w:val="32"/>
          <w:szCs w:val="32"/>
        </w:rPr>
        <w:t>支出11.55万元，占0.91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支出150.82万元，占11.85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Pr>
          <w:rFonts w:ascii="仿宋" w:eastAsia="仿宋" w:hAnsi="仿宋" w:hint="eastAsia"/>
          <w:b/>
          <w:sz w:val="32"/>
          <w:szCs w:val="32"/>
        </w:rPr>
        <w:t>（类）</w:t>
      </w:r>
      <w:r>
        <w:rPr>
          <w:rFonts w:ascii="仿宋" w:eastAsia="仿宋" w:hAnsi="仿宋" w:hint="eastAsia"/>
          <w:b/>
          <w:bCs/>
          <w:sz w:val="32"/>
          <w:szCs w:val="32"/>
        </w:rPr>
        <w:t>支出</w:t>
      </w:r>
      <w:r>
        <w:rPr>
          <w:rFonts w:ascii="仿宋" w:eastAsia="仿宋" w:hAnsi="仿宋" w:hint="eastAsia"/>
          <w:sz w:val="32"/>
          <w:szCs w:val="32"/>
        </w:rPr>
        <w:t>29.83万元，占2.34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color w:val="000000"/>
          <w:sz w:val="32"/>
          <w:szCs w:val="32"/>
        </w:rPr>
        <w:t>城乡社区</w:t>
      </w:r>
      <w:r>
        <w:rPr>
          <w:rFonts w:ascii="仿宋" w:eastAsia="仿宋" w:hAnsi="仿宋" w:hint="eastAsia"/>
          <w:b/>
          <w:sz w:val="32"/>
          <w:szCs w:val="32"/>
        </w:rPr>
        <w:t>（类）</w:t>
      </w:r>
      <w:r>
        <w:rPr>
          <w:rFonts w:ascii="仿宋" w:eastAsia="仿宋" w:hAnsi="仿宋" w:hint="eastAsia"/>
          <w:color w:val="000000"/>
          <w:sz w:val="32"/>
          <w:szCs w:val="32"/>
        </w:rPr>
        <w:t>支出110.36万元，</w:t>
      </w:r>
      <w:r>
        <w:rPr>
          <w:rFonts w:ascii="仿宋" w:eastAsia="仿宋" w:hAnsi="仿宋" w:hint="eastAsia"/>
          <w:sz w:val="32"/>
          <w:szCs w:val="32"/>
        </w:rPr>
        <w:t>占8.67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color w:val="000000"/>
          <w:sz w:val="32"/>
          <w:szCs w:val="32"/>
        </w:rPr>
        <w:t>农林水</w:t>
      </w:r>
      <w:r>
        <w:rPr>
          <w:rFonts w:ascii="仿宋" w:eastAsia="仿宋" w:hAnsi="仿宋" w:hint="eastAsia"/>
          <w:b/>
          <w:sz w:val="32"/>
          <w:szCs w:val="32"/>
        </w:rPr>
        <w:t>（类）</w:t>
      </w:r>
      <w:r>
        <w:rPr>
          <w:rFonts w:ascii="仿宋" w:eastAsia="仿宋" w:hAnsi="仿宋" w:hint="eastAsia"/>
          <w:color w:val="000000"/>
          <w:sz w:val="32"/>
          <w:szCs w:val="32"/>
        </w:rPr>
        <w:t>支出408.76万元，占32.10%；</w:t>
      </w:r>
      <w:r>
        <w:rPr>
          <w:rFonts w:ascii="仿宋" w:eastAsia="仿宋" w:hAnsi="仿宋" w:hint="eastAsia"/>
          <w:b/>
          <w:bCs/>
          <w:sz w:val="32"/>
          <w:szCs w:val="32"/>
        </w:rPr>
        <w:t>住房保障</w:t>
      </w:r>
      <w:r>
        <w:rPr>
          <w:rFonts w:ascii="仿宋" w:eastAsia="仿宋" w:hAnsi="仿宋" w:hint="eastAsia"/>
          <w:b/>
          <w:sz w:val="32"/>
          <w:szCs w:val="32"/>
        </w:rPr>
        <w:t>（类）</w:t>
      </w:r>
      <w:r>
        <w:rPr>
          <w:rFonts w:ascii="仿宋" w:eastAsia="仿宋" w:hAnsi="仿宋" w:hint="eastAsia"/>
          <w:sz w:val="32"/>
          <w:szCs w:val="32"/>
        </w:rPr>
        <w:t>支出33.19万元，占2.61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灾害防治及应急管理</w:t>
      </w:r>
      <w:r>
        <w:rPr>
          <w:rFonts w:ascii="仿宋" w:eastAsia="仿宋" w:hAnsi="仿宋" w:hint="eastAsia"/>
          <w:b/>
          <w:sz w:val="32"/>
          <w:szCs w:val="32"/>
        </w:rPr>
        <w:t>（类）</w:t>
      </w:r>
      <w:r>
        <w:rPr>
          <w:rFonts w:ascii="仿宋" w:eastAsia="仿宋" w:hAnsi="仿宋" w:hint="eastAsia"/>
          <w:sz w:val="32"/>
          <w:szCs w:val="32"/>
        </w:rPr>
        <w:t>支出10万元，占0.79%。</w:t>
      </w:r>
    </w:p>
    <w:p>
      <w:pPr>
        <w:spacing w:line="600" w:lineRule="exact"/>
        <w:ind w:firstLine="640"/>
        <w:rPr>
          <w:rFonts w:ascii="仿宋" w:eastAsia="仿宋" w:hAnsi="仿宋"/>
          <w:b/>
          <w:sz w:val="32"/>
          <w:szCs w:val="32"/>
        </w:rPr>
      </w:pPr>
      <w:r>
        <w:rPr>
          <w:rFonts w:ascii="仿宋" w:eastAsia="仿宋" w:hAnsi="仿宋" w:hint="eastAsia"/>
          <w:b/>
          <w:sz w:val="32"/>
          <w:szCs w:val="32"/>
        </w:rPr>
        <w:t>（注：数据来源于财决01-1表）</w:t>
      </w:r>
    </w:p>
    <w:p>
      <w:pPr>
        <w:spacing w:line="600" w:lineRule="exact"/>
        <w:jc w:val="center"/>
        <w:rPr>
          <w:rFonts w:ascii="仿宋" w:eastAsia="仿宋" w:hAnsi="仿宋"/>
          <w:sz w:val="32"/>
          <w:szCs w:val="32"/>
        </w:rPr>
      </w:pPr>
      <w:r>
        <w:rPr>
          <w:rFonts w:ascii="仿宋" w:eastAsia="仿宋" w:hAnsi="仿宋" w:hint="eastAsia"/>
          <w:sz w:val="32"/>
          <w:szCs w:val="32"/>
        </w:rPr>
        <w:t>（图6：一般公共预算财政拨款支出决算结构）（饼状图）</w:t>
      </w:r>
    </w:p>
    <w:p>
      <w:pPr>
        <w:rPr>
          <w:rFonts w:ascii="仿宋" w:eastAsia="仿宋" w:hAnsi="仿宋"/>
          <w:sz w:val="32"/>
          <w:szCs w:val="32"/>
        </w:rPr>
      </w:pPr>
      <w:r>
        <w:rPr>
          <w:rFonts w:ascii="仿宋_GB2312" w:eastAsia="仿宋_GB2312"/>
          <w:color w:val="000000"/>
          <w:sz w:val="32"/>
          <w:szCs w:val="32"/>
        </w:rPr>
        <w:drawing>
          <wp:inline distT="0" distB="0" distL="0" distR="0">
            <wp:extent cx="5219700" cy="3431540"/>
            <wp:effectExtent l="0" t="0" r="0" b="0"/>
            <wp:docPr id="6" name="图表 6"/>
            <wp:cNvGraphicFramePr>
              <a:graphicFrameLocks noChangeAspect="1"/>
            </wp:cNvGraphicFramePr>
            <a:graphic>
              <a:graphicData uri="http://schemas.openxmlformats.org/drawingml/2006/chart">
                <c:chart xmlns:c="http://schemas.openxmlformats.org/drawingml/2006/chart" r:id="rId9"/>
              </a:graphicData>
            </a:graphic>
          </wp:inline>
        </w:drawing>
      </w:r>
    </w:p>
    <w:p>
      <w:pPr>
        <w:spacing w:line="600" w:lineRule="exact"/>
        <w:ind w:firstLineChars="200" w:firstLine="640"/>
        <w:outlineLvl w:val="2"/>
        <w:rPr>
          <w:rFonts w:ascii="楷体" w:eastAsia="楷体" w:hAnsi="楷体"/>
          <w:sz w:val="32"/>
          <w:szCs w:val="32"/>
        </w:rPr>
      </w:pPr>
      <w:bookmarkStart w:id="46" w:name="_Toc15377212"/>
      <w:bookmarkStart w:id="47" w:name="_Toc30799"/>
      <w:r>
        <w:rPr>
          <w:rFonts w:ascii="楷体" w:eastAsia="楷体" w:hAnsi="楷体" w:hint="eastAsia"/>
          <w:sz w:val="32"/>
          <w:szCs w:val="32"/>
        </w:rPr>
        <w:t>（三）一般公共预算财政拨款支出决算具体情况</w:t>
      </w:r>
      <w:bookmarkEnd w:id="46"/>
      <w:bookmarkEnd w:id="47"/>
    </w:p>
    <w:p>
      <w:pPr>
        <w:spacing w:line="600" w:lineRule="exact"/>
        <w:ind w:firstLineChars="200" w:firstLine="640"/>
        <w:rPr>
          <w:rFonts w:ascii="仿宋" w:eastAsia="仿宋" w:hAnsi="仿宋"/>
          <w:sz w:val="32"/>
          <w:szCs w:val="32"/>
        </w:rPr>
      </w:pPr>
      <w:bookmarkStart w:id="48" w:name="_Toc15377444"/>
      <w:bookmarkStart w:id="49" w:name="_Toc15377213"/>
      <w:bookmarkStart w:id="50" w:name="_Toc15378460"/>
      <w:bookmarkStart w:id="51" w:name="_Toc145927262"/>
      <w:r>
        <w:rPr>
          <w:rFonts w:ascii="仿宋" w:eastAsia="仿宋" w:hAnsi="仿宋" w:hint="eastAsia"/>
          <w:b/>
          <w:sz w:val="32"/>
          <w:szCs w:val="32"/>
        </w:rPr>
        <w:t>2021年一般公共预算支出决算数为</w:t>
      </w:r>
      <w:r>
        <w:rPr>
          <w:rFonts w:ascii="仿宋" w:eastAsia="仿宋" w:hAnsi="仿宋" w:hint="eastAsia"/>
          <w:sz w:val="32"/>
          <w:szCs w:val="32"/>
        </w:rPr>
        <w:t>1273.21万元，</w:t>
      </w:r>
      <w:r>
        <w:rPr>
          <w:rStyle w:val="25"/>
          <w:rFonts w:ascii="仿宋" w:eastAsia="仿宋" w:hAnsi="仿宋" w:hint="eastAsia"/>
          <w:bCs/>
          <w:sz w:val="32"/>
          <w:szCs w:val="32"/>
        </w:rPr>
        <w:t>完成预算100</w:t>
      </w:r>
      <w:r>
        <w:rPr>
          <w:rStyle w:val="25"/>
          <w:rFonts w:ascii="仿宋" w:eastAsia="仿宋" w:hAnsi="仿宋"/>
          <w:bCs/>
          <w:sz w:val="32"/>
          <w:szCs w:val="32"/>
        </w:rPr>
        <w:t>%</w:t>
      </w:r>
      <w:r>
        <w:rPr>
          <w:rStyle w:val="25"/>
          <w:rFonts w:ascii="仿宋" w:eastAsia="仿宋" w:hAnsi="仿宋" w:hint="eastAsia"/>
          <w:bCs/>
          <w:sz w:val="32"/>
          <w:szCs w:val="32"/>
        </w:rPr>
        <w:t>。其中：</w:t>
      </w:r>
      <w:bookmarkEnd w:id="48"/>
      <w:bookmarkEnd w:id="49"/>
      <w:bookmarkEnd w:id="50"/>
      <w:bookmarkEnd w:id="51"/>
    </w:p>
    <w:p>
      <w:pPr>
        <w:overflowPunct w:val="0"/>
        <w:adjustRightInd w:val="0"/>
        <w:snapToGrid w:val="0"/>
        <w:spacing w:line="580" w:lineRule="exact"/>
        <w:ind w:firstLineChars="200" w:firstLine="640"/>
        <w:rPr>
          <w:rFonts w:ascii="仿宋" w:eastAsia="仿宋" w:hAnsi="仿宋"/>
          <w:color w:val="000000"/>
          <w:sz w:val="32"/>
          <w:szCs w:val="32"/>
        </w:rPr>
      </w:pPr>
      <w:r>
        <w:rPr>
          <w:rStyle w:val="25"/>
          <w:rFonts w:ascii="仿宋" w:eastAsia="仿宋" w:hAnsi="仿宋"/>
          <w:bCs/>
          <w:sz w:val="32"/>
          <w:szCs w:val="32"/>
        </w:rPr>
        <w:t>1.</w:t>
      </w:r>
      <w:r>
        <w:rPr>
          <w:rStyle w:val="25"/>
          <w:rFonts w:ascii="仿宋" w:eastAsia="仿宋" w:hAnsi="仿宋" w:hint="eastAsia"/>
          <w:bCs/>
          <w:sz w:val="32"/>
          <w:szCs w:val="32"/>
        </w:rPr>
        <w:t>一般公共服务（类）人大事务（款）代表工作（项）</w:t>
      </w:r>
      <w:r>
        <w:rPr>
          <w:rStyle w:val="25"/>
          <w:rFonts w:ascii="仿宋" w:eastAsia="仿宋" w:hAnsi="仿宋"/>
          <w:bCs/>
          <w:sz w:val="32"/>
          <w:szCs w:val="32"/>
        </w:rPr>
        <w:t>:</w:t>
      </w:r>
      <w:r>
        <w:rPr>
          <w:rStyle w:val="25"/>
          <w:rFonts w:ascii="仿宋" w:eastAsia="仿宋" w:hAnsi="仿宋"/>
          <w:b w:val="0"/>
          <w:bCs/>
          <w:sz w:val="32"/>
          <w:szCs w:val="32"/>
        </w:rPr>
        <w:t>支出</w:t>
      </w:r>
      <w:r>
        <w:rPr>
          <w:rStyle w:val="25"/>
          <w:rFonts w:ascii="仿宋" w:eastAsia="仿宋" w:hAnsi="仿宋" w:hint="eastAsia"/>
          <w:b w:val="0"/>
          <w:bCs/>
          <w:sz w:val="32"/>
          <w:szCs w:val="32"/>
        </w:rPr>
        <w:t>0.8万元，</w:t>
      </w:r>
      <w:r>
        <w:rPr>
          <w:rStyle w:val="25"/>
          <w:rFonts w:ascii="仿宋" w:eastAsia="仿宋" w:hAnsi="仿宋" w:hint="eastAsia"/>
          <w:bCs/>
          <w:sz w:val="32"/>
          <w:szCs w:val="32"/>
        </w:rPr>
        <w:t>一般公共服务（类）政府办公厅（室）及相关机构事务（款）行政运行（项）</w:t>
      </w:r>
      <w:r>
        <w:rPr>
          <w:rStyle w:val="25"/>
          <w:rFonts w:ascii="仿宋" w:eastAsia="仿宋" w:hAnsi="仿宋" w:hint="eastAsia"/>
          <w:b w:val="0"/>
          <w:color w:val="000000"/>
          <w:sz w:val="32"/>
          <w:szCs w:val="32"/>
        </w:rPr>
        <w:t>支出486.69万元；</w:t>
      </w:r>
      <w:r>
        <w:rPr>
          <w:rStyle w:val="25"/>
          <w:rFonts w:ascii="仿宋" w:eastAsia="仿宋" w:hAnsi="仿宋" w:hint="eastAsia"/>
          <w:bCs/>
          <w:sz w:val="32"/>
          <w:szCs w:val="32"/>
        </w:rPr>
        <w:t>一般公共服务（类）政府办公厅（室）及相关机构事务（款）</w:t>
      </w:r>
      <w:r>
        <w:rPr>
          <w:rStyle w:val="25"/>
          <w:rFonts w:ascii="仿宋" w:eastAsia="仿宋" w:hAnsi="仿宋" w:hint="eastAsia"/>
          <w:color w:val="000000"/>
          <w:sz w:val="32"/>
          <w:szCs w:val="32"/>
        </w:rPr>
        <w:t>一般行政管理事务</w:t>
      </w:r>
      <w:r>
        <w:rPr>
          <w:rStyle w:val="25"/>
          <w:rFonts w:ascii="仿宋" w:eastAsia="仿宋" w:hAnsi="仿宋" w:hint="eastAsia"/>
          <w:bCs/>
          <w:sz w:val="32"/>
          <w:szCs w:val="32"/>
        </w:rPr>
        <w:t>（项）支出</w:t>
      </w:r>
      <w:r>
        <w:rPr>
          <w:rStyle w:val="25"/>
          <w:rFonts w:ascii="仿宋" w:eastAsia="仿宋" w:hAnsi="仿宋" w:hint="eastAsia"/>
          <w:b w:val="0"/>
          <w:color w:val="000000"/>
          <w:sz w:val="32"/>
          <w:szCs w:val="32"/>
        </w:rPr>
        <w:t>2.46万元；</w:t>
      </w:r>
      <w:r>
        <w:rPr>
          <w:rStyle w:val="25"/>
          <w:rFonts w:ascii="仿宋" w:eastAsia="仿宋" w:hAnsi="仿宋" w:hint="eastAsia"/>
          <w:bCs/>
          <w:sz w:val="32"/>
          <w:szCs w:val="32"/>
        </w:rPr>
        <w:t>一般公共服务（类）财政事务（款）行政运行（项）</w:t>
      </w:r>
      <w:r>
        <w:rPr>
          <w:rStyle w:val="25"/>
          <w:rFonts w:ascii="仿宋" w:eastAsia="仿宋" w:hAnsi="仿宋" w:hint="eastAsia"/>
          <w:b w:val="0"/>
          <w:color w:val="000000"/>
          <w:sz w:val="32"/>
          <w:szCs w:val="32"/>
        </w:rPr>
        <w:t>支出7.44万元；</w:t>
      </w:r>
      <w:r>
        <w:rPr>
          <w:rStyle w:val="25"/>
          <w:rFonts w:ascii="仿宋" w:eastAsia="仿宋" w:hAnsi="仿宋" w:hint="eastAsia"/>
          <w:bCs/>
          <w:sz w:val="32"/>
          <w:szCs w:val="32"/>
        </w:rPr>
        <w:t>一般公共服务（类）党委办公厅（室）及相关机构事务（款）行政运行（项）</w:t>
      </w:r>
      <w:r>
        <w:rPr>
          <w:rStyle w:val="25"/>
          <w:rFonts w:ascii="仿宋" w:eastAsia="仿宋" w:hAnsi="仿宋" w:hint="eastAsia"/>
          <w:b w:val="0"/>
          <w:bCs/>
          <w:sz w:val="32"/>
          <w:szCs w:val="32"/>
        </w:rPr>
        <w:t>支出19.59万元；</w:t>
      </w:r>
      <w:r>
        <w:rPr>
          <w:rStyle w:val="25"/>
          <w:rFonts w:ascii="仿宋" w:eastAsia="仿宋" w:hAnsi="仿宋" w:hint="eastAsia"/>
          <w:bCs/>
          <w:sz w:val="32"/>
          <w:szCs w:val="32"/>
        </w:rPr>
        <w:t>一般公共服务（类）党委办公厅（室）及相关机构事务（款）</w:t>
      </w:r>
      <w:r>
        <w:rPr>
          <w:rStyle w:val="25"/>
          <w:rFonts w:ascii="仿宋" w:eastAsia="仿宋" w:hAnsi="仿宋" w:hint="eastAsia"/>
          <w:color w:val="000000"/>
          <w:sz w:val="32"/>
          <w:szCs w:val="32"/>
        </w:rPr>
        <w:t>专项业务</w:t>
      </w:r>
      <w:r>
        <w:rPr>
          <w:rStyle w:val="25"/>
          <w:rFonts w:ascii="仿宋" w:eastAsia="仿宋" w:hAnsi="仿宋" w:hint="eastAsia"/>
          <w:bCs/>
          <w:sz w:val="32"/>
          <w:szCs w:val="32"/>
        </w:rPr>
        <w:t>（项）</w:t>
      </w:r>
      <w:r>
        <w:rPr>
          <w:rStyle w:val="25"/>
          <w:rFonts w:ascii="仿宋" w:eastAsia="仿宋" w:hAnsi="仿宋" w:hint="eastAsia"/>
          <w:b w:val="0"/>
          <w:bCs/>
          <w:sz w:val="32"/>
          <w:szCs w:val="32"/>
        </w:rPr>
        <w:t>支出</w:t>
      </w:r>
      <w:r>
        <w:rPr>
          <w:rStyle w:val="25"/>
          <w:rFonts w:ascii="仿宋" w:eastAsia="仿宋" w:hAnsi="仿宋" w:hint="eastAsia"/>
          <w:b w:val="0"/>
          <w:color w:val="000000"/>
          <w:sz w:val="32"/>
          <w:szCs w:val="32"/>
        </w:rPr>
        <w:t>1.71万元。合计</w:t>
      </w:r>
      <w:r>
        <w:rPr>
          <w:rStyle w:val="25"/>
          <w:rFonts w:ascii="仿宋" w:eastAsia="仿宋" w:hAnsi="仿宋" w:hint="eastAsia"/>
          <w:b w:val="0"/>
          <w:bCs/>
          <w:sz w:val="32"/>
          <w:szCs w:val="32"/>
        </w:rPr>
        <w:t>支出决算为</w:t>
      </w:r>
      <w:r>
        <w:rPr>
          <w:rFonts w:ascii="仿宋" w:eastAsia="仿宋" w:hAnsi="仿宋" w:hint="eastAsia"/>
          <w:sz w:val="32"/>
          <w:szCs w:val="32"/>
        </w:rPr>
        <w:t>518.69</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color w:val="000000"/>
          <w:sz w:val="32"/>
          <w:szCs w:val="32"/>
        </w:rPr>
        <w:t>决算数和预算数一致；</w:t>
      </w:r>
    </w:p>
    <w:p>
      <w:pPr>
        <w:spacing w:line="600" w:lineRule="exact"/>
        <w:ind w:firstLineChars="200" w:firstLine="640"/>
        <w:rPr>
          <w:rStyle w:val="25"/>
          <w:rFonts w:ascii="仿宋" w:eastAsia="仿宋" w:hAnsi="仿宋"/>
          <w:b w:val="0"/>
          <w:sz w:val="32"/>
          <w:szCs w:val="32"/>
        </w:rPr>
      </w:pPr>
      <w:r>
        <w:rPr>
          <w:rStyle w:val="25"/>
          <w:rFonts w:ascii="仿宋" w:eastAsia="仿宋" w:hAnsi="仿宋" w:hint="eastAsia"/>
          <w:bCs/>
          <w:sz w:val="32"/>
          <w:szCs w:val="32"/>
        </w:rPr>
        <w:t>2</w:t>
      </w:r>
      <w:r>
        <w:rPr>
          <w:rStyle w:val="25"/>
          <w:rFonts w:ascii="仿宋" w:eastAsia="仿宋" w:hAnsi="仿宋"/>
          <w:bCs/>
          <w:sz w:val="32"/>
          <w:szCs w:val="32"/>
        </w:rPr>
        <w:t>.</w:t>
      </w:r>
      <w:r>
        <w:rPr>
          <w:rStyle w:val="25"/>
          <w:rFonts w:ascii="仿宋" w:eastAsia="仿宋" w:hAnsi="仿宋" w:hint="eastAsia"/>
          <w:bCs/>
          <w:sz w:val="32"/>
          <w:szCs w:val="32"/>
        </w:rPr>
        <w:t>文化旅游体育与传媒（类）文化和旅游（款）行政运行（项）</w:t>
      </w:r>
      <w:r>
        <w:rPr>
          <w:rStyle w:val="25"/>
          <w:rFonts w:ascii="仿宋" w:eastAsia="仿宋" w:hAnsi="仿宋" w:hint="eastAsia"/>
          <w:b w:val="0"/>
          <w:bCs/>
          <w:sz w:val="32"/>
          <w:szCs w:val="32"/>
        </w:rPr>
        <w:t>支出6.55万元</w:t>
      </w:r>
      <w:r>
        <w:rPr>
          <w:rStyle w:val="25"/>
          <w:rFonts w:ascii="仿宋" w:eastAsia="仿宋" w:hAnsi="仿宋" w:hint="eastAsia"/>
          <w:bCs/>
          <w:sz w:val="32"/>
          <w:szCs w:val="32"/>
        </w:rPr>
        <w:t>；文化旅游体育与传媒（类）其他文化旅游体育与传媒支出（款）其他文化旅游体育与传媒支出（项）</w:t>
      </w:r>
      <w:r>
        <w:rPr>
          <w:rStyle w:val="25"/>
          <w:rFonts w:ascii="仿宋" w:eastAsia="仿宋" w:hAnsi="仿宋" w:hint="eastAsia"/>
          <w:b w:val="0"/>
          <w:bCs/>
          <w:sz w:val="32"/>
          <w:szCs w:val="32"/>
        </w:rPr>
        <w:t>支出5万元</w:t>
      </w:r>
      <w:r>
        <w:rPr>
          <w:rStyle w:val="25"/>
          <w:rFonts w:ascii="仿宋" w:eastAsia="仿宋" w:hAnsi="仿宋" w:hint="eastAsia"/>
          <w:bCs/>
          <w:sz w:val="32"/>
          <w:szCs w:val="32"/>
        </w:rPr>
        <w:t>；</w:t>
      </w:r>
      <w:r>
        <w:rPr>
          <w:rStyle w:val="25"/>
          <w:rFonts w:ascii="仿宋" w:eastAsia="仿宋" w:hAnsi="仿宋" w:hint="eastAsia"/>
          <w:b w:val="0"/>
          <w:bCs/>
          <w:sz w:val="32"/>
          <w:szCs w:val="32"/>
        </w:rPr>
        <w:t>支出决算为</w:t>
      </w:r>
      <w:r>
        <w:rPr>
          <w:rFonts w:ascii="仿宋" w:eastAsia="仿宋" w:hAnsi="仿宋" w:hint="eastAsia"/>
          <w:sz w:val="32"/>
          <w:szCs w:val="32"/>
        </w:rPr>
        <w:t>11.55</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sz w:val="32"/>
          <w:szCs w:val="32"/>
        </w:rPr>
        <w:t>决算数和预算数一致</w:t>
      </w:r>
      <w:r>
        <w:rPr>
          <w:rStyle w:val="25"/>
          <w:rFonts w:ascii="仿宋" w:eastAsia="仿宋" w:hAnsi="仿宋" w:hint="eastAsia"/>
          <w:b w:val="0"/>
          <w:bCs/>
          <w:sz w:val="32"/>
          <w:szCs w:val="32"/>
        </w:rPr>
        <w:t>。</w:t>
      </w:r>
    </w:p>
    <w:p>
      <w:pPr>
        <w:spacing w:line="600" w:lineRule="exact"/>
        <w:ind w:firstLineChars="200" w:firstLine="640"/>
        <w:rPr>
          <w:rFonts w:ascii="仿宋" w:eastAsia="仿宋" w:hAnsi="仿宋"/>
          <w:b/>
          <w:color w:val="FF0000"/>
          <w:sz w:val="32"/>
          <w:szCs w:val="32"/>
        </w:rPr>
      </w:pPr>
      <w:r>
        <w:rPr>
          <w:rStyle w:val="25"/>
          <w:rFonts w:ascii="仿宋" w:eastAsia="仿宋" w:hAnsi="仿宋" w:hint="eastAsia"/>
          <w:bCs/>
          <w:sz w:val="32"/>
          <w:szCs w:val="32"/>
        </w:rPr>
        <w:t>3</w:t>
      </w:r>
      <w:r>
        <w:rPr>
          <w:rStyle w:val="25"/>
          <w:rFonts w:ascii="仿宋" w:eastAsia="仿宋" w:hAnsi="仿宋"/>
          <w:bCs/>
          <w:sz w:val="32"/>
          <w:szCs w:val="32"/>
        </w:rPr>
        <w:t>.</w:t>
      </w:r>
      <w:r>
        <w:rPr>
          <w:rStyle w:val="25"/>
          <w:rFonts w:ascii="仿宋" w:eastAsia="仿宋" w:hAnsi="仿宋" w:hint="eastAsia"/>
          <w:bCs/>
          <w:sz w:val="32"/>
          <w:szCs w:val="32"/>
        </w:rPr>
        <w:t>社会保障和就业（类）行政事业单位养老（款）机关事业单位基本养老保险缴费（项）</w:t>
      </w:r>
      <w:r>
        <w:rPr>
          <w:rStyle w:val="25"/>
          <w:rFonts w:ascii="仿宋" w:eastAsia="仿宋" w:hAnsi="仿宋" w:hint="eastAsia"/>
          <w:b w:val="0"/>
          <w:bCs/>
          <w:sz w:val="32"/>
          <w:szCs w:val="32"/>
        </w:rPr>
        <w:t>支出45.44万元；</w:t>
      </w:r>
      <w:r>
        <w:rPr>
          <w:rStyle w:val="25"/>
          <w:rFonts w:ascii="仿宋" w:eastAsia="仿宋" w:hAnsi="仿宋" w:hint="eastAsia"/>
          <w:bCs/>
          <w:sz w:val="32"/>
          <w:szCs w:val="32"/>
        </w:rPr>
        <w:t>社会保障和就业（类）行政事业单位养老（款）机关事业单位职业年金缴费（项）</w:t>
      </w:r>
      <w:r>
        <w:rPr>
          <w:rStyle w:val="25"/>
          <w:rFonts w:ascii="仿宋" w:eastAsia="仿宋" w:hAnsi="仿宋" w:hint="eastAsia"/>
          <w:b w:val="0"/>
          <w:bCs/>
          <w:sz w:val="32"/>
          <w:szCs w:val="32"/>
        </w:rPr>
        <w:t>支出3.99万元；</w:t>
      </w:r>
      <w:r>
        <w:rPr>
          <w:rStyle w:val="25"/>
          <w:rFonts w:ascii="仿宋" w:eastAsia="仿宋" w:hAnsi="仿宋" w:hint="eastAsia"/>
          <w:bCs/>
          <w:sz w:val="32"/>
          <w:szCs w:val="32"/>
        </w:rPr>
        <w:t>社会保障和就业（类）企业改革补助（款）其他企业改革发展补助（项）</w:t>
      </w:r>
      <w:r>
        <w:rPr>
          <w:rStyle w:val="25"/>
          <w:rFonts w:ascii="仿宋" w:eastAsia="仿宋" w:hAnsi="仿宋" w:hint="eastAsia"/>
          <w:b w:val="0"/>
          <w:bCs/>
          <w:sz w:val="32"/>
          <w:szCs w:val="32"/>
        </w:rPr>
        <w:t>支出88.77万元；</w:t>
      </w:r>
      <w:r>
        <w:rPr>
          <w:rStyle w:val="25"/>
          <w:rFonts w:ascii="仿宋" w:eastAsia="仿宋" w:hAnsi="仿宋" w:hint="eastAsia"/>
          <w:bCs/>
          <w:sz w:val="32"/>
          <w:szCs w:val="32"/>
        </w:rPr>
        <w:t>社会保障和就业（类）抚恤（款）义务兵优待（项）</w:t>
      </w:r>
      <w:r>
        <w:rPr>
          <w:rStyle w:val="25"/>
          <w:rFonts w:ascii="仿宋" w:eastAsia="仿宋" w:hAnsi="仿宋" w:hint="eastAsia"/>
          <w:b w:val="0"/>
          <w:bCs/>
          <w:sz w:val="32"/>
          <w:szCs w:val="32"/>
        </w:rPr>
        <w:t>支出10.41万元；</w:t>
      </w:r>
      <w:r>
        <w:rPr>
          <w:rStyle w:val="25"/>
          <w:rFonts w:ascii="仿宋" w:eastAsia="仿宋" w:hAnsi="仿宋" w:hint="eastAsia"/>
          <w:bCs/>
          <w:sz w:val="32"/>
          <w:szCs w:val="32"/>
        </w:rPr>
        <w:t>社会保障和就业（类）其他社会保障和就业（款）其他社会保障和就业（项）</w:t>
      </w:r>
      <w:r>
        <w:rPr>
          <w:rStyle w:val="25"/>
          <w:rFonts w:ascii="仿宋" w:eastAsia="仿宋" w:hAnsi="仿宋" w:hint="eastAsia"/>
          <w:b w:val="0"/>
          <w:bCs/>
          <w:sz w:val="32"/>
          <w:szCs w:val="32"/>
        </w:rPr>
        <w:t>支出2.21万元。合计支出决算为</w:t>
      </w:r>
      <w:r>
        <w:rPr>
          <w:rFonts w:ascii="仿宋" w:eastAsia="仿宋" w:hAnsi="仿宋" w:hint="eastAsia"/>
          <w:sz w:val="32"/>
          <w:szCs w:val="32"/>
        </w:rPr>
        <w:t>150.82</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sz w:val="32"/>
          <w:szCs w:val="32"/>
        </w:rPr>
        <w:t>决算数和预算数一致</w:t>
      </w:r>
      <w:r>
        <w:rPr>
          <w:rStyle w:val="25"/>
          <w:rFonts w:ascii="仿宋" w:eastAsia="仿宋" w:hAnsi="仿宋" w:hint="eastAsia"/>
          <w:b w:val="0"/>
          <w:bCs/>
          <w:sz w:val="32"/>
          <w:szCs w:val="32"/>
        </w:rPr>
        <w:t>。</w:t>
      </w:r>
    </w:p>
    <w:p>
      <w:pPr>
        <w:overflowPunct w:val="0"/>
        <w:adjustRightInd w:val="0"/>
        <w:snapToGrid w:val="0"/>
        <w:spacing w:line="580" w:lineRule="exact"/>
        <w:ind w:firstLineChars="200" w:firstLine="640"/>
        <w:rPr>
          <w:rStyle w:val="25"/>
          <w:rFonts w:ascii="仿宋" w:eastAsia="仿宋" w:hAnsi="仿宋"/>
          <w:bCs/>
          <w:sz w:val="32"/>
          <w:szCs w:val="32"/>
        </w:rPr>
      </w:pPr>
      <w:r>
        <w:rPr>
          <w:rStyle w:val="25"/>
          <w:rFonts w:ascii="仿宋" w:eastAsia="仿宋" w:hAnsi="仿宋" w:hint="eastAsia"/>
          <w:bCs/>
          <w:sz w:val="32"/>
          <w:szCs w:val="32"/>
        </w:rPr>
        <w:t>4</w:t>
      </w:r>
      <w:r>
        <w:rPr>
          <w:rStyle w:val="25"/>
          <w:rFonts w:ascii="仿宋" w:eastAsia="仿宋" w:hAnsi="仿宋"/>
          <w:bCs/>
          <w:sz w:val="32"/>
          <w:szCs w:val="32"/>
        </w:rPr>
        <w:t>.</w:t>
      </w:r>
      <w:r>
        <w:rPr>
          <w:rFonts w:ascii="仿宋" w:eastAsia="仿宋" w:hAnsi="仿宋" w:hint="eastAsia"/>
          <w:b/>
          <w:bCs/>
          <w:sz w:val="32"/>
          <w:szCs w:val="32"/>
        </w:rPr>
        <w:t>卫生健康</w:t>
      </w:r>
      <w:r>
        <w:rPr>
          <w:rStyle w:val="25"/>
          <w:rFonts w:ascii="仿宋" w:eastAsia="仿宋" w:hAnsi="仿宋" w:hint="eastAsia"/>
          <w:bCs/>
          <w:sz w:val="32"/>
          <w:szCs w:val="32"/>
        </w:rPr>
        <w:t>（类）计划生育事务（款）计划生育机构（项）</w:t>
      </w:r>
      <w:r>
        <w:rPr>
          <w:rStyle w:val="25"/>
          <w:rFonts w:ascii="仿宋" w:eastAsia="仿宋" w:hAnsi="仿宋" w:hint="eastAsia"/>
          <w:b w:val="0"/>
          <w:bCs w:val="0"/>
          <w:sz w:val="32"/>
          <w:szCs w:val="32"/>
        </w:rPr>
        <w:t>支出5.67万元</w:t>
      </w:r>
      <w:r>
        <w:rPr>
          <w:rStyle w:val="25"/>
          <w:rFonts w:ascii="仿宋" w:eastAsia="仿宋" w:hAnsi="仿宋" w:hint="eastAsia"/>
          <w:bCs/>
          <w:sz w:val="32"/>
          <w:szCs w:val="32"/>
        </w:rPr>
        <w:t>；</w:t>
      </w:r>
      <w:r>
        <w:rPr>
          <w:rFonts w:ascii="仿宋" w:eastAsia="仿宋" w:hAnsi="仿宋" w:hint="eastAsia"/>
          <w:b/>
          <w:bCs/>
          <w:sz w:val="32"/>
          <w:szCs w:val="32"/>
        </w:rPr>
        <w:t>卫生健康</w:t>
      </w:r>
      <w:r>
        <w:rPr>
          <w:rStyle w:val="25"/>
          <w:rFonts w:ascii="仿宋" w:eastAsia="仿宋" w:hAnsi="仿宋" w:hint="eastAsia"/>
          <w:bCs/>
          <w:sz w:val="32"/>
          <w:szCs w:val="32"/>
        </w:rPr>
        <w:t>（类）计划生育事务（款）计划生育服务（项）</w:t>
      </w:r>
      <w:r>
        <w:rPr>
          <w:rStyle w:val="25"/>
          <w:rFonts w:ascii="仿宋" w:eastAsia="仿宋" w:hAnsi="仿宋" w:hint="eastAsia"/>
          <w:b w:val="0"/>
          <w:bCs w:val="0"/>
          <w:sz w:val="32"/>
          <w:szCs w:val="32"/>
        </w:rPr>
        <w:t>支出1.39万元</w:t>
      </w:r>
      <w:r>
        <w:rPr>
          <w:rStyle w:val="25"/>
          <w:rFonts w:ascii="仿宋" w:eastAsia="仿宋" w:hAnsi="仿宋" w:hint="eastAsia"/>
          <w:bCs/>
          <w:sz w:val="32"/>
          <w:szCs w:val="32"/>
        </w:rPr>
        <w:t>；</w:t>
      </w:r>
      <w:r>
        <w:rPr>
          <w:rFonts w:ascii="仿宋" w:eastAsia="仿宋" w:hAnsi="仿宋" w:hint="eastAsia"/>
          <w:b/>
          <w:bCs/>
          <w:sz w:val="32"/>
          <w:szCs w:val="32"/>
        </w:rPr>
        <w:t>卫生健康</w:t>
      </w:r>
      <w:r>
        <w:rPr>
          <w:rStyle w:val="25"/>
          <w:rFonts w:ascii="仿宋" w:eastAsia="仿宋" w:hAnsi="仿宋" w:hint="eastAsia"/>
          <w:bCs/>
          <w:sz w:val="32"/>
          <w:szCs w:val="32"/>
        </w:rPr>
        <w:t>（类）行政事业单位医疗（款）行政单位医疗（项）</w:t>
      </w:r>
      <w:r>
        <w:rPr>
          <w:rStyle w:val="25"/>
          <w:rFonts w:ascii="仿宋" w:eastAsia="仿宋" w:hAnsi="仿宋" w:hint="eastAsia"/>
          <w:b w:val="0"/>
          <w:bCs w:val="0"/>
          <w:sz w:val="32"/>
          <w:szCs w:val="32"/>
        </w:rPr>
        <w:t>支出22.76万元</w:t>
      </w:r>
      <w:r>
        <w:rPr>
          <w:rStyle w:val="25"/>
          <w:rFonts w:ascii="仿宋" w:eastAsia="仿宋" w:hAnsi="仿宋" w:hint="eastAsia"/>
          <w:bCs/>
          <w:sz w:val="32"/>
          <w:szCs w:val="32"/>
        </w:rPr>
        <w:t>；</w:t>
      </w:r>
      <w:r>
        <w:rPr>
          <w:rStyle w:val="25"/>
          <w:rFonts w:ascii="仿宋" w:eastAsia="仿宋" w:hAnsi="仿宋" w:hint="eastAsia"/>
          <w:b w:val="0"/>
          <w:bCs w:val="0"/>
          <w:sz w:val="32"/>
          <w:szCs w:val="32"/>
        </w:rPr>
        <w:t>合计</w:t>
      </w:r>
      <w:r>
        <w:rPr>
          <w:rStyle w:val="25"/>
          <w:rFonts w:ascii="仿宋" w:eastAsia="仿宋" w:hAnsi="仿宋" w:hint="eastAsia"/>
          <w:b w:val="0"/>
          <w:bCs/>
          <w:sz w:val="32"/>
          <w:szCs w:val="32"/>
        </w:rPr>
        <w:t>支出决算为</w:t>
      </w:r>
      <w:r>
        <w:rPr>
          <w:rFonts w:ascii="仿宋" w:eastAsia="仿宋" w:hAnsi="仿宋" w:hint="eastAsia"/>
          <w:sz w:val="32"/>
          <w:szCs w:val="32"/>
        </w:rPr>
        <w:t>29.82</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color w:val="000000"/>
          <w:sz w:val="32"/>
          <w:szCs w:val="32"/>
        </w:rPr>
        <w:t>决算数和预算数一致</w:t>
      </w:r>
      <w:r>
        <w:rPr>
          <w:rStyle w:val="25"/>
          <w:rFonts w:ascii="仿宋" w:eastAsia="仿宋" w:hAnsi="仿宋" w:hint="eastAsia"/>
          <w:b w:val="0"/>
          <w:bCs/>
          <w:sz w:val="32"/>
          <w:szCs w:val="32"/>
        </w:rPr>
        <w:t>。</w:t>
      </w:r>
    </w:p>
    <w:p>
      <w:pPr>
        <w:overflowPunct w:val="0"/>
        <w:adjustRightInd w:val="0"/>
        <w:snapToGrid w:val="0"/>
        <w:spacing w:line="580" w:lineRule="exact"/>
        <w:ind w:firstLineChars="200" w:firstLine="640"/>
        <w:rPr>
          <w:rFonts w:ascii="仿宋" w:eastAsia="仿宋" w:hAnsi="仿宋"/>
          <w:b/>
          <w:bCs/>
          <w:sz w:val="32"/>
          <w:szCs w:val="32"/>
        </w:rPr>
      </w:pPr>
      <w:r>
        <w:rPr>
          <w:rFonts w:ascii="仿宋" w:eastAsia="仿宋" w:hAnsi="仿宋" w:hint="eastAsia"/>
          <w:sz w:val="32"/>
          <w:szCs w:val="32"/>
        </w:rPr>
        <w:t>5.</w:t>
      </w:r>
      <w:r>
        <w:rPr>
          <w:rFonts w:ascii="仿宋" w:eastAsia="仿宋" w:hAnsi="仿宋" w:hint="eastAsia"/>
          <w:b/>
          <w:color w:val="000000"/>
          <w:sz w:val="32"/>
          <w:szCs w:val="32"/>
        </w:rPr>
        <w:t>城乡社区</w:t>
      </w:r>
      <w:r>
        <w:rPr>
          <w:rStyle w:val="25"/>
          <w:rFonts w:ascii="仿宋" w:eastAsia="仿宋" w:hAnsi="仿宋" w:hint="eastAsia"/>
          <w:bCs/>
          <w:sz w:val="32"/>
          <w:szCs w:val="32"/>
        </w:rPr>
        <w:t>（类）城乡社区管理事务（款）行政运行（项）</w:t>
      </w:r>
      <w:r>
        <w:rPr>
          <w:rStyle w:val="25"/>
          <w:rFonts w:ascii="仿宋" w:eastAsia="仿宋" w:hAnsi="仿宋" w:hint="eastAsia"/>
          <w:b w:val="0"/>
          <w:bCs w:val="0"/>
          <w:sz w:val="32"/>
          <w:szCs w:val="32"/>
        </w:rPr>
        <w:t>支出33.15万元</w:t>
      </w:r>
      <w:r>
        <w:rPr>
          <w:rStyle w:val="25"/>
          <w:rFonts w:ascii="仿宋" w:eastAsia="仿宋" w:hAnsi="仿宋" w:hint="eastAsia"/>
          <w:bCs/>
          <w:sz w:val="32"/>
          <w:szCs w:val="32"/>
        </w:rPr>
        <w:t>；</w:t>
      </w:r>
      <w:r>
        <w:rPr>
          <w:rFonts w:ascii="仿宋" w:eastAsia="仿宋" w:hAnsi="仿宋" w:hint="eastAsia"/>
          <w:b/>
          <w:color w:val="000000"/>
          <w:sz w:val="32"/>
          <w:szCs w:val="32"/>
        </w:rPr>
        <w:t>城乡社区</w:t>
      </w:r>
      <w:r>
        <w:rPr>
          <w:rStyle w:val="25"/>
          <w:rFonts w:ascii="仿宋" w:eastAsia="仿宋" w:hAnsi="仿宋" w:hint="eastAsia"/>
          <w:bCs/>
          <w:sz w:val="32"/>
          <w:szCs w:val="32"/>
        </w:rPr>
        <w:t>（类）城乡社区管理事务（款）一般行政管理事务（项）</w:t>
      </w:r>
      <w:r>
        <w:rPr>
          <w:rStyle w:val="25"/>
          <w:rFonts w:ascii="仿宋" w:eastAsia="仿宋" w:hAnsi="仿宋" w:hint="eastAsia"/>
          <w:b w:val="0"/>
          <w:bCs w:val="0"/>
          <w:sz w:val="32"/>
          <w:szCs w:val="32"/>
        </w:rPr>
        <w:t>支出77.21万元</w:t>
      </w:r>
      <w:r>
        <w:rPr>
          <w:rStyle w:val="25"/>
          <w:rFonts w:ascii="仿宋" w:eastAsia="仿宋" w:hAnsi="仿宋" w:hint="eastAsia"/>
          <w:bCs/>
          <w:sz w:val="32"/>
          <w:szCs w:val="32"/>
        </w:rPr>
        <w:t>；</w:t>
      </w:r>
      <w:r>
        <w:rPr>
          <w:rStyle w:val="25"/>
          <w:rFonts w:ascii="仿宋" w:eastAsia="仿宋" w:hAnsi="仿宋" w:hint="eastAsia"/>
          <w:b w:val="0"/>
          <w:bCs w:val="0"/>
          <w:sz w:val="32"/>
          <w:szCs w:val="32"/>
        </w:rPr>
        <w:t>合计</w:t>
      </w:r>
      <w:r>
        <w:rPr>
          <w:rStyle w:val="25"/>
          <w:rFonts w:ascii="仿宋" w:eastAsia="仿宋" w:hAnsi="仿宋" w:hint="eastAsia"/>
          <w:b w:val="0"/>
          <w:bCs/>
          <w:sz w:val="32"/>
          <w:szCs w:val="32"/>
        </w:rPr>
        <w:t>支出决算为</w:t>
      </w:r>
      <w:r>
        <w:rPr>
          <w:rFonts w:ascii="仿宋" w:eastAsia="仿宋" w:hAnsi="仿宋" w:hint="eastAsia"/>
          <w:color w:val="000000"/>
          <w:sz w:val="32"/>
          <w:szCs w:val="32"/>
        </w:rPr>
        <w:t>110.36</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color w:val="000000"/>
          <w:sz w:val="32"/>
          <w:szCs w:val="32"/>
        </w:rPr>
        <w:t>决算数和预算数一致</w:t>
      </w:r>
      <w:r>
        <w:rPr>
          <w:rStyle w:val="25"/>
          <w:rFonts w:ascii="仿宋" w:eastAsia="仿宋" w:hAnsi="仿宋" w:hint="eastAsia"/>
          <w:b w:val="0"/>
          <w:bCs/>
          <w:sz w:val="32"/>
          <w:szCs w:val="32"/>
        </w:rPr>
        <w:t>。</w:t>
      </w:r>
    </w:p>
    <w:p>
      <w:pPr>
        <w:spacing w:line="600" w:lineRule="exact"/>
        <w:ind w:firstLineChars="200" w:firstLine="640"/>
        <w:rPr>
          <w:rFonts w:ascii="仿宋" w:eastAsia="仿宋" w:hAnsi="仿宋"/>
          <w:b w:val="0"/>
          <w:bCs/>
          <w:sz w:val="32"/>
          <w:szCs w:val="32"/>
        </w:rPr>
      </w:pPr>
      <w:r>
        <w:rPr>
          <w:rFonts w:ascii="仿宋" w:eastAsia="仿宋" w:hAnsi="仿宋" w:hint="eastAsia"/>
          <w:sz w:val="32"/>
          <w:szCs w:val="32"/>
        </w:rPr>
        <w:t>6.</w:t>
      </w:r>
      <w:r>
        <w:rPr>
          <w:rFonts w:ascii="仿宋" w:eastAsia="仿宋" w:hAnsi="仿宋" w:hint="eastAsia"/>
          <w:b/>
          <w:color w:val="000000"/>
          <w:sz w:val="32"/>
          <w:szCs w:val="32"/>
          <w14:textFill>
            <w14:solidFill>
              <w14:srgbClr w14:val="000000"/>
            </w14:solidFill>
          </w14:textFill>
        </w:rPr>
        <w:t>农林水</w:t>
      </w:r>
      <w:r>
        <w:rPr>
          <w:rStyle w:val="25"/>
          <w:rFonts w:ascii="仿宋" w:eastAsia="仿宋" w:hAnsi="仿宋" w:hint="eastAsia"/>
          <w:bCs/>
          <w:color w:val="000000"/>
          <w:sz w:val="32"/>
          <w:szCs w:val="32"/>
          <w14:textFill>
            <w14:solidFill>
              <w14:srgbClr w14:val="000000"/>
            </w14:solidFill>
          </w14:textFill>
        </w:rPr>
        <w:t>（类）农业农村（款）行政运行（项）</w:t>
      </w:r>
      <w:r>
        <w:rPr>
          <w:rStyle w:val="25"/>
          <w:rFonts w:ascii="仿宋" w:eastAsia="仿宋" w:hAnsi="仿宋" w:hint="eastAsia"/>
          <w:b w:val="0"/>
          <w:bCs/>
          <w:color w:val="000000"/>
          <w:sz w:val="32"/>
          <w:szCs w:val="32"/>
          <w14:textFill>
            <w14:solidFill>
              <w14:srgbClr w14:val="000000"/>
            </w14:solidFill>
          </w14:textFill>
        </w:rPr>
        <w:t>支出42.18万元；</w:t>
      </w:r>
      <w:r>
        <w:rPr>
          <w:rFonts w:ascii="仿宋" w:eastAsia="仿宋" w:hAnsi="仿宋" w:hint="eastAsia"/>
          <w:b/>
          <w:color w:val="000000"/>
          <w:sz w:val="32"/>
          <w:szCs w:val="32"/>
          <w14:textFill>
            <w14:solidFill>
              <w14:srgbClr w14:val="000000"/>
            </w14:solidFill>
          </w14:textFill>
        </w:rPr>
        <w:t>农林水</w:t>
      </w:r>
      <w:r>
        <w:rPr>
          <w:rStyle w:val="25"/>
          <w:rFonts w:ascii="仿宋" w:eastAsia="仿宋" w:hAnsi="仿宋" w:hint="eastAsia"/>
          <w:bCs/>
          <w:color w:val="000000"/>
          <w:sz w:val="32"/>
          <w:szCs w:val="32"/>
          <w14:textFill>
            <w14:solidFill>
              <w14:srgbClr w14:val="000000"/>
            </w14:solidFill>
          </w14:textFill>
        </w:rPr>
        <w:t>（类）农业农村（款）其他农业农村（项）</w:t>
      </w:r>
      <w:r>
        <w:rPr>
          <w:rStyle w:val="25"/>
          <w:rFonts w:ascii="仿宋" w:eastAsia="仿宋" w:hAnsi="仿宋" w:hint="eastAsia"/>
          <w:b w:val="0"/>
          <w:bCs/>
          <w:color w:val="000000"/>
          <w:sz w:val="32"/>
          <w:szCs w:val="32"/>
          <w14:textFill>
            <w14:solidFill>
              <w14:srgbClr w14:val="000000"/>
            </w14:solidFill>
          </w14:textFill>
        </w:rPr>
        <w:t>支出</w:t>
      </w:r>
      <w:r>
        <w:rPr>
          <w:rStyle w:val="25"/>
          <w:rFonts w:ascii="仿宋" w:eastAsia="仿宋" w:hAnsi="仿宋" w:hint="eastAsia"/>
          <w:b w:val="0"/>
          <w:bCs/>
          <w:sz w:val="32"/>
          <w:szCs w:val="32"/>
        </w:rPr>
        <w:t>51万元</w:t>
      </w:r>
      <w:r>
        <w:rPr>
          <w:rStyle w:val="25"/>
          <w:rFonts w:ascii="仿宋" w:eastAsia="仿宋" w:hAnsi="仿宋" w:hint="eastAsia"/>
          <w:b w:val="0"/>
          <w:bCs/>
          <w:color w:val="000000"/>
          <w:sz w:val="32"/>
          <w:szCs w:val="32"/>
          <w14:textFill>
            <w14:solidFill>
              <w14:srgbClr w14:val="000000"/>
            </w14:solidFill>
          </w14:textFill>
        </w:rPr>
        <w:t>；</w:t>
      </w:r>
      <w:r>
        <w:rPr>
          <w:rFonts w:ascii="仿宋" w:eastAsia="仿宋" w:hAnsi="仿宋" w:hint="eastAsia"/>
          <w:b/>
          <w:color w:val="000000"/>
          <w:sz w:val="32"/>
          <w:szCs w:val="32"/>
          <w14:textFill>
            <w14:solidFill>
              <w14:srgbClr w14:val="000000"/>
            </w14:solidFill>
          </w14:textFill>
        </w:rPr>
        <w:t>农林水</w:t>
      </w:r>
      <w:r>
        <w:rPr>
          <w:rStyle w:val="25"/>
          <w:rFonts w:ascii="仿宋" w:eastAsia="仿宋" w:hAnsi="仿宋" w:hint="eastAsia"/>
          <w:bCs/>
          <w:color w:val="000000"/>
          <w:sz w:val="32"/>
          <w:szCs w:val="32"/>
          <w14:textFill>
            <w14:solidFill>
              <w14:srgbClr w14:val="000000"/>
            </w14:solidFill>
          </w14:textFill>
        </w:rPr>
        <w:t>（类）林业和草原（款）林业草原防灾减灾（项）</w:t>
      </w:r>
      <w:r>
        <w:rPr>
          <w:rStyle w:val="25"/>
          <w:rFonts w:ascii="仿宋" w:eastAsia="仿宋" w:hAnsi="仿宋" w:hint="eastAsia"/>
          <w:b w:val="0"/>
          <w:bCs/>
          <w:color w:val="000000"/>
          <w:sz w:val="32"/>
          <w:szCs w:val="32"/>
          <w14:textFill>
            <w14:solidFill>
              <w14:srgbClr w14:val="000000"/>
            </w14:solidFill>
          </w14:textFill>
        </w:rPr>
        <w:t>支出5.54万元；</w:t>
      </w:r>
      <w:r>
        <w:rPr>
          <w:rFonts w:ascii="仿宋" w:eastAsia="仿宋" w:hAnsi="仿宋" w:hint="eastAsia"/>
          <w:b/>
          <w:color w:val="000000"/>
          <w:sz w:val="32"/>
          <w:szCs w:val="32"/>
          <w14:textFill>
            <w14:solidFill>
              <w14:srgbClr w14:val="000000"/>
            </w14:solidFill>
          </w14:textFill>
        </w:rPr>
        <w:t>农林水</w:t>
      </w:r>
      <w:r>
        <w:rPr>
          <w:rStyle w:val="25"/>
          <w:rFonts w:ascii="仿宋" w:eastAsia="仿宋" w:hAnsi="仿宋" w:hint="eastAsia"/>
          <w:bCs/>
          <w:color w:val="000000"/>
          <w:sz w:val="32"/>
          <w:szCs w:val="32"/>
          <w14:textFill>
            <w14:solidFill>
              <w14:srgbClr w14:val="000000"/>
            </w14:solidFill>
          </w14:textFill>
        </w:rPr>
        <w:t>（类）扶贫（款）其他扶贫支出（项）</w:t>
      </w:r>
      <w:r>
        <w:rPr>
          <w:rStyle w:val="25"/>
          <w:rFonts w:ascii="仿宋" w:eastAsia="仿宋" w:hAnsi="仿宋" w:hint="eastAsia"/>
          <w:b w:val="0"/>
          <w:bCs/>
          <w:color w:val="000000"/>
          <w:sz w:val="32"/>
          <w:szCs w:val="32"/>
          <w14:textFill>
            <w14:solidFill>
              <w14:srgbClr w14:val="000000"/>
            </w14:solidFill>
          </w14:textFill>
        </w:rPr>
        <w:t>支出5万元；</w:t>
      </w:r>
      <w:r>
        <w:rPr>
          <w:rFonts w:ascii="仿宋" w:eastAsia="仿宋" w:hAnsi="仿宋" w:hint="eastAsia"/>
          <w:b/>
          <w:color w:val="000000"/>
          <w:sz w:val="32"/>
          <w:szCs w:val="32"/>
          <w14:textFill>
            <w14:solidFill>
              <w14:srgbClr w14:val="000000"/>
            </w14:solidFill>
          </w14:textFill>
        </w:rPr>
        <w:t>农林水</w:t>
      </w:r>
      <w:r>
        <w:rPr>
          <w:rStyle w:val="25"/>
          <w:rFonts w:ascii="仿宋" w:eastAsia="仿宋" w:hAnsi="仿宋" w:hint="eastAsia"/>
          <w:bCs/>
          <w:color w:val="000000"/>
          <w:sz w:val="32"/>
          <w:szCs w:val="32"/>
          <w14:textFill>
            <w14:solidFill>
              <w14:srgbClr w14:val="000000"/>
            </w14:solidFill>
          </w14:textFill>
        </w:rPr>
        <w:t>（类）农村综合改革（款）对村民委员会和村党支部的补助（项）</w:t>
      </w:r>
      <w:r>
        <w:rPr>
          <w:rStyle w:val="25"/>
          <w:rFonts w:ascii="仿宋" w:eastAsia="仿宋" w:hAnsi="仿宋" w:hint="eastAsia"/>
          <w:b w:val="0"/>
          <w:bCs/>
          <w:color w:val="000000"/>
          <w:sz w:val="32"/>
          <w:szCs w:val="32"/>
          <w14:textFill>
            <w14:solidFill>
              <w14:srgbClr w14:val="000000"/>
            </w14:solidFill>
          </w14:textFill>
        </w:rPr>
        <w:t>支出</w:t>
      </w:r>
      <w:r>
        <w:rPr>
          <w:rStyle w:val="25"/>
          <w:rFonts w:ascii="仿宋" w:eastAsia="仿宋" w:hAnsi="仿宋" w:hint="eastAsia"/>
          <w:b w:val="0"/>
          <w:bCs/>
          <w:sz w:val="32"/>
          <w:szCs w:val="32"/>
        </w:rPr>
        <w:t>305.04万元</w:t>
      </w:r>
      <w:r>
        <w:rPr>
          <w:rStyle w:val="25"/>
          <w:rFonts w:ascii="仿宋" w:eastAsia="仿宋" w:hAnsi="仿宋" w:hint="eastAsia"/>
          <w:b w:val="0"/>
          <w:bCs/>
          <w:color w:val="000000"/>
          <w:sz w:val="32"/>
          <w:szCs w:val="32"/>
          <w14:textFill>
            <w14:solidFill>
              <w14:srgbClr w14:val="000000"/>
            </w14:solidFill>
          </w14:textFill>
        </w:rPr>
        <w:t>；合计支出决算为</w:t>
      </w:r>
      <w:r>
        <w:rPr>
          <w:rFonts w:ascii="仿宋" w:eastAsia="仿宋" w:hAnsi="仿宋" w:hint="eastAsia"/>
          <w:b w:val="0"/>
          <w:bCs/>
          <w:sz w:val="32"/>
          <w:szCs w:val="32"/>
        </w:rPr>
        <w:t>408.76</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，决算数和预算数一致。</w:t>
      </w:r>
    </w:p>
    <w:p>
      <w:pPr>
        <w:overflowPunct w:val="0"/>
        <w:adjustRightInd w:val="0"/>
        <w:snapToGrid w:val="0"/>
        <w:spacing w:line="580" w:lineRule="exact"/>
        <w:ind w:firstLineChars="200" w:firstLine="640"/>
        <w:rPr>
          <w:rStyle w:val="25"/>
          <w:rFonts w:ascii="仿宋" w:eastAsia="仿宋" w:hAnsi="仿宋"/>
          <w:b w:val="0"/>
          <w:color w:val="000000"/>
          <w:sz w:val="32"/>
          <w:szCs w:val="32"/>
        </w:rPr>
      </w:pPr>
      <w:r>
        <w:rPr>
          <w:rFonts w:ascii="仿宋" w:eastAsia="仿宋" w:hAnsi="仿宋" w:hint="eastAsia"/>
          <w:b/>
          <w:bCs/>
          <w:sz w:val="32"/>
          <w:szCs w:val="32"/>
        </w:rPr>
        <w:t>7.住房保障</w:t>
      </w:r>
      <w:r>
        <w:rPr>
          <w:rStyle w:val="25"/>
          <w:rFonts w:ascii="仿宋" w:eastAsia="仿宋" w:hAnsi="仿宋" w:hint="eastAsia"/>
          <w:b/>
          <w:bCs/>
          <w:sz w:val="32"/>
          <w:szCs w:val="32"/>
        </w:rPr>
        <w:t>（类）</w:t>
      </w:r>
      <w:r>
        <w:rPr>
          <w:rStyle w:val="25"/>
          <w:rFonts w:ascii="仿宋" w:eastAsia="仿宋" w:hAnsi="仿宋"/>
          <w:b w:val="0"/>
          <w:bCs/>
          <w:sz w:val="32"/>
          <w:szCs w:val="32"/>
        </w:rPr>
        <w:t>住房改革</w:t>
      </w:r>
      <w:r>
        <w:rPr>
          <w:rStyle w:val="25"/>
          <w:rFonts w:ascii="仿宋" w:eastAsia="仿宋" w:hAnsi="仿宋" w:hint="eastAsia"/>
          <w:b w:val="0"/>
          <w:bCs/>
          <w:sz w:val="32"/>
          <w:szCs w:val="32"/>
        </w:rPr>
        <w:t>（款）</w:t>
      </w:r>
      <w:r>
        <w:rPr>
          <w:rStyle w:val="25"/>
          <w:rFonts w:ascii="仿宋" w:eastAsia="仿宋" w:hAnsi="仿宋"/>
          <w:b w:val="0"/>
          <w:bCs/>
          <w:sz w:val="32"/>
          <w:szCs w:val="32"/>
        </w:rPr>
        <w:t>住房公积金</w:t>
      </w:r>
      <w:r>
        <w:rPr>
          <w:rStyle w:val="25"/>
          <w:rFonts w:ascii="仿宋" w:eastAsia="仿宋" w:hAnsi="仿宋" w:hint="eastAsia"/>
          <w:b w:val="0"/>
          <w:bCs/>
          <w:sz w:val="32"/>
          <w:szCs w:val="32"/>
        </w:rPr>
        <w:t>（项）：支出决算为</w:t>
      </w:r>
      <w:r>
        <w:rPr>
          <w:rFonts w:ascii="仿宋" w:eastAsia="仿宋" w:hAnsi="仿宋" w:hint="eastAsia"/>
          <w:b w:val="0"/>
          <w:bCs/>
          <w:sz w:val="32"/>
          <w:szCs w:val="32"/>
        </w:rPr>
        <w:t>33.19</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color w:val="000000"/>
          <w:sz w:val="32"/>
          <w:szCs w:val="32"/>
        </w:rPr>
        <w:t>决算数和预算数一致。</w:t>
      </w:r>
    </w:p>
    <w:p>
      <w:pPr>
        <w:spacing w:line="600" w:lineRule="exact"/>
        <w:ind w:firstLineChars="200" w:firstLine="640"/>
        <w:rPr>
          <w:rFonts w:ascii="仿宋" w:eastAsia="仿宋" w:hAnsi="仿宋"/>
          <w:b/>
          <w:sz w:val="32"/>
          <w:szCs w:val="32"/>
        </w:rPr>
      </w:pPr>
      <w:r>
        <w:rPr>
          <w:rFonts w:ascii="仿宋" w:eastAsia="仿宋" w:hAnsi="仿宋" w:hint="eastAsia"/>
          <w:sz w:val="32"/>
          <w:szCs w:val="32"/>
        </w:rPr>
        <w:t>8.</w:t>
      </w:r>
      <w:r>
        <w:rPr>
          <w:rFonts w:ascii="仿宋" w:eastAsia="仿宋" w:hAnsi="仿宋" w:hint="eastAsia"/>
          <w:b/>
          <w:bCs/>
          <w:sz w:val="32"/>
          <w:szCs w:val="32"/>
        </w:rPr>
        <w:t>灾害防治及应急管理</w:t>
      </w:r>
      <w:r>
        <w:rPr>
          <w:rStyle w:val="25"/>
          <w:rFonts w:ascii="仿宋" w:eastAsia="仿宋" w:hAnsi="仿宋" w:hint="eastAsia"/>
          <w:bCs/>
          <w:sz w:val="32"/>
          <w:szCs w:val="32"/>
        </w:rPr>
        <w:t>（类）自然灾害救灾及恢复重建（款）  自然灾害灾后重建补助（项）：</w:t>
      </w:r>
      <w:r>
        <w:rPr>
          <w:rStyle w:val="25"/>
          <w:rFonts w:ascii="仿宋" w:eastAsia="仿宋" w:hAnsi="仿宋" w:hint="eastAsia"/>
          <w:b w:val="0"/>
          <w:bCs/>
          <w:sz w:val="32"/>
          <w:szCs w:val="32"/>
        </w:rPr>
        <w:t>支出决算为</w:t>
      </w:r>
      <w:r>
        <w:rPr>
          <w:rFonts w:ascii="仿宋" w:eastAsia="仿宋" w:hAnsi="仿宋" w:hint="eastAsia"/>
          <w:sz w:val="32"/>
          <w:szCs w:val="32"/>
        </w:rPr>
        <w:t>10</w:t>
      </w:r>
      <w:r>
        <w:rPr>
          <w:rStyle w:val="25"/>
          <w:rFonts w:ascii="仿宋" w:eastAsia="仿宋" w:hAnsi="仿宋" w:hint="eastAsia"/>
          <w:b w:val="0"/>
          <w:bCs/>
          <w:sz w:val="32"/>
          <w:szCs w:val="32"/>
        </w:rPr>
        <w:t>万元，完成预算100</w:t>
      </w:r>
      <w:r>
        <w:rPr>
          <w:rStyle w:val="25"/>
          <w:rFonts w:ascii="仿宋" w:eastAsia="仿宋" w:hAnsi="仿宋"/>
          <w:b w:val="0"/>
          <w:bCs/>
          <w:sz w:val="32"/>
          <w:szCs w:val="32"/>
        </w:rPr>
        <w:t>%</w:t>
      </w:r>
      <w:r>
        <w:rPr>
          <w:rStyle w:val="25"/>
          <w:rFonts w:ascii="仿宋" w:eastAsia="仿宋" w:hAnsi="仿宋" w:hint="eastAsia"/>
          <w:b w:val="0"/>
          <w:bCs/>
          <w:sz w:val="32"/>
          <w:szCs w:val="32"/>
        </w:rPr>
        <w:t>，</w:t>
      </w:r>
      <w:r>
        <w:rPr>
          <w:rStyle w:val="25"/>
          <w:rFonts w:ascii="仿宋" w:eastAsia="仿宋" w:hAnsi="仿宋" w:hint="eastAsia"/>
          <w:b w:val="0"/>
          <w:color w:val="000000"/>
          <w:sz w:val="32"/>
          <w:szCs w:val="32"/>
        </w:rPr>
        <w:t>决算数和预算数一致</w:t>
      </w:r>
      <w:r>
        <w:rPr>
          <w:rStyle w:val="25"/>
          <w:rFonts w:ascii="仿宋" w:eastAsia="仿宋" w:hAnsi="仿宋" w:hint="eastAsia"/>
          <w:b w:val="0"/>
          <w:bCs/>
          <w:sz w:val="32"/>
          <w:szCs w:val="32"/>
        </w:rPr>
        <w:t>。</w:t>
      </w:r>
    </w:p>
    <w:p>
      <w:pPr>
        <w:spacing w:line="600" w:lineRule="exact"/>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1-1表和财决08表）</w:t>
      </w:r>
      <w:bookmarkStart w:id="52" w:name="_Toc15377214"/>
      <w:bookmarkStart w:id="53" w:name="_Toc15396608"/>
    </w:p>
    <w:p>
      <w:pPr>
        <w:spacing w:line="600" w:lineRule="exact"/>
        <w:outlineLvl w:val="1"/>
        <w:rPr>
          <w:rStyle w:val="2Char"/>
          <w:rFonts w:ascii="仿宋" w:eastAsia="仿宋" w:cs="Times New Roman" w:hAnsi="仿宋"/>
          <w:bCs w:val="0"/>
        </w:rPr>
      </w:pPr>
      <w:r>
        <w:rPr>
          <w:rFonts w:ascii="仿宋" w:eastAsia="仿宋" w:hAnsi="仿宋" w:hint="eastAsia"/>
          <w:b/>
          <w:sz w:val="32"/>
          <w:szCs w:val="32"/>
        </w:rPr>
        <w:t>　　</w:t>
      </w:r>
      <w:bookmarkStart w:id="54" w:name="_Toc25345"/>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52"/>
      <w:bookmarkEnd w:id="53"/>
      <w:bookmarkEnd w:id="54"/>
      <w:r>
        <w:rPr>
          <w:rStyle w:val="2Char"/>
          <w:rFonts w:ascii="黑体" w:eastAsia="黑体" w:hAnsi="黑体"/>
          <w:b w:val="0"/>
        </w:rPr>
        <w:tab/>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t>202</w:t>
      </w:r>
      <w:r>
        <w:rPr>
          <w:rFonts w:ascii="仿宋" w:eastAsia="仿宋" w:hAnsi="仿宋" w:hint="eastAsia"/>
          <w:color w:val="000000"/>
          <w:sz w:val="32"/>
          <w:szCs w:val="32"/>
        </w:rPr>
        <w:t>1年一般公共预算财政拨款基本支出1013.91万元，其中：</w:t>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人员经费824.46万元，主要包括：基本工资207.46万元、津贴补贴61.07万元、奖金152.63万元、绩效工资55.37万元、机关事业单位基本养老保险缴费45.44万元、医疗费补助22.76万元、其他社会保障缴费2.21万元、住房公积金33.19万元、职业年金缴费3.99万元、生活补助240.24万元、奖励金0.1万元等。</w:t>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日常公用经费189.46万元，主要包括：办公费113.77万元、印刷费3.04万元、咨询费2.6万元、水费2.06万元、电费2.75万元、邮电费5.93万元、差旅费6.65万元、会议费0.40万元、培训费0.64万元、维修费8.20万元、工会经费2.77万元、福利费9.97万元、其他交通费18.58万元、其他商品和服务支出12.10万元等。</w:t>
      </w:r>
    </w:p>
    <w:p>
      <w:pPr>
        <w:spacing w:line="600" w:lineRule="exact"/>
        <w:ind w:firstLine="645"/>
        <w:rPr>
          <w:rFonts w:ascii="仿宋" w:eastAsia="仿宋" w:hAnsi="仿宋"/>
          <w:b/>
          <w:sz w:val="32"/>
          <w:szCs w:val="32"/>
        </w:rPr>
      </w:pPr>
      <w:r>
        <w:rPr>
          <w:rFonts w:ascii="仿宋" w:eastAsia="仿宋" w:hAnsi="仿宋" w:hint="eastAsia"/>
          <w:b/>
          <w:sz w:val="32"/>
          <w:szCs w:val="32"/>
        </w:rPr>
        <w:t>（注：数据来源于财决</w:t>
      </w:r>
      <w:r>
        <w:rPr>
          <w:rFonts w:ascii="仿宋" w:eastAsia="仿宋" w:hAnsi="仿宋"/>
          <w:b/>
          <w:sz w:val="32"/>
          <w:szCs w:val="32"/>
        </w:rPr>
        <w:t>0</w:t>
      </w:r>
      <w:r>
        <w:rPr>
          <w:rFonts w:ascii="仿宋" w:eastAsia="仿宋" w:hAnsi="仿宋" w:hint="eastAsia"/>
          <w:b/>
          <w:sz w:val="32"/>
          <w:szCs w:val="32"/>
        </w:rPr>
        <w:t>7表和财决08-1表）</w:t>
      </w:r>
      <w:bookmarkStart w:id="55" w:name="_Toc15377215"/>
      <w:bookmarkStart w:id="56" w:name="_Toc15396609"/>
    </w:p>
    <w:p>
      <w:pPr>
        <w:spacing w:line="600" w:lineRule="exact"/>
        <w:ind w:firstLine="646"/>
        <w:outlineLvl w:val="1"/>
        <w:rPr>
          <w:rStyle w:val="2Char"/>
          <w:rFonts w:ascii="仿宋" w:eastAsia="仿宋" w:cs="Times New Roman" w:hAnsi="仿宋"/>
          <w:bCs w:val="0"/>
        </w:rPr>
      </w:pPr>
      <w:bookmarkStart w:id="57" w:name="_Toc15577"/>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5"/>
      <w:bookmarkEnd w:id="56"/>
      <w:bookmarkEnd w:id="57"/>
    </w:p>
    <w:p>
      <w:pPr>
        <w:spacing w:line="600" w:lineRule="exact"/>
        <w:ind w:firstLine="640"/>
        <w:outlineLvl w:val="2"/>
        <w:rPr>
          <w:rFonts w:ascii="楷体" w:eastAsia="楷体" w:hAnsi="楷体"/>
          <w:sz w:val="32"/>
          <w:szCs w:val="32"/>
        </w:rPr>
      </w:pPr>
      <w:bookmarkStart w:id="58" w:name="_Toc15377216"/>
      <w:bookmarkStart w:id="59" w:name="_Toc8508"/>
      <w:r>
        <w:rPr>
          <w:rFonts w:ascii="楷体" w:eastAsia="楷体" w:hAnsi="楷体" w:hint="eastAsia"/>
          <w:sz w:val="32"/>
          <w:szCs w:val="32"/>
        </w:rPr>
        <w:t>（一）“三公”经费财政拨款支出决算总体情况说明</w:t>
      </w:r>
      <w:bookmarkEnd w:id="58"/>
      <w:bookmarkEnd w:id="59"/>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21年“三公”经费财政拨款支出决算为0.00万元，完成预算0</w:t>
      </w:r>
      <w:r>
        <w:rPr>
          <w:rFonts w:ascii="仿宋" w:eastAsia="仿宋" w:hAnsi="仿宋"/>
          <w:sz w:val="32"/>
          <w:szCs w:val="32"/>
        </w:rPr>
        <w:t>%</w:t>
      </w:r>
      <w:r>
        <w:rPr>
          <w:rFonts w:ascii="仿宋" w:eastAsia="仿宋" w:hAnsi="仿宋" w:hint="eastAsia"/>
          <w:sz w:val="32"/>
          <w:szCs w:val="32"/>
        </w:rPr>
        <w:t>，与预算数持平。</w:t>
      </w:r>
    </w:p>
    <w:p>
      <w:pPr>
        <w:spacing w:line="600" w:lineRule="exact"/>
        <w:ind w:firstLine="640"/>
        <w:outlineLvl w:val="2"/>
        <w:rPr>
          <w:rFonts w:ascii="楷体" w:eastAsia="楷体" w:hAnsi="楷体"/>
          <w:sz w:val="32"/>
          <w:szCs w:val="32"/>
        </w:rPr>
      </w:pPr>
      <w:bookmarkStart w:id="60" w:name="_Toc15377217"/>
      <w:bookmarkStart w:id="61" w:name="_Toc8000"/>
      <w:r>
        <w:rPr>
          <w:rFonts w:ascii="楷体" w:eastAsia="楷体" w:hAnsi="楷体" w:hint="eastAsia"/>
          <w:sz w:val="32"/>
          <w:szCs w:val="32"/>
        </w:rPr>
        <w:t>（二）“三公”经费财政拨款支出决算具体情况说明</w:t>
      </w:r>
      <w:bookmarkEnd w:id="60"/>
      <w:bookmarkEnd w:id="61"/>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pPr>
        <w:spacing w:line="600" w:lineRule="exact"/>
        <w:ind w:firstLine="640"/>
        <w:rPr>
          <w:rFonts w:ascii="仿宋_GB2312" w:eastAsia="仿宋_GB2312"/>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25"/>
          <w:rFonts w:ascii="仿宋" w:eastAsia="仿宋" w:hAnsi="仿宋" w:hint="eastAsia"/>
          <w:b w:val="0"/>
          <w:bCs/>
          <w:sz w:val="32"/>
          <w:szCs w:val="32"/>
        </w:rPr>
        <w:t>完成预算0</w:t>
      </w:r>
      <w:r>
        <w:rPr>
          <w:rStyle w:val="25"/>
          <w:rFonts w:ascii="仿宋" w:eastAsia="仿宋" w:hAnsi="仿宋"/>
          <w:b w:val="0"/>
          <w:bCs/>
          <w:sz w:val="32"/>
          <w:szCs w:val="32"/>
        </w:rPr>
        <w:t>%</w:t>
      </w:r>
      <w:r>
        <w:rPr>
          <w:rStyle w:val="25"/>
          <w:rFonts w:ascii="仿宋" w:eastAsia="仿宋" w:hAnsi="仿宋" w:hint="eastAsia"/>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Chars="200" w:firstLine="640"/>
        <w:textAlignment w:val="auto"/>
        <w:rPr>
          <w:rFonts w:ascii="宋体" w:eastAsia="仿宋_GB2312" w:cs="仿宋" w:hAnsi="宋体"/>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Fonts w:ascii="宋体" w:eastAsia="仿宋_GB2312" w:hAnsi="宋体" w:hint="eastAsia"/>
          <w:sz w:val="32"/>
          <w:szCs w:val="32"/>
        </w:rPr>
        <w:t>支出决算与</w:t>
      </w:r>
      <w:r>
        <w:rPr>
          <w:rFonts w:ascii="宋体" w:eastAsia="仿宋_GB2312" w:hAnsi="宋体"/>
          <w:sz w:val="32"/>
          <w:szCs w:val="32"/>
        </w:rPr>
        <w:t>20</w:t>
      </w:r>
      <w:r>
        <w:rPr>
          <w:rFonts w:ascii="宋体" w:eastAsia="仿宋_GB2312" w:hAnsi="宋体" w:hint="eastAsia"/>
          <w:sz w:val="32"/>
          <w:szCs w:val="32"/>
        </w:rPr>
        <w:t>2</w:t>
      </w:r>
      <w:r>
        <w:rPr>
          <w:rFonts w:ascii="宋体" w:eastAsia="仿宋_GB2312" w:hAnsi="宋体" w:hint="eastAsia"/>
          <w:sz w:val="32"/>
          <w:szCs w:val="32"/>
          <w:lang w:val="en-US" w:eastAsia="zh-CN"/>
        </w:rPr>
        <w:t>0</w:t>
      </w:r>
      <w:r>
        <w:rPr>
          <w:rFonts w:ascii="宋体" w:eastAsia="仿宋_GB2312" w:hAnsi="宋体" w:hint="eastAsia"/>
          <w:sz w:val="32"/>
          <w:szCs w:val="32"/>
        </w:rPr>
        <w:t>年</w:t>
      </w:r>
      <w:r>
        <w:rPr>
          <w:rFonts w:ascii="宋体" w:eastAsia="仿宋" w:hAnsi="宋体" w:hint="eastAsia"/>
          <w:sz w:val="32"/>
          <w:szCs w:val="32"/>
        </w:rPr>
        <w:t>持平。</w:t>
      </w:r>
      <w:r>
        <w:rPr>
          <w:rFonts w:ascii="宋体" w:eastAsia="仿宋_GB2312" w:hAnsi="宋体" w:hint="eastAsia"/>
          <w:b/>
          <w:sz w:val="32"/>
          <w:szCs w:val="32"/>
        </w:rPr>
        <w:t>公务用车运行维护费支出</w:t>
      </w:r>
      <w:r>
        <w:rPr>
          <w:rFonts w:ascii="宋体" w:eastAsia="仿宋_GB2312" w:hAnsi="宋体" w:hint="eastAsia"/>
          <w:sz w:val="32"/>
          <w:szCs w:val="32"/>
        </w:rPr>
        <w:t>0万元，截止202</w:t>
      </w:r>
      <w:r>
        <w:rPr>
          <w:rFonts w:ascii="宋体" w:eastAsia="仿宋_GB2312" w:hAnsi="宋体" w:hint="eastAsia"/>
          <w:sz w:val="32"/>
          <w:szCs w:val="32"/>
          <w:lang w:val="en-US" w:eastAsia="zh-CN"/>
        </w:rPr>
        <w:t>1</w:t>
      </w:r>
      <w:r>
        <w:rPr>
          <w:rFonts w:ascii="宋体" w:eastAsia="仿宋_GB2312" w:hAnsi="宋体" w:hint="eastAsia"/>
          <w:sz w:val="32"/>
          <w:szCs w:val="32"/>
        </w:rPr>
        <w:t>年12月底，单位有公务用车0辆。</w:t>
      </w:r>
    </w:p>
    <w:p>
      <w:pPr>
        <w:spacing w:line="600" w:lineRule="exact"/>
        <w:ind w:firstLineChars="200" w:firstLine="640"/>
        <w:rPr>
          <w:rFonts w:ascii="仿宋_GB2312" w:eastAsia="仿宋_GB2312"/>
          <w:sz w:val="32"/>
          <w:szCs w:val="32"/>
        </w:rPr>
      </w:pPr>
      <w:r>
        <w:rPr>
          <w:rFonts w:ascii="仿宋_GB2312" w:eastAsia="仿宋_GB2312" w:hint="eastAsia"/>
          <w:b/>
          <w:sz w:val="32"/>
          <w:szCs w:val="32"/>
        </w:rPr>
        <w:t>3.公务接待费支出</w:t>
      </w:r>
      <w:r>
        <w:rPr>
          <w:rFonts w:ascii="仿宋_GB2312" w:eastAsia="仿宋_GB2312" w:hint="eastAsia"/>
          <w:sz w:val="32"/>
          <w:szCs w:val="32"/>
        </w:rPr>
        <w:t>0万元，</w:t>
      </w:r>
      <w:r>
        <w:rPr>
          <w:rStyle w:val="25"/>
          <w:rFonts w:ascii="仿宋" w:eastAsia="仿宋" w:hAnsi="仿宋" w:hint="eastAsia"/>
          <w:b w:val="0"/>
          <w:bCs/>
          <w:sz w:val="32"/>
          <w:szCs w:val="32"/>
        </w:rPr>
        <w:t>完成预算0</w:t>
      </w:r>
      <w:r>
        <w:rPr>
          <w:rStyle w:val="25"/>
          <w:rFonts w:ascii="仿宋" w:eastAsia="仿宋" w:hAnsi="仿宋"/>
          <w:b w:val="0"/>
          <w:bCs/>
          <w:sz w:val="32"/>
          <w:szCs w:val="32"/>
        </w:rPr>
        <w:t>%</w:t>
      </w:r>
      <w:r>
        <w:rPr>
          <w:rStyle w:val="25"/>
          <w:rFonts w:ascii="仿宋" w:eastAsia="仿宋" w:hAnsi="仿宋" w:hint="eastAsia"/>
          <w:b w:val="0"/>
          <w:bCs/>
          <w:sz w:val="32"/>
          <w:szCs w:val="32"/>
        </w:rPr>
        <w:t>。</w:t>
      </w:r>
      <w:bookmarkStart w:id="62" w:name="_Toc15396610"/>
      <w:bookmarkStart w:id="63" w:name="_Toc15377218"/>
    </w:p>
    <w:p>
      <w:pPr>
        <w:spacing w:line="600" w:lineRule="exact"/>
        <w:ind w:firstLineChars="200" w:firstLine="640"/>
        <w:outlineLvl w:val="1"/>
        <w:rPr>
          <w:rStyle w:val="2Char"/>
          <w:rFonts w:ascii="黑体" w:eastAsia="黑体" w:hAnsi="黑体"/>
        </w:rPr>
      </w:pPr>
      <w:bookmarkStart w:id="64" w:name="_Toc24794"/>
      <w:r>
        <w:rPr>
          <w:rFonts w:ascii="黑体" w:eastAsia="黑体" w:hint="eastAsia"/>
          <w:sz w:val="32"/>
          <w:szCs w:val="32"/>
        </w:rPr>
        <w:t>八、</w:t>
      </w:r>
      <w:r>
        <w:rPr>
          <w:rStyle w:val="2Char"/>
          <w:rFonts w:ascii="黑体" w:eastAsia="黑体" w:hAnsi="黑体" w:hint="eastAsia"/>
          <w:b w:val="0"/>
        </w:rPr>
        <w:t>政府性基金预算支出决算情况说明</w:t>
      </w:r>
      <w:bookmarkEnd w:id="62"/>
      <w:bookmarkEnd w:id="63"/>
      <w:bookmarkEnd w:id="64"/>
    </w:p>
    <w:p>
      <w:pPr>
        <w:spacing w:line="600" w:lineRule="exact"/>
        <w:ind w:firstLine="640"/>
        <w:rPr>
          <w:rFonts w:ascii="仿宋_GB2312" w:eastAsia="仿宋_GB2312"/>
          <w:sz w:val="32"/>
          <w:szCs w:val="32"/>
        </w:rPr>
      </w:pPr>
      <w:r>
        <w:rPr>
          <w:rFonts w:ascii="仿宋_GB2312" w:eastAsia="仿宋_GB2312" w:hint="eastAsia"/>
          <w:sz w:val="32"/>
          <w:szCs w:val="32"/>
        </w:rPr>
        <w:t>本年度未安排政府性基金预算。</w:t>
      </w:r>
    </w:p>
    <w:p>
      <w:pPr>
        <w:numPr>
          <w:ilvl w:val="0"/>
          <w:numId w:val="1"/>
        </w:numPr>
        <w:spacing w:line="600" w:lineRule="exact"/>
        <w:ind w:left="0" w:firstLine="641"/>
        <w:outlineLvl w:val="1"/>
        <w:rPr>
          <w:rStyle w:val="2Char"/>
          <w:rFonts w:ascii="黑体" w:eastAsia="黑体" w:hAnsi="黑体"/>
          <w:b w:val="0"/>
        </w:rPr>
      </w:pPr>
      <w:bookmarkStart w:id="65" w:name="_Toc15396611"/>
      <w:bookmarkStart w:id="66" w:name="_Toc15377219"/>
      <w:bookmarkStart w:id="67" w:name="_Toc29064"/>
      <w:r>
        <w:rPr>
          <w:rStyle w:val="2Char"/>
          <w:rFonts w:ascii="黑体" w:eastAsia="黑体" w:hAnsi="黑体" w:hint="eastAsia"/>
          <w:b w:val="0"/>
        </w:rPr>
        <w:t>国有资本经营预算支出决算情况说明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hint="eastAsia"/>
          <w:sz w:val="32"/>
          <w:szCs w:val="32"/>
        </w:rPr>
        <w:t>本年度未安排国有资本经营预算。</w:t>
      </w:r>
    </w:p>
    <w:p>
      <w:pPr>
        <w:numPr>
          <w:ilvl w:val="0"/>
          <w:numId w:val="1"/>
        </w:numPr>
        <w:spacing w:line="600" w:lineRule="exact"/>
        <w:ind w:left="0" w:firstLine="641"/>
        <w:outlineLvl w:val="1"/>
        <w:rPr>
          <w:rStyle w:val="2Char"/>
          <w:rFonts w:ascii="黑体" w:eastAsia="黑体" w:hAnsi="黑体"/>
          <w:b w:val="0"/>
        </w:rPr>
      </w:pPr>
      <w:bookmarkStart w:id="68" w:name="_Toc26048"/>
      <w:r>
        <w:rPr>
          <w:rStyle w:val="2Char"/>
          <w:rFonts w:ascii="黑体" w:eastAsia="黑体" w:hAnsi="黑体" w:hint="eastAsia"/>
          <w:b w:val="0"/>
        </w:rPr>
        <w:t>其他重要事项的情况说明</w:t>
      </w:r>
      <w:bookmarkEnd w:id="68"/>
    </w:p>
    <w:p>
      <w:pPr>
        <w:spacing w:line="600" w:lineRule="exact"/>
        <w:ind w:firstLineChars="200" w:firstLine="640"/>
        <w:outlineLvl w:val="2"/>
        <w:rPr>
          <w:rFonts w:ascii="楷体" w:eastAsia="楷体" w:hAnsi="楷体"/>
          <w:sz w:val="32"/>
          <w:szCs w:val="32"/>
        </w:rPr>
      </w:pPr>
      <w:bookmarkStart w:id="69" w:name="_Toc25151"/>
      <w:r>
        <w:rPr>
          <w:rFonts w:ascii="楷体" w:eastAsia="楷体" w:hAnsi="楷体" w:hint="eastAsia"/>
          <w:sz w:val="32"/>
          <w:szCs w:val="32"/>
        </w:rPr>
        <w:t>（一）机关运行经费支出情况</w:t>
      </w:r>
      <w:bookmarkEnd w:id="69"/>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21年，广元市利州区人民政府雪峰街道办事处机关运行经费支出189.46万元，比</w:t>
      </w:r>
      <w:r>
        <w:rPr>
          <w:rFonts w:ascii="仿宋" w:eastAsia="仿宋" w:hAnsi="仿宋"/>
          <w:color w:val="000000"/>
          <w:sz w:val="32"/>
          <w:szCs w:val="32"/>
        </w:rPr>
        <w:t>20</w:t>
      </w:r>
      <w:r>
        <w:rPr>
          <w:rFonts w:ascii="仿宋" w:eastAsia="仿宋" w:hAnsi="仿宋" w:hint="eastAsia"/>
          <w:color w:val="000000"/>
          <w:sz w:val="32"/>
          <w:szCs w:val="32"/>
        </w:rPr>
        <w:t>20年机关运行经费118.26万元增加71.20万元，增长60.21</w:t>
      </w:r>
      <w:r>
        <w:rPr>
          <w:rFonts w:ascii="仿宋" w:eastAsia="仿宋" w:hAnsi="仿宋"/>
          <w:color w:val="000000"/>
          <w:sz w:val="32"/>
          <w:szCs w:val="32"/>
        </w:rPr>
        <w:t>%</w:t>
      </w:r>
      <w:r>
        <w:rPr>
          <w:rFonts w:ascii="仿宋" w:eastAsia="仿宋" w:hAnsi="仿宋" w:hint="eastAsia"/>
          <w:color w:val="000000"/>
          <w:sz w:val="32"/>
          <w:szCs w:val="32"/>
        </w:rPr>
        <w:t>。主要原因是人员增加</w:t>
      </w:r>
      <w:r>
        <w:rPr>
          <w:rFonts w:ascii="仿宋" w:eastAsia="仿宋" w:hAnsi="仿宋" w:hint="eastAsia"/>
          <w:color w:val="000000"/>
          <w:sz w:val="32"/>
          <w:szCs w:val="32"/>
          <w:lang w:val="en-US" w:eastAsia="zh-CN"/>
        </w:rPr>
        <w:t>,</w:t>
      </w:r>
      <w:r>
        <w:rPr>
          <w:rFonts w:ascii="仿宋" w:eastAsia="仿宋" w:hAnsi="仿宋" w:hint="eastAsia"/>
          <w:color w:val="000000"/>
          <w:sz w:val="32"/>
          <w:szCs w:val="32"/>
        </w:rPr>
        <w:t>经费增加。</w:t>
      </w:r>
    </w:p>
    <w:p>
      <w:pPr>
        <w:autoSpaceDE w:val="0"/>
        <w:autoSpaceDN w:val="0"/>
        <w:adjustRightInd w:val="0"/>
        <w:spacing w:line="600" w:lineRule="exact"/>
        <w:ind w:firstLineChars="200" w:firstLine="640"/>
        <w:jc w:val="left"/>
        <w:outlineLvl w:val="2"/>
        <w:rPr>
          <w:rFonts w:ascii="楷体" w:eastAsia="楷体" w:hAnsi="楷体"/>
          <w:sz w:val="32"/>
          <w:szCs w:val="32"/>
        </w:rPr>
      </w:pPr>
      <w:bookmarkStart w:id="70" w:name="_Toc15735"/>
      <w:r>
        <w:rPr>
          <w:rFonts w:ascii="楷体" w:eastAsia="楷体" w:hAnsi="楷体" w:hint="eastAsia"/>
          <w:sz w:val="32"/>
          <w:szCs w:val="32"/>
        </w:rPr>
        <w:t>（二）政府采购支出情况</w:t>
      </w:r>
      <w:bookmarkEnd w:id="70"/>
    </w:p>
    <w:p>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21年，广元市利州区人民政府雪峰街道办事处政府采购支出总额0万元。</w:t>
      </w:r>
    </w:p>
    <w:p>
      <w:pPr>
        <w:spacing w:line="600" w:lineRule="exact"/>
        <w:ind w:firstLineChars="200" w:firstLine="640"/>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楷体" w:eastAsia="楷体" w:hAnsi="楷体"/>
          <w:sz w:val="32"/>
          <w:szCs w:val="32"/>
        </w:rPr>
      </w:pPr>
      <w:bookmarkStart w:id="71" w:name="_Toc25893"/>
      <w:r>
        <w:rPr>
          <w:rFonts w:ascii="楷体" w:eastAsia="楷体" w:hAnsi="楷体" w:hint="eastAsia"/>
          <w:sz w:val="32"/>
          <w:szCs w:val="32"/>
        </w:rPr>
        <w:t>（三）国有资产占有使用情况</w:t>
      </w:r>
      <w:bookmarkEnd w:id="71"/>
    </w:p>
    <w:p>
      <w:pPr>
        <w:autoSpaceDE w:val="0"/>
        <w:autoSpaceDN w:val="0"/>
        <w:adjustRightInd w:val="0"/>
        <w:spacing w:line="600" w:lineRule="exact"/>
        <w:ind w:firstLineChars="200" w:firstLine="640"/>
        <w:jc w:val="left"/>
        <w:rPr>
          <w:rFonts w:ascii="仿宋_GB2312" w:eastAsia="仿宋_GB2312"/>
          <w:b/>
          <w:sz w:val="32"/>
          <w:szCs w:val="32"/>
        </w:rPr>
      </w:pPr>
      <w:r>
        <w:rPr>
          <w:rFonts w:ascii="仿宋_GB2312" w:eastAsia="仿宋_GB2312" w:hint="eastAsia"/>
          <w:b/>
          <w:sz w:val="32"/>
          <w:szCs w:val="32"/>
        </w:rPr>
        <w:t>截至</w:t>
      </w:r>
      <w:r>
        <w:rPr>
          <w:rFonts w:ascii="仿宋_GB2312" w:eastAsia="仿宋_GB2312"/>
          <w:b/>
          <w:sz w:val="32"/>
          <w:szCs w:val="32"/>
        </w:rPr>
        <w:t>20</w:t>
      </w:r>
      <w:r>
        <w:rPr>
          <w:rFonts w:ascii="仿宋_GB2312" w:eastAsia="仿宋_GB2312" w:hint="eastAsia"/>
          <w:b/>
          <w:sz w:val="32"/>
          <w:szCs w:val="32"/>
        </w:rPr>
        <w:t>21年</w:t>
      </w:r>
      <w:r>
        <w:rPr>
          <w:rFonts w:ascii="仿宋_GB2312" w:eastAsia="仿宋_GB2312"/>
          <w:b/>
          <w:sz w:val="32"/>
          <w:szCs w:val="32"/>
        </w:rPr>
        <w:t>12</w:t>
      </w:r>
      <w:r>
        <w:rPr>
          <w:rFonts w:ascii="仿宋_GB2312" w:eastAsia="仿宋_GB2312" w:hint="eastAsia"/>
          <w:b/>
          <w:sz w:val="32"/>
          <w:szCs w:val="32"/>
        </w:rPr>
        <w:t>月</w:t>
      </w:r>
      <w:r>
        <w:rPr>
          <w:rFonts w:ascii="仿宋_GB2312" w:eastAsia="仿宋_GB2312"/>
          <w:b/>
          <w:sz w:val="32"/>
          <w:szCs w:val="32"/>
        </w:rPr>
        <w:t>31</w:t>
      </w:r>
      <w:r>
        <w:rPr>
          <w:rFonts w:ascii="仿宋_GB2312" w:eastAsia="仿宋_GB2312" w:hint="eastAsia"/>
          <w:b/>
          <w:sz w:val="32"/>
          <w:szCs w:val="32"/>
        </w:rPr>
        <w:t>日，广元市利州区人民政府雪峰街道办事处共有车辆0辆，单价</w:t>
      </w:r>
      <w:r>
        <w:rPr>
          <w:rFonts w:ascii="仿宋_GB2312" w:eastAsia="仿宋_GB2312"/>
          <w:b/>
          <w:sz w:val="32"/>
          <w:szCs w:val="32"/>
        </w:rPr>
        <w:t>50</w:t>
      </w:r>
      <w:r>
        <w:rPr>
          <w:rFonts w:ascii="仿宋_GB2312" w:eastAsia="仿宋_GB2312" w:hint="eastAsia"/>
          <w:b/>
          <w:sz w:val="32"/>
          <w:szCs w:val="32"/>
        </w:rPr>
        <w:t>万元以上通用设备0台（套），单价</w:t>
      </w:r>
      <w:r>
        <w:rPr>
          <w:rFonts w:ascii="仿宋_GB2312" w:eastAsia="仿宋_GB2312"/>
          <w:b/>
          <w:sz w:val="32"/>
          <w:szCs w:val="32"/>
        </w:rPr>
        <w:t>100</w:t>
      </w:r>
      <w:r>
        <w:rPr>
          <w:rFonts w:ascii="仿宋_GB2312" w:eastAsia="仿宋_GB2312" w:hint="eastAsia"/>
          <w:b/>
          <w:sz w:val="32"/>
          <w:szCs w:val="32"/>
        </w:rPr>
        <w:t>万元以上专用设备0台（套）。</w:t>
      </w:r>
    </w:p>
    <w:p>
      <w:pPr>
        <w:autoSpaceDE w:val="0"/>
        <w:autoSpaceDN w:val="0"/>
        <w:adjustRightInd w:val="0"/>
        <w:spacing w:line="600" w:lineRule="exact"/>
        <w:ind w:firstLineChars="200" w:firstLine="640"/>
        <w:jc w:val="left"/>
        <w:rPr>
          <w:rFonts w:ascii="仿宋" w:eastAsia="仿宋" w:hAnsi="仿宋"/>
          <w:b/>
          <w:sz w:val="32"/>
          <w:szCs w:val="32"/>
        </w:rPr>
      </w:pPr>
      <w:r>
        <w:rPr>
          <w:rFonts w:ascii="仿宋" w:eastAsia="仿宋" w:hAnsi="仿宋" w:hint="eastAsia"/>
          <w:b/>
          <w:sz w:val="32"/>
          <w:szCs w:val="32"/>
        </w:rPr>
        <w:t>（注：数据来源于财决附</w:t>
      </w:r>
      <w:r>
        <w:rPr>
          <w:rFonts w:ascii="仿宋" w:eastAsia="仿宋" w:hAnsi="仿宋"/>
          <w:b/>
          <w:sz w:val="32"/>
          <w:szCs w:val="32"/>
        </w:rPr>
        <w:t>03</w:t>
      </w:r>
      <w:r>
        <w:rPr>
          <w:rFonts w:ascii="仿宋" w:eastAsia="仿宋" w:hAnsi="仿宋" w:hint="eastAsia"/>
          <w:b/>
          <w:sz w:val="32"/>
          <w:szCs w:val="32"/>
        </w:rPr>
        <w:t>表）</w:t>
      </w:r>
    </w:p>
    <w:p>
      <w:pPr>
        <w:autoSpaceDE w:val="0"/>
        <w:autoSpaceDN w:val="0"/>
        <w:adjustRightInd w:val="0"/>
        <w:spacing w:line="600" w:lineRule="exact"/>
        <w:ind w:firstLineChars="200" w:firstLine="640"/>
        <w:jc w:val="left"/>
        <w:outlineLvl w:val="2"/>
        <w:rPr>
          <w:rFonts w:ascii="楷体" w:eastAsia="楷体" w:hAnsi="楷体"/>
          <w:sz w:val="32"/>
          <w:szCs w:val="32"/>
        </w:rPr>
      </w:pPr>
      <w:bookmarkStart w:id="72" w:name="_Toc32718"/>
      <w:r>
        <w:rPr>
          <w:rFonts w:ascii="楷体" w:eastAsia="楷体" w:hAnsi="楷体" w:hint="eastAsia"/>
          <w:sz w:val="32"/>
          <w:szCs w:val="32"/>
        </w:rPr>
        <w:t>（四）预算绩效管理情况</w:t>
      </w:r>
      <w:bookmarkEnd w:id="72"/>
    </w:p>
    <w:p>
      <w:pPr>
        <w:widowControl/>
        <w:spacing w:line="576" w:lineRule="exact"/>
        <w:ind w:firstLineChars="200" w:firstLine="640"/>
        <w:jc w:val="left"/>
        <w:rPr>
          <w:rFonts w:ascii="仿宋" w:eastAsia="仿宋" w:cs="仿宋_GB2312" w:hAnsi="仿宋"/>
          <w:sz w:val="32"/>
          <w:szCs w:val="32"/>
        </w:rPr>
      </w:pPr>
      <w:bookmarkStart w:id="73" w:name="_Toc15377221"/>
      <w:bookmarkStart w:id="74" w:name="_Toc15396612"/>
      <w:r>
        <w:rPr>
          <w:rFonts w:ascii="仿宋" w:eastAsia="仿宋" w:cs="仿宋_GB2312" w:hAnsi="仿宋" w:hint="eastAsia"/>
          <w:sz w:val="32"/>
          <w:szCs w:val="32"/>
        </w:rPr>
        <w:t>根据预算绩效管理要求，广元市利州区人民政府雪峰街道办事处在2021年度预算编制阶段，组织对“农村义务兵优待金”“文明城市义务监督员生活补助”“森林防火”“计划生育监管，免费技术服务”“芸香社区房租”等15个项目开展了预算事前绩效评估，对15个项目编制了绩效目标，预算执行过程中，选取15个项目开展绩效监控，年终执行完毕后，对15个项目开展了绩效目标完成情况自评。《2021年广元市利州区人民政府雪峰街道办事处部门整体绩效评价报告》见附件（第四部分）。</w:t>
      </w:r>
    </w:p>
    <w:p>
      <w:pPr>
        <w:pStyle w:val="15"/>
        <w:spacing w:beforeLines="0" w:before="72"/>
      </w:pPr>
    </w:p>
    <w:p>
      <w:pPr>
        <w:pStyle w:val="15"/>
        <w:spacing w:beforeLines="0" w:before="72"/>
      </w:pPr>
    </w:p>
    <w:p>
      <w:pPr>
        <w:numPr>
          <w:ilvl w:val="0"/>
          <w:numId w:val="2"/>
        </w:numPr>
        <w:spacing w:line="600" w:lineRule="exact"/>
        <w:jc w:val="center"/>
        <w:outlineLvl w:val="0"/>
        <w:rPr>
          <w:rStyle w:val="1Char"/>
          <w:rFonts w:ascii="黑体" w:eastAsia="黑体" w:hAnsi="黑体"/>
          <w:b w:val="0"/>
        </w:rPr>
      </w:pPr>
      <w:bookmarkStart w:id="75" w:name="_Toc15377225"/>
      <w:bookmarkStart w:id="76" w:name="_Toc15396613"/>
      <w:bookmarkStart w:id="77" w:name="_Toc420"/>
      <w:bookmarkEnd w:id="73"/>
      <w:bookmarkEnd w:id="74"/>
      <w:r>
        <w:rPr>
          <w:rFonts w:ascii="黑体" w:eastAsia="黑体" w:hAnsi="黑体" w:hint="eastAsia"/>
          <w:sz w:val="44"/>
          <w:szCs w:val="44"/>
        </w:rPr>
        <w:t>名</w:t>
      </w:r>
      <w:r>
        <w:rPr>
          <w:rStyle w:val="1Char"/>
          <w:rFonts w:ascii="黑体" w:eastAsia="黑体" w:hAnsi="黑体" w:hint="eastAsia"/>
          <w:b w:val="0"/>
        </w:rPr>
        <w:t>词解释</w:t>
      </w:r>
      <w:bookmarkEnd w:id="75"/>
      <w:bookmarkEnd w:id="76"/>
      <w:bookmarkEnd w:id="77"/>
    </w:p>
    <w:p>
      <w:pPr>
        <w:spacing w:line="600" w:lineRule="exact"/>
        <w:jc w:val="left"/>
        <w:rPr>
          <w:rFonts w:ascii="宋体"/>
          <w:b/>
          <w:sz w:val="44"/>
          <w:szCs w:val="44"/>
        </w:rPr>
      </w:pPr>
    </w:p>
    <w:p>
      <w:pPr>
        <w:pStyle w:val="31"/>
        <w:overflowPunct w:val="0"/>
        <w:autoSpaceDE/>
        <w:autoSpaceDN/>
        <w:adjustRightInd w:val="0"/>
        <w:snapToGrid w:val="0"/>
        <w:spacing w:line="580" w:lineRule="exact"/>
        <w:ind w:firstLineChars="200" w:firstLine="640"/>
        <w:jc w:val="both"/>
        <w:rPr>
          <w:rFonts w:hAnsi="仿宋"/>
          <w:sz w:val="32"/>
          <w:szCs w:val="32"/>
        </w:rPr>
      </w:pPr>
      <w:bookmarkStart w:id="78" w:name="_Toc15377226"/>
      <w:r>
        <w:rPr>
          <w:rFonts w:hAnsi="仿宋"/>
          <w:sz w:val="32"/>
          <w:szCs w:val="32"/>
        </w:rPr>
        <w:t>1．</w:t>
      </w:r>
      <w:r>
        <w:rPr>
          <w:rFonts w:hAnsi="仿宋" w:hint="eastAsia"/>
          <w:sz w:val="32"/>
          <w:szCs w:val="32"/>
        </w:rPr>
        <w:t>财政拨款收入：指单位从同级财政部门取得的财政预算资金。</w:t>
      </w:r>
    </w:p>
    <w:p>
      <w:pPr>
        <w:pStyle w:val="31"/>
        <w:overflowPunct w:val="0"/>
        <w:autoSpaceDE/>
        <w:autoSpaceDN/>
        <w:adjustRightInd w:val="0"/>
        <w:snapToGrid w:val="0"/>
        <w:spacing w:line="580" w:lineRule="exact"/>
        <w:ind w:firstLineChars="200" w:firstLine="640"/>
        <w:jc w:val="both"/>
        <w:rPr>
          <w:rFonts w:hAnsi="仿宋"/>
          <w:sz w:val="32"/>
          <w:szCs w:val="32"/>
        </w:rPr>
      </w:pPr>
      <w:r>
        <w:rPr>
          <w:rFonts w:hAnsi="仿宋" w:hint="eastAsia"/>
          <w:sz w:val="32"/>
          <w:szCs w:val="32"/>
        </w:rPr>
        <w:t>2</w:t>
      </w:r>
      <w:r>
        <w:rPr>
          <w:rFonts w:hAnsi="仿宋"/>
          <w:sz w:val="32"/>
          <w:szCs w:val="32"/>
        </w:rPr>
        <w:t>．</w:t>
      </w:r>
      <w:r>
        <w:rPr>
          <w:rFonts w:hAnsi="仿宋" w:hint="eastAsia"/>
          <w:sz w:val="32"/>
          <w:szCs w:val="32"/>
        </w:rPr>
        <w:t>年初结转和结余：指以前年度尚未完成、结转到本年按有关规定继续使用的资金。</w:t>
      </w:r>
    </w:p>
    <w:p>
      <w:pPr>
        <w:overflowPunct w:val="0"/>
        <w:adjustRightInd w:val="0"/>
        <w:snapToGrid w:val="0"/>
        <w:spacing w:line="580" w:lineRule="exact"/>
        <w:ind w:firstLineChars="200" w:firstLine="640"/>
        <w:rPr>
          <w:rStyle w:val="25"/>
          <w:rFonts w:ascii="仿宋" w:eastAsia="仿宋" w:hAnsi="仿宋" w:hint="eastAsia"/>
          <w:bCs/>
          <w:sz w:val="32"/>
          <w:szCs w:val="32"/>
          <w:lang w:val="en-US" w:eastAsia="zh-CN"/>
        </w:rPr>
      </w:pPr>
      <w:r>
        <w:rPr>
          <w:rFonts w:ascii="仿宋" w:eastAsia="仿宋" w:hAnsi="仿宋" w:hint="eastAsia"/>
          <w:color w:val="000000"/>
          <w:sz w:val="32"/>
          <w:szCs w:val="32"/>
          <w:lang w:val="en-US" w:eastAsia="zh-CN"/>
        </w:rPr>
        <w:t>3</w:t>
      </w:r>
      <w:r>
        <w:rPr>
          <w:rFonts w:ascii="仿宋" w:eastAsia="仿宋" w:hAnsi="仿宋"/>
          <w:color w:val="000000"/>
          <w:sz w:val="32"/>
          <w:szCs w:val="32"/>
        </w:rPr>
        <w:t>．</w:t>
      </w:r>
      <w:r>
        <w:rPr>
          <w:rStyle w:val="25"/>
          <w:rFonts w:ascii="仿宋" w:eastAsia="仿宋" w:hAnsi="仿宋" w:hint="eastAsia"/>
          <w:bCs/>
          <w:sz w:val="32"/>
          <w:szCs w:val="32"/>
        </w:rPr>
        <w:t>一般公共服务</w:t>
      </w:r>
      <w:r>
        <w:rPr>
          <w:rStyle w:val="25"/>
          <w:rFonts w:ascii="仿宋" w:eastAsia="仿宋" w:hAnsi="仿宋" w:hint="eastAsia"/>
          <w:bCs/>
          <w:sz w:val="32"/>
          <w:szCs w:val="32"/>
          <w:lang w:val="en-US" w:eastAsia="zh-CN"/>
        </w:rPr>
        <w:t>:</w:t>
      </w:r>
    </w:p>
    <w:p>
      <w:pPr>
        <w:keepNext w:val="0"/>
        <w:keepLines w:val="0"/>
        <w:pageBreakBefore w:val="0"/>
        <w:widowControl w:val="0"/>
        <w:numPr>
          <w:ilvl w:val="0"/>
          <w:numId w:val="3"/>
        </w:numPr>
        <w:kinsoku/>
        <w:wordWrap/>
        <w:overflowPunct w:val="0"/>
        <w:topLinePunct w:val="0"/>
        <w:autoSpaceDE/>
        <w:autoSpaceDN/>
        <w:bidi w:val="0"/>
        <w:adjustRightInd w:val="0"/>
        <w:snapToGrid w:val="0"/>
        <w:spacing w:line="576" w:lineRule="exact"/>
        <w:ind w:left="0" w:firstLineChars="200" w:firstLine="640"/>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一般公共服务（类）人大事务（款）代表工作（项）</w:t>
      </w:r>
      <w:r>
        <w:rPr>
          <w:rStyle w:val="25"/>
          <w:rFonts w:ascii="仿宋" w:eastAsia="仿宋" w:hAnsi="仿宋"/>
          <w:b w:val="0"/>
          <w:bCs w:val="0"/>
          <w:sz w:val="32"/>
          <w:szCs w:val="32"/>
        </w:rPr>
        <w:t>:</w:t>
      </w:r>
      <w:r>
        <w:rPr>
          <w:rFonts w:ascii="仿宋" w:eastAsia="仿宋" w:hAnsi="仿宋" w:hint="eastAsia"/>
          <w:b w:val="0"/>
          <w:bCs w:val="0"/>
          <w:color w:val="000000"/>
          <w:sz w:val="32"/>
          <w:szCs w:val="32"/>
        </w:rPr>
        <w:t xml:space="preserve"> 指</w:t>
      </w:r>
      <w:r>
        <w:rPr>
          <w:rFonts w:ascii="仿宋" w:eastAsia="仿宋" w:cs="仿宋" w:hAnsi="仿宋" w:hint="eastAsia"/>
          <w:b w:val="0"/>
          <w:bCs w:val="0"/>
          <w:color w:val="000000"/>
          <w:sz w:val="32"/>
          <w:szCs w:val="32"/>
        </w:rPr>
        <w:t>人大代表工作，人大联络组经费</w:t>
      </w:r>
      <w:r>
        <w:rPr>
          <w:rStyle w:val="25"/>
          <w:rFonts w:ascii="仿宋" w:eastAsia="仿宋" w:hAnsi="仿宋" w:hint="eastAsia"/>
          <w:b w:val="0"/>
          <w:bCs w:val="0"/>
          <w:sz w:val="32"/>
          <w:szCs w:val="32"/>
        </w:rPr>
        <w:t>；</w:t>
      </w:r>
    </w:p>
    <w:p>
      <w:pPr>
        <w:numPr>
          <w:ilvl w:val="0"/>
          <w:numId w:val="3"/>
        </w:numPr>
        <w:overflowPunct w:val="0"/>
        <w:adjustRightInd w:val="0"/>
        <w:snapToGrid w:val="0"/>
        <w:spacing w:line="580" w:lineRule="exact"/>
        <w:ind w:left="0" w:firstLineChars="200" w:firstLine="640"/>
        <w:rPr>
          <w:rStyle w:val="25"/>
          <w:rFonts w:ascii="仿宋" w:eastAsia="仿宋" w:hAnsi="仿宋" w:hint="eastAsia"/>
          <w:b w:val="0"/>
          <w:bCs w:val="0"/>
          <w:color w:val="000000"/>
          <w:sz w:val="32"/>
          <w:szCs w:val="32"/>
        </w:rPr>
      </w:pPr>
      <w:r>
        <w:rPr>
          <w:rStyle w:val="25"/>
          <w:rFonts w:ascii="仿宋" w:eastAsia="仿宋" w:hAnsi="仿宋" w:hint="eastAsia"/>
          <w:b w:val="0"/>
          <w:bCs w:val="0"/>
          <w:sz w:val="32"/>
          <w:szCs w:val="32"/>
        </w:rPr>
        <w:t>一般公共服务（类）政府办公厅（室）及相关机构事务（款）行政运行（项）：</w:t>
      </w:r>
      <w:r>
        <w:rPr>
          <w:rFonts w:ascii="仿宋" w:eastAsia="仿宋" w:cs="仿宋" w:hAnsi="仿宋" w:hint="eastAsia"/>
          <w:b w:val="0"/>
          <w:bCs w:val="0"/>
          <w:color w:val="000000"/>
          <w:sz w:val="32"/>
          <w:szCs w:val="32"/>
        </w:rPr>
        <w:t>指一般行政管理事务</w:t>
      </w:r>
      <w:r>
        <w:rPr>
          <w:rStyle w:val="25"/>
          <w:rFonts w:ascii="仿宋" w:eastAsia="仿宋" w:hAnsi="仿宋" w:hint="eastAsia"/>
          <w:b w:val="0"/>
          <w:bCs w:val="0"/>
          <w:color w:val="000000"/>
          <w:sz w:val="32"/>
          <w:szCs w:val="32"/>
        </w:rPr>
        <w:t>；</w:t>
      </w:r>
    </w:p>
    <w:p>
      <w:pPr>
        <w:numPr>
          <w:ilvl w:val="0"/>
          <w:numId w:val="3"/>
        </w:numPr>
        <w:overflowPunct w:val="0"/>
        <w:adjustRightInd w:val="0"/>
        <w:snapToGrid w:val="0"/>
        <w:spacing w:line="580" w:lineRule="exact"/>
        <w:ind w:left="0" w:firstLineChars="200" w:firstLine="640"/>
        <w:rPr>
          <w:rStyle w:val="25"/>
          <w:rFonts w:ascii="仿宋" w:eastAsia="仿宋" w:hAnsi="仿宋" w:hint="eastAsia"/>
          <w:b w:val="0"/>
          <w:bCs w:val="0"/>
          <w:color w:val="000000"/>
          <w:sz w:val="32"/>
          <w:szCs w:val="32"/>
        </w:rPr>
      </w:pPr>
      <w:r>
        <w:rPr>
          <w:rStyle w:val="25"/>
          <w:rFonts w:ascii="仿宋" w:eastAsia="仿宋" w:hAnsi="仿宋" w:hint="eastAsia"/>
          <w:b w:val="0"/>
          <w:bCs w:val="0"/>
          <w:sz w:val="32"/>
          <w:szCs w:val="32"/>
        </w:rPr>
        <w:t>一般公共服务（类）政府办公厅（室）及相关机构事务（款）</w:t>
      </w:r>
      <w:r>
        <w:rPr>
          <w:rStyle w:val="25"/>
          <w:rFonts w:ascii="仿宋" w:eastAsia="仿宋" w:hAnsi="仿宋" w:hint="eastAsia"/>
          <w:b w:val="0"/>
          <w:bCs w:val="0"/>
          <w:color w:val="000000"/>
          <w:sz w:val="32"/>
          <w:szCs w:val="32"/>
        </w:rPr>
        <w:t>一般行政管理事务</w:t>
      </w:r>
      <w:r>
        <w:rPr>
          <w:rStyle w:val="25"/>
          <w:rFonts w:ascii="仿宋" w:eastAsia="仿宋" w:hAnsi="仿宋" w:hint="eastAsia"/>
          <w:b w:val="0"/>
          <w:bCs w:val="0"/>
          <w:sz w:val="32"/>
          <w:szCs w:val="32"/>
        </w:rPr>
        <w:t>（项）：</w:t>
      </w:r>
      <w:r>
        <w:rPr>
          <w:rFonts w:ascii="仿宋" w:eastAsia="仿宋" w:cs="仿宋" w:hAnsi="仿宋" w:hint="eastAsia"/>
          <w:b w:val="0"/>
          <w:bCs w:val="0"/>
          <w:color w:val="000000"/>
          <w:sz w:val="32"/>
          <w:szCs w:val="32"/>
        </w:rPr>
        <w:t>指其他一般公共服务支出</w:t>
      </w:r>
      <w:r>
        <w:rPr>
          <w:rStyle w:val="25"/>
          <w:rFonts w:ascii="仿宋" w:eastAsia="仿宋" w:hAnsi="仿宋" w:hint="eastAsia"/>
          <w:b w:val="0"/>
          <w:bCs w:val="0"/>
          <w:color w:val="000000"/>
          <w:sz w:val="32"/>
          <w:szCs w:val="32"/>
        </w:rPr>
        <w:t>；</w:t>
      </w:r>
    </w:p>
    <w:p>
      <w:pPr>
        <w:numPr>
          <w:ilvl w:val="0"/>
          <w:numId w:val="3"/>
        </w:numPr>
        <w:overflowPunct w:val="0"/>
        <w:adjustRightInd w:val="0"/>
        <w:snapToGrid w:val="0"/>
        <w:spacing w:line="580" w:lineRule="exact"/>
        <w:ind w:left="0" w:firstLineChars="200" w:firstLine="640"/>
        <w:rPr>
          <w:rStyle w:val="25"/>
          <w:rFonts w:ascii="仿宋" w:eastAsia="仿宋" w:hAnsi="仿宋"/>
          <w:b w:val="0"/>
          <w:bCs w:val="0"/>
          <w:color w:val="000000"/>
          <w:sz w:val="32"/>
          <w:szCs w:val="32"/>
        </w:rPr>
      </w:pPr>
      <w:r>
        <w:rPr>
          <w:rStyle w:val="25"/>
          <w:rFonts w:ascii="仿宋" w:eastAsia="仿宋" w:hAnsi="仿宋" w:hint="eastAsia"/>
          <w:b w:val="0"/>
          <w:bCs w:val="0"/>
          <w:sz w:val="32"/>
          <w:szCs w:val="32"/>
        </w:rPr>
        <w:t>一般公共服务（类）财政事务（款）行政运行（项）：</w:t>
      </w:r>
      <w:r>
        <w:rPr>
          <w:rFonts w:ascii="仿宋" w:eastAsia="仿宋" w:cs="仿宋" w:hAnsi="仿宋" w:hint="eastAsia"/>
          <w:b w:val="0"/>
          <w:bCs w:val="0"/>
          <w:color w:val="000000"/>
          <w:sz w:val="32"/>
          <w:szCs w:val="32"/>
        </w:rPr>
        <w:t>指财政事务行政运行</w:t>
      </w:r>
      <w:r>
        <w:rPr>
          <w:rStyle w:val="25"/>
          <w:rFonts w:ascii="仿宋" w:eastAsia="仿宋" w:hAnsi="仿宋" w:hint="eastAsia"/>
          <w:b w:val="0"/>
          <w:bCs w:val="0"/>
          <w:color w:val="000000"/>
          <w:sz w:val="32"/>
          <w:szCs w:val="32"/>
        </w:rPr>
        <w:t>；</w:t>
      </w:r>
      <w:r>
        <w:rPr>
          <w:rStyle w:val="25"/>
          <w:rFonts w:ascii="仿宋" w:eastAsia="仿宋" w:hAnsi="仿宋"/>
          <w:b w:val="0"/>
          <w:bCs w:val="0"/>
          <w:color w:val="000000"/>
          <w:sz w:val="32"/>
          <w:szCs w:val="32"/>
        </w:rPr>
        <w:t xml:space="preserve"> </w:t>
      </w:r>
    </w:p>
    <w:p>
      <w:pPr>
        <w:numPr>
          <w:ilvl w:val="0"/>
          <w:numId w:val="3"/>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Style w:val="25"/>
          <w:rFonts w:ascii="仿宋" w:eastAsia="仿宋" w:hAnsi="仿宋" w:hint="eastAsia"/>
          <w:b w:val="0"/>
          <w:bCs w:val="0"/>
          <w:sz w:val="32"/>
          <w:szCs w:val="32"/>
        </w:rPr>
        <w:t>一般公共服务（类）党委办公厅（室）及相关机构事务（款）</w:t>
      </w:r>
      <w:r>
        <w:rPr>
          <w:rStyle w:val="25"/>
          <w:rFonts w:ascii="仿宋" w:eastAsia="仿宋" w:hAnsi="仿宋" w:hint="eastAsia"/>
          <w:b w:val="0"/>
          <w:bCs w:val="0"/>
          <w:color w:val="000000"/>
          <w:sz w:val="32"/>
          <w:szCs w:val="32"/>
        </w:rPr>
        <w:t>专项业务</w:t>
      </w:r>
      <w:r>
        <w:rPr>
          <w:rStyle w:val="25"/>
          <w:rFonts w:ascii="仿宋" w:eastAsia="仿宋" w:hAnsi="仿宋" w:hint="eastAsia"/>
          <w:b w:val="0"/>
          <w:bCs w:val="0"/>
          <w:sz w:val="32"/>
          <w:szCs w:val="32"/>
        </w:rPr>
        <w:t>（项）</w:t>
      </w:r>
      <w:r>
        <w:rPr>
          <w:rStyle w:val="25"/>
          <w:rFonts w:ascii="仿宋" w:eastAsia="仿宋" w:hAnsi="仿宋" w:hint="eastAsia"/>
          <w:b w:val="0"/>
          <w:bCs w:val="0"/>
          <w:sz w:val="32"/>
          <w:szCs w:val="32"/>
          <w:lang w:val="en-US" w:eastAsia="zh-CN"/>
        </w:rPr>
        <w:t>:</w:t>
      </w:r>
      <w:r>
        <w:rPr>
          <w:rFonts w:ascii="仿宋" w:eastAsia="仿宋" w:hAnsi="仿宋" w:hint="eastAsia"/>
          <w:b w:val="0"/>
          <w:bCs w:val="0"/>
          <w:color w:val="000000"/>
          <w:sz w:val="32"/>
          <w:szCs w:val="32"/>
        </w:rPr>
        <w:t>指</w:t>
      </w:r>
      <w:r>
        <w:rPr>
          <w:rFonts w:ascii="仿宋" w:eastAsia="仿宋" w:cs="仿宋" w:hAnsi="仿宋" w:hint="eastAsia"/>
          <w:b w:val="0"/>
          <w:bCs w:val="0"/>
          <w:color w:val="000000"/>
          <w:sz w:val="32"/>
          <w:szCs w:val="32"/>
        </w:rPr>
        <w:t>党委办公室专项业务费（80岁老党员生活补助及远程教育等）</w:t>
      </w:r>
      <w:r>
        <w:rPr>
          <w:rStyle w:val="25"/>
          <w:rFonts w:ascii="仿宋" w:eastAsia="仿宋" w:hAnsi="仿宋" w:hint="eastAsia"/>
          <w:b w:val="0"/>
          <w:bCs w:val="0"/>
          <w:color w:val="000000"/>
          <w:sz w:val="32"/>
          <w:szCs w:val="32"/>
        </w:rPr>
        <w:t>。</w:t>
      </w:r>
    </w:p>
    <w:p>
      <w:pPr>
        <w:spacing w:line="600" w:lineRule="exact"/>
        <w:ind w:left="630"/>
        <w:rPr>
          <w:rStyle w:val="25"/>
          <w:rFonts w:ascii="仿宋" w:eastAsia="仿宋" w:hAnsi="仿宋" w:hint="eastAsia"/>
          <w:bCs/>
          <w:sz w:val="32"/>
          <w:szCs w:val="32"/>
          <w:lang w:val="en-US" w:eastAsia="zh-CN"/>
        </w:rPr>
      </w:pPr>
      <w:r>
        <w:rPr>
          <w:rStyle w:val="25"/>
          <w:rFonts w:ascii="仿宋" w:eastAsia="仿宋" w:hAnsi="仿宋" w:hint="eastAsia"/>
          <w:bCs/>
          <w:sz w:val="32"/>
          <w:szCs w:val="32"/>
          <w:lang w:val="en-US" w:eastAsia="zh-CN"/>
        </w:rPr>
        <w:t>4.</w:t>
      </w:r>
      <w:r>
        <w:rPr>
          <w:rStyle w:val="25"/>
          <w:rFonts w:ascii="仿宋" w:eastAsia="仿宋" w:hAnsi="仿宋" w:hint="eastAsia"/>
          <w:bCs/>
          <w:sz w:val="32"/>
          <w:szCs w:val="32"/>
        </w:rPr>
        <w:t>文化旅游体育与传媒</w:t>
      </w:r>
      <w:r>
        <w:rPr>
          <w:rStyle w:val="25"/>
          <w:rFonts w:ascii="仿宋" w:eastAsia="仿宋" w:hAnsi="仿宋" w:hint="eastAsia"/>
          <w:bCs/>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504" w:firstLine="1134"/>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文化旅游体育与传媒（类）文化和旅游（款）行政运行（项）：</w:t>
      </w:r>
      <w:r>
        <w:rPr>
          <w:rFonts w:ascii="仿宋" w:eastAsia="仿宋" w:cs="仿宋" w:hAnsi="仿宋" w:hint="eastAsia"/>
          <w:b w:val="0"/>
          <w:bCs w:val="0"/>
          <w:color w:val="000000"/>
          <w:sz w:val="32"/>
          <w:szCs w:val="32"/>
        </w:rPr>
        <w:t>指文化行政运行</w:t>
      </w:r>
      <w:r>
        <w:rPr>
          <w:rStyle w:val="25"/>
          <w:rFonts w:ascii="仿宋" w:eastAsia="仿宋" w:hAnsi="仿宋" w:hint="eastAsia"/>
          <w:b w:val="0"/>
          <w:bCs w:val="0"/>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504" w:firstLine="1134"/>
        <w:textAlignment w:val="auto"/>
        <w:rPr>
          <w:rStyle w:val="25"/>
          <w:rFonts w:ascii="仿宋" w:eastAsia="仿宋" w:hAnsi="仿宋"/>
          <w:b w:val="0"/>
          <w:sz w:val="32"/>
          <w:szCs w:val="32"/>
        </w:rPr>
      </w:pPr>
      <w:r>
        <w:rPr>
          <w:rStyle w:val="25"/>
          <w:rFonts w:ascii="仿宋" w:eastAsia="仿宋" w:hAnsi="仿宋" w:hint="eastAsia"/>
          <w:b w:val="0"/>
          <w:bCs w:val="0"/>
          <w:sz w:val="32"/>
          <w:szCs w:val="32"/>
        </w:rPr>
        <w:t>文化旅游体育与传媒（类）其他文化旅游体育与传媒支出（款）其他文化旅游体育与传媒支出（项）：</w:t>
      </w:r>
      <w:r>
        <w:rPr>
          <w:rFonts w:ascii="仿宋" w:eastAsia="仿宋" w:cs="仿宋" w:hAnsi="仿宋" w:hint="eastAsia"/>
          <w:b w:val="0"/>
          <w:bCs w:val="0"/>
          <w:color w:val="000000"/>
          <w:sz w:val="32"/>
          <w:szCs w:val="32"/>
        </w:rPr>
        <w:t>指其他文化体育与传媒</w:t>
      </w:r>
      <w:r>
        <w:rPr>
          <w:rStyle w:val="25"/>
          <w:rFonts w:ascii="仿宋" w:eastAsia="仿宋" w:hAnsi="仿宋" w:hint="eastAsia"/>
          <w:b w:val="0"/>
          <w:bCs w:val="0"/>
          <w:sz w:val="32"/>
          <w:szCs w:val="32"/>
        </w:rPr>
        <w:t>。</w:t>
      </w:r>
    </w:p>
    <w:p>
      <w:pPr>
        <w:numPr>
          <w:ilvl w:val="0"/>
          <w:numId w:val="5"/>
        </w:numPr>
        <w:overflowPunct w:val="0"/>
        <w:adjustRightInd w:val="0"/>
        <w:snapToGrid w:val="0"/>
        <w:spacing w:line="580" w:lineRule="exact"/>
        <w:ind w:left="-10" w:firstLine="640"/>
        <w:rPr>
          <w:rStyle w:val="25"/>
          <w:rFonts w:ascii="仿宋" w:eastAsia="仿宋" w:hAnsi="仿宋" w:hint="eastAsia"/>
          <w:bCs/>
          <w:sz w:val="32"/>
          <w:szCs w:val="32"/>
          <w:lang w:val="en-US" w:eastAsia="zh-CN"/>
        </w:rPr>
      </w:pPr>
      <w:r>
        <w:rPr>
          <w:rStyle w:val="25"/>
          <w:rFonts w:ascii="仿宋" w:eastAsia="仿宋" w:hAnsi="仿宋" w:hint="eastAsia"/>
          <w:bCs/>
          <w:sz w:val="32"/>
          <w:szCs w:val="32"/>
        </w:rPr>
        <w:t>社会保障和就业</w:t>
      </w:r>
      <w:r>
        <w:rPr>
          <w:rStyle w:val="25"/>
          <w:rFonts w:ascii="仿宋" w:eastAsia="仿宋" w:hAnsi="仿宋" w:hint="eastAsia"/>
          <w:bCs/>
          <w:sz w:val="32"/>
          <w:szCs w:val="32"/>
          <w:lang w:val="en-US" w:eastAsia="zh-CN"/>
        </w:rPr>
        <w:t>:</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80" w:lineRule="exact"/>
        <w:ind w:left="0" w:firstLineChars="200" w:firstLine="640"/>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社会保障和就业（类）行政事业单位养老（款）机关事业单位基本养老保险缴费（项）：</w:t>
      </w:r>
      <w:r>
        <w:rPr>
          <w:rFonts w:ascii="仿宋" w:eastAsia="仿宋" w:cs="仿宋" w:hAnsi="仿宋" w:hint="eastAsia"/>
          <w:b w:val="0"/>
          <w:bCs w:val="0"/>
          <w:color w:val="000000"/>
          <w:sz w:val="32"/>
          <w:szCs w:val="32"/>
        </w:rPr>
        <w:t>指机关事业单位基本养老保险</w:t>
      </w:r>
      <w:r>
        <w:rPr>
          <w:rStyle w:val="25"/>
          <w:rFonts w:ascii="仿宋" w:eastAsia="仿宋" w:hAnsi="仿宋" w:hint="eastAsia"/>
          <w:b w:val="0"/>
          <w:bCs w:val="0"/>
          <w:sz w:val="32"/>
          <w:szCs w:val="32"/>
        </w:rPr>
        <w:t>；</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80" w:lineRule="exact"/>
        <w:ind w:left="0" w:firstLineChars="200" w:firstLine="640"/>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社会保障和就业（类）行政事业单位养老（款）机关事业单位职业年金缴费（项）：</w:t>
      </w:r>
      <w:r>
        <w:rPr>
          <w:rFonts w:ascii="仿宋" w:eastAsia="仿宋" w:cs="仿宋" w:hAnsi="仿宋" w:hint="eastAsia"/>
          <w:b w:val="0"/>
          <w:bCs w:val="0"/>
          <w:color w:val="000000"/>
          <w:sz w:val="32"/>
          <w:szCs w:val="32"/>
        </w:rPr>
        <w:t>指</w:t>
      </w:r>
      <w:r>
        <w:rPr>
          <w:rFonts w:ascii="仿宋" w:eastAsia="仿宋" w:hAnsi="仿宋" w:hint="eastAsia"/>
          <w:b w:val="0"/>
          <w:bCs w:val="0"/>
          <w:sz w:val="32"/>
          <w:szCs w:val="32"/>
        </w:rPr>
        <w:t>机关事业单位职业年金缴费</w:t>
      </w:r>
      <w:r>
        <w:rPr>
          <w:rStyle w:val="25"/>
          <w:rFonts w:ascii="仿宋" w:eastAsia="仿宋" w:hAnsi="仿宋" w:hint="eastAsia"/>
          <w:b w:val="0"/>
          <w:bCs w:val="0"/>
          <w:sz w:val="32"/>
          <w:szCs w:val="32"/>
        </w:rPr>
        <w:t>；</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76" w:lineRule="exact"/>
        <w:ind w:left="0" w:firstLineChars="200" w:firstLine="640"/>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社会保障和就业（类）企业改革补助（款）其他企业改革发展补助（项）：指企业改革发展补助；</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80" w:lineRule="exact"/>
        <w:ind w:left="0" w:firstLineChars="200" w:firstLine="640"/>
        <w:textAlignment w:val="auto"/>
        <w:rPr>
          <w:rStyle w:val="25"/>
          <w:rFonts w:ascii="仿宋" w:eastAsia="仿宋" w:hAnsi="仿宋" w:hint="eastAsia"/>
          <w:b w:val="0"/>
          <w:bCs w:val="0"/>
          <w:sz w:val="32"/>
          <w:szCs w:val="32"/>
        </w:rPr>
      </w:pPr>
      <w:r>
        <w:rPr>
          <w:rStyle w:val="25"/>
          <w:rFonts w:ascii="仿宋" w:eastAsia="仿宋" w:hAnsi="仿宋" w:hint="eastAsia"/>
          <w:b w:val="0"/>
          <w:bCs w:val="0"/>
          <w:sz w:val="32"/>
          <w:szCs w:val="32"/>
        </w:rPr>
        <w:t>社会保障和就业（类）抚恤（款）义务兵优待（项）：</w:t>
      </w:r>
      <w:r>
        <w:rPr>
          <w:rFonts w:ascii="仿宋" w:eastAsia="仿宋" w:cs="仿宋" w:hAnsi="仿宋" w:hint="eastAsia"/>
          <w:b w:val="0"/>
          <w:bCs w:val="0"/>
          <w:color w:val="000000"/>
          <w:sz w:val="32"/>
          <w:szCs w:val="32"/>
        </w:rPr>
        <w:t>指</w:t>
      </w:r>
      <w:r>
        <w:rPr>
          <w:rFonts w:ascii="仿宋" w:eastAsia="仿宋" w:hAnsi="仿宋" w:hint="eastAsia"/>
          <w:b w:val="0"/>
          <w:bCs w:val="0"/>
          <w:sz w:val="32"/>
          <w:szCs w:val="32"/>
        </w:rPr>
        <w:t>义务兵优待金</w:t>
      </w:r>
      <w:r>
        <w:rPr>
          <w:rStyle w:val="25"/>
          <w:rFonts w:ascii="仿宋" w:eastAsia="仿宋" w:hAnsi="仿宋" w:hint="eastAsia"/>
          <w:b w:val="0"/>
          <w:bCs w:val="0"/>
          <w:sz w:val="32"/>
          <w:szCs w:val="32"/>
        </w:rPr>
        <w:t>；</w:t>
      </w:r>
    </w:p>
    <w:p>
      <w:pPr>
        <w:keepNext w:val="0"/>
        <w:keepLines w:val="0"/>
        <w:pageBreakBefore w:val="0"/>
        <w:widowControl w:val="0"/>
        <w:numPr>
          <w:ilvl w:val="0"/>
          <w:numId w:val="6"/>
        </w:numPr>
        <w:kinsoku/>
        <w:wordWrap/>
        <w:overflowPunct w:val="0"/>
        <w:topLinePunct w:val="0"/>
        <w:autoSpaceDE/>
        <w:autoSpaceDN/>
        <w:bidi w:val="0"/>
        <w:adjustRightInd w:val="0"/>
        <w:snapToGrid w:val="0"/>
        <w:spacing w:line="580" w:lineRule="exact"/>
        <w:ind w:left="0" w:firstLineChars="200" w:firstLine="640"/>
        <w:textAlignment w:val="auto"/>
        <w:rPr>
          <w:rFonts w:ascii="仿宋" w:eastAsia="仿宋" w:hAnsi="仿宋"/>
          <w:b w:val="0"/>
          <w:bCs w:val="0"/>
          <w:color w:val="000000"/>
          <w:sz w:val="32"/>
          <w:szCs w:val="32"/>
        </w:rPr>
      </w:pPr>
      <w:r>
        <w:rPr>
          <w:rStyle w:val="25"/>
          <w:rFonts w:ascii="仿宋" w:eastAsia="仿宋" w:hAnsi="仿宋" w:hint="eastAsia"/>
          <w:b w:val="0"/>
          <w:bCs w:val="0"/>
          <w:sz w:val="32"/>
          <w:szCs w:val="32"/>
        </w:rPr>
        <w:t>社会保障和就业（类）其他社会保障和就业（款）其他社会保障和就业（项）：</w:t>
      </w:r>
      <w:r>
        <w:rPr>
          <w:rFonts w:ascii="仿宋" w:eastAsia="仿宋" w:cs="仿宋" w:hAnsi="仿宋" w:hint="eastAsia"/>
          <w:b w:val="0"/>
          <w:bCs w:val="0"/>
          <w:color w:val="000000"/>
          <w:sz w:val="32"/>
          <w:szCs w:val="32"/>
        </w:rPr>
        <w:t>指其他</w:t>
      </w:r>
      <w:r>
        <w:rPr>
          <w:rFonts w:ascii="仿宋" w:eastAsia="仿宋" w:hAnsi="仿宋" w:hint="eastAsia"/>
          <w:b w:val="0"/>
          <w:bCs w:val="0"/>
          <w:color w:val="000000"/>
          <w:sz w:val="32"/>
          <w:szCs w:val="32"/>
        </w:rPr>
        <w:t>社会保障和就业支出。</w:t>
      </w:r>
    </w:p>
    <w:p>
      <w:pPr>
        <w:numPr>
          <w:ilvl w:val="0"/>
          <w:numId w:val="5"/>
        </w:numPr>
        <w:overflowPunct w:val="0"/>
        <w:adjustRightInd w:val="0"/>
        <w:snapToGrid w:val="0"/>
        <w:spacing w:line="580" w:lineRule="exact"/>
        <w:ind w:left="-10" w:firstLine="640"/>
        <w:rPr>
          <w:rFonts w:ascii="仿宋" w:eastAsia="仿宋" w:hAnsi="仿宋" w:hint="eastAsia"/>
          <w:b/>
          <w:bCs/>
          <w:sz w:val="32"/>
          <w:szCs w:val="32"/>
          <w:lang w:val="en-US" w:eastAsia="zh-CN"/>
        </w:rPr>
      </w:pPr>
      <w:r>
        <w:rPr>
          <w:rFonts w:ascii="仿宋" w:eastAsia="仿宋" w:hAnsi="仿宋" w:hint="eastAsia"/>
          <w:b/>
          <w:bCs/>
          <w:sz w:val="32"/>
          <w:szCs w:val="32"/>
        </w:rPr>
        <w:t>卫生健康</w:t>
      </w:r>
      <w:r>
        <w:rPr>
          <w:rFonts w:ascii="仿宋" w:eastAsia="仿宋" w:hAnsi="仿宋" w:hint="eastAsia"/>
          <w:b/>
          <w:bCs/>
          <w:sz w:val="32"/>
          <w:szCs w:val="32"/>
          <w:lang w:val="en-US" w:eastAsia="zh-CN"/>
        </w:rPr>
        <w:t>:</w:t>
      </w:r>
    </w:p>
    <w:p>
      <w:pPr>
        <w:numPr>
          <w:ilvl w:val="0"/>
          <w:numId w:val="7"/>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sz w:val="32"/>
          <w:szCs w:val="32"/>
        </w:rPr>
        <w:t>卫生健康</w:t>
      </w:r>
      <w:r>
        <w:rPr>
          <w:rStyle w:val="25"/>
          <w:rFonts w:ascii="仿宋" w:eastAsia="仿宋" w:hAnsi="仿宋" w:hint="eastAsia"/>
          <w:b w:val="0"/>
          <w:bCs w:val="0"/>
          <w:sz w:val="32"/>
          <w:szCs w:val="32"/>
        </w:rPr>
        <w:t>（类）计划生育事务（款）计划生育机构（项）：</w:t>
      </w:r>
      <w:r>
        <w:rPr>
          <w:rFonts w:ascii="仿宋" w:eastAsia="仿宋" w:cs="仿宋" w:hAnsi="仿宋" w:hint="eastAsia"/>
          <w:b w:val="0"/>
          <w:bCs w:val="0"/>
          <w:color w:val="000000"/>
          <w:sz w:val="32"/>
          <w:szCs w:val="32"/>
        </w:rPr>
        <w:t>指</w:t>
      </w:r>
      <w:r>
        <w:rPr>
          <w:rFonts w:ascii="仿宋" w:eastAsia="仿宋" w:hAnsi="仿宋" w:hint="eastAsia"/>
          <w:b w:val="0"/>
          <w:bCs w:val="0"/>
          <w:sz w:val="32"/>
          <w:szCs w:val="32"/>
        </w:rPr>
        <w:t>计划生育机构行政运行</w:t>
      </w:r>
      <w:r>
        <w:rPr>
          <w:rStyle w:val="25"/>
          <w:rFonts w:ascii="仿宋" w:eastAsia="仿宋" w:hAnsi="仿宋" w:hint="eastAsia"/>
          <w:b w:val="0"/>
          <w:bCs w:val="0"/>
          <w:sz w:val="32"/>
          <w:szCs w:val="32"/>
        </w:rPr>
        <w:t>；</w:t>
      </w:r>
    </w:p>
    <w:p>
      <w:pPr>
        <w:numPr>
          <w:ilvl w:val="0"/>
          <w:numId w:val="7"/>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sz w:val="32"/>
          <w:szCs w:val="32"/>
        </w:rPr>
        <w:t>卫生健康</w:t>
      </w:r>
      <w:r>
        <w:rPr>
          <w:rStyle w:val="25"/>
          <w:rFonts w:ascii="仿宋" w:eastAsia="仿宋" w:hAnsi="仿宋" w:hint="eastAsia"/>
          <w:b w:val="0"/>
          <w:bCs w:val="0"/>
          <w:sz w:val="32"/>
          <w:szCs w:val="32"/>
        </w:rPr>
        <w:t>（类）计划生育事务（款）计划生育服务（项）</w:t>
      </w:r>
      <w:r>
        <w:rPr>
          <w:rStyle w:val="25"/>
          <w:rFonts w:ascii="仿宋" w:eastAsia="仿宋" w:hAnsi="仿宋" w:hint="eastAsia"/>
          <w:b w:val="0"/>
          <w:bCs w:val="0"/>
          <w:sz w:val="32"/>
          <w:szCs w:val="32"/>
          <w:lang w:val="en-US" w:eastAsia="zh-CN"/>
        </w:rPr>
        <w:t>:</w:t>
      </w:r>
      <w:r>
        <w:rPr>
          <w:rFonts w:ascii="仿宋" w:eastAsia="仿宋" w:hAnsi="仿宋" w:hint="eastAsia"/>
          <w:b w:val="0"/>
          <w:bCs w:val="0"/>
          <w:sz w:val="32"/>
          <w:szCs w:val="32"/>
        </w:rPr>
        <w:t>指计划生育服务</w:t>
      </w:r>
      <w:r>
        <w:rPr>
          <w:rStyle w:val="25"/>
          <w:rFonts w:ascii="仿宋" w:eastAsia="仿宋" w:hAnsi="仿宋" w:hint="eastAsia"/>
          <w:b w:val="0"/>
          <w:bCs w:val="0"/>
          <w:sz w:val="32"/>
          <w:szCs w:val="32"/>
        </w:rPr>
        <w:t>；</w:t>
      </w:r>
    </w:p>
    <w:p>
      <w:pPr>
        <w:numPr>
          <w:ilvl w:val="0"/>
          <w:numId w:val="7"/>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sz w:val="32"/>
          <w:szCs w:val="32"/>
        </w:rPr>
        <w:t>卫生健康</w:t>
      </w:r>
      <w:r>
        <w:rPr>
          <w:rStyle w:val="25"/>
          <w:rFonts w:ascii="仿宋" w:eastAsia="仿宋" w:hAnsi="仿宋" w:hint="eastAsia"/>
          <w:b w:val="0"/>
          <w:bCs w:val="0"/>
          <w:sz w:val="32"/>
          <w:szCs w:val="32"/>
        </w:rPr>
        <w:t>（类）行政事业单位医疗（款）行政单位医疗（项）：</w:t>
      </w:r>
      <w:r>
        <w:rPr>
          <w:rFonts w:ascii="仿宋" w:eastAsia="仿宋" w:hAnsi="仿宋" w:hint="eastAsia"/>
          <w:b w:val="0"/>
          <w:bCs w:val="0"/>
          <w:sz w:val="32"/>
          <w:szCs w:val="32"/>
        </w:rPr>
        <w:t>指行政单位医疗。</w:t>
      </w:r>
    </w:p>
    <w:p>
      <w:pPr>
        <w:numPr>
          <w:ilvl w:val="0"/>
          <w:numId w:val="5"/>
        </w:numPr>
        <w:overflowPunct w:val="0"/>
        <w:adjustRightInd w:val="0"/>
        <w:snapToGrid w:val="0"/>
        <w:spacing w:line="580" w:lineRule="exact"/>
        <w:ind w:left="-10" w:firstLine="640"/>
        <w:rPr>
          <w:rFonts w:ascii="仿宋" w:eastAsia="仿宋" w:hAnsi="仿宋" w:hint="eastAsia"/>
          <w:b/>
          <w:bCs/>
          <w:color w:val="000000"/>
          <w:sz w:val="32"/>
          <w:szCs w:val="32"/>
        </w:rPr>
      </w:pPr>
      <w:r>
        <w:rPr>
          <w:rFonts w:ascii="仿宋" w:eastAsia="仿宋" w:hAnsi="仿宋" w:hint="eastAsia"/>
          <w:b/>
          <w:bCs/>
          <w:color w:val="000000"/>
          <w:sz w:val="32"/>
          <w:szCs w:val="32"/>
        </w:rPr>
        <w:t>城乡社区</w:t>
      </w:r>
      <w:r>
        <w:rPr>
          <w:rFonts w:ascii="仿宋" w:eastAsia="仿宋" w:hAnsi="仿宋" w:hint="eastAsia"/>
          <w:b/>
          <w:bCs/>
          <w:color w:val="000000"/>
          <w:sz w:val="32"/>
          <w:szCs w:val="32"/>
          <w:lang w:val="en-US" w:eastAsia="zh-CN"/>
        </w:rPr>
        <w:t>:</w:t>
      </w:r>
    </w:p>
    <w:p>
      <w:pPr>
        <w:numPr>
          <w:ilvl w:val="0"/>
          <w:numId w:val="8"/>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rPr>
        <w:t>城乡社区</w:t>
      </w:r>
      <w:r>
        <w:rPr>
          <w:rStyle w:val="25"/>
          <w:rFonts w:ascii="仿宋" w:eastAsia="仿宋" w:hAnsi="仿宋" w:hint="eastAsia"/>
          <w:b w:val="0"/>
          <w:bCs w:val="0"/>
          <w:sz w:val="32"/>
          <w:szCs w:val="32"/>
        </w:rPr>
        <w:t>（类）城乡社区管理事务（款）行政运行（项）：</w:t>
      </w:r>
      <w:r>
        <w:rPr>
          <w:rFonts w:ascii="仿宋" w:eastAsia="仿宋" w:hAnsi="仿宋" w:hint="eastAsia"/>
          <w:b w:val="0"/>
          <w:bCs w:val="0"/>
          <w:sz w:val="32"/>
          <w:szCs w:val="32"/>
        </w:rPr>
        <w:t>指城乡社区管理事务行政运行</w:t>
      </w:r>
      <w:r>
        <w:rPr>
          <w:rStyle w:val="25"/>
          <w:rFonts w:ascii="仿宋" w:eastAsia="仿宋" w:hAnsi="仿宋" w:hint="eastAsia"/>
          <w:b w:val="0"/>
          <w:bCs w:val="0"/>
          <w:sz w:val="32"/>
          <w:szCs w:val="32"/>
        </w:rPr>
        <w:t>；</w:t>
      </w:r>
    </w:p>
    <w:p>
      <w:pPr>
        <w:numPr>
          <w:ilvl w:val="0"/>
          <w:numId w:val="8"/>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rPr>
        <w:t>城乡社区</w:t>
      </w:r>
      <w:r>
        <w:rPr>
          <w:rStyle w:val="25"/>
          <w:rFonts w:ascii="仿宋" w:eastAsia="仿宋" w:hAnsi="仿宋" w:hint="eastAsia"/>
          <w:b w:val="0"/>
          <w:bCs w:val="0"/>
          <w:sz w:val="32"/>
          <w:szCs w:val="32"/>
        </w:rPr>
        <w:t>（类）城乡社区管理事务（款）一般行政管理事务（项）：</w:t>
      </w:r>
      <w:r>
        <w:rPr>
          <w:rFonts w:ascii="仿宋" w:eastAsia="仿宋" w:hAnsi="仿宋" w:hint="eastAsia"/>
          <w:b w:val="0"/>
          <w:bCs w:val="0"/>
          <w:sz w:val="32"/>
          <w:szCs w:val="32"/>
        </w:rPr>
        <w:t>指城乡社区一般行政管理事务。</w:t>
      </w:r>
    </w:p>
    <w:p>
      <w:pPr>
        <w:numPr>
          <w:ilvl w:val="0"/>
          <w:numId w:val="5"/>
        </w:numPr>
        <w:overflowPunct w:val="0"/>
        <w:adjustRightInd w:val="0"/>
        <w:snapToGrid w:val="0"/>
        <w:spacing w:line="580" w:lineRule="exact"/>
        <w:ind w:left="-10" w:firstLine="640"/>
        <w:rPr>
          <w:rFonts w:ascii="仿宋" w:eastAsia="仿宋" w:hAnsi="仿宋" w:hint="eastAsia"/>
          <w:b/>
          <w:bCs/>
          <w:color w:val="000000"/>
          <w:sz w:val="32"/>
          <w:szCs w:val="32"/>
          <w14:textFill>
            <w14:solidFill>
              <w14:srgbClr w14:val="000000"/>
            </w14:solidFill>
          </w14:textFill>
          <w:lang w:val="en-US" w:eastAsia="zh-CN"/>
        </w:rPr>
      </w:pPr>
      <w:r>
        <w:rPr>
          <w:rFonts w:ascii="仿宋" w:eastAsia="仿宋" w:hAnsi="仿宋" w:hint="eastAsia"/>
          <w:b/>
          <w:bCs/>
          <w:color w:val="000000"/>
          <w:sz w:val="32"/>
          <w:szCs w:val="32"/>
          <w14:textFill>
            <w14:solidFill>
              <w14:srgbClr w14:val="000000"/>
            </w14:solidFill>
          </w14:textFill>
        </w:rPr>
        <w:t>农林水</w:t>
      </w:r>
      <w:r>
        <w:rPr>
          <w:rFonts w:ascii="仿宋" w:eastAsia="仿宋" w:hAnsi="仿宋" w:hint="eastAsia"/>
          <w:b/>
          <w:bCs/>
          <w:color w:val="000000"/>
          <w:sz w:val="32"/>
          <w:szCs w:val="32"/>
          <w14:textFill>
            <w14:solidFill>
              <w14:srgbClr w14:val="000000"/>
            </w14:solidFill>
          </w14:textFill>
          <w:lang w:val="en-US" w:eastAsia="zh-CN"/>
        </w:rPr>
        <w:t>:</w:t>
      </w:r>
    </w:p>
    <w:p>
      <w:pPr>
        <w:numPr>
          <w:ilvl w:val="0"/>
          <w:numId w:val="9"/>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14:textFill>
            <w14:solidFill>
              <w14:srgbClr w14:val="000000"/>
            </w14:solidFill>
          </w14:textFill>
        </w:rPr>
        <w:t>农林水</w:t>
      </w:r>
      <w:r>
        <w:rPr>
          <w:rStyle w:val="25"/>
          <w:rFonts w:ascii="仿宋" w:eastAsia="仿宋" w:hAnsi="仿宋" w:hint="eastAsia"/>
          <w:b w:val="0"/>
          <w:bCs w:val="0"/>
          <w:color w:val="000000"/>
          <w:sz w:val="32"/>
          <w:szCs w:val="32"/>
          <w14:textFill>
            <w14:solidFill>
              <w14:srgbClr w14:val="000000"/>
            </w14:solidFill>
          </w14:textFill>
        </w:rPr>
        <w:t>（类）农业农村（款）行政运行（项）：</w:t>
      </w:r>
      <w:r>
        <w:rPr>
          <w:rFonts w:ascii="仿宋" w:eastAsia="仿宋" w:hAnsi="仿宋" w:hint="eastAsia"/>
          <w:b w:val="0"/>
          <w:bCs w:val="0"/>
          <w:sz w:val="32"/>
          <w:szCs w:val="32"/>
        </w:rPr>
        <w:t>指农业行政运行</w:t>
      </w:r>
      <w:r>
        <w:rPr>
          <w:rStyle w:val="25"/>
          <w:rFonts w:ascii="仿宋" w:eastAsia="仿宋" w:hAnsi="仿宋" w:hint="eastAsia"/>
          <w:b w:val="0"/>
          <w:bCs w:val="0"/>
          <w:color w:val="000000"/>
          <w:sz w:val="32"/>
          <w:szCs w:val="32"/>
          <w14:textFill>
            <w14:solidFill>
              <w14:srgbClr w14:val="000000"/>
            </w14:solidFill>
          </w14:textFill>
        </w:rPr>
        <w:t>；</w:t>
      </w:r>
    </w:p>
    <w:p>
      <w:pPr>
        <w:numPr>
          <w:ilvl w:val="0"/>
          <w:numId w:val="9"/>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14:textFill>
            <w14:solidFill>
              <w14:srgbClr w14:val="000000"/>
            </w14:solidFill>
          </w14:textFill>
        </w:rPr>
        <w:t>农林水</w:t>
      </w:r>
      <w:r>
        <w:rPr>
          <w:rStyle w:val="25"/>
          <w:rFonts w:ascii="仿宋" w:eastAsia="仿宋" w:hAnsi="仿宋" w:hint="eastAsia"/>
          <w:b w:val="0"/>
          <w:bCs w:val="0"/>
          <w:color w:val="000000"/>
          <w:sz w:val="32"/>
          <w:szCs w:val="32"/>
          <w14:textFill>
            <w14:solidFill>
              <w14:srgbClr w14:val="000000"/>
            </w14:solidFill>
          </w14:textFill>
        </w:rPr>
        <w:t>（类）农业农村（款）其他农业农村（项）：</w:t>
      </w:r>
      <w:r>
        <w:rPr>
          <w:rFonts w:ascii="仿宋" w:eastAsia="仿宋" w:hAnsi="仿宋" w:hint="eastAsia"/>
          <w:b w:val="0"/>
          <w:bCs w:val="0"/>
          <w:sz w:val="32"/>
          <w:szCs w:val="32"/>
        </w:rPr>
        <w:t>指其他农业支出</w:t>
      </w:r>
      <w:r>
        <w:rPr>
          <w:rStyle w:val="25"/>
          <w:rFonts w:ascii="仿宋" w:eastAsia="仿宋" w:hAnsi="仿宋" w:hint="eastAsia"/>
          <w:b w:val="0"/>
          <w:bCs w:val="0"/>
          <w:color w:val="000000"/>
          <w:sz w:val="32"/>
          <w:szCs w:val="32"/>
          <w14:textFill>
            <w14:solidFill>
              <w14:srgbClr w14:val="000000"/>
            </w14:solidFill>
          </w14:textFill>
        </w:rPr>
        <w:t>；</w:t>
      </w:r>
    </w:p>
    <w:p>
      <w:pPr>
        <w:numPr>
          <w:ilvl w:val="0"/>
          <w:numId w:val="9"/>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14:textFill>
            <w14:solidFill>
              <w14:srgbClr w14:val="000000"/>
            </w14:solidFill>
          </w14:textFill>
        </w:rPr>
        <w:t>农林水</w:t>
      </w:r>
      <w:r>
        <w:rPr>
          <w:rStyle w:val="25"/>
          <w:rFonts w:ascii="仿宋" w:eastAsia="仿宋" w:hAnsi="仿宋" w:hint="eastAsia"/>
          <w:b w:val="0"/>
          <w:bCs w:val="0"/>
          <w:color w:val="000000"/>
          <w:sz w:val="32"/>
          <w:szCs w:val="32"/>
          <w14:textFill>
            <w14:solidFill>
              <w14:srgbClr w14:val="000000"/>
            </w14:solidFill>
          </w14:textFill>
        </w:rPr>
        <w:t>（类）林业和草原（款）林业草原防灾减灾（项）：</w:t>
      </w:r>
      <w:r>
        <w:rPr>
          <w:rFonts w:ascii="仿宋" w:eastAsia="仿宋" w:hAnsi="仿宋" w:hint="eastAsia"/>
          <w:b w:val="0"/>
          <w:bCs w:val="0"/>
          <w:sz w:val="32"/>
          <w:szCs w:val="32"/>
        </w:rPr>
        <w:t>指林业防灾减灾</w:t>
      </w:r>
      <w:r>
        <w:rPr>
          <w:rStyle w:val="25"/>
          <w:rFonts w:ascii="仿宋" w:eastAsia="仿宋" w:hAnsi="仿宋" w:hint="eastAsia"/>
          <w:b w:val="0"/>
          <w:bCs w:val="0"/>
          <w:color w:val="000000"/>
          <w:sz w:val="32"/>
          <w:szCs w:val="32"/>
          <w14:textFill>
            <w14:solidFill>
              <w14:srgbClr w14:val="000000"/>
            </w14:solidFill>
          </w14:textFill>
        </w:rPr>
        <w:t>；</w:t>
      </w:r>
    </w:p>
    <w:p>
      <w:pPr>
        <w:numPr>
          <w:ilvl w:val="0"/>
          <w:numId w:val="9"/>
        </w:numPr>
        <w:overflowPunct w:val="0"/>
        <w:adjustRightInd w:val="0"/>
        <w:snapToGrid w:val="0"/>
        <w:spacing w:line="580" w:lineRule="exact"/>
        <w:ind w:left="0" w:firstLineChars="200" w:firstLine="640"/>
        <w:rPr>
          <w:rFonts w:ascii="仿宋" w:eastAsia="仿宋" w:hAnsi="仿宋"/>
          <w:b w:val="0"/>
          <w:bCs w:val="0"/>
          <w:color w:val="000000"/>
          <w:sz w:val="32"/>
          <w:szCs w:val="32"/>
        </w:rPr>
      </w:pPr>
      <w:r>
        <w:rPr>
          <w:rFonts w:ascii="仿宋" w:eastAsia="仿宋" w:hAnsi="仿宋" w:hint="eastAsia"/>
          <w:b w:val="0"/>
          <w:bCs w:val="0"/>
          <w:color w:val="000000"/>
          <w:sz w:val="32"/>
          <w:szCs w:val="32"/>
          <w14:textFill>
            <w14:solidFill>
              <w14:srgbClr w14:val="000000"/>
            </w14:solidFill>
          </w14:textFill>
        </w:rPr>
        <w:t>农林水</w:t>
      </w:r>
      <w:r>
        <w:rPr>
          <w:rStyle w:val="25"/>
          <w:rFonts w:ascii="仿宋" w:eastAsia="仿宋" w:hAnsi="仿宋" w:hint="eastAsia"/>
          <w:b w:val="0"/>
          <w:bCs w:val="0"/>
          <w:color w:val="000000"/>
          <w:sz w:val="32"/>
          <w:szCs w:val="32"/>
          <w14:textFill>
            <w14:solidFill>
              <w14:srgbClr w14:val="000000"/>
            </w14:solidFill>
          </w14:textFill>
        </w:rPr>
        <w:t>（类）扶贫（款）其他扶贫支出（项）：</w:t>
      </w:r>
      <w:r>
        <w:rPr>
          <w:rFonts w:ascii="仿宋" w:eastAsia="仿宋" w:hAnsi="仿宋" w:hint="eastAsia"/>
          <w:b w:val="0"/>
          <w:bCs w:val="0"/>
          <w:sz w:val="32"/>
          <w:szCs w:val="32"/>
        </w:rPr>
        <w:t>指贫困村工作经费</w:t>
      </w:r>
      <w:r>
        <w:rPr>
          <w:rStyle w:val="25"/>
          <w:rFonts w:ascii="仿宋" w:eastAsia="仿宋" w:hAnsi="仿宋" w:hint="eastAsia"/>
          <w:b w:val="0"/>
          <w:bCs w:val="0"/>
          <w:color w:val="000000"/>
          <w:sz w:val="32"/>
          <w:szCs w:val="32"/>
          <w14:textFill>
            <w14:solidFill>
              <w14:srgbClr w14:val="000000"/>
            </w14:solidFill>
          </w14:textFill>
        </w:rPr>
        <w:t>；</w:t>
      </w:r>
    </w:p>
    <w:p>
      <w:pPr>
        <w:numPr>
          <w:ilvl w:val="0"/>
          <w:numId w:val="9"/>
        </w:numPr>
        <w:overflowPunct w:val="0"/>
        <w:adjustRightInd w:val="0"/>
        <w:snapToGrid w:val="0"/>
        <w:spacing w:line="580" w:lineRule="exact"/>
        <w:ind w:left="0" w:firstLineChars="200" w:firstLine="640"/>
        <w:rPr>
          <w:rFonts w:ascii="仿宋" w:eastAsia="仿宋" w:hAnsi="仿宋"/>
          <w:color w:val="000000"/>
          <w:sz w:val="32"/>
          <w:szCs w:val="32"/>
        </w:rPr>
      </w:pPr>
      <w:r>
        <w:rPr>
          <w:rFonts w:ascii="仿宋" w:eastAsia="仿宋" w:hAnsi="仿宋" w:hint="eastAsia"/>
          <w:b w:val="0"/>
          <w:bCs w:val="0"/>
          <w:color w:val="000000"/>
          <w:sz w:val="32"/>
          <w:szCs w:val="32"/>
          <w14:textFill>
            <w14:solidFill>
              <w14:srgbClr w14:val="000000"/>
            </w14:solidFill>
          </w14:textFill>
        </w:rPr>
        <w:t>农林水</w:t>
      </w:r>
      <w:r>
        <w:rPr>
          <w:rStyle w:val="25"/>
          <w:rFonts w:ascii="仿宋" w:eastAsia="仿宋" w:hAnsi="仿宋" w:hint="eastAsia"/>
          <w:b w:val="0"/>
          <w:bCs w:val="0"/>
          <w:color w:val="000000"/>
          <w:sz w:val="32"/>
          <w:szCs w:val="32"/>
          <w14:textFill>
            <w14:solidFill>
              <w14:srgbClr w14:val="000000"/>
            </w14:solidFill>
          </w14:textFill>
        </w:rPr>
        <w:t>（类）农村综合改革（款）对村民委员会和村党支部的补助（项）：</w:t>
      </w:r>
      <w:r>
        <w:rPr>
          <w:rStyle w:val="25"/>
          <w:rFonts w:ascii="仿宋" w:eastAsia="仿宋" w:hAnsi="仿宋" w:hint="eastAsia"/>
          <w:b w:val="0"/>
          <w:bCs w:val="0"/>
          <w:color w:val="000000"/>
          <w:sz w:val="32"/>
          <w:szCs w:val="32"/>
        </w:rPr>
        <w:t>村、组干部生活补贴、村级办公经费及公共运行维护</w:t>
      </w:r>
      <w:r>
        <w:rPr>
          <w:rStyle w:val="25"/>
          <w:rFonts w:ascii="仿宋" w:eastAsia="仿宋" w:hAnsi="仿宋" w:hint="eastAsia"/>
          <w:b w:val="0"/>
          <w:color w:val="000000"/>
          <w:sz w:val="32"/>
          <w:szCs w:val="32"/>
        </w:rPr>
        <w:t>。</w:t>
      </w:r>
    </w:p>
    <w:p>
      <w:pPr>
        <w:overflowPunct w:val="0"/>
        <w:adjustRightInd w:val="0"/>
        <w:snapToGrid w:val="0"/>
        <w:spacing w:line="580" w:lineRule="exact"/>
        <w:ind w:firstLineChars="200" w:firstLine="640"/>
        <w:rPr>
          <w:rFonts w:ascii="仿宋" w:eastAsia="仿宋" w:cs="仿宋" w:hAnsi="仿宋"/>
          <w:color w:val="000000"/>
          <w:sz w:val="32"/>
          <w:szCs w:val="32"/>
        </w:rPr>
      </w:pPr>
      <w:r>
        <w:rPr>
          <w:rFonts w:ascii="仿宋" w:eastAsia="仿宋" w:hAnsi="仿宋" w:hint="eastAsia"/>
          <w:color w:val="000000"/>
          <w:sz w:val="32"/>
          <w:szCs w:val="32"/>
        </w:rPr>
        <w:t>11</w:t>
      </w:r>
      <w:r>
        <w:rPr>
          <w:rFonts w:ascii="仿宋" w:eastAsia="仿宋" w:hAnsi="仿宋"/>
          <w:color w:val="000000"/>
          <w:sz w:val="32"/>
          <w:szCs w:val="32"/>
        </w:rPr>
        <w:t>．</w:t>
      </w:r>
      <w:r>
        <w:rPr>
          <w:rFonts w:ascii="仿宋" w:eastAsia="仿宋" w:hAnsi="仿宋" w:hint="eastAsia"/>
          <w:b/>
          <w:bCs/>
          <w:sz w:val="32"/>
          <w:szCs w:val="32"/>
        </w:rPr>
        <w:t>住房保障</w:t>
      </w:r>
      <w:r>
        <w:rPr>
          <w:rStyle w:val="25"/>
          <w:rFonts w:ascii="仿宋" w:eastAsia="仿宋" w:hAnsi="仿宋" w:hint="eastAsia"/>
          <w:bCs/>
          <w:sz w:val="32"/>
          <w:szCs w:val="32"/>
        </w:rPr>
        <w:t>（类）</w:t>
      </w:r>
      <w:r>
        <w:rPr>
          <w:rStyle w:val="25"/>
          <w:rFonts w:ascii="仿宋" w:eastAsia="仿宋" w:hAnsi="仿宋"/>
          <w:b w:val="0"/>
          <w:bCs/>
          <w:sz w:val="32"/>
          <w:szCs w:val="32"/>
        </w:rPr>
        <w:t>住房改革</w:t>
      </w:r>
      <w:r>
        <w:rPr>
          <w:rStyle w:val="25"/>
          <w:rFonts w:ascii="仿宋" w:eastAsia="仿宋" w:hAnsi="仿宋" w:hint="eastAsia"/>
          <w:b w:val="0"/>
          <w:bCs/>
          <w:sz w:val="32"/>
          <w:szCs w:val="32"/>
        </w:rPr>
        <w:t>（款）</w:t>
      </w:r>
      <w:r>
        <w:rPr>
          <w:rStyle w:val="25"/>
          <w:rFonts w:ascii="仿宋" w:eastAsia="仿宋" w:hAnsi="仿宋"/>
          <w:b w:val="0"/>
          <w:bCs/>
          <w:sz w:val="32"/>
          <w:szCs w:val="32"/>
        </w:rPr>
        <w:t>住房公积金</w:t>
      </w:r>
      <w:r>
        <w:rPr>
          <w:rStyle w:val="25"/>
          <w:rFonts w:ascii="仿宋" w:eastAsia="仿宋" w:hAnsi="仿宋" w:hint="eastAsia"/>
          <w:b w:val="0"/>
          <w:bCs/>
          <w:sz w:val="32"/>
          <w:szCs w:val="32"/>
        </w:rPr>
        <w:t>（项）：</w:t>
      </w:r>
      <w:r>
        <w:rPr>
          <w:rFonts w:ascii="仿宋" w:eastAsia="仿宋" w:hAnsi="仿宋" w:hint="eastAsia"/>
          <w:sz w:val="32"/>
          <w:szCs w:val="32"/>
        </w:rPr>
        <w:t>指住房公积金。</w:t>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Pr>
          <w:rFonts w:ascii="仿宋" w:eastAsia="仿宋" w:hAnsi="仿宋" w:hint="eastAsia"/>
          <w:b/>
          <w:bCs/>
          <w:sz w:val="32"/>
          <w:szCs w:val="32"/>
        </w:rPr>
        <w:t>灾害防治及应急管理</w:t>
      </w:r>
      <w:r>
        <w:rPr>
          <w:rStyle w:val="25"/>
          <w:rFonts w:ascii="仿宋" w:eastAsia="仿宋" w:hAnsi="仿宋" w:hint="eastAsia"/>
          <w:bCs/>
          <w:sz w:val="32"/>
          <w:szCs w:val="32"/>
        </w:rPr>
        <w:t>（类）</w:t>
      </w:r>
      <w:r>
        <w:rPr>
          <w:rStyle w:val="25"/>
          <w:rFonts w:ascii="仿宋" w:eastAsia="仿宋" w:hAnsi="仿宋" w:hint="eastAsia"/>
          <w:b w:val="0"/>
          <w:bCs w:val="0"/>
          <w:sz w:val="32"/>
          <w:szCs w:val="32"/>
        </w:rPr>
        <w:t>自然灾害救灾及恢复重建（款）  自然灾害灾后重建补助（项）：</w:t>
      </w:r>
      <w:r>
        <w:rPr>
          <w:rFonts w:ascii="仿宋" w:eastAsia="仿宋" w:hAnsi="仿宋" w:hint="eastAsia"/>
          <w:color w:val="000000"/>
          <w:sz w:val="32"/>
          <w:szCs w:val="32"/>
        </w:rPr>
        <w:t>指中央自然灾害生活补助。</w:t>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13</w:t>
      </w:r>
      <w:r>
        <w:rPr>
          <w:rFonts w:ascii="仿宋" w:eastAsia="仿宋" w:hAnsi="仿宋"/>
          <w:color w:val="000000"/>
          <w:sz w:val="32"/>
          <w:szCs w:val="32"/>
        </w:rPr>
        <w:t>．</w:t>
      </w:r>
      <w:r>
        <w:rPr>
          <w:rFonts w:ascii="仿宋" w:eastAsia="仿宋" w:hAnsi="仿宋" w:hint="eastAsia"/>
          <w:color w:val="000000"/>
          <w:sz w:val="32"/>
          <w:szCs w:val="32"/>
        </w:rPr>
        <w:t>基本支出：指为保障机构正常运转、完成日常工作任务而发生的人员支出和公用支出。</w:t>
      </w:r>
    </w:p>
    <w:p>
      <w:pPr>
        <w:overflowPunct w:val="0"/>
        <w:adjustRightInd w:val="0"/>
        <w:snapToGrid w:val="0"/>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14</w:t>
      </w:r>
      <w:r>
        <w:rPr>
          <w:rFonts w:ascii="仿宋" w:eastAsia="仿宋" w:hAnsi="仿宋"/>
          <w:color w:val="000000"/>
          <w:sz w:val="32"/>
          <w:szCs w:val="32"/>
        </w:rPr>
        <w:t>．</w:t>
      </w:r>
      <w:r>
        <w:rPr>
          <w:rFonts w:ascii="仿宋" w:eastAsia="仿宋" w:hAnsi="仿宋" w:hint="eastAsia"/>
          <w:color w:val="000000"/>
          <w:sz w:val="32"/>
          <w:szCs w:val="32"/>
        </w:rPr>
        <w:t>项目支出：指在基本支出之外为完成特定行政任务和事业发展目标所发生的支出。</w:t>
      </w:r>
    </w:p>
    <w:p>
      <w:pPr>
        <w:pStyle w:val="31"/>
        <w:overflowPunct w:val="0"/>
        <w:autoSpaceDE/>
        <w:autoSpaceDN/>
        <w:adjustRightInd w:val="0"/>
        <w:snapToGrid w:val="0"/>
        <w:spacing w:line="580" w:lineRule="exact"/>
        <w:ind w:firstLineChars="200" w:firstLine="640"/>
        <w:jc w:val="both"/>
        <w:rPr>
          <w:rFonts w:hAnsi="仿宋"/>
          <w:sz w:val="32"/>
          <w:szCs w:val="32"/>
        </w:rPr>
      </w:pPr>
      <w:r>
        <w:rPr>
          <w:rFonts w:hAnsi="仿宋" w:hint="eastAsia"/>
          <w:sz w:val="32"/>
          <w:szCs w:val="32"/>
        </w:rPr>
        <w:t>15</w:t>
      </w:r>
      <w:r>
        <w:rPr>
          <w:rFonts w:hAnsi="仿宋"/>
          <w:sz w:val="32"/>
          <w:szCs w:val="32"/>
        </w:rPr>
        <w:t>．</w:t>
      </w:r>
      <w:r>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overflowPunct w:val="0"/>
        <w:autoSpaceDE/>
        <w:autoSpaceDN/>
        <w:adjustRightInd w:val="0"/>
        <w:snapToGrid w:val="0"/>
        <w:spacing w:line="580" w:lineRule="exact"/>
        <w:ind w:firstLineChars="200" w:firstLine="640"/>
        <w:jc w:val="both"/>
        <w:rPr>
          <w:rFonts w:hAnsi="仿宋"/>
          <w:sz w:val="32"/>
          <w:szCs w:val="32"/>
        </w:rPr>
      </w:pPr>
      <w:r>
        <w:rPr>
          <w:rFonts w:hAnsi="仿宋" w:hint="eastAsia"/>
          <w:sz w:val="32"/>
          <w:szCs w:val="32"/>
        </w:rPr>
        <w:t>16</w:t>
      </w:r>
      <w:r>
        <w:rPr>
          <w:rFonts w:hAnsi="仿宋"/>
          <w:sz w:val="32"/>
          <w:szCs w:val="32"/>
        </w:rPr>
        <w:t>．</w:t>
      </w:r>
      <w:r>
        <w:rPr>
          <w:rFonts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9" w:name="_Toc15396614"/>
    </w:p>
    <w:p>
      <w:pPr>
        <w:pStyle w:val="31"/>
        <w:overflowPunct w:val="0"/>
        <w:autoSpaceDE/>
        <w:autoSpaceDN/>
        <w:adjustRightInd w:val="0"/>
        <w:snapToGrid w:val="0"/>
        <w:spacing w:line="580" w:lineRule="exact"/>
        <w:ind w:firstLineChars="200" w:firstLine="880"/>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rPr>
          <w:rFonts w:ascii="黑体" w:eastAsia="黑体" w:hAnsi="黑体"/>
          <w:color w:val="auto"/>
          <w:sz w:val="44"/>
          <w:szCs w:val="44"/>
        </w:rPr>
      </w:pPr>
    </w:p>
    <w:p>
      <w:pPr>
        <w:pStyle w:val="31"/>
        <w:overflowPunct w:val="0"/>
        <w:autoSpaceDE/>
        <w:autoSpaceDN/>
        <w:adjustRightInd w:val="0"/>
        <w:snapToGrid w:val="0"/>
        <w:spacing w:line="580" w:lineRule="exact"/>
        <w:jc w:val="center"/>
        <w:outlineLvl w:val="0"/>
        <w:rPr>
          <w:rFonts w:ascii="黑体" w:eastAsia="黑体" w:hAnsi="黑体" w:hint="eastAsia"/>
          <w:color w:val="auto"/>
          <w:sz w:val="44"/>
          <w:szCs w:val="44"/>
        </w:rPr>
      </w:pPr>
    </w:p>
    <w:p>
      <w:pPr>
        <w:pStyle w:val="31"/>
        <w:overflowPunct w:val="0"/>
        <w:autoSpaceDE/>
        <w:autoSpaceDN/>
        <w:adjustRightInd w:val="0"/>
        <w:snapToGrid w:val="0"/>
        <w:spacing w:line="580" w:lineRule="exact"/>
        <w:jc w:val="center"/>
        <w:outlineLvl w:val="0"/>
        <w:rPr>
          <w:rFonts w:ascii="黑体" w:eastAsia="黑体" w:hAnsi="黑体" w:hint="eastAsia"/>
          <w:color w:val="auto"/>
          <w:sz w:val="44"/>
          <w:szCs w:val="44"/>
        </w:rPr>
      </w:pPr>
    </w:p>
    <w:p>
      <w:pPr>
        <w:pStyle w:val="31"/>
        <w:overflowPunct w:val="0"/>
        <w:autoSpaceDE/>
        <w:autoSpaceDN/>
        <w:adjustRightInd w:val="0"/>
        <w:snapToGrid w:val="0"/>
        <w:spacing w:line="580" w:lineRule="exact"/>
        <w:jc w:val="center"/>
        <w:outlineLvl w:val="0"/>
        <w:rPr>
          <w:rStyle w:val="1Char"/>
          <w:rFonts w:ascii="黑体" w:eastAsia="黑体" w:hAnsi="黑体"/>
          <w:b w:val="0"/>
          <w:color w:val="auto"/>
        </w:rPr>
      </w:pPr>
      <w:bookmarkStart w:id="80" w:name="_Toc12769"/>
      <w:r>
        <w:rPr>
          <w:rFonts w:ascii="黑体" w:eastAsia="黑体" w:hAnsi="黑体" w:hint="eastAsia"/>
          <w:color w:val="auto"/>
          <w:sz w:val="44"/>
          <w:szCs w:val="44"/>
        </w:rPr>
        <w:t>第</w:t>
      </w:r>
      <w:r>
        <w:rPr>
          <w:rStyle w:val="1Char"/>
          <w:rFonts w:ascii="黑体" w:eastAsia="黑体" w:hAnsi="黑体" w:hint="eastAsia"/>
          <w:b w:val="0"/>
          <w:color w:val="auto"/>
        </w:rPr>
        <w:t>四部分 附件</w:t>
      </w:r>
      <w:bookmarkEnd w:id="79"/>
      <w:bookmarkEnd w:id="80"/>
    </w:p>
    <w:p>
      <w:pPr>
        <w:spacing w:line="572" w:lineRule="exact"/>
        <w:jc w:val="left"/>
        <w:outlineLvl w:val="0"/>
        <w:rPr>
          <w:rFonts w:ascii="黑体" w:eastAsia="黑体" w:cs="黑体" w:hAnsi="黑体"/>
          <w:sz w:val="32"/>
          <w:szCs w:val="32"/>
        </w:rPr>
      </w:pPr>
    </w:p>
    <w:p>
      <w:pPr>
        <w:spacing w:line="572" w:lineRule="exact"/>
        <w:jc w:val="left"/>
        <w:rPr>
          <w:rFonts w:ascii="黑体" w:eastAsia="黑体" w:cs="黑体" w:hAnsi="黑体"/>
          <w:sz w:val="32"/>
          <w:szCs w:val="32"/>
        </w:rPr>
      </w:pPr>
      <w:r>
        <w:rPr>
          <w:rFonts w:ascii="黑体" w:eastAsia="黑体" w:cs="黑体" w:hAnsi="黑体" w:hint="eastAsia"/>
          <w:sz w:val="32"/>
          <w:szCs w:val="32"/>
        </w:rPr>
        <w:t>附件1</w:t>
      </w:r>
    </w:p>
    <w:p>
      <w:pPr>
        <w:pStyle w:val="15"/>
        <w:spacing w:beforeLines="0" w:before="72"/>
      </w:pPr>
    </w:p>
    <w:p>
      <w:pPr>
        <w:spacing w:line="572" w:lineRule="exact"/>
        <w:jc w:val="center"/>
        <w:outlineLvl w:val="1"/>
        <w:rPr>
          <w:rFonts w:ascii="方正小标宋简体" w:eastAsia="方正小标宋简体" w:hAnsi="宋体"/>
          <w:kern w:val="0"/>
          <w:sz w:val="40"/>
          <w:szCs w:val="44"/>
          <w:lang w:val="zh-CN"/>
        </w:rPr>
      </w:pPr>
      <w:bookmarkStart w:id="81" w:name="_Toc145925492"/>
      <w:bookmarkStart w:id="82" w:name="_Toc15970"/>
      <w:r>
        <w:rPr>
          <w:rFonts w:ascii="方正小标宋简体" w:eastAsia="方正小标宋简体" w:hAnsi="宋体" w:hint="eastAsia"/>
          <w:kern w:val="0"/>
          <w:sz w:val="40"/>
          <w:szCs w:val="44"/>
        </w:rPr>
        <w:t>一、整体绩效评价报告</w:t>
      </w:r>
      <w:bookmarkEnd w:id="81"/>
      <w:bookmarkEnd w:id="82"/>
    </w:p>
    <w:p>
      <w:pPr>
        <w:widowControl/>
        <w:spacing w:line="572" w:lineRule="exact"/>
        <w:ind w:firstLineChars="200" w:firstLine="640"/>
        <w:contextualSpacing/>
        <w:jc w:val="center"/>
        <w:rPr>
          <w:rFonts w:ascii="仿宋_GB2312" w:eastAsia="仿宋_GB2312" w:hAnsi="宋体"/>
          <w:sz w:val="32"/>
          <w:szCs w:val="32"/>
          <w:shd w:val="clear" w:color="auto" w:fill="FFFFFF"/>
        </w:rPr>
      </w:pPr>
    </w:p>
    <w:p>
      <w:pPr>
        <w:widowControl/>
        <w:adjustRightInd w:val="0"/>
        <w:snapToGrid w:val="0"/>
        <w:spacing w:line="576" w:lineRule="exact"/>
        <w:ind w:firstLineChars="200" w:firstLine="640"/>
        <w:contextualSpacing/>
        <w:jc w:val="left"/>
        <w:rPr>
          <w:rFonts w:ascii="方正黑体简体" w:eastAsia="方正黑体简体" w:cs="宋体" w:hAnsi="宋体"/>
          <w:kern w:val="0"/>
          <w:sz w:val="32"/>
          <w:szCs w:val="32"/>
          <w:shd w:val="clear" w:color="auto" w:fill="FFFFFF"/>
          <w:lang w:val="zh-CN"/>
        </w:rPr>
      </w:pPr>
      <w:r>
        <w:rPr>
          <w:rFonts w:ascii="方正黑体简体" w:eastAsia="方正黑体简体" w:cs="宋体" w:hAnsi="宋体" w:hint="eastAsia"/>
          <w:kern w:val="0"/>
          <w:sz w:val="32"/>
          <w:szCs w:val="32"/>
          <w:shd w:val="clear" w:color="auto" w:fill="FFFFFF"/>
        </w:rPr>
        <w:t>一、</w:t>
      </w:r>
      <w:r>
        <w:rPr>
          <w:rFonts w:ascii="方正黑体简体" w:eastAsia="方正黑体简体" w:cs="宋体" w:hAnsi="宋体" w:hint="eastAsia"/>
          <w:kern w:val="0"/>
          <w:sz w:val="32"/>
          <w:szCs w:val="32"/>
          <w:shd w:val="clear" w:color="auto" w:fill="FFFFFF"/>
          <w:lang w:val="zh-CN"/>
        </w:rPr>
        <w:t>部门（单位）概况</w:t>
      </w:r>
    </w:p>
    <w:p>
      <w:pPr>
        <w:pStyle w:val="23"/>
        <w:widowControl/>
        <w:spacing w:before="0" w:beforeAutospacing="0" w:after="0" w:afterAutospacing="0" w:line="576" w:lineRule="exact"/>
        <w:ind w:firstLineChars="200" w:firstLine="640"/>
        <w:jc w:val="both"/>
        <w:rPr>
          <w:rFonts w:ascii="仿宋" w:eastAsia="仿宋" w:cs="宋体" w:hAnsi="仿宋"/>
          <w:sz w:val="32"/>
          <w:szCs w:val="32"/>
          <w:shd w:val="clear" w:color="auto" w:fill="FFFFFF"/>
          <w:lang w:val="zh-CN"/>
        </w:rPr>
      </w:pPr>
      <w:r>
        <w:rPr>
          <w:rFonts w:ascii="方正楷体简体" w:eastAsia="方正楷体简体" w:cs="宋体" w:hAnsi="宋体" w:hint="eastAsia"/>
          <w:sz w:val="32"/>
          <w:szCs w:val="32"/>
          <w:shd w:val="clear" w:color="auto" w:fill="FFFFFF"/>
          <w:lang w:val="zh-CN"/>
        </w:rPr>
        <w:t>（一）机构组成。</w:t>
      </w:r>
      <w:r>
        <w:rPr>
          <w:rFonts w:ascii="仿宋" w:eastAsia="仿宋" w:cs="宋体" w:hAnsi="仿宋" w:hint="eastAsia"/>
          <w:color w:val="000000"/>
          <w:sz w:val="32"/>
          <w:szCs w:val="32"/>
        </w:rPr>
        <w:t>雪峰街道办事处辖5个行政村、4个社区、31个小组，幅员面积36.4平方公里，总人口9.21万余人，其中：常住人口2.43万户，6.56万余人。雪峰街道办事处是利州区人民政府派出机构，属于行政机关单位，经费来源属于全额拨款。我办2021年内设机构为七办三中心，分别是党政综合办公室、党建工作办公室、综合治理办公室、公共服务办公室、发展保障办公室（财政所）、综合行政执法办公室（物业管理办公室）、应急管理办公室（生态环境办公室）、党群服务中心（人力资源和社会保障所）、社区事务中心（退役军人服务站、宣传文化服务中心、社会治安综合治理中）农村综合服务中心（林业工作站、畜牧兽医站、农技推广和农产品质量安全服务站）。</w:t>
      </w:r>
    </w:p>
    <w:p>
      <w:pPr>
        <w:overflowPunct w:val="0"/>
        <w:adjustRightInd w:val="0"/>
        <w:snapToGrid w:val="0"/>
        <w:spacing w:line="576" w:lineRule="exact"/>
        <w:ind w:firstLineChars="200" w:firstLine="640"/>
        <w:rPr>
          <w:rFonts w:ascii="宋体" w:eastAsia="方正仿宋简体" w:cs="宋体" w:hAnsi="宋体"/>
          <w:kern w:val="0"/>
          <w:sz w:val="32"/>
          <w:szCs w:val="32"/>
          <w:shd w:val="clear" w:color="auto" w:fill="FFFFFF"/>
          <w:lang w:val="zh-CN"/>
        </w:rPr>
      </w:pPr>
      <w:r>
        <w:rPr>
          <w:rFonts w:ascii="方正楷体简体" w:eastAsia="方正楷体简体" w:cs="宋体" w:hAnsi="宋体" w:hint="eastAsia"/>
          <w:kern w:val="0"/>
          <w:sz w:val="32"/>
          <w:szCs w:val="32"/>
          <w:shd w:val="clear" w:color="auto" w:fill="FFFFFF"/>
          <w:lang w:val="zh-CN"/>
        </w:rPr>
        <w:t>（二）机构职能。</w:t>
      </w:r>
      <w:r>
        <w:rPr>
          <w:rFonts w:ascii="仿宋" w:eastAsia="仿宋" w:cs="宋体" w:hAnsi="仿宋" w:hint="eastAsia"/>
          <w:b/>
          <w:sz w:val="32"/>
          <w:szCs w:val="32"/>
        </w:rPr>
        <w:t>1.加强党的建设。</w:t>
      </w:r>
      <w:r>
        <w:rPr>
          <w:rFonts w:ascii="仿宋" w:eastAsia="仿宋" w:cs="宋体" w:hAnsi="仿宋" w:hint="eastAsia"/>
          <w:sz w:val="32"/>
          <w:szCs w:val="32"/>
        </w:rPr>
        <w:t>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r>
        <w:rPr>
          <w:rFonts w:ascii="仿宋" w:eastAsia="仿宋" w:cs="宋体" w:hAnsi="仿宋" w:hint="eastAsia"/>
          <w:b/>
          <w:sz w:val="32"/>
          <w:szCs w:val="32"/>
        </w:rPr>
        <w:t>2.统筹区域发展。</w:t>
      </w:r>
      <w:r>
        <w:rPr>
          <w:rFonts w:ascii="仿宋" w:eastAsia="仿宋" w:cs="宋体" w:hAnsi="仿宋" w:hint="eastAsia"/>
          <w:sz w:val="32"/>
          <w:szCs w:val="32"/>
        </w:rPr>
        <w:t>统筹落实辖区发展的重大决策，参与辖区建设规划和公共服务设施布局，推动辖区健康、有序、可持续发展，加强农业农村工作。</w:t>
      </w:r>
      <w:r>
        <w:rPr>
          <w:rFonts w:ascii="仿宋" w:eastAsia="仿宋" w:cs="宋体" w:hAnsi="仿宋" w:hint="eastAsia"/>
          <w:b/>
          <w:sz w:val="32"/>
          <w:szCs w:val="32"/>
        </w:rPr>
        <w:t>3.组织公共服务。</w:t>
      </w:r>
      <w:r>
        <w:rPr>
          <w:rFonts w:ascii="仿宋" w:eastAsia="仿宋" w:cs="宋体" w:hAnsi="仿宋" w:hint="eastAsia"/>
          <w:sz w:val="32"/>
          <w:szCs w:val="32"/>
        </w:rPr>
        <w:t>组织实施与居民生活密切相关的各项公共服务，落实民生保障政策，加强社区（村）服务配套设施和综合服务平台建设，完善社区（村）综合服务功能。</w:t>
      </w:r>
      <w:r>
        <w:rPr>
          <w:rFonts w:ascii="仿宋" w:eastAsia="仿宋" w:cs="宋体" w:hAnsi="仿宋" w:hint="eastAsia"/>
          <w:b/>
          <w:sz w:val="32"/>
          <w:szCs w:val="32"/>
        </w:rPr>
        <w:t>4.优化营商环境。</w:t>
      </w:r>
      <w:r>
        <w:rPr>
          <w:rFonts w:ascii="仿宋" w:eastAsia="仿宋" w:cs="宋体" w:hAnsi="仿宋" w:hint="eastAsia"/>
          <w:sz w:val="32"/>
          <w:szCs w:val="32"/>
        </w:rPr>
        <w:t>优化投资、经营环境，推进重点项目建设和发展；联系和服务驻辖区单位、企业及市场主体，保护各种经济组织的合法权益。</w:t>
      </w:r>
      <w:r>
        <w:rPr>
          <w:rFonts w:ascii="仿宋" w:eastAsia="仿宋" w:cs="宋体" w:hAnsi="仿宋" w:hint="eastAsia"/>
          <w:b/>
          <w:sz w:val="32"/>
          <w:szCs w:val="32"/>
        </w:rPr>
        <w:t>5.实施综合治理。</w:t>
      </w:r>
      <w:r>
        <w:rPr>
          <w:rFonts w:ascii="仿宋" w:eastAsia="仿宋" w:cs="宋体" w:hAnsi="仿宋" w:hint="eastAsia"/>
          <w:sz w:val="32"/>
          <w:szCs w:val="32"/>
        </w:rPr>
        <w:t>组织领导、推进实施、综合协调辖区内城市管理、人口管理等综合性工作；组织开展辖区内环境综合治理，协助相关部门做好绿化美化、市政公共设施维护管理等工作。</w:t>
      </w:r>
      <w:r>
        <w:rPr>
          <w:rFonts w:ascii="仿宋" w:eastAsia="仿宋" w:cs="宋体" w:hAnsi="仿宋" w:hint="eastAsia"/>
          <w:b/>
          <w:sz w:val="32"/>
          <w:szCs w:val="32"/>
        </w:rPr>
        <w:t>6.动员社会参与。</w:t>
      </w:r>
      <w:r>
        <w:rPr>
          <w:rFonts w:ascii="仿宋" w:eastAsia="仿宋" w:cs="宋体" w:hAnsi="仿宋" w:hint="eastAsia"/>
          <w:sz w:val="32"/>
          <w:szCs w:val="32"/>
        </w:rPr>
        <w:t>动员指导辖区内各类单位、社会组织</w:t>
      </w:r>
      <w:r>
        <w:rPr>
          <w:rFonts w:ascii="宋体" w:eastAsia="仿宋" w:cs="宋体" w:hAnsi="宋体" w:hint="eastAsia"/>
          <w:sz w:val="32"/>
          <w:szCs w:val="32"/>
        </w:rPr>
        <w:t> </w:t>
      </w:r>
      <w:r>
        <w:rPr>
          <w:rFonts w:ascii="仿宋" w:eastAsia="仿宋" w:cs="宋体" w:hAnsi="仿宋" w:hint="eastAsia"/>
          <w:sz w:val="32"/>
          <w:szCs w:val="32"/>
        </w:rPr>
        <w:t>和社区（村）居民等社会力量参与社会治理，引导辖区单位履行社会责任，整合辖区内各种社会力量资源为街道社区（村）发展服务。</w:t>
      </w:r>
      <w:r>
        <w:rPr>
          <w:rFonts w:ascii="仿宋" w:eastAsia="仿宋" w:cs="宋体" w:hAnsi="仿宋" w:hint="eastAsia"/>
          <w:b/>
          <w:sz w:val="32"/>
          <w:szCs w:val="32"/>
        </w:rPr>
        <w:t>7.领导基层自治。</w:t>
      </w:r>
      <w:r>
        <w:rPr>
          <w:rFonts w:ascii="仿宋" w:eastAsia="仿宋" w:cs="宋体" w:hAnsi="仿宋" w:hint="eastAsia"/>
          <w:sz w:val="32"/>
          <w:szCs w:val="32"/>
        </w:rPr>
        <w:t>完善党组织领导下的基层民主选举、民主决策、民主管理、民主监督的规则、程序、办法；建立党建引领下的社区居民委员会、业主委员会、业主监督委员会、物业服</w:t>
      </w:r>
      <w:r>
        <w:rPr>
          <w:rFonts w:ascii="宋体" w:eastAsia="仿宋" w:cs="宋体" w:hAnsi="宋体" w:hint="eastAsia"/>
          <w:sz w:val="32"/>
          <w:szCs w:val="32"/>
        </w:rPr>
        <w:t> </w:t>
      </w:r>
      <w:r>
        <w:rPr>
          <w:rFonts w:ascii="仿宋" w:eastAsia="仿宋" w:cs="宋体" w:hAnsi="仿宋" w:hint="eastAsia"/>
          <w:sz w:val="32"/>
          <w:szCs w:val="32"/>
        </w:rPr>
        <w:t>务企业协调运行机制。</w:t>
      </w:r>
      <w:r>
        <w:rPr>
          <w:rFonts w:ascii="仿宋" w:eastAsia="仿宋" w:cs="宋体" w:hAnsi="仿宋" w:hint="eastAsia"/>
          <w:b/>
          <w:sz w:val="32"/>
          <w:szCs w:val="32"/>
        </w:rPr>
        <w:t>8.维护安全稳定。</w:t>
      </w:r>
      <w:r>
        <w:rPr>
          <w:rFonts w:ascii="仿宋" w:eastAsia="仿宋" w:cs="宋体" w:hAnsi="仿宋" w:hint="eastAsia"/>
          <w:color w:val="000000"/>
          <w:sz w:val="32"/>
          <w:szCs w:val="32"/>
        </w:rPr>
        <w:t>负责辖区</w:t>
      </w:r>
      <w:r>
        <w:rPr>
          <w:rFonts w:ascii="仿宋" w:eastAsia="仿宋" w:cs="宋体" w:hAnsi="仿宋" w:hint="eastAsia"/>
          <w:color w:val="000000"/>
          <w:sz w:val="32"/>
          <w:szCs w:val="32"/>
        </w:rPr>
        <w:fldChar w:fldCharType="begin"/>
      </w:r>
      <w:r>
        <w:instrText>HYPERLINK "http://wenwen.soso.com/z/Search.e?sp=S%E7%A4%BE%E5%8C%BA%E5%BB%BA%E8%AE%BE&amp;ch=w.search.intlink"</w:instrText>
      </w:r>
      <w:r>
        <w:rPr>
          <w:rFonts w:ascii="仿宋" w:eastAsia="仿宋" w:cs="宋体" w:hAnsi="仿宋" w:hint="eastAsia"/>
          <w:color w:val="000000"/>
          <w:sz w:val="32"/>
          <w:szCs w:val="32"/>
        </w:rPr>
        <w:fldChar w:fldCharType="separate"/>
      </w:r>
      <w:r>
        <w:rPr>
          <w:rFonts w:ascii="仿宋" w:eastAsia="仿宋" w:cs="宋体" w:hAnsi="仿宋" w:hint="eastAsia"/>
          <w:color w:val="000000"/>
          <w:sz w:val="32"/>
          <w:szCs w:val="32"/>
        </w:rPr>
        <w:t>社区公共安全、平安建设、社会治安综合治理、安全生产状况的监督检查等相关工作，处理群众来信来访，化解矛盾纠纷。</w:t>
      </w:r>
      <w:r>
        <w:rPr>
          <w:rFonts w:ascii="仿宋" w:eastAsia="仿宋" w:cs="宋体" w:hAnsi="仿宋" w:hint="eastAsia"/>
          <w:b/>
          <w:color w:val="000000"/>
          <w:sz w:val="32"/>
          <w:szCs w:val="32"/>
        </w:rPr>
        <w:t>9.完成区委、区政府交办的其他工作。</w:t>
      </w:r>
      <w:r>
        <w:rPr>
          <w:rFonts w:ascii="仿宋" w:eastAsia="仿宋" w:cs="宋体" w:hAnsi="仿宋" w:hint="eastAsia"/>
          <w:color w:val="000000"/>
          <w:sz w:val="32"/>
          <w:szCs w:val="32"/>
        </w:rPr>
        <w:fldChar w:fldCharType="end"/>
      </w:r>
    </w:p>
    <w:p>
      <w:pPr>
        <w:overflowPunct w:val="0"/>
        <w:adjustRightInd w:val="0"/>
        <w:snapToGrid w:val="0"/>
        <w:spacing w:line="576" w:lineRule="exact"/>
        <w:ind w:firstLineChars="200" w:firstLine="640"/>
        <w:rPr>
          <w:rFonts w:ascii="仿宋" w:eastAsia="仿宋" w:cs="宋体" w:hAnsi="仿宋"/>
          <w:color w:val="000000"/>
          <w:sz w:val="32"/>
          <w:szCs w:val="32"/>
        </w:rPr>
      </w:pPr>
      <w:r>
        <w:rPr>
          <w:rFonts w:ascii="仿宋" w:eastAsia="仿宋" w:cs="宋体" w:hAnsi="仿宋" w:hint="eastAsia"/>
          <w:b/>
          <w:bCs/>
          <w:kern w:val="0"/>
          <w:sz w:val="32"/>
          <w:szCs w:val="32"/>
          <w:shd w:val="clear" w:color="auto" w:fill="FFFFFF"/>
          <w:lang w:val="zh-CN"/>
        </w:rPr>
        <w:t>（三）人员概况。</w:t>
      </w:r>
      <w:r>
        <w:rPr>
          <w:rFonts w:ascii="仿宋" w:eastAsia="仿宋" w:cs="宋体" w:hAnsi="仿宋" w:hint="eastAsia"/>
          <w:sz w:val="32"/>
          <w:szCs w:val="32"/>
        </w:rPr>
        <w:t>雪峰街道</w:t>
      </w:r>
      <w:r>
        <w:rPr>
          <w:rFonts w:ascii="仿宋" w:eastAsia="仿宋" w:cs="宋体" w:hAnsi="仿宋" w:hint="eastAsia"/>
          <w:color w:val="000000"/>
          <w:sz w:val="32"/>
          <w:szCs w:val="32"/>
        </w:rPr>
        <w:t>现有人数57人，其中在职公务员22人，在职事业人员21人，在职工勤人员2人，退休人员12人。总编制47人，其中公务员23人，事业人员22人，工勤人员2人。</w:t>
      </w:r>
    </w:p>
    <w:p>
      <w:pPr>
        <w:widowControl/>
        <w:adjustRightInd w:val="0"/>
        <w:snapToGrid w:val="0"/>
        <w:spacing w:line="576" w:lineRule="exact"/>
        <w:ind w:firstLineChars="200" w:firstLine="640"/>
        <w:contextualSpacing/>
        <w:jc w:val="left"/>
        <w:rPr>
          <w:rFonts w:ascii="仿宋" w:eastAsia="仿宋" w:cs="宋体" w:hAnsi="仿宋"/>
          <w:b/>
          <w:kern w:val="0"/>
          <w:sz w:val="32"/>
          <w:szCs w:val="32"/>
          <w:shd w:val="clear" w:color="auto" w:fill="FFFFFF"/>
        </w:rPr>
      </w:pPr>
      <w:r>
        <w:rPr>
          <w:rFonts w:ascii="仿宋" w:eastAsia="仿宋" w:cs="宋体" w:hAnsi="仿宋" w:hint="eastAsia"/>
          <w:b/>
          <w:kern w:val="0"/>
          <w:sz w:val="32"/>
          <w:szCs w:val="32"/>
          <w:shd w:val="clear" w:color="auto" w:fill="FFFFFF"/>
        </w:rPr>
        <w:t>二、部门财政资金收支情况</w:t>
      </w:r>
    </w:p>
    <w:p>
      <w:pPr>
        <w:overflowPunct w:val="0"/>
        <w:adjustRightInd w:val="0"/>
        <w:snapToGrid w:val="0"/>
        <w:spacing w:line="576" w:lineRule="exact"/>
        <w:ind w:firstLineChars="200" w:firstLine="640"/>
        <w:rPr>
          <w:rFonts w:ascii="仿宋" w:eastAsia="仿宋" w:cs="宋体" w:hAnsi="仿宋"/>
          <w:kern w:val="0"/>
          <w:sz w:val="32"/>
          <w:szCs w:val="32"/>
          <w:shd w:val="clear" w:color="auto" w:fill="FFFFFF"/>
          <w:lang w:val="zh-CN"/>
        </w:rPr>
      </w:pPr>
      <w:r>
        <w:rPr>
          <w:rFonts w:ascii="仿宋" w:eastAsia="仿宋" w:cs="宋体" w:hAnsi="仿宋" w:hint="eastAsia"/>
          <w:b/>
          <w:bCs/>
          <w:kern w:val="0"/>
          <w:sz w:val="32"/>
          <w:szCs w:val="32"/>
          <w:shd w:val="clear" w:color="auto" w:fill="FFFFFF"/>
          <w:lang w:val="zh-CN"/>
        </w:rPr>
        <w:t>（一）部门财政资金收入情况。</w:t>
      </w:r>
      <w:r>
        <w:rPr>
          <w:rFonts w:ascii="仿宋" w:eastAsia="仿宋" w:cs="宋体" w:hAnsi="仿宋" w:hint="eastAsia"/>
          <w:sz w:val="32"/>
          <w:szCs w:val="32"/>
        </w:rPr>
        <w:t>2021年财政拨款收入1423.01万元，其中：一般公共预算拨款收入1157.72万元（2021年年初预算811.15万元， 2021年执行中追加346.57万元，）2020年财返265.29万元。</w:t>
      </w:r>
    </w:p>
    <w:p>
      <w:pPr>
        <w:overflowPunct w:val="0"/>
        <w:adjustRightInd w:val="0"/>
        <w:snapToGrid w:val="0"/>
        <w:spacing w:line="576" w:lineRule="exact"/>
        <w:ind w:firstLineChars="200" w:firstLine="640"/>
        <w:rPr>
          <w:rFonts w:ascii="仿宋" w:eastAsia="仿宋" w:cs="宋体" w:hAnsi="仿宋"/>
          <w:kern w:val="0"/>
          <w:sz w:val="32"/>
          <w:szCs w:val="32"/>
          <w:shd w:val="clear" w:color="auto" w:fill="FFFFFF"/>
          <w:lang w:val="zh-CN"/>
        </w:rPr>
      </w:pPr>
      <w:r>
        <w:rPr>
          <w:rFonts w:ascii="仿宋" w:eastAsia="仿宋" w:cs="宋体" w:hAnsi="仿宋" w:hint="eastAsia"/>
          <w:b/>
          <w:kern w:val="0"/>
          <w:sz w:val="32"/>
          <w:szCs w:val="32"/>
          <w:shd w:val="clear" w:color="auto" w:fill="FFFFFF"/>
          <w:lang w:val="zh-CN"/>
        </w:rPr>
        <w:t>（二）部门财政资金支出情况。</w:t>
      </w:r>
      <w:r>
        <w:rPr>
          <w:rFonts w:ascii="仿宋" w:eastAsia="仿宋" w:cs="宋体" w:hAnsi="仿宋" w:hint="eastAsia"/>
          <w:color w:val="000000"/>
          <w:sz w:val="32"/>
          <w:szCs w:val="32"/>
        </w:rPr>
        <w:t>2021年财政拨款支出共计1273.21万元，其中：基本支出1013.91万元，主要是工资福利等人员经费及日常公用经费；项目支出259.29万元，主要是城乡社区管理事务、一般行政管理事务及人员生活补助等。</w:t>
      </w:r>
    </w:p>
    <w:p>
      <w:pPr>
        <w:widowControl/>
        <w:adjustRightInd w:val="0"/>
        <w:snapToGrid w:val="0"/>
        <w:spacing w:line="576" w:lineRule="exact"/>
        <w:ind w:firstLineChars="200" w:firstLine="640"/>
        <w:contextualSpacing/>
        <w:jc w:val="left"/>
        <w:rPr>
          <w:rFonts w:ascii="仿宋" w:eastAsia="仿宋" w:cs="宋体" w:hAnsi="仿宋"/>
          <w:b/>
          <w:kern w:val="0"/>
          <w:sz w:val="32"/>
          <w:szCs w:val="32"/>
          <w:shd w:val="clear" w:color="auto" w:fill="FFFFFF"/>
        </w:rPr>
      </w:pPr>
      <w:r>
        <w:rPr>
          <w:rFonts w:ascii="仿宋" w:eastAsia="仿宋" w:cs="宋体" w:hAnsi="仿宋" w:hint="eastAsia"/>
          <w:b/>
          <w:kern w:val="0"/>
          <w:sz w:val="32"/>
          <w:szCs w:val="32"/>
          <w:shd w:val="clear" w:color="auto" w:fill="FFFFFF"/>
        </w:rPr>
        <w:t>三、部门整体预算绩效管理情况</w:t>
      </w:r>
    </w:p>
    <w:p>
      <w:pPr>
        <w:widowControl/>
        <w:adjustRightInd w:val="0"/>
        <w:snapToGrid w:val="0"/>
        <w:spacing w:line="576" w:lineRule="exact"/>
        <w:ind w:firstLineChars="200" w:firstLine="640"/>
        <w:contextualSpacing/>
        <w:jc w:val="left"/>
        <w:rPr>
          <w:rFonts w:ascii="仿宋" w:eastAsia="仿宋" w:cs="宋体" w:hAnsi="仿宋"/>
          <w:b/>
          <w:kern w:val="0"/>
          <w:sz w:val="32"/>
          <w:szCs w:val="32"/>
          <w:shd w:val="clear" w:color="auto" w:fill="FFFFFF"/>
          <w:lang w:val="zh-CN"/>
        </w:rPr>
      </w:pPr>
      <w:r>
        <w:rPr>
          <w:rFonts w:ascii="仿宋" w:eastAsia="仿宋" w:cs="宋体" w:hAnsi="仿宋" w:hint="eastAsia"/>
          <w:b/>
          <w:kern w:val="0"/>
          <w:sz w:val="32"/>
          <w:szCs w:val="32"/>
          <w:shd w:val="clear" w:color="auto" w:fill="FFFFFF"/>
          <w:lang w:val="zh-CN"/>
        </w:rPr>
        <w:t>（一）部门预算项目绩效管理。</w:t>
      </w:r>
    </w:p>
    <w:p>
      <w:pPr>
        <w:pStyle w:val="23"/>
        <w:widowControl/>
        <w:spacing w:before="0" w:beforeAutospacing="0" w:after="0" w:afterAutospacing="0" w:line="576" w:lineRule="exact"/>
        <w:ind w:firstLineChars="200" w:firstLine="640"/>
        <w:jc w:val="both"/>
        <w:rPr>
          <w:rFonts w:ascii="仿宋" w:eastAsia="仿宋" w:cs="宋体" w:hAnsi="仿宋"/>
          <w:sz w:val="32"/>
          <w:szCs w:val="32"/>
          <w:shd w:val="clear" w:color="auto" w:fill="FFFFFF"/>
        </w:rPr>
      </w:pPr>
      <w:r>
        <w:rPr>
          <w:rFonts w:ascii="仿宋" w:eastAsia="仿宋" w:cs="宋体" w:hAnsi="仿宋" w:hint="eastAsia"/>
          <w:sz w:val="32"/>
          <w:szCs w:val="32"/>
          <w:shd w:val="clear" w:color="auto" w:fill="FFFFFF"/>
        </w:rPr>
        <w:t>1.认真执行了年初部门预算和财政政策要求。街道工作经费严格按照年初预算来执行，有效防止了超预算，认真学习财经法规纪律，防止了违法违纪行为的发生。2.保障了机关有效运转。严格按照厉行节约的原则，规范机关事务管理，提高服务质量，降低运行成本，合理配置，提高保障能力。3.推进了专项工作落实。加强财政资金监督检查，确保了民生资金、专项资金在使用和管理上单独核算、专款专用。</w:t>
      </w:r>
    </w:p>
    <w:p>
      <w:pPr>
        <w:widowControl/>
        <w:adjustRightInd w:val="0"/>
        <w:snapToGrid w:val="0"/>
        <w:spacing w:line="576" w:lineRule="exact"/>
        <w:ind w:firstLineChars="200" w:firstLine="640"/>
        <w:contextualSpacing/>
        <w:jc w:val="left"/>
        <w:rPr>
          <w:rFonts w:ascii="仿宋" w:eastAsia="仿宋" w:hAnsi="仿宋"/>
          <w:b/>
          <w:sz w:val="32"/>
          <w:szCs w:val="32"/>
          <w:lang w:val="zh-CN"/>
        </w:rPr>
      </w:pPr>
      <w:r>
        <w:rPr>
          <w:rFonts w:ascii="仿宋" w:eastAsia="仿宋" w:cs="宋体" w:hAnsi="仿宋" w:hint="eastAsia"/>
          <w:b/>
          <w:kern w:val="0"/>
          <w:sz w:val="32"/>
          <w:szCs w:val="32"/>
          <w:shd w:val="clear" w:color="auto" w:fill="FFFFFF"/>
          <w:lang w:val="zh-CN"/>
        </w:rPr>
        <w:t>（二）结果应用情况。</w:t>
      </w:r>
    </w:p>
    <w:p>
      <w:pPr>
        <w:pStyle w:val="23"/>
        <w:widowControl/>
        <w:spacing w:before="0" w:beforeAutospacing="0" w:after="0" w:afterAutospacing="0" w:line="576" w:lineRule="exact"/>
        <w:ind w:firstLineChars="200" w:firstLine="640"/>
        <w:jc w:val="both"/>
        <w:rPr>
          <w:rFonts w:ascii="仿宋" w:eastAsia="仿宋" w:cs="宋体" w:hAnsi="仿宋"/>
          <w:sz w:val="32"/>
          <w:szCs w:val="32"/>
        </w:rPr>
      </w:pPr>
      <w:r>
        <w:rPr>
          <w:rFonts w:ascii="仿宋" w:eastAsia="仿宋" w:cs="宋体" w:hAnsi="仿宋" w:hint="eastAsia"/>
          <w:b/>
          <w:sz w:val="32"/>
          <w:szCs w:val="32"/>
          <w:shd w:val="clear" w:color="auto" w:fill="FFFFFF"/>
          <w:lang w:val="zh-CN"/>
        </w:rPr>
        <w:t>（三）自评质量。</w:t>
      </w:r>
      <w:r>
        <w:rPr>
          <w:rFonts w:ascii="仿宋" w:eastAsia="仿宋" w:cs="宋体" w:hAnsi="仿宋" w:hint="eastAsia"/>
          <w:sz w:val="32"/>
          <w:szCs w:val="32"/>
        </w:rPr>
        <w:t>结合我街道财政资金的使用情况，认真组织整体支出绩效自评，自评等级“良好”。</w:t>
      </w:r>
    </w:p>
    <w:p>
      <w:pPr>
        <w:widowControl/>
        <w:adjustRightInd w:val="0"/>
        <w:snapToGrid w:val="0"/>
        <w:spacing w:line="576" w:lineRule="exact"/>
        <w:ind w:firstLineChars="200" w:firstLine="640"/>
        <w:contextualSpacing/>
        <w:jc w:val="left"/>
        <w:rPr>
          <w:rFonts w:ascii="仿宋" w:eastAsia="仿宋" w:cs="宋体" w:hAnsi="仿宋"/>
          <w:b/>
          <w:kern w:val="0"/>
          <w:sz w:val="32"/>
          <w:szCs w:val="32"/>
          <w:shd w:val="clear" w:color="auto" w:fill="FFFFFF"/>
        </w:rPr>
      </w:pPr>
      <w:r>
        <w:rPr>
          <w:rFonts w:ascii="仿宋" w:eastAsia="仿宋" w:cs="宋体" w:hAnsi="仿宋" w:hint="eastAsia"/>
          <w:b/>
          <w:kern w:val="0"/>
          <w:sz w:val="32"/>
          <w:szCs w:val="32"/>
          <w:shd w:val="clear" w:color="auto" w:fill="FFFFFF"/>
        </w:rPr>
        <w:t>四、评价结论及建议</w:t>
      </w:r>
    </w:p>
    <w:p>
      <w:pPr>
        <w:pStyle w:val="23"/>
        <w:widowControl/>
        <w:spacing w:before="0" w:beforeAutospacing="0" w:after="0" w:afterAutospacing="0" w:line="576" w:lineRule="exact"/>
        <w:ind w:firstLineChars="200" w:firstLine="640"/>
        <w:jc w:val="both"/>
        <w:rPr>
          <w:rFonts w:ascii="仿宋" w:eastAsia="仿宋" w:cs="宋体" w:hAnsi="仿宋"/>
          <w:sz w:val="32"/>
          <w:szCs w:val="32"/>
          <w:shd w:val="clear" w:color="auto" w:fill="FFFFFF"/>
          <w:lang w:val="zh-CN"/>
        </w:rPr>
      </w:pPr>
      <w:r>
        <w:rPr>
          <w:rFonts w:ascii="仿宋" w:eastAsia="仿宋" w:cs="宋体" w:hAnsi="仿宋" w:hint="eastAsia"/>
          <w:b/>
          <w:bCs/>
          <w:kern w:val="0"/>
          <w:sz w:val="32"/>
          <w:szCs w:val="32"/>
          <w:shd w:val="clear" w:color="auto" w:fill="FFFFFF"/>
          <w:lang w:val="zh-CN" w:eastAsia="zh-CN" w:bidi="ar-SA"/>
        </w:rPr>
        <w:t>（一）评价结论：</w:t>
      </w:r>
      <w:r>
        <w:rPr>
          <w:rFonts w:ascii="仿宋" w:eastAsia="仿宋" w:cs="宋体" w:hAnsi="仿宋" w:hint="eastAsia"/>
          <w:sz w:val="32"/>
          <w:szCs w:val="32"/>
          <w:shd w:val="clear" w:color="auto" w:fill="FFFFFF"/>
          <w:lang w:val="zh-CN"/>
        </w:rPr>
        <w:t>一是党建工作全面加强；二是城市管理不断加强；三是社会治理稳定有序。</w:t>
      </w:r>
    </w:p>
    <w:p>
      <w:pPr>
        <w:pStyle w:val="23"/>
        <w:widowControl/>
        <w:spacing w:before="0" w:beforeAutospacing="0" w:after="0" w:afterAutospacing="0" w:line="576" w:lineRule="exact"/>
        <w:ind w:firstLineChars="200" w:firstLine="640"/>
        <w:jc w:val="both"/>
        <w:rPr>
          <w:rFonts w:ascii="仿宋" w:eastAsia="仿宋" w:cs="宋体" w:hAnsi="仿宋"/>
          <w:sz w:val="32"/>
          <w:szCs w:val="32"/>
          <w:shd w:val="clear" w:color="auto" w:fill="FFFFFF"/>
          <w:lang w:val="zh-CN"/>
        </w:rPr>
      </w:pPr>
      <w:r>
        <w:rPr>
          <w:rFonts w:ascii="仿宋" w:eastAsia="仿宋" w:cs="宋体" w:hAnsi="仿宋" w:hint="eastAsia"/>
          <w:b/>
          <w:bCs/>
          <w:kern w:val="0"/>
          <w:sz w:val="32"/>
          <w:szCs w:val="32"/>
          <w:shd w:val="clear" w:color="auto" w:fill="FFFFFF"/>
          <w:lang w:val="zh-CN" w:eastAsia="zh-CN" w:bidi="ar-SA"/>
        </w:rPr>
        <w:t>（二）存在问题：</w:t>
      </w:r>
      <w:r>
        <w:rPr>
          <w:rFonts w:ascii="仿宋" w:eastAsia="仿宋" w:cs="宋体" w:hAnsi="仿宋" w:hint="eastAsia"/>
          <w:sz w:val="32"/>
          <w:szCs w:val="32"/>
          <w:shd w:val="clear" w:color="auto" w:fill="FFFFFF"/>
        </w:rPr>
        <w:t>绩效评价工作机制有待进一步完善，由于在平时工作中未加强对绩效监控工作的重视，绩效监控工作容易滞后，未形成对绩效目标进行监控的习惯；预算编制工作有待细化，预算编制不够明确和细化，预算编制的合理性需要提高，预算执行力度还要进一步加强。</w:t>
      </w:r>
    </w:p>
    <w:p>
      <w:pPr>
        <w:pStyle w:val="23"/>
        <w:widowControl/>
        <w:spacing w:before="0" w:beforeAutospacing="0" w:after="0" w:afterAutospacing="0" w:line="576" w:lineRule="exact"/>
        <w:ind w:firstLineChars="200" w:firstLine="640"/>
        <w:jc w:val="both"/>
        <w:rPr>
          <w:rFonts w:ascii="仿宋" w:eastAsia="仿宋" w:cs="宋体" w:hAnsi="仿宋"/>
          <w:sz w:val="32"/>
          <w:szCs w:val="32"/>
          <w:shd w:val="clear" w:color="auto" w:fill="FFFFFF"/>
        </w:rPr>
      </w:pPr>
      <w:r>
        <w:rPr>
          <w:rFonts w:ascii="仿宋" w:eastAsia="仿宋" w:cs="宋体" w:hAnsi="仿宋" w:hint="eastAsia"/>
          <w:b/>
          <w:bCs/>
          <w:kern w:val="0"/>
          <w:sz w:val="32"/>
          <w:szCs w:val="32"/>
          <w:shd w:val="clear" w:color="auto" w:fill="FFFFFF"/>
          <w:lang w:val="zh-CN" w:eastAsia="zh-CN" w:bidi="ar-SA"/>
        </w:rPr>
        <w:t>（三）改进建议：</w:t>
      </w:r>
      <w:r>
        <w:rPr>
          <w:rFonts w:ascii="仿宋" w:eastAsia="仿宋" w:cs="宋体" w:hAnsi="仿宋" w:hint="eastAsia"/>
          <w:sz w:val="32"/>
          <w:szCs w:val="32"/>
          <w:shd w:val="clear" w:color="auto" w:fill="FFFFFF"/>
        </w:rPr>
        <w:t>一是制定有效绩效监控机制，确保绩效目标完成；二是科学合理编制预算，严格执行预算；三是加强管理，严格控制行政支出；四是学习培训，提高思想认识。</w:t>
      </w: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hint="eastAsia"/>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cs="宋体" w:hAnsi="宋体"/>
          <w:sz w:val="32"/>
          <w:szCs w:val="32"/>
          <w:shd w:val="clear" w:color="auto" w:fill="FFFFFF"/>
          <w:lang w:val="zh-CN"/>
        </w:rPr>
      </w:pPr>
    </w:p>
    <w:p>
      <w:pPr>
        <w:pStyle w:val="15"/>
        <w:spacing w:beforeLines="0" w:before="72"/>
        <w:rPr>
          <w:rFonts w:ascii="方正黑体简体" w:eastAsia="方正黑体简体" w:cs="宋体" w:hAnsi="宋体"/>
          <w:sz w:val="32"/>
          <w:szCs w:val="32"/>
          <w:shd w:val="clear" w:color="auto" w:fill="FFFFFF"/>
          <w:lang w:val="zh-CN"/>
        </w:rPr>
      </w:pPr>
      <w:r>
        <w:rPr>
          <w:rFonts w:ascii="方正黑体简体" w:eastAsia="方正黑体简体" w:cs="宋体" w:hAnsi="宋体" w:hint="eastAsia"/>
          <w:sz w:val="32"/>
          <w:szCs w:val="32"/>
          <w:shd w:val="clear" w:color="auto" w:fill="FFFFFF"/>
          <w:lang w:val="zh-CN"/>
        </w:rPr>
        <w:t>附件2</w:t>
      </w:r>
    </w:p>
    <w:p>
      <w:pPr>
        <w:pStyle w:val="15"/>
        <w:spacing w:beforeLines="0" w:before="72"/>
        <w:rPr>
          <w:rFonts w:ascii="宋体" w:eastAsia="宋体" w:hAnsi="宋体"/>
          <w:kern w:val="2"/>
          <w:sz w:val="32"/>
          <w:szCs w:val="32"/>
          <w:lang w:val="zh-CN"/>
        </w:rPr>
      </w:pPr>
    </w:p>
    <w:p>
      <w:pPr>
        <w:pStyle w:val="22"/>
        <w:tabs>
          <w:tab w:val="right" w:leader="dot" w:pos="8296"/>
        </w:tabs>
        <w:adjustRightInd w:val="0"/>
        <w:snapToGrid w:val="0"/>
        <w:spacing w:line="440" w:lineRule="exact"/>
        <w:ind w:leftChars="0" w:left="0" w:firstLineChars="200" w:firstLine="800"/>
        <w:jc w:val="center"/>
        <w:outlineLvl w:val="1"/>
        <w:rPr>
          <w:rFonts w:ascii="黑体" w:eastAsia="黑体" w:cs="方正小标宋简体" w:hAnsi="黑体"/>
          <w:sz w:val="40"/>
          <w:szCs w:val="40"/>
        </w:rPr>
      </w:pPr>
      <w:bookmarkStart w:id="83" w:name="_Toc17889"/>
      <w:bookmarkStart w:id="84" w:name="_Toc145925494"/>
      <w:r>
        <w:rPr>
          <w:rFonts w:ascii="黑体" w:eastAsia="黑体" w:cs="方正小标宋简体" w:hAnsi="黑体" w:hint="eastAsia"/>
          <w:sz w:val="40"/>
          <w:szCs w:val="40"/>
        </w:rPr>
        <w:t>二、2021年专项预算项目支出绩效自评报告</w:t>
      </w:r>
      <w:bookmarkEnd w:id="83"/>
    </w:p>
    <w:p/>
    <w:p>
      <w:pPr>
        <w:pStyle w:val="36"/>
        <w:spacing w:line="576" w:lineRule="exact"/>
        <w:jc w:val="center"/>
        <w:outlineLvl w:val="2"/>
        <w:rPr>
          <w:rFonts w:ascii="方正小标宋简体" w:eastAsia="方正小标宋简体" w:cs="方正小标宋简体" w:hAnsi="宋体"/>
          <w:color w:val="auto"/>
          <w:kern w:val="2"/>
          <w:sz w:val="40"/>
          <w:szCs w:val="40"/>
          <w:lang w:val="en-US"/>
        </w:rPr>
      </w:pPr>
    </w:p>
    <w:p>
      <w:pPr>
        <w:pStyle w:val="36"/>
        <w:spacing w:line="576" w:lineRule="exact"/>
        <w:jc w:val="center"/>
        <w:outlineLvl w:val="2"/>
        <w:rPr>
          <w:rFonts w:ascii="黑体" w:eastAsia="黑体" w:cs="方正小标宋简体" w:hAnsi="黑体"/>
          <w:color w:val="auto"/>
          <w:kern w:val="2"/>
          <w:sz w:val="40"/>
          <w:szCs w:val="40"/>
          <w:lang w:val="en-US"/>
        </w:rPr>
      </w:pPr>
    </w:p>
    <w:p>
      <w:pPr>
        <w:pStyle w:val="36"/>
        <w:spacing w:line="576" w:lineRule="exact"/>
        <w:jc w:val="center"/>
        <w:outlineLvl w:val="2"/>
        <w:rPr>
          <w:rFonts w:ascii="黑体" w:eastAsia="黑体" w:cs="方正小标宋简体" w:hAnsi="黑体"/>
          <w:color w:val="auto"/>
          <w:kern w:val="2"/>
          <w:sz w:val="40"/>
          <w:szCs w:val="40"/>
          <w:lang w:val="en-US"/>
        </w:rPr>
      </w:pPr>
      <w:bookmarkStart w:id="85" w:name="_Toc23113"/>
      <w:r>
        <w:rPr>
          <w:rFonts w:ascii="黑体" w:eastAsia="黑体" w:cs="方正小标宋简体" w:hAnsi="黑体" w:hint="eastAsia"/>
          <w:color w:val="auto"/>
          <w:kern w:val="2"/>
          <w:sz w:val="40"/>
          <w:szCs w:val="40"/>
          <w:lang w:val="en-US"/>
        </w:rPr>
        <w:t>1.80岁老党员生活补助项目支出绩效</w:t>
      </w:r>
      <w:bookmarkStart w:id="86" w:name="_Toc145925495"/>
      <w:bookmarkStart w:id="87" w:name="_Toc145927279"/>
      <w:bookmarkEnd w:id="84"/>
      <w:r>
        <w:rPr>
          <w:rFonts w:ascii="黑体" w:eastAsia="黑体" w:cs="方正小标宋简体" w:hAnsi="黑体" w:hint="eastAsia"/>
          <w:color w:val="auto"/>
          <w:kern w:val="2"/>
          <w:sz w:val="40"/>
          <w:szCs w:val="40"/>
          <w:lang w:val="en-US"/>
        </w:rPr>
        <w:t>自评报告</w:t>
      </w:r>
      <w:bookmarkEnd w:id="85"/>
      <w:bookmarkEnd w:id="86"/>
      <w:bookmarkEnd w:id="87"/>
    </w:p>
    <w:p>
      <w:pPr>
        <w:spacing w:line="576" w:lineRule="exact"/>
        <w:rPr>
          <w:rFonts w:ascii="仿宋" w:eastAsia="仿宋" w:hAnsi="仿宋"/>
          <w:sz w:val="32"/>
          <w:szCs w:val="32"/>
        </w:rPr>
      </w:pP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一、项目概况</w:t>
      </w:r>
    </w:p>
    <w:p>
      <w:pPr>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 xml:space="preserve">    （一）80岁老党员生活补助项目申报资金</w:t>
      </w:r>
      <w:r>
        <w:rPr>
          <w:rFonts w:ascii="仿宋" w:eastAsia="仿宋" w:cs="仿宋_GB2312" w:hAnsi="仿宋"/>
          <w:sz w:val="32"/>
          <w:szCs w:val="32"/>
        </w:rPr>
        <w:t>1.</w:t>
      </w:r>
      <w:r>
        <w:rPr>
          <w:rFonts w:ascii="仿宋" w:eastAsia="仿宋" w:cs="仿宋_GB2312" w:hAnsi="仿宋" w:hint="eastAsia"/>
          <w:sz w:val="32"/>
          <w:szCs w:val="32"/>
        </w:rPr>
        <w:t>33万元，资金批复</w:t>
      </w:r>
      <w:r>
        <w:rPr>
          <w:rFonts w:ascii="仿宋" w:eastAsia="仿宋" w:cs="仿宋_GB2312" w:hAnsi="仿宋"/>
          <w:sz w:val="32"/>
          <w:szCs w:val="32"/>
        </w:rPr>
        <w:t>1.</w:t>
      </w:r>
      <w:r>
        <w:rPr>
          <w:rFonts w:ascii="仿宋" w:eastAsia="仿宋" w:cs="仿宋_GB2312" w:hAnsi="仿宋" w:hint="eastAsia"/>
          <w:sz w:val="32"/>
          <w:szCs w:val="32"/>
        </w:rPr>
        <w:t>33万元，项目的申报与批复符合资金管理办法等相关规定。</w:t>
      </w:r>
    </w:p>
    <w:p>
      <w:pPr>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 xml:space="preserve">    （二）项目绩效目标发放生活补助，提升80岁以上老党员生活水平，该项目为常年项目，2021年已完成当年目标任务。</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宋体" w:hAnsi="仿宋" w:hint="eastAsia"/>
          <w:b/>
          <w:bCs/>
          <w:kern w:val="0"/>
          <w:sz w:val="32"/>
          <w:szCs w:val="32"/>
          <w:shd w:val="clear" w:color="auto" w:fill="FFFFFF"/>
          <w:lang w:val="zh-CN" w:eastAsia="zh-CN" w:bidi="ar-SA"/>
        </w:rPr>
        <w:t>（一）资金计划、到位及使用情况。</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2．截止评价时点项目资金的实际支出情况</w:t>
      </w:r>
      <w:r>
        <w:rPr>
          <w:rFonts w:ascii="仿宋" w:eastAsia="仿宋" w:cs="仿宋_GB2312" w:hAnsi="仿宋"/>
          <w:sz w:val="32"/>
          <w:szCs w:val="32"/>
        </w:rPr>
        <w:t>1.</w:t>
      </w:r>
      <w:r>
        <w:rPr>
          <w:rFonts w:ascii="仿宋" w:eastAsia="仿宋" w:cs="仿宋_GB2312" w:hAnsi="仿宋" w:hint="eastAsia"/>
          <w:sz w:val="32"/>
          <w:szCs w:val="32"/>
        </w:rPr>
        <w:t>33</w:t>
      </w:r>
      <w:r>
        <w:rPr>
          <w:rFonts w:ascii="仿宋" w:eastAsia="仿宋" w:cs="仿宋_GB2312" w:hAnsi="仿宋" w:hint="eastAsia"/>
          <w:sz w:val="32"/>
          <w:szCs w:val="32"/>
          <w:lang w:val="zh-CN"/>
        </w:rPr>
        <w:t>万元，资金开支为80岁老党员生活补助。</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宋体" w:hAnsi="仿宋" w:hint="eastAsia"/>
          <w:b/>
          <w:bCs/>
          <w:kern w:val="0"/>
          <w:sz w:val="32"/>
          <w:szCs w:val="32"/>
          <w:shd w:val="clear" w:color="auto" w:fill="FFFFFF"/>
          <w:lang w:val="zh-CN" w:eastAsia="zh-CN" w:bidi="ar-SA"/>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该项目财务管理制度完善、由党建办公室负责、会计核算及账务处理按财政制度执行。对照项目资金管理办法，评价项目严格执行财务管理制度、财务处理及时、会计核算规范。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b/>
          <w:sz w:val="32"/>
          <w:szCs w:val="32"/>
          <w:lang w:val="zh-CN"/>
        </w:rPr>
      </w:pPr>
      <w:r>
        <w:rPr>
          <w:rFonts w:ascii="仿宋" w:eastAsia="仿宋" w:cs="仿宋_GB2312" w:hAnsi="仿宋" w:hint="eastAsia"/>
          <w:b/>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该项目由党建办公室组织管理及具体实施。</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三、项目绩效情况</w:t>
        <w:tab/>
      </w:r>
    </w:p>
    <w:p>
      <w:pPr>
        <w:adjustRightInd w:val="0"/>
        <w:snapToGrid w:val="0"/>
        <w:spacing w:line="576" w:lineRule="exact"/>
        <w:ind w:firstLineChars="200" w:firstLine="640"/>
        <w:rPr>
          <w:rFonts w:ascii="仿宋" w:eastAsia="仿宋" w:cs="仿宋_GB2312" w:hAnsi="仿宋"/>
          <w:b/>
          <w:sz w:val="32"/>
          <w:szCs w:val="32"/>
          <w:lang w:val="zh-CN"/>
        </w:rPr>
      </w:pPr>
      <w:r>
        <w:rPr>
          <w:rFonts w:ascii="仿宋" w:eastAsia="仿宋" w:cs="仿宋_GB2312" w:hAnsi="仿宋" w:hint="eastAsia"/>
          <w:b/>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该项目完成率100％，发放生活补助，提升80岁以上老党员生活水平等目标均已实现。</w:t>
      </w:r>
    </w:p>
    <w:p>
      <w:pPr>
        <w:adjustRightInd w:val="0"/>
        <w:snapToGrid w:val="0"/>
        <w:spacing w:line="576" w:lineRule="exact"/>
        <w:ind w:firstLineChars="200" w:firstLine="640"/>
        <w:rPr>
          <w:rFonts w:ascii="仿宋" w:eastAsia="仿宋" w:cs="仿宋_GB2312" w:hAnsi="仿宋"/>
          <w:b/>
          <w:sz w:val="32"/>
          <w:szCs w:val="32"/>
          <w:lang w:val="zh-CN"/>
        </w:rPr>
      </w:pPr>
      <w:r>
        <w:rPr>
          <w:rFonts w:ascii="仿宋" w:eastAsia="仿宋" w:cs="仿宋_GB2312" w:hAnsi="仿宋" w:hint="eastAsia"/>
          <w:b/>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该项目发放生活补助，提升80岁以上老党员生活水平，促进了辖区社会经济可持续发展，社会满意度高。</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四、问题及建议</w:t>
      </w:r>
    </w:p>
    <w:p>
      <w:pPr>
        <w:spacing w:line="576" w:lineRule="exact"/>
        <w:ind w:firstLineChars="200" w:firstLine="640"/>
        <w:rPr>
          <w:rFonts w:ascii="仿宋" w:eastAsia="仿宋" w:cs="仿宋_GB2312" w:hAnsi="仿宋"/>
          <w:b/>
          <w:sz w:val="32"/>
          <w:szCs w:val="32"/>
          <w:lang w:val="zh-CN"/>
        </w:rPr>
      </w:pPr>
      <w:r>
        <w:rPr>
          <w:rFonts w:ascii="仿宋" w:eastAsia="仿宋" w:cs="仿宋_GB2312" w:hAnsi="仿宋" w:hint="eastAsia"/>
          <w:b/>
          <w:sz w:val="32"/>
          <w:szCs w:val="32"/>
          <w:lang w:val="zh-CN"/>
        </w:rPr>
        <w:t>（一）存在的问题。</w:t>
      </w:r>
    </w:p>
    <w:p>
      <w:pPr>
        <w:spacing w:line="576" w:lineRule="exact"/>
        <w:ind w:firstLine="640"/>
        <w:rPr>
          <w:rFonts w:ascii="仿宋" w:eastAsia="仿宋" w:cs="仿宋_GB2312" w:hAnsi="仿宋"/>
          <w:sz w:val="32"/>
          <w:szCs w:val="32"/>
          <w:lang w:val="zh-CN"/>
        </w:rPr>
      </w:pPr>
      <w:r>
        <w:rPr>
          <w:rFonts w:ascii="仿宋" w:eastAsia="仿宋" w:cs="仿宋_GB2312" w:hAnsi="仿宋" w:hint="eastAsia"/>
          <w:sz w:val="32"/>
          <w:szCs w:val="32"/>
        </w:rPr>
        <w:t>不存在问题</w:t>
      </w:r>
      <w:r>
        <w:rPr>
          <w:rFonts w:ascii="仿宋" w:eastAsia="仿宋" w:cs="仿宋_GB2312" w:hAnsi="仿宋" w:hint="eastAsia"/>
          <w:sz w:val="32"/>
          <w:szCs w:val="32"/>
          <w:lang w:val="zh-CN"/>
        </w:rPr>
        <w:t>。</w:t>
      </w:r>
    </w:p>
    <w:p>
      <w:pPr>
        <w:spacing w:line="576" w:lineRule="exact"/>
        <w:ind w:firstLine="640"/>
        <w:rPr>
          <w:rFonts w:ascii="仿宋" w:eastAsia="仿宋" w:cs="仿宋_GB2312" w:hAnsi="仿宋"/>
          <w:b/>
          <w:sz w:val="32"/>
          <w:szCs w:val="32"/>
          <w:lang w:val="zh-CN"/>
        </w:rPr>
      </w:pPr>
      <w:r>
        <w:rPr>
          <w:rFonts w:ascii="仿宋" w:eastAsia="仿宋" w:cs="仿宋_GB2312" w:hAnsi="仿宋" w:hint="eastAsia"/>
          <w:b/>
          <w:sz w:val="32"/>
          <w:szCs w:val="32"/>
          <w:lang w:val="zh-CN"/>
        </w:rPr>
        <w:t>（二）相关建议。</w:t>
      </w:r>
    </w:p>
    <w:p>
      <w:pPr>
        <w:spacing w:line="576" w:lineRule="exact"/>
        <w:ind w:firstLine="640"/>
        <w:rPr>
          <w:rFonts w:ascii="仿宋" w:eastAsia="仿宋" w:cs="仿宋_GB2312" w:hAnsi="仿宋"/>
          <w:sz w:val="32"/>
          <w:szCs w:val="32"/>
        </w:rPr>
      </w:pPr>
      <w:r>
        <w:rPr>
          <w:rFonts w:ascii="仿宋" w:eastAsia="仿宋" w:cs="仿宋_GB2312" w:hAnsi="仿宋" w:hint="eastAsia"/>
          <w:sz w:val="32"/>
          <w:szCs w:val="32"/>
        </w:rPr>
        <w:t>做好人员信息动态管理，及时更新人员变动。</w:t>
      </w:r>
    </w:p>
    <w:p>
      <w:pPr>
        <w:pStyle w:val="15"/>
        <w:spacing w:beforeLines="0" w:before="30" w:line="576" w:lineRule="exact"/>
        <w:rPr>
          <w:rFonts w:ascii="仿宋" w:eastAsia="仿宋" w:hAnsi="仿宋"/>
          <w:sz w:val="32"/>
          <w:szCs w:val="32"/>
        </w:rPr>
      </w:pPr>
    </w:p>
    <w:p>
      <w:pPr>
        <w:pStyle w:val="15"/>
        <w:spacing w:beforeLines="0" w:before="30" w:line="576" w:lineRule="exact"/>
        <w:rPr>
          <w:rFonts w:ascii="仿宋" w:eastAsia="仿宋" w:hAnsi="仿宋"/>
          <w:sz w:val="32"/>
          <w:szCs w:val="32"/>
        </w:rPr>
      </w:pPr>
    </w:p>
    <w:p>
      <w:pPr>
        <w:pStyle w:val="15"/>
        <w:spacing w:beforeLines="0" w:before="30" w:line="576" w:lineRule="exact"/>
        <w:rPr>
          <w:rFonts w:ascii="仿宋" w:eastAsia="仿宋" w:hAnsi="仿宋"/>
          <w:sz w:val="32"/>
          <w:szCs w:val="32"/>
        </w:rPr>
      </w:pPr>
    </w:p>
    <w:p>
      <w:pPr>
        <w:pStyle w:val="15"/>
        <w:spacing w:beforeLines="0" w:before="30" w:line="576" w:lineRule="exact"/>
        <w:rPr>
          <w:rFonts w:ascii="仿宋" w:eastAsia="仿宋" w:hAnsi="仿宋"/>
          <w:sz w:val="32"/>
          <w:szCs w:val="32"/>
        </w:rPr>
      </w:pPr>
    </w:p>
    <w:p>
      <w:pPr>
        <w:pStyle w:val="15"/>
        <w:spacing w:beforeLines="0" w:before="30" w:line="576" w:lineRule="exact"/>
        <w:rPr>
          <w:rFonts w:ascii="仿宋" w:eastAsia="仿宋" w:hAnsi="仿宋"/>
          <w:sz w:val="32"/>
          <w:szCs w:val="32"/>
        </w:rPr>
      </w:pPr>
    </w:p>
    <w:p>
      <w:pPr>
        <w:pStyle w:val="15"/>
        <w:spacing w:beforeLines="0" w:before="30" w:line="576" w:lineRule="exact"/>
        <w:rPr>
          <w:rFonts w:ascii="仿宋" w:eastAsia="仿宋" w:hAnsi="仿宋"/>
          <w:sz w:val="32"/>
          <w:szCs w:val="32"/>
        </w:rPr>
      </w:pPr>
    </w:p>
    <w:p>
      <w:pPr>
        <w:pStyle w:val="36"/>
        <w:spacing w:line="576" w:lineRule="exact"/>
        <w:jc w:val="center"/>
        <w:outlineLvl w:val="2"/>
        <w:rPr>
          <w:rFonts w:ascii="仿宋" w:eastAsia="仿宋" w:hAnsi="仿宋"/>
          <w:color w:val="auto"/>
          <w:sz w:val="32"/>
          <w:szCs w:val="32"/>
          <w:lang w:val="en-US"/>
        </w:rPr>
      </w:pPr>
    </w:p>
    <w:p>
      <w:pPr>
        <w:pStyle w:val="36"/>
        <w:spacing w:line="576" w:lineRule="exact"/>
        <w:jc w:val="center"/>
        <w:outlineLvl w:val="2"/>
        <w:rPr>
          <w:rFonts w:ascii="黑体" w:eastAsia="黑体" w:cs="方正小标宋简体" w:hAnsi="黑体"/>
          <w:color w:val="auto"/>
          <w:kern w:val="2"/>
          <w:sz w:val="40"/>
          <w:szCs w:val="40"/>
        </w:rPr>
      </w:pPr>
      <w:bookmarkStart w:id="88" w:name="_Toc18067"/>
      <w:r>
        <w:rPr>
          <w:rFonts w:ascii="黑体" w:eastAsia="黑体" w:cs="方正小标宋简体" w:hAnsi="黑体" w:hint="eastAsia"/>
          <w:color w:val="auto"/>
          <w:kern w:val="2"/>
          <w:sz w:val="40"/>
          <w:szCs w:val="40"/>
          <w:lang w:val="en-US"/>
        </w:rPr>
        <w:t>2.芸香社区房租</w:t>
      </w:r>
      <w:r>
        <w:rPr>
          <w:rFonts w:ascii="黑体" w:eastAsia="黑体" w:cs="方正小标宋简体" w:hAnsi="黑体" w:hint="eastAsia"/>
          <w:color w:val="auto"/>
          <w:kern w:val="2"/>
          <w:sz w:val="40"/>
          <w:szCs w:val="40"/>
        </w:rPr>
        <w:t>支出绩效自评报告</w:t>
      </w:r>
      <w:bookmarkEnd w:id="88"/>
    </w:p>
    <w:p>
      <w:pPr>
        <w:pStyle w:val="36"/>
        <w:spacing w:line="576" w:lineRule="exact"/>
        <w:ind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720"/>
        <w:rPr>
          <w:rFonts w:ascii="仿宋" w:eastAsia="仿宋" w:cs="宋体" w:hAnsi="仿宋"/>
          <w:sz w:val="32"/>
          <w:szCs w:val="32"/>
        </w:rPr>
      </w:pPr>
      <w:r>
        <w:rPr>
          <w:rFonts w:ascii="仿宋" w:eastAsia="仿宋" w:cs="宋体" w:hAnsi="仿宋" w:hint="eastAsia"/>
          <w:bCs/>
          <w:sz w:val="32"/>
          <w:szCs w:val="32"/>
          <w:lang w:val="zh-CN"/>
        </w:rPr>
        <w:t>（一）项目基本情况：为更好地服务社区居民，打造亮点书香社区。</w:t>
      </w:r>
      <w:r>
        <w:rPr>
          <w:rFonts w:ascii="仿宋" w:eastAsia="仿宋" w:cs="宋体" w:hAnsi="仿宋" w:hint="eastAsia"/>
          <w:bCs/>
          <w:sz w:val="32"/>
          <w:szCs w:val="32"/>
        </w:rPr>
        <w:t>2012年建设了1200平方米的办公、物管和多功能社区服务为一体的综合办公服务中心，其中向社区居民租用了330平方米门面房，打造成8个多功能服务房。已成为全市的一个亮点工程。为保证社区正常运转，2016年由街道办事处申请解决房租20万元的请示，经区领导签批，2017年正式纳入年初预算</w:t>
      </w:r>
      <w:r>
        <w:rPr>
          <w:rFonts w:ascii="仿宋" w:eastAsia="仿宋" w:cs="宋体" w:hAnsi="仿宋" w:hint="eastAsia"/>
          <w:sz w:val="32"/>
          <w:szCs w:val="32"/>
          <w:lang w:val="zh-CN"/>
        </w:rPr>
        <w:t>。</w:t>
      </w:r>
      <w:r>
        <w:rPr>
          <w:rFonts w:ascii="仿宋" w:eastAsia="仿宋" w:cs="宋体" w:hAnsi="仿宋" w:hint="eastAsia"/>
          <w:sz w:val="32"/>
          <w:szCs w:val="32"/>
        </w:rPr>
        <w:t>2021年再次将这条街道打造成了特色“文创街”不定期开展一些市集、文创等活动，让老百姓享受到更好更方便的基础设施和服务。</w:t>
      </w:r>
    </w:p>
    <w:p>
      <w:pPr>
        <w:adjustRightInd w:val="0"/>
        <w:snapToGrid w:val="0"/>
        <w:spacing w:line="576" w:lineRule="exact"/>
        <w:ind w:firstLineChars="200" w:firstLine="640"/>
        <w:rPr>
          <w:rFonts w:ascii="仿宋" w:eastAsia="仿宋" w:cs="宋体" w:hAnsi="仿宋"/>
          <w:sz w:val="32"/>
          <w:szCs w:val="32"/>
        </w:rPr>
      </w:pPr>
      <w:r>
        <w:rPr>
          <w:rFonts w:ascii="仿宋" w:eastAsia="仿宋" w:cs="宋体" w:hAnsi="仿宋" w:hint="eastAsia"/>
          <w:bCs/>
          <w:sz w:val="32"/>
          <w:szCs w:val="32"/>
          <w:lang w:val="zh-CN"/>
        </w:rPr>
        <w:t>（二）项目绩效目标：社区各项功能齐全，为方便辖区群众生活，满足居民文化学习、健康娱乐、求职求助等多种需求，</w:t>
      </w:r>
      <w:r>
        <w:rPr>
          <w:rFonts w:ascii="仿宋" w:eastAsia="仿宋" w:cs="宋体" w:hAnsi="仿宋" w:hint="eastAsia"/>
          <w:sz w:val="32"/>
          <w:szCs w:val="32"/>
          <w:lang w:val="zh-CN"/>
        </w:rPr>
        <w:t>提高群众的文化素养。同时还能持续接待更多的现场会、调研和学习。</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bCs/>
          <w:sz w:val="32"/>
          <w:szCs w:val="32"/>
          <w:lang w:val="zh-CN"/>
        </w:rPr>
        <w:t>（三）项目资金申报相符性。</w:t>
      </w:r>
      <w:r>
        <w:rPr>
          <w:rFonts w:ascii="仿宋" w:eastAsia="仿宋" w:cs="宋体" w:hAnsi="仿宋" w:hint="eastAsia"/>
          <w:sz w:val="32"/>
          <w:szCs w:val="32"/>
          <w:lang w:val="zh-CN"/>
        </w:rPr>
        <w:t>项目申报内容与具体实施内容相符、申报目标合理可行。</w:t>
      </w:r>
    </w:p>
    <w:p>
      <w:pPr>
        <w:adjustRightInd w:val="0"/>
        <w:snapToGrid w:val="0"/>
        <w:spacing w:line="576" w:lineRule="exact"/>
        <w:ind w:firstLine="72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720"/>
        <w:rPr>
          <w:rFonts w:ascii="仿宋" w:eastAsia="仿宋" w:cs="宋体" w:hAnsi="仿宋"/>
          <w:sz w:val="32"/>
          <w:szCs w:val="32"/>
          <w:lang w:val="zh-CN"/>
        </w:rPr>
      </w:pPr>
      <w:r>
        <w:rPr>
          <w:rFonts w:ascii="仿宋" w:eastAsia="仿宋" w:cs="宋体" w:hAnsi="仿宋" w:hint="eastAsia"/>
          <w:sz w:val="32"/>
          <w:szCs w:val="32"/>
          <w:lang w:val="zh-CN"/>
        </w:rPr>
        <w:t>1．资金计划及到位。财政局预算指标（广利财发〔</w:t>
      </w:r>
      <w:r>
        <w:rPr>
          <w:rFonts w:ascii="仿宋" w:eastAsia="仿宋" w:cs="宋体" w:hAnsi="仿宋" w:hint="eastAsia"/>
          <w:sz w:val="32"/>
          <w:szCs w:val="32"/>
        </w:rPr>
        <w:t>2021</w:t>
      </w:r>
      <w:r>
        <w:rPr>
          <w:rFonts w:ascii="仿宋" w:eastAsia="仿宋" w:cs="宋体" w:hAnsi="仿宋" w:hint="eastAsia"/>
          <w:sz w:val="32"/>
          <w:szCs w:val="32"/>
          <w:lang w:val="zh-CN"/>
        </w:rPr>
        <w:t>〕</w:t>
      </w:r>
      <w:r>
        <w:rPr>
          <w:rFonts w:ascii="仿宋" w:eastAsia="仿宋" w:cs="宋体" w:hAnsi="仿宋" w:hint="eastAsia"/>
          <w:sz w:val="32"/>
          <w:szCs w:val="32"/>
        </w:rPr>
        <w:t>14号</w:t>
      </w:r>
      <w:r>
        <w:rPr>
          <w:rFonts w:ascii="仿宋" w:eastAsia="仿宋" w:cs="宋体" w:hAnsi="仿宋" w:hint="eastAsia"/>
          <w:sz w:val="32"/>
          <w:szCs w:val="32"/>
          <w:lang w:val="zh-CN"/>
        </w:rPr>
        <w:t>）</w:t>
      </w:r>
      <w:r>
        <w:rPr>
          <w:rFonts w:ascii="仿宋" w:eastAsia="仿宋" w:cs="宋体" w:hAnsi="仿宋" w:hint="eastAsia"/>
          <w:sz w:val="32"/>
          <w:szCs w:val="32"/>
        </w:rPr>
        <w:t>20万元，到位率100%</w:t>
      </w:r>
      <w:r>
        <w:rPr>
          <w:rFonts w:ascii="仿宋" w:eastAsia="仿宋" w:cs="宋体" w:hAnsi="仿宋" w:hint="eastAsia"/>
          <w:sz w:val="32"/>
          <w:szCs w:val="32"/>
          <w:lang w:val="zh-CN"/>
        </w:rPr>
        <w:t>。</w:t>
      </w:r>
    </w:p>
    <w:p>
      <w:pPr>
        <w:adjustRightInd w:val="0"/>
        <w:snapToGrid w:val="0"/>
        <w:spacing w:line="576" w:lineRule="exact"/>
        <w:ind w:firstLine="720"/>
        <w:rPr>
          <w:rFonts w:ascii="仿宋" w:eastAsia="仿宋" w:cs="宋体" w:hAnsi="仿宋"/>
          <w:sz w:val="32"/>
          <w:szCs w:val="32"/>
          <w:lang w:val="zh-CN"/>
        </w:rPr>
      </w:pPr>
      <w:r>
        <w:rPr>
          <w:rFonts w:ascii="仿宋" w:eastAsia="仿宋" w:cs="宋体" w:hAnsi="仿宋" w:hint="eastAsia"/>
          <w:sz w:val="32"/>
          <w:szCs w:val="32"/>
          <w:lang w:val="zh-CN"/>
        </w:rPr>
        <w:t>2．资金使用：</w:t>
      </w:r>
      <w:r>
        <w:rPr>
          <w:rFonts w:ascii="仿宋" w:eastAsia="仿宋" w:cs="宋体" w:hAnsi="仿宋" w:hint="eastAsia"/>
          <w:bCs/>
          <w:sz w:val="32"/>
          <w:szCs w:val="32"/>
          <w:lang w:val="zh-CN"/>
        </w:rPr>
        <w:t>芸香社区房租项目，</w:t>
      </w:r>
      <w:r>
        <w:rPr>
          <w:rFonts w:ascii="仿宋" w:eastAsia="仿宋" w:cs="宋体" w:hAnsi="仿宋" w:hint="eastAsia"/>
          <w:sz w:val="32"/>
          <w:szCs w:val="32"/>
          <w:lang w:val="zh-CN"/>
        </w:rPr>
        <w:t>主要用于芸香社区</w:t>
      </w:r>
      <w:r>
        <w:rPr>
          <w:rFonts w:ascii="仿宋" w:eastAsia="仿宋" w:cs="宋体" w:hAnsi="仿宋" w:hint="eastAsia"/>
          <w:sz w:val="32"/>
          <w:szCs w:val="32"/>
        </w:rPr>
        <w:t>8个功能房的房租及日常维修维护等</w:t>
      </w:r>
      <w:r>
        <w:rPr>
          <w:rFonts w:ascii="仿宋" w:eastAsia="仿宋" w:cs="宋体" w:hAnsi="仿宋" w:hint="eastAsia"/>
          <w:sz w:val="32"/>
          <w:szCs w:val="32"/>
          <w:lang w:val="zh-CN"/>
        </w:rPr>
        <w:t>费用，</w:t>
      </w:r>
      <w:r>
        <w:rPr>
          <w:rFonts w:ascii="仿宋" w:eastAsia="仿宋" w:cs="宋体" w:hAnsi="仿宋" w:hint="eastAsia"/>
          <w:sz w:val="32"/>
          <w:szCs w:val="32"/>
        </w:rPr>
        <w:t>资金到账率100%。</w:t>
      </w:r>
      <w:r>
        <w:rPr>
          <w:rFonts w:ascii="仿宋" w:eastAsia="仿宋" w:cs="宋体" w:hAnsi="仿宋" w:hint="eastAsia"/>
          <w:sz w:val="32"/>
          <w:szCs w:val="32"/>
          <w:lang w:val="zh-CN"/>
        </w:rPr>
        <w:t>支付依据合规合法，资金支付与预算相符。</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720"/>
        <w:rPr>
          <w:rFonts w:ascii="仿宋" w:eastAsia="仿宋" w:cs="宋体" w:hAnsi="仿宋"/>
          <w:sz w:val="32"/>
          <w:szCs w:val="32"/>
          <w:lang w:val="zh-CN"/>
        </w:rPr>
      </w:pPr>
      <w:r>
        <w:rPr>
          <w:rFonts w:ascii="仿宋" w:eastAsia="仿宋" w:cs="宋体" w:hAnsi="仿宋" w:hint="eastAsia"/>
          <w:bCs/>
          <w:sz w:val="32"/>
          <w:szCs w:val="32"/>
          <w:lang w:val="zh-CN"/>
        </w:rPr>
        <w:t>芸香社区房租</w:t>
      </w:r>
      <w:r>
        <w:rPr>
          <w:rFonts w:ascii="仿宋" w:eastAsia="仿宋" w:cs="宋体" w:hAnsi="仿宋" w:hint="eastAsia"/>
          <w:sz w:val="32"/>
          <w:szCs w:val="32"/>
          <w:lang w:val="zh-CN"/>
        </w:rPr>
        <w:t>项目财务管理制度健全，会计核算及账务处理合理、合法。严格执行财务管理制度、财务处理及时、会计核算规范。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宋体" w:hAnsi="仿宋" w:hint="eastAsia"/>
          <w:bCs/>
          <w:sz w:val="32"/>
          <w:szCs w:val="32"/>
          <w:lang w:val="zh-CN"/>
        </w:rPr>
        <w:t>芸香社区房租项目有明确的操作程序，有完善的租赁合同，并按照财务申报流程来支付资金</w:t>
      </w:r>
      <w:r>
        <w:rPr>
          <w:rFonts w:ascii="仿宋" w:eastAsia="仿宋" w:cs="宋体" w:hAnsi="仿宋" w:hint="eastAsia"/>
          <w:sz w:val="32"/>
          <w:szCs w:val="32"/>
          <w:lang w:val="zh-CN"/>
        </w:rPr>
        <w:t>。</w:t>
      </w:r>
    </w:p>
    <w:p>
      <w:pPr>
        <w:adjustRightInd w:val="0"/>
        <w:snapToGrid w:val="0"/>
        <w:spacing w:line="576" w:lineRule="exact"/>
        <w:ind w:firstLineChars="200" w:firstLine="640"/>
        <w:rPr>
          <w:rFonts w:ascii="仿宋" w:eastAsia="仿宋" w:cs="宋体" w:hAnsi="仿宋"/>
          <w:bCs/>
          <w:sz w:val="32"/>
          <w:szCs w:val="32"/>
        </w:rPr>
      </w:pPr>
      <w:r>
        <w:rPr>
          <w:rFonts w:ascii="仿宋" w:eastAsia="仿宋" w:cs="黑体" w:hAnsi="仿宋" w:hint="eastAsia"/>
          <w:b/>
          <w:bCs/>
          <w:sz w:val="32"/>
          <w:szCs w:val="32"/>
        </w:rPr>
        <w:t>三、项目绩效情况</w:t>
      </w:r>
      <w:r>
        <w:rPr>
          <w:rFonts w:ascii="仿宋" w:eastAsia="仿宋" w:cs="黑体" w:hAnsi="仿宋" w:hint="eastAsia"/>
          <w:bCs/>
          <w:sz w:val="32"/>
          <w:szCs w:val="32"/>
        </w:rPr>
        <w:t>：</w:t>
      </w:r>
      <w:r>
        <w:rPr>
          <w:rFonts w:ascii="仿宋" w:eastAsia="仿宋" w:cs="宋体" w:hAnsi="仿宋" w:hint="eastAsia"/>
          <w:bCs/>
          <w:sz w:val="32"/>
          <w:szCs w:val="32"/>
        </w:rPr>
        <w:t>该项目的实施</w:t>
      </w:r>
      <w:r>
        <w:rPr>
          <w:rFonts w:ascii="仿宋" w:eastAsia="仿宋" w:cs="宋体" w:hAnsi="仿宋" w:hint="eastAsia"/>
          <w:bCs/>
          <w:sz w:val="32"/>
          <w:szCs w:val="32"/>
          <w:lang w:val="zh-CN"/>
        </w:rPr>
        <w:t>方便了辖区群众生活，满足了居民文化学习、健康娱乐、求职求助等多种需求，</w:t>
      </w:r>
      <w:r>
        <w:rPr>
          <w:rFonts w:ascii="仿宋" w:eastAsia="仿宋" w:cs="宋体" w:hAnsi="仿宋" w:hint="eastAsia"/>
          <w:bCs/>
          <w:sz w:val="32"/>
          <w:szCs w:val="32"/>
        </w:rPr>
        <w:t>提升了居民的文化素养，取得了良好的社会效益，群众满意度100%。</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四、评价及建议</w:t>
      </w:r>
    </w:p>
    <w:p>
      <w:pPr>
        <w:adjustRightInd w:val="0"/>
        <w:snapToGrid w:val="0"/>
        <w:spacing w:line="576" w:lineRule="exact"/>
        <w:ind w:firstLineChars="200" w:firstLine="640"/>
        <w:rPr>
          <w:rFonts w:ascii="仿宋" w:eastAsia="仿宋" w:cs="宋体" w:hAnsi="仿宋"/>
          <w:bCs/>
          <w:sz w:val="32"/>
          <w:szCs w:val="32"/>
        </w:rPr>
      </w:pPr>
      <w:r>
        <w:rPr>
          <w:rFonts w:ascii="仿宋" w:eastAsia="仿宋" w:cs="宋体" w:hAnsi="仿宋" w:hint="eastAsia"/>
          <w:sz w:val="32"/>
          <w:szCs w:val="32"/>
          <w:lang w:val="zh-CN"/>
        </w:rPr>
        <w:t>（一）评价结论：</w:t>
      </w:r>
      <w:r>
        <w:rPr>
          <w:rFonts w:ascii="仿宋" w:eastAsia="仿宋" w:cs="宋体" w:hAnsi="仿宋" w:hint="eastAsia"/>
          <w:bCs/>
          <w:sz w:val="32"/>
          <w:szCs w:val="32"/>
          <w:lang w:val="zh-CN"/>
        </w:rPr>
        <w:t>芸香社区房租项目评估得分</w:t>
      </w:r>
      <w:r>
        <w:rPr>
          <w:rFonts w:ascii="仿宋" w:eastAsia="仿宋" w:cs="宋体" w:hAnsi="仿宋" w:hint="eastAsia"/>
          <w:bCs/>
          <w:sz w:val="32"/>
          <w:szCs w:val="32"/>
        </w:rPr>
        <w:t>100分，评价等级为优。</w:t>
      </w:r>
    </w:p>
    <w:p>
      <w:pPr>
        <w:adjustRightInd w:val="0"/>
        <w:snapToGrid w:val="0"/>
        <w:spacing w:line="576" w:lineRule="exact"/>
        <w:ind w:firstLineChars="200" w:firstLine="640"/>
        <w:rPr>
          <w:rFonts w:ascii="仿宋" w:eastAsia="仿宋" w:cs="宋体" w:hAnsi="仿宋"/>
          <w:bCs/>
          <w:sz w:val="32"/>
          <w:szCs w:val="32"/>
          <w:lang w:val="zh-CN"/>
        </w:rPr>
      </w:pPr>
      <w:r>
        <w:rPr>
          <w:rFonts w:ascii="仿宋" w:eastAsia="仿宋" w:cs="宋体" w:hAnsi="仿宋" w:hint="eastAsia"/>
          <w:bCs/>
          <w:sz w:val="32"/>
          <w:szCs w:val="32"/>
          <w:lang w:val="zh-CN"/>
        </w:rPr>
        <w:t>（二）存在的问题及建议：加强功能房的管理，让功能房发挥最好的作用，使其更好地服务社区，服务群众，提高结果运用有效性。</w:t>
      </w:r>
    </w:p>
    <w:p>
      <w:pPr>
        <w:pStyle w:val="15"/>
        <w:spacing w:beforeLines="0" w:before="72"/>
        <w:rPr>
          <w:rFonts w:ascii="仿宋" w:eastAsia="仿宋" w:hAnsi="仿宋"/>
          <w:kern w:val="2"/>
          <w:sz w:val="32"/>
          <w:szCs w:val="32"/>
          <w:lang w:val="zh-CN"/>
        </w:rPr>
      </w:pPr>
    </w:p>
    <w:p>
      <w:pPr>
        <w:pStyle w:val="15"/>
        <w:spacing w:beforeLines="0" w:before="72"/>
        <w:rPr>
          <w:rFonts w:ascii="仿宋" w:eastAsia="仿宋" w:hAnsi="仿宋"/>
          <w:kern w:val="2"/>
          <w:sz w:val="32"/>
          <w:szCs w:val="32"/>
          <w:lang w:val="zh-CN"/>
        </w:rPr>
      </w:pPr>
    </w:p>
    <w:p>
      <w:pPr>
        <w:pStyle w:val="36"/>
        <w:spacing w:line="576" w:lineRule="exact"/>
        <w:jc w:val="center"/>
        <w:outlineLvl w:val="2"/>
        <w:rPr>
          <w:rFonts w:ascii="仿宋" w:eastAsia="仿宋" w:cs="方正小标宋简体" w:hAnsi="仿宋"/>
          <w:color w:val="auto"/>
          <w:kern w:val="2"/>
          <w:sz w:val="40"/>
          <w:szCs w:val="40"/>
          <w:lang w:val="en-US"/>
        </w:rPr>
      </w:pPr>
      <w:bookmarkStart w:id="89" w:name="_Toc145925497"/>
    </w:p>
    <w:p>
      <w:pPr>
        <w:pStyle w:val="36"/>
        <w:spacing w:line="576" w:lineRule="exact"/>
        <w:jc w:val="center"/>
        <w:outlineLvl w:val="2"/>
        <w:rPr>
          <w:rFonts w:ascii="仿宋" w:eastAsia="仿宋" w:cs="方正小标宋简体" w:hAnsi="仿宋" w:hint="eastAsia"/>
          <w:color w:val="auto"/>
          <w:kern w:val="2"/>
          <w:sz w:val="40"/>
          <w:szCs w:val="40"/>
          <w:lang w:val="en-US"/>
        </w:rPr>
      </w:pPr>
    </w:p>
    <w:p>
      <w:pPr>
        <w:pStyle w:val="36"/>
        <w:spacing w:line="576" w:lineRule="exact"/>
        <w:jc w:val="center"/>
        <w:outlineLvl w:val="2"/>
        <w:rPr>
          <w:rFonts w:ascii="黑体" w:eastAsia="黑体" w:cs="方正小标宋简体" w:hAnsi="黑体"/>
          <w:color w:val="auto"/>
          <w:kern w:val="2"/>
          <w:sz w:val="40"/>
          <w:szCs w:val="40"/>
        </w:rPr>
      </w:pPr>
      <w:bookmarkStart w:id="90" w:name="_Toc18080"/>
      <w:r>
        <w:rPr>
          <w:rFonts w:ascii="黑体" w:eastAsia="黑体" w:cs="方正小标宋简体" w:hAnsi="黑体" w:hint="eastAsia"/>
          <w:color w:val="auto"/>
          <w:kern w:val="2"/>
          <w:sz w:val="40"/>
          <w:szCs w:val="40"/>
          <w:lang w:val="en-US"/>
        </w:rPr>
        <w:t>3.依法治区专项</w:t>
      </w:r>
      <w:r>
        <w:rPr>
          <w:rFonts w:ascii="黑体" w:eastAsia="黑体" w:cs="方正小标宋简体" w:hAnsi="黑体" w:hint="eastAsia"/>
          <w:color w:val="auto"/>
          <w:kern w:val="2"/>
          <w:sz w:val="40"/>
          <w:szCs w:val="40"/>
        </w:rPr>
        <w:t>支出绩效自评报告</w:t>
      </w:r>
      <w:bookmarkEnd w:id="89"/>
      <w:bookmarkEnd w:id="90"/>
    </w:p>
    <w:p>
      <w:pPr>
        <w:pStyle w:val="36"/>
        <w:spacing w:line="576" w:lineRule="exact"/>
        <w:ind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（一）项目资金申报及批复情况：</w:t>
      </w:r>
      <w:r>
        <w:rPr>
          <w:rFonts w:ascii="仿宋" w:eastAsia="仿宋" w:cs="仿宋_GB2312" w:hAnsi="仿宋" w:hint="eastAsia"/>
          <w:sz w:val="32"/>
          <w:szCs w:val="32"/>
        </w:rPr>
        <w:t>2021年</w:t>
      </w:r>
      <w:r>
        <w:rPr>
          <w:rFonts w:ascii="仿宋" w:eastAsia="仿宋" w:cs="仿宋_GB2312" w:hAnsi="仿宋" w:hint="eastAsia"/>
          <w:sz w:val="32"/>
          <w:szCs w:val="32"/>
          <w:lang w:val="zh-CN"/>
        </w:rPr>
        <w:t>依法治区专项经费</w:t>
      </w:r>
      <w:r>
        <w:rPr>
          <w:rFonts w:ascii="仿宋" w:eastAsia="仿宋" w:cs="仿宋_GB2312" w:hAnsi="仿宋" w:hint="eastAsia"/>
          <w:sz w:val="32"/>
          <w:szCs w:val="32"/>
        </w:rPr>
        <w:t>1</w:t>
      </w:r>
      <w:r>
        <w:rPr>
          <w:rFonts w:ascii="仿宋" w:eastAsia="仿宋" w:cs="仿宋_GB2312" w:hAnsi="仿宋" w:hint="eastAsia"/>
          <w:sz w:val="32"/>
          <w:szCs w:val="32"/>
          <w:lang w:val="zh-CN"/>
        </w:rPr>
        <w:t>万元，得到了财政局的同意，并下达了预算指标（广利财发〔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14号</w:t>
      </w:r>
      <w:r>
        <w:rPr>
          <w:rFonts w:ascii="仿宋" w:eastAsia="仿宋" w:cs="仿宋_GB2312" w:hAnsi="仿宋" w:hint="eastAsia"/>
          <w:sz w:val="32"/>
          <w:szCs w:val="32"/>
          <w:lang w:val="zh-CN"/>
        </w:rPr>
        <w:t>），项目的申报与批复符合资金管理办法等相关规定。</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val="zh-CN"/>
        </w:rPr>
        <w:t>（二）项目绩效目标：提高群众的法律意识，依法行政。</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（三）项目资金申报相符性。项目申报内容与具体实施内容相符、申报目标合理可行。</w:t>
      </w:r>
    </w:p>
    <w:p>
      <w:pPr>
        <w:adjustRightInd w:val="0"/>
        <w:snapToGrid w:val="0"/>
        <w:spacing w:line="576" w:lineRule="exact"/>
        <w:ind w:firstLineChars="200" w:firstLine="640"/>
        <w:rPr>
          <w:rFonts w:ascii="仿宋" w:eastAsia="仿宋" w:cs="黑体" w:hAnsi="仿宋"/>
          <w:sz w:val="32"/>
          <w:szCs w:val="32"/>
        </w:rPr>
      </w:pPr>
      <w:r>
        <w:rPr>
          <w:rFonts w:ascii="仿宋" w:eastAsia="仿宋" w:hAnsi="仿宋" w:hint="eastAsia"/>
          <w:b/>
          <w:sz w:val="32"/>
          <w:szCs w:val="32"/>
          <w:lang w:val="zh-CN"/>
        </w:rPr>
        <w:t>二、项目实施及管理情况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1．资金计划及到位。财政局预算指标（广利财发〔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14号</w:t>
      </w:r>
      <w:r>
        <w:rPr>
          <w:rFonts w:ascii="仿宋" w:eastAsia="仿宋" w:cs="仿宋_GB2312" w:hAnsi="仿宋" w:hint="eastAsia"/>
          <w:sz w:val="32"/>
          <w:szCs w:val="32"/>
          <w:lang w:val="zh-CN"/>
        </w:rPr>
        <w:t>）</w:t>
      </w:r>
      <w:r>
        <w:rPr>
          <w:rFonts w:ascii="仿宋" w:eastAsia="仿宋" w:cs="仿宋_GB2312" w:hAnsi="仿宋" w:hint="eastAsia"/>
          <w:sz w:val="32"/>
          <w:szCs w:val="32"/>
        </w:rPr>
        <w:t>1万元，到位率100%</w:t>
      </w:r>
      <w:r>
        <w:rPr>
          <w:rFonts w:ascii="仿宋" w:eastAsia="仿宋" w:cs="仿宋_GB2312" w:hAnsi="仿宋" w:hint="eastAsia"/>
          <w:sz w:val="32"/>
          <w:szCs w:val="32"/>
          <w:lang w:val="zh-CN"/>
        </w:rPr>
        <w:t>。</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2．资金使用：依法治区专项经费项目，</w:t>
      </w:r>
      <w:r>
        <w:rPr>
          <w:rFonts w:ascii="仿宋" w:eastAsia="仿宋" w:cs="仿宋_GB2312" w:hAnsi="仿宋" w:hint="eastAsia"/>
          <w:sz w:val="32"/>
          <w:szCs w:val="32"/>
        </w:rPr>
        <w:t>资金到账率100%。</w:t>
      </w:r>
      <w:r>
        <w:rPr>
          <w:rFonts w:ascii="仿宋" w:eastAsia="仿宋" w:cs="仿宋_GB2312" w:hAnsi="仿宋" w:hint="eastAsia"/>
          <w:sz w:val="32"/>
          <w:szCs w:val="32"/>
          <w:lang w:val="zh-CN"/>
        </w:rPr>
        <w:t>支付依据合规合法，资金支付与预算相符。</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该项目财务管理制度健全、由社会治安综合治理办公室负责、会计核算及账务处理合理、合法。严格执行财务管理制度、财务处理及时、会计核算规范。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（三）项目组织实施情况。依法治区专项经费项目由社会治安综合治理办公室负责组织实施管理，主要用于普法标识标牌的宣传制作、标语、资料费用，依法治区会议宣传费用。</w:t>
      </w:r>
    </w:p>
    <w:p>
      <w:pPr>
        <w:adjustRightInd w:val="0"/>
        <w:snapToGrid w:val="0"/>
        <w:spacing w:line="576" w:lineRule="exact"/>
        <w:ind w:firstLineChars="200" w:firstLine="640"/>
        <w:rPr>
          <w:rFonts w:ascii="仿宋" w:eastAsia="仿宋" w:cs="仿宋" w:hAnsi="仿宋"/>
          <w:sz w:val="32"/>
          <w:szCs w:val="32"/>
        </w:rPr>
      </w:pPr>
      <w:r>
        <w:rPr>
          <w:rFonts w:ascii="仿宋" w:eastAsia="仿宋" w:cs="黑体" w:hAnsi="仿宋" w:hint="eastAsia"/>
          <w:b/>
          <w:sz w:val="32"/>
          <w:szCs w:val="32"/>
        </w:rPr>
        <w:t>三、项目绩效情况</w:t>
      </w:r>
      <w:r>
        <w:rPr>
          <w:rFonts w:ascii="仿宋" w:eastAsia="仿宋" w:cs="黑体" w:hAnsi="仿宋" w:hint="eastAsia"/>
          <w:sz w:val="32"/>
          <w:szCs w:val="32"/>
        </w:rPr>
        <w:t>：</w:t>
      </w:r>
      <w:r>
        <w:rPr>
          <w:rFonts w:ascii="仿宋" w:eastAsia="仿宋" w:cs="仿宋" w:hAnsi="仿宋" w:hint="eastAsia"/>
          <w:sz w:val="32"/>
          <w:szCs w:val="32"/>
        </w:rPr>
        <w:t>该项目的实施，提升了居民的法治意识，取得了良好的社会效益，群众满意度100%。</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四、问题及建议</w:t>
      </w:r>
    </w:p>
    <w:p>
      <w:pPr>
        <w:adjustRightInd w:val="0"/>
        <w:snapToGrid w:val="0"/>
        <w:spacing w:line="576" w:lineRule="exact"/>
        <w:ind w:firstLineChars="200" w:firstLine="640"/>
        <w:rPr>
          <w:rFonts w:ascii="仿宋" w:eastAsia="仿宋" w:cs="仿宋" w:hAnsi="仿宋"/>
          <w:sz w:val="32"/>
          <w:szCs w:val="32"/>
          <w:lang w:val="zh-CN"/>
        </w:rPr>
      </w:pPr>
      <w:r>
        <w:rPr>
          <w:rFonts w:ascii="仿宋" w:eastAsia="仿宋" w:cs="仿宋_GB2312" w:hAnsi="仿宋" w:hint="eastAsia"/>
          <w:sz w:val="32"/>
          <w:szCs w:val="32"/>
          <w:lang w:val="zh-CN"/>
        </w:rPr>
        <w:t>（一）存在的问题：</w:t>
      </w:r>
      <w:r>
        <w:rPr>
          <w:rFonts w:ascii="仿宋" w:eastAsia="仿宋" w:cs="仿宋" w:hAnsi="仿宋" w:hint="eastAsia"/>
          <w:sz w:val="32"/>
          <w:szCs w:val="32"/>
        </w:rPr>
        <w:t>依法治区工作重视程度有待提高。个别群众对依法决策、依法行政的意识需要进一步强化</w:t>
      </w:r>
      <w:r>
        <w:rPr>
          <w:rFonts w:ascii="仿宋" w:eastAsia="仿宋" w:cs="仿宋" w:hAnsi="仿宋" w:hint="eastAsia"/>
          <w:sz w:val="32"/>
          <w:szCs w:val="32"/>
          <w:lang w:val="zh-CN"/>
        </w:rPr>
        <w:t>。</w:t>
      </w:r>
    </w:p>
    <w:p>
      <w:pPr>
        <w:adjustRightInd w:val="0"/>
        <w:snapToGrid w:val="0"/>
        <w:spacing w:line="576" w:lineRule="exact"/>
        <w:ind w:firstLineChars="200" w:firstLine="640"/>
        <w:rPr>
          <w:rFonts w:ascii="仿宋" w:eastAsia="仿宋" w:cs="仿宋" w:hAnsi="仿宋"/>
          <w:sz w:val="32"/>
          <w:szCs w:val="32"/>
          <w:lang w:val="zh-CN"/>
        </w:rPr>
      </w:pPr>
      <w:r>
        <w:rPr>
          <w:rFonts w:ascii="仿宋" w:eastAsia="仿宋" w:cs="仿宋" w:hAnsi="仿宋" w:hint="eastAsia"/>
          <w:sz w:val="32"/>
          <w:szCs w:val="32"/>
          <w:lang w:val="zh-CN"/>
        </w:rPr>
        <w:t>（二）相关建议：加大依法治区宣传，加大依法治区的力度，增强群众的普法意识。</w:t>
      </w: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outlineLvl w:val="2"/>
        <w:rPr>
          <w:rFonts w:ascii="仿宋" w:eastAsia="仿宋" w:cs="方正大标宋简体" w:hAnsi="仿宋"/>
          <w:sz w:val="44"/>
          <w:szCs w:val="44"/>
        </w:rPr>
      </w:pPr>
    </w:p>
    <w:p>
      <w:pPr>
        <w:jc w:val="center"/>
        <w:outlineLvl w:val="2"/>
        <w:rPr>
          <w:rFonts w:ascii="黑体" w:eastAsia="黑体" w:cs="方正大标宋简体" w:hAnsi="黑体"/>
          <w:sz w:val="44"/>
          <w:szCs w:val="44"/>
        </w:rPr>
      </w:pPr>
      <w:bookmarkStart w:id="91" w:name="_Toc29544"/>
      <w:r>
        <w:rPr>
          <w:rFonts w:ascii="黑体" w:eastAsia="黑体" w:cs="方正大标宋简体" w:hAnsi="黑体" w:hint="eastAsia"/>
          <w:sz w:val="44"/>
          <w:szCs w:val="44"/>
        </w:rPr>
        <w:t>4.老体协工作经费支出绩效自评报告</w:t>
      </w:r>
      <w:bookmarkEnd w:id="91"/>
    </w:p>
    <w:p>
      <w:pPr>
        <w:rPr>
          <w:rFonts w:ascii="仿宋" w:eastAsia="仿宋" w:hAnsi="仿宋"/>
        </w:rPr>
      </w:pP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一、项目概况</w:t>
      </w:r>
    </w:p>
    <w:p>
      <w:pPr>
        <w:adjustRightInd w:val="0"/>
        <w:snapToGrid w:val="0"/>
        <w:spacing w:line="576" w:lineRule="exact"/>
        <w:ind w:firstLine="720"/>
        <w:rPr>
          <w:rFonts w:ascii="仿宋" w:eastAsia="仿宋" w:cs="仿宋_GB2312" w:hAnsi="仿宋"/>
          <w:bCs/>
          <w:sz w:val="32"/>
          <w:szCs w:val="32"/>
        </w:rPr>
      </w:pPr>
      <w:r>
        <w:rPr>
          <w:rFonts w:ascii="仿宋" w:eastAsia="仿宋" w:cs="仿宋_GB2312" w:hAnsi="仿宋" w:hint="eastAsia"/>
          <w:sz w:val="32"/>
          <w:szCs w:val="32"/>
          <w:lang w:val="zh-CN"/>
        </w:rPr>
        <w:t>（一）雪峰街道办事处会议费项目申报资金</w:t>
      </w:r>
      <w:r>
        <w:rPr>
          <w:rFonts w:ascii="仿宋" w:eastAsia="仿宋" w:cs="仿宋_GB2312" w:hAnsi="仿宋" w:hint="eastAsia"/>
          <w:sz w:val="32"/>
          <w:szCs w:val="32"/>
        </w:rPr>
        <w:t>1.00</w:t>
      </w:r>
      <w:r>
        <w:rPr>
          <w:rFonts w:ascii="仿宋" w:eastAsia="仿宋" w:cs="仿宋_GB2312" w:hAnsi="仿宋" w:hint="eastAsia"/>
          <w:sz w:val="32"/>
          <w:szCs w:val="32"/>
          <w:lang w:val="zh-CN"/>
        </w:rPr>
        <w:t>万元，</w:t>
      </w:r>
      <w:r>
        <w:rPr>
          <w:rFonts w:ascii="仿宋" w:eastAsia="仿宋" w:cs="仿宋_GB2312" w:hAnsi="仿宋" w:hint="eastAsia"/>
          <w:bCs/>
          <w:sz w:val="32"/>
          <w:szCs w:val="32"/>
          <w:lang w:val="zh-CN"/>
        </w:rPr>
        <w:t>财政局预算指标（广利财发〔</w:t>
      </w:r>
      <w:r>
        <w:rPr>
          <w:rFonts w:ascii="仿宋" w:eastAsia="仿宋" w:cs="仿宋_GB2312" w:hAnsi="仿宋" w:hint="eastAsia"/>
          <w:bCs/>
          <w:sz w:val="32"/>
          <w:szCs w:val="32"/>
        </w:rPr>
        <w:t>2021</w:t>
      </w:r>
      <w:r>
        <w:rPr>
          <w:rFonts w:ascii="仿宋" w:eastAsia="仿宋" w:cs="仿宋_GB2312" w:hAnsi="仿宋" w:hint="eastAsia"/>
          <w:bCs/>
          <w:sz w:val="32"/>
          <w:szCs w:val="32"/>
          <w:lang w:val="zh-CN"/>
        </w:rPr>
        <w:t>〕</w:t>
      </w:r>
      <w:r>
        <w:rPr>
          <w:rFonts w:ascii="仿宋" w:eastAsia="仿宋" w:cs="仿宋_GB2312" w:hAnsi="仿宋" w:hint="eastAsia"/>
          <w:bCs/>
          <w:sz w:val="32"/>
          <w:szCs w:val="32"/>
        </w:rPr>
        <w:t>8号</w:t>
      </w:r>
      <w:r>
        <w:rPr>
          <w:rFonts w:ascii="仿宋" w:eastAsia="仿宋" w:cs="仿宋_GB2312" w:hAnsi="仿宋" w:hint="eastAsia"/>
          <w:bCs/>
          <w:sz w:val="32"/>
          <w:szCs w:val="32"/>
          <w:lang w:val="zh-CN"/>
        </w:rPr>
        <w:t>）批复金额</w:t>
      </w:r>
      <w:r>
        <w:rPr>
          <w:rFonts w:ascii="仿宋" w:eastAsia="仿宋" w:cs="仿宋_GB2312" w:hAnsi="仿宋" w:hint="eastAsia"/>
          <w:bCs/>
          <w:sz w:val="32"/>
          <w:szCs w:val="32"/>
        </w:rPr>
        <w:t>1.00万元，</w:t>
      </w:r>
      <w:r>
        <w:rPr>
          <w:rFonts w:ascii="仿宋" w:eastAsia="仿宋" w:cs="仿宋_GB2312" w:hAnsi="仿宋" w:hint="eastAsia"/>
          <w:bCs/>
          <w:sz w:val="32"/>
          <w:szCs w:val="32"/>
          <w:lang w:val="zh-CN"/>
        </w:rPr>
        <w:t>项目的申报与批复</w:t>
      </w:r>
      <w:r>
        <w:rPr>
          <w:rFonts w:ascii="仿宋" w:eastAsia="仿宋" w:cs="仿宋_GB2312" w:hAnsi="仿宋" w:hint="eastAsia"/>
          <w:sz w:val="32"/>
          <w:szCs w:val="32"/>
          <w:lang w:val="zh-CN"/>
        </w:rPr>
        <w:t>符合资金管理办法等相关规定。</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（二）项目绩效目标：保障各类会议正常开展，老体协工作的正常开展，该项目为常年项目，2021年已完成当年目标任务。</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2．截止评价时点项目资金的实际支出情况</w:t>
      </w:r>
      <w:r>
        <w:rPr>
          <w:rFonts w:ascii="仿宋" w:eastAsia="仿宋" w:cs="仿宋_GB2312" w:hAnsi="仿宋" w:hint="eastAsia"/>
          <w:sz w:val="32"/>
          <w:szCs w:val="32"/>
        </w:rPr>
        <w:t>1.00</w:t>
      </w:r>
      <w:r>
        <w:rPr>
          <w:rFonts w:ascii="仿宋" w:eastAsia="仿宋" w:cs="仿宋_GB2312" w:hAnsi="仿宋" w:hint="eastAsia"/>
          <w:sz w:val="32"/>
          <w:szCs w:val="32"/>
          <w:lang w:val="zh-CN"/>
        </w:rPr>
        <w:t>万元，资金开支包括各类会议公务及老体协活动等运行支出。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该项目财务管理制度完善、由党政办和街道办负责，会计核算及账务处理按财政制度执行。对照项目资金管理办法，评价项目严格执行财务管理制度、财务处理及时、会计核算规范。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该项目由党政办组织管理及具体实施。</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三、项目绩效情况</w:t>
        <w:tab/>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该项目完成率100％，保障各类会议正常开展，上级政策要求及时高效下达，促进基层依法行政，强化广泛监督等目标均已实现。</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该项目保障各类会议正常开展，促进依法行政，强化广泛监督，促进了辖区社会经济可持续发展，社会满意度高。</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spacing w:line="576" w:lineRule="exact"/>
        <w:rPr>
          <w:rFonts w:ascii="仿宋" w:eastAsia="仿宋" w:cs="仿宋_GB2312" w:hAnsi="仿宋"/>
          <w:sz w:val="32"/>
          <w:szCs w:val="32"/>
          <w:lang w:val="zh-CN"/>
        </w:rPr>
      </w:pPr>
      <w:r>
        <w:rPr>
          <w:rFonts w:ascii="仿宋" w:eastAsia="仿宋" w:cs="仿宋_GB2312" w:hAnsi="仿宋" w:hint="eastAsia"/>
          <w:sz w:val="32"/>
          <w:szCs w:val="32"/>
          <w:lang w:val="zh-CN"/>
        </w:rPr>
        <w:t>会前安排，会议准备工作有待加强。</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（二）相关建议。</w:t>
      </w:r>
    </w:p>
    <w:p>
      <w:pPr>
        <w:spacing w:line="576" w:lineRule="exact"/>
        <w:ind w:firstLine="640"/>
        <w:rPr>
          <w:rFonts w:ascii="仿宋" w:eastAsia="仿宋" w:cs="仿宋_GB2312" w:hAnsi="仿宋"/>
          <w:sz w:val="32"/>
          <w:szCs w:val="32"/>
          <w:lang w:val="zh-CN"/>
        </w:rPr>
      </w:pPr>
      <w:r>
        <w:rPr>
          <w:rFonts w:ascii="仿宋" w:eastAsia="仿宋" w:cs="仿宋_GB2312" w:hAnsi="仿宋" w:hint="eastAsia"/>
          <w:sz w:val="32"/>
          <w:szCs w:val="32"/>
          <w:lang w:val="zh-CN"/>
        </w:rPr>
        <w:t>建议提前安排，精心筹备。</w:t>
      </w: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jc w:val="center"/>
        <w:outlineLvl w:val="2"/>
        <w:rPr>
          <w:rFonts w:ascii="仿宋" w:eastAsia="仿宋" w:cs="方正大标宋简体" w:hAnsi="仿宋"/>
          <w:sz w:val="44"/>
          <w:szCs w:val="44"/>
        </w:rPr>
      </w:pPr>
    </w:p>
    <w:p>
      <w:pPr>
        <w:jc w:val="center"/>
        <w:outlineLvl w:val="2"/>
        <w:rPr>
          <w:rFonts w:ascii="黑体" w:eastAsia="黑体" w:cs="方正大标宋简体" w:hAnsi="黑体"/>
          <w:sz w:val="44"/>
          <w:szCs w:val="44"/>
        </w:rPr>
      </w:pPr>
      <w:bookmarkStart w:id="92" w:name="_Toc13110"/>
      <w:r>
        <w:rPr>
          <w:rFonts w:ascii="黑体" w:eastAsia="黑体" w:cs="方正大标宋简体" w:hAnsi="黑体" w:hint="eastAsia"/>
          <w:sz w:val="44"/>
          <w:szCs w:val="44"/>
        </w:rPr>
        <w:t>5.农村义务兵优待金项目支出绩效自评报告</w:t>
      </w:r>
      <w:bookmarkEnd w:id="92"/>
    </w:p>
    <w:p>
      <w:pPr>
        <w:spacing w:line="576" w:lineRule="exact"/>
        <w:rPr>
          <w:rFonts w:ascii="仿宋" w:eastAsia="仿宋" w:hAnsi="仿宋"/>
        </w:rPr>
      </w:pP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一、项目概况</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（一）义务兵优待金项目申报资金</w:t>
      </w:r>
      <w:r>
        <w:rPr>
          <w:rFonts w:ascii="仿宋" w:eastAsia="仿宋" w:cs="仿宋_GB2312" w:hAnsi="仿宋"/>
          <w:sz w:val="32"/>
          <w:szCs w:val="32"/>
        </w:rPr>
        <w:t>1</w:t>
      </w:r>
      <w:r>
        <w:rPr>
          <w:rFonts w:ascii="仿宋" w:eastAsia="仿宋" w:cs="仿宋_GB2312" w:hAnsi="仿宋" w:hint="eastAsia"/>
          <w:sz w:val="32"/>
          <w:szCs w:val="32"/>
        </w:rPr>
        <w:t>0.41</w:t>
      </w:r>
      <w:r>
        <w:rPr>
          <w:rFonts w:ascii="仿宋" w:eastAsia="仿宋" w:cs="仿宋_GB2312" w:hAnsi="仿宋" w:hint="eastAsia"/>
          <w:sz w:val="32"/>
          <w:szCs w:val="32"/>
          <w:lang w:val="zh-CN"/>
        </w:rPr>
        <w:t>万元，资金批复</w:t>
      </w:r>
      <w:r>
        <w:rPr>
          <w:rFonts w:ascii="仿宋" w:eastAsia="仿宋" w:cs="仿宋_GB2312" w:hAnsi="仿宋" w:hint="eastAsia"/>
          <w:sz w:val="32"/>
          <w:szCs w:val="32"/>
        </w:rPr>
        <w:t>10.41</w:t>
      </w:r>
      <w:r>
        <w:rPr>
          <w:rFonts w:ascii="仿宋" w:eastAsia="仿宋" w:cs="仿宋_GB2312" w:hAnsi="仿宋" w:hint="eastAsia"/>
          <w:sz w:val="32"/>
          <w:szCs w:val="32"/>
          <w:lang w:val="zh-CN"/>
        </w:rPr>
        <w:t>万元，资金申报与批复符合资金管理办法等相关规定。</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（二）项目绩效目标：提高农村义务兵家庭生活质量，保证服役人员安心保家卫国，该项目为常年项目，2021年已完成当年目标任务。</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（三）项目资金申报与具体实施内容相符、申报目标合理可行。</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2．截止评价时点项目资金的实际支出情况</w:t>
      </w:r>
      <w:r>
        <w:rPr>
          <w:rFonts w:ascii="仿宋" w:eastAsia="仿宋" w:cs="仿宋_GB2312" w:hAnsi="仿宋"/>
          <w:sz w:val="32"/>
          <w:szCs w:val="32"/>
        </w:rPr>
        <w:t>12.46</w:t>
      </w:r>
      <w:r>
        <w:rPr>
          <w:rFonts w:ascii="仿宋" w:eastAsia="仿宋" w:cs="仿宋_GB2312" w:hAnsi="仿宋" w:hint="eastAsia"/>
          <w:sz w:val="32"/>
          <w:szCs w:val="32"/>
          <w:lang w:val="zh-CN"/>
        </w:rPr>
        <w:t>万元，用于义务兵家庭的生活补助。</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该项目财务管理制度完善，由武装部负责管理实施，会计核算及账务处理按财政制度执行。对照项目资金管理办法，评价项目严格执行财务管理制度、财务处理及时、会计核算规范。</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rPr>
          <w:rFonts w:ascii="仿宋" w:eastAsia="仿宋" w:cs="仿宋_GB2312" w:hAnsi="仿宋"/>
          <w:sz w:val="32"/>
          <w:szCs w:val="32"/>
          <w:lang w:val="zh-CN"/>
        </w:rPr>
      </w:pPr>
      <w:r>
        <w:rPr>
          <w:rFonts w:ascii="仿宋" w:eastAsia="仿宋" w:cs="仿宋_GB2312" w:hAnsi="仿宋" w:hint="eastAsia"/>
          <w:sz w:val="32"/>
          <w:szCs w:val="32"/>
          <w:lang w:val="zh-CN"/>
        </w:rPr>
        <w:t>该项目由武装办公室组织管理及具体实施。</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三、项目绩效情况</w:t>
        <w:tab/>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该项目完成率100％，提高农村义务兵家庭生活质量，保证服役人员安心保家卫国，目标均已实现。</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72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w:t>
      </w:r>
      <w:r>
        <w:rPr>
          <w:rFonts w:ascii="仿宋" w:eastAsia="仿宋" w:hAnsi="仿宋" w:hint="eastAsia"/>
          <w:sz w:val="32"/>
          <w:szCs w:val="32"/>
        </w:rPr>
        <w:t>保障军队兵员补充和储备，建设巩固国防和强大军队，缓解义务兵家属生活压力，进一步感受到党委政府的关怀，大力弘扬爱国主义精神，增强国防观念，</w:t>
      </w:r>
      <w:r>
        <w:rPr>
          <w:rFonts w:ascii="仿宋" w:eastAsia="仿宋" w:cs="仿宋_GB2312" w:hAnsi="仿宋" w:hint="eastAsia"/>
          <w:sz w:val="32"/>
          <w:szCs w:val="32"/>
          <w:lang w:val="zh-CN"/>
        </w:rPr>
        <w:t>提升义务兵家庭幸福生活指数，社会荣誉感增强，社会满意度高。</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四、问题及建议</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无。</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 xml:space="preserve"> （二）相关建议：</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 xml:space="preserve">  无。</w:t>
      </w: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jc w:val="center"/>
        <w:outlineLvl w:val="2"/>
        <w:rPr>
          <w:rFonts w:ascii="仿宋" w:eastAsia="仿宋" w:cs="方正大标宋简体" w:hAnsi="仿宋" w:hint="eastAsia"/>
          <w:sz w:val="44"/>
          <w:szCs w:val="44"/>
        </w:rPr>
      </w:pPr>
    </w:p>
    <w:p>
      <w:pPr>
        <w:jc w:val="center"/>
        <w:outlineLvl w:val="2"/>
        <w:rPr>
          <w:rFonts w:ascii="黑体" w:eastAsia="黑体" w:cs="方正大标宋简体" w:hAnsi="黑体"/>
          <w:sz w:val="44"/>
          <w:szCs w:val="44"/>
        </w:rPr>
      </w:pPr>
      <w:bookmarkStart w:id="93" w:name="_Toc31373"/>
      <w:r>
        <w:rPr>
          <w:rFonts w:ascii="黑体" w:eastAsia="黑体" w:cs="方正大标宋简体" w:hAnsi="黑体" w:hint="eastAsia"/>
          <w:sz w:val="44"/>
          <w:szCs w:val="44"/>
        </w:rPr>
        <w:t>6.大调解工作经费支出绩效自评报告</w:t>
      </w:r>
      <w:bookmarkEnd w:id="93"/>
    </w:p>
    <w:p>
      <w:pPr>
        <w:rPr>
          <w:rFonts w:ascii="仿宋" w:eastAsia="仿宋" w:hAnsi="仿宋"/>
        </w:rPr>
      </w:pP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一、项目概况</w:t>
      </w:r>
    </w:p>
    <w:p>
      <w:pPr>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 xml:space="preserve">  　（一）大调解工作经费项目申报资金</w:t>
      </w:r>
      <w:r>
        <w:rPr>
          <w:rFonts w:ascii="仿宋" w:eastAsia="仿宋" w:cs="仿宋_GB2312" w:hAnsi="仿宋"/>
          <w:sz w:val="32"/>
          <w:szCs w:val="32"/>
        </w:rPr>
        <w:t>1.</w:t>
      </w:r>
      <w:r>
        <w:rPr>
          <w:rFonts w:ascii="仿宋" w:eastAsia="仿宋" w:cs="仿宋_GB2312" w:hAnsi="仿宋" w:hint="eastAsia"/>
          <w:sz w:val="32"/>
          <w:szCs w:val="32"/>
        </w:rPr>
        <w:t>00万元，资金批复1</w:t>
      </w:r>
      <w:r>
        <w:rPr>
          <w:rFonts w:ascii="仿宋" w:eastAsia="仿宋" w:cs="仿宋_GB2312" w:hAnsi="仿宋"/>
          <w:sz w:val="32"/>
          <w:szCs w:val="32"/>
        </w:rPr>
        <w:t>.</w:t>
      </w:r>
      <w:r>
        <w:rPr>
          <w:rFonts w:ascii="仿宋" w:eastAsia="仿宋" w:cs="仿宋_GB2312" w:hAnsi="仿宋" w:hint="eastAsia"/>
          <w:sz w:val="32"/>
          <w:szCs w:val="32"/>
        </w:rPr>
        <w:t>00万元，资金申报与批复符合资金管理办法等相关规定。</w:t>
      </w:r>
    </w:p>
    <w:p>
      <w:pPr>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 xml:space="preserve">    （二）项目绩效目标调解辖区矛盾，维护辖区稳定，该项目为常年项目，2021年已完成当年目标任务。</w:t>
      </w:r>
    </w:p>
    <w:p>
      <w:pPr>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 xml:space="preserve">    （三）项目资金申报与具体实施内容相符、申报目标合理可行。</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300" w:firstLine="96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 xml:space="preserve">  2．截止评价时点项目资金的实际支出情况</w:t>
      </w:r>
      <w:r>
        <w:rPr>
          <w:rFonts w:ascii="仿宋" w:eastAsia="仿宋" w:cs="仿宋_GB2312" w:hAnsi="仿宋" w:hint="eastAsia"/>
          <w:sz w:val="32"/>
          <w:szCs w:val="32"/>
        </w:rPr>
        <w:t>1</w:t>
      </w:r>
      <w:r>
        <w:rPr>
          <w:rFonts w:ascii="仿宋" w:eastAsia="仿宋" w:cs="仿宋_GB2312" w:hAnsi="仿宋"/>
          <w:sz w:val="32"/>
          <w:szCs w:val="32"/>
        </w:rPr>
        <w:t>.</w:t>
      </w:r>
      <w:r>
        <w:rPr>
          <w:rFonts w:ascii="仿宋" w:eastAsia="仿宋" w:cs="仿宋_GB2312" w:hAnsi="仿宋" w:hint="eastAsia"/>
          <w:sz w:val="32"/>
          <w:szCs w:val="32"/>
        </w:rPr>
        <w:t>00</w:t>
      </w:r>
      <w:r>
        <w:rPr>
          <w:rFonts w:ascii="仿宋" w:eastAsia="仿宋" w:cs="仿宋_GB2312" w:hAnsi="仿宋" w:hint="eastAsia"/>
          <w:sz w:val="32"/>
          <w:szCs w:val="32"/>
          <w:lang w:val="zh-CN"/>
        </w:rPr>
        <w:t>万元，资金开支包括调解工作公务支出。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该项目财务管理制度完善、由综合治理办公室负责、会计核算及账务处理按财政制度执行。对照项目资金管理办法，评价项目严格执行财务管理制度、财务处理及时、会计核算规范。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该项目由综合治理办公室组织管理及具体实施。</w:t>
      </w:r>
    </w:p>
    <w:p>
      <w:pPr>
        <w:adjustRightInd w:val="0"/>
        <w:snapToGrid w:val="0"/>
        <w:spacing w:line="576" w:lineRule="exact"/>
        <w:ind w:firstLineChars="300" w:firstLine="960"/>
        <w:rPr>
          <w:rFonts w:ascii="仿宋" w:eastAsia="仿宋" w:cs="黑体" w:hAnsi="仿宋"/>
          <w:b/>
          <w:bCs/>
          <w:sz w:val="32"/>
          <w:szCs w:val="32"/>
        </w:rPr>
      </w:pPr>
      <w:r>
        <w:rPr>
          <w:rFonts w:ascii="仿宋" w:eastAsia="仿宋" w:cs="黑体" w:hAnsi="仿宋" w:hint="eastAsia"/>
          <w:b/>
          <w:bCs/>
          <w:sz w:val="32"/>
          <w:szCs w:val="32"/>
        </w:rPr>
        <w:t>三、项目绩效情况</w:t>
        <w:tab/>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该项目完成率100％，调解辖区矛盾，维护辖区稳定等目标均已实现。</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该项目调解辖区矛盾，维护辖区稳定，促进了辖区社会经济可持续发展，社会满意度高。</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spacing w:line="576" w:lineRule="exact"/>
        <w:ind w:firstLine="640"/>
        <w:rPr>
          <w:rFonts w:ascii="仿宋" w:eastAsia="仿宋" w:cs="仿宋_GB2312" w:hAnsi="仿宋"/>
          <w:sz w:val="32"/>
          <w:szCs w:val="32"/>
        </w:rPr>
      </w:pPr>
      <w:r>
        <w:rPr>
          <w:rFonts w:ascii="仿宋" w:eastAsia="仿宋" w:cs="仿宋_GB2312" w:hAnsi="仿宋" w:hint="eastAsia"/>
          <w:sz w:val="32"/>
          <w:szCs w:val="32"/>
          <w:lang w:val="zh-CN"/>
        </w:rPr>
        <w:t>群众法治意识不强，外地调解次数多，经费严重不足</w:t>
      </w:r>
      <w:r>
        <w:rPr>
          <w:rFonts w:ascii="仿宋" w:eastAsia="仿宋" w:cs="仿宋_GB2312" w:hAnsi="仿宋" w:hint="eastAsia"/>
          <w:sz w:val="32"/>
          <w:szCs w:val="32"/>
        </w:rPr>
        <w:t>。</w:t>
      </w:r>
    </w:p>
    <w:p>
      <w:pPr>
        <w:spacing w:line="576" w:lineRule="exact"/>
        <w:ind w:firstLine="640"/>
        <w:rPr>
          <w:rFonts w:ascii="仿宋" w:eastAsia="仿宋" w:cs="仿宋_GB2312" w:hAnsi="仿宋"/>
          <w:sz w:val="32"/>
          <w:szCs w:val="32"/>
          <w:lang w:val="zh-CN"/>
        </w:rPr>
      </w:pPr>
      <w:r>
        <w:rPr>
          <w:rFonts w:ascii="仿宋" w:eastAsia="仿宋" w:cs="仿宋_GB2312" w:hAnsi="仿宋" w:hint="eastAsia"/>
          <w:sz w:val="32"/>
          <w:szCs w:val="32"/>
          <w:lang w:val="zh-CN"/>
        </w:rPr>
        <w:t>（二）相关建议。</w:t>
      </w:r>
    </w:p>
    <w:p>
      <w:pPr>
        <w:spacing w:line="576" w:lineRule="exact"/>
        <w:ind w:firstLine="640"/>
        <w:rPr>
          <w:rFonts w:ascii="仿宋" w:eastAsia="仿宋" w:cs="仿宋_GB2312" w:hAnsi="仿宋"/>
          <w:sz w:val="32"/>
          <w:szCs w:val="32"/>
          <w:lang w:val="zh-CN"/>
        </w:rPr>
      </w:pPr>
      <w:r>
        <w:rPr>
          <w:rFonts w:ascii="仿宋" w:eastAsia="仿宋" w:cs="仿宋_GB2312" w:hAnsi="仿宋" w:hint="eastAsia"/>
          <w:sz w:val="32"/>
          <w:szCs w:val="32"/>
        </w:rPr>
        <w:t>建议一是增加</w:t>
      </w:r>
      <w:r>
        <w:rPr>
          <w:rFonts w:ascii="仿宋" w:eastAsia="仿宋" w:cs="仿宋_GB2312" w:hAnsi="仿宋" w:hint="eastAsia"/>
          <w:sz w:val="32"/>
          <w:szCs w:val="32"/>
          <w:lang w:val="zh-CN"/>
        </w:rPr>
        <w:t>大调解工作经费，二是强化群众的法治意识，增强执法部门的执法力度。</w:t>
      </w: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36"/>
        <w:spacing w:line="576" w:lineRule="exact"/>
        <w:outlineLvl w:val="1"/>
        <w:rPr>
          <w:rFonts w:ascii="仿宋" w:eastAsia="仿宋" w:cs="方正小标宋简体" w:hAnsi="仿宋"/>
          <w:color w:val="auto"/>
          <w:kern w:val="2"/>
          <w:sz w:val="44"/>
          <w:szCs w:val="44"/>
          <w:lang w:val="en-US"/>
        </w:rPr>
      </w:pPr>
    </w:p>
    <w:p>
      <w:pPr>
        <w:pStyle w:val="36"/>
        <w:spacing w:line="576" w:lineRule="exact"/>
        <w:jc w:val="center"/>
        <w:outlineLvl w:val="2"/>
        <w:rPr>
          <w:rFonts w:ascii="黑体" w:eastAsia="黑体" w:cs="方正小标宋简体" w:hAnsi="黑体"/>
          <w:color w:val="auto"/>
          <w:kern w:val="2"/>
          <w:sz w:val="44"/>
          <w:szCs w:val="44"/>
          <w:lang w:val="en-US"/>
        </w:rPr>
      </w:pPr>
      <w:bookmarkStart w:id="94" w:name="_Toc17587"/>
      <w:r>
        <w:rPr>
          <w:rFonts w:ascii="黑体" w:eastAsia="黑体" w:cs="方正小标宋简体" w:hAnsi="黑体" w:hint="eastAsia"/>
          <w:color w:val="auto"/>
          <w:kern w:val="2"/>
          <w:sz w:val="44"/>
          <w:szCs w:val="44"/>
          <w:lang w:val="en-US"/>
        </w:rPr>
        <w:t>7.人大联络组专项经</w:t>
      </w:r>
      <w:r>
        <w:rPr>
          <w:rFonts w:ascii="黑体" w:eastAsia="黑体" w:cs="方正小标宋简体" w:hAnsi="黑体" w:hint="eastAsia"/>
          <w:color w:val="auto"/>
          <w:kern w:val="2"/>
          <w:sz w:val="44"/>
          <w:szCs w:val="44"/>
        </w:rPr>
        <w:t>费支出绩效</w:t>
      </w:r>
      <w:bookmarkStart w:id="95" w:name="_Toc145927285"/>
      <w:bookmarkStart w:id="96" w:name="_Toc145925506"/>
      <w:r>
        <w:rPr>
          <w:rFonts w:ascii="黑体" w:eastAsia="黑体" w:cs="方正小标宋简体" w:hAnsi="黑体" w:hint="eastAsia"/>
          <w:color w:val="auto"/>
          <w:kern w:val="2"/>
          <w:sz w:val="44"/>
          <w:szCs w:val="44"/>
        </w:rPr>
        <w:t>自评报告</w:t>
      </w:r>
      <w:bookmarkEnd w:id="94"/>
      <w:bookmarkEnd w:id="95"/>
      <w:bookmarkEnd w:id="96"/>
    </w:p>
    <w:p>
      <w:pPr>
        <w:pStyle w:val="36"/>
        <w:spacing w:line="576" w:lineRule="exact"/>
        <w:ind w:firstLine="640"/>
        <w:jc w:val="center"/>
        <w:rPr>
          <w:rFonts w:ascii="黑体" w:eastAsia="黑体" w:hAnsi="黑体"/>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（一）项目基本情况</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1.基本情况</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（1）严格标准设置街道人大代表工作室、站。街道建设38平方米人大代表工作室1处，建设雪峰寺、九华、泡石、广元监狱人大代表站共4处。</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（2）做好人大代表换届选举工作。2021年8月29日通过选举大会，选出区人大九届代表9人，其中男代表6名，女代表3名，民主党派和无党派代表4名。</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3）切实加强人大代表日常管理工作。加强代表学习。要求代表参加小组集中学习和网上履职能力学习。组织辖区代表积极参与人大代表视察调研，拓展代表视野，增强履职能力。做好代表闭会期间工作协调。代表们在闭会期间到原选区走访选民、了解民情，起到良好作用。</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4）组织人大代表积极参与社会治理。辖区人大代表联系重点工程项目7个，与党工委、纪工委一道，共同监督工程实施各个环节依法规范。往届人大常委会主任和代表还主动参与暑期网吧巡查等社会管理工作，有效促进依法管理。</w:t>
      </w:r>
    </w:p>
    <w:p>
      <w:pPr>
        <w:spacing w:line="576" w:lineRule="exact"/>
        <w:ind w:firstLineChars="200" w:firstLine="640"/>
        <w:rPr>
          <w:rFonts w:ascii="仿宋" w:eastAsia="仿宋" w:cs="宋体" w:hAnsi="仿宋"/>
          <w:sz w:val="32"/>
          <w:szCs w:val="32"/>
        </w:rPr>
      </w:pPr>
      <w:r>
        <w:rPr>
          <w:rFonts w:ascii="仿宋" w:eastAsia="仿宋" w:cs="宋体" w:hAnsi="仿宋" w:hint="eastAsia"/>
          <w:sz w:val="32"/>
          <w:szCs w:val="32"/>
        </w:rPr>
        <w:t>（5）人大代表为民服务提出优秀建议。根据日常走访选民（群众）、召开“三听三问坝坝会”接待选民（群众）等方式，雪峰街道人大代表小组代表提出了9条合理化建议。</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2．项目立项、资金申报的依据。按照文件要求由街道编制预算上报区财政，经区人代会审批后，区财政上指标，街道根据符合项目要求，严格按照资金管理办法合理开支。</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3．资金管理办法。实行专款专用，资金由区财政统一管理，单位申报用款计划，经财政批准后进行开支。</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（二）项目绩效目标</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一是</w:t>
      </w:r>
      <w:r>
        <w:rPr>
          <w:rFonts w:ascii="仿宋" w:eastAsia="仿宋" w:cs="宋体" w:hAnsi="仿宋"/>
          <w:sz w:val="32"/>
          <w:szCs w:val="32"/>
        </w:rPr>
        <w:t>做好人大代表换届选举工作</w:t>
      </w:r>
      <w:r>
        <w:rPr>
          <w:rFonts w:ascii="仿宋" w:eastAsia="仿宋" w:cs="宋体" w:hAnsi="仿宋" w:hint="eastAsia"/>
          <w:sz w:val="32"/>
          <w:szCs w:val="32"/>
        </w:rPr>
        <w:t>。二是</w:t>
      </w:r>
      <w:r>
        <w:rPr>
          <w:rFonts w:ascii="仿宋" w:eastAsia="仿宋" w:cs="宋体" w:hAnsi="仿宋"/>
          <w:sz w:val="32"/>
          <w:szCs w:val="32"/>
        </w:rPr>
        <w:t>切实加强人大代表日常管理工作。</w:t>
      </w:r>
      <w:r>
        <w:rPr>
          <w:rFonts w:ascii="仿宋" w:eastAsia="仿宋" w:cs="宋体" w:hAnsi="仿宋" w:hint="eastAsia"/>
          <w:sz w:val="32"/>
          <w:szCs w:val="32"/>
        </w:rPr>
        <w:t>三是</w:t>
      </w:r>
      <w:r>
        <w:rPr>
          <w:rFonts w:ascii="仿宋" w:eastAsia="仿宋" w:cs="宋体" w:hAnsi="仿宋"/>
          <w:sz w:val="32"/>
          <w:szCs w:val="32"/>
        </w:rPr>
        <w:t>组织人大代表积极参与社会治理。</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二、项目实施及管理情况</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zh-CN"/>
        </w:rPr>
        <w:t>（一）项目实施流程。</w:t>
      </w:r>
      <w:r>
        <w:rPr>
          <w:rFonts w:ascii="仿宋" w:eastAsia="仿宋" w:cs="宋体" w:hAnsi="仿宋" w:hint="eastAsia"/>
          <w:sz w:val="32"/>
          <w:szCs w:val="32"/>
        </w:rPr>
        <w:t>加强代表学习。要求代表参加小组集中学习和网上履职能力学习。组织辖区代表积极参与人大代表视察调研，拓展代表视野，增强履职能力。做好代表闭会期间工作协调。代表们在闭会期间到原选区走访选民、了解民情。召开“三听三问坝坝会”、接待选民（群众）等方式开展工作。</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监管情况。该项目资金由区财政常年纳入年初预算，单位采取报销制，街道资金使用严格按照资金管理办法，先由业务部门审核，财务票据审核，分管领导审核，主管领导审批，再由财政所申请用款计划，区财政审批支付。并及时进行账务处理。</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三、项目绩效情况</w:t>
        <w:tab/>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（一）项目完成情况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人大联络组工作经费</w:t>
      </w:r>
      <w:r>
        <w:rPr>
          <w:rFonts w:ascii="仿宋" w:eastAsia="仿宋" w:hAnsi="仿宋" w:hint="eastAsia"/>
          <w:sz w:val="32"/>
          <w:szCs w:val="32"/>
        </w:rPr>
        <w:t>2021年预算0.8万元，主要用于组织开展人大工作，开展宣传、走访等开支</w:t>
      </w:r>
      <w:r>
        <w:rPr>
          <w:rFonts w:ascii="仿宋" w:eastAsia="仿宋" w:hAnsi="仿宋" w:hint="eastAsia"/>
          <w:sz w:val="32"/>
          <w:szCs w:val="32"/>
          <w:lang w:val="zh-CN"/>
        </w:rPr>
        <w:t>。</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hAnsi="仿宋" w:hint="eastAsia"/>
          <w:sz w:val="32"/>
          <w:szCs w:val="32"/>
          <w:lang w:val="zh-CN"/>
        </w:rPr>
        <w:t>该项目促进经济发展、维护社会和谐</w:t>
      </w:r>
      <w:r>
        <w:rPr>
          <w:rFonts w:ascii="仿宋" w:eastAsia="仿宋" w:cs="仿宋_GB2312" w:hAnsi="仿宋" w:hint="eastAsia"/>
          <w:sz w:val="32"/>
          <w:szCs w:val="32"/>
        </w:rPr>
        <w:t>，保障了人代会的及时顺利召开，能够进一步提高群众知晓度，广泛收集群众诉求；保证代表履行权益。</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四、评价结论及建议</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（一）评价结论：切实履行宪法和法律赋予的职责，充分发挥人大代表的作用，紧密联系办事处中心工作，开展丰富多彩的代表活动，有力推动街道人大工作。</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（二）存在的问题</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一是人大工作宣传力度不够，二是代表们平时忙于其他事务，代表活动参加较少。</w:t>
        <w:tab/>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（三）相关建议</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zh-CN"/>
        </w:rPr>
        <w:t>针对项目自评中发现的问题，为优化服务水平，提升办事效率，推动工作落实。一是在抓好业务建设的同时，重视机关效能建设和作风建设。二是加大人大工作宣传力度，促进各项工作全面落实。</w:t>
      </w:r>
    </w:p>
    <w:p>
      <w:pPr>
        <w:pStyle w:val="15"/>
        <w:spacing w:beforeLines="0" w:before="72"/>
        <w:rPr>
          <w:rFonts w:ascii="仿宋" w:eastAsia="仿宋" w:cs="仿宋_GB2312" w:hAnsi="仿宋"/>
          <w:sz w:val="32"/>
          <w:szCs w:val="32"/>
        </w:rPr>
      </w:pPr>
    </w:p>
    <w:p>
      <w:pPr>
        <w:pStyle w:val="15"/>
        <w:spacing w:beforeLines="0" w:before="72"/>
        <w:rPr>
          <w:rFonts w:ascii="仿宋" w:eastAsia="仿宋" w:cs="仿宋_GB2312" w:hAnsi="仿宋"/>
          <w:sz w:val="32"/>
          <w:szCs w:val="32"/>
        </w:rPr>
      </w:pPr>
    </w:p>
    <w:p>
      <w:pPr>
        <w:pStyle w:val="36"/>
        <w:spacing w:line="576" w:lineRule="exact"/>
        <w:jc w:val="center"/>
        <w:outlineLvl w:val="2"/>
        <w:rPr>
          <w:rFonts w:ascii="仿宋" w:eastAsia="仿宋" w:cs="方正小标宋简体" w:hAnsi="仿宋"/>
          <w:color w:val="auto"/>
          <w:kern w:val="2"/>
          <w:sz w:val="44"/>
          <w:szCs w:val="44"/>
          <w:lang w:val="en-US"/>
        </w:rPr>
      </w:pPr>
    </w:p>
    <w:p>
      <w:pPr>
        <w:pStyle w:val="36"/>
        <w:spacing w:line="576" w:lineRule="exact"/>
        <w:jc w:val="center"/>
        <w:outlineLvl w:val="2"/>
        <w:rPr>
          <w:rFonts w:ascii="仿宋" w:eastAsia="仿宋" w:cs="方正小标宋简体" w:hAnsi="仿宋"/>
          <w:color w:val="auto"/>
          <w:kern w:val="2"/>
          <w:sz w:val="44"/>
          <w:szCs w:val="44"/>
          <w:lang w:val="en-US"/>
        </w:rPr>
      </w:pPr>
    </w:p>
    <w:p>
      <w:pPr>
        <w:pStyle w:val="36"/>
        <w:spacing w:line="576" w:lineRule="exact"/>
        <w:jc w:val="center"/>
        <w:outlineLvl w:val="2"/>
        <w:rPr>
          <w:rFonts w:ascii="黑体" w:eastAsia="黑体" w:cs="方正小标宋简体" w:hAnsi="黑体"/>
          <w:color w:val="auto"/>
          <w:kern w:val="2"/>
          <w:sz w:val="44"/>
          <w:szCs w:val="44"/>
          <w:lang w:val="en-US"/>
        </w:rPr>
      </w:pPr>
      <w:bookmarkStart w:id="97" w:name="_Toc10357"/>
      <w:r>
        <w:rPr>
          <w:rFonts w:ascii="黑体" w:eastAsia="黑体" w:cs="方正小标宋简体" w:hAnsi="黑体" w:hint="eastAsia"/>
          <w:color w:val="auto"/>
          <w:kern w:val="2"/>
          <w:sz w:val="44"/>
          <w:szCs w:val="44"/>
          <w:lang w:val="en-US"/>
        </w:rPr>
        <w:t>8.森林防火工作经费支出绩效自评报告</w:t>
      </w:r>
      <w:bookmarkEnd w:id="97"/>
    </w:p>
    <w:p>
      <w:pPr>
        <w:spacing w:line="576" w:lineRule="exact"/>
        <w:ind w:firstLineChars="200" w:firstLine="420"/>
        <w:rPr>
          <w:rFonts w:ascii="仿宋" w:eastAsia="仿宋" w:hAnsi="仿宋"/>
        </w:rPr>
      </w:pP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一、项目概况</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（一）森林防火专项经费项目申报资金</w:t>
      </w:r>
      <w:r>
        <w:rPr>
          <w:rFonts w:ascii="仿宋" w:eastAsia="仿宋" w:cs="仿宋_GB2312" w:hAnsi="仿宋"/>
          <w:sz w:val="32"/>
          <w:szCs w:val="32"/>
        </w:rPr>
        <w:t>4</w:t>
      </w:r>
      <w:r>
        <w:rPr>
          <w:rFonts w:ascii="仿宋" w:eastAsia="仿宋" w:cs="仿宋_GB2312" w:hAnsi="仿宋" w:hint="eastAsia"/>
          <w:sz w:val="32"/>
          <w:szCs w:val="32"/>
        </w:rPr>
        <w:t>万元，资金批复</w:t>
      </w:r>
      <w:r>
        <w:rPr>
          <w:rFonts w:ascii="仿宋" w:eastAsia="仿宋" w:cs="仿宋_GB2312" w:hAnsi="仿宋"/>
          <w:sz w:val="32"/>
          <w:szCs w:val="32"/>
        </w:rPr>
        <w:t>4</w:t>
      </w:r>
      <w:r>
        <w:rPr>
          <w:rFonts w:ascii="仿宋" w:eastAsia="仿宋" w:cs="仿宋_GB2312" w:hAnsi="仿宋" w:hint="eastAsia"/>
          <w:sz w:val="32"/>
          <w:szCs w:val="32"/>
        </w:rPr>
        <w:t>万元，资金申报与批复符合资金管理办法等相关规定。</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（二）项目绩效目标：预防和控制森林火灾，绿化面积逐年提升，改善辖区生态环境，该项目为常年项目，2021年已完成当年目标任务。</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（三）项目资金申报与具体实施内容相符、申报目标合理可行。</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w:t>
      </w:r>
      <w:r>
        <w:rPr>
          <w:rFonts w:ascii="仿宋" w:eastAsia="仿宋" w:cs="仿宋_GB2312" w:hAnsi="仿宋"/>
          <w:sz w:val="32"/>
          <w:szCs w:val="32"/>
        </w:rPr>
        <w:t>4</w:t>
      </w:r>
      <w:r>
        <w:rPr>
          <w:rFonts w:ascii="仿宋" w:eastAsia="仿宋" w:cs="仿宋_GB2312" w:hAnsi="仿宋" w:hint="eastAsia"/>
          <w:sz w:val="32"/>
          <w:szCs w:val="32"/>
          <w:lang w:val="zh-CN"/>
        </w:rPr>
        <w:t>万元，资金开支包括森林防火宣传及巡察公务支出。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该项目财务管理制度完善、由农业综合服务中心负责、会计核算及账务处理按财政制度执行。对照项目资金管理办法，评价项目严格执行财务管理制度、财务处理及时、会计核算规范。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该项目由农业综合服务中心组织管理及具体实施。</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三、项目绩效情况</w:t>
        <w:tab/>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该项目完成率100％，预防和控制森林火灾，绿化面积逐年提升，改善生态环境等目标均已实现。</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该项目预防和控制森林火灾，绿化面积逐年提升，改善辖区生态环境，促进了辖区社会经济可持续发展，社会满意度高。</w:t>
      </w:r>
    </w:p>
    <w:p>
      <w:pPr>
        <w:adjustRightInd w:val="0"/>
        <w:snapToGrid w:val="0"/>
        <w:spacing w:line="576" w:lineRule="exact"/>
        <w:ind w:firstLineChars="200" w:firstLine="640"/>
        <w:rPr>
          <w:rFonts w:ascii="仿宋" w:eastAsia="仿宋" w:cs="黑体" w:hAnsi="仿宋"/>
          <w:b/>
          <w:bCs/>
          <w:sz w:val="32"/>
          <w:szCs w:val="32"/>
        </w:rPr>
      </w:pPr>
      <w:r>
        <w:rPr>
          <w:rFonts w:ascii="仿宋" w:eastAsia="仿宋" w:cs="黑体" w:hAnsi="仿宋" w:hint="eastAsia"/>
          <w:b/>
          <w:bCs/>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日常宣传和巡查工作痕迹化管理有待加强。</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（二）相关建议。</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强化日常宣传和巡查工作。</w:t>
      </w: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36"/>
        <w:spacing w:line="576" w:lineRule="exact"/>
        <w:jc w:val="center"/>
        <w:rPr>
          <w:rFonts w:ascii="仿宋" w:eastAsia="仿宋" w:cs="方正小标宋简体" w:hAnsi="仿宋"/>
          <w:color w:val="auto"/>
          <w:kern w:val="2"/>
          <w:sz w:val="44"/>
          <w:szCs w:val="44"/>
          <w:lang w:val="en-US"/>
        </w:rPr>
      </w:pPr>
    </w:p>
    <w:p>
      <w:pPr>
        <w:pStyle w:val="36"/>
        <w:spacing w:line="576" w:lineRule="exact"/>
        <w:jc w:val="center"/>
        <w:rPr>
          <w:rFonts w:ascii="仿宋" w:eastAsia="仿宋" w:cs="方正小标宋简体" w:hAnsi="仿宋"/>
          <w:color w:val="auto"/>
          <w:kern w:val="2"/>
          <w:sz w:val="44"/>
          <w:szCs w:val="44"/>
          <w:lang w:val="en-US"/>
        </w:rPr>
      </w:pPr>
      <w:bookmarkStart w:id="98" w:name="_Toc145925509"/>
    </w:p>
    <w:p>
      <w:pPr>
        <w:pStyle w:val="36"/>
        <w:spacing w:line="576" w:lineRule="exact"/>
        <w:jc w:val="center"/>
        <w:rPr>
          <w:rFonts w:ascii="仿宋" w:eastAsia="仿宋" w:cs="方正小标宋简体" w:hAnsi="仿宋"/>
          <w:color w:val="auto"/>
          <w:kern w:val="2"/>
          <w:sz w:val="44"/>
          <w:szCs w:val="44"/>
          <w:lang w:val="en-US"/>
        </w:rPr>
      </w:pPr>
      <w:r>
        <w:rPr>
          <w:rFonts w:ascii="仿宋" w:eastAsia="仿宋" w:cs="方正小标宋简体" w:hAnsi="仿宋" w:hint="eastAsia"/>
          <w:color w:val="auto"/>
          <w:kern w:val="2"/>
          <w:sz w:val="44"/>
          <w:szCs w:val="44"/>
          <w:lang w:val="en-US"/>
        </w:rPr>
        <w:t xml:space="preserve"> </w:t>
      </w:r>
      <w:bookmarkEnd w:id="98"/>
    </w:p>
    <w:p>
      <w:pPr>
        <w:pStyle w:val="36"/>
        <w:spacing w:line="576" w:lineRule="exact"/>
        <w:jc w:val="center"/>
        <w:rPr>
          <w:rFonts w:ascii="黑体" w:eastAsia="黑体" w:cs="方正小标宋简体" w:hAnsi="黑体"/>
          <w:color w:val="auto"/>
          <w:kern w:val="2"/>
          <w:sz w:val="44"/>
          <w:szCs w:val="44"/>
          <w:lang w:val="en-US"/>
        </w:rPr>
      </w:pPr>
      <w:r>
        <w:rPr>
          <w:rFonts w:ascii="黑体" w:eastAsia="黑体" w:cs="方正小标宋简体" w:hAnsi="黑体" w:hint="eastAsia"/>
          <w:color w:val="auto"/>
          <w:kern w:val="2"/>
          <w:sz w:val="44"/>
          <w:szCs w:val="44"/>
          <w:lang w:val="en-US"/>
        </w:rPr>
        <w:t>9.文明劝导员补助支出绩效自评报告</w:t>
      </w:r>
    </w:p>
    <w:p>
      <w:pPr>
        <w:pStyle w:val="36"/>
        <w:spacing w:line="576" w:lineRule="exact"/>
        <w:ind w:firstLineChars="200"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sz w:val="32"/>
          <w:szCs w:val="32"/>
          <w:lang w:val="zh-CN"/>
        </w:rPr>
        <w:t>（一）项目资金申报及批复情况。该项目经费</w:t>
      </w:r>
      <w:r>
        <w:rPr>
          <w:rFonts w:ascii="仿宋" w:eastAsia="仿宋" w:cs="宋体" w:hAnsi="仿宋"/>
          <w:sz w:val="32"/>
          <w:szCs w:val="32"/>
          <w:lang w:val="zh-CN"/>
        </w:rPr>
        <w:t>51.8</w:t>
      </w:r>
      <w:r>
        <w:rPr>
          <w:rFonts w:ascii="仿宋" w:eastAsia="仿宋" w:cs="宋体" w:hAnsi="仿宋" w:hint="eastAsia"/>
          <w:sz w:val="32"/>
          <w:szCs w:val="32"/>
          <w:lang w:val="zh-CN"/>
        </w:rPr>
        <w:t>万元</w:t>
      </w:r>
      <w:r>
        <w:rPr>
          <w:rFonts w:ascii="仿宋" w:eastAsia="仿宋" w:hAnsi="仿宋" w:hint="eastAsia"/>
          <w:sz w:val="32"/>
          <w:szCs w:val="32"/>
          <w:lang w:val="zh-CN"/>
        </w:rPr>
        <w:t>来源于财政并</w:t>
      </w:r>
      <w:r>
        <w:rPr>
          <w:rFonts w:ascii="仿宋" w:eastAsia="仿宋" w:cs="宋体" w:hAnsi="仿宋" w:hint="eastAsia"/>
          <w:sz w:val="32"/>
          <w:szCs w:val="32"/>
          <w:lang w:val="zh-CN"/>
        </w:rPr>
        <w:t>纳入财政预、决算，</w:t>
      </w:r>
      <w:r>
        <w:rPr>
          <w:rFonts w:ascii="仿宋" w:eastAsia="仿宋" w:hAnsi="仿宋" w:hint="eastAsia"/>
          <w:sz w:val="32"/>
          <w:szCs w:val="32"/>
          <w:lang w:val="zh-CN"/>
        </w:rPr>
        <w:t>项目资金按时间进度拨付，全额用于该项目的人员、办公等支出，符合资金管理办法等相关规定。</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sz w:val="32"/>
          <w:szCs w:val="32"/>
          <w:lang w:val="zh-CN"/>
        </w:rPr>
        <w:t>（二）项目绩效目标。该项目主要是文明城市创建，及时足额支付</w:t>
      </w:r>
      <w:r>
        <w:rPr>
          <w:rFonts w:ascii="仿宋" w:eastAsia="仿宋" w:hAnsi="仿宋" w:hint="eastAsia"/>
          <w:sz w:val="32"/>
          <w:szCs w:val="32"/>
          <w:lang w:val="zh-CN"/>
        </w:rPr>
        <w:t>文明劝导员的生活补助及、保险等</w:t>
      </w:r>
      <w:r>
        <w:rPr>
          <w:rFonts w:ascii="仿宋" w:eastAsia="仿宋" w:cs="宋体" w:hAnsi="仿宋" w:hint="eastAsia"/>
          <w:sz w:val="32"/>
          <w:szCs w:val="32"/>
          <w:lang w:val="zh-CN"/>
        </w:rPr>
        <w:t>。</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sz w:val="32"/>
          <w:szCs w:val="32"/>
          <w:lang w:val="zh-CN"/>
        </w:rPr>
        <w:t>（三）项目资金与申报相符性。项目申报内容均</w:t>
      </w:r>
      <w:r>
        <w:rPr>
          <w:rFonts w:ascii="仿宋" w:eastAsia="仿宋" w:hAnsi="仿宋" w:hint="eastAsia"/>
          <w:sz w:val="32"/>
          <w:szCs w:val="32"/>
          <w:lang w:val="zh-CN"/>
        </w:rPr>
        <w:t>与具体实施内容相符、申报目标是合理可行。</w:t>
      </w:r>
    </w:p>
    <w:p>
      <w:pPr>
        <w:adjustRightInd w:val="0"/>
        <w:snapToGrid w:val="0"/>
        <w:spacing w:line="576" w:lineRule="exact"/>
        <w:ind w:firstLineChars="200" w:firstLine="640"/>
        <w:rPr>
          <w:rFonts w:ascii="仿宋" w:eastAsia="仿宋" w:cs="黑体" w:hAnsi="仿宋"/>
          <w:sz w:val="32"/>
          <w:szCs w:val="32"/>
        </w:rPr>
      </w:pPr>
      <w:r>
        <w:rPr>
          <w:rFonts w:ascii="仿宋" w:eastAsia="仿宋" w:cs="黑体" w:hAnsi="仿宋" w:hint="eastAsia"/>
          <w:b/>
          <w:sz w:val="32"/>
          <w:szCs w:val="32"/>
        </w:rPr>
        <w:t>二、项目实施及管理情况</w:t>
      </w:r>
      <w:r>
        <w:rPr>
          <w:rFonts w:ascii="仿宋" w:eastAsia="仿宋" w:cs="黑体" w:hAnsi="仿宋" w:hint="eastAsia"/>
          <w:sz w:val="32"/>
          <w:szCs w:val="32"/>
        </w:rPr>
        <w:t>、</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1．资金计划及到位。该项目资金已全部到位，到位及时。</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2．资金使用。截止评价时点项目资金的实际支出情况：实际支出</w:t>
      </w:r>
      <w:r>
        <w:rPr>
          <w:rFonts w:ascii="仿宋" w:eastAsia="仿宋" w:hAnsi="仿宋"/>
          <w:sz w:val="32"/>
          <w:szCs w:val="32"/>
          <w:lang w:val="zh-CN"/>
        </w:rPr>
        <w:t>51.8</w:t>
      </w:r>
      <w:r>
        <w:rPr>
          <w:rFonts w:ascii="仿宋" w:eastAsia="仿宋" w:hAnsi="仿宋" w:hint="eastAsia"/>
          <w:sz w:val="32"/>
          <w:szCs w:val="32"/>
          <w:lang w:val="zh-CN"/>
        </w:rPr>
        <w:t>万元，资金开支范围主要用于文明劝导员的生活补助及、保险等支出。支付依据合规合法，资金支付与预算相符。</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（二）项目财务管理情况。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机构设置合理，严格执行财务管理制度、财务处理及时、会计核算规范，财务管理制度健全，我办文明劝导员共计7</w:t>
      </w:r>
      <w:r>
        <w:rPr>
          <w:rFonts w:ascii="仿宋" w:eastAsia="仿宋" w:hAnsi="仿宋"/>
          <w:sz w:val="32"/>
          <w:szCs w:val="32"/>
          <w:lang w:val="zh-CN"/>
        </w:rPr>
        <w:t>0</w:t>
      </w:r>
      <w:r>
        <w:rPr>
          <w:rFonts w:ascii="仿宋" w:eastAsia="仿宋" w:hAnsi="仿宋" w:hint="eastAsia"/>
          <w:sz w:val="32"/>
          <w:szCs w:val="32"/>
          <w:lang w:val="zh-CN"/>
        </w:rPr>
        <w:t>名。</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（三）项目组织实施情况。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仿宋_GB2312" w:hAnsi="仿宋" w:hint="eastAsia"/>
          <w:sz w:val="32"/>
          <w:szCs w:val="32"/>
        </w:rPr>
        <w:t>精心组织、提早部署、周密安排，保证项目顺利实施。所有费用皆是经办人员、分管领导及主要领导签批后支出。</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三、项目绩效情况</w:t>
        <w:tab/>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（一）项目完成情况。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截止评价时点</w:t>
      </w:r>
      <w:r>
        <w:rPr>
          <w:rFonts w:ascii="仿宋" w:eastAsia="仿宋" w:cs="仿宋_GB2312" w:hAnsi="仿宋" w:hint="eastAsia"/>
          <w:sz w:val="32"/>
          <w:szCs w:val="32"/>
        </w:rPr>
        <w:t>无一起因补助发放不及时的情况，该项目及时足额完成</w:t>
      </w:r>
      <w:r>
        <w:rPr>
          <w:rFonts w:ascii="仿宋" w:eastAsia="仿宋" w:hAnsi="仿宋" w:hint="eastAsia"/>
          <w:sz w:val="32"/>
          <w:szCs w:val="32"/>
          <w:lang w:val="zh-CN"/>
        </w:rPr>
        <w:t>。</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sz w:val="32"/>
          <w:szCs w:val="32"/>
          <w:lang w:val="zh-CN"/>
        </w:rPr>
        <w:t>（二）项目效益情况。</w:t>
      </w:r>
      <w:r>
        <w:rPr>
          <w:rFonts w:ascii="仿宋" w:eastAsia="仿宋" w:cs="仿宋_GB2312" w:hAnsi="仿宋" w:hint="eastAsia"/>
          <w:sz w:val="32"/>
          <w:szCs w:val="32"/>
        </w:rPr>
        <w:t>文明城市创建，文明劝导员的精心劝导下，我办公共场合秩序井然，环境优美、市民文明程度有所提升，无论</w:t>
      </w:r>
      <w:r>
        <w:rPr>
          <w:rFonts w:ascii="仿宋" w:eastAsia="仿宋" w:hAnsi="仿宋" w:hint="eastAsia"/>
          <w:sz w:val="32"/>
          <w:szCs w:val="32"/>
          <w:lang w:val="zh-CN"/>
        </w:rPr>
        <w:t>从经济效益、社会效益、生态效益均带来了发展机遇，群众满意度高，可持续发展。</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四、问题及建议</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（一）存在的问题。</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该项目不存在问题。</w:t>
      </w:r>
    </w:p>
    <w:p>
      <w:pPr>
        <w:adjustRightInd w:val="0"/>
        <w:snapToGrid w:val="0"/>
        <w:spacing w:line="576" w:lineRule="exact"/>
        <w:ind w:firstLineChars="200" w:firstLine="640"/>
        <w:rPr>
          <w:rFonts w:ascii="仿宋" w:eastAsia="仿宋" w:hAnsi="仿宋"/>
          <w:spacing w:val="-17"/>
          <w:sz w:val="32"/>
          <w:szCs w:val="32"/>
          <w:lang w:val="zh-CN"/>
        </w:rPr>
      </w:pPr>
      <w:r>
        <w:rPr>
          <w:rFonts w:ascii="仿宋" w:eastAsia="仿宋" w:cs="宋体" w:hAnsi="仿宋" w:hint="eastAsia"/>
          <w:sz w:val="32"/>
          <w:szCs w:val="32"/>
          <w:lang w:val="zh-CN"/>
        </w:rPr>
        <w:t>（二）相关建议。</w:t>
      </w:r>
    </w:p>
    <w:p>
      <w:pPr>
        <w:pStyle w:val="36"/>
        <w:spacing w:line="576" w:lineRule="exact"/>
        <w:ind w:firstLineChars="200" w:firstLine="640"/>
        <w:rPr>
          <w:rFonts w:ascii="仿宋" w:eastAsia="仿宋" w:hAnsi="仿宋"/>
          <w:sz w:val="32"/>
          <w:szCs w:val="32"/>
        </w:rPr>
      </w:pPr>
      <w:r>
        <w:rPr>
          <w:rFonts w:ascii="仿宋" w:eastAsia="仿宋" w:hAnsi="仿宋" w:hint="eastAsia"/>
          <w:sz w:val="32"/>
          <w:szCs w:val="32"/>
        </w:rPr>
        <w:t>加强正规化管理，加大投入，提升我市文明建设。</w:t>
      </w:r>
    </w:p>
    <w:p>
      <w:pPr>
        <w:pStyle w:val="36"/>
        <w:spacing w:line="576" w:lineRule="exact"/>
        <w:ind w:firstLineChars="200" w:firstLine="640"/>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jc w:val="center"/>
        <w:outlineLvl w:val="1"/>
        <w:rPr>
          <w:rFonts w:ascii="仿宋" w:eastAsia="仿宋" w:cs="方正小标宋简体" w:hAnsi="仿宋"/>
          <w:color w:val="auto"/>
          <w:kern w:val="2"/>
          <w:sz w:val="44"/>
          <w:szCs w:val="44"/>
          <w:lang w:val="en-US"/>
        </w:rPr>
      </w:pPr>
    </w:p>
    <w:p>
      <w:pPr>
        <w:pStyle w:val="36"/>
        <w:spacing w:line="576" w:lineRule="exact"/>
        <w:jc w:val="center"/>
        <w:outlineLvl w:val="2"/>
        <w:rPr>
          <w:rFonts w:ascii="黑体" w:eastAsia="黑体" w:cs="方正小标宋简体" w:hAnsi="黑体"/>
          <w:color w:val="auto"/>
          <w:kern w:val="2"/>
          <w:sz w:val="44"/>
          <w:szCs w:val="44"/>
          <w:lang w:val="en-US"/>
        </w:rPr>
      </w:pPr>
      <w:bookmarkStart w:id="99" w:name="_Toc3710"/>
      <w:r>
        <w:rPr>
          <w:rFonts w:ascii="黑体" w:eastAsia="黑体" w:cs="方正小标宋简体" w:hAnsi="黑体" w:hint="eastAsia"/>
          <w:color w:val="auto"/>
          <w:kern w:val="2"/>
          <w:sz w:val="44"/>
          <w:szCs w:val="44"/>
          <w:lang w:val="en-US"/>
        </w:rPr>
        <w:t>10.远程教育运行维护经费</w:t>
      </w:r>
      <w:r>
        <w:rPr>
          <w:rFonts w:ascii="黑体" w:eastAsia="黑体" w:cs="方正小标宋简体" w:hAnsi="黑体" w:hint="eastAsia"/>
          <w:color w:val="auto"/>
          <w:kern w:val="2"/>
          <w:sz w:val="44"/>
          <w:szCs w:val="44"/>
        </w:rPr>
        <w:t>支出绩效</w:t>
      </w:r>
      <w:bookmarkStart w:id="100" w:name="_Toc145925513"/>
      <w:bookmarkStart w:id="101" w:name="_Toc145927289"/>
      <w:r>
        <w:rPr>
          <w:rFonts w:ascii="黑体" w:eastAsia="黑体" w:cs="方正小标宋简体" w:hAnsi="黑体" w:hint="eastAsia"/>
          <w:color w:val="auto"/>
          <w:kern w:val="2"/>
          <w:sz w:val="44"/>
          <w:szCs w:val="44"/>
        </w:rPr>
        <w:t>自评报告</w:t>
      </w:r>
      <w:bookmarkEnd w:id="99"/>
      <w:bookmarkEnd w:id="100"/>
      <w:bookmarkEnd w:id="101"/>
    </w:p>
    <w:p>
      <w:pPr>
        <w:pStyle w:val="36"/>
        <w:spacing w:line="576" w:lineRule="exact"/>
        <w:ind w:firstLineChars="200" w:firstLine="640"/>
        <w:jc w:val="center"/>
        <w:rPr>
          <w:rFonts w:ascii="仿宋" w:eastAsia="仿宋" w:hAnsi="仿宋"/>
          <w:color w:val="auto"/>
          <w:kern w:val="2"/>
          <w:sz w:val="32"/>
          <w:szCs w:val="32"/>
        </w:rPr>
      </w:pPr>
    </w:p>
    <w:p>
      <w:pPr>
        <w:numPr>
          <w:ilvl w:val="0"/>
          <w:numId w:val="10"/>
        </w:numPr>
        <w:adjustRightInd w:val="0"/>
        <w:snapToGrid w:val="0"/>
        <w:spacing w:line="576" w:lineRule="exact"/>
        <w:ind w:left="0" w:firstLineChars="200" w:firstLine="640"/>
        <w:rPr>
          <w:rFonts w:ascii="仿宋" w:eastAsia="仿宋" w:hAnsi="仿宋"/>
          <w:b/>
          <w:sz w:val="32"/>
          <w:szCs w:val="32"/>
          <w:lang w:val="zh-CN"/>
        </w:rPr>
      </w:pPr>
      <w:r>
        <w:rPr>
          <w:rFonts w:ascii="仿宋" w:eastAsia="仿宋" w:hAnsi="仿宋" w:hint="eastAsia"/>
          <w:b/>
          <w:sz w:val="32"/>
          <w:szCs w:val="32"/>
          <w:lang w:val="zh-CN"/>
        </w:rPr>
        <w:t>项目概况</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zh-CN"/>
        </w:rPr>
        <w:t>（一）基本情况</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rPr>
        <w:t>1.远程教育网点由区委组织部组织安装实施，为村社党员干部提供远程网络学习的平台。2021年远程教育运行经费0.2万元，主要用于保障辖区内设备日常正常使用，保障站点正常运行。</w:t>
      </w:r>
    </w:p>
    <w:p>
      <w:pPr>
        <w:adjustRightInd w:val="0"/>
        <w:snapToGrid w:val="0"/>
        <w:spacing w:line="576" w:lineRule="exact"/>
        <w:ind w:firstLineChars="200" w:firstLine="640"/>
        <w:rPr>
          <w:rFonts w:ascii="仿宋" w:eastAsia="仿宋" w:hAnsi="仿宋"/>
          <w:sz w:val="32"/>
          <w:szCs w:val="32"/>
        </w:rPr>
      </w:pPr>
      <w:r>
        <w:rPr>
          <w:rFonts w:ascii="仿宋" w:eastAsia="仿宋" w:cs="仿宋_GB2312" w:hAnsi="仿宋" w:hint="eastAsia"/>
          <w:sz w:val="32"/>
          <w:szCs w:val="32"/>
        </w:rPr>
        <w:t>2.</w:t>
      </w:r>
      <w:r>
        <w:rPr>
          <w:rFonts w:ascii="仿宋" w:eastAsia="仿宋" w:cs="仿宋_GB2312" w:hAnsi="仿宋" w:hint="eastAsia"/>
          <w:sz w:val="32"/>
          <w:szCs w:val="32"/>
          <w:lang w:val="zh-CN"/>
        </w:rPr>
        <w:t>项目立项、资金申报的依据：项目支出报账实行严格的审批制度，先报预算经会议讨论通过，报账时经领导集体签字审批，不得超支。</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仿宋_GB2312" w:hAnsi="仿宋" w:hint="eastAsia"/>
          <w:sz w:val="32"/>
          <w:szCs w:val="32"/>
        </w:rPr>
        <w:t xml:space="preserve"> 3.</w:t>
      </w:r>
      <w:r>
        <w:rPr>
          <w:rFonts w:ascii="仿宋" w:eastAsia="仿宋" w:cs="仿宋_GB2312" w:hAnsi="仿宋" w:hint="eastAsia"/>
          <w:sz w:val="32"/>
          <w:szCs w:val="32"/>
          <w:lang w:val="zh-CN"/>
        </w:rPr>
        <w:t>项目资金管理办法：</w:t>
      </w:r>
      <w:r>
        <w:rPr>
          <w:rFonts w:ascii="仿宋" w:eastAsia="仿宋" w:cs="宋体" w:hAnsi="仿宋" w:hint="eastAsia"/>
          <w:sz w:val="32"/>
          <w:szCs w:val="32"/>
          <w:lang w:val="zh-CN"/>
        </w:rPr>
        <w:t>实行专款专用，资金由区财政统一管理，单位申报用款计划，经财政批准后进行开支。</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（二）项目绩效目标：</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cs="宋体" w:hAnsi="仿宋" w:hint="eastAsia"/>
          <w:sz w:val="32"/>
          <w:szCs w:val="32"/>
          <w:lang w:val="zh-CN"/>
        </w:rPr>
        <w:t>提升党员干部党性修养，提高党员发展经济的能力，服务农业、农村、农民，助推老百姓增收致富，助力乡村振兴。</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1．资金计划及到位。财政局预算指标（广利财发〔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14号</w:t>
      </w:r>
      <w:r>
        <w:rPr>
          <w:rFonts w:ascii="仿宋" w:eastAsia="仿宋" w:cs="仿宋_GB2312" w:hAnsi="仿宋" w:hint="eastAsia"/>
          <w:sz w:val="32"/>
          <w:szCs w:val="32"/>
          <w:lang w:val="zh-CN"/>
        </w:rPr>
        <w:t>）</w:t>
      </w:r>
      <w:r>
        <w:rPr>
          <w:rFonts w:ascii="仿宋" w:eastAsia="仿宋" w:cs="仿宋_GB2312" w:hAnsi="仿宋" w:hint="eastAsia"/>
          <w:sz w:val="32"/>
          <w:szCs w:val="32"/>
        </w:rPr>
        <w:t>0.2万元，到位率100%</w:t>
      </w:r>
      <w:r>
        <w:rPr>
          <w:rFonts w:ascii="仿宋" w:eastAsia="仿宋" w:cs="仿宋_GB2312" w:hAnsi="仿宋" w:hint="eastAsia"/>
          <w:sz w:val="32"/>
          <w:szCs w:val="32"/>
          <w:lang w:val="zh-CN"/>
        </w:rPr>
        <w:t>。</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2．资金使用：</w:t>
      </w:r>
      <w:r>
        <w:rPr>
          <w:rFonts w:ascii="仿宋" w:eastAsia="仿宋" w:cs="宋体" w:hAnsi="仿宋" w:hint="eastAsia"/>
          <w:sz w:val="32"/>
          <w:szCs w:val="32"/>
        </w:rPr>
        <w:t>远程教育运行维护经费</w:t>
      </w:r>
      <w:r>
        <w:rPr>
          <w:rFonts w:ascii="仿宋" w:eastAsia="仿宋" w:cs="仿宋_GB2312" w:hAnsi="仿宋" w:hint="eastAsia"/>
          <w:sz w:val="32"/>
          <w:szCs w:val="32"/>
          <w:lang w:val="zh-CN"/>
        </w:rPr>
        <w:t>项目，</w:t>
      </w:r>
      <w:r>
        <w:rPr>
          <w:rFonts w:ascii="仿宋" w:eastAsia="仿宋" w:cs="仿宋_GB2312" w:hAnsi="仿宋" w:hint="eastAsia"/>
          <w:sz w:val="32"/>
          <w:szCs w:val="32"/>
        </w:rPr>
        <w:t>资金到账率100%。</w:t>
      </w:r>
      <w:r>
        <w:rPr>
          <w:rFonts w:ascii="仿宋" w:eastAsia="仿宋" w:cs="仿宋_GB2312" w:hAnsi="仿宋" w:hint="eastAsia"/>
          <w:sz w:val="32"/>
          <w:szCs w:val="32"/>
          <w:lang w:val="zh-CN"/>
        </w:rPr>
        <w:t>支付依据合规合法，资金支付与预算相符。</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该项目财务管理制度健全、由党建办公室负责、会计核算及账务处理合理、合法。严格执行财务管理制度、财务处理及时、会计核算规范。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（三）项目组织实施情况。远程教育运行维护专项经费项目由党建办公室负责组织实施管理，主要用于远程教育运行维护，宣传费用。</w:t>
      </w:r>
    </w:p>
    <w:p>
      <w:pPr>
        <w:adjustRightInd w:val="0"/>
        <w:snapToGrid w:val="0"/>
        <w:spacing w:line="576" w:lineRule="exact"/>
        <w:ind w:firstLineChars="200" w:firstLine="640"/>
        <w:rPr>
          <w:rFonts w:ascii="仿宋" w:eastAsia="仿宋" w:cs="仿宋" w:hAnsi="仿宋"/>
          <w:sz w:val="32"/>
          <w:szCs w:val="32"/>
        </w:rPr>
      </w:pPr>
      <w:r>
        <w:rPr>
          <w:rFonts w:ascii="仿宋" w:eastAsia="仿宋" w:cs="黑体" w:hAnsi="仿宋" w:hint="eastAsia"/>
          <w:b/>
          <w:sz w:val="32"/>
          <w:szCs w:val="32"/>
        </w:rPr>
        <w:t>三、项目绩效情况：</w:t>
      </w:r>
      <w:r>
        <w:rPr>
          <w:rFonts w:ascii="仿宋" w:eastAsia="仿宋" w:cs="仿宋" w:hAnsi="仿宋" w:hint="eastAsia"/>
          <w:sz w:val="32"/>
          <w:szCs w:val="32"/>
        </w:rPr>
        <w:t>该项目的实施，</w:t>
      </w:r>
      <w:r>
        <w:rPr>
          <w:rFonts w:ascii="仿宋" w:eastAsia="仿宋" w:cs="仿宋_GB2312" w:hAnsi="仿宋" w:hint="eastAsia"/>
          <w:sz w:val="32"/>
          <w:szCs w:val="32"/>
          <w:lang w:val="zh-CN"/>
        </w:rPr>
        <w:t>严格执行财务管理制度、财务处理及时、会计核算规范。</w:t>
      </w:r>
      <w:r>
        <w:rPr>
          <w:rFonts w:ascii="仿宋" w:eastAsia="仿宋" w:hAnsi="仿宋" w:hint="eastAsia"/>
          <w:sz w:val="32"/>
          <w:szCs w:val="32"/>
        </w:rPr>
        <w:t>采取能节俭一分是一分，可不支的坚决不支出的原则，较低成本实现绩效目标。</w:t>
      </w:r>
      <w:r>
        <w:rPr>
          <w:rFonts w:ascii="仿宋" w:eastAsia="仿宋" w:cs="仿宋" w:hAnsi="仿宋" w:hint="eastAsia"/>
          <w:sz w:val="32"/>
          <w:szCs w:val="32"/>
        </w:rPr>
        <w:t>取得了良好的社会效益，群众满意度100%。</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四、问题及建议</w:t>
      </w:r>
    </w:p>
    <w:p>
      <w:pPr>
        <w:adjustRightInd w:val="0"/>
        <w:snapToGrid w:val="0"/>
        <w:spacing w:line="576" w:lineRule="exact"/>
        <w:ind w:firstLineChars="200" w:firstLine="640"/>
        <w:rPr>
          <w:rFonts w:ascii="仿宋" w:eastAsia="仿宋" w:cs="仿宋" w:hAnsi="仿宋"/>
          <w:sz w:val="32"/>
          <w:szCs w:val="32"/>
        </w:rPr>
      </w:pPr>
      <w:r>
        <w:rPr>
          <w:rFonts w:ascii="仿宋" w:eastAsia="仿宋" w:cs="仿宋_GB2312" w:hAnsi="仿宋" w:hint="eastAsia"/>
          <w:sz w:val="32"/>
          <w:szCs w:val="32"/>
          <w:lang w:val="zh-CN"/>
        </w:rPr>
        <w:t>（一）存在的问题：</w:t>
      </w:r>
      <w:r>
        <w:rPr>
          <w:rFonts w:ascii="仿宋" w:eastAsia="仿宋" w:cs="仿宋" w:hAnsi="仿宋" w:hint="eastAsia"/>
          <w:sz w:val="32"/>
          <w:szCs w:val="32"/>
        </w:rPr>
        <w:t>无</w:t>
      </w:r>
    </w:p>
    <w:p>
      <w:pPr>
        <w:adjustRightInd w:val="0"/>
        <w:snapToGrid w:val="0"/>
        <w:spacing w:line="576" w:lineRule="exact"/>
        <w:ind w:firstLineChars="200" w:firstLine="640"/>
        <w:rPr>
          <w:rFonts w:ascii="仿宋" w:eastAsia="仿宋" w:cs="仿宋" w:hAnsi="仿宋"/>
          <w:sz w:val="32"/>
          <w:szCs w:val="32"/>
          <w:lang w:val="zh-CN"/>
        </w:rPr>
      </w:pPr>
      <w:r>
        <w:rPr>
          <w:rFonts w:ascii="仿宋" w:eastAsia="仿宋" w:cs="仿宋" w:hAnsi="仿宋" w:hint="eastAsia"/>
          <w:sz w:val="32"/>
          <w:szCs w:val="32"/>
          <w:lang w:val="zh-CN"/>
        </w:rPr>
        <w:t>（二）相关建议：坚持问题导向，做好基层党员、群众需求调研，使培训内容更具针对性，提高结果运用有效性。</w:t>
      </w:r>
    </w:p>
    <w:p>
      <w:pPr>
        <w:adjustRightInd w:val="0"/>
        <w:snapToGrid w:val="0"/>
        <w:spacing w:line="576" w:lineRule="exact"/>
        <w:ind w:firstLineChars="200" w:firstLine="640"/>
        <w:rPr>
          <w:rFonts w:ascii="仿宋" w:eastAsia="仿宋" w:cs="仿宋" w:hAnsi="仿宋"/>
          <w:sz w:val="32"/>
          <w:szCs w:val="32"/>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15"/>
        <w:spacing w:beforeLines="0" w:before="72"/>
        <w:rPr>
          <w:rFonts w:ascii="仿宋" w:eastAsia="仿宋" w:hAnsi="仿宋"/>
          <w:lang w:val="zh-CN"/>
        </w:rPr>
      </w:pPr>
    </w:p>
    <w:p>
      <w:pPr>
        <w:pStyle w:val="36"/>
        <w:spacing w:line="576" w:lineRule="exact"/>
        <w:jc w:val="center"/>
        <w:rPr>
          <w:rFonts w:ascii="仿宋" w:eastAsia="仿宋" w:cs="方正小标宋简体" w:hAnsi="仿宋"/>
          <w:color w:val="auto"/>
          <w:kern w:val="2"/>
          <w:sz w:val="44"/>
          <w:szCs w:val="44"/>
          <w:lang w:val="en-US"/>
        </w:rPr>
      </w:pPr>
      <w:bookmarkStart w:id="102" w:name="_Toc145925514"/>
    </w:p>
    <w:p>
      <w:pPr>
        <w:pStyle w:val="36"/>
        <w:spacing w:line="576" w:lineRule="exact"/>
        <w:jc w:val="center"/>
        <w:outlineLvl w:val="1"/>
        <w:rPr>
          <w:rFonts w:ascii="仿宋" w:eastAsia="仿宋" w:cs="方正小标宋简体" w:hAnsi="仿宋"/>
          <w:color w:val="auto"/>
          <w:kern w:val="2"/>
          <w:sz w:val="44"/>
          <w:szCs w:val="44"/>
          <w:lang w:val="en-US"/>
        </w:rPr>
      </w:pPr>
      <w:bookmarkEnd w:id="102"/>
    </w:p>
    <w:p>
      <w:pPr>
        <w:pStyle w:val="36"/>
        <w:spacing w:line="576" w:lineRule="exact"/>
        <w:jc w:val="center"/>
        <w:outlineLvl w:val="2"/>
        <w:rPr>
          <w:rFonts w:ascii="黑体" w:eastAsia="黑体" w:cs="方正小标宋简体" w:hAnsi="黑体"/>
          <w:color w:val="auto"/>
          <w:kern w:val="2"/>
          <w:sz w:val="44"/>
          <w:szCs w:val="44"/>
          <w:lang w:val="en-US"/>
        </w:rPr>
      </w:pPr>
      <w:bookmarkStart w:id="103" w:name="_Toc24740"/>
      <w:r>
        <w:rPr>
          <w:rFonts w:ascii="黑体" w:eastAsia="黑体" w:cs="方正小标宋简体" w:hAnsi="黑体" w:hint="eastAsia"/>
          <w:color w:val="auto"/>
          <w:kern w:val="2"/>
          <w:sz w:val="44"/>
          <w:szCs w:val="44"/>
          <w:lang w:val="en-US"/>
        </w:rPr>
        <w:t>11.基层武装专项</w:t>
      </w:r>
      <w:r>
        <w:rPr>
          <w:rFonts w:ascii="黑体" w:eastAsia="黑体" w:cs="方正小标宋简体" w:hAnsi="黑体" w:hint="eastAsia"/>
          <w:color w:val="auto"/>
          <w:kern w:val="2"/>
          <w:sz w:val="44"/>
          <w:szCs w:val="44"/>
        </w:rPr>
        <w:t>支出绩效自评报告</w:t>
      </w:r>
      <w:bookmarkEnd w:id="103"/>
    </w:p>
    <w:p>
      <w:pPr>
        <w:pStyle w:val="36"/>
        <w:spacing w:line="576" w:lineRule="exact"/>
        <w:ind w:firstLineChars="200"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（一）基层武装专项经费项目申报资金0.5万元，资金批复0.5万元，资金申报与批复符合资金管理办法等相关规定。</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（二）项目绩效目标加强武装部建设，完成征兵</w:t>
      </w:r>
      <w:r>
        <w:rPr>
          <w:rFonts w:ascii="仿宋" w:eastAsia="仿宋" w:cs="仿宋_GB2312" w:hAnsi="仿宋" w:hint="eastAsia"/>
          <w:sz w:val="32"/>
          <w:szCs w:val="32"/>
          <w:lang w:val="zh-CN"/>
        </w:rPr>
        <w:t>民兵训练</w:t>
      </w:r>
      <w:r>
        <w:rPr>
          <w:rFonts w:ascii="仿宋" w:eastAsia="仿宋" w:cs="仿宋_GB2312" w:hAnsi="仿宋" w:hint="eastAsia"/>
          <w:sz w:val="32"/>
          <w:szCs w:val="32"/>
        </w:rPr>
        <w:t>工作，增强国防，促进社会安定，该项目为常年项目，2021年已完成当年目标任务。</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（三）项目资金申报与具体实施内容相符、申报目标合理可行。</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2．截止评价时点项目资金的实际支出情况</w:t>
      </w:r>
      <w:r>
        <w:rPr>
          <w:rFonts w:ascii="仿宋" w:eastAsia="仿宋" w:cs="仿宋_GB2312" w:hAnsi="仿宋" w:hint="eastAsia"/>
          <w:sz w:val="32"/>
          <w:szCs w:val="32"/>
        </w:rPr>
        <w:t>0.5</w:t>
      </w:r>
      <w:r>
        <w:rPr>
          <w:rFonts w:ascii="仿宋" w:eastAsia="仿宋" w:cs="仿宋_GB2312" w:hAnsi="仿宋" w:hint="eastAsia"/>
          <w:sz w:val="32"/>
          <w:szCs w:val="32"/>
          <w:lang w:val="zh-CN"/>
        </w:rPr>
        <w:t>万元，资金开支包括基层武装工作公务支出。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该项目财务管理制度完善、由武装部负责，会计核算及账务处理按财政制度执行。对照项目资金管理办法，评价项目严格执行财务管理制度、财务处理及时、会计核算规范。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该项目由武装部组织管理及具体实施。</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三、项目绩效情况</w:t>
        <w:tab/>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 xml:space="preserve"> 该项目完成率100％，加强武装部建设，完成征兵及民兵训练工作，</w:t>
      </w:r>
      <w:r>
        <w:rPr>
          <w:rFonts w:ascii="仿宋" w:eastAsia="仿宋" w:cs="仿宋_GB2312" w:hAnsi="仿宋" w:hint="eastAsia"/>
          <w:sz w:val="32"/>
          <w:szCs w:val="32"/>
        </w:rPr>
        <w:t>增强国防，</w:t>
      </w:r>
      <w:r>
        <w:rPr>
          <w:rFonts w:ascii="仿宋" w:eastAsia="仿宋" w:cs="仿宋_GB2312" w:hAnsi="仿宋" w:hint="eastAsia"/>
          <w:sz w:val="32"/>
          <w:szCs w:val="32"/>
          <w:lang w:val="zh-CN"/>
        </w:rPr>
        <w:t>促进社会安定目标均已实现。</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该项目加强武装部建设，完成征兵工作，促进社会安定，促进了辖区社会经济可持续发展，社会满意度高。</w:t>
      </w:r>
    </w:p>
    <w:p>
      <w:pPr>
        <w:adjustRightInd w:val="0"/>
        <w:snapToGrid w:val="0"/>
        <w:spacing w:line="576" w:lineRule="exact"/>
        <w:ind w:firstLineChars="200" w:firstLine="640"/>
        <w:rPr>
          <w:rFonts w:ascii="仿宋" w:eastAsia="仿宋" w:cs="黑体" w:hAnsi="仿宋"/>
          <w:sz w:val="32"/>
          <w:szCs w:val="32"/>
        </w:rPr>
      </w:pPr>
      <w:r>
        <w:rPr>
          <w:rFonts w:ascii="仿宋" w:eastAsia="仿宋" w:cs="黑体" w:hAnsi="仿宋" w:hint="eastAsia"/>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基层武装日常工作管理，民兵训练等经费不足。</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（二）相关建议。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rPr>
        <w:t>建议增加基层武装工作经费，保证工作正常运转</w:t>
      </w:r>
      <w:r>
        <w:rPr>
          <w:rFonts w:ascii="仿宋" w:eastAsia="仿宋" w:cs="仿宋_GB2312" w:hAnsi="仿宋" w:hint="eastAsia"/>
          <w:sz w:val="32"/>
          <w:szCs w:val="32"/>
          <w:lang w:val="zh-CN"/>
        </w:rPr>
        <w:t>。</w:t>
      </w: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15"/>
        <w:spacing w:beforeLines="0" w:before="30" w:line="576" w:lineRule="exact"/>
        <w:ind w:firstLineChars="200" w:firstLine="640"/>
        <w:rPr>
          <w:rFonts w:ascii="仿宋" w:eastAsia="仿宋" w:hAnsi="仿宋"/>
          <w:sz w:val="32"/>
          <w:szCs w:val="32"/>
          <w:lang w:val="zh-CN"/>
        </w:rPr>
      </w:pPr>
    </w:p>
    <w:p>
      <w:pPr>
        <w:pStyle w:val="36"/>
        <w:spacing w:line="576" w:lineRule="exact"/>
        <w:jc w:val="center"/>
        <w:outlineLvl w:val="1"/>
        <w:rPr>
          <w:rFonts w:ascii="仿宋" w:eastAsia="仿宋" w:cs="方正小标宋简体" w:hAnsi="仿宋"/>
          <w:color w:val="auto"/>
          <w:kern w:val="2"/>
          <w:sz w:val="44"/>
          <w:szCs w:val="44"/>
          <w:lang w:val="en-US"/>
        </w:rPr>
      </w:pPr>
    </w:p>
    <w:p>
      <w:pPr>
        <w:pStyle w:val="36"/>
        <w:spacing w:line="576" w:lineRule="exact"/>
        <w:jc w:val="center"/>
        <w:outlineLvl w:val="2"/>
        <w:rPr>
          <w:rFonts w:ascii="黑体" w:eastAsia="黑体" w:cs="方正小标宋简体" w:hAnsi="黑体"/>
          <w:color w:val="auto"/>
          <w:kern w:val="2"/>
          <w:sz w:val="44"/>
          <w:szCs w:val="44"/>
        </w:rPr>
      </w:pPr>
      <w:bookmarkStart w:id="104" w:name="_Toc29925"/>
      <w:r>
        <w:rPr>
          <w:rFonts w:ascii="黑体" w:eastAsia="黑体" w:cs="方正小标宋简体" w:hAnsi="黑体" w:hint="eastAsia"/>
          <w:color w:val="auto"/>
          <w:kern w:val="2"/>
          <w:sz w:val="44"/>
          <w:szCs w:val="44"/>
          <w:lang w:val="en-US"/>
        </w:rPr>
        <w:t>12.视频会议系统建设项目</w:t>
      </w:r>
      <w:r>
        <w:rPr>
          <w:rFonts w:ascii="黑体" w:eastAsia="黑体" w:cs="方正小标宋简体" w:hAnsi="黑体" w:hint="eastAsia"/>
          <w:color w:val="auto"/>
          <w:kern w:val="2"/>
          <w:sz w:val="44"/>
          <w:szCs w:val="44"/>
        </w:rPr>
        <w:t>支出绩效</w:t>
      </w:r>
      <w:bookmarkStart w:id="105" w:name="_Toc145925518"/>
      <w:bookmarkStart w:id="106" w:name="_Toc145927292"/>
      <w:r>
        <w:rPr>
          <w:rFonts w:ascii="黑体" w:eastAsia="黑体" w:cs="方正小标宋简体" w:hAnsi="黑体" w:hint="eastAsia"/>
          <w:color w:val="auto"/>
          <w:kern w:val="2"/>
          <w:sz w:val="44"/>
          <w:szCs w:val="44"/>
        </w:rPr>
        <w:t>自评报告</w:t>
      </w:r>
      <w:bookmarkEnd w:id="104"/>
      <w:bookmarkEnd w:id="105"/>
      <w:bookmarkEnd w:id="106"/>
    </w:p>
    <w:p>
      <w:pPr>
        <w:pStyle w:val="36"/>
        <w:spacing w:line="576" w:lineRule="exact"/>
        <w:ind w:firstLineChars="200" w:firstLine="640"/>
        <w:jc w:val="center"/>
        <w:rPr>
          <w:rFonts w:ascii="黑体" w:eastAsia="黑体" w:hAnsi="黑体"/>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（一）项目资金申报及批复情况：</w:t>
      </w:r>
      <w:r>
        <w:rPr>
          <w:rFonts w:ascii="仿宋" w:eastAsia="仿宋" w:cs="仿宋_GB2312" w:hAnsi="仿宋" w:hint="eastAsia"/>
          <w:sz w:val="32"/>
          <w:szCs w:val="32"/>
        </w:rPr>
        <w:t>2021年1月申报</w:t>
      </w:r>
      <w:r>
        <w:rPr>
          <w:rFonts w:ascii="仿宋" w:eastAsia="仿宋" w:cs="仿宋_GB2312" w:hAnsi="仿宋" w:hint="eastAsia"/>
          <w:sz w:val="32"/>
          <w:szCs w:val="32"/>
          <w:lang w:val="zh-CN"/>
        </w:rPr>
        <w:t>视频会议系统建设项目，得到了财政局的同意，并下达了预算指标（广利财发〔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14号</w:t>
      </w:r>
      <w:r>
        <w:rPr>
          <w:rFonts w:ascii="仿宋" w:eastAsia="仿宋" w:cs="仿宋_GB2312" w:hAnsi="仿宋" w:hint="eastAsia"/>
          <w:sz w:val="32"/>
          <w:szCs w:val="32"/>
          <w:lang w:val="zh-CN"/>
        </w:rPr>
        <w:t>），项目的申报与批复符合资金管理办法等相关规定。</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（二）项目绩效目标：接收各级视频会议，确保及时接收上级传达的各项方针政策。</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（三）项目资金申报相符性。项目申报内容与具体实施内容相符、申报目标合理可行。</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1．资金计划及到位。财政局预算指标（广利财发〔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14号</w:t>
      </w:r>
      <w:r>
        <w:rPr>
          <w:rFonts w:ascii="仿宋" w:eastAsia="仿宋" w:cs="仿宋_GB2312" w:hAnsi="仿宋" w:hint="eastAsia"/>
          <w:sz w:val="32"/>
          <w:szCs w:val="32"/>
          <w:lang w:val="zh-CN"/>
        </w:rPr>
        <w:t>）</w:t>
      </w:r>
      <w:r>
        <w:rPr>
          <w:rFonts w:ascii="仿宋" w:eastAsia="仿宋" w:cs="仿宋_GB2312" w:hAnsi="仿宋" w:hint="eastAsia"/>
          <w:sz w:val="32"/>
          <w:szCs w:val="32"/>
        </w:rPr>
        <w:t>9600元，到位率100%</w:t>
      </w:r>
      <w:r>
        <w:rPr>
          <w:rFonts w:ascii="仿宋" w:eastAsia="仿宋" w:cs="仿宋_GB2312" w:hAnsi="仿宋" w:hint="eastAsia"/>
          <w:sz w:val="32"/>
          <w:szCs w:val="32"/>
          <w:lang w:val="zh-CN"/>
        </w:rPr>
        <w:t>。</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2．资金使用：该项目资金以</w:t>
      </w:r>
      <w:r>
        <w:rPr>
          <w:rFonts w:ascii="仿宋" w:eastAsia="仿宋" w:cs="仿宋_GB2312" w:hAnsi="仿宋" w:hint="eastAsia"/>
          <w:sz w:val="32"/>
          <w:szCs w:val="32"/>
        </w:rPr>
        <w:t>800元/月直接支付给中国电信股份有限公司广元分公司，全年累计支付9600元。资金到账率100%。</w:t>
      </w:r>
      <w:r>
        <w:rPr>
          <w:rFonts w:ascii="仿宋" w:eastAsia="仿宋" w:cs="仿宋_GB2312" w:hAnsi="仿宋" w:hint="eastAsia"/>
          <w:sz w:val="32"/>
          <w:szCs w:val="32"/>
          <w:lang w:val="zh-CN"/>
        </w:rPr>
        <w:t>支付依据合规合法，资金支付与预算相符。</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该项目财务管理制度健全，由党政综合与社区建设办公室负责，会计核算及账务处理合理、合法。严格执行财务管理制度、财务处理及时、会计核算规范。</w:t>
      </w:r>
    </w:p>
    <w:p>
      <w:pPr>
        <w:numPr>
          <w:ilvl w:val="0"/>
          <w:numId w:val="11"/>
        </w:numPr>
        <w:adjustRightInd w:val="0"/>
        <w:snapToGrid w:val="0"/>
        <w:spacing w:line="576" w:lineRule="exact"/>
        <w:ind w:left="0" w:firstLineChars="200" w:firstLine="640"/>
        <w:rPr>
          <w:rFonts w:ascii="仿宋" w:eastAsia="仿宋" w:cs="仿宋" w:hAnsi="仿宋"/>
          <w:sz w:val="32"/>
          <w:szCs w:val="32"/>
        </w:rPr>
      </w:pPr>
      <w:r>
        <w:rPr>
          <w:rFonts w:ascii="仿宋" w:eastAsia="仿宋" w:cs="黑体" w:hAnsi="仿宋" w:hint="eastAsia"/>
          <w:sz w:val="32"/>
          <w:szCs w:val="32"/>
        </w:rPr>
        <w:t>项目绩效情况：</w:t>
      </w:r>
      <w:r>
        <w:rPr>
          <w:rFonts w:ascii="仿宋" w:eastAsia="仿宋" w:cs="仿宋" w:hAnsi="仿宋" w:hint="eastAsia"/>
          <w:sz w:val="32"/>
          <w:szCs w:val="32"/>
        </w:rPr>
        <w:t>该项目的实施一是保证了上级要求召开的会议不再受时间、距离的限制，能够及时、准确、有效地接受会议精神；二是节约了减少了各级本门的差旅费，会议成本，取得了极好的社会效益，群众满意度100%。</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rPr>
        <w:t>视频会议系统处于初建阶段，为保证正常运转，存在经费不足问题。</w:t>
      </w:r>
    </w:p>
    <w:p>
      <w:pPr>
        <w:numPr>
          <w:ilvl w:val="0"/>
          <w:numId w:val="12"/>
        </w:numPr>
        <w:spacing w:line="576" w:lineRule="exact"/>
        <w:ind w:left="0"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相关建议。</w:t>
      </w:r>
    </w:p>
    <w:p>
      <w:pPr>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为保证正常运转，建议加大资金投入。</w:t>
      </w: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15"/>
        <w:spacing w:beforeLines="0" w:before="72"/>
        <w:rPr>
          <w:rFonts w:ascii="仿宋" w:eastAsia="仿宋" w:hAnsi="仿宋"/>
        </w:rPr>
      </w:pPr>
    </w:p>
    <w:p>
      <w:pPr>
        <w:pStyle w:val="36"/>
        <w:spacing w:line="576" w:lineRule="exact"/>
        <w:jc w:val="center"/>
        <w:rPr>
          <w:rFonts w:ascii="仿宋" w:eastAsia="仿宋" w:cs="方正小标宋简体" w:hAnsi="仿宋"/>
          <w:color w:val="auto"/>
          <w:kern w:val="2"/>
          <w:sz w:val="44"/>
          <w:szCs w:val="44"/>
          <w:lang w:val="en-US"/>
        </w:rPr>
      </w:pPr>
      <w:bookmarkStart w:id="107" w:name="_Toc145925519"/>
    </w:p>
    <w:p>
      <w:pPr>
        <w:pStyle w:val="36"/>
        <w:spacing w:line="576" w:lineRule="exact"/>
        <w:jc w:val="center"/>
        <w:outlineLvl w:val="1"/>
        <w:rPr>
          <w:rFonts w:ascii="仿宋" w:eastAsia="仿宋" w:cs="方正小标宋简体" w:hAnsi="仿宋"/>
          <w:color w:val="auto"/>
          <w:kern w:val="2"/>
          <w:sz w:val="44"/>
          <w:szCs w:val="44"/>
          <w:lang w:val="en-US"/>
        </w:rPr>
      </w:pPr>
      <w:bookmarkEnd w:id="107"/>
    </w:p>
    <w:p>
      <w:pPr>
        <w:pStyle w:val="36"/>
        <w:spacing w:line="576" w:lineRule="exact"/>
        <w:jc w:val="center"/>
        <w:outlineLvl w:val="2"/>
        <w:rPr>
          <w:rFonts w:ascii="黑体" w:eastAsia="黑体" w:cs="方正小标宋简体" w:hAnsi="黑体"/>
          <w:color w:val="auto"/>
          <w:kern w:val="2"/>
          <w:sz w:val="44"/>
          <w:szCs w:val="44"/>
          <w:lang w:val="en-US"/>
        </w:rPr>
      </w:pPr>
      <w:bookmarkStart w:id="108" w:name="_Toc4537"/>
      <w:r>
        <w:rPr>
          <w:rFonts w:ascii="黑体" w:eastAsia="黑体" w:cs="方正小标宋简体" w:hAnsi="黑体" w:hint="eastAsia"/>
          <w:color w:val="auto"/>
          <w:kern w:val="2"/>
          <w:sz w:val="44"/>
          <w:szCs w:val="44"/>
          <w:lang w:val="en-US"/>
        </w:rPr>
        <w:t>13.计划生育宣传免费技术服务</w:t>
      </w:r>
      <w:r>
        <w:rPr>
          <w:rFonts w:ascii="黑体" w:eastAsia="黑体" w:cs="方正小标宋简体" w:hAnsi="黑体" w:hint="eastAsia"/>
          <w:color w:val="auto"/>
          <w:kern w:val="2"/>
          <w:sz w:val="44"/>
          <w:szCs w:val="44"/>
        </w:rPr>
        <w:t>费</w:t>
      </w:r>
      <w:bookmarkStart w:id="109" w:name="_Toc145925521"/>
      <w:bookmarkStart w:id="110" w:name="_Toc145927294"/>
      <w:r>
        <w:rPr>
          <w:rFonts w:ascii="黑体" w:eastAsia="黑体" w:cs="方正小标宋简体" w:hAnsi="黑体" w:hint="eastAsia"/>
          <w:color w:val="auto"/>
          <w:kern w:val="2"/>
          <w:sz w:val="44"/>
          <w:szCs w:val="44"/>
        </w:rPr>
        <w:t>绩效自评告</w:t>
      </w:r>
      <w:bookmarkEnd w:id="108"/>
      <w:bookmarkEnd w:id="109"/>
      <w:bookmarkEnd w:id="110"/>
    </w:p>
    <w:p>
      <w:pPr>
        <w:pStyle w:val="36"/>
        <w:spacing w:line="576" w:lineRule="exact"/>
        <w:ind w:firstLineChars="200"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（一）项目基本情况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1．</w:t>
      </w:r>
      <w:r>
        <w:rPr>
          <w:rFonts w:ascii="仿宋" w:eastAsia="仿宋" w:cs="宋体" w:hAnsi="仿宋" w:hint="eastAsia"/>
          <w:color w:val="000000"/>
          <w:sz w:val="32"/>
          <w:szCs w:val="32"/>
        </w:rPr>
        <w:t>雪峰街道办事处辖1个行政村、7个社区、31个小组，幅员面积36.4平方公里，总人口9.21万余人，其中：常住人口2.43万户，6.56万余人。计生工作主要是负责对本辖区开展和宣传计划生育政策、法律、法规和婚育新风，进行优生优育和生殖保健基础知识的教育；及时指导育龄妇女选择安全、有效、适宜的避孕措施，免费发放避孕药具；定期组织已婚育龄妇女进行孕情检查和生殖健康检查。</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zh-CN"/>
        </w:rPr>
        <w:t>2．项目立项、资金申报的依据。</w:t>
      </w:r>
      <w:r>
        <w:rPr>
          <w:rFonts w:ascii="仿宋" w:eastAsia="仿宋" w:cs="宋体" w:hAnsi="仿宋" w:hint="eastAsia"/>
          <w:color w:val="000000"/>
          <w:sz w:val="32"/>
          <w:szCs w:val="32"/>
        </w:rPr>
        <w:t>计划生育宣传、免费技术服务是为维护育龄妇女合法权益，保障优生优育，提高国民素质的民生大事。资金申报严格按照相关文件要求纳入常年预算编制，经人代会批复后，街道根据项目要求合理进行开支。</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hAnsi="仿宋" w:hint="eastAsia"/>
          <w:sz w:val="32"/>
          <w:szCs w:val="32"/>
          <w:lang w:val="zh-CN"/>
        </w:rPr>
        <w:t>3．资金管理办法：</w:t>
      </w:r>
      <w:r>
        <w:rPr>
          <w:rFonts w:ascii="仿宋" w:eastAsia="仿宋" w:cs="宋体" w:hAnsi="仿宋" w:hint="eastAsia"/>
          <w:sz w:val="32"/>
          <w:szCs w:val="32"/>
          <w:lang w:val="zh-CN"/>
        </w:rPr>
        <w:t>实行专款专用，资金由区财政统一管理，单位申报用款计划，经财政批准后进行开支。</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（二）项目绩效目标</w:t>
      </w:r>
    </w:p>
    <w:p>
      <w:pPr>
        <w:adjustRightInd w:val="0"/>
        <w:snapToGrid w:val="0"/>
        <w:spacing w:line="576" w:lineRule="exact"/>
        <w:ind w:firstLineChars="200" w:firstLine="640"/>
        <w:rPr>
          <w:rFonts w:ascii="仿宋" w:eastAsia="仿宋" w:cs="宋体" w:hAnsi="仿宋"/>
          <w:color w:val="000000"/>
          <w:sz w:val="32"/>
          <w:szCs w:val="32"/>
        </w:rPr>
      </w:pPr>
      <w:r>
        <w:rPr>
          <w:rFonts w:ascii="仿宋" w:eastAsia="仿宋" w:cs="宋体" w:hAnsi="仿宋" w:hint="eastAsia"/>
          <w:color w:val="000000"/>
          <w:sz w:val="32"/>
          <w:szCs w:val="32"/>
        </w:rPr>
        <w:t>对本辖区开展和宣传计划生育政策、法律、法规和婚育新风，进行优生优育和生殖保健基础知识的教育；及时指导育龄妇女选择安全、有效、适宜的避孕措施，免费发放避孕药具；定期组织已婚育龄妇女进行孕情检查和生殖健康检查。</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二、项目实施及管理情况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（一）项目实施流程。</w:t>
      </w:r>
      <w:r>
        <w:rPr>
          <w:rFonts w:ascii="仿宋" w:eastAsia="仿宋" w:cs="宋体" w:hAnsi="仿宋" w:hint="eastAsia"/>
          <w:sz w:val="32"/>
          <w:szCs w:val="32"/>
          <w:lang w:val="zh-CN"/>
        </w:rPr>
        <w:t>各村（社区）建立育龄妇女清册，按照项目内容，街道计生办利用普法宣传日、农村坝坝会等多种形式发放传单，张贴标语、宣传画等。定期组织开展育龄妇女三查活动，提高群众生殖保健健康常识，从观念上转变群众生育意识。</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hAnsi="仿宋" w:hint="eastAsia"/>
          <w:sz w:val="32"/>
          <w:szCs w:val="32"/>
          <w:lang w:val="zh-CN"/>
        </w:rPr>
        <w:t>（二）项目监管情况。</w:t>
      </w:r>
      <w:r>
        <w:rPr>
          <w:rFonts w:ascii="仿宋" w:eastAsia="仿宋" w:cs="宋体" w:hAnsi="仿宋" w:hint="eastAsia"/>
          <w:sz w:val="32"/>
          <w:szCs w:val="32"/>
          <w:lang w:val="zh-CN"/>
        </w:rPr>
        <w:t>该项目资金由区财政常年纳入年初预算，单位采取报销制，街道资金使用严格按照资金管理办法，先由业务部门审核，财务票据审核，分管领导审核，主管领导审批，再由财政所申请用款计划，区财政审批支付。并及时进行账务处理。</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三、项目绩效情况</w:t>
        <w:tab/>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（一）项目完成情况</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lang w:val="zh-CN"/>
        </w:rPr>
        <w:t>计划生育宣传、免费技术服务费</w:t>
      </w:r>
      <w:r>
        <w:rPr>
          <w:rFonts w:ascii="仿宋" w:eastAsia="仿宋" w:hAnsi="仿宋" w:hint="eastAsia"/>
          <w:sz w:val="32"/>
          <w:szCs w:val="32"/>
        </w:rPr>
        <w:t>2021年预算1.3946万元，主要用于单位开展计划生育宣传资料及提供计划生育免费服务的开支。</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（二）项目效益情况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color w:val="000000"/>
          <w:sz w:val="32"/>
          <w:szCs w:val="32"/>
        </w:rPr>
        <w:t>定期组织已婚育龄妇女进行孕情检查和生殖健康检查，保护妇女身心健康，维护了妇女的合法权益，提高了国民素质。</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四、评价结论及建议</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（一）评价结论</w:t>
      </w:r>
    </w:p>
    <w:p>
      <w:pPr>
        <w:adjustRightInd w:val="0"/>
        <w:snapToGrid w:val="0"/>
        <w:spacing w:line="576" w:lineRule="exact"/>
        <w:ind w:firstLineChars="200" w:firstLine="640"/>
        <w:rPr>
          <w:rFonts w:ascii="仿宋" w:eastAsia="仿宋" w:hAnsi="仿宋"/>
          <w:sz w:val="32"/>
          <w:szCs w:val="32"/>
          <w:lang w:val="zh-CN"/>
        </w:rPr>
      </w:pPr>
      <w:r>
        <w:rPr>
          <w:rFonts w:ascii="仿宋" w:eastAsia="仿宋" w:cs="宋体" w:hAnsi="仿宋" w:hint="eastAsia"/>
          <w:color w:val="000000"/>
          <w:sz w:val="32"/>
          <w:szCs w:val="32"/>
        </w:rPr>
        <w:t>通过定期组织已婚育龄妇女进行孕情检查和生殖健康检查，保护妇女身心健康，维护了妇女的合法权益，增强了群众优生优育观念，提高了国民素质。</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（二）存在的问题及建议</w:t>
      </w:r>
    </w:p>
    <w:p>
      <w:pPr>
        <w:pStyle w:val="36"/>
        <w:spacing w:line="576" w:lineRule="exact"/>
        <w:ind w:firstLineChars="200" w:firstLine="640"/>
        <w:jc w:val="center"/>
        <w:rPr>
          <w:rFonts w:ascii="仿宋" w:eastAsia="仿宋" w:hAnsi="仿宋"/>
          <w:sz w:val="32"/>
          <w:szCs w:val="32"/>
        </w:rPr>
      </w:pPr>
      <w:r>
        <w:rPr>
          <w:rFonts w:ascii="仿宋" w:eastAsia="仿宋" w:hAnsi="仿宋" w:hint="eastAsia"/>
          <w:sz w:val="32"/>
          <w:szCs w:val="32"/>
        </w:rPr>
        <w:t>部分育龄妇女生殖健康知识了解太少。建议加大宣传力度。</w:t>
      </w: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ind w:firstLineChars="200" w:firstLine="640"/>
        <w:jc w:val="center"/>
        <w:rPr>
          <w:rFonts w:ascii="仿宋" w:eastAsia="仿宋" w:hAnsi="仿宋"/>
          <w:sz w:val="32"/>
          <w:szCs w:val="32"/>
        </w:rPr>
      </w:pPr>
    </w:p>
    <w:p>
      <w:pPr>
        <w:pStyle w:val="36"/>
        <w:spacing w:line="576" w:lineRule="exact"/>
        <w:jc w:val="both"/>
        <w:rPr>
          <w:rFonts w:ascii="仿宋" w:eastAsia="仿宋" w:cs="方正小标宋简体" w:hAnsi="仿宋"/>
          <w:color w:val="auto"/>
          <w:kern w:val="2"/>
          <w:sz w:val="44"/>
          <w:szCs w:val="44"/>
          <w:lang w:val="en-US"/>
        </w:rPr>
      </w:pPr>
      <w:bookmarkStart w:id="111" w:name="_Toc145925522"/>
    </w:p>
    <w:p>
      <w:pPr>
        <w:pStyle w:val="36"/>
        <w:spacing w:line="576" w:lineRule="exact"/>
        <w:jc w:val="both"/>
        <w:rPr>
          <w:rFonts w:ascii="仿宋" w:eastAsia="仿宋" w:cs="方正小标宋简体" w:hAnsi="仿宋"/>
          <w:color w:val="auto"/>
          <w:kern w:val="2"/>
          <w:sz w:val="44"/>
          <w:szCs w:val="44"/>
          <w:lang w:val="en-US"/>
        </w:rPr>
      </w:pPr>
    </w:p>
    <w:p>
      <w:pPr>
        <w:pStyle w:val="36"/>
        <w:spacing w:line="576" w:lineRule="exact"/>
        <w:jc w:val="center"/>
        <w:outlineLvl w:val="2"/>
        <w:rPr>
          <w:rFonts w:ascii="仿宋" w:eastAsia="仿宋" w:cs="方正小标宋简体" w:hAnsi="仿宋"/>
          <w:color w:val="auto"/>
          <w:kern w:val="2"/>
          <w:sz w:val="44"/>
          <w:szCs w:val="44"/>
          <w:lang w:val="en-US"/>
        </w:rPr>
      </w:pPr>
      <w:bookmarkEnd w:id="111"/>
    </w:p>
    <w:p>
      <w:pPr>
        <w:pStyle w:val="36"/>
        <w:spacing w:line="576" w:lineRule="exact"/>
        <w:jc w:val="center"/>
        <w:outlineLvl w:val="2"/>
        <w:rPr>
          <w:rFonts w:ascii="黑体" w:eastAsia="黑体" w:cs="方正小标宋简体" w:hAnsi="黑体"/>
          <w:color w:val="auto"/>
          <w:kern w:val="2"/>
          <w:sz w:val="44"/>
          <w:szCs w:val="44"/>
          <w:lang w:val="en-US"/>
        </w:rPr>
      </w:pPr>
      <w:bookmarkStart w:id="112" w:name="_Toc356"/>
      <w:r>
        <w:rPr>
          <w:rFonts w:ascii="黑体" w:eastAsia="黑体" w:cs="方正小标宋简体" w:hAnsi="黑体" w:hint="eastAsia"/>
          <w:color w:val="auto"/>
          <w:kern w:val="2"/>
          <w:sz w:val="44"/>
          <w:szCs w:val="44"/>
          <w:lang w:val="en-US"/>
        </w:rPr>
        <w:t>14.杨礼堂遗留问题专项</w:t>
      </w:r>
      <w:r>
        <w:rPr>
          <w:rFonts w:ascii="黑体" w:eastAsia="黑体" w:cs="方正小标宋简体" w:hAnsi="黑体" w:hint="eastAsia"/>
          <w:color w:val="auto"/>
          <w:kern w:val="2"/>
          <w:sz w:val="44"/>
          <w:szCs w:val="44"/>
        </w:rPr>
        <w:t>支出绩效</w:t>
      </w:r>
      <w:bookmarkStart w:id="113" w:name="_Toc145925524"/>
      <w:bookmarkStart w:id="114" w:name="_Toc145927296"/>
      <w:r>
        <w:rPr>
          <w:rFonts w:ascii="黑体" w:eastAsia="黑体" w:cs="方正小标宋简体" w:hAnsi="黑体" w:hint="eastAsia"/>
          <w:color w:val="auto"/>
          <w:kern w:val="2"/>
          <w:sz w:val="44"/>
          <w:szCs w:val="44"/>
        </w:rPr>
        <w:t>自评报告</w:t>
      </w:r>
      <w:bookmarkEnd w:id="112"/>
      <w:bookmarkEnd w:id="113"/>
      <w:bookmarkEnd w:id="114"/>
    </w:p>
    <w:p>
      <w:pPr>
        <w:pStyle w:val="36"/>
        <w:spacing w:line="576" w:lineRule="exact"/>
        <w:ind w:firstLineChars="200" w:firstLine="640"/>
        <w:jc w:val="center"/>
        <w:rPr>
          <w:rFonts w:ascii="仿宋" w:eastAsia="仿宋" w:hAnsi="仿宋"/>
          <w:color w:val="auto"/>
          <w:kern w:val="2"/>
          <w:sz w:val="32"/>
          <w:szCs w:val="32"/>
        </w:rPr>
      </w:pP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一、项目概况</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（一）项目基本情况</w:t>
      </w:r>
    </w:p>
    <w:p>
      <w:pPr>
        <w:spacing w:line="576" w:lineRule="exact"/>
        <w:ind w:firstLineChars="200" w:firstLine="640"/>
        <w:rPr>
          <w:rFonts w:ascii="仿宋" w:eastAsia="仿宋" w:cs="仿宋_GB2312" w:hAnsi="仿宋"/>
          <w:sz w:val="32"/>
          <w:szCs w:val="32"/>
        </w:rPr>
      </w:pPr>
      <w:r>
        <w:rPr>
          <w:rFonts w:ascii="仿宋" w:eastAsia="仿宋" w:hAnsi="仿宋" w:hint="eastAsia"/>
          <w:sz w:val="32"/>
          <w:szCs w:val="32"/>
        </w:rPr>
        <w:t>该项目是根据2020年6月11日下午召开的区信访联席会议纪要精神，由雪峰街道全额承担杨礼堂在第四医院住院、康复期间的医疗费、生活费等，2021年起纳入区级财政预算5万元。有效解决矛盾纠纷及上访者信访等问题。</w:t>
      </w:r>
    </w:p>
    <w:p>
      <w:pPr>
        <w:spacing w:line="576" w:lineRule="exact"/>
        <w:ind w:firstLineChars="200" w:firstLine="640"/>
        <w:rPr>
          <w:rFonts w:ascii="仿宋" w:eastAsia="仿宋" w:cs="仿宋_GB2312" w:hAnsi="仿宋"/>
          <w:sz w:val="32"/>
          <w:szCs w:val="32"/>
        </w:rPr>
      </w:pPr>
      <w:r>
        <w:rPr>
          <w:rFonts w:ascii="仿宋" w:eastAsia="仿宋" w:hAnsi="仿宋" w:hint="eastAsia"/>
          <w:sz w:val="32"/>
          <w:szCs w:val="32"/>
          <w:lang w:val="zh-CN"/>
        </w:rPr>
        <w:t>2．项目立项、资金申报的依据。</w:t>
      </w:r>
      <w:r>
        <w:rPr>
          <w:rFonts w:ascii="仿宋" w:eastAsia="仿宋" w:hAnsi="仿宋" w:hint="eastAsia"/>
          <w:sz w:val="32"/>
          <w:szCs w:val="32"/>
        </w:rPr>
        <w:t>该项目根据2020年6月11日下午召开的区信访联席会议纪要精神，由雪峰街道申请，经区人代会批复，2021年起纳入区级财政预算5万元。有效解决矛盾纠纷及上访者信访等问题。</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hAnsi="仿宋" w:hint="eastAsia"/>
          <w:sz w:val="32"/>
          <w:szCs w:val="32"/>
          <w:lang w:val="zh-CN"/>
        </w:rPr>
        <w:t>3．资金管理办法：</w:t>
      </w:r>
      <w:r>
        <w:rPr>
          <w:rFonts w:ascii="仿宋" w:eastAsia="仿宋" w:cs="宋体" w:hAnsi="仿宋" w:hint="eastAsia"/>
          <w:sz w:val="32"/>
          <w:szCs w:val="32"/>
          <w:lang w:val="zh-CN"/>
        </w:rPr>
        <w:t>实行专款专用，资金由区财政统一管理，单位申报用款计划，经财政批准后进行开支。</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（二）项目绩效目标</w:t>
      </w:r>
    </w:p>
    <w:p>
      <w:pPr>
        <w:adjustRightInd w:val="0"/>
        <w:snapToGrid w:val="0"/>
        <w:spacing w:line="576" w:lineRule="exact"/>
        <w:ind w:firstLineChars="200" w:firstLine="640"/>
        <w:rPr>
          <w:rFonts w:ascii="仿宋" w:eastAsia="仿宋" w:cs="宋体" w:hAnsi="仿宋"/>
          <w:color w:val="000000"/>
          <w:sz w:val="32"/>
          <w:szCs w:val="32"/>
        </w:rPr>
      </w:pPr>
      <w:r>
        <w:rPr>
          <w:rFonts w:ascii="仿宋" w:eastAsia="仿宋" w:cs="宋体" w:hAnsi="仿宋" w:hint="eastAsia"/>
          <w:color w:val="000000"/>
          <w:sz w:val="32"/>
          <w:szCs w:val="32"/>
        </w:rPr>
        <w:t>解决杨礼堂因矛盾纠纷产生的医疗救治、康复治疗以及房屋附属设施的维护等遗留问题，有效化解基层矛盾，维护社会和谐稳定。</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二、项目实施及管理情况</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hAnsi="仿宋" w:hint="eastAsia"/>
          <w:sz w:val="32"/>
          <w:szCs w:val="32"/>
          <w:lang w:val="zh-CN"/>
        </w:rPr>
        <w:t>（一）项目实施流程。</w:t>
      </w:r>
      <w:r>
        <w:rPr>
          <w:rFonts w:ascii="仿宋" w:eastAsia="仿宋" w:cs="宋体" w:hAnsi="仿宋" w:hint="eastAsia"/>
          <w:sz w:val="32"/>
          <w:szCs w:val="32"/>
          <w:lang w:val="zh-CN"/>
        </w:rPr>
        <w:t>由街道报告申请，经人代会讨论通过。街道通过宣传政策，面对面做思想工作及动员村干部帮扶等方式逐步化解矛盾。同时在资金上进行帮扶。改变杨礼堂及家人等、靠的思想观念。</w:t>
      </w:r>
    </w:p>
    <w:p>
      <w:pPr>
        <w:adjustRightInd w:val="0"/>
        <w:snapToGrid w:val="0"/>
        <w:spacing w:line="576" w:lineRule="exact"/>
        <w:ind w:firstLineChars="200" w:firstLine="640"/>
        <w:rPr>
          <w:rFonts w:ascii="仿宋" w:eastAsia="仿宋" w:cs="宋体" w:hAnsi="仿宋"/>
          <w:sz w:val="32"/>
          <w:szCs w:val="32"/>
          <w:lang w:val="zh-CN"/>
        </w:rPr>
      </w:pPr>
      <w:r>
        <w:rPr>
          <w:rFonts w:ascii="仿宋" w:eastAsia="仿宋" w:hAnsi="仿宋" w:hint="eastAsia"/>
          <w:sz w:val="32"/>
          <w:szCs w:val="32"/>
          <w:lang w:val="zh-CN"/>
        </w:rPr>
        <w:t>（二）项目监管情况。</w:t>
      </w:r>
      <w:r>
        <w:rPr>
          <w:rFonts w:ascii="仿宋" w:eastAsia="仿宋" w:cs="宋体" w:hAnsi="仿宋" w:hint="eastAsia"/>
          <w:sz w:val="32"/>
          <w:szCs w:val="32"/>
          <w:lang w:val="zh-CN"/>
        </w:rPr>
        <w:t>该项目资金由区财政</w:t>
      </w:r>
      <w:r>
        <w:rPr>
          <w:rFonts w:ascii="仿宋" w:eastAsia="仿宋" w:cs="宋体" w:hAnsi="仿宋" w:hint="eastAsia"/>
          <w:sz w:val="32"/>
          <w:szCs w:val="32"/>
        </w:rPr>
        <w:t>2021</w:t>
      </w:r>
      <w:r>
        <w:rPr>
          <w:rFonts w:ascii="仿宋" w:eastAsia="仿宋" w:cs="宋体" w:hAnsi="仿宋" w:hint="eastAsia"/>
          <w:sz w:val="32"/>
          <w:szCs w:val="32"/>
          <w:lang w:val="zh-CN"/>
        </w:rPr>
        <w:t>年纳入年初预算，资金采取三方支付方式，街道资金使用严格按照资金管理办法，先由业务部门审核，财务票据审核，分管领导审核，主管领导审批，再由财政所申请用款计划，区财政审批支付。并及时进行账务处理。</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三、项目绩效情况</w:t>
        <w:tab/>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（一）项目完成情况</w:t>
      </w:r>
    </w:p>
    <w:p>
      <w:pPr>
        <w:adjustRightInd w:val="0"/>
        <w:snapToGrid w:val="0"/>
        <w:spacing w:line="576" w:lineRule="exact"/>
        <w:ind w:firstLineChars="200" w:firstLine="640"/>
        <w:rPr>
          <w:rFonts w:ascii="仿宋" w:eastAsia="仿宋" w:hAnsi="仿宋"/>
          <w:sz w:val="32"/>
          <w:szCs w:val="32"/>
        </w:rPr>
      </w:pPr>
      <w:r>
        <w:rPr>
          <w:rFonts w:ascii="仿宋" w:eastAsia="仿宋" w:hAnsi="仿宋" w:hint="eastAsia"/>
          <w:sz w:val="32"/>
          <w:szCs w:val="32"/>
        </w:rPr>
        <w:t>项目资金共计需要资金6万元，由区本级财政下达年初预算资金5万元，雪峰街道利用公用经费解决1万元。化解基层矛盾。</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hAnsi="仿宋" w:hint="eastAsia"/>
          <w:sz w:val="32"/>
          <w:szCs w:val="32"/>
        </w:rPr>
        <w:t>该</w:t>
      </w:r>
      <w:r>
        <w:rPr>
          <w:rFonts w:ascii="仿宋" w:eastAsia="仿宋" w:cs="仿宋_GB2312" w:hAnsi="仿宋" w:hint="eastAsia"/>
          <w:sz w:val="32"/>
          <w:szCs w:val="32"/>
          <w:lang w:val="zh-CN"/>
        </w:rPr>
        <w:t>项目在调解辖区矛盾上起到了积极作用，维护了辖区稳定，促进了辖区社会经济可持续发展，社会满意度高。</w:t>
      </w:r>
    </w:p>
    <w:p>
      <w:pPr>
        <w:adjustRightInd w:val="0"/>
        <w:snapToGrid w:val="0"/>
        <w:spacing w:line="576" w:lineRule="exact"/>
        <w:ind w:firstLineChars="200" w:firstLine="640"/>
        <w:rPr>
          <w:rFonts w:ascii="仿宋" w:eastAsia="仿宋" w:hAnsi="仿宋"/>
          <w:b/>
          <w:sz w:val="32"/>
          <w:szCs w:val="32"/>
          <w:lang w:val="zh-CN"/>
        </w:rPr>
      </w:pPr>
      <w:r>
        <w:rPr>
          <w:rFonts w:ascii="仿宋" w:eastAsia="仿宋" w:hAnsi="仿宋" w:hint="eastAsia"/>
          <w:b/>
          <w:sz w:val="32"/>
          <w:szCs w:val="32"/>
          <w:lang w:val="zh-CN"/>
        </w:rPr>
        <w:t>四、评价结论及建议</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（一）评价结论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rPr>
        <w:t>评估等级为优。预期产出和效果能满足需求，</w:t>
      </w:r>
      <w:r>
        <w:rPr>
          <w:rFonts w:ascii="仿宋" w:eastAsia="仿宋" w:cs="仿宋_GB2312" w:hAnsi="仿宋" w:hint="eastAsia"/>
          <w:sz w:val="32"/>
          <w:szCs w:val="32"/>
          <w:lang w:val="zh-CN"/>
        </w:rPr>
        <w:t>维护辖区稳定，促进了辖区社会经济可持续发展，社会满意度高。</w:t>
      </w:r>
    </w:p>
    <w:p>
      <w:pPr>
        <w:adjustRightInd w:val="0"/>
        <w:snapToGrid w:val="0"/>
        <w:spacing w:line="576" w:lineRule="exact"/>
        <w:ind w:firstLineChars="200" w:firstLine="640"/>
        <w:rPr>
          <w:rFonts w:ascii="仿宋" w:eastAsia="仿宋" w:hAnsi="仿宋"/>
          <w:sz w:val="32"/>
          <w:szCs w:val="32"/>
          <w:lang w:val="zh-CN"/>
        </w:rPr>
      </w:pPr>
      <w:r>
        <w:rPr>
          <w:rFonts w:ascii="仿宋" w:eastAsia="仿宋" w:hAnsi="仿宋" w:hint="eastAsia"/>
          <w:sz w:val="32"/>
          <w:szCs w:val="32"/>
          <w:lang w:val="zh-CN"/>
        </w:rPr>
        <w:t>（二）存在的问题及建议</w:t>
      </w:r>
    </w:p>
    <w:p>
      <w:pPr>
        <w:pStyle w:val="36"/>
        <w:spacing w:line="576" w:lineRule="exact"/>
        <w:ind w:firstLineChars="200" w:firstLine="640"/>
        <w:jc w:val="center"/>
        <w:rPr>
          <w:rFonts w:ascii="仿宋" w:eastAsia="仿宋" w:hAnsi="仿宋"/>
          <w:sz w:val="32"/>
          <w:szCs w:val="32"/>
        </w:rPr>
      </w:pPr>
      <w:r>
        <w:rPr>
          <w:rFonts w:ascii="仿宋" w:eastAsia="仿宋" w:hAnsi="仿宋" w:hint="eastAsia"/>
          <w:sz w:val="32"/>
          <w:szCs w:val="32"/>
        </w:rPr>
        <w:t>群众法治观念淡薄，从而产生一些矛盾。建议加大宣传力度。</w:t>
      </w:r>
    </w:p>
    <w:p>
      <w:pPr>
        <w:pStyle w:val="36"/>
        <w:spacing w:line="576" w:lineRule="exact"/>
        <w:ind w:firstLineChars="200" w:firstLine="640"/>
        <w:jc w:val="center"/>
        <w:rPr>
          <w:rFonts w:ascii="仿宋" w:eastAsia="仿宋" w:hAnsi="仿宋"/>
          <w:sz w:val="32"/>
          <w:szCs w:val="32"/>
        </w:rPr>
      </w:pPr>
    </w:p>
    <w:p>
      <w:pPr>
        <w:spacing w:line="576" w:lineRule="exact"/>
        <w:jc w:val="center"/>
        <w:rPr>
          <w:rFonts w:ascii="仿宋" w:eastAsia="仿宋" w:cs="方正大标宋简体" w:hAnsi="仿宋"/>
          <w:sz w:val="44"/>
          <w:szCs w:val="44"/>
        </w:rPr>
      </w:pPr>
      <w:bookmarkStart w:id="115" w:name="_Toc145925525"/>
    </w:p>
    <w:p>
      <w:pPr>
        <w:spacing w:line="576" w:lineRule="exact"/>
        <w:jc w:val="center"/>
        <w:outlineLvl w:val="1"/>
        <w:rPr>
          <w:rFonts w:ascii="仿宋" w:eastAsia="仿宋" w:cs="方正大标宋简体" w:hAnsi="仿宋" w:hint="eastAsia"/>
          <w:sz w:val="44"/>
          <w:szCs w:val="44"/>
        </w:rPr>
      </w:pPr>
      <w:bookmarkEnd w:id="115"/>
    </w:p>
    <w:p>
      <w:pPr>
        <w:spacing w:line="576" w:lineRule="exact"/>
        <w:jc w:val="center"/>
        <w:outlineLvl w:val="2"/>
        <w:rPr>
          <w:rFonts w:ascii="黑体" w:eastAsia="黑体" w:cs="方正大标宋简体" w:hAnsi="黑体"/>
          <w:sz w:val="44"/>
          <w:szCs w:val="44"/>
        </w:rPr>
      </w:pPr>
      <w:bookmarkStart w:id="116" w:name="_Toc10012"/>
      <w:r>
        <w:rPr>
          <w:rFonts w:ascii="黑体" w:eastAsia="黑体" w:cs="方正大标宋简体" w:hAnsi="黑体" w:hint="eastAsia"/>
          <w:sz w:val="44"/>
          <w:szCs w:val="44"/>
        </w:rPr>
        <w:t>15.宅基地管理工作经费支出绩效</w:t>
      </w:r>
      <w:bookmarkStart w:id="117" w:name="_Toc145925527"/>
      <w:bookmarkStart w:id="118" w:name="_Toc145927298"/>
      <w:r>
        <w:rPr>
          <w:rFonts w:ascii="黑体" w:eastAsia="黑体" w:cs="方正大标宋简体" w:hAnsi="黑体" w:hint="eastAsia"/>
          <w:sz w:val="44"/>
          <w:szCs w:val="44"/>
        </w:rPr>
        <w:t>自评报告</w:t>
      </w:r>
      <w:bookmarkEnd w:id="116"/>
      <w:bookmarkEnd w:id="117"/>
      <w:bookmarkEnd w:id="118"/>
    </w:p>
    <w:p>
      <w:pPr>
        <w:spacing w:line="576" w:lineRule="exact"/>
        <w:ind w:firstLineChars="200" w:firstLine="640"/>
        <w:rPr>
          <w:rFonts w:ascii="仿宋" w:eastAsia="仿宋" w:hAnsi="仿宋"/>
          <w:sz w:val="32"/>
          <w:szCs w:val="32"/>
        </w:rPr>
      </w:pPr>
    </w:p>
    <w:p>
      <w:pPr>
        <w:pStyle w:val="32"/>
        <w:numPr>
          <w:ilvl w:val="0"/>
          <w:numId w:val="13"/>
        </w:numPr>
        <w:adjustRightInd w:val="0"/>
        <w:snapToGrid w:val="0"/>
        <w:spacing w:line="576" w:lineRule="exact"/>
        <w:ind w:firstLineChars="0"/>
        <w:rPr>
          <w:rFonts w:ascii="仿宋" w:eastAsia="仿宋" w:cs="黑体" w:hAnsi="仿宋"/>
          <w:b/>
          <w:sz w:val="32"/>
          <w:szCs w:val="32"/>
        </w:rPr>
      </w:pPr>
      <w:r>
        <w:rPr>
          <w:rFonts w:ascii="仿宋" w:eastAsia="仿宋" w:cs="黑体" w:hAnsi="仿宋" w:hint="eastAsia"/>
          <w:b/>
          <w:sz w:val="32"/>
          <w:szCs w:val="32"/>
        </w:rPr>
        <w:t>项目概况</w:t>
      </w:r>
    </w:p>
    <w:p>
      <w:pPr>
        <w:adjustRightInd w:val="0"/>
        <w:snapToGrid w:val="0"/>
        <w:spacing w:line="576" w:lineRule="exact"/>
        <w:rPr>
          <w:rFonts w:ascii="仿宋" w:eastAsia="仿宋" w:cs="仿宋_GB2312" w:hAnsi="仿宋"/>
          <w:sz w:val="32"/>
          <w:szCs w:val="32"/>
          <w:lang w:val="zh-CN"/>
        </w:rPr>
      </w:pPr>
      <w:r>
        <w:rPr>
          <w:rFonts w:ascii="仿宋" w:eastAsia="仿宋" w:cs="仿宋_GB2312" w:hAnsi="仿宋" w:hint="eastAsia"/>
          <w:sz w:val="32"/>
          <w:szCs w:val="32"/>
        </w:rPr>
        <w:t>　　（一）宅基地管理工作经费项目申报资金1万元，</w:t>
      </w:r>
      <w:r>
        <w:rPr>
          <w:rFonts w:ascii="仿宋" w:eastAsia="仿宋" w:cs="仿宋_GB2312" w:hAnsi="仿宋" w:hint="eastAsia"/>
          <w:sz w:val="32"/>
          <w:szCs w:val="32"/>
          <w:lang w:val="zh-CN"/>
        </w:rPr>
        <w:t>东坝街道办事处</w:t>
      </w:r>
      <w:r>
        <w:rPr>
          <w:rFonts w:ascii="仿宋" w:eastAsia="仿宋" w:cs="仿宋_GB2312" w:hAnsi="仿宋" w:hint="eastAsia"/>
          <w:sz w:val="32"/>
          <w:szCs w:val="32"/>
        </w:rPr>
        <w:t>2021年1月</w:t>
      </w:r>
      <w:r>
        <w:rPr>
          <w:rFonts w:ascii="仿宋" w:eastAsia="仿宋" w:cs="仿宋_GB2312" w:hAnsi="仿宋" w:hint="eastAsia"/>
          <w:sz w:val="32"/>
          <w:szCs w:val="32"/>
          <w:lang w:val="zh-CN"/>
        </w:rPr>
        <w:t>宅基地管理专项经费项目，得到了财政局的同意，并下达了预算指标（广利财发〔</w:t>
      </w:r>
      <w:r>
        <w:rPr>
          <w:rFonts w:ascii="仿宋" w:eastAsia="仿宋" w:cs="仿宋_GB2312" w:hAnsi="仿宋" w:hint="eastAsia"/>
          <w:sz w:val="32"/>
          <w:szCs w:val="32"/>
        </w:rPr>
        <w:t>2021</w:t>
      </w:r>
      <w:r>
        <w:rPr>
          <w:rFonts w:ascii="仿宋" w:eastAsia="仿宋" w:cs="仿宋_GB2312" w:hAnsi="仿宋" w:hint="eastAsia"/>
          <w:sz w:val="32"/>
          <w:szCs w:val="32"/>
          <w:lang w:val="zh-CN"/>
        </w:rPr>
        <w:t>〕</w:t>
      </w:r>
      <w:r>
        <w:rPr>
          <w:rFonts w:ascii="仿宋" w:eastAsia="仿宋" w:cs="仿宋_GB2312" w:hAnsi="仿宋" w:hint="eastAsia"/>
          <w:sz w:val="32"/>
          <w:szCs w:val="32"/>
        </w:rPr>
        <w:t>8号</w:t>
      </w:r>
      <w:r>
        <w:rPr>
          <w:rFonts w:ascii="仿宋" w:eastAsia="仿宋" w:cs="仿宋_GB2312" w:hAnsi="仿宋" w:hint="eastAsia"/>
          <w:sz w:val="32"/>
          <w:szCs w:val="32"/>
          <w:lang w:val="zh-CN"/>
        </w:rPr>
        <w:t>），项目的申报与批复符合资金管理办法等相关规定。</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二）项目绩效目标保障我办居民合理利用土地，切实保护耕地，规范农村村民宅基地申请、审批程序和住房建设秩序，维护农村村民的合法权益，提升住房建设风格风貌，确保住房建设质量和安全。2021年已完成当年目标任务。</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（三）项目资金申报与具体实施内容相符、申报目标合理可行。</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二、项目实施及管理情况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（一）资金计划、到位及使用情况。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1．该项目各类资金计划及截止评价时点实际全部到位，到位率100％。</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2．截止评价时点项目资金的实际支出情况</w:t>
      </w:r>
      <w:r>
        <w:rPr>
          <w:rFonts w:ascii="仿宋" w:eastAsia="仿宋" w:cs="仿宋_GB2312" w:hAnsi="仿宋" w:hint="eastAsia"/>
          <w:sz w:val="32"/>
          <w:szCs w:val="32"/>
        </w:rPr>
        <w:t>2</w:t>
      </w:r>
      <w:r>
        <w:rPr>
          <w:rFonts w:ascii="仿宋" w:eastAsia="仿宋" w:cs="仿宋_GB2312" w:hAnsi="仿宋" w:hint="eastAsia"/>
          <w:sz w:val="32"/>
          <w:szCs w:val="32"/>
          <w:lang w:val="zh-CN"/>
        </w:rPr>
        <w:t>万元，资金开支包括农村宅基地管理公务支出。</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（二）项目财务管理情况。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该项目财务管理制度完善由农业综合服务中心负责、会计核算及账务处理按财政制度执行。对照项目资金管理办法，评价项目严格执行财务管理制度、财务处理及时、会计核算规范。</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（三）项目组织实施情况。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该项目由农业综合服务中心组织管理及具体实施。</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三、项目绩效情况</w:t>
        <w:tab/>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（一）项目完成情况。</w:t>
      </w:r>
    </w:p>
    <w:p>
      <w:pPr>
        <w:adjustRightInd w:val="0"/>
        <w:snapToGrid w:val="0"/>
        <w:spacing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lang w:val="zh-CN"/>
        </w:rPr>
        <w:t xml:space="preserve"> 该项目完成率100％，全部用于宣传资料制作，</w:t>
      </w:r>
      <w:r>
        <w:rPr>
          <w:rFonts w:ascii="仿宋" w:eastAsia="仿宋" w:hAnsi="仿宋" w:hint="eastAsia"/>
          <w:sz w:val="32"/>
          <w:szCs w:val="32"/>
        </w:rPr>
        <w:t>农村建房有法可依无违法乱建情况出现。</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（二）项目效益情况。</w:t>
      </w:r>
    </w:p>
    <w:p>
      <w:pPr>
        <w:adjustRightInd w:val="0"/>
        <w:snapToGrid w:val="0"/>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该项目有效宣传农村宅基地审批相关法律法规，规范宅基地申报审批，维护辖区稳定，促进了辖区社会经济可持续发展，社会满意度较高。</w:t>
      </w:r>
    </w:p>
    <w:p>
      <w:pPr>
        <w:adjustRightInd w:val="0"/>
        <w:snapToGrid w:val="0"/>
        <w:spacing w:line="576" w:lineRule="exact"/>
        <w:ind w:firstLineChars="200" w:firstLine="640"/>
        <w:rPr>
          <w:rFonts w:ascii="仿宋" w:eastAsia="仿宋" w:cs="黑体" w:hAnsi="仿宋"/>
          <w:b/>
          <w:sz w:val="32"/>
          <w:szCs w:val="32"/>
        </w:rPr>
      </w:pPr>
      <w:r>
        <w:rPr>
          <w:rFonts w:ascii="仿宋" w:eastAsia="仿宋" w:cs="黑体" w:hAnsi="仿宋" w:hint="eastAsia"/>
          <w:b/>
          <w:sz w:val="32"/>
          <w:szCs w:val="32"/>
        </w:rPr>
        <w:t>四、问题及建议</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（一）存在的问题：群众对农村宅基地相关政策法规知晓率依然存在不广。</w:t>
      </w:r>
    </w:p>
    <w:p>
      <w:pPr>
        <w:spacing w:line="576" w:lineRule="exact"/>
        <w:ind w:firstLineChars="200" w:firstLine="640"/>
        <w:rPr>
          <w:rFonts w:ascii="仿宋" w:eastAsia="仿宋" w:cs="仿宋_GB2312" w:hAnsi="仿宋"/>
          <w:sz w:val="32"/>
          <w:szCs w:val="32"/>
          <w:lang w:val="zh-CN"/>
        </w:rPr>
      </w:pPr>
      <w:r>
        <w:rPr>
          <w:rFonts w:ascii="仿宋" w:eastAsia="仿宋" w:cs="仿宋_GB2312" w:hAnsi="仿宋" w:hint="eastAsia"/>
          <w:sz w:val="32"/>
          <w:szCs w:val="32"/>
          <w:lang w:val="zh-CN"/>
        </w:rPr>
        <w:t>（二）相关建议：需进一步加大政策法规宣传。</w:t>
      </w:r>
    </w:p>
    <w:p>
      <w:pPr>
        <w:pStyle w:val="36"/>
        <w:spacing w:line="560" w:lineRule="exact"/>
        <w:jc w:val="center"/>
        <w:rPr>
          <w:rFonts w:ascii="仿宋" w:eastAsia="仿宋" w:hAnsi="仿宋"/>
          <w:sz w:val="32"/>
          <w:szCs w:val="32"/>
        </w:rPr>
      </w:pPr>
    </w:p>
    <w:p>
      <w:pPr>
        <w:pStyle w:val="36"/>
        <w:spacing w:line="560" w:lineRule="exact"/>
        <w:jc w:val="center"/>
        <w:rPr>
          <w:rFonts w:ascii="仿宋" w:eastAsia="仿宋" w:hAnsi="仿宋"/>
          <w:sz w:val="32"/>
          <w:szCs w:val="32"/>
        </w:rPr>
      </w:pPr>
    </w:p>
    <w:p>
      <w:pPr>
        <w:pStyle w:val="36"/>
        <w:spacing w:line="560" w:lineRule="exact"/>
        <w:jc w:val="center"/>
        <w:rPr>
          <w:rFonts w:ascii="方正仿宋简体" w:eastAsia="方正仿宋简体" w:hAnsi="宋体"/>
          <w:sz w:val="32"/>
          <w:szCs w:val="32"/>
        </w:rPr>
      </w:pPr>
    </w:p>
    <w:p>
      <w:pPr>
        <w:pStyle w:val="36"/>
        <w:spacing w:line="560" w:lineRule="exact"/>
        <w:jc w:val="center"/>
        <w:rPr>
          <w:rFonts w:ascii="方正仿宋简体" w:eastAsia="方正仿宋简体" w:hAnsi="宋体" w:hint="eastAsia"/>
          <w:sz w:val="32"/>
          <w:szCs w:val="32"/>
        </w:rPr>
      </w:pPr>
    </w:p>
    <w:p>
      <w:pPr>
        <w:pStyle w:val="36"/>
        <w:spacing w:line="560" w:lineRule="exact"/>
        <w:jc w:val="center"/>
        <w:rPr>
          <w:rFonts w:ascii="方正仿宋简体" w:eastAsia="方正仿宋简体" w:hAnsi="宋体" w:hint="eastAsia"/>
          <w:sz w:val="32"/>
          <w:szCs w:val="32"/>
        </w:rPr>
      </w:pPr>
    </w:p>
    <w:p>
      <w:pPr>
        <w:pStyle w:val="36"/>
        <w:spacing w:line="560" w:lineRule="exact"/>
        <w:jc w:val="center"/>
        <w:rPr>
          <w:rFonts w:ascii="方正仿宋简体" w:eastAsia="方正仿宋简体" w:hAnsi="宋体"/>
          <w:sz w:val="32"/>
          <w:szCs w:val="32"/>
        </w:rPr>
      </w:pPr>
    </w:p>
    <w:p>
      <w:pPr>
        <w:spacing w:line="600" w:lineRule="exact"/>
        <w:outlineLvl w:val="0"/>
        <w:rPr>
          <w:rFonts w:ascii="黑体" w:eastAsia="黑体" w:hAnsi="黑体"/>
          <w:sz w:val="44"/>
          <w:szCs w:val="44"/>
        </w:rPr>
      </w:pPr>
      <w:bookmarkStart w:id="119" w:name="_Toc15396618"/>
    </w:p>
    <w:p>
      <w:pPr>
        <w:spacing w:line="600" w:lineRule="exact"/>
        <w:jc w:val="center"/>
        <w:outlineLvl w:val="0"/>
        <w:rPr>
          <w:rStyle w:val="1Char"/>
          <w:rFonts w:ascii="黑体" w:eastAsia="黑体" w:hAnsi="黑体"/>
          <w:b w:val="0"/>
        </w:rPr>
      </w:pPr>
      <w:bookmarkStart w:id="120" w:name="_Toc16957"/>
      <w:r>
        <w:rPr>
          <w:rFonts w:ascii="黑体" w:eastAsia="黑体" w:hAnsi="黑体" w:hint="eastAsia"/>
          <w:sz w:val="44"/>
          <w:szCs w:val="44"/>
        </w:rPr>
        <w:t>第</w:t>
      </w:r>
      <w:r>
        <w:rPr>
          <w:rStyle w:val="1Char"/>
          <w:rFonts w:ascii="黑体" w:eastAsia="黑体" w:hAnsi="黑体" w:hint="eastAsia"/>
          <w:b w:val="0"/>
        </w:rPr>
        <w:t>五部分 附表</w:t>
      </w:r>
      <w:bookmarkStart w:id="121" w:name="_Toc15396619"/>
      <w:bookmarkEnd w:id="78"/>
      <w:bookmarkEnd w:id="119"/>
      <w:bookmarkEnd w:id="120"/>
    </w:p>
    <w:p>
      <w:pPr>
        <w:pStyle w:val="15"/>
        <w:spacing w:beforeLines="0" w:before="72"/>
      </w:pPr>
    </w:p>
    <w:p>
      <w:pPr>
        <w:spacing w:line="576" w:lineRule="exact"/>
        <w:ind w:firstLineChars="200" w:firstLine="640"/>
        <w:jc w:val="left"/>
        <w:outlineLvl w:val="1"/>
        <w:rPr>
          <w:rFonts w:ascii="宋体" w:eastAsia="方正仿宋简体" w:hAnsi="宋体"/>
          <w:bCs/>
          <w:sz w:val="32"/>
          <w:szCs w:val="32"/>
        </w:rPr>
      </w:pPr>
      <w:bookmarkStart w:id="122" w:name="_Toc19632"/>
      <w:r>
        <w:rPr>
          <w:rFonts w:ascii="宋体" w:eastAsia="方正仿宋简体" w:hAnsi="宋体" w:hint="eastAsia"/>
          <w:bCs/>
          <w:sz w:val="32"/>
          <w:szCs w:val="32"/>
        </w:rPr>
        <w:t>一、收</w:t>
      </w:r>
      <w:r>
        <w:rPr>
          <w:rStyle w:val="2Char"/>
          <w:rFonts w:ascii="宋体" w:eastAsia="方正仿宋简体" w:hAnsi="宋体" w:hint="eastAsia"/>
          <w:b w:val="0"/>
        </w:rPr>
        <w:t>入支出决算总表</w:t>
      </w:r>
      <w:bookmarkEnd w:id="121"/>
      <w:bookmarkEnd w:id="122"/>
    </w:p>
    <w:p>
      <w:pPr>
        <w:pStyle w:val="2"/>
        <w:spacing w:before="0" w:after="0" w:line="576" w:lineRule="exact"/>
        <w:ind w:firstLineChars="200" w:firstLine="640"/>
        <w:jc w:val="left"/>
        <w:rPr>
          <w:rFonts w:ascii="宋体" w:eastAsia="方正仿宋简体" w:hAnsi="宋体"/>
          <w:b w:val="0"/>
        </w:rPr>
      </w:pPr>
      <w:bookmarkStart w:id="123" w:name="_Toc15396620"/>
      <w:bookmarkStart w:id="124" w:name="_Toc22466"/>
      <w:r>
        <w:rPr>
          <w:rFonts w:ascii="宋体" w:eastAsia="方正仿宋简体" w:hAnsi="宋体" w:hint="eastAsia"/>
          <w:b w:val="0"/>
        </w:rPr>
        <w:t>二、收</w:t>
      </w:r>
      <w:r>
        <w:rPr>
          <w:rStyle w:val="2Char"/>
          <w:rFonts w:ascii="宋体" w:eastAsia="方正仿宋简体" w:hAnsi="宋体" w:hint="eastAsia"/>
          <w:b w:val="0"/>
          <w:bCs/>
        </w:rPr>
        <w:t>入决算表</w:t>
      </w:r>
      <w:bookmarkEnd w:id="123"/>
      <w:bookmarkEnd w:id="124"/>
    </w:p>
    <w:p>
      <w:pPr>
        <w:pStyle w:val="2"/>
        <w:spacing w:before="0" w:after="0" w:line="576" w:lineRule="exact"/>
        <w:ind w:firstLineChars="200" w:firstLine="640"/>
        <w:jc w:val="left"/>
        <w:rPr>
          <w:rFonts w:ascii="宋体" w:eastAsia="方正仿宋简体" w:hAnsi="宋体"/>
          <w:b w:val="0"/>
        </w:rPr>
      </w:pPr>
      <w:bookmarkStart w:id="125" w:name="_Toc15396621"/>
      <w:bookmarkStart w:id="126" w:name="_Toc15736"/>
      <w:r>
        <w:rPr>
          <w:rStyle w:val="2Char"/>
          <w:rFonts w:ascii="宋体" w:eastAsia="方正仿宋简体" w:hAnsi="宋体" w:hint="eastAsia"/>
          <w:b w:val="0"/>
          <w:bCs/>
        </w:rPr>
        <w:t>三、</w:t>
      </w:r>
      <w:r>
        <w:rPr>
          <w:rFonts w:ascii="宋体" w:eastAsia="方正仿宋简体" w:hAnsi="宋体" w:hint="eastAsia"/>
          <w:b w:val="0"/>
        </w:rPr>
        <w:t>支</w:t>
      </w:r>
      <w:r>
        <w:rPr>
          <w:rStyle w:val="2Char"/>
          <w:rFonts w:ascii="宋体" w:eastAsia="方正仿宋简体" w:hAnsi="宋体" w:hint="eastAsia"/>
          <w:b w:val="0"/>
          <w:bCs/>
        </w:rPr>
        <w:t>出决算表</w:t>
      </w:r>
      <w:bookmarkEnd w:id="125"/>
      <w:bookmarkEnd w:id="126"/>
    </w:p>
    <w:p>
      <w:pPr>
        <w:pStyle w:val="2"/>
        <w:spacing w:before="0" w:after="0" w:line="576" w:lineRule="exact"/>
        <w:ind w:firstLineChars="200" w:firstLine="640"/>
        <w:jc w:val="left"/>
        <w:rPr>
          <w:rFonts w:ascii="宋体" w:eastAsia="方正仿宋简体" w:hAnsi="宋体"/>
          <w:b w:val="0"/>
        </w:rPr>
      </w:pPr>
      <w:bookmarkStart w:id="127" w:name="_Toc15396622"/>
      <w:bookmarkStart w:id="128" w:name="_Toc9473"/>
      <w:r>
        <w:rPr>
          <w:rStyle w:val="2Char"/>
          <w:rFonts w:ascii="宋体" w:eastAsia="方正仿宋简体" w:hAnsi="宋体" w:hint="eastAsia"/>
          <w:b w:val="0"/>
          <w:bCs/>
        </w:rPr>
        <w:t>四、</w:t>
      </w:r>
      <w:r>
        <w:rPr>
          <w:rFonts w:ascii="宋体" w:eastAsia="方正仿宋简体" w:hAnsi="宋体" w:hint="eastAsia"/>
          <w:b w:val="0"/>
        </w:rPr>
        <w:t>财</w:t>
      </w:r>
      <w:r>
        <w:rPr>
          <w:rStyle w:val="2Char"/>
          <w:rFonts w:ascii="宋体" w:eastAsia="方正仿宋简体" w:hAnsi="宋体" w:hint="eastAsia"/>
          <w:b w:val="0"/>
          <w:bCs/>
        </w:rPr>
        <w:t>政拨款收入支出决算总表</w:t>
      </w:r>
      <w:bookmarkEnd w:id="127"/>
      <w:bookmarkEnd w:id="128"/>
    </w:p>
    <w:p>
      <w:pPr>
        <w:pStyle w:val="2"/>
        <w:spacing w:before="0" w:after="0" w:line="576" w:lineRule="exact"/>
        <w:ind w:firstLineChars="200" w:firstLine="640"/>
        <w:jc w:val="left"/>
        <w:rPr>
          <w:rStyle w:val="2Char"/>
          <w:rFonts w:ascii="宋体" w:eastAsia="方正仿宋简体" w:hAnsi="宋体"/>
          <w:b w:val="0"/>
          <w:bCs/>
        </w:rPr>
      </w:pPr>
      <w:bookmarkStart w:id="129" w:name="_Toc15396623"/>
      <w:bookmarkStart w:id="130" w:name="_Toc23577"/>
      <w:r>
        <w:rPr>
          <w:rStyle w:val="2Char"/>
          <w:rFonts w:ascii="宋体" w:eastAsia="方正仿宋简体" w:hAnsi="宋体" w:hint="eastAsia"/>
          <w:b w:val="0"/>
          <w:bCs/>
        </w:rPr>
        <w:t>五、</w:t>
      </w:r>
      <w:r>
        <w:rPr>
          <w:rFonts w:ascii="宋体" w:eastAsia="方正仿宋简体" w:hAnsi="宋体" w:hint="eastAsia"/>
          <w:b w:val="0"/>
        </w:rPr>
        <w:t>财</w:t>
      </w:r>
      <w:r>
        <w:rPr>
          <w:rStyle w:val="2Char"/>
          <w:rFonts w:ascii="宋体" w:eastAsia="方正仿宋简体" w:hAnsi="宋体" w:hint="eastAsia"/>
          <w:b w:val="0"/>
          <w:bCs/>
        </w:rPr>
        <w:t>政拨款支出决算明细表</w:t>
      </w:r>
      <w:bookmarkStart w:id="131" w:name="_Toc15396624"/>
      <w:bookmarkEnd w:id="129"/>
      <w:bookmarkEnd w:id="130"/>
    </w:p>
    <w:p>
      <w:pPr>
        <w:pStyle w:val="2"/>
        <w:spacing w:before="0" w:after="0" w:line="576" w:lineRule="exact"/>
        <w:ind w:firstLineChars="200" w:firstLine="640"/>
        <w:jc w:val="left"/>
        <w:rPr>
          <w:rFonts w:ascii="宋体" w:eastAsia="方正仿宋简体" w:hAnsi="宋体"/>
          <w:b w:val="0"/>
        </w:rPr>
      </w:pPr>
      <w:bookmarkStart w:id="132" w:name="_Toc1708"/>
      <w:r>
        <w:rPr>
          <w:rStyle w:val="2Char"/>
          <w:rFonts w:ascii="宋体" w:eastAsia="方正仿宋简体" w:hAnsi="宋体" w:hint="eastAsia"/>
          <w:b w:val="0"/>
          <w:bCs/>
        </w:rPr>
        <w:t>六、</w:t>
      </w:r>
      <w:r>
        <w:rPr>
          <w:rFonts w:ascii="宋体" w:eastAsia="方正仿宋简体" w:hAnsi="宋体" w:hint="eastAsia"/>
          <w:b w:val="0"/>
        </w:rPr>
        <w:t>一</w:t>
      </w:r>
      <w:r>
        <w:rPr>
          <w:rStyle w:val="2Char"/>
          <w:rFonts w:ascii="宋体" w:eastAsia="方正仿宋简体" w:hAnsi="宋体" w:hint="eastAsia"/>
          <w:b w:val="0"/>
          <w:bCs/>
        </w:rPr>
        <w:t>般公共预算财政拨款支出决算表</w:t>
      </w:r>
      <w:bookmarkEnd w:id="131"/>
      <w:bookmarkEnd w:id="132"/>
    </w:p>
    <w:p>
      <w:pPr>
        <w:pStyle w:val="2"/>
        <w:spacing w:before="0" w:after="0" w:line="576" w:lineRule="exact"/>
        <w:ind w:firstLineChars="200" w:firstLine="640"/>
        <w:jc w:val="left"/>
        <w:rPr>
          <w:rFonts w:ascii="宋体" w:eastAsia="方正仿宋简体" w:hAnsi="宋体"/>
          <w:b w:val="0"/>
        </w:rPr>
      </w:pPr>
      <w:bookmarkStart w:id="133" w:name="_Toc15396625"/>
      <w:bookmarkStart w:id="134" w:name="_Toc3217"/>
      <w:r>
        <w:rPr>
          <w:rStyle w:val="2Char"/>
          <w:rFonts w:ascii="宋体" w:eastAsia="方正仿宋简体" w:hAnsi="宋体" w:hint="eastAsia"/>
          <w:b w:val="0"/>
          <w:bCs/>
        </w:rPr>
        <w:t>七、</w:t>
      </w:r>
      <w:r>
        <w:rPr>
          <w:rFonts w:ascii="宋体" w:eastAsia="方正仿宋简体" w:hAnsi="宋体" w:hint="eastAsia"/>
          <w:b w:val="0"/>
        </w:rPr>
        <w:t>一</w:t>
      </w:r>
      <w:r>
        <w:rPr>
          <w:rStyle w:val="2Char"/>
          <w:rFonts w:ascii="宋体" w:eastAsia="方正仿宋简体" w:hAnsi="宋体" w:hint="eastAsia"/>
          <w:b w:val="0"/>
          <w:bCs/>
        </w:rPr>
        <w:t>般公共预算财政拨款支出决算明细表</w:t>
      </w:r>
      <w:bookmarkEnd w:id="133"/>
      <w:bookmarkEnd w:id="134"/>
    </w:p>
    <w:p>
      <w:pPr>
        <w:pStyle w:val="2"/>
        <w:spacing w:before="0" w:after="0" w:line="576" w:lineRule="exact"/>
        <w:ind w:firstLineChars="200" w:firstLine="640"/>
        <w:jc w:val="left"/>
        <w:rPr>
          <w:rFonts w:ascii="宋体" w:eastAsia="方正仿宋简体" w:hAnsi="宋体"/>
          <w:b w:val="0"/>
        </w:rPr>
      </w:pPr>
      <w:bookmarkStart w:id="135" w:name="_Toc15396626"/>
      <w:bookmarkStart w:id="136" w:name="_Toc19065"/>
      <w:r>
        <w:rPr>
          <w:rStyle w:val="2Char"/>
          <w:rFonts w:ascii="宋体" w:eastAsia="方正仿宋简体" w:hAnsi="宋体" w:hint="eastAsia"/>
          <w:b w:val="0"/>
          <w:bCs/>
        </w:rPr>
        <w:t>八、</w:t>
      </w:r>
      <w:r>
        <w:rPr>
          <w:rFonts w:ascii="宋体" w:eastAsia="方正仿宋简体" w:hAnsi="宋体" w:hint="eastAsia"/>
          <w:b w:val="0"/>
        </w:rPr>
        <w:t>一</w:t>
      </w:r>
      <w:r>
        <w:rPr>
          <w:rStyle w:val="2Char"/>
          <w:rFonts w:ascii="宋体" w:eastAsia="方正仿宋简体" w:hAnsi="宋体" w:hint="eastAsia"/>
          <w:b w:val="0"/>
          <w:bCs/>
        </w:rPr>
        <w:t>般公共预算财政拨款基本支出决算表</w:t>
      </w:r>
      <w:bookmarkEnd w:id="135"/>
      <w:bookmarkEnd w:id="136"/>
    </w:p>
    <w:p>
      <w:pPr>
        <w:pStyle w:val="2"/>
        <w:spacing w:before="0" w:after="0" w:line="576" w:lineRule="exact"/>
        <w:ind w:firstLineChars="200" w:firstLine="640"/>
        <w:jc w:val="left"/>
        <w:rPr>
          <w:rFonts w:ascii="宋体" w:eastAsia="方正仿宋简体" w:hAnsi="宋体"/>
          <w:b w:val="0"/>
        </w:rPr>
      </w:pPr>
      <w:bookmarkStart w:id="137" w:name="_Toc15396627"/>
      <w:bookmarkStart w:id="138" w:name="_Toc16553"/>
      <w:r>
        <w:rPr>
          <w:rStyle w:val="2Char"/>
          <w:rFonts w:ascii="宋体" w:eastAsia="方正仿宋简体" w:hAnsi="宋体" w:hint="eastAsia"/>
          <w:b w:val="0"/>
          <w:bCs/>
        </w:rPr>
        <w:t>九、</w:t>
      </w:r>
      <w:r>
        <w:rPr>
          <w:rFonts w:ascii="宋体" w:eastAsia="方正仿宋简体" w:hAnsi="宋体" w:hint="eastAsia"/>
          <w:b w:val="0"/>
        </w:rPr>
        <w:t>一</w:t>
      </w:r>
      <w:r>
        <w:rPr>
          <w:rStyle w:val="2Char"/>
          <w:rFonts w:ascii="宋体" w:eastAsia="方正仿宋简体" w:hAnsi="宋体" w:hint="eastAsia"/>
          <w:b w:val="0"/>
          <w:bCs/>
        </w:rPr>
        <w:t>般公共预算财政拨款项目支出决算表</w:t>
      </w:r>
      <w:bookmarkEnd w:id="137"/>
      <w:bookmarkEnd w:id="138"/>
    </w:p>
    <w:p>
      <w:pPr>
        <w:pStyle w:val="2"/>
        <w:spacing w:before="0" w:after="0" w:line="576" w:lineRule="exact"/>
        <w:ind w:firstLineChars="200" w:firstLine="640"/>
        <w:jc w:val="left"/>
        <w:rPr>
          <w:rFonts w:ascii="宋体" w:eastAsia="方正仿宋简体" w:hAnsi="宋体"/>
          <w:b w:val="0"/>
        </w:rPr>
      </w:pPr>
      <w:bookmarkStart w:id="139" w:name="_Toc15396628"/>
      <w:bookmarkStart w:id="140" w:name="_Toc12880"/>
      <w:r>
        <w:rPr>
          <w:rStyle w:val="2Char"/>
          <w:rFonts w:ascii="宋体" w:eastAsia="方正仿宋简体" w:hAnsi="宋体" w:hint="eastAsia"/>
          <w:b w:val="0"/>
          <w:bCs/>
        </w:rPr>
        <w:t>十、</w:t>
      </w:r>
      <w:r>
        <w:rPr>
          <w:rFonts w:ascii="宋体" w:eastAsia="方正仿宋简体" w:hAnsi="宋体" w:hint="eastAsia"/>
          <w:b w:val="0"/>
        </w:rPr>
        <w:t>一</w:t>
      </w:r>
      <w:r>
        <w:rPr>
          <w:rStyle w:val="2Char"/>
          <w:rFonts w:ascii="宋体" w:eastAsia="方正仿宋简体" w:hAnsi="宋体" w:hint="eastAsia"/>
          <w:b w:val="0"/>
          <w:bCs/>
        </w:rPr>
        <w:t>般公共预算财政拨款“三公”经费支出决算表</w:t>
      </w:r>
      <w:bookmarkEnd w:id="139"/>
      <w:bookmarkEnd w:id="140"/>
    </w:p>
    <w:p>
      <w:pPr>
        <w:pStyle w:val="2"/>
        <w:spacing w:before="0" w:after="0" w:line="576" w:lineRule="exact"/>
        <w:ind w:firstLineChars="200" w:firstLine="640"/>
        <w:jc w:val="left"/>
        <w:rPr>
          <w:rFonts w:ascii="宋体" w:eastAsia="方正仿宋简体" w:hAnsi="宋体"/>
          <w:b w:val="0"/>
        </w:rPr>
      </w:pPr>
      <w:bookmarkStart w:id="141" w:name="_Toc15396629"/>
      <w:bookmarkStart w:id="142" w:name="_Toc29926"/>
      <w:r>
        <w:rPr>
          <w:rStyle w:val="2Char"/>
          <w:rFonts w:ascii="宋体" w:eastAsia="方正仿宋简体" w:hAnsi="宋体" w:hint="eastAsia"/>
          <w:b w:val="0"/>
          <w:bCs/>
        </w:rPr>
        <w:t>十一、</w:t>
      </w:r>
      <w:r>
        <w:rPr>
          <w:rFonts w:ascii="宋体" w:eastAsia="方正仿宋简体" w:hAnsi="宋体" w:hint="eastAsia"/>
          <w:b w:val="0"/>
        </w:rPr>
        <w:t>政</w:t>
      </w:r>
      <w:r>
        <w:rPr>
          <w:rStyle w:val="2Char"/>
          <w:rFonts w:ascii="宋体" w:eastAsia="方正仿宋简体" w:hAnsi="宋体" w:hint="eastAsia"/>
          <w:b w:val="0"/>
          <w:bCs/>
        </w:rPr>
        <w:t>府性基金预算财政拨款收入支出决算表</w:t>
      </w:r>
      <w:bookmarkEnd w:id="141"/>
      <w:bookmarkEnd w:id="142"/>
    </w:p>
    <w:p>
      <w:pPr>
        <w:pStyle w:val="2"/>
        <w:spacing w:before="0" w:after="0" w:line="576" w:lineRule="exact"/>
        <w:ind w:firstLineChars="200" w:firstLine="640"/>
        <w:jc w:val="left"/>
        <w:rPr>
          <w:rFonts w:ascii="宋体" w:eastAsia="方正仿宋简体" w:hAnsi="宋体"/>
          <w:b w:val="0"/>
        </w:rPr>
      </w:pPr>
      <w:bookmarkStart w:id="143" w:name="_Toc15396630"/>
      <w:bookmarkStart w:id="144" w:name="_Toc27126"/>
      <w:r>
        <w:rPr>
          <w:rStyle w:val="2Char"/>
          <w:rFonts w:ascii="宋体" w:eastAsia="方正仿宋简体" w:hAnsi="宋体" w:hint="eastAsia"/>
          <w:b w:val="0"/>
          <w:bCs/>
        </w:rPr>
        <w:t>十二、</w:t>
      </w:r>
      <w:r>
        <w:rPr>
          <w:rFonts w:ascii="宋体" w:eastAsia="方正仿宋简体" w:hAnsi="宋体" w:hint="eastAsia"/>
          <w:b w:val="0"/>
        </w:rPr>
        <w:t>政</w:t>
      </w:r>
      <w:r>
        <w:rPr>
          <w:rStyle w:val="2Char"/>
          <w:rFonts w:ascii="宋体" w:eastAsia="方正仿宋简体" w:hAnsi="宋体" w:hint="eastAsia"/>
          <w:b w:val="0"/>
          <w:bCs/>
        </w:rPr>
        <w:t>府性基金预算财政拨款“三公”经费支出决算表</w:t>
      </w:r>
      <w:bookmarkEnd w:id="143"/>
      <w:bookmarkEnd w:id="144"/>
    </w:p>
    <w:p>
      <w:pPr>
        <w:pStyle w:val="2"/>
        <w:spacing w:before="0" w:after="0" w:line="576" w:lineRule="exact"/>
        <w:ind w:firstLineChars="200" w:firstLine="640"/>
        <w:jc w:val="left"/>
        <w:rPr>
          <w:rStyle w:val="2Char"/>
          <w:rFonts w:ascii="宋体" w:eastAsia="方正仿宋简体" w:hAnsi="宋体"/>
          <w:b w:val="0"/>
          <w:bCs/>
        </w:rPr>
      </w:pPr>
      <w:bookmarkStart w:id="145" w:name="_Toc15396631"/>
      <w:bookmarkStart w:id="146" w:name="_Toc2560"/>
      <w:r>
        <w:rPr>
          <w:rStyle w:val="2Char"/>
          <w:rFonts w:ascii="宋体" w:eastAsia="方正仿宋简体" w:hAnsi="宋体" w:hint="eastAsia"/>
          <w:b w:val="0"/>
          <w:bCs/>
        </w:rPr>
        <w:t>十三、</w:t>
      </w:r>
      <w:r>
        <w:rPr>
          <w:rFonts w:ascii="宋体" w:eastAsia="方正仿宋简体" w:hAnsi="宋体" w:hint="eastAsia"/>
          <w:b w:val="0"/>
        </w:rPr>
        <w:t>国</w:t>
      </w:r>
      <w:r>
        <w:rPr>
          <w:rStyle w:val="2Char"/>
          <w:rFonts w:ascii="宋体" w:eastAsia="方正仿宋简体" w:hAnsi="宋体" w:hint="eastAsia"/>
          <w:b w:val="0"/>
          <w:bCs/>
        </w:rPr>
        <w:t>有资本经营预算财政拨款收入支出决算表</w:t>
      </w:r>
      <w:bookmarkEnd w:id="145"/>
      <w:bookmarkEnd w:id="146"/>
    </w:p>
    <w:p>
      <w:pPr>
        <w:spacing w:line="576" w:lineRule="exact"/>
        <w:ind w:firstLineChars="200" w:firstLine="640"/>
        <w:jc w:val="left"/>
        <w:rPr>
          <w:rFonts w:ascii="宋体" w:eastAsia="方正仿宋简体" w:hAnsi="宋体"/>
          <w:bCs/>
          <w:sz w:val="32"/>
          <w:szCs w:val="32"/>
        </w:rPr>
      </w:pPr>
      <w:bookmarkStart w:id="147" w:name="_Toc19232"/>
      <w:r>
        <w:rPr>
          <w:rStyle w:val="2Char"/>
          <w:rFonts w:ascii="宋体" w:eastAsia="方正仿宋简体" w:hAnsi="宋体" w:hint="eastAsia"/>
          <w:b w:val="0"/>
        </w:rPr>
        <w:t>十四、国有资本经营预算财政拨款支出决算表</w:t>
      </w:r>
      <w:bookmarkEnd w:id="147"/>
    </w:p>
    <w:p>
      <w:pPr>
        <w:rPr>
          <w:rFonts w:ascii="宋体" w:eastAsia="方正仿宋简体" w:hAnsi="宋体"/>
          <w:sz w:val="32"/>
          <w:szCs w:val="32"/>
        </w:rPr>
      </w:pPr>
    </w:p>
    <w:p>
      <w:pPr>
        <w:rPr>
          <w:rFonts w:ascii="宋体" w:eastAsia="方正仿宋简体" w:hAnsi="宋体"/>
          <w:sz w:val="32"/>
          <w:szCs w:val="32"/>
        </w:rPr>
      </w:pPr>
    </w:p>
    <w:sectPr>
      <w:headerReference w:type="default" r:id="rId2"/>
      <w:footerReference w:type="default" r:id="rId3"/>
      <w:pgSz w:w="11906" w:h="16838"/>
      <w:pgMar w:top="2098" w:right="1474" w:bottom="1985" w:left="1588" w:header="851" w:footer="1418" w:gutter="0"/>
      <w:pgNumType w:start="0"/>
      <w:cols w:num="1" w:space="425"/>
      <w:titlePg/>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简体">
    <w:panose1 w:val="03000509000000000000"/>
    <w:charset w:val="86"/>
    <w:family w:val="auto"/>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00" w:usb3="00000000" w:csb0="00040000" w:csb1="00000000"/>
  </w:font>
  <w:font w:name="方正魏碑_GBK">
    <w:panose1 w:val="03000509000000000000"/>
    <w:charset w:val="86"/>
    <w:family w:val="script"/>
    <w:pitch w:val="variable"/>
    <w:sig w:usb0="00000001" w:usb1="080E0000" w:usb2="00000000" w:usb3="00000000" w:csb0="00040000" w:csb1="00000000"/>
  </w:font>
  <w:font w:name="方正黑体简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
    <w:altName w:val="楷体_GB2312"/>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auto"/>
    <w:pitch w:val="variable"/>
    <w:sig w:usb0="00000000" w:usb1="00000000" w:usb2="00000000" w:usb3="00000000" w:csb0="00040000" w:csb1="00000000"/>
  </w:font>
  <w:font w:name="方正大标宋简体">
    <w:altName w:val="方正小标宋简体"/>
    <w:panose1 w:val="03000509000000000000"/>
    <w:charset w:val="86"/>
    <w:family w:val="auto"/>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仿宋">
    <w:altName w:val="仿宋_GB2312"/>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2000019F" w:csb1="00000000"/>
  </w:font>
  <w:font w:name="Times New Roman">
    <w:panose1 w:val="02020603050405020304"/>
    <w:charset w:val="00"/>
    <w:family w:val="roman"/>
    <w:pitch w:val="variable"/>
    <w:sig w:usb0="20007A87" w:usb1="80000000" w:usb2="00000008" w:usb3="00000000" w:csb0="000001FF" w:csb1="00000000"/>
  </w:font>
  <w:font w:name="方正楷体简体">
    <w:panose1 w:val="03000509000000000000"/>
    <w:charset w:val="86"/>
    <w:family w:val="script"/>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106651792"/>
    </w:sdtPr>
    <w:sdtEndPr>
      <w:rPr>
        <w:rFonts w:ascii="宋体" w:hAnsi="宋体"/>
        <w:sz w:val="28"/>
        <w:szCs w:val="28"/>
      </w:rPr>
    </w:sdtEndPr>
    <w:sdtContent>
      <w:p>
        <w:pPr>
          <w:pStyle w:val="19"/>
          <w:tabs>
            <w:tab w:val="center" w:pos="4153"/>
            <w:tab w:val="right" w:pos="8306"/>
          </w:tabs>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sdtContent>
  </w:sdt>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652CEC"/>
    <w:multiLevelType w:val="singleLevel"/>
    <w:tmpl w:val="CF652CEC"/>
    <w:lvl w:ilvl="0">
      <w:start w:val="9"/>
      <w:numFmt w:val="chineseCounting"/>
      <w:lvlRestart w:val="0"/>
      <w:suff w:val="nothing"/>
      <w:lvlText w:val="%1、"/>
      <w:lvlJc w:val="left"/>
      <w:pPr/>
      <w:rPr>
        <w:rFonts w:hint="eastAsia"/>
      </w:rPr>
    </w:lvl>
  </w:abstractNum>
  <w:abstractNum w:abstractNumId="1">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2">
    <w:nsid w:val="329A3DE6"/>
    <w:multiLevelType w:val="singleLevel"/>
    <w:tmpl w:val="329A3DE6"/>
    <w:lvl w:ilvl="0">
      <w:start w:val="1"/>
      <w:numFmt w:val="decimalEnclosedCircleChinese"/>
      <w:lvlRestart w:val="0"/>
      <w:suff w:val="nothing"/>
      <w:lvlText w:val="%1　"/>
      <w:lvlJc w:val="left"/>
      <w:pPr>
        <w:ind w:left="0" w:firstLine="400"/>
      </w:pPr>
      <w:rPr>
        <w:rFonts w:ascii="仿宋" w:hAnsi="仿宋" w:eastAsia="仿宋" w:cs="仿宋" w:hint="eastAsia"/>
        <w:sz w:val="32"/>
        <w:szCs w:val="32"/>
      </w:rPr>
    </w:lvl>
  </w:abstractNum>
  <w:abstractNum w:abstractNumId="3">
    <w:nsid w:val="023F4809"/>
    <w:multiLevelType w:val="singleLevel"/>
    <w:tmpl w:val="023F4809"/>
    <w:lvl w:ilvl="0">
      <w:start w:val="1"/>
      <w:numFmt w:val="decimalEnclosedCircleChinese"/>
      <w:lvlRestart w:val="0"/>
      <w:suff w:val="nothing"/>
      <w:lvlText w:val="%1　"/>
      <w:lvlJc w:val="left"/>
      <w:pPr>
        <w:ind w:left="-504" w:firstLine="400"/>
      </w:pPr>
      <w:rPr>
        <w:rFonts w:ascii="仿宋" w:hAnsi="仿宋" w:eastAsia="仿宋" w:cs="仿宋" w:hint="eastAsia"/>
        <w:sz w:val="32"/>
        <w:szCs w:val="32"/>
      </w:rPr>
    </w:lvl>
  </w:abstractNum>
  <w:abstractNum w:abstractNumId="4">
    <w:nsid w:val="E9CB74E9"/>
    <w:multiLevelType w:val="singleLevel"/>
    <w:tmpl w:val="E9CB74E9"/>
    <w:lvl w:ilvl="0">
      <w:start w:val="5"/>
      <w:numFmt w:val="decimal"/>
      <w:lvlRestart w:val="0"/>
      <w:suff w:val="nothing"/>
      <w:lvlText w:val="%1．"/>
      <w:lvlJc w:val="left"/>
      <w:pPr/>
    </w:lvl>
  </w:abstractNum>
  <w:abstractNum w:abstractNumId="5">
    <w:nsid w:val="A219185F"/>
    <w:multiLevelType w:val="singleLevel"/>
    <w:tmpl w:val="A219185F"/>
    <w:lvl w:ilvl="0">
      <w:start w:val="1"/>
      <w:numFmt w:val="decimalEnclosedCircleChinese"/>
      <w:lvlRestart w:val="0"/>
      <w:suff w:val="nothing"/>
      <w:lvlText w:val="%1　"/>
      <w:lvlJc w:val="left"/>
      <w:pPr>
        <w:ind w:left="0" w:firstLine="400"/>
      </w:pPr>
      <w:rPr>
        <w:rFonts w:ascii="仿宋" w:hAnsi="仿宋" w:eastAsia="仿宋" w:cs="仿宋" w:hint="eastAsia"/>
        <w:sz w:val="32"/>
        <w:szCs w:val="32"/>
      </w:rPr>
    </w:lvl>
  </w:abstractNum>
  <w:abstractNum w:abstractNumId="6">
    <w:nsid w:val="A06ABDCB"/>
    <w:multiLevelType w:val="singleLevel"/>
    <w:tmpl w:val="A06ABDCB"/>
    <w:lvl w:ilvl="0">
      <w:start w:val="1"/>
      <w:numFmt w:val="decimalEnclosedCircleChinese"/>
      <w:lvlRestart w:val="0"/>
      <w:suff w:val="nothing"/>
      <w:lvlText w:val="%1　"/>
      <w:lvlJc w:val="left"/>
      <w:pPr>
        <w:ind w:left="0" w:firstLine="400"/>
      </w:pPr>
      <w:rPr>
        <w:rFonts w:hint="eastAsia"/>
      </w:rPr>
    </w:lvl>
  </w:abstractNum>
  <w:abstractNum w:abstractNumId="7">
    <w:nsid w:val="CC51BECF"/>
    <w:multiLevelType w:val="singleLevel"/>
    <w:tmpl w:val="CC51BECF"/>
    <w:lvl w:ilvl="0">
      <w:start w:val="1"/>
      <w:numFmt w:val="decimalEnclosedCircleChinese"/>
      <w:lvlRestart w:val="0"/>
      <w:suff w:val="nothing"/>
      <w:lvlText w:val="%1　"/>
      <w:lvlJc w:val="left"/>
      <w:pPr>
        <w:ind w:left="0" w:firstLine="400"/>
      </w:pPr>
      <w:rPr>
        <w:rFonts w:hint="eastAsia"/>
      </w:rPr>
    </w:lvl>
  </w:abstractNum>
  <w:abstractNum w:abstractNumId="8">
    <w:nsid w:val="FBFAC8A7"/>
    <w:multiLevelType w:val="singleLevel"/>
    <w:tmpl w:val="FBFAC8A7"/>
    <w:lvl w:ilvl="0">
      <w:start w:val="1"/>
      <w:numFmt w:val="decimalEnclosedCircleChinese"/>
      <w:lvlRestart w:val="0"/>
      <w:suff w:val="nothing"/>
      <w:lvlText w:val="%1　"/>
      <w:lvlJc w:val="left"/>
      <w:pPr>
        <w:ind w:left="0" w:firstLine="400"/>
      </w:pPr>
      <w:rPr>
        <w:rFonts w:hint="eastAsia"/>
      </w:rPr>
    </w:lvl>
  </w:abstractNum>
  <w:abstractNum w:abstractNumId="9">
    <w:nsid w:val="FA2C5C97"/>
    <w:multiLevelType w:val="singleLevel"/>
    <w:tmpl w:val="FA2C5C97"/>
    <w:lvl w:ilvl="0">
      <w:start w:val="1"/>
      <w:numFmt w:val="chineseCounting"/>
      <w:lvlRestart w:val="0"/>
      <w:suff w:val="nothing"/>
      <w:lvlText w:val="%1、"/>
      <w:lvlJc w:val="left"/>
      <w:pPr/>
      <w:rPr>
        <w:rFonts w:hint="eastAsia"/>
      </w:rPr>
    </w:lvl>
  </w:abstractNum>
  <w:abstractNum w:abstractNumId="10">
    <w:nsid w:val="F784ED60"/>
    <w:multiLevelType w:val="singleLevel"/>
    <w:tmpl w:val="F784ED60"/>
    <w:lvl w:ilvl="0">
      <w:start w:val="3"/>
      <w:numFmt w:val="chineseCounting"/>
      <w:lvlRestart w:val="0"/>
      <w:suff w:val="nothing"/>
      <w:lvlText w:val="%1、"/>
      <w:lvlJc w:val="left"/>
      <w:pPr/>
      <w:rPr>
        <w:rFonts w:ascii="方正黑体简体" w:hAnsi="方正黑体简体" w:eastAsia="方正黑体简体" w:hint="eastAsia"/>
      </w:rPr>
    </w:lvl>
  </w:abstractNum>
  <w:abstractNum w:abstractNumId="11">
    <w:nsid w:val="BEB96AEF"/>
    <w:multiLevelType w:val="singleLevel"/>
    <w:tmpl w:val="BEB96AEF"/>
    <w:lvl w:ilvl="0">
      <w:start w:val="2"/>
      <w:numFmt w:val="chineseCounting"/>
      <w:lvlRestart w:val="0"/>
      <w:suff w:val="nothing"/>
      <w:lvlText w:val="（%1）"/>
      <w:lvlJc w:val="left"/>
      <w:pPr/>
      <w:rPr>
        <w:rFonts w:hint="eastAsia"/>
      </w:rPr>
    </w:lvl>
  </w:abstractNum>
  <w:abstractNum w:abstractNumId="12">
    <w:nsid w:val="024B14E4"/>
    <w:multiLevelType w:val="multilevel"/>
    <w:tmpl w:val="024B14E4"/>
    <w:lvl w:ilvl="0">
      <w:start w:val="1"/>
      <w:numFmt w:val="japaneseCounting"/>
      <w:lvlRestart w:val="0"/>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9"/>
  <w:bordersDoNotSurroundHeader/>
  <w:bordersDoNotSurroundFooter/>
  <w:documentProtection w:edit="readOnly" w:enforcement="0"/>
  <w:defaultTabStop w:val="420"/>
  <w:mirrorMargin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TJjODY4ZDAwNTI0ODQ1NjI3NWExZjUwYmI0MGRjOD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pPr>
      <w:spacing w:after="120"/>
      <w:ind w:leftChars="200" w:left="200"/>
    </w:pPr>
  </w:style>
  <w:style w:type="paragraph" w:styleId="17">
    <w:name w:val="toc 3"/>
    <w:basedOn w:val="0"/>
    <w:next w:val="0"/>
    <w:pPr>
      <w:tabs>
        <w:tab w:val="right" w:leader="dot" w:pos="8296"/>
      </w:tabs>
      <w:ind w:leftChars="400" w:left="4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hAnsi="仿宋"/>
      <w:sz w:val="28"/>
      <w:szCs w:val="28"/>
    </w:rPr>
  </w:style>
  <w:style w:type="paragraph" w:styleId="22">
    <w:name w:val="toc 2"/>
    <w:basedOn w:val="0"/>
    <w:next w:val="0"/>
    <w:pPr>
      <w:tabs>
        <w:tab w:val="right" w:leader="dot" w:pos="8296"/>
      </w:tabs>
      <w:ind w:leftChars="200" w:left="200"/>
    </w:pPr>
  </w:style>
  <w:style w:type="paragraph" w:styleId="23">
    <w:name w:val="Normal (Web)"/>
    <w:basedOn w:val="0"/>
    <w:pPr>
      <w:spacing w:before="100" w:beforeAutospacing="1" w:after="100" w:afterAutospacing="1"/>
      <w:jc w:val="left"/>
    </w:pPr>
    <w:rPr>
      <w:kern w:val="0"/>
      <w:sz w:val="24"/>
    </w:rPr>
  </w:style>
  <w:style w:type="paragraph" w:styleId="24">
    <w:name w:val="Body Text First Indent 2"/>
    <w:basedOn w:val="16"/>
    <w:next w:val="0"/>
    <w:pPr>
      <w:spacing w:before="100" w:beforeAutospacing="1" w:after="100" w:afterAutospacing="1"/>
      <w:ind w:firstLineChars="200" w:firstLine="200"/>
    </w:pPr>
  </w:style>
  <w:style w:type="character" w:styleId="25">
    <w:name w:val="Strong"/>
    <w:basedOn w:val="10"/>
    <w:rPr>
      <w:b/>
    </w:rPr>
  </w:style>
  <w:style w:type="character" w:styleId="26">
    <w:name w:val="page number"/>
    <w:basedOn w:val="10"/>
  </w:style>
  <w:style w:type="character" w:styleId="27">
    <w:name w:val="Hyperlink"/>
    <w:basedOn w:val="10"/>
    <w:rPr>
      <w:color w:val="0000FF"/>
      <w:u w:val="single"/>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4">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列表段落1"/>
    <w:basedOn w:val="0"/>
    <w:pPr>
      <w:ind w:firstLineChars="200" w:firstLine="200"/>
    </w:pPr>
  </w:style>
  <w:style w:type="paragraph" w:customStyle="1" w:styleId="36">
    <w:name w:val="四号正文"/>
    <w:basedOn w:val="0"/>
    <w:pPr>
      <w:spacing w:line="360" w:lineRule="auto"/>
    </w:pPr>
    <w:rPr>
      <w:rFonts w:ascii="??" w:hAnsi="??"/>
      <w:color w:val="000000"/>
      <w:kern w:val="0"/>
      <w:sz w:val="28"/>
      <w:szCs w:val="21"/>
      <w:lang w:val="zh-CN"/>
    </w:rPr>
  </w:style>
  <w:style w:type="paragraph" w:customStyle="1" w:styleId="37">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rgbClr val="4F81BD"/>
            </a:solidFill>
            <a:ln>
              <a:noFill/>
            </a:ln>
          </c:spPr>
          <c:invertIfNegative val="0"/>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a:t>1045.73</a:t>
                    </a:r>
                  </a:p>
                </c:rich>
              </c:tx>
              <c:showLegendKey val="0"/>
              <c:showVal val="1"/>
              <c:showCatName val="0"/>
              <c:showSerName val="0"/>
              <c:showPercent val="0"/>
              <c:showBubbleSize val="0"/>
            </c:dLbl>
            <c:dLbl>
              <c:idx val="1"/>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a:t>1045.73</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'Sheet1'!$B$2:$B$3</c:f>
              <c:numCache>
                <c:formatCode>General</c:formatCode>
                <c:ptCount val="2"/>
                <c:pt idx="0">
                  <c:v>1045.73</c:v>
                </c:pt>
                <c:pt idx="1">
                  <c:v>1045.73</c:v>
                </c:pt>
              </c:numCache>
            </c:numRef>
          </c:val>
        </c:ser>
        <c:ser>
          <c:idx val="1"/>
          <c:order val="1"/>
          <c:tx>
            <c:strRef>
              <c:f>'Sheet1'!$C$1</c:f>
              <c:strCache>
                <c:ptCount val="1"/>
                <c:pt idx="0">
                  <c:v>2021年</c:v>
                </c:pt>
              </c:strCache>
            </c:strRef>
          </c:tx>
          <c:spPr>
            <a:solidFill>
              <a:srgbClr val="C0504D"/>
            </a:solidFill>
            <a:ln>
              <a:noFill/>
            </a:ln>
          </c:spPr>
          <c:invertIfNegative val="0"/>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a:t>1423.01</a:t>
                    </a:r>
                  </a:p>
                </c:rich>
              </c:tx>
              <c:showLegendKey val="0"/>
              <c:showVal val="1"/>
              <c:showCatName val="0"/>
              <c:showSerName val="0"/>
              <c:showPercent val="0"/>
              <c:showBubbleSize val="0"/>
            </c:dLbl>
            <c:dLbl>
              <c:idx val="1"/>
              <c:layout>
                <c:manualLayout>
                  <c:x val="0.00973236"/>
                  <c:y val="0.016563147"/>
                </c:manualLayout>
              </c:layout>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a:t>1423.01</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'Sheet1'!$C$2:$C$3</c:f>
              <c:numCache>
                <c:formatCode>General</c:formatCode>
                <c:ptCount val="2"/>
                <c:pt idx="0">
                  <c:v>1423.01</c:v>
                </c:pt>
                <c:pt idx="1">
                  <c:v>1423.01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11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11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overlay val="0"/>
      <c:spPr>
        <a:noFill/>
        <a:ln>
          <a:noFill/>
        </a:ln>
      </c:spPr>
      <c:txPr>
        <a:bodyPr/>
        <a:lstStyle/>
        <a:p>
          <a:pPr>
            <a:defRPr sz="11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88197"/>
          <c:y val="0.14778337"/>
          <c:w val="0.3919414"/>
          <c:h val="0.8359375"/>
        </c:manualLayout>
      </c:layout>
      <c:pieChart>
        <c:varyColors val="1"/>
        <c:ser>
          <c:idx val="0"/>
          <c:order val="0"/>
          <c:tx>
            <c:strRef>
              <c:f>'Sheet1 (2)'!$B$1</c:f>
              <c:strCache>
                <c:ptCount val="1"/>
                <c:pt idx="0">
                  <c:v>2021年</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0%" sourceLinked="0"/>
            <c:dLbl>
              <c:idx val="0"/>
              <c:layout>
                <c:manualLayout>
                  <c:x val="-0.014201668"/>
                  <c:y val="-0.25028113"/>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1"/>
              <c:showVal val="1"/>
              <c:showCatName val="0"/>
              <c:showSerName val="0"/>
              <c:showPercent val="1"/>
              <c:showBubbleSize val="0"/>
            </c:dLbl>
            <c:dLbl>
              <c:idx val="1"/>
              <c:layout>
                <c:manualLayout>
                  <c:x val="0.11556488"/>
                  <c:y val="-0.0018134217"/>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1"/>
              <c:showVal val="1"/>
              <c:showCatName val="0"/>
              <c:showSerName val="0"/>
              <c:showPercent val="1"/>
              <c:showBubbleSize val="0"/>
            </c:dLbl>
            <c:showLegendKey val="1"/>
            <c:showVal val="1"/>
            <c:showCatName val="0"/>
            <c:showSerName val="0"/>
            <c:showPercent val="1"/>
            <c:showBubbleSize val="0"/>
            <c:showLeaderLines val="1"/>
          </c:dLbls>
          <c:cat>
            <c:strRef>
              <c:f>'Sheet1 (2)'!$A$2:$A$3</c:f>
              <c:strCache>
                <c:ptCount val="2"/>
                <c:pt idx="0">
                  <c:v>一般公共预算财政拨款收入</c:v>
                </c:pt>
                <c:pt idx="1">
                  <c:v>政府性基金预算财政拨款收入</c:v>
                </c:pt>
              </c:strCache>
            </c:strRef>
          </c:cat>
          <c:val>
            <c:numRef>
              <c:f>'Sheet1 (2)'!$B$2:$B$3</c:f>
              <c:numCache>
                <c:formatCode>General</c:formatCode>
                <c:ptCount val="2"/>
                <c:pt idx="0">
                  <c:v>1157.72</c:v>
                </c:pt>
                <c:pt idx="1">
                  <c:v>0.0</c:v>
                </c:pt>
              </c:numCache>
            </c:numRef>
          </c:val>
        </c:ser>
        <c:firstSliceAng val="0"/>
      </c:pieChart>
      <c:spPr>
        <a:noFill/>
        <a:ln>
          <a:noFill/>
        </a:ln>
      </c:spPr>
    </c:plotArea>
    <c:legend>
      <c:legendPos val="r"/>
      <c:layout>
        <c:manualLayout>
          <c:xMode val="edge"/>
          <c:yMode val="edge"/>
          <c:x val="0.51795906"/>
          <c:y val="0.35103762"/>
          <c:w val="0.44632566"/>
          <c:h val="0.32812825"/>
        </c:manualLayout>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392"/>
          <c:y val="0.08646616"/>
          <c:w val="0.41208792"/>
          <c:h val="0.84586465"/>
        </c:manualLayout>
      </c:layout>
      <c:pieChart>
        <c:varyColors val="1"/>
        <c:ser>
          <c:idx val="0"/>
          <c:order val="0"/>
          <c:tx>
            <c:strRef>
              <c:f>'Sheet1 (3)'!$B$1</c:f>
              <c:strCache>
                <c:ptCount val="1"/>
                <c:pt idx="0">
                  <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0.00%" sourceLinked="0"/>
            <c:dLbl>
              <c:idx val="0"/>
              <c:layout>
                <c:manualLayout>
                  <c:x val="-0.08820985"/>
                  <c:y val="0.047656447"/>
                </c:manualLayout>
              </c:layout>
              <c:numFmt formatCode="0.0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1"/>
              <c:showVal val="1"/>
              <c:showCatName val="0"/>
              <c:showSerName val="0"/>
              <c:showPercent val="1"/>
              <c:showBubbleSize val="0"/>
            </c:dLbl>
            <c:dLbl>
              <c:idx val="1"/>
              <c:layout>
                <c:manualLayout>
                  <c:x val="0.0371164"/>
                  <c:y val="-0.026130302"/>
                </c:manualLayout>
              </c:layout>
              <c:numFmt formatCode="0.0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1"/>
              <c:showVal val="1"/>
              <c:showCatName val="0"/>
              <c:showSerName val="0"/>
              <c:showPercent val="1"/>
              <c:showBubbleSize val="0"/>
            </c:dLbl>
            <c:showLegendKey val="1"/>
            <c:showVal val="1"/>
            <c:showCatName val="0"/>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1013.92</c:v>
                </c:pt>
                <c:pt idx="1">
                  <c:v>259.29</c:v>
                </c:pt>
              </c:numCache>
            </c:numRef>
          </c:val>
        </c:ser>
        <c:firstSliceAng val="180"/>
      </c:pieChart>
      <c:spPr>
        <a:noFill/>
        <a:ln>
          <a:noFill/>
        </a:ln>
      </c:spPr>
    </c:plotArea>
    <c:legend>
      <c:legendPos val="r"/>
      <c:layout>
        <c:manualLayout>
          <c:xMode val="edge"/>
          <c:yMode val="edge"/>
          <c:x val="0.6949558"/>
          <c:y val="0.37259945"/>
          <c:w val="0.22460198"/>
          <c:h val="0.18294069"/>
        </c:manualLayout>
      </c:layout>
      <c:overlay val="0"/>
      <c:spPr>
        <a:noFill/>
        <a:ln>
          <a:noFill/>
        </a:ln>
      </c:spPr>
      <c:txPr>
        <a:bodyPr/>
        <a:lstStyle/>
        <a:p>
          <a:pPr>
            <a:defRPr sz="14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7467"/>
          <c:y val="0.057824153"/>
          <c:w val="0.5604396"/>
          <c:h val="0.8372093"/>
        </c:manualLayout>
      </c:layout>
      <c:barChart>
        <c:barDir val="col"/>
        <c:grouping val="clustered"/>
        <c:varyColors val="0"/>
        <c:ser>
          <c:idx val="0"/>
          <c:order val="0"/>
          <c:tx>
            <c:strRef>
              <c:f>'Sheet1 (4)'!$A$2</c:f>
              <c:strCache>
                <c:ptCount val="1"/>
                <c:pt idx="0">
                  <c:v>2020年财政拨款</c:v>
                </c:pt>
              </c:strCache>
            </c:strRef>
          </c:tx>
          <c:spPr>
            <a:solidFill>
              <a:srgbClr val="4F81BD"/>
            </a:solidFill>
            <a:ln>
              <a:noFill/>
            </a:ln>
          </c:spPr>
          <c:invertIfNegative val="0"/>
          <c:dLbls>
            <c:spPr>
              <a:noFill/>
              <a:ln>
                <a:noFill/>
              </a:ln>
            </c:spPr>
            <c:txPr>
              <a:bodyPr vert="horz"/>
              <a:lstStyle/>
              <a:p>
                <a:pPr>
                  <a:defRPr sz="8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800" b="0" i="0" u="none" strike="noStrike" baseline="0">
                      <a:solidFill>
                        <a:srgbClr val="404040"/>
                      </a:solidFill>
                      <a:latin typeface="Times New Roman"/>
                      <a:ea typeface="宋体"/>
                      <a:cs typeface="Lucida Sans"/>
                    </a:defRPr>
                  </a:pPr>
                  <a:endParaRPr lang="zh-CN"/>
                </a:p>
              </c:txPr>
              <c:dLblPos val="outEnd"/>
              <c:tx>
                <c:rich>
                  <a:bodyPr vert="horz"/>
                  <a:lstStyle/>
                  <a:p>
                    <a:pPr>
                      <a:defRPr sz="800" b="0" i="0" u="none" strike="noStrike" baseline="0">
                        <a:solidFill>
                          <a:srgbClr val="404040"/>
                        </a:solidFill>
                        <a:latin typeface="Times New Roman"/>
                        <a:ea typeface="宋体"/>
                        <a:cs typeface="Lucida Sans"/>
                      </a:defRPr>
                    </a:pPr>
                    <a:r>
                      <a:rPr lang="zh-CN"/>
                      <a:t>1045.73</a:t>
                    </a:r>
                  </a:p>
                </c:rich>
              </c:tx>
              <c:showLegendKey val="0"/>
              <c:showVal val="1"/>
              <c:showCatName val="0"/>
              <c:showSerName val="0"/>
              <c:showPercent val="0"/>
              <c:showBubbleSize val="0"/>
            </c:dLbl>
            <c:dLbl>
              <c:idx val="1"/>
              <c:layout>
                <c:manualLayout>
                  <c:x val="-0.004832085"/>
                  <c:y val="0.012008406"/>
                </c:manualLayout>
              </c:layout>
              <c:numFmt formatCode="General" sourceLinked="0"/>
              <c:spPr>
                <a:noFill/>
                <a:ln>
                  <a:noFill/>
                </a:ln>
              </c:spPr>
              <c:txPr>
                <a:bodyPr vert="horz"/>
                <a:lstStyle/>
                <a:p>
                  <a:pPr>
                    <a:defRPr sz="800" b="0" i="0" u="none" strike="noStrike" baseline="0">
                      <a:solidFill>
                        <a:srgbClr val="404040"/>
                      </a:solidFill>
                      <a:latin typeface="Times New Roman"/>
                      <a:ea typeface="宋体"/>
                      <a:cs typeface="Lucida Sans"/>
                    </a:defRPr>
                  </a:pPr>
                  <a:endParaRPr lang="zh-CN"/>
                </a:p>
              </c:txPr>
              <c:dLblPos val="outEnd"/>
              <c:tx>
                <c:rich>
                  <a:bodyPr vert="horz"/>
                  <a:lstStyle/>
                  <a:p>
                    <a:pPr>
                      <a:defRPr sz="800" b="0" i="0" u="none" strike="noStrike" baseline="0">
                        <a:solidFill>
                          <a:srgbClr val="404040"/>
                        </a:solidFill>
                        <a:latin typeface="Times New Roman"/>
                        <a:ea typeface="宋体"/>
                        <a:cs typeface="Lucida Sans"/>
                      </a:defRPr>
                    </a:pPr>
                    <a:r>
                      <a:rPr lang="zh-CN" sz="800" b="0" i="0" u="none" strike="noStrike" baseline="0">
                        <a:solidFill>
                          <a:srgbClr val="404040"/>
                        </a:solidFill>
                        <a:latin typeface="Times New Roman"/>
                        <a:ea typeface="宋体"/>
                        <a:cs typeface="Lucida Sans"/>
                      </a:rPr>
                      <a:t>1045.73</a:t>
                    </a:r>
                    <a:r>
                      <a:rPr lang="zh-CN" sz="800" b="0" i="0" u="none" strike="noStrike" baseline="0">
                        <a:solidFill>
                          <a:srgbClr val="404040"/>
                        </a:solidFill>
                        <a:latin typeface="Times New Roman"/>
                        <a:ea typeface="宋体"/>
                        <a:cs typeface="Lucida Sans"/>
                      </a:rPr>
                      <a:t>
</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 (4)'!$B$1:$C$1</c:f>
              <c:strCache>
                <c:ptCount val="2"/>
                <c:pt idx="0">
                  <c:v>收入</c:v>
                </c:pt>
                <c:pt idx="1">
                  <c:v>支出</c:v>
                </c:pt>
              </c:strCache>
            </c:strRef>
          </c:cat>
          <c:val>
            <c:numRef>
              <c:f>'Sheet1 (4)'!$B$2:$C$2</c:f>
              <c:numCache>
                <c:formatCode>General</c:formatCode>
                <c:ptCount val="2"/>
                <c:pt idx="0">
                  <c:v>1045.73</c:v>
                </c:pt>
                <c:pt idx="1">
                  <c:v>1045.73</c:v>
                </c:pt>
              </c:numCache>
            </c:numRef>
          </c:val>
        </c:ser>
        <c:ser>
          <c:idx val="1"/>
          <c:order val="1"/>
          <c:tx>
            <c:strRef>
              <c:f>'Sheet1 (4)'!$A$3</c:f>
              <c:strCache>
                <c:ptCount val="1"/>
                <c:pt idx="0">
                  <c:v>2021年财政拨款</c:v>
                </c:pt>
              </c:strCache>
            </c:strRef>
          </c:tx>
          <c:spPr>
            <a:solidFill>
              <a:srgbClr val="C0504D"/>
            </a:solidFill>
            <a:ln>
              <a:noFill/>
            </a:ln>
          </c:spPr>
          <c:invertIfNegative val="0"/>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General" sourceLinked="1"/>
            <c:dLbl>
              <c:idx val="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a:t>1423.01</a:t>
                    </a:r>
                  </a:p>
                </c:rich>
              </c:tx>
              <c:showLegendKey val="0"/>
              <c:showVal val="1"/>
              <c:showCatName val="0"/>
              <c:showSerName val="0"/>
              <c:showPercent val="0"/>
              <c:showBubbleSize val="0"/>
            </c:dLbl>
            <c:dLbl>
              <c:idx val="1"/>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dLblPos val="outEnd"/>
              <c:tx>
                <c:rich>
                  <a:bodyPr vert="horz"/>
                  <a:lstStyle/>
                  <a:p>
                    <a:pPr>
                      <a:defRPr sz="1100" b="0" i="0" u="none" strike="noStrike" baseline="0">
                        <a:solidFill>
                          <a:srgbClr val="404040"/>
                        </a:solidFill>
                        <a:latin typeface="Times New Roman"/>
                        <a:ea typeface="宋体"/>
                        <a:cs typeface="Lucida Sans"/>
                      </a:defRPr>
                    </a:pPr>
                    <a:r>
                      <a:rPr lang="zh-CN" sz="1100" b="0" i="0" u="none" strike="noStrike" baseline="0">
                        <a:solidFill>
                          <a:srgbClr val="404040"/>
                        </a:solidFill>
                        <a:latin typeface="Times New Roman"/>
                        <a:ea typeface="宋体"/>
                        <a:cs typeface="Lucida Sans"/>
                      </a:rPr>
                      <a:t>1</a:t>
                    </a:r>
                    <a:r>
                      <a:rPr lang="zh-CN" sz="1100" b="0" i="0" u="none" strike="noStrike" baseline="0">
                        <a:solidFill>
                          <a:srgbClr val="404040"/>
                        </a:solidFill>
                        <a:latin typeface="Times New Roman"/>
                        <a:ea typeface="宋体"/>
                        <a:cs typeface="Lucida Sans"/>
                      </a:rPr>
                      <a:t>423.01</a:t>
                    </a:r>
                  </a:p>
                </c:rich>
              </c:tx>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'Sheet1 (4)'!$B$1:$C$1</c:f>
              <c:strCache>
                <c:ptCount val="2"/>
                <c:pt idx="0">
                  <c:v>收入</c:v>
                </c:pt>
                <c:pt idx="1">
                  <c:v>支出</c:v>
                </c:pt>
              </c:strCache>
            </c:strRef>
          </c:cat>
          <c:val>
            <c:numRef>
              <c:f>'Sheet1 (4)'!$B$3:$C$3</c:f>
              <c:numCache>
                <c:formatCode>General</c:formatCode>
                <c:ptCount val="2"/>
                <c:pt idx="0">
                  <c:v>1423.01</c:v>
                </c:pt>
                <c:pt idx="1">
                  <c:v>1423.01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rot="0" vert="horz" anchor="t" anchorCtr="0"/>
          <a:lstStyle/>
          <a:p>
            <a:pPr>
              <a:defRPr sz="11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rot="0" vert="horz" anchor="t" anchorCtr="0"/>
          <a:lstStyle/>
          <a:p>
            <a:pPr>
              <a:defRPr sz="11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manualLayout>
          <c:xMode val="edge"/>
          <c:yMode val="edge"/>
          <c:x val="0.7120428"/>
          <c:y val="0.42317063"/>
          <c:w val="0.2563611"/>
          <c:h val="0.15365852"/>
        </c:manualLayout>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7238"/>
          <c:y val="0.073089816"/>
          <c:w val="0.6140612"/>
          <c:h val="0.86313283"/>
        </c:manualLayout>
      </c:layout>
      <c:barChart>
        <c:barDir val="col"/>
        <c:grouping val="clustered"/>
        <c:varyColors val="0"/>
        <c:ser>
          <c:idx val="0"/>
          <c:order val="0"/>
          <c:tx>
            <c:strRef>
              <c:f>'Sheet1 (5)'!$A$2</c:f>
              <c:strCache>
                <c:ptCount val="1"/>
                <c:pt idx="0">
                  <c:v>2020年</c:v>
                </c:pt>
              </c:strCache>
            </c:strRef>
          </c:tx>
          <c:spPr>
            <a:solidFill>
              <a:srgbClr val="4F81BD"/>
            </a:solidFill>
            <a:ln>
              <a:noFill/>
            </a:ln>
          </c:spPr>
          <c:invertIfNegative val="0"/>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(5)'!$B$1</c:f>
              <c:strCache>
                <c:ptCount val="1"/>
                <c:pt idx="0">
                  <c:v>一般公共预算财政拨款支出</c:v>
                </c:pt>
              </c:strCache>
            </c:strRef>
          </c:cat>
          <c:val>
            <c:numRef>
              <c:f>Sheet1 (5)!$B$2</c:f>
              <c:numCache>
                <c:formatCode>General</c:formatCode>
                <c:ptCount val="1"/>
                <c:pt idx="0">
                  <c:v>769.83</c:v>
                </c:pt>
              </c:numCache>
            </c:numRef>
          </c:val>
        </c:ser>
        <c:ser>
          <c:idx val="1"/>
          <c:order val="1"/>
          <c:tx>
            <c:strRef>
              <c:f>'Sheet1 (5)'!$A$3</c:f>
              <c:strCache>
                <c:ptCount val="1"/>
                <c:pt idx="0">
                  <c:v>2021年</c:v>
                </c:pt>
              </c:strCache>
            </c:strRef>
          </c:tx>
          <c:spPr>
            <a:solidFill>
              <a:srgbClr val="C0504D"/>
            </a:solidFill>
            <a:ln>
              <a:noFill/>
            </a:ln>
          </c:spPr>
          <c:invertIfNegative val="0"/>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(5)'!$B$1</c:f>
              <c:strCache>
                <c:ptCount val="1"/>
                <c:pt idx="0">
                  <c:v>一般公共预算财政拨款支出</c:v>
                </c:pt>
              </c:strCache>
            </c:strRef>
          </c:cat>
          <c:val>
            <c:numRef>
              <c:f>Sheet1 (5)!$B$3</c:f>
              <c:numCache>
                <c:formatCode>General</c:formatCode>
                <c:ptCount val="1"/>
                <c:pt idx="0">
                  <c:v>1273.21</c:v>
                </c:pt>
              </c:numCache>
            </c:numRef>
          </c:val>
        </c:ser>
        <c:overlap val="-27"/>
        <c:gapWidth val="219"/>
        <c:axId val="0"/>
        <c:axId val="1"/>
      </c:barChart>
      <c:catAx>
        <c:axId val="0"/>
        <c:scaling>
          <c:orientation val="minMax"/>
        </c:scaling>
        <c:delete val="1"/>
        <c:axPos val="b"/>
        <c:numFmt formatCode="General" sourceLinked="1"/>
        <c:majorTickMark val="none"/>
        <c:minorTickMark val="none"/>
        <c:tickLblPos val="nextTo"/>
        <c:txPr>
          <a:bodyPr/>
          <a:lstStyle/>
          <a:p>
            <a:pPr>
              <a:defRPr sz="11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rot="0" vert="horz" anchor="t" anchorCtr="0"/>
          <a:lstStyle/>
          <a:p>
            <a:pPr>
              <a:defRPr sz="11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r"/>
      <c:layout>
        <c:manualLayout>
          <c:xMode val="edge"/>
          <c:yMode val="edge"/>
          <c:x val="0.79224575"/>
          <c:y val="0.41617867"/>
          <c:w val="0.19315574"/>
          <c:h val="0.16764265"/>
        </c:manualLayout>
      </c:layout>
      <c:overlay val="0"/>
      <c:spPr>
        <a:noFill/>
        <a:ln>
          <a:noFill/>
        </a:ln>
      </c:spPr>
      <c:txPr>
        <a:bodyPr/>
        <a:lstStyle/>
        <a:p>
          <a:pPr>
            <a:defRPr sz="12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033"/>
          <c:y val="0.14607435"/>
          <c:w val="0.4637487"/>
          <c:h val="0.705406"/>
        </c:manualLayout>
      </c:layout>
      <c:pieChart>
        <c:varyColors val="1"/>
        <c:ser>
          <c:idx val="0"/>
          <c:order val="0"/>
          <c:tx>
            <c:strRef>
              <c:f>'Sheet1 (6)'!$A$2</c:f>
              <c:strCache>
                <c:ptCount val="1"/>
                <c:pt idx="0">
                  <c:v>2021年支出</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D19392"/>
              </a:solidFill>
            </c:spPr>
          </c:dPt>
          <c:dLbls>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numFmt formatCode="0%" sourceLinked="0"/>
            <c:dLbl>
              <c:idx val="0"/>
              <c:layout>
                <c:manualLayout>
                  <c:x val="0.03803916"/>
                  <c:y val="0.026662955"/>
                </c:manualLayout>
              </c:layout>
              <c:numFmt formatCode="0.0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7625898"/>
                  <c:y val="-0.07772021"/>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2"/>
              <c:layout>
                <c:manualLayout>
                  <c:x val="0.12519953"/>
                  <c:y val="-0.0039209803"/>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3"/>
              <c:layout>
                <c:manualLayout>
                  <c:x val="-0.1274878"/>
                  <c:y val="0.013098201"/>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4"/>
              <c:layout>
                <c:manualLayout>
                  <c:x val="-0.18226527"/>
                  <c:y val="-0.08701254"/>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5"/>
              <c:layout>
                <c:manualLayout>
                  <c:x val="-0.031198153"/>
                  <c:y val="-0.02602097"/>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6"/>
              <c:layout>
                <c:manualLayout>
                  <c:x val="-0.1094151"/>
                  <c:y val="0.025282234"/>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dLbl>
              <c:idx val="7"/>
              <c:layout>
                <c:manualLayout>
                  <c:x val="0.20584589"/>
                  <c:y val="0.027793385"/>
                </c:manualLayout>
              </c:layout>
              <c:numFmt formatCode="0%" sourceLinked="0"/>
              <c:spPr>
                <a:noFill/>
                <a:ln>
                  <a:noFill/>
                </a:ln>
              </c:spPr>
              <c:txPr>
                <a:bodyPr vert="horz"/>
                <a:lstStyle/>
                <a:p>
                  <a:pPr>
                    <a:defRPr sz="1100" b="0" i="0" u="none" strike="noStrike" baseline="0">
                      <a:solidFill>
                        <a:srgbClr val="40404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 (6)'!$B$1:$I$1</c:f>
              <c:strCache>
                <c:ptCount val="8"/>
                <c:pt idx="0">
                  <c:v>一般公共服务</c:v>
                </c:pt>
                <c:pt idx="1">
                  <c:v>文化体育与传媒</c:v>
                </c:pt>
                <c:pt idx="2">
                  <c:v>社会保障和就业</c:v>
                </c:pt>
                <c:pt idx="3">
                  <c:v>卫生健康</c:v>
                </c:pt>
                <c:pt idx="4">
                  <c:v>城乡社区</c:v>
                </c:pt>
                <c:pt idx="5">
                  <c:v>农林水</c:v>
                </c:pt>
                <c:pt idx="6">
                  <c:v>住房保障</c:v>
                </c:pt>
                <c:pt idx="7">
                  <c:v>灾害防治及应急管理</c:v>
                </c:pt>
              </c:strCache>
            </c:strRef>
          </c:cat>
          <c:val>
            <c:numRef>
              <c:f>'Sheet1 (6)'!$B$2:$I$2</c:f>
              <c:numCache>
                <c:formatCode>General</c:formatCode>
                <c:ptCount val="8"/>
                <c:pt idx="0">
                  <c:v>518.69</c:v>
                </c:pt>
                <c:pt idx="1">
                  <c:v>11.55</c:v>
                </c:pt>
                <c:pt idx="2">
                  <c:v>150.82</c:v>
                </c:pt>
                <c:pt idx="3">
                  <c:v>29.83</c:v>
                </c:pt>
                <c:pt idx="4">
                  <c:v>110.36</c:v>
                </c:pt>
                <c:pt idx="5">
                  <c:v>408.76</c:v>
                </c:pt>
                <c:pt idx="6">
                  <c:v>33.19</c:v>
                </c:pt>
                <c:pt idx="7">
                  <c:v>10.0</c:v>
                </c:pt>
              </c:numCache>
            </c:numRef>
          </c:val>
        </c:ser>
        <c:firstSliceAng val="0"/>
      </c:pieChart>
      <c:spPr>
        <a:noFill/>
        <a:ln>
          <a:noFill/>
        </a:ln>
      </c:spPr>
    </c:plotArea>
    <c:plotVisOnly val="1"/>
    <c:dispBlanksAs val="zero"/>
    <c:showDLblsOverMax val="0"/>
  </c:chart>
  <c:spPr>
    <a:solidFill>
      <a:srgbClr val="FFFFFF"/>
    </a:solidFill>
    <a:ln w="6350">
      <a:solidFill>
        <a:srgbClr val="D9D9D9"/>
      </a:solidFill>
      <a:prstDash val="solid"/>
    </a:ln>
  </c:spPr>
  <c:txPr>
    <a:bodyPr/>
    <a:lstStyle/>
    <a:p>
      <a:pPr>
        <a:defRPr sz="11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7669ACB-F864-4D37-9DCB-A945C59CA67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63</Pages>
  <Words>0</Words>
  <Characters>21333</Characters>
  <Lines>0</Lines>
  <Paragraphs>753</Paragraphs>
  <CharactersWithSpaces>28444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13</cp:revision>
  <cp:lastPrinted>2022-08-08T09:11:00Z</cp:lastPrinted>
  <dcterms:created xsi:type="dcterms:W3CDTF">2020-08-05T01:49:00Z</dcterms:created>
  <dcterms:modified xsi:type="dcterms:W3CDTF">2024-05-27T01:21:40Z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2052-11.8.2.11978</vt:lpwstr>
  </property>
  <property fmtid="{D5CDD505-2E9C-101B-9397-08002B2CF9AE}" pid="3" name="ICV">
    <vt:lpwstr>250FF56A5924493A8852390E93DD3BC9</vt:lpwstr>
  </property>
</Properties>
</file>