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96475"/>
      <w:bookmarkStart w:id="3" w:name="_Toc15378441"/>
      <w:bookmarkStart w:id="4" w:name="_Toc15377193"/>
      <w:bookmarkStart w:id="5" w:name="_Toc15396597"/>
      <w:bookmarkStart w:id="6" w:name="_Toc15377425"/>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96598"/>
      <w:bookmarkStart w:id="8" w:name="_Toc15378442"/>
      <w:bookmarkStart w:id="9" w:name="_Toc15377194"/>
      <w:bookmarkStart w:id="10" w:name="_Toc15377426"/>
      <w:bookmarkStart w:id="11" w:name="_Toc15396476"/>
      <w:bookmarkStart w:id="12" w:name="_Toc15306268"/>
      <w:bookmarkEnd w:id="0"/>
      <w:r>
        <w:rPr>
          <w:rFonts w:ascii="方正小标宋简体" w:eastAsia="方正小标宋简体" w:hAnsi="宋体" w:hint="eastAsia"/>
          <w:color w:val="000000"/>
          <w:sz w:val="72"/>
          <w:szCs w:val="72"/>
        </w:rPr>
        <w:t>广元市利州区人民代表大会常务委员会办公室</w:t>
      </w:r>
    </w:p>
    <w:p>
      <w:pPr>
        <w:adjustRightInd w:val="0"/>
        <w:snapToGrid w:val="0"/>
        <w:spacing w:line="360" w:lineRule="auto"/>
        <w:jc w:val="center"/>
        <w:outlineLvl w:val="0"/>
        <w:rPr>
          <w:rFonts w:ascii="方正小标宋简体" w:eastAsia="方正小标宋简体" w:hAnsi="宋体" w:hint="eastAsia"/>
          <w:color w:val="000000"/>
          <w:sz w:val="72"/>
          <w:szCs w:val="72"/>
        </w:rPr>
      </w:pP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widowControl/>
        <w:jc w:val="center"/>
        <w:rPr>
          <w:rFonts w:ascii="黑体" w:eastAsia="黑体" w:hAnsi="黑体"/>
          <w:color w:val="000000"/>
          <w:sz w:val="48"/>
          <w:szCs w:val="48"/>
        </w:rPr>
      </w:pPr>
      <w:r>
        <w:rPr>
          <w:rFonts w:ascii="黑体" w:eastAsia="黑体" w:hAnsi="黑体" w:hint="eastAsia"/>
          <w:color w:val="000000"/>
          <w:sz w:val="48"/>
          <w:szCs w:val="48"/>
        </w:rPr>
        <w:t>目录</w:t>
      </w:r>
    </w:p>
    <w:p>
      <w:pPr>
        <w:widowControl/>
        <w:jc w:val="center"/>
        <w:rPr>
          <w:rFonts w:ascii="黑体" w:eastAsia="黑体" w:cs="Arial" w:hAnsi="黑体"/>
          <w:sz w:val="28"/>
          <w:szCs w:val="28"/>
        </w:rPr>
      </w:pPr>
    </w:p>
    <w:p>
      <w:pPr>
        <w:pStyle w:val="23"/>
        <w:tabs>
          <w:tab w:val="right" w:leader="dot" w:pos="8296"/>
        </w:tabs>
      </w:pPr>
      <w:r>
        <w:rPr>
          <w:rFonts w:hint="eastAsia"/>
        </w:rPr>
        <w:t>公开时间：202</w:t>
      </w:r>
      <w:r>
        <w:t>1</w:t>
      </w:r>
      <w:r>
        <w:rPr>
          <w:rFonts w:hint="eastAsia"/>
        </w:rPr>
        <w:t>年9月</w:t>
      </w:r>
      <w:r>
        <w:t>2</w:t>
      </w:r>
      <w:r>
        <w:rPr>
          <w:rFonts w:hint="eastAsia"/>
        </w:rPr>
        <w:t>7日</w:t>
      </w:r>
    </w:p>
    <w:p/>
    <w:p>
      <w:pPr>
        <w:tabs>
          <w:tab w:val="right" w:leader="dot" w:pos="8296"/>
        </w:tabs>
        <w:spacing w:before="93"/>
        <w:jc w:val="center"/>
        <w:rPr>
          <w:rFonts w:ascii="仿宋" w:eastAsia="仿宋" w:hAnsi="仿宋"/>
          <w:sz w:val="28"/>
          <w:szCs w:val="28"/>
        </w:rPr>
      </w:pPr>
    </w:p>
    <w:p/>
    <w:p>
      <w:pPr>
        <w:pStyle w:val="23"/>
        <w:tabs>
          <w:tab w:val="right" w:leader="dot" w:pos="8296"/>
        </w:tabs>
      </w:pPr>
      <w:r>
        <w:rPr>
          <w:rStyle w:val="30"/>
          <w:rFonts w:hint="eastAsia"/>
        </w:rPr>
        <w:fldChar w:fldCharType="begin"/>
      </w:r>
      <w:r>
        <w:instrText>HYPERLINK  \l "_Toc15396599"</w:instrText>
      </w:r>
      <w:r>
        <w:rPr>
          <w:rStyle w:val="30"/>
          <w:rFonts w:hint="eastAsia"/>
        </w:rPr>
        <w:fldChar w:fldCharType="separate"/>
      </w:r>
      <w:r>
        <w:rPr>
          <w:rStyle w:val="30"/>
          <w:rFonts w:hint="eastAsia"/>
        </w:rPr>
        <w:t>第一部分部门概况</w:t>
      </w:r>
      <w:r>
        <w:tab/>
        <w:t>4</w:t>
      </w:r>
      <w:r>
        <w:rPr>
          <w:rStyle w:val="30"/>
          <w:rFonts w:hint="eastAsia"/>
        </w:rPr>
        <w:fldChar w:fldCharType="end"/>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"_Toc15396600"</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一、基本职能及主要工作</w:t>
      </w:r>
      <w:r>
        <w:rPr>
          <w:rFonts w:ascii="仿宋" w:eastAsia="仿宋" w:hAnsi="仿宋"/>
          <w:sz w:val="28"/>
          <w:szCs w:val="28"/>
        </w:rPr>
        <w:tab/>
      </w:r>
      <w:r>
        <w:rPr>
          <w:rFonts w:ascii="仿宋" w:eastAsia="仿宋" w:cs="仿宋" w:hAnsi="仿宋"/>
          <w:sz w:val="28"/>
          <w:szCs w:val="28"/>
        </w:rPr>
        <w:t>4</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"_Toc15396601"</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二、机构设置</w:t>
      </w:r>
      <w:r>
        <w:rPr>
          <w:rFonts w:ascii="仿宋" w:eastAsia="仿宋" w:hAnsi="仿宋"/>
          <w:sz w:val="28"/>
          <w:szCs w:val="28"/>
        </w:rPr>
        <w:tab/>
      </w:r>
      <w:r>
        <w:rPr>
          <w:rFonts w:ascii="仿宋" w:eastAsia="仿宋" w:cs="仿宋" w:hAnsi="仿宋" w:hint="eastAsia"/>
          <w:sz w:val="28"/>
          <w:szCs w:val="28"/>
        </w:rPr>
        <w:t>1</w:t>
      </w:r>
      <w:r>
        <w:rPr>
          <w:rStyle w:val="30"/>
          <w:rFonts w:ascii="仿宋" w:eastAsia="仿宋" w:cs="仿宋" w:hAnsi="仿宋" w:hint="eastAsia"/>
          <w:sz w:val="28"/>
          <w:szCs w:val="28"/>
        </w:rPr>
        <w:fldChar w:fldCharType="end"/>
      </w:r>
      <w:r>
        <w:rPr>
          <w:rFonts w:ascii="仿宋" w:eastAsia="仿宋" w:cs="仿宋" w:hAnsi="仿宋" w:hint="eastAsia"/>
          <w:sz w:val="28"/>
          <w:szCs w:val="28"/>
        </w:rPr>
        <w:t>1</w:t>
      </w:r>
    </w:p>
    <w:p>
      <w:pPr>
        <w:pStyle w:val="23"/>
        <w:tabs>
          <w:tab w:val="right" w:leader="dot" w:pos="8296"/>
        </w:tabs>
      </w:pPr>
      <w:r>
        <w:rPr>
          <w:rStyle w:val="30"/>
          <w:rFonts w:hint="eastAsia"/>
        </w:rPr>
        <w:fldChar w:fldCharType="begin"/>
      </w:r>
      <w:r>
        <w:instrText>HYPERLINK  \l "_Toc15396602"</w:instrText>
      </w:r>
      <w:r>
        <w:rPr>
          <w:rStyle w:val="30"/>
          <w:rFonts w:hint="eastAsia"/>
        </w:rPr>
        <w:fldChar w:fldCharType="separate"/>
      </w:r>
      <w:r>
        <w:rPr>
          <w:rStyle w:val="30"/>
          <w:rFonts w:hint="eastAsia"/>
        </w:rPr>
        <w:t>第二部分</w:t>
      </w:r>
      <w:r>
        <w:rPr>
          <w:rStyle w:val="30"/>
        </w:rPr>
        <w:t xml:space="preserve"> 20</w:t>
      </w:r>
      <w:r>
        <w:rPr>
          <w:rStyle w:val="30"/>
          <w:rFonts w:hint="eastAsia"/>
        </w:rPr>
        <w:t>20年度部门决算情况说明</w:t>
      </w:r>
      <w:r>
        <w:tab/>
      </w:r>
      <w:r>
        <w:rPr>
          <w:rFonts w:hint="eastAsia"/>
        </w:rPr>
        <w:t>1</w:t>
      </w:r>
      <w:r>
        <w:rPr>
          <w:rStyle w:val="30"/>
          <w:rFonts w:hint="eastAsia"/>
        </w:rPr>
        <w:fldChar w:fldCharType="end"/>
      </w:r>
      <w:r>
        <w:rPr>
          <w:rFonts w:hint="eastAsia"/>
        </w:rPr>
        <w:t>2</w:t>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"_Toc15396603"</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一、收入支出决算总体情况说明</w:t>
      </w:r>
      <w:r>
        <w:rPr>
          <w:rFonts w:ascii="仿宋" w:eastAsia="仿宋" w:hAnsi="仿宋"/>
          <w:sz w:val="28"/>
          <w:szCs w:val="28"/>
        </w:rPr>
        <w:tab/>
      </w:r>
      <w:r>
        <w:rPr>
          <w:rFonts w:ascii="仿宋" w:eastAsia="仿宋" w:cs="仿宋" w:hAnsi="仿宋" w:hint="eastAsia"/>
          <w:sz w:val="28"/>
          <w:szCs w:val="28"/>
        </w:rPr>
        <w:t>1</w:t>
      </w:r>
      <w:r>
        <w:rPr>
          <w:rStyle w:val="30"/>
          <w:rFonts w:ascii="仿宋" w:eastAsia="仿宋" w:cs="仿宋" w:hAnsi="仿宋" w:hint="eastAsia"/>
          <w:sz w:val="28"/>
          <w:szCs w:val="28"/>
        </w:rPr>
        <w:fldChar w:fldCharType="end"/>
      </w:r>
      <w:r>
        <w:rPr>
          <w:rFonts w:ascii="仿宋" w:eastAsia="仿宋" w:cs="仿宋" w:hAnsi="仿宋" w:hint="eastAsia"/>
          <w:sz w:val="28"/>
          <w:szCs w:val="28"/>
        </w:rPr>
        <w:t>2</w:t>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"_Toc15396604"</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二、收入决算情况说明</w:t>
      </w:r>
      <w:r>
        <w:rPr>
          <w:rFonts w:ascii="仿宋" w:eastAsia="仿宋" w:hAnsi="仿宋"/>
          <w:sz w:val="28"/>
          <w:szCs w:val="28"/>
        </w:rPr>
        <w:tab/>
      </w:r>
      <w:r>
        <w:rPr>
          <w:rFonts w:ascii="仿宋" w:eastAsia="仿宋" w:cs="仿宋" w:hAnsi="仿宋" w:hint="eastAsia"/>
          <w:sz w:val="28"/>
          <w:szCs w:val="28"/>
        </w:rPr>
        <w:t>1</w:t>
      </w:r>
      <w:r>
        <w:rPr>
          <w:rStyle w:val="30"/>
          <w:rFonts w:ascii="仿宋" w:eastAsia="仿宋" w:cs="仿宋" w:hAnsi="仿宋" w:hint="eastAsia"/>
          <w:sz w:val="28"/>
          <w:szCs w:val="28"/>
        </w:rPr>
        <w:fldChar w:fldCharType="end"/>
      </w:r>
      <w:r>
        <w:rPr>
          <w:rFonts w:ascii="仿宋" w:eastAsia="仿宋" w:cs="仿宋" w:hAnsi="仿宋" w:hint="eastAsia"/>
          <w:sz w:val="28"/>
          <w:szCs w:val="28"/>
        </w:rPr>
        <w:t>2</w:t>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"_Toc15396605"</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三、支出决算情况说明</w:t>
      </w:r>
      <w:r>
        <w:rPr>
          <w:rFonts w:ascii="仿宋" w:eastAsia="仿宋" w:hAnsi="仿宋"/>
          <w:sz w:val="28"/>
          <w:szCs w:val="28"/>
        </w:rPr>
        <w:tab/>
      </w:r>
      <w:r>
        <w:rPr>
          <w:rFonts w:ascii="仿宋" w:eastAsia="仿宋" w:cs="仿宋" w:hAnsi="仿宋" w:hint="eastAsia"/>
          <w:sz w:val="28"/>
          <w:szCs w:val="28"/>
        </w:rPr>
        <w:t>1</w:t>
      </w:r>
      <w:r>
        <w:rPr>
          <w:rStyle w:val="30"/>
          <w:rFonts w:ascii="仿宋" w:eastAsia="仿宋" w:cs="仿宋" w:hAnsi="仿宋" w:hint="eastAsia"/>
          <w:sz w:val="28"/>
          <w:szCs w:val="28"/>
        </w:rPr>
        <w:fldChar w:fldCharType="end"/>
      </w:r>
      <w:r>
        <w:rPr>
          <w:rFonts w:ascii="仿宋" w:eastAsia="仿宋" w:cs="仿宋" w:hAnsi="仿宋" w:hint="eastAsia"/>
          <w:sz w:val="28"/>
          <w:szCs w:val="28"/>
        </w:rPr>
        <w:t>3</w:t>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"_Toc15396606"</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四、财政拨款收入支出决算总体情况说明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_Toc15396606 \h </w:instrText>
      </w:r>
      <w:r>
        <w:rPr>
          <w:rFonts w:ascii="仿宋" w:eastAsia="仿宋" w:cs="仿宋" w:hAnsi="仿宋"/>
          <w:sz w:val="28"/>
          <w:szCs w:val="28"/>
        </w:rPr>
        <w:fldChar w:fldCharType="separate"/>
      </w:r>
      <w:r>
        <w:rPr>
          <w:rFonts w:ascii="仿宋" w:eastAsia="仿宋" w:cs="仿宋" w:hAnsi="仿宋"/>
          <w:sz w:val="28"/>
          <w:szCs w:val="28"/>
        </w:rPr>
        <w:t>1</w:t>
      </w:r>
      <w:r>
        <w:rPr>
          <w:rFonts w:ascii="仿宋" w:eastAsia="仿宋" w:cs="仿宋" w:hAnsi="仿宋" w:hint="eastAsia"/>
          <w:sz w:val="28"/>
          <w:szCs w:val="28"/>
        </w:rPr>
        <w:t>4</w:t>
      </w:r>
      <w:r>
        <w:rPr>
          <w:rFonts w:ascii="仿宋" w:eastAsia="仿宋" w:cs="仿宋" w:hAnsi="仿宋"/>
          <w:sz w:val="28"/>
          <w:szCs w:val="28"/>
        </w:rPr>
        <w:fldChar w:fldCharType="end"/>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"_Toc15396607"</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五、一般公共预算财政拨款支出决算情况说明</w:t>
      </w:r>
      <w:r>
        <w:rPr>
          <w:rFonts w:ascii="仿宋" w:eastAsia="仿宋" w:hAnsi="仿宋"/>
          <w:sz w:val="28"/>
          <w:szCs w:val="28"/>
        </w:rPr>
        <w:tab/>
      </w:r>
      <w:r>
        <w:rPr>
          <w:rFonts w:ascii="仿宋" w:eastAsia="仿宋" w:cs="仿宋" w:hAnsi="仿宋"/>
          <w:sz w:val="28"/>
          <w:szCs w:val="28"/>
        </w:rPr>
        <w:fldChar w:fldCharType="begin"/>
      </w:r>
      <w:r>
        <w:rPr>
          <w:rFonts w:ascii="仿宋" w:eastAsia="仿宋" w:cs="仿宋" w:hAnsi="仿宋"/>
          <w:sz w:val="28"/>
          <w:szCs w:val="28"/>
        </w:rPr>
        <w:instrText xml:space="preserve"> PAGEREF _Toc15396607 \h </w:instrText>
      </w:r>
      <w:r>
        <w:rPr>
          <w:rFonts w:ascii="仿宋" w:eastAsia="仿宋" w:cs="仿宋" w:hAnsi="仿宋"/>
          <w:sz w:val="28"/>
          <w:szCs w:val="28"/>
        </w:rPr>
        <w:fldChar w:fldCharType="separate"/>
      </w:r>
      <w:r>
        <w:rPr>
          <w:rFonts w:ascii="仿宋" w:eastAsia="仿宋" w:cs="仿宋" w:hAnsi="仿宋"/>
          <w:sz w:val="28"/>
          <w:szCs w:val="28"/>
        </w:rPr>
        <w:t>1</w:t>
      </w:r>
      <w:r>
        <w:rPr>
          <w:rFonts w:ascii="仿宋" w:eastAsia="仿宋" w:cs="仿宋" w:hAnsi="仿宋" w:hint="eastAsia"/>
          <w:sz w:val="28"/>
          <w:szCs w:val="28"/>
        </w:rPr>
        <w:t>4</w:t>
      </w:r>
      <w:r>
        <w:rPr>
          <w:rFonts w:ascii="仿宋" w:eastAsia="仿宋" w:cs="仿宋" w:hAnsi="仿宋"/>
          <w:sz w:val="28"/>
          <w:szCs w:val="28"/>
        </w:rPr>
        <w:fldChar w:fldCharType="end"/>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"_Toc15396608"</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六、一般公共预算财政拨款基本支出决算情况说明</w:t>
      </w:r>
      <w:r>
        <w:rPr>
          <w:rFonts w:ascii="仿宋" w:eastAsia="仿宋" w:hAnsi="仿宋"/>
          <w:sz w:val="28"/>
          <w:szCs w:val="28"/>
        </w:rPr>
        <w:tab/>
      </w:r>
      <w:r>
        <w:rPr>
          <w:rFonts w:ascii="仿宋" w:eastAsia="仿宋" w:cs="仿宋" w:hAnsi="仿宋" w:hint="eastAsia"/>
          <w:sz w:val="28"/>
          <w:szCs w:val="28"/>
        </w:rPr>
        <w:t>1</w:t>
      </w:r>
      <w:r>
        <w:rPr>
          <w:rStyle w:val="30"/>
          <w:rFonts w:ascii="仿宋" w:eastAsia="仿宋" w:cs="仿宋" w:hAnsi="仿宋" w:hint="eastAsia"/>
          <w:sz w:val="28"/>
          <w:szCs w:val="28"/>
        </w:rPr>
        <w:fldChar w:fldCharType="end"/>
      </w:r>
      <w:r>
        <w:rPr>
          <w:rFonts w:ascii="仿宋" w:eastAsia="仿宋" w:cs="仿宋" w:hAnsi="仿宋" w:hint="eastAsia"/>
          <w:sz w:val="28"/>
          <w:szCs w:val="28"/>
        </w:rPr>
        <w:t>8</w:t>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"_Toc15396609"</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七、“三公”经费财政拨款支出决算情况说明</w:t>
      </w:r>
      <w:r>
        <w:rPr>
          <w:rFonts w:ascii="仿宋" w:eastAsia="仿宋" w:hAnsi="仿宋"/>
          <w:sz w:val="28"/>
          <w:szCs w:val="28"/>
        </w:rPr>
        <w:tab/>
      </w:r>
      <w:r>
        <w:rPr>
          <w:rFonts w:ascii="仿宋" w:eastAsia="仿宋" w:cs="仿宋" w:hAnsi="仿宋" w:hint="eastAsia"/>
          <w:sz w:val="28"/>
          <w:szCs w:val="28"/>
        </w:rPr>
        <w:t>1</w:t>
      </w:r>
      <w:r>
        <w:rPr>
          <w:rStyle w:val="30"/>
          <w:rFonts w:ascii="仿宋" w:eastAsia="仿宋" w:cs="仿宋" w:hAnsi="仿宋" w:hint="eastAsia"/>
          <w:sz w:val="28"/>
          <w:szCs w:val="28"/>
        </w:rPr>
        <w:fldChar w:fldCharType="end"/>
      </w:r>
      <w:r>
        <w:rPr>
          <w:rFonts w:ascii="仿宋" w:eastAsia="仿宋" w:cs="仿宋" w:hAnsi="仿宋" w:hint="eastAsia"/>
          <w:sz w:val="28"/>
          <w:szCs w:val="28"/>
        </w:rPr>
        <w:t>9</w:t>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"_Toc15396610"</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八、政府性基金预算支出决算情况说明</w:t>
      </w:r>
      <w:r>
        <w:rPr>
          <w:rFonts w:ascii="仿宋" w:eastAsia="仿宋" w:hAnsi="仿宋"/>
          <w:sz w:val="28"/>
          <w:szCs w:val="28"/>
        </w:rPr>
        <w:tab/>
      </w:r>
      <w:r>
        <w:rPr>
          <w:rFonts w:ascii="仿宋" w:eastAsia="仿宋" w:hAnsi="仿宋" w:hint="eastAsia"/>
          <w:sz w:val="28"/>
          <w:szCs w:val="28"/>
        </w:rPr>
        <w:t>2</w:t>
      </w:r>
      <w:r>
        <w:rPr>
          <w:rFonts w:ascii="仿宋" w:eastAsia="仿宋" w:cs="仿宋" w:hAnsi="仿宋" w:hint="eastAsia"/>
          <w:sz w:val="28"/>
          <w:szCs w:val="28"/>
        </w:rPr>
        <w:t>1</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"_Toc15396611"</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九、国有资本经营预算支出决算情况说明</w:t>
      </w:r>
      <w:r>
        <w:rPr>
          <w:rFonts w:ascii="仿宋" w:eastAsia="仿宋" w:hAnsi="仿宋"/>
          <w:sz w:val="28"/>
          <w:szCs w:val="28"/>
        </w:rPr>
        <w:tab/>
      </w:r>
      <w:r>
        <w:rPr>
          <w:rFonts w:ascii="仿宋" w:eastAsia="仿宋" w:hAnsi="仿宋" w:hint="eastAsia"/>
          <w:sz w:val="28"/>
          <w:szCs w:val="28"/>
        </w:rPr>
        <w:t>2</w:t>
      </w:r>
      <w:r>
        <w:rPr>
          <w:rFonts w:ascii="仿宋" w:eastAsia="仿宋" w:cs="仿宋" w:hAnsi="仿宋" w:hint="eastAsia"/>
          <w:sz w:val="28"/>
          <w:szCs w:val="28"/>
        </w:rPr>
        <w:t>1</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Style w:val="30"/>
          <w:rFonts w:ascii="仿宋" w:eastAsia="仿宋" w:cs="仿宋" w:hAnsi="仿宋" w:hint="eastAsia"/>
          <w:sz w:val="28"/>
          <w:szCs w:val="28"/>
        </w:rPr>
        <w:fldChar w:fldCharType="begin"/>
      </w:r>
      <w:r>
        <w:instrText>HYPERLINK  \l "_Toc15396612"</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十、其他重要事项的情况说明</w:t>
      </w:r>
      <w:r>
        <w:rPr>
          <w:rFonts w:ascii="仿宋" w:eastAsia="仿宋" w:hAnsi="仿宋"/>
          <w:sz w:val="28"/>
          <w:szCs w:val="28"/>
        </w:rPr>
        <w:tab/>
      </w:r>
      <w:r>
        <w:rPr>
          <w:rStyle w:val="30"/>
          <w:rFonts w:ascii="仿宋" w:eastAsia="仿宋" w:cs="仿宋" w:hAnsi="仿宋" w:hint="eastAsia"/>
          <w:sz w:val="28"/>
          <w:szCs w:val="28"/>
        </w:rPr>
        <w:fldChar w:fldCharType="end"/>
      </w:r>
      <w:r>
        <w:rPr>
          <w:rFonts w:ascii="仿宋" w:eastAsia="仿宋" w:cs="仿宋" w:hAnsi="仿宋" w:hint="eastAsia"/>
          <w:sz w:val="28"/>
          <w:szCs w:val="28"/>
        </w:rPr>
        <w:t>21</w:t>
      </w:r>
    </w:p>
    <w:p>
      <w:pPr>
        <w:pStyle w:val="23"/>
        <w:tabs>
          <w:tab w:val="right" w:leader="dot" w:pos="8296"/>
        </w:tabs>
      </w:pPr>
      <w:r>
        <w:rPr>
          <w:rStyle w:val="30"/>
          <w:rFonts w:hint="eastAsia"/>
          <w:kern w:val="44"/>
        </w:rPr>
        <w:fldChar w:fldCharType="begin"/>
      </w:r>
      <w:r>
        <w:instrText>HYPERLINK  \l "_Toc15396613"</w:instrText>
      </w:r>
      <w:r>
        <w:rPr>
          <w:rStyle w:val="30"/>
          <w:rFonts w:hint="eastAsia"/>
          <w:kern w:val="44"/>
        </w:rPr>
        <w:fldChar w:fldCharType="separate"/>
      </w:r>
      <w:r>
        <w:rPr>
          <w:rStyle w:val="30"/>
          <w:rFonts w:hint="eastAsia"/>
          <w:kern w:val="44"/>
        </w:rPr>
        <w:t>第三部分</w:t>
      </w:r>
      <w:r>
        <w:rPr>
          <w:rStyle w:val="30"/>
          <w:rFonts w:hint="eastAsia"/>
        </w:rPr>
        <w:t>名</w:t>
      </w:r>
      <w:r>
        <w:rPr>
          <w:rStyle w:val="30"/>
          <w:rFonts w:hint="eastAsia"/>
          <w:kern w:val="44"/>
        </w:rPr>
        <w:t>词解释</w:t>
      </w:r>
      <w:r>
        <w:tab/>
      </w:r>
      <w:r>
        <w:rPr>
          <w:rFonts w:hint="eastAsia"/>
        </w:rPr>
        <w:t>3</w:t>
      </w:r>
      <w:r>
        <w:rPr>
          <w:rStyle w:val="30"/>
          <w:rFonts w:hint="eastAsia"/>
          <w:kern w:val="44"/>
        </w:rPr>
        <w:fldChar w:fldCharType="end"/>
      </w:r>
      <w:r>
        <w:rPr>
          <w:rFonts w:hint="eastAsia"/>
        </w:rPr>
        <w:t>2</w:t>
      </w:r>
    </w:p>
    <w:p>
      <w:pPr>
        <w:pStyle w:val="23"/>
        <w:tabs>
          <w:tab w:val="right" w:leader="dot" w:pos="8296"/>
        </w:tabs>
      </w:pPr>
      <w:r>
        <w:rPr>
          <w:rStyle w:val="30"/>
          <w:rFonts w:hint="eastAsia"/>
        </w:rPr>
        <w:fldChar w:fldCharType="begin"/>
      </w:r>
      <w:r>
        <w:instrText>HYPERLINK  \l "_Toc15396614"</w:instrText>
      </w:r>
      <w:r>
        <w:rPr>
          <w:rStyle w:val="30"/>
          <w:rFonts w:hint="eastAsia"/>
        </w:rPr>
        <w:fldChar w:fldCharType="separate"/>
      </w:r>
      <w:r>
        <w:rPr>
          <w:rStyle w:val="30"/>
          <w:rFonts w:hint="eastAsia"/>
        </w:rPr>
        <w:t>第</w:t>
      </w:r>
      <w:r>
        <w:rPr>
          <w:rStyle w:val="30"/>
          <w:rFonts w:hint="eastAsia"/>
          <w:kern w:val="44"/>
        </w:rPr>
        <w:t>四部分附件</w:t>
      </w:r>
      <w:r>
        <w:tab/>
        <w:t>3</w:t>
      </w:r>
      <w:r>
        <w:rPr>
          <w:rFonts w:hint="eastAsia"/>
        </w:rPr>
        <w:t>5</w:t>
      </w:r>
      <w:r>
        <w:rPr>
          <w:rStyle w:val="30"/>
          <w:rFonts w:hint="eastAsia"/>
        </w:rPr>
        <w:fldChar w:fldCharType="end"/>
      </w:r>
    </w:p>
    <w:p>
      <w:pPr>
        <w:pStyle w:val="24"/>
        <w:tabs>
          <w:tab w:val="right" w:leader="dot" w:pos="8296"/>
        </w:tabs>
        <w:rPr>
          <w:rFonts w:ascii="仿宋" w:eastAsia="仿宋" w:hAnsi="仿宋"/>
          <w:sz w:val="28"/>
          <w:szCs w:val="28"/>
        </w:rPr>
      </w:pPr>
      <w:r>
        <w:rPr>
          <w:rStyle w:val="30"/>
          <w:rFonts w:ascii="仿宋" w:eastAsia="仿宋" w:cs="仿宋" w:hAnsi="仿宋" w:hint="eastAsia"/>
          <w:kern w:val="44"/>
          <w:sz w:val="28"/>
          <w:szCs w:val="28"/>
        </w:rPr>
        <w:fldChar w:fldCharType="begin"/>
      </w:r>
      <w:r>
        <w:instrText>HYPERLINK  \l "_Toc15396615"</w:instrText>
      </w:r>
      <w:r>
        <w:rPr>
          <w:rStyle w:val="30"/>
          <w:rFonts w:ascii="仿宋" w:eastAsia="仿宋" w:cs="仿宋" w:hAnsi="仿宋" w:hint="eastAsia"/>
          <w:kern w:val="44"/>
          <w:sz w:val="28"/>
          <w:szCs w:val="28"/>
        </w:rPr>
        <w:fldChar w:fldCharType="separate"/>
      </w:r>
      <w:r>
        <w:rPr>
          <w:rStyle w:val="30"/>
          <w:rFonts w:ascii="仿宋" w:eastAsia="仿宋" w:cs="仿宋" w:hAnsi="仿宋" w:hint="eastAsia"/>
          <w:kern w:val="44"/>
          <w:sz w:val="28"/>
          <w:szCs w:val="28"/>
        </w:rPr>
        <w:t>附件</w:t>
      </w:r>
      <w:r>
        <w:rPr>
          <w:rStyle w:val="30"/>
          <w:rFonts w:ascii="仿宋" w:eastAsia="仿宋" w:cs="仿宋" w:hAnsi="仿宋"/>
          <w:kern w:val="44"/>
          <w:sz w:val="28"/>
          <w:szCs w:val="28"/>
        </w:rPr>
        <w:t>1</w:t>
      </w:r>
      <w:r>
        <w:rPr>
          <w:rFonts w:ascii="仿宋" w:eastAsia="仿宋" w:hAnsi="仿宋"/>
          <w:sz w:val="28"/>
          <w:szCs w:val="28"/>
        </w:rPr>
        <w:tab/>
      </w:r>
      <w:r>
        <w:rPr>
          <w:rFonts w:ascii="仿宋" w:eastAsia="仿宋" w:cs="仿宋" w:hAnsi="仿宋"/>
          <w:sz w:val="28"/>
          <w:szCs w:val="28"/>
        </w:rPr>
        <w:t>3</w:t>
      </w:r>
      <w:r>
        <w:rPr>
          <w:rFonts w:ascii="仿宋" w:eastAsia="仿宋" w:cs="仿宋" w:hAnsi="仿宋" w:hint="eastAsia"/>
          <w:sz w:val="28"/>
          <w:szCs w:val="28"/>
        </w:rPr>
        <w:t>5</w:t>
      </w:r>
      <w:r>
        <w:rPr>
          <w:rStyle w:val="30"/>
          <w:rFonts w:ascii="仿宋" w:eastAsia="仿宋" w:cs="仿宋" w:hAnsi="仿宋" w:hint="eastAsia"/>
          <w:kern w:val="44"/>
          <w:sz w:val="28"/>
          <w:szCs w:val="28"/>
        </w:rPr>
        <w:fldChar w:fldCharType="end"/>
      </w:r>
    </w:p>
    <w:p>
      <w:pPr>
        <w:pStyle w:val="24"/>
        <w:tabs>
          <w:tab w:val="right" w:leader="dot" w:pos="8296"/>
        </w:tabs>
        <w:rPr>
          <w:rFonts w:ascii="仿宋" w:eastAsia="仿宋" w:hAnsi="仿宋"/>
          <w:sz w:val="28"/>
          <w:szCs w:val="28"/>
        </w:rPr>
      </w:pPr>
      <w:r>
        <w:rPr>
          <w:rStyle w:val="30"/>
          <w:rFonts w:ascii="仿宋" w:eastAsia="仿宋" w:cs="仿宋" w:hAnsi="仿宋" w:hint="eastAsia"/>
          <w:kern w:val="44"/>
          <w:sz w:val="28"/>
          <w:szCs w:val="28"/>
        </w:rPr>
        <w:fldChar w:fldCharType="begin"/>
      </w:r>
      <w:r>
        <w:instrText>HYPERLINK  \l "_Toc15396617"</w:instrText>
      </w:r>
      <w:r>
        <w:rPr>
          <w:rStyle w:val="30"/>
          <w:rFonts w:ascii="仿宋" w:eastAsia="仿宋" w:cs="仿宋" w:hAnsi="仿宋" w:hint="eastAsia"/>
          <w:kern w:val="44"/>
          <w:sz w:val="28"/>
          <w:szCs w:val="28"/>
        </w:rPr>
        <w:fldChar w:fldCharType="separate"/>
      </w:r>
      <w:r>
        <w:rPr>
          <w:rStyle w:val="30"/>
          <w:rFonts w:ascii="仿宋" w:eastAsia="仿宋" w:cs="仿宋" w:hAnsi="仿宋" w:hint="eastAsia"/>
          <w:kern w:val="44"/>
          <w:sz w:val="28"/>
          <w:szCs w:val="28"/>
        </w:rPr>
        <w:t>附件</w:t>
      </w:r>
      <w:r>
        <w:rPr>
          <w:rStyle w:val="30"/>
          <w:rFonts w:ascii="仿宋" w:eastAsia="仿宋" w:cs="仿宋" w:hAnsi="仿宋"/>
          <w:kern w:val="44"/>
          <w:sz w:val="28"/>
          <w:szCs w:val="28"/>
        </w:rPr>
        <w:t>2</w:t>
      </w:r>
      <w:r>
        <w:rPr>
          <w:rFonts w:ascii="仿宋" w:eastAsia="仿宋" w:hAnsi="仿宋"/>
          <w:sz w:val="28"/>
          <w:szCs w:val="28"/>
        </w:rPr>
        <w:tab/>
      </w:r>
      <w:r>
        <w:rPr>
          <w:rFonts w:ascii="仿宋" w:eastAsia="仿宋" w:cs="仿宋" w:hAnsi="仿宋" w:hint="eastAsia"/>
          <w:sz w:val="28"/>
          <w:szCs w:val="28"/>
        </w:rPr>
        <w:t>3</w:t>
      </w:r>
      <w:r>
        <w:rPr>
          <w:rStyle w:val="30"/>
          <w:rFonts w:ascii="仿宋" w:eastAsia="仿宋" w:cs="仿宋" w:hAnsi="仿宋" w:hint="eastAsia"/>
          <w:kern w:val="44"/>
          <w:sz w:val="28"/>
          <w:szCs w:val="28"/>
        </w:rPr>
        <w:fldChar w:fldCharType="end"/>
      </w:r>
      <w:r>
        <w:rPr>
          <w:rFonts w:ascii="仿宋" w:eastAsia="仿宋" w:cs="仿宋" w:hAnsi="仿宋" w:hint="eastAsia"/>
          <w:sz w:val="28"/>
          <w:szCs w:val="28"/>
        </w:rPr>
        <w:t>7</w:t>
      </w:r>
    </w:p>
    <w:p>
      <w:pPr>
        <w:pStyle w:val="23"/>
        <w:tabs>
          <w:tab w:val="right" w:leader="dot" w:pos="8296"/>
        </w:tabs>
      </w:pPr>
      <w:r>
        <w:rPr>
          <w:rStyle w:val="30"/>
          <w:rFonts w:hint="eastAsia"/>
        </w:rPr>
        <w:fldChar w:fldCharType="begin"/>
      </w:r>
      <w:r>
        <w:instrText>HYPERLINK  \l "_Toc15396618"</w:instrText>
      </w:r>
      <w:r>
        <w:rPr>
          <w:rStyle w:val="30"/>
          <w:rFonts w:hint="eastAsia"/>
        </w:rPr>
        <w:fldChar w:fldCharType="separate"/>
      </w:r>
      <w:r>
        <w:rPr>
          <w:rStyle w:val="30"/>
          <w:rFonts w:hint="eastAsia"/>
        </w:rPr>
        <w:t>第</w:t>
      </w:r>
      <w:r>
        <w:rPr>
          <w:rStyle w:val="30"/>
          <w:rFonts w:hint="eastAsia"/>
          <w:kern w:val="44"/>
        </w:rPr>
        <w:t>五部分附表</w:t>
      </w:r>
      <w:r>
        <w:tab/>
      </w:r>
      <w:r>
        <w:rPr>
          <w:rFonts w:hint="eastAsia"/>
        </w:rPr>
        <w:t>50</w:t>
      </w:r>
      <w:r>
        <w:rPr>
          <w:rStyle w:val="30"/>
          <w:rFonts w:hint="eastAsia"/>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一、</w:t>
      </w:r>
      <w:r>
        <w:rPr>
          <w:rStyle w:val="30"/>
          <w:rFonts w:ascii="仿宋" w:eastAsia="仿宋" w:cs="仿宋" w:hAnsi="仿宋" w:hint="eastAsia"/>
          <w:sz w:val="28"/>
          <w:szCs w:val="28"/>
        </w:rPr>
        <w:fldChar w:fldCharType="begin"/>
      </w:r>
      <w:r>
        <w:instrText>HYPERLINK  \l "_Toc15396619"</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二、</w:t>
      </w:r>
      <w:r>
        <w:rPr>
          <w:rStyle w:val="30"/>
          <w:rFonts w:ascii="仿宋" w:eastAsia="仿宋" w:cs="仿宋" w:hAnsi="仿宋" w:hint="eastAsia"/>
          <w:sz w:val="28"/>
          <w:szCs w:val="28"/>
        </w:rPr>
        <w:fldChar w:fldCharType="begin"/>
      </w:r>
      <w:r>
        <w:instrText>HYPERLINK  \l "_Toc15396620"</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收入决算表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三、</w:t>
      </w:r>
      <w:r>
        <w:rPr>
          <w:rStyle w:val="30"/>
          <w:rFonts w:ascii="仿宋" w:eastAsia="仿宋" w:cs="仿宋" w:hAnsi="仿宋" w:hint="eastAsia"/>
          <w:sz w:val="28"/>
          <w:szCs w:val="28"/>
        </w:rPr>
        <w:fldChar w:fldCharType="begin"/>
      </w:r>
      <w:r>
        <w:instrText>HYPERLINK  \l "_Toc15396621"</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支出决算表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四、</w:t>
      </w:r>
      <w:r>
        <w:rPr>
          <w:rStyle w:val="30"/>
          <w:rFonts w:ascii="仿宋" w:eastAsia="仿宋" w:cs="仿宋" w:hAnsi="仿宋" w:hint="eastAsia"/>
          <w:sz w:val="28"/>
          <w:szCs w:val="28"/>
        </w:rPr>
        <w:fldChar w:fldCharType="begin"/>
      </w:r>
      <w:r>
        <w:instrText>HYPERLINK  \l "_Toc15396622"</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五、</w:t>
      </w:r>
      <w:r>
        <w:rPr>
          <w:rFonts w:ascii="仿宋" w:eastAsia="仿宋" w:cs="仿宋" w:hAnsi="仿宋" w:hint="eastAsia"/>
          <w:sz w:val="28"/>
          <w:szCs w:val="28"/>
        </w:rPr>
        <w:fldChar w:fldCharType="begin"/>
      </w:r>
      <w:r>
        <w:instrText>HYPERLINK  \l "_Toc15396623"</w:instrText>
      </w:r>
      <w:r>
        <w:rPr>
          <w:rFonts w:ascii="仿宋" w:eastAsia="仿宋" w:cs="仿宋" w:hAnsi="仿宋" w:hint="eastAsia"/>
          <w:sz w:val="28"/>
          <w:szCs w:val="28"/>
        </w:rPr>
        <w:fldChar w:fldCharType="separate"/>
      </w:r>
      <w:r>
        <w:rPr>
          <w:rFonts w:ascii="仿宋" w:eastAsia="仿宋" w:cs="仿宋" w:hAnsi="仿宋" w:hint="eastAsia"/>
          <w:sz w:val="28"/>
          <w:szCs w:val="28"/>
        </w:rPr>
        <w:t>财政拨款支出决算明细表</w:t>
      </w:r>
      <w:r>
        <w:rPr>
          <w:rFonts w:ascii="仿宋" w:eastAsia="仿宋" w:hAnsi="仿宋"/>
          <w:sz w:val="28"/>
          <w:szCs w:val="28"/>
        </w:rPr>
        <w:tab/>
      </w:r>
      <w:r>
        <w:rPr>
          <w:rFonts w:ascii="仿宋" w:eastAsia="仿宋" w:hAnsi="仿宋" w:hint="eastAsia"/>
          <w:sz w:val="28"/>
          <w:szCs w:val="28"/>
        </w:rPr>
        <w:t>50</w:t>
      </w:r>
      <w:r>
        <w:rPr>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六、</w:t>
      </w:r>
      <w:r>
        <w:rPr>
          <w:rStyle w:val="30"/>
          <w:rFonts w:ascii="仿宋" w:eastAsia="仿宋" w:cs="仿宋" w:hAnsi="仿宋" w:hint="eastAsia"/>
          <w:sz w:val="28"/>
          <w:szCs w:val="28"/>
        </w:rPr>
        <w:fldChar w:fldCharType="begin"/>
      </w:r>
      <w:r>
        <w:instrText>HYPERLINK  \l "_Toc15396624"</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七、</w:t>
      </w:r>
      <w:r>
        <w:rPr>
          <w:rStyle w:val="30"/>
          <w:rFonts w:ascii="仿宋" w:eastAsia="仿宋" w:cs="仿宋" w:hAnsi="仿宋" w:hint="eastAsia"/>
          <w:sz w:val="28"/>
          <w:szCs w:val="28"/>
        </w:rPr>
        <w:fldChar w:fldCharType="begin"/>
      </w:r>
      <w:r>
        <w:instrText>HYPERLINK  \l "_Toc15396625"</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八、</w:t>
      </w:r>
      <w:r>
        <w:rPr>
          <w:rStyle w:val="30"/>
          <w:rFonts w:ascii="仿宋" w:eastAsia="仿宋" w:cs="仿宋" w:hAnsi="仿宋" w:hint="eastAsia"/>
          <w:sz w:val="28"/>
          <w:szCs w:val="28"/>
        </w:rPr>
        <w:fldChar w:fldCharType="begin"/>
      </w:r>
      <w:r>
        <w:instrText>HYPERLINK  \l "_Toc15396626"</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九、</w:t>
      </w:r>
      <w:r>
        <w:rPr>
          <w:rStyle w:val="30"/>
          <w:rFonts w:ascii="仿宋" w:eastAsia="仿宋" w:cs="仿宋" w:hAnsi="仿宋" w:hint="eastAsia"/>
          <w:sz w:val="28"/>
          <w:szCs w:val="28"/>
        </w:rPr>
        <w:fldChar w:fldCharType="begin"/>
      </w:r>
      <w:r>
        <w:instrText>HYPERLINK  \l "_Toc15396627"</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十、</w:t>
      </w:r>
      <w:r>
        <w:rPr>
          <w:rStyle w:val="30"/>
          <w:rFonts w:ascii="仿宋" w:eastAsia="仿宋" w:cs="仿宋" w:hAnsi="仿宋" w:hint="eastAsia"/>
          <w:sz w:val="28"/>
          <w:szCs w:val="28"/>
        </w:rPr>
        <w:fldChar w:fldCharType="begin"/>
      </w:r>
      <w:r>
        <w:instrText>HYPERLINK  \l "_Toc15396628"</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十一、</w:t>
      </w:r>
      <w:r>
        <w:rPr>
          <w:rStyle w:val="30"/>
          <w:rFonts w:ascii="仿宋" w:eastAsia="仿宋" w:cs="仿宋" w:hAnsi="仿宋" w:hint="eastAsia"/>
          <w:sz w:val="28"/>
          <w:szCs w:val="28"/>
        </w:rPr>
        <w:fldChar w:fldCharType="begin"/>
      </w:r>
      <w:r>
        <w:instrText>HYPERLINK  \l "_Toc15396629"</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hAnsi="仿宋"/>
          <w:sz w:val="28"/>
          <w:szCs w:val="28"/>
        </w:rPr>
      </w:pPr>
      <w:r>
        <w:rPr>
          <w:rFonts w:ascii="仿宋" w:eastAsia="仿宋" w:cs="仿宋" w:hAnsi="仿宋" w:hint="eastAsia"/>
          <w:sz w:val="28"/>
          <w:szCs w:val="28"/>
        </w:rPr>
        <w:t>十二、</w:t>
      </w:r>
      <w:r>
        <w:rPr>
          <w:rStyle w:val="30"/>
          <w:rFonts w:ascii="仿宋" w:eastAsia="仿宋" w:cs="仿宋" w:hAnsi="仿宋" w:hint="eastAsia"/>
          <w:sz w:val="28"/>
          <w:szCs w:val="28"/>
        </w:rPr>
        <w:fldChar w:fldCharType="begin"/>
      </w:r>
      <w:r>
        <w:instrText>HYPERLINK  \l "_Toc15396630"</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cs="仿宋" w:hAnsi="仿宋"/>
          <w:sz w:val="28"/>
          <w:szCs w:val="28"/>
        </w:rPr>
      </w:pPr>
      <w:r>
        <w:rPr>
          <w:rFonts w:ascii="仿宋" w:eastAsia="仿宋" w:cs="仿宋" w:hAnsi="仿宋" w:hint="eastAsia"/>
          <w:sz w:val="28"/>
          <w:szCs w:val="28"/>
        </w:rPr>
        <w:t>十三、</w:t>
      </w:r>
      <w:r>
        <w:rPr>
          <w:rStyle w:val="30"/>
          <w:rFonts w:ascii="仿宋" w:eastAsia="仿宋" w:cs="仿宋" w:hAnsi="仿宋" w:hint="eastAsia"/>
          <w:sz w:val="28"/>
          <w:szCs w:val="28"/>
        </w:rPr>
        <w:fldChar w:fldCharType="begin"/>
      </w:r>
      <w:r>
        <w:instrText>HYPERLINK  \l "_Toc15396631"</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国有资本经营预算财政拨款收入支出决算表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Pr>
        <w:pStyle w:val="24"/>
        <w:tabs>
          <w:tab w:val="right" w:leader="dot" w:pos="8296"/>
        </w:tabs>
        <w:rPr>
          <w:rFonts w:ascii="仿宋" w:eastAsia="仿宋" w:cs="仿宋" w:hAnsi="仿宋"/>
          <w:sz w:val="28"/>
          <w:szCs w:val="28"/>
        </w:rPr>
      </w:pPr>
      <w:r>
        <w:rPr>
          <w:rFonts w:ascii="仿宋" w:eastAsia="仿宋" w:cs="仿宋" w:hAnsi="仿宋" w:hint="eastAsia"/>
          <w:sz w:val="28"/>
          <w:szCs w:val="28"/>
        </w:rPr>
        <w:t>十四、</w:t>
      </w:r>
      <w:r>
        <w:rPr>
          <w:rStyle w:val="30"/>
          <w:rFonts w:ascii="仿宋" w:eastAsia="仿宋" w:cs="仿宋" w:hAnsi="仿宋" w:hint="eastAsia"/>
          <w:sz w:val="28"/>
          <w:szCs w:val="28"/>
        </w:rPr>
        <w:fldChar w:fldCharType="begin"/>
      </w:r>
      <w:r>
        <w:instrText>HYPERLINK  \l "_Toc15396631"</w:instrText>
      </w:r>
      <w:r>
        <w:rPr>
          <w:rStyle w:val="30"/>
          <w:rFonts w:ascii="仿宋" w:eastAsia="仿宋" w:cs="仿宋" w:hAnsi="仿宋" w:hint="eastAsia"/>
          <w:sz w:val="28"/>
          <w:szCs w:val="28"/>
        </w:rPr>
        <w:fldChar w:fldCharType="separate"/>
      </w:r>
      <w:r>
        <w:rPr>
          <w:rStyle w:val="30"/>
          <w:rFonts w:ascii="仿宋" w:eastAsia="仿宋" w:cs="仿宋" w:hAnsi="仿宋" w:hint="eastAsia"/>
          <w:sz w:val="28"/>
          <w:szCs w:val="28"/>
        </w:rPr>
        <w:t>国有资本经营预算财政拨款支出决算表</w:t>
      </w:r>
      <w:r>
        <w:rPr>
          <w:rFonts w:ascii="仿宋" w:eastAsia="仿宋" w:hAnsi="仿宋"/>
          <w:sz w:val="28"/>
          <w:szCs w:val="28"/>
        </w:rPr>
        <w:tab/>
      </w:r>
      <w:r>
        <w:rPr>
          <w:rFonts w:ascii="仿宋" w:eastAsia="仿宋" w:hAnsi="仿宋" w:hint="eastAsia"/>
          <w:sz w:val="28"/>
          <w:szCs w:val="28"/>
        </w:rPr>
        <w:t>50</w:t>
      </w:r>
      <w:r>
        <w:rPr>
          <w:rStyle w:val="30"/>
          <w:rFonts w:ascii="仿宋" w:eastAsia="仿宋" w:cs="仿宋" w:hAnsi="仿宋" w:hint="eastAsia"/>
          <w:sz w:val="28"/>
          <w:szCs w:val="28"/>
        </w:rPr>
        <w:fldChar w:fldCharType="end"/>
      </w:r>
    </w:p>
    <w:p/>
    <w:p>
      <w:pPr>
        <w:widowControl/>
        <w:jc w:val="center"/>
        <w:rPr>
          <w:rFonts w:ascii="仿宋" w:eastAsia="仿宋" w:hAnsi="仿宋"/>
          <w:bCs/>
          <w:kern w:val="44"/>
          <w:sz w:val="24"/>
        </w:rPr>
      </w:pPr>
      <w:r>
        <w:rPr>
          <w:rFonts w:ascii="方正小标宋简体" w:eastAsia="方正小标宋简体" w:hAnsi="宋体"/>
          <w:color w:val="000000"/>
          <w:sz w:val="36"/>
          <w:szCs w:val="36"/>
        </w:rPr>
        <w:br w:type="page"/>
      </w:r>
      <w:bookmarkStart w:id="13" w:name="_Toc15377196"/>
      <w:bookmarkStart w:id="14" w:name="_Toc15396599"/>
    </w:p>
    <w:p>
      <w:pPr>
        <w:pStyle w:val="1"/>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hAnsi="仿宋"/>
          <w:b w:val="0"/>
          <w:bCs w:val="0"/>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pStyle w:val="17"/>
        <w:adjustRightInd w:val="0"/>
        <w:snapToGrid w:val="0"/>
        <w:spacing w:beforeLines="0" w:before="93" w:line="600" w:lineRule="exact"/>
        <w:ind w:firstLineChars="209" w:firstLine="672"/>
        <w:outlineLvl w:val="2"/>
        <w:rPr>
          <w:rFonts w:ascii="楷体" w:eastAsia="楷体" w:hAnsi="楷体"/>
          <w:bCs/>
          <w:color w:val="000000"/>
          <w:sz w:val="32"/>
          <w:szCs w:val="32"/>
        </w:rPr>
      </w:pPr>
      <w:bookmarkStart w:id="17" w:name="_Toc15378445"/>
      <w:bookmarkStart w:id="18" w:name="_Toc15377198"/>
      <w:r>
        <w:rPr>
          <w:rFonts w:ascii="楷体" w:eastAsia="楷体" w:hAnsi="楷体" w:hint="eastAsia"/>
          <w:bCs/>
          <w:color w:val="000000"/>
          <w:sz w:val="32"/>
          <w:szCs w:val="32"/>
        </w:rPr>
        <w:t>（一）主要职能。</w:t>
      </w:r>
      <w:bookmarkEnd w:id="17"/>
      <w:bookmarkEnd w:id="18"/>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1</w:t>
      </w:r>
      <w:r>
        <w:rPr>
          <w:rFonts w:ascii="仿宋" w:eastAsia="仿宋" w:hAnsi="仿宋" w:hint="eastAsia"/>
          <w:bCs/>
          <w:color w:val="000000"/>
          <w:sz w:val="32"/>
          <w:szCs w:val="32"/>
        </w:rPr>
        <w:t>、承担代表大会会议、常委会会议、主任会议和常委党组会议的筹备和会务工作；负责区人大常委会工作报告；有关文件和领导同志讲话稿的起草工作；负责区人大常委会的文电、档案、保密、文印工作。</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2</w:t>
      </w:r>
      <w:r>
        <w:rPr>
          <w:rFonts w:ascii="仿宋" w:eastAsia="仿宋" w:hAnsi="仿宋" w:hint="eastAsia"/>
          <w:bCs/>
          <w:color w:val="000000"/>
          <w:sz w:val="32"/>
          <w:szCs w:val="32"/>
        </w:rPr>
        <w:t>、根据主任会议决定，拟定有关议案和决议、决定草案。</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3</w:t>
      </w:r>
      <w:r>
        <w:rPr>
          <w:rFonts w:ascii="仿宋" w:eastAsia="仿宋" w:hAnsi="仿宋" w:hint="eastAsia"/>
          <w:bCs/>
          <w:color w:val="000000"/>
          <w:sz w:val="32"/>
          <w:szCs w:val="32"/>
        </w:rPr>
        <w:t>、承担区人大常委会会议公报及机关简报等的编写工作。</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4</w:t>
      </w:r>
      <w:r>
        <w:rPr>
          <w:rFonts w:ascii="仿宋" w:eastAsia="仿宋" w:hAnsi="仿宋" w:hint="eastAsia"/>
          <w:bCs/>
          <w:color w:val="000000"/>
          <w:sz w:val="32"/>
          <w:szCs w:val="32"/>
        </w:rPr>
        <w:t>、加强同市、区新闻单位的联系，负责区人大常委会对外宣传报道工作。</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5</w:t>
      </w:r>
      <w:r>
        <w:rPr>
          <w:rFonts w:ascii="仿宋" w:eastAsia="仿宋" w:hAnsi="仿宋" w:hint="eastAsia"/>
          <w:bCs/>
          <w:color w:val="000000"/>
          <w:sz w:val="32"/>
          <w:szCs w:val="32"/>
        </w:rPr>
        <w:t>、负责区人大常委会机关人事、财会管理、学习、教育行政事务工作，离退休人员的管理、服务工作；接待其他人大的来访。</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6</w:t>
      </w:r>
      <w:r>
        <w:rPr>
          <w:rFonts w:ascii="仿宋" w:eastAsia="仿宋" w:hAnsi="仿宋" w:hint="eastAsia"/>
          <w:bCs/>
          <w:color w:val="000000"/>
          <w:sz w:val="32"/>
          <w:szCs w:val="32"/>
        </w:rPr>
        <w:t>、负责上级人大转办的人大代表及人民群众来信来访工作。</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bookmarkStart w:id="19" w:name="_Toc15377199"/>
      <w:bookmarkStart w:id="20" w:name="_Toc15378446"/>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19"/>
      <w:bookmarkEnd w:id="20"/>
    </w:p>
    <w:p>
      <w:pPr>
        <w:overflowPunct w:val="0"/>
        <w:spacing w:line="560" w:lineRule="exact"/>
        <w:ind w:firstLineChars="200" w:firstLine="640"/>
        <w:rPr>
          <w:rFonts w:ascii="仿宋" w:eastAsia="仿宋" w:cs="仿宋" w:hAnsi="仿宋"/>
          <w:sz w:val="32"/>
          <w:szCs w:val="32"/>
        </w:rPr>
      </w:pPr>
      <w:r>
        <w:rPr>
          <w:rFonts w:ascii="方正楷体简体" w:eastAsia="方正楷体简体" w:cs="宋体" w:hAnsi="宋体" w:hint="eastAsia"/>
          <w:kern w:val="0"/>
          <w:sz w:val="32"/>
          <w:szCs w:val="32"/>
        </w:rPr>
        <w:t>（一）坚持党的领导，始终保持正确政治方向。</w:t>
      </w:r>
      <w:r>
        <w:rPr>
          <w:rFonts w:ascii="仿宋" w:eastAsia="仿宋" w:cs="仿宋" w:hAnsi="仿宋" w:hint="eastAsia"/>
          <w:b/>
          <w:bCs/>
          <w:sz w:val="32"/>
          <w:szCs w:val="32"/>
        </w:rPr>
        <w:t>一是</w:t>
      </w:r>
      <w:r>
        <w:rPr>
          <w:rFonts w:ascii="仿宋" w:eastAsia="仿宋" w:cs="仿宋" w:hAnsi="仿宋" w:hint="eastAsia"/>
          <w:sz w:val="32"/>
          <w:szCs w:val="32"/>
        </w:rPr>
        <w:t>增强政治定力。积极参加区委中心组、区委读书班学习，组织开展人大常委会党组中心组学习4次、机关集中学习12次，认真领会习近平总书记关于坚持和完善人民代表大会制度的重要思想，深入学习贯彻党的十九届四中、五中全会和省委、市委人大工作会议精神，增强遵从和维护人民代表大会制度的思想自觉和行动自觉。</w:t>
      </w:r>
      <w:r>
        <w:rPr>
          <w:rFonts w:ascii="仿宋" w:eastAsia="仿宋" w:cs="仿宋" w:hAnsi="仿宋" w:hint="eastAsia"/>
          <w:b/>
          <w:bCs/>
          <w:sz w:val="32"/>
          <w:szCs w:val="32"/>
        </w:rPr>
        <w:t>二是</w:t>
      </w:r>
      <w:r>
        <w:rPr>
          <w:rFonts w:ascii="仿宋" w:eastAsia="仿宋" w:cs="仿宋" w:hAnsi="仿宋" w:hint="eastAsia"/>
          <w:sz w:val="32"/>
          <w:szCs w:val="32"/>
        </w:rPr>
        <w:t>坚决贯彻区委决策部署。主动将人大工作融入到区委工作大局，聚焦全区中心工作，</w:t>
      </w:r>
      <w:r>
        <w:rPr>
          <w:rFonts w:ascii="仿宋" w:eastAsia="仿宋" w:cs="仿宋" w:hAnsi="仿宋" w:hint="eastAsia"/>
          <w:sz w:val="32"/>
          <w:szCs w:val="32"/>
          <w:lang w:val="zh-CN"/>
        </w:rPr>
        <w:t>制定</w:t>
      </w:r>
      <w:r>
        <w:rPr>
          <w:rFonts w:ascii="仿宋" w:eastAsia="仿宋" w:cs="仿宋" w:hAnsi="仿宋" w:hint="eastAsia"/>
          <w:sz w:val="32"/>
          <w:szCs w:val="32"/>
        </w:rPr>
        <w:t>人大</w:t>
      </w:r>
      <w:r>
        <w:rPr>
          <w:rFonts w:ascii="仿宋" w:eastAsia="仿宋" w:cs="仿宋" w:hAnsi="仿宋" w:hint="eastAsia"/>
          <w:sz w:val="32"/>
          <w:szCs w:val="32"/>
          <w:lang w:val="zh-CN"/>
        </w:rPr>
        <w:t>监督计划，</w:t>
      </w:r>
      <w:r>
        <w:rPr>
          <w:rFonts w:ascii="仿宋" w:eastAsia="仿宋" w:cs="仿宋" w:hAnsi="仿宋" w:hint="eastAsia"/>
          <w:sz w:val="32"/>
          <w:szCs w:val="32"/>
        </w:rPr>
        <w:t>做到目标上同向、行动上同频；召开了区八届人大五次会议，听取和审议了“一府两院”工作报告，审查了计划和财政报告，并作出了相应的决议，通过法定程序，把区委确立的“坚决夺取疫情防控和经济社会发展‘双胜利’”“建设川陕甘结合部区域中心城市和四川北向东出桥头堡”等重大决策转化为区政府的行政行为和全区人民的自觉行动。</w:t>
      </w:r>
      <w:r>
        <w:rPr>
          <w:rFonts w:ascii="仿宋" w:eastAsia="仿宋" w:cs="仿宋" w:hAnsi="仿宋" w:hint="eastAsia"/>
          <w:b/>
          <w:bCs/>
          <w:sz w:val="32"/>
          <w:szCs w:val="32"/>
        </w:rPr>
        <w:t>三是</w:t>
      </w:r>
      <w:r>
        <w:rPr>
          <w:rFonts w:ascii="仿宋" w:eastAsia="仿宋" w:cs="仿宋" w:hAnsi="仿宋" w:hint="eastAsia"/>
          <w:sz w:val="32"/>
          <w:szCs w:val="32"/>
        </w:rPr>
        <w:t>认真执行重大事项报告制度。每半年向区委报告一次人大工作开展情况，对人代会的召开、评议对象的确定、代表集中视察等重大工作安排都及时向区委请示报告，把区委的领导贯穿于人大工作的全过程、各方面。</w:t>
      </w:r>
      <w:r>
        <w:rPr>
          <w:rFonts w:ascii="仿宋" w:eastAsia="仿宋" w:cs="仿宋" w:hAnsi="仿宋" w:hint="eastAsia"/>
          <w:b/>
          <w:bCs/>
          <w:sz w:val="32"/>
          <w:szCs w:val="32"/>
        </w:rPr>
        <w:t>四是</w:t>
      </w:r>
      <w:r>
        <w:rPr>
          <w:rFonts w:ascii="仿宋" w:eastAsia="仿宋" w:cs="仿宋" w:hAnsi="仿宋" w:hint="eastAsia"/>
          <w:sz w:val="32"/>
          <w:szCs w:val="32"/>
        </w:rPr>
        <w:t>积极实现党组织人事安排意图。充分发挥党组领导作用，引导常委会组成人员、人大代表自觉坚持党管干部、依法任免和集体行使职权三原则，依法正确行使任免权。全年，依法任免国家行政机关和审判机关工作人员35人次。</w:t>
      </w:r>
      <w:r>
        <w:rPr>
          <w:rFonts w:ascii="仿宋" w:eastAsia="仿宋" w:cs="仿宋" w:hAnsi="仿宋" w:hint="eastAsia"/>
          <w:b/>
          <w:bCs/>
          <w:sz w:val="32"/>
          <w:szCs w:val="32"/>
        </w:rPr>
        <w:t>五是</w:t>
      </w:r>
      <w:r>
        <w:rPr>
          <w:rFonts w:ascii="仿宋" w:eastAsia="仿宋" w:cs="仿宋" w:hAnsi="仿宋" w:hint="eastAsia"/>
          <w:sz w:val="32"/>
          <w:szCs w:val="32"/>
        </w:rPr>
        <w:t>扎实做好交办工作。常委会班子成员认真落实“河长制”工作要求，所包河段没有发生环境安全事故；督导联系乡镇压实工作责任、健全制度机制，扎实做好森林防灭火工作；认真做好挂联重大项目、重点企业等工作，经常深入基层一线调研，做好相关的协调和服务工作，助推了棚户区改造、土地增减挂钩等项目的实施；常委会机关扎实开展对金洞乡桂花村、天景村的帮扶工作，群众生产生活条件得到持续改善，脱贫攻坚成效持续巩固提升；机关党员干部深入新民社区，积极开展疫情防控、环境整治、文明劝导等活动，帮助社区基层一线协调解决工作中遇到的困难和问题。</w:t>
      </w:r>
    </w:p>
    <w:p>
      <w:pPr>
        <w:pStyle w:val="25"/>
        <w:spacing w:before="0" w:beforeAutospacing="0" w:after="0" w:afterAutospacing="0" w:line="550" w:lineRule="exact"/>
        <w:ind w:firstLineChars="200" w:firstLine="640"/>
        <w:rPr>
          <w:rFonts w:ascii="仿宋" w:eastAsia="仿宋" w:cs="仿宋" w:hAnsi="仿宋"/>
          <w:kern w:val="2"/>
          <w:sz w:val="32"/>
          <w:szCs w:val="32"/>
        </w:rPr>
      </w:pPr>
      <w:r>
        <w:rPr>
          <w:rFonts w:ascii="仿宋" w:eastAsia="仿宋" w:cs="仿宋" w:hAnsi="仿宋" w:hint="eastAsia"/>
          <w:sz w:val="32"/>
          <w:szCs w:val="32"/>
        </w:rPr>
        <w:t>（二）发挥职能作用，积极助力疫情防控。</w:t>
      </w:r>
      <w:r>
        <w:rPr>
          <w:rFonts w:ascii="仿宋" w:eastAsia="仿宋" w:cs="仿宋" w:hAnsi="仿宋" w:hint="eastAsia"/>
          <w:color w:val="000000"/>
          <w:sz w:val="32"/>
          <w:szCs w:val="32"/>
          <w:shd w:val="clear" w:color="auto" w:fill="FFFFFF"/>
        </w:rPr>
        <w:t>一是</w:t>
      </w:r>
      <w:r>
        <w:rPr>
          <w:rFonts w:ascii="仿宋" w:eastAsia="仿宋" w:cs="仿宋" w:hAnsi="仿宋" w:hint="eastAsia"/>
          <w:kern w:val="2"/>
          <w:sz w:val="32"/>
          <w:szCs w:val="32"/>
        </w:rPr>
        <w:t>着力营造良好的抗疫氛围。充分发挥人大职能作用，广泛宣传全国人大关于全面禁止非法野生动物交易、革除滥食野生动物陋习、切实保障人民群众生命健康安全的决定和省人大常委会关于依法做好当前新型冠状病毒肺炎疫情防控工作的决定，动员各级人大代表积极宣传疫情防控知识和管控要求，形成全社会众志成城抗击疫情的强大合力。</w:t>
      </w:r>
      <w:r>
        <w:rPr>
          <w:rFonts w:ascii="仿宋" w:eastAsia="仿宋" w:cs="仿宋" w:hAnsi="仿宋" w:hint="eastAsia"/>
          <w:color w:val="000000"/>
          <w:sz w:val="32"/>
          <w:szCs w:val="32"/>
          <w:shd w:val="clear" w:color="auto" w:fill="FFFFFF"/>
        </w:rPr>
        <w:t>二是</w:t>
      </w:r>
      <w:r>
        <w:rPr>
          <w:rFonts w:ascii="仿宋" w:eastAsia="仿宋" w:cs="仿宋" w:hAnsi="仿宋" w:hint="eastAsia"/>
          <w:kern w:val="2"/>
          <w:sz w:val="32"/>
          <w:szCs w:val="32"/>
        </w:rPr>
        <w:t>认真做好疫情防控工作调研督导。深入区疾控中心、乡镇卫生院、村（社区）对新冠疫情防控和突发公共卫生事件应急管理工作进行了专题调研，提出意见建议6条；常委会班子成员主动作为，靠前指挥，认真抓好所联系的大石、嘉陵等6个乡镇（街道）的疫情防控工作，帮助挂联企业抓好疫情防控、推动有序复工复产。</w:t>
      </w:r>
      <w:r>
        <w:rPr>
          <w:rFonts w:ascii="仿宋" w:eastAsia="仿宋" w:cs="仿宋" w:hAnsi="仿宋" w:hint="eastAsia"/>
          <w:color w:val="000000"/>
          <w:sz w:val="32"/>
          <w:szCs w:val="32"/>
          <w:shd w:val="clear" w:color="auto" w:fill="FFFFFF"/>
        </w:rPr>
        <w:t>三是</w:t>
      </w:r>
      <w:r>
        <w:rPr>
          <w:rFonts w:ascii="仿宋" w:eastAsia="仿宋" w:cs="仿宋" w:hAnsi="仿宋" w:hint="eastAsia"/>
          <w:kern w:val="2"/>
          <w:sz w:val="32"/>
          <w:szCs w:val="32"/>
        </w:rPr>
        <w:t>积极投身疫情防控一线。机关干部主动下沉到疫情防控一线，配合做好社区疫情防控知识宣传、重点人员管控、公共设施消毒等工作；各级代表积极投身疫情防控和经济发展一线，全力配合区委区政府落实流动人员摸排管控、各类市场管理、突发事件处置等措施，全力协助有关部门、所在村（社区）全面做好好联防联控、群防群控各项工作，为我区打赢疫情防控</w:t>
      </w:r>
      <w:r>
        <w:rPr>
          <w:rFonts w:ascii="仿宋" w:eastAsia="仿宋" w:cs="仿宋" w:hAnsi="仿宋" w:hint="eastAsia"/>
          <w:kern w:val="2"/>
          <w:sz w:val="32"/>
          <w:szCs w:val="32"/>
          <w:lang w:eastAsia="zh-CN"/>
        </w:rPr>
        <w:t>阻击战</w:t>
      </w:r>
      <w:r>
        <w:rPr>
          <w:rFonts w:ascii="仿宋" w:eastAsia="仿宋" w:cs="仿宋" w:hAnsi="仿宋" w:hint="eastAsia"/>
          <w:kern w:val="2"/>
          <w:sz w:val="32"/>
          <w:szCs w:val="32"/>
        </w:rPr>
        <w:t>、总体战作出了积极贡献。</w:t>
      </w:r>
    </w:p>
    <w:p>
      <w:pPr>
        <w:pStyle w:val="16"/>
        <w:spacing w:line="580" w:lineRule="exact"/>
        <w:ind w:firstLine="640"/>
        <w:rPr>
          <w:rFonts w:ascii="仿宋" w:eastAsia="仿宋" w:cs="仿宋" w:hAnsi="仿宋"/>
          <w:sz w:val="32"/>
          <w:szCs w:val="32"/>
        </w:rPr>
      </w:pPr>
      <w:r>
        <w:rPr>
          <w:rFonts w:ascii="仿宋" w:eastAsia="仿宋" w:cs="仿宋" w:hAnsi="仿宋" w:hint="eastAsia"/>
          <w:kern w:val="0"/>
          <w:sz w:val="32"/>
          <w:szCs w:val="32"/>
        </w:rPr>
        <w:t>（三）增强监督实效，助推经济社会持续健康发展。</w:t>
      </w:r>
      <w:r>
        <w:rPr>
          <w:rFonts w:ascii="仿宋" w:eastAsia="仿宋" w:cs="仿宋" w:hAnsi="仿宋" w:hint="eastAsia"/>
          <w:color w:val="000000"/>
          <w:kern w:val="0"/>
          <w:sz w:val="32"/>
          <w:szCs w:val="32"/>
          <w:shd w:val="clear" w:color="auto" w:fill="FFFFFF"/>
        </w:rPr>
        <w:t>一是</w:t>
      </w:r>
      <w:r>
        <w:rPr>
          <w:rFonts w:ascii="仿宋" w:eastAsia="仿宋" w:cs="仿宋" w:hAnsi="仿宋" w:hint="eastAsia"/>
          <w:sz w:val="32"/>
          <w:szCs w:val="32"/>
        </w:rPr>
        <w:t>助推经济健康稳健运行。听取和审查了2019年财政预算执行情况和2020年财政预算草案、2019年财政决算、2020年财政预算调整及2020年国有资产管理、审计查出问题整改等专项工作报告，稳步推进人大预算联网监督平台建设，支持政府统筹做好稳增长、促改革、调结构、惠民生、防风险工作，助推全区经济持续平稳增长。开展了地摊经济专题调研，提出了合理设置区域时段、有序引导、规范经营的建议；开展了营造法治化营商环境专项视察，召开了座谈会，听取和审议了专项工作报告，提出相关工作意见建议18条，促进全区民营经济发展环境持续向好。</w:t>
      </w:r>
      <w:r>
        <w:rPr>
          <w:rFonts w:ascii="仿宋" w:eastAsia="仿宋" w:cs="仿宋" w:hAnsi="仿宋" w:hint="eastAsia"/>
          <w:color w:val="000000"/>
          <w:kern w:val="0"/>
          <w:sz w:val="32"/>
          <w:szCs w:val="32"/>
          <w:shd w:val="clear" w:color="auto" w:fill="FFFFFF"/>
        </w:rPr>
        <w:t>二是</w:t>
      </w:r>
      <w:r>
        <w:rPr>
          <w:rFonts w:ascii="仿宋" w:eastAsia="仿宋" w:cs="仿宋" w:hAnsi="仿宋" w:hint="eastAsia"/>
          <w:sz w:val="32"/>
          <w:szCs w:val="32"/>
        </w:rPr>
        <w:t>助推民生社会事业发展。聚焦社会热点开展监督，听取和审议了健康扶贫、劳动争议仲裁、困难群体社会救助、中小学素质教育等13个专项工作报告；开展食品药品安全专项视察，并把食品药品安全责任落实情况纳入政府部门负责人履职报告内容，开展了脱贫攻坚巩固提升和企业复工复产情况、安全生产、重大传染病防控、农村环境整治提升等专项工作调研，推动群众关心的热点、难点问题得到有效解决，促进民生福祉持续改善。</w:t>
      </w:r>
      <w:r>
        <w:rPr>
          <w:rFonts w:ascii="仿宋" w:eastAsia="仿宋" w:cs="仿宋" w:hAnsi="仿宋" w:hint="eastAsia"/>
          <w:color w:val="000000"/>
          <w:kern w:val="0"/>
          <w:sz w:val="32"/>
          <w:szCs w:val="32"/>
          <w:shd w:val="clear" w:color="auto" w:fill="FFFFFF"/>
        </w:rPr>
        <w:t>三是</w:t>
      </w:r>
      <w:r>
        <w:rPr>
          <w:rFonts w:ascii="仿宋" w:eastAsia="仿宋" w:cs="仿宋" w:hAnsi="仿宋" w:hint="eastAsia"/>
          <w:sz w:val="32"/>
          <w:szCs w:val="32"/>
        </w:rPr>
        <w:t>助推生态环境保护。开展了《土壤污染防治法》执法检查，跟踪督办省环保督察反馈问题整改，听取和审议了全区违法建设整治“三年清蓝”行动情况报告，对2020年全区环境状况和环境保护目标完成情况进行了专题调研，就全区生态环境保护制度机制建设、责任主体落实、工作着力重点等方面提出意见建议，推动利州生态环境质量持续改善。</w:t>
      </w:r>
      <w:r>
        <w:rPr>
          <w:rFonts w:ascii="仿宋" w:eastAsia="仿宋" w:cs="仿宋" w:hAnsi="仿宋" w:hint="eastAsia"/>
          <w:color w:val="000000"/>
          <w:kern w:val="0"/>
          <w:sz w:val="32"/>
          <w:szCs w:val="32"/>
          <w:shd w:val="clear" w:color="auto" w:fill="FFFFFF"/>
        </w:rPr>
        <w:t>四是</w:t>
      </w:r>
      <w:r>
        <w:rPr>
          <w:rFonts w:ascii="仿宋" w:eastAsia="仿宋" w:cs="仿宋" w:hAnsi="仿宋" w:hint="eastAsia"/>
          <w:sz w:val="32"/>
          <w:szCs w:val="32"/>
        </w:rPr>
        <w:t>助推法治利州建设。加强对法律法规实施情况的监督，组织开展了《税收征管法》《野生动物保护法》等法律的执法检查，促进了国家法律法规在我区的贯彻实施；精心承办全市文化法治建设工作研讨会，为会议提供了高质量的参观现场，交流了我区经验，充分展示了利州区文化法治建设工作的成效。听取和审议了区人民政府关于法治政府建设，区法院关于推进诉源治理提升辖区社会治理水平，区人民检察院关于适用认罪认罚从宽制度、关于公益诉讼检察建议助推市城区停车泊位整治等情况的报告，提出意见建议11条，推动司法行政管理体制机制进一步完善，依法治理水平进一步提高。</w:t>
      </w:r>
      <w:r>
        <w:rPr>
          <w:rFonts w:ascii="仿宋" w:eastAsia="仿宋" w:cs="仿宋" w:hAnsi="仿宋" w:hint="eastAsia"/>
          <w:color w:val="000000"/>
          <w:kern w:val="0"/>
          <w:sz w:val="32"/>
          <w:szCs w:val="32"/>
          <w:shd w:val="clear" w:color="auto" w:fill="FFFFFF"/>
        </w:rPr>
        <w:t>五是</w:t>
      </w:r>
      <w:r>
        <w:rPr>
          <w:rFonts w:ascii="仿宋" w:eastAsia="仿宋" w:cs="仿宋" w:hAnsi="仿宋" w:hint="eastAsia"/>
          <w:sz w:val="32"/>
          <w:szCs w:val="32"/>
        </w:rPr>
        <w:t>推动政府部门改进工作。持续跟踪督办2019年度工作评议意见整改，听取和审议了区发展和改革局、区商务局、区应急管理局、区文化旅游和体育局等部门整改落实情况的报告，整改测评均为满意；经区委同意，对区扶贫和开发局、区交通运输局、区司法局局、区行政审批局等4个部门开展了工作评议，在深入调查的基础上，形成了评议调查报告，提出工作改进意见建议17条；听取了政府工作部门负责人年度履职情况报告，开展了满意度测评，增强了干部的人大意识、服务意识和依法行政意识。</w:t>
      </w:r>
    </w:p>
    <w:p>
      <w:pPr>
        <w:pStyle w:val="25"/>
        <w:spacing w:before="0" w:beforeAutospacing="0" w:after="0" w:afterAutospacing="0" w:line="550" w:lineRule="exact"/>
        <w:ind w:firstLineChars="200" w:firstLine="640"/>
        <w:jc w:val="both"/>
        <w:rPr>
          <w:rFonts w:ascii="仿宋" w:eastAsia="仿宋" w:cs="仿宋" w:hAnsi="仿宋"/>
          <w:kern w:val="2"/>
          <w:sz w:val="32"/>
          <w:szCs w:val="32"/>
        </w:rPr>
      </w:pPr>
      <w:r>
        <w:rPr>
          <w:rFonts w:ascii="仿宋" w:eastAsia="仿宋" w:cs="仿宋" w:hAnsi="仿宋" w:hint="eastAsia"/>
          <w:sz w:val="32"/>
          <w:szCs w:val="32"/>
        </w:rPr>
        <w:t>（四）坚持代表主体，充分发挥代表作用。</w:t>
      </w:r>
      <w:r>
        <w:rPr>
          <w:rFonts w:ascii="仿宋" w:eastAsia="仿宋" w:cs="仿宋" w:hAnsi="仿宋" w:hint="eastAsia"/>
          <w:color w:val="000000"/>
          <w:sz w:val="32"/>
          <w:szCs w:val="32"/>
          <w:shd w:val="clear" w:color="auto" w:fill="FFFFFF"/>
        </w:rPr>
        <w:t>一是</w:t>
      </w:r>
      <w:r>
        <w:rPr>
          <w:rFonts w:ascii="仿宋" w:eastAsia="仿宋" w:cs="仿宋" w:hAnsi="仿宋" w:hint="eastAsia"/>
          <w:kern w:val="2"/>
          <w:sz w:val="32"/>
          <w:szCs w:val="32"/>
        </w:rPr>
        <w:t>强化代表学习培训。结合常委会监督计划，组织代表学习了《关于依法惩治妨害新型冠状病毒感染肺炎疫情防控违法犯罪的意见》《传染病防治法》《土壤污染防治法》等法律法规，在人代会召开前对代表进行了撰写议案、建议等方面的专题培训，不断提升代表履职能力。</w:t>
      </w:r>
      <w:r>
        <w:rPr>
          <w:rFonts w:ascii="仿宋" w:eastAsia="仿宋" w:cs="仿宋" w:hAnsi="仿宋" w:hint="eastAsia"/>
          <w:color w:val="000000"/>
          <w:sz w:val="32"/>
          <w:szCs w:val="32"/>
          <w:shd w:val="clear" w:color="auto" w:fill="FFFFFF"/>
        </w:rPr>
        <w:t>二是</w:t>
      </w:r>
      <w:r>
        <w:rPr>
          <w:rFonts w:ascii="仿宋" w:eastAsia="仿宋" w:cs="仿宋" w:hAnsi="仿宋" w:hint="eastAsia"/>
          <w:kern w:val="2"/>
          <w:sz w:val="32"/>
          <w:szCs w:val="32"/>
        </w:rPr>
        <w:t>积极组织代表活动。继续开展代表参与接访群众工作，区人大代表全年共接群众来信来访100余人次，较好地发挥了人大代表在维护社会稳定中的作用；深入开展“脱贫攻坚——人大代表再行动”活动，市、区、乡三级人大代表积极投身贫困村基础设施建设、产业发展等工作，为巩固脱贫攻坚成果献计出力；切实推进基层人大规范化建设，用好用活人大代表工作站，不断提高乡镇（街道）人大工作水平。</w:t>
      </w:r>
      <w:r>
        <w:rPr>
          <w:rFonts w:ascii="仿宋" w:eastAsia="仿宋" w:cs="仿宋" w:hAnsi="仿宋" w:hint="eastAsia"/>
          <w:color w:val="000000"/>
          <w:sz w:val="32"/>
          <w:szCs w:val="32"/>
          <w:shd w:val="clear" w:color="auto" w:fill="FFFFFF"/>
        </w:rPr>
        <w:t>三是</w:t>
      </w:r>
      <w:r>
        <w:rPr>
          <w:rFonts w:ascii="仿宋" w:eastAsia="仿宋" w:cs="仿宋" w:hAnsi="仿宋" w:hint="eastAsia"/>
          <w:kern w:val="2"/>
          <w:sz w:val="32"/>
          <w:szCs w:val="32"/>
        </w:rPr>
        <w:t>督促代表意见建议办理。不断健全办理工作机制，规范办理流程，加大督办力度，形成了办理前和代表会商、办理中与代表沟通、办结后向代表反馈的办理机制，持续提升代表建议办理满意度。区八届人大五次会议共收集代表意见建议52件，全部进行了转办交办，代表满意率达98.07%。</w:t>
      </w:r>
    </w:p>
    <w:p>
      <w:pPr>
        <w:overflowPunct w:val="0"/>
        <w:spacing w:line="560" w:lineRule="exact"/>
        <w:ind w:firstLineChars="200" w:firstLine="640"/>
        <w:rPr>
          <w:rFonts w:ascii="仿宋" w:eastAsia="仿宋" w:cs="仿宋" w:hAnsi="仿宋"/>
          <w:sz w:val="32"/>
          <w:szCs w:val="32"/>
        </w:rPr>
      </w:pPr>
      <w:r>
        <w:rPr>
          <w:rFonts w:ascii="仿宋" w:eastAsia="仿宋" w:cs="仿宋" w:hAnsi="仿宋" w:hint="eastAsia"/>
          <w:b/>
          <w:bCs/>
          <w:color w:val="000000"/>
          <w:sz w:val="32"/>
          <w:szCs w:val="32"/>
        </w:rPr>
        <w:t> </w:t>
      </w:r>
      <w:r>
        <w:rPr>
          <w:rFonts w:ascii="仿宋" w:eastAsia="仿宋" w:cs="仿宋" w:hAnsi="仿宋" w:hint="eastAsia"/>
          <w:kern w:val="0"/>
          <w:sz w:val="32"/>
          <w:szCs w:val="32"/>
        </w:rPr>
        <w:t>（五）履行主体责任，加强机关自身建设。</w:t>
      </w:r>
      <w:r>
        <w:rPr>
          <w:rFonts w:ascii="仿宋" w:eastAsia="仿宋" w:cs="仿宋" w:hAnsi="仿宋" w:hint="eastAsia"/>
          <w:color w:val="000000"/>
          <w:kern w:val="0"/>
          <w:sz w:val="32"/>
          <w:szCs w:val="32"/>
          <w:shd w:val="clear" w:color="auto" w:fill="FFFFFF"/>
        </w:rPr>
        <w:t>一是</w:t>
      </w:r>
      <w:r>
        <w:rPr>
          <w:rFonts w:ascii="仿宋" w:eastAsia="仿宋" w:cs="仿宋" w:hAnsi="仿宋" w:hint="eastAsia"/>
          <w:sz w:val="32"/>
          <w:szCs w:val="32"/>
        </w:rPr>
        <w:t>加强机关政治建设。坚持人大机关首先是政治机关的定位，深入贯彻新时代党的建设总要求，自觉将党建工作与人大业务工作有机结合，持续巩固“不忘初心、牢记使命”主题教育成果，压实党建工作主体责任。党组会议专题研究党建工作4次，党组班子成员认真履行“一岗双责”职责，严格遵守“双重组织生活”制度，带头参加机关党组织开展的各类活动，为人大机关、联系的贫困村党员干部上党课6次。推进机关党组织规范化建设，扎实抓好党员教育管理，常态化开展“两学一做”学习</w:t>
      </w:r>
      <w:r>
        <w:rPr>
          <w:rFonts w:ascii="仿宋" w:eastAsia="仿宋" w:cs="仿宋" w:hAnsi="仿宋" w:hint="eastAsia"/>
          <w:sz w:val="32"/>
          <w:szCs w:val="32"/>
          <w:lang w:eastAsia="zh-CN"/>
        </w:rPr>
        <w:t>教育</w:t>
      </w:r>
      <w:r>
        <w:rPr>
          <w:rFonts w:ascii="仿宋" w:eastAsia="仿宋" w:cs="仿宋" w:hAnsi="仿宋" w:hint="eastAsia"/>
          <w:sz w:val="32"/>
          <w:szCs w:val="32"/>
        </w:rPr>
        <w:t>。全年召开支部党员大会8次、支委会12次，开展主题党日活动12次，机关党内政治生活的严肃性、战斗性明显增强。</w:t>
      </w:r>
      <w:r>
        <w:rPr>
          <w:rFonts w:ascii="仿宋" w:eastAsia="仿宋" w:cs="仿宋" w:hAnsi="仿宋" w:hint="eastAsia"/>
          <w:color w:val="000000"/>
          <w:kern w:val="0"/>
          <w:sz w:val="32"/>
          <w:szCs w:val="32"/>
          <w:shd w:val="clear" w:color="auto" w:fill="FFFFFF"/>
        </w:rPr>
        <w:t>二是</w:t>
      </w:r>
      <w:r>
        <w:rPr>
          <w:rFonts w:ascii="仿宋" w:eastAsia="仿宋" w:cs="仿宋" w:hAnsi="仿宋" w:hint="eastAsia"/>
          <w:sz w:val="32"/>
          <w:szCs w:val="32"/>
        </w:rPr>
        <w:t>加强党风廉政建设。常委会党组制定了2020年度党风廉政建设实施方案，印发了党风廉政主体责任清单和风险防控清单，进一步压实工作责任，形成了齐抓共管的工作格局。扎实开展廉政教育，组织机关党员干部观看了刘亚洲、向永东反面典型警示教育专题片，并开展了以案促改工作，进一步筑牢机关党员干部“不想腐、不敢腐”廉洁从政的思想根基。认真抓好巡视巡察反馈问题整改，进一步加强经费管理，规范机关公务接待，严格出差审批；进一步加强机关党员干部作风建设，推动机关作风持续向好、工作效能进一步提升。</w:t>
      </w:r>
      <w:r>
        <w:rPr>
          <w:rFonts w:ascii="仿宋" w:eastAsia="仿宋" w:cs="仿宋" w:hAnsi="仿宋" w:hint="eastAsia"/>
          <w:color w:val="000000"/>
          <w:kern w:val="0"/>
          <w:sz w:val="32"/>
          <w:szCs w:val="32"/>
          <w:shd w:val="clear" w:color="auto" w:fill="FFFFFF"/>
        </w:rPr>
        <w:t>三是</w:t>
      </w:r>
      <w:r>
        <w:rPr>
          <w:rFonts w:ascii="仿宋" w:eastAsia="仿宋" w:cs="仿宋" w:hAnsi="仿宋" w:hint="eastAsia"/>
          <w:sz w:val="32"/>
          <w:szCs w:val="32"/>
        </w:rPr>
        <w:t>加强机关意识形态工作。利用党组中心组学习、支部集中学习会等形式，组织机关党员干部学习了习近平总书记有关意识形态工作系列重要讲话，学习国家安全法、保密法，管好涉密文件资料，增强机关党员干部抓意识形态工作的紧迫感、责任感；常委会党组召开专题会议研究意识形态工作4次，明确了1名党组成员分管意识形态工作，配备了工作人员；利用利州人大微信公众号，加强人大制度理论研究与舆论宣传，不断汇聚人大工作正能量，被省人大常委会办公厅表彰为“2020年宣传</w:t>
      </w:r>
      <w:r>
        <w:rPr>
          <w:rFonts w:ascii="仿宋" w:eastAsia="仿宋" w:cs="仿宋" w:hAnsi="仿宋" w:hint="eastAsia"/>
          <w:sz w:val="32"/>
          <w:szCs w:val="32"/>
          <w:lang w:eastAsia="zh-CN"/>
        </w:rPr>
        <w:t>人民代表大会</w:t>
      </w:r>
      <w:r>
        <w:rPr>
          <w:rFonts w:ascii="仿宋" w:eastAsia="仿宋" w:cs="仿宋" w:hAnsi="仿宋" w:hint="eastAsia"/>
          <w:sz w:val="32"/>
          <w:szCs w:val="32"/>
        </w:rPr>
        <w:t>制度先进单位”。</w:t>
      </w:r>
      <w:r>
        <w:rPr>
          <w:rFonts w:ascii="仿宋" w:eastAsia="仿宋" w:cs="仿宋" w:hAnsi="仿宋" w:hint="eastAsia"/>
          <w:color w:val="000000"/>
          <w:kern w:val="0"/>
          <w:sz w:val="32"/>
          <w:szCs w:val="32"/>
          <w:shd w:val="clear" w:color="auto" w:fill="FFFFFF"/>
        </w:rPr>
        <w:t>四是</w:t>
      </w:r>
      <w:r>
        <w:rPr>
          <w:rFonts w:ascii="仿宋" w:eastAsia="仿宋" w:cs="仿宋" w:hAnsi="仿宋" w:hint="eastAsia"/>
          <w:sz w:val="32"/>
          <w:szCs w:val="32"/>
        </w:rPr>
        <w:t>加强机关统战工作。组织机关干部认真学习了《中国共产党统一战线工作条例》及</w:t>
      </w:r>
      <w:r>
        <w:rPr>
          <w:rFonts w:ascii="仿宋" w:eastAsia="仿宋" w:cs="仿宋" w:hAnsi="仿宋" w:hint="eastAsia"/>
          <w:sz w:val="32"/>
          <w:szCs w:val="32"/>
          <w:lang w:eastAsia="zh-CN"/>
        </w:rPr>
        <w:t>习近平</w:t>
      </w:r>
      <w:r>
        <w:rPr>
          <w:rFonts w:ascii="仿宋" w:eastAsia="仿宋" w:cs="仿宋" w:hAnsi="仿宋" w:hint="eastAsia"/>
          <w:sz w:val="32"/>
          <w:szCs w:val="32"/>
        </w:rPr>
        <w:t>总书记在中共中央党外人士座谈会上的讲话精神，增强机关干部对统战工作的认识；认真落实区委统战工作系列部署，发挥机关党组织领头作用，统筹整合妇建、工建力量，组织开展了“三八”妇女节干部联谊和职工文化体育活动，机关干部队伍的凝聚力、向心力和战斗力进一步增强。</w:t>
      </w:r>
      <w:r>
        <w:rPr>
          <w:rFonts w:ascii="仿宋" w:eastAsia="仿宋" w:cs="仿宋" w:hAnsi="仿宋" w:hint="eastAsia"/>
          <w:color w:val="000000"/>
          <w:kern w:val="0"/>
          <w:sz w:val="32"/>
          <w:szCs w:val="32"/>
          <w:shd w:val="clear" w:color="auto" w:fill="FFFFFF"/>
        </w:rPr>
        <w:t>五是</w:t>
      </w:r>
      <w:r>
        <w:rPr>
          <w:rFonts w:ascii="仿宋" w:eastAsia="仿宋" w:cs="仿宋" w:hAnsi="仿宋" w:hint="eastAsia"/>
          <w:sz w:val="32"/>
          <w:szCs w:val="32"/>
        </w:rPr>
        <w:t>加强机关能力建设。常委会制定了年度学法计划，充分利用机关集体学习和外出学习考察等方式，提升人大机关干部运用法治思维和法治方式研判、解决问题的能力；为人大代表和机关干部订送了《民主法治建设》《人民权利报》等资料，提升人大机关干部履职能力；切实加强机关文化建设，利用机关楼道、走廊等场所，融入党建、党风廉政建设、人民代表大会制度等元素内容，打造独具特色的人大机关文化。</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p>
    <w:p>
      <w:pPr>
        <w:pStyle w:val="2"/>
        <w:rPr>
          <w:rStyle w:val="2Char"/>
          <w:b w:val="0"/>
          <w:bCs w:val="0"/>
        </w:rPr>
      </w:pPr>
      <w:bookmarkStart w:id="21" w:name="_Toc15377200"/>
      <w:bookmarkStart w:id="22"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b w:val="0"/>
          <w:bCs w:val="0"/>
        </w:rPr>
        <w:t>构设置</w:t>
      </w:r>
      <w:bookmarkEnd w:id="21"/>
      <w:bookmarkEnd w:id="22"/>
    </w:p>
    <w:p>
      <w:pPr>
        <w:ind w:firstLineChars="200" w:firstLine="640"/>
        <w:rPr>
          <w:rFonts w:ascii="Calibri" w:eastAsia="仿宋_GB2312" w:hAnsi="Calibri"/>
          <w:sz w:val="32"/>
          <w:szCs w:val="32"/>
        </w:rPr>
      </w:pPr>
      <w:r>
        <w:rPr>
          <w:rFonts w:ascii="Calibri" w:eastAsia="仿宋_GB2312" w:hAnsi="Calibri" w:hint="eastAsia"/>
          <w:sz w:val="32"/>
          <w:szCs w:val="32"/>
        </w:rPr>
        <w:t>区人大常委会机关设置综合办事机构和其他工作机构共14个。即：区人大财政经济委员会、区人大监察和司法委员会、区人大教科文卫委员会、区人大社会建设委员会、</w:t>
      </w:r>
    </w:p>
    <w:p>
      <w:pPr>
        <w:rPr>
          <w:rFonts w:ascii="仿宋" w:eastAsia="仿宋" w:hAnsi="仿宋"/>
          <w:color w:val="000000"/>
          <w:kern w:val="0"/>
          <w:sz w:val="32"/>
          <w:szCs w:val="32"/>
        </w:rPr>
      </w:pPr>
      <w:r>
        <w:rPr>
          <w:rFonts w:ascii="Calibri" w:eastAsia="仿宋_GB2312" w:hAnsi="Calibri" w:hint="eastAsia"/>
          <w:sz w:val="32"/>
          <w:szCs w:val="32"/>
        </w:rPr>
        <w:t>区人大常委会办公室（下设事业单位</w:t>
      </w:r>
      <w:r>
        <w:rPr>
          <w:rFonts w:ascii="Calibri" w:eastAsia="仿宋_GB2312" w:hAnsi="Calibri"/>
          <w:sz w:val="32"/>
          <w:szCs w:val="32"/>
        </w:rPr>
        <w:t>1</w:t>
      </w:r>
      <w:r>
        <w:rPr>
          <w:rFonts w:ascii="Calibri" w:eastAsia="仿宋_GB2312" w:hAnsi="Calibri" w:hint="eastAsia"/>
          <w:sz w:val="32"/>
          <w:szCs w:val="32"/>
        </w:rPr>
        <w:t>个：信息中心）、区人大常委会人事代表工委、区人大常委会法制工作委员会、区人大常委会财经工作委员会（预算工委）、区人大常委会农业工作委员会、区人大常委会教科文卫工作委员会、区人大常委会城乡建设环境资源保护委员会、区人大常委会民族宗教外事侨务委员会、区人大常委会市人大代表联络科、区人大常委会信访办公室。</w:t>
      </w:r>
      <w:r>
        <w:rPr>
          <w:rFonts w:ascii="仿宋" w:eastAsia="仿宋" w:hAnsi="仿宋"/>
          <w:color w:val="000000"/>
          <w:sz w:val="32"/>
          <w:szCs w:val="32"/>
        </w:rPr>
        <w:br w:type="page"/>
      </w:r>
    </w:p>
    <w:p>
      <w:pPr>
        <w:pStyle w:val="1"/>
        <w:ind w:right="440"/>
        <w:jc w:val="right"/>
        <w:rPr>
          <w:rStyle w:val="1Char"/>
          <w:rFonts w:ascii="黑体" w:eastAsia="黑体" w:hAnsi="黑体"/>
          <w:b w:val="0"/>
          <w:bCs w:val="0"/>
        </w:rPr>
      </w:pPr>
      <w:bookmarkStart w:id="23" w:name="_Toc15377204"/>
      <w:bookmarkStart w:id="24" w:name="_Toc15396602"/>
      <w:r>
        <w:rPr>
          <w:rFonts w:ascii="黑体" w:eastAsia="黑体" w:hAnsi="黑体" w:hint="eastAsia"/>
          <w:b w:val="0"/>
          <w:color w:val="000000"/>
        </w:rPr>
        <w:t>第二部分</w:t>
      </w:r>
      <w:r>
        <w:rPr>
          <w:rStyle w:val="1Char"/>
          <w:rFonts w:ascii="黑体" w:eastAsia="黑体" w:hAnsi="黑体" w:hint="eastAsia"/>
          <w:b w:val="0"/>
          <w:bCs w:val="0"/>
        </w:rPr>
        <w:t>20</w:t>
      </w:r>
      <w:r>
        <w:rPr>
          <w:rStyle w:val="1Char"/>
          <w:rFonts w:ascii="黑体" w:eastAsia="黑体" w:hAnsi="黑体"/>
          <w:b w:val="0"/>
          <w:bCs w:val="0"/>
        </w:rPr>
        <w:t>20</w:t>
      </w:r>
      <w:r>
        <w:rPr>
          <w:rStyle w:val="1Char"/>
          <w:rFonts w:ascii="黑体" w:eastAsia="黑体" w:hAnsi="黑体" w:hint="eastAsia"/>
          <w:b w:val="0"/>
          <w:bCs w:val="0"/>
        </w:rPr>
        <w:t>年度部门决算情况说明</w:t>
      </w:r>
      <w:bookmarkEnd w:id="23"/>
      <w:bookmarkEnd w:id="24"/>
    </w:p>
    <w:p/>
    <w:p>
      <w:pPr>
        <w:pStyle w:val="35"/>
        <w:numPr>
          <w:ilvl w:val="0"/>
          <w:numId w:val="1"/>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drawing>
          <wp:anchor distT="0" distB="0" distL="114300" distR="114300" simplePos="0" relativeHeight="18" behindDoc="0" locked="0" layoutInCell="1" hidden="0" allowOverlap="1">
            <wp:simplePos x="0" y="0"/>
            <wp:positionH relativeFrom="column">
              <wp:posOffset>55245</wp:posOffset>
            </wp:positionH>
            <wp:positionV relativeFrom="paragraph">
              <wp:posOffset>2045334</wp:posOffset>
            </wp:positionV>
            <wp:extent cx="5274310" cy="3429000"/>
            <wp:effectExtent l="0" t="0" r="0" b="0"/>
            <wp:wrapTopAndBottom/>
            <wp:docPr id="1" name="图表 1"/>
            <wp:cNvGraphicFramePr>
              <a:graphicFrameLocks noChangeAspect="0"/>
            </wp:cNvGraphicFramePr>
            <a:graphic>
              <a:graphicData uri="http://schemas.openxmlformats.org/drawingml/2006/chart">
                <c:chart xmlns:c="http://schemas.openxmlformats.org/drawingml/2006/chart" r:id="rId4"/>
              </a:graphicData>
            </a:graphic>
          </wp:anchor>
        </w:drawing>
      </w:r>
      <w:r>
        <w:rPr>
          <w:rFonts w:ascii="仿宋" w:eastAsia="仿宋" w:hAnsi="仿宋" w:hint="eastAsia"/>
          <w:color w:val="000000"/>
          <w:sz w:val="32"/>
          <w:szCs w:val="32"/>
        </w:rPr>
        <w:t>20</w:t>
      </w:r>
      <w:r>
        <w:rPr>
          <w:rFonts w:ascii="仿宋" w:eastAsia="仿宋" w:hAnsi="仿宋"/>
          <w:color w:val="000000"/>
          <w:sz w:val="32"/>
          <w:szCs w:val="32"/>
        </w:rPr>
        <w:t>20</w:t>
      </w:r>
      <w:r>
        <w:rPr>
          <w:rFonts w:ascii="仿宋" w:eastAsia="仿宋" w:hAnsi="仿宋" w:hint="eastAsia"/>
          <w:color w:val="000000"/>
          <w:sz w:val="32"/>
          <w:szCs w:val="32"/>
        </w:rPr>
        <w:t>年度收入总计</w:t>
      </w:r>
      <w:r>
        <w:rPr>
          <w:rFonts w:ascii="仿宋" w:eastAsia="仿宋" w:hAnsi="仿宋"/>
          <w:color w:val="000000"/>
          <w:sz w:val="32"/>
          <w:szCs w:val="32"/>
        </w:rPr>
        <w:t>1079.95</w:t>
      </w:r>
      <w:r>
        <w:rPr>
          <w:rFonts w:ascii="仿宋" w:eastAsia="仿宋" w:hAnsi="仿宋" w:hint="eastAsia"/>
          <w:color w:val="000000"/>
          <w:sz w:val="32"/>
          <w:szCs w:val="32"/>
        </w:rPr>
        <w:t>万元。与201</w:t>
      </w:r>
      <w:r>
        <w:rPr>
          <w:rFonts w:ascii="仿宋" w:eastAsia="仿宋" w:hAnsi="仿宋"/>
          <w:color w:val="000000"/>
          <w:sz w:val="32"/>
          <w:szCs w:val="32"/>
        </w:rPr>
        <w:t>9</w:t>
      </w:r>
      <w:r>
        <w:rPr>
          <w:rFonts w:ascii="仿宋" w:eastAsia="仿宋" w:hAnsi="仿宋" w:hint="eastAsia"/>
          <w:color w:val="000000"/>
          <w:sz w:val="32"/>
          <w:szCs w:val="32"/>
        </w:rPr>
        <w:t>年收入</w:t>
      </w:r>
      <w:r>
        <w:rPr>
          <w:rFonts w:ascii="仿宋" w:eastAsia="仿宋" w:hAnsi="仿宋"/>
          <w:color w:val="000000"/>
          <w:sz w:val="32"/>
          <w:szCs w:val="32"/>
        </w:rPr>
        <w:t>926.61</w:t>
      </w:r>
      <w:r>
        <w:rPr>
          <w:rFonts w:ascii="仿宋" w:eastAsia="仿宋" w:hAnsi="仿宋" w:hint="eastAsia"/>
          <w:color w:val="000000"/>
          <w:sz w:val="32"/>
          <w:szCs w:val="32"/>
        </w:rPr>
        <w:t>万元相比，收入总计增加</w:t>
      </w:r>
      <w:r>
        <w:rPr>
          <w:rFonts w:ascii="仿宋" w:eastAsia="仿宋" w:hAnsi="仿宋"/>
          <w:color w:val="000000"/>
          <w:sz w:val="32"/>
          <w:szCs w:val="32"/>
        </w:rPr>
        <w:t>153.34</w:t>
      </w:r>
      <w:r>
        <w:rPr>
          <w:rFonts w:ascii="仿宋" w:eastAsia="仿宋" w:hAnsi="仿宋" w:hint="eastAsia"/>
          <w:color w:val="000000"/>
          <w:sz w:val="32"/>
          <w:szCs w:val="32"/>
        </w:rPr>
        <w:t>万元，增长</w:t>
      </w:r>
      <w:r>
        <w:rPr>
          <w:rFonts w:ascii="仿宋" w:eastAsia="仿宋" w:hAnsi="仿宋"/>
          <w:color w:val="000000"/>
          <w:sz w:val="32"/>
          <w:szCs w:val="32"/>
        </w:rPr>
        <w:t>16.55%</w:t>
      </w:r>
      <w:r>
        <w:rPr>
          <w:rFonts w:ascii="仿宋" w:eastAsia="仿宋" w:hAnsi="仿宋" w:hint="eastAsia"/>
          <w:color w:val="000000"/>
          <w:sz w:val="32"/>
          <w:szCs w:val="32"/>
        </w:rPr>
        <w:t>。20</w:t>
      </w:r>
      <w:r>
        <w:rPr>
          <w:rFonts w:ascii="仿宋" w:eastAsia="仿宋" w:hAnsi="仿宋"/>
          <w:color w:val="000000"/>
          <w:sz w:val="32"/>
          <w:szCs w:val="32"/>
        </w:rPr>
        <w:t>20</w:t>
      </w:r>
      <w:r>
        <w:rPr>
          <w:rFonts w:ascii="仿宋" w:eastAsia="仿宋" w:hAnsi="仿宋" w:hint="eastAsia"/>
          <w:color w:val="000000"/>
          <w:sz w:val="32"/>
          <w:szCs w:val="32"/>
        </w:rPr>
        <w:t>年度支出总计</w:t>
      </w:r>
      <w:r>
        <w:rPr>
          <w:rFonts w:ascii="仿宋" w:eastAsia="仿宋" w:hAnsi="仿宋"/>
          <w:color w:val="000000"/>
          <w:sz w:val="32"/>
          <w:szCs w:val="32"/>
        </w:rPr>
        <w:t>1106.09</w:t>
      </w:r>
      <w:r>
        <w:rPr>
          <w:rFonts w:ascii="仿宋" w:eastAsia="仿宋" w:hAnsi="仿宋" w:hint="eastAsia"/>
          <w:color w:val="000000"/>
          <w:sz w:val="32"/>
          <w:szCs w:val="32"/>
        </w:rPr>
        <w:t>万元。与201</w:t>
      </w:r>
      <w:r>
        <w:rPr>
          <w:rFonts w:ascii="仿宋" w:eastAsia="仿宋" w:hAnsi="仿宋"/>
          <w:color w:val="000000"/>
          <w:sz w:val="32"/>
          <w:szCs w:val="32"/>
        </w:rPr>
        <w:t>9</w:t>
      </w:r>
      <w:r>
        <w:rPr>
          <w:rFonts w:ascii="仿宋" w:eastAsia="仿宋" w:hAnsi="仿宋" w:hint="eastAsia"/>
          <w:color w:val="000000"/>
          <w:sz w:val="32"/>
          <w:szCs w:val="32"/>
        </w:rPr>
        <w:t>年支出</w:t>
      </w:r>
      <w:r>
        <w:rPr>
          <w:rFonts w:ascii="仿宋" w:eastAsia="仿宋" w:hAnsi="仿宋"/>
          <w:color w:val="000000"/>
          <w:sz w:val="32"/>
          <w:szCs w:val="32"/>
        </w:rPr>
        <w:t>883.60</w:t>
      </w:r>
      <w:r>
        <w:rPr>
          <w:rFonts w:ascii="仿宋" w:eastAsia="仿宋" w:hAnsi="仿宋" w:hint="eastAsia"/>
          <w:color w:val="000000"/>
          <w:sz w:val="32"/>
          <w:szCs w:val="32"/>
        </w:rPr>
        <w:t>万元相比，支出总计增加</w:t>
      </w:r>
      <w:r>
        <w:rPr>
          <w:rFonts w:ascii="仿宋" w:eastAsia="仿宋" w:hAnsi="仿宋"/>
          <w:color w:val="000000"/>
          <w:sz w:val="32"/>
          <w:szCs w:val="32"/>
        </w:rPr>
        <w:t>222.49</w:t>
      </w:r>
      <w:r>
        <w:rPr>
          <w:rFonts w:ascii="仿宋" w:eastAsia="仿宋" w:hAnsi="仿宋" w:hint="eastAsia"/>
          <w:color w:val="000000"/>
          <w:sz w:val="32"/>
          <w:szCs w:val="32"/>
        </w:rPr>
        <w:t>万元，增长</w:t>
      </w:r>
      <w:r>
        <w:rPr>
          <w:rFonts w:ascii="仿宋" w:eastAsia="仿宋" w:hAnsi="仿宋"/>
          <w:color w:val="000000"/>
          <w:sz w:val="32"/>
          <w:szCs w:val="32"/>
        </w:rPr>
        <w:t>25.18%</w:t>
      </w:r>
      <w:r>
        <w:rPr>
          <w:rFonts w:ascii="仿宋" w:eastAsia="仿宋" w:hAnsi="仿宋" w:hint="eastAsia"/>
          <w:color w:val="000000"/>
          <w:sz w:val="32"/>
          <w:szCs w:val="32"/>
        </w:rPr>
        <w:t>。主要变动原因是增加了专项业务费预算。</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pPr>
        <w:pStyle w:val="35"/>
        <w:numPr>
          <w:ilvl w:val="0"/>
          <w:numId w:val="1"/>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w:t>
      </w:r>
      <w:r>
        <w:rPr>
          <w:rFonts w:ascii="仿宋" w:eastAsia="仿宋" w:hAnsi="仿宋"/>
          <w:color w:val="000000"/>
          <w:sz w:val="32"/>
          <w:szCs w:val="32"/>
        </w:rPr>
        <w:t>1079.95</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1079.95</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；政府性基金预算财政拨款收入</w:t>
      </w:r>
      <w:r>
        <w:rPr>
          <w:rFonts w:ascii="仿宋" w:eastAsia="仿宋" w:hAnsi="仿宋"/>
          <w:color w:val="000000"/>
          <w:sz w:val="32"/>
          <w:szCs w:val="32"/>
        </w:rPr>
        <w:t>0</w:t>
      </w:r>
      <w:r>
        <w:rPr>
          <w:rFonts w:ascii="仿宋" w:eastAsia="仿宋" w:hAnsi="仿宋" w:hint="eastAsia"/>
          <w:color w:val="000000"/>
          <w:sz w:val="32"/>
          <w:szCs w:val="32"/>
        </w:rPr>
        <w:t>元，占</w:t>
      </w:r>
      <w:r>
        <w:rPr>
          <w:rFonts w:ascii="仿宋" w:eastAsia="仿宋" w:hAnsi="仿宋"/>
          <w:b/>
          <w:color w:val="000000"/>
          <w:sz w:val="32"/>
          <w:szCs w:val="32"/>
        </w:rPr>
        <w:t>0%</w:t>
      </w:r>
      <w:r>
        <w:rPr>
          <w:rFonts w:ascii="仿宋" w:eastAsia="仿宋" w:hAnsi="仿宋" w:hint="eastAsia"/>
          <w:color w:val="000000"/>
          <w:sz w:val="32"/>
          <w:szCs w:val="32"/>
        </w:rPr>
        <w:t>；上级补助收入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；事业收入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；附属单位</w:t>
      </w:r>
      <w:r>
        <w:rPr>
          <w:rFonts w:ascii="仿宋" w:eastAsia="仿宋" w:hAnsi="仿宋"/>
          <w:color w:val="000000"/>
          <w:sz w:val="32"/>
          <w:szCs w:val="32"/>
        </w:rPr>
        <w:drawing>
          <wp:anchor distT="0" distB="0" distL="114300" distR="114300" simplePos="0" relativeHeight="20" behindDoc="0" locked="0" layoutInCell="1" hidden="0" allowOverlap="1">
            <wp:simplePos x="0" y="0"/>
            <wp:positionH relativeFrom="column">
              <wp:posOffset>17145</wp:posOffset>
            </wp:positionH>
            <wp:positionV relativeFrom="paragraph">
              <wp:posOffset>824230</wp:posOffset>
            </wp:positionV>
            <wp:extent cx="5274310" cy="2708274"/>
            <wp:effectExtent l="0" t="0" r="0" b="0"/>
            <wp:wrapTopAndBottom/>
            <wp:docPr id="2" name="图表 2"/>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仿宋" w:eastAsia="仿宋" w:hAnsi="仿宋" w:hint="eastAsia"/>
          <w:color w:val="000000"/>
          <w:sz w:val="32"/>
          <w:szCs w:val="32"/>
        </w:rPr>
        <w:t>上缴收入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；其他收入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（图2：收入决算结构图）（饼状图）</w:t>
      </w:r>
    </w:p>
    <w:p>
      <w:pPr>
        <w:pStyle w:val="35"/>
        <w:numPr>
          <w:ilvl w:val="0"/>
          <w:numId w:val="1"/>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360" w:lineRule="auto"/>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drawing>
          <wp:anchor distT="0" distB="0" distL="114300" distR="114300" simplePos="0" relativeHeight="22" behindDoc="0" locked="0" layoutInCell="1" hidden="0" allowOverlap="1">
            <wp:simplePos x="0" y="0"/>
            <wp:positionH relativeFrom="column">
              <wp:posOffset>6350</wp:posOffset>
            </wp:positionH>
            <wp:positionV relativeFrom="paragraph">
              <wp:posOffset>1654810</wp:posOffset>
            </wp:positionV>
            <wp:extent cx="5285105" cy="2493645"/>
            <wp:effectExtent l="0" t="0" r="0" b="0"/>
            <wp:wrapTopAndBottom/>
            <wp:docPr id="3" name="图表 4"/>
            <wp:cNvGraphicFramePr>
              <a:graphicFrameLocks noChangeAspect="0"/>
            </wp:cNvGraphicFramePr>
            <a:graphic>
              <a:graphicData uri="http://schemas.openxmlformats.org/drawingml/2006/chart">
                <c:chart xmlns:c="http://schemas.openxmlformats.org/drawingml/2006/chart" r:id="rId6"/>
              </a:graphicData>
            </a:graphic>
          </wp:anchor>
        </w:drawing>
      </w:r>
      <w:r>
        <w:rPr>
          <w:rFonts w:ascii="仿宋" w:eastAsia="仿宋" w:hAnsi="仿宋"/>
          <w:color w:val="000000"/>
          <w:sz w:val="32"/>
          <w:szCs w:val="32"/>
        </w:rPr>
        <w:t>2020</w:t>
      </w:r>
      <w:r>
        <w:rPr>
          <w:rFonts w:ascii="仿宋" w:eastAsia="仿宋" w:hAnsi="仿宋" w:hint="eastAsia"/>
          <w:color w:val="000000"/>
          <w:sz w:val="32"/>
          <w:szCs w:val="32"/>
        </w:rPr>
        <w:t>年本年支出合计</w:t>
      </w:r>
      <w:r>
        <w:rPr>
          <w:rFonts w:ascii="仿宋" w:eastAsia="仿宋" w:hAnsi="仿宋"/>
          <w:color w:val="000000"/>
          <w:sz w:val="32"/>
          <w:szCs w:val="32"/>
        </w:rPr>
        <w:t>1106.09</w:t>
      </w:r>
      <w:r>
        <w:rPr>
          <w:rFonts w:ascii="仿宋" w:eastAsia="仿宋" w:hAnsi="仿宋" w:hint="eastAsia"/>
          <w:color w:val="000000"/>
          <w:sz w:val="32"/>
          <w:szCs w:val="32"/>
        </w:rPr>
        <w:t>万元，其中：基本支出</w:t>
      </w:r>
      <w:r>
        <w:rPr>
          <w:rFonts w:ascii="仿宋" w:eastAsia="仿宋" w:hAnsi="仿宋"/>
          <w:color w:val="000000"/>
          <w:sz w:val="32"/>
          <w:szCs w:val="32"/>
        </w:rPr>
        <w:t>789.84</w:t>
      </w:r>
      <w:r>
        <w:rPr>
          <w:rFonts w:ascii="仿宋" w:eastAsia="仿宋" w:hAnsi="仿宋" w:hint="eastAsia"/>
          <w:color w:val="000000"/>
          <w:sz w:val="32"/>
          <w:szCs w:val="32"/>
        </w:rPr>
        <w:t>万元，占</w:t>
      </w:r>
      <w:r>
        <w:rPr>
          <w:rFonts w:ascii="仿宋" w:eastAsia="仿宋" w:hAnsi="仿宋"/>
          <w:color w:val="000000"/>
          <w:sz w:val="32"/>
          <w:szCs w:val="32"/>
        </w:rPr>
        <w:t>71.41%</w:t>
      </w:r>
      <w:r>
        <w:rPr>
          <w:rFonts w:ascii="仿宋" w:eastAsia="仿宋" w:hAnsi="仿宋" w:hint="eastAsia"/>
          <w:color w:val="000000"/>
          <w:sz w:val="32"/>
          <w:szCs w:val="32"/>
        </w:rPr>
        <w:t>；项目支出</w:t>
      </w:r>
      <w:r>
        <w:rPr>
          <w:rFonts w:ascii="仿宋" w:eastAsia="仿宋" w:hAnsi="仿宋"/>
          <w:color w:val="000000"/>
          <w:sz w:val="32"/>
          <w:szCs w:val="32"/>
        </w:rPr>
        <w:t>316.26</w:t>
      </w:r>
      <w:r>
        <w:rPr>
          <w:rFonts w:ascii="仿宋" w:eastAsia="仿宋" w:hAnsi="仿宋" w:hint="eastAsia"/>
          <w:color w:val="000000"/>
          <w:sz w:val="32"/>
          <w:szCs w:val="32"/>
        </w:rPr>
        <w:t>万元，占</w:t>
      </w:r>
      <w:r>
        <w:rPr>
          <w:rFonts w:ascii="仿宋" w:eastAsia="仿宋" w:hAnsi="仿宋"/>
          <w:color w:val="000000"/>
          <w:sz w:val="32"/>
          <w:szCs w:val="32"/>
        </w:rPr>
        <w:t>28.59%</w:t>
      </w:r>
      <w:r>
        <w:rPr>
          <w:rFonts w:ascii="仿宋" w:eastAsia="仿宋" w:hAnsi="仿宋" w:hint="eastAsia"/>
          <w:color w:val="000000"/>
          <w:sz w:val="32"/>
          <w:szCs w:val="32"/>
        </w:rPr>
        <w:t>；上缴上级支出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；经营支出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；对附属单位补助支出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p>
    <w:p>
      <w:pPr>
        <w:spacing w:line="360" w:lineRule="auto"/>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（图3：支出决算结构图）（饼状图）</w:t>
      </w:r>
    </w:p>
    <w:p>
      <w:pPr>
        <w:spacing w:line="600" w:lineRule="exact"/>
        <w:ind w:firstLineChars="200" w:firstLine="640"/>
        <w:outlineLvl w:val="1"/>
        <w:rPr>
          <w:rFonts w:ascii="黑体" w:eastAsia="黑体" w:cs="Times New Roman" w:hAnsi="黑体"/>
          <w:bCs/>
          <w:sz w:val="32"/>
          <w:szCs w:val="32"/>
        </w:rPr>
      </w:pPr>
      <w:bookmarkStart w:id="31" w:name="_Toc15396606"/>
      <w:bookmarkStart w:id="32"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drawing>
          <wp:anchor distT="0" distB="0" distL="114300" distR="114300" simplePos="0" relativeHeight="24" behindDoc="0" locked="0" layoutInCell="1" hidden="0" allowOverlap="1">
            <wp:simplePos x="0" y="0"/>
            <wp:positionH relativeFrom="column">
              <wp:posOffset>-34925</wp:posOffset>
            </wp:positionH>
            <wp:positionV relativeFrom="paragraph">
              <wp:posOffset>2070735</wp:posOffset>
            </wp:positionV>
            <wp:extent cx="5274310" cy="4287520"/>
            <wp:effectExtent l="0" t="0" r="0" b="0"/>
            <wp:wrapTopAndBottom/>
            <wp:docPr id="4" name="图表 5"/>
            <wp:cNvGraphicFramePr>
              <a:graphicFrameLocks noChangeAspect="0"/>
            </wp:cNvGraphicFramePr>
            <a:graphic>
              <a:graphicData uri="http://schemas.openxmlformats.org/drawingml/2006/chart">
                <c:chart xmlns:c="http://schemas.openxmlformats.org/drawingml/2006/chart" r:id="rId7"/>
              </a:graphicData>
            </a:graphic>
          </wp:anchor>
        </w:drawing>
      </w:r>
      <w:r>
        <w:rPr>
          <w:rFonts w:ascii="仿宋" w:eastAsia="仿宋" w:hAnsi="仿宋" w:hint="eastAsia"/>
          <w:color w:val="000000"/>
          <w:sz w:val="32"/>
          <w:szCs w:val="32"/>
        </w:rPr>
        <w:t>20</w:t>
      </w:r>
      <w:r>
        <w:rPr>
          <w:rFonts w:ascii="仿宋" w:eastAsia="仿宋" w:hAnsi="仿宋"/>
          <w:color w:val="000000"/>
          <w:sz w:val="32"/>
          <w:szCs w:val="32"/>
        </w:rPr>
        <w:t>20</w:t>
      </w:r>
      <w:r>
        <w:rPr>
          <w:rFonts w:ascii="仿宋" w:eastAsia="仿宋" w:hAnsi="仿宋" w:hint="eastAsia"/>
          <w:color w:val="000000"/>
          <w:sz w:val="32"/>
          <w:szCs w:val="32"/>
        </w:rPr>
        <w:t>年财政拨款收入总计</w:t>
      </w:r>
      <w:r>
        <w:rPr>
          <w:rFonts w:ascii="仿宋" w:eastAsia="仿宋" w:hAnsi="仿宋"/>
          <w:color w:val="000000"/>
          <w:sz w:val="32"/>
          <w:szCs w:val="32"/>
        </w:rPr>
        <w:t>1079.95</w:t>
      </w:r>
      <w:r>
        <w:rPr>
          <w:rFonts w:ascii="仿宋" w:eastAsia="仿宋" w:hAnsi="仿宋" w:hint="eastAsia"/>
          <w:color w:val="000000"/>
          <w:sz w:val="32"/>
          <w:szCs w:val="32"/>
        </w:rPr>
        <w:t>万元。与201</w:t>
      </w:r>
      <w:r>
        <w:rPr>
          <w:rFonts w:ascii="仿宋" w:eastAsia="仿宋" w:hAnsi="仿宋"/>
          <w:color w:val="000000"/>
          <w:sz w:val="32"/>
          <w:szCs w:val="32"/>
        </w:rPr>
        <w:t>9</w:t>
      </w:r>
      <w:r>
        <w:rPr>
          <w:rFonts w:ascii="仿宋" w:eastAsia="仿宋" w:hAnsi="仿宋" w:hint="eastAsia"/>
          <w:color w:val="000000"/>
          <w:sz w:val="32"/>
          <w:szCs w:val="32"/>
        </w:rPr>
        <w:t>年收入</w:t>
      </w:r>
      <w:r>
        <w:rPr>
          <w:rFonts w:ascii="仿宋" w:eastAsia="仿宋" w:hAnsi="仿宋"/>
          <w:color w:val="000000"/>
          <w:sz w:val="32"/>
          <w:szCs w:val="32"/>
        </w:rPr>
        <w:t>926.61</w:t>
      </w:r>
      <w:r>
        <w:rPr>
          <w:rFonts w:ascii="仿宋" w:eastAsia="仿宋" w:hAnsi="仿宋" w:hint="eastAsia"/>
          <w:color w:val="000000"/>
          <w:sz w:val="32"/>
          <w:szCs w:val="32"/>
        </w:rPr>
        <w:t>万元相比，收入总计增加</w:t>
      </w:r>
      <w:r>
        <w:rPr>
          <w:rFonts w:ascii="仿宋" w:eastAsia="仿宋" w:hAnsi="仿宋"/>
          <w:color w:val="000000"/>
          <w:sz w:val="32"/>
          <w:szCs w:val="32"/>
        </w:rPr>
        <w:t>153.34</w:t>
      </w:r>
      <w:r>
        <w:rPr>
          <w:rFonts w:ascii="仿宋" w:eastAsia="仿宋" w:hAnsi="仿宋" w:hint="eastAsia"/>
          <w:color w:val="000000"/>
          <w:sz w:val="32"/>
          <w:szCs w:val="32"/>
        </w:rPr>
        <w:t>万元，增长</w:t>
      </w:r>
      <w:r>
        <w:rPr>
          <w:rFonts w:ascii="仿宋" w:eastAsia="仿宋" w:hAnsi="仿宋"/>
          <w:color w:val="000000"/>
          <w:sz w:val="32"/>
          <w:szCs w:val="32"/>
        </w:rPr>
        <w:t>16.55%</w:t>
      </w:r>
      <w:r>
        <w:rPr>
          <w:rFonts w:ascii="仿宋" w:eastAsia="仿宋" w:hAnsi="仿宋" w:hint="eastAsia"/>
          <w:color w:val="000000"/>
          <w:sz w:val="32"/>
          <w:szCs w:val="32"/>
        </w:rPr>
        <w:t>。20</w:t>
      </w:r>
      <w:r>
        <w:rPr>
          <w:rFonts w:ascii="仿宋" w:eastAsia="仿宋" w:hAnsi="仿宋"/>
          <w:color w:val="000000"/>
          <w:sz w:val="32"/>
          <w:szCs w:val="32"/>
        </w:rPr>
        <w:t>20</w:t>
      </w:r>
      <w:r>
        <w:rPr>
          <w:rFonts w:ascii="仿宋" w:eastAsia="仿宋" w:hAnsi="仿宋" w:hint="eastAsia"/>
          <w:color w:val="000000"/>
          <w:sz w:val="32"/>
          <w:szCs w:val="32"/>
        </w:rPr>
        <w:t>年财政拨款支出总计</w:t>
      </w:r>
      <w:r>
        <w:rPr>
          <w:rFonts w:ascii="仿宋" w:eastAsia="仿宋" w:hAnsi="仿宋"/>
          <w:color w:val="000000"/>
          <w:sz w:val="32"/>
          <w:szCs w:val="32"/>
        </w:rPr>
        <w:t>1106.09</w:t>
      </w:r>
      <w:r>
        <w:rPr>
          <w:rFonts w:ascii="仿宋" w:eastAsia="仿宋" w:hAnsi="仿宋" w:hint="eastAsia"/>
          <w:color w:val="000000"/>
          <w:sz w:val="32"/>
          <w:szCs w:val="32"/>
        </w:rPr>
        <w:t>万元。与201</w:t>
      </w:r>
      <w:r>
        <w:rPr>
          <w:rFonts w:ascii="仿宋" w:eastAsia="仿宋" w:hAnsi="仿宋"/>
          <w:color w:val="000000"/>
          <w:sz w:val="32"/>
          <w:szCs w:val="32"/>
        </w:rPr>
        <w:t>9</w:t>
      </w:r>
      <w:r>
        <w:rPr>
          <w:rFonts w:ascii="仿宋" w:eastAsia="仿宋" w:hAnsi="仿宋" w:hint="eastAsia"/>
          <w:color w:val="000000"/>
          <w:sz w:val="32"/>
          <w:szCs w:val="32"/>
        </w:rPr>
        <w:t>年支出</w:t>
      </w:r>
      <w:r>
        <w:rPr>
          <w:rFonts w:ascii="仿宋" w:eastAsia="仿宋" w:hAnsi="仿宋"/>
          <w:color w:val="000000"/>
          <w:sz w:val="32"/>
          <w:szCs w:val="32"/>
        </w:rPr>
        <w:t>883.60</w:t>
      </w:r>
      <w:r>
        <w:rPr>
          <w:rFonts w:ascii="仿宋" w:eastAsia="仿宋" w:hAnsi="仿宋" w:hint="eastAsia"/>
          <w:color w:val="000000"/>
          <w:sz w:val="32"/>
          <w:szCs w:val="32"/>
        </w:rPr>
        <w:t>万元相比，支出总计增加</w:t>
      </w:r>
      <w:r>
        <w:rPr>
          <w:rFonts w:ascii="仿宋" w:eastAsia="仿宋" w:hAnsi="仿宋"/>
          <w:color w:val="000000"/>
          <w:sz w:val="32"/>
          <w:szCs w:val="32"/>
        </w:rPr>
        <w:t>222.49</w:t>
      </w:r>
      <w:r>
        <w:rPr>
          <w:rFonts w:ascii="仿宋" w:eastAsia="仿宋" w:hAnsi="仿宋" w:hint="eastAsia"/>
          <w:color w:val="000000"/>
          <w:sz w:val="32"/>
          <w:szCs w:val="32"/>
        </w:rPr>
        <w:t>万元，增长</w:t>
      </w:r>
      <w:r>
        <w:rPr>
          <w:rFonts w:ascii="仿宋" w:eastAsia="仿宋" w:hAnsi="仿宋"/>
          <w:color w:val="000000"/>
          <w:sz w:val="32"/>
          <w:szCs w:val="32"/>
        </w:rPr>
        <w:t>25.18%</w:t>
      </w:r>
      <w:r>
        <w:rPr>
          <w:rFonts w:ascii="仿宋" w:eastAsia="仿宋" w:hAnsi="仿宋" w:hint="eastAsia"/>
          <w:color w:val="000000"/>
          <w:sz w:val="32"/>
          <w:szCs w:val="32"/>
        </w:rPr>
        <w:t>。主要变动原因是增加专项业务费预算。</w:t>
      </w:r>
    </w:p>
    <w:p>
      <w:pPr>
        <w:spacing w:line="60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（图4：财政拨款收、支决算总计变动情况）（柱状图）</w:t>
      </w:r>
    </w:p>
    <w:p>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pPr>
        <w:spacing w:line="600" w:lineRule="exact"/>
        <w:ind w:firstLineChars="200" w:firstLine="640"/>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Pr>
          <w:rFonts w:ascii="仿宋" w:eastAsia="仿宋" w:hAnsi="仿宋"/>
          <w:color w:val="000000"/>
          <w:sz w:val="32"/>
          <w:szCs w:val="32"/>
        </w:rPr>
        <w:t>1106.09</w:t>
      </w:r>
      <w:r>
        <w:rPr>
          <w:rFonts w:ascii="仿宋" w:eastAsia="仿宋" w:hAnsi="仿宋" w:hint="eastAsia"/>
          <w:color w:val="000000"/>
          <w:sz w:val="32"/>
          <w:szCs w:val="32"/>
        </w:rPr>
        <w:t>万元，占本年支出合计的</w:t>
      </w:r>
      <w:r>
        <w:rPr>
          <w:rFonts w:ascii="仿宋" w:eastAsia="仿宋" w:hAnsi="仿宋"/>
          <w:color w:val="000000"/>
          <w:sz w:val="32"/>
          <w:szCs w:val="32"/>
        </w:rPr>
        <w:t>100%</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年相比，一般公共预算财政拨款增加</w:t>
      </w:r>
      <w:r>
        <w:rPr>
          <w:rFonts w:ascii="仿宋" w:eastAsia="仿宋" w:hAnsi="仿宋"/>
          <w:color w:val="000000"/>
          <w:sz w:val="32"/>
          <w:szCs w:val="32"/>
        </w:rPr>
        <w:t>222.49</w:t>
      </w:r>
      <w:r>
        <w:rPr>
          <w:rFonts w:ascii="仿宋" w:eastAsia="仿宋" w:hAnsi="仿宋" w:hint="eastAsia"/>
          <w:color w:val="000000"/>
          <w:sz w:val="32"/>
          <w:szCs w:val="32"/>
        </w:rPr>
        <w:t>万元，增长</w:t>
      </w:r>
      <w:r>
        <w:rPr>
          <w:rFonts w:ascii="仿宋" w:eastAsia="仿宋" w:hAnsi="仿宋"/>
          <w:color w:val="000000"/>
          <w:sz w:val="32"/>
          <w:szCs w:val="32"/>
        </w:rPr>
        <w:t>25.18%</w:t>
      </w:r>
      <w:r>
        <w:rPr>
          <w:rFonts w:ascii="仿宋" w:eastAsia="仿宋" w:hAnsi="仿宋" w:hint="eastAsia"/>
          <w:color w:val="000000"/>
          <w:sz w:val="32"/>
          <w:szCs w:val="32"/>
        </w:rPr>
        <w:t>。主要变动原因是增加了专</w:t>
      </w:r>
      <w:r>
        <w:rPr>
          <w:rFonts w:ascii="仿宋" w:eastAsia="仿宋" w:hAnsi="仿宋"/>
          <w:color w:val="000000"/>
          <w:sz w:val="32"/>
          <w:szCs w:val="32"/>
        </w:rPr>
        <w:drawing>
          <wp:anchor distT="0" distB="0" distL="114300" distR="114300" simplePos="0" relativeHeight="26" behindDoc="0" locked="0" layoutInCell="1" hidden="0" allowOverlap="1">
            <wp:simplePos x="0" y="0"/>
            <wp:positionH relativeFrom="column">
              <wp:posOffset>6350</wp:posOffset>
            </wp:positionH>
            <wp:positionV relativeFrom="paragraph">
              <wp:posOffset>1073150</wp:posOffset>
            </wp:positionV>
            <wp:extent cx="5274310" cy="3705859"/>
            <wp:effectExtent l="0" t="0" r="0" b="0"/>
            <wp:wrapTopAndBottom/>
            <wp:docPr id="5" name="图表 6"/>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仿宋" w:hAnsi="仿宋" w:hint="eastAsia"/>
          <w:color w:val="000000"/>
          <w:sz w:val="32"/>
          <w:szCs w:val="32"/>
        </w:rPr>
        <w:t>项业务费预算。</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（图5：一般公共预算财政拨款支出决算变动情况）（柱状图）</w:t>
      </w:r>
    </w:p>
    <w:p>
      <w:pPr>
        <w:spacing w:line="600" w:lineRule="exact"/>
        <w:ind w:firstLineChars="200" w:firstLine="640"/>
        <w:rPr>
          <w:rFonts w:ascii="仿宋" w:eastAsia="仿宋" w:hAnsi="仿宋"/>
          <w:color w:val="000000"/>
          <w:sz w:val="32"/>
          <w:szCs w:val="32"/>
        </w:rPr>
      </w:pPr>
    </w:p>
    <w:p>
      <w:pPr>
        <w:spacing w:line="600" w:lineRule="exact"/>
        <w:ind w:firstLineChars="200" w:firstLine="640"/>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pPr>
        <w:spacing w:line="600" w:lineRule="exact"/>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Pr>
          <w:rFonts w:ascii="仿宋" w:eastAsia="仿宋" w:hAnsi="仿宋"/>
          <w:color w:val="000000"/>
          <w:sz w:val="32"/>
          <w:szCs w:val="32"/>
        </w:rPr>
        <w:t>1106.09</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Pr>
          <w:rFonts w:ascii="仿宋" w:eastAsia="仿宋" w:hAnsi="仿宋"/>
          <w:color w:val="000000"/>
          <w:sz w:val="32"/>
          <w:szCs w:val="32"/>
        </w:rPr>
        <w:t>976.30</w:t>
      </w:r>
      <w:r>
        <w:rPr>
          <w:rFonts w:ascii="仿宋" w:eastAsia="仿宋" w:hAnsi="仿宋" w:hint="eastAsia"/>
          <w:color w:val="000000"/>
          <w:sz w:val="32"/>
          <w:szCs w:val="32"/>
        </w:rPr>
        <w:t>万元，占</w:t>
      </w:r>
      <w:r>
        <w:rPr>
          <w:rFonts w:ascii="仿宋" w:eastAsia="仿宋" w:hAnsi="仿宋"/>
          <w:color w:val="000000"/>
          <w:sz w:val="32"/>
          <w:szCs w:val="32"/>
        </w:rPr>
        <w:t>88.27%</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Pr>
          <w:rFonts w:ascii="仿宋" w:eastAsia="仿宋" w:hAnsi="仿宋" w:hint="eastAsia"/>
          <w:b/>
          <w:bCs/>
          <w:color w:val="000000"/>
          <w:sz w:val="32"/>
          <w:szCs w:val="32"/>
        </w:rPr>
        <w:t>文化旅游体育与传媒（类）支出</w:t>
      </w:r>
      <w:r>
        <w:rPr>
          <w:rFonts w:ascii="仿宋" w:eastAsia="仿宋" w:hAnsi="仿宋"/>
          <w:b/>
          <w:bCs/>
          <w:color w:val="000000"/>
          <w:sz w:val="32"/>
          <w:szCs w:val="32"/>
        </w:rPr>
        <w:t>0</w:t>
      </w:r>
      <w:r>
        <w:rPr>
          <w:rFonts w:ascii="仿宋" w:eastAsia="仿宋" w:hAnsi="仿宋" w:hint="eastAsia"/>
          <w:b/>
          <w:bCs/>
          <w:color w:val="000000"/>
          <w:sz w:val="32"/>
          <w:szCs w:val="32"/>
        </w:rPr>
        <w:t>万元，占</w:t>
      </w:r>
      <w:r>
        <w:rPr>
          <w:rFonts w:ascii="仿宋" w:eastAsia="仿宋" w:hAnsi="仿宋"/>
          <w:b/>
          <w:bCs/>
          <w:color w:val="000000"/>
          <w:sz w:val="32"/>
          <w:szCs w:val="32"/>
        </w:rPr>
        <w:t>0%</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66.49</w:t>
      </w:r>
      <w:r>
        <w:rPr>
          <w:rFonts w:ascii="仿宋" w:eastAsia="仿宋" w:hAnsi="仿宋" w:hint="eastAsia"/>
          <w:color w:val="000000"/>
          <w:sz w:val="32"/>
          <w:szCs w:val="32"/>
        </w:rPr>
        <w:t>万元，占</w:t>
      </w:r>
      <w:r>
        <w:rPr>
          <w:rFonts w:ascii="仿宋" w:eastAsia="仿宋" w:hAnsi="仿宋"/>
          <w:color w:val="000000"/>
          <w:sz w:val="32"/>
          <w:szCs w:val="32"/>
        </w:rPr>
        <w:t>6.01%</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color w:val="000000"/>
          <w:sz w:val="32"/>
          <w:szCs w:val="32"/>
        </w:rPr>
        <w:t>25.42</w:t>
      </w:r>
      <w:r>
        <w:rPr>
          <w:rFonts w:ascii="仿宋" w:eastAsia="仿宋" w:hAnsi="仿宋" w:hint="eastAsia"/>
          <w:color w:val="000000"/>
          <w:sz w:val="32"/>
          <w:szCs w:val="32"/>
        </w:rPr>
        <w:t>万元，占</w:t>
      </w:r>
      <w:r>
        <w:rPr>
          <w:rFonts w:ascii="仿宋" w:eastAsia="仿宋" w:hAnsi="仿宋"/>
          <w:color w:val="000000"/>
          <w:sz w:val="32"/>
          <w:szCs w:val="32"/>
        </w:rPr>
        <w:t>2.30%</w:t>
      </w:r>
      <w:r>
        <w:rPr>
          <w:rFonts w:ascii="仿宋" w:eastAsia="仿宋" w:hAnsi="仿宋" w:hint="eastAsia"/>
          <w:color w:val="000000"/>
          <w:sz w:val="32"/>
          <w:szCs w:val="32"/>
        </w:rPr>
        <w:t>；农林水支出0</w:t>
      </w:r>
      <w:r>
        <w:rPr>
          <w:rFonts w:ascii="仿宋" w:eastAsia="仿宋" w:hAnsi="仿宋"/>
          <w:color w:val="000000"/>
          <w:sz w:val="32"/>
          <w:szCs w:val="32"/>
        </w:rPr>
        <w:t>.5</w:t>
      </w:r>
      <w:r>
        <w:rPr>
          <w:rFonts w:ascii="仿宋" w:eastAsia="仿宋" w:hAnsi="仿宋" w:hint="eastAsia"/>
          <w:color w:val="000000"/>
          <w:sz w:val="32"/>
          <w:szCs w:val="32"/>
        </w:rPr>
        <w:t>万元，</w:t>
      </w:r>
      <w:r>
        <w:rPr>
          <w:rFonts w:ascii="仿宋" w:eastAsia="仿宋" w:hAnsi="仿宋"/>
          <w:color w:val="000000"/>
          <w:sz w:val="32"/>
          <w:szCs w:val="32"/>
        </w:rPr>
        <w:drawing>
          <wp:anchor distT="0" distB="0" distL="114300" distR="114300" simplePos="0" relativeHeight="28" behindDoc="0" locked="0" layoutInCell="1" hidden="0" allowOverlap="1">
            <wp:simplePos x="0" y="0"/>
            <wp:positionH relativeFrom="column">
              <wp:posOffset>-20954</wp:posOffset>
            </wp:positionH>
            <wp:positionV relativeFrom="paragraph">
              <wp:posOffset>422274</wp:posOffset>
            </wp:positionV>
            <wp:extent cx="5274310" cy="3076575"/>
            <wp:effectExtent l="0" t="0" r="0" b="0"/>
            <wp:wrapTopAndBottom/>
            <wp:docPr id="6" name="图表 7"/>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仿宋" w:eastAsia="仿宋" w:hAnsi="仿宋" w:hint="eastAsia"/>
          <w:color w:val="000000"/>
          <w:sz w:val="32"/>
          <w:szCs w:val="32"/>
        </w:rPr>
        <w:t>占</w:t>
      </w:r>
      <w:r>
        <w:rPr>
          <w:rFonts w:ascii="仿宋" w:eastAsia="仿宋" w:hAnsi="仿宋"/>
          <w:color w:val="000000"/>
          <w:sz w:val="32"/>
          <w:szCs w:val="32"/>
        </w:rPr>
        <w:t>0.04</w:t>
      </w:r>
      <w:r>
        <w:rPr>
          <w:rFonts w:ascii="仿宋" w:eastAsia="仿宋" w:hAnsi="仿宋" w:hint="eastAsia"/>
          <w:color w:val="000000"/>
          <w:sz w:val="32"/>
          <w:szCs w:val="32"/>
        </w:rPr>
        <w:t>%；住房保障支出</w:t>
      </w:r>
      <w:r>
        <w:rPr>
          <w:rFonts w:ascii="仿宋" w:eastAsia="仿宋" w:hAnsi="仿宋"/>
          <w:color w:val="000000"/>
          <w:sz w:val="32"/>
          <w:szCs w:val="32"/>
        </w:rPr>
        <w:t>37.39</w:t>
      </w:r>
      <w:r>
        <w:rPr>
          <w:rFonts w:ascii="仿宋" w:eastAsia="仿宋" w:hAnsi="仿宋" w:hint="eastAsia"/>
          <w:color w:val="000000"/>
          <w:sz w:val="32"/>
          <w:szCs w:val="32"/>
        </w:rPr>
        <w:t>万元，占</w:t>
      </w:r>
      <w:r>
        <w:rPr>
          <w:rFonts w:ascii="仿宋" w:eastAsia="仿宋" w:hAnsi="仿宋"/>
          <w:color w:val="000000"/>
          <w:sz w:val="32"/>
          <w:szCs w:val="32"/>
        </w:rPr>
        <w:t>3.38%</w:t>
      </w:r>
      <w:r>
        <w:rPr>
          <w:rFonts w:ascii="仿宋" w:eastAsia="仿宋" w:hAnsi="仿宋" w:hint="eastAsia"/>
          <w:color w:val="000000"/>
          <w:sz w:val="32"/>
          <w:szCs w:val="32"/>
        </w:rPr>
        <w:t>。</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pPr>
        <w:spacing w:line="600" w:lineRule="exact"/>
        <w:ind w:firstLineChars="200" w:firstLine="640"/>
        <w:rPr>
          <w:rFonts w:ascii="仿宋" w:eastAsia="仿宋" w:hAnsi="仿宋"/>
          <w:color w:val="000000"/>
          <w:sz w:val="32"/>
          <w:szCs w:val="32"/>
        </w:rPr>
      </w:pPr>
    </w:p>
    <w:p>
      <w:pPr>
        <w:spacing w:line="600" w:lineRule="exact"/>
        <w:ind w:firstLineChars="200" w:firstLine="640"/>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hAnsi="仿宋"/>
          <w:color w:val="FF0000"/>
          <w:sz w:val="32"/>
          <w:szCs w:val="32"/>
        </w:rPr>
      </w:pPr>
      <w:bookmarkStart w:id="38" w:name="_Toc15377213"/>
      <w:bookmarkStart w:id="39" w:name="_Toc15377444"/>
      <w:bookmarkStart w:id="40" w:name="_Toc15378460"/>
      <w:r>
        <w:rPr>
          <w:rFonts w:ascii="仿宋" w:eastAsia="仿宋" w:hAnsi="仿宋" w:hint="eastAsia"/>
          <w:b/>
          <w:color w:val="000000"/>
          <w:sz w:val="32"/>
          <w:szCs w:val="32"/>
        </w:rPr>
        <w:t>20</w:t>
      </w:r>
      <w:r>
        <w:rPr>
          <w:rFonts w:ascii="仿宋" w:eastAsia="仿宋" w:hAnsi="仿宋"/>
          <w:b/>
          <w:color w:val="000000"/>
          <w:sz w:val="32"/>
          <w:szCs w:val="32"/>
        </w:rPr>
        <w:t>20</w:t>
      </w:r>
      <w:r>
        <w:rPr>
          <w:rFonts w:ascii="仿宋" w:eastAsia="仿宋" w:hAnsi="仿宋" w:hint="eastAsia"/>
          <w:b/>
          <w:color w:val="000000"/>
          <w:sz w:val="32"/>
          <w:szCs w:val="32"/>
        </w:rPr>
        <w:t>年般公共预算支出决算数为</w:t>
      </w:r>
      <w:r>
        <w:rPr>
          <w:rFonts w:ascii="仿宋" w:eastAsia="仿宋" w:hAnsi="仿宋"/>
          <w:b/>
          <w:color w:val="000000"/>
          <w:sz w:val="32"/>
          <w:szCs w:val="32"/>
        </w:rPr>
        <w:t>1106.09</w:t>
      </w:r>
      <w:r>
        <w:rPr>
          <w:rFonts w:ascii="仿宋" w:eastAsia="仿宋" w:hAnsi="仿宋" w:hint="eastAsia"/>
          <w:b/>
          <w:color w:val="000000"/>
          <w:sz w:val="32"/>
          <w:szCs w:val="32"/>
        </w:rPr>
        <w:t>万元</w:t>
      </w:r>
      <w:r>
        <w:rPr>
          <w:rFonts w:ascii="仿宋" w:eastAsia="仿宋" w:hAnsi="仿宋" w:hint="eastAsia"/>
          <w:color w:val="000000"/>
          <w:sz w:val="32"/>
          <w:szCs w:val="32"/>
        </w:rPr>
        <w:t>，</w:t>
      </w:r>
      <w:r>
        <w:rPr>
          <w:rStyle w:val="27"/>
          <w:rFonts w:ascii="仿宋" w:eastAsia="仿宋" w:hAnsi="仿宋" w:hint="eastAsia"/>
          <w:bCs/>
          <w:color w:val="000000"/>
          <w:sz w:val="32"/>
          <w:szCs w:val="32"/>
        </w:rPr>
        <w:t>完成预算</w:t>
      </w:r>
      <w:r>
        <w:rPr>
          <w:rStyle w:val="27"/>
          <w:rFonts w:ascii="仿宋" w:eastAsia="仿宋" w:hAnsi="仿宋"/>
          <w:bCs/>
          <w:color w:val="000000"/>
          <w:sz w:val="32"/>
          <w:szCs w:val="32"/>
        </w:rPr>
        <w:t>102.42%</w:t>
      </w:r>
      <w:r>
        <w:rPr>
          <w:rStyle w:val="27"/>
          <w:rFonts w:ascii="仿宋" w:eastAsia="仿宋" w:hAnsi="仿宋" w:hint="eastAsia"/>
          <w:bCs/>
          <w:color w:val="000000"/>
          <w:sz w:val="32"/>
          <w:szCs w:val="32"/>
        </w:rPr>
        <w:t>。其中：</w:t>
      </w:r>
      <w:bookmarkEnd w:id="38"/>
      <w:bookmarkEnd w:id="39"/>
      <w:bookmarkEnd w:id="40"/>
    </w:p>
    <w:p>
      <w:pPr>
        <w:spacing w:line="600" w:lineRule="exact"/>
        <w:ind w:firstLineChars="200" w:firstLine="640"/>
        <w:rPr>
          <w:rFonts w:ascii="仿宋" w:eastAsia="仿宋" w:hAnsi="仿宋"/>
          <w:b/>
          <w:color w:val="000000"/>
          <w:sz w:val="32"/>
          <w:szCs w:val="32"/>
        </w:rPr>
      </w:pPr>
      <w:r>
        <w:rPr>
          <w:rStyle w:val="27"/>
          <w:rFonts w:ascii="仿宋" w:eastAsia="仿宋" w:hAnsi="仿宋"/>
          <w:bCs/>
          <w:color w:val="000000"/>
          <w:sz w:val="32"/>
          <w:szCs w:val="32"/>
        </w:rPr>
        <w:t>1.</w:t>
      </w:r>
      <w:r>
        <w:rPr>
          <w:rStyle w:val="27"/>
          <w:rFonts w:ascii="仿宋" w:eastAsia="仿宋" w:hAnsi="仿宋" w:hint="eastAsia"/>
          <w:bCs/>
          <w:color w:val="000000"/>
          <w:sz w:val="32"/>
          <w:szCs w:val="32"/>
        </w:rPr>
        <w:t>一般公共服务（类）人大事务（款）行政运行（项）</w:t>
      </w:r>
      <w:r>
        <w:rPr>
          <w:rStyle w:val="27"/>
          <w:rFonts w:ascii="仿宋" w:eastAsia="仿宋" w:hAnsi="仿宋"/>
          <w:bCs/>
          <w:color w:val="000000"/>
          <w:sz w:val="32"/>
          <w:szCs w:val="32"/>
        </w:rPr>
        <w:t>:</w:t>
      </w:r>
      <w:r>
        <w:rPr>
          <w:rStyle w:val="27"/>
          <w:rFonts w:ascii="仿宋" w:eastAsia="仿宋" w:hAnsi="仿宋" w:hint="eastAsia"/>
          <w:b w:val="0"/>
          <w:bCs/>
          <w:color w:val="000000"/>
          <w:sz w:val="32"/>
          <w:szCs w:val="32"/>
        </w:rPr>
        <w:t>支出决算为6</w:t>
      </w:r>
      <w:r>
        <w:rPr>
          <w:rStyle w:val="27"/>
          <w:rFonts w:ascii="仿宋" w:eastAsia="仿宋" w:hAnsi="仿宋"/>
          <w:b w:val="0"/>
          <w:bCs/>
          <w:color w:val="000000"/>
          <w:sz w:val="32"/>
          <w:szCs w:val="32"/>
        </w:rPr>
        <w:t>60.54</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105.04%</w:t>
      </w:r>
      <w:r>
        <w:rPr>
          <w:rStyle w:val="27"/>
          <w:rFonts w:ascii="仿宋" w:eastAsia="仿宋" w:hAnsi="仿宋" w:hint="eastAsia"/>
          <w:b w:val="0"/>
          <w:bCs/>
          <w:color w:val="000000"/>
          <w:sz w:val="32"/>
          <w:szCs w:val="32"/>
        </w:rPr>
        <w:t>，决算数大于预算数的主要原因是支付了上年未付办公费及人员调资；</w:t>
      </w:r>
      <w:r>
        <w:rPr>
          <w:rStyle w:val="27"/>
          <w:rFonts w:ascii="仿宋" w:eastAsia="仿宋" w:hAnsi="仿宋" w:hint="eastAsia"/>
          <w:bCs/>
          <w:color w:val="000000"/>
          <w:sz w:val="32"/>
          <w:szCs w:val="32"/>
        </w:rPr>
        <w:t>一般公共服务（类）人大事务（款）一般行政管理事务（项）</w:t>
      </w:r>
      <w:r>
        <w:rPr>
          <w:rStyle w:val="27"/>
          <w:rFonts w:ascii="仿宋" w:eastAsia="仿宋" w:hAnsi="仿宋" w:hint="eastAsia"/>
          <w:b w:val="0"/>
          <w:bCs/>
          <w:color w:val="000000"/>
          <w:sz w:val="32"/>
          <w:szCs w:val="32"/>
        </w:rPr>
        <w:t>支出决算为</w:t>
      </w:r>
      <w:r>
        <w:rPr>
          <w:rStyle w:val="27"/>
          <w:rFonts w:ascii="仿宋" w:eastAsia="仿宋" w:hAnsi="仿宋"/>
          <w:b w:val="0"/>
          <w:bCs/>
          <w:color w:val="000000"/>
          <w:sz w:val="32"/>
          <w:szCs w:val="32"/>
        </w:rPr>
        <w:t>35.4</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120.41%,</w:t>
      </w:r>
      <w:r>
        <w:rPr>
          <w:rStyle w:val="27"/>
          <w:rFonts w:ascii="仿宋" w:eastAsia="仿宋" w:hAnsi="仿宋" w:hint="eastAsia"/>
          <w:b w:val="0"/>
          <w:bCs/>
          <w:color w:val="000000"/>
          <w:sz w:val="32"/>
          <w:szCs w:val="32"/>
        </w:rPr>
        <w:t>决算数大于预算数的主要原因是支付了上年未付办公费；</w:t>
      </w:r>
      <w:r>
        <w:rPr>
          <w:rStyle w:val="27"/>
          <w:rFonts w:ascii="仿宋" w:eastAsia="仿宋" w:hAnsi="仿宋" w:hint="eastAsia"/>
          <w:bCs/>
          <w:color w:val="000000"/>
          <w:sz w:val="32"/>
          <w:szCs w:val="32"/>
        </w:rPr>
        <w:t>一般公共服务（类）人大事务（款）人大会议（项）</w:t>
      </w:r>
      <w:r>
        <w:rPr>
          <w:rStyle w:val="27"/>
          <w:rFonts w:ascii="仿宋" w:eastAsia="仿宋" w:hAnsi="仿宋" w:hint="eastAsia"/>
          <w:b w:val="0"/>
          <w:bCs/>
          <w:color w:val="000000"/>
          <w:sz w:val="32"/>
          <w:szCs w:val="32"/>
        </w:rPr>
        <w:t>支出决算为</w:t>
      </w:r>
      <w:r>
        <w:rPr>
          <w:rStyle w:val="27"/>
          <w:rFonts w:ascii="仿宋" w:eastAsia="仿宋" w:hAnsi="仿宋"/>
          <w:b w:val="0"/>
          <w:bCs/>
          <w:color w:val="000000"/>
          <w:sz w:val="32"/>
          <w:szCs w:val="32"/>
        </w:rPr>
        <w:t>93.52</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w:t>
      </w:r>
      <w:r>
        <w:rPr>
          <w:rStyle w:val="27"/>
          <w:rFonts w:ascii="仿宋" w:eastAsia="仿宋" w:hAnsi="仿宋" w:hint="eastAsia"/>
          <w:bCs/>
          <w:color w:val="000000"/>
          <w:sz w:val="32"/>
          <w:szCs w:val="32"/>
        </w:rPr>
        <w:t>一般公共服务（类）人大立法（款）</w:t>
      </w:r>
      <w:r>
        <w:rPr>
          <w:rStyle w:val="27"/>
          <w:rFonts w:ascii="仿宋" w:eastAsia="仿宋" w:hAnsi="仿宋" w:hint="eastAsia"/>
          <w:b w:val="0"/>
          <w:bCs/>
          <w:color w:val="000000"/>
          <w:sz w:val="32"/>
          <w:szCs w:val="32"/>
        </w:rPr>
        <w:t>人大立法，支出决算为</w:t>
      </w:r>
      <w:r>
        <w:rPr>
          <w:rStyle w:val="27"/>
          <w:rFonts w:ascii="仿宋" w:eastAsia="仿宋" w:hAnsi="仿宋"/>
          <w:b w:val="0"/>
          <w:bCs/>
          <w:color w:val="000000"/>
          <w:sz w:val="32"/>
          <w:szCs w:val="32"/>
        </w:rPr>
        <w:t>18.44</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61.47%</w:t>
      </w:r>
      <w:r>
        <w:rPr>
          <w:rStyle w:val="27"/>
          <w:rFonts w:ascii="仿宋" w:eastAsia="仿宋" w:hAnsi="仿宋" w:hint="eastAsia"/>
          <w:b w:val="0"/>
          <w:bCs/>
          <w:color w:val="000000"/>
          <w:sz w:val="32"/>
          <w:szCs w:val="32"/>
        </w:rPr>
        <w:t>，决算数大于预算数的主要原因是支付了上年未付办公费；</w:t>
      </w:r>
      <w:r>
        <w:rPr>
          <w:rStyle w:val="27"/>
          <w:rFonts w:ascii="仿宋" w:eastAsia="仿宋" w:hAnsi="仿宋" w:hint="eastAsia"/>
          <w:bCs/>
          <w:color w:val="000000"/>
          <w:sz w:val="32"/>
          <w:szCs w:val="32"/>
        </w:rPr>
        <w:t>一般公共服务（类）人大监督（款）</w:t>
      </w:r>
      <w:r>
        <w:rPr>
          <w:rStyle w:val="27"/>
          <w:rFonts w:ascii="仿宋" w:eastAsia="仿宋" w:hAnsi="仿宋" w:hint="eastAsia"/>
          <w:b w:val="0"/>
          <w:bCs/>
          <w:color w:val="000000"/>
          <w:sz w:val="32"/>
          <w:szCs w:val="32"/>
        </w:rPr>
        <w:t>人大监督支出决算为</w:t>
      </w:r>
      <w:r>
        <w:rPr>
          <w:rStyle w:val="27"/>
          <w:rFonts w:ascii="仿宋" w:eastAsia="仿宋" w:hAnsi="仿宋"/>
          <w:b w:val="0"/>
          <w:bCs/>
          <w:color w:val="000000"/>
          <w:sz w:val="32"/>
          <w:szCs w:val="32"/>
        </w:rPr>
        <w:t>35</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 xml:space="preserve">；  </w:t>
      </w:r>
      <w:r>
        <w:rPr>
          <w:rStyle w:val="27"/>
          <w:rFonts w:ascii="仿宋" w:eastAsia="仿宋" w:hAnsi="仿宋" w:hint="eastAsia"/>
          <w:bCs/>
          <w:color w:val="000000"/>
          <w:sz w:val="32"/>
          <w:szCs w:val="32"/>
        </w:rPr>
        <w:t>一般公共服务（类）</w:t>
      </w:r>
      <w:r>
        <w:rPr>
          <w:rStyle w:val="27"/>
          <w:rFonts w:ascii="仿宋" w:eastAsia="仿宋" w:hAnsi="仿宋" w:hint="eastAsia"/>
          <w:b w:val="0"/>
          <w:bCs/>
          <w:color w:val="000000"/>
          <w:sz w:val="32"/>
          <w:szCs w:val="32"/>
        </w:rPr>
        <w:t>人大代表履职能力提升</w:t>
      </w:r>
      <w:r>
        <w:rPr>
          <w:rStyle w:val="27"/>
          <w:rFonts w:ascii="仿宋" w:eastAsia="仿宋" w:hAnsi="仿宋" w:hint="eastAsia"/>
          <w:bCs/>
          <w:color w:val="000000"/>
          <w:sz w:val="32"/>
          <w:szCs w:val="32"/>
        </w:rPr>
        <w:t>（款）</w:t>
      </w:r>
      <w:r>
        <w:rPr>
          <w:rStyle w:val="27"/>
          <w:rFonts w:ascii="仿宋" w:eastAsia="仿宋" w:hAnsi="仿宋" w:hint="eastAsia"/>
          <w:b w:val="0"/>
          <w:bCs/>
          <w:color w:val="000000"/>
          <w:sz w:val="32"/>
          <w:szCs w:val="32"/>
        </w:rPr>
        <w:t>人大代表履职能力提升决算数为1</w:t>
      </w:r>
      <w:r>
        <w:rPr>
          <w:rStyle w:val="27"/>
          <w:rFonts w:ascii="仿宋" w:eastAsia="仿宋" w:hAnsi="仿宋"/>
          <w:b w:val="0"/>
          <w:bCs/>
          <w:color w:val="000000"/>
          <w:sz w:val="32"/>
          <w:szCs w:val="32"/>
        </w:rPr>
        <w:t>0</w:t>
      </w:r>
      <w:r>
        <w:rPr>
          <w:rStyle w:val="27"/>
          <w:rFonts w:ascii="仿宋" w:eastAsia="仿宋" w:hAnsi="仿宋" w:hint="eastAsia"/>
          <w:b w:val="0"/>
          <w:bCs/>
          <w:color w:val="000000"/>
          <w:sz w:val="32"/>
          <w:szCs w:val="32"/>
        </w:rPr>
        <w:t>万元，完成预算1</w:t>
      </w:r>
      <w:r>
        <w:rPr>
          <w:rStyle w:val="27"/>
          <w:rFonts w:ascii="仿宋" w:eastAsia="仿宋" w:hAnsi="仿宋"/>
          <w:b w:val="0"/>
          <w:bCs/>
          <w:color w:val="000000"/>
          <w:sz w:val="32"/>
          <w:szCs w:val="32"/>
        </w:rPr>
        <w:t>00%</w:t>
      </w:r>
      <w:r>
        <w:rPr>
          <w:rStyle w:val="27"/>
          <w:rFonts w:ascii="仿宋" w:eastAsia="仿宋" w:hAnsi="仿宋" w:hint="eastAsia"/>
          <w:b w:val="0"/>
          <w:bCs/>
          <w:color w:val="000000"/>
          <w:sz w:val="32"/>
          <w:szCs w:val="32"/>
        </w:rPr>
        <w:t>；</w:t>
      </w:r>
      <w:r>
        <w:rPr>
          <w:rStyle w:val="27"/>
          <w:rFonts w:ascii="仿宋" w:eastAsia="仿宋" w:hAnsi="仿宋" w:hint="eastAsia"/>
          <w:bCs/>
          <w:color w:val="000000"/>
          <w:sz w:val="32"/>
          <w:szCs w:val="32"/>
        </w:rPr>
        <w:t>一般公共服务（类）人大代表（款）</w:t>
      </w:r>
      <w:r>
        <w:rPr>
          <w:rStyle w:val="27"/>
          <w:rFonts w:ascii="仿宋" w:eastAsia="仿宋" w:hAnsi="仿宋" w:hint="eastAsia"/>
          <w:b w:val="0"/>
          <w:bCs/>
          <w:color w:val="000000"/>
          <w:sz w:val="32"/>
          <w:szCs w:val="32"/>
        </w:rPr>
        <w:t>代表工作支出决算为</w:t>
      </w:r>
      <w:r>
        <w:rPr>
          <w:rStyle w:val="27"/>
          <w:rFonts w:ascii="仿宋" w:eastAsia="仿宋" w:hAnsi="仿宋"/>
          <w:b w:val="0"/>
          <w:bCs/>
          <w:color w:val="000000"/>
          <w:sz w:val="32"/>
          <w:szCs w:val="32"/>
        </w:rPr>
        <w:t>36.6</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w:t>
      </w:r>
      <w:r>
        <w:rPr>
          <w:rStyle w:val="27"/>
          <w:rFonts w:ascii="仿宋" w:eastAsia="仿宋" w:hAnsi="仿宋" w:hint="eastAsia"/>
          <w:bCs/>
          <w:color w:val="000000"/>
          <w:sz w:val="32"/>
          <w:szCs w:val="32"/>
        </w:rPr>
        <w:t>一般公共服务（类）人大信访（款）</w:t>
      </w:r>
      <w:r>
        <w:rPr>
          <w:rStyle w:val="27"/>
          <w:rFonts w:ascii="仿宋" w:eastAsia="仿宋" w:hAnsi="仿宋" w:hint="eastAsia"/>
          <w:b w:val="0"/>
          <w:bCs/>
          <w:color w:val="000000"/>
          <w:sz w:val="32"/>
          <w:szCs w:val="32"/>
        </w:rPr>
        <w:t>人大信访支出决算为</w:t>
      </w:r>
      <w:r>
        <w:rPr>
          <w:rStyle w:val="27"/>
          <w:rFonts w:ascii="仿宋" w:eastAsia="仿宋" w:hAnsi="仿宋"/>
          <w:b w:val="0"/>
          <w:bCs/>
          <w:color w:val="000000"/>
          <w:sz w:val="32"/>
          <w:szCs w:val="32"/>
        </w:rPr>
        <w:t>5</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w:t>
      </w:r>
      <w:r>
        <w:rPr>
          <w:rStyle w:val="27"/>
          <w:rFonts w:ascii="仿宋" w:eastAsia="仿宋" w:hAnsi="仿宋" w:hint="eastAsia"/>
          <w:bCs/>
          <w:color w:val="000000"/>
          <w:sz w:val="32"/>
          <w:szCs w:val="32"/>
        </w:rPr>
        <w:t>一般公共服务（类）其他人大事务支出（款）</w:t>
      </w:r>
      <w:r>
        <w:rPr>
          <w:rStyle w:val="27"/>
          <w:rFonts w:ascii="仿宋" w:eastAsia="仿宋" w:hAnsi="仿宋" w:hint="eastAsia"/>
          <w:b w:val="0"/>
          <w:bCs/>
          <w:color w:val="000000"/>
          <w:sz w:val="32"/>
          <w:szCs w:val="32"/>
        </w:rPr>
        <w:t>其他人大事务支出支出决算为</w:t>
      </w:r>
      <w:r>
        <w:rPr>
          <w:rStyle w:val="27"/>
          <w:rFonts w:ascii="仿宋" w:eastAsia="仿宋" w:hAnsi="仿宋"/>
          <w:b w:val="0"/>
          <w:bCs/>
          <w:color w:val="000000"/>
          <w:sz w:val="32"/>
          <w:szCs w:val="32"/>
        </w:rPr>
        <w:t>81.80</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w:t>
      </w:r>
    </w:p>
    <w:p>
      <w:pPr>
        <w:spacing w:line="600" w:lineRule="exact"/>
        <w:ind w:firstLineChars="200" w:firstLine="640"/>
        <w:rPr>
          <w:rFonts w:ascii="仿宋" w:eastAsia="仿宋" w:hAnsi="仿宋"/>
          <w:b/>
          <w:color w:val="000000"/>
          <w:sz w:val="32"/>
          <w:szCs w:val="32"/>
        </w:rPr>
      </w:pPr>
      <w:r>
        <w:rPr>
          <w:rStyle w:val="27"/>
          <w:rFonts w:ascii="仿宋" w:eastAsia="仿宋" w:hAnsi="仿宋"/>
          <w:bCs/>
          <w:color w:val="000000"/>
          <w:sz w:val="32"/>
          <w:szCs w:val="32"/>
        </w:rPr>
        <w:t>2.</w:t>
      </w:r>
      <w:r>
        <w:rPr>
          <w:rStyle w:val="27"/>
          <w:rFonts w:ascii="仿宋" w:eastAsia="仿宋" w:hAnsi="仿宋" w:hint="eastAsia"/>
          <w:bCs/>
          <w:color w:val="000000"/>
          <w:sz w:val="32"/>
          <w:szCs w:val="32"/>
        </w:rPr>
        <w:t>教育（类）</w:t>
      </w:r>
      <w:r>
        <w:rPr>
          <w:rStyle w:val="27"/>
          <w:rFonts w:ascii="仿宋" w:eastAsia="仿宋" w:hAnsi="仿宋"/>
          <w:bCs/>
          <w:color w:val="000000"/>
          <w:sz w:val="32"/>
          <w:szCs w:val="32"/>
        </w:rPr>
        <w:t>:</w:t>
      </w:r>
      <w:r>
        <w:rPr>
          <w:rStyle w:val="27"/>
          <w:rFonts w:ascii="仿宋" w:eastAsia="仿宋" w:hAnsi="仿宋" w:hint="eastAsia"/>
          <w:b w:val="0"/>
          <w:bCs/>
          <w:color w:val="000000"/>
          <w:sz w:val="32"/>
          <w:szCs w:val="32"/>
        </w:rPr>
        <w:t>本年度无教育类支出。</w:t>
      </w:r>
    </w:p>
    <w:p>
      <w:pPr>
        <w:spacing w:line="600" w:lineRule="exact"/>
        <w:ind w:firstLineChars="200" w:firstLine="640"/>
        <w:rPr>
          <w:rFonts w:ascii="仿宋" w:eastAsia="仿宋" w:hAnsi="仿宋"/>
          <w:b/>
          <w:color w:val="000000"/>
          <w:sz w:val="32"/>
          <w:szCs w:val="32"/>
        </w:rPr>
      </w:pPr>
      <w:r>
        <w:rPr>
          <w:rStyle w:val="27"/>
          <w:rFonts w:ascii="仿宋" w:eastAsia="仿宋" w:hAnsi="仿宋"/>
          <w:bCs/>
          <w:color w:val="000000"/>
          <w:sz w:val="32"/>
          <w:szCs w:val="32"/>
        </w:rPr>
        <w:t>3.</w:t>
      </w:r>
      <w:r>
        <w:rPr>
          <w:rStyle w:val="27"/>
          <w:rFonts w:ascii="仿宋" w:eastAsia="仿宋" w:hAnsi="仿宋" w:hint="eastAsia"/>
          <w:bCs/>
          <w:color w:val="000000"/>
          <w:sz w:val="32"/>
          <w:szCs w:val="32"/>
        </w:rPr>
        <w:t>科学技术（类）</w:t>
      </w:r>
      <w:r>
        <w:rPr>
          <w:rStyle w:val="27"/>
          <w:rFonts w:ascii="仿宋" w:eastAsia="仿宋" w:hAnsi="仿宋"/>
          <w:bCs/>
          <w:color w:val="000000"/>
          <w:sz w:val="32"/>
          <w:szCs w:val="32"/>
        </w:rPr>
        <w:t>:</w:t>
      </w:r>
      <w:r>
        <w:rPr>
          <w:rStyle w:val="27"/>
          <w:rFonts w:ascii="仿宋" w:eastAsia="仿宋" w:hAnsi="仿宋" w:hint="eastAsia"/>
          <w:bCs/>
          <w:color w:val="000000"/>
          <w:sz w:val="32"/>
          <w:szCs w:val="32"/>
        </w:rPr>
        <w:t>本年度无科学技术类支出</w:t>
      </w:r>
      <w:r>
        <w:rPr>
          <w:rStyle w:val="27"/>
          <w:rFonts w:ascii="仿宋" w:eastAsia="仿宋" w:hAnsi="仿宋" w:hint="eastAsia"/>
          <w:b w:val="0"/>
          <w:bCs/>
          <w:color w:val="000000"/>
          <w:sz w:val="32"/>
          <w:szCs w:val="32"/>
        </w:rPr>
        <w:t>。</w:t>
      </w:r>
    </w:p>
    <w:p>
      <w:pPr>
        <w:spacing w:line="600" w:lineRule="exact"/>
        <w:ind w:firstLineChars="200" w:firstLine="640"/>
        <w:rPr>
          <w:rFonts w:ascii="仿宋" w:eastAsia="仿宋" w:hAnsi="仿宋"/>
          <w:b/>
          <w:color w:val="000000"/>
          <w:sz w:val="32"/>
          <w:szCs w:val="32"/>
        </w:rPr>
      </w:pPr>
      <w:r>
        <w:rPr>
          <w:rStyle w:val="27"/>
          <w:rFonts w:ascii="仿宋" w:eastAsia="仿宋" w:hAnsi="仿宋"/>
          <w:bCs/>
          <w:color w:val="000000"/>
          <w:sz w:val="32"/>
          <w:szCs w:val="32"/>
        </w:rPr>
        <w:t>4.</w:t>
      </w:r>
      <w:r>
        <w:rPr>
          <w:rStyle w:val="27"/>
          <w:rFonts w:ascii="仿宋" w:eastAsia="仿宋" w:hAnsi="仿宋" w:hint="eastAsia"/>
          <w:bCs/>
          <w:color w:val="000000"/>
          <w:sz w:val="32"/>
          <w:szCs w:val="32"/>
        </w:rPr>
        <w:t>文化旅游体育与传媒（类）：本年度无文化旅游体育与传媒类支出</w:t>
      </w:r>
      <w:r>
        <w:rPr>
          <w:rStyle w:val="27"/>
          <w:rFonts w:ascii="仿宋" w:eastAsia="仿宋" w:hAnsi="仿宋" w:hint="eastAsia"/>
          <w:b w:val="0"/>
          <w:bCs/>
          <w:color w:val="000000"/>
          <w:sz w:val="32"/>
          <w:szCs w:val="32"/>
        </w:rPr>
        <w:t>。</w:t>
      </w:r>
    </w:p>
    <w:p>
      <w:pPr>
        <w:spacing w:line="600" w:lineRule="exact"/>
        <w:ind w:firstLineChars="200" w:firstLine="640"/>
        <w:rPr>
          <w:rFonts w:ascii="仿宋" w:eastAsia="仿宋" w:hAnsi="仿宋"/>
          <w:b/>
          <w:color w:val="000000"/>
          <w:sz w:val="32"/>
          <w:szCs w:val="32"/>
        </w:rPr>
      </w:pPr>
      <w:r>
        <w:rPr>
          <w:rStyle w:val="27"/>
          <w:rFonts w:ascii="仿宋" w:eastAsia="仿宋" w:hAnsi="仿宋"/>
          <w:bCs/>
          <w:color w:val="000000"/>
          <w:sz w:val="32"/>
          <w:szCs w:val="32"/>
        </w:rPr>
        <w:t>5.</w:t>
      </w:r>
      <w:r>
        <w:rPr>
          <w:rStyle w:val="27"/>
          <w:rFonts w:ascii="仿宋" w:eastAsia="仿宋" w:hAnsi="仿宋" w:hint="eastAsia"/>
          <w:bCs/>
          <w:color w:val="000000"/>
          <w:sz w:val="32"/>
          <w:szCs w:val="32"/>
        </w:rPr>
        <w:t>社会保障和就业（类）行政事业单位离退休（款）机关事业单位基本养老保险缴费支出（项）</w:t>
      </w:r>
      <w:r>
        <w:rPr>
          <w:rStyle w:val="27"/>
          <w:rFonts w:ascii="仿宋" w:eastAsia="仿宋" w:hAnsi="仿宋" w:hint="eastAsia"/>
          <w:b w:val="0"/>
          <w:bCs/>
          <w:color w:val="000000"/>
          <w:sz w:val="32"/>
          <w:szCs w:val="32"/>
        </w:rPr>
        <w:t>支出决算为</w:t>
      </w:r>
      <w:r>
        <w:rPr>
          <w:rStyle w:val="27"/>
          <w:rFonts w:ascii="仿宋" w:eastAsia="仿宋" w:hAnsi="仿宋"/>
          <w:b w:val="0"/>
          <w:bCs/>
          <w:color w:val="000000"/>
          <w:sz w:val="32"/>
          <w:szCs w:val="32"/>
        </w:rPr>
        <w:t>52.27</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w:t>
      </w:r>
      <w:r>
        <w:rPr>
          <w:rStyle w:val="27"/>
          <w:rFonts w:ascii="仿宋" w:eastAsia="仿宋" w:hAnsi="仿宋" w:hint="eastAsia"/>
          <w:bCs/>
          <w:color w:val="000000"/>
          <w:sz w:val="32"/>
          <w:szCs w:val="32"/>
        </w:rPr>
        <w:t>社会保障和就业（类）行政事业单位离退休（款）机关事业单位职业年金缴费支出（项）</w:t>
      </w:r>
      <w:r>
        <w:rPr>
          <w:rStyle w:val="27"/>
          <w:rFonts w:ascii="仿宋" w:eastAsia="仿宋" w:hAnsi="仿宋" w:hint="eastAsia"/>
          <w:b w:val="0"/>
          <w:bCs/>
          <w:color w:val="000000"/>
          <w:sz w:val="32"/>
          <w:szCs w:val="32"/>
        </w:rPr>
        <w:t>支出决算为</w:t>
      </w:r>
      <w:r>
        <w:rPr>
          <w:rStyle w:val="27"/>
          <w:rFonts w:ascii="仿宋" w:eastAsia="仿宋" w:hAnsi="仿宋"/>
          <w:b w:val="0"/>
          <w:bCs/>
          <w:color w:val="000000"/>
          <w:sz w:val="32"/>
          <w:szCs w:val="32"/>
        </w:rPr>
        <w:t>12.27</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w:t>
      </w:r>
      <w:r>
        <w:rPr>
          <w:rStyle w:val="27"/>
          <w:rFonts w:ascii="仿宋" w:eastAsia="仿宋" w:hAnsi="仿宋" w:hint="eastAsia"/>
          <w:bCs/>
          <w:color w:val="000000"/>
          <w:sz w:val="32"/>
          <w:szCs w:val="32"/>
        </w:rPr>
        <w:t>社会保障和就业（类）其他社会保障和就业支出（款）其他社会保障和就业支出（项）</w:t>
      </w:r>
      <w:r>
        <w:rPr>
          <w:rStyle w:val="27"/>
          <w:rFonts w:ascii="仿宋" w:eastAsia="仿宋" w:hAnsi="仿宋" w:hint="eastAsia"/>
          <w:b w:val="0"/>
          <w:bCs/>
          <w:color w:val="000000"/>
          <w:sz w:val="32"/>
          <w:szCs w:val="32"/>
        </w:rPr>
        <w:t>支出决算为</w:t>
      </w:r>
      <w:r>
        <w:rPr>
          <w:rStyle w:val="27"/>
          <w:rFonts w:ascii="仿宋" w:eastAsia="仿宋" w:hAnsi="仿宋"/>
          <w:b w:val="0"/>
          <w:bCs/>
          <w:color w:val="000000"/>
          <w:sz w:val="32"/>
          <w:szCs w:val="32"/>
        </w:rPr>
        <w:t>1.83</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w:t>
      </w:r>
    </w:p>
    <w:p>
      <w:pPr>
        <w:spacing w:line="600" w:lineRule="exact"/>
        <w:ind w:firstLineChars="200" w:firstLine="640"/>
        <w:rPr>
          <w:rFonts w:ascii="仿宋" w:eastAsia="仿宋" w:hAnsi="仿宋"/>
          <w:b/>
          <w:color w:val="000000"/>
          <w:sz w:val="32"/>
          <w:szCs w:val="32"/>
        </w:rPr>
      </w:pPr>
      <w:r>
        <w:rPr>
          <w:rStyle w:val="27"/>
          <w:rFonts w:ascii="仿宋" w:eastAsia="仿宋" w:hAnsi="仿宋"/>
          <w:bCs/>
          <w:color w:val="000000"/>
          <w:sz w:val="32"/>
          <w:szCs w:val="32"/>
        </w:rPr>
        <w:t>6.</w:t>
      </w:r>
      <w:r>
        <w:rPr>
          <w:rFonts w:ascii="仿宋" w:eastAsia="仿宋" w:hAnsi="仿宋" w:hint="eastAsia"/>
          <w:b/>
          <w:bCs/>
          <w:color w:val="000000"/>
          <w:sz w:val="32"/>
          <w:szCs w:val="32"/>
        </w:rPr>
        <w:t>卫生健康</w:t>
      </w:r>
      <w:r>
        <w:rPr>
          <w:rStyle w:val="27"/>
          <w:rFonts w:ascii="仿宋" w:eastAsia="仿宋" w:hAnsi="仿宋" w:hint="eastAsia"/>
          <w:bCs/>
          <w:color w:val="000000"/>
          <w:sz w:val="32"/>
          <w:szCs w:val="32"/>
        </w:rPr>
        <w:t>（类）行政事业单位医疗（款）行政单位医疗（项）</w:t>
      </w:r>
      <w:r>
        <w:rPr>
          <w:rStyle w:val="27"/>
          <w:rFonts w:ascii="仿宋" w:eastAsia="仿宋" w:hAnsi="仿宋"/>
          <w:bCs/>
          <w:color w:val="000000"/>
          <w:sz w:val="32"/>
          <w:szCs w:val="32"/>
        </w:rPr>
        <w:t>:</w:t>
      </w:r>
      <w:r>
        <w:rPr>
          <w:rStyle w:val="27"/>
          <w:rFonts w:ascii="仿宋" w:eastAsia="仿宋" w:hAnsi="仿宋" w:hint="eastAsia"/>
          <w:b w:val="0"/>
          <w:bCs/>
          <w:color w:val="000000"/>
          <w:sz w:val="32"/>
          <w:szCs w:val="32"/>
        </w:rPr>
        <w:t>支出决算为</w:t>
      </w:r>
      <w:r>
        <w:rPr>
          <w:rStyle w:val="27"/>
          <w:rFonts w:ascii="仿宋" w:eastAsia="仿宋" w:hAnsi="仿宋"/>
          <w:b w:val="0"/>
          <w:bCs/>
          <w:color w:val="000000"/>
          <w:sz w:val="32"/>
          <w:szCs w:val="32"/>
        </w:rPr>
        <w:t>25.42</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w:t>
      </w:r>
    </w:p>
    <w:p>
      <w:pPr>
        <w:spacing w:line="600" w:lineRule="exact"/>
        <w:ind w:firstLineChars="200" w:firstLine="640"/>
        <w:rPr>
          <w:rStyle w:val="27"/>
          <w:rFonts w:ascii="仿宋" w:eastAsia="仿宋" w:hAnsi="仿宋"/>
          <w:b w:val="0"/>
          <w:bCs/>
          <w:color w:val="000000"/>
          <w:sz w:val="32"/>
          <w:szCs w:val="32"/>
        </w:rPr>
      </w:pPr>
      <w:r>
        <w:rPr>
          <w:rFonts w:ascii="仿宋" w:eastAsia="仿宋" w:hAnsi="仿宋" w:hint="eastAsia"/>
          <w:color w:val="000000"/>
          <w:sz w:val="32"/>
          <w:szCs w:val="32"/>
        </w:rPr>
        <w:t>7、</w:t>
      </w:r>
      <w:r>
        <w:rPr>
          <w:rStyle w:val="27"/>
          <w:rFonts w:ascii="仿宋" w:eastAsia="仿宋" w:hAnsi="仿宋" w:hint="eastAsia"/>
          <w:bCs/>
          <w:color w:val="000000"/>
          <w:sz w:val="32"/>
          <w:szCs w:val="32"/>
        </w:rPr>
        <w:t>农林水支出（类）扶贫（款）其他扶贫支出（项）</w:t>
      </w:r>
      <w:r>
        <w:rPr>
          <w:rStyle w:val="27"/>
          <w:rFonts w:ascii="仿宋" w:eastAsia="仿宋" w:hAnsi="仿宋" w:hint="eastAsia"/>
          <w:b w:val="0"/>
          <w:bCs/>
          <w:color w:val="000000"/>
          <w:sz w:val="32"/>
          <w:szCs w:val="32"/>
        </w:rPr>
        <w:t>支出决算为</w:t>
      </w:r>
      <w:r>
        <w:rPr>
          <w:rStyle w:val="27"/>
          <w:rFonts w:ascii="仿宋" w:eastAsia="仿宋" w:hAnsi="仿宋"/>
          <w:b w:val="0"/>
          <w:bCs/>
          <w:color w:val="000000"/>
          <w:sz w:val="32"/>
          <w:szCs w:val="32"/>
        </w:rPr>
        <w:t>0.5</w:t>
      </w:r>
      <w:r>
        <w:rPr>
          <w:rStyle w:val="27"/>
          <w:rFonts w:ascii="仿宋" w:eastAsia="仿宋" w:hAnsi="仿宋" w:hint="eastAsia"/>
          <w:b w:val="0"/>
          <w:bCs/>
          <w:color w:val="000000"/>
          <w:sz w:val="32"/>
          <w:szCs w:val="32"/>
        </w:rPr>
        <w:t>万元，完成预算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w:t>
      </w:r>
    </w:p>
    <w:p>
      <w:pPr>
        <w:spacing w:line="600" w:lineRule="exact"/>
        <w:ind w:firstLineChars="200" w:firstLine="640"/>
        <w:rPr>
          <w:rFonts w:ascii="仿宋" w:eastAsia="仿宋" w:hAnsi="仿宋"/>
          <w:color w:val="000000"/>
          <w:sz w:val="32"/>
          <w:szCs w:val="32"/>
        </w:rPr>
      </w:pPr>
      <w:r>
        <w:rPr>
          <w:rStyle w:val="27"/>
          <w:rFonts w:ascii="仿宋" w:eastAsia="仿宋" w:hAnsi="仿宋" w:hint="eastAsia"/>
          <w:b w:val="0"/>
          <w:bCs/>
          <w:color w:val="000000"/>
          <w:sz w:val="32"/>
          <w:szCs w:val="32"/>
        </w:rPr>
        <w:t>8、</w:t>
      </w:r>
      <w:r>
        <w:rPr>
          <w:rFonts w:ascii="仿宋_GB2312" w:eastAsia="仿宋_GB2312" w:cs="仿宋_GB2312" w:hint="eastAsia"/>
          <w:b/>
          <w:bCs/>
          <w:color w:val="404040"/>
          <w:sz w:val="32"/>
          <w:szCs w:val="32"/>
        </w:rPr>
        <w:t>住房保障支出：</w:t>
      </w:r>
      <w:r>
        <w:rPr>
          <w:rFonts w:ascii="仿宋_GB2312" w:eastAsia="仿宋_GB2312" w:cs="仿宋_GB2312" w:hint="eastAsia"/>
          <w:color w:val="000000"/>
          <w:sz w:val="32"/>
          <w:szCs w:val="32"/>
        </w:rPr>
        <w:t>决算数为</w:t>
      </w:r>
      <w:r>
        <w:rPr>
          <w:rStyle w:val="27"/>
          <w:rFonts w:ascii="仿宋_GB2312" w:eastAsia="仿宋_GB2312" w:cs="仿宋_GB2312"/>
          <w:color w:val="000000"/>
          <w:sz w:val="32"/>
          <w:szCs w:val="32"/>
        </w:rPr>
        <w:t>37.39</w:t>
      </w:r>
      <w:r>
        <w:rPr>
          <w:rFonts w:ascii="仿宋_GB2312" w:eastAsia="仿宋_GB2312" w:cs="仿宋_GB2312" w:hint="eastAsia"/>
          <w:color w:val="000000"/>
          <w:sz w:val="32"/>
          <w:szCs w:val="32"/>
        </w:rPr>
        <w:t>万元，完成预算</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。其中：</w:t>
      </w:r>
      <w:r>
        <w:rPr>
          <w:rFonts w:ascii="仿宋_GB2312" w:eastAsia="仿宋_GB2312" w:cs="仿宋_GB2312" w:hint="eastAsia"/>
          <w:b/>
          <w:bCs/>
          <w:color w:val="404040"/>
          <w:sz w:val="32"/>
          <w:szCs w:val="32"/>
        </w:rPr>
        <w:t>住房保障支出</w:t>
      </w:r>
      <w:r>
        <w:rPr>
          <w:rFonts w:ascii="仿宋_GB2312" w:eastAsia="仿宋_GB2312" w:cs="仿宋_GB2312"/>
          <w:b/>
          <w:bCs/>
          <w:color w:val="404040"/>
          <w:sz w:val="32"/>
          <w:szCs w:val="32"/>
        </w:rPr>
        <w:t>-</w:t>
      </w:r>
      <w:r>
        <w:rPr>
          <w:rFonts w:ascii="仿宋_GB2312" w:eastAsia="仿宋_GB2312" w:cs="仿宋_GB2312" w:hint="eastAsia"/>
          <w:b/>
          <w:bCs/>
          <w:color w:val="404040"/>
          <w:sz w:val="32"/>
          <w:szCs w:val="32"/>
        </w:rPr>
        <w:t>住房改革支出</w:t>
      </w:r>
      <w:r>
        <w:rPr>
          <w:rFonts w:ascii="仿宋_GB2312" w:eastAsia="仿宋_GB2312" w:cs="仿宋_GB2312"/>
          <w:b/>
          <w:bCs/>
          <w:color w:val="404040"/>
          <w:sz w:val="32"/>
          <w:szCs w:val="32"/>
        </w:rPr>
        <w:t>-</w:t>
      </w:r>
      <w:r>
        <w:rPr>
          <w:rFonts w:ascii="仿宋_GB2312" w:eastAsia="仿宋_GB2312" w:cs="仿宋_GB2312" w:hint="eastAsia"/>
          <w:b/>
          <w:bCs/>
          <w:color w:val="404040"/>
          <w:sz w:val="32"/>
          <w:szCs w:val="32"/>
        </w:rPr>
        <w:t>住房公积金</w:t>
      </w:r>
      <w:r>
        <w:rPr>
          <w:rFonts w:ascii="仿宋_GB2312" w:eastAsia="仿宋_GB2312" w:cs="仿宋_GB2312"/>
          <w:b/>
          <w:bCs/>
          <w:color w:val="404040"/>
          <w:sz w:val="32"/>
          <w:szCs w:val="32"/>
        </w:rPr>
        <w:t>37.39</w:t>
      </w:r>
      <w:r>
        <w:rPr>
          <w:rFonts w:ascii="仿宋_GB2312" w:eastAsia="仿宋_GB2312" w:cs="仿宋_GB2312" w:hint="eastAsia"/>
          <w:b/>
          <w:bCs/>
          <w:color w:val="404040"/>
          <w:sz w:val="32"/>
          <w:szCs w:val="32"/>
        </w:rPr>
        <w:t>万元</w:t>
      </w:r>
    </w:p>
    <w:p>
      <w:pPr>
        <w:spacing w:line="600" w:lineRule="exact"/>
        <w:ind w:firstLineChars="200" w:firstLine="640"/>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789.84</w:t>
      </w:r>
      <w:r>
        <w:rPr>
          <w:rFonts w:ascii="仿宋" w:eastAsia="仿宋" w:hAnsi="仿宋" w:hint="eastAsia"/>
          <w:color w:val="000000"/>
          <w:sz w:val="32"/>
          <w:szCs w:val="32"/>
        </w:rPr>
        <w:t>万元，其中：</w:t>
      </w:r>
    </w:p>
    <w:p>
      <w:pPr>
        <w:widowControl/>
        <w:ind w:firstLineChars="200" w:firstLine="640"/>
        <w:rPr>
          <w:rFonts w:ascii="宋体" w:cs="Arial" w:hAnsi="宋体"/>
          <w:color w:val="000000"/>
          <w:kern w:val="0"/>
          <w:sz w:val="22"/>
          <w:szCs w:val="22"/>
        </w:rPr>
      </w:pPr>
      <w:r>
        <w:rPr>
          <w:rFonts w:ascii="仿宋" w:eastAsia="仿宋" w:hAnsi="仿宋" w:hint="eastAsia"/>
          <w:color w:val="000000"/>
          <w:sz w:val="32"/>
          <w:szCs w:val="32"/>
        </w:rPr>
        <w:t>人员经费</w:t>
      </w:r>
      <w:r>
        <w:rPr>
          <w:rFonts w:ascii="仿宋" w:eastAsia="仿宋" w:hAnsi="仿宋"/>
          <w:color w:val="000000"/>
          <w:sz w:val="32"/>
          <w:szCs w:val="32"/>
        </w:rPr>
        <w:t>682.36</w:t>
      </w:r>
      <w:r>
        <w:rPr>
          <w:rFonts w:ascii="仿宋" w:eastAsia="仿宋" w:hAnsi="仿宋" w:hint="eastAsia"/>
          <w:color w:val="000000"/>
          <w:sz w:val="32"/>
          <w:szCs w:val="32"/>
        </w:rPr>
        <w:t>万元，主要包括：基本工资1</w:t>
      </w:r>
      <w:r>
        <w:rPr>
          <w:rFonts w:ascii="仿宋" w:eastAsia="仿宋" w:hAnsi="仿宋"/>
          <w:color w:val="000000"/>
          <w:sz w:val="32"/>
          <w:szCs w:val="32"/>
        </w:rPr>
        <w:t>94.66</w:t>
      </w:r>
      <w:r>
        <w:rPr>
          <w:rFonts w:ascii="仿宋" w:eastAsia="仿宋" w:hAnsi="仿宋" w:hint="eastAsia"/>
          <w:color w:val="000000"/>
          <w:sz w:val="32"/>
          <w:szCs w:val="32"/>
        </w:rPr>
        <w:t>万元、津贴补贴1</w:t>
      </w:r>
      <w:r>
        <w:rPr>
          <w:rFonts w:ascii="仿宋" w:eastAsia="仿宋" w:hAnsi="仿宋"/>
          <w:color w:val="000000"/>
          <w:sz w:val="32"/>
          <w:szCs w:val="32"/>
        </w:rPr>
        <w:t>09.04</w:t>
      </w:r>
      <w:r>
        <w:rPr>
          <w:rFonts w:ascii="仿宋" w:eastAsia="仿宋" w:hAnsi="仿宋" w:hint="eastAsia"/>
          <w:color w:val="000000"/>
          <w:sz w:val="32"/>
          <w:szCs w:val="32"/>
        </w:rPr>
        <w:t>万元、奖金1</w:t>
      </w:r>
      <w:r>
        <w:rPr>
          <w:rFonts w:ascii="仿宋" w:eastAsia="仿宋" w:hAnsi="仿宋"/>
          <w:color w:val="000000"/>
          <w:sz w:val="32"/>
          <w:szCs w:val="32"/>
        </w:rPr>
        <w:t>6.72</w:t>
      </w:r>
      <w:r>
        <w:rPr>
          <w:rFonts w:ascii="仿宋" w:eastAsia="仿宋" w:hAnsi="仿宋" w:hint="eastAsia"/>
          <w:color w:val="000000"/>
          <w:sz w:val="32"/>
          <w:szCs w:val="32"/>
        </w:rPr>
        <w:t>万元、伙食补助费0万元、绩效工资1</w:t>
      </w:r>
      <w:r>
        <w:rPr>
          <w:rFonts w:ascii="仿宋" w:eastAsia="仿宋" w:hAnsi="仿宋"/>
          <w:color w:val="000000"/>
          <w:sz w:val="32"/>
          <w:szCs w:val="32"/>
        </w:rPr>
        <w:t>0.49</w:t>
      </w:r>
      <w:r>
        <w:rPr>
          <w:rFonts w:ascii="仿宋" w:eastAsia="仿宋" w:hAnsi="仿宋" w:hint="eastAsia"/>
          <w:color w:val="000000"/>
          <w:sz w:val="32"/>
          <w:szCs w:val="32"/>
        </w:rPr>
        <w:t>万元、机关事业单位基本养老保险缴费5</w:t>
      </w:r>
      <w:r>
        <w:rPr>
          <w:rFonts w:ascii="仿宋" w:eastAsia="仿宋" w:hAnsi="仿宋"/>
          <w:color w:val="000000"/>
          <w:sz w:val="32"/>
          <w:szCs w:val="32"/>
        </w:rPr>
        <w:t>2.27</w:t>
      </w:r>
      <w:r>
        <w:rPr>
          <w:rFonts w:ascii="仿宋" w:eastAsia="仿宋" w:hAnsi="仿宋" w:hint="eastAsia"/>
          <w:color w:val="000000"/>
          <w:sz w:val="32"/>
          <w:szCs w:val="32"/>
        </w:rPr>
        <w:t>万元、职业年金缴费1</w:t>
      </w:r>
      <w:r>
        <w:rPr>
          <w:rFonts w:ascii="仿宋" w:eastAsia="仿宋" w:hAnsi="仿宋"/>
          <w:color w:val="000000"/>
          <w:sz w:val="32"/>
          <w:szCs w:val="32"/>
        </w:rPr>
        <w:t>2.38</w:t>
      </w:r>
      <w:r>
        <w:rPr>
          <w:rFonts w:ascii="仿宋" w:eastAsia="仿宋" w:hAnsi="仿宋" w:hint="eastAsia"/>
          <w:color w:val="000000"/>
          <w:sz w:val="32"/>
          <w:szCs w:val="32"/>
        </w:rPr>
        <w:t>万元、职工基本医疗保险缴费2</w:t>
      </w:r>
      <w:r>
        <w:rPr>
          <w:rFonts w:ascii="仿宋" w:eastAsia="仿宋" w:hAnsi="仿宋"/>
          <w:color w:val="000000"/>
          <w:sz w:val="32"/>
          <w:szCs w:val="32"/>
        </w:rPr>
        <w:t>5.42</w:t>
      </w:r>
      <w:r>
        <w:rPr>
          <w:rFonts w:ascii="仿宋" w:eastAsia="仿宋" w:hAnsi="仿宋" w:hint="eastAsia"/>
          <w:color w:val="000000"/>
          <w:sz w:val="32"/>
          <w:szCs w:val="32"/>
        </w:rPr>
        <w:t>万元；其他社会保障缴费6</w:t>
      </w:r>
      <w:r>
        <w:rPr>
          <w:rFonts w:ascii="仿宋" w:eastAsia="仿宋" w:hAnsi="仿宋"/>
          <w:color w:val="000000"/>
          <w:sz w:val="32"/>
          <w:szCs w:val="32"/>
        </w:rPr>
        <w:t>.20</w:t>
      </w:r>
      <w:r>
        <w:rPr>
          <w:rFonts w:ascii="仿宋" w:eastAsia="仿宋" w:hAnsi="仿宋" w:hint="eastAsia"/>
          <w:color w:val="000000"/>
          <w:sz w:val="32"/>
          <w:szCs w:val="32"/>
        </w:rPr>
        <w:t>、其他工资福利支出1</w:t>
      </w:r>
      <w:r>
        <w:rPr>
          <w:rFonts w:ascii="仿宋" w:eastAsia="仿宋" w:hAnsi="仿宋"/>
          <w:color w:val="000000"/>
          <w:sz w:val="32"/>
          <w:szCs w:val="32"/>
        </w:rPr>
        <w:t>49.95</w:t>
      </w:r>
      <w:r>
        <w:rPr>
          <w:rFonts w:ascii="仿宋" w:eastAsia="仿宋" w:hAnsi="仿宋" w:hint="eastAsia"/>
          <w:color w:val="000000"/>
          <w:sz w:val="32"/>
          <w:szCs w:val="32"/>
        </w:rPr>
        <w:t>、离休费0万元、退休费0万元、抚恤金0万元、生活补助5</w:t>
      </w:r>
      <w:r>
        <w:rPr>
          <w:rFonts w:ascii="仿宋" w:eastAsia="仿宋" w:hAnsi="仿宋"/>
          <w:color w:val="000000"/>
          <w:sz w:val="32"/>
          <w:szCs w:val="32"/>
        </w:rPr>
        <w:t>1.13</w:t>
      </w:r>
      <w:r>
        <w:rPr>
          <w:rFonts w:ascii="仿宋" w:eastAsia="仿宋" w:hAnsi="仿宋" w:hint="eastAsia"/>
          <w:color w:val="000000"/>
          <w:sz w:val="32"/>
          <w:szCs w:val="32"/>
        </w:rPr>
        <w:t>万元、医疗费补助0万元、奖励金0万元、住房公积金5</w:t>
      </w:r>
      <w:r>
        <w:rPr>
          <w:rFonts w:ascii="仿宋" w:eastAsia="仿宋" w:hAnsi="仿宋"/>
          <w:color w:val="000000"/>
          <w:sz w:val="32"/>
          <w:szCs w:val="32"/>
        </w:rPr>
        <w:t>4.09</w:t>
      </w:r>
      <w:r>
        <w:rPr>
          <w:rFonts w:ascii="仿宋" w:eastAsia="仿宋" w:hAnsi="仿宋" w:hint="eastAsia"/>
          <w:color w:val="000000"/>
          <w:sz w:val="32"/>
          <w:szCs w:val="32"/>
        </w:rPr>
        <w:t>万元、其他对个人和家庭的补助支出0万元。</w:t>
      </w:r>
      <w:r>
        <w:rPr>
          <w:rFonts w:ascii="仿宋" w:eastAsia="仿宋" w:hAnsi="仿宋"/>
          <w:color w:val="000000"/>
          <w:sz w:val="32"/>
          <w:szCs w:val="32"/>
        </w:rPr>
        <w:br/>
      </w:r>
      <w:r>
        <w:rPr>
          <w:rFonts w:ascii="仿宋" w:eastAsia="仿宋" w:hAnsi="仿宋" w:hint="eastAsia"/>
          <w:color w:val="000000"/>
          <w:sz w:val="32"/>
          <w:szCs w:val="32"/>
        </w:rPr>
        <w:t>　　日常公用经费</w:t>
      </w:r>
      <w:r>
        <w:rPr>
          <w:rFonts w:ascii="仿宋" w:eastAsia="仿宋" w:hAnsi="仿宋"/>
          <w:color w:val="000000"/>
          <w:sz w:val="32"/>
          <w:szCs w:val="32"/>
        </w:rPr>
        <w:t>106.26</w:t>
      </w:r>
      <w:r>
        <w:rPr>
          <w:rFonts w:ascii="仿宋" w:eastAsia="仿宋" w:hAnsi="仿宋" w:hint="eastAsia"/>
          <w:color w:val="000000"/>
          <w:sz w:val="32"/>
          <w:szCs w:val="32"/>
        </w:rPr>
        <w:t>万元，主要包括：办公费2</w:t>
      </w:r>
      <w:r>
        <w:rPr>
          <w:rFonts w:ascii="仿宋" w:eastAsia="仿宋" w:hAnsi="仿宋"/>
          <w:color w:val="000000"/>
          <w:sz w:val="32"/>
          <w:szCs w:val="32"/>
        </w:rPr>
        <w:t>1.82</w:t>
      </w:r>
      <w:r>
        <w:rPr>
          <w:rFonts w:ascii="仿宋" w:eastAsia="仿宋" w:hAnsi="仿宋" w:hint="eastAsia"/>
          <w:color w:val="000000"/>
          <w:sz w:val="32"/>
          <w:szCs w:val="32"/>
        </w:rPr>
        <w:t>万元、印刷费5</w:t>
      </w:r>
      <w:r>
        <w:rPr>
          <w:rFonts w:ascii="仿宋" w:eastAsia="仿宋" w:hAnsi="仿宋"/>
          <w:color w:val="000000"/>
          <w:sz w:val="32"/>
          <w:szCs w:val="32"/>
        </w:rPr>
        <w:t>.36</w:t>
      </w:r>
      <w:r>
        <w:rPr>
          <w:rFonts w:ascii="仿宋" w:eastAsia="仿宋" w:hAnsi="仿宋" w:hint="eastAsia"/>
          <w:color w:val="000000"/>
          <w:sz w:val="32"/>
          <w:szCs w:val="32"/>
        </w:rPr>
        <w:t>万元、咨询费、手续费、水费0</w:t>
      </w:r>
      <w:r>
        <w:rPr>
          <w:rFonts w:ascii="仿宋" w:eastAsia="仿宋" w:hAnsi="仿宋"/>
          <w:color w:val="000000"/>
          <w:sz w:val="32"/>
          <w:szCs w:val="32"/>
        </w:rPr>
        <w:t>.55</w:t>
      </w:r>
      <w:r>
        <w:rPr>
          <w:rFonts w:ascii="仿宋" w:eastAsia="仿宋" w:hAnsi="仿宋" w:hint="eastAsia"/>
          <w:color w:val="000000"/>
          <w:sz w:val="32"/>
          <w:szCs w:val="32"/>
        </w:rPr>
        <w:t>万元、电费3</w:t>
      </w:r>
      <w:r>
        <w:rPr>
          <w:rFonts w:ascii="仿宋" w:eastAsia="仿宋" w:hAnsi="仿宋"/>
          <w:color w:val="000000"/>
          <w:sz w:val="32"/>
          <w:szCs w:val="32"/>
        </w:rPr>
        <w:t>.04</w:t>
      </w:r>
      <w:r>
        <w:rPr>
          <w:rFonts w:ascii="仿宋" w:eastAsia="仿宋" w:hAnsi="仿宋" w:hint="eastAsia"/>
          <w:color w:val="000000"/>
          <w:sz w:val="32"/>
          <w:szCs w:val="32"/>
        </w:rPr>
        <w:t>万元、邮电费2</w:t>
      </w:r>
      <w:r>
        <w:rPr>
          <w:rFonts w:ascii="仿宋" w:eastAsia="仿宋" w:hAnsi="仿宋"/>
          <w:color w:val="000000"/>
          <w:sz w:val="32"/>
          <w:szCs w:val="32"/>
        </w:rPr>
        <w:t>.82</w:t>
      </w:r>
      <w:r>
        <w:rPr>
          <w:rFonts w:ascii="仿宋" w:eastAsia="仿宋" w:hAnsi="仿宋" w:hint="eastAsia"/>
          <w:color w:val="000000"/>
          <w:sz w:val="32"/>
          <w:szCs w:val="32"/>
        </w:rPr>
        <w:t>万元、取暖费、物业管理费、差旅费8</w:t>
      </w:r>
      <w:r>
        <w:rPr>
          <w:rFonts w:ascii="仿宋" w:eastAsia="仿宋" w:hAnsi="仿宋"/>
          <w:color w:val="000000"/>
          <w:sz w:val="32"/>
          <w:szCs w:val="32"/>
        </w:rPr>
        <w:t>.60</w:t>
      </w:r>
      <w:r>
        <w:rPr>
          <w:rFonts w:ascii="仿宋" w:eastAsia="仿宋" w:hAnsi="仿宋" w:hint="eastAsia"/>
          <w:color w:val="000000"/>
          <w:sz w:val="32"/>
          <w:szCs w:val="32"/>
        </w:rPr>
        <w:t>万元、因公出国（境）费用、维修（护）费0</w:t>
      </w:r>
      <w:r>
        <w:rPr>
          <w:rFonts w:ascii="仿宋" w:eastAsia="仿宋" w:hAnsi="仿宋"/>
          <w:color w:val="000000"/>
          <w:sz w:val="32"/>
          <w:szCs w:val="32"/>
        </w:rPr>
        <w:t>.56</w:t>
      </w:r>
      <w:r>
        <w:rPr>
          <w:rFonts w:ascii="仿宋" w:eastAsia="仿宋" w:hAnsi="仿宋" w:hint="eastAsia"/>
          <w:color w:val="000000"/>
          <w:sz w:val="32"/>
          <w:szCs w:val="32"/>
        </w:rPr>
        <w:t>万元、租赁费、会议费、培训费、公务接待费4</w:t>
      </w:r>
      <w:r>
        <w:rPr>
          <w:rFonts w:ascii="仿宋" w:eastAsia="仿宋" w:hAnsi="仿宋"/>
          <w:color w:val="000000"/>
          <w:sz w:val="32"/>
          <w:szCs w:val="32"/>
        </w:rPr>
        <w:t>.15</w:t>
      </w:r>
      <w:r>
        <w:rPr>
          <w:rFonts w:ascii="仿宋" w:eastAsia="仿宋" w:hAnsi="仿宋" w:hint="eastAsia"/>
          <w:color w:val="000000"/>
          <w:sz w:val="32"/>
          <w:szCs w:val="32"/>
        </w:rPr>
        <w:t>万元、劳务费3</w:t>
      </w:r>
      <w:r>
        <w:rPr>
          <w:rFonts w:ascii="仿宋" w:eastAsia="仿宋" w:hAnsi="仿宋"/>
          <w:color w:val="000000"/>
          <w:sz w:val="32"/>
          <w:szCs w:val="32"/>
        </w:rPr>
        <w:t>.73</w:t>
      </w:r>
      <w:r>
        <w:rPr>
          <w:rFonts w:ascii="仿宋" w:eastAsia="仿宋" w:hAnsi="仿宋" w:hint="eastAsia"/>
          <w:color w:val="000000"/>
          <w:sz w:val="32"/>
          <w:szCs w:val="32"/>
        </w:rPr>
        <w:t>万元、委托业务费、工会经费3</w:t>
      </w:r>
      <w:r>
        <w:rPr>
          <w:rFonts w:ascii="仿宋" w:eastAsia="仿宋" w:hAnsi="仿宋"/>
          <w:color w:val="000000"/>
          <w:sz w:val="32"/>
          <w:szCs w:val="32"/>
        </w:rPr>
        <w:t>.12</w:t>
      </w:r>
      <w:r>
        <w:rPr>
          <w:rFonts w:ascii="仿宋" w:eastAsia="仿宋" w:hAnsi="仿宋" w:hint="eastAsia"/>
          <w:color w:val="000000"/>
          <w:sz w:val="32"/>
          <w:szCs w:val="32"/>
        </w:rPr>
        <w:t>万元、福利费1</w:t>
      </w:r>
      <w:r>
        <w:rPr>
          <w:rFonts w:ascii="仿宋" w:eastAsia="仿宋" w:hAnsi="仿宋"/>
          <w:color w:val="000000"/>
          <w:sz w:val="32"/>
          <w:szCs w:val="32"/>
        </w:rPr>
        <w:t>4.96</w:t>
      </w:r>
      <w:r>
        <w:rPr>
          <w:rFonts w:ascii="仿宋" w:eastAsia="仿宋" w:hAnsi="仿宋" w:hint="eastAsia"/>
          <w:color w:val="000000"/>
          <w:sz w:val="32"/>
          <w:szCs w:val="32"/>
        </w:rPr>
        <w:t>万元、公务用车运行维护费、其他交通费3</w:t>
      </w:r>
      <w:r>
        <w:rPr>
          <w:rFonts w:ascii="仿宋" w:eastAsia="仿宋" w:hAnsi="仿宋"/>
          <w:color w:val="000000"/>
          <w:sz w:val="32"/>
          <w:szCs w:val="32"/>
        </w:rPr>
        <w:t>8.07</w:t>
      </w:r>
      <w:r>
        <w:rPr>
          <w:rFonts w:ascii="仿宋" w:eastAsia="仿宋" w:hAnsi="仿宋" w:hint="eastAsia"/>
          <w:color w:val="000000"/>
          <w:sz w:val="32"/>
          <w:szCs w:val="32"/>
        </w:rPr>
        <w:t>万元、税金及附加费用、其他商品和服务支出、办公设备购置、专用设备购置、信息网络及软件购置更新、其他资本性支出等。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4.15</w:t>
      </w:r>
      <w:r>
        <w:rPr>
          <w:rFonts w:ascii="仿宋" w:eastAsia="仿宋" w:hAnsi="仿宋" w:hint="eastAsia"/>
          <w:color w:val="000000"/>
          <w:sz w:val="32"/>
          <w:szCs w:val="32"/>
        </w:rPr>
        <w:t>万元，完成预算</w:t>
      </w:r>
      <w:r>
        <w:rPr>
          <w:rFonts w:ascii="仿宋" w:eastAsia="仿宋" w:hAnsi="仿宋"/>
          <w:color w:val="000000"/>
          <w:sz w:val="32"/>
          <w:szCs w:val="32"/>
        </w:rPr>
        <w:t>100%</w:t>
      </w:r>
      <w:r>
        <w:rPr>
          <w:rFonts w:ascii="仿宋" w:eastAsia="仿宋" w:hAnsi="仿宋" w:hint="eastAsia"/>
          <w:color w:val="000000"/>
          <w:sz w:val="32"/>
          <w:szCs w:val="32"/>
        </w:rPr>
        <w:t>。</w:t>
      </w:r>
    </w:p>
    <w:p>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；公务接待费支出决算</w:t>
      </w:r>
      <w:r>
        <w:rPr>
          <w:rFonts w:ascii="仿宋" w:eastAsia="仿宋" w:hAnsi="仿宋"/>
          <w:color w:val="000000"/>
          <w:sz w:val="32"/>
          <w:szCs w:val="32"/>
        </w:rPr>
        <w:t>4.15</w:t>
      </w:r>
      <w:r>
        <w:rPr>
          <w:rFonts w:ascii="仿宋" w:eastAsia="仿宋" w:hAnsi="仿宋" w:hint="eastAsia"/>
          <w:color w:val="000000"/>
          <w:sz w:val="32"/>
          <w:szCs w:val="32"/>
        </w:rPr>
        <w:t>万元，</w:t>
      </w:r>
      <w:r>
        <w:rPr>
          <w:rFonts w:ascii="仿宋" w:eastAsia="仿宋" w:hAnsi="仿宋"/>
          <w:color w:val="000000"/>
          <w:sz w:val="32"/>
          <w:szCs w:val="32"/>
        </w:rPr>
        <w:drawing>
          <wp:anchor distT="0" distB="0" distL="114300" distR="114300" simplePos="0" relativeHeight="30" behindDoc="0" locked="0" layoutInCell="1" hidden="0" allowOverlap="1">
            <wp:simplePos x="0" y="0"/>
            <wp:positionH relativeFrom="column">
              <wp:posOffset>47625</wp:posOffset>
            </wp:positionH>
            <wp:positionV relativeFrom="paragraph">
              <wp:posOffset>838200</wp:posOffset>
            </wp:positionV>
            <wp:extent cx="5274310" cy="3076575"/>
            <wp:effectExtent l="0" t="0" r="0" b="0"/>
            <wp:wrapTopAndBottom/>
            <wp:docPr id="7" name="图表 9"/>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仿宋" w:eastAsia="仿宋" w:hAnsi="仿宋" w:hint="eastAsia"/>
          <w:color w:val="000000"/>
          <w:sz w:val="32"/>
          <w:szCs w:val="32"/>
        </w:rPr>
        <w:t>占</w:t>
      </w:r>
      <w:r>
        <w:rPr>
          <w:rFonts w:ascii="仿宋" w:eastAsia="仿宋" w:hAnsi="仿宋"/>
          <w:color w:val="000000"/>
          <w:sz w:val="32"/>
          <w:szCs w:val="32"/>
        </w:rPr>
        <w:t>100%</w:t>
      </w:r>
      <w:r>
        <w:rPr>
          <w:rFonts w:ascii="仿宋" w:eastAsia="仿宋" w:hAnsi="仿宋" w:hint="eastAsia"/>
          <w:color w:val="000000"/>
          <w:sz w:val="32"/>
          <w:szCs w:val="32"/>
        </w:rPr>
        <w:t>。具体情况如下：</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27"/>
          <w:rFonts w:ascii="仿宋" w:eastAsia="仿宋" w:hAnsi="仿宋" w:hint="eastAsia"/>
          <w:b w:val="0"/>
          <w:bCs/>
          <w:color w:val="000000"/>
          <w:sz w:val="32"/>
          <w:szCs w:val="32"/>
        </w:rPr>
        <w:t>完成预算0</w:t>
      </w:r>
      <w:r>
        <w:rPr>
          <w:rStyle w:val="27"/>
          <w:rFonts w:ascii="仿宋" w:eastAsia="仿宋" w:hAnsi="仿宋"/>
          <w:b w:val="0"/>
          <w:bCs/>
          <w:color w:val="000000"/>
          <w:sz w:val="32"/>
          <w:szCs w:val="32"/>
        </w:rPr>
        <w:t>%</w:t>
      </w:r>
      <w:r>
        <w:rPr>
          <w:rStyle w:val="27"/>
          <w:rFonts w:ascii="仿宋" w:eastAsia="仿宋" w:hAnsi="仿宋" w:hint="eastAsia"/>
          <w:b w:val="0"/>
          <w:bCs/>
          <w:color w:val="000000"/>
          <w:sz w:val="32"/>
          <w:szCs w:val="32"/>
        </w:rPr>
        <w:t>，</w:t>
      </w:r>
      <w:r>
        <w:rPr>
          <w:rFonts w:ascii="仿宋_GB2312" w:eastAsia="仿宋_GB2312" w:hint="eastAsia"/>
          <w:b/>
          <w:color w:val="000000"/>
          <w:sz w:val="32"/>
          <w:szCs w:val="32"/>
        </w:rPr>
        <w:t>与201</w:t>
      </w:r>
      <w:r>
        <w:rPr>
          <w:rFonts w:ascii="仿宋_GB2312" w:eastAsia="仿宋_GB2312"/>
          <w:b/>
          <w:color w:val="000000"/>
          <w:sz w:val="32"/>
          <w:szCs w:val="32"/>
        </w:rPr>
        <w:t>9</w:t>
      </w:r>
      <w:r>
        <w:rPr>
          <w:rFonts w:ascii="仿宋_GB2312" w:eastAsia="仿宋_GB2312" w:hint="eastAsia"/>
          <w:b/>
          <w:color w:val="000000"/>
          <w:sz w:val="32"/>
          <w:szCs w:val="32"/>
        </w:rPr>
        <w:t>年下降0</w:t>
      </w:r>
      <w:r>
        <w:rPr>
          <w:rFonts w:ascii="仿宋_GB2312" w:eastAsia="仿宋_GB2312"/>
          <w:b/>
          <w:color w:val="000000"/>
          <w:sz w:val="32"/>
          <w:szCs w:val="32"/>
        </w:rPr>
        <w:t>%</w:t>
      </w:r>
      <w:r>
        <w:rPr>
          <w:rFonts w:ascii="仿宋_GB2312" w:eastAsia="仿宋_GB2312" w:hint="eastAsia"/>
          <w:b/>
          <w:color w:val="000000"/>
          <w:sz w:val="32"/>
          <w:szCs w:val="32"/>
        </w:rPr>
        <w:t>，无出国（境）支出</w:t>
      </w:r>
      <w:r>
        <w:rPr>
          <w:rStyle w:val="27"/>
          <w:rFonts w:ascii="仿宋" w:eastAsia="仿宋" w:hAnsi="仿宋" w:hint="eastAsia"/>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2.公务用车购置及运行维护费支出0万元,完成预算0%。公务用车购置及运行维护费支出决算与201</w:t>
      </w:r>
      <w:r>
        <w:rPr>
          <w:rFonts w:ascii="仿宋_GB2312" w:eastAsia="仿宋_GB2312"/>
          <w:b/>
          <w:color w:val="000000"/>
          <w:sz w:val="32"/>
          <w:szCs w:val="32"/>
        </w:rPr>
        <w:t>9</w:t>
      </w:r>
      <w:r>
        <w:rPr>
          <w:rFonts w:ascii="仿宋_GB2312" w:eastAsia="仿宋_GB2312" w:hint="eastAsia"/>
          <w:b/>
          <w:color w:val="000000"/>
          <w:sz w:val="32"/>
          <w:szCs w:val="32"/>
        </w:rPr>
        <w:t>年持平。截至20</w:t>
      </w:r>
      <w:r>
        <w:rPr>
          <w:rFonts w:ascii="仿宋_GB2312" w:eastAsia="仿宋_GB2312"/>
          <w:b/>
          <w:color w:val="000000"/>
          <w:sz w:val="32"/>
          <w:szCs w:val="32"/>
        </w:rPr>
        <w:t>20</w:t>
      </w:r>
      <w:r>
        <w:rPr>
          <w:rFonts w:ascii="仿宋_GB2312" w:eastAsia="仿宋_GB2312" w:hint="eastAsia"/>
          <w:b/>
          <w:color w:val="000000"/>
          <w:sz w:val="32"/>
          <w:szCs w:val="32"/>
        </w:rPr>
        <w:t>年12月底，单位共有公务用车0辆。</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0万元。全年按规定更新购置公务用车0辆，其中：轿车0辆、金额0万元，越野车0辆、金额0万元，载客汽车0辆、金额0万元，主要用于…。截至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0万元。主要用于（具体工作）等所需的公务用车燃料费、维修费、过路过桥费、保险费等支出。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4.15</w:t>
      </w:r>
      <w:r>
        <w:rPr>
          <w:rFonts w:ascii="仿宋_GB2312" w:eastAsia="仿宋_GB2312" w:hint="eastAsia"/>
          <w:color w:val="000000"/>
          <w:sz w:val="32"/>
          <w:szCs w:val="32"/>
        </w:rPr>
        <w:t>万元，</w:t>
      </w:r>
      <w:r>
        <w:rPr>
          <w:rStyle w:val="27"/>
          <w:rFonts w:ascii="仿宋" w:eastAsia="仿宋" w:hAnsi="仿宋" w:hint="eastAsia"/>
          <w:b w:val="0"/>
          <w:bCs/>
          <w:color w:val="000000"/>
          <w:sz w:val="32"/>
          <w:szCs w:val="32"/>
        </w:rPr>
        <w:t>完成预算</w:t>
      </w:r>
      <w:r>
        <w:rPr>
          <w:rStyle w:val="27"/>
          <w:rFonts w:ascii="仿宋" w:eastAsia="仿宋" w:hAnsi="仿宋"/>
          <w:b w:val="0"/>
          <w:bCs/>
          <w:color w:val="000000"/>
          <w:sz w:val="32"/>
          <w:szCs w:val="32"/>
        </w:rPr>
        <w:t>100%</w:t>
      </w:r>
      <w:r>
        <w:rPr>
          <w:rStyle w:val="2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年基本持平</w:t>
      </w:r>
    </w:p>
    <w:p>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4.15</w:t>
      </w:r>
      <w:r>
        <w:rPr>
          <w:rFonts w:ascii="仿宋_GB2312" w:eastAsia="仿宋_GB2312" w:hint="eastAsia"/>
          <w:color w:val="000000"/>
          <w:sz w:val="32"/>
          <w:szCs w:val="32"/>
        </w:rPr>
        <w:t>万元，</w:t>
      </w:r>
      <w:bookmarkStart w:id="47" w:name="_Toc15396610"/>
      <w:bookmarkStart w:id="48" w:name="_Toc15377218"/>
      <w:r>
        <w:rPr>
          <w:rFonts w:ascii="仿宋_GB2312" w:eastAsia="仿宋_GB2312" w:hint="eastAsia"/>
          <w:color w:val="000000"/>
          <w:sz w:val="32"/>
          <w:szCs w:val="32"/>
        </w:rPr>
        <w:t>主要用于执行公务、开展业务活动开支的交通费、住宿费、用餐费等。国内公务接待38批次，685人次（不包括陪同人员），共计支出4.</w:t>
      </w:r>
      <w:r>
        <w:rPr>
          <w:rFonts w:ascii="仿宋_GB2312" w:eastAsia="仿宋_GB2312"/>
          <w:color w:val="000000"/>
          <w:sz w:val="32"/>
          <w:szCs w:val="32"/>
        </w:rPr>
        <w:t>15</w:t>
      </w:r>
      <w:r>
        <w:rPr>
          <w:rFonts w:ascii="仿宋_GB2312" w:eastAsia="仿宋_GB2312" w:hint="eastAsia"/>
          <w:color w:val="000000"/>
          <w:sz w:val="32"/>
          <w:szCs w:val="32"/>
        </w:rPr>
        <w:t>万元，具体内容包括：市内各县区人大常委会交流考察学习、各地市州及省外人大常委会交流考察学习等。</w:t>
      </w:r>
    </w:p>
    <w:p>
      <w:pPr>
        <w:spacing w:line="600" w:lineRule="exact"/>
        <w:ind w:firstLine="640"/>
        <w:rPr>
          <w:rFonts w:ascii="仿宋_GB2312" w:eastAsia="仿宋_GB2312"/>
          <w:color w:val="000000"/>
          <w:sz w:val="32"/>
          <w:szCs w:val="32"/>
        </w:rPr>
      </w:pPr>
      <w:bookmarkEnd w:id="47"/>
      <w:bookmarkEnd w:id="48"/>
      <w:r>
        <w:rPr>
          <w:rFonts w:ascii="仿宋_GB2312" w:eastAsia="仿宋_GB2312" w:hint="eastAsia"/>
          <w:color w:val="000000"/>
          <w:sz w:val="32"/>
          <w:szCs w:val="32"/>
        </w:rPr>
        <w:t>无外事接待支出。</w:t>
      </w:r>
    </w:p>
    <w:p>
      <w:pPr>
        <w:spacing w:line="600" w:lineRule="exact"/>
        <w:ind w:firstLine="640"/>
        <w:rPr>
          <w:rFonts w:ascii="仿宋_GB2312" w:eastAsia="仿宋_GB2312"/>
          <w:color w:val="000000"/>
          <w:sz w:val="32"/>
          <w:szCs w:val="32"/>
        </w:rPr>
      </w:pPr>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left="0"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pPr>
        <w:spacing w:line="580" w:lineRule="exact"/>
        <w:jc w:val="center"/>
        <w:rPr>
          <w:rFonts w:ascii="方正小标宋简体" w:eastAsia="方正小标宋简体" w:cs="方正小标宋简体" w:hAnsi="方正小标宋简体"/>
          <w:sz w:val="44"/>
          <w:szCs w:val="44"/>
        </w:rPr>
      </w:pPr>
    </w:p>
    <w:p>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年，机关运行经费支出1</w:t>
      </w:r>
      <w:r>
        <w:rPr>
          <w:rFonts w:ascii="仿宋_GB2312" w:eastAsia="仿宋_GB2312"/>
          <w:color w:val="000000"/>
          <w:sz w:val="32"/>
          <w:szCs w:val="32"/>
        </w:rPr>
        <w:t>07.47</w:t>
      </w:r>
      <w:r>
        <w:rPr>
          <w:rFonts w:ascii="仿宋_GB2312" w:eastAsia="仿宋_GB2312" w:hint="eastAsia"/>
          <w:color w:val="000000"/>
          <w:sz w:val="32"/>
          <w:szCs w:val="32"/>
        </w:rPr>
        <w:t>万元，比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16.91</w:t>
      </w:r>
      <w:r>
        <w:rPr>
          <w:rFonts w:ascii="仿宋_GB2312" w:eastAsia="仿宋_GB2312" w:hint="eastAsia"/>
          <w:color w:val="000000"/>
          <w:sz w:val="32"/>
          <w:szCs w:val="32"/>
        </w:rPr>
        <w:t>万元，增长</w:t>
      </w:r>
      <w:r>
        <w:rPr>
          <w:rFonts w:ascii="仿宋_GB2312" w:eastAsia="仿宋_GB2312"/>
          <w:color w:val="000000"/>
          <w:sz w:val="32"/>
          <w:szCs w:val="32"/>
        </w:rPr>
        <w:t>18.67%</w:t>
      </w:r>
      <w:r>
        <w:rPr>
          <w:rFonts w:ascii="仿宋_GB2312" w:eastAsia="仿宋_GB2312" w:hint="eastAsia"/>
          <w:color w:val="000000"/>
          <w:sz w:val="32"/>
          <w:szCs w:val="32"/>
        </w:rPr>
        <w:t>，预算数高于预算数是支付了上年未付款项。</w:t>
      </w:r>
    </w:p>
    <w:p>
      <w:pPr>
        <w:spacing w:line="600" w:lineRule="exact"/>
        <w:ind w:firstLineChars="200" w:firstLine="640"/>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年，政府采购支出总额0万元，其中：政府采购货物支出</w:t>
      </w:r>
      <w:r>
        <w:rPr>
          <w:rFonts w:ascii="仿宋_GB2312" w:eastAsia="仿宋_GB2312"/>
          <w:color w:val="000000"/>
          <w:sz w:val="32"/>
          <w:szCs w:val="32"/>
        </w:rPr>
        <w:t>0</w:t>
      </w:r>
      <w:r>
        <w:rPr>
          <w:rFonts w:ascii="仿宋_GB2312" w:eastAsia="仿宋_GB2312" w:hint="eastAsia"/>
          <w:color w:val="000000"/>
          <w:sz w:val="32"/>
          <w:szCs w:val="32"/>
        </w:rPr>
        <w:t>万元、政府采购工程支出</w:t>
      </w:r>
      <w:r>
        <w:rPr>
          <w:rFonts w:ascii="仿宋_GB2312" w:eastAsia="仿宋_GB2312"/>
          <w:color w:val="000000"/>
          <w:sz w:val="32"/>
          <w:szCs w:val="32"/>
        </w:rPr>
        <w:t>0</w:t>
      </w:r>
      <w:r>
        <w:rPr>
          <w:rFonts w:ascii="仿宋_GB2312" w:eastAsia="仿宋_GB2312" w:hint="eastAsia"/>
          <w:color w:val="000000"/>
          <w:sz w:val="32"/>
          <w:szCs w:val="32"/>
        </w:rPr>
        <w:t>万元、政府采购服务支出</w:t>
      </w:r>
      <w:r>
        <w:rPr>
          <w:rFonts w:ascii="仿宋_GB2312" w:eastAsia="仿宋_GB2312"/>
          <w:color w:val="000000"/>
          <w:sz w:val="32"/>
          <w:szCs w:val="32"/>
        </w:rPr>
        <w:t>0</w:t>
      </w:r>
      <w:r>
        <w:rPr>
          <w:rFonts w:ascii="仿宋_GB2312" w:eastAsia="仿宋_GB2312" w:hint="eastAsia"/>
          <w:color w:val="000000"/>
          <w:sz w:val="32"/>
          <w:szCs w:val="32"/>
        </w:rPr>
        <w:t>万元。主要用于办公设备购置支出。占政府采购支出总额的</w:t>
      </w:r>
      <w:r>
        <w:rPr>
          <w:rFonts w:ascii="仿宋_GB2312" w:eastAsia="仿宋_GB2312"/>
          <w:color w:val="000000"/>
          <w:sz w:val="32"/>
          <w:szCs w:val="32"/>
        </w:rPr>
        <w:t>100%</w:t>
      </w:r>
      <w:r>
        <w:rPr>
          <w:rFonts w:ascii="仿宋_GB2312" w:eastAsia="仿宋_GB2312" w:hint="eastAsia"/>
          <w:color w:val="000000"/>
          <w:sz w:val="32"/>
          <w:szCs w:val="32"/>
        </w:rPr>
        <w:t>。</w:t>
      </w:r>
    </w:p>
    <w:p>
      <w:pPr>
        <w:spacing w:line="600" w:lineRule="exact"/>
        <w:ind w:firstLineChars="200" w:firstLine="640"/>
        <w:rPr>
          <w:rFonts w:ascii="仿宋_GB2312" w:eastAsia="仿宋_GB2312"/>
          <w:color w:val="000000"/>
          <w:sz w:val="32"/>
          <w:szCs w:val="32"/>
        </w:rPr>
      </w:pPr>
    </w:p>
    <w:p>
      <w:pPr>
        <w:spacing w:line="600" w:lineRule="exact"/>
        <w:ind w:firstLineChars="200" w:firstLine="640"/>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截至20</w:t>
      </w:r>
      <w:r>
        <w:rPr>
          <w:rFonts w:ascii="仿宋_GB2312" w:eastAsia="仿宋_GB2312"/>
          <w:color w:val="000000"/>
          <w:sz w:val="32"/>
          <w:szCs w:val="32"/>
        </w:rPr>
        <w:t>20</w:t>
      </w:r>
      <w:r>
        <w:rPr>
          <w:rFonts w:ascii="仿宋_GB2312" w:eastAsia="仿宋_GB2312" w:hint="eastAsia"/>
          <w:color w:val="000000"/>
          <w:sz w:val="32"/>
          <w:szCs w:val="32"/>
        </w:rPr>
        <w:t>年12月31日，本单位无车辆。</w:t>
      </w:r>
    </w:p>
    <w:p>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（四）预算绩效管理情况。以下得根据2</w:t>
      </w:r>
      <w:r>
        <w:rPr>
          <w:rFonts w:ascii="仿宋" w:eastAsia="仿宋" w:hAnsi="仿宋"/>
          <w:b/>
          <w:color w:val="000000"/>
          <w:sz w:val="32"/>
          <w:szCs w:val="32"/>
        </w:rPr>
        <w:t>020</w:t>
      </w:r>
      <w:r>
        <w:rPr>
          <w:rFonts w:ascii="仿宋" w:eastAsia="仿宋" w:hAnsi="仿宋" w:hint="eastAsia"/>
          <w:b/>
          <w:color w:val="000000"/>
          <w:sz w:val="32"/>
          <w:szCs w:val="32"/>
        </w:rPr>
        <w:t>项目修改</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根据预算绩效管理要求，本部门（单位）在年初预算编制阶段，组织对代表工作、人大代表意见办理、人大会议、人大代表活动视察、非贫困村第一书记经费等项目开展了预算事前绩效评估，对</w:t>
      </w:r>
      <w:r>
        <w:rPr>
          <w:rFonts w:ascii="仿宋_GB2312" w:eastAsia="仿宋_GB2312" w:cs="仿宋_GB2312" w:hAnsi="仿宋_GB2312"/>
          <w:sz w:val="32"/>
          <w:szCs w:val="32"/>
        </w:rPr>
        <w:t>9</w:t>
      </w:r>
      <w:r>
        <w:rPr>
          <w:rFonts w:ascii="仿宋_GB2312" w:eastAsia="仿宋_GB2312" w:cs="仿宋_GB2312" w:hAnsi="仿宋_GB2312" w:hint="eastAsia"/>
          <w:sz w:val="32"/>
          <w:szCs w:val="32"/>
        </w:rPr>
        <w:t>个项目编制了绩效目标，预算执行过程中，选取</w:t>
      </w:r>
      <w:r>
        <w:rPr>
          <w:rFonts w:ascii="仿宋_GB2312" w:eastAsia="仿宋_GB2312" w:cs="仿宋_GB2312" w:hAnsi="仿宋_GB2312"/>
          <w:sz w:val="32"/>
          <w:szCs w:val="32"/>
        </w:rPr>
        <w:t>5</w:t>
      </w:r>
      <w:r>
        <w:rPr>
          <w:rFonts w:ascii="仿宋_GB2312" w:eastAsia="仿宋_GB2312" w:cs="仿宋_GB2312" w:hAnsi="仿宋_GB2312" w:hint="eastAsia"/>
          <w:sz w:val="32"/>
          <w:szCs w:val="32"/>
        </w:rPr>
        <w:t>个项目开展绩效监控，年终执行完毕后，对</w:t>
      </w:r>
      <w:r>
        <w:rPr>
          <w:rFonts w:ascii="仿宋_GB2312" w:eastAsia="仿宋_GB2312" w:cs="仿宋_GB2312" w:hAnsi="仿宋_GB2312"/>
          <w:sz w:val="32"/>
          <w:szCs w:val="32"/>
        </w:rPr>
        <w:t>5</w:t>
      </w:r>
      <w:r>
        <w:rPr>
          <w:rFonts w:ascii="仿宋_GB2312" w:eastAsia="仿宋_GB2312" w:cs="仿宋_GB2312" w:hAnsi="仿宋_GB2312" w:hint="eastAsia"/>
          <w:sz w:val="32"/>
          <w:szCs w:val="32"/>
        </w:rPr>
        <w:t>个项目开展了绩效目标完成情况自评。</w:t>
      </w:r>
    </w:p>
    <w:p>
      <w:pPr>
        <w:spacing w:line="600" w:lineRule="exact"/>
        <w:ind w:firstLine="640"/>
        <w:rPr>
          <w:rFonts w:ascii="仿宋" w:eastAsia="仿宋" w:hAnsi="仿宋"/>
          <w:color w:val="000000"/>
          <w:sz w:val="32"/>
          <w:szCs w:val="32"/>
        </w:rPr>
      </w:pPr>
      <w:r>
        <w:rPr>
          <w:rFonts w:ascii="仿宋_GB2312" w:eastAsia="仿宋_GB2312" w:cs="仿宋_GB2312" w:hAnsi="仿宋_GB2312" w:hint="eastAsia"/>
          <w:sz w:val="32"/>
          <w:szCs w:val="32"/>
        </w:rPr>
        <w:t>本部门按要求对20</w:t>
      </w:r>
      <w:r>
        <w:rPr>
          <w:rFonts w:ascii="仿宋_GB2312" w:eastAsia="仿宋_GB2312" w:cs="仿宋_GB2312" w:hAnsi="仿宋_GB2312"/>
          <w:sz w:val="32"/>
          <w:szCs w:val="32"/>
        </w:rPr>
        <w:t>20</w:t>
      </w:r>
      <w:r>
        <w:rPr>
          <w:rFonts w:ascii="仿宋_GB2312" w:eastAsia="仿宋_GB2312" w:cs="仿宋_GB2312" w:hAnsi="仿宋_GB2312" w:hint="eastAsia"/>
          <w:sz w:val="32"/>
          <w:szCs w:val="32"/>
        </w:rPr>
        <w:t>年部门整体支出开展绩效自评，从评价情况来看：资金安全高效运行，能够在规定时限内高效完成项目内容，达到项目预期效益。本部门还自行组织了</w:t>
      </w:r>
      <w:r>
        <w:rPr>
          <w:rFonts w:ascii="仿宋_GB2312" w:eastAsia="仿宋_GB2312" w:cs="仿宋_GB2312" w:hAnsi="仿宋_GB2312"/>
          <w:sz w:val="32"/>
          <w:szCs w:val="32"/>
        </w:rPr>
        <w:t>5</w:t>
      </w:r>
      <w:r>
        <w:rPr>
          <w:rFonts w:ascii="仿宋_GB2312" w:eastAsia="仿宋_GB2312" w:cs="仿宋_GB2312" w:hAnsi="仿宋_GB2312" w:hint="eastAsia"/>
          <w:sz w:val="32"/>
          <w:szCs w:val="32"/>
        </w:rPr>
        <w:t>项目支出绩效评价，从评价情况来看：资金安全高效运行，完成项目达到预期效益。</w:t>
      </w:r>
    </w:p>
    <w:p>
      <w:pPr>
        <w:spacing w:line="580" w:lineRule="exact"/>
        <w:ind w:firstLineChars="200" w:firstLine="640"/>
        <w:rPr>
          <w:rFonts w:ascii="仿宋_GB2312" w:eastAsia="仿宋_GB2312" w:cs="仿宋_GB2312" w:hAnsi="仿宋_GB2312"/>
          <w:sz w:val="32"/>
          <w:szCs w:val="32"/>
        </w:rPr>
      </w:pPr>
      <w:r>
        <w:rPr>
          <w:rFonts w:ascii="楷体_GB2312" w:eastAsia="楷体_GB2312" w:cs="楷体_GB2312" w:hAnsi="楷体_GB2312" w:hint="eastAsia"/>
          <w:sz w:val="32"/>
          <w:szCs w:val="32"/>
        </w:rPr>
        <w:t>1.项目绩效目标完成情况。</w:t>
        <w:br/>
      </w:r>
      <w:r>
        <w:rPr>
          <w:rFonts w:ascii="仿宋_GB2312" w:eastAsia="仿宋_GB2312" w:cs="仿宋_GB2312" w:hAnsi="仿宋_GB2312" w:hint="eastAsia"/>
          <w:sz w:val="32"/>
          <w:szCs w:val="32"/>
        </w:rPr>
        <w:t xml:space="preserve">    本部门在20</w:t>
      </w:r>
      <w:r>
        <w:rPr>
          <w:rFonts w:ascii="仿宋_GB2312" w:eastAsia="仿宋_GB2312" w:cs="仿宋_GB2312" w:hAnsi="仿宋_GB2312"/>
          <w:sz w:val="32"/>
          <w:szCs w:val="32"/>
        </w:rPr>
        <w:t>20</w:t>
      </w:r>
      <w:r>
        <w:rPr>
          <w:rFonts w:ascii="仿宋_GB2312" w:eastAsia="仿宋_GB2312" w:cs="仿宋_GB2312" w:hAnsi="仿宋_GB2312" w:hint="eastAsia"/>
          <w:sz w:val="32"/>
          <w:szCs w:val="32"/>
        </w:rPr>
        <w:t>年度部门决算中反映代表工作、人大代表意见办理、人大会议、 人大代表活动视察、非贫困村第一书记经费等</w:t>
      </w:r>
      <w:r>
        <w:rPr>
          <w:rFonts w:ascii="仿宋_GB2312" w:eastAsia="仿宋_GB2312" w:cs="仿宋_GB2312" w:hAnsi="仿宋_GB2312"/>
          <w:sz w:val="32"/>
          <w:szCs w:val="32"/>
        </w:rPr>
        <w:t>5</w:t>
      </w:r>
      <w:r>
        <w:rPr>
          <w:rFonts w:ascii="仿宋_GB2312" w:eastAsia="仿宋_GB2312" w:cs="仿宋_GB2312" w:hAnsi="仿宋_GB2312" w:hint="eastAsia"/>
          <w:sz w:val="32"/>
          <w:szCs w:val="32"/>
        </w:rPr>
        <w:t>个项目绩效目标实际完成情况。</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（1）代表工作项目绩效目标完成情况综述。项目全年预算数36.6万元，执行数为36.6万元，完成预算的</w:t>
      </w:r>
      <w:r>
        <w:rPr>
          <w:rFonts w:ascii="仿宋_GB2312" w:eastAsia="仿宋_GB2312" w:cs="仿宋_GB2312" w:hAnsi="仿宋_GB2312"/>
          <w:sz w:val="32"/>
          <w:szCs w:val="32"/>
        </w:rPr>
        <w:t>100</w:t>
      </w:r>
      <w:r>
        <w:rPr>
          <w:rFonts w:ascii="仿宋_GB2312" w:eastAsia="仿宋_GB2312" w:cs="仿宋_GB2312" w:hAnsi="仿宋_GB2312" w:hint="eastAsia"/>
          <w:sz w:val="32"/>
          <w:szCs w:val="32"/>
        </w:rPr>
        <w:t>%。通过项目实施，保障了人大工作评议、财政预算审查、规范性文件审查及人大公报等工作圆满完成。</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cs="仿宋_GB2312" w:hAnsi="仿宋_GB2312" w:hint="eastAsia"/>
          <w:sz w:val="32"/>
          <w:szCs w:val="32"/>
        </w:rPr>
        <w:t>（2）人大代表意见办理项目绩效目标完成情况综述。项目全年预算数5万元，执行数为5万元，完成预算的</w:t>
      </w:r>
      <w:r>
        <w:rPr>
          <w:rFonts w:ascii="仿宋_GB2312" w:eastAsia="仿宋_GB2312" w:cs="仿宋_GB2312" w:hAnsi="仿宋_GB2312"/>
          <w:sz w:val="32"/>
          <w:szCs w:val="32"/>
        </w:rPr>
        <w:t>100</w:t>
      </w:r>
      <w:r>
        <w:rPr>
          <w:rFonts w:ascii="仿宋_GB2312" w:eastAsia="仿宋_GB2312" w:cs="仿宋_GB2312" w:hAnsi="仿宋_GB2312" w:hint="eastAsia"/>
          <w:sz w:val="32"/>
          <w:szCs w:val="32"/>
        </w:rPr>
        <w:t>%。通过项目实施，</w:t>
      </w:r>
      <w:r>
        <w:rPr>
          <w:rFonts w:ascii="仿宋_GB2312" w:eastAsia="仿宋_GB2312" w:hAnsi="宋体" w:hint="eastAsia"/>
          <w:sz w:val="32"/>
          <w:szCs w:val="32"/>
          <w:lang w:val="zh-CN"/>
        </w:rPr>
        <w:t>使建议真正落到实处，促进“一府两院”保障和维护人民群众根本利益，解决群众关心的热点、难点问题。</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（3）人大会议项目绩效目标完成情况综述。项目全年预算数93.52万元，执行数为93.52万元，完成预算的</w:t>
      </w:r>
      <w:r>
        <w:rPr>
          <w:rFonts w:ascii="仿宋_GB2312" w:eastAsia="仿宋_GB2312" w:cs="仿宋_GB2312" w:hAnsi="仿宋_GB2312"/>
          <w:sz w:val="32"/>
          <w:szCs w:val="32"/>
        </w:rPr>
        <w:t>100</w:t>
      </w:r>
      <w:r>
        <w:rPr>
          <w:rFonts w:ascii="仿宋_GB2312" w:eastAsia="仿宋_GB2312" w:cs="仿宋_GB2312" w:hAnsi="仿宋_GB2312" w:hint="eastAsia"/>
          <w:sz w:val="32"/>
          <w:szCs w:val="32"/>
        </w:rPr>
        <w:t>%。通过项目实施，保障了区八届人大五次会议常委会圆满召开，把区委重大决策转化为区政府的行政行为和全区人民的自觉行动。</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w:t>
      </w:r>
      <w:r>
        <w:rPr>
          <w:rFonts w:ascii="仿宋_GB2312" w:eastAsia="仿宋_GB2312" w:cs="仿宋_GB2312" w:hAnsi="仿宋_GB2312"/>
          <w:sz w:val="32"/>
          <w:szCs w:val="32"/>
        </w:rPr>
        <w:t>4</w:t>
      </w:r>
      <w:r>
        <w:rPr>
          <w:rFonts w:ascii="仿宋_GB2312" w:eastAsia="仿宋_GB2312" w:cs="仿宋_GB2312" w:hAnsi="仿宋_GB2312" w:hint="eastAsia"/>
          <w:sz w:val="32"/>
          <w:szCs w:val="32"/>
        </w:rPr>
        <w:t>）人大代表活动视察项目绩效目标完成情况综述。项目全年预算数</w:t>
      </w:r>
      <w:r>
        <w:rPr>
          <w:rFonts w:ascii="仿宋_GB2312" w:eastAsia="仿宋_GB2312" w:cs="仿宋_GB2312" w:hAnsi="仿宋_GB2312"/>
          <w:sz w:val="32"/>
          <w:szCs w:val="32"/>
        </w:rPr>
        <w:t>35</w:t>
      </w:r>
      <w:r>
        <w:rPr>
          <w:rFonts w:ascii="仿宋_GB2312" w:eastAsia="仿宋_GB2312" w:cs="仿宋_GB2312" w:hAnsi="仿宋_GB2312" w:hint="eastAsia"/>
          <w:sz w:val="32"/>
          <w:szCs w:val="32"/>
        </w:rPr>
        <w:t>万元，执行数为</w:t>
      </w:r>
      <w:r>
        <w:rPr>
          <w:rFonts w:ascii="仿宋_GB2312" w:eastAsia="仿宋_GB2312" w:cs="仿宋_GB2312" w:hAnsi="仿宋_GB2312"/>
          <w:sz w:val="32"/>
          <w:szCs w:val="32"/>
        </w:rPr>
        <w:t>35</w:t>
      </w:r>
      <w:r>
        <w:rPr>
          <w:rFonts w:ascii="仿宋_GB2312" w:eastAsia="仿宋_GB2312" w:cs="仿宋_GB2312" w:hAnsi="仿宋_GB2312" w:hint="eastAsia"/>
          <w:sz w:val="32"/>
          <w:szCs w:val="32"/>
        </w:rPr>
        <w:t>万元，完成预算的</w:t>
      </w:r>
      <w:r>
        <w:rPr>
          <w:rFonts w:ascii="仿宋_GB2312" w:eastAsia="仿宋_GB2312" w:cs="仿宋_GB2312" w:hAnsi="仿宋_GB2312"/>
          <w:sz w:val="32"/>
          <w:szCs w:val="32"/>
        </w:rPr>
        <w:t>100</w:t>
      </w:r>
      <w:r>
        <w:rPr>
          <w:rFonts w:ascii="仿宋_GB2312" w:eastAsia="仿宋_GB2312" w:cs="仿宋_GB2312" w:hAnsi="仿宋_GB2312" w:hint="eastAsia"/>
          <w:sz w:val="32"/>
          <w:szCs w:val="32"/>
        </w:rPr>
        <w:t>%。通过项目实施，拓宽代表知情知政的渠道</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支持和保障了代表依法履职，</w:t>
      </w:r>
      <w:r>
        <w:rPr>
          <w:rFonts w:ascii="仿宋_GB2312" w:eastAsia="仿宋_GB2312" w:cs="仿宋_GB2312" w:hAnsi="仿宋_GB2312"/>
          <w:sz w:val="32"/>
          <w:szCs w:val="32"/>
        </w:rPr>
        <w:t>积极为全区经济社会发展建言献策</w:t>
      </w:r>
      <w:r>
        <w:rPr>
          <w:rFonts w:ascii="仿宋_GB2312" w:eastAsia="仿宋_GB2312" w:cs="仿宋_GB2312" w:hAnsi="仿宋_GB2312" w:hint="eastAsia"/>
          <w:sz w:val="32"/>
          <w:szCs w:val="32"/>
        </w:rPr>
        <w:t>。</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w:t>
      </w:r>
      <w:r>
        <w:rPr>
          <w:rFonts w:ascii="仿宋_GB2312" w:eastAsia="仿宋_GB2312" w:cs="仿宋_GB2312" w:hAnsi="仿宋_GB2312"/>
          <w:sz w:val="32"/>
          <w:szCs w:val="32"/>
        </w:rPr>
        <w:t>5</w:t>
      </w:r>
      <w:r>
        <w:rPr>
          <w:rFonts w:ascii="仿宋_GB2312" w:eastAsia="仿宋_GB2312" w:cs="仿宋_GB2312" w:hAnsi="仿宋_GB2312" w:hint="eastAsia"/>
          <w:sz w:val="32"/>
          <w:szCs w:val="32"/>
        </w:rPr>
        <w:t>）非贫困村第一书记经费项目绩效目标完成情况综述。项目全年预算数</w:t>
      </w:r>
      <w:r>
        <w:rPr>
          <w:rFonts w:ascii="仿宋_GB2312" w:eastAsia="仿宋_GB2312" w:cs="仿宋_GB2312" w:hAnsi="仿宋_GB2312"/>
          <w:sz w:val="32"/>
          <w:szCs w:val="32"/>
        </w:rPr>
        <w:t>0.5</w:t>
      </w:r>
      <w:r>
        <w:rPr>
          <w:rFonts w:ascii="仿宋_GB2312" w:eastAsia="仿宋_GB2312" w:cs="仿宋_GB2312" w:hAnsi="仿宋_GB2312" w:hint="eastAsia"/>
          <w:sz w:val="32"/>
          <w:szCs w:val="32"/>
        </w:rPr>
        <w:t>万元，执行数为</w:t>
      </w:r>
      <w:r>
        <w:rPr>
          <w:rFonts w:ascii="仿宋_GB2312" w:eastAsia="仿宋_GB2312" w:cs="仿宋_GB2312" w:hAnsi="仿宋_GB2312"/>
          <w:sz w:val="32"/>
          <w:szCs w:val="32"/>
        </w:rPr>
        <w:t>0.5</w:t>
      </w:r>
      <w:r>
        <w:rPr>
          <w:rFonts w:ascii="仿宋_GB2312" w:eastAsia="仿宋_GB2312" w:cs="仿宋_GB2312" w:hAnsi="仿宋_GB2312" w:hint="eastAsia"/>
          <w:sz w:val="32"/>
          <w:szCs w:val="32"/>
        </w:rPr>
        <w:t>万元，完成预算的</w:t>
      </w:r>
      <w:r>
        <w:rPr>
          <w:rFonts w:ascii="仿宋_GB2312" w:eastAsia="仿宋_GB2312" w:cs="仿宋_GB2312" w:hAnsi="仿宋_GB2312"/>
          <w:sz w:val="32"/>
          <w:szCs w:val="32"/>
        </w:rPr>
        <w:t>100</w:t>
      </w:r>
      <w:r>
        <w:rPr>
          <w:rFonts w:ascii="仿宋_GB2312" w:eastAsia="仿宋_GB2312" w:cs="仿宋_GB2312" w:hAnsi="仿宋_GB2312" w:hint="eastAsia"/>
          <w:sz w:val="32"/>
          <w:szCs w:val="32"/>
        </w:rPr>
        <w:t>%。通过项目实施，使该项工作良性发展，助其早日脱贫。激发扶贫干部以更高的热情全身心投入到脱贫攻坚的伟大事业，分类指导，分级实施，精准脱贫。</w:t>
      </w:r>
    </w:p>
    <w:p>
      <w:pPr>
        <w:spacing w:line="580" w:lineRule="exact"/>
        <w:rPr>
          <w:rFonts w:ascii="仿宋_GB2312" w:eastAsia="仿宋_GB2312" w:cs="仿宋_GB2312" w:hAnsi="仿宋_GB2312"/>
          <w:sz w:val="32"/>
          <w:szCs w:val="32"/>
        </w:rPr>
      </w:pPr>
    </w:p>
    <w:p>
      <w:pPr>
        <w:pStyle w:val="15"/>
      </w:pPr>
    </w:p>
    <w:p>
      <w:pPr>
        <w:spacing w:line="580" w:lineRule="exact"/>
        <w:ind w:firstLineChars="200" w:firstLine="640"/>
        <w:rPr>
          <w:rFonts w:ascii="仿宋_GB2312" w:eastAsia="仿宋_GB2312" w:cs="仿宋_GB2312" w:hAnsi="仿宋_GB2312" w:hint="eastAsia"/>
          <w:sz w:val="32"/>
          <w:szCs w:val="32"/>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w:t>
            </w:r>
            <w:r>
              <w:rPr>
                <w:rFonts w:ascii="宋体" w:cs="宋体" w:hAnsi="宋体"/>
                <w:color w:val="000000"/>
                <w:kern w:val="0"/>
                <w:sz w:val="36"/>
                <w:szCs w:val="36"/>
              </w:rPr>
              <w:t>20</w:t>
            </w:r>
            <w:r>
              <w:rPr>
                <w:rFonts w:ascii="宋体" w:cs="宋体" w:hAnsi="宋体" w:hint="eastAsia"/>
                <w:color w:val="000000"/>
                <w:kern w:val="0"/>
                <w:sz w:val="36"/>
                <w:szCs w:val="36"/>
              </w:rPr>
              <w:t>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代表工作</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广元市利州区人民代表大会常务委员会办公室</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36.6万元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36.6万元</w:t>
            </w:r>
          </w:p>
        </w:tc>
      </w:tr>
      <w:tr>
        <w:trPr>
          <w:trHeight w:val="332"/>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36.6万元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36.6万元</w:t>
            </w:r>
          </w:p>
        </w:tc>
      </w:tr>
      <w:tr>
        <w:trPr>
          <w:trHeight w:val="1583"/>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90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完成年度计划对4个单位人大工作评议、财政预算审查、规范性文件审查及人大公报等工作。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在规定的时间内完成了对区司法、行政审批局、交通局、扶贫开发局等4单位人大工作评议、财政预算审查、规范性文件审查及人大公报等工作。</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1319"/>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仿宋_GB2312"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pPr>
            <w:r>
              <w:rPr>
                <w:rFonts w:hint="eastAsia"/>
              </w:rPr>
              <w:t>1.拓展</w:t>
            </w:r>
            <w:r>
              <w:t>监督职能</w:t>
            </w:r>
            <w:r>
              <w:rPr>
                <w:rFonts w:hint="eastAsia"/>
              </w:rPr>
              <w:t>。</w:t>
            </w:r>
          </w:p>
          <w:p>
            <w:pPr>
              <w:pStyle w:val="15"/>
            </w:pPr>
            <w:r>
              <w:rPr>
                <w:rFonts w:hint="eastAsia"/>
              </w:rPr>
              <w:t>2.</w:t>
            </w:r>
            <w:r>
              <w:t>发挥代表的主体作用。</w:t>
            </w:r>
          </w:p>
          <w:p>
            <w:pPr>
              <w:tabs>
                <w:tab w:val="right" w:pos="8306"/>
              </w:tabs>
              <w:adjustRightInd w:val="0"/>
              <w:snapToGrid w:val="0"/>
              <w:spacing w:line="240" w:lineRule="atLeast"/>
              <w:rPr>
                <w:rFonts w:ascii="宋体" w:cs="宋体" w:hAnsi="宋体"/>
                <w:color w:val="000000"/>
                <w:sz w:val="24"/>
              </w:rPr>
            </w:pPr>
            <w:r>
              <w:rPr>
                <w:rFonts w:ascii="宋体" w:cs="宋体" w:hAnsi="宋体" w:hint="eastAsia"/>
                <w:color w:val="333333"/>
                <w:szCs w:val="21"/>
                <w:shd w:val="clear" w:color="auto" w:fill="FFFFFF"/>
              </w:rPr>
              <w:t>3.</w:t>
            </w:r>
            <w:r>
              <w:rPr>
                <w:rFonts w:ascii="宋体" w:cs="宋体" w:hAnsi="宋体"/>
                <w:color w:val="333333"/>
                <w:szCs w:val="21"/>
                <w:shd w:val="clear" w:color="auto" w:fill="FFFFFF"/>
              </w:rPr>
              <w:t>推动政府部门的工作。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1.根据年度计划，对区扶贫和开发局、区交通运输局、区司法局局、区行政审批局等4个部门开展工作评议，增强了干部的人大意识、服务意识和依法行政意识。</w:t>
            </w:r>
          </w:p>
          <w:p>
            <w:pPr>
              <w:pStyle w:val="15"/>
            </w:pPr>
            <w:r>
              <w:rPr>
                <w:rFonts w:hint="eastAsia"/>
              </w:rPr>
              <w:t>2.加强预算草案的审查，提高预算编制的科学化和精准化。</w:t>
            </w:r>
          </w:p>
          <w:p>
            <w:r>
              <w:rPr>
                <w:rFonts w:hint="eastAsia"/>
              </w:rPr>
              <w:t>3.常态化开展政府规范性文件审查。</w:t>
            </w:r>
          </w:p>
          <w:p>
            <w:r>
              <w:rPr>
                <w:rFonts w:hint="eastAsia"/>
              </w:rPr>
              <w:t>4.完成常委会议题的公报。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15"/>
            </w:pPr>
            <w:r>
              <w:rPr>
                <w:rFonts w:ascii="宋体" w:cs="宋体" w:hAnsi="宋体" w:hint="eastAsia"/>
                <w:color w:val="000000"/>
              </w:rPr>
              <w:t>1.对区扶贫和开发局、区交通运输局、区司法局局、区行政审批局等4个部门开展了工作评议，在深入调查的基础上，形成了评议调查报告，提出工作改进意见建议17条；听取了政府工作部门负责人年度履职情况报告，开展了满意度测评。2.通过对2021年预算</w:t>
            </w:r>
            <w:r>
              <w:rPr>
                <w:rFonts w:hint="eastAsia"/>
              </w:rPr>
              <w:t>预算草案的审查，提高了预算编制的科学化和精准化。</w:t>
            </w:r>
          </w:p>
          <w:p>
            <w:pPr>
              <w:pStyle w:val="15"/>
              <w:rPr>
                <w:rFonts w:ascii="宋体" w:cs="宋体" w:hAnsi="宋体"/>
                <w:color w:val="333333"/>
              </w:rPr>
            </w:pPr>
            <w:r>
              <w:rPr>
                <w:rFonts w:hint="eastAsia"/>
              </w:rPr>
              <w:t>3</w:t>
            </w:r>
            <w:r>
              <w:rPr>
                <w:rFonts w:ascii="宋体" w:cs="宋体" w:hAnsi="宋体" w:hint="eastAsia"/>
                <w:color w:val="333333"/>
              </w:rPr>
              <w:t>通过调研、走访、座谈等方式完成了《农村宅基地管理办法》等规范性文件的备案审查。</w:t>
            </w:r>
          </w:p>
          <w:p>
            <w:r>
              <w:rPr>
                <w:rFonts w:ascii="宋体" w:cs="宋体" w:hAnsi="宋体" w:hint="eastAsia"/>
                <w:color w:val="333333"/>
                <w:sz w:val="24"/>
              </w:rPr>
              <w:t>4.在规定时间段完成了2020年度</w:t>
            </w:r>
            <w:r>
              <w:rPr>
                <w:rFonts w:hint="eastAsia"/>
              </w:rPr>
              <w:t>常委会议题的公报。</w:t>
            </w:r>
          </w:p>
          <w:p>
            <w:pPr>
              <w:widowControl/>
              <w:jc w:val="center"/>
              <w:textAlignment w:val="center"/>
              <w:rPr>
                <w:rFonts w:ascii="宋体" w:cs="宋体" w:hAnsi="宋体"/>
                <w:color w:val="000000"/>
                <w:sz w:val="24"/>
              </w:rPr>
            </w:pPr>
          </w:p>
        </w:tc>
      </w:tr>
      <w:tr>
        <w:trPr>
          <w:trHeight w:val="1536"/>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仿宋_GB2312" w:cs="宋体" w:hAnsi="宋体"/>
                <w:color w:val="000000"/>
                <w:sz w:val="24"/>
              </w:rPr>
            </w:pPr>
            <w:r>
              <w:rPr>
                <w:rFonts w:ascii="宋体" w:cs="宋体" w:hAnsi="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人民群众参与、了解、监督政府工作及人大工作，提高政府工作人员及代表的履职能力。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通过人大工作评议、财政预算审查、规范性文件审查及人大公报等工作，增强了政府工作人员干部的人大意识、服务意识和依法行政意识及代表的履职能力。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通过人大工作评议、财政预算审查、规范性文件审查及人大公报等工作，增强了政府工作人员干部的人大意识、服务意识和依法行政意识及代表的履职能力。</w:t>
            </w:r>
          </w:p>
        </w:tc>
      </w:tr>
      <w:tr>
        <w:trPr>
          <w:trHeight w:val="1814"/>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人民群众对政府工作及人大工作履职的评价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通过人大工作评议、财政预算审查、规范性文件审查及人大公报等工作，人民群众参与、了解、监督政府工作及人大工作，提升人民群众对政府工作及人大工作的满意度，满意度达到95%。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通过人大工作评议、财政预算审查、规范性文件审查及人大公报等工作的实施完成，人民群众参与、了解、监督政府工作及人大工作，社会满意度达到95%以上。</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441"/>
        <w:gridCol w:w="1316"/>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(2020年度)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人大代表意见办理</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广元市利州区人民代表大会常务委员会办公室</w:t>
            </w:r>
          </w:p>
        </w:tc>
      </w:tr>
      <w:tr>
        <w:trPr>
          <w:trHeight w:val="276"/>
        </w:trPr>
        <w:tc>
          <w:tcPr>
            <w:tcW w:w="4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5万元</w:t>
            </w:r>
          </w:p>
        </w:tc>
      </w:tr>
      <w:tr>
        <w:trPr>
          <w:trHeight w:val="276"/>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5万元</w:t>
            </w:r>
          </w:p>
        </w:tc>
      </w:tr>
      <w:tr>
        <w:trPr>
          <w:trHeight w:val="1511"/>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4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662"/>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加强和改进人大代表建议办理工作，使建议真正落到实处，促进“一府两院”保障和维护人民群众根本利益，解决群众关心的热点、难点问题。</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不断健全办理工作机制，规范办理流程，加大督办力度，形成了办理前和代表会商、办理中与代表沟通、办结后向代表反馈的办理机制，持续提升代表建议办理满意度。区八届人大五次会议共收集代表意见建议52件，全部进行了转办交办，代表满意率达98.07%。</w:t>
            </w:r>
          </w:p>
          <w:p>
            <w:pPr>
              <w:widowControl/>
              <w:jc w:val="center"/>
              <w:textAlignment w:val="center"/>
              <w:rPr>
                <w:rFonts w:ascii="宋体" w:cs="宋体" w:hAnsi="宋体"/>
                <w:color w:val="000000"/>
                <w:sz w:val="24"/>
              </w:rPr>
            </w:pPr>
          </w:p>
        </w:tc>
      </w:tr>
      <w:tr>
        <w:trPr>
          <w:trHeight w:val="1042"/>
        </w:trPr>
        <w:tc>
          <w:tcPr>
            <w:tcW w:w="44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1103"/>
        </w:trPr>
        <w:tc>
          <w:tcPr>
            <w:tcW w:w="441" w:type="dxa"/>
            <w:vMerge/>
            <w:tcBorders>
              <w:left w:val="single" w:sz="4" w:space="0" w:color="000000"/>
              <w:right w:val="single" w:sz="4" w:space="0" w:color="000000"/>
            </w:tcBorders>
            <w:tcMar>
              <w:top w:w="15" w:type="dxa"/>
              <w:left w:w="15" w:type="dxa"/>
              <w:right w:w="15" w:type="dxa"/>
            </w:tcMar>
            <w:vAlign w:val="center"/>
          </w:tc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24"/>
              <w:tabs>
                <w:tab w:val="right" w:leader="dot" w:pos="8296"/>
              </w:tabs>
              <w:snapToGrid w:val="0"/>
              <w:rPr>
                <w:rFonts w:ascii="宋体" w:cs="宋体" w:hAnsi="宋体"/>
                <w:color w:val="000000"/>
                <w:sz w:val="24"/>
              </w:rPr>
            </w:pPr>
            <w:r>
              <w:rPr>
                <w:rFonts w:ascii="宋体" w:cs="宋体" w:hAnsi="宋体" w:hint="eastAsia"/>
                <w:color w:val="000000"/>
                <w:sz w:val="24"/>
              </w:rPr>
              <w:t>以解决问题、增强办理实效为抓手，注重探索和创新代表建议办理工作，促进建议办理工作效率和水平不断提高。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加强和改进人大代表建议办理工作，使建议真正落到实处，促进“一府两院”保障和维护人民群众根本利益，解决群众关心的热点、难点问题。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不断健全办理工作机制，规范办理流程，加大督办力度，形成了办理前和代表会商、办理中与代表沟通、办结后向代表反馈的办理机制，持续提升代表建议办理满意度。区八届人大五次会议共收集代表意见建议52件，全部进行了转办交办，代表满意率达98.07%。</w:t>
            </w:r>
          </w:p>
          <w:p>
            <w:pPr>
              <w:widowControl/>
              <w:jc w:val="center"/>
              <w:textAlignment w:val="center"/>
              <w:rPr>
                <w:rFonts w:ascii="宋体" w:cs="宋体" w:hAnsi="宋体"/>
                <w:color w:val="000000"/>
                <w:sz w:val="24"/>
              </w:rPr>
            </w:pPr>
          </w:p>
        </w:tc>
      </w:tr>
      <w:tr>
        <w:trPr>
          <w:trHeight w:val="1533"/>
        </w:trPr>
        <w:tc>
          <w:tcPr>
            <w:tcW w:w="441" w:type="dxa"/>
            <w:vMerge/>
            <w:tcBorders>
              <w:left w:val="single" w:sz="4" w:space="0" w:color="000000"/>
              <w:right w:val="single" w:sz="4" w:space="0" w:color="000000"/>
            </w:tcBorders>
            <w:tcMar>
              <w:top w:w="15" w:type="dxa"/>
              <w:left w:w="15" w:type="dxa"/>
              <w:right w:w="15" w:type="dxa"/>
            </w:tcMar>
            <w:vAlign w:val="center"/>
          </w:tc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促进“一府两院”保障和维护人民群众根本利益，解决群众关心的热点、难点问题。持续跟踪建议办理，增强人民群众的获得感。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加强和改进人大代表建议办理工作，使建议真正落到实处，促进“一府两院”保障和维护人民群众根本利益，解决群众关心的热点、难点问题。持续跟踪建议办理，增强人民群众的获得感。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持续跟踪建议办理不仅仅满足于承办单位及其工作人员的态度是否热情，更多地关注承办单位最终有没有尽最大努力，切实解决代表所提出的问题和建议，为人民群众排忧解难，办了多少实事，同时人大代表在人民群众中也树立了信任感，激发了他们行权履职的积极性。 </w:t>
            </w:r>
          </w:p>
        </w:tc>
      </w:tr>
      <w:tr>
        <w:trPr>
          <w:trHeight w:val="1127"/>
        </w:trPr>
        <w:tc>
          <w:tcPr>
            <w:tcW w:w="441"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提升代表建议办理满意度。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综合运用视察调研、执法检查、询问、约见等手段，解决群众关心的热点、难点问题，增强人民群众对政府工作及人大工作的满意度。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区八届人大五次会议共收集代表意见建议52件，全部进行了转办交办，代表满意率达98.07%。</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(2020年度)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人大会议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广元市利州区人民代表大会常务委员会办公室</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93.52万元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93.52万元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93.52万元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93.52万元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hint="eastAsia"/>
                <w:color w:val="333333"/>
                <w:shd w:val="clear" w:color="auto" w:fill="FFFFFF"/>
              </w:rPr>
              <w:t>通过规范的资金调度使用，确保人大代表年度培训、调研、考察、视察、监督工作如期完成，发挥人大代表的主体作用。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hint="eastAsia"/>
                <w:color w:val="333333"/>
                <w:shd w:val="clear" w:color="auto" w:fill="FFFFFF"/>
              </w:rPr>
              <w:t>通过规范的资金调度使用，确保人大代表年度培训、调研、考察、视察、监督工作如期完成，发挥人大代表的主体作用。</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80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保障人代会</w:t>
            </w:r>
            <w:r>
              <w:rPr>
                <w:rFonts w:ascii="宋体" w:cs="宋体" w:hAnsi="宋体" w:hint="eastAsia"/>
                <w:color w:val="000000"/>
                <w:sz w:val="24"/>
              </w:rPr>
              <w:t>及常委会</w:t>
            </w:r>
            <w:r>
              <w:rPr>
                <w:rFonts w:ascii="宋体" w:cs="宋体" w:hAnsi="宋体"/>
                <w:color w:val="000000"/>
                <w:sz w:val="24"/>
              </w:rPr>
              <w:t>圆满召开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保障区八届人大</w:t>
            </w:r>
            <w:r>
              <w:rPr>
                <w:rFonts w:ascii="宋体" w:cs="宋体" w:hAnsi="宋体" w:hint="eastAsia"/>
                <w:color w:val="000000"/>
                <w:sz w:val="24"/>
              </w:rPr>
              <w:t>五</w:t>
            </w:r>
            <w:r>
              <w:rPr>
                <w:rFonts w:ascii="宋体" w:cs="宋体" w:hAnsi="宋体"/>
                <w:color w:val="000000"/>
                <w:sz w:val="24"/>
              </w:rPr>
              <w:t>次会议</w:t>
            </w:r>
            <w:r>
              <w:rPr>
                <w:rFonts w:ascii="宋体" w:cs="宋体" w:hAnsi="宋体" w:hint="eastAsia"/>
                <w:color w:val="000000"/>
                <w:sz w:val="24"/>
              </w:rPr>
              <w:t>及常委会</w:t>
            </w:r>
            <w:r>
              <w:rPr>
                <w:rFonts w:ascii="宋体" w:cs="宋体" w:hAnsi="宋体"/>
                <w:color w:val="000000"/>
                <w:sz w:val="24"/>
              </w:rPr>
              <w:t>召开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区八届人大</w:t>
            </w:r>
            <w:r>
              <w:rPr>
                <w:rFonts w:ascii="宋体" w:cs="宋体" w:hAnsi="宋体" w:hint="eastAsia"/>
                <w:color w:val="000000"/>
                <w:sz w:val="24"/>
              </w:rPr>
              <w:t>五</w:t>
            </w:r>
            <w:r>
              <w:rPr>
                <w:rFonts w:ascii="宋体" w:cs="宋体" w:hAnsi="宋体"/>
                <w:color w:val="000000"/>
                <w:sz w:val="24"/>
              </w:rPr>
              <w:t>次会议</w:t>
            </w:r>
            <w:r>
              <w:rPr>
                <w:rFonts w:ascii="宋体" w:cs="宋体" w:hAnsi="宋体" w:hint="eastAsia"/>
                <w:color w:val="000000"/>
                <w:sz w:val="24"/>
              </w:rPr>
              <w:t>及人大常委会</w:t>
            </w:r>
            <w:r>
              <w:rPr>
                <w:rFonts w:ascii="宋体" w:cs="宋体" w:hAnsi="宋体"/>
                <w:color w:val="000000"/>
                <w:sz w:val="24"/>
              </w:rPr>
              <w:t>圆满召开</w:t>
            </w:r>
          </w:p>
        </w:tc>
      </w:tr>
      <w:tr>
        <w:trPr>
          <w:trHeight w:val="112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rPr>
            </w:pPr>
            <w:r>
              <w:rPr>
                <w:rFonts w:ascii="宋体" w:cs="宋体" w:hint="eastAsia"/>
                <w:color w:val="000000"/>
                <w:sz w:val="24"/>
              </w:rPr>
              <w:t>社会效益</w:t>
            </w:r>
          </w:p>
          <w:p>
            <w:pPr>
              <w:widowControl/>
              <w:jc w:val="center"/>
              <w:textAlignment w:val="center"/>
              <w:rPr>
                <w:rFonts w:ascii="宋体" w:cs="宋体" w:hAnsi="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color w:val="000000"/>
                <w:sz w:val="24"/>
              </w:rPr>
              <w:t>通过法定程序抓好区委决策部署的贯彻落实</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把区委重大决策转化为区政府的行政行为和全区人民的自觉行动。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把区委重大决策转化为了区政府的行政行为和全区人民的自觉行动。</w:t>
            </w:r>
          </w:p>
        </w:tc>
      </w:tr>
      <w:tr>
        <w:trPr>
          <w:trHeight w:val="1064"/>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jc w:val="center"/>
            </w:pPr>
            <w:r>
              <w:rPr>
                <w:rFonts w:hint="eastAsia"/>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jc w:val="cente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jc w:val="cente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jc w:val="center"/>
            </w:pPr>
            <w:r>
              <w:rPr>
                <w:rFonts w:hint="eastAsia"/>
              </w:rPr>
              <w:t>社会满意度98％</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w:t>
            </w:r>
            <w:r>
              <w:rPr>
                <w:rFonts w:ascii="宋体" w:cs="宋体" w:hAnsi="宋体"/>
                <w:color w:val="000000"/>
                <w:kern w:val="0"/>
                <w:sz w:val="36"/>
                <w:szCs w:val="36"/>
              </w:rPr>
              <w:t>20</w:t>
            </w:r>
            <w:r>
              <w:rPr>
                <w:rFonts w:ascii="宋体" w:cs="宋体" w:hAnsi="宋体" w:hint="eastAsia"/>
                <w:color w:val="000000"/>
                <w:kern w:val="0"/>
                <w:sz w:val="36"/>
                <w:szCs w:val="36"/>
              </w:rPr>
              <w:t>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人大代表活动视察项目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广元市利州区人民代表大会常务委员会办公室</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w:t>
            </w:r>
            <w:r>
              <w:rPr>
                <w:rFonts w:ascii="宋体" w:cs="宋体" w:hAnsi="宋体"/>
                <w:color w:val="000000"/>
                <w:sz w:val="24"/>
              </w:rPr>
              <w:t>5</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w:t>
            </w:r>
            <w:r>
              <w:rPr>
                <w:rFonts w:ascii="宋体" w:cs="宋体" w:hAnsi="宋体"/>
                <w:color w:val="000000"/>
                <w:sz w:val="24"/>
              </w:rPr>
              <w:t>5</w:t>
            </w:r>
            <w:r>
              <w:rPr>
                <w:rFonts w:ascii="宋体" w:cs="宋体" w:hAnsi="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w:t>
            </w:r>
            <w:r>
              <w:rPr>
                <w:rFonts w:ascii="宋体" w:cs="宋体" w:hAnsi="宋体"/>
                <w:color w:val="000000"/>
                <w:sz w:val="24"/>
              </w:rPr>
              <w:t>5</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w:t>
            </w:r>
            <w:r>
              <w:rPr>
                <w:rFonts w:ascii="宋体" w:cs="宋体" w:hAnsi="宋体"/>
                <w:color w:val="000000"/>
                <w:sz w:val="24"/>
              </w:rPr>
              <w:t>5</w:t>
            </w:r>
            <w:r>
              <w:rPr>
                <w:rFonts w:ascii="宋体" w:cs="宋体" w:hAnsi="宋体" w:hint="eastAsia"/>
                <w:color w:val="000000"/>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32"/>
                <w:szCs w:val="32"/>
              </w:rPr>
            </w:pPr>
            <w:r>
              <w:rPr>
                <w:rFonts w:ascii="宋体" w:cs="宋体" w:hAnsi="宋体" w:hint="eastAsia"/>
                <w:color w:val="000000"/>
                <w:kern w:val="0"/>
                <w:sz w:val="24"/>
              </w:rPr>
              <w:t>保障代表活动的顺利开展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32"/>
                <w:szCs w:val="32"/>
              </w:rPr>
            </w:pPr>
            <w:r>
              <w:rPr>
                <w:rFonts w:ascii="宋体" w:cs="宋体" w:hAnsi="宋体" w:hint="eastAsia"/>
                <w:color w:val="000000"/>
                <w:kern w:val="0"/>
                <w:sz w:val="24"/>
              </w:rPr>
              <w:t>完成了代表视察活动的保障工作。</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保障各类代表视察、调研活动的开展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保障代表活动的顺利开展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全年视察调研活动</w:t>
            </w:r>
            <w:r>
              <w:rPr>
                <w:rFonts w:ascii="宋体" w:cs="宋体" w:hAnsi="宋体" w:hint="eastAsia"/>
                <w:color w:val="000000"/>
                <w:sz w:val="24"/>
              </w:rPr>
              <w:t>高质量完成</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rPr>
            </w:pPr>
            <w:r>
              <w:rPr>
                <w:rFonts w:ascii="宋体" w:cs="宋体" w:hint="eastAsia"/>
                <w:color w:val="000000"/>
                <w:sz w:val="24"/>
              </w:rPr>
              <w:t>社会效益</w:t>
            </w:r>
          </w:p>
          <w:p>
            <w:pPr>
              <w:widowControl/>
              <w:jc w:val="center"/>
              <w:textAlignment w:val="center"/>
              <w:rPr>
                <w:rFonts w:ascii="宋体" w:cs="宋体" w:hAnsi="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积极为全区经济社会发展建言献策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向区委提出各类意见建议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向区委提出各类意见建议</w:t>
            </w:r>
            <w:r>
              <w:rPr>
                <w:rFonts w:ascii="宋体" w:cs="宋体" w:hAnsi="宋体" w:hint="eastAsia"/>
                <w:color w:val="000000"/>
                <w:sz w:val="24"/>
              </w:rPr>
              <w:t>10余条</w:t>
            </w: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bl>
    <w:p>
      <w:pPr>
        <w:spacing w:line="580" w:lineRule="exact"/>
        <w:ind w:left="630"/>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w:t>
            </w:r>
            <w:r>
              <w:rPr>
                <w:rFonts w:ascii="宋体" w:cs="宋体" w:hAnsi="宋体"/>
                <w:color w:val="000000"/>
                <w:kern w:val="0"/>
                <w:sz w:val="36"/>
                <w:szCs w:val="36"/>
              </w:rPr>
              <w:t>20</w:t>
            </w:r>
            <w:r>
              <w:rPr>
                <w:rFonts w:ascii="宋体" w:cs="宋体" w:hAnsi="宋体" w:hint="eastAsia"/>
                <w:color w:val="000000"/>
                <w:kern w:val="0"/>
                <w:sz w:val="36"/>
                <w:szCs w:val="36"/>
              </w:rPr>
              <w:t>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非贫困村第一书记经费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广元市利州区人民代表大会常务委员会办公室</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0</w:t>
            </w:r>
            <w:r>
              <w:rPr>
                <w:rFonts w:ascii="宋体" w:cs="宋体" w:hAnsi="宋体"/>
                <w:color w:val="000000"/>
                <w:sz w:val="24"/>
              </w:rPr>
              <w:t>.5</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0</w:t>
            </w:r>
            <w:r>
              <w:rPr>
                <w:rFonts w:ascii="宋体" w:cs="宋体" w:hAnsi="宋体"/>
                <w:color w:val="000000"/>
                <w:sz w:val="24"/>
              </w:rPr>
              <w:t>.5</w:t>
            </w:r>
            <w:r>
              <w:rPr>
                <w:rFonts w:ascii="宋体" w:cs="宋体" w:hAnsi="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0</w:t>
            </w:r>
            <w:r>
              <w:rPr>
                <w:rFonts w:ascii="宋体" w:cs="宋体" w:hAnsi="宋体"/>
                <w:color w:val="000000"/>
                <w:sz w:val="24"/>
              </w:rPr>
              <w:t>.5</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0</w:t>
            </w:r>
            <w:r>
              <w:rPr>
                <w:rFonts w:ascii="宋体" w:cs="宋体" w:hAnsi="宋体"/>
                <w:color w:val="000000"/>
                <w:sz w:val="24"/>
              </w:rPr>
              <w:t>.5</w:t>
            </w:r>
            <w:r>
              <w:rPr>
                <w:rFonts w:ascii="宋体" w:cs="宋体" w:hAnsi="宋体" w:hint="eastAsia"/>
                <w:color w:val="000000"/>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rPr>
            </w:pPr>
            <w:r>
              <w:rPr>
                <w:rFonts w:ascii="宋体" w:cs="宋体" w:hAnsi="宋体" w:hint="eastAsia"/>
                <w:color w:val="000000"/>
                <w:kern w:val="0"/>
                <w:sz w:val="24"/>
              </w:rPr>
              <w:t>帮助贫困户脱贫</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rPr>
            </w:pPr>
            <w:r>
              <w:rPr>
                <w:rFonts w:ascii="宋体" w:cs="宋体" w:hAnsi="宋体" w:hint="eastAsia"/>
                <w:color w:val="000000"/>
                <w:kern w:val="0"/>
                <w:sz w:val="24"/>
              </w:rPr>
              <w:t>根据不同的家庭状况，制定的不同帮扶计划，为下半年的产业发展，经济增长奠定了坚实的基础</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rPr>
            </w:pPr>
            <w:r>
              <w:rPr>
                <w:rFonts w:ascii="宋体" w:cs="宋体" w:hAnsi="宋体" w:hint="eastAsia"/>
                <w:color w:val="000000"/>
                <w:kern w:val="0"/>
                <w:sz w:val="24"/>
              </w:rPr>
              <w:t>实施帮扶计划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rPr>
            </w:pPr>
            <w:r>
              <w:rPr>
                <w:rFonts w:ascii="宋体" w:cs="宋体" w:hint="eastAsia"/>
                <w:color w:val="000000"/>
                <w:sz w:val="24"/>
              </w:rPr>
              <w:t>到村开展帮扶工作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rPr>
            </w:pPr>
            <w:r>
              <w:rPr>
                <w:rFonts w:ascii="宋体" w:cs="宋体" w:hint="eastAsia"/>
                <w:color w:val="000000"/>
                <w:sz w:val="24"/>
              </w:rPr>
              <w:t>全年到村开展各类帮扶活动100余次</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rPr>
            </w:pPr>
            <w:r>
              <w:rPr>
                <w:rFonts w:ascii="宋体" w:cs="宋体" w:hint="eastAsia"/>
                <w:color w:val="000000"/>
                <w:sz w:val="24"/>
              </w:rPr>
              <w:t>社会效益</w:t>
            </w:r>
          </w:p>
          <w:p>
            <w:pPr>
              <w:widowControl/>
              <w:jc w:val="center"/>
              <w:textAlignment w:val="center"/>
              <w:rPr>
                <w:rFonts w:ascii="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rPr>
            </w:pPr>
            <w:r>
              <w:rPr>
                <w:rFonts w:ascii="宋体" w:hint="eastAsia"/>
                <w:color w:val="000000"/>
                <w:sz w:val="24"/>
              </w:rPr>
              <w:t>帮助贫困群众增收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olor w:val="000000"/>
                <w:sz w:val="24"/>
              </w:rPr>
            </w:pPr>
            <w:r>
              <w:rPr>
                <w:rFonts w:ascii="宋体"/>
                <w:color w:val="000000"/>
                <w:sz w:val="24"/>
              </w:rPr>
              <w:t>帮助贫困群众全年人均增收</w:t>
            </w:r>
            <w:r>
              <w:rPr>
                <w:rFonts w:ascii="宋体" w:hint="eastAsia"/>
                <w:color w:val="000000"/>
                <w:sz w:val="24"/>
              </w:rPr>
              <w:t>300元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olor w:val="000000"/>
                <w:sz w:val="24"/>
              </w:rPr>
            </w:pPr>
            <w:r>
              <w:rPr>
                <w:rFonts w:ascii="宋体"/>
                <w:color w:val="000000"/>
                <w:sz w:val="24"/>
              </w:rPr>
              <w:t>贫困群众全年人均增收</w:t>
            </w:r>
            <w:r>
              <w:rPr>
                <w:rFonts w:ascii="宋体" w:hint="eastAsia"/>
                <w:color w:val="000000"/>
                <w:sz w:val="24"/>
              </w:rPr>
              <w:t>500元</w:t>
            </w: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群众满意度</w:t>
            </w:r>
            <w:r>
              <w:rPr>
                <w:rFonts w:ascii="宋体" w:cs="宋体" w:hAnsi="宋体"/>
                <w:color w:val="000000"/>
                <w:kern w:val="0"/>
                <w:sz w:val="24"/>
              </w:rPr>
              <w:t>100</w:t>
            </w:r>
            <w:r>
              <w:rPr>
                <w:rFonts w:ascii="宋体" w:cs="宋体" w:hAnsi="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群众满意度</w:t>
            </w:r>
            <w:r>
              <w:rPr>
                <w:rFonts w:ascii="宋体" w:cs="宋体" w:hAnsi="宋体"/>
                <w:color w:val="000000"/>
                <w:kern w:val="0"/>
                <w:sz w:val="24"/>
              </w:rPr>
              <w:t>99</w:t>
            </w:r>
            <w:r>
              <w:rPr>
                <w:rFonts w:ascii="宋体" w:cs="宋体" w:hAnsi="宋体" w:hint="eastAsia"/>
                <w:color w:val="000000"/>
                <w:kern w:val="0"/>
                <w:sz w:val="24"/>
              </w:rPr>
              <w:t>％</w:t>
            </w:r>
          </w:p>
        </w:tc>
      </w:tr>
    </w:tbl>
    <w:p>
      <w:pPr>
        <w:spacing w:line="580" w:lineRule="exact"/>
        <w:ind w:left="630"/>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ind w:left="630"/>
        <w:rPr>
          <w:rFonts w:ascii="仿宋_GB2312" w:eastAsia="仿宋_GB2312" w:cs="仿宋_GB2312" w:hAnsi="仿宋_GB2312"/>
          <w:sz w:val="32"/>
          <w:szCs w:val="32"/>
        </w:rPr>
      </w:pPr>
      <w:r>
        <w:rPr>
          <w:rFonts w:ascii="楷体_GB2312" w:eastAsia="楷体_GB2312" w:cs="楷体_GB2312" w:hAnsi="楷体_GB2312" w:hint="eastAsia"/>
          <w:sz w:val="32"/>
          <w:szCs w:val="32"/>
        </w:rPr>
        <w:t>2.部门绩效评价结果。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w:t>
      </w:r>
      <w:r>
        <w:rPr>
          <w:rFonts w:ascii="仿宋_GB2312" w:eastAsia="仿宋_GB2312" w:cs="仿宋_GB2312" w:hAnsi="仿宋_GB2312"/>
          <w:sz w:val="32"/>
          <w:szCs w:val="32"/>
        </w:rPr>
        <w:t>20</w:t>
      </w:r>
      <w:r>
        <w:rPr>
          <w:rFonts w:ascii="仿宋_GB2312" w:eastAsia="仿宋_GB2312" w:cs="仿宋_GB2312" w:hAnsi="仿宋_GB2312" w:hint="eastAsia"/>
          <w:sz w:val="32"/>
          <w:szCs w:val="32"/>
        </w:rPr>
        <w:t>年部门整体支出绩效评价情况开展自评，《广元市利州区人民代表大会常务委员会办公室20</w:t>
      </w:r>
      <w:r>
        <w:rPr>
          <w:rFonts w:ascii="仿宋_GB2312" w:eastAsia="仿宋_GB2312" w:cs="仿宋_GB2312" w:hAnsi="仿宋_GB2312"/>
          <w:sz w:val="32"/>
          <w:szCs w:val="32"/>
        </w:rPr>
        <w:t>20</w:t>
      </w:r>
      <w:r>
        <w:rPr>
          <w:rFonts w:ascii="仿宋_GB2312" w:eastAsia="仿宋_GB2312" w:cs="仿宋_GB2312" w:hAnsi="仿宋_GB2312" w:hint="eastAsia"/>
          <w:sz w:val="32"/>
          <w:szCs w:val="32"/>
        </w:rPr>
        <w:t>年部门整体支出绩效评价报告》见附件</w:t>
      </w:r>
      <w:r>
        <w:rPr>
          <w:rFonts w:ascii="仿宋_GB2312" w:eastAsia="仿宋_GB2312" w:cs="仿宋_GB2312" w:hAnsi="仿宋_GB2312" w:hint="eastAsia"/>
          <w:color w:val="FF0000"/>
          <w:sz w:val="32"/>
          <w:szCs w:val="32"/>
        </w:rPr>
        <w:t>（附件1）</w:t>
      </w:r>
      <w:r>
        <w:rPr>
          <w:rFonts w:ascii="仿宋_GB2312" w:eastAsia="仿宋_GB2312" w:cs="仿宋_GB2312" w:hAnsi="仿宋_GB2312" w:hint="eastAsia"/>
          <w:sz w:val="32"/>
          <w:szCs w:val="32"/>
        </w:rPr>
        <w:t>。</w:t>
      </w:r>
    </w:p>
    <w:p>
      <w:pPr>
        <w:spacing w:line="580" w:lineRule="exact"/>
        <w:ind w:firstLineChars="200" w:firstLine="640"/>
        <w:rPr>
          <w:rFonts w:ascii="仿宋_GB2312" w:eastAsia="仿宋_GB2312"/>
          <w:b/>
          <w:color w:val="000000"/>
          <w:sz w:val="32"/>
          <w:szCs w:val="32"/>
        </w:rPr>
      </w:pPr>
      <w:r>
        <w:rPr>
          <w:rFonts w:ascii="仿宋_GB2312" w:eastAsia="仿宋_GB2312" w:cs="仿宋_GB2312" w:hAnsi="仿宋_GB2312" w:hint="eastAsia"/>
          <w:sz w:val="32"/>
          <w:szCs w:val="32"/>
        </w:rPr>
        <w:t>本部门自行组织对代表工作、人大代表意见办理、人大会议、人大代表活动视察、非贫困村第一书记经费项目开展了绩效评价，《广元市利州区人民代表大会常务委员会办公室项目20</w:t>
      </w:r>
      <w:r>
        <w:rPr>
          <w:rFonts w:ascii="仿宋_GB2312" w:eastAsia="仿宋_GB2312" w:cs="仿宋_GB2312" w:hAnsi="仿宋_GB2312"/>
          <w:sz w:val="32"/>
          <w:szCs w:val="32"/>
        </w:rPr>
        <w:t>20</w:t>
      </w:r>
      <w:r>
        <w:rPr>
          <w:rFonts w:ascii="仿宋_GB2312" w:eastAsia="仿宋_GB2312" w:cs="仿宋_GB2312" w:hAnsi="仿宋_GB2312" w:hint="eastAsia"/>
          <w:sz w:val="32"/>
          <w:szCs w:val="32"/>
        </w:rPr>
        <w:t>年绩效评价报告》见附件</w:t>
      </w:r>
      <w:r>
        <w:rPr>
          <w:rFonts w:ascii="仿宋_GB2312" w:eastAsia="仿宋_GB2312" w:cs="仿宋_GB2312" w:hAnsi="仿宋_GB2312" w:hint="eastAsia"/>
          <w:color w:val="FF0000"/>
          <w:sz w:val="32"/>
          <w:szCs w:val="32"/>
        </w:rPr>
        <w:t>（附件2）</w:t>
      </w:r>
      <w:r>
        <w:rPr>
          <w:rFonts w:ascii="仿宋_GB2312" w:eastAsia="仿宋_GB2312" w:cs="仿宋_GB2312" w:hAnsi="仿宋_GB2312" w:hint="eastAsia"/>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left="0" w:firstLineChars="150" w:firstLine="660"/>
        <w:jc w:val="center"/>
        <w:outlineLvl w:val="0"/>
        <w:rPr>
          <w:rStyle w:val="1Char"/>
          <w:rFonts w:ascii="黑体" w:eastAsia="黑体" w:hAnsi="黑体"/>
          <w:b w:val="0"/>
        </w:rPr>
      </w:pPr>
      <w:bookmarkStart w:id="56" w:name="_Toc15377225"/>
      <w:bookmarkStart w:id="57" w:name="_Toc15396613"/>
      <w:r>
        <w:rPr>
          <w:rFonts w:ascii="黑体" w:eastAsia="黑体" w:hAnsi="黑体" w:hint="eastAsia"/>
          <w:color w:val="000000"/>
          <w:sz w:val="44"/>
          <w:szCs w:val="44"/>
        </w:rPr>
        <w:t>名</w:t>
      </w:r>
      <w:r>
        <w:rPr>
          <w:rStyle w:val="1Char"/>
          <w:rFonts w:ascii="黑体" w:eastAsia="黑体" w:hAnsi="黑体" w:hint="eastAsia"/>
          <w:b w:val="0"/>
        </w:rPr>
        <w:t>词解释</w:t>
      </w:r>
      <w:bookmarkEnd w:id="56"/>
      <w:bookmarkEnd w:id="57"/>
    </w:p>
    <w:p>
      <w:pPr>
        <w:spacing w:line="600" w:lineRule="exact"/>
        <w:jc w:val="left"/>
        <w:rPr>
          <w:rFonts w:ascii="宋体"/>
          <w:b/>
          <w:color w:val="000000"/>
          <w:sz w:val="44"/>
          <w:szCs w:val="44"/>
        </w:rPr>
      </w:pPr>
    </w:p>
    <w:p>
      <w:pPr>
        <w:pStyle w:val="34"/>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34"/>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pPr>
        <w:pStyle w:val="34"/>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pPr>
        <w:pStyle w:val="34"/>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p>
    <w:p>
      <w:pPr>
        <w:pStyle w:val="34"/>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4"/>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pPr>
        <w:pStyle w:val="34"/>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34"/>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2020</w:t>
      </w:r>
      <w:r>
        <w:rPr>
          <w:rFonts w:ascii="仿宋" w:eastAsia="仿宋" w:hAnsi="仿宋" w:hint="eastAsia"/>
          <w:b/>
          <w:color w:val="000000"/>
          <w:sz w:val="32"/>
          <w:szCs w:val="32"/>
        </w:rPr>
        <w:t>年政府收支分类科目》增减内容。）</w:t>
      </w:r>
    </w:p>
    <w:p>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p>
    <w:p>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pPr>
        <w:pStyle w:val="34"/>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4"/>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4"/>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pPr>
        <w:pStyle w:val="34"/>
        <w:spacing w:line="560" w:lineRule="exact"/>
        <w:ind w:firstLineChars="200" w:firstLine="640"/>
        <w:rPr>
          <w:rFonts w:ascii="仿宋_GB2312" w:eastAsia="仿宋_GB2312" w:cs="黑体"/>
          <w:sz w:val="32"/>
          <w:szCs w:val="32"/>
        </w:rPr>
      </w:pPr>
    </w:p>
    <w:p>
      <w:pPr>
        <w:ind w:firstLineChars="200" w:firstLine="640"/>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9"/>
    </w:p>
    <w:p>
      <w:pPr>
        <w:spacing w:line="600" w:lineRule="exact"/>
        <w:jc w:val="left"/>
        <w:outlineLvl w:val="0"/>
        <w:rPr>
          <w:rFonts w:ascii="方正小标宋简体" w:eastAsia="方正小标宋简体" w:cs="方正小标宋简体" w:hAnsi="方正小标宋简体"/>
          <w:sz w:val="32"/>
          <w:szCs w:val="32"/>
        </w:rPr>
      </w:pPr>
      <w:r>
        <w:rPr>
          <w:rFonts w:ascii="黑体" w:eastAsia="黑体" w:cs="黑体" w:hAnsi="黑体" w:hint="eastAsia"/>
          <w:sz w:val="32"/>
          <w:szCs w:val="32"/>
        </w:rPr>
        <w:t>附件1</w:t>
      </w:r>
    </w:p>
    <w:p>
      <w:pPr>
        <w:spacing w:line="580" w:lineRule="exact"/>
        <w:jc w:val="center"/>
        <w:rPr>
          <w:rFonts w:ascii="方正小标宋简体" w:eastAsia="方正小标宋简体" w:cs="方正小标宋简体" w:hAnsi="方正小标宋简体"/>
          <w:sz w:val="44"/>
          <w:szCs w:val="44"/>
        </w:rPr>
      </w:pPr>
    </w:p>
    <w:p>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广元市利州区人民代表大会常务委员会办公室</w:t>
      </w:r>
      <w:r>
        <w:rPr>
          <w:rFonts w:ascii="方正小标宋简体" w:eastAsia="方正小标宋简体" w:hAnsi="宋体"/>
          <w:color w:val="000000"/>
          <w:kern w:val="0"/>
          <w:sz w:val="40"/>
          <w:szCs w:val="44"/>
        </w:rPr>
        <w:t>2020年部门</w:t>
      </w:r>
      <w:r>
        <w:rPr>
          <w:rFonts w:ascii="方正小标宋简体" w:eastAsia="方正小标宋简体" w:hAnsi="宋体" w:hint="eastAsia"/>
          <w:color w:val="000000"/>
          <w:kern w:val="0"/>
          <w:sz w:val="40"/>
          <w:szCs w:val="44"/>
          <w:lang w:val="zh-CN"/>
        </w:rPr>
        <w:t>整体支出绩效评价报告</w:t>
      </w:r>
    </w:p>
    <w:p>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pPr>
        <w:widowControl/>
        <w:adjustRightInd w:val="0"/>
        <w:snapToGrid w:val="0"/>
        <w:spacing w:line="580" w:lineRule="exact"/>
        <w:ind w:firstLineChars="200" w:firstLine="480"/>
        <w:contextualSpacing/>
        <w:jc w:val="left"/>
        <w:rPr>
          <w:rFonts w:ascii="黑体" w:eastAsia="黑体" w:cs="宋体" w:hAnsi="宋体"/>
          <w:color w:val="000000"/>
          <w:kern w:val="0"/>
          <w:sz w:val="24"/>
          <w:szCs w:val="32"/>
          <w:shd w:val="clear" w:color="auto" w:fill="FFFFFF"/>
        </w:rPr>
      </w:pP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lang w:val="zh-CN"/>
        </w:rPr>
      </w:pPr>
      <w:r>
        <w:rPr>
          <w:rFonts w:ascii="黑体" w:eastAsia="黑体" w:cs="宋体" w:hAnsi="宋体" w:hint="eastAsia"/>
          <w:color w:val="000000"/>
          <w:kern w:val="0"/>
          <w:sz w:val="32"/>
          <w:szCs w:val="32"/>
          <w:shd w:val="clear" w:color="auto" w:fill="FFFFFF"/>
        </w:rPr>
        <w:t>一、</w:t>
      </w:r>
      <w:r>
        <w:rPr>
          <w:rFonts w:ascii="黑体" w:eastAsia="黑体" w:cs="宋体" w:hAnsi="宋体" w:hint="eastAsia"/>
          <w:color w:val="000000"/>
          <w:kern w:val="0"/>
          <w:sz w:val="32"/>
          <w:szCs w:val="32"/>
          <w:shd w:val="clear" w:color="auto" w:fill="FFFFFF"/>
          <w:lang w:val="zh-CN"/>
        </w:rPr>
        <w:t>部门（单位）概况</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（一）机构组成。</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 w:eastAsia="仿宋" w:cs="仿宋_GB2312" w:hAnsi="仿宋" w:hint="eastAsia"/>
          <w:sz w:val="32"/>
          <w:szCs w:val="32"/>
        </w:rPr>
        <w:t>广元市利州区人民代表大会常务委员会办公室是区人大常委会的服务机构，本单位属独立编制机构，属一级预算单位。</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（二）机构职能。</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1</w:t>
      </w:r>
      <w:r>
        <w:rPr>
          <w:rFonts w:ascii="仿宋" w:eastAsia="仿宋" w:hAnsi="仿宋" w:hint="eastAsia"/>
          <w:bCs/>
          <w:color w:val="000000"/>
          <w:sz w:val="32"/>
          <w:szCs w:val="32"/>
        </w:rPr>
        <w:t>、承担代表大会会议、常委会会议、主任会议和常委党组会议的筹备和会务工作；负责区人大常委会工作报告；有关文件和领导同志讲话稿的起草工作；负责区人大常委会的文电、档案、保密、文印工作。</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2</w:t>
      </w:r>
      <w:r>
        <w:rPr>
          <w:rFonts w:ascii="仿宋" w:eastAsia="仿宋" w:hAnsi="仿宋" w:hint="eastAsia"/>
          <w:bCs/>
          <w:color w:val="000000"/>
          <w:sz w:val="32"/>
          <w:szCs w:val="32"/>
        </w:rPr>
        <w:t>、根据主任会议决定，拟定有关议案和决议、决定草案。</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3</w:t>
      </w:r>
      <w:r>
        <w:rPr>
          <w:rFonts w:ascii="仿宋" w:eastAsia="仿宋" w:hAnsi="仿宋" w:hint="eastAsia"/>
          <w:bCs/>
          <w:color w:val="000000"/>
          <w:sz w:val="32"/>
          <w:szCs w:val="32"/>
        </w:rPr>
        <w:t>、承担区人大常委会会议公报及机关简报等的编写工作。</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4</w:t>
      </w:r>
      <w:r>
        <w:rPr>
          <w:rFonts w:ascii="仿宋" w:eastAsia="仿宋" w:hAnsi="仿宋" w:hint="eastAsia"/>
          <w:bCs/>
          <w:color w:val="000000"/>
          <w:sz w:val="32"/>
          <w:szCs w:val="32"/>
        </w:rPr>
        <w:t>、加强同市、区新闻单位的联系，负责区人大常委会对外宣传报道工作。</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5</w:t>
      </w:r>
      <w:r>
        <w:rPr>
          <w:rFonts w:ascii="仿宋" w:eastAsia="仿宋" w:hAnsi="仿宋" w:hint="eastAsia"/>
          <w:bCs/>
          <w:color w:val="000000"/>
          <w:sz w:val="32"/>
          <w:szCs w:val="32"/>
        </w:rPr>
        <w:t>、负责区人大常委会机关人事、财会管理、学习、教育行政事务工作，离退休人员的管理、服务工作；接待其他人大的来访。</w:t>
      </w:r>
    </w:p>
    <w:p>
      <w:pPr>
        <w:pStyle w:val="17"/>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bCs/>
          <w:color w:val="000000"/>
          <w:sz w:val="32"/>
          <w:szCs w:val="32"/>
        </w:rPr>
        <w:t>6</w:t>
      </w:r>
      <w:r>
        <w:rPr>
          <w:rFonts w:ascii="仿宋" w:eastAsia="仿宋" w:hAnsi="仿宋" w:hint="eastAsia"/>
          <w:bCs/>
          <w:color w:val="000000"/>
          <w:sz w:val="32"/>
          <w:szCs w:val="32"/>
        </w:rPr>
        <w:t>、负责上级人大转办的人大代表及人民群众来信来访工作。</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（三）人员概况。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本单位共有编制数35名，其中行政编制</w:t>
      </w:r>
      <w:r>
        <w:rPr>
          <w:rFonts w:ascii="仿宋" w:eastAsia="仿宋" w:cs="仿宋_GB2312" w:hAnsi="仿宋"/>
          <w:sz w:val="32"/>
          <w:szCs w:val="32"/>
        </w:rPr>
        <w:t>22</w:t>
      </w:r>
      <w:r>
        <w:rPr>
          <w:rFonts w:ascii="仿宋" w:eastAsia="仿宋" w:cs="仿宋_GB2312" w:hAnsi="仿宋" w:hint="eastAsia"/>
          <w:sz w:val="32"/>
          <w:szCs w:val="32"/>
        </w:rPr>
        <w:t>名、事业编制6名、机关工勤</w:t>
      </w:r>
      <w:r>
        <w:rPr>
          <w:rFonts w:ascii="仿宋" w:eastAsia="仿宋" w:cs="仿宋_GB2312" w:hAnsi="仿宋"/>
          <w:sz w:val="32"/>
          <w:szCs w:val="32"/>
        </w:rPr>
        <w:t>2</w:t>
      </w:r>
      <w:r>
        <w:rPr>
          <w:rFonts w:ascii="仿宋" w:eastAsia="仿宋" w:cs="仿宋_GB2312" w:hAnsi="仿宋" w:hint="eastAsia"/>
          <w:sz w:val="32"/>
          <w:szCs w:val="32"/>
        </w:rPr>
        <w:t>名、工勤控制数人员</w:t>
      </w:r>
      <w:r>
        <w:rPr>
          <w:rFonts w:ascii="仿宋" w:eastAsia="仿宋" w:cs="仿宋_GB2312" w:hAnsi="仿宋"/>
          <w:sz w:val="32"/>
          <w:szCs w:val="32"/>
        </w:rPr>
        <w:t>5</w:t>
      </w:r>
      <w:r>
        <w:rPr>
          <w:rFonts w:ascii="仿宋" w:eastAsia="仿宋" w:cs="仿宋_GB2312" w:hAnsi="仿宋" w:hint="eastAsia"/>
          <w:sz w:val="32"/>
          <w:szCs w:val="32"/>
        </w:rPr>
        <w:t>名。</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二、部门财政资金收支情况</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（一）部门财政资金收入情况。</w:t>
      </w:r>
    </w:p>
    <w:p>
      <w:pPr>
        <w:spacing w:line="580" w:lineRule="exact"/>
        <w:ind w:firstLineChars="200" w:firstLine="640"/>
        <w:rPr>
          <w:rFonts w:ascii="仿宋" w:eastAsia="仿宋" w:hAnsi="仿宋"/>
          <w:color w:val="000000"/>
          <w:sz w:val="32"/>
          <w:szCs w:val="32"/>
        </w:rPr>
      </w:pPr>
      <w:r>
        <w:rPr>
          <w:rFonts w:ascii="仿宋" w:eastAsia="仿宋" w:cs="仿宋" w:hAnsi="仿宋"/>
          <w:color w:val="000000"/>
          <w:sz w:val="32"/>
          <w:szCs w:val="32"/>
        </w:rPr>
        <w:t>2020</w:t>
      </w:r>
      <w:r>
        <w:rPr>
          <w:rFonts w:ascii="仿宋" w:eastAsia="仿宋" w:cs="仿宋" w:hAnsi="仿宋" w:hint="eastAsia"/>
          <w:color w:val="000000"/>
          <w:sz w:val="32"/>
          <w:szCs w:val="32"/>
        </w:rPr>
        <w:t>年财政资金收入</w:t>
      </w:r>
      <w:r>
        <w:rPr>
          <w:rFonts w:ascii="仿宋" w:eastAsia="仿宋" w:cs="仿宋" w:hAnsi="仿宋"/>
          <w:color w:val="000000"/>
          <w:sz w:val="32"/>
          <w:szCs w:val="32"/>
        </w:rPr>
        <w:t>1079.95</w:t>
      </w:r>
      <w:r>
        <w:rPr>
          <w:rFonts w:ascii="仿宋" w:eastAsia="仿宋" w:cs="仿宋" w:hAnsi="仿宋" w:hint="eastAsia"/>
          <w:color w:val="000000"/>
          <w:sz w:val="32"/>
          <w:szCs w:val="32"/>
        </w:rPr>
        <w:t>万元。</w:t>
      </w:r>
    </w:p>
    <w:p>
      <w:pPr>
        <w:spacing w:line="580" w:lineRule="exact"/>
        <w:ind w:firstLineChars="200" w:firstLine="640"/>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（二）部门财政资金支出情况。</w:t>
      </w:r>
    </w:p>
    <w:p>
      <w:pPr>
        <w:spacing w:line="580" w:lineRule="exact"/>
        <w:ind w:firstLineChars="200" w:firstLine="640"/>
        <w:rPr>
          <w:rFonts w:ascii="仿宋" w:eastAsia="仿宋" w:hAnsi="仿宋"/>
          <w:color w:val="000000"/>
          <w:sz w:val="32"/>
          <w:szCs w:val="32"/>
        </w:rPr>
      </w:pPr>
      <w:r>
        <w:rPr>
          <w:rFonts w:ascii="仿宋" w:eastAsia="仿宋" w:cs="仿宋" w:hAnsi="仿宋"/>
          <w:color w:val="000000"/>
          <w:sz w:val="32"/>
          <w:szCs w:val="32"/>
        </w:rPr>
        <w:t>2020</w:t>
      </w:r>
      <w:r>
        <w:rPr>
          <w:rFonts w:ascii="仿宋" w:eastAsia="仿宋" w:cs="仿宋" w:hAnsi="仿宋" w:hint="eastAsia"/>
          <w:color w:val="000000"/>
          <w:sz w:val="32"/>
          <w:szCs w:val="32"/>
        </w:rPr>
        <w:t>年财政资金支出</w:t>
      </w:r>
      <w:r>
        <w:rPr>
          <w:rFonts w:ascii="仿宋" w:eastAsia="仿宋" w:cs="仿宋" w:hAnsi="仿宋"/>
          <w:color w:val="000000"/>
          <w:sz w:val="32"/>
          <w:szCs w:val="32"/>
        </w:rPr>
        <w:t>1106.09</w:t>
      </w:r>
      <w:r>
        <w:rPr>
          <w:rFonts w:ascii="仿宋" w:eastAsia="仿宋" w:cs="仿宋" w:hAnsi="仿宋" w:hint="eastAsia"/>
          <w:color w:val="000000"/>
          <w:sz w:val="32"/>
          <w:szCs w:val="32"/>
        </w:rPr>
        <w:t>万元。</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三、部门整体预算绩效管理情况</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（一）部门预算管理。</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认真制定绩效目标、计划目标完成情况、预算编制准确、严格控制支出、预算动态调整、按进度执行、预算完成情况良好，无违规事件。</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（二）结果应用情况。</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我们对预算执行情况进行了详细地自评、按程序进行对外公示公开，社会满意度良好。</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四、评价结论及建议</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（一）评价结论</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_GB2312" w:hint="eastAsia"/>
          <w:sz w:val="32"/>
          <w:szCs w:val="32"/>
        </w:rPr>
        <w:t>按照预算绩效管理要求，本部门对20</w:t>
      </w:r>
      <w:r>
        <w:rPr>
          <w:rFonts w:ascii="仿宋_GB2312" w:eastAsia="仿宋_GB2312" w:cs="仿宋_GB2312" w:hAnsi="仿宋_GB2312"/>
          <w:sz w:val="32"/>
          <w:szCs w:val="32"/>
        </w:rPr>
        <w:t>20</w:t>
      </w:r>
      <w:r>
        <w:rPr>
          <w:rFonts w:ascii="仿宋_GB2312" w:eastAsia="仿宋_GB2312" w:cs="仿宋_GB2312" w:hAnsi="仿宋_GB2312" w:hint="eastAsia"/>
          <w:sz w:val="32"/>
          <w:szCs w:val="32"/>
        </w:rPr>
        <w:t>年整体支出开展了绩效自评。</w:t>
      </w:r>
      <w:r>
        <w:rPr>
          <w:rFonts w:ascii="仿宋" w:eastAsia="仿宋" w:hAnsi="仿宋" w:hint="eastAsia"/>
          <w:color w:val="000000"/>
          <w:sz w:val="32"/>
          <w:szCs w:val="32"/>
        </w:rPr>
        <w:t>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（二）存在问题。</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绩效管理工作中创新不够，方法和制度上都还有待进一步加强。</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（三）改进建议。</w:t>
      </w:r>
    </w:p>
    <w:p>
      <w:pPr>
        <w:spacing w:line="580" w:lineRule="exact"/>
        <w:ind w:firstLineChars="200" w:firstLine="640"/>
        <w:rPr>
          <w:rFonts w:ascii="仿宋" w:eastAsia="仿宋" w:cs="仿宋" w:hAnsi="仿宋"/>
          <w:sz w:val="32"/>
          <w:szCs w:val="32"/>
        </w:rPr>
      </w:pPr>
      <w:r>
        <w:rPr>
          <w:rFonts w:ascii="仿宋" w:eastAsia="仿宋" w:cs="仿宋" w:hAnsi="仿宋" w:hint="eastAsia"/>
          <w:sz w:val="32"/>
          <w:szCs w:val="32"/>
        </w:rPr>
        <w:t>加强项目精细化管理，向管理要质量、要效益，进一步提升财政资金的使用效益。</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spacing w:line="580" w:lineRule="exact"/>
        <w:rPr>
          <w:rFonts w:ascii="仿宋_GB2312" w:eastAsia="仿宋_GB2312" w:cs="仿宋_GB2312" w:hAnsi="仿宋_GB2312"/>
          <w:sz w:val="32"/>
          <w:szCs w:val="32"/>
        </w:rPr>
      </w:pPr>
      <w:r>
        <w:rPr>
          <w:rFonts w:ascii="黑体" w:eastAsia="黑体" w:cs="黑体" w:hAnsi="黑体" w:hint="eastAsia"/>
          <w:sz w:val="32"/>
          <w:szCs w:val="32"/>
        </w:rPr>
        <w:t>附件2</w:t>
      </w:r>
    </w:p>
    <w:p>
      <w:pPr>
        <w:spacing w:line="580" w:lineRule="exact"/>
        <w:ind w:firstLineChars="200" w:firstLine="640"/>
        <w:rPr>
          <w:rFonts w:ascii="仿宋_GB2312" w:eastAsia="仿宋_GB2312" w:cs="仿宋_GB2312" w:hAnsi="仿宋_GB2312"/>
          <w:sz w:val="32"/>
          <w:szCs w:val="32"/>
        </w:rPr>
      </w:pP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人大代表工作20</w:t>
      </w:r>
      <w:r>
        <w:rPr>
          <w:rFonts w:ascii="方正小标宋简体" w:eastAsia="方正小标宋简体" w:hAnsi="宋体"/>
          <w:color w:val="000000"/>
          <w:kern w:val="0"/>
          <w:sz w:val="44"/>
          <w:szCs w:val="44"/>
        </w:rPr>
        <w:t>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spacing w:line="580" w:lineRule="exact"/>
        <w:ind w:firstLineChars="200" w:firstLine="640"/>
        <w:rPr>
          <w:rFonts w:ascii="仿宋_GB2312" w:hAnsi="宋体"/>
          <w:sz w:val="32"/>
          <w:szCs w:val="32"/>
        </w:rPr>
      </w:pPr>
      <w:r>
        <w:rPr>
          <w:rFonts w:ascii="仿宋_GB2312" w:eastAsia="仿宋_GB2312" w:hAnsi="宋体" w:hint="eastAsia"/>
          <w:sz w:val="32"/>
          <w:szCs w:val="32"/>
          <w:lang w:val="zh-CN"/>
        </w:rPr>
        <w:t>该项目主要是为了对</w:t>
      </w:r>
      <w:r>
        <w:rPr>
          <w:rFonts w:ascii="仿宋_GB2312" w:eastAsia="仿宋_GB2312" w:hAnsi="宋体" w:hint="eastAsia"/>
          <w:sz w:val="32"/>
          <w:szCs w:val="32"/>
        </w:rPr>
        <w:t>年度计划内</w:t>
      </w:r>
      <w:r>
        <w:rPr>
          <w:rFonts w:ascii="仿宋_GB2312" w:eastAsia="仿宋_GB2312" w:hAnsi="宋体" w:hint="eastAsia"/>
          <w:sz w:val="32"/>
          <w:szCs w:val="32"/>
          <w:lang w:val="zh-CN"/>
        </w:rPr>
        <w:t>4个单位人大工作评议、财政预算审查、规范性文件审查及人大公报等工作，</w:t>
      </w:r>
      <w:r>
        <w:rPr>
          <w:rFonts w:ascii="仿宋_GB2312" w:eastAsia="仿宋_GB2312" w:hAnsi="宋体" w:hint="eastAsia"/>
          <w:sz w:val="32"/>
          <w:szCs w:val="32"/>
        </w:rPr>
        <w:t>通过项目实施，拓展人大监督职能、发挥代表的主体作用、推动政府部门的工作，增强了干部的人大意识、服务意识和依法行政意识。</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项目资金严格实行先申报，后批复执行。资金来源1</w:t>
      </w:r>
      <w:r>
        <w:rPr>
          <w:rFonts w:ascii="仿宋_GB2312" w:eastAsia="仿宋_GB2312" w:hAnsi="宋体"/>
          <w:sz w:val="32"/>
          <w:szCs w:val="32"/>
          <w:lang w:val="zh-CN"/>
        </w:rPr>
        <w:t>00</w:t>
      </w:r>
      <w:r>
        <w:rPr>
          <w:rFonts w:ascii="仿宋_GB2312" w:eastAsia="仿宋_GB2312" w:hAnsi="宋体" w:hint="eastAsia"/>
          <w:sz w:val="32"/>
          <w:szCs w:val="32"/>
          <w:lang w:val="zh-CN"/>
        </w:rPr>
        <w:t>%财政预算，到目前资金全部到位，我单位严格执行项目财经纪律，财务管理内控制度健全，资金使用规范，账务处理及时，会计核算规范等。</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cs="仿宋_GB2312" w:hint="eastAsia"/>
          <w:sz w:val="32"/>
          <w:szCs w:val="32"/>
        </w:rPr>
        <w:t>精心组织、提早部署、周密安排，保证项目顺利实施。</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严格执行相关法律法规及项目管理制度，实行项目实施前、后公示制规定。</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项目全年预算数36.6万元，执行数为36.6万元，完成预算的100%。通过项目实施，保障了人大工作评议、财政预算审查、规范性文件审查及人大公报等工作完成。</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pStyle w:val="15"/>
      </w:pP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经评价，该项目总体完成情况良好，资金绩效目标明确，预算编制合理，项目和资金管理较为落实，整体项目效果良好。该项目总得分为100分，自评得分99分。</w:t>
      </w:r>
    </w:p>
    <w:p>
      <w:pPr>
        <w:widowControl/>
        <w:jc w:val="left"/>
        <w:rPr>
          <w:rFonts w:ascii="仿宋_GB2312" w:eastAsia="仿宋_GB2312"/>
          <w:b/>
          <w:color w:val="000000"/>
          <w:sz w:val="32"/>
          <w:szCs w:val="32"/>
        </w:rPr>
      </w:pPr>
    </w:p>
    <w:p>
      <w:pPr>
        <w:pStyle w:val="15"/>
      </w:pPr>
    </w:p>
    <w:p>
      <w:pPr>
        <w:spacing w:line="580" w:lineRule="exact"/>
        <w:rPr>
          <w:rFonts w:ascii="仿宋_GB2312" w:eastAsia="仿宋_GB2312" w:cs="仿宋_GB2312" w:hAnsi="仿宋_GB2312"/>
          <w:sz w:val="32"/>
          <w:szCs w:val="32"/>
        </w:rPr>
      </w:pPr>
      <w:r>
        <w:rPr>
          <w:rFonts w:ascii="黑体" w:eastAsia="黑体" w:cs="黑体" w:hAnsi="黑体" w:hint="eastAsia"/>
          <w:sz w:val="32"/>
          <w:szCs w:val="32"/>
        </w:rPr>
        <w:t>附件2</w:t>
      </w:r>
    </w:p>
    <w:p>
      <w:pPr>
        <w:spacing w:line="580" w:lineRule="exact"/>
        <w:ind w:firstLineChars="200" w:firstLine="640"/>
        <w:rPr>
          <w:rFonts w:ascii="仿宋_GB2312" w:eastAsia="仿宋_GB2312" w:cs="仿宋_GB2312" w:hAnsi="仿宋_GB2312"/>
          <w:sz w:val="32"/>
          <w:szCs w:val="32"/>
        </w:rPr>
      </w:pP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人大代表意见办理</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2020年</w:t>
      </w:r>
      <w:r>
        <w:rPr>
          <w:rFonts w:ascii="方正小标宋简体" w:eastAsia="方正小标宋简体" w:hAnsi="宋体" w:hint="eastAsia"/>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积极组织了代表参加相关会议、视察、调研等活动，使更多代表知晓本地大政方针，了解经济和社会发展打下基础，为代表建言献策“预热”；综合运用视察调研、执法检查、询问、约见等手段，加强和改进人大代表建议办理工作，使建议真正落到实处，促进“一府两院”保障和维护人民群众根本利益，解决群众关心的热点、难点问题。</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根据年初预算，资金已全部安排到位，1</w:t>
      </w:r>
      <w:r>
        <w:rPr>
          <w:rFonts w:ascii="仿宋_GB2312" w:eastAsia="仿宋_GB2312" w:hAnsi="宋体"/>
          <w:sz w:val="32"/>
          <w:szCs w:val="32"/>
          <w:lang w:val="zh-CN"/>
        </w:rPr>
        <w:t>00</w:t>
      </w:r>
      <w:r>
        <w:rPr>
          <w:rFonts w:ascii="仿宋_GB2312" w:eastAsia="仿宋_GB2312" w:hAnsi="宋体" w:hint="eastAsia"/>
          <w:sz w:val="32"/>
          <w:szCs w:val="32"/>
          <w:lang w:val="zh-CN"/>
        </w:rPr>
        <w:t>%区级财政资金，在资金使用和项目组织管理上都按照相关管理和规定执行，没有因管理不善出现资金上的损失。</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单位财务管理制度健全，严格执行财务管理制度，账务处理及时，会计核算规范。</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严格按照年初预算执行，按照相关法律法规及项目管理制度，实行项目实施前、后公示制规定。</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lang w:val="zh-CN"/>
        </w:rPr>
        <w:t>不断健全办理工作机制，规范办理流程，加大督办力度，形成了办理前和代表会商、办理中与代表沟通、办结后向代表反馈的办理机制，持续提升代表建议办理满意度。区八届人大五次会议共收集代表意见建议52件，全部进行了转办交办，代表满意率达98.07%</w:t>
      </w:r>
      <w:r>
        <w:rPr>
          <w:rFonts w:ascii="仿宋_GB2312" w:eastAsia="仿宋_GB2312" w:hAnsi="宋体" w:hint="eastAsia"/>
          <w:sz w:val="32"/>
          <w:szCs w:val="32"/>
        </w:rPr>
        <w:t>。</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lang w:val="zh-CN"/>
        </w:rPr>
        <w:t>从项目经济效益上分析，根据财政预算项目资金安排，规模上没有突破，工作指标圆满完成。服务对象满意度达98.07%，</w:t>
      </w:r>
      <w:r>
        <w:rPr>
          <w:rFonts w:ascii="仿宋_GB2312" w:eastAsia="仿宋_GB2312" w:hAnsi="宋体" w:hint="eastAsia"/>
          <w:sz w:val="32"/>
          <w:szCs w:val="32"/>
        </w:rPr>
        <w:t>提升了人民群众对政府工作及人大工作的满意度。</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pStyle w:val="15"/>
      </w:pP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经评价，该项目总体完成情况良好，资金绩效目标明确，预算编制合理，项目和资金管理较为落实，整体项目效果良好。该项目总得分为100分，自评得分99分。</w:t>
      </w:r>
    </w:p>
    <w:p>
      <w:pPr>
        <w:pStyle w:val="15"/>
        <w:rPr>
          <w:lang w:val="zh-CN"/>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spacing w:line="580" w:lineRule="exact"/>
        <w:rPr>
          <w:rFonts w:ascii="仿宋_GB2312" w:eastAsia="仿宋_GB2312" w:cs="仿宋_GB2312" w:hAnsi="仿宋_GB2312"/>
          <w:sz w:val="32"/>
          <w:szCs w:val="32"/>
        </w:rPr>
      </w:pPr>
      <w:r>
        <w:rPr>
          <w:rFonts w:ascii="黑体" w:eastAsia="黑体" w:cs="黑体" w:hAnsi="黑体" w:hint="eastAsia"/>
          <w:sz w:val="32"/>
          <w:szCs w:val="32"/>
        </w:rPr>
        <w:t>附件2</w:t>
      </w:r>
    </w:p>
    <w:p>
      <w:pPr>
        <w:spacing w:line="580" w:lineRule="exact"/>
        <w:ind w:firstLineChars="200" w:firstLine="640"/>
        <w:rPr>
          <w:rFonts w:ascii="仿宋_GB2312" w:eastAsia="仿宋_GB2312" w:cs="仿宋_GB2312" w:hAnsi="仿宋_GB2312"/>
          <w:sz w:val="32"/>
          <w:szCs w:val="32"/>
        </w:rPr>
      </w:pP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人大会议2020年</w:t>
      </w:r>
      <w:r>
        <w:rPr>
          <w:rFonts w:ascii="方正小标宋简体" w:eastAsia="方正小标宋简体" w:hAnsi="宋体" w:hint="eastAsia"/>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1．该项目主管部门为区人大常委会办公室，负责该项目具体实施，过程监管，事后评价。</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“人大会议”项目为部门常年项目，按照本部门职能职责，经费主要用于召开八届人大</w:t>
      </w:r>
      <w:r>
        <w:rPr>
          <w:rFonts w:ascii="仿宋_GB2312" w:eastAsia="仿宋_GB2312" w:hAnsi="宋体" w:hint="eastAsia"/>
          <w:sz w:val="32"/>
          <w:szCs w:val="32"/>
        </w:rPr>
        <w:t>五</w:t>
      </w:r>
      <w:r>
        <w:rPr>
          <w:rFonts w:ascii="仿宋_GB2312" w:eastAsia="仿宋_GB2312" w:hAnsi="宋体" w:hint="eastAsia"/>
          <w:sz w:val="32"/>
          <w:szCs w:val="32"/>
          <w:lang w:val="zh-CN"/>
        </w:rPr>
        <w:t>次会议</w:t>
      </w:r>
      <w:r>
        <w:rPr>
          <w:rFonts w:ascii="仿宋_GB2312" w:eastAsia="仿宋_GB2312" w:hAnsi="宋体" w:hint="eastAsia"/>
          <w:sz w:val="32"/>
          <w:szCs w:val="32"/>
        </w:rPr>
        <w:t>常委会</w:t>
      </w:r>
      <w:r>
        <w:rPr>
          <w:rFonts w:ascii="仿宋_GB2312" w:eastAsia="仿宋_GB2312" w:hAnsi="宋体" w:hint="eastAsia"/>
          <w:sz w:val="32"/>
          <w:szCs w:val="32"/>
          <w:lang w:val="zh-CN"/>
        </w:rPr>
        <w:t>的服务保障工作。根据《组织法》、《代表法》规定，每年必须召开不少于一次大会，会期大约三天；</w:t>
      </w:r>
      <w:r>
        <w:rPr>
          <w:rFonts w:ascii="仿宋_GB2312" w:eastAsia="仿宋_GB2312" w:hAnsi="宋体" w:hint="eastAsia"/>
          <w:sz w:val="32"/>
          <w:szCs w:val="32"/>
        </w:rPr>
        <w:t>每两月召开的常委会</w:t>
      </w:r>
      <w:r>
        <w:rPr>
          <w:rFonts w:ascii="仿宋_GB2312" w:eastAsia="仿宋_GB2312" w:hAnsi="宋体" w:hint="eastAsia"/>
          <w:sz w:val="32"/>
          <w:szCs w:val="32"/>
          <w:lang w:val="zh-CN"/>
        </w:rPr>
        <w:t>根据本部门工作实际，经财政局审批20</w:t>
      </w:r>
      <w:r>
        <w:rPr>
          <w:rFonts w:ascii="仿宋_GB2312" w:eastAsia="仿宋_GB2312" w:hAnsi="宋体" w:hint="eastAsia"/>
          <w:sz w:val="32"/>
          <w:szCs w:val="32"/>
        </w:rPr>
        <w:t>20</w:t>
      </w:r>
      <w:r>
        <w:rPr>
          <w:rFonts w:ascii="仿宋_GB2312" w:eastAsia="仿宋_GB2312" w:hAnsi="宋体" w:hint="eastAsia"/>
          <w:sz w:val="32"/>
          <w:szCs w:val="32"/>
          <w:lang w:val="zh-CN"/>
        </w:rPr>
        <w:t>年“人大会议”项目预算为</w:t>
      </w:r>
      <w:r>
        <w:rPr>
          <w:rFonts w:ascii="仿宋_GB2312" w:eastAsia="仿宋_GB2312" w:hAnsi="宋体" w:hint="eastAsia"/>
          <w:sz w:val="32"/>
          <w:szCs w:val="32"/>
        </w:rPr>
        <w:t>93.52</w:t>
      </w:r>
      <w:r>
        <w:rPr>
          <w:rFonts w:ascii="仿宋_GB2312" w:eastAsia="仿宋_GB2312" w:hAnsi="宋体" w:hint="eastAsia"/>
          <w:sz w:val="32"/>
          <w:szCs w:val="32"/>
          <w:lang w:val="zh-CN"/>
        </w:rPr>
        <w:t>万元。</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圆满组织召开了八届人大</w:t>
      </w:r>
      <w:r>
        <w:rPr>
          <w:rFonts w:ascii="仿宋_GB2312" w:eastAsia="仿宋_GB2312" w:hAnsi="宋体" w:hint="eastAsia"/>
          <w:sz w:val="32"/>
          <w:szCs w:val="32"/>
        </w:rPr>
        <w:t>五</w:t>
      </w:r>
      <w:r>
        <w:rPr>
          <w:rFonts w:ascii="仿宋_GB2312" w:eastAsia="仿宋_GB2312" w:hAnsi="宋体" w:hint="eastAsia"/>
          <w:sz w:val="32"/>
          <w:szCs w:val="32"/>
          <w:lang w:val="zh-CN"/>
        </w:rPr>
        <w:t>次会议</w:t>
      </w:r>
      <w:r>
        <w:rPr>
          <w:rFonts w:ascii="仿宋_GB2312" w:eastAsia="仿宋_GB2312" w:hAnsi="宋体" w:hint="eastAsia"/>
          <w:sz w:val="32"/>
          <w:szCs w:val="32"/>
        </w:rPr>
        <w:t>及常委会</w:t>
      </w:r>
      <w:r>
        <w:rPr>
          <w:rFonts w:ascii="仿宋_GB2312" w:eastAsia="仿宋_GB2312" w:hAnsi="宋体" w:hint="eastAsia"/>
          <w:sz w:val="32"/>
          <w:szCs w:val="32"/>
          <w:lang w:val="zh-CN"/>
        </w:rPr>
        <w:t>，顺利完成了各项会议议程，听取并审议年度工作报告。</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预算根据单位职能职责，年度重点工作、工作计划，历年人大会议服务保障情况，充分保证人大会议各项职能工作的开展，年初预算</w:t>
      </w:r>
      <w:r>
        <w:rPr>
          <w:rFonts w:ascii="仿宋_GB2312" w:eastAsia="仿宋_GB2312" w:hAnsi="宋体" w:hint="eastAsia"/>
          <w:sz w:val="32"/>
          <w:szCs w:val="32"/>
        </w:rPr>
        <w:t>93.52</w:t>
      </w:r>
      <w:r>
        <w:rPr>
          <w:rFonts w:ascii="仿宋_GB2312" w:eastAsia="仿宋_GB2312" w:hAnsi="宋体" w:hint="eastAsia"/>
          <w:sz w:val="32"/>
          <w:szCs w:val="32"/>
          <w:lang w:val="zh-CN"/>
        </w:rPr>
        <w:t>万元。</w:t>
      </w:r>
    </w:p>
    <w:p>
      <w:pPr>
        <w:adjustRightInd w:val="0"/>
        <w:snapToGrid w:val="0"/>
        <w:spacing w:line="600" w:lineRule="exact"/>
        <w:ind w:firstLine="720"/>
        <w:rPr>
          <w:rFonts w:ascii="楷体_GB2312" w:eastAsia="楷体_GB2312" w:hAnsi="宋体"/>
          <w:b/>
          <w:sz w:val="32"/>
          <w:szCs w:val="32"/>
        </w:rPr>
      </w:pPr>
    </w:p>
    <w:p>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项目资金的使用合法合规，不存在截留、挤占、挪用专项资金等情况，资金开支范围、标准及支付进度等均符合规定，支付依据充分，会计核算正确规范，资金使用范围与预算相符。</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建立完善了内控相关制度，严格管理机关财务工作及资金存放管理等工作，其内容符合现行国家有关财经法规制度。坚持以实际发生的经济活动的原始凭证为依据，对原始凭证进行审核，并根据审核无误的原始凭证编制记账凭证。各项原始凭证、记账凭证填制及时、内容完整、字迹清晰、并经有关责任人签章、复核。会计凭证与所附原始单据相符，确保账务处理的合法性、合理性、规范性和正确性，严格执行会计核算制度。</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严格按照会议费管理办法的规定，人代会、</w:t>
      </w:r>
      <w:r>
        <w:rPr>
          <w:rFonts w:ascii="仿宋_GB2312" w:eastAsia="仿宋_GB2312" w:hAnsi="宋体" w:hint="eastAsia"/>
          <w:sz w:val="32"/>
          <w:szCs w:val="32"/>
        </w:rPr>
        <w:t>常委会</w:t>
      </w:r>
      <w:r>
        <w:rPr>
          <w:rFonts w:ascii="仿宋_GB2312" w:eastAsia="仿宋_GB2312" w:hAnsi="宋体" w:hint="eastAsia"/>
          <w:sz w:val="32"/>
          <w:szCs w:val="32"/>
          <w:lang w:val="zh-CN"/>
        </w:rPr>
        <w:t>经费控制在预算范围内。严格执行“三重一大”事项集体决策制度，对重大预算项目及大额资金使用，均通过区人大常委会党组会议进行决策，预算项目具体实施由负责相关工作的承办委室具体开展，严格根据财政制度开展政府采购、项目招标、项目公示等工作，20</w:t>
      </w:r>
      <w:r>
        <w:rPr>
          <w:rFonts w:ascii="仿宋_GB2312" w:eastAsia="仿宋_GB2312" w:hAnsi="宋体" w:hint="eastAsia"/>
          <w:sz w:val="32"/>
          <w:szCs w:val="32"/>
        </w:rPr>
        <w:t>20</w:t>
      </w:r>
      <w:r>
        <w:rPr>
          <w:rFonts w:ascii="仿宋_GB2312" w:eastAsia="仿宋_GB2312" w:hAnsi="宋体" w:hint="eastAsia"/>
          <w:sz w:val="32"/>
          <w:szCs w:val="32"/>
          <w:lang w:val="zh-CN"/>
        </w:rPr>
        <w:t>年预算项目实施进度有序合理。</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圆满组织召开了八届人大</w:t>
      </w:r>
      <w:r>
        <w:rPr>
          <w:rFonts w:ascii="仿宋_GB2312" w:eastAsia="仿宋_GB2312" w:hAnsi="宋体" w:hint="eastAsia"/>
          <w:sz w:val="32"/>
          <w:szCs w:val="32"/>
        </w:rPr>
        <w:t>五</w:t>
      </w:r>
      <w:r>
        <w:rPr>
          <w:rFonts w:ascii="仿宋_GB2312" w:eastAsia="仿宋_GB2312" w:hAnsi="宋体" w:hint="eastAsia"/>
          <w:sz w:val="32"/>
          <w:szCs w:val="32"/>
          <w:lang w:val="zh-CN"/>
        </w:rPr>
        <w:t>次会议</w:t>
      </w:r>
      <w:r>
        <w:rPr>
          <w:rFonts w:ascii="仿宋_GB2312" w:eastAsia="仿宋_GB2312" w:hAnsi="宋体" w:hint="eastAsia"/>
          <w:sz w:val="32"/>
          <w:szCs w:val="32"/>
        </w:rPr>
        <w:t>及常委会</w:t>
      </w:r>
      <w:r>
        <w:rPr>
          <w:rFonts w:ascii="仿宋_GB2312" w:eastAsia="仿宋_GB2312" w:hAnsi="宋体" w:hint="eastAsia"/>
          <w:sz w:val="32"/>
          <w:szCs w:val="32"/>
          <w:lang w:val="zh-CN"/>
        </w:rPr>
        <w:t>，顺利完成了各项会议议程。</w:t>
      </w:r>
    </w:p>
    <w:p>
      <w:pPr>
        <w:adjustRightInd w:val="0"/>
        <w:snapToGrid w:val="0"/>
        <w:spacing w:line="600" w:lineRule="exact"/>
        <w:ind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lang w:val="zh-CN"/>
        </w:rPr>
        <w:t>在为期</w:t>
      </w:r>
      <w:r>
        <w:rPr>
          <w:rFonts w:ascii="仿宋_GB2312" w:eastAsia="仿宋_GB2312" w:hAnsi="宋体"/>
          <w:sz w:val="32"/>
          <w:szCs w:val="32"/>
          <w:lang w:val="zh-CN"/>
        </w:rPr>
        <w:t>3</w:t>
      </w:r>
      <w:r>
        <w:rPr>
          <w:rFonts w:ascii="仿宋_GB2312" w:eastAsia="仿宋_GB2312" w:hAnsi="宋体" w:hint="eastAsia"/>
          <w:sz w:val="32"/>
          <w:szCs w:val="32"/>
          <w:lang w:val="zh-CN"/>
        </w:rPr>
        <w:t>天的会议时间里，来自全区各条战线的区人大代表认真履职尽责，审议批准了区政府工作报告、区人大常委会工作报告。</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pStyle w:val="15"/>
      </w:pP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经评价，该项目总体完成情况良好，资金绩效目标明确，预算编制合理，项目和资金管理较为落实，整体项目效果良好。该项目总得分为100分，自评得分99分。</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spacing w:line="580" w:lineRule="exact"/>
        <w:rPr>
          <w:rFonts w:ascii="仿宋_GB2312" w:eastAsia="仿宋_GB2312" w:cs="仿宋_GB2312" w:hAnsi="仿宋_GB2312"/>
          <w:sz w:val="32"/>
          <w:szCs w:val="32"/>
        </w:rPr>
      </w:pPr>
      <w:r>
        <w:rPr>
          <w:rFonts w:ascii="黑体" w:eastAsia="黑体" w:cs="黑体" w:hAnsi="黑体" w:hint="eastAsia"/>
          <w:sz w:val="32"/>
          <w:szCs w:val="32"/>
        </w:rPr>
        <w:t>附件2</w:t>
      </w:r>
    </w:p>
    <w:p>
      <w:pPr>
        <w:spacing w:line="580" w:lineRule="exact"/>
        <w:ind w:firstLineChars="200" w:firstLine="640"/>
        <w:rPr>
          <w:rFonts w:ascii="仿宋_GB2312" w:eastAsia="仿宋_GB2312" w:cs="仿宋_GB2312" w:hAnsi="仿宋_GB2312"/>
          <w:sz w:val="32"/>
          <w:szCs w:val="32"/>
        </w:rPr>
      </w:pP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人大代表活动视察</w:t>
      </w:r>
      <w:r>
        <w:rPr>
          <w:rFonts w:ascii="方正小标宋简体" w:eastAsia="方正小标宋简体" w:hAnsi="宋体" w:hint="eastAsia"/>
          <w:color w:val="000000"/>
          <w:kern w:val="0"/>
          <w:sz w:val="44"/>
          <w:szCs w:val="44"/>
        </w:rPr>
        <w:t>20</w:t>
      </w:r>
      <w:r>
        <w:rPr>
          <w:rFonts w:ascii="方正小标宋简体" w:eastAsia="方正小标宋简体" w:hAnsi="宋体"/>
          <w:color w:val="000000"/>
          <w:kern w:val="0"/>
          <w:sz w:val="44"/>
          <w:szCs w:val="44"/>
        </w:rPr>
        <w:t>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1．该项目主管部门为区人大常委会办公室，负责该项目具体实施，过程监管，事后评价。</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照代表法和省、市、区人大工作要求，区级人大代表视察经费主要用于保障代表开展调研视察、会议培训等活动提供服务及保障。包括代表参加出席会议、开展调研视察，走访慰问代表及其他按规定与代表工作相关的经费</w:t>
      </w:r>
    </w:p>
    <w:p>
      <w:pPr>
        <w:widowControl/>
        <w:shd w:val="clear" w:color="auto" w:fill="FFFFFF"/>
        <w:spacing w:line="560" w:lineRule="atLeast"/>
        <w:ind w:firstLine="640"/>
        <w:rPr>
          <w:rFonts w:ascii="仿宋_GB2312" w:eastAsia="仿宋_GB2312" w:hAnsi="宋体"/>
          <w:sz w:val="32"/>
          <w:szCs w:val="32"/>
          <w:lang w:val="zh-CN"/>
        </w:rPr>
      </w:pPr>
      <w:r>
        <w:rPr>
          <w:rFonts w:ascii="仿宋_GB2312" w:eastAsia="仿宋_GB2312" w:hAnsi="宋体" w:hint="eastAsia"/>
          <w:sz w:val="32"/>
          <w:szCs w:val="32"/>
          <w:lang w:val="zh-CN"/>
        </w:rPr>
        <w:t>预算根据单位职能职责，年度重点工作、工作计划，历年</w:t>
      </w:r>
      <w:r>
        <w:rPr>
          <w:rFonts w:ascii="仿宋_GB2312" w:eastAsia="仿宋_GB2312" w:hAnsi="宋体"/>
          <w:sz w:val="32"/>
          <w:szCs w:val="32"/>
          <w:lang w:val="zh-CN"/>
        </w:rPr>
        <w:t>“</w:t>
      </w:r>
      <w:r>
        <w:rPr>
          <w:rFonts w:ascii="仿宋_GB2312" w:eastAsia="仿宋_GB2312" w:hAnsi="宋体" w:hint="eastAsia"/>
          <w:sz w:val="32"/>
          <w:szCs w:val="32"/>
          <w:lang w:val="zh-CN"/>
        </w:rPr>
        <w:t>人大代表活动视察</w:t>
      </w:r>
      <w:r>
        <w:rPr>
          <w:rFonts w:ascii="仿宋_GB2312" w:eastAsia="仿宋_GB2312" w:hAnsi="宋体"/>
          <w:sz w:val="32"/>
          <w:szCs w:val="32"/>
          <w:lang w:val="zh-CN"/>
        </w:rPr>
        <w:t>”</w:t>
      </w:r>
      <w:r>
        <w:rPr>
          <w:rFonts w:ascii="仿宋_GB2312" w:eastAsia="仿宋_GB2312" w:hAnsi="宋体" w:hint="eastAsia"/>
          <w:sz w:val="32"/>
          <w:szCs w:val="32"/>
          <w:lang w:val="zh-CN"/>
        </w:rPr>
        <w:t>项目情况，充分考虑项目工作方法等因素进行测算。</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经费主要用于保障代表开展调研视察、会议培训等活动提供服务及保障。评价申报内容与实际相符，申报目标合理可行。</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预算根据单位职能职责，年度重点工作、工作计划，项目历年情况年初预算</w:t>
      </w:r>
      <w:r>
        <w:rPr>
          <w:rFonts w:ascii="仿宋_GB2312" w:eastAsia="仿宋_GB2312" w:hAnsi="宋体"/>
          <w:sz w:val="32"/>
          <w:szCs w:val="32"/>
          <w:lang w:val="zh-CN"/>
        </w:rPr>
        <w:t>35</w:t>
      </w:r>
      <w:r>
        <w:rPr>
          <w:rFonts w:ascii="仿宋_GB2312" w:eastAsia="仿宋_GB2312" w:hAnsi="宋体" w:hint="eastAsia"/>
          <w:sz w:val="32"/>
          <w:szCs w:val="32"/>
          <w:lang w:val="zh-CN"/>
        </w:rPr>
        <w:t>万元。。</w:t>
      </w:r>
    </w:p>
    <w:p>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项目资金的使用合法合规，不存在截留、挤占、挪用专项资金等情况，资金开支范围、标准及支付进度等均符合规定，支付依据充分，会计核算正确规范，资金使用范围与预算相符。</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建立完善了内控相关制度，严格管理机关财务工作及资金存放管理等工作，其内容符合现行国家有关财经法规制度。坚持以实际发生的经济活动的原始凭证为依据，对原始凭证进行审核，并根据审核无误的原始凭证编制记账凭证。各项原始凭证、记账凭证填制及时、内容完整、字迹清晰、并经有关责任人签章、复核。会计凭证与所附原始单据相符，确保账务处理的合法性、合理性、规范性和正确性，严格执行会计核算制度。</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统计截止评价时点该项目全资金已全额支付。财务管理制度健全，严格执行财务管理制度，账务处理及时，会计核算规范，资金使用安全，支付范围、支付标准、支付进度、支付依据等合规合法、与预算相符。</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pPr>
        <w:adjustRightInd w:val="0"/>
        <w:snapToGrid w:val="0"/>
        <w:spacing w:line="600" w:lineRule="exact"/>
        <w:ind w:firstLine="720"/>
        <w:rPr>
          <w:rFonts w:ascii="楷体_GB2312" w:eastAsia="楷体_GB2312" w:hAnsi="宋体"/>
          <w:b/>
          <w:sz w:val="32"/>
          <w:szCs w:val="32"/>
          <w:lang w:val="zh-CN"/>
        </w:rPr>
      </w:pPr>
      <w:r>
        <w:rPr>
          <w:rFonts w:ascii="仿宋_GB2312" w:eastAsia="仿宋_GB2312" w:cs="宋体" w:hAnsi="宋体" w:hint="eastAsia"/>
          <w:kern w:val="0"/>
          <w:sz w:val="32"/>
          <w:szCs w:val="32"/>
          <w:lang w:val="zh-CN"/>
        </w:rPr>
        <w:t>区人大办公室全面负责区级人大代表视察的组织服务保障工作。严格执行</w:t>
      </w:r>
      <w:r>
        <w:rPr>
          <w:rFonts w:ascii="仿宋_GB2312" w:eastAsia="仿宋_GB2312" w:cs="宋体" w:hAnsi="宋体"/>
          <w:kern w:val="0"/>
          <w:sz w:val="32"/>
          <w:szCs w:val="32"/>
          <w:lang w:val="zh-CN"/>
        </w:rPr>
        <w:t>“</w:t>
      </w:r>
      <w:r>
        <w:rPr>
          <w:rFonts w:ascii="仿宋_GB2312" w:eastAsia="仿宋_GB2312" w:cs="宋体" w:hAnsi="宋体" w:hint="eastAsia"/>
          <w:kern w:val="0"/>
          <w:sz w:val="32"/>
          <w:szCs w:val="32"/>
          <w:lang w:val="zh-CN"/>
        </w:rPr>
        <w:t>三重一大</w:t>
      </w:r>
      <w:r>
        <w:rPr>
          <w:rFonts w:ascii="仿宋_GB2312" w:eastAsia="仿宋_GB2312" w:cs="宋体" w:hAnsi="宋体"/>
          <w:kern w:val="0"/>
          <w:sz w:val="32"/>
          <w:szCs w:val="32"/>
          <w:lang w:val="zh-CN"/>
        </w:rPr>
        <w:t>”</w:t>
      </w:r>
      <w:r>
        <w:rPr>
          <w:rFonts w:ascii="仿宋_GB2312" w:eastAsia="仿宋_GB2312" w:cs="宋体" w:hAnsi="宋体" w:hint="eastAsia"/>
          <w:kern w:val="0"/>
          <w:sz w:val="32"/>
          <w:szCs w:val="32"/>
          <w:lang w:val="zh-CN"/>
        </w:rPr>
        <w:t>事项集体决策制度，对重大预算项目及大额资金使用，均通过区人大常委会党组会议进行决策，预算项目具体实施由负责相关工作的承办委室具体开展，严格根据财政制度开展政府采购、项目招标、项目公示等工作，</w:t>
      </w:r>
      <w:r>
        <w:rPr>
          <w:rFonts w:ascii="仿宋_GB2312" w:eastAsia="仿宋_GB2312" w:cs="宋体" w:hAnsi="宋体"/>
          <w:kern w:val="0"/>
          <w:sz w:val="32"/>
          <w:szCs w:val="32"/>
          <w:lang w:val="zh-CN"/>
        </w:rPr>
        <w:t>2020</w:t>
      </w:r>
      <w:r>
        <w:rPr>
          <w:rFonts w:ascii="仿宋_GB2312" w:eastAsia="仿宋_GB2312" w:cs="宋体" w:hAnsi="宋体" w:hint="eastAsia"/>
          <w:kern w:val="0"/>
          <w:sz w:val="32"/>
          <w:szCs w:val="32"/>
          <w:lang w:val="zh-CN"/>
        </w:rPr>
        <w:t>年预算项目实施进度有序合理。预算执行率为</w:t>
      </w:r>
      <w:r>
        <w:rPr>
          <w:rFonts w:ascii="仿宋_GB2312" w:eastAsia="仿宋_GB2312" w:cs="宋体" w:hAnsi="宋体"/>
          <w:kern w:val="0"/>
          <w:sz w:val="32"/>
          <w:szCs w:val="32"/>
          <w:lang w:val="zh-CN"/>
        </w:rPr>
        <w:t>100%</w:t>
      </w:r>
      <w:r>
        <w:rPr>
          <w:rFonts w:ascii="仿宋_GB2312" w:eastAsia="仿宋_GB2312" w:cs="宋体" w:hAnsi="宋体" w:hint="eastAsia"/>
          <w:kern w:val="0"/>
          <w:sz w:val="32"/>
          <w:szCs w:val="32"/>
          <w:lang w:val="zh-CN"/>
        </w:rPr>
        <w:t>。支付依据合规合法，资金支付与预算相符。</w:t>
      </w:r>
    </w:p>
    <w:p>
      <w:pPr>
        <w:widowControl/>
        <w:shd w:val="clear" w:color="auto" w:fill="FFFFFF"/>
        <w:spacing w:line="560" w:lineRule="atLeast"/>
        <w:ind w:firstLine="64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pPr>
        <w:widowControl/>
        <w:shd w:val="clear" w:color="auto" w:fill="FFFFFF"/>
        <w:spacing w:line="560" w:lineRule="atLeast"/>
        <w:ind w:firstLine="640"/>
        <w:rPr>
          <w:rFonts w:ascii="仿宋_GB2312" w:eastAsia="仿宋_GB2312" w:cs="宋体" w:hAnsi="宋体"/>
          <w:kern w:val="0"/>
          <w:sz w:val="32"/>
          <w:szCs w:val="32"/>
          <w:lang w:val="zh-CN"/>
        </w:rPr>
      </w:pPr>
      <w:r>
        <w:rPr>
          <w:rFonts w:ascii="仿宋_GB2312" w:eastAsia="仿宋_GB2312" w:cs="宋体" w:hAnsi="宋体"/>
          <w:kern w:val="0"/>
          <w:sz w:val="32"/>
          <w:szCs w:val="32"/>
          <w:lang w:val="zh-CN"/>
        </w:rPr>
        <w:t>1.</w:t>
      </w:r>
      <w:r>
        <w:rPr>
          <w:rFonts w:ascii="仿宋_GB2312" w:eastAsia="仿宋_GB2312" w:cs="宋体" w:hAnsi="宋体" w:hint="eastAsia"/>
          <w:kern w:val="0"/>
          <w:sz w:val="32"/>
          <w:szCs w:val="32"/>
          <w:lang w:val="zh-CN"/>
        </w:rPr>
        <w:t>制度建设及执行情况。区人大严格执行区财政局、区人大常委会各项财经管理规定及办法，建立完善了内控相关制度，严格管理机关财务工作及资金存放管理等工作。坚持以实际发生的经济活动的原始凭证为依据，对原始凭证进行审核，并根据审核无误的原始凭证编制记账凭证。各项原始凭证、记账凭证填制及时、内容完整、字迹清晰、并经有关责任人签章、复核。会计凭证与所附原始单据相符，确保账务处理的合法性、合理性、规范性和正确性，严格执行会计核算制度。</w:t>
      </w:r>
    </w:p>
    <w:p>
      <w:pPr>
        <w:widowControl/>
        <w:shd w:val="clear" w:color="auto" w:fill="FFFFFF"/>
        <w:spacing w:line="560" w:lineRule="atLeast"/>
        <w:ind w:firstLine="320"/>
        <w:rPr>
          <w:rFonts w:ascii="仿宋_GB2312" w:eastAsia="仿宋_GB2312" w:cs="宋体" w:hAnsi="宋体"/>
          <w:kern w:val="0"/>
          <w:sz w:val="32"/>
          <w:szCs w:val="32"/>
          <w:lang w:val="zh-CN"/>
        </w:rPr>
      </w:pPr>
      <w:r>
        <w:rPr>
          <w:rFonts w:ascii="仿宋_GB2312" w:eastAsia="仿宋_GB2312" w:cs="宋体" w:hAnsi="宋体"/>
          <w:kern w:val="0"/>
          <w:sz w:val="32"/>
          <w:szCs w:val="32"/>
          <w:lang w:val="zh-CN"/>
        </w:rPr>
        <w:t>2</w:t>
      </w:r>
      <w:r>
        <w:rPr>
          <w:rFonts w:ascii="仿宋_GB2312" w:eastAsia="仿宋_GB2312" w:cs="宋体" w:hAnsi="宋体" w:hint="eastAsia"/>
          <w:kern w:val="0"/>
          <w:sz w:val="32"/>
          <w:szCs w:val="32"/>
          <w:lang w:val="zh-CN"/>
        </w:rPr>
        <w:t>、资金使用情况。</w:t>
      </w:r>
      <w:r>
        <w:rPr>
          <w:rFonts w:ascii="仿宋_GB2312" w:eastAsia="仿宋_GB2312" w:cs="宋体" w:hAnsi="宋体"/>
          <w:kern w:val="0"/>
          <w:sz w:val="32"/>
          <w:szCs w:val="32"/>
          <w:lang w:val="zh-CN"/>
        </w:rPr>
        <w:t>2020</w:t>
      </w:r>
      <w:r>
        <w:rPr>
          <w:rFonts w:ascii="仿宋_GB2312" w:eastAsia="仿宋_GB2312" w:cs="宋体" w:hAnsi="宋体" w:hint="eastAsia"/>
          <w:kern w:val="0"/>
          <w:sz w:val="32"/>
          <w:szCs w:val="32"/>
          <w:lang w:val="zh-CN"/>
        </w:rPr>
        <w:t>年区人大常委会项目资金支出情况良好，为</w:t>
      </w:r>
      <w:r>
        <w:rPr>
          <w:rFonts w:ascii="仿宋_GB2312" w:eastAsia="仿宋_GB2312" w:cs="宋体" w:hAnsi="宋体"/>
          <w:kern w:val="0"/>
          <w:sz w:val="32"/>
          <w:szCs w:val="32"/>
          <w:lang w:val="zh-CN"/>
        </w:rPr>
        <w:t>“</w:t>
      </w:r>
      <w:r>
        <w:rPr>
          <w:rFonts w:ascii="仿宋_GB2312" w:eastAsia="仿宋_GB2312" w:cs="宋体" w:hAnsi="宋体" w:hint="eastAsia"/>
          <w:kern w:val="0"/>
          <w:sz w:val="32"/>
          <w:szCs w:val="32"/>
          <w:lang w:val="zh-CN"/>
        </w:rPr>
        <w:t>人大代表活动视察经费</w:t>
      </w:r>
      <w:r>
        <w:rPr>
          <w:rFonts w:ascii="仿宋_GB2312" w:eastAsia="仿宋_GB2312" w:cs="宋体" w:hAnsi="宋体"/>
          <w:kern w:val="0"/>
          <w:sz w:val="32"/>
          <w:szCs w:val="32"/>
          <w:lang w:val="zh-CN"/>
        </w:rPr>
        <w:t>”</w:t>
      </w:r>
      <w:r>
        <w:rPr>
          <w:rFonts w:ascii="仿宋_GB2312" w:eastAsia="仿宋_GB2312" w:cs="宋体" w:hAnsi="宋体" w:hint="eastAsia"/>
          <w:kern w:val="0"/>
          <w:sz w:val="32"/>
          <w:szCs w:val="32"/>
          <w:lang w:val="zh-CN"/>
        </w:rPr>
        <w:t>项目提供了资金保障，项目资金的使用合法合规，不存在截留、挤占、挪用专项资金等情况，资金开支范围、标准及支付进度等均符合规定，支付依据充分，会计核算正确规范，资金使用范围与预算相符。</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pPr>
        <w:widowControl/>
        <w:shd w:val="clear" w:color="auto" w:fill="FFFFFF"/>
        <w:spacing w:line="579" w:lineRule="atLeast"/>
        <w:ind w:firstLine="640"/>
        <w:rPr>
          <w:rFonts w:ascii="仿宋_GB2312" w:eastAsia="仿宋_GB2312" w:hAnsi="宋体"/>
          <w:sz w:val="32"/>
          <w:szCs w:val="32"/>
          <w:lang w:val="zh-CN"/>
        </w:rPr>
      </w:pPr>
      <w:r>
        <w:rPr>
          <w:rFonts w:ascii="仿宋_GB2312" w:eastAsia="仿宋_GB2312" w:hAnsi="宋体" w:hint="eastAsia"/>
          <w:sz w:val="32"/>
          <w:szCs w:val="32"/>
          <w:lang w:val="zh-CN"/>
        </w:rPr>
        <w:t>组织代表开展各领域专题调研及座谈活动，鼓励支持代表参与各项工作的宣传和推进，提出助推区域发展的意见建议。</w:t>
      </w:r>
    </w:p>
    <w:p>
      <w:pPr>
        <w:widowControl/>
        <w:shd w:val="clear" w:color="auto" w:fill="FFFFFF"/>
        <w:spacing w:line="579" w:lineRule="atLeast"/>
        <w:ind w:firstLine="640"/>
        <w:rPr>
          <w:rFonts w:ascii="仿宋_GB2312" w:eastAsia="仿宋_GB2312" w:hAnsi="宋体"/>
          <w:sz w:val="32"/>
          <w:szCs w:val="32"/>
          <w:lang w:val="zh-CN"/>
        </w:rPr>
      </w:pPr>
      <w:r>
        <w:rPr>
          <w:rFonts w:ascii="仿宋_GB2312" w:eastAsia="仿宋_GB2312" w:hAnsi="宋体" w:hint="eastAsia"/>
          <w:sz w:val="32"/>
          <w:szCs w:val="32"/>
          <w:lang w:val="zh-CN"/>
        </w:rPr>
        <w:t>全年执行预算</w:t>
      </w:r>
      <w:r>
        <w:rPr>
          <w:rFonts w:ascii="仿宋_GB2312" w:eastAsia="仿宋_GB2312" w:hAnsi="宋体"/>
          <w:sz w:val="32"/>
          <w:szCs w:val="32"/>
          <w:lang w:val="zh-CN"/>
        </w:rPr>
        <w:t>35</w:t>
      </w:r>
      <w:r>
        <w:rPr>
          <w:rFonts w:ascii="仿宋_GB2312" w:eastAsia="仿宋_GB2312" w:hAnsi="宋体" w:hint="eastAsia"/>
          <w:sz w:val="32"/>
          <w:szCs w:val="32"/>
          <w:lang w:val="zh-CN"/>
        </w:rPr>
        <w:t>万元，预算执行率为</w:t>
      </w:r>
      <w:r>
        <w:rPr>
          <w:rFonts w:ascii="仿宋_GB2312" w:eastAsia="仿宋_GB2312" w:hAnsi="宋体"/>
          <w:sz w:val="32"/>
          <w:szCs w:val="32"/>
          <w:lang w:val="zh-CN"/>
        </w:rPr>
        <w:t>100%</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已组织完成我区人大代表调研、视察等相关工作。社会满意度极高。</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pStyle w:val="15"/>
      </w:pP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经评价，该项目总体完成情况良好，资金绩效目标明确，预算编制合理，项目和资金管理较为落实，整体项目效果良好。该项目总得分为100分，自评得分99分。</w:t>
      </w:r>
    </w:p>
    <w:p>
      <w:pPr>
        <w:pStyle w:val="15"/>
        <w:rPr>
          <w:lang w:val="zh-CN"/>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spacing w:line="580" w:lineRule="exact"/>
        <w:rPr>
          <w:rFonts w:ascii="仿宋_GB2312" w:eastAsia="仿宋_GB2312" w:cs="仿宋_GB2312" w:hAnsi="仿宋_GB2312"/>
          <w:sz w:val="32"/>
          <w:szCs w:val="32"/>
        </w:rPr>
      </w:pPr>
      <w:r>
        <w:rPr>
          <w:rFonts w:ascii="黑体" w:eastAsia="黑体" w:cs="黑体" w:hAnsi="黑体" w:hint="eastAsia"/>
          <w:sz w:val="32"/>
          <w:szCs w:val="32"/>
        </w:rPr>
        <w:t>附件2</w:t>
      </w:r>
    </w:p>
    <w:p>
      <w:pPr>
        <w:spacing w:line="580" w:lineRule="exact"/>
        <w:ind w:firstLineChars="200" w:firstLine="640"/>
        <w:rPr>
          <w:rFonts w:ascii="仿宋_GB2312" w:eastAsia="仿宋_GB2312" w:cs="仿宋_GB2312" w:hAnsi="仿宋_GB2312"/>
          <w:sz w:val="32"/>
          <w:szCs w:val="32"/>
        </w:rPr>
      </w:pPr>
    </w:p>
    <w:p>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非贫困村第一书记经费</w:t>
      </w: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w:t>
      </w:r>
      <w:r>
        <w:rPr>
          <w:rFonts w:ascii="方正小标宋简体" w:eastAsia="方正小标宋简体" w:hAnsi="宋体"/>
          <w:color w:val="000000"/>
          <w:kern w:val="0"/>
          <w:sz w:val="44"/>
          <w:szCs w:val="44"/>
        </w:rPr>
        <w:t>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楷体_GB2312" w:eastAsia="楷体_GB2312" w:hAnsi="宋体"/>
          <w:b/>
          <w:sz w:val="32"/>
          <w:szCs w:val="32"/>
          <w:lang w:val="zh-CN"/>
        </w:rPr>
      </w:pPr>
      <w:r>
        <w:rPr>
          <w:rFonts w:ascii="仿宋" w:eastAsia="仿宋" w:cs="仿宋" w:hAnsi="仿宋" w:hint="eastAsia"/>
          <w:sz w:val="32"/>
          <w:szCs w:val="32"/>
        </w:rPr>
        <w:t>项目评价实施方案情况：进一步巩固脱贫成果，让群众过上“两不愁、三保障”的生活，精准脱贫。</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pPr>
        <w:spacing w:line="580" w:lineRule="exact"/>
        <w:ind w:firstLineChars="200" w:firstLine="640"/>
        <w:rPr>
          <w:rFonts w:ascii="仿宋" w:eastAsia="仿宋" w:cs="仿宋" w:hAnsi="仿宋"/>
          <w:sz w:val="32"/>
          <w:szCs w:val="32"/>
        </w:rPr>
      </w:pPr>
      <w:r>
        <w:rPr>
          <w:rFonts w:ascii="仿宋" w:eastAsia="仿宋" w:cs="仿宋" w:hAnsi="仿宋" w:hint="eastAsia"/>
          <w:sz w:val="32"/>
          <w:szCs w:val="32"/>
        </w:rPr>
        <w:t>使该项工作良性发展，分类指导，分级实施，进一步巩固脱贫成果，让群众过上“两不愁、三保障”的生活，精准脱贫。</w:t>
      </w:r>
    </w:p>
    <w:p>
      <w:pPr>
        <w:spacing w:line="58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针对不同人群制定脱贫方案，摸清家底，分类指导，分级实施，进一步巩固脱贫成果。</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该项目实施：为了保障精准脱贫。</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（二）资金计划、到位及使用情况。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该项目资金来源于财政资金，已全额用于当年精准脱贫支出。</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单位财务管理制度健全，严格执行财务管理制度，账务处理及时，会计核算规范。</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针对不同人群制定脱贫方案，摸清家底，分类指导，分级实施，进一步巩固脱贫成果。</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通过扶贫政策宣讲，因地制宜制定帮扶计划，推动贫困户的生产生活条件显著改善、收入不断提高，群众满意度高。</w:t>
      </w:r>
    </w:p>
    <w:p>
      <w:pPr>
        <w:widowControl/>
        <w:jc w:val="left"/>
        <w:rPr>
          <w:rStyle w:val="1Char"/>
          <w:rFonts w:ascii="黑体" w:eastAsia="黑体" w:hAnsi="黑体"/>
          <w:b w:val="0"/>
        </w:rPr>
      </w:pP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pStyle w:val="15"/>
      </w:pP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经评价，该项目总体完成情况良好，资金绩效目标明确，预算编制合理，项目和资金管理较为落实，整体项目效果良好。该项目总得分为100分，自评得分99分。</w:t>
      </w:r>
    </w:p>
    <w:p>
      <w:pPr>
        <w:widowControl/>
        <w:jc w:val="left"/>
        <w:rPr>
          <w:rStyle w:val="1Char"/>
          <w:rFonts w:ascii="黑体" w:eastAsia="黑体" w:hAnsi="黑体"/>
          <w:b w:val="0"/>
        </w:rPr>
      </w:pPr>
      <w:r>
        <w:rPr>
          <w:rStyle w:val="1Char"/>
          <w:rFonts w:ascii="黑体" w:eastAsia="黑体" w:hAnsi="黑体"/>
          <w:b w:val="0"/>
        </w:rPr>
        <w:br w:type="page"/>
      </w:r>
    </w:p>
    <w:p>
      <w:pPr>
        <w:spacing w:line="600" w:lineRule="exact"/>
        <w:jc w:val="center"/>
        <w:outlineLvl w:val="0"/>
        <w:rPr>
          <w:rFonts w:ascii="仿宋" w:eastAsia="仿宋" w:hAnsi="仿宋"/>
          <w:b/>
          <w:color w:val="000000"/>
          <w:sz w:val="44"/>
          <w:szCs w:val="44"/>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60"/>
    </w:p>
    <w:p>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1"/>
    </w:p>
    <w:p>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b w:val="0"/>
          <w:bCs w:val="0"/>
        </w:rPr>
        <w:t>入决算表</w:t>
      </w:r>
      <w:bookmarkEnd w:id="62"/>
    </w:p>
    <w:p>
      <w:pPr>
        <w:pStyle w:val="2"/>
        <w:rPr>
          <w:rFonts w:ascii="仿宋" w:eastAsia="仿宋" w:hAnsi="仿宋"/>
          <w:color w:val="000000"/>
        </w:rPr>
      </w:pPr>
      <w:bookmarkStart w:id="63"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出决算表</w:t>
      </w:r>
      <w:bookmarkEnd w:id="63"/>
    </w:p>
    <w:p>
      <w:pPr>
        <w:pStyle w:val="2"/>
        <w:rPr>
          <w:rFonts w:ascii="仿宋" w:eastAsia="仿宋" w:hAnsi="仿宋"/>
          <w:b w:val="0"/>
          <w:color w:val="000000"/>
        </w:rPr>
      </w:pPr>
      <w:bookmarkStart w:id="64"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4"/>
    </w:p>
    <w:p>
      <w:pPr>
        <w:pStyle w:val="2"/>
        <w:rPr>
          <w:rStyle w:val="2Char"/>
          <w:rFonts w:ascii="仿宋" w:eastAsia="仿宋" w:hAnsi="仿宋"/>
          <w:b w:val="0"/>
          <w:bCs w:val="0"/>
        </w:rPr>
      </w:pPr>
      <w:bookmarkStart w:id="65"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w:t>
      </w:r>
      <w:bookmarkStart w:id="66" w:name="_Toc15396624"/>
      <w:bookmarkEnd w:id="65"/>
    </w:p>
    <w:p>
      <w:pPr>
        <w:pStyle w:val="2"/>
        <w:rPr>
          <w:rFonts w:ascii="仿宋" w:eastAsia="仿宋" w:hAnsi="仿宋"/>
          <w:color w:val="000000"/>
        </w:rPr>
      </w:pPr>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6"/>
    </w:p>
    <w:p>
      <w:pPr>
        <w:pStyle w:val="2"/>
        <w:rPr>
          <w:rFonts w:ascii="仿宋" w:eastAsia="仿宋" w:hAnsi="仿宋"/>
          <w:color w:val="000000"/>
        </w:rPr>
      </w:pPr>
      <w:bookmarkStart w:id="67"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67"/>
    </w:p>
    <w:p>
      <w:pPr>
        <w:pStyle w:val="2"/>
        <w:rPr>
          <w:rFonts w:ascii="仿宋" w:eastAsia="仿宋" w:hAnsi="仿宋"/>
          <w:color w:val="000000"/>
        </w:rPr>
      </w:pPr>
      <w:bookmarkStart w:id="68"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68"/>
    </w:p>
    <w:p>
      <w:pPr>
        <w:pStyle w:val="2"/>
        <w:rPr>
          <w:rFonts w:ascii="仿宋" w:eastAsia="仿宋" w:hAnsi="仿宋"/>
          <w:color w:val="000000"/>
        </w:rPr>
      </w:pPr>
      <w:bookmarkStart w:id="69"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69"/>
    </w:p>
    <w:p>
      <w:pPr>
        <w:pStyle w:val="2"/>
        <w:rPr>
          <w:rFonts w:ascii="仿宋" w:eastAsia="仿宋" w:hAnsi="仿宋"/>
          <w:color w:val="000000"/>
        </w:rPr>
      </w:pPr>
      <w:bookmarkStart w:id="70"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0"/>
    </w:p>
    <w:p>
      <w:pPr>
        <w:pStyle w:val="2"/>
        <w:rPr>
          <w:rFonts w:ascii="仿宋" w:eastAsia="仿宋" w:hAnsi="仿宋"/>
          <w:color w:val="000000"/>
        </w:rPr>
      </w:pPr>
      <w:bookmarkStart w:id="71"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1"/>
    </w:p>
    <w:p>
      <w:pPr>
        <w:pStyle w:val="2"/>
        <w:rPr>
          <w:rFonts w:ascii="仿宋" w:eastAsia="仿宋" w:hAnsi="仿宋"/>
          <w:color w:val="000000"/>
        </w:rPr>
      </w:pPr>
      <w:bookmarkStart w:id="72"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2"/>
    </w:p>
    <w:p>
      <w:pPr>
        <w:pStyle w:val="2"/>
        <w:rPr>
          <w:rStyle w:val="2Char"/>
          <w:rFonts w:ascii="仿宋" w:eastAsia="仿宋" w:hAnsi="仿宋" w:hint="eastAsia"/>
          <w:b w:val="0"/>
          <w:bCs w:val="0"/>
        </w:rPr>
      </w:pPr>
      <w:bookmarkStart w:id="73"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3"/>
    </w:p>
    <w:p>
      <w:pPr>
        <w:pStyle w:val="2"/>
        <w:rPr>
          <w:rStyle w:val="2Char"/>
          <w:rFonts w:ascii="仿宋" w:eastAsia="仿宋" w:hAnsi="仿宋"/>
          <w:b w:val="0"/>
          <w:bCs w:val="0"/>
        </w:rPr>
      </w:pPr>
      <w:r>
        <w:rPr>
          <w:rStyle w:val="2Char"/>
          <w:rFonts w:ascii="仿宋" w:eastAsia="仿宋" w:hAnsi="仿宋" w:hint="eastAsia"/>
          <w:b w:val="0"/>
          <w:bCs w:val="0"/>
        </w:rPr>
        <w:t>十四、</w:t>
      </w:r>
      <w:r>
        <w:rPr>
          <w:rStyle w:val="2Char"/>
          <w:rFonts w:ascii="仿宋" w:eastAsia="仿宋" w:hAnsi="仿宋" w:hint="eastAsia"/>
          <w:b w:val="0"/>
          <w:bCs w:val="0"/>
        </w:rPr>
        <w:fldChar w:fldCharType="begin"/>
      </w:r>
      <w:r>
        <w:instrText>HYPERLINK  \l "_Toc15396631"</w:instrText>
      </w:r>
      <w:r>
        <w:rPr>
          <w:rStyle w:val="2Char"/>
          <w:rFonts w:ascii="仿宋" w:eastAsia="仿宋" w:hAnsi="仿宋" w:hint="eastAsia"/>
          <w:b w:val="0"/>
          <w:bCs w:val="0"/>
        </w:rPr>
        <w:fldChar w:fldCharType="separate"/>
      </w:r>
      <w:r>
        <w:rPr>
          <w:rStyle w:val="2Char"/>
          <w:rFonts w:ascii="仿宋" w:eastAsia="仿宋" w:hAnsi="仿宋" w:hint="eastAsia"/>
          <w:b w:val="0"/>
          <w:bCs w:val="0"/>
        </w:rPr>
        <w:t>国有资本经营预算财政拨款支出决算表</w:t>
      </w:r>
      <w:r>
        <w:rPr>
          <w:rStyle w:val="2Char"/>
          <w:rFonts w:ascii="仿宋" w:eastAsia="仿宋" w:hAnsi="仿宋" w:hint="eastAsia"/>
          <w:b w:val="0"/>
          <w:bCs w:val="0"/>
        </w:rPr>
        <w:fldChar w:fldCharType="end"/>
      </w:r>
    </w:p>
    <w:p/>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modern"/>
    <w:pitch w:val="variable"/>
    <w:sig w:usb0="00000000" w:usb1="00000000" w:usb2="00000016" w:usb3="00000000" w:csb0="00040001" w:csb1="00000000"/>
  </w:font>
  <w:font w:name="楷体">
    <w:altName w:val="楷体_GB2312"/>
    <w:panose1 w:val="02010609060101010101"/>
    <w:charset w:val="86"/>
    <w:family w:val="modern"/>
    <w:pitch w:val="variable"/>
    <w:sig w:usb0="00000000" w:usb1="00000000" w:usb2="00000016" w:usb3="00000000" w:csb0="00040001" w:csb1="00000000"/>
  </w:font>
  <w:font w:name="方正楷体简体">
    <w:altName w:val="宋体"/>
    <w:panose1 w:val="02000000000000000000"/>
    <w:charset w:val="86"/>
    <w:family w:val="auto"/>
    <w:pitch w:val="variable"/>
    <w:sig w:usb0="00000000" w:usb1="00000000" w:usb2="00000012" w:usb3="00000000" w:csb0="00040001" w:csb1="00000000"/>
  </w:font>
  <w:font w:name="Calibri">
    <w:altName w:val="Lucida Sans"/>
    <w:panose1 w:val="020F0502020204030204"/>
    <w:charset w:val="00"/>
    <w:family w:val="swiss"/>
    <w:pitch w:val="variable"/>
    <w:sig w:usb0="00000000" w:usb1="00000000" w:usb2="00000001" w:usb3="00000000" w:csb0="0000019F"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楷体_GB2312">
    <w:panose1 w:val="02010609030101010101"/>
    <w:charset w:val="86"/>
    <w:family w:val="modern"/>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2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957661437"/>
    </w:sdtPr>
    <w:sdtContent>
      <w:p>
        <w:pPr>
          <w:pStyle w:val="21"/>
          <w:tabs>
            <w:tab w:val="center" w:pos="4153"/>
            <w:tab w:val="right" w:pos="8306"/>
          </w:tabs>
          <w:jc w:val="center"/>
        </w:pPr>
        <w:r>
          <w:fldChar w:fldCharType="begin"/>
        </w:r>
        <w:r>
          <w:instrText>PAGE   \* MERGEFORMAT</w:instrText>
        </w:r>
        <w:r>
          <w:fldChar w:fldCharType="separate"/>
        </w:r>
        <w:r>
          <w:rPr>
            <w:lang w:val="zh-CN"/>
          </w:rPr>
          <w:t>20</w:t>
        </w:r>
        <w:r>
          <w:rPr>
            <w:lang w:val="zh-CN"/>
          </w:rPr>
          <w:fldChar w:fldCharType="end"/>
        </w:r>
      </w:p>
    </w:sdtContent>
  </w:sdt>
  <w:p>
    <w:pPr>
      <w:pStyle w:val="2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Salutation1"/>
    <w:basedOn w:val="0"/>
    <w:next w:val="0"/>
    <w:rPr>
      <w:sz w:val="24"/>
    </w:rPr>
  </w:style>
  <w:style w:type="paragraph" w:styleId="16">
    <w:name w:val="Salutation"/>
    <w:basedOn w:val="0"/>
    <w:next w:val="0"/>
  </w:style>
  <w:style w:type="paragraph" w:styleId="17">
    <w:name w:val="Body Text"/>
    <w:basedOn w:val="0"/>
    <w:pPr>
      <w:spacing w:beforeLines="30" w:before="30"/>
    </w:pPr>
    <w:rPr>
      <w:rFonts w:ascii="仿宋_GB2312" w:eastAsia="仿宋_GB2312"/>
      <w:kern w:val="0"/>
      <w:sz w:val="30"/>
    </w:rPr>
  </w:style>
  <w:style w:type="paragraph" w:styleId="18">
    <w:name w:val="Body Text Indent"/>
    <w:basedOn w:val="0"/>
    <w:pPr>
      <w:spacing w:after="120"/>
      <w:ind w:leftChars="200" w:left="200"/>
    </w:pPr>
  </w:style>
  <w:style w:type="paragraph" w:styleId="19">
    <w:name w:val="toc 3"/>
    <w:basedOn w:val="0"/>
    <w:next w:val="0"/>
    <w:pPr>
      <w:tabs>
        <w:tab w:val="right" w:leader="dot" w:pos="8296"/>
      </w:tabs>
      <w:ind w:leftChars="400" w:left="400"/>
    </w:p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hAnsi="仿宋"/>
      <w:sz w:val="28"/>
      <w:szCs w:val="28"/>
    </w:rPr>
  </w:style>
  <w:style w:type="paragraph" w:styleId="24">
    <w:name w:val="toc 2"/>
    <w:basedOn w:val="0"/>
    <w:next w:val="0"/>
    <w:pPr>
      <w:tabs>
        <w:tab w:val="right" w:leader="dot" w:pos="8296"/>
      </w:tabs>
      <w:ind w:leftChars="200" w:left="200"/>
    </w:pPr>
  </w:style>
  <w:style w:type="paragraph" w:styleId="25">
    <w:name w:val="Normal (Web)"/>
    <w:basedOn w:val="0"/>
    <w:pPr>
      <w:widowControl/>
      <w:spacing w:before="100" w:beforeAutospacing="1" w:after="100" w:afterAutospacing="1"/>
      <w:jc w:val="left"/>
    </w:pPr>
    <w:rPr>
      <w:rFonts w:ascii="宋体" w:cs="宋体" w:hAnsi="宋体"/>
      <w:kern w:val="0"/>
      <w:sz w:val="24"/>
    </w:rPr>
  </w:style>
  <w:style w:type="paragraph" w:styleId="26">
    <w:name w:val="Body Text First Indent 2"/>
    <w:basedOn w:val="18"/>
    <w:pPr>
      <w:ind w:firstLineChars="200" w:firstLine="200"/>
    </w:pPr>
  </w:style>
  <w:style w:type="character" w:styleId="27">
    <w:name w:val="Strong"/>
    <w:basedOn w:val="10"/>
    <w:rPr>
      <w:b/>
    </w:rPr>
  </w:style>
  <w:style w:type="character" w:styleId="28">
    <w:name w:val="FollowedHyperlink"/>
    <w:basedOn w:val="10"/>
    <w:rPr>
      <w:color w:val="800080"/>
      <w:u w:val="single"/>
    </w:rPr>
  </w:style>
  <w:style w:type="character" w:styleId="29">
    <w:name w:val="Emphasis"/>
    <w:basedOn w:val="10"/>
    <w:rPr>
      <w:i/>
      <w:iCs/>
    </w:rPr>
  </w:style>
  <w:style w:type="character" w:styleId="30">
    <w:name w:val="Hyperlink"/>
    <w:basedOn w:val="10"/>
    <w:rPr>
      <w:color w:val="0000FF"/>
      <w:u w:val="single"/>
    </w:rPr>
  </w:style>
  <w:style w:type="character" w:customStyle="1" w:styleId="31">
    <w:name w:val="Header Char"/>
    <w:basedOn w:val="10"/>
    <w:rPr>
      <w:rFonts w:ascii="Times New Roman" w:hAnsi="Times New Roman"/>
      <w:sz w:val="18"/>
      <w:szCs w:val="18"/>
    </w:rPr>
  </w:style>
  <w:style w:type="character" w:customStyle="1" w:styleId="32">
    <w:name w:val="Footer Char"/>
    <w:basedOn w:val="10"/>
    <w:rPr>
      <w:rFonts w:ascii="Times New Roman" w:hAnsi="Times New Roman"/>
      <w:sz w:val="18"/>
      <w:szCs w:val="18"/>
    </w:rPr>
  </w:style>
  <w:style w:type="character" w:customStyle="1" w:styleId="33">
    <w:name w:val="Body Text Char"/>
    <w:basedOn w:val="10"/>
    <w:rPr>
      <w:rFonts w:ascii="Times New Roman" w:hAnsi="Times New Roman"/>
      <w:szCs w:val="24"/>
    </w:rPr>
  </w:style>
  <w:style w:type="paragraph" w:customStyle="1" w:styleId="34">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5">
    <w:name w:val="List Paragraph"/>
    <w:basedOn w:val="0"/>
    <w:pPr>
      <w:ind w:firstLineChars="200" w:firstLine="200"/>
    </w:pPr>
  </w:style>
  <w:style w:type="paragraph" w:customStyle="1" w:styleId="36">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7">
    <w:name w:val="TOC 标题2"/>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Times New Roman"/>
                <a:ea typeface="宋体"/>
                <a:cs typeface="Lucida Sans"/>
              </a:rPr>
              <a:t>收</a:t>
            </a:r>
            <a:r>
              <a:rPr lang="zh-CN" sz="1400" b="1" i="0" u="none" strike="noStrike" baseline="0">
                <a:solidFill>
                  <a:srgbClr val="595959"/>
                </a:solidFill>
                <a:latin typeface="Times New Roman"/>
                <a:ea typeface="宋体"/>
                <a:cs typeface="Lucida Sans"/>
              </a:rPr>
              <a:t>入</a:t>
            </a:r>
            <a:r>
              <a:rPr lang="zh-CN" sz="1400" b="1" i="0" u="none" strike="noStrike" baseline="0">
                <a:solidFill>
                  <a:srgbClr val="595959"/>
                </a:solidFill>
                <a:latin typeface="Times New Roman"/>
                <a:ea typeface="宋体"/>
                <a:cs typeface="Lucida Sans"/>
              </a:rPr>
              <a:t>、</a:t>
            </a:r>
            <a:r>
              <a:rPr lang="zh-CN" sz="1400" b="1" i="0" u="none" strike="noStrike" baseline="0">
                <a:solidFill>
                  <a:srgbClr val="595959"/>
                </a:solidFill>
                <a:latin typeface="Times New Roman"/>
                <a:ea typeface="宋体"/>
                <a:cs typeface="Lucida Sans"/>
              </a:rPr>
              <a:t>支出决算总体情况</a:t>
            </a:r>
          </a:p>
        </c:rich>
      </c:tx>
      <c:layout/>
      <c:overlay val="0"/>
      <c:spPr>
        <a:noFill/>
        <a:ln>
          <a:noFill/>
        </a:ln>
      </c:spPr>
    </c:title>
    <c:autoTitleDeleted val="1"/>
    <c:plotArea>
      <c:layout/>
      <c:barChart>
        <c:barDir val="col"/>
        <c:grouping val="clustered"/>
        <c:varyColors val="0"/>
        <c:ser>
          <c:idx val="0"/>
          <c:order val="0"/>
          <c:tx>
            <c:strRef>
              <c:f>'Sheet1'!$B$1</c:f>
              <c:strCache>
                <c:ptCount val="1"/>
                <c:pt idx="0">
                  <c:v>2019年度</c:v>
                </c:pt>
              </c:strCache>
            </c:strRef>
          </c:tx>
          <c:spPr>
            <a:solidFill>
              <a:srgbClr val="4F81BD"/>
            </a:solidFill>
            <a:ln>
              <a:noFill/>
            </a:ln>
          </c:spPr>
          <c:invertIfNegative val="0"/>
          <c:dPt>
            <c:idx val="0"/>
            <c:invertIfNegative val="0"/>
            <c:bubble3D val="0"/>
            <c:spPr>
              <a:solidFill>
                <a:srgbClr val="0070C0"/>
              </a:solidFill>
              <a:ln>
                <a:noFill/>
              </a:ln>
            </c:spPr>
          </c:dPt>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收入总计</c:v>
                </c:pt>
                <c:pt idx="1">
                  <c:v>支出总计</c:v>
                </c:pt>
              </c:strCache>
            </c:strRef>
          </c:cat>
          <c:val>
            <c:numRef>
              <c:f>'Sheet1'!$B$2:$B$3</c:f>
              <c:numCache>
                <c:formatCode>General</c:formatCode>
                <c:ptCount val="2"/>
                <c:pt idx="0">
                  <c:v>926.61</c:v>
                </c:pt>
                <c:pt idx="1">
                  <c:v>883.6</c:v>
                </c:pt>
              </c:numCache>
            </c:numRef>
          </c:val>
        </c:ser>
        <c:ser>
          <c:idx val="1"/>
          <c:order val="1"/>
          <c:tx>
            <c:strRef>
              <c:f>'Sheet1'!$C$1</c:f>
              <c:strCache>
                <c:ptCount val="1"/>
                <c:pt idx="0">
                  <c:v>2020年度</c:v>
                </c:pt>
              </c:strCache>
            </c:strRef>
          </c:tx>
          <c:spPr>
            <a:solidFill>
              <a:srgbClr val="C0504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收入总计</c:v>
                </c:pt>
                <c:pt idx="1">
                  <c:v>支出总计</c:v>
                </c:pt>
              </c:strCache>
            </c:strRef>
          </c:cat>
          <c:val>
            <c:numRef>
              <c:f>'Sheet1'!$C$2:$C$3</c:f>
              <c:numCache>
                <c:formatCode>General</c:formatCode>
                <c:ptCount val="2"/>
                <c:pt idx="0">
                  <c:v>1079.95</c:v>
                </c:pt>
                <c:pt idx="1">
                  <c:v>1106.09</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1200" b="1"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1200" b="1"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00"/>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b="1" i="0" u="none" strike="noStrike" baseline="0">
                <a:solidFill>
                  <a:srgbClr val="595959"/>
                </a:solidFill>
                <a:latin typeface="Times New Roman"/>
                <a:ea typeface="宋体"/>
                <a:cs typeface="Lucida Sans"/>
              </a:defRPr>
            </a:pPr>
            <a:r>
              <a:rPr lang="zh-CN"/>
              <a:t>收入情况</a:t>
            </a:r>
          </a:p>
        </c:rich>
      </c:tx>
      <c:layout>
        <c:manualLayout>
          <c:xMode val="edge"/>
          <c:yMode val="edge"/>
          <c:x val="0.46583194"/>
          <c:y val="0.020639835"/>
        </c:manualLayout>
      </c:layout>
      <c:overlay val="0"/>
      <c:spPr>
        <a:noFill/>
        <a:ln>
          <a:noFill/>
        </a:ln>
      </c:spPr>
    </c:title>
    <c:autoTitleDeleted val="1"/>
    <c:plotArea>
      <c:layout/>
      <c:pieChart>
        <c:varyColors val="0"/>
        <c:ser>
          <c:idx val="0"/>
          <c:order val="0"/>
          <c:tx>
            <c:strRef>
              <c:f>'Sheet1 (2)'!$B$1</c:f>
              <c:strCache>
                <c:ptCount val="1"/>
                <c:pt idx="0">
                  <c:v>2019</c:v>
                </c:pt>
              </c:strCache>
            </c:strRef>
          </c:tx>
          <c:spPr>
            <a:solidFill>
              <a:srgbClr val="00B0F0"/>
            </a:solidFill>
          </c:spPr>
          <c:dPt>
            <c:idx val="0"/>
            <c:bubble3D val="0"/>
            <c:spPr>
              <a:solidFill>
                <a:srgbClr val="00B0F0"/>
              </a:solidFill>
              <a:ln w="19050">
                <a:solidFill>
                  <a:srgbClr val="FFFFFF"/>
                </a:solidFill>
                <a:prstDash val="solid"/>
              </a:ln>
            </c:spPr>
          </c:dPt>
          <c:dLbls>
            <c:showLegendKey val="0"/>
            <c:showVal val="0"/>
            <c:showCatName val="0"/>
            <c:showSerName val="0"/>
            <c:showPercent val="0"/>
            <c:showBubbleSize val="0"/>
            <c:showLeaderLines val="1"/>
          </c:dLbls>
          <c:cat>
            <c:strRef>
              <c:f>'Sheet1 (2)'!$A$2</c:f>
              <c:strCache>
                <c:ptCount val="1"/>
                <c:pt idx="0">
                  <c:v>一般公共预算财政拨款收入</c:v>
                </c:pt>
              </c:strCache>
            </c:strRef>
          </c:cat>
          <c:val>
            <c:numRef>
              <c:f>Sheet1 (2)!$B$2</c:f>
              <c:numCache>
                <c:formatCode>0%</c:formatCode>
                <c:ptCount val="1"/>
                <c:pt idx="0">
                  <c:v>1.0</c:v>
                </c:pt>
              </c:numCache>
            </c:numRef>
          </c:val>
        </c:ser>
        <c:firstSliceAng val="0"/>
      </c:pieChart>
      <c:spPr>
        <a:noFill/>
        <a:ln>
          <a:noFill/>
        </a:ln>
      </c:spPr>
    </c:plotArea>
    <c:legend>
      <c:legendPos val="b"/>
      <c:layout/>
      <c:overlay val="0"/>
      <c:spPr>
        <a:noFill/>
        <a:ln>
          <a:noFill/>
        </a:ln>
      </c:spPr>
      <c:txPr>
        <a:bodyPr/>
        <a:lstStyle/>
        <a:p>
          <a:pPr>
            <a:defRPr sz="12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00"/>
    </a:solidFill>
    <a:ln w="6350">
      <a:solidFill>
        <a:srgbClr val="FFFF00"/>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b="0" i="0" u="none" strike="noStrike" baseline="0">
                <a:solidFill>
                  <a:srgbClr val="595959"/>
                </a:solidFill>
                <a:latin typeface="Times New Roman"/>
                <a:ea typeface="宋体"/>
                <a:cs typeface="Lucida Sans"/>
              </a:defRPr>
            </a:pPr>
            <a:r>
              <a:rPr lang="zh-CN"/>
              <a:t>支出决算结构图</a:t>
            </a:r>
          </a:p>
        </c:rich>
      </c:tx>
      <c:layout/>
      <c:overlay val="0"/>
      <c:spPr>
        <a:noFill/>
        <a:ln>
          <a:noFill/>
        </a:ln>
      </c:spPr>
    </c:title>
    <c:autoTitleDeleted val="1"/>
    <c:plotArea>
      <c:layout>
        <c:manualLayout>
          <c:layoutTarget val="inner"/>
          <c:xMode val="edge"/>
          <c:yMode val="edge"/>
          <c:x val="0.08559187"/>
          <c:y val="0.22117183"/>
          <c:w val="0.86807257"/>
          <c:h val="0.6024475"/>
        </c:manualLayout>
      </c:layout>
      <c:pieChart>
        <c:varyColors val="0"/>
        <c:ser>
          <c:idx val="0"/>
          <c:order val="0"/>
          <c:tx>
            <c:strRef>
              <c:f>'Sheet1 (3)'!$B$1</c:f>
              <c:strCache>
                <c:ptCount val="1"/>
                <c:pt idx="0">
                  <c:v>支出决算</c:v>
                </c:pt>
              </c:strCache>
            </c:strRef>
          </c:tx>
          <c:spPr>
            <a:solidFill>
              <a:srgbClr val="4F81BD"/>
            </a:solidFill>
          </c:spPr>
          <c:explosion val="2"/>
          <c:dPt>
            <c:idx val="0"/>
            <c:bubble3D val="0"/>
            <c:spPr>
              <a:solidFill>
                <a:srgbClr val="FF0000"/>
              </a:solidFill>
              <a:ln w="25400">
                <a:solidFill>
                  <a:srgbClr val="FFFFFF"/>
                </a:solidFill>
                <a:prstDash val="solid"/>
              </a:ln>
            </c:spPr>
          </c:dPt>
          <c:dPt>
            <c:idx val="1"/>
            <c:bubble3D val="0"/>
            <c:spPr>
              <a:solidFill>
                <a:srgbClr val="FFFF00"/>
              </a:solidFill>
              <a:ln w="25400">
                <a:solidFill>
                  <a:srgbClr val="FFFFFF"/>
                </a:solidFill>
                <a:prstDash val="solid"/>
              </a:ln>
            </c:spPr>
          </c:dPt>
          <c:dLbls>
            <c:showLegendKey val="0"/>
            <c:showVal val="0"/>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0.00%</c:formatCode>
                <c:ptCount val="2"/>
                <c:pt idx="0">
                  <c:v>0.7141</c:v>
                </c:pt>
                <c:pt idx="1">
                  <c:v>0.2859</c:v>
                </c:pt>
              </c:numCache>
            </c:numRef>
          </c:val>
        </c:ser>
        <c:firstSliceAng val="15"/>
      </c:pieChart>
      <c:spPr>
        <a:noFill/>
        <a:ln>
          <a:noFill/>
        </a:ln>
      </c:spPr>
    </c:plotArea>
    <c:legend>
      <c:legendPos val="b"/>
      <c:layout/>
      <c:overlay val="0"/>
      <c:spPr>
        <a:noFill/>
        <a:ln>
          <a:noFill/>
        </a:ln>
      </c:spPr>
      <c:txPr>
        <a:bodyPr/>
        <a:lstStyle/>
        <a:p>
          <a:pPr>
            <a:defRPr sz="15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B7DEE8"/>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595959"/>
                </a:solidFill>
                <a:latin typeface="Times New Roman"/>
                <a:ea typeface="宋体"/>
                <a:cs typeface="Lucida Sans"/>
              </a:defRPr>
            </a:pPr>
            <a:r>
              <a:rPr lang="zh-CN"/>
              <a:t>财政拨款收、支决算总计变动情况</a:t>
            </a:r>
          </a:p>
        </c:rich>
      </c:tx>
      <c:layout/>
      <c:overlay val="0"/>
      <c:spPr>
        <a:noFill/>
        <a:ln>
          <a:noFill/>
        </a:ln>
      </c:spPr>
    </c:title>
    <c:autoTitleDeleted val="1"/>
    <c:plotArea>
      <c:layout>
        <c:manualLayout>
          <c:layoutTarget val="inner"/>
          <c:xMode val="edge"/>
          <c:yMode val="edge"/>
          <c:x val="0.06869524"/>
          <c:y val="0.1480035"/>
          <c:w val="0.9048179"/>
          <c:h val="0.67270267"/>
        </c:manualLayout>
      </c:layout>
      <c:barChart>
        <c:barDir val="col"/>
        <c:grouping val="clustered"/>
        <c:varyColors val="0"/>
        <c:ser>
          <c:idx val="0"/>
          <c:order val="0"/>
          <c:tx>
            <c:strRef>
              <c:f>'Sheet1 (4)'!$B$1</c:f>
              <c:strCache>
                <c:ptCount val="1"/>
                <c:pt idx="0">
                  <c:v>2019年度</c:v>
                </c:pt>
              </c:strCache>
            </c:strRef>
          </c:tx>
          <c:spPr>
            <a:solidFill>
              <a:srgbClr val="FF0000"/>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财政拨款收入</c:v>
                </c:pt>
                <c:pt idx="1">
                  <c:v>财政拨款支出</c:v>
                </c:pt>
              </c:strCache>
            </c:strRef>
          </c:cat>
          <c:val>
            <c:numRef>
              <c:f>'Sheet1 (4)'!$B$2:$B$3</c:f>
              <c:numCache>
                <c:formatCode>General</c:formatCode>
                <c:ptCount val="2"/>
                <c:pt idx="0">
                  <c:v>926.61</c:v>
                </c:pt>
                <c:pt idx="1">
                  <c:v>883.6</c:v>
                </c:pt>
              </c:numCache>
            </c:numRef>
          </c:val>
        </c:ser>
        <c:ser>
          <c:idx val="1"/>
          <c:order val="1"/>
          <c:tx>
            <c:strRef>
              <c:f>'Sheet1 (4)'!$C$1</c:f>
              <c:strCache>
                <c:ptCount val="1"/>
                <c:pt idx="0">
                  <c:v>2020年度</c:v>
                </c:pt>
              </c:strCache>
            </c:strRef>
          </c:tx>
          <c:spPr>
            <a:solidFill>
              <a:srgbClr val="00B050"/>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财政拨款收入</c:v>
                </c:pt>
                <c:pt idx="1">
                  <c:v>财政拨款支出</c:v>
                </c:pt>
              </c:strCache>
            </c:strRef>
          </c:cat>
          <c:val>
            <c:numRef>
              <c:f>'Sheet1 (4)'!$C$2:$C$3</c:f>
              <c:numCache>
                <c:formatCode>General</c:formatCode>
                <c:ptCount val="2"/>
                <c:pt idx="0">
                  <c:v>1079.95</c:v>
                </c:pt>
                <c:pt idx="1">
                  <c:v>1106.09</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12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12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B7DEE8"/>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595959"/>
                </a:solidFill>
                <a:latin typeface="Times New Roman"/>
                <a:ea typeface="宋体"/>
                <a:cs typeface="Lucida Sans"/>
              </a:defRPr>
            </a:pPr>
            <a:r>
              <a:rPr lang="zh-CN"/>
              <a:t>一般公共预算财政拨款支出决算变动情况</a:t>
            </a:r>
          </a:p>
        </c:rich>
      </c:tx>
      <c:layout/>
      <c:overlay val="0"/>
      <c:spPr>
        <a:noFill/>
        <a:ln>
          <a:noFill/>
        </a:ln>
      </c:spPr>
    </c:title>
    <c:autoTitleDeleted val="1"/>
    <c:plotArea>
      <c:layout/>
      <c:barChart>
        <c:barDir val="col"/>
        <c:grouping val="clustered"/>
        <c:varyColors val="0"/>
        <c:ser>
          <c:idx val="0"/>
          <c:order val="0"/>
          <c:tx>
            <c:strRef>
              <c:f>'Sheet1 (5)'!$B$1</c:f>
              <c:strCache>
                <c:ptCount val="1"/>
                <c:pt idx="0">
                  <c:v>2019年度</c:v>
                </c:pt>
              </c:strCache>
            </c:strRef>
          </c:tx>
          <c:spPr>
            <a:solidFill>
              <a:srgbClr val="4F81B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一般公共预算财政拨款支出</c:v>
                </c:pt>
              </c:strCache>
            </c:strRef>
          </c:cat>
          <c:val>
            <c:numRef>
              <c:f>Sheet1 (5)!$B$2</c:f>
              <c:numCache>
                <c:formatCode>General</c:formatCode>
                <c:ptCount val="1"/>
                <c:pt idx="0">
                  <c:v>883.6</c:v>
                </c:pt>
              </c:numCache>
            </c:numRef>
          </c:val>
        </c:ser>
        <c:ser>
          <c:idx val="1"/>
          <c:order val="1"/>
          <c:tx>
            <c:strRef>
              <c:f>'Sheet1 (5)'!$C$1</c:f>
              <c:strCache>
                <c:ptCount val="1"/>
                <c:pt idx="0">
                  <c:v>2020年度</c:v>
                </c:pt>
              </c:strCache>
            </c:strRef>
          </c:tx>
          <c:spPr>
            <a:solidFill>
              <a:srgbClr val="C0504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一般公共预算财政拨款支出</c:v>
                </c:pt>
              </c:strCache>
            </c:strRef>
          </c:cat>
          <c:val>
            <c:numRef>
              <c:f>Sheet1 (5)!$C$2</c:f>
              <c:numCache>
                <c:formatCode>General</c:formatCode>
                <c:ptCount val="1"/>
                <c:pt idx="0">
                  <c:v>1106.09</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12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12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DEADA"/>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(6)'!$B$1</c:f>
              <c:strCache>
                <c:ptCount val="1"/>
                <c:pt idx="0">
                  <c:v>一般公共预算财政拨款支出决算结构</c:v>
                </c:pt>
              </c:strCache>
            </c:strRef>
          </c:tx>
          <c:spPr>
            <a:solidFill>
              <a:srgbClr val="4F81BD"/>
            </a:solidFill>
          </c:spPr>
          <c:dPt>
            <c:idx val="0"/>
            <c:bubble3D val="0"/>
            <c:spPr>
              <a:solidFill>
                <a:srgbClr val="00B0F0"/>
              </a:solidFill>
              <a:ln w="19050">
                <a:solidFill>
                  <a:srgbClr val="FFFFFF"/>
                </a:solidFill>
                <a:prstDash val="solid"/>
              </a:ln>
            </c:spPr>
          </c:dPt>
          <c:dPt>
            <c:idx val="1"/>
            <c:bubble3D val="0"/>
            <c:spPr>
              <a:solidFill>
                <a:srgbClr val="92D050"/>
              </a:solidFill>
              <a:ln w="19050">
                <a:solidFill>
                  <a:srgbClr val="FFFFFF"/>
                </a:solidFill>
                <a:prstDash val="solid"/>
              </a:ln>
            </c:spPr>
          </c:dPt>
          <c:dPt>
            <c:idx val="2"/>
            <c:bubble3D val="0"/>
            <c:spPr>
              <a:solidFill>
                <a:srgbClr val="FFFF00"/>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FF0000"/>
              </a:solidFill>
              <a:ln w="19050">
                <a:solidFill>
                  <a:srgbClr val="FFFFFF"/>
                </a:solidFill>
                <a:prstDash val="solid"/>
              </a:ln>
            </c:spPr>
          </c:dPt>
          <c:dLbls>
            <c:showLegendKey val="0"/>
            <c:showVal val="0"/>
            <c:showCatName val="0"/>
            <c:showSerName val="0"/>
            <c:showPercent val="0"/>
            <c:showBubbleSize val="0"/>
            <c:showLeaderLines val="1"/>
          </c:dLbls>
          <c:cat>
            <c:strRef>
              <c:f>'Sheet1 (6)'!$A$2:$A$6</c:f>
              <c:strCache>
                <c:ptCount val="5"/>
                <c:pt idx="0">
                  <c:v>一般公共服务（类）支出</c:v>
                </c:pt>
                <c:pt idx="1">
                  <c:v>社会保障和就业（类）支出</c:v>
                </c:pt>
                <c:pt idx="2">
                  <c:v>卫生健康支出</c:v>
                </c:pt>
                <c:pt idx="3">
                  <c:v>农林水支出</c:v>
                </c:pt>
                <c:pt idx="4">
                  <c:v>住房保障支出</c:v>
                </c:pt>
              </c:strCache>
            </c:strRef>
          </c:cat>
          <c:val>
            <c:numRef>
              <c:f>'Sheet1 (6)'!$B$2:$B$6</c:f>
              <c:numCache>
                <c:formatCode>0.00%</c:formatCode>
                <c:ptCount val="5"/>
                <c:pt idx="0">
                  <c:v>0.8827</c:v>
                </c:pt>
                <c:pt idx="1">
                  <c:v>0.0601</c:v>
                </c:pt>
                <c:pt idx="2">
                  <c:v>0.023</c:v>
                </c:pt>
                <c:pt idx="3">
                  <c:v>4.0E-4</c:v>
                </c:pt>
                <c:pt idx="4">
                  <c:v>0.0338</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CD5B5"/>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“三公”经费财政拨款支出结构</a:t>
            </a:r>
          </a:p>
        </c:rich>
      </c:tx>
      <c:layout/>
      <c:overlay val="0"/>
      <c:spPr>
        <a:noFill/>
        <a:ln>
          <a:noFill/>
        </a:ln>
      </c:spPr>
    </c:title>
    <c:autoTitleDeleted val="1"/>
    <c:plotArea>
      <c:layout/>
      <c:pieChart>
        <c:varyColors val="0"/>
        <c:ser>
          <c:idx val="0"/>
          <c:order val="0"/>
          <c:tx>
            <c:strRef>
              <c:f>'Sheet1 (7)'!$B$1</c:f>
              <c:strCache>
                <c:ptCount val="1"/>
                <c:pt idx="0">
                  <c:v>系列 1</c:v>
                </c:pt>
              </c:strCache>
            </c:strRef>
          </c:tx>
          <c:spPr>
            <a:solidFill>
              <a:srgbClr val="4F81BD"/>
            </a:solidFill>
          </c:spPr>
          <c:dPt>
            <c:idx val="0"/>
            <c:bubble3D val="0"/>
            <c:spPr>
              <a:solidFill>
                <a:srgbClr val="FF0000"/>
              </a:solidFill>
              <a:ln>
                <a:noFill/>
              </a:ln>
            </c:spPr>
          </c:dPt>
          <c:dLbls>
            <c:dLbl>
              <c:idx val="0"/>
              <c:layout>
                <c:manualLayout>
                  <c:x val="0.050565857"/>
                  <c:y val="-0.18163055"/>
                </c:manualLayout>
              </c:layout>
              <c:spPr>
                <a:solidFill>
                  <a:srgbClr val="FFFFFF"/>
                </a:solidFill>
                <a:ln w="6350">
                  <a:solidFill>
                    <a:srgbClr val="BFBFBF"/>
                  </a:solidFill>
                  <a:prstDash val="solid"/>
                </a:ln>
              </c:spPr>
              <c:txPr>
                <a:bodyPr vert="horz"/>
                <a:lstStyle/>
                <a:p>
                  <a:pPr>
                    <a:defRPr sz="1100" b="0" i="0" u="none" strike="noStrike" baseline="0">
                      <a:solidFill>
                        <a:srgbClr val="595959"/>
                      </a:solidFill>
                      <a:latin typeface="Times New Roman"/>
                      <a:ea typeface="宋体"/>
                      <a:cs typeface="Lucida Sans"/>
                    </a:defRPr>
                  </a:pPr>
                  <a:endParaRPr lang="zh-CN"/>
                </a:p>
              </c:txPr>
              <c:dLblPos val="bestFit"/>
              <c:showLegendKey val="0"/>
              <c:showVal val="0"/>
              <c:showCatName val="0"/>
              <c:showSerName val="0"/>
              <c:showPercent val="0"/>
              <c:showBubbleSize val="0"/>
              <c:separator>
</c:separator>
            </c:dLbl>
            <c:dLblPos val="outEnd"/>
            <c:showLegendKey val="0"/>
            <c:showVal val="0"/>
            <c:showCatName val="0"/>
            <c:showSerName val="0"/>
            <c:showPercent val="0"/>
            <c:showBubbleSize val="0"/>
            <c:showLeaderLines val="1"/>
          </c:dLbls>
          <c:cat>
            <c:strRef>
              <c:f>'Sheet1 (7)'!$A$2</c:f>
              <c:strCache>
                <c:ptCount val="1"/>
                <c:pt idx="0">
                  <c:v>公务接待费支出</c:v>
                </c:pt>
              </c:strCache>
            </c:strRef>
          </c:cat>
          <c:val>
            <c:numRef>
              <c:f>Sheet1 (7)!$B$2</c:f>
              <c:numCache>
                <c:formatCode>0.00%</c:formatCode>
                <c:ptCount val="1"/>
                <c:pt idx="0">
                  <c:v>1.0</c:v>
                </c:pt>
              </c:numCache>
            </c:numRef>
          </c:val>
        </c:ser>
        <c:firstSliceAng val="0"/>
      </c:pieChart>
      <c:spPr>
        <a:noFill/>
        <a:ln>
          <a:noFill/>
        </a:ln>
      </c:spPr>
    </c:plotArea>
    <c:legend>
      <c:legendPos val="b"/>
      <c:layout/>
      <c:overlay val="0"/>
      <c:spPr>
        <a:noFill/>
        <a:ln>
          <a:noFill/>
        </a:ln>
      </c:spPr>
      <c:txPr>
        <a:bodyPr/>
        <a:lstStyle/>
        <a:p>
          <a:pPr>
            <a:defRPr sz="1200" b="1"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B7DEE8"/>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07CF6D6-D348-4F48-B7BD-760A40B0B74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50</Pages>
  <Words>0</Words>
  <Characters>15700</Characters>
  <Lines>0</Lines>
  <Paragraphs>435</Paragraphs>
  <CharactersWithSpaces>20934</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cp:revision>
  <cp:lastPrinted>2020-07-24T02:58:00Z</cp:lastPrinted>
  <dcterms:created xsi:type="dcterms:W3CDTF">2021-09-28T07:26:00Z</dcterms:created>
  <dcterms:modified xsi:type="dcterms:W3CDTF">2024-05-27T01:06:46Z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y fmtid="{D5CDD505-2E9C-101B-9397-08002B2CF9AE}" pid="3" name="ICV">
    <vt:lpwstr>F8FE80AF59CC482C93E4F4F63557F298</vt:lpwstr>
  </property>
</Properties>
</file>