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bookmarkStart w:id="73" w:name="_GoBack"/>
      <w:bookmarkEnd w:id="7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598"/>
      <w:bookmarkStart w:id="9" w:name="_Toc15377194"/>
      <w:bookmarkStart w:id="10" w:name="_Toc15396476"/>
      <w:r>
        <w:rPr>
          <w:rFonts w:hint="eastAsia" w:ascii="方正小标宋简体" w:hAnsi="宋体" w:eastAsia="方正小标宋简体"/>
          <w:color w:val="000000"/>
          <w:sz w:val="72"/>
          <w:szCs w:val="72"/>
        </w:rPr>
        <w:t>广元市利州区</w:t>
      </w:r>
      <w:bookmarkEnd w:id="0"/>
      <w:bookmarkStart w:id="11" w:name="_Toc15306268"/>
      <w:r>
        <w:rPr>
          <w:rFonts w:ascii="方正小标宋简体" w:hAnsi="宋体" w:eastAsia="方正小标宋简体"/>
          <w:color w:val="000000"/>
          <w:sz w:val="72"/>
          <w:szCs w:val="72"/>
        </w:rPr>
        <w:t>妇联</w:t>
      </w:r>
      <w:r>
        <w:rPr>
          <w:rFonts w:hint="eastAsia" w:ascii="方正小标宋简体" w:hAnsi="宋体" w:eastAsia="方正小标宋简体"/>
          <w:color w:val="000000"/>
          <w:sz w:val="72"/>
          <w:szCs w:val="72"/>
        </w:rPr>
        <w:t>部门</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cs="仿宋"/>
          <w:sz w:val="32"/>
          <w:szCs w:val="32"/>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ascii="仿宋" w:hAnsi="仿宋" w:eastAsia="仿宋"/>
          <w:sz w:val="32"/>
          <w:szCs w:val="32"/>
        </w:rPr>
      </w:pPr>
      <w:r>
        <w:rPr>
          <w:rFonts w:hint="eastAsia" w:ascii="仿宋" w:hAnsi="仿宋" w:eastAsia="仿宋"/>
          <w:sz w:val="32"/>
          <w:szCs w:val="32"/>
        </w:rPr>
        <w:t>2019年以来，在区委区政府和市妇联的正确领导下，</w:t>
      </w:r>
      <w:r>
        <w:rPr>
          <w:rFonts w:hint="eastAsia" w:ascii="仿宋" w:hAnsi="仿宋" w:eastAsia="仿宋" w:cs="方正仿宋简体"/>
          <w:kern w:val="0"/>
          <w:sz w:val="32"/>
          <w:szCs w:val="32"/>
        </w:rPr>
        <w:t>区妇联以新中国成立70周年为契机，围绕</w:t>
      </w:r>
      <w:r>
        <w:rPr>
          <w:rFonts w:hint="eastAsia" w:ascii="仿宋" w:hAnsi="仿宋" w:eastAsia="仿宋"/>
          <w:sz w:val="32"/>
          <w:szCs w:val="32"/>
        </w:rPr>
        <w:t>“巾帼心党”“巾帼维权服务”、“巾帼建新功”、“家庭文明建”四大提升行动，</w:t>
      </w:r>
      <w:r>
        <w:rPr>
          <w:rFonts w:hint="eastAsia" w:ascii="仿宋" w:hAnsi="仿宋" w:eastAsia="仿宋" w:cs="方正仿宋简体"/>
          <w:kern w:val="0"/>
          <w:sz w:val="32"/>
          <w:szCs w:val="32"/>
        </w:rPr>
        <w:t>突出两项工作重点，全力抓好妇联工作。举办庆祝新中国成立70周年暨</w:t>
      </w:r>
      <w:r>
        <w:rPr>
          <w:rFonts w:hint="eastAsia" w:ascii="仿宋" w:hAnsi="仿宋" w:eastAsia="仿宋" w:cs="方正仿宋简体"/>
          <w:kern w:val="0"/>
          <w:sz w:val="32"/>
          <w:szCs w:val="32"/>
          <w:lang w:eastAsia="zh-CN"/>
        </w:rPr>
        <w:t>庆祝</w:t>
      </w:r>
      <w:r>
        <w:rPr>
          <w:rFonts w:hint="eastAsia" w:ascii="仿宋" w:hAnsi="仿宋" w:eastAsia="仿宋" w:cs="方正仿宋简体"/>
          <w:kern w:val="0"/>
          <w:sz w:val="32"/>
          <w:szCs w:val="32"/>
        </w:rPr>
        <w:t>“三八”国际劳动妇女节109周年女子诗歌诵读比赛。举办“投身’九项工作大比武’ 献礼新中国成立70周年”女性座谈会。开展了“巾帼心向党 礼赞新中国”群众性宣传教育活动。做好来电来访接待工作。认真接</w:t>
      </w:r>
      <w:r>
        <w:rPr>
          <w:rFonts w:hint="eastAsia" w:ascii="仿宋" w:hAnsi="仿宋" w:eastAsia="仿宋" w:cs="仿宋_GB2312"/>
          <w:bCs/>
          <w:kern w:val="0"/>
          <w:sz w:val="32"/>
          <w:szCs w:val="32"/>
        </w:rPr>
        <w:t>待来电来访群众，</w:t>
      </w:r>
      <w:r>
        <w:rPr>
          <w:rFonts w:hint="eastAsia" w:ascii="仿宋" w:hAnsi="仿宋" w:eastAsia="仿宋"/>
          <w:spacing w:val="-2"/>
          <w:sz w:val="32"/>
          <w:szCs w:val="32"/>
        </w:rPr>
        <w:t>结案率为100%，所有信访件均得到妥善处理，妇联系统未发生一起集体上访和越级上访事件。</w:t>
      </w:r>
      <w:r>
        <w:rPr>
          <w:rFonts w:hint="eastAsia" w:ascii="仿宋" w:hAnsi="仿宋" w:eastAsia="仿宋"/>
          <w:sz w:val="32"/>
          <w:szCs w:val="32"/>
        </w:rPr>
        <w:t>全力做好贫困妇女儿童帮扶救助和儿童关爱工作。持续做好妇联基层组织建设工作。创新做好“两纲”工作；做好精准扶贫工作。</w:t>
      </w:r>
    </w:p>
    <w:p>
      <w:pPr>
        <w:pStyle w:val="3"/>
        <w:spacing w:before="0" w:after="0" w:line="240" w:lineRule="auto"/>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s="仿宋_GB2312"/>
          <w:sz w:val="32"/>
          <w:szCs w:val="32"/>
        </w:rPr>
      </w:pPr>
      <w:r>
        <w:rPr>
          <w:rFonts w:hint="eastAsia" w:ascii="仿宋" w:hAnsi="仿宋" w:eastAsia="仿宋"/>
          <w:sz w:val="32"/>
          <w:szCs w:val="32"/>
        </w:rPr>
        <w:t>本部门是参照公务员法管理单位，属一级财政预算单位，受区委区政府领导，岗位设置为主席、副主席、办公室和妇女儿童权益办公室。</w:t>
      </w:r>
    </w:p>
    <w:p>
      <w:pPr>
        <w:pStyle w:val="2"/>
        <w:keepNext w:val="0"/>
        <w:keepLines w:val="0"/>
        <w:spacing w:before="0" w:after="0" w:line="240" w:lineRule="auto"/>
        <w:ind w:right="442"/>
        <w:jc w:val="right"/>
        <w:rPr>
          <w:rFonts w:ascii="黑体" w:hAnsi="黑体" w:eastAsia="黑体"/>
          <w:b w:val="0"/>
          <w:color w:val="000000"/>
        </w:rPr>
      </w:pPr>
      <w:bookmarkStart w:id="22" w:name="_Toc15377204"/>
      <w:bookmarkStart w:id="23" w:name="_Toc15396602"/>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keepNext w:val="0"/>
        <w:keepLines w:val="0"/>
        <w:spacing w:before="0" w:after="0" w:line="240" w:lineRule="auto"/>
        <w:ind w:right="442"/>
        <w:jc w:val="right"/>
        <w:rPr>
          <w:rFonts w:ascii="黑体" w:hAnsi="黑体" w:eastAsia="黑体"/>
          <w:b w:val="0"/>
          <w:color w:val="000000"/>
        </w:rPr>
      </w:pPr>
    </w:p>
    <w:p>
      <w:pPr>
        <w:pStyle w:val="2"/>
        <w:spacing w:before="0" w:after="0" w:line="240" w:lineRule="auto"/>
        <w:ind w:right="442"/>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ind w:firstLine="640" w:firstLineChars="200"/>
        <w:rPr>
          <w:rFonts w:ascii="仿宋" w:hAnsi="仿宋" w:eastAsia="仿宋"/>
          <w:sz w:val="32"/>
          <w:szCs w:val="32"/>
        </w:rPr>
      </w:pPr>
      <w:r>
        <w:rPr>
          <w:rFonts w:hint="eastAsia" w:ascii="仿宋" w:hAnsi="仿宋" w:eastAsia="仿宋"/>
          <w:sz w:val="32"/>
          <w:szCs w:val="32"/>
        </w:rPr>
        <w:t>2019年度收入总计144.94万元。与2018年收入130.74万元相比，收入总计增加14.2万元，增加11%。主要是项目预算增加。</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2019年度支出总计138.86万元。与2018年支出127.24万元相比，支出总计增加11.62万元，增加9%。主要为人员养老保险调标，项目增加。</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4790440" cy="2771775"/>
            <wp:effectExtent l="19050" t="0" r="1016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rPr>
          <w:rFonts w:ascii="仿宋" w:hAnsi="仿宋" w:eastAsia="仿宋"/>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9年本年收入合计144.94万元，其中：一般公共预算财政拨款收入144.94万元，占100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4582160" cy="2129155"/>
            <wp:effectExtent l="19050" t="0" r="27526" b="383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9年本年支出合计138.86万元，其中：基本支出86.2万元，占62</w:t>
      </w:r>
      <w:r>
        <w:rPr>
          <w:rFonts w:ascii="仿宋" w:hAnsi="仿宋" w:eastAsia="仿宋"/>
          <w:color w:val="000000"/>
          <w:sz w:val="32"/>
          <w:szCs w:val="32"/>
        </w:rPr>
        <w:t>%</w:t>
      </w:r>
      <w:r>
        <w:rPr>
          <w:rFonts w:hint="eastAsia" w:ascii="仿宋" w:hAnsi="仿宋" w:eastAsia="仿宋"/>
          <w:color w:val="000000"/>
          <w:sz w:val="32"/>
          <w:szCs w:val="32"/>
        </w:rPr>
        <w:t>；项目支出52.66万元，占38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4564380" cy="2762250"/>
            <wp:effectExtent l="19050" t="0" r="26193"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2019年度收入总计144.94万元。与2018年收入130.74万元相比，收入总计增加14.2万元，增加11%。主要是项目预算增加。</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2019年度支出总计138.86万元。与2018年支出127.24万元相比，支出总计增加11.62万元，增加9%。主要为人员养老保险调标，项目增加。</w:t>
      </w: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34030"/>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9年一般公共预算财政拨款支出138.86万元，占本年支出合计的100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8年相比，一般公共预算财政拨款增加11.62万元，增长9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人员养老保险调标，项目增加。</w:t>
      </w:r>
    </w:p>
    <w:p>
      <w:pPr>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2491105"/>
            <wp:effectExtent l="19050" t="0" r="21590" b="4293"/>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仿宋" w:hAnsi="仿宋" w:eastAsia="仿宋"/>
          <w:color w:val="000000"/>
          <w:sz w:val="32"/>
          <w:szCs w:val="32"/>
        </w:rPr>
      </w:pP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政拨款支出138.86万元，主要用于以下方面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支出122.59万元，占88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支出8万元，占6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3.18万元，占2</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；住房保障支出5.09万元，占4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 xml:space="preserve"> </w:t>
      </w:r>
    </w:p>
    <w:p>
      <w:pPr>
        <w:ind w:firstLine="641"/>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3722370" cy="2731770"/>
            <wp:effectExtent l="19050" t="0" r="10839"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1"/>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rPr>
        <w:t>2019年一般公共预算支出决算数为138.86万元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预算96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一般公共服务：行政运行(2012901)</w:t>
      </w:r>
      <w:r>
        <w:rPr>
          <w:rStyle w:val="14"/>
          <w:rFonts w:hint="eastAsia" w:ascii="仿宋" w:hAnsi="仿宋" w:eastAsia="仿宋"/>
          <w:b w:val="0"/>
          <w:bCs/>
          <w:color w:val="000000"/>
          <w:sz w:val="32"/>
          <w:szCs w:val="32"/>
        </w:rPr>
        <w:t>支出决算为69.93万元，一般行政管理事务（2012902）支出决算数为29.66万元，其他群众团体事务（2012999）支出决算数为23万元，完成预算100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社会保障和就业：机关事业单位基本养老保险缴费支出</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2080505</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支出决算为7.56万元，完成预算100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卫生健康：行政单位医疗（2101101）</w:t>
      </w:r>
      <w:r>
        <w:rPr>
          <w:rStyle w:val="14"/>
          <w:rFonts w:hint="eastAsia" w:ascii="仿宋" w:hAnsi="仿宋" w:eastAsia="仿宋"/>
          <w:b w:val="0"/>
          <w:bCs/>
          <w:color w:val="000000"/>
          <w:sz w:val="32"/>
          <w:szCs w:val="32"/>
        </w:rPr>
        <w:t>支出决算为3.18万元，完成预算100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 w:val="0"/>
          <w:bCs/>
          <w:color w:val="000000"/>
          <w:sz w:val="32"/>
          <w:szCs w:val="32"/>
        </w:rPr>
        <w:t>7、住房保障：住房公积金（2210201）支出决算为 5.09万元，完成预算100%。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9年一般公共预算财政拨款基本支出85.76万元，其中：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人员经费79.91万元，主要包括：基本工资、津贴补贴、奖金、绩效工资、机关事业单位基本养老保险缴费、职工基本医疗保险缴费、其他社会保障缴费、住房公积金等。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日常公用经费5.85万元，主要包括：办公费、印刷费、手续费、水费、电费、邮电费、差旅费、会议费、培训费、公务接待费、工会经费、福利费、其他交通费等。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9年“三公”经费财政拨款支出决算为0.51万元，完成预算100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；公务接待费支出决算0.51万元，占100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72635" cy="1733550"/>
            <wp:effectExtent l="19050" t="0" r="17808"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1"/>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8年持平。截止2019年12月底，单位共有公务用车0辆。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0.51万元，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0.51</w:t>
      </w:r>
      <w:r>
        <w:rPr>
          <w:rFonts w:hint="eastAsia" w:ascii="仿宋_GB2312" w:eastAsia="仿宋_GB2312"/>
          <w:color w:val="000000"/>
          <w:sz w:val="32"/>
          <w:szCs w:val="32"/>
        </w:rPr>
        <w:t>万元，主要用于开展业务活动开支的用餐费等。国内公务接待6批次，70人次（不包括陪同人员），共计支出0.51万元，具体内容包括：主要用于上级主管部门项目验收等支出。</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无外事接待支出</w:t>
      </w:r>
      <w:r>
        <w:rPr>
          <w:rFonts w:hint="eastAsia" w:ascii="仿宋" w:hAnsi="仿宋" w:eastAsia="仿宋"/>
          <w:color w:val="000000"/>
          <w:sz w:val="32"/>
          <w:szCs w:val="32"/>
        </w:rPr>
        <w:t>。</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9年，机关运行经费支出69.93万元，比</w:t>
      </w:r>
      <w:r>
        <w:rPr>
          <w:rFonts w:ascii="仿宋_GB2312" w:eastAsia="仿宋_GB2312"/>
          <w:color w:val="000000"/>
          <w:sz w:val="32"/>
          <w:szCs w:val="32"/>
        </w:rPr>
        <w:t>201</w:t>
      </w:r>
      <w:r>
        <w:rPr>
          <w:rFonts w:hint="eastAsia" w:ascii="仿宋_GB2312" w:eastAsia="仿宋_GB2312"/>
          <w:color w:val="000000"/>
          <w:sz w:val="32"/>
          <w:szCs w:val="32"/>
        </w:rPr>
        <w:t>8年减少7.99万元，下降11.4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主要原因是严格管控机关运行费支出。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9年，政府采购支出总额0万元，其中：政府采购货物支出0万元、政府采购工程支出0万元、政府采购服务支出0万元。授予中小企业合同金0万元，占政府采购支出总额的0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省定民生工程儿童之家建设、最美阳台、省级示范妇女之家、两纲工作、贫困妇女救助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部门全面维护妇女儿童合法权益，助力妇女创业发展，扎实推进脱贫攻坚工作，圆满完成了各项工作任务，各项支出均达到了预期的绩效管理目标。</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本部门在2019年度部门决算中反映“省定民生工程儿童之家建设”、“最美阳台”、“省级示范妇女之家”、“两纲工作”、“贫困妇女救助”等5个项目绩效目标实际完成情况。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（1）省定民生工程儿童之家建设项目绩效目标完成情况综述。项目全年预算数16万元，执行数为16万元，完成预算的100%。通过项目实施，</w:t>
      </w:r>
      <w:r>
        <w:rPr>
          <w:rFonts w:hint="eastAsia" w:ascii="仿宋" w:hAnsi="仿宋" w:eastAsia="仿宋" w:cs="仿宋"/>
          <w:sz w:val="32"/>
          <w:szCs w:val="32"/>
        </w:rPr>
        <w:t>整合妇女之家、儿童之家功能，调动团委、民政、文明办等部门资源，建设妇女儿童之家，由所在村、社区妇联负责，为妇女儿童提供阵地和服务。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最美阳台项目绩效目标完成情况综述。项目全年预算数3万元，执行数为3万元，完成预算的100%。通过项目实施，提升附属绿地建设，督促指导辖区机关单位、学校、医院、民营企业、商场、宾馆酒店、住宅小区、社区、村庄附属绿化的提升改造工作，加大屋顶绿化、墙体绿化、阳台绿化、藤架绿化及建筑物绿化等多种形式的立体绿化建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省级示范妇女之家项目绩效目标完成情况综述。项目全年预算数17万元，执行数为17万元，完成预算的100%。通过项目实施，丰富社区妇女的文化体育生活，提升妇女整体精神面貌。妇女同志从活动中个人素质得到不断提升，收获了友谊和快乐，逐步形成“快乐女性”品牌。让大家在活动中形成团结互助的精神、健康快乐的生活方式、尊老爱幼的品德、爱国爱家的思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两纲工作项目绩效目标完成情况综述。项目全年预算数11.66万元，执行数为11.66万元，完成预算的100%。通过项目实施，切实加强妇女儿童工作组织保障，认真抓好妇女儿童各项活动开展，协调推进妇女儿童各项事业发展，切实关注妇女儿童健康，创造儿童接受教育的良好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贫困妇女救助项目绩效目标完成情况综述。项目全年预算数5万元，执行数为5万元，完成预算的100%。通过项目实施，组织党员干部入户下访，了解群众生产生活困难，加大了贫困母亲、留守流动儿童的救助帮扶力度，同时开展了一系列的惠民活动，引导广大妇女树立了健康的生活理念。</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rPr>
        <w:t>项目支出绩效目标完成情况表</w:t>
      </w:r>
    </w:p>
    <w:p>
      <w:pPr>
        <w:spacing w:line="580" w:lineRule="exact"/>
        <w:ind w:firstLine="720" w:firstLineChars="200"/>
        <w:jc w:val="center"/>
        <w:rPr>
          <w:rFonts w:ascii="仿宋_GB2312" w:hAnsi="仿宋_GB2312" w:eastAsia="仿宋_GB2312" w:cs="仿宋_GB2312"/>
          <w:sz w:val="32"/>
          <w:szCs w:val="32"/>
        </w:rPr>
      </w:pPr>
      <w:r>
        <w:rPr>
          <w:rFonts w:hint="eastAsia" w:ascii="宋体" w:hAnsi="宋体" w:cs="宋体"/>
          <w:color w:val="000000"/>
          <w:kern w:val="0"/>
          <w:sz w:val="36"/>
          <w:szCs w:val="36"/>
        </w:rPr>
        <w:t>(2019年度)</w:t>
      </w:r>
    </w:p>
    <w:tbl>
      <w:tblPr>
        <w:tblStyle w:val="12"/>
        <w:tblpPr w:leftFromText="180" w:rightFromText="180" w:vertAnchor="text" w:horzAnchor="page" w:tblpXSpec="center" w:tblpY="423"/>
        <w:tblOverlap w:val="never"/>
        <w:tblW w:w="512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0"/>
        <w:gridCol w:w="1161"/>
        <w:gridCol w:w="871"/>
        <w:gridCol w:w="2026"/>
        <w:gridCol w:w="2028"/>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36"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464"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省定民生工程儿童之家建设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36"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464"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广元市利州区妇女联合会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8" w:type="pct"/>
            <w:vMerge w:val="restar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1118"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1118"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1118"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233" w:type="pct"/>
            <w:tcMar>
              <w:top w:w="15" w:type="dxa"/>
              <w:left w:w="15" w:type="dxa"/>
              <w:bottom w:w="0" w:type="dxa"/>
              <w:right w:w="15" w:type="dxa"/>
            </w:tcMar>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8" w:type="pct"/>
            <w:vMerge w:val="restar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2233"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349"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2233"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完成</w:t>
            </w:r>
            <w:r>
              <w:rPr>
                <w:rFonts w:hint="eastAsia" w:ascii="宋体" w:hAnsi="宋体" w:cs="宋体"/>
                <w:color w:val="000000"/>
                <w:sz w:val="18"/>
                <w:szCs w:val="18"/>
              </w:rPr>
              <w:t>20个城乡社区儿童之家建设</w:t>
            </w:r>
          </w:p>
        </w:tc>
        <w:tc>
          <w:tcPr>
            <w:tcW w:w="2349"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完成</w:t>
            </w:r>
            <w:r>
              <w:rPr>
                <w:rFonts w:hint="eastAsia" w:ascii="宋体" w:hAnsi="宋体" w:cs="宋体"/>
                <w:color w:val="000000"/>
                <w:sz w:val="18"/>
                <w:szCs w:val="18"/>
              </w:rPr>
              <w:t>20个城乡社区儿童之家建设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18" w:type="pct"/>
            <w:vMerge w:val="restar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完成</w:t>
            </w:r>
            <w:r>
              <w:rPr>
                <w:rFonts w:hint="eastAsia" w:ascii="宋体" w:hAnsi="宋体" w:cs="宋体"/>
                <w:color w:val="000000"/>
                <w:sz w:val="18"/>
                <w:szCs w:val="18"/>
              </w:rPr>
              <w:t>20个城乡社区儿童之家建设</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完成</w:t>
            </w:r>
            <w:r>
              <w:rPr>
                <w:rFonts w:hint="eastAsia" w:ascii="宋体" w:hAnsi="宋体" w:cs="宋体"/>
                <w:color w:val="000000"/>
                <w:sz w:val="18"/>
                <w:szCs w:val="18"/>
              </w:rPr>
              <w:t>20个城乡社区儿童之家建设</w:t>
            </w:r>
          </w:p>
        </w:tc>
        <w:tc>
          <w:tcPr>
            <w:tcW w:w="1233" w:type="pct"/>
            <w:tcMar>
              <w:top w:w="15" w:type="dxa"/>
              <w:left w:w="15" w:type="dxa"/>
              <w:bottom w:w="0" w:type="dxa"/>
              <w:right w:w="15" w:type="dxa"/>
            </w:tcMar>
            <w:vAlign w:val="center"/>
          </w:tcPr>
          <w:p>
            <w:pPr>
              <w:widowControl/>
              <w:spacing w:line="280" w:lineRule="exact"/>
              <w:textAlignment w:val="center"/>
              <w:rPr>
                <w:rFonts w:ascii="宋体" w:hAnsi="宋体" w:cs="宋体"/>
                <w:color w:val="000000"/>
                <w:sz w:val="18"/>
                <w:szCs w:val="18"/>
              </w:rPr>
            </w:pPr>
            <w:r>
              <w:rPr>
                <w:rFonts w:hint="eastAsia" w:ascii="宋体" w:hAnsi="宋体" w:cs="宋体"/>
                <w:color w:val="000000"/>
                <w:sz w:val="18"/>
                <w:szCs w:val="18"/>
              </w:rPr>
              <w:t>已</w:t>
            </w:r>
            <w:r>
              <w:rPr>
                <w:rFonts w:ascii="宋体" w:hAnsi="宋体" w:cs="宋体"/>
                <w:color w:val="000000"/>
                <w:sz w:val="18"/>
                <w:szCs w:val="18"/>
              </w:rPr>
              <w:t>完成</w:t>
            </w:r>
            <w:r>
              <w:rPr>
                <w:rFonts w:hint="eastAsia" w:ascii="宋体" w:hAnsi="宋体" w:cs="宋体"/>
                <w:color w:val="000000"/>
                <w:sz w:val="18"/>
                <w:szCs w:val="18"/>
              </w:rPr>
              <w:t>20个城乡社区儿童之家建设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达到四个有、二个一</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达到四个有、二个一</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有固定的活动场所、有开展活动的必要设备、有健全的管理制度，有丰富多彩的活动，选一名有爱心、有组织能力、热心群众工作的妇女骨干负责管理，组建一支巾帼志愿者队伍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按上级部门要求，按时按量按质完成</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按上级部门要求，按时按量按质完成</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年内已全部完成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经济效益</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利用儿童之家平台，对儿童进行课外辅导</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利用儿童之家平台，对儿童进行课外辅导</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组织志愿者开展课外辅导，减轻了家长的经济负担。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调</w:t>
            </w:r>
            <w:r>
              <w:rPr>
                <w:rFonts w:ascii="宋体" w:hAnsi="宋体" w:cs="宋体"/>
                <w:color w:val="000000"/>
                <w:sz w:val="18"/>
                <w:szCs w:val="18"/>
              </w:rPr>
              <w:t>动相关部门的力量，建设好妇女儿童之家</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调</w:t>
            </w:r>
            <w:r>
              <w:rPr>
                <w:rFonts w:ascii="宋体" w:hAnsi="宋体" w:cs="宋体"/>
                <w:color w:val="000000"/>
                <w:sz w:val="18"/>
                <w:szCs w:val="18"/>
              </w:rPr>
              <w:t>动相关部门的力量，建设好妇女儿童之家</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调动团委、民政、文明办等部门资源，建设好妇女儿童之家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生态效益</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利用儿童之家建设，开展各项活动，丰富儿童的课余时间</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利用儿童之家建设，开展各项活动，丰富儿童的课余时间</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开展了学雷锋活动，六一</w:t>
            </w:r>
            <w:r>
              <w:rPr>
                <w:rFonts w:hint="eastAsia" w:ascii="宋体" w:hAnsi="宋体" w:cs="宋体"/>
                <w:color w:val="000000"/>
                <w:sz w:val="18"/>
                <w:szCs w:val="18"/>
              </w:rPr>
              <w:t>庆祝活动、暑期关爱帮扶、家庭教育、亲情连线等活动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开展丰富的活动，形成制度管理体系，确保儿童之家的建设和运行顺利</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开展丰富的活动，形成制度管理体系，确保儿童之家的建设和运行顺利</w:t>
            </w:r>
          </w:p>
        </w:tc>
        <w:tc>
          <w:tcPr>
            <w:tcW w:w="1233" w:type="pct"/>
            <w:tcMar>
              <w:top w:w="15" w:type="dxa"/>
              <w:left w:w="15" w:type="dxa"/>
              <w:bottom w:w="0" w:type="dxa"/>
              <w:right w:w="15" w:type="dxa"/>
            </w:tcMar>
            <w:vAlign w:val="center"/>
          </w:tcPr>
          <w:p>
            <w:pPr>
              <w:widowControl/>
              <w:spacing w:line="280" w:lineRule="exact"/>
              <w:jc w:val="center"/>
              <w:textAlignment w:val="center"/>
              <w:rPr>
                <w:rFonts w:hint="eastAsia" w:ascii="宋体" w:hAnsi="宋体" w:eastAsia="宋体" w:cs="宋体"/>
                <w:color w:val="000000"/>
                <w:sz w:val="18"/>
                <w:szCs w:val="18"/>
                <w:lang w:eastAsia="zh-CN"/>
              </w:rPr>
            </w:pPr>
            <w:r>
              <w:rPr>
                <w:rFonts w:ascii="宋体" w:hAnsi="宋体" w:cs="宋体"/>
                <w:color w:val="000000"/>
                <w:sz w:val="18"/>
                <w:szCs w:val="18"/>
              </w:rPr>
              <w:t>有运行管理制度、安全管理制度，并纳入全区</w:t>
            </w:r>
            <w:r>
              <w:rPr>
                <w:rFonts w:hint="eastAsia" w:ascii="宋体" w:hAnsi="宋体" w:cs="宋体"/>
                <w:color w:val="000000"/>
                <w:sz w:val="18"/>
                <w:szCs w:val="18"/>
                <w:lang w:eastAsia="zh-CN"/>
              </w:rPr>
              <w:t>“十三五”规划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18" w:type="pct"/>
            <w:vMerge w:val="continue"/>
            <w:vAlign w:val="center"/>
          </w:tcPr>
          <w:p>
            <w:pPr>
              <w:widowControl/>
              <w:spacing w:line="280" w:lineRule="exact"/>
              <w:jc w:val="left"/>
              <w:rPr>
                <w:rFonts w:ascii="宋体" w:hAnsi="宋体" w:cs="宋体"/>
                <w:color w:val="000000"/>
                <w:sz w:val="18"/>
                <w:szCs w:val="18"/>
              </w:rPr>
            </w:pPr>
          </w:p>
        </w:tc>
        <w:tc>
          <w:tcPr>
            <w:tcW w:w="63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79"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1115"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真正成为孩子们的“温暖之家”</w:t>
            </w:r>
          </w:p>
        </w:tc>
        <w:tc>
          <w:tcPr>
            <w:tcW w:w="1116"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1233"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2"/>
          <w:szCs w:val="32"/>
        </w:rPr>
        <w:t>(2019年度)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47"/>
        <w:gridCol w:w="868"/>
        <w:gridCol w:w="1988"/>
        <w:gridCol w:w="2250"/>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612" w:type="pct"/>
            <w:gridSpan w:val="3"/>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388" w:type="pct"/>
            <w:gridSpan w:val="3"/>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最</w:t>
            </w:r>
            <w:r>
              <w:rPr>
                <w:rFonts w:ascii="宋体" w:hAnsi="宋体" w:cs="宋体"/>
                <w:color w:val="000000"/>
                <w:sz w:val="18"/>
                <w:szCs w:val="18"/>
              </w:rPr>
              <w:t>美阳台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1612" w:type="pct"/>
            <w:gridSpan w:val="3"/>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388" w:type="pct"/>
            <w:gridSpan w:val="3"/>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广元市利州区妇女联合会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7" w:type="pct"/>
            <w:vMerge w:val="restar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1135" w:type="pct"/>
            <w:gridSpan w:val="2"/>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7" w:type="pct"/>
            <w:vMerge w:val="continue"/>
            <w:vAlign w:val="center"/>
          </w:tcPr>
          <w:p>
            <w:pPr>
              <w:widowControl/>
              <w:jc w:val="left"/>
              <w:rPr>
                <w:rFonts w:ascii="宋体" w:hAnsi="宋体" w:cs="宋体"/>
                <w:color w:val="000000"/>
                <w:sz w:val="18"/>
                <w:szCs w:val="18"/>
              </w:rPr>
            </w:pPr>
          </w:p>
        </w:tc>
        <w:tc>
          <w:tcPr>
            <w:tcW w:w="1135" w:type="pct"/>
            <w:gridSpan w:val="2"/>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477" w:type="pct"/>
            <w:vMerge w:val="continue"/>
            <w:vAlign w:val="center"/>
          </w:tcPr>
          <w:p>
            <w:pPr>
              <w:widowControl/>
              <w:jc w:val="left"/>
              <w:rPr>
                <w:rFonts w:ascii="宋体" w:hAnsi="宋体" w:cs="宋体"/>
                <w:color w:val="000000"/>
                <w:sz w:val="18"/>
                <w:szCs w:val="18"/>
              </w:rPr>
            </w:pPr>
          </w:p>
        </w:tc>
        <w:tc>
          <w:tcPr>
            <w:tcW w:w="1135" w:type="pct"/>
            <w:gridSpan w:val="2"/>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000" w:type="pct"/>
            <w:tcMar>
              <w:top w:w="15" w:type="dxa"/>
              <w:left w:w="15" w:type="dxa"/>
              <w:bottom w:w="0"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477" w:type="pct"/>
            <w:vMerge w:val="restar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2255" w:type="pct"/>
            <w:gridSpan w:val="3"/>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268" w:type="pct"/>
            <w:gridSpan w:val="2"/>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477" w:type="pct"/>
            <w:vMerge w:val="continue"/>
            <w:vAlign w:val="center"/>
          </w:tcPr>
          <w:p>
            <w:pPr>
              <w:widowControl/>
              <w:jc w:val="left"/>
              <w:rPr>
                <w:rFonts w:ascii="宋体" w:hAnsi="宋体" w:cs="宋体"/>
                <w:color w:val="000000"/>
                <w:sz w:val="18"/>
                <w:szCs w:val="18"/>
              </w:rPr>
            </w:pPr>
          </w:p>
        </w:tc>
        <w:tc>
          <w:tcPr>
            <w:tcW w:w="2255" w:type="pct"/>
            <w:gridSpan w:val="3"/>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足山水园林城市格局，打破常规绿化模式，重点体现地域特色，提升景观效果，增加城市亮点，彰显“五化”理念，力求打造彩化、香化特色，通过广泛动员、全民参与、分期建设，逐步建成生态环境优美的幸福利州。</w:t>
            </w:r>
          </w:p>
        </w:tc>
        <w:tc>
          <w:tcPr>
            <w:tcW w:w="2268" w:type="pct"/>
            <w:gridSpan w:val="2"/>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立足山水园林城市格局，打破常规绿化模式，重点体现地域特色，提升景观效果，增加城市亮点，彰显“五化”理念，力求打造彩化、香化特色，通过广泛动员、全民参与、分期建设，逐步建成生态环境优美的幸福利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77" w:type="pct"/>
            <w:vMerge w:val="restar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00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77" w:type="pct"/>
            <w:vMerge w:val="continue"/>
            <w:vAlign w:val="center"/>
          </w:tcPr>
          <w:p>
            <w:pPr>
              <w:widowControl/>
              <w:jc w:val="left"/>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最美庭院（阳台）</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完成</w:t>
            </w:r>
            <w:r>
              <w:rPr>
                <w:rFonts w:hint="eastAsia" w:ascii="宋体" w:hAnsi="宋体" w:cs="宋体"/>
                <w:color w:val="000000"/>
                <w:sz w:val="18"/>
                <w:szCs w:val="18"/>
              </w:rPr>
              <w:t>30户最美庭院（阳台）</w:t>
            </w:r>
          </w:p>
        </w:tc>
        <w:tc>
          <w:tcPr>
            <w:tcW w:w="100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已完成</w:t>
            </w:r>
            <w:r>
              <w:rPr>
                <w:rFonts w:hint="eastAsia" w:ascii="宋体" w:hAnsi="宋体" w:cs="宋体"/>
                <w:color w:val="000000"/>
                <w:sz w:val="18"/>
                <w:szCs w:val="18"/>
              </w:rPr>
              <w:t>30户最美庭院（阳台）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项目完成指标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阳台种植花卉、盆景等，绿化植物选择合理，花木摆置得当。</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花木四季有花、株型优美、绿化效果好；种植花盆与植株协调、雅致，植物管护好，枝叶茂盛，无病虫害，5盆以上，花盆美观、规范。</w:t>
            </w:r>
          </w:p>
        </w:tc>
        <w:tc>
          <w:tcPr>
            <w:tcW w:w="1000" w:type="pct"/>
            <w:tcMar>
              <w:top w:w="15" w:type="dxa"/>
              <w:left w:w="15" w:type="dxa"/>
              <w:bottom w:w="0" w:type="dxa"/>
              <w:right w:w="15" w:type="dxa"/>
            </w:tcMar>
            <w:vAlign w:val="center"/>
          </w:tcPr>
          <w:p>
            <w:pPr>
              <w:widowControl/>
              <w:spacing w:line="280" w:lineRule="exact"/>
              <w:ind w:firstLine="720" w:firstLineChars="400"/>
              <w:textAlignment w:val="center"/>
              <w:rPr>
                <w:rFonts w:ascii="宋体" w:hAnsi="宋体" w:cs="宋体"/>
                <w:color w:val="000000"/>
                <w:sz w:val="18"/>
                <w:szCs w:val="18"/>
              </w:rPr>
            </w:pPr>
            <w:r>
              <w:rPr>
                <w:rFonts w:hint="eastAsia" w:ascii="宋体" w:hAnsi="宋体" w:cs="宋体"/>
                <w:color w:val="000000"/>
                <w:sz w:val="18"/>
                <w:szCs w:val="1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项目完成指标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按照要求完成</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按照要求完成</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项目完成指标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经济效益</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给“家”多增一点绿，多添一份美</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给“家”多增一点绿，多添一份美</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绿化环境</w:t>
            </w:r>
            <w:r>
              <w:rPr>
                <w:rFonts w:hint="eastAsia" w:ascii="宋体" w:hAnsi="宋体" w:cs="宋体"/>
                <w:color w:val="000000"/>
                <w:sz w:val="18"/>
                <w:szCs w:val="18"/>
              </w:rPr>
              <w:t>，净化空气，美丽一“家</w:t>
            </w:r>
            <w:r>
              <w:rPr>
                <w:rFonts w:ascii="宋体" w:hAnsi="宋体" w:cs="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家庭成员重视庭院（阳台）绿化、美化，爱好种植绿色植物，乐于投资庭院（阳台）。</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家庭成员重视庭院（阳台）绿化、美化，爱好种植绿色植物，乐于投资庭院（阳台）。</w:t>
            </w:r>
          </w:p>
        </w:tc>
        <w:tc>
          <w:tcPr>
            <w:tcW w:w="100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家庭成员重视庭院（阳台）绿化、美化，爱好种植绿色植物，乐于投资庭院（阳台）。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生态效益</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让“家庭绿化”成为生活时尚，给“家”多增一点绿，多添一份美</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让“家庭绿化”成为生活时尚，给“家”多增一点绿，多添一份美</w:t>
            </w:r>
          </w:p>
        </w:tc>
        <w:tc>
          <w:tcPr>
            <w:tcW w:w="100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让“家庭绿化”成为生活时尚，给“家”多增一点绿，多添一份美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112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争做改善环境的先行者、改变陋习的带头者、良好风尚的引领者</w:t>
            </w:r>
          </w:p>
        </w:tc>
        <w:tc>
          <w:tcPr>
            <w:tcW w:w="1268"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争做改善环境的先行者、改变陋习的带头者、良好风尚的引领者</w:t>
            </w:r>
          </w:p>
        </w:tc>
        <w:tc>
          <w:tcPr>
            <w:tcW w:w="1000" w:type="pct"/>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争做改善环境的先行者、改变陋习的带头者、良好风尚的引领者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477" w:type="pct"/>
            <w:vMerge w:val="continue"/>
            <w:vAlign w:val="center"/>
          </w:tcPr>
          <w:p>
            <w:pPr>
              <w:widowControl/>
              <w:jc w:val="center"/>
              <w:textAlignment w:val="center"/>
              <w:rPr>
                <w:rFonts w:ascii="宋体" w:hAnsi="宋体" w:cs="宋体"/>
                <w:color w:val="000000"/>
                <w:sz w:val="18"/>
                <w:szCs w:val="18"/>
              </w:rPr>
            </w:pPr>
          </w:p>
        </w:tc>
        <w:tc>
          <w:tcPr>
            <w:tcW w:w="646"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满意度指标</w:t>
            </w:r>
          </w:p>
        </w:tc>
        <w:tc>
          <w:tcPr>
            <w:tcW w:w="489"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112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给“家”多增一点绿，多添一份美</w:t>
            </w:r>
          </w:p>
        </w:tc>
        <w:tc>
          <w:tcPr>
            <w:tcW w:w="1268"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c>
          <w:tcPr>
            <w:tcW w:w="1000" w:type="pct"/>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100%</w:t>
            </w:r>
          </w:p>
        </w:tc>
      </w:tr>
    </w:tbl>
    <w:p>
      <w:pPr>
        <w:spacing w:line="580" w:lineRule="exact"/>
        <w:jc w:val="center"/>
        <w:rPr>
          <w:rFonts w:ascii="宋体" w:hAnsi="宋体" w:cs="宋体"/>
          <w:color w:val="000000"/>
          <w:kern w:val="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2"/>
          <w:szCs w:val="32"/>
        </w:rPr>
        <w:t>(2019年度)</w:t>
      </w:r>
    </w:p>
    <w:tbl>
      <w:tblPr>
        <w:tblStyle w:val="12"/>
        <w:tblpPr w:leftFromText="180" w:rightFromText="180" w:vertAnchor="text" w:horzAnchor="page" w:tblpXSpec="center" w:tblpY="423"/>
        <w:tblOverlap w:val="never"/>
        <w:tblW w:w="5000" w:type="pct"/>
        <w:tblInd w:w="0" w:type="dxa"/>
        <w:tblLayout w:type="autofit"/>
        <w:tblCellMar>
          <w:top w:w="0" w:type="dxa"/>
          <w:left w:w="0" w:type="dxa"/>
          <w:bottom w:w="0" w:type="dxa"/>
          <w:right w:w="0" w:type="dxa"/>
        </w:tblCellMar>
      </w:tblPr>
      <w:tblGrid>
        <w:gridCol w:w="625"/>
        <w:gridCol w:w="1178"/>
        <w:gridCol w:w="884"/>
        <w:gridCol w:w="2062"/>
        <w:gridCol w:w="2064"/>
        <w:gridCol w:w="2061"/>
      </w:tblGrid>
      <w:tr>
        <w:tblPrEx>
          <w:tblCellMar>
            <w:top w:w="0" w:type="dxa"/>
            <w:left w:w="0" w:type="dxa"/>
            <w:bottom w:w="0" w:type="dxa"/>
            <w:right w:w="0" w:type="dxa"/>
          </w:tblCellMar>
        </w:tblPrEx>
        <w:trPr>
          <w:trHeight w:val="276" w:hRule="atLeast"/>
        </w:trPr>
        <w:tc>
          <w:tcPr>
            <w:tcW w:w="151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48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 xml:space="preserve">                    省级示范妇女之家建设</w:t>
            </w:r>
          </w:p>
        </w:tc>
      </w:tr>
      <w:tr>
        <w:tblPrEx>
          <w:tblCellMar>
            <w:top w:w="0" w:type="dxa"/>
            <w:left w:w="0" w:type="dxa"/>
            <w:bottom w:w="0" w:type="dxa"/>
            <w:right w:w="0" w:type="dxa"/>
          </w:tblCellMar>
        </w:tblPrEx>
        <w:trPr>
          <w:trHeight w:val="276" w:hRule="atLeast"/>
        </w:trPr>
        <w:tc>
          <w:tcPr>
            <w:tcW w:w="151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48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广元市利州区妇女联合会</w:t>
            </w:r>
          </w:p>
        </w:tc>
      </w:tr>
      <w:tr>
        <w:tblPrEx>
          <w:tblCellMar>
            <w:top w:w="0" w:type="dxa"/>
            <w:left w:w="0" w:type="dxa"/>
            <w:bottom w:w="0" w:type="dxa"/>
            <w:right w:w="0" w:type="dxa"/>
          </w:tblCellMar>
        </w:tblPrEx>
        <w:trPr>
          <w:trHeight w:val="276"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116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r>
      <w:tr>
        <w:tblPrEx>
          <w:tblCellMar>
            <w:top w:w="0" w:type="dxa"/>
            <w:left w:w="0" w:type="dxa"/>
            <w:bottom w:w="0" w:type="dxa"/>
            <w:right w:w="0" w:type="dxa"/>
          </w:tblCellMar>
        </w:tblPrEx>
        <w:trPr>
          <w:trHeight w:val="27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6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r>
      <w:tr>
        <w:tblPrEx>
          <w:tblCellMar>
            <w:top w:w="0" w:type="dxa"/>
            <w:left w:w="0" w:type="dxa"/>
            <w:bottom w:w="0" w:type="dxa"/>
            <w:right w:w="0" w:type="dxa"/>
          </w:tblCellMar>
        </w:tblPrEx>
        <w:trPr>
          <w:trHeight w:val="70"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6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276"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232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32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365"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32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建立省级示范“妇女之家”1个，</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建立妇女微家10个</w:t>
            </w:r>
          </w:p>
        </w:tc>
        <w:tc>
          <w:tcPr>
            <w:tcW w:w="232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建立省级示范“妇女之家”1个，</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建立妇女微家10个</w:t>
            </w:r>
          </w:p>
        </w:tc>
      </w:tr>
      <w:tr>
        <w:tblPrEx>
          <w:tblCellMar>
            <w:top w:w="0" w:type="dxa"/>
            <w:left w:w="0" w:type="dxa"/>
            <w:bottom w:w="0" w:type="dxa"/>
            <w:right w:w="0" w:type="dxa"/>
          </w:tblCellMar>
        </w:tblPrEx>
        <w:trPr>
          <w:trHeight w:val="559"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953"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开</w:t>
            </w:r>
            <w:r>
              <w:rPr>
                <w:rFonts w:ascii="宋体" w:hAnsi="宋体" w:cs="宋体"/>
                <w:color w:val="000000"/>
                <w:sz w:val="18"/>
                <w:szCs w:val="18"/>
              </w:rPr>
              <w:t>展宣传、培训</w:t>
            </w:r>
            <w:r>
              <w:rPr>
                <w:rFonts w:hint="eastAsia" w:ascii="宋体" w:hAnsi="宋体" w:cs="宋体"/>
                <w:color w:val="000000"/>
                <w:sz w:val="18"/>
                <w:szCs w:val="18"/>
              </w:rPr>
              <w:t>、调研等各类活动</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开</w:t>
            </w:r>
            <w:r>
              <w:rPr>
                <w:rFonts w:ascii="宋体" w:hAnsi="宋体" w:cs="宋体"/>
                <w:color w:val="000000"/>
                <w:sz w:val="18"/>
                <w:szCs w:val="18"/>
              </w:rPr>
              <w:t>展宣传、培训</w:t>
            </w:r>
            <w:r>
              <w:rPr>
                <w:rFonts w:hint="eastAsia" w:ascii="宋体" w:hAnsi="宋体" w:cs="宋体"/>
                <w:color w:val="000000"/>
                <w:sz w:val="18"/>
                <w:szCs w:val="18"/>
              </w:rPr>
              <w:t>、调研等各类活动</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开</w:t>
            </w:r>
            <w:r>
              <w:rPr>
                <w:rFonts w:ascii="宋体" w:hAnsi="宋体" w:cs="宋体"/>
                <w:color w:val="000000"/>
                <w:sz w:val="18"/>
                <w:szCs w:val="18"/>
              </w:rPr>
              <w:t>展家庭教育、维权讲座、儿童教育等活动</w:t>
            </w:r>
            <w:r>
              <w:rPr>
                <w:rFonts w:hint="eastAsia" w:ascii="宋体" w:hAnsi="宋体" w:cs="宋体"/>
                <w:color w:val="000000"/>
                <w:sz w:val="18"/>
                <w:szCs w:val="18"/>
              </w:rPr>
              <w:t>38余次。</w:t>
            </w:r>
          </w:p>
        </w:tc>
      </w:tr>
      <w:tr>
        <w:tblPrEx>
          <w:tblCellMar>
            <w:top w:w="0" w:type="dxa"/>
            <w:left w:w="0" w:type="dxa"/>
            <w:bottom w:w="0" w:type="dxa"/>
            <w:right w:w="0" w:type="dxa"/>
          </w:tblCellMar>
        </w:tblPrEx>
        <w:trPr>
          <w:trHeight w:val="327"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最</w:t>
            </w:r>
            <w:r>
              <w:rPr>
                <w:rFonts w:ascii="宋体" w:hAnsi="宋体" w:cs="宋体"/>
                <w:color w:val="000000"/>
                <w:sz w:val="18"/>
                <w:szCs w:val="18"/>
              </w:rPr>
              <w:t>广泛地联系、服务妇女群众</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将</w:t>
            </w:r>
            <w:r>
              <w:rPr>
                <w:rFonts w:ascii="宋体" w:hAnsi="宋体" w:cs="宋体"/>
                <w:color w:val="000000"/>
                <w:sz w:val="18"/>
                <w:szCs w:val="18"/>
              </w:rPr>
              <w:t>妇联组织的服务和活动延伸到基层</w:t>
            </w:r>
            <w:r>
              <w:rPr>
                <w:rFonts w:hint="eastAsia" w:ascii="宋体" w:hAnsi="宋体" w:cs="宋体"/>
                <w:color w:val="000000"/>
                <w:sz w:val="18"/>
                <w:szCs w:val="18"/>
              </w:rPr>
              <w:t xml:space="preserve"> </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开</w:t>
            </w:r>
            <w:r>
              <w:rPr>
                <w:rFonts w:ascii="宋体" w:hAnsi="宋体" w:cs="宋体"/>
                <w:color w:val="000000"/>
                <w:sz w:val="18"/>
                <w:szCs w:val="18"/>
              </w:rPr>
              <w:t>展家庭教育、维权讲座、儿童教育等活动</w:t>
            </w:r>
            <w:r>
              <w:rPr>
                <w:rFonts w:hint="eastAsia" w:ascii="宋体" w:hAnsi="宋体" w:cs="宋体"/>
                <w:color w:val="000000"/>
                <w:sz w:val="18"/>
                <w:szCs w:val="18"/>
              </w:rPr>
              <w:t>38余次。</w:t>
            </w:r>
          </w:p>
        </w:tc>
      </w:tr>
      <w:tr>
        <w:tblPrEx>
          <w:tblCellMar>
            <w:top w:w="0" w:type="dxa"/>
            <w:left w:w="0" w:type="dxa"/>
            <w:bottom w:w="0" w:type="dxa"/>
            <w:right w:w="0" w:type="dxa"/>
          </w:tblCellMar>
        </w:tblPrEx>
        <w:trPr>
          <w:trHeight w:val="290"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落实责任，积极组织，按照时间进度完成任务</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落实责任，积极组织，按照时间进度完成任务</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按照</w:t>
            </w:r>
            <w:r>
              <w:rPr>
                <w:rFonts w:hint="eastAsia" w:ascii="宋体" w:hAnsi="宋体" w:cs="宋体"/>
                <w:color w:val="000000"/>
                <w:sz w:val="18"/>
                <w:szCs w:val="18"/>
              </w:rPr>
              <w:t>任务</w:t>
            </w:r>
            <w:r>
              <w:rPr>
                <w:rFonts w:ascii="宋体" w:hAnsi="宋体" w:cs="宋体"/>
                <w:color w:val="000000"/>
                <w:sz w:val="18"/>
                <w:szCs w:val="18"/>
              </w:rPr>
              <w:t>工作要求，利用时间节点组织开</w:t>
            </w:r>
            <w:r>
              <w:rPr>
                <w:rFonts w:hint="eastAsia" w:ascii="宋体" w:hAnsi="宋体" w:cs="宋体"/>
                <w:color w:val="000000"/>
                <w:sz w:val="18"/>
                <w:szCs w:val="18"/>
              </w:rPr>
              <w:t>展</w:t>
            </w:r>
            <w:r>
              <w:rPr>
                <w:rFonts w:ascii="宋体" w:hAnsi="宋体" w:cs="宋体"/>
                <w:color w:val="000000"/>
                <w:sz w:val="18"/>
                <w:szCs w:val="18"/>
              </w:rPr>
              <w:t>活动。</w:t>
            </w:r>
          </w:p>
        </w:tc>
      </w:tr>
      <w:tr>
        <w:tblPrEx>
          <w:tblCellMar>
            <w:top w:w="0" w:type="dxa"/>
            <w:left w:w="0" w:type="dxa"/>
            <w:bottom w:w="0" w:type="dxa"/>
            <w:right w:w="0" w:type="dxa"/>
          </w:tblCellMar>
        </w:tblPrEx>
        <w:trPr>
          <w:trHeight w:val="221"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17</w:t>
            </w:r>
          </w:p>
        </w:tc>
      </w:tr>
      <w:tr>
        <w:tblPrEx>
          <w:tblCellMar>
            <w:top w:w="0" w:type="dxa"/>
            <w:left w:w="0" w:type="dxa"/>
            <w:bottom w:w="0" w:type="dxa"/>
            <w:right w:w="0" w:type="dxa"/>
          </w:tblCellMar>
        </w:tblPrEx>
        <w:trPr>
          <w:trHeight w:val="26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经济效益</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有效进行社会治理，构建和谐社会的目的</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有效进行社会治理，构建和谐社会的目的</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有效进行社会治理，构建和谐社会的目的</w:t>
            </w:r>
          </w:p>
        </w:tc>
      </w:tr>
      <w:tr>
        <w:tblPrEx>
          <w:tblCellMar>
            <w:top w:w="0" w:type="dxa"/>
            <w:left w:w="0" w:type="dxa"/>
            <w:bottom w:w="0" w:type="dxa"/>
            <w:right w:w="0" w:type="dxa"/>
          </w:tblCellMar>
        </w:tblPrEx>
        <w:trPr>
          <w:trHeight w:val="46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进一</w:t>
            </w:r>
            <w:r>
              <w:rPr>
                <w:rFonts w:hint="eastAsia" w:ascii="宋体" w:hAnsi="宋体" w:cs="宋体"/>
                <w:color w:val="000000"/>
                <w:sz w:val="18"/>
                <w:szCs w:val="18"/>
              </w:rPr>
              <w:t>步提升妇女群众的归属感、幸福感以及获得感</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进一</w:t>
            </w:r>
            <w:r>
              <w:rPr>
                <w:rFonts w:hint="eastAsia" w:ascii="宋体" w:hAnsi="宋体" w:cs="宋体"/>
                <w:color w:val="000000"/>
                <w:sz w:val="18"/>
                <w:szCs w:val="18"/>
              </w:rPr>
              <w:t>步提升妇女群众的归属感、幸福感以及获得感</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进一</w:t>
            </w:r>
            <w:r>
              <w:rPr>
                <w:rFonts w:hint="eastAsia" w:ascii="宋体" w:hAnsi="宋体" w:cs="宋体"/>
                <w:color w:val="000000"/>
                <w:sz w:val="18"/>
                <w:szCs w:val="18"/>
              </w:rPr>
              <w:t>步提升妇女群众的归属感、幸福感以及获得感</w:t>
            </w:r>
          </w:p>
        </w:tc>
      </w:tr>
      <w:tr>
        <w:tblPrEx>
          <w:tblCellMar>
            <w:top w:w="0" w:type="dxa"/>
            <w:left w:w="0" w:type="dxa"/>
            <w:bottom w:w="0" w:type="dxa"/>
            <w:right w:w="0" w:type="dxa"/>
          </w:tblCellMar>
        </w:tblPrEx>
        <w:trPr>
          <w:trHeight w:val="1297"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生态效益</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搭建起妇联</w:t>
            </w:r>
            <w:r>
              <w:rPr>
                <w:rFonts w:hint="eastAsia" w:ascii="宋体" w:hAnsi="宋体" w:cs="宋体"/>
                <w:color w:val="000000"/>
                <w:sz w:val="18"/>
                <w:szCs w:val="18"/>
              </w:rPr>
              <w:t>组织与群众交流的桥梁</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搭建起妇联</w:t>
            </w:r>
            <w:r>
              <w:rPr>
                <w:rFonts w:hint="eastAsia" w:ascii="宋体" w:hAnsi="宋体" w:cs="宋体"/>
                <w:color w:val="000000"/>
                <w:sz w:val="18"/>
                <w:szCs w:val="18"/>
              </w:rPr>
              <w:t>组织与群众交流的桥梁</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搭建起妇联</w:t>
            </w:r>
            <w:r>
              <w:rPr>
                <w:rFonts w:hint="eastAsia" w:ascii="宋体" w:hAnsi="宋体" w:cs="宋体"/>
                <w:color w:val="000000"/>
                <w:sz w:val="18"/>
                <w:szCs w:val="18"/>
              </w:rPr>
              <w:t>组织与群众交流的桥梁</w:t>
            </w:r>
          </w:p>
        </w:tc>
      </w:tr>
      <w:tr>
        <w:tblPrEx>
          <w:tblCellMar>
            <w:top w:w="0" w:type="dxa"/>
            <w:left w:w="0" w:type="dxa"/>
            <w:bottom w:w="0" w:type="dxa"/>
            <w:right w:w="0" w:type="dxa"/>
          </w:tblCellMar>
        </w:tblPrEx>
        <w:trPr>
          <w:trHeight w:val="545"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提升妇女整体精神面貌</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提升妇女整体精神面貌</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提升妇女整体精神面貌</w:t>
            </w:r>
          </w:p>
        </w:tc>
      </w:tr>
      <w:tr>
        <w:tblPrEx>
          <w:tblCellMar>
            <w:top w:w="0" w:type="dxa"/>
            <w:left w:w="0" w:type="dxa"/>
            <w:bottom w:w="0" w:type="dxa"/>
            <w:right w:w="0" w:type="dxa"/>
          </w:tblCellMar>
        </w:tblPrEx>
        <w:trPr>
          <w:trHeight w:val="241"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 xml:space="preserve">     群众满意度</w:t>
            </w:r>
          </w:p>
        </w:tc>
        <w:tc>
          <w:tcPr>
            <w:tcW w:w="11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jc w:val="center"/>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jc w:val="center"/>
        <w:rPr>
          <w:rFonts w:ascii="宋体" w:hAnsi="宋体" w:cs="宋体"/>
          <w:color w:val="000000"/>
          <w:kern w:val="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2"/>
          <w:szCs w:val="32"/>
        </w:rPr>
        <w:t>(2019年度)</w:t>
      </w:r>
    </w:p>
    <w:tbl>
      <w:tblPr>
        <w:tblStyle w:val="12"/>
        <w:tblW w:w="5292" w:type="pct"/>
        <w:jc w:val="center"/>
        <w:tblLayout w:type="autofit"/>
        <w:tblCellMar>
          <w:top w:w="0" w:type="dxa"/>
          <w:left w:w="0" w:type="dxa"/>
          <w:bottom w:w="0" w:type="dxa"/>
          <w:right w:w="0" w:type="dxa"/>
        </w:tblCellMar>
      </w:tblPr>
      <w:tblGrid>
        <w:gridCol w:w="866"/>
        <w:gridCol w:w="1217"/>
        <w:gridCol w:w="915"/>
        <w:gridCol w:w="2134"/>
        <w:gridCol w:w="2134"/>
        <w:gridCol w:w="2126"/>
      </w:tblGrid>
      <w:tr>
        <w:tblPrEx>
          <w:tblCellMar>
            <w:top w:w="0" w:type="dxa"/>
            <w:left w:w="0" w:type="dxa"/>
            <w:bottom w:w="0" w:type="dxa"/>
            <w:right w:w="0" w:type="dxa"/>
          </w:tblCellMar>
        </w:tblPrEx>
        <w:trPr>
          <w:trHeight w:val="276" w:hRule="atLeast"/>
          <w:jc w:val="center"/>
        </w:trPr>
        <w:tc>
          <w:tcPr>
            <w:tcW w:w="159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40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两纲工作</w:t>
            </w:r>
          </w:p>
        </w:tc>
      </w:tr>
      <w:tr>
        <w:tblPrEx>
          <w:tblCellMar>
            <w:top w:w="0" w:type="dxa"/>
            <w:left w:w="0" w:type="dxa"/>
            <w:bottom w:w="0" w:type="dxa"/>
            <w:right w:w="0" w:type="dxa"/>
          </w:tblCellMar>
        </w:tblPrEx>
        <w:trPr>
          <w:trHeight w:val="276" w:hRule="atLeast"/>
          <w:jc w:val="center"/>
        </w:trPr>
        <w:tc>
          <w:tcPr>
            <w:tcW w:w="159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40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广元市利州区妇女联合会</w:t>
            </w:r>
          </w:p>
        </w:tc>
      </w:tr>
      <w:tr>
        <w:tblPrEx>
          <w:tblCellMar>
            <w:top w:w="0" w:type="dxa"/>
            <w:left w:w="0" w:type="dxa"/>
            <w:bottom w:w="0" w:type="dxa"/>
            <w:right w:w="0" w:type="dxa"/>
          </w:tblCellMar>
        </w:tblPrEx>
        <w:trPr>
          <w:trHeight w:val="276"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11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r>
      <w:tr>
        <w:tblPrEx>
          <w:tblCellMar>
            <w:top w:w="0" w:type="dxa"/>
            <w:left w:w="0" w:type="dxa"/>
            <w:bottom w:w="0" w:type="dxa"/>
            <w:right w:w="0" w:type="dxa"/>
          </w:tblCellMar>
        </w:tblPrEx>
        <w:trPr>
          <w:trHeight w:val="276"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11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r>
      <w:tr>
        <w:tblPrEx>
          <w:tblCellMar>
            <w:top w:w="0" w:type="dxa"/>
            <w:left w:w="0" w:type="dxa"/>
            <w:bottom w:w="0" w:type="dxa"/>
            <w:right w:w="0" w:type="dxa"/>
          </w:tblCellMar>
        </w:tblPrEx>
        <w:trPr>
          <w:trHeight w:val="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113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276"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227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26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227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实行男女平等基本国策，保障妇女合法权益，优化妇女发展环境，推动妇女平等依法行使民主权利，平等参与经济社会发展，平等享有改革发展成果。坚持儿童优先原则，保障儿童生存、发展、受保护和参与的权利，缩小儿童发展的城乡区域差距。</w:t>
            </w:r>
          </w:p>
        </w:tc>
        <w:tc>
          <w:tcPr>
            <w:tcW w:w="226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实行男女平等基本国策，保障妇女合法权益，优化妇女发展环境，推动妇女平等依法行使民主权利，平等参与经济社会发展，平等享有改革发展成果。坚持儿童优先原则，保障儿童生存、发展、受保护和参与的权利，缩小儿童发展的城乡区域差距。</w:t>
            </w:r>
          </w:p>
        </w:tc>
      </w:tr>
      <w:tr>
        <w:tblPrEx>
          <w:tblCellMar>
            <w:top w:w="0" w:type="dxa"/>
            <w:left w:w="0" w:type="dxa"/>
            <w:bottom w:w="0" w:type="dxa"/>
            <w:right w:w="0" w:type="dxa"/>
          </w:tblCellMar>
        </w:tblPrEx>
        <w:trPr>
          <w:trHeight w:val="1042"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953"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举办两纲工作培训</w:t>
            </w:r>
            <w:r>
              <w:rPr>
                <w:rFonts w:hint="eastAsia" w:ascii="宋体" w:hAnsi="宋体" w:cs="宋体"/>
                <w:color w:val="000000"/>
                <w:sz w:val="18"/>
                <w:szCs w:val="18"/>
              </w:rPr>
              <w:t>会、开展法制宣传</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举办两纲工作培训</w:t>
            </w:r>
            <w:r>
              <w:rPr>
                <w:rFonts w:hint="eastAsia" w:ascii="宋体" w:hAnsi="宋体" w:cs="宋体"/>
                <w:color w:val="000000"/>
                <w:sz w:val="18"/>
                <w:szCs w:val="18"/>
              </w:rPr>
              <w:t>会、开展法制宣传</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召开</w:t>
            </w:r>
            <w:r>
              <w:rPr>
                <w:rFonts w:hint="eastAsia" w:ascii="宋体" w:hAnsi="宋体" w:cs="宋体"/>
                <w:color w:val="000000"/>
                <w:sz w:val="18"/>
                <w:szCs w:val="18"/>
              </w:rPr>
              <w:t>2018年度妇女儿童工作会，安排部署工作；利用时间节点开展法制宣传。</w:t>
            </w:r>
          </w:p>
        </w:tc>
      </w:tr>
      <w:tr>
        <w:tblPrEx>
          <w:tblCellMar>
            <w:top w:w="0" w:type="dxa"/>
            <w:left w:w="0" w:type="dxa"/>
            <w:bottom w:w="0" w:type="dxa"/>
            <w:right w:w="0" w:type="dxa"/>
          </w:tblCellMar>
        </w:tblPrEx>
        <w:trPr>
          <w:trHeight w:val="1297"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举办两纲工作培训</w:t>
            </w:r>
            <w:r>
              <w:rPr>
                <w:rFonts w:hint="eastAsia" w:ascii="宋体" w:hAnsi="宋体" w:cs="宋体"/>
                <w:color w:val="000000"/>
                <w:sz w:val="18"/>
                <w:szCs w:val="18"/>
              </w:rPr>
              <w:t>会、开展法制宣传</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举办两纲工作培训</w:t>
            </w:r>
            <w:r>
              <w:rPr>
                <w:rFonts w:hint="eastAsia" w:ascii="宋体" w:hAnsi="宋体" w:cs="宋体"/>
                <w:color w:val="000000"/>
                <w:sz w:val="18"/>
                <w:szCs w:val="18"/>
              </w:rPr>
              <w:t>会、开展法制宣传</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将“两纲”培训作为硬性任务纳入党校培训课程，并召开妇女儿童工作暨培训会；利用时间节点开展法制宣传。</w:t>
            </w:r>
          </w:p>
        </w:tc>
      </w:tr>
      <w:tr>
        <w:tblPrEx>
          <w:tblCellMar>
            <w:top w:w="0" w:type="dxa"/>
            <w:left w:w="0" w:type="dxa"/>
            <w:bottom w:w="0" w:type="dxa"/>
            <w:right w:w="0" w:type="dxa"/>
          </w:tblCellMar>
        </w:tblPrEx>
        <w:trPr>
          <w:trHeight w:val="1042"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落实责任，积极组织，按照时间进度完成培训教育等任务</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落实责任，积极组织，按照时间进度完成培训教育等任务</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按照区妇儿工委的</w:t>
            </w:r>
            <w:r>
              <w:rPr>
                <w:rFonts w:hint="eastAsia" w:ascii="宋体" w:hAnsi="宋体" w:cs="宋体"/>
                <w:color w:val="000000"/>
                <w:sz w:val="18"/>
                <w:szCs w:val="18"/>
                <w:lang w:eastAsia="zh-CN"/>
              </w:rPr>
              <w:t>安排</w:t>
            </w:r>
            <w:r>
              <w:rPr>
                <w:rFonts w:ascii="宋体" w:hAnsi="宋体" w:cs="宋体"/>
                <w:color w:val="000000"/>
                <w:sz w:val="18"/>
                <w:szCs w:val="18"/>
              </w:rPr>
              <w:t>，上半年召开了工作会，其他时间节点组织开了慰问、法制宣传、培训等任务。</w:t>
            </w:r>
          </w:p>
        </w:tc>
      </w:tr>
      <w:tr>
        <w:tblPrEx>
          <w:tblCellMar>
            <w:top w:w="0" w:type="dxa"/>
            <w:left w:w="0" w:type="dxa"/>
            <w:bottom w:w="0" w:type="dxa"/>
            <w:right w:w="0" w:type="dxa"/>
          </w:tblCellMar>
        </w:tblPrEx>
        <w:trPr>
          <w:trHeight w:val="381"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ind w:firstLine="540" w:firstLineChars="300"/>
              <w:textAlignment w:val="center"/>
              <w:rPr>
                <w:rFonts w:ascii="宋体" w:hAnsi="宋体" w:cs="宋体"/>
                <w:color w:val="000000"/>
                <w:sz w:val="18"/>
                <w:szCs w:val="18"/>
              </w:rPr>
            </w:pPr>
            <w:r>
              <w:rPr>
                <w:rFonts w:hint="eastAsia" w:ascii="宋体" w:hAnsi="宋体" w:cs="宋体"/>
                <w:color w:val="000000"/>
                <w:sz w:val="18"/>
                <w:szCs w:val="18"/>
              </w:rPr>
              <w:t>11.66万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11.66万</w:t>
            </w:r>
          </w:p>
        </w:tc>
      </w:tr>
      <w:tr>
        <w:tblPrEx>
          <w:tblCellMar>
            <w:top w:w="0" w:type="dxa"/>
            <w:left w:w="0" w:type="dxa"/>
            <w:bottom w:w="0" w:type="dxa"/>
            <w:right w:w="0" w:type="dxa"/>
          </w:tblCellMar>
        </w:tblPrEx>
        <w:trPr>
          <w:trHeight w:val="529"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经济效益</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提高妇女儿童依法维权、行政意识</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推动妇女平等依法行使民主权利、平等参与经济社会发展</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通过宣传、培训等，提高妇女儿童依法行政</w:t>
            </w:r>
            <w:r>
              <w:rPr>
                <w:rFonts w:hint="eastAsia" w:ascii="宋体" w:hAnsi="宋体" w:cs="宋体"/>
                <w:color w:val="000000"/>
                <w:sz w:val="18"/>
                <w:szCs w:val="18"/>
                <w:lang w:eastAsia="zh-CN"/>
              </w:rPr>
              <w:t>权力</w:t>
            </w:r>
            <w:r>
              <w:rPr>
                <w:rFonts w:ascii="宋体" w:hAnsi="宋体" w:cs="宋体"/>
                <w:color w:val="000000"/>
                <w:sz w:val="18"/>
                <w:szCs w:val="18"/>
              </w:rPr>
              <w:t>的意识</w:t>
            </w:r>
          </w:p>
        </w:tc>
      </w:tr>
      <w:tr>
        <w:tblPrEx>
          <w:tblCellMar>
            <w:top w:w="0" w:type="dxa"/>
            <w:left w:w="0" w:type="dxa"/>
            <w:bottom w:w="0" w:type="dxa"/>
            <w:right w:w="0" w:type="dxa"/>
          </w:tblCellMar>
        </w:tblPrEx>
        <w:trPr>
          <w:trHeight w:val="428"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保障妇女平等享有权利和机会</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妇女儿童的合法权益得到有效保护</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通过宣传、培训等，提高妇女儿童依法维权的意识</w:t>
            </w:r>
          </w:p>
        </w:tc>
      </w:tr>
      <w:tr>
        <w:tblPrEx>
          <w:tblCellMar>
            <w:top w:w="0" w:type="dxa"/>
            <w:left w:w="0" w:type="dxa"/>
            <w:bottom w:w="0" w:type="dxa"/>
            <w:right w:w="0" w:type="dxa"/>
          </w:tblCellMar>
        </w:tblPrEx>
        <w:trPr>
          <w:trHeight w:val="4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生态效益</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妇女儿童的环境更为优化</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创建友好</w:t>
            </w:r>
            <w:r>
              <w:rPr>
                <w:rFonts w:hint="eastAsia" w:ascii="宋体" w:hAnsi="宋体" w:cs="宋体"/>
                <w:color w:val="000000"/>
                <w:sz w:val="18"/>
                <w:szCs w:val="18"/>
              </w:rPr>
              <w:t>型社会环境</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进一步推动社会和谐发</w:t>
            </w:r>
            <w:r>
              <w:rPr>
                <w:rFonts w:hint="eastAsia" w:ascii="宋体" w:hAnsi="宋体" w:cs="宋体"/>
                <w:color w:val="000000"/>
                <w:sz w:val="18"/>
                <w:szCs w:val="18"/>
              </w:rPr>
              <w:t>展</w:t>
            </w:r>
          </w:p>
        </w:tc>
      </w:tr>
      <w:tr>
        <w:tblPrEx>
          <w:tblCellMar>
            <w:top w:w="0" w:type="dxa"/>
            <w:left w:w="0" w:type="dxa"/>
            <w:bottom w:w="0" w:type="dxa"/>
            <w:right w:w="0" w:type="dxa"/>
          </w:tblCellMar>
        </w:tblPrEx>
        <w:trPr>
          <w:trHeight w:val="347"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保障妇女儿童权益的法律体系更加完善</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促进社会和谐发展</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通过宣传、培训等，提高妇女儿童依法维权的意识</w:t>
            </w:r>
          </w:p>
        </w:tc>
      </w:tr>
      <w:tr>
        <w:tblPrEx>
          <w:tblCellMar>
            <w:top w:w="0" w:type="dxa"/>
            <w:left w:w="0" w:type="dxa"/>
            <w:bottom w:w="0" w:type="dxa"/>
            <w:right w:w="0" w:type="dxa"/>
          </w:tblCellMar>
        </w:tblPrEx>
        <w:trPr>
          <w:trHeight w:val="603"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ascii="宋体" w:hAnsi="宋体" w:cs="宋体"/>
                <w:color w:val="000000"/>
                <w:sz w:val="18"/>
                <w:szCs w:val="18"/>
              </w:rPr>
              <w:t>切实保障妇女儿童的可持续发展</w:t>
            </w:r>
          </w:p>
        </w:tc>
        <w:tc>
          <w:tcPr>
            <w:tcW w:w="11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113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jc w:val="center"/>
        <w:rPr>
          <w:rFonts w:ascii="宋体" w:hAnsi="宋体" w:cs="宋体"/>
          <w:color w:val="000000"/>
          <w:kern w:val="0"/>
          <w:sz w:val="32"/>
          <w:szCs w:val="32"/>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2"/>
          <w:szCs w:val="32"/>
        </w:rPr>
        <w:t>(2019年度)</w:t>
      </w:r>
    </w:p>
    <w:tbl>
      <w:tblPr>
        <w:tblStyle w:val="12"/>
        <w:tblW w:w="5212" w:type="pct"/>
        <w:jc w:val="center"/>
        <w:tblLayout w:type="autofit"/>
        <w:tblCellMar>
          <w:top w:w="0" w:type="dxa"/>
          <w:left w:w="0" w:type="dxa"/>
          <w:bottom w:w="0" w:type="dxa"/>
          <w:right w:w="0" w:type="dxa"/>
        </w:tblCellMar>
      </w:tblPr>
      <w:tblGrid>
        <w:gridCol w:w="723"/>
        <w:gridCol w:w="1217"/>
        <w:gridCol w:w="916"/>
        <w:gridCol w:w="2131"/>
        <w:gridCol w:w="2133"/>
        <w:gridCol w:w="2130"/>
      </w:tblGrid>
      <w:tr>
        <w:tblPrEx>
          <w:tblCellMar>
            <w:top w:w="0" w:type="dxa"/>
            <w:left w:w="0" w:type="dxa"/>
            <w:bottom w:w="0" w:type="dxa"/>
            <w:right w:w="0" w:type="dxa"/>
          </w:tblCellMar>
        </w:tblPrEx>
        <w:trPr>
          <w:trHeight w:val="276" w:hRule="atLeast"/>
          <w:jc w:val="center"/>
        </w:trPr>
        <w:tc>
          <w:tcPr>
            <w:tcW w:w="154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345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 xml:space="preserve">                    贫困妇女救助</w:t>
            </w:r>
          </w:p>
        </w:tc>
      </w:tr>
      <w:tr>
        <w:tblPrEx>
          <w:tblCellMar>
            <w:top w:w="0" w:type="dxa"/>
            <w:left w:w="0" w:type="dxa"/>
            <w:bottom w:w="0" w:type="dxa"/>
            <w:right w:w="0" w:type="dxa"/>
          </w:tblCellMar>
        </w:tblPrEx>
        <w:trPr>
          <w:trHeight w:val="276" w:hRule="atLeast"/>
          <w:jc w:val="center"/>
        </w:trPr>
        <w:tc>
          <w:tcPr>
            <w:tcW w:w="1544"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预算单位</w:t>
            </w:r>
          </w:p>
        </w:tc>
        <w:tc>
          <w:tcPr>
            <w:tcW w:w="345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广元市利州区妇女联合会</w:t>
            </w:r>
          </w:p>
        </w:tc>
      </w:tr>
      <w:tr>
        <w:tblPrEx>
          <w:tblCellMar>
            <w:top w:w="0" w:type="dxa"/>
            <w:left w:w="0" w:type="dxa"/>
            <w:bottom w:w="0" w:type="dxa"/>
            <w:right w:w="0" w:type="dxa"/>
          </w:tblCellMar>
        </w:tblPrEx>
        <w:trPr>
          <w:trHeight w:val="276" w:hRule="atLeast"/>
          <w:jc w:val="center"/>
        </w:trPr>
        <w:tc>
          <w:tcPr>
            <w:tcW w:w="3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预算执行情况(万元)</w:t>
            </w:r>
          </w:p>
        </w:tc>
        <w:tc>
          <w:tcPr>
            <w:tcW w:w="115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执行数:</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0" w:type="dxa"/>
            <w:bottom w:w="0" w:type="dxa"/>
            <w:right w:w="0" w:type="dxa"/>
          </w:tblCellMar>
        </w:tblPrEx>
        <w:trPr>
          <w:trHeight w:val="276"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0" w:type="dxa"/>
            <w:bottom w:w="0" w:type="dxa"/>
            <w:right w:w="0" w:type="dxa"/>
          </w:tblCellMar>
        </w:tblPrEx>
        <w:trPr>
          <w:trHeight w:val="165"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115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其它资金:</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276" w:hRule="atLeast"/>
          <w:jc w:val="center"/>
        </w:trPr>
        <w:tc>
          <w:tcPr>
            <w:tcW w:w="3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年度目标完成情况</w:t>
            </w:r>
          </w:p>
        </w:tc>
        <w:tc>
          <w:tcPr>
            <w:tcW w:w="230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30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0" w:type="dxa"/>
            <w:bottom w:w="0" w:type="dxa"/>
            <w:right w:w="0" w:type="dxa"/>
          </w:tblCellMar>
        </w:tblPrEx>
        <w:trPr>
          <w:trHeight w:val="202"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230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加</w:t>
            </w:r>
            <w:r>
              <w:rPr>
                <w:rFonts w:ascii="宋体" w:hAnsi="宋体" w:cs="宋体"/>
                <w:color w:val="000000"/>
                <w:sz w:val="18"/>
                <w:szCs w:val="18"/>
              </w:rPr>
              <w:t>强困难妇女儿童救助，开展惠民活动</w:t>
            </w:r>
          </w:p>
        </w:tc>
        <w:tc>
          <w:tcPr>
            <w:tcW w:w="230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加强困难妇女儿童救助，开展义诊、防艾等活动</w:t>
            </w:r>
          </w:p>
        </w:tc>
      </w:tr>
      <w:tr>
        <w:tblPrEx>
          <w:tblCellMar>
            <w:top w:w="0" w:type="dxa"/>
            <w:left w:w="0" w:type="dxa"/>
            <w:bottom w:w="0" w:type="dxa"/>
            <w:right w:w="0" w:type="dxa"/>
          </w:tblCellMar>
        </w:tblPrEx>
        <w:trPr>
          <w:trHeight w:val="269" w:hRule="atLeast"/>
          <w:jc w:val="center"/>
        </w:trPr>
        <w:tc>
          <w:tcPr>
            <w:tcW w:w="3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绩效指标完成情况</w:t>
            </w: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953"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数量指标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开展困难妇女儿童救助、开展惠民活动</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开展困难妇女儿童救助、开展惠民活动</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结合“走基层、访妇情”活动，加大对贫困母亲、留守流动儿童的救助力度</w:t>
            </w:r>
          </w:p>
        </w:tc>
      </w:tr>
      <w:tr>
        <w:tblPrEx>
          <w:tblCellMar>
            <w:top w:w="0" w:type="dxa"/>
            <w:left w:w="0" w:type="dxa"/>
            <w:bottom w:w="0" w:type="dxa"/>
            <w:right w:w="0" w:type="dxa"/>
          </w:tblCellMar>
        </w:tblPrEx>
        <w:trPr>
          <w:trHeight w:val="632"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质量指标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开展困难妇女儿童救助、开展惠民活动</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开展困难妇女儿童救助、开展惠民活动</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ascii="宋体" w:hAnsi="宋体" w:cs="宋体"/>
                <w:color w:val="000000"/>
                <w:sz w:val="18"/>
                <w:szCs w:val="18"/>
              </w:rPr>
              <w:t>开展义诊、联合相关单位到乡镇开展义诊，举办防艾知识讲座。</w:t>
            </w:r>
          </w:p>
        </w:tc>
      </w:tr>
      <w:tr>
        <w:tblPrEx>
          <w:tblCellMar>
            <w:top w:w="0" w:type="dxa"/>
            <w:left w:w="0" w:type="dxa"/>
            <w:bottom w:w="0" w:type="dxa"/>
            <w:right w:w="0" w:type="dxa"/>
          </w:tblCellMar>
        </w:tblPrEx>
        <w:trPr>
          <w:trHeight w:val="674"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时效指标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w:t>
            </w:r>
            <w:r>
              <w:rPr>
                <w:rFonts w:hint="eastAsia" w:ascii="宋体" w:hAnsi="宋体" w:cs="宋体"/>
                <w:color w:val="000000"/>
                <w:sz w:val="18"/>
                <w:szCs w:val="18"/>
              </w:rPr>
              <w:t>慰</w:t>
            </w:r>
            <w:r>
              <w:rPr>
                <w:rFonts w:ascii="宋体" w:hAnsi="宋体" w:cs="宋体"/>
                <w:color w:val="000000"/>
                <w:sz w:val="18"/>
                <w:szCs w:val="18"/>
              </w:rPr>
              <w:t>问、活动开展等任务</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落实责任，积极组织，按照时间进度完成</w:t>
            </w:r>
            <w:r>
              <w:rPr>
                <w:rFonts w:hint="eastAsia" w:ascii="宋体" w:hAnsi="宋体" w:cs="宋体"/>
                <w:color w:val="000000"/>
                <w:sz w:val="18"/>
                <w:szCs w:val="18"/>
              </w:rPr>
              <w:t>慰问、活动开展</w:t>
            </w:r>
            <w:r>
              <w:rPr>
                <w:rFonts w:ascii="宋体" w:hAnsi="宋体" w:cs="宋体"/>
                <w:color w:val="000000"/>
                <w:sz w:val="18"/>
                <w:szCs w:val="18"/>
              </w:rPr>
              <w:t>等任务</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按照</w:t>
            </w:r>
            <w:r>
              <w:rPr>
                <w:rFonts w:hint="eastAsia" w:ascii="宋体" w:hAnsi="宋体" w:cs="宋体"/>
                <w:color w:val="000000"/>
                <w:sz w:val="18"/>
                <w:szCs w:val="18"/>
              </w:rPr>
              <w:t>任务</w:t>
            </w:r>
            <w:r>
              <w:rPr>
                <w:rFonts w:ascii="宋体" w:hAnsi="宋体" w:cs="宋体"/>
                <w:color w:val="000000"/>
                <w:sz w:val="18"/>
                <w:szCs w:val="18"/>
              </w:rPr>
              <w:t>工作要求，利用时间节点组织开了慰问、</w:t>
            </w:r>
            <w:r>
              <w:rPr>
                <w:rFonts w:hint="eastAsia" w:ascii="宋体" w:hAnsi="宋体" w:cs="宋体"/>
                <w:color w:val="000000"/>
                <w:sz w:val="18"/>
                <w:szCs w:val="18"/>
              </w:rPr>
              <w:t>义</w:t>
            </w:r>
            <w:r>
              <w:rPr>
                <w:rFonts w:ascii="宋体" w:hAnsi="宋体" w:cs="宋体"/>
                <w:color w:val="000000"/>
                <w:sz w:val="18"/>
                <w:szCs w:val="18"/>
              </w:rPr>
              <w:t>诊等活动。</w:t>
            </w:r>
          </w:p>
        </w:tc>
      </w:tr>
      <w:tr>
        <w:tblPrEx>
          <w:tblCellMar>
            <w:top w:w="0" w:type="dxa"/>
            <w:left w:w="0" w:type="dxa"/>
            <w:bottom w:w="0" w:type="dxa"/>
            <w:right w:w="0" w:type="dxa"/>
          </w:tblCellMar>
        </w:tblPrEx>
        <w:trPr>
          <w:trHeight w:val="561"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成本指标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r>
      <w:tr>
        <w:tblPrEx>
          <w:tblCellMar>
            <w:top w:w="0" w:type="dxa"/>
            <w:left w:w="0" w:type="dxa"/>
            <w:bottom w:w="0" w:type="dxa"/>
            <w:right w:w="0" w:type="dxa"/>
          </w:tblCellMar>
        </w:tblPrEx>
        <w:trPr>
          <w:trHeight w:val="399"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效益指标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经济效益</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加强贫困妇女儿童关爱救助的力度</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加强贫困妇女儿童关爱救助的力度</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加强贫困妇女儿童关爱救助的力度</w:t>
            </w:r>
          </w:p>
        </w:tc>
      </w:tr>
      <w:tr>
        <w:tblPrEx>
          <w:tblCellMar>
            <w:top w:w="0" w:type="dxa"/>
            <w:left w:w="0" w:type="dxa"/>
            <w:bottom w:w="0" w:type="dxa"/>
            <w:right w:w="0" w:type="dxa"/>
          </w:tblCellMar>
        </w:tblPrEx>
        <w:trPr>
          <w:trHeight w:val="464"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社会效益</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提高社会关心关爱贫困妇女儿童的意识</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提高社会关心关爱贫困妇女儿童的意识</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组织党员干部入户走访、了解群众生产生活困难</w:t>
            </w:r>
          </w:p>
        </w:tc>
      </w:tr>
      <w:tr>
        <w:tblPrEx>
          <w:tblCellMar>
            <w:top w:w="0" w:type="dxa"/>
            <w:left w:w="0" w:type="dxa"/>
            <w:bottom w:w="0" w:type="dxa"/>
            <w:right w:w="0" w:type="dxa"/>
          </w:tblCellMar>
        </w:tblPrEx>
        <w:trPr>
          <w:trHeight w:val="800"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生态效益</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加大对贫困母亲、儿童的救助帮扶力度</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加大对贫困母亲、儿童的救助帮扶力度</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于春节、三八、六一等节日节点慰问关爱贫困妇女儿童，发放慰问金和物资。</w:t>
            </w:r>
          </w:p>
        </w:tc>
      </w:tr>
      <w:tr>
        <w:tblPrEx>
          <w:tblCellMar>
            <w:top w:w="0" w:type="dxa"/>
            <w:left w:w="0" w:type="dxa"/>
            <w:bottom w:w="0" w:type="dxa"/>
            <w:right w:w="0" w:type="dxa"/>
          </w:tblCellMar>
        </w:tblPrEx>
        <w:trPr>
          <w:trHeight w:val="828"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可持续效益</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引导广大妇女树立健康生活的理念</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引导广大妇女树立健康生活的理念</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宣传妇科保健知识，开展关爱妇女健康爱心义诊活动；应急救护活动。</w:t>
            </w:r>
          </w:p>
        </w:tc>
      </w:tr>
      <w:tr>
        <w:tblPrEx>
          <w:tblCellMar>
            <w:top w:w="0" w:type="dxa"/>
            <w:left w:w="0" w:type="dxa"/>
            <w:bottom w:w="0" w:type="dxa"/>
            <w:right w:w="0" w:type="dxa"/>
          </w:tblCellMar>
        </w:tblPrEx>
        <w:trPr>
          <w:trHeight w:val="586" w:hRule="atLeast"/>
          <w:jc w:val="center"/>
        </w:trPr>
        <w:tc>
          <w:tcPr>
            <w:tcW w:w="39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满意度指标</w:t>
            </w:r>
          </w:p>
        </w:tc>
        <w:tc>
          <w:tcPr>
            <w:tcW w:w="115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深入开展贫困妇女儿童关爱救助</w:t>
            </w:r>
          </w:p>
        </w:tc>
        <w:tc>
          <w:tcPr>
            <w:tcW w:w="115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c>
          <w:tcPr>
            <w:tcW w:w="11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98%</w:t>
            </w:r>
          </w:p>
        </w:tc>
      </w:tr>
    </w:tbl>
    <w:p>
      <w:pPr>
        <w:spacing w:line="580" w:lineRule="exact"/>
        <w:jc w:val="center"/>
        <w:rPr>
          <w:rFonts w:ascii="宋体" w:hAnsi="宋体" w:cs="宋体"/>
          <w:color w:val="000000"/>
          <w:kern w:val="0"/>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本部门按要求对2019年部门整体支出绩效评价情况开展自评，《利州区妇联部门2019年部门整体支出绩效评价报告》见附件1。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FF0000"/>
          <w:sz w:val="32"/>
          <w:szCs w:val="32"/>
        </w:rPr>
      </w:pPr>
      <w:r>
        <w:rPr>
          <w:rFonts w:ascii="仿宋_GB2312" w:eastAsia="仿宋_GB2312"/>
          <w:color w:val="FF0000"/>
          <w:sz w:val="32"/>
          <w:szCs w:val="32"/>
        </w:rPr>
        <w:t>9.</w:t>
      </w:r>
      <w:r>
        <w:rPr>
          <w:rFonts w:hint="eastAsia" w:ascii="仿宋_GB2312" w:eastAsia="仿宋_GB2312"/>
          <w:color w:val="FF0000"/>
          <w:sz w:val="32"/>
          <w:szCs w:val="32"/>
        </w:rPr>
        <w:t>一般公共服务（类）群众团体事务（款）行政运行（项）：指反映妇联参照公务员法管理单位的基本支出。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10.一般公共服务（类）群众团体事务（款）一般行政管理事务（项）：指反映参公单位未单独设置项级科目的其它项目支出。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11.一般公共服务（类）群众团体事务（款）其他群众团体事务支出（项）：指反映参公单位单独设置项级科目的项目支出。</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12．社会保障和就业（类）行政事业单位离退休（款）机关事业单位基本养老保险缴费支出（项）：指机关事业单位实施养老保险制度由单位缴纳的基本养老保险费支出。</w:t>
      </w:r>
    </w:p>
    <w:p>
      <w:pPr>
        <w:ind w:firstLine="640" w:firstLineChars="200"/>
        <w:rPr>
          <w:rFonts w:ascii="仿宋_GB2312" w:eastAsia="仿宋_GB2312"/>
          <w:color w:val="FF0000"/>
          <w:sz w:val="32"/>
          <w:szCs w:val="32"/>
        </w:rPr>
      </w:pPr>
      <w:r>
        <w:rPr>
          <w:rFonts w:ascii="仿宋_GB2312" w:eastAsia="仿宋_GB2312"/>
          <w:color w:val="FF0000"/>
          <w:sz w:val="32"/>
          <w:szCs w:val="32"/>
        </w:rPr>
        <w:t>1</w:t>
      </w:r>
      <w:r>
        <w:rPr>
          <w:rFonts w:hint="eastAsia" w:ascii="仿宋_GB2312" w:eastAsia="仿宋_GB2312"/>
          <w:color w:val="FF0000"/>
          <w:sz w:val="32"/>
          <w:szCs w:val="32"/>
        </w:rPr>
        <w:t>3</w:t>
      </w:r>
      <w:r>
        <w:rPr>
          <w:rFonts w:ascii="仿宋_GB2312" w:eastAsia="仿宋_GB2312"/>
          <w:color w:val="FF0000"/>
          <w:sz w:val="32"/>
          <w:szCs w:val="32"/>
        </w:rPr>
        <w:t>.</w:t>
      </w:r>
      <w:r>
        <w:rPr>
          <w:rFonts w:hint="eastAsia" w:ascii="仿宋_GB2312" w:eastAsia="仿宋_GB2312"/>
          <w:color w:val="FF0000"/>
          <w:sz w:val="32"/>
          <w:szCs w:val="32"/>
        </w:rPr>
        <w:t>医疗卫生与计划生育（类）行政事业单位医疗（款）行政单位医疗（项）：指财政部门安排的行政单位（包括实行公务员管理的事业单位，下同）基本医疗保险缴费经费。</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t>14</w:t>
      </w:r>
      <w:r>
        <w:rPr>
          <w:rFonts w:ascii="仿宋_GB2312" w:eastAsia="仿宋_GB2312"/>
          <w:color w:val="FF0000"/>
          <w:sz w:val="32"/>
          <w:szCs w:val="32"/>
        </w:rPr>
        <w:t>.</w:t>
      </w:r>
      <w:r>
        <w:rPr>
          <w:rFonts w:hint="eastAsia" w:ascii="仿宋_GB2312" w:eastAsia="仿宋_GB2312"/>
          <w:color w:val="FF0000"/>
          <w:sz w:val="32"/>
          <w:szCs w:val="32"/>
        </w:rPr>
        <w:t>住房保障（类）住房改革支出（款）住房公积金（项）：指指行政事业单位按人力资源和社会保障部、财政部规定的基本工资和津贴补贴以及规定比例为职工缴纳的住房公积金。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bookmarkStart w:id="57" w:name="_Toc15377226"/>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利州区妇联2019年部门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2" w:firstLineChars="200"/>
        <w:rPr>
          <w:rFonts w:ascii="仿宋" w:hAnsi="仿宋" w:eastAsia="仿宋" w:cs="仿宋_GB2312"/>
          <w:b/>
          <w:sz w:val="32"/>
          <w:szCs w:val="32"/>
        </w:rPr>
      </w:pPr>
      <w:r>
        <w:rPr>
          <w:rFonts w:ascii="仿宋" w:hAnsi="仿宋" w:eastAsia="仿宋" w:cs="仿宋_GB2312"/>
          <w:b/>
          <w:sz w:val="32"/>
          <w:szCs w:val="32"/>
        </w:rPr>
        <w:t>（一）机构组成</w:t>
      </w:r>
    </w:p>
    <w:p>
      <w:pPr>
        <w:spacing w:line="580" w:lineRule="exact"/>
        <w:ind w:firstLine="600" w:firstLineChars="200"/>
        <w:rPr>
          <w:rFonts w:ascii="仿宋" w:hAnsi="仿宋" w:eastAsia="仿宋" w:cs="仿宋_GB2312"/>
          <w:sz w:val="32"/>
          <w:szCs w:val="32"/>
        </w:rPr>
      </w:pPr>
      <w:r>
        <w:rPr>
          <w:rFonts w:hint="eastAsia" w:ascii="Calibri" w:hAnsi="Calibri" w:eastAsia="仿宋_GB2312"/>
          <w:sz w:val="30"/>
          <w:szCs w:val="30"/>
        </w:rPr>
        <w:t>本部门</w:t>
      </w:r>
      <w:r>
        <w:rPr>
          <w:rFonts w:hint="eastAsia" w:ascii="仿宋_GB2312" w:hAnsi="Calibri" w:eastAsia="仿宋_GB2312"/>
          <w:sz w:val="30"/>
          <w:szCs w:val="30"/>
        </w:rPr>
        <w:t>是参照公务员法管理单位，属一级财政预算单位，受区委区政府领导，岗位设置为主席、副主席、办公室和妇女儿童权益办公室。</w:t>
      </w:r>
    </w:p>
    <w:p>
      <w:pPr>
        <w:spacing w:line="580" w:lineRule="exact"/>
        <w:ind w:firstLine="642" w:firstLineChars="200"/>
        <w:rPr>
          <w:rFonts w:ascii="仿宋" w:hAnsi="仿宋" w:eastAsia="仿宋" w:cs="仿宋_GB2312"/>
          <w:b/>
          <w:sz w:val="32"/>
          <w:szCs w:val="32"/>
        </w:rPr>
      </w:pPr>
      <w:r>
        <w:rPr>
          <w:rFonts w:ascii="仿宋" w:hAnsi="仿宋" w:eastAsia="仿宋" w:cs="仿宋_GB2312"/>
          <w:b/>
          <w:sz w:val="32"/>
          <w:szCs w:val="32"/>
        </w:rPr>
        <w:t>（二）机构职能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pPr>
        <w:spacing w:line="580" w:lineRule="exact"/>
        <w:ind w:firstLine="642" w:firstLineChars="200"/>
        <w:rPr>
          <w:rFonts w:ascii="仿宋" w:hAnsi="仿宋" w:eastAsia="仿宋" w:cs="仿宋_GB2312"/>
          <w:b/>
          <w:sz w:val="32"/>
          <w:szCs w:val="32"/>
        </w:rPr>
      </w:pPr>
      <w:r>
        <w:rPr>
          <w:rFonts w:ascii="仿宋" w:hAnsi="仿宋" w:eastAsia="仿宋" w:cs="仿宋_GB2312"/>
          <w:b/>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w:t>
      </w:r>
      <w:r>
        <w:rPr>
          <w:rFonts w:hint="eastAsia" w:ascii="仿宋_GB2312" w:hAnsi="Calibri" w:eastAsia="仿宋_GB2312"/>
          <w:sz w:val="30"/>
          <w:szCs w:val="30"/>
        </w:rPr>
        <w:t>编制数8名，2019年在编人员7名，其中3名行政编制，4名事业编制。</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9年本年收入合计144.94万元，其中：一般公共预算财政拨款收入144.94万元，占100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9年本年支出合计138.86万元，其中：基本支出86.2万元，占62</w:t>
      </w:r>
      <w:r>
        <w:rPr>
          <w:rFonts w:ascii="仿宋" w:hAnsi="仿宋" w:eastAsia="仿宋"/>
          <w:color w:val="000000"/>
          <w:sz w:val="32"/>
          <w:szCs w:val="32"/>
        </w:rPr>
        <w:t>%</w:t>
      </w:r>
      <w:r>
        <w:rPr>
          <w:rFonts w:hint="eastAsia" w:ascii="仿宋" w:hAnsi="仿宋" w:eastAsia="仿宋"/>
          <w:color w:val="000000"/>
          <w:sz w:val="32"/>
          <w:szCs w:val="32"/>
        </w:rPr>
        <w:t>；项目支出52.66万元，占38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（一）部门预算管理。</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1.严格按</w:t>
      </w:r>
      <w:r>
        <w:rPr>
          <w:rFonts w:ascii="仿宋" w:hAnsi="仿宋" w:eastAsia="仿宋"/>
          <w:color w:val="000000"/>
          <w:sz w:val="32"/>
          <w:szCs w:val="32"/>
        </w:rPr>
        <w:t>区财政</w:t>
      </w:r>
      <w:r>
        <w:rPr>
          <w:rFonts w:hint="eastAsia" w:ascii="仿宋" w:hAnsi="仿宋" w:eastAsia="仿宋"/>
          <w:color w:val="000000"/>
          <w:sz w:val="32"/>
          <w:szCs w:val="32"/>
        </w:rPr>
        <w:t>部门</w:t>
      </w:r>
      <w:r>
        <w:rPr>
          <w:rFonts w:ascii="仿宋" w:hAnsi="仿宋" w:eastAsia="仿宋"/>
          <w:color w:val="000000"/>
          <w:sz w:val="32"/>
          <w:szCs w:val="32"/>
        </w:rPr>
        <w:t>预算要求，</w:t>
      </w:r>
      <w:r>
        <w:rPr>
          <w:rFonts w:hint="eastAsia" w:ascii="仿宋" w:hAnsi="仿宋" w:eastAsia="仿宋"/>
          <w:color w:val="000000"/>
          <w:sz w:val="32"/>
          <w:szCs w:val="32"/>
        </w:rPr>
        <w:t>按时</w:t>
      </w:r>
      <w:r>
        <w:rPr>
          <w:rFonts w:ascii="仿宋" w:hAnsi="仿宋" w:eastAsia="仿宋"/>
          <w:color w:val="000000"/>
          <w:sz w:val="32"/>
          <w:szCs w:val="32"/>
        </w:rPr>
        <w:t>按质编制</w:t>
      </w:r>
      <w:r>
        <w:rPr>
          <w:rFonts w:hint="eastAsia" w:ascii="仿宋" w:hAnsi="仿宋" w:eastAsia="仿宋"/>
          <w:color w:val="000000"/>
          <w:sz w:val="32"/>
          <w:szCs w:val="32"/>
        </w:rPr>
        <w:t>我会</w:t>
      </w:r>
      <w:r>
        <w:rPr>
          <w:rFonts w:ascii="仿宋" w:hAnsi="仿宋" w:eastAsia="仿宋"/>
          <w:color w:val="000000"/>
          <w:sz w:val="32"/>
          <w:szCs w:val="32"/>
        </w:rPr>
        <w:t>部门预算，并</w:t>
      </w:r>
      <w:r>
        <w:rPr>
          <w:rFonts w:hint="eastAsia" w:ascii="仿宋" w:hAnsi="仿宋" w:eastAsia="仿宋"/>
          <w:color w:val="000000"/>
          <w:sz w:val="32"/>
          <w:szCs w:val="32"/>
        </w:rPr>
        <w:t>报送</w:t>
      </w:r>
      <w:r>
        <w:rPr>
          <w:rFonts w:ascii="仿宋" w:hAnsi="仿宋" w:eastAsia="仿宋"/>
          <w:color w:val="000000"/>
          <w:sz w:val="32"/>
          <w:szCs w:val="32"/>
        </w:rPr>
        <w:t>对口业务股室。</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 xml:space="preserve">2. 部门整体绩效目标编制完整、合理，预算安排的基本支出保障了正常的工作运转。 </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.严控制行政经费，压缩公务费开支，严格控制“三公”经费，资产的配置严格政府采购，按照预算科目和项目资金的规定使用财政资金，保证部门整体支出的规范化、制度化。</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（二）结果应用情况。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从项目完成、项目效益、满意度等方面设置了绩效指标，综合反映项目预期完成的数量、成本、时效、质量，预期达到的社会效益、经济效益、生态效益、可持续影响以及服务对象满意度等情况。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（一）评价结论。</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本部门</w:t>
      </w:r>
      <w:r>
        <w:rPr>
          <w:rFonts w:hint="eastAsia" w:ascii="仿宋" w:hAnsi="仿宋" w:eastAsia="仿宋"/>
          <w:color w:val="000000"/>
          <w:sz w:val="32"/>
          <w:szCs w:val="32"/>
        </w:rPr>
        <w:t>全面贯彻落实习近平新时代中国特色社会主义思想</w:t>
      </w:r>
      <w:r>
        <w:rPr>
          <w:rFonts w:hint="eastAsia" w:ascii="仿宋" w:hAnsi="仿宋" w:eastAsia="仿宋"/>
          <w:color w:val="000000"/>
          <w:sz w:val="32"/>
          <w:szCs w:val="32"/>
          <w:lang w:eastAsia="zh-CN"/>
        </w:rPr>
        <w:t>和党的十九大精神</w:t>
      </w:r>
      <w:r>
        <w:rPr>
          <w:rFonts w:hint="eastAsia" w:ascii="仿宋" w:hAnsi="仿宋" w:eastAsia="仿宋"/>
          <w:color w:val="000000"/>
          <w:sz w:val="32"/>
          <w:szCs w:val="32"/>
        </w:rPr>
        <w:t>，维护妇女儿童合法权益，助力妇女创业发展，圆满的实施了巾帼心向党、巾帼维权服务、巾帼建新功、家庭文明建设四大提升行动任务，扎实推进了脱贫攻坚、民生工程的实施，较好的完成了妇联的其他各项工作，取得了较好的成绩。</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（二）存在问题。</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财务人员的业务能力还需加强，进一步适应新常态的财务工作，科学、有效地开展财务工作。</w:t>
      </w:r>
    </w:p>
    <w:p>
      <w:pPr>
        <w:widowControl/>
        <w:adjustRightInd w:val="0"/>
        <w:snapToGrid w:val="0"/>
        <w:spacing w:line="580" w:lineRule="exact"/>
        <w:ind w:firstLine="642" w:firstLineChars="200"/>
        <w:contextualSpacing/>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（三）改进建议。</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1．加强财务知识学习，适应新常态下的财务工作，杜绝财务工作中出现问题。</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2．严格按照《预算法》及其实施条例的相关规定科学、合理编制预算，同时严格预算执行，提高资金使用效率。</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3．加强单位内控制度建设，建立健全财务内部控制制度，更好地发挥内部控制在提升单位内部治理水平、规范内部权力运行、促进依法行政、推进廉政建设中的重要作用。</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省定民生</w:t>
      </w:r>
      <w:r>
        <w:rPr>
          <w:rFonts w:hint="eastAsia" w:ascii="方正小标宋简体" w:hAnsi="宋体" w:eastAsia="方正小标宋简体"/>
          <w:color w:val="000000"/>
          <w:kern w:val="0"/>
          <w:sz w:val="44"/>
          <w:szCs w:val="44"/>
          <w:lang w:val="zh-CN"/>
        </w:rPr>
        <w:t>工程儿童之家项目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在基层建设20个城乡社区儿童之家。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 w:hAnsi="仿宋" w:eastAsia="仿宋" w:cs="仿宋"/>
          <w:sz w:val="32"/>
          <w:szCs w:val="32"/>
        </w:rPr>
      </w:pPr>
      <w:r>
        <w:rPr>
          <w:rFonts w:hint="eastAsia" w:ascii="仿宋_GB2312" w:hAnsi="仿宋_GB2312" w:eastAsia="仿宋_GB2312" w:cs="仿宋_GB2312"/>
          <w:sz w:val="32"/>
          <w:szCs w:val="32"/>
        </w:rPr>
        <w:t>通过项目实施，</w:t>
      </w:r>
      <w:r>
        <w:rPr>
          <w:rFonts w:hint="eastAsia" w:ascii="仿宋" w:hAnsi="仿宋" w:eastAsia="仿宋" w:cs="仿宋"/>
          <w:sz w:val="32"/>
          <w:szCs w:val="32"/>
        </w:rPr>
        <w:t>整合妇女之家、儿童之家功能，调动部门资源，建设妇女儿童之家，为妇女儿童提供阵地和服务。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为了完成基层20个城乡社区儿童之家建设，为妇女儿童提供阵地和服务，项目资金已纳入当年财政预算。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该项目资金来源于财政资金，已全部用于当年儿童之家建设和活动开展。</w:t>
      </w:r>
    </w:p>
    <w:p>
      <w:pPr>
        <w:adjustRightInd w:val="0"/>
        <w:snapToGrid w:val="0"/>
        <w:spacing w:line="600" w:lineRule="exact"/>
        <w:ind w:firstLine="720"/>
        <w:rPr>
          <w:rFonts w:ascii="仿宋" w:hAnsi="仿宋" w:eastAsia="仿宋"/>
          <w:color w:val="000000"/>
          <w:sz w:val="32"/>
          <w:szCs w:val="32"/>
        </w:rPr>
      </w:pPr>
      <w:r>
        <w:rPr>
          <w:rFonts w:hint="eastAsia" w:ascii="楷体_GB2312" w:hAnsi="宋体" w:eastAsia="楷体_GB2312"/>
          <w:sz w:val="32"/>
          <w:szCs w:val="32"/>
          <w:lang w:val="zh-CN"/>
        </w:rPr>
        <w:t>2．资金到位和使用。</w:t>
      </w:r>
      <w:r>
        <w:rPr>
          <w:rFonts w:hint="eastAsia" w:ascii="仿宋_GB2312" w:hAnsi="宋体" w:eastAsia="仿宋_GB2312"/>
          <w:sz w:val="32"/>
          <w:szCs w:val="32"/>
          <w:lang w:val="zh-CN"/>
        </w:rPr>
        <w:t>汇总统计截止评价时点该项目资金已到位。我会</w:t>
      </w:r>
      <w:r>
        <w:rPr>
          <w:rFonts w:hint="eastAsia" w:ascii="仿宋" w:hAnsi="仿宋" w:eastAsia="仿宋"/>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Style w:val="30"/>
        <w:spacing w:line="576" w:lineRule="exact"/>
        <w:ind w:firstLine="640"/>
        <w:rPr>
          <w:rFonts w:ascii="仿宋" w:hAnsi="仿宋" w:eastAsia="仿宋" w:cs="仿宋"/>
          <w:b/>
          <w:sz w:val="32"/>
          <w:szCs w:val="32"/>
        </w:rPr>
      </w:pPr>
      <w:r>
        <w:rPr>
          <w:rFonts w:hint="eastAsia" w:ascii="仿宋" w:hAnsi="仿宋" w:eastAsia="仿宋" w:cs="仿宋"/>
          <w:sz w:val="32"/>
          <w:szCs w:val="32"/>
        </w:rPr>
        <w:t>我区立足实际，对条件较好的村（社区）单独建立儿童之家，统一标准、完善功能，对条件偏远的地方基础设施落后，与辖区单位、村（社区）整合资源发挥优势，开展妇女儿童维权宣传服务活动等等，通过各种资源的有效利用和整合，完善并扩展了儿童之家的功能。</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
          <w:sz w:val="32"/>
          <w:szCs w:val="32"/>
        </w:rPr>
        <w:t>整合建立儿童之家，</w:t>
      </w:r>
      <w:r>
        <w:rPr>
          <w:rFonts w:ascii="仿宋" w:hAnsi="仿宋" w:eastAsia="仿宋" w:cs="仿宋_GB2312"/>
          <w:sz w:val="32"/>
          <w:szCs w:val="32"/>
        </w:rPr>
        <w:t>形成了儿童之家管理制度，</w:t>
      </w:r>
      <w:r>
        <w:rPr>
          <w:rFonts w:hint="eastAsia" w:ascii="仿宋" w:hAnsi="仿宋" w:eastAsia="仿宋" w:cs="仿宋"/>
          <w:sz w:val="32"/>
          <w:szCs w:val="32"/>
        </w:rPr>
        <w:t>用好用活儿童之家这块阵地，真正成为孩子们的“温暖之家”。</w:t>
      </w:r>
    </w:p>
    <w:p>
      <w:pPr>
        <w:spacing w:line="580" w:lineRule="exact"/>
        <w:ind w:firstLine="640"/>
        <w:rPr>
          <w:rFonts w:ascii="楷体_GB2312" w:hAnsi="宋体" w:eastAsia="楷体_GB2312"/>
          <w:b/>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最美阳台项目</w:t>
      </w: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2019年绩效评价报告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表扬30户利州区“最美庭院（阳台）”获得者。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进一步增强广大市民绿化美化的自觉意识，倡导科学文明健康的生活方式，推进全区绿色发展。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项目资金已纳入当年财政预算。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该项目资金来源于财政资金，已全部用于当年“最美庭院（阳台）”表扬工作。</w:t>
      </w:r>
    </w:p>
    <w:p>
      <w:pPr>
        <w:adjustRightInd w:val="0"/>
        <w:snapToGrid w:val="0"/>
        <w:spacing w:line="600" w:lineRule="exact"/>
        <w:ind w:firstLine="720"/>
        <w:rPr>
          <w:rFonts w:ascii="仿宋" w:hAnsi="仿宋" w:eastAsia="仿宋"/>
          <w:color w:val="000000"/>
          <w:sz w:val="32"/>
          <w:szCs w:val="32"/>
        </w:rPr>
      </w:pPr>
      <w:r>
        <w:rPr>
          <w:rFonts w:hint="eastAsia" w:ascii="楷体_GB2312" w:hAnsi="宋体" w:eastAsia="楷体_GB2312"/>
          <w:sz w:val="32"/>
          <w:szCs w:val="32"/>
          <w:lang w:val="zh-CN"/>
        </w:rPr>
        <w:t>2．资金到位和使用。</w:t>
      </w:r>
      <w:r>
        <w:rPr>
          <w:rFonts w:hint="eastAsia" w:ascii="仿宋_GB2312" w:hAnsi="宋体" w:eastAsia="仿宋_GB2312"/>
          <w:sz w:val="32"/>
          <w:szCs w:val="32"/>
          <w:lang w:val="zh-CN"/>
        </w:rPr>
        <w:t>汇总统计截止评价时点该项目资金已到位。我会</w:t>
      </w:r>
      <w:r>
        <w:rPr>
          <w:rFonts w:hint="eastAsia" w:ascii="仿宋" w:hAnsi="仿宋" w:eastAsia="仿宋"/>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动员全区广大家庭和妇女争做改善环境的先行者、改变陋习的带头者、良好风尚的引领者，让“家庭绿化”成为生活时尚，给“家”多增一点绿，多添一份美，为把我区建设成为中国生态康养旅游名市核心区、创建“国家园林城市”贡献力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已按照计划，表扬30户“最美庭院（阳台）”获得者，增强了广大市民绿化美化的自觉意识，社会满意度较高。</w:t>
      </w:r>
    </w:p>
    <w:p>
      <w:pPr>
        <w:spacing w:line="580" w:lineRule="exact"/>
        <w:ind w:firstLine="640"/>
        <w:rPr>
          <w:rFonts w:ascii="楷体_GB2312" w:hAnsi="宋体" w:eastAsia="楷体_GB2312"/>
          <w:b/>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省级示范妇女之家项目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在大石镇快乐社区实施省级示范“妇女之家”项目。在妇联执委、社会组织、创新创业、两新组织等群体建设妇女微家组织10个。</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通过项目的开展，形成一种互帮互助，相互了解认可、相互支持的氛围，形成人与人之间信任友好的横向纽带，为未来的生活工作打下基础。进一步弘扬社会主义核心价值体系，促进家庭和谐和社会稳定。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项目资金已纳入当年财政预算。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该项目资金来源于上级财政资金，已全部用于省级示范妇女之家建设和妇女微家建设工作。</w:t>
      </w:r>
    </w:p>
    <w:p>
      <w:pPr>
        <w:adjustRightInd w:val="0"/>
        <w:snapToGrid w:val="0"/>
        <w:spacing w:line="600" w:lineRule="exact"/>
        <w:ind w:firstLine="720"/>
        <w:rPr>
          <w:rFonts w:ascii="仿宋" w:hAnsi="仿宋" w:eastAsia="仿宋"/>
          <w:color w:val="000000"/>
          <w:sz w:val="32"/>
          <w:szCs w:val="32"/>
        </w:rPr>
      </w:pPr>
      <w:r>
        <w:rPr>
          <w:rFonts w:hint="eastAsia" w:ascii="楷体_GB2312" w:hAnsi="宋体" w:eastAsia="楷体_GB2312"/>
          <w:sz w:val="32"/>
          <w:szCs w:val="32"/>
          <w:lang w:val="zh-CN"/>
        </w:rPr>
        <w:t>2．资金到位和使用。</w:t>
      </w:r>
      <w:r>
        <w:rPr>
          <w:rFonts w:hint="eastAsia" w:ascii="仿宋_GB2312" w:hAnsi="宋体" w:eastAsia="仿宋_GB2312"/>
          <w:sz w:val="32"/>
          <w:szCs w:val="32"/>
          <w:lang w:val="zh-CN"/>
        </w:rPr>
        <w:t>汇总统计截止评价时点该项目资金已到位。我会</w:t>
      </w:r>
      <w:r>
        <w:rPr>
          <w:rFonts w:hint="eastAsia" w:ascii="仿宋" w:hAnsi="仿宋" w:eastAsia="仿宋"/>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省级示范妇女之家建设项目按照总体要求，整合社区图书阅览室、舞蹈室、多功能会议室、书画室都功能区域，完成“妇女之家”阵地建设工作，设计制作“妇女之家”标识、相关制度上墙，采购了电脑、图书等，打造温馨舒适、安全健康、功能齐全的妇女活动空间，完成了巾帼志愿者队伍组建，共策划开展18场活动。妇女微家年内开展各类活动20余场，服务妇女儿童5000余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让妇女群众在活动中提升自我，在娱乐中提升自我，搭建起妇联组织与妇女群众交流的桥梁，进一步提升妇女群众的归属感、幸福感以及获得感。</w:t>
      </w:r>
    </w:p>
    <w:p>
      <w:pPr>
        <w:spacing w:line="580" w:lineRule="exact"/>
        <w:ind w:firstLine="640"/>
        <w:rPr>
          <w:rFonts w:ascii="楷体_GB2312" w:hAnsi="宋体" w:eastAsia="楷体_GB2312"/>
          <w:b/>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两纲工作项目</w:t>
      </w: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2019年绩效评价报告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坚持贯彻男女平等基本国策和儿童优先原则，扎实有效推进两纲实施，切实改善妇女儿童生存发展环境，促进妇女儿童事业持续健康全面发展。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妇女儿童健康水平进一步提高；妇女儿童教育事业发展良好；妇女儿童合法权益得到有力维护；妇女创业就业环境进一步改善；妇女参与决策和管理水平进一步提高；妇女儿童社会保障进一步加强。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项目资金已纳入当年财政预算。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该项目资金来源于财政资金，已全部用于当年两纲工作。</w:t>
      </w:r>
    </w:p>
    <w:p>
      <w:pPr>
        <w:adjustRightInd w:val="0"/>
        <w:snapToGrid w:val="0"/>
        <w:spacing w:line="600" w:lineRule="exact"/>
        <w:ind w:firstLine="720"/>
        <w:rPr>
          <w:rFonts w:ascii="仿宋" w:hAnsi="仿宋" w:eastAsia="仿宋"/>
          <w:color w:val="000000"/>
          <w:sz w:val="32"/>
          <w:szCs w:val="32"/>
        </w:rPr>
      </w:pPr>
      <w:r>
        <w:rPr>
          <w:rFonts w:hint="eastAsia" w:ascii="楷体_GB2312" w:hAnsi="宋体" w:eastAsia="楷体_GB2312"/>
          <w:sz w:val="32"/>
          <w:szCs w:val="32"/>
          <w:lang w:val="zh-CN"/>
        </w:rPr>
        <w:t>2．资金到位和使用。</w:t>
      </w:r>
      <w:r>
        <w:rPr>
          <w:rFonts w:hint="eastAsia" w:ascii="仿宋_GB2312" w:hAnsi="宋体" w:eastAsia="仿宋_GB2312"/>
          <w:sz w:val="32"/>
          <w:szCs w:val="32"/>
          <w:lang w:val="zh-CN"/>
        </w:rPr>
        <w:t>汇总统计截止评价时点该项目资金已到位。我会</w:t>
      </w:r>
      <w:r>
        <w:rPr>
          <w:rFonts w:hint="eastAsia" w:ascii="仿宋" w:hAnsi="仿宋" w:eastAsia="仿宋"/>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一是创新开展“性别平等教育进课堂”活动。把栖凤小学作为试点学校，探索“性别平等教育进课堂”教学，组织课题组教师积极开展了专题研讨、集体备课、试教磨课、听课议课系列活动，通过案例教学、男女平等手抄报大赛等方式，让性别平等意识走进小学课堂，让孩子从小就形成先进的性别意识。二是开展了性别平等政策法规评估咨询活动。活动在雪峰街道芸香社区开展，为芸香社区的群众开展了一次性别平等政策法规评估咨询专题培训，对芸香社区居民公约进行了一次性别平等评估，在社区开展了一次性别平等政策法规、男女平等基本国策宣传活动，让男女平等先进性别意识深入人心。三是实施好民生工程。新建20个儿童之家，为孩子们提供学习、活动场所，减轻家长负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抓实抓好加快妇女儿童事业发展的各项任务，坚持贯彻男女平等基本国策和儿童优先原则，促进妇女儿童事业持续健康全面发展，努力开创妇女儿童工作新局面。</w:t>
      </w:r>
    </w:p>
    <w:p>
      <w:pPr>
        <w:spacing w:line="580" w:lineRule="exact"/>
        <w:ind w:firstLine="640"/>
        <w:rPr>
          <w:rFonts w:ascii="楷体_GB2312" w:hAnsi="宋体" w:eastAsia="楷体_GB2312"/>
          <w:b/>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widowControl/>
        <w:jc w:val="left"/>
        <w:rPr>
          <w:rStyle w:val="24"/>
          <w:rFonts w:ascii="黑体" w:hAnsi="黑体" w:eastAsia="黑体"/>
          <w:b w:val="0"/>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贫困妇女救助项目</w:t>
      </w: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2019年绩效评价报告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全力做好贫困妇女帮扶和救助工作，做好贫困妇女儿童的慰问、公益活动开展等。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加大贫困母亲、留守流动儿童的救助帮扶力度，引导广大妇女树立健康的生活理念。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项目资金已纳入当年财政预算。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该项目资金来源于财政资金，已全部用于当年贫困妇女儿童救助工作。</w:t>
      </w:r>
    </w:p>
    <w:p>
      <w:pPr>
        <w:adjustRightInd w:val="0"/>
        <w:snapToGrid w:val="0"/>
        <w:spacing w:line="600" w:lineRule="exact"/>
        <w:ind w:firstLine="720"/>
        <w:rPr>
          <w:rFonts w:ascii="仿宋" w:hAnsi="仿宋" w:eastAsia="仿宋"/>
          <w:color w:val="000000"/>
          <w:sz w:val="32"/>
          <w:szCs w:val="32"/>
        </w:rPr>
      </w:pPr>
      <w:r>
        <w:rPr>
          <w:rFonts w:hint="eastAsia" w:ascii="楷体_GB2312" w:hAnsi="宋体" w:eastAsia="楷体_GB2312"/>
          <w:sz w:val="32"/>
          <w:szCs w:val="32"/>
          <w:lang w:val="zh-CN"/>
        </w:rPr>
        <w:t>2．资金到位和使用。</w:t>
      </w:r>
      <w:r>
        <w:rPr>
          <w:rFonts w:hint="eastAsia" w:ascii="仿宋_GB2312" w:hAnsi="宋体" w:eastAsia="仿宋_GB2312"/>
          <w:sz w:val="32"/>
          <w:szCs w:val="32"/>
          <w:lang w:val="zh-CN"/>
        </w:rPr>
        <w:t>汇总统计截止评价时点该项目资金已到位。我会</w:t>
      </w:r>
      <w:r>
        <w:rPr>
          <w:rFonts w:hint="eastAsia" w:ascii="仿宋" w:hAnsi="仿宋" w:eastAsia="仿宋"/>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eastAsia="仿宋_GB2312" w:cs="仿宋_GB2312"/>
          <w:sz w:val="32"/>
          <w:szCs w:val="32"/>
        </w:rPr>
        <w:t>精心组织、提早部署、周密安排，保证项目顺利实施。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pacing w:line="576" w:lineRule="exact"/>
        <w:ind w:firstLine="640" w:firstLineChars="200"/>
        <w:rPr>
          <w:rFonts w:ascii="仿宋" w:hAnsi="仿宋" w:eastAsia="仿宋"/>
          <w:sz w:val="32"/>
          <w:szCs w:val="32"/>
        </w:rPr>
      </w:pPr>
      <w:r>
        <w:rPr>
          <w:rFonts w:hint="eastAsia" w:ascii="仿宋" w:hAnsi="仿宋" w:eastAsia="仿宋"/>
          <w:sz w:val="32"/>
          <w:szCs w:val="32"/>
        </w:rPr>
        <w:t>联合区老促会、市第一人民医院在大石镇龙王小学开展“健康扶贫 关爱儿童”义诊活动。完成农村“两癌”患病妇女的资料收集、整理、上报和“两癌”培训工作，上半年为4名农村贫困妇女发放“贫困母亲两癌救助专项基金”4万元，下半年为8名农村贫困妇女发放“贫困母亲两癌救助专项基金”8万元；完成“安康家园”助学项目，发放救助金12600元。春节期间，慰问贫困妇女30余人，发放价值2万余元的慰问金和慰问品。实施了“国奶扶贫工程项目”，全区</w:t>
      </w:r>
      <w:r>
        <w:rPr>
          <w:rFonts w:ascii="仿宋" w:hAnsi="仿宋" w:eastAsia="仿宋"/>
          <w:sz w:val="32"/>
          <w:szCs w:val="32"/>
        </w:rPr>
        <w:t>公益捐赠</w:t>
      </w:r>
      <w:r>
        <w:rPr>
          <w:rFonts w:hint="eastAsia" w:ascii="仿宋" w:hAnsi="仿宋" w:eastAsia="仿宋"/>
          <w:sz w:val="32"/>
          <w:szCs w:val="32"/>
        </w:rPr>
        <w:t>31</w:t>
      </w:r>
      <w:r>
        <w:rPr>
          <w:rFonts w:ascii="仿宋" w:hAnsi="仿宋" w:eastAsia="仿宋"/>
          <w:sz w:val="32"/>
          <w:szCs w:val="32"/>
        </w:rPr>
        <w:t>户，共捐赠奶粉</w:t>
      </w:r>
      <w:r>
        <w:rPr>
          <w:rFonts w:hint="eastAsia" w:ascii="仿宋" w:hAnsi="仿宋" w:eastAsia="仿宋"/>
          <w:sz w:val="32"/>
          <w:szCs w:val="32"/>
        </w:rPr>
        <w:t>149</w:t>
      </w:r>
      <w:r>
        <w:rPr>
          <w:rFonts w:ascii="仿宋" w:hAnsi="仿宋" w:eastAsia="仿宋"/>
          <w:sz w:val="32"/>
          <w:szCs w:val="32"/>
        </w:rPr>
        <w:t>罐，公益捐助共计申请464人次，共捐助奶粉</w:t>
      </w:r>
      <w:r>
        <w:rPr>
          <w:rFonts w:hint="eastAsia" w:ascii="仿宋" w:hAnsi="仿宋" w:eastAsia="仿宋"/>
          <w:sz w:val="32"/>
          <w:szCs w:val="32"/>
        </w:rPr>
        <w:t>1644</w:t>
      </w:r>
      <w:r>
        <w:rPr>
          <w:rFonts w:ascii="仿宋" w:hAnsi="仿宋" w:eastAsia="仿宋"/>
          <w:sz w:val="32"/>
          <w:szCs w:val="32"/>
        </w:rPr>
        <w:t>罐，减轻贫困家庭经济负担，改善贫困儿童营养状况</w:t>
      </w:r>
      <w:r>
        <w:rPr>
          <w:rFonts w:hint="eastAsia" w:ascii="仿宋" w:hAnsi="仿宋" w:eastAsia="仿宋"/>
          <w:sz w:val="32"/>
          <w:szCs w:val="32"/>
        </w:rPr>
        <w:t>。六一期间，组织开展了主题为“逐梦新时代 幸福伴成长”的慰问活动，区四大班子领导深入回龙小学、特殊教育学校，与孩子们共度儿童节。</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Style w:val="24"/>
          <w:rFonts w:ascii="仿宋_GB2312" w:hAnsi="宋体" w:eastAsia="仿宋_GB2312"/>
          <w:b w:val="0"/>
          <w:bCs w:val="0"/>
          <w:kern w:val="2"/>
          <w:sz w:val="32"/>
          <w:szCs w:val="32"/>
          <w:lang w:val="zh-CN"/>
        </w:rPr>
      </w:pPr>
      <w:r>
        <w:rPr>
          <w:rFonts w:hint="eastAsia" w:ascii="仿宋_GB2312" w:hAnsi="宋体" w:eastAsia="仿宋_GB2312"/>
          <w:sz w:val="32"/>
          <w:szCs w:val="32"/>
          <w:lang w:val="zh-CN"/>
        </w:rPr>
        <w:t>2019年贫困妇女救助资金管理规范，所有项目资金规范运作，社会满意度较高。</w:t>
      </w:r>
    </w:p>
    <w:p>
      <w:pPr>
        <w:spacing w:line="600" w:lineRule="exact"/>
        <w:jc w:val="center"/>
        <w:outlineLvl w:val="0"/>
        <w:rPr>
          <w:rStyle w:val="24"/>
          <w:rFonts w:ascii="黑体" w:hAnsi="黑体" w:eastAsia="黑体"/>
          <w:b w:val="0"/>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5" w:left="1588"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3BBF"/>
    <w:rsid w:val="00114E9B"/>
    <w:rsid w:val="00136B00"/>
    <w:rsid w:val="00142019"/>
    <w:rsid w:val="00142216"/>
    <w:rsid w:val="00144D6A"/>
    <w:rsid w:val="0014729F"/>
    <w:rsid w:val="00154627"/>
    <w:rsid w:val="00157BAB"/>
    <w:rsid w:val="001654D1"/>
    <w:rsid w:val="00174518"/>
    <w:rsid w:val="00176C5B"/>
    <w:rsid w:val="0018106D"/>
    <w:rsid w:val="0018518B"/>
    <w:rsid w:val="001877A7"/>
    <w:rsid w:val="00191536"/>
    <w:rsid w:val="00196687"/>
    <w:rsid w:val="00196ACE"/>
    <w:rsid w:val="001C0962"/>
    <w:rsid w:val="001C1FB9"/>
    <w:rsid w:val="001C76F5"/>
    <w:rsid w:val="001D7531"/>
    <w:rsid w:val="001E737D"/>
    <w:rsid w:val="001F0592"/>
    <w:rsid w:val="001F4C44"/>
    <w:rsid w:val="001F7506"/>
    <w:rsid w:val="002006CD"/>
    <w:rsid w:val="00202B36"/>
    <w:rsid w:val="00204B7A"/>
    <w:rsid w:val="00204CDE"/>
    <w:rsid w:val="0021101A"/>
    <w:rsid w:val="0022032F"/>
    <w:rsid w:val="00220536"/>
    <w:rsid w:val="00235629"/>
    <w:rsid w:val="00245328"/>
    <w:rsid w:val="00260C38"/>
    <w:rsid w:val="002616C0"/>
    <w:rsid w:val="002636B6"/>
    <w:rsid w:val="00265372"/>
    <w:rsid w:val="002662AA"/>
    <w:rsid w:val="00280496"/>
    <w:rsid w:val="00294DC9"/>
    <w:rsid w:val="00295495"/>
    <w:rsid w:val="002A31DE"/>
    <w:rsid w:val="002B2613"/>
    <w:rsid w:val="002D19B0"/>
    <w:rsid w:val="002D6D05"/>
    <w:rsid w:val="002E5C8C"/>
    <w:rsid w:val="002F1818"/>
    <w:rsid w:val="002F567B"/>
    <w:rsid w:val="003216A9"/>
    <w:rsid w:val="00335A74"/>
    <w:rsid w:val="00341135"/>
    <w:rsid w:val="00352DDB"/>
    <w:rsid w:val="0036561B"/>
    <w:rsid w:val="0037013F"/>
    <w:rsid w:val="00380C92"/>
    <w:rsid w:val="003A484F"/>
    <w:rsid w:val="003A4883"/>
    <w:rsid w:val="003B0BE0"/>
    <w:rsid w:val="003B0C1B"/>
    <w:rsid w:val="003B490E"/>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6F90"/>
    <w:rsid w:val="00471401"/>
    <w:rsid w:val="00473F31"/>
    <w:rsid w:val="0048263A"/>
    <w:rsid w:val="00487E5D"/>
    <w:rsid w:val="004A1BE7"/>
    <w:rsid w:val="004A711F"/>
    <w:rsid w:val="004B199D"/>
    <w:rsid w:val="004B4690"/>
    <w:rsid w:val="004E0A2D"/>
    <w:rsid w:val="004E206B"/>
    <w:rsid w:val="004E3BE9"/>
    <w:rsid w:val="004E6DF7"/>
    <w:rsid w:val="004F0FBD"/>
    <w:rsid w:val="004F403E"/>
    <w:rsid w:val="00505A47"/>
    <w:rsid w:val="00512FDA"/>
    <w:rsid w:val="00520DA0"/>
    <w:rsid w:val="00562665"/>
    <w:rsid w:val="005664BB"/>
    <w:rsid w:val="00566FFA"/>
    <w:rsid w:val="0057481D"/>
    <w:rsid w:val="00575F0B"/>
    <w:rsid w:val="0058486E"/>
    <w:rsid w:val="00585559"/>
    <w:rsid w:val="00585B33"/>
    <w:rsid w:val="0059014D"/>
    <w:rsid w:val="005B5C64"/>
    <w:rsid w:val="005C6BD0"/>
    <w:rsid w:val="005C6C4C"/>
    <w:rsid w:val="005D1C8B"/>
    <w:rsid w:val="005D468D"/>
    <w:rsid w:val="005D5CED"/>
    <w:rsid w:val="005F1A4C"/>
    <w:rsid w:val="0060435A"/>
    <w:rsid w:val="00605688"/>
    <w:rsid w:val="006070AF"/>
    <w:rsid w:val="00607E6C"/>
    <w:rsid w:val="006101B1"/>
    <w:rsid w:val="00614E44"/>
    <w:rsid w:val="0062270A"/>
    <w:rsid w:val="00622830"/>
    <w:rsid w:val="00623DA0"/>
    <w:rsid w:val="00630AEF"/>
    <w:rsid w:val="006325F8"/>
    <w:rsid w:val="00633463"/>
    <w:rsid w:val="00634C9A"/>
    <w:rsid w:val="006417A3"/>
    <w:rsid w:val="006440E4"/>
    <w:rsid w:val="006567CA"/>
    <w:rsid w:val="0066343B"/>
    <w:rsid w:val="00664777"/>
    <w:rsid w:val="006748A4"/>
    <w:rsid w:val="006810F7"/>
    <w:rsid w:val="00681A31"/>
    <w:rsid w:val="00683E73"/>
    <w:rsid w:val="00692AEA"/>
    <w:rsid w:val="006A3141"/>
    <w:rsid w:val="006A5E34"/>
    <w:rsid w:val="006B2422"/>
    <w:rsid w:val="006B2B9A"/>
    <w:rsid w:val="006C1937"/>
    <w:rsid w:val="006C662C"/>
    <w:rsid w:val="006D4F0C"/>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C4DAB"/>
    <w:rsid w:val="007C5786"/>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47748"/>
    <w:rsid w:val="00850625"/>
    <w:rsid w:val="00852EA5"/>
    <w:rsid w:val="00853718"/>
    <w:rsid w:val="00855221"/>
    <w:rsid w:val="00860645"/>
    <w:rsid w:val="00860F7F"/>
    <w:rsid w:val="0086442F"/>
    <w:rsid w:val="0086490A"/>
    <w:rsid w:val="00871F71"/>
    <w:rsid w:val="00872FD8"/>
    <w:rsid w:val="00885AF4"/>
    <w:rsid w:val="008939CD"/>
    <w:rsid w:val="008B768C"/>
    <w:rsid w:val="008C4DB1"/>
    <w:rsid w:val="008C4EAF"/>
    <w:rsid w:val="008C5176"/>
    <w:rsid w:val="008C7FD0"/>
    <w:rsid w:val="008E1DE7"/>
    <w:rsid w:val="008E599A"/>
    <w:rsid w:val="008E707C"/>
    <w:rsid w:val="008F3DB4"/>
    <w:rsid w:val="00900B08"/>
    <w:rsid w:val="00902155"/>
    <w:rsid w:val="00902FA3"/>
    <w:rsid w:val="00923564"/>
    <w:rsid w:val="0092392E"/>
    <w:rsid w:val="009243EC"/>
    <w:rsid w:val="009315F9"/>
    <w:rsid w:val="00933499"/>
    <w:rsid w:val="009355D8"/>
    <w:rsid w:val="00935C98"/>
    <w:rsid w:val="00944256"/>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13D2"/>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4E7A"/>
    <w:rsid w:val="00B77EA6"/>
    <w:rsid w:val="00B81598"/>
    <w:rsid w:val="00B841F1"/>
    <w:rsid w:val="00B944D6"/>
    <w:rsid w:val="00BA2A9F"/>
    <w:rsid w:val="00BB4DF0"/>
    <w:rsid w:val="00BC289F"/>
    <w:rsid w:val="00BC2D50"/>
    <w:rsid w:val="00BC5361"/>
    <w:rsid w:val="00BC5460"/>
    <w:rsid w:val="00BC6880"/>
    <w:rsid w:val="00BC6B50"/>
    <w:rsid w:val="00BD0E25"/>
    <w:rsid w:val="00BF5BD6"/>
    <w:rsid w:val="00C03205"/>
    <w:rsid w:val="00C03E31"/>
    <w:rsid w:val="00C12FA7"/>
    <w:rsid w:val="00C30E69"/>
    <w:rsid w:val="00C33E72"/>
    <w:rsid w:val="00C354B2"/>
    <w:rsid w:val="00C35554"/>
    <w:rsid w:val="00C42709"/>
    <w:rsid w:val="00C533CC"/>
    <w:rsid w:val="00C5751C"/>
    <w:rsid w:val="00C61BFC"/>
    <w:rsid w:val="00C62B85"/>
    <w:rsid w:val="00C65438"/>
    <w:rsid w:val="00C91CBB"/>
    <w:rsid w:val="00C94145"/>
    <w:rsid w:val="00CB4E70"/>
    <w:rsid w:val="00CC09B6"/>
    <w:rsid w:val="00CC666F"/>
    <w:rsid w:val="00CD1E3F"/>
    <w:rsid w:val="00CE392A"/>
    <w:rsid w:val="00CE44F6"/>
    <w:rsid w:val="00CE49DA"/>
    <w:rsid w:val="00CE7B61"/>
    <w:rsid w:val="00D00095"/>
    <w:rsid w:val="00D114F0"/>
    <w:rsid w:val="00D20620"/>
    <w:rsid w:val="00D254F7"/>
    <w:rsid w:val="00D26091"/>
    <w:rsid w:val="00D2685C"/>
    <w:rsid w:val="00D323E7"/>
    <w:rsid w:val="00D34E7C"/>
    <w:rsid w:val="00D35489"/>
    <w:rsid w:val="00D36AFE"/>
    <w:rsid w:val="00D51276"/>
    <w:rsid w:val="00D66EF9"/>
    <w:rsid w:val="00D7035F"/>
    <w:rsid w:val="00DA634F"/>
    <w:rsid w:val="00DA65AC"/>
    <w:rsid w:val="00DB1913"/>
    <w:rsid w:val="00DC410D"/>
    <w:rsid w:val="00DC5A81"/>
    <w:rsid w:val="00DC68CA"/>
    <w:rsid w:val="00DC7CBA"/>
    <w:rsid w:val="00DD00F8"/>
    <w:rsid w:val="00DD73B7"/>
    <w:rsid w:val="00DF28BC"/>
    <w:rsid w:val="00DF34B9"/>
    <w:rsid w:val="00E01053"/>
    <w:rsid w:val="00E05052"/>
    <w:rsid w:val="00E07ACF"/>
    <w:rsid w:val="00E331A1"/>
    <w:rsid w:val="00E33202"/>
    <w:rsid w:val="00E336A9"/>
    <w:rsid w:val="00E46A66"/>
    <w:rsid w:val="00E472B1"/>
    <w:rsid w:val="00E50624"/>
    <w:rsid w:val="00E568DF"/>
    <w:rsid w:val="00E64104"/>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06FF"/>
    <w:rsid w:val="00F754A1"/>
    <w:rsid w:val="00F81FD9"/>
    <w:rsid w:val="00F841AA"/>
    <w:rsid w:val="00F84A94"/>
    <w:rsid w:val="00F87E96"/>
    <w:rsid w:val="00FA23E8"/>
    <w:rsid w:val="00FD3CC1"/>
    <w:rsid w:val="00FF1E02"/>
    <w:rsid w:val="00FF30B4"/>
    <w:rsid w:val="00FF6229"/>
    <w:rsid w:val="10C055FF"/>
    <w:rsid w:val="16BB723D"/>
    <w:rsid w:val="240371BF"/>
    <w:rsid w:val="29FD04D3"/>
    <w:rsid w:val="319F7F4E"/>
    <w:rsid w:val="353E67AD"/>
    <w:rsid w:val="4ECE2238"/>
    <w:rsid w:val="72734D90"/>
    <w:rsid w:val="7BD7076F"/>
    <w:rsid w:val="7DEFCC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0&#24180;\&#23459;&#20256;&#37096;\9&#26376;\&#20915;&#31639;&#22270;&#65288;&#20307;&#32946;&#20013;&#24515;&#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2000" b="1">
                <a:latin typeface="+mn-ea"/>
              </a:rPr>
              <a:t>收、支决算总计变动情况图</a:t>
            </a:r>
            <a:endParaRPr sz="2000" b="1">
              <a:latin typeface="+mn-ea"/>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multiLvlStrRef>
              <c:f>Sheet1!$A$3:$D$4</c:f>
              <c:multiLvlStrCache>
                <c:ptCount val="4"/>
                <c:lvl>
                  <c:pt idx="0">
                    <c:v>收入</c:v>
                  </c:pt>
                  <c:pt idx="1">
                    <c:v>支出</c:v>
                  </c:pt>
                  <c:pt idx="2">
                    <c:v>收入</c:v>
                  </c:pt>
                  <c:pt idx="3">
                    <c:v>支出</c:v>
                  </c:pt>
                </c:lvl>
                <c:lvl>
                  <c:pt idx="0">
                    <c:v>2018年</c:v>
                  </c:pt>
                  <c:pt idx="2">
                    <c:v>2019年</c:v>
                  </c:pt>
                </c:lvl>
              </c:multiLvlStrCache>
            </c:multiLvlStrRef>
          </c:cat>
          <c:val>
            <c:numRef>
              <c:f>Sheet1!$A$5:$D$5</c:f>
              <c:numCache>
                <c:formatCode>General</c:formatCode>
                <c:ptCount val="4"/>
                <c:pt idx="0">
                  <c:v>130.74</c:v>
                </c:pt>
                <c:pt idx="1">
                  <c:v>127.24</c:v>
                </c:pt>
                <c:pt idx="2">
                  <c:v>144.94</c:v>
                </c:pt>
                <c:pt idx="3">
                  <c:v>138.86</c:v>
                </c:pt>
              </c:numCache>
            </c:numRef>
          </c:val>
        </c:ser>
        <c:dLbls>
          <c:showLegendKey val="false"/>
          <c:showVal val="true"/>
          <c:showCatName val="false"/>
          <c:showSerName val="false"/>
          <c:showPercent val="false"/>
          <c:showBubbleSize val="false"/>
        </c:dLbls>
        <c:gapWidth val="219"/>
        <c:overlap val="-27"/>
        <c:axId val="192971904"/>
        <c:axId val="192973824"/>
      </c:barChart>
      <c:catAx>
        <c:axId val="19297190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833152173913043"/>
              <c:y val="0.129209621993127"/>
            </c:manualLayout>
          </c:layout>
          <c:overlay val="false"/>
          <c:spPr>
            <a:noFill/>
            <a:ln>
              <a:noFill/>
            </a:ln>
            <a:effectLst/>
          </c:spPr>
        </c:titl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2973824"/>
        <c:crosses val="autoZero"/>
        <c:auto val="true"/>
        <c:lblAlgn val="ctr"/>
        <c:lblOffset val="100"/>
        <c:noMultiLvlLbl val="false"/>
      </c:catAx>
      <c:valAx>
        <c:axId val="19297382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out"/>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929719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manualLayout>
          <c:xMode val="edge"/>
          <c:yMode val="edge"/>
          <c:x val="0.372942937722146"/>
          <c:y val="0.016283679784945"/>
        </c:manualLayout>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manualLayout>
                  <c:x val="-0.00125028427830567"/>
                  <c:y val="-0.061741165459037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28931420187203"/>
                  <c:y val="-0.010478748249072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817800151440057"/>
                  <c:y val="0.017078468005014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31700640203099"/>
                  <c:y val="-0.028529917839075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08333567566771"/>
                  <c:y val="0.031933207901571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100284690816787"/>
                  <c:y val="0.050660554606124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149830421456613"/>
                  <c:y val="-0.033589053128543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Sheet2!$A$2:$G$2</c:f>
              <c:strCache>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Cache>
            </c:strRef>
          </c:cat>
          <c:val>
            <c:numRef>
              <c:f>Sheet2!$A$3:$G$3</c:f>
              <c:numCache>
                <c:formatCode>General</c:formatCode>
                <c:ptCount val="7"/>
                <c:pt idx="0">
                  <c:v>144.94</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支出决算结构图</a:t>
            </a:r>
            <a:endParaRPr sz="1800" b="1"/>
          </a:p>
        </c:rich>
      </c:tx>
      <c:layout>
        <c:manualLayout>
          <c:xMode val="edge"/>
          <c:yMode val="edge"/>
          <c:x val="0.315072302558398"/>
          <c:y val="0.0160839160839161"/>
        </c:manualLayout>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075631733890288"/>
                  <c:y val="-0.01529015521843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88451891185972"/>
                  <c:y val="0.019345260939423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542271541087726"/>
                  <c:y val="0.0036107226101328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30422456569759"/>
                  <c:y val="0.04789976689917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461621673595255"/>
                  <c:y val="-0.001051282051871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Sheet3!$A$2:$E$2</c:f>
              <c:strCache>
                <c:ptCount val="5"/>
                <c:pt idx="0">
                  <c:v>基本支出</c:v>
                </c:pt>
                <c:pt idx="1">
                  <c:v>项目支出</c:v>
                </c:pt>
                <c:pt idx="2">
                  <c:v>上缴上级</c:v>
                </c:pt>
                <c:pt idx="3">
                  <c:v>经营支出</c:v>
                </c:pt>
                <c:pt idx="4">
                  <c:v>附属单位补助支出</c:v>
                </c:pt>
              </c:strCache>
            </c:strRef>
          </c:cat>
          <c:val>
            <c:numRef>
              <c:f>Sheet3!$A$3:$E$3</c:f>
              <c:numCache>
                <c:formatCode>General</c:formatCode>
                <c:ptCount val="5"/>
                <c:pt idx="0">
                  <c:v>86.2</c:v>
                </c:pt>
                <c:pt idx="1">
                  <c:v>52.66</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财政拨款收、支决算总计变动情况</a:t>
            </a:r>
            <a:endParaRPr sz="1800" b="1"/>
          </a:p>
        </c:rich>
      </c:tx>
      <c:layout/>
      <c:overlay val="false"/>
      <c:spPr>
        <a:noFill/>
        <a:ln>
          <a:noFill/>
        </a:ln>
        <a:effectLst/>
      </c:spPr>
    </c:title>
    <c:autoTitleDeleted val="false"/>
    <c:plotArea>
      <c:layout/>
      <c:barChart>
        <c:barDir val="col"/>
        <c:grouping val="clustered"/>
        <c:varyColors val="false"/>
        <c:ser>
          <c:idx val="0"/>
          <c:order val="0"/>
          <c:tx>
            <c:strRef>
              <c:f>单位：万元</c:f>
              <c:strCache>
                <c:ptCount val="1"/>
                <c:pt idx="0">
                  <c:v>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multiLvlStrRef>
              <c:f>Sheet4!$A$2:$D$3</c:f>
              <c:multiLvlStrCache>
                <c:ptCount val="4"/>
                <c:lvl>
                  <c:pt idx="0">
                    <c:v>收入</c:v>
                  </c:pt>
                  <c:pt idx="1">
                    <c:v>支出</c:v>
                  </c:pt>
                  <c:pt idx="2">
                    <c:v>收入</c:v>
                  </c:pt>
                  <c:pt idx="3">
                    <c:v>支出</c:v>
                  </c:pt>
                </c:lvl>
                <c:lvl>
                  <c:pt idx="0">
                    <c:v>2019年</c:v>
                  </c:pt>
                  <c:pt idx="2">
                    <c:v>2018年</c:v>
                  </c:pt>
                </c:lvl>
              </c:multiLvlStrCache>
            </c:multiLvlStrRef>
          </c:cat>
          <c:val>
            <c:numRef>
              <c:f>Sheet4!$A$4:$D$4</c:f>
              <c:numCache>
                <c:formatCode>General</c:formatCode>
                <c:ptCount val="4"/>
                <c:pt idx="0">
                  <c:v>144.94</c:v>
                </c:pt>
                <c:pt idx="1">
                  <c:v>138.86</c:v>
                </c:pt>
                <c:pt idx="2">
                  <c:v>130.74</c:v>
                </c:pt>
                <c:pt idx="3">
                  <c:v>127.24</c:v>
                </c:pt>
              </c:numCache>
            </c:numRef>
          </c:val>
        </c:ser>
        <c:dLbls>
          <c:showLegendKey val="false"/>
          <c:showVal val="true"/>
          <c:showCatName val="false"/>
          <c:showSerName val="false"/>
          <c:showPercent val="false"/>
          <c:showBubbleSize val="false"/>
        </c:dLbls>
        <c:gapWidth val="219"/>
        <c:overlap val="-27"/>
        <c:axId val="69522944"/>
        <c:axId val="69524864"/>
      </c:barChart>
      <c:catAx>
        <c:axId val="6952294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34287925696594"/>
              <c:y val="0.0743838028169016"/>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524864"/>
        <c:crosses val="autoZero"/>
        <c:auto val="true"/>
        <c:lblAlgn val="ctr"/>
        <c:lblOffset val="100"/>
        <c:noMultiLvlLbl val="false"/>
      </c:catAx>
      <c:valAx>
        <c:axId val="6952486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52294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一般公共预算财政拨款支出决算变动情况</a:t>
            </a:r>
            <a:endParaRPr sz="1800" b="1"/>
          </a:p>
        </c:rich>
      </c:tx>
      <c:layout>
        <c:manualLayout>
          <c:xMode val="edge"/>
          <c:yMode val="edge"/>
          <c:x val="0.148093532757531"/>
          <c:y val="0.0066904549509366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Sheet5!$A$2:$B$2</c:f>
              <c:strCache>
                <c:ptCount val="2"/>
                <c:pt idx="0">
                  <c:v>2019年</c:v>
                </c:pt>
                <c:pt idx="1">
                  <c:v>2018年</c:v>
                </c:pt>
              </c:strCache>
            </c:strRef>
          </c:cat>
          <c:val>
            <c:numRef>
              <c:f>Sheet5!$A$3:$B$3</c:f>
              <c:numCache>
                <c:formatCode>General</c:formatCode>
                <c:ptCount val="2"/>
                <c:pt idx="0">
                  <c:v>138.86</c:v>
                </c:pt>
                <c:pt idx="1">
                  <c:v>127.24</c:v>
                </c:pt>
              </c:numCache>
            </c:numRef>
          </c:val>
        </c:ser>
        <c:dLbls>
          <c:showLegendKey val="false"/>
          <c:showVal val="true"/>
          <c:showCatName val="false"/>
          <c:showSerName val="false"/>
          <c:showPercent val="false"/>
          <c:showBubbleSize val="false"/>
        </c:dLbls>
        <c:gapWidth val="219"/>
        <c:overlap val="-27"/>
        <c:axId val="70634496"/>
        <c:axId val="70984832"/>
      </c:barChart>
      <c:catAx>
        <c:axId val="70634496"/>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53202022329895"/>
              <c:y val="0.1021409455843"/>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984832"/>
        <c:crosses val="autoZero"/>
        <c:auto val="true"/>
        <c:lblAlgn val="ctr"/>
        <c:lblOffset val="100"/>
        <c:noMultiLvlLbl val="false"/>
      </c:catAx>
      <c:valAx>
        <c:axId val="7098483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6344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一般公共预算财政拨款支出决算结构</a:t>
            </a:r>
            <a:endParaRPr sz="1600" b="1"/>
          </a:p>
        </c:rich>
      </c:tx>
      <c:layout>
        <c:manualLayout>
          <c:xMode val="edge"/>
          <c:yMode val="edge"/>
          <c:x val="0.210521077756781"/>
          <c:y val="0.00705218617771509"/>
        </c:manualLayout>
      </c:layout>
      <c:overlay val="false"/>
      <c:spPr>
        <a:noFill/>
        <a:ln>
          <a:noFill/>
        </a:ln>
        <a:effectLst/>
      </c:spPr>
    </c:title>
    <c:autoTitleDeleted val="false"/>
    <c:plotArea>
      <c:layout/>
      <c:pieChart>
        <c:varyColors val="true"/>
        <c:ser>
          <c:idx val="0"/>
          <c:order val="0"/>
          <c:tx>
            <c:strRef>
              <c:f>单位：万元</c:f>
              <c:strCache>
                <c:ptCount val="1"/>
                <c:pt idx="0">
                  <c:v>单位：万元</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dPt>
          <c:dPt>
            <c:idx val="6"/>
            <c:bubble3D val="false"/>
          </c:dPt>
          <c:dLbls>
            <c:dLbl>
              <c:idx val="1"/>
              <c:layout>
                <c:manualLayout>
                  <c:x val="-0.125173232404246"/>
                  <c:y val="0.093774868119358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04036829185544"/>
                  <c:y val="-0.029080121991975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30205652576372"/>
                  <c:y val="-0.00658120381505555"/>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19935859014534"/>
                  <c:y val="-0.0820202267242968"/>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Sheet6!$A$6:$G$6</c:f>
              <c:strCache>
                <c:ptCount val="7"/>
                <c:pt idx="0">
                  <c:v>一般公共服务（类）</c:v>
                </c:pt>
                <c:pt idx="1">
                  <c:v>教育支出（类）</c:v>
                </c:pt>
                <c:pt idx="2">
                  <c:v>科学技术（类）</c:v>
                </c:pt>
                <c:pt idx="3">
                  <c:v>文化旅游体育与传媒（类）</c:v>
                </c:pt>
                <c:pt idx="4">
                  <c:v>社会保障和就业（类）</c:v>
                </c:pt>
                <c:pt idx="5">
                  <c:v>卫生健康支出（类）</c:v>
                </c:pt>
                <c:pt idx="6">
                  <c:v>住房保障（类）</c:v>
                </c:pt>
              </c:strCache>
            </c:strRef>
          </c:cat>
          <c:val>
            <c:numRef>
              <c:f>Sheet6!$A$7:$G$7</c:f>
              <c:numCache>
                <c:formatCode>General</c:formatCode>
                <c:ptCount val="7"/>
                <c:pt idx="0">
                  <c:v>122.59</c:v>
                </c:pt>
                <c:pt idx="1">
                  <c:v>0</c:v>
                </c:pt>
                <c:pt idx="2">
                  <c:v>0</c:v>
                </c:pt>
                <c:pt idx="3">
                  <c:v>0</c:v>
                </c:pt>
                <c:pt idx="4">
                  <c:v>8</c:v>
                </c:pt>
                <c:pt idx="5">
                  <c:v>3.18</c:v>
                </c:pt>
                <c:pt idx="6">
                  <c:v>5.09</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mn-ea"/>
                <a:cs typeface="+mn-ea"/>
              </a:rPr>
              <a:t>“三公”经费财政拨款支出结构</a:t>
            </a:r>
            <a:endParaRPr sz="1800" b="1">
              <a:latin typeface="+mn-ea"/>
              <a:cs typeface="+mn-ea"/>
            </a:endParaRPr>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922455608785797"/>
                  <c:y val="0.10038461538394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981753887316612"/>
                  <c:y val="0.032702983242511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15681482477037"/>
                  <c:y val="0.039960259291713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Sheet7!$A$4:$C$4</c:f>
              <c:strCache>
                <c:ptCount val="3"/>
                <c:pt idx="0">
                  <c:v>公务用车购置及运行维护费支出</c:v>
                </c:pt>
                <c:pt idx="1">
                  <c:v>因公出国（境）费支出</c:v>
                </c:pt>
                <c:pt idx="2">
                  <c:v>公务接待费支出</c:v>
                </c:pt>
              </c:strCache>
            </c:strRef>
          </c:cat>
          <c:val>
            <c:numRef>
              <c:f>Sheet7!$A$5:$C$5</c:f>
              <c:numCache>
                <c:formatCode>General</c:formatCode>
                <c:ptCount val="3"/>
                <c:pt idx="0">
                  <c:v>0</c:v>
                </c:pt>
                <c:pt idx="1">
                  <c:v>0</c:v>
                </c:pt>
                <c:pt idx="2">
                  <c:v>0.51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588888888888889"/>
          <c:y val="0.379398148148148"/>
          <c:w val="0.394444444444445"/>
          <c:h val="0.35439814814814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2472</Words>
  <Characters>14094</Characters>
  <Lines>117</Lines>
  <Paragraphs>33</Paragraphs>
  <TotalTime>0</TotalTime>
  <ScaleCrop>false</ScaleCrop>
  <LinksUpToDate>false</LinksUpToDate>
  <CharactersWithSpaces>16533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2020-07-23T18:58:00Z</cp:lastPrinted>
  <dcterms:modified xsi:type="dcterms:W3CDTF">2024-05-27T11:55:05Z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