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78441"/>
      <w:bookmarkStart w:id="3" w:name="_Toc15396597"/>
      <w:bookmarkStart w:id="4" w:name="_Toc15377193"/>
      <w:bookmarkStart w:id="5" w:name="_Toc15377425"/>
      <w:bookmarkStart w:id="6" w:name="_Toc15396475"/>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96476"/>
      <w:bookmarkStart w:id="8" w:name="_Toc15377426"/>
      <w:bookmarkStart w:id="9" w:name="_Toc15396598"/>
      <w:bookmarkStart w:id="10" w:name="_Toc15378442"/>
      <w:bookmarkStart w:id="11" w:name="_Toc15377194"/>
      <w:r>
        <w:rPr>
          <w:rFonts w:ascii="方正小标宋简体" w:eastAsia="方正小标宋简体" w:hAnsi="宋体" w:hint="eastAsia"/>
          <w:color w:val="000000"/>
          <w:w w:val="95"/>
          <w:sz w:val="72"/>
          <w:szCs w:val="72"/>
        </w:rPr>
        <w:t>四川省</w:t>
      </w:r>
      <w:bookmarkStart w:id="12" w:name="_Toc15306268"/>
      <w:bookmarkEnd w:id="0"/>
      <w:r>
        <w:rPr>
          <w:rFonts w:ascii="方正小标宋简体" w:eastAsia="方正小标宋简体" w:hAnsi="宋体" w:hint="eastAsia"/>
          <w:color w:val="000000"/>
          <w:w w:val="95"/>
          <w:sz w:val="72"/>
          <w:szCs w:val="72"/>
        </w:rPr>
        <w:t>广元市利州区金洞乡</w:t>
      </w: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p>
    <w:p>
      <w:pPr>
        <w:widowControl/>
        <w:jc w:val="center"/>
        <w:rPr>
          <w:rFonts w:ascii="方正小标宋简体" w:eastAsia="方正小标宋简体" w:hAnsi="宋体"/>
          <w:color w:val="000000"/>
          <w:sz w:val="36"/>
          <w:szCs w:val="36"/>
        </w:rPr>
      </w:pPr>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pPr>
        <w:widowControl/>
        <w:jc w:val="center"/>
        <w:rPr>
          <w:rFonts w:ascii="黑体" w:eastAsia="黑体" w:cs="Arial" w:hAnsi="黑体"/>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pPr>
        <w:pStyle w:val="20"/>
        <w:tabs>
          <w:tab w:val="right" w:leader="dot" w:pos="8296"/>
        </w:tabs>
      </w:pPr>
      <w:r>
        <w:rPr>
          <w:rFonts w:hint="eastAsia"/>
        </w:rPr>
        <w:t>公开时间：2019年</w:t>
      </w:r>
      <w:r>
        <w:t>9</w:t>
      </w:r>
      <w:r>
        <w:rPr>
          <w:rFonts w:hint="eastAsia"/>
        </w:rPr>
        <w:t>月</w:t>
      </w:r>
      <w:r>
        <w:t>12</w:t>
      </w:r>
      <w:r>
        <w:rPr>
          <w:rFonts w:hint="eastAsia"/>
        </w:rPr>
        <w:t>日</w:t>
      </w:r>
    </w:p>
    <w:p/>
    <w:p>
      <w:pPr>
        <w:pStyle w:val="20"/>
        <w:tabs>
          <w:tab w:val="right" w:leader="dot" w:pos="8296"/>
        </w:tabs>
        <w:rPr>
          <w:rFonts w:cs="Arial"/>
        </w:rPr>
      </w:pPr>
      <w:r>
        <w:fldChar w:fldCharType="begin"/>
      </w:r>
      <w:r>
        <w:instrText>Hyperlink \l "_Toc15396599"</w:instrText>
      </w:r>
      <w:r>
        <w:fldChar w:fldCharType="separate"/>
      </w:r>
      <w:r>
        <w:rPr>
          <w:rFonts w:hint="eastAsia"/>
          <w:color w:val="auto"/>
        </w:rPr>
        <w:t>第一部分</w:t>
      </w:r>
      <w:r>
        <w:rPr>
          <w:color w:val="auto"/>
        </w:rPr>
        <w:t xml:space="preserve"> </w:t>
      </w:r>
      <w:r>
        <w:rPr>
          <w:rFonts w:hint="eastAsia"/>
          <w:color w:val="auto"/>
        </w:rPr>
        <w:t>部门概况</w:t>
      </w:r>
      <w:r>
        <w:tab/>
      </w:r>
      <w:r>
        <w:rPr>
          <w:rFonts w:hint="eastAsia"/>
        </w:rPr>
        <w:t>4</w:t>
      </w:r>
      <w:r>
        <w:fldChar w:fldCharType="end"/>
      </w:r>
    </w:p>
    <w:p>
      <w:pPr>
        <w:pStyle w:val="21"/>
        <w:tabs>
          <w:tab w:val="right" w:leader="dot" w:pos="8296"/>
        </w:tabs>
        <w:rPr>
          <w:rFonts w:ascii="仿宋" w:eastAsia="仿宋" w:cs="Arial" w:hAnsi="仿宋"/>
          <w:sz w:val="28"/>
          <w:szCs w:val="28"/>
        </w:rPr>
      </w:pPr>
      <w:r>
        <w:fldChar w:fldCharType="begin"/>
      </w:r>
      <w:r>
        <w:instrText>Hyperlink \l "_Toc15396600"</w:instrText>
      </w:r>
      <w:r>
        <w:fldChar w:fldCharType="separate"/>
      </w:r>
      <w:r>
        <w:rPr>
          <w:rFonts w:ascii="仿宋" w:eastAsia="仿宋" w:hAnsi="仿宋" w:hint="eastAsia"/>
          <w:color w:val="auto"/>
          <w:sz w:val="28"/>
          <w:szCs w:val="28"/>
        </w:rPr>
        <w:t>一、基本职能及主要工作</w:t>
      </w:r>
      <w:r>
        <w:rPr>
          <w:rFonts w:ascii="仿宋" w:eastAsia="仿宋" w:hAnsi="仿宋"/>
          <w:sz w:val="28"/>
          <w:szCs w:val="28"/>
        </w:rPr>
        <w:tab/>
      </w:r>
      <w:r>
        <w:rPr>
          <w:rFonts w:ascii="仿宋" w:eastAsia="仿宋" w:hAnsi="仿宋" w:hint="eastAsia"/>
          <w:sz w:val="28"/>
          <w:szCs w:val="28"/>
        </w:rPr>
        <w:t>4</w:t>
      </w:r>
      <w:r>
        <w:fldChar w:fldCharType="end"/>
      </w:r>
    </w:p>
    <w:p>
      <w:pPr>
        <w:pStyle w:val="21"/>
        <w:tabs>
          <w:tab w:val="right" w:leader="dot" w:pos="8296"/>
        </w:tabs>
        <w:rPr>
          <w:rFonts w:ascii="仿宋" w:eastAsia="仿宋" w:cs="Arial" w:hAnsi="仿宋"/>
          <w:sz w:val="28"/>
          <w:szCs w:val="28"/>
        </w:rPr>
      </w:pPr>
      <w:r>
        <w:fldChar w:fldCharType="begin"/>
      </w:r>
      <w:r>
        <w:instrText>Hyperlink \l "_Toc15396601"</w:instrText>
      </w:r>
      <w:r>
        <w:fldChar w:fldCharType="separate"/>
      </w:r>
      <w:r>
        <w:rPr>
          <w:rFonts w:ascii="仿宋" w:eastAsia="仿宋" w:hAnsi="仿宋" w:hint="eastAsia"/>
          <w:color w:val="auto"/>
          <w:sz w:val="28"/>
          <w:szCs w:val="28"/>
        </w:rPr>
        <w:t>二、机构设置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_Toc15396601 \h </w:instrText>
      </w:r>
      <w:r>
        <w:rPr>
          <w:rFonts w:ascii="仿宋" w:eastAsia="仿宋" w:hAnsi="仿宋"/>
          <w:sz w:val="28"/>
          <w:szCs w:val="28"/>
        </w:rPr>
        <w:fldChar w:fldCharType="separate"/>
      </w:r>
      <w:r>
        <w:rPr>
          <w:rFonts w:ascii="仿宋" w:eastAsia="仿宋" w:hAnsi="仿宋"/>
          <w:sz w:val="28"/>
          <w:szCs w:val="28"/>
        </w:rPr>
        <w:t>6</w:t>
      </w:r>
      <w:r>
        <w:rPr>
          <w:rFonts w:ascii="仿宋" w:eastAsia="仿宋" w:hAnsi="仿宋"/>
          <w:sz w:val="28"/>
          <w:szCs w:val="28"/>
        </w:rPr>
        <w:fldChar w:fldCharType="end"/>
      </w:r>
      <w:r>
        <w:fldChar w:fldCharType="end"/>
      </w:r>
    </w:p>
    <w:p>
      <w:pPr>
        <w:pStyle w:val="20"/>
        <w:tabs>
          <w:tab w:val="right" w:leader="dot" w:pos="8296"/>
        </w:tabs>
      </w:pPr>
      <w:r>
        <w:fldChar w:fldCharType="begin"/>
      </w:r>
      <w:r>
        <w:instrText>Hyperlink \l "_Toc15396602"</w:instrText>
      </w:r>
      <w:r>
        <w:fldChar w:fldCharType="separate"/>
      </w:r>
      <w:r>
        <w:rPr>
          <w:rFonts w:hint="eastAsia"/>
          <w:color w:val="auto"/>
        </w:rPr>
        <w:t>第二部分</w:t>
      </w:r>
      <w:r>
        <w:rPr>
          <w:color w:val="auto"/>
        </w:rPr>
        <w:t xml:space="preserve"> 2018</w:t>
      </w:r>
      <w:r>
        <w:rPr>
          <w:rFonts w:hint="eastAsia"/>
          <w:color w:val="auto"/>
        </w:rPr>
        <w:t>年度部门决算情况说明</w:t>
      </w:r>
      <w:r>
        <w:tab/>
      </w:r>
      <w:r>
        <w:fldChar w:fldCharType="begin"/>
      </w:r>
      <w:r>
        <w:instrText xml:space="preserve"> PAGEREF _Toc15396602 \h </w:instrText>
      </w:r>
      <w:r>
        <w:fldChar w:fldCharType="separate"/>
      </w:r>
      <w:r>
        <w:t>7</w:t>
      </w:r>
      <w:r>
        <w:fldChar w:fldCharType="end"/>
      </w:r>
      <w:r>
        <w:fldChar w:fldCharType="end"/>
      </w:r>
    </w:p>
    <w:p>
      <w:pPr>
        <w:pStyle w:val="21"/>
        <w:tabs>
          <w:tab w:val="right" w:leader="dot" w:pos="8296"/>
        </w:tabs>
        <w:rPr>
          <w:rFonts w:ascii="仿宋" w:eastAsia="仿宋" w:cs="Arial" w:hAnsi="仿宋"/>
          <w:sz w:val="28"/>
          <w:szCs w:val="28"/>
        </w:rPr>
      </w:pPr>
      <w:r>
        <w:fldChar w:fldCharType="begin"/>
      </w:r>
      <w:r>
        <w:instrText>Hyperlink \l "_Toc15396603"</w:instrText>
      </w:r>
      <w:r>
        <w:fldChar w:fldCharType="separate"/>
      </w:r>
      <w:r>
        <w:rPr>
          <w:rFonts w:ascii="仿宋" w:eastAsia="仿宋" w:cs="Times New Roman" w:hAnsi="仿宋" w:hint="eastAsia"/>
          <w:bCs/>
          <w:color w:val="auto"/>
          <w:sz w:val="28"/>
          <w:szCs w:val="28"/>
        </w:rPr>
        <w:t>一、</w:t>
      </w:r>
      <w:r>
        <w:rPr>
          <w:rFonts w:ascii="仿宋" w:eastAsia="仿宋" w:hAnsi="仿宋" w:hint="eastAsia"/>
          <w:color w:val="auto"/>
          <w:sz w:val="28"/>
          <w:szCs w:val="28"/>
        </w:rPr>
        <w:t>收</w:t>
      </w:r>
      <w:r>
        <w:rPr>
          <w:rFonts w:ascii="仿宋" w:eastAsia="仿宋" w:cs="Times New Roman" w:hAnsi="仿宋" w:hint="eastAsia"/>
          <w:bCs/>
          <w:color w:val="auto"/>
          <w:sz w:val="28"/>
          <w:szCs w:val="28"/>
        </w:rPr>
        <w:t>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_Toc15396603 \h </w:instrText>
      </w:r>
      <w:r>
        <w:rPr>
          <w:rFonts w:ascii="仿宋" w:eastAsia="仿宋" w:hAnsi="仿宋"/>
          <w:sz w:val="28"/>
          <w:szCs w:val="28"/>
        </w:rPr>
        <w:fldChar w:fldCharType="separate"/>
      </w:r>
      <w:r>
        <w:rPr>
          <w:rFonts w:ascii="仿宋" w:eastAsia="仿宋" w:hAnsi="仿宋"/>
          <w:sz w:val="28"/>
          <w:szCs w:val="28"/>
        </w:rPr>
        <w:t>7</w:t>
      </w:r>
      <w:r>
        <w:rPr>
          <w:rFonts w:ascii="仿宋" w:eastAsia="仿宋" w:hAnsi="仿宋"/>
          <w:sz w:val="28"/>
          <w:szCs w:val="28"/>
        </w:rPr>
        <w:fldChar w:fldCharType="end"/>
      </w:r>
      <w:r>
        <w:fldChar w:fldCharType="end"/>
      </w:r>
    </w:p>
    <w:p>
      <w:pPr>
        <w:pStyle w:val="21"/>
        <w:tabs>
          <w:tab w:val="right" w:leader="dot" w:pos="8296"/>
        </w:tabs>
        <w:rPr>
          <w:rFonts w:ascii="仿宋" w:eastAsia="仿宋" w:cs="Arial" w:hAnsi="仿宋"/>
          <w:sz w:val="28"/>
          <w:szCs w:val="28"/>
        </w:rPr>
      </w:pPr>
      <w:r>
        <w:fldChar w:fldCharType="begin"/>
      </w:r>
      <w:r>
        <w:instrText>Hyperlink \l "_Toc15396604"</w:instrText>
      </w:r>
      <w:r>
        <w:fldChar w:fldCharType="separate"/>
      </w:r>
      <w:r>
        <w:rPr>
          <w:rFonts w:ascii="仿宋" w:eastAsia="仿宋" w:cs="Times New Roman" w:hAnsi="仿宋" w:hint="eastAsia"/>
          <w:bCs/>
          <w:color w:val="auto"/>
          <w:sz w:val="28"/>
          <w:szCs w:val="28"/>
        </w:rPr>
        <w:t>二、</w:t>
      </w:r>
      <w:r>
        <w:rPr>
          <w:rFonts w:ascii="仿宋" w:eastAsia="仿宋" w:hAnsi="仿宋" w:hint="eastAsia"/>
          <w:color w:val="auto"/>
          <w:sz w:val="28"/>
          <w:szCs w:val="28"/>
        </w:rPr>
        <w:t>收</w:t>
      </w:r>
      <w:r>
        <w:rPr>
          <w:rFonts w:ascii="仿宋" w:eastAsia="仿宋" w:cs="Times New Roman" w:hAnsi="仿宋" w:hint="eastAsia"/>
          <w:bCs/>
          <w:color w:val="auto"/>
          <w:sz w:val="28"/>
          <w:szCs w:val="28"/>
        </w:rPr>
        <w:t>入决算情况说明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_Toc15396604 \h </w:instrText>
      </w:r>
      <w:r>
        <w:rPr>
          <w:rFonts w:ascii="仿宋" w:eastAsia="仿宋" w:hAnsi="仿宋"/>
          <w:sz w:val="28"/>
          <w:szCs w:val="28"/>
        </w:rPr>
        <w:fldChar w:fldCharType="separate"/>
      </w:r>
      <w:r>
        <w:rPr>
          <w:rFonts w:ascii="仿宋" w:eastAsia="仿宋" w:hAnsi="仿宋"/>
          <w:sz w:val="28"/>
          <w:szCs w:val="28"/>
        </w:rPr>
        <w:t>7</w:t>
      </w:r>
      <w:r>
        <w:rPr>
          <w:rFonts w:ascii="仿宋" w:eastAsia="仿宋" w:hAnsi="仿宋"/>
          <w:sz w:val="28"/>
          <w:szCs w:val="28"/>
        </w:rPr>
        <w:fldChar w:fldCharType="end"/>
      </w:r>
      <w:r>
        <w:fldChar w:fldCharType="end"/>
      </w:r>
    </w:p>
    <w:p>
      <w:pPr>
        <w:pStyle w:val="21"/>
        <w:tabs>
          <w:tab w:val="right" w:leader="dot" w:pos="8296"/>
        </w:tabs>
        <w:rPr>
          <w:rFonts w:ascii="仿宋" w:eastAsia="仿宋" w:cs="Arial" w:hAnsi="仿宋"/>
          <w:sz w:val="28"/>
          <w:szCs w:val="28"/>
        </w:rPr>
      </w:pPr>
      <w:r>
        <w:fldChar w:fldCharType="begin"/>
      </w:r>
      <w:r>
        <w:instrText>Hyperlink \l "_Toc15396605"</w:instrText>
      </w:r>
      <w:r>
        <w:fldChar w:fldCharType="separate"/>
      </w:r>
      <w:r>
        <w:rPr>
          <w:rFonts w:ascii="仿宋" w:eastAsia="仿宋" w:cs="Times New Roman" w:hAnsi="仿宋" w:hint="eastAsia"/>
          <w:bCs/>
          <w:color w:val="auto"/>
          <w:sz w:val="28"/>
          <w:szCs w:val="28"/>
        </w:rPr>
        <w:t>三、</w:t>
      </w:r>
      <w:r>
        <w:rPr>
          <w:rFonts w:ascii="仿宋" w:eastAsia="仿宋" w:hAnsi="仿宋" w:hint="eastAsia"/>
          <w:color w:val="auto"/>
          <w:sz w:val="28"/>
          <w:szCs w:val="28"/>
        </w:rPr>
        <w:t>支</w:t>
      </w:r>
      <w:r>
        <w:rPr>
          <w:rFonts w:ascii="仿宋" w:eastAsia="仿宋" w:cs="Times New Roman" w:hAnsi="仿宋" w:hint="eastAsia"/>
          <w:bCs/>
          <w:color w:val="auto"/>
          <w:sz w:val="28"/>
          <w:szCs w:val="28"/>
        </w:rPr>
        <w:t>出决算情况说明</w:t>
      </w:r>
      <w:r>
        <w:rPr>
          <w:rFonts w:ascii="仿宋" w:eastAsia="仿宋" w:hAnsi="仿宋"/>
          <w:sz w:val="28"/>
          <w:szCs w:val="28"/>
        </w:rPr>
        <w:tab/>
      </w:r>
      <w:r>
        <w:rPr>
          <w:rFonts w:ascii="仿宋" w:eastAsia="仿宋" w:hAnsi="仿宋" w:hint="eastAsia"/>
          <w:sz w:val="28"/>
          <w:szCs w:val="28"/>
        </w:rPr>
        <w:t>7</w:t>
      </w:r>
      <w:r>
        <w:fldChar w:fldCharType="end"/>
      </w:r>
    </w:p>
    <w:p>
      <w:pPr>
        <w:pStyle w:val="21"/>
        <w:tabs>
          <w:tab w:val="right" w:leader="dot" w:pos="8296"/>
        </w:tabs>
        <w:rPr>
          <w:rFonts w:ascii="仿宋" w:eastAsia="仿宋" w:cs="Arial" w:hAnsi="仿宋"/>
          <w:sz w:val="28"/>
          <w:szCs w:val="28"/>
        </w:rPr>
      </w:pPr>
      <w:r>
        <w:fldChar w:fldCharType="begin"/>
      </w:r>
      <w:r>
        <w:instrText>Hyperlink \l "_Toc15396606"</w:instrText>
      </w:r>
      <w:r>
        <w:fldChar w:fldCharType="separate"/>
      </w:r>
      <w:r>
        <w:rPr>
          <w:rFonts w:ascii="仿宋" w:eastAsia="仿宋" w:hAnsi="仿宋" w:hint="eastAsia"/>
          <w:color w:val="auto"/>
          <w:sz w:val="28"/>
          <w:szCs w:val="28"/>
        </w:rPr>
        <w:t>四、财</w:t>
      </w:r>
      <w:r>
        <w:rPr>
          <w:rFonts w:ascii="仿宋" w:eastAsia="仿宋" w:cs="Times New Roman" w:hAnsi="仿宋" w:hint="eastAsia"/>
          <w:bCs/>
          <w:color w:val="auto"/>
          <w:sz w:val="28"/>
          <w:szCs w:val="28"/>
        </w:rPr>
        <w:t>政拨款收入支出决算总体情况说明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_Toc15396606 \h </w:instrText>
      </w:r>
      <w:r>
        <w:rPr>
          <w:rFonts w:ascii="仿宋" w:eastAsia="仿宋" w:hAnsi="仿宋"/>
          <w:sz w:val="28"/>
          <w:szCs w:val="28"/>
        </w:rPr>
        <w:fldChar w:fldCharType="separate"/>
      </w:r>
      <w:r>
        <w:rPr>
          <w:rFonts w:ascii="仿宋" w:eastAsia="仿宋" w:hAnsi="仿宋"/>
          <w:sz w:val="28"/>
          <w:szCs w:val="28"/>
        </w:rPr>
        <w:t>8</w:t>
      </w:r>
      <w:r>
        <w:rPr>
          <w:rFonts w:ascii="仿宋" w:eastAsia="仿宋" w:hAnsi="仿宋"/>
          <w:sz w:val="28"/>
          <w:szCs w:val="28"/>
        </w:rPr>
        <w:fldChar w:fldCharType="end"/>
      </w:r>
      <w:r>
        <w:fldChar w:fldCharType="end"/>
      </w:r>
    </w:p>
    <w:p>
      <w:pPr>
        <w:pStyle w:val="21"/>
        <w:tabs>
          <w:tab w:val="right" w:leader="dot" w:pos="8296"/>
        </w:tabs>
        <w:rPr>
          <w:rFonts w:ascii="仿宋" w:eastAsia="仿宋" w:cs="Arial" w:hAnsi="仿宋"/>
          <w:sz w:val="28"/>
          <w:szCs w:val="28"/>
        </w:rPr>
      </w:pPr>
      <w:r>
        <w:fldChar w:fldCharType="begin"/>
      </w:r>
      <w:r>
        <w:instrText>Hyperlink \l "_Toc15396607"</w:instrText>
      </w:r>
      <w:r>
        <w:fldChar w:fldCharType="separate"/>
      </w:r>
      <w:r>
        <w:rPr>
          <w:rFonts w:ascii="仿宋" w:eastAsia="仿宋" w:hAnsi="仿宋" w:hint="eastAsia"/>
          <w:color w:val="auto"/>
          <w:sz w:val="28"/>
          <w:szCs w:val="28"/>
        </w:rPr>
        <w:t>五、一</w:t>
      </w:r>
      <w:r>
        <w:rPr>
          <w:rFonts w:ascii="仿宋" w:eastAsia="仿宋" w:cs="Times New Roman" w:hAnsi="仿宋" w:hint="eastAsia"/>
          <w:bCs/>
          <w:color w:val="auto"/>
          <w:sz w:val="28"/>
          <w:szCs w:val="28"/>
        </w:rPr>
        <w:t>般公共预算财政拨款支出决算情况说明</w:t>
      </w:r>
      <w:r>
        <w:rPr>
          <w:rFonts w:ascii="仿宋" w:eastAsia="仿宋" w:hAnsi="仿宋"/>
          <w:sz w:val="28"/>
          <w:szCs w:val="28"/>
        </w:rPr>
        <w:tab/>
      </w:r>
      <w:r>
        <w:rPr>
          <w:rFonts w:ascii="仿宋" w:eastAsia="仿宋" w:hAnsi="仿宋" w:hint="eastAsia"/>
          <w:sz w:val="28"/>
          <w:szCs w:val="28"/>
        </w:rPr>
        <w:t>9</w:t>
      </w:r>
      <w:r>
        <w:fldChar w:fldCharType="end"/>
      </w:r>
    </w:p>
    <w:p>
      <w:pPr>
        <w:pStyle w:val="21"/>
        <w:tabs>
          <w:tab w:val="right" w:leader="dot" w:pos="8296"/>
        </w:tabs>
        <w:rPr>
          <w:rFonts w:ascii="仿宋" w:eastAsia="仿宋" w:cs="Arial" w:hAnsi="仿宋"/>
          <w:sz w:val="28"/>
          <w:szCs w:val="28"/>
        </w:rPr>
      </w:pPr>
      <w:r>
        <w:fldChar w:fldCharType="begin"/>
      </w:r>
      <w:r>
        <w:instrText>Hyperlink \l "_Toc15396608"</w:instrText>
      </w:r>
      <w:r>
        <w:fldChar w:fldCharType="separate"/>
      </w:r>
      <w:r>
        <w:rPr>
          <w:rFonts w:ascii="仿宋" w:eastAsia="仿宋" w:hAnsi="仿宋" w:hint="eastAsia"/>
          <w:color w:val="auto"/>
          <w:sz w:val="28"/>
          <w:szCs w:val="28"/>
        </w:rPr>
        <w:t>六、一</w:t>
      </w:r>
      <w:r>
        <w:rPr>
          <w:rFonts w:ascii="仿宋" w:eastAsia="仿宋" w:cs="Times New Roman" w:hAnsi="仿宋" w:hint="eastAsia"/>
          <w:bCs/>
          <w:color w:val="auto"/>
          <w:sz w:val="28"/>
          <w:szCs w:val="28"/>
        </w:rPr>
        <w:t>般公共预算财政拨款基本支出决算情况说明</w:t>
      </w:r>
      <w:r>
        <w:rPr>
          <w:rFonts w:ascii="仿宋" w:eastAsia="仿宋" w:hAnsi="仿宋"/>
          <w:sz w:val="28"/>
          <w:szCs w:val="28"/>
        </w:rPr>
        <w:tab/>
      </w:r>
      <w:r>
        <w:rPr>
          <w:rFonts w:ascii="仿宋" w:eastAsia="仿宋" w:hAnsi="仿宋" w:hint="eastAsia"/>
          <w:sz w:val="28"/>
          <w:szCs w:val="28"/>
        </w:rPr>
        <w:t>1</w:t>
      </w:r>
      <w:r>
        <w:fldChar w:fldCharType="end"/>
      </w:r>
      <w:r>
        <w:rPr>
          <w:rFonts w:ascii="仿宋" w:eastAsia="仿宋" w:hAnsi="仿宋" w:hint="eastAsia"/>
          <w:sz w:val="28"/>
          <w:szCs w:val="28"/>
        </w:rPr>
        <w:t>3</w:t>
      </w:r>
    </w:p>
    <w:p>
      <w:pPr>
        <w:pStyle w:val="21"/>
        <w:tabs>
          <w:tab w:val="right" w:leader="dot" w:pos="8296"/>
        </w:tabs>
        <w:rPr>
          <w:rFonts w:ascii="仿宋" w:eastAsia="仿宋" w:cs="Arial" w:hAnsi="仿宋"/>
          <w:sz w:val="28"/>
          <w:szCs w:val="28"/>
        </w:rPr>
      </w:pPr>
      <w:r>
        <w:fldChar w:fldCharType="begin"/>
      </w:r>
      <w:r>
        <w:instrText>Hyperlink \l "_Toc15396609"</w:instrText>
      </w:r>
      <w:r>
        <w:fldChar w:fldCharType="separate"/>
      </w:r>
      <w:r>
        <w:rPr>
          <w:rFonts w:ascii="仿宋" w:eastAsia="仿宋" w:hAnsi="仿宋" w:hint="eastAsia"/>
          <w:color w:val="auto"/>
          <w:sz w:val="28"/>
          <w:szCs w:val="28"/>
        </w:rPr>
        <w:t>七、</w:t>
      </w:r>
      <w:r>
        <w:rPr>
          <w:rFonts w:ascii="仿宋" w:eastAsia="仿宋" w:hAnsi="仿宋"/>
          <w:color w:val="auto"/>
          <w:sz w:val="28"/>
          <w:szCs w:val="28"/>
        </w:rPr>
        <w:t>“</w:t>
      </w:r>
      <w:r>
        <w:rPr>
          <w:rFonts w:ascii="仿宋" w:eastAsia="仿宋" w:cs="Times New Roman" w:hAnsi="仿宋" w:hint="eastAsia"/>
          <w:bCs/>
          <w:color w:val="auto"/>
          <w:sz w:val="28"/>
          <w:szCs w:val="28"/>
        </w:rPr>
        <w:t>三公”经费财政拨款支出决算情况说明</w:t>
      </w:r>
      <w:r>
        <w:rPr>
          <w:rFonts w:ascii="仿宋" w:eastAsia="仿宋" w:hAnsi="仿宋"/>
          <w:sz w:val="28"/>
          <w:szCs w:val="28"/>
        </w:rPr>
        <w:tab/>
      </w:r>
      <w:r>
        <w:rPr>
          <w:rFonts w:ascii="仿宋" w:eastAsia="仿宋" w:hAnsi="仿宋" w:hint="eastAsia"/>
          <w:sz w:val="28"/>
          <w:szCs w:val="28"/>
        </w:rPr>
        <w:t>1</w:t>
      </w:r>
      <w:r>
        <w:fldChar w:fldCharType="end"/>
      </w:r>
      <w:r>
        <w:rPr>
          <w:rFonts w:ascii="仿宋" w:eastAsia="仿宋" w:hAnsi="仿宋" w:hint="eastAsia"/>
          <w:sz w:val="28"/>
          <w:szCs w:val="28"/>
        </w:rPr>
        <w:t>3</w:t>
      </w:r>
    </w:p>
    <w:p>
      <w:pPr>
        <w:pStyle w:val="21"/>
        <w:tabs>
          <w:tab w:val="right" w:leader="dot" w:pos="8296"/>
        </w:tabs>
        <w:rPr>
          <w:rFonts w:ascii="仿宋" w:eastAsia="仿宋" w:cs="Arial" w:hAnsi="仿宋"/>
          <w:sz w:val="28"/>
          <w:szCs w:val="28"/>
        </w:rPr>
      </w:pPr>
      <w:r>
        <w:fldChar w:fldCharType="begin"/>
      </w:r>
      <w:r>
        <w:instrText>Hyperlink \l "_Toc15396610"</w:instrText>
      </w:r>
      <w:r>
        <w:fldChar w:fldCharType="separate"/>
      </w:r>
      <w:r>
        <w:rPr>
          <w:rFonts w:ascii="仿宋" w:eastAsia="仿宋" w:hAnsi="仿宋" w:hint="eastAsia"/>
          <w:color w:val="auto"/>
          <w:sz w:val="28"/>
          <w:szCs w:val="28"/>
        </w:rPr>
        <w:t>八、</w:t>
      </w:r>
      <w:r>
        <w:rPr>
          <w:rFonts w:ascii="仿宋" w:eastAsia="仿宋" w:cs="Times New Roman" w:hAnsi="仿宋" w:hint="eastAsia"/>
          <w:bCs/>
          <w:color w:val="auto"/>
          <w:sz w:val="28"/>
          <w:szCs w:val="28"/>
        </w:rPr>
        <w:t>政府性基金预算支出决算情况说明</w:t>
      </w:r>
      <w:r>
        <w:rPr>
          <w:rFonts w:ascii="仿宋" w:eastAsia="仿宋" w:hAnsi="仿宋"/>
          <w:sz w:val="28"/>
          <w:szCs w:val="28"/>
        </w:rPr>
        <w:tab/>
      </w:r>
      <w:r>
        <w:rPr>
          <w:rFonts w:ascii="仿宋" w:eastAsia="仿宋" w:hAnsi="仿宋" w:hint="eastAsia"/>
          <w:sz w:val="28"/>
          <w:szCs w:val="28"/>
        </w:rPr>
        <w:t>1</w:t>
      </w:r>
      <w:r>
        <w:fldChar w:fldCharType="end"/>
      </w:r>
      <w:r>
        <w:rPr>
          <w:rFonts w:ascii="仿宋" w:eastAsia="仿宋" w:hAnsi="仿宋" w:hint="eastAsia"/>
          <w:sz w:val="28"/>
          <w:szCs w:val="28"/>
        </w:rPr>
        <w:t>5</w:t>
      </w:r>
    </w:p>
    <w:p>
      <w:pPr>
        <w:pStyle w:val="21"/>
        <w:tabs>
          <w:tab w:val="right" w:leader="dot" w:pos="8296"/>
        </w:tabs>
        <w:rPr>
          <w:rFonts w:ascii="仿宋" w:eastAsia="仿宋" w:cs="Arial" w:hAnsi="仿宋"/>
          <w:sz w:val="28"/>
          <w:szCs w:val="28"/>
        </w:rPr>
      </w:pPr>
      <w:r>
        <w:fldChar w:fldCharType="begin"/>
      </w:r>
      <w:r>
        <w:instrText>Hyperlink \l "_Toc15396611"</w:instrText>
      </w:r>
      <w:r>
        <w:fldChar w:fldCharType="separate"/>
      </w:r>
      <w:r>
        <w:rPr>
          <w:rFonts w:ascii="仿宋" w:eastAsia="仿宋" w:cs="Times New Roman" w:hAnsi="仿宋" w:hint="eastAsia"/>
          <w:bCs/>
          <w:color w:val="auto"/>
          <w:sz w:val="28"/>
          <w:szCs w:val="28"/>
        </w:rPr>
        <w:t>九、</w:t>
      </w:r>
      <w:r>
        <w:rPr>
          <w:rFonts w:ascii="仿宋" w:eastAsia="仿宋" w:hAnsi="仿宋" w:hint="eastAsia"/>
          <w:color w:val="auto"/>
          <w:sz w:val="28"/>
          <w:szCs w:val="28"/>
        </w:rPr>
        <w:t xml:space="preserve"> 国</w:t>
      </w:r>
      <w:r>
        <w:rPr>
          <w:rFonts w:ascii="仿宋" w:eastAsia="仿宋" w:cs="Times New Roman" w:hAnsi="仿宋" w:hint="eastAsia"/>
          <w:bCs/>
          <w:color w:val="auto"/>
          <w:sz w:val="28"/>
          <w:szCs w:val="28"/>
        </w:rPr>
        <w:t>有资本经营预算支出决算情况说明</w:t>
      </w:r>
      <w:r>
        <w:rPr>
          <w:rFonts w:ascii="仿宋" w:eastAsia="仿宋" w:hAnsi="仿宋"/>
          <w:sz w:val="28"/>
          <w:szCs w:val="28"/>
        </w:rPr>
        <w:tab/>
      </w:r>
      <w:r>
        <w:rPr>
          <w:rFonts w:ascii="仿宋" w:eastAsia="仿宋" w:hAnsi="仿宋" w:hint="eastAsia"/>
          <w:sz w:val="28"/>
          <w:szCs w:val="28"/>
        </w:rPr>
        <w:t>1</w:t>
      </w:r>
      <w:r>
        <w:fldChar w:fldCharType="end"/>
      </w:r>
      <w:r>
        <w:rPr>
          <w:rFonts w:ascii="仿宋" w:eastAsia="仿宋" w:hAnsi="仿宋" w:hint="eastAsia"/>
          <w:sz w:val="28"/>
          <w:szCs w:val="28"/>
        </w:rPr>
        <w:t>5</w:t>
      </w:r>
    </w:p>
    <w:p>
      <w:pPr>
        <w:pStyle w:val="21"/>
        <w:tabs>
          <w:tab w:val="right" w:leader="dot" w:pos="8296"/>
        </w:tabs>
        <w:rPr>
          <w:rFonts w:ascii="仿宋" w:eastAsia="仿宋" w:cs="Arial" w:hAnsi="仿宋"/>
          <w:sz w:val="28"/>
          <w:szCs w:val="28"/>
        </w:rPr>
      </w:pPr>
      <w:r>
        <w:fldChar w:fldCharType="begin"/>
      </w:r>
      <w:r>
        <w:instrText>Hyperlink \l "_Toc15396612"</w:instrText>
      </w:r>
      <w:r>
        <w:fldChar w:fldCharType="separate"/>
      </w:r>
      <w:r>
        <w:rPr>
          <w:rFonts w:ascii="仿宋" w:eastAsia="仿宋" w:hAnsi="仿宋" w:hint="eastAsia"/>
          <w:color w:val="auto"/>
          <w:sz w:val="28"/>
          <w:szCs w:val="28"/>
        </w:rPr>
        <w:t>十</w:t>
      </w:r>
      <w:r>
        <w:rPr>
          <w:rFonts w:ascii="仿宋" w:eastAsia="仿宋" w:cs="Times New Roman" w:hAnsi="仿宋" w:hint="eastAsia"/>
          <w:bCs/>
          <w:color w:val="auto"/>
          <w:sz w:val="28"/>
          <w:szCs w:val="28"/>
        </w:rPr>
        <w:t>一、其他重要事项的情况说明</w:t>
      </w:r>
      <w:r>
        <w:rPr>
          <w:rFonts w:ascii="仿宋" w:eastAsia="仿宋" w:hAnsi="仿宋"/>
          <w:sz w:val="28"/>
          <w:szCs w:val="28"/>
        </w:rPr>
        <w:tab/>
      </w:r>
      <w:r>
        <w:rPr>
          <w:rFonts w:ascii="仿宋" w:eastAsia="仿宋" w:hAnsi="仿宋" w:hint="eastAsia"/>
          <w:sz w:val="28"/>
          <w:szCs w:val="28"/>
        </w:rPr>
        <w:t>2</w:t>
      </w:r>
      <w:r>
        <w:fldChar w:fldCharType="end"/>
      </w:r>
      <w:r>
        <w:rPr>
          <w:rFonts w:ascii="仿宋" w:eastAsia="仿宋" w:hAnsi="仿宋" w:hint="eastAsia"/>
          <w:sz w:val="28"/>
          <w:szCs w:val="28"/>
        </w:rPr>
        <w:t>6</w:t>
      </w:r>
    </w:p>
    <w:p>
      <w:pPr>
        <w:pStyle w:val="20"/>
        <w:tabs>
          <w:tab w:val="right" w:leader="dot" w:pos="8296"/>
        </w:tabs>
        <w:rPr>
          <w:rFonts w:cs="Arial"/>
        </w:rPr>
      </w:pPr>
      <w:r>
        <w:fldChar w:fldCharType="begin"/>
      </w:r>
      <w:r>
        <w:instrText>Hyperlink \l "_Toc15396613"</w:instrText>
      </w:r>
      <w:r>
        <w:fldChar w:fldCharType="separate"/>
      </w:r>
      <w:r>
        <w:rPr>
          <w:rFonts w:hint="eastAsia"/>
          <w:bCs/>
          <w:color w:val="auto"/>
          <w:kern w:val="44"/>
        </w:rPr>
        <w:t>第三部分</w:t>
      </w:r>
      <w:r>
        <w:rPr>
          <w:rFonts w:hint="eastAsia"/>
          <w:color w:val="auto"/>
        </w:rPr>
        <w:t xml:space="preserve"> 名</w:t>
      </w:r>
      <w:r>
        <w:rPr>
          <w:rFonts w:hint="eastAsia"/>
          <w:bCs/>
          <w:color w:val="auto"/>
          <w:kern w:val="44"/>
        </w:rPr>
        <w:t>词解释</w:t>
      </w:r>
      <w:r>
        <w:tab/>
      </w:r>
      <w:r>
        <w:rPr>
          <w:rFonts w:hint="eastAsia"/>
        </w:rPr>
        <w:t>2</w:t>
      </w:r>
      <w:r>
        <w:fldChar w:fldCharType="end"/>
      </w:r>
      <w:r>
        <w:rPr>
          <w:rFonts w:hint="eastAsia"/>
        </w:rPr>
        <w:t>7</w:t>
      </w:r>
    </w:p>
    <w:p>
      <w:pPr>
        <w:pStyle w:val="20"/>
        <w:tabs>
          <w:tab w:val="right" w:leader="dot" w:pos="8296"/>
        </w:tabs>
        <w:rPr>
          <w:rFonts w:cs="Arial"/>
        </w:rPr>
      </w:pPr>
      <w:r>
        <w:fldChar w:fldCharType="begin"/>
      </w:r>
      <w:r>
        <w:instrText>Hyperlink \l "_Toc15396614"</w:instrText>
      </w:r>
      <w:r>
        <w:fldChar w:fldCharType="separate"/>
      </w:r>
      <w:r>
        <w:rPr>
          <w:rFonts w:hint="eastAsia"/>
          <w:color w:val="auto"/>
        </w:rPr>
        <w:t>第</w:t>
      </w:r>
      <w:r>
        <w:rPr>
          <w:rFonts w:hint="eastAsia"/>
          <w:bCs/>
          <w:color w:val="auto"/>
          <w:kern w:val="44"/>
        </w:rPr>
        <w:t>四部分</w:t>
      </w:r>
      <w:r>
        <w:rPr>
          <w:bCs/>
          <w:color w:val="auto"/>
          <w:kern w:val="44"/>
        </w:rPr>
        <w:t xml:space="preserve"> </w:t>
      </w:r>
      <w:r>
        <w:rPr>
          <w:rFonts w:hint="eastAsia"/>
          <w:bCs/>
          <w:color w:val="auto"/>
          <w:kern w:val="44"/>
        </w:rPr>
        <w:t>附件</w:t>
      </w:r>
      <w:r>
        <w:tab/>
      </w:r>
      <w:r>
        <w:rPr>
          <w:rFonts w:hint="eastAsia"/>
        </w:rPr>
        <w:t>3</w:t>
      </w:r>
      <w:r>
        <w:fldChar w:fldCharType="end"/>
      </w:r>
      <w:r>
        <w:rPr>
          <w:rFonts w:hint="eastAsia"/>
        </w:rPr>
        <w:t>0</w:t>
      </w:r>
    </w:p>
    <w:p>
      <w:pPr>
        <w:pStyle w:val="21"/>
        <w:tabs>
          <w:tab w:val="right" w:leader="dot" w:pos="8296"/>
        </w:tabs>
        <w:rPr>
          <w:rFonts w:ascii="仿宋" w:eastAsia="仿宋" w:cs="Arial" w:hAnsi="仿宋"/>
          <w:sz w:val="28"/>
          <w:szCs w:val="28"/>
        </w:rPr>
      </w:pPr>
      <w:r>
        <w:fldChar w:fldCharType="begin"/>
      </w:r>
      <w:r>
        <w:instrText>Hyperlink \l "_Toc15396615"</w:instrText>
      </w:r>
      <w:r>
        <w:fldChar w:fldCharType="separate"/>
      </w:r>
      <w:r>
        <w:rPr>
          <w:rFonts w:ascii="仿宋" w:eastAsia="仿宋" w:hAnsi="仿宋" w:hint="eastAsia"/>
          <w:color w:val="auto"/>
          <w:kern w:val="44"/>
          <w:sz w:val="28"/>
          <w:szCs w:val="28"/>
        </w:rPr>
        <w:t>附件</w:t>
      </w:r>
      <w:r>
        <w:rPr>
          <w:rFonts w:ascii="仿宋" w:eastAsia="仿宋" w:hAnsi="仿宋"/>
          <w:color w:val="auto"/>
          <w:kern w:val="44"/>
          <w:sz w:val="28"/>
          <w:szCs w:val="28"/>
        </w:rPr>
        <w:t>1</w:t>
      </w:r>
      <w:r>
        <w:rPr>
          <w:rFonts w:ascii="仿宋" w:eastAsia="仿宋" w:hAnsi="仿宋"/>
          <w:sz w:val="28"/>
          <w:szCs w:val="28"/>
        </w:rPr>
        <w:tab/>
      </w:r>
      <w:r>
        <w:rPr>
          <w:rFonts w:ascii="仿宋" w:eastAsia="仿宋" w:hAnsi="仿宋" w:hint="eastAsia"/>
          <w:sz w:val="28"/>
          <w:szCs w:val="28"/>
        </w:rPr>
        <w:t>3</w:t>
      </w:r>
      <w:r>
        <w:fldChar w:fldCharType="end"/>
      </w:r>
      <w:r>
        <w:rPr>
          <w:rFonts w:ascii="仿宋" w:eastAsia="仿宋" w:hAnsi="仿宋" w:hint="eastAsia"/>
          <w:sz w:val="28"/>
          <w:szCs w:val="28"/>
        </w:rPr>
        <w:t>0</w:t>
      </w:r>
    </w:p>
    <w:p>
      <w:pPr>
        <w:pStyle w:val="21"/>
        <w:tabs>
          <w:tab w:val="right" w:leader="dot" w:pos="8296"/>
        </w:tabs>
        <w:rPr>
          <w:rFonts w:ascii="仿宋" w:eastAsia="仿宋" w:cs="Arial" w:hAnsi="仿宋"/>
          <w:sz w:val="28"/>
          <w:szCs w:val="28"/>
        </w:rPr>
      </w:pPr>
      <w:r>
        <w:fldChar w:fldCharType="begin"/>
      </w:r>
      <w:r>
        <w:instrText>Hyperlink \l "_Toc15396617"</w:instrText>
      </w:r>
      <w:r>
        <w:fldChar w:fldCharType="separate"/>
      </w:r>
      <w:r>
        <w:rPr>
          <w:rFonts w:ascii="仿宋" w:eastAsia="仿宋" w:hAnsi="仿宋" w:hint="eastAsia"/>
          <w:color w:val="auto"/>
          <w:kern w:val="44"/>
          <w:sz w:val="28"/>
          <w:szCs w:val="28"/>
        </w:rPr>
        <w:t>附件</w:t>
      </w:r>
      <w:r>
        <w:rPr>
          <w:rFonts w:ascii="仿宋" w:eastAsia="仿宋" w:hAnsi="仿宋"/>
          <w:color w:val="auto"/>
          <w:kern w:val="44"/>
          <w:sz w:val="28"/>
          <w:szCs w:val="28"/>
        </w:rPr>
        <w:t>2</w:t>
      </w:r>
      <w:r>
        <w:rPr>
          <w:rFonts w:ascii="仿宋" w:eastAsia="仿宋" w:hAnsi="仿宋"/>
          <w:sz w:val="28"/>
          <w:szCs w:val="28"/>
        </w:rPr>
        <w:tab/>
      </w:r>
      <w:r>
        <w:rPr>
          <w:rFonts w:ascii="仿宋" w:eastAsia="仿宋" w:hAnsi="仿宋" w:hint="eastAsia"/>
          <w:sz w:val="28"/>
          <w:szCs w:val="28"/>
        </w:rPr>
        <w:t>3</w:t>
      </w:r>
      <w:r>
        <w:fldChar w:fldCharType="end"/>
      </w:r>
      <w:r>
        <w:rPr>
          <w:rFonts w:ascii="仿宋" w:eastAsia="仿宋" w:hAnsi="仿宋" w:hint="eastAsia"/>
          <w:sz w:val="28"/>
          <w:szCs w:val="28"/>
        </w:rPr>
        <w:t>4</w:t>
      </w:r>
    </w:p>
    <w:p>
      <w:pPr>
        <w:pStyle w:val="20"/>
        <w:tabs>
          <w:tab w:val="right" w:leader="dot" w:pos="8296"/>
        </w:tabs>
        <w:rPr>
          <w:rFonts w:cs="Arial"/>
        </w:rPr>
      </w:pPr>
      <w:r>
        <w:fldChar w:fldCharType="begin"/>
      </w:r>
      <w:r>
        <w:instrText>Hyperlink \l "_Toc15396618"</w:instrText>
      </w:r>
      <w:r>
        <w:fldChar w:fldCharType="separate"/>
      </w:r>
      <w:r>
        <w:rPr>
          <w:rFonts w:hint="eastAsia"/>
          <w:color w:val="auto"/>
        </w:rPr>
        <w:t>第</w:t>
      </w:r>
      <w:r>
        <w:rPr>
          <w:rFonts w:hint="eastAsia"/>
          <w:bCs/>
          <w:color w:val="auto"/>
          <w:kern w:val="44"/>
        </w:rPr>
        <w:t>五部分</w:t>
      </w:r>
      <w:r>
        <w:rPr>
          <w:bCs/>
          <w:color w:val="auto"/>
          <w:kern w:val="44"/>
        </w:rPr>
        <w:t xml:space="preserve"> </w:t>
      </w:r>
      <w:r>
        <w:rPr>
          <w:rFonts w:hint="eastAsia"/>
          <w:bCs/>
          <w:color w:val="auto"/>
          <w:kern w:val="44"/>
        </w:rPr>
        <w:t>附表</w:t>
      </w:r>
      <w:r>
        <w:tab/>
      </w:r>
      <w:r>
        <w:rPr>
          <w:rFonts w:hint="eastAsia"/>
        </w:rPr>
        <w:t>4</w:t>
      </w:r>
      <w:r>
        <w:fldChar w:fldCharType="end"/>
      </w:r>
      <w:r>
        <w:rPr>
          <w:rFonts w:hint="eastAsia"/>
        </w:rPr>
        <w:t>2</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一、</w:t>
      </w:r>
      <w:r>
        <w:fldChar w:fldCharType="begin"/>
      </w:r>
      <w:r>
        <w:instrText>Hyperlink \l "_Toc15396619"</w:instrText>
      </w:r>
      <w:r>
        <w:fldChar w:fldCharType="separate"/>
      </w:r>
      <w:r>
        <w:rPr>
          <w:rFonts w:ascii="仿宋" w:eastAsia="仿宋" w:hAnsi="仿宋" w:hint="eastAsia"/>
          <w:color w:val="auto"/>
          <w:sz w:val="28"/>
          <w:szCs w:val="28"/>
        </w:rPr>
        <w:t>收入支出决算总表</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二、</w:t>
      </w:r>
      <w:r>
        <w:fldChar w:fldCharType="begin"/>
      </w:r>
      <w:r>
        <w:instrText>Hyperlink \l "_Toc15396620"</w:instrText>
      </w:r>
      <w:r>
        <w:fldChar w:fldCharType="separate"/>
      </w:r>
      <w:r>
        <w:rPr>
          <w:rFonts w:ascii="仿宋" w:eastAsia="仿宋" w:hAnsi="仿宋" w:hint="eastAsia"/>
          <w:color w:val="auto"/>
          <w:sz w:val="28"/>
          <w:szCs w:val="28"/>
        </w:rPr>
        <w:t>收入总表</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三、</w:t>
      </w:r>
      <w:r>
        <w:fldChar w:fldCharType="begin"/>
      </w:r>
      <w:r>
        <w:instrText>Hyperlink \l "_Toc15396621"</w:instrText>
      </w:r>
      <w:r>
        <w:fldChar w:fldCharType="separate"/>
      </w:r>
      <w:r>
        <w:rPr>
          <w:rFonts w:ascii="仿宋" w:eastAsia="仿宋" w:hAnsi="仿宋" w:hint="eastAsia"/>
          <w:color w:val="auto"/>
          <w:sz w:val="28"/>
          <w:szCs w:val="28"/>
        </w:rPr>
        <w:t>支出总表</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四、</w:t>
      </w:r>
      <w:r>
        <w:fldChar w:fldCharType="begin"/>
      </w:r>
      <w:r>
        <w:instrText>Hyperlink \l "_Toc15396622"</w:instrText>
      </w:r>
      <w:r>
        <w:fldChar w:fldCharType="separate"/>
      </w:r>
      <w:r>
        <w:rPr>
          <w:rFonts w:ascii="仿宋" w:eastAsia="仿宋" w:hAnsi="仿宋" w:hint="eastAsia"/>
          <w:color w:val="auto"/>
          <w:sz w:val="28"/>
          <w:szCs w:val="28"/>
        </w:rPr>
        <w:t>财政拨款收入支出决算总表</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pStyle w:val="21"/>
        <w:tabs>
          <w:tab w:val="right" w:leader="dot" w:pos="8296"/>
        </w:tabs>
        <w:rPr>
          <w:rFonts w:ascii="仿宋" w:eastAsia="仿宋" w:hAnsi="仿宋"/>
          <w:sz w:val="28"/>
          <w:szCs w:val="28"/>
        </w:rPr>
      </w:pPr>
      <w:r>
        <w:rPr>
          <w:rFonts w:ascii="仿宋" w:eastAsia="仿宋" w:hAnsi="仿宋" w:hint="eastAsia"/>
          <w:sz w:val="28"/>
          <w:szCs w:val="28"/>
        </w:rPr>
        <w:t>五、</w:t>
      </w:r>
      <w:r>
        <w:fldChar w:fldCharType="begin"/>
      </w:r>
      <w:r>
        <w:instrText>Hyperlink \l "_Toc15396623"</w:instrText>
      </w:r>
      <w:r>
        <w:fldChar w:fldCharType="separate"/>
      </w:r>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六、</w:t>
      </w:r>
      <w:r>
        <w:fldChar w:fldCharType="begin"/>
      </w:r>
      <w:r>
        <w:instrText>Hyperlink \l "_Toc15396624"</w:instrText>
      </w:r>
      <w:r>
        <w:fldChar w:fldCharType="separate"/>
      </w:r>
      <w:r>
        <w:rPr>
          <w:rFonts w:ascii="仿宋" w:eastAsia="仿宋" w:hAnsi="仿宋" w:hint="eastAsia"/>
          <w:color w:val="auto"/>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七、</w:t>
      </w:r>
      <w:r>
        <w:fldChar w:fldCharType="begin"/>
      </w:r>
      <w:r>
        <w:instrText>Hyperlink \l "_Toc15396625"</w:instrText>
      </w:r>
      <w:r>
        <w:fldChar w:fldCharType="separate"/>
      </w:r>
      <w:r>
        <w:rPr>
          <w:rFonts w:ascii="仿宋" w:eastAsia="仿宋" w:hAnsi="仿宋" w:hint="eastAsia"/>
          <w:color w:val="auto"/>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八、</w:t>
      </w:r>
      <w:r>
        <w:fldChar w:fldCharType="begin"/>
      </w:r>
      <w:r>
        <w:instrText>Hyperlink \l "_Toc15396626"</w:instrText>
      </w:r>
      <w:r>
        <w:fldChar w:fldCharType="separate"/>
      </w:r>
      <w:r>
        <w:rPr>
          <w:rFonts w:ascii="仿宋" w:eastAsia="仿宋" w:hAnsi="仿宋" w:hint="eastAsia"/>
          <w:color w:val="auto"/>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九、</w:t>
      </w:r>
      <w:r>
        <w:fldChar w:fldCharType="begin"/>
      </w:r>
      <w:r>
        <w:instrText>Hyperlink \l "_Toc15396627"</w:instrText>
      </w:r>
      <w:r>
        <w:fldChar w:fldCharType="separate"/>
      </w:r>
      <w:r>
        <w:rPr>
          <w:rFonts w:ascii="仿宋" w:eastAsia="仿宋" w:hAnsi="仿宋" w:hint="eastAsia"/>
          <w:color w:val="auto"/>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w:t>
      </w:r>
      <w:r>
        <w:fldChar w:fldCharType="begin"/>
      </w:r>
      <w:r>
        <w:instrText>Hyperlink \l "_Toc15396628"</w:instrText>
      </w:r>
      <w:r>
        <w:fldChar w:fldCharType="separate"/>
      </w:r>
      <w:r>
        <w:rPr>
          <w:rFonts w:ascii="仿宋" w:eastAsia="仿宋" w:hAnsi="仿宋" w:hint="eastAsia"/>
          <w:color w:val="auto"/>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十一、</w:t>
      </w:r>
      <w:r>
        <w:fldChar w:fldCharType="begin"/>
      </w:r>
      <w:r>
        <w:instrText>Hyperlink \l "_Toc15396629"</w:instrText>
      </w:r>
      <w:r>
        <w:fldChar w:fldCharType="separate"/>
      </w:r>
      <w:r>
        <w:rPr>
          <w:rFonts w:ascii="仿宋" w:eastAsia="仿宋" w:hAnsi="仿宋" w:hint="eastAsia"/>
          <w:color w:val="auto"/>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十二、</w:t>
      </w:r>
      <w:r>
        <w:fldChar w:fldCharType="begin"/>
      </w:r>
      <w:r>
        <w:instrText>Hyperlink \l "_Toc15396630"</w:instrText>
      </w:r>
      <w:r>
        <w:fldChar w:fldCharType="separate"/>
      </w:r>
      <w:r>
        <w:rPr>
          <w:rFonts w:ascii="仿宋" w:eastAsia="仿宋" w:hAnsi="仿宋" w:hint="eastAsia"/>
          <w:color w:val="auto"/>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pStyle w:val="21"/>
        <w:tabs>
          <w:tab w:val="right" w:leader="dot" w:pos="8296"/>
        </w:tabs>
        <w:rPr>
          <w:rFonts w:ascii="仿宋" w:eastAsia="仿宋" w:cs="Arial" w:hAnsi="仿宋"/>
          <w:sz w:val="24"/>
        </w:rPr>
      </w:pPr>
      <w:r>
        <w:rPr>
          <w:rFonts w:ascii="仿宋" w:eastAsia="仿宋" w:hAnsi="仿宋" w:hint="eastAsia"/>
          <w:sz w:val="28"/>
          <w:szCs w:val="28"/>
        </w:rPr>
        <w:t>十三、</w:t>
      </w:r>
      <w:r>
        <w:fldChar w:fldCharType="begin"/>
      </w:r>
      <w:r>
        <w:instrText>Hyperlink \l "_Toc15396631"</w:instrText>
      </w:r>
      <w:r>
        <w:fldChar w:fldCharType="separate"/>
      </w:r>
      <w:r>
        <w:rPr>
          <w:rFonts w:ascii="仿宋" w:eastAsia="仿宋" w:hAnsi="仿宋" w:hint="eastAsia"/>
          <w:color w:val="auto"/>
          <w:sz w:val="28"/>
          <w:szCs w:val="28"/>
        </w:rPr>
        <w:t>国有资本经营预算支出决算表</w:t>
      </w:r>
      <w:r>
        <w:rPr>
          <w:rFonts w:ascii="仿宋" w:eastAsia="仿宋" w:hAnsi="仿宋"/>
          <w:sz w:val="28"/>
          <w:szCs w:val="28"/>
        </w:rPr>
        <w:tab/>
      </w:r>
      <w:r>
        <w:rPr>
          <w:rFonts w:ascii="仿宋" w:eastAsia="仿宋" w:hAnsi="仿宋" w:hint="eastAsia"/>
          <w:sz w:val="28"/>
          <w:szCs w:val="28"/>
        </w:rPr>
        <w:t>4</w:t>
      </w:r>
      <w:r>
        <w:fldChar w:fldCharType="end"/>
      </w:r>
      <w:r>
        <w:rPr>
          <w:rFonts w:ascii="仿宋" w:eastAsia="仿宋" w:hAnsi="仿宋" w:hint="eastAsia"/>
          <w:sz w:val="28"/>
          <w:szCs w:val="28"/>
        </w:rPr>
        <w:t>2</w:t>
      </w:r>
    </w:p>
    <w:p>
      <w:pPr>
        <w:widowControl/>
        <w:jc w:val="left"/>
        <w:rPr>
          <w:rFonts w:ascii="黑体" w:eastAsia="黑体" w:hAnsi="黑体"/>
          <w:bCs/>
          <w:kern w:val="44"/>
          <w:sz w:val="44"/>
          <w:szCs w:val="44"/>
        </w:rPr>
      </w:pPr>
      <w:r>
        <w:rPr>
          <w:rFonts w:ascii="仿宋" w:eastAsia="仿宋" w:hAnsi="仿宋"/>
          <w:color w:val="000000"/>
          <w:sz w:val="24"/>
        </w:rPr>
        <w:fldChar w:fldCharType="end"/>
      </w:r>
      <w:bookmarkStart w:id="13" w:name="_Toc15396599"/>
      <w:bookmarkStart w:id="14" w:name="_Toc15377196"/>
      <w:r>
        <w:rPr>
          <w:rFonts w:ascii="黑体" w:eastAsia="黑体" w:hAnsi="黑体"/>
          <w:b/>
        </w:rPr>
        <w:br w:type="page"/>
      </w:r>
    </w:p>
    <w:p>
      <w:pPr>
        <w:pStyle w:val="1"/>
        <w:jc w:val="center"/>
        <w:rPr>
          <w:rStyle w:val="1Char"/>
          <w:rFonts w:ascii="黑体" w:eastAsia="黑体" w:hAnsi="黑体"/>
          <w:b/>
        </w:rPr>
      </w:pPr>
      <w:r>
        <w:rPr>
          <w:rFonts w:ascii="黑体" w:eastAsia="黑体" w:hAnsi="黑体" w:hint="eastAsia"/>
          <w:b w:val="0"/>
        </w:rPr>
        <w:t xml:space="preserve">第一部分 </w:t>
      </w:r>
      <w:r>
        <w:rPr>
          <w:rStyle w:val="1Char"/>
          <w:rFonts w:ascii="黑体" w:eastAsia="黑体" w:hAnsi="黑体" w:hint="eastAsia"/>
        </w:rPr>
        <w:t>部门概况</w:t>
      </w:r>
      <w:bookmarkEnd w:id="13"/>
      <w:bookmarkEnd w:id="14"/>
    </w:p>
    <w:p>
      <w:pPr>
        <w:pStyle w:val="2"/>
        <w:ind w:firstLineChars="200" w:firstLine="640"/>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pPr>
        <w:spacing w:line="580" w:lineRule="exact"/>
        <w:ind w:firstLineChars="200" w:firstLine="640"/>
        <w:rPr>
          <w:rFonts w:ascii="仿宋_GB2312" w:eastAsia="仿宋_GB2312"/>
          <w:sz w:val="32"/>
          <w:szCs w:val="32"/>
        </w:rPr>
      </w:pPr>
      <w:r>
        <w:rPr>
          <w:rFonts w:ascii="仿宋_GB2312" w:eastAsia="仿宋_GB2312" w:hint="eastAsia"/>
          <w:sz w:val="32"/>
          <w:szCs w:val="32"/>
        </w:rPr>
        <w:t>（一）主要职能</w:t>
      </w:r>
    </w:p>
    <w:p>
      <w:pPr>
        <w:ind w:firstLineChars="200" w:firstLine="640"/>
        <w:rPr>
          <w:rFonts w:ascii="仿宋_GB2312" w:eastAsia="仿宋_GB2312"/>
          <w:kern w:val="0"/>
          <w:sz w:val="32"/>
          <w:szCs w:val="32"/>
        </w:rPr>
      </w:pPr>
      <w:r>
        <w:rPr>
          <w:rFonts w:ascii="仿宋_GB2312" w:eastAsia="仿宋_GB2312" w:hint="eastAsia"/>
          <w:kern w:val="0"/>
          <w:sz w:val="32"/>
          <w:szCs w:val="32"/>
        </w:rPr>
        <w:t>1、执行上级国家行政机关的决定、命令和国家制定的法令、法规，接受同级党委的领导，执行本级人民代表大会的各项决议，并报告执行决议、决定和命令的情况。</w:t>
      </w:r>
    </w:p>
    <w:p>
      <w:pPr>
        <w:ind w:firstLineChars="200" w:firstLine="640"/>
        <w:rPr>
          <w:rFonts w:ascii="仿宋_GB2312" w:eastAsia="仿宋_GB2312"/>
          <w:kern w:val="0"/>
          <w:sz w:val="32"/>
          <w:szCs w:val="32"/>
        </w:rPr>
      </w:pPr>
      <w:r>
        <w:rPr>
          <w:rFonts w:ascii="仿宋_GB2312" w:eastAsia="仿宋_GB2312" w:hint="eastAsia"/>
          <w:kern w:val="0"/>
          <w:sz w:val="32"/>
          <w:szCs w:val="32"/>
        </w:rPr>
        <w:t>2、制定并落实本行政区域的经济计划和措施，促进产业结构调整及其他经济保持平衡协调发展，全面提高人民群众的生活水平和生活质量。</w:t>
      </w:r>
    </w:p>
    <w:p>
      <w:pPr>
        <w:ind w:firstLineChars="200" w:firstLine="640"/>
        <w:rPr>
          <w:rFonts w:ascii="仿宋_GB2312" w:eastAsia="仿宋_GB2312"/>
          <w:kern w:val="0"/>
          <w:sz w:val="32"/>
          <w:szCs w:val="32"/>
        </w:rPr>
      </w:pPr>
      <w:r>
        <w:rPr>
          <w:rFonts w:ascii="仿宋_GB2312" w:eastAsia="仿宋_GB2312" w:hint="eastAsia"/>
          <w:kern w:val="0"/>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ind w:firstLineChars="200" w:firstLine="640"/>
        <w:rPr>
          <w:rFonts w:ascii="仿宋_GB2312" w:eastAsia="仿宋_GB2312"/>
          <w:kern w:val="0"/>
          <w:sz w:val="32"/>
          <w:szCs w:val="32"/>
        </w:rPr>
      </w:pPr>
      <w:r>
        <w:rPr>
          <w:rFonts w:ascii="仿宋_GB2312" w:eastAsia="仿宋_GB2312" w:hint="eastAsia"/>
          <w:kern w:val="0"/>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ind w:firstLineChars="200" w:firstLine="640"/>
        <w:rPr>
          <w:rFonts w:ascii="仿宋_GB2312" w:eastAsia="仿宋_GB2312"/>
          <w:kern w:val="0"/>
          <w:sz w:val="32"/>
          <w:szCs w:val="32"/>
        </w:rPr>
      </w:pPr>
      <w:r>
        <w:rPr>
          <w:rFonts w:ascii="仿宋_GB2312" w:eastAsia="仿宋_GB2312" w:hint="eastAsia"/>
          <w:kern w:val="0"/>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ind w:firstLineChars="200" w:firstLine="640"/>
        <w:rPr>
          <w:rFonts w:ascii="仿宋_GB2312" w:eastAsia="仿宋_GB2312"/>
          <w:kern w:val="0"/>
          <w:sz w:val="32"/>
          <w:szCs w:val="32"/>
        </w:rPr>
      </w:pPr>
      <w:r>
        <w:rPr>
          <w:rFonts w:ascii="仿宋_GB2312" w:eastAsia="仿宋_GB2312" w:hint="eastAsia"/>
          <w:kern w:val="0"/>
          <w:sz w:val="32"/>
          <w:szCs w:val="32"/>
        </w:rPr>
        <w:t>6、加强镇级财政的监督和管理，按计划组织、管理镇财政收入和支出，执行国家有关财经纪律和政策，保证国家财政收入的完成;做好统计工作。</w:t>
      </w:r>
    </w:p>
    <w:p>
      <w:pPr>
        <w:ind w:firstLineChars="200" w:firstLine="640"/>
        <w:rPr>
          <w:rFonts w:ascii="仿宋_GB2312" w:eastAsia="仿宋_GB2312"/>
          <w:kern w:val="0"/>
          <w:sz w:val="32"/>
          <w:szCs w:val="32"/>
        </w:rPr>
      </w:pPr>
      <w:r>
        <w:rPr>
          <w:rFonts w:ascii="仿宋_GB2312" w:eastAsia="仿宋_GB2312" w:hint="eastAsia"/>
          <w:kern w:val="0"/>
          <w:sz w:val="32"/>
          <w:szCs w:val="32"/>
        </w:rPr>
        <w:t>7、指导、支持、帮助村(居)民委员会的组织制度建设和业务建设，促进村(居)民委员会民主自治。</w:t>
      </w:r>
    </w:p>
    <w:p>
      <w:pPr>
        <w:ind w:firstLineChars="200" w:firstLine="640"/>
        <w:rPr>
          <w:rFonts w:ascii="仿宋_GB2312" w:eastAsia="仿宋_GB2312"/>
          <w:kern w:val="0"/>
          <w:sz w:val="32"/>
          <w:szCs w:val="32"/>
        </w:rPr>
      </w:pPr>
      <w:r>
        <w:rPr>
          <w:rFonts w:ascii="仿宋_GB2312" w:eastAsia="仿宋_GB2312" w:hint="eastAsia"/>
          <w:kern w:val="0"/>
          <w:sz w:val="32"/>
          <w:szCs w:val="32"/>
        </w:rPr>
        <w:t>8、制定和组织实施镇村建设规划;加强公用、市政设施、水利建设和管理以及房屋土地管理和环境综合整治工作，保护和改善生活环境和生态环境。</w:t>
      </w:r>
    </w:p>
    <w:p>
      <w:pPr>
        <w:ind w:firstLineChars="200" w:firstLine="640"/>
        <w:rPr>
          <w:rFonts w:ascii="仿宋_GB2312" w:eastAsia="仿宋_GB2312"/>
          <w:kern w:val="0"/>
          <w:sz w:val="32"/>
          <w:szCs w:val="32"/>
        </w:rPr>
      </w:pPr>
      <w:r>
        <w:rPr>
          <w:rFonts w:ascii="仿宋_GB2312" w:eastAsia="仿宋_GB2312" w:hint="eastAsia"/>
          <w:kern w:val="0"/>
          <w:sz w:val="32"/>
          <w:szCs w:val="32"/>
        </w:rPr>
        <w:t>9、协助和支持设置在本行政区域内不隶属于镇的国家机关和企事业单位工作，监督其遵守和执行国家的法律、法规和政策。</w:t>
      </w:r>
    </w:p>
    <w:p>
      <w:pPr>
        <w:spacing w:line="580" w:lineRule="exact"/>
        <w:ind w:firstLineChars="196" w:firstLine="627"/>
        <w:rPr>
          <w:rFonts w:ascii="仿宋_GB2312" w:eastAsia="仿宋_GB2312"/>
          <w:kern w:val="0"/>
          <w:sz w:val="32"/>
          <w:szCs w:val="32"/>
        </w:rPr>
      </w:pPr>
      <w:r>
        <w:rPr>
          <w:rFonts w:ascii="仿宋_GB2312" w:eastAsia="仿宋_GB2312" w:hint="eastAsia"/>
          <w:kern w:val="0"/>
          <w:sz w:val="32"/>
          <w:szCs w:val="32"/>
        </w:rPr>
        <w:t>10、承办区人民政府交办的其它事项。</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bookmarkStart w:id="17" w:name="_Toc15378446"/>
      <w:bookmarkStart w:id="18"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7"/>
      <w:bookmarkEnd w:id="18"/>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hint="eastAsia"/>
          <w:sz w:val="32"/>
          <w:szCs w:val="32"/>
        </w:rPr>
        <w:t>一是稳步推进精准扶贫工作，实现贫困村清河村脱贫及8户32人全部脱贫年度总目标，全乡13个村全部脱贫退出。二是全力做好项目推进、产业扶贫、农业产业发展、生态康养旅游等经济发展工作。</w:t>
      </w:r>
      <w:r>
        <w:rPr>
          <w:sz w:val="32"/>
          <w:szCs w:val="32"/>
        </w:rPr>
        <w:t>围绕“一带、两村、四基地”产业发展总布局，</w:t>
      </w:r>
      <w:r>
        <w:rPr>
          <w:rFonts w:hint="eastAsia"/>
          <w:sz w:val="32"/>
          <w:szCs w:val="32"/>
        </w:rPr>
        <w:t>建设</w:t>
      </w:r>
      <w:r>
        <w:rPr>
          <w:sz w:val="32"/>
          <w:szCs w:val="32"/>
        </w:rPr>
        <w:t>扶贫项目产业园3个，</w:t>
      </w:r>
      <w:r>
        <w:rPr>
          <w:rFonts w:hint="eastAsia"/>
          <w:sz w:val="32"/>
          <w:szCs w:val="32"/>
        </w:rPr>
        <w:t>种植食用菌</w:t>
      </w:r>
      <w:r>
        <w:rPr>
          <w:sz w:val="32"/>
          <w:szCs w:val="32"/>
        </w:rPr>
        <w:t>600万椴</w:t>
      </w:r>
      <w:r>
        <w:rPr>
          <w:rFonts w:hint="eastAsia"/>
          <w:sz w:val="32"/>
          <w:szCs w:val="32"/>
        </w:rPr>
        <w:t>，</w:t>
      </w:r>
      <w:r>
        <w:rPr>
          <w:sz w:val="32"/>
          <w:szCs w:val="32"/>
        </w:rPr>
        <w:t>致富带头人、专业合作社带动140余户群众发展产业</w:t>
      </w:r>
      <w:r>
        <w:rPr>
          <w:rFonts w:hint="eastAsia"/>
          <w:sz w:val="32"/>
          <w:szCs w:val="32"/>
        </w:rPr>
        <w:t>，</w:t>
      </w:r>
      <w:r>
        <w:rPr>
          <w:sz w:val="32"/>
          <w:szCs w:val="32"/>
        </w:rPr>
        <w:t>13个村集体经济规模化、多元化发展</w:t>
      </w:r>
      <w:r>
        <w:rPr>
          <w:rFonts w:hint="eastAsia"/>
          <w:sz w:val="32"/>
          <w:szCs w:val="32"/>
        </w:rPr>
        <w:t>。三是加快政府职能转变，科学规划完善制度，公共服务水平显著提升。全乡硬化主干村组道路15公里、入户路20公里，方便群众出行，构建完备社会保障体系，扎实做好城乡最低生活保障，全力做好环境整治提升、加大就业促进力度、实施教育助学等其它重点民生工程。四是统筹城乡协调发展。积极创新城乡协调发展思路，探索市场条件下城乡协调发展新途径，预计全年城乡居民可支配收入达到11000元左右，较往年增长10%。五是强化城乡环境治理。各村（社区）建立清扫保洁队伍，常态开展环境卫生评比，争取项目资金支持，新建公厕2座，购买垃圾桶60个，新建垃圾池16个。六是不断推进维稳综治工作。加强综治机构建设，建章立制，创新探索综治“1744”工作法，构建网格化管理体系，规范乡综治中心建设，乡村两级排查各类矛盾42起，全部成功调处。七是全面推进依法治区为契机，结合扫黑除恶</w:t>
      </w:r>
      <w:r>
        <w:rPr>
          <w:sz w:val="32"/>
          <w:szCs w:val="32"/>
        </w:rPr>
        <w:t>专项斗争，探索依法治理向基层延伸，抓好法律进乡村、进学校、进企业等，统筹推进我乡依法治区工作。</w:t>
      </w:r>
      <w:bookmarkStart w:id="19" w:name="_Toc15396601"/>
      <w:bookmarkStart w:id="20" w:name="_Toc15377200"/>
    </w:p>
    <w:p>
      <w:pPr>
        <w:pStyle w:val="15"/>
        <w:adjustRightInd w:val="0"/>
        <w:snapToGrid w:val="0"/>
        <w:spacing w:beforeLines="0" w:before="93" w:line="600" w:lineRule="exact"/>
        <w:ind w:firstLineChars="209" w:firstLine="672"/>
        <w:outlineLvl w:val="2"/>
        <w:rPr>
          <w:rStyle w:val="2Char"/>
          <w:rFonts w:ascii="黑体" w:eastAsia="黑体" w:hAnsi="黑体"/>
        </w:rPr>
      </w:pPr>
      <w:r>
        <w:rPr>
          <w:rFonts w:ascii="仿宋" w:eastAsia="仿宋" w:hAnsi="仿宋" w:hint="eastAsia"/>
          <w:bCs/>
          <w:color w:val="000000"/>
          <w:sz w:val="32"/>
          <w:szCs w:val="32"/>
        </w:rPr>
        <w:t>二</w:t>
      </w:r>
      <w:r>
        <w:rPr>
          <w:rFonts w:ascii="仿宋" w:eastAsia="仿宋" w:hAnsi="仿宋"/>
          <w:bCs/>
          <w:color w:val="000000"/>
          <w:sz w:val="32"/>
          <w:szCs w:val="32"/>
        </w:rPr>
        <w:t>、</w:t>
      </w:r>
      <w:r>
        <w:rPr>
          <w:rFonts w:ascii="黑体" w:eastAsia="黑体" w:hAnsi="黑体" w:hint="eastAsia"/>
          <w:color w:val="000000"/>
        </w:rPr>
        <w:t>机</w:t>
      </w:r>
      <w:r>
        <w:rPr>
          <w:rStyle w:val="2Char"/>
          <w:rFonts w:ascii="黑体" w:eastAsia="黑体" w:hAnsi="黑体" w:hint="eastAsia"/>
        </w:rPr>
        <w:t>构设置</w:t>
      </w:r>
      <w:bookmarkEnd w:id="19"/>
      <w:bookmarkEnd w:id="20"/>
    </w:p>
    <w:p>
      <w:pPr>
        <w:spacing w:line="580"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金洞乡属一级预算单位，无下属的二级预算单位。</w:t>
      </w:r>
    </w:p>
    <w:p>
      <w:pPr>
        <w:spacing w:line="580" w:lineRule="exact"/>
        <w:ind w:firstLineChars="200" w:firstLine="640"/>
        <w:rPr>
          <w:rFonts w:ascii="仿宋" w:eastAsia="仿宋" w:hAnsi="仿宋"/>
          <w:color w:val="000000"/>
          <w:kern w:val="0"/>
          <w:sz w:val="32"/>
          <w:szCs w:val="32"/>
        </w:rPr>
      </w:pPr>
      <w:r>
        <w:rPr>
          <w:rFonts w:ascii="仿宋_GB2312" w:eastAsia="仿宋_GB2312" w:hint="eastAsia"/>
          <w:sz w:val="32"/>
          <w:szCs w:val="32"/>
        </w:rPr>
        <w:t>我乡201</w:t>
      </w:r>
      <w:r>
        <w:rPr>
          <w:rFonts w:hint="eastAsia"/>
          <w:sz w:val="32"/>
          <w:szCs w:val="32"/>
        </w:rPr>
        <w:t>8</w:t>
      </w:r>
      <w:r>
        <w:rPr>
          <w:rFonts w:ascii="仿宋_GB2312" w:eastAsia="仿宋_GB2312" w:hint="eastAsia"/>
          <w:sz w:val="32"/>
          <w:szCs w:val="32"/>
        </w:rPr>
        <w:t>年所设部门为党政办、经发办（内设财政所、安全办、扶贫移民办、交管办）、社会事务办、便民服务中心，与201</w:t>
      </w:r>
      <w:r>
        <w:rPr>
          <w:rFonts w:hint="eastAsia"/>
          <w:sz w:val="32"/>
          <w:szCs w:val="32"/>
        </w:rPr>
        <w:t>7</w:t>
      </w:r>
      <w:r>
        <w:rPr>
          <w:rFonts w:ascii="仿宋_GB2312" w:eastAsia="仿宋_GB2312" w:hint="eastAsia"/>
          <w:sz w:val="32"/>
          <w:szCs w:val="32"/>
        </w:rPr>
        <w:t>年比无机构增减变动。201</w:t>
      </w:r>
      <w:r>
        <w:rPr>
          <w:rFonts w:hint="eastAsia"/>
          <w:sz w:val="32"/>
          <w:szCs w:val="32"/>
        </w:rPr>
        <w:t>8</w:t>
      </w:r>
      <w:r>
        <w:rPr>
          <w:rFonts w:ascii="仿宋_GB2312" w:eastAsia="仿宋_GB2312" w:hint="eastAsia"/>
          <w:sz w:val="32"/>
          <w:szCs w:val="32"/>
        </w:rPr>
        <w:t>年底金洞乡在职数</w:t>
      </w:r>
      <w:r>
        <w:rPr>
          <w:rFonts w:hint="eastAsia"/>
          <w:sz w:val="32"/>
          <w:szCs w:val="32"/>
        </w:rPr>
        <w:t>38人（</w:t>
      </w:r>
      <w:r>
        <w:rPr>
          <w:rFonts w:ascii="仿宋_GB2312" w:eastAsia="仿宋_GB2312" w:hint="eastAsia"/>
          <w:sz w:val="32"/>
          <w:szCs w:val="32"/>
        </w:rPr>
        <w:t>其中：公务员1</w:t>
      </w:r>
      <w:r>
        <w:rPr>
          <w:rFonts w:hint="eastAsia"/>
          <w:sz w:val="32"/>
          <w:szCs w:val="32"/>
        </w:rPr>
        <w:t>9</w:t>
      </w:r>
      <w:r>
        <w:rPr>
          <w:rFonts w:ascii="仿宋_GB2312" w:eastAsia="仿宋_GB2312" w:hint="eastAsia"/>
          <w:sz w:val="32"/>
          <w:szCs w:val="32"/>
        </w:rPr>
        <w:t>人，机关工人3人，事业人员16人），退休人员1</w:t>
      </w:r>
      <w:r>
        <w:rPr>
          <w:rFonts w:hint="eastAsia"/>
          <w:sz w:val="32"/>
          <w:szCs w:val="32"/>
        </w:rPr>
        <w:t>7</w:t>
      </w:r>
      <w:r>
        <w:rPr>
          <w:rFonts w:ascii="仿宋_GB2312" w:eastAsia="仿宋_GB2312" w:hint="eastAsia"/>
          <w:sz w:val="32"/>
          <w:szCs w:val="32"/>
        </w:rPr>
        <w:t>人，均为财政全额拨款。</w:t>
      </w:r>
    </w:p>
    <w:p>
      <w:pPr>
        <w:pStyle w:val="1"/>
        <w:ind w:right="440"/>
        <w:jc w:val="right"/>
        <w:rPr>
          <w:rStyle w:val="1Char"/>
          <w:rFonts w:ascii="黑体" w:eastAsia="黑体" w:hAnsi="黑体"/>
        </w:rPr>
      </w:pPr>
      <w:bookmarkStart w:id="21" w:name="_Toc15377204"/>
      <w:bookmarkStart w:id="22" w:name="_Toc15396602"/>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rPr>
        <w:t>2018年度部门决算情况说明</w:t>
      </w:r>
      <w:bookmarkEnd w:id="21"/>
      <w:bookmarkEnd w:id="22"/>
    </w:p>
    <w:p>
      <w:pPr>
        <w:pStyle w:val="28"/>
        <w:numPr>
          <w:ilvl w:val="0"/>
          <w:numId w:val="1"/>
        </w:numPr>
        <w:spacing w:line="600" w:lineRule="exact"/>
        <w:ind w:firstLineChars="0"/>
        <w:outlineLvl w:val="1"/>
        <w:rPr>
          <w:rStyle w:val="2Char"/>
          <w:rFonts w:ascii="黑体" w:eastAsia="黑体" w:hAnsi="黑体"/>
          <w:b w:val="0"/>
        </w:rPr>
      </w:pPr>
      <w:bookmarkStart w:id="23" w:name="_Toc15377205"/>
      <w:bookmarkStart w:id="24"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3"/>
      <w:bookmarkEnd w:id="24"/>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2018年度收入总计1523.92万元。与2017年相比，收入总计各增加286.27万元，增长23.13%。主要变动原因是人员增加2人，车辆增加2辆，船只增加1艘，网箱拆除工作经费。</w:t>
      </w:r>
    </w:p>
    <w:p>
      <w:pPr>
        <w:spacing w:line="600" w:lineRule="exact"/>
        <w:ind w:firstLineChars="200" w:firstLine="640"/>
        <w:jc w:val="left"/>
        <w:rPr>
          <w:rFonts w:ascii="仿宋_GB2312" w:eastAsia="仿宋_GB2312"/>
          <w:color w:val="000000"/>
          <w:sz w:val="32"/>
          <w:szCs w:val="32"/>
        </w:rPr>
      </w:pPr>
      <w:r>
        <w:rPr>
          <w:rFonts w:ascii="仿宋" w:eastAsia="仿宋" w:hAnsi="仿宋" w:hint="eastAsia"/>
          <w:color w:val="000000"/>
          <w:sz w:val="32"/>
          <w:szCs w:val="32"/>
        </w:rPr>
        <w:t>2018年度支出总计1545.19万元。与2017年相比，收入总计各增加288.03万元，增长22.91%。主要变动原因是人员增加2人，车辆增加2辆，船只增加1艘，网箱拆除工作经费。</w:t>
      </w:r>
    </w:p>
    <w:p>
      <w:pPr>
        <w:spacing w:line="600" w:lineRule="exact"/>
        <w:ind w:firstLineChars="200" w:firstLine="420"/>
      </w:pPr>
      <w:r>
        <w:drawing>
          <wp:anchor distT="0" distB="0" distL="114300" distR="114300" simplePos="0" relativeHeight="18" behindDoc="0" locked="0" layoutInCell="1" hidden="0" allowOverlap="1">
            <wp:simplePos x="0" y="0"/>
            <wp:positionH relativeFrom="column">
              <wp:posOffset>271145</wp:posOffset>
            </wp:positionH>
            <wp:positionV relativeFrom="paragraph">
              <wp:posOffset>156845</wp:posOffset>
            </wp:positionV>
            <wp:extent cx="4572000" cy="2437765"/>
            <wp:effectExtent l="0" t="0" r="25" b="26"/>
            <wp:wrapSquare wrapText="bothSides"/>
            <wp:docPr id="1" name="图表 1"/>
            <wp:cNvGraphicFramePr>
              <a:graphicFrameLocks noChangeAspect="0"/>
            </wp:cNvGraphicFramePr>
            <a:graphic>
              <a:graphicData uri="http://schemas.openxmlformats.org/drawingml/2006/chart">
                <c:chart xmlns:c="http://schemas.openxmlformats.org/drawingml/2006/chart" r:id="rId4"/>
              </a:graphicData>
            </a:graphic>
          </wp:anchor>
        </w:drawing>
      </w:r>
    </w:p>
    <w:p>
      <w:pPr>
        <w:spacing w:line="600" w:lineRule="exact"/>
        <w:ind w:firstLineChars="200" w:firstLine="420"/>
      </w:pPr>
    </w:p>
    <w:p>
      <w:pPr>
        <w:spacing w:line="600" w:lineRule="exact"/>
        <w:ind w:firstLineChars="200" w:firstLine="420"/>
      </w:pPr>
    </w:p>
    <w:p>
      <w:pPr>
        <w:spacing w:line="600" w:lineRule="exact"/>
        <w:ind w:firstLineChars="200" w:firstLine="420"/>
      </w:pPr>
    </w:p>
    <w:p>
      <w:pPr>
        <w:spacing w:line="600" w:lineRule="exact"/>
        <w:ind w:firstLineChars="200" w:firstLine="420"/>
      </w:pPr>
    </w:p>
    <w:p>
      <w:pPr>
        <w:spacing w:line="600" w:lineRule="exact"/>
        <w:ind w:firstLineChars="200" w:firstLine="420"/>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pPr>
        <w:pStyle w:val="28"/>
        <w:numPr>
          <w:ilvl w:val="0"/>
          <w:numId w:val="1"/>
        </w:numPr>
        <w:spacing w:line="600" w:lineRule="exact"/>
        <w:ind w:firstLineChars="0"/>
        <w:outlineLvl w:val="1"/>
        <w:rPr>
          <w:rStyle w:val="2Char"/>
          <w:rFonts w:ascii="黑体" w:eastAsia="黑体" w:hAnsi="黑体"/>
          <w:b w:val="0"/>
        </w:rPr>
      </w:pPr>
      <w:bookmarkStart w:id="25" w:name="_Toc15377206"/>
      <w:bookmarkStart w:id="26"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5"/>
      <w:bookmarkEnd w:id="26"/>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8年本年收入合计1523.92万元，其中：一般公共预算财政拨款收入1523.92万元，占100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420"/>
        <w:outlineLvl w:val="1"/>
        <w:rPr>
          <w:rFonts w:ascii="仿宋_GB2312" w:eastAsia="仿宋_GB2312"/>
          <w:color w:val="FF0000"/>
          <w:sz w:val="32"/>
          <w:szCs w:val="32"/>
        </w:rPr>
      </w:pPr>
      <w:r>
        <w:drawing>
          <wp:anchor distT="0" distB="0" distL="114300" distR="114300" simplePos="0" relativeHeight="20" behindDoc="0" locked="0" layoutInCell="1" hidden="0" allowOverlap="1">
            <wp:simplePos x="0" y="0"/>
            <wp:positionH relativeFrom="column">
              <wp:posOffset>366395</wp:posOffset>
            </wp:positionH>
            <wp:positionV relativeFrom="paragraph">
              <wp:posOffset>109220</wp:posOffset>
            </wp:positionV>
            <wp:extent cx="4572000" cy="2419350"/>
            <wp:effectExtent l="0" t="0" r="0" b="0"/>
            <wp:wrapTopAndBottom/>
            <wp:docPr id="2" name="图表 3"/>
            <wp:cNvGraphicFramePr>
              <a:graphicFrameLocks noChangeAspect="0"/>
            </wp:cNvGraphicFramePr>
            <a:graphic>
              <a:graphicData uri="http://schemas.openxmlformats.org/drawingml/2006/chart">
                <c:chart xmlns:c="http://schemas.openxmlformats.org/drawingml/2006/chart" r:id="rId5"/>
              </a:graphicData>
            </a:graphic>
          </wp:anchor>
        </w:drawing>
      </w:r>
      <w:r>
        <w:rPr>
          <w:rFonts w:ascii="仿宋" w:eastAsia="仿宋" w:hAnsi="仿宋" w:hint="eastAsia"/>
          <w:color w:val="000000"/>
          <w:sz w:val="32"/>
          <w:szCs w:val="32"/>
        </w:rPr>
        <w:t>（图2：收入决算结构图）（饼状图）</w:t>
      </w:r>
    </w:p>
    <w:p>
      <w:pPr>
        <w:pStyle w:val="28"/>
        <w:numPr>
          <w:ilvl w:val="0"/>
          <w:numId w:val="1"/>
        </w:numPr>
        <w:spacing w:line="600" w:lineRule="exact"/>
        <w:ind w:firstLineChars="0"/>
        <w:outlineLvl w:val="1"/>
        <w:rPr>
          <w:rStyle w:val="2Char"/>
          <w:rFonts w:ascii="黑体" w:eastAsia="黑体" w:hAnsi="黑体"/>
          <w:b w:val="0"/>
        </w:rPr>
      </w:pPr>
      <w:bookmarkStart w:id="27" w:name="_Toc15396605"/>
      <w:bookmarkStart w:id="28"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7"/>
      <w:bookmarkEnd w:id="28"/>
    </w:p>
    <w:p>
      <w:pPr>
        <w:spacing w:line="600" w:lineRule="exact"/>
        <w:ind w:firstLine="640"/>
        <w:rPr>
          <w:rFonts w:ascii="仿宋" w:eastAsia="仿宋" w:hAnsi="仿宋"/>
          <w:color w:val="000000"/>
          <w:sz w:val="32"/>
          <w:szCs w:val="32"/>
          <w:shd w:val="pct10" w:color="auto" w:fill="FFFFFF"/>
        </w:rPr>
      </w:pPr>
      <w:r>
        <w:drawing>
          <wp:anchor distT="0" distB="0" distL="114300" distR="114300" simplePos="0" relativeHeight="22" behindDoc="0" locked="0" layoutInCell="1" hidden="0" allowOverlap="1">
            <wp:simplePos x="0" y="0"/>
            <wp:positionH relativeFrom="column">
              <wp:posOffset>385445</wp:posOffset>
            </wp:positionH>
            <wp:positionV relativeFrom="paragraph">
              <wp:posOffset>1601469</wp:posOffset>
            </wp:positionV>
            <wp:extent cx="4610100" cy="2267584"/>
            <wp:effectExtent l="0" t="0" r="0" b="0"/>
            <wp:wrapTopAndBottom/>
            <wp:docPr id="3" name="图表 4"/>
            <wp:cNvGraphicFramePr>
              <a:graphicFrameLocks noChangeAspect="0"/>
            </wp:cNvGraphicFramePr>
            <a:graphic>
              <a:graphicData uri="http://schemas.openxmlformats.org/drawingml/2006/chart">
                <c:chart xmlns:c="http://schemas.openxmlformats.org/drawingml/2006/chart" r:id="rId6"/>
              </a:graphicData>
            </a:graphic>
          </wp:anchor>
        </w:drawing>
      </w:r>
      <w:r>
        <w:rPr>
          <w:rFonts w:ascii="仿宋" w:eastAsia="仿宋" w:hAnsi="仿宋"/>
          <w:color w:val="000000"/>
          <w:sz w:val="32"/>
          <w:szCs w:val="32"/>
        </w:rPr>
        <w:t>201</w:t>
      </w:r>
      <w:r>
        <w:rPr>
          <w:rFonts w:ascii="仿宋" w:eastAsia="仿宋" w:hAnsi="仿宋" w:hint="eastAsia"/>
          <w:color w:val="000000"/>
          <w:sz w:val="32"/>
          <w:szCs w:val="32"/>
        </w:rPr>
        <w:t>8年本年支出合计1545.19万元，其中：基本支出940.51万元，占60.87</w:t>
      </w:r>
      <w:r>
        <w:rPr>
          <w:rFonts w:ascii="仿宋" w:eastAsia="仿宋" w:hAnsi="仿宋"/>
          <w:color w:val="000000"/>
          <w:sz w:val="32"/>
          <w:szCs w:val="32"/>
        </w:rPr>
        <w:t>%</w:t>
      </w:r>
      <w:r>
        <w:rPr>
          <w:rFonts w:ascii="仿宋" w:eastAsia="仿宋" w:hAnsi="仿宋" w:hint="eastAsia"/>
          <w:color w:val="000000"/>
          <w:sz w:val="32"/>
          <w:szCs w:val="32"/>
        </w:rPr>
        <w:t>；项目支出604.67万元，占39.13</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（图3：支出决算结构图）（饼状图）</w:t>
      </w:r>
    </w:p>
    <w:p>
      <w:pPr>
        <w:spacing w:line="600" w:lineRule="exact"/>
        <w:ind w:firstLineChars="200" w:firstLine="640"/>
        <w:outlineLvl w:val="1"/>
        <w:rPr>
          <w:rStyle w:val="2Char"/>
          <w:rFonts w:ascii="黑体" w:eastAsia="黑体" w:hAnsi="黑体"/>
          <w:b w:val="0"/>
        </w:rPr>
      </w:pPr>
      <w:bookmarkStart w:id="29" w:name="_Toc15377208"/>
      <w:bookmarkStart w:id="30"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9"/>
      <w:bookmarkEnd w:id="30"/>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8年财政拨款收入总计1523.92万元。与</w:t>
      </w:r>
      <w:r>
        <w:rPr>
          <w:rFonts w:ascii="仿宋" w:eastAsia="仿宋" w:hAnsi="仿宋"/>
          <w:color w:val="000000"/>
          <w:sz w:val="32"/>
          <w:szCs w:val="32"/>
        </w:rPr>
        <w:t>201</w:t>
      </w:r>
      <w:r>
        <w:rPr>
          <w:rFonts w:ascii="仿宋" w:eastAsia="仿宋" w:hAnsi="仿宋" w:hint="eastAsia"/>
          <w:color w:val="000000"/>
          <w:sz w:val="32"/>
          <w:szCs w:val="32"/>
        </w:rPr>
        <w:t>7年相比，财政拨款收入总计增加286.27万元，增长23.13</w:t>
      </w:r>
      <w:r>
        <w:rPr>
          <w:rFonts w:ascii="仿宋" w:eastAsia="仿宋" w:hAnsi="仿宋"/>
          <w:color w:val="000000"/>
          <w:sz w:val="32"/>
          <w:szCs w:val="32"/>
        </w:rPr>
        <w:t>%</w:t>
      </w:r>
      <w:r>
        <w:rPr>
          <w:rFonts w:ascii="仿宋" w:eastAsia="仿宋" w:hAnsi="仿宋" w:hint="eastAsia"/>
          <w:color w:val="000000"/>
          <w:sz w:val="32"/>
          <w:szCs w:val="32"/>
        </w:rPr>
        <w:t>。主要变动原因是人员增加2人，车辆增加2辆，船只增加1艘，网箱拆除工作经费。</w:t>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2018年度财政拨款支出总计1545.19万元。与2017年相比，财政拨款支出总计各增加288.03万元，增长22.91%。主要变动原因是增加人员2人，车辆增加2辆，船只增加1艘，网箱拆除工作经费。</w:t>
      </w:r>
    </w:p>
    <w:p>
      <w:pPr>
        <w:spacing w:line="600" w:lineRule="exact"/>
        <w:ind w:firstLineChars="200" w:firstLine="420"/>
        <w:rPr>
          <w:rFonts w:ascii="仿宋" w:eastAsia="仿宋" w:hAnsi="仿宋"/>
          <w:color w:val="000000"/>
          <w:sz w:val="32"/>
          <w:szCs w:val="32"/>
        </w:rPr>
      </w:pPr>
      <w:r>
        <w:drawing>
          <wp:anchor distT="0" distB="0" distL="114300" distR="114300" simplePos="0" relativeHeight="24" behindDoc="0" locked="0" layoutInCell="1" hidden="0" allowOverlap="1">
            <wp:simplePos x="0" y="0"/>
            <wp:positionH relativeFrom="column">
              <wp:posOffset>404495</wp:posOffset>
            </wp:positionH>
            <wp:positionV relativeFrom="paragraph">
              <wp:posOffset>64770</wp:posOffset>
            </wp:positionV>
            <wp:extent cx="4552950" cy="2132965"/>
            <wp:effectExtent l="0" t="0" r="25" b="31"/>
            <wp:wrapSquare wrapText="bothSides"/>
            <wp:docPr id="4" name="图表 1"/>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（图4：财政拨款收、支决算总计变动情况）（柱状图）</w:t>
      </w:r>
    </w:p>
    <w:p>
      <w:pPr>
        <w:spacing w:line="600" w:lineRule="exact"/>
        <w:ind w:firstLineChars="200" w:firstLine="640"/>
        <w:outlineLvl w:val="1"/>
        <w:rPr>
          <w:rStyle w:val="2Char"/>
          <w:rFonts w:ascii="黑体" w:eastAsia="黑体" w:hAnsi="黑体"/>
          <w:b w:val="0"/>
        </w:rPr>
      </w:pPr>
      <w:bookmarkStart w:id="31" w:name="_Toc15377209"/>
      <w:bookmarkStart w:id="32"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1"/>
      <w:bookmarkEnd w:id="32"/>
    </w:p>
    <w:p>
      <w:pPr>
        <w:spacing w:line="600" w:lineRule="exact"/>
        <w:ind w:firstLineChars="200" w:firstLine="640"/>
        <w:outlineLvl w:val="2"/>
        <w:rPr>
          <w:rFonts w:ascii="仿宋" w:eastAsia="仿宋" w:hAnsi="仿宋"/>
          <w:b/>
          <w:color w:val="000000"/>
          <w:sz w:val="32"/>
          <w:szCs w:val="32"/>
        </w:rPr>
      </w:pPr>
      <w:bookmarkStart w:id="33" w:name="_Toc15377210"/>
      <w:r>
        <w:rPr>
          <w:rFonts w:ascii="仿宋" w:eastAsia="仿宋" w:hAnsi="仿宋" w:hint="eastAsia"/>
          <w:b/>
          <w:color w:val="000000"/>
          <w:sz w:val="32"/>
          <w:szCs w:val="32"/>
        </w:rPr>
        <w:t>（一）一般公共预算财政拨款支出决算总体情况</w:t>
      </w:r>
      <w:bookmarkEnd w:id="33"/>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8年一般公共预算财政拨款支出1545.19万元，占本年支出合计的100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7年相比，一般公共预算财政拨款增加288.03万元，增长22.91</w:t>
      </w:r>
      <w:r>
        <w:rPr>
          <w:rFonts w:ascii="仿宋" w:eastAsia="仿宋" w:hAnsi="仿宋"/>
          <w:color w:val="000000"/>
          <w:sz w:val="32"/>
          <w:szCs w:val="32"/>
        </w:rPr>
        <w:t>%</w:t>
      </w:r>
      <w:r>
        <w:rPr>
          <w:rFonts w:ascii="仿宋" w:eastAsia="仿宋" w:hAnsi="仿宋" w:hint="eastAsia"/>
          <w:color w:val="000000"/>
          <w:sz w:val="32"/>
          <w:szCs w:val="32"/>
        </w:rPr>
        <w:t>。主要变动原因是增加人员2人，车辆增加2辆，船只增加1艘，网箱拆除工作经费。</w:t>
      </w:r>
    </w:p>
    <w:p>
      <w:pPr>
        <w:spacing w:line="600" w:lineRule="exact"/>
        <w:ind w:firstLineChars="200" w:firstLine="378"/>
        <w:rPr>
          <w:rFonts w:ascii="仿宋" w:eastAsia="仿宋" w:hAnsi="仿宋"/>
          <w:color w:val="000000"/>
          <w:sz w:val="32"/>
          <w:szCs w:val="32"/>
        </w:rPr>
      </w:pPr>
      <w:r>
        <w:rPr>
          <w:w w:val="90"/>
        </w:rPr>
        <w:drawing>
          <wp:anchor distT="0" distB="0" distL="114300" distR="114300" simplePos="0" relativeHeight="26" behindDoc="0" locked="0" layoutInCell="1" hidden="0" allowOverlap="1">
            <wp:simplePos x="0" y="0"/>
            <wp:positionH relativeFrom="column">
              <wp:posOffset>375920</wp:posOffset>
            </wp:positionH>
            <wp:positionV relativeFrom="paragraph">
              <wp:posOffset>41275</wp:posOffset>
            </wp:positionV>
            <wp:extent cx="4572000" cy="2011045"/>
            <wp:effectExtent l="0" t="0" r="0" b="0"/>
            <wp:wrapTopAndBottom/>
            <wp:docPr id="5" name="图表 7"/>
            <wp:cNvGraphicFramePr>
              <a:graphicFrameLocks noChangeAspect="0"/>
            </wp:cNvGraphicFramePr>
            <a:graphic>
              <a:graphicData uri="http://schemas.openxmlformats.org/drawingml/2006/chart">
                <c:chart xmlns:c="http://schemas.openxmlformats.org/drawingml/2006/chart" r:id="rId8"/>
              </a:graphicData>
            </a:graphic>
          </wp:anchor>
        </w:drawing>
      </w:r>
      <w:r>
        <w:rPr>
          <w:rFonts w:ascii="仿宋" w:eastAsia="仿宋" w:hAnsi="仿宋" w:hint="eastAsia"/>
          <w:color w:val="000000"/>
          <w:w w:val="90"/>
          <w:sz w:val="32"/>
          <w:szCs w:val="32"/>
        </w:rPr>
        <w:t>（图5：一般公共预算财政拨款支出决算变动情况）（柱状图）</w:t>
      </w:r>
    </w:p>
    <w:p>
      <w:pPr>
        <w:spacing w:line="600" w:lineRule="exact"/>
        <w:ind w:firstLineChars="200" w:firstLine="640"/>
        <w:outlineLvl w:val="2"/>
        <w:rPr>
          <w:rFonts w:ascii="仿宋" w:eastAsia="仿宋" w:hAnsi="仿宋"/>
          <w:b/>
          <w:color w:val="000000"/>
          <w:sz w:val="32"/>
          <w:szCs w:val="32"/>
        </w:rPr>
      </w:pPr>
      <w:bookmarkStart w:id="34" w:name="_Toc15377211"/>
      <w:r>
        <w:rPr>
          <w:rFonts w:ascii="仿宋" w:eastAsia="仿宋" w:hAnsi="仿宋" w:hint="eastAsia"/>
          <w:b/>
          <w:color w:val="000000"/>
          <w:sz w:val="32"/>
          <w:szCs w:val="32"/>
        </w:rPr>
        <w:t>（二）一般公共预算财政拨款支出决算结构情况</w:t>
      </w:r>
      <w:bookmarkEnd w:id="34"/>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8年一般公共预算财政拨款支出1545.19万元，主要用于以下方面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支出406.58万元，占26.31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文化体育与传媒（类）</w:t>
      </w:r>
      <w:r>
        <w:rPr>
          <w:rFonts w:ascii="仿宋" w:eastAsia="仿宋" w:hAnsi="仿宋" w:hint="eastAsia"/>
          <w:bCs/>
          <w:color w:val="000000"/>
          <w:sz w:val="32"/>
          <w:szCs w:val="32"/>
        </w:rPr>
        <w:t>支出</w:t>
      </w:r>
      <w:r>
        <w:rPr>
          <w:rFonts w:ascii="仿宋" w:eastAsia="仿宋" w:hAnsi="仿宋" w:hint="eastAsia"/>
          <w:color w:val="000000"/>
          <w:sz w:val="32"/>
          <w:szCs w:val="32"/>
        </w:rPr>
        <w:t>22.55万元，占1.46</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支出125.3万元，占8.1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医疗卫生（类）</w:t>
      </w:r>
      <w:r>
        <w:rPr>
          <w:rFonts w:ascii="仿宋" w:eastAsia="仿宋" w:hAnsi="仿宋" w:hint="eastAsia"/>
          <w:color w:val="000000"/>
          <w:sz w:val="32"/>
          <w:szCs w:val="32"/>
        </w:rPr>
        <w:t>支出40.12万元，占2.6</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城乡社区（类）</w:t>
      </w:r>
      <w:r>
        <w:rPr>
          <w:rFonts w:ascii="仿宋" w:eastAsia="仿宋" w:hAnsi="仿宋" w:hint="eastAsia"/>
          <w:color w:val="000000"/>
          <w:sz w:val="32"/>
          <w:szCs w:val="32"/>
        </w:rPr>
        <w:t>支出120.22万元，占7.78%；</w:t>
      </w:r>
      <w:r>
        <w:rPr>
          <w:rFonts w:ascii="仿宋" w:eastAsia="仿宋" w:hAnsi="仿宋" w:hint="eastAsia"/>
          <w:b/>
          <w:bCs/>
          <w:color w:val="000000"/>
          <w:sz w:val="32"/>
          <w:szCs w:val="32"/>
        </w:rPr>
        <w:t>农林水（类）</w:t>
      </w:r>
      <w:r>
        <w:rPr>
          <w:rFonts w:ascii="仿宋" w:eastAsia="仿宋" w:hAnsi="仿宋" w:hint="eastAsia"/>
          <w:color w:val="000000"/>
          <w:sz w:val="32"/>
          <w:szCs w:val="32"/>
        </w:rPr>
        <w:t>支出782.02万元，占50.61%；</w:t>
      </w:r>
      <w:r>
        <w:rPr>
          <w:rFonts w:ascii="仿宋" w:eastAsia="仿宋" w:hAnsi="仿宋" w:hint="eastAsia"/>
          <w:b/>
          <w:bCs/>
          <w:color w:val="000000"/>
          <w:sz w:val="32"/>
          <w:szCs w:val="32"/>
        </w:rPr>
        <w:t>交通运输（类）</w:t>
      </w:r>
      <w:r>
        <w:rPr>
          <w:rFonts w:ascii="仿宋" w:eastAsia="仿宋" w:hAnsi="仿宋" w:hint="eastAsia"/>
          <w:color w:val="000000"/>
          <w:sz w:val="32"/>
          <w:szCs w:val="32"/>
        </w:rPr>
        <w:t>支出10万元，占0.65%；</w:t>
      </w:r>
      <w:r>
        <w:rPr>
          <w:rFonts w:ascii="仿宋" w:eastAsia="仿宋" w:hAnsi="仿宋" w:hint="eastAsia"/>
          <w:b/>
          <w:bCs/>
          <w:color w:val="000000"/>
          <w:sz w:val="32"/>
          <w:szCs w:val="32"/>
        </w:rPr>
        <w:t>住房保障（类）</w:t>
      </w:r>
      <w:r>
        <w:rPr>
          <w:rFonts w:ascii="仿宋" w:eastAsia="仿宋" w:hAnsi="仿宋" w:hint="eastAsia"/>
          <w:color w:val="000000"/>
          <w:sz w:val="32"/>
          <w:szCs w:val="32"/>
        </w:rPr>
        <w:t>支出38.4万元，占2.49</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640"/>
        <w:rPr>
          <w:rFonts w:ascii="仿宋" w:eastAsia="仿宋" w:hAnsi="仿宋"/>
          <w:color w:val="000000"/>
          <w:sz w:val="32"/>
          <w:szCs w:val="32"/>
        </w:rPr>
      </w:pPr>
      <w:r>
        <w:drawing>
          <wp:anchor distT="0" distB="0" distL="114300" distR="114300" simplePos="0" relativeHeight="28" behindDoc="0" locked="0" layoutInCell="1" hidden="0" allowOverlap="1">
            <wp:simplePos x="0" y="0"/>
            <wp:positionH relativeFrom="column">
              <wp:posOffset>496569</wp:posOffset>
            </wp:positionH>
            <wp:positionV relativeFrom="paragraph">
              <wp:posOffset>102870</wp:posOffset>
            </wp:positionV>
            <wp:extent cx="4572000" cy="2020570"/>
            <wp:effectExtent l="0" t="0" r="0" b="0"/>
            <wp:wrapTopAndBottom/>
            <wp:docPr id="6" name="图表 8"/>
            <wp:cNvGraphicFramePr>
              <a:graphicFrameLocks noChangeAspect="0"/>
            </wp:cNvGraphicFramePr>
            <a:graphic>
              <a:graphicData uri="http://schemas.openxmlformats.org/drawingml/2006/chart">
                <c:chart xmlns:c="http://schemas.openxmlformats.org/drawingml/2006/chart" r:id="rId9"/>
              </a:graphicData>
            </a:graphic>
          </wp:anchor>
        </w:drawing>
      </w:r>
      <w:r>
        <w:rPr>
          <w:rFonts w:ascii="仿宋" w:eastAsia="仿宋" w:hAnsi="仿宋" w:hint="eastAsia"/>
          <w:color w:val="000000"/>
          <w:w w:val="95"/>
          <w:sz w:val="32"/>
          <w:szCs w:val="32"/>
        </w:rPr>
        <w:t>（图6：一般公共预算财政拨款支出决算结构）（饼状图）</w:t>
      </w:r>
    </w:p>
    <w:p>
      <w:pPr>
        <w:spacing w:line="600" w:lineRule="exact"/>
        <w:ind w:firstLineChars="200" w:firstLine="640"/>
        <w:outlineLvl w:val="2"/>
        <w:rPr>
          <w:rFonts w:ascii="仿宋" w:eastAsia="仿宋" w:hAnsi="仿宋"/>
          <w:b/>
          <w:color w:val="000000"/>
          <w:sz w:val="32"/>
          <w:szCs w:val="32"/>
        </w:rPr>
      </w:pPr>
      <w:bookmarkStart w:id="35" w:name="_Toc15377212"/>
      <w:r>
        <w:rPr>
          <w:rFonts w:ascii="仿宋" w:eastAsia="仿宋" w:hAnsi="仿宋" w:hint="eastAsia"/>
          <w:b/>
          <w:color w:val="000000"/>
          <w:sz w:val="32"/>
          <w:szCs w:val="32"/>
        </w:rPr>
        <w:t>（三）一般公共预算财政拨款支出决算具体情况</w:t>
      </w:r>
      <w:bookmarkEnd w:id="35"/>
    </w:p>
    <w:p>
      <w:pPr>
        <w:spacing w:line="600" w:lineRule="exact"/>
        <w:ind w:firstLineChars="200" w:firstLine="640"/>
        <w:outlineLvl w:val="2"/>
        <w:rPr>
          <w:rFonts w:ascii="仿宋" w:eastAsia="仿宋" w:hAnsi="仿宋"/>
          <w:color w:val="FF0000"/>
          <w:sz w:val="32"/>
          <w:szCs w:val="32"/>
        </w:rPr>
      </w:pPr>
      <w:bookmarkStart w:id="36" w:name="_Toc15377444"/>
      <w:bookmarkStart w:id="37" w:name="_Toc15378460"/>
      <w:bookmarkStart w:id="38" w:name="_Toc15377213"/>
      <w:r>
        <w:rPr>
          <w:rFonts w:ascii="仿宋" w:eastAsia="仿宋" w:hAnsi="仿宋" w:hint="eastAsia"/>
          <w:b/>
          <w:color w:val="000000"/>
          <w:sz w:val="32"/>
          <w:szCs w:val="32"/>
        </w:rPr>
        <w:t>2018年般公共预算支出决算数为1545.19</w:t>
      </w:r>
      <w:r>
        <w:rPr>
          <w:rFonts w:ascii="仿宋" w:eastAsia="仿宋" w:hAnsi="仿宋" w:hint="eastAsia"/>
          <w:color w:val="000000"/>
          <w:sz w:val="32"/>
          <w:szCs w:val="32"/>
        </w:rPr>
        <w:t>，</w:t>
      </w:r>
      <w:r>
        <w:rPr>
          <w:rStyle w:val="22"/>
          <w:rFonts w:ascii="仿宋" w:eastAsia="仿宋" w:hAnsi="仿宋" w:hint="eastAsia"/>
          <w:bCs/>
          <w:color w:val="000000"/>
          <w:sz w:val="32"/>
          <w:szCs w:val="32"/>
        </w:rPr>
        <w:t>完成预算89.22</w:t>
      </w:r>
      <w:r>
        <w:rPr>
          <w:rStyle w:val="22"/>
          <w:rFonts w:ascii="仿宋" w:eastAsia="仿宋" w:hAnsi="仿宋"/>
          <w:bCs/>
          <w:color w:val="000000"/>
          <w:sz w:val="32"/>
          <w:szCs w:val="32"/>
        </w:rPr>
        <w:t>%</w:t>
      </w:r>
      <w:r>
        <w:rPr>
          <w:rStyle w:val="22"/>
          <w:rFonts w:ascii="仿宋" w:eastAsia="仿宋" w:hAnsi="仿宋" w:hint="eastAsia"/>
          <w:bCs/>
          <w:color w:val="000000"/>
          <w:sz w:val="32"/>
          <w:szCs w:val="32"/>
        </w:rPr>
        <w:t>。其中：</w:t>
      </w:r>
      <w:bookmarkEnd w:id="36"/>
      <w:bookmarkEnd w:id="37"/>
      <w:bookmarkEnd w:id="38"/>
    </w:p>
    <w:p>
      <w:pPr>
        <w:spacing w:line="600" w:lineRule="exact"/>
        <w:ind w:firstLineChars="200" w:firstLine="640"/>
        <w:rPr>
          <w:rStyle w:val="22"/>
          <w:rFonts w:ascii="仿宋_GB2312" w:eastAsia="仿宋_GB2312" w:cs="仿宋_GB2312" w:hAnsi="仿宋_GB2312"/>
          <w:b w:val="0"/>
          <w:color w:val="000000"/>
          <w:sz w:val="32"/>
          <w:szCs w:val="32"/>
        </w:rPr>
      </w:pPr>
      <w:r>
        <w:rPr>
          <w:rStyle w:val="22"/>
          <w:rFonts w:ascii="仿宋_GB2312" w:eastAsia="仿宋_GB2312" w:hint="eastAsia"/>
          <w:color w:val="000000"/>
          <w:sz w:val="32"/>
          <w:szCs w:val="32"/>
        </w:rPr>
        <w:t>1.一般公共服务：2010108</w:t>
      </w:r>
      <w:r>
        <w:rPr>
          <w:rStyle w:val="22"/>
          <w:rFonts w:ascii="仿宋_GB2312" w:eastAsia="仿宋_GB2312" w:hint="eastAsia"/>
          <w:b w:val="0"/>
          <w:color w:val="000000"/>
          <w:sz w:val="32"/>
          <w:szCs w:val="32"/>
        </w:rPr>
        <w:t>人大代表工作支出决算为1.92万元，完成预算100%；</w:t>
      </w:r>
      <w:r>
        <w:rPr>
          <w:rStyle w:val="22"/>
          <w:rFonts w:ascii="仿宋_GB2312" w:eastAsia="仿宋_GB2312" w:hint="eastAsia"/>
          <w:bCs/>
          <w:color w:val="000000"/>
          <w:sz w:val="32"/>
          <w:szCs w:val="32"/>
        </w:rPr>
        <w:t>2010199</w:t>
      </w:r>
      <w:r>
        <w:rPr>
          <w:rStyle w:val="22"/>
          <w:rFonts w:ascii="仿宋_GB2312" w:eastAsia="仿宋_GB2312" w:hint="eastAsia"/>
          <w:b w:val="0"/>
          <w:color w:val="000000"/>
          <w:sz w:val="32"/>
          <w:szCs w:val="32"/>
        </w:rPr>
        <w:t>其他人大事务支出决算为2万元，完成预算100%；</w:t>
      </w:r>
      <w:r>
        <w:rPr>
          <w:rStyle w:val="22"/>
          <w:rFonts w:ascii="仿宋_GB2312" w:eastAsia="仿宋_GB2312" w:hint="eastAsia"/>
          <w:color w:val="000000"/>
          <w:sz w:val="32"/>
          <w:szCs w:val="32"/>
        </w:rPr>
        <w:t>2010301</w:t>
      </w:r>
      <w:r>
        <w:rPr>
          <w:rStyle w:val="22"/>
          <w:rFonts w:ascii="仿宋_GB2312" w:eastAsia="仿宋_GB2312" w:hint="eastAsia"/>
          <w:b w:val="0"/>
          <w:color w:val="000000"/>
          <w:sz w:val="32"/>
          <w:szCs w:val="32"/>
        </w:rPr>
        <w:t>政府办公室行政运行支出决算为330.09万元，完成预算96.58%，决算数小于预算数的主要原因是事业干部30%绩效未发放；</w:t>
      </w:r>
      <w:r>
        <w:rPr>
          <w:rStyle w:val="22"/>
          <w:rFonts w:ascii="仿宋_GB2312" w:eastAsia="仿宋_GB2312" w:hint="eastAsia"/>
          <w:bCs/>
          <w:color w:val="000000"/>
          <w:sz w:val="32"/>
          <w:szCs w:val="32"/>
        </w:rPr>
        <w:t>2010302</w:t>
      </w:r>
      <w:r>
        <w:rPr>
          <w:rStyle w:val="22"/>
          <w:rFonts w:ascii="仿宋_GB2312" w:eastAsia="仿宋_GB2312" w:hint="eastAsia"/>
          <w:b w:val="0"/>
          <w:color w:val="000000"/>
          <w:sz w:val="32"/>
          <w:szCs w:val="32"/>
        </w:rPr>
        <w:t>一般行政管理事务支出8.5万元，完成预算100%；</w:t>
      </w:r>
      <w:r>
        <w:rPr>
          <w:rStyle w:val="22"/>
          <w:rFonts w:ascii="仿宋_GB2312" w:eastAsia="仿宋_GB2312" w:hint="eastAsia"/>
          <w:color w:val="000000"/>
          <w:sz w:val="32"/>
          <w:szCs w:val="32"/>
        </w:rPr>
        <w:t>2010601</w:t>
      </w:r>
      <w:r>
        <w:rPr>
          <w:rStyle w:val="22"/>
          <w:rFonts w:ascii="仿宋_GB2312" w:eastAsia="仿宋_GB2312" w:hint="eastAsia"/>
          <w:b w:val="0"/>
          <w:color w:val="000000"/>
          <w:sz w:val="32"/>
          <w:szCs w:val="32"/>
        </w:rPr>
        <w:t>财政事务行政运行决算支出为15.65万元，完成预算100%；</w:t>
      </w:r>
      <w:r>
        <w:rPr>
          <w:rStyle w:val="22"/>
          <w:rFonts w:ascii="仿宋_GB2312" w:eastAsia="仿宋_GB2312" w:hint="eastAsia"/>
          <w:color w:val="000000"/>
          <w:sz w:val="32"/>
          <w:szCs w:val="32"/>
        </w:rPr>
        <w:t>2013101</w:t>
      </w:r>
      <w:r>
        <w:rPr>
          <w:rStyle w:val="22"/>
          <w:rFonts w:ascii="仿宋_GB2312" w:eastAsia="仿宋_GB2312" w:hint="eastAsia"/>
          <w:b w:val="0"/>
          <w:color w:val="000000"/>
          <w:sz w:val="32"/>
          <w:szCs w:val="32"/>
        </w:rPr>
        <w:t>党委办公室行动运行决算支出为46.4万元，完成预算100%；</w:t>
      </w:r>
      <w:r>
        <w:rPr>
          <w:rStyle w:val="22"/>
          <w:rFonts w:ascii="仿宋_GB2312" w:eastAsia="仿宋_GB2312" w:hint="eastAsia"/>
          <w:color w:val="000000"/>
          <w:sz w:val="32"/>
          <w:szCs w:val="32"/>
        </w:rPr>
        <w:t>2013105</w:t>
      </w:r>
      <w:r>
        <w:rPr>
          <w:rStyle w:val="22"/>
          <w:rFonts w:ascii="仿宋_GB2312" w:eastAsia="仿宋_GB2312" w:hint="eastAsia"/>
          <w:b w:val="0"/>
          <w:color w:val="000000"/>
          <w:sz w:val="32"/>
          <w:szCs w:val="32"/>
        </w:rPr>
        <w:t>党委办公室80岁老党员生活补助及远程教育决算支出为</w:t>
      </w:r>
      <w:r>
        <w:rPr>
          <w:rStyle w:val="22"/>
          <w:rFonts w:ascii="仿宋_GB2312" w:eastAsia="仿宋_GB2312" w:cs="仿宋_GB2312" w:hAnsi="仿宋_GB2312" w:hint="eastAsia"/>
          <w:b w:val="0"/>
          <w:color w:val="000000"/>
          <w:sz w:val="32"/>
          <w:szCs w:val="32"/>
        </w:rPr>
        <w:t>2.02万元，完成预算100%。</w:t>
      </w:r>
    </w:p>
    <w:p>
      <w:pPr>
        <w:spacing w:line="580" w:lineRule="exact"/>
        <w:ind w:firstLineChars="200" w:firstLine="640"/>
        <w:rPr>
          <w:rFonts w:ascii="仿宋_GB2312" w:eastAsia="仿宋_GB2312"/>
          <w:sz w:val="32"/>
          <w:szCs w:val="32"/>
        </w:rPr>
      </w:pPr>
      <w:r>
        <w:rPr>
          <w:rStyle w:val="22"/>
          <w:rFonts w:ascii="仿宋_GB2312" w:eastAsia="仿宋_GB2312" w:cs="仿宋_GB2312" w:hAnsi="仿宋_GB2312" w:hint="eastAsia"/>
          <w:bCs/>
          <w:color w:val="000000"/>
          <w:sz w:val="32"/>
          <w:szCs w:val="32"/>
        </w:rPr>
        <w:t>2.</w:t>
      </w:r>
      <w:r>
        <w:rPr>
          <w:rFonts w:ascii="仿宋_GB2312" w:eastAsia="仿宋_GB2312" w:hint="eastAsia"/>
          <w:b/>
          <w:bCs/>
          <w:sz w:val="32"/>
          <w:szCs w:val="32"/>
        </w:rPr>
        <w:t>文化体育与传媒:2070101</w:t>
      </w:r>
      <w:r>
        <w:rPr>
          <w:rFonts w:ascii="仿宋_GB2312" w:eastAsia="仿宋_GB2312" w:hint="eastAsia"/>
          <w:sz w:val="32"/>
          <w:szCs w:val="32"/>
        </w:rPr>
        <w:t>文化行政运行支出决算为17.55万元，完成预算100%；</w:t>
      </w:r>
      <w:r>
        <w:rPr>
          <w:rFonts w:ascii="仿宋_GB2312" w:eastAsia="仿宋_GB2312" w:hint="eastAsia"/>
          <w:b/>
          <w:bCs/>
          <w:sz w:val="32"/>
          <w:szCs w:val="32"/>
        </w:rPr>
        <w:t>2079999</w:t>
      </w:r>
      <w:r>
        <w:rPr>
          <w:rFonts w:ascii="仿宋_GB2312" w:eastAsia="仿宋_GB2312" w:hint="eastAsia"/>
          <w:sz w:val="32"/>
          <w:szCs w:val="32"/>
        </w:rPr>
        <w:t>其他文化体育与传媒支出决算为5万元，完成预算100%。</w:t>
      </w:r>
    </w:p>
    <w:p>
      <w:pPr>
        <w:spacing w:line="580" w:lineRule="exact"/>
        <w:ind w:firstLineChars="200" w:firstLine="640"/>
        <w:rPr>
          <w:rFonts w:ascii="仿宋_GB2312" w:eastAsia="仿宋_GB2312"/>
          <w:sz w:val="32"/>
          <w:szCs w:val="32"/>
        </w:rPr>
      </w:pPr>
      <w:r>
        <w:rPr>
          <w:rFonts w:ascii="仿宋_GB2312" w:eastAsia="仿宋_GB2312" w:hint="eastAsia"/>
          <w:b/>
          <w:bCs/>
          <w:sz w:val="32"/>
          <w:szCs w:val="32"/>
        </w:rPr>
        <w:t>3.社会保障和就业：2080505</w:t>
      </w:r>
      <w:r>
        <w:rPr>
          <w:rFonts w:ascii="仿宋_GB2312" w:eastAsia="仿宋_GB2312" w:hint="eastAsia"/>
          <w:sz w:val="32"/>
          <w:szCs w:val="32"/>
        </w:rPr>
        <w:t>机关事业单位基本养老保险决算支出为42.76万元，完成预算100%；</w:t>
      </w:r>
      <w:r>
        <w:rPr>
          <w:rFonts w:ascii="仿宋_GB2312" w:eastAsia="仿宋_GB2312" w:hint="eastAsia"/>
          <w:b/>
          <w:bCs/>
          <w:sz w:val="32"/>
          <w:szCs w:val="32"/>
        </w:rPr>
        <w:t>2080506</w:t>
      </w:r>
      <w:r>
        <w:rPr>
          <w:rFonts w:ascii="仿宋_GB2312" w:eastAsia="仿宋_GB2312" w:hint="eastAsia"/>
          <w:sz w:val="32"/>
          <w:szCs w:val="32"/>
        </w:rPr>
        <w:t>机关事业单位职业年金缴费支出3.03万元，完成预算100%；</w:t>
      </w:r>
      <w:r>
        <w:rPr>
          <w:rFonts w:ascii="仿宋_GB2312" w:eastAsia="仿宋_GB2312" w:hint="eastAsia"/>
          <w:b/>
          <w:bCs/>
          <w:sz w:val="32"/>
          <w:szCs w:val="32"/>
        </w:rPr>
        <w:t>2080801</w:t>
      </w:r>
      <w:r>
        <w:rPr>
          <w:rFonts w:ascii="仿宋_GB2312" w:eastAsia="仿宋_GB2312" w:hint="eastAsia"/>
          <w:sz w:val="32"/>
          <w:szCs w:val="32"/>
        </w:rPr>
        <w:t>死亡抚恤决算支出为14.46万元，完成预算100%；</w:t>
      </w:r>
      <w:r>
        <w:rPr>
          <w:rFonts w:ascii="仿宋_GB2312" w:eastAsia="仿宋_GB2312" w:hint="eastAsia"/>
          <w:b/>
          <w:bCs/>
          <w:sz w:val="32"/>
          <w:szCs w:val="32"/>
        </w:rPr>
        <w:t>2080805</w:t>
      </w:r>
      <w:r>
        <w:rPr>
          <w:rFonts w:ascii="仿宋_GB2312" w:eastAsia="仿宋_GB2312" w:hint="eastAsia"/>
          <w:sz w:val="32"/>
          <w:szCs w:val="32"/>
        </w:rPr>
        <w:t>义务兵优待决算支出为10.05万元，完成预算100%;</w:t>
      </w:r>
      <w:r>
        <w:rPr>
          <w:rFonts w:ascii="仿宋_GB2312" w:eastAsia="仿宋_GB2312" w:hint="eastAsia"/>
          <w:b/>
          <w:bCs/>
          <w:sz w:val="32"/>
          <w:szCs w:val="32"/>
        </w:rPr>
        <w:t>2081501</w:t>
      </w:r>
      <w:r>
        <w:rPr>
          <w:rFonts w:ascii="仿宋_GB2312" w:eastAsia="仿宋_GB2312" w:hint="eastAsia"/>
          <w:sz w:val="32"/>
          <w:szCs w:val="32"/>
        </w:rPr>
        <w:t>中央自然灾害生活补助支出为0万元，完成预算0%，</w:t>
      </w:r>
      <w:r>
        <w:rPr>
          <w:rStyle w:val="22"/>
          <w:rFonts w:ascii="仿宋_GB2312" w:eastAsia="仿宋_GB2312" w:hint="eastAsia"/>
          <w:b w:val="0"/>
          <w:color w:val="000000"/>
          <w:sz w:val="32"/>
          <w:szCs w:val="32"/>
        </w:rPr>
        <w:t>决算数小于预算数的主要原因是年底追加资金</w:t>
      </w:r>
      <w:r>
        <w:rPr>
          <w:rFonts w:ascii="仿宋_GB2312" w:eastAsia="仿宋_GB2312" w:hint="eastAsia"/>
          <w:sz w:val="32"/>
          <w:szCs w:val="32"/>
        </w:rPr>
        <w:t>；</w:t>
      </w:r>
      <w:r>
        <w:rPr>
          <w:rFonts w:ascii="仿宋_GB2312" w:eastAsia="仿宋_GB2312" w:hint="eastAsia"/>
          <w:b/>
          <w:bCs/>
          <w:sz w:val="32"/>
          <w:szCs w:val="32"/>
        </w:rPr>
        <w:t>2081502</w:t>
      </w:r>
      <w:r>
        <w:rPr>
          <w:rFonts w:ascii="仿宋_GB2312" w:eastAsia="仿宋_GB2312" w:hint="eastAsia"/>
          <w:sz w:val="32"/>
          <w:szCs w:val="32"/>
        </w:rPr>
        <w:t>地方自然灾害生活补助支出为55万元，完成预算100%；</w:t>
      </w:r>
      <w:r>
        <w:rPr>
          <w:rFonts w:ascii="仿宋_GB2312" w:eastAsia="仿宋_GB2312" w:hint="eastAsia"/>
          <w:b/>
          <w:bCs/>
          <w:sz w:val="32"/>
          <w:szCs w:val="32"/>
        </w:rPr>
        <w:t>2081503</w:t>
      </w:r>
      <w:r>
        <w:rPr>
          <w:rFonts w:ascii="仿宋_GB2312" w:eastAsia="仿宋_GB2312" w:hint="eastAsia"/>
          <w:sz w:val="32"/>
          <w:szCs w:val="32"/>
        </w:rPr>
        <w:t>自然灾害灾后重建补助支出为0万元，完成预算0%，</w:t>
      </w:r>
      <w:r>
        <w:rPr>
          <w:rStyle w:val="22"/>
          <w:rFonts w:ascii="仿宋_GB2312" w:eastAsia="仿宋_GB2312" w:hint="eastAsia"/>
          <w:b w:val="0"/>
          <w:color w:val="000000"/>
          <w:sz w:val="32"/>
          <w:szCs w:val="32"/>
        </w:rPr>
        <w:t>决算数小于预算数的主要原因是项目未完工验收</w:t>
      </w:r>
      <w:r>
        <w:rPr>
          <w:rFonts w:ascii="仿宋_GB2312" w:eastAsia="仿宋_GB2312" w:hint="eastAsia"/>
          <w:sz w:val="32"/>
          <w:szCs w:val="32"/>
        </w:rPr>
        <w:t>。</w:t>
      </w:r>
    </w:p>
    <w:p>
      <w:pPr>
        <w:spacing w:line="580" w:lineRule="exact"/>
        <w:ind w:firstLineChars="200" w:firstLine="640"/>
        <w:rPr>
          <w:rFonts w:ascii="仿宋_GB2312" w:eastAsia="仿宋_GB2312"/>
          <w:sz w:val="32"/>
          <w:szCs w:val="32"/>
        </w:rPr>
      </w:pPr>
      <w:r>
        <w:rPr>
          <w:rFonts w:ascii="仿宋_GB2312" w:eastAsia="仿宋_GB2312" w:hint="eastAsia"/>
          <w:b/>
          <w:bCs/>
          <w:sz w:val="32"/>
          <w:szCs w:val="32"/>
        </w:rPr>
        <w:t>4.医疗卫生与计划生育：2100716</w:t>
      </w:r>
      <w:r>
        <w:rPr>
          <w:rFonts w:ascii="仿宋_GB2312" w:eastAsia="仿宋_GB2312" w:hint="eastAsia"/>
          <w:sz w:val="32"/>
          <w:szCs w:val="32"/>
        </w:rPr>
        <w:t>计划生育机构行政运行决算支出为18.2万元，完成预算100%；</w:t>
      </w:r>
      <w:r>
        <w:rPr>
          <w:rFonts w:ascii="仿宋_GB2312" w:eastAsia="仿宋_GB2312" w:hint="eastAsia"/>
          <w:b/>
          <w:bCs/>
          <w:sz w:val="32"/>
          <w:szCs w:val="32"/>
        </w:rPr>
        <w:t>2100717</w:t>
      </w:r>
      <w:r>
        <w:rPr>
          <w:rFonts w:ascii="仿宋_GB2312" w:eastAsia="仿宋_GB2312" w:hint="eastAsia"/>
          <w:sz w:val="32"/>
          <w:szCs w:val="32"/>
        </w:rPr>
        <w:t>计划生育服务支出为2.79万元，完成预算100%；</w:t>
      </w:r>
      <w:r>
        <w:rPr>
          <w:rFonts w:ascii="仿宋_GB2312" w:eastAsia="仿宋_GB2312" w:hint="eastAsia"/>
          <w:b/>
          <w:bCs/>
          <w:sz w:val="32"/>
          <w:szCs w:val="32"/>
        </w:rPr>
        <w:t>2101101</w:t>
      </w:r>
      <w:r>
        <w:rPr>
          <w:rFonts w:ascii="仿宋_GB2312" w:eastAsia="仿宋_GB2312" w:hint="eastAsia"/>
          <w:sz w:val="32"/>
          <w:szCs w:val="32"/>
        </w:rPr>
        <w:t>行政单位医疗决算支出为19.13万元，完成预算100%。</w:t>
      </w:r>
    </w:p>
    <w:p>
      <w:pPr>
        <w:spacing w:line="580" w:lineRule="exact"/>
        <w:ind w:firstLineChars="200" w:firstLine="640"/>
        <w:rPr>
          <w:rFonts w:ascii="仿宋_GB2312" w:eastAsia="仿宋_GB2312"/>
          <w:sz w:val="32"/>
          <w:szCs w:val="32"/>
        </w:rPr>
      </w:pPr>
      <w:r>
        <w:rPr>
          <w:rFonts w:ascii="仿宋_GB2312" w:eastAsia="仿宋_GB2312" w:hint="eastAsia"/>
          <w:b/>
          <w:sz w:val="32"/>
          <w:szCs w:val="32"/>
        </w:rPr>
        <w:t>5.城乡社区：2120101</w:t>
      </w:r>
      <w:r>
        <w:rPr>
          <w:rFonts w:ascii="仿宋_GB2312" w:eastAsia="仿宋_GB2312" w:hint="eastAsia"/>
          <w:sz w:val="32"/>
          <w:szCs w:val="32"/>
        </w:rPr>
        <w:t>城乡社区管理事务行政运行决算支出为5.22万元，完成预算100%；</w:t>
      </w:r>
      <w:r>
        <w:rPr>
          <w:rFonts w:ascii="仿宋_GB2312" w:eastAsia="仿宋_GB2312" w:hint="eastAsia"/>
          <w:b/>
          <w:sz w:val="32"/>
          <w:szCs w:val="32"/>
        </w:rPr>
        <w:t>2120102</w:t>
      </w:r>
      <w:r>
        <w:rPr>
          <w:rFonts w:ascii="仿宋_GB2312" w:eastAsia="仿宋_GB2312" w:hint="eastAsia"/>
          <w:sz w:val="32"/>
          <w:szCs w:val="32"/>
        </w:rPr>
        <w:t>城镇路灯、船只运行维护决算支出为35万元，完成预算100%；</w:t>
      </w:r>
      <w:r>
        <w:rPr>
          <w:rFonts w:ascii="仿宋_GB2312" w:eastAsia="仿宋_GB2312" w:hint="eastAsia"/>
          <w:b/>
          <w:sz w:val="32"/>
          <w:szCs w:val="32"/>
        </w:rPr>
        <w:t>2120303</w:t>
      </w:r>
      <w:r>
        <w:rPr>
          <w:rFonts w:ascii="仿宋_GB2312" w:eastAsia="仿宋_GB2312" w:hint="eastAsia"/>
          <w:sz w:val="32"/>
          <w:szCs w:val="32"/>
        </w:rPr>
        <w:t>基础设施建设决算支出为80万元，完成预算57.14%，</w:t>
      </w:r>
      <w:r>
        <w:rPr>
          <w:rStyle w:val="22"/>
          <w:rFonts w:ascii="仿宋_GB2312" w:eastAsia="仿宋_GB2312" w:hint="eastAsia"/>
          <w:b w:val="0"/>
          <w:color w:val="000000"/>
          <w:sz w:val="32"/>
          <w:szCs w:val="32"/>
        </w:rPr>
        <w:t>决算数小于预算数的主要原因是项目未完工验收</w:t>
      </w:r>
      <w:r>
        <w:rPr>
          <w:rFonts w:ascii="仿宋_GB2312" w:eastAsia="仿宋_GB2312" w:hint="eastAsia"/>
          <w:sz w:val="32"/>
          <w:szCs w:val="32"/>
        </w:rPr>
        <w:t>。</w:t>
      </w:r>
    </w:p>
    <w:p>
      <w:pPr>
        <w:spacing w:line="580" w:lineRule="exact"/>
        <w:ind w:firstLineChars="200" w:firstLine="640"/>
        <w:rPr>
          <w:rFonts w:ascii="仿宋_GB2312" w:eastAsia="仿宋_GB2312"/>
          <w:sz w:val="32"/>
          <w:szCs w:val="32"/>
        </w:rPr>
      </w:pPr>
      <w:r>
        <w:rPr>
          <w:rFonts w:ascii="仿宋_GB2312" w:eastAsia="仿宋_GB2312" w:hint="eastAsia"/>
          <w:b/>
          <w:sz w:val="32"/>
          <w:szCs w:val="32"/>
        </w:rPr>
        <w:t>6.农林水：2130101</w:t>
      </w:r>
      <w:r>
        <w:rPr>
          <w:rFonts w:ascii="仿宋_GB2312" w:eastAsia="仿宋_GB2312" w:hint="eastAsia"/>
          <w:sz w:val="32"/>
          <w:szCs w:val="32"/>
        </w:rPr>
        <w:t>农业行政运行决算支出为12.44万元，完成预算100%；</w:t>
      </w:r>
      <w:r>
        <w:rPr>
          <w:rFonts w:ascii="仿宋_GB2312" w:eastAsia="仿宋_GB2312" w:hint="eastAsia"/>
          <w:b/>
          <w:bCs/>
          <w:sz w:val="32"/>
          <w:szCs w:val="32"/>
        </w:rPr>
        <w:t>2130135</w:t>
      </w:r>
      <w:r>
        <w:rPr>
          <w:rFonts w:ascii="仿宋_GB2312" w:eastAsia="仿宋_GB2312" w:hint="eastAsia"/>
          <w:sz w:val="32"/>
          <w:szCs w:val="32"/>
        </w:rPr>
        <w:t>农业资源保护修复与利用支出为10.54万元，完成预算100%；</w:t>
      </w:r>
      <w:r>
        <w:rPr>
          <w:rFonts w:ascii="仿宋_GB2312" w:eastAsia="仿宋_GB2312" w:hint="eastAsia"/>
          <w:b/>
          <w:sz w:val="32"/>
          <w:szCs w:val="32"/>
        </w:rPr>
        <w:t>2130199</w:t>
      </w:r>
      <w:r>
        <w:rPr>
          <w:rFonts w:ascii="仿宋_GB2312" w:eastAsia="仿宋_GB2312" w:hint="eastAsia"/>
          <w:sz w:val="32"/>
          <w:szCs w:val="32"/>
        </w:rPr>
        <w:t>其他农业支出支出为0万元，完成预算0%，</w:t>
      </w:r>
      <w:r>
        <w:rPr>
          <w:rStyle w:val="22"/>
          <w:rFonts w:ascii="仿宋_GB2312" w:eastAsia="仿宋_GB2312" w:hint="eastAsia"/>
          <w:b w:val="0"/>
          <w:color w:val="000000"/>
          <w:sz w:val="32"/>
          <w:szCs w:val="32"/>
        </w:rPr>
        <w:t>决算数小于预算数的主要原因是项目未完工验收</w:t>
      </w:r>
      <w:r>
        <w:rPr>
          <w:rFonts w:ascii="仿宋_GB2312" w:eastAsia="仿宋_GB2312" w:hint="eastAsia"/>
          <w:sz w:val="32"/>
          <w:szCs w:val="32"/>
        </w:rPr>
        <w:t>；</w:t>
      </w:r>
      <w:r>
        <w:rPr>
          <w:rFonts w:ascii="仿宋_GB2312" w:eastAsia="仿宋_GB2312" w:hint="eastAsia"/>
          <w:b/>
          <w:sz w:val="32"/>
          <w:szCs w:val="32"/>
        </w:rPr>
        <w:t>2130234</w:t>
      </w:r>
      <w:r>
        <w:rPr>
          <w:rFonts w:ascii="仿宋_GB2312" w:eastAsia="仿宋_GB2312" w:hint="eastAsia"/>
          <w:sz w:val="32"/>
          <w:szCs w:val="32"/>
        </w:rPr>
        <w:t>林业防灾决算支出为2万元，完成预算100%；</w:t>
      </w:r>
      <w:r>
        <w:rPr>
          <w:rFonts w:ascii="仿宋_GB2312" w:eastAsia="仿宋_GB2312" w:hint="eastAsia"/>
          <w:b/>
          <w:sz w:val="32"/>
          <w:szCs w:val="32"/>
        </w:rPr>
        <w:t>2130301</w:t>
      </w:r>
      <w:r>
        <w:rPr>
          <w:rFonts w:ascii="仿宋_GB2312" w:eastAsia="仿宋_GB2312" w:hint="eastAsia"/>
          <w:sz w:val="32"/>
          <w:szCs w:val="32"/>
        </w:rPr>
        <w:t>水利行政运行决算支出为6.88万元，完成预算100%；</w:t>
      </w:r>
      <w:r>
        <w:rPr>
          <w:rFonts w:ascii="仿宋_GB2312" w:eastAsia="仿宋_GB2312" w:hint="eastAsia"/>
          <w:b/>
          <w:sz w:val="32"/>
          <w:szCs w:val="32"/>
        </w:rPr>
        <w:t>2130505</w:t>
      </w:r>
      <w:r>
        <w:rPr>
          <w:rFonts w:ascii="仿宋_GB2312" w:eastAsia="仿宋_GB2312" w:hint="eastAsia"/>
          <w:sz w:val="32"/>
          <w:szCs w:val="32"/>
        </w:rPr>
        <w:t>生产发展支出为11.4万元，完成预算100%；</w:t>
      </w:r>
      <w:r>
        <w:rPr>
          <w:rFonts w:ascii="仿宋_GB2312" w:eastAsia="仿宋_GB2312" w:hint="eastAsia"/>
          <w:b/>
          <w:sz w:val="32"/>
          <w:szCs w:val="32"/>
        </w:rPr>
        <w:t>2130599</w:t>
      </w:r>
      <w:r>
        <w:rPr>
          <w:rFonts w:ascii="仿宋_GB2312" w:eastAsia="仿宋_GB2312" w:hint="eastAsia"/>
          <w:sz w:val="32"/>
          <w:szCs w:val="32"/>
        </w:rPr>
        <w:t>贫困村工作经费及</w:t>
      </w:r>
      <w:r>
        <w:rPr>
          <w:rStyle w:val="22"/>
          <w:rFonts w:ascii="仿宋_GB2312" w:eastAsia="仿宋_GB2312" w:hint="eastAsia"/>
          <w:b w:val="0"/>
          <w:color w:val="000000"/>
          <w:sz w:val="32"/>
          <w:szCs w:val="32"/>
        </w:rPr>
        <w:t>两新组织指导员补助</w:t>
      </w:r>
      <w:r>
        <w:rPr>
          <w:rFonts w:ascii="仿宋_GB2312" w:eastAsia="仿宋_GB2312" w:hint="eastAsia"/>
          <w:sz w:val="32"/>
          <w:szCs w:val="32"/>
        </w:rPr>
        <w:t>决算支出为9.45万元，完成预算100%</w:t>
      </w:r>
      <w:r>
        <w:rPr>
          <w:rStyle w:val="22"/>
          <w:rFonts w:ascii="仿宋_GB2312" w:eastAsia="仿宋_GB2312" w:hint="eastAsia"/>
          <w:b w:val="0"/>
          <w:color w:val="000000"/>
          <w:sz w:val="32"/>
          <w:szCs w:val="32"/>
        </w:rPr>
        <w:t>；</w:t>
      </w:r>
      <w:r>
        <w:rPr>
          <w:rStyle w:val="22"/>
          <w:rFonts w:ascii="仿宋_GB2312" w:eastAsia="仿宋_GB2312" w:hint="eastAsia"/>
          <w:bCs/>
          <w:color w:val="000000"/>
          <w:sz w:val="32"/>
          <w:szCs w:val="32"/>
        </w:rPr>
        <w:t>2130701</w:t>
      </w:r>
      <w:r>
        <w:rPr>
          <w:rStyle w:val="22"/>
          <w:rFonts w:ascii="仿宋_GB2312" w:eastAsia="仿宋_GB2312" w:hint="eastAsia"/>
          <w:b w:val="0"/>
          <w:color w:val="000000"/>
          <w:sz w:val="32"/>
          <w:szCs w:val="32"/>
        </w:rPr>
        <w:t>对村级一事一议的补助支出为50万元，完成预算100%；</w:t>
      </w:r>
      <w:r>
        <w:rPr>
          <w:rStyle w:val="22"/>
          <w:rFonts w:ascii="仿宋_GB2312" w:eastAsia="仿宋_GB2312" w:hint="eastAsia"/>
          <w:color w:val="000000"/>
          <w:sz w:val="32"/>
          <w:szCs w:val="32"/>
        </w:rPr>
        <w:t>2130705</w:t>
      </w:r>
      <w:r>
        <w:rPr>
          <w:rStyle w:val="22"/>
          <w:rFonts w:ascii="仿宋_GB2312" w:eastAsia="仿宋_GB2312" w:hint="eastAsia"/>
          <w:b w:val="0"/>
          <w:color w:val="000000"/>
          <w:sz w:val="32"/>
          <w:szCs w:val="32"/>
        </w:rPr>
        <w:t>村、组干部生活补贴、村级办公经费及公共运行维护决算支出为370.32万元，完成预算100%；</w:t>
      </w:r>
      <w:r>
        <w:rPr>
          <w:rStyle w:val="22"/>
          <w:rFonts w:ascii="仿宋_GB2312" w:eastAsia="仿宋_GB2312" w:hint="eastAsia"/>
          <w:bCs/>
          <w:color w:val="000000"/>
          <w:sz w:val="32"/>
          <w:szCs w:val="32"/>
        </w:rPr>
        <w:t>2130799</w:t>
      </w:r>
      <w:r>
        <w:rPr>
          <w:rStyle w:val="22"/>
          <w:rFonts w:ascii="仿宋_GB2312" w:eastAsia="仿宋_GB2312" w:hint="eastAsia"/>
          <w:b w:val="0"/>
          <w:color w:val="000000"/>
          <w:sz w:val="32"/>
          <w:szCs w:val="32"/>
        </w:rPr>
        <w:t>其他农村综合改革支出为309万元，完成预算91.15%，决算数小于预算数的主要原因是项目未完工验收</w:t>
      </w:r>
      <w:r>
        <w:rPr>
          <w:rFonts w:ascii="仿宋_GB2312" w:eastAsia="仿宋_GB2312" w:hint="eastAsia"/>
          <w:sz w:val="32"/>
          <w:szCs w:val="32"/>
        </w:rPr>
        <w:t>。</w:t>
      </w:r>
    </w:p>
    <w:p>
      <w:pPr>
        <w:spacing w:line="580" w:lineRule="exact"/>
        <w:ind w:firstLineChars="200" w:firstLine="640"/>
        <w:rPr>
          <w:rFonts w:ascii="仿宋_GB2312" w:eastAsia="仿宋_GB2312"/>
          <w:bCs/>
          <w:sz w:val="32"/>
          <w:szCs w:val="32"/>
        </w:rPr>
      </w:pPr>
      <w:r>
        <w:rPr>
          <w:rFonts w:ascii="仿宋_GB2312" w:eastAsia="仿宋_GB2312" w:hint="eastAsia"/>
          <w:b/>
          <w:sz w:val="32"/>
          <w:szCs w:val="32"/>
        </w:rPr>
        <w:t>7.交通运输：2140129</w:t>
      </w:r>
      <w:r>
        <w:rPr>
          <w:rFonts w:ascii="仿宋_GB2312" w:eastAsia="仿宋_GB2312" w:hint="eastAsia"/>
          <w:bCs/>
          <w:sz w:val="32"/>
          <w:szCs w:val="32"/>
        </w:rPr>
        <w:t>内河运输支出为10万元，完成预算100%。</w:t>
      </w:r>
    </w:p>
    <w:p>
      <w:pPr>
        <w:spacing w:line="600" w:lineRule="exact"/>
        <w:ind w:firstLineChars="200" w:firstLine="640"/>
        <w:rPr>
          <w:rFonts w:ascii="仿宋" w:eastAsia="仿宋" w:hAnsi="仿宋"/>
          <w:color w:val="000000"/>
          <w:sz w:val="32"/>
          <w:szCs w:val="32"/>
        </w:rPr>
      </w:pPr>
      <w:r>
        <w:rPr>
          <w:rFonts w:ascii="仿宋_GB2312" w:eastAsia="仿宋_GB2312" w:hint="eastAsia"/>
          <w:b/>
          <w:bCs/>
          <w:sz w:val="32"/>
          <w:szCs w:val="32"/>
        </w:rPr>
        <w:t>8.住房保障：2210201</w:t>
      </w:r>
      <w:r>
        <w:rPr>
          <w:rFonts w:ascii="仿宋_GB2312" w:eastAsia="仿宋_GB2312" w:hint="eastAsia"/>
          <w:sz w:val="32"/>
          <w:szCs w:val="32"/>
        </w:rPr>
        <w:t>住房公积金决算支出为38.4万元，</w:t>
      </w:r>
      <w:r>
        <w:rPr>
          <w:rStyle w:val="22"/>
          <w:rFonts w:ascii="仿宋_GB2312" w:eastAsia="仿宋_GB2312" w:hint="eastAsia"/>
          <w:b w:val="0"/>
          <w:color w:val="000000"/>
          <w:sz w:val="32"/>
          <w:szCs w:val="32"/>
        </w:rPr>
        <w:t>完成预算100%。</w:t>
      </w:r>
    </w:p>
    <w:p>
      <w:pPr>
        <w:tabs>
          <w:tab w:val="right" w:pos="8306"/>
        </w:tabs>
        <w:spacing w:line="600" w:lineRule="exact"/>
        <w:ind w:firstLine="640"/>
        <w:outlineLvl w:val="1"/>
        <w:rPr>
          <w:rStyle w:val="2Char"/>
        </w:rPr>
      </w:pPr>
      <w:bookmarkStart w:id="39" w:name="_Toc15396608"/>
      <w:bookmarkStart w:id="40"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9"/>
      <w:bookmarkEnd w:id="40"/>
      <w:r>
        <w:rPr>
          <w:rStyle w:val="2Char"/>
          <w:rFonts w:ascii="黑体" w:eastAsia="黑体" w:hAnsi="黑体"/>
          <w:b w:val="0"/>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8年一般公共预算财政拨款基本支出940.51万元，其中：</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745.82万元，主要包括：基本工资、津贴补贴、奖金、绩效工资、机关事业单位基本养老保险缴费、职业年金缴费、职工基本医疗保险缴费、抚恤金、生活补助、医疗费、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公用经费194.69万元，主要包括：办公费、印刷费、咨询费、手续费、水费、电费、邮电费、差旅费、维修（护）费、租赁费、会议费、培训费、公务接待费、劳务费、委托业务费、工会经费、福利费、公务用车运行维护费、其他交通费、其他商品和服务支出、办公设备购置、专用设备购置、其他资本性支出等。</w:t>
      </w:r>
    </w:p>
    <w:p>
      <w:pPr>
        <w:spacing w:line="600" w:lineRule="exact"/>
        <w:ind w:firstLine="640"/>
        <w:outlineLvl w:val="1"/>
        <w:rPr>
          <w:rStyle w:val="2Char"/>
          <w:rFonts w:ascii="黑体" w:eastAsia="黑体" w:hAnsi="黑体"/>
          <w:b w:val="0"/>
        </w:rPr>
      </w:pPr>
      <w:bookmarkStart w:id="41" w:name="_Toc15377215"/>
      <w:bookmarkStart w:id="42"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1"/>
      <w:bookmarkEnd w:id="42"/>
    </w:p>
    <w:p>
      <w:pPr>
        <w:spacing w:line="600" w:lineRule="exact"/>
        <w:ind w:firstLine="640"/>
        <w:outlineLvl w:val="2"/>
        <w:rPr>
          <w:rFonts w:ascii="仿宋" w:eastAsia="仿宋" w:hAnsi="仿宋"/>
          <w:b/>
          <w:color w:val="000000"/>
          <w:sz w:val="32"/>
          <w:szCs w:val="32"/>
        </w:rPr>
      </w:pPr>
      <w:bookmarkStart w:id="43" w:name="_Toc15377216"/>
      <w:r>
        <w:rPr>
          <w:rFonts w:ascii="仿宋" w:eastAsia="仿宋" w:hAnsi="仿宋" w:hint="eastAsia"/>
          <w:b/>
          <w:color w:val="000000"/>
          <w:sz w:val="32"/>
          <w:szCs w:val="32"/>
        </w:rPr>
        <w:t>（一）“三公”经费财政拨款支出决算总体情况说明</w:t>
      </w:r>
      <w:bookmarkEnd w:id="43"/>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8年“三公”经费财政拨款支出决算为11.97万元，完成预算108.8</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640"/>
        <w:outlineLvl w:val="2"/>
        <w:rPr>
          <w:rFonts w:ascii="仿宋" w:eastAsia="仿宋" w:hAnsi="仿宋"/>
          <w:b/>
          <w:color w:val="000000"/>
          <w:sz w:val="32"/>
          <w:szCs w:val="32"/>
        </w:rPr>
      </w:pPr>
      <w:bookmarkStart w:id="44" w:name="_Toc15377217"/>
      <w:r>
        <w:rPr>
          <w:rFonts w:ascii="仿宋" w:eastAsia="仿宋" w:hAnsi="仿宋" w:hint="eastAsia"/>
          <w:b/>
          <w:color w:val="000000"/>
          <w:sz w:val="32"/>
          <w:szCs w:val="32"/>
        </w:rPr>
        <w:t>（二）“三公”经费财政拨款支出决算具体情况说明</w:t>
      </w:r>
      <w:bookmarkEnd w:id="44"/>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；公务用车购置及运行维护费支出决算7.09万元，占59.23</w:t>
      </w:r>
      <w:r>
        <w:rPr>
          <w:rFonts w:ascii="仿宋" w:eastAsia="仿宋" w:hAnsi="仿宋"/>
          <w:color w:val="000000"/>
          <w:sz w:val="32"/>
          <w:szCs w:val="32"/>
        </w:rPr>
        <w:t>%</w:t>
      </w:r>
      <w:r>
        <w:rPr>
          <w:rFonts w:ascii="仿宋" w:eastAsia="仿宋" w:hAnsi="仿宋" w:hint="eastAsia"/>
          <w:color w:val="000000"/>
          <w:sz w:val="32"/>
          <w:szCs w:val="32"/>
        </w:rPr>
        <w:t>；公务接待费支出决算4.88万元，占40.77</w:t>
      </w:r>
      <w:r>
        <w:rPr>
          <w:rFonts w:ascii="仿宋" w:eastAsia="仿宋" w:hAnsi="仿宋"/>
          <w:color w:val="000000"/>
          <w:sz w:val="32"/>
          <w:szCs w:val="32"/>
        </w:rPr>
        <w:t>%</w:t>
      </w:r>
      <w:r>
        <w:rPr>
          <w:rFonts w:ascii="仿宋" w:eastAsia="仿宋" w:hAnsi="仿宋" w:hint="eastAsia"/>
          <w:color w:val="000000"/>
          <w:sz w:val="32"/>
          <w:szCs w:val="32"/>
        </w:rPr>
        <w:t>。具体情况如下：</w:t>
      </w:r>
    </w:p>
    <w:p>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drawing>
          <wp:anchor distT="0" distB="0" distL="114300" distR="114300" simplePos="0" relativeHeight="30" behindDoc="0" locked="0" layoutInCell="1" hidden="0" allowOverlap="1">
            <wp:simplePos x="0" y="0"/>
            <wp:positionH relativeFrom="column">
              <wp:posOffset>401320</wp:posOffset>
            </wp:positionH>
            <wp:positionV relativeFrom="paragraph">
              <wp:posOffset>61594</wp:posOffset>
            </wp:positionV>
            <wp:extent cx="5079999" cy="2600325"/>
            <wp:effectExtent l="0" t="0" r="0" b="0"/>
            <wp:wrapTopAndBottom/>
            <wp:docPr id="7" name="图表 3"/>
            <wp:cNvGraphicFramePr>
              <a:graphicFrameLocks noChangeAspect="0"/>
            </wp:cNvGraphicFramePr>
            <a:graphic>
              <a:graphicData uri="http://schemas.openxmlformats.org/drawingml/2006/chart">
                <c:chart xmlns:c="http://schemas.openxmlformats.org/drawingml/2006/chart" r:id="rId10"/>
              </a:graphicData>
            </a:graphic>
          </wp:anchor>
        </w:drawing>
      </w:r>
      <w:r>
        <w:rPr>
          <w:rFonts w:ascii="仿宋" w:eastAsia="仿宋" w:hAnsi="仿宋" w:hint="eastAsia"/>
          <w:color w:val="000000"/>
          <w:sz w:val="32"/>
          <w:szCs w:val="32"/>
        </w:rPr>
        <w:t>（图8：“三公”经费财政拨款支出结构）（饼状图）</w:t>
      </w:r>
    </w:p>
    <w:p>
      <w:pPr>
        <w:spacing w:line="600" w:lineRule="exact"/>
        <w:ind w:firstLine="640"/>
        <w:rPr>
          <w:rFonts w:ascii="仿宋_GB2312" w:eastAsia="仿宋" w:hAnsi="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22"/>
          <w:rFonts w:ascii="仿宋" w:eastAsia="仿宋" w:hAnsi="仿宋" w:hint="eastAsia"/>
          <w:b w:val="0"/>
          <w:bCs/>
          <w:color w:val="000000"/>
          <w:sz w:val="32"/>
          <w:szCs w:val="32"/>
        </w:rPr>
        <w:t>完成预算0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0</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7.09万元,</w:t>
      </w:r>
      <w:r>
        <w:rPr>
          <w:rStyle w:val="22"/>
          <w:rFonts w:ascii="仿宋" w:eastAsia="仿宋" w:hAnsi="仿宋" w:hint="eastAsia"/>
          <w:b w:val="0"/>
          <w:bCs/>
          <w:color w:val="000000"/>
          <w:sz w:val="32"/>
          <w:szCs w:val="32"/>
        </w:rPr>
        <w:t>完成预算118.16</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7年持平。</w:t>
      </w:r>
    </w:p>
    <w:p>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7.09万元。主要用于</w:t>
      </w:r>
      <w:r>
        <w:rPr>
          <w:rFonts w:ascii="仿宋_GB2312" w:eastAsia="仿宋_GB2312" w:hint="eastAsia"/>
          <w:sz w:val="32"/>
          <w:szCs w:val="32"/>
        </w:rPr>
        <w:t>基础设施项目建设、脱贫攻坚帮扶、安全检查、查灾减灾</w:t>
      </w:r>
      <w:r>
        <w:rPr>
          <w:rFonts w:ascii="仿宋_GB2312" w:eastAsia="仿宋_GB2312" w:hint="eastAsia"/>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4.88万元，</w:t>
      </w:r>
      <w:r>
        <w:rPr>
          <w:rStyle w:val="22"/>
          <w:rFonts w:ascii="仿宋" w:eastAsia="仿宋" w:hAnsi="仿宋" w:hint="eastAsia"/>
          <w:b w:val="0"/>
          <w:bCs/>
          <w:color w:val="000000"/>
          <w:sz w:val="32"/>
          <w:szCs w:val="32"/>
        </w:rPr>
        <w:t>完成预算9.76</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7年持平。</w:t>
      </w:r>
    </w:p>
    <w:p>
      <w:pPr>
        <w:spacing w:line="600" w:lineRule="exact"/>
        <w:ind w:firstLine="640"/>
        <w:outlineLvl w:val="1"/>
        <w:rPr>
          <w:rFonts w:ascii="仿宋_GB2312" w:eastAsia="仿宋_GB2312"/>
          <w:sz w:val="32"/>
          <w:szCs w:val="32"/>
        </w:rPr>
      </w:pPr>
      <w:r>
        <w:rPr>
          <w:rFonts w:ascii="仿宋_GB2312" w:eastAsia="仿宋_GB2312" w:hint="eastAsia"/>
          <w:color w:val="000000"/>
          <w:sz w:val="32"/>
          <w:szCs w:val="32"/>
        </w:rPr>
        <w:t>主要用于执行公务、开展业务活动开支的交通费、住宿费、用餐费等。国内公务接待378批次，1587人次（不包括陪同人员），共计支出4.88万元，具体内容包括：</w:t>
      </w:r>
      <w:r>
        <w:rPr>
          <w:rFonts w:ascii="仿宋_GB2312" w:eastAsia="仿宋_GB2312" w:hint="eastAsia"/>
          <w:sz w:val="32"/>
          <w:szCs w:val="32"/>
        </w:rPr>
        <w:t>主要用于省市区检查指导工作、脱贫攻坚、验收项目、招商引资及周边市、县、区来乡调研、考察、学习工作等接待。</w:t>
      </w:r>
      <w:bookmarkStart w:id="45" w:name="_Toc15377218"/>
      <w:bookmarkStart w:id="46" w:name="_Toc15396610"/>
    </w:p>
    <w:p>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5"/>
      <w:bookmarkEnd w:id="4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8年政府性基金预算拨款支出0万元。</w:t>
      </w:r>
    </w:p>
    <w:p>
      <w:pPr>
        <w:numPr>
          <w:ilvl w:val="0"/>
          <w:numId w:val="2"/>
        </w:numPr>
        <w:spacing w:line="600" w:lineRule="exact"/>
        <w:ind w:left="0" w:firstLine="640"/>
        <w:outlineLvl w:val="1"/>
        <w:rPr>
          <w:rStyle w:val="2Char"/>
          <w:rFonts w:ascii="黑体" w:eastAsia="黑体" w:hAnsi="黑体"/>
          <w:b w:val="0"/>
        </w:rPr>
      </w:pPr>
      <w:bookmarkStart w:id="47" w:name="_Toc15377219"/>
      <w:bookmarkStart w:id="48" w:name="_Toc15396611"/>
      <w:r>
        <w:rPr>
          <w:rStyle w:val="2Char"/>
          <w:rFonts w:ascii="黑体" w:eastAsia="黑体" w:hAnsi="黑体" w:hint="eastAsia"/>
          <w:b w:val="0"/>
        </w:rPr>
        <w:t>国有资本经营预算支出决算情况说明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8年国有资本经营预算拨款支出0万元。</w:t>
      </w:r>
    </w:p>
    <w:p>
      <w:pPr>
        <w:pStyle w:val="28"/>
        <w:spacing w:line="580" w:lineRule="exact"/>
        <w:ind w:left="709" w:firstLineChars="0" w:firstLine="0"/>
        <w:rPr>
          <w:rStyle w:val="2Char"/>
          <w:rFonts w:ascii="黑体" w:eastAsia="黑体" w:hAnsi="黑体"/>
          <w:b w:val="0"/>
        </w:rPr>
      </w:pPr>
      <w:r>
        <w:rPr>
          <w:rStyle w:val="2Char"/>
          <w:rFonts w:ascii="黑体" w:eastAsia="黑体" w:hAnsi="黑体" w:hint="eastAsia"/>
          <w:b w:val="0"/>
        </w:rPr>
        <w:t>十、预算绩效情况说明</w:t>
      </w:r>
    </w:p>
    <w:p>
      <w:pPr>
        <w:numPr>
          <w:ilvl w:val="0"/>
          <w:numId w:val="3"/>
        </w:numPr>
        <w:spacing w:line="580" w:lineRule="exact"/>
        <w:ind w:left="0" w:firstLineChars="200" w:firstLine="640"/>
        <w:rPr>
          <w:rFonts w:ascii="仿宋" w:eastAsia="仿宋" w:cs="楷体_GB2312" w:hAnsi="仿宋"/>
          <w:b/>
          <w:bCs/>
          <w:sz w:val="32"/>
          <w:szCs w:val="32"/>
        </w:rPr>
      </w:pPr>
      <w:r>
        <w:rPr>
          <w:rFonts w:ascii="仿宋" w:eastAsia="仿宋" w:cs="楷体_GB2312" w:hAnsi="仿宋" w:hint="eastAsia"/>
          <w:b/>
          <w:bCs/>
          <w:sz w:val="32"/>
          <w:szCs w:val="32"/>
        </w:rPr>
        <w:t>预算绩效管理工作开展情况。</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根据预算绩效管理要求，本单位在年初预算编制阶段，组织对</w:t>
      </w:r>
      <w:r>
        <w:rPr>
          <w:rFonts w:ascii="仿宋_GB2312" w:eastAsia="仿宋_GB2312" w:hint="eastAsia"/>
          <w:color w:val="000000"/>
          <w:sz w:val="32"/>
          <w:szCs w:val="32"/>
        </w:rPr>
        <w:t>一般公共预算</w:t>
      </w:r>
      <w:r>
        <w:rPr>
          <w:rFonts w:ascii="仿宋_GB2312" w:eastAsia="仿宋_GB2312" w:cs="仿宋_GB2312" w:hAnsi="仿宋_GB2312" w:hint="eastAsia"/>
          <w:sz w:val="32"/>
          <w:szCs w:val="32"/>
        </w:rPr>
        <w:t>项目开展了预算事前绩效评估，对14个项目编制了绩效目标，预算执行过程中，选取5个项目开展绩效监控，年终执行完毕后，对5个项目开展了绩效目标完成情况梳理填报。</w:t>
      </w:r>
    </w:p>
    <w:p>
      <w:pPr>
        <w:spacing w:line="580" w:lineRule="exact"/>
        <w:ind w:firstLineChars="200" w:firstLine="640"/>
        <w:rPr>
          <w:rFonts w:ascii="仿宋_GB2312" w:eastAsia="仿宋_GB2312" w:cs="仿宋_GB2312" w:hAnsi="仿宋_GB2312"/>
          <w:sz w:val="32"/>
          <w:szCs w:val="32"/>
          <w:highlight w:val="green"/>
        </w:rPr>
      </w:pPr>
      <w:r>
        <w:rPr>
          <w:rFonts w:ascii="仿宋_GB2312" w:eastAsia="仿宋_GB2312" w:cs="仿宋_GB2312" w:hAnsi="仿宋_GB2312" w:hint="eastAsia"/>
          <w:sz w:val="32"/>
          <w:szCs w:val="32"/>
        </w:rPr>
        <w:t>本单位按要求对2018年部门整体支出开展绩效自评，从评价情况来看较好地完成了年度预算目标，同时加强预算收支的管理，建立健全内部监管制度，严格内部管理流程，部门整体支出管理得到了提升。本部门还自行组织了5个项目绩效评价，从评价情况来看按时按质按量完成了各项预算目标，使各项目的社会效益、经济效益、生态效益得到充分的发挥，切实有效的提升了群众的满意度。</w:t>
      </w:r>
    </w:p>
    <w:p>
      <w:pPr>
        <w:numPr>
          <w:ilvl w:val="0"/>
          <w:numId w:val="3"/>
        </w:numPr>
        <w:spacing w:line="580" w:lineRule="exact"/>
        <w:ind w:left="0" w:firstLineChars="200" w:firstLine="640"/>
        <w:rPr>
          <w:rFonts w:ascii="仿宋_GB2312" w:eastAsia="仿宋_GB2312" w:cs="仿宋_GB2312" w:hAnsi="仿宋_GB2312"/>
          <w:sz w:val="32"/>
          <w:szCs w:val="32"/>
        </w:rPr>
      </w:pPr>
      <w:r>
        <w:rPr>
          <w:rFonts w:ascii="仿宋" w:eastAsia="仿宋" w:cs="楷体_GB2312" w:hAnsi="仿宋" w:hint="eastAsia"/>
          <w:b/>
          <w:bCs/>
          <w:sz w:val="32"/>
          <w:szCs w:val="32"/>
        </w:rPr>
        <w:t>项目绩效目标完成情况。</w:t>
      </w:r>
    </w:p>
    <w:p>
      <w:pPr>
        <w:spacing w:line="580"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本单位在2018年度部门决算中反映“</w:t>
      </w:r>
      <w:r>
        <w:rPr>
          <w:rFonts w:ascii="仿宋_GB2312" w:eastAsia="仿宋_GB2312" w:hint="eastAsia"/>
          <w:color w:val="000000"/>
          <w:sz w:val="32"/>
          <w:szCs w:val="32"/>
        </w:rPr>
        <w:t>伙食补助</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“林业防灾减灾</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人大代表工作”“基层武装专项经费”“依法治区工作经费”等5个项目绩效目标实际完成情况。（本单位部门项目绩效目标个数在5个以上的，选取5个项目进行公开，目标个数在5个以下的，全部进行公开，公开内容包括完成情况综述和完成情况表）。</w:t>
      </w:r>
    </w:p>
    <w:p>
      <w:pPr>
        <w:numPr>
          <w:ilvl w:val="0"/>
          <w:numId w:val="4"/>
        </w:numPr>
        <w:spacing w:line="580" w:lineRule="exact"/>
        <w:ind w:left="0" w:firstLineChars="200" w:firstLine="640"/>
        <w:rPr>
          <w:rFonts w:ascii="仿宋_GB2312" w:eastAsia="仿宋_GB2312" w:cs="仿宋_GB2312" w:hAnsi="仿宋_GB2312"/>
          <w:sz w:val="32"/>
          <w:szCs w:val="32"/>
        </w:rPr>
      </w:pPr>
      <w:r>
        <w:rPr>
          <w:rFonts w:ascii="仿宋_GB2312" w:eastAsia="仿宋_GB2312" w:hint="eastAsia"/>
          <w:color w:val="000000"/>
          <w:sz w:val="32"/>
          <w:szCs w:val="32"/>
        </w:rPr>
        <w:t>伙食补助</w:t>
      </w:r>
      <w:r>
        <w:rPr>
          <w:rFonts w:ascii="仿宋_GB2312" w:eastAsia="仿宋_GB2312" w:cs="仿宋_GB2312" w:hAnsi="仿宋_GB2312" w:hint="eastAsia"/>
          <w:sz w:val="32"/>
          <w:szCs w:val="32"/>
        </w:rPr>
        <w:t>项目绩效目标完成情况综述。项目全年预算数5万元，执行数为5万元，完成预算的100%。通过项目实施，保障我乡机关正常有序运行，发现的主要问题：</w:t>
      </w:r>
      <w:r>
        <w:rPr>
          <w:rFonts w:ascii="仿宋_GB2312" w:eastAsia="仿宋_GB2312" w:hint="eastAsia"/>
          <w:color w:val="000000"/>
          <w:sz w:val="32"/>
          <w:szCs w:val="32"/>
        </w:rPr>
        <w:t>因为我乡属于贫困山区，2018年面临各项检查验收，导致伙食经费开支比较多。</w:t>
      </w:r>
      <w:r>
        <w:rPr>
          <w:rFonts w:ascii="仿宋_GB2312" w:eastAsia="仿宋_GB2312" w:cs="仿宋_GB2312" w:hAnsi="仿宋_GB2312" w:hint="eastAsia"/>
          <w:sz w:val="32"/>
          <w:szCs w:val="32"/>
        </w:rPr>
        <w:t>下一步改进措施：</w:t>
      </w:r>
      <w:r>
        <w:rPr>
          <w:rFonts w:ascii="仿宋_GB2312" w:eastAsia="仿宋_GB2312" w:hint="eastAsia"/>
          <w:color w:val="000000"/>
          <w:sz w:val="32"/>
          <w:szCs w:val="32"/>
        </w:rPr>
        <w:t>一是严格预算编制，做到细化精确，争取一些费用纳入财政预算中；二是应及时与财政部门衔接，调减专项资金的预算安排，调增人员基本支出的预算安排；三是要严格按照《公务员法》的规定，确保财政供养人员及时到位。</w:t>
      </w:r>
    </w:p>
    <w:p>
      <w:pPr>
        <w:numPr>
          <w:ilvl w:val="0"/>
          <w:numId w:val="4"/>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林业防灾减灾项目绩效目标完成情况综述。项目全年预算数2万元，执行数为2万元，完成预算的100%。通过项目实施，有效防范辖区森林火灾的发生，保护珍稀植物，保障森林防火宣传，提高群众森林防火意识，绿化面积逐年提升。发现的主要问题：群众森林防火意识不强。下一步改进措施：加强森林防火宣传，创新宣传方式方法，提升群众森林防火意识。</w:t>
      </w:r>
    </w:p>
    <w:p>
      <w:pPr>
        <w:numPr>
          <w:ilvl w:val="0"/>
          <w:numId w:val="4"/>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人大代表工作项目绩效目标完成情况综述。项目全年预算数1.92万元，执行数为1.92万元，完成预算的100%。通过项目实施，保障了人大代表会及代表工作正常开展及代表权益履行，代表会议不少于2次/年。发现的主要问题：群众对人大工作知晓度低。下一步改进措施：进一步加大人大工作宣传力度，特别提高对代表会议的召开的宣传力度，保证民生述求能够及时收集到位</w:t>
      </w:r>
    </w:p>
    <w:p>
      <w:pPr>
        <w:numPr>
          <w:ilvl w:val="0"/>
          <w:numId w:val="4"/>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安全监管工作经费项目绩效目标完成情况综述。项目全年预算数3万元，执行数为3万元，完成预算的100%。通过项目实施，保障了辖区社会安全稳定，提高了群众的安全意识，发现的主要问题：安全宣传力度不够。下一步改进措施：加大安全宣传力度，提升群众知晓率，增强群众安全意识。</w:t>
      </w:r>
    </w:p>
    <w:p>
      <w:pPr>
        <w:numPr>
          <w:ilvl w:val="0"/>
          <w:numId w:val="4"/>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依法治区工作经费项目绩效目标完成情况综述。项目全年预算数1万元，执行数为1万元，完成预算的100%。通过项目实施，保证了辖区社会安定团结，提高了群众的法律意识，提升了群众的满意度。发现的主要问题：法律宣传措施和方式单一，无法完全达到预期效果。下一步改进措施：创新法律宣传方式方法，进一步提高群众法律意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金洞乡部门整体支出绩效目标</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金洞乡</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59.26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59.26</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59.26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59.26</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widowControl/>
              <w:jc w:val="left"/>
              <w:textAlignment w:val="center"/>
              <w:rPr>
                <w:rFonts w:ascii="宋体" w:cs="宋体" w:hAnsi="宋体"/>
                <w:color w:val="000000"/>
                <w:sz w:val="24"/>
              </w:rPr>
            </w:pPr>
            <w:r>
              <w:rPr>
                <w:rFonts w:ascii="宋体" w:cs="宋体" w:hAnsi="宋体" w:hint="eastAsia"/>
                <w:color w:val="000000"/>
                <w:sz w:val="24"/>
              </w:rPr>
              <w:t>目标1：提高群众的法律意识，依法治乡；</w:t>
            </w:r>
          </w:p>
          <w:p>
            <w:pPr>
              <w:widowControl/>
              <w:jc w:val="left"/>
              <w:textAlignment w:val="center"/>
              <w:rPr>
                <w:rFonts w:ascii="宋体" w:cs="宋体" w:hAnsi="宋体"/>
                <w:color w:val="000000"/>
                <w:sz w:val="24"/>
              </w:rPr>
            </w:pPr>
            <w:r>
              <w:rPr>
                <w:rFonts w:ascii="宋体" w:cs="宋体" w:hAnsi="宋体" w:hint="eastAsia"/>
                <w:color w:val="000000"/>
                <w:sz w:val="24"/>
              </w:rPr>
              <w:t>目标2：提高80岁老党员生活的幸福指数，安度晚年；</w:t>
            </w:r>
          </w:p>
          <w:p>
            <w:pPr>
              <w:widowControl/>
              <w:jc w:val="left"/>
              <w:textAlignment w:val="center"/>
              <w:rPr>
                <w:rFonts w:ascii="宋体" w:cs="宋体" w:hAnsi="宋体"/>
                <w:color w:val="000000"/>
                <w:sz w:val="24"/>
              </w:rPr>
            </w:pPr>
            <w:r>
              <w:rPr>
                <w:rFonts w:ascii="宋体" w:cs="宋体" w:hAnsi="宋体" w:hint="eastAsia"/>
                <w:color w:val="000000"/>
                <w:sz w:val="24"/>
              </w:rPr>
              <w:t>目标3：保证辖区社会安全稳定，提高了群众的安全意识；</w:t>
            </w:r>
          </w:p>
          <w:p>
            <w:pPr>
              <w:widowControl/>
              <w:jc w:val="left"/>
              <w:textAlignment w:val="center"/>
              <w:rPr>
                <w:rFonts w:ascii="宋体" w:cs="宋体" w:hAnsi="宋体"/>
                <w:color w:val="000000"/>
                <w:sz w:val="24"/>
              </w:rPr>
            </w:pPr>
            <w:r>
              <w:rPr>
                <w:rFonts w:ascii="宋体" w:cs="宋体" w:hAnsi="宋体" w:hint="eastAsia"/>
                <w:color w:val="000000"/>
                <w:sz w:val="24"/>
              </w:rPr>
              <w:t>目标4：提高农村义务兵家庭生活质量，保证服役人员安心保家卫国；</w:t>
            </w:r>
          </w:p>
          <w:p>
            <w:pPr>
              <w:widowControl/>
              <w:jc w:val="left"/>
              <w:textAlignment w:val="center"/>
              <w:rPr>
                <w:rFonts w:ascii="宋体" w:cs="宋体" w:hAnsi="宋体"/>
                <w:color w:val="000000"/>
                <w:sz w:val="24"/>
              </w:rPr>
            </w:pPr>
            <w:r>
              <w:rPr>
                <w:rFonts w:ascii="宋体" w:cs="宋体" w:hAnsi="宋体" w:hint="eastAsia"/>
                <w:color w:val="000000"/>
                <w:sz w:val="24"/>
              </w:rPr>
              <w:t>目标5：保证城镇路灯、基础设施、场镇垃圾处理车辆的正常运转；</w:t>
            </w:r>
          </w:p>
          <w:p>
            <w:pPr>
              <w:widowControl/>
              <w:jc w:val="left"/>
              <w:textAlignment w:val="center"/>
              <w:rPr>
                <w:rFonts w:ascii="宋体" w:cs="宋体" w:hAnsi="宋体"/>
                <w:color w:val="000000"/>
                <w:sz w:val="24"/>
              </w:rPr>
            </w:pPr>
            <w:r>
              <w:rPr>
                <w:rFonts w:ascii="宋体" w:cs="宋体" w:hAnsi="宋体" w:hint="eastAsia"/>
                <w:color w:val="000000"/>
                <w:sz w:val="24"/>
              </w:rPr>
              <w:t>目标6：保证船只正常运行维护费，保障群众安全渡过；</w:t>
            </w:r>
          </w:p>
          <w:p>
            <w:pPr>
              <w:widowControl/>
              <w:jc w:val="left"/>
              <w:textAlignment w:val="center"/>
              <w:rPr>
                <w:rFonts w:ascii="宋体" w:cs="宋体" w:hAnsi="宋体"/>
                <w:color w:val="000000"/>
                <w:sz w:val="24"/>
              </w:rPr>
            </w:pPr>
            <w:r>
              <w:rPr>
                <w:rFonts w:ascii="宋体" w:cs="宋体" w:hAnsi="宋体" w:hint="eastAsia"/>
                <w:color w:val="000000"/>
                <w:sz w:val="24"/>
              </w:rPr>
              <w:t>目标7：将矛盾化解在基层，维护社会和谐稳定</w:t>
            </w:r>
          </w:p>
          <w:p>
            <w:pPr>
              <w:widowControl/>
              <w:jc w:val="left"/>
              <w:textAlignment w:val="center"/>
              <w:rPr>
                <w:rFonts w:ascii="宋体" w:cs="宋体" w:hAnsi="宋体"/>
                <w:color w:val="000000"/>
                <w:sz w:val="24"/>
              </w:rPr>
            </w:pPr>
            <w:r>
              <w:rPr>
                <w:rFonts w:ascii="宋体" w:cs="宋体" w:hAnsi="宋体" w:hint="eastAsia"/>
                <w:color w:val="000000"/>
                <w:sz w:val="24"/>
              </w:rPr>
              <w:t>保证党代会、人代会及代表工作正常开展，代表会议，不少于2次/年；</w:t>
            </w:r>
          </w:p>
          <w:p>
            <w:pPr>
              <w:widowControl/>
              <w:jc w:val="left"/>
              <w:textAlignment w:val="center"/>
              <w:rPr>
                <w:rFonts w:ascii="宋体" w:cs="宋体" w:hAnsi="宋体"/>
                <w:color w:val="000000"/>
                <w:sz w:val="24"/>
              </w:rPr>
            </w:pPr>
            <w:r>
              <w:rPr>
                <w:rFonts w:ascii="宋体" w:cs="宋体" w:hAnsi="宋体" w:hint="eastAsia"/>
                <w:color w:val="000000"/>
                <w:sz w:val="24"/>
              </w:rPr>
              <w:t>目标8：保证政府政策宣讲，业务培训，老体协活动开展的正常进行；</w:t>
            </w:r>
          </w:p>
          <w:p>
            <w:pPr>
              <w:widowControl/>
              <w:jc w:val="left"/>
              <w:textAlignment w:val="center"/>
              <w:rPr>
                <w:rFonts w:ascii="宋体" w:cs="宋体" w:hAnsi="宋体"/>
                <w:color w:val="000000"/>
                <w:sz w:val="24"/>
              </w:rPr>
            </w:pPr>
            <w:r>
              <w:rPr>
                <w:rFonts w:ascii="宋体" w:cs="宋体" w:hAnsi="宋体" w:hint="eastAsia"/>
                <w:color w:val="000000"/>
                <w:sz w:val="24"/>
              </w:rPr>
              <w:t>目标9：促进乡伙食团的正常运转，使职工生活有保障，有效解决单位职工走读问题；</w:t>
            </w:r>
          </w:p>
          <w:p>
            <w:pPr>
              <w:widowControl/>
              <w:jc w:val="left"/>
              <w:textAlignment w:val="center"/>
              <w:rPr>
                <w:rFonts w:ascii="宋体" w:cs="宋体" w:hAnsi="宋体"/>
                <w:color w:val="000000"/>
                <w:sz w:val="24"/>
              </w:rPr>
            </w:pPr>
            <w:r>
              <w:rPr>
                <w:rFonts w:ascii="宋体" w:cs="宋体" w:hAnsi="宋体" w:hint="eastAsia"/>
                <w:color w:val="000000"/>
                <w:sz w:val="24"/>
              </w:rPr>
              <w:t>目标11：保证远程教育工作正常运转，每月组织学习2次；</w:t>
            </w:r>
          </w:p>
          <w:p>
            <w:pPr>
              <w:widowControl/>
              <w:jc w:val="left"/>
              <w:textAlignment w:val="center"/>
              <w:rPr>
                <w:rFonts w:ascii="宋体" w:cs="宋体" w:hAnsi="宋体"/>
                <w:color w:val="000000"/>
                <w:sz w:val="24"/>
              </w:rPr>
            </w:pPr>
            <w:r>
              <w:rPr>
                <w:rFonts w:ascii="宋体" w:cs="宋体" w:hAnsi="宋体" w:hint="eastAsia"/>
                <w:color w:val="000000"/>
                <w:sz w:val="24"/>
              </w:rPr>
              <w:t>目标12：保证民兵训练工作顺利开展，保证民兵训练工作顺利开展，民兵训练不少于200人次；</w:t>
            </w:r>
          </w:p>
          <w:p>
            <w:pPr>
              <w:widowControl/>
              <w:jc w:val="left"/>
              <w:textAlignment w:val="center"/>
              <w:rPr>
                <w:rFonts w:ascii="宋体" w:cs="宋体" w:hAnsi="宋体"/>
                <w:color w:val="000000"/>
                <w:sz w:val="24"/>
              </w:rPr>
            </w:pPr>
            <w:r>
              <w:rPr>
                <w:rFonts w:ascii="宋体" w:cs="宋体" w:hAnsi="宋体" w:hint="eastAsia"/>
                <w:color w:val="000000"/>
                <w:sz w:val="24"/>
              </w:rPr>
              <w:t>目标13：保证国家计划生育政策宣传到位、执行到位，组织免费妇检人员2400余人次；目标14：无森林火灾，绿化面积逐年提升。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目标1：提高群众的法律意识，依法治乡；</w:t>
            </w:r>
          </w:p>
          <w:p>
            <w:pPr>
              <w:widowControl/>
              <w:jc w:val="left"/>
              <w:textAlignment w:val="center"/>
              <w:rPr>
                <w:rFonts w:ascii="宋体" w:cs="宋体" w:hAnsi="宋体"/>
                <w:color w:val="000000"/>
                <w:sz w:val="24"/>
              </w:rPr>
            </w:pPr>
            <w:r>
              <w:rPr>
                <w:rFonts w:ascii="宋体" w:cs="宋体" w:hAnsi="宋体" w:hint="eastAsia"/>
                <w:color w:val="000000"/>
                <w:sz w:val="24"/>
              </w:rPr>
              <w:t>目标2：提高80岁老党员生活的幸福指数，安度晚年；</w:t>
            </w:r>
          </w:p>
          <w:p>
            <w:pPr>
              <w:widowControl/>
              <w:jc w:val="left"/>
              <w:textAlignment w:val="center"/>
              <w:rPr>
                <w:rFonts w:ascii="宋体" w:cs="宋体" w:hAnsi="宋体"/>
                <w:color w:val="000000"/>
                <w:sz w:val="24"/>
              </w:rPr>
            </w:pPr>
            <w:r>
              <w:rPr>
                <w:rFonts w:ascii="宋体" w:cs="宋体" w:hAnsi="宋体" w:hint="eastAsia"/>
                <w:color w:val="000000"/>
                <w:sz w:val="24"/>
              </w:rPr>
              <w:t>目标3：保证辖区社会安全稳定，提高了群众的安全意识；</w:t>
            </w:r>
          </w:p>
          <w:p>
            <w:pPr>
              <w:widowControl/>
              <w:jc w:val="left"/>
              <w:textAlignment w:val="center"/>
              <w:rPr>
                <w:rFonts w:ascii="宋体" w:cs="宋体" w:hAnsi="宋体"/>
                <w:color w:val="000000"/>
                <w:sz w:val="24"/>
              </w:rPr>
            </w:pPr>
            <w:r>
              <w:rPr>
                <w:rFonts w:ascii="宋体" w:cs="宋体" w:hAnsi="宋体" w:hint="eastAsia"/>
                <w:color w:val="000000"/>
                <w:sz w:val="24"/>
              </w:rPr>
              <w:t>目标4：提高农村义务兵家庭生活质量，保证服役人员安心保家卫国；</w:t>
            </w:r>
          </w:p>
          <w:p>
            <w:pPr>
              <w:widowControl/>
              <w:jc w:val="left"/>
              <w:textAlignment w:val="center"/>
              <w:rPr>
                <w:rFonts w:ascii="宋体" w:cs="宋体" w:hAnsi="宋体"/>
                <w:color w:val="000000"/>
                <w:sz w:val="24"/>
              </w:rPr>
            </w:pPr>
            <w:r>
              <w:rPr>
                <w:rFonts w:ascii="宋体" w:cs="宋体" w:hAnsi="宋体" w:hint="eastAsia"/>
                <w:color w:val="000000"/>
                <w:sz w:val="24"/>
              </w:rPr>
              <w:t>目标5：保证城镇路灯、基础设施、场镇垃圾处理车辆的正常运转；</w:t>
            </w:r>
          </w:p>
          <w:p>
            <w:pPr>
              <w:widowControl/>
              <w:jc w:val="left"/>
              <w:textAlignment w:val="center"/>
              <w:rPr>
                <w:rFonts w:ascii="宋体" w:cs="宋体" w:hAnsi="宋体"/>
                <w:color w:val="000000"/>
                <w:sz w:val="24"/>
              </w:rPr>
            </w:pPr>
            <w:r>
              <w:rPr>
                <w:rFonts w:ascii="宋体" w:cs="宋体" w:hAnsi="宋体" w:hint="eastAsia"/>
                <w:color w:val="000000"/>
                <w:sz w:val="24"/>
              </w:rPr>
              <w:t>目标6：保证船只正常运行维护费，保障群众安全渡过；</w:t>
            </w:r>
          </w:p>
          <w:p>
            <w:pPr>
              <w:widowControl/>
              <w:jc w:val="left"/>
              <w:textAlignment w:val="center"/>
              <w:rPr>
                <w:rFonts w:ascii="宋体" w:cs="宋体" w:hAnsi="宋体"/>
                <w:color w:val="000000"/>
                <w:sz w:val="24"/>
              </w:rPr>
            </w:pPr>
            <w:r>
              <w:rPr>
                <w:rFonts w:ascii="宋体" w:cs="宋体" w:hAnsi="宋体" w:hint="eastAsia"/>
                <w:color w:val="000000"/>
                <w:sz w:val="24"/>
              </w:rPr>
              <w:t>目标7：将矛盾化解在基层，维护社会和谐稳定</w:t>
            </w:r>
          </w:p>
          <w:p>
            <w:pPr>
              <w:widowControl/>
              <w:jc w:val="left"/>
              <w:textAlignment w:val="center"/>
              <w:rPr>
                <w:rFonts w:ascii="宋体" w:cs="宋体" w:hAnsi="宋体"/>
                <w:color w:val="000000"/>
                <w:sz w:val="24"/>
              </w:rPr>
            </w:pPr>
            <w:r>
              <w:rPr>
                <w:rFonts w:ascii="宋体" w:cs="宋体" w:hAnsi="宋体" w:hint="eastAsia"/>
                <w:color w:val="000000"/>
                <w:sz w:val="24"/>
              </w:rPr>
              <w:t>保证党代会、人代会及代表工作正常开展，代表会议，不少于2次/年；</w:t>
            </w:r>
          </w:p>
          <w:p>
            <w:pPr>
              <w:widowControl/>
              <w:jc w:val="left"/>
              <w:textAlignment w:val="center"/>
              <w:rPr>
                <w:rFonts w:ascii="宋体" w:cs="宋体" w:hAnsi="宋体"/>
                <w:color w:val="000000"/>
                <w:sz w:val="24"/>
              </w:rPr>
            </w:pPr>
            <w:r>
              <w:rPr>
                <w:rFonts w:ascii="宋体" w:cs="宋体" w:hAnsi="宋体" w:hint="eastAsia"/>
                <w:color w:val="000000"/>
                <w:sz w:val="24"/>
              </w:rPr>
              <w:t>目标8：保证政府政策宣讲，业务培训，老体协活动开展的正常进行；</w:t>
            </w:r>
          </w:p>
          <w:p>
            <w:pPr>
              <w:widowControl/>
              <w:jc w:val="left"/>
              <w:textAlignment w:val="center"/>
              <w:rPr>
                <w:rFonts w:ascii="宋体" w:cs="宋体" w:hAnsi="宋体"/>
                <w:color w:val="000000"/>
                <w:sz w:val="24"/>
              </w:rPr>
            </w:pPr>
            <w:r>
              <w:rPr>
                <w:rFonts w:ascii="宋体" w:cs="宋体" w:hAnsi="宋体" w:hint="eastAsia"/>
                <w:color w:val="000000"/>
                <w:sz w:val="24"/>
              </w:rPr>
              <w:t>目标9：促进乡伙食团的正常运转，使职工生活有保障，有效解决单位职工走读问题；</w:t>
            </w:r>
          </w:p>
          <w:p>
            <w:pPr>
              <w:widowControl/>
              <w:jc w:val="left"/>
              <w:textAlignment w:val="center"/>
              <w:rPr>
                <w:rFonts w:ascii="宋体" w:cs="宋体" w:hAnsi="宋体"/>
                <w:color w:val="000000"/>
                <w:sz w:val="24"/>
              </w:rPr>
            </w:pPr>
            <w:r>
              <w:rPr>
                <w:rFonts w:ascii="宋体" w:cs="宋体" w:hAnsi="宋体" w:hint="eastAsia"/>
                <w:color w:val="000000"/>
                <w:sz w:val="24"/>
              </w:rPr>
              <w:t>目标11：保证远程教育工作正常运转，每月组织学习2次；</w:t>
            </w:r>
          </w:p>
          <w:p>
            <w:pPr>
              <w:widowControl/>
              <w:jc w:val="left"/>
              <w:textAlignment w:val="center"/>
              <w:rPr>
                <w:rFonts w:ascii="宋体" w:cs="宋体" w:hAnsi="宋体"/>
                <w:color w:val="000000"/>
                <w:sz w:val="24"/>
              </w:rPr>
            </w:pPr>
            <w:r>
              <w:rPr>
                <w:rFonts w:ascii="宋体" w:cs="宋体" w:hAnsi="宋体" w:hint="eastAsia"/>
                <w:color w:val="000000"/>
                <w:sz w:val="24"/>
              </w:rPr>
              <w:t>目标12：保证民兵训练工作顺利开展，保证民兵训练工作顺利开展，民兵训练不少于200人次；</w:t>
            </w:r>
          </w:p>
          <w:p>
            <w:pPr>
              <w:widowControl/>
              <w:jc w:val="center"/>
              <w:textAlignment w:val="center"/>
              <w:rPr>
                <w:rFonts w:ascii="宋体" w:cs="宋体" w:hAnsi="宋体"/>
                <w:color w:val="000000"/>
                <w:sz w:val="24"/>
              </w:rPr>
            </w:pPr>
            <w:r>
              <w:rPr>
                <w:rFonts w:ascii="宋体" w:cs="宋体" w:hAnsi="宋体" w:hint="eastAsia"/>
                <w:color w:val="000000"/>
                <w:sz w:val="24"/>
              </w:rPr>
              <w:t>目标13：保证国家计划生育政策宣传到位、执行到位，组织免费妇检人员2400余人次；目标14：无森林火灾，绿化面积逐年提升。</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群众知晓度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群众知晓度提升，达到100%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群众知晓度有所提升</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免费妇检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辖区内妇女免费妇检不少于1523人次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辖区内妇女免费妇检不少于1523人次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人大代表会议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不少于2次/年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不少于2次/年</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民兵训练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不少于200人次/年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不少于200人次/年</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推动辖区内经济有序发展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推动辖区内经济有序发展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推动辖区内经济有序发展</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社会安定团结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推动辖区内稳定和谐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推动辖区内稳定和谐</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80岁老党员生活幸福补助到位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80岁老党员生活幸福补助到位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80岁老党员生活幸福补助到位</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乡村文明、和谐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乡村文明、和谐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乡村文明、和谐</w:t>
            </w:r>
          </w:p>
        </w:tc>
      </w:tr>
      <w:tr>
        <w:trPr>
          <w:trHeight w:val="1050"/>
        </w:trPr>
        <w:tc>
          <w:tcPr>
            <w:tcW w:w="390" w:type="dxa"/>
            <w:vMerge/>
            <w:tcBorders>
              <w:top w:val="single" w:sz="4" w:space="0" w:color="000000"/>
              <w:left w:val="single" w:sz="4" w:space="0" w:color="000000"/>
              <w:bottom w:val="single" w:sz="4" w:space="0" w:color="auto"/>
              <w:right w:val="single" w:sz="4" w:space="0" w:color="000000"/>
            </w:tcBorders>
            <w:vAlign w:val="center"/>
          </w:tcPr>
          <w:p/>
        </w:tc>
        <w:tc>
          <w:tcPr>
            <w:tcW w:w="13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场镇整洁、卫生</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场镇整洁、卫生</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场镇整洁、卫生</w:t>
            </w:r>
          </w:p>
        </w:tc>
      </w:tr>
      <w:tr>
        <w:trPr>
          <w:trHeight w:val="1050"/>
        </w:trPr>
        <w:tc>
          <w:tcPr>
            <w:tcW w:w="390" w:type="dxa"/>
            <w:tcBorders>
              <w:top w:val="single" w:sz="4" w:space="0" w:color="auto"/>
              <w:left w:val="single" w:sz="4" w:space="0" w:color="auto"/>
              <w:bottom w:val="single" w:sz="4" w:space="0" w:color="auto"/>
              <w:right w:val="single" w:sz="4" w:space="0" w:color="auto"/>
            </w:tcBorders>
          </w:tcPr>
          <w:p>
            <w:pPr>
              <w:widowControl/>
              <w:jc w:val="left"/>
              <w:rPr>
                <w:rFonts w:ascii="宋体" w:cs="宋体" w:hAnsi="宋体"/>
                <w:color w:val="000000"/>
                <w:sz w:val="24"/>
              </w:rPr>
            </w:pPr>
          </w:p>
        </w:tc>
        <w:tc>
          <w:tcPr>
            <w:tcW w:w="136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群众满意度</w:t>
            </w:r>
          </w:p>
        </w:tc>
        <w:tc>
          <w:tcPr>
            <w:tcW w:w="2394"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确保群众满意度100%</w:t>
            </w:r>
          </w:p>
        </w:tc>
        <w:tc>
          <w:tcPr>
            <w:tcW w:w="239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确保群众满意度100%</w:t>
            </w:r>
          </w:p>
        </w:tc>
      </w:tr>
    </w:tbl>
    <w:p>
      <w:pPr>
        <w:spacing w:line="580" w:lineRule="exact"/>
        <w:rPr>
          <w:rFonts w:ascii="仿宋" w:eastAsia="仿宋" w:cs="楷体_GB2312" w:hAnsi="仿宋"/>
          <w:b/>
          <w:bCs/>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142"/>
        <w:gridCol w:w="2275"/>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金洞乡伙食补助工作经费项目支出绩效目标</w:t>
            </w:r>
          </w:p>
        </w:tc>
      </w:tr>
      <w:tr>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金洞乡</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促进乡伙食团的正常运转，使职工生活有保障。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促进乡伙食团的正常运转，使职工生活有保障。</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伙食团生活补助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让职工生活有保障。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100%覆盖辖区内所有职工生活补助。</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促进乡伙食团的正常运转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有效解决单位职工走读问题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有效解决单位职工走读问题</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促进乡伙食团的正常运转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有效解决单位职工走读问题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有效解决单位职工走读问题</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促进乡伙食团的正常运转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有效解决单位职工走读问题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有效解决单位职工走读问题</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确保群众满意度100%</w:t>
            </w:r>
          </w:p>
        </w:tc>
      </w:tr>
    </w:tbl>
    <w:p>
      <w:pPr>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142"/>
        <w:gridCol w:w="2275"/>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eastAsia="仿宋_GB2312" w:cs="宋体" w:hAnsi="宋体" w:hint="eastAsia"/>
                <w:color w:val="000000"/>
                <w:sz w:val="24"/>
              </w:rPr>
              <w:t>金</w:t>
            </w:r>
            <w:r>
              <w:rPr>
                <w:rFonts w:ascii="宋体" w:cs="宋体" w:hAnsi="宋体" w:hint="eastAsia"/>
                <w:color w:val="000000"/>
                <w:sz w:val="24"/>
              </w:rPr>
              <w:t>洞乡森林防火专项经费支出绩效目标</w:t>
            </w:r>
          </w:p>
        </w:tc>
      </w:tr>
      <w:tr>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金洞乡</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 xml:space="preserve"> 无森林火灾，绿化面积逐年提升。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 xml:space="preserve"> 无森林火灾，绿化面积逐年提升。                                                                                                                          </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森林防火宣传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12次/年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12次/年</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防火标示标牌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35副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40副</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保护珍稀植物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保护珍稀植物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保护珍稀植物</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提高群众森林防火意识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提高群众森林防火意识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提高群众森林防火意识</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生态效益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无森林火灾，绿化面积逐年提升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无森林火灾，绿化面积逐年提升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有明显提高</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可持续影响</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无森林火灾，绿化面积逐年提升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无森林火灾，绿化面积逐年提升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绿化面积有明显的提高</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确保群众满意度100%</w:t>
            </w:r>
          </w:p>
        </w:tc>
      </w:tr>
    </w:tbl>
    <w:p>
      <w:pPr>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142"/>
        <w:gridCol w:w="2275"/>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eastAsia="仿宋_GB2312" w:cs="宋体" w:hAnsi="宋体" w:hint="eastAsia"/>
                <w:color w:val="000000"/>
                <w:sz w:val="24"/>
              </w:rPr>
              <w:t>金洞乡人大主席团及代表活动经费支出绩效目标</w:t>
            </w:r>
          </w:p>
        </w:tc>
      </w:tr>
      <w:tr>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金洞乡</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1.92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1.92</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 xml:space="preserve">确保党代会、人代会及代表工作正常开展，代表会议，不少于2次/年。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 xml:space="preserve">保证党代会、人代会及代表工作正常开展。履行代表权益，镇人大代表会议室环境改善。                                                                                                   </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代表会议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不少于2次/年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2次/年</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群众知晓度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进一步提高群众知晓度，广泛收集群众述求。</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进一步提高群众知晓度，广泛收集群众述求。高</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保证代表履行权益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保证代表履行权益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保证了代表权益履行</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确保群众满意度100%</w:t>
            </w:r>
          </w:p>
        </w:tc>
      </w:tr>
    </w:tbl>
    <w:p>
      <w:pPr>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142"/>
        <w:gridCol w:w="2275"/>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金洞乡安全监管工作经费支出绩效目标</w:t>
            </w:r>
          </w:p>
        </w:tc>
      </w:tr>
      <w:tr>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金洞乡</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保证辖区社会安全稳定，提高了群众的安全意识</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保证辖区社会安全稳定，提高了群众的安全意识</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确保辖区社会安定团结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安全宣传不少于10人次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安全宣传不少于10人次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确保辖区社会安定团结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推动辖区内稳定和谐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推动辖区内稳定和谐</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确保辖区社会安定团结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确保辖区社会安定团结</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确保辖区社会安定团结</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确保群众满意度100%</w:t>
            </w:r>
          </w:p>
        </w:tc>
      </w:tr>
    </w:tbl>
    <w:p>
      <w:pPr>
        <w:spacing w:line="580" w:lineRule="exact"/>
        <w:ind w:firstLineChars="300" w:firstLine="960"/>
        <w:rPr>
          <w:rFonts w:ascii="仿宋" w:eastAsia="仿宋" w:cs="楷体_GB2312" w:hAnsi="仿宋"/>
          <w:b/>
          <w:bCs/>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142"/>
        <w:gridCol w:w="2275"/>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金洞乡依法治区经费支出绩效目标</w:t>
            </w:r>
          </w:p>
        </w:tc>
      </w:tr>
      <w:tr>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金洞乡</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 xml:space="preserve">    加强法制宣传，提高群众的法律意识，依法治乡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 xml:space="preserve">加强法制宣传，提高群众的法律意识，依法治乡                                                                                                                         </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依法治区宣传标语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12副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12副</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依法治区宣传活动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不少于12次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15次/年</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法律宣讲活动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不少于4次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201</w:t>
            </w:r>
            <w:r>
              <w:rPr>
                <w:rFonts w:ascii="宋体" w:cs="宋体" w:hAnsi="宋体"/>
                <w:color w:val="000000"/>
                <w:sz w:val="24"/>
              </w:rPr>
              <w:t>8</w:t>
            </w:r>
            <w:r>
              <w:rPr>
                <w:rFonts w:ascii="宋体" w:cs="宋体" w:hAnsi="宋体" w:hint="eastAsia"/>
                <w:color w:val="000000"/>
                <w:sz w:val="24"/>
              </w:rPr>
              <w:t>.01.01—201</w:t>
            </w:r>
            <w:r>
              <w:rPr>
                <w:rFonts w:ascii="宋体" w:cs="宋体" w:hAnsi="宋体"/>
                <w:color w:val="000000"/>
                <w:sz w:val="24"/>
              </w:rPr>
              <w:t>8</w:t>
            </w:r>
            <w:r>
              <w:rPr>
                <w:rFonts w:ascii="宋体" w:cs="宋体" w:hAnsi="宋体" w:hint="eastAsia"/>
                <w:color w:val="000000"/>
                <w:sz w:val="24"/>
              </w:rPr>
              <w:t>.12.31</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提高群众法律意识，知法，懂法，用法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提高群众法律意识，知法，懂法用法律武器保护自己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提高群众法律意识，知法，懂法用法律武器保护自己</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辖区内和谐安定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辖区内和谐安定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辖区内和谐安定</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确保群众满意度100%</w:t>
            </w:r>
          </w:p>
        </w:tc>
      </w:tr>
    </w:tbl>
    <w:p>
      <w:pPr>
        <w:spacing w:line="580" w:lineRule="exact"/>
        <w:ind w:firstLineChars="300" w:firstLine="960"/>
        <w:rPr>
          <w:rFonts w:ascii="仿宋" w:eastAsia="仿宋" w:cs="楷体_GB2312" w:hAnsi="仿宋"/>
          <w:b/>
          <w:bCs/>
          <w:sz w:val="32"/>
          <w:szCs w:val="32"/>
        </w:rPr>
      </w:pPr>
    </w:p>
    <w:p>
      <w:pPr>
        <w:spacing w:line="580" w:lineRule="exact"/>
        <w:ind w:firstLineChars="300" w:firstLine="960"/>
        <w:rPr>
          <w:rFonts w:ascii="仿宋" w:eastAsia="仿宋" w:cs="仿宋_GB2312" w:hAnsi="仿宋"/>
          <w:sz w:val="32"/>
          <w:szCs w:val="32"/>
        </w:rPr>
      </w:pPr>
      <w:r>
        <w:rPr>
          <w:rFonts w:ascii="仿宋" w:eastAsia="仿宋" w:cs="楷体_GB2312" w:hAnsi="仿宋" w:hint="eastAsia"/>
          <w:b/>
          <w:bCs/>
          <w:sz w:val="32"/>
          <w:szCs w:val="32"/>
        </w:rPr>
        <w:t>（三）部门开展绩效评价结果。</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本单位按要求对2018年部门整体支出绩效评价情况开展自评，《金洞乡2018年部门整体支出绩效评价报告》见附件。</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单位自行组织对依法治区经费项目、安全监管项目、伙食补助项目、森林防火经费项目、人大主席团及代表经费项目开展了绩效评价《金洞乡项目2018年绩效评价报告》见附件。（非涉密部门均需公开部门整体支出评价报告，部门自行组织的绩效评价情况根据部门实际公开）</w:t>
      </w:r>
    </w:p>
    <w:p>
      <w:pPr>
        <w:spacing w:line="580" w:lineRule="exact"/>
        <w:jc w:val="center"/>
        <w:rPr>
          <w:rFonts w:ascii="方正小标宋简体" w:eastAsia="方正小标宋简体" w:cs="方正小标宋简体" w:hAnsi="方正小标宋简体"/>
          <w:sz w:val="44"/>
          <w:szCs w:val="44"/>
        </w:rPr>
      </w:pPr>
    </w:p>
    <w:p>
      <w:pPr>
        <w:spacing w:line="600" w:lineRule="exact"/>
        <w:ind w:firstLineChars="250" w:firstLine="800"/>
        <w:outlineLvl w:val="1"/>
        <w:rPr>
          <w:rStyle w:val="2Char"/>
          <w:rFonts w:ascii="黑体" w:eastAsia="黑体" w:hAnsi="黑体"/>
        </w:rPr>
      </w:pPr>
      <w:bookmarkStart w:id="49" w:name="_Toc15377221"/>
      <w:bookmarkStart w:id="50"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49"/>
      <w:bookmarkEnd w:id="50"/>
    </w:p>
    <w:p>
      <w:pPr>
        <w:spacing w:line="600" w:lineRule="exact"/>
        <w:ind w:firstLineChars="200" w:firstLine="640"/>
        <w:outlineLvl w:val="2"/>
        <w:rPr>
          <w:rFonts w:ascii="仿宋" w:eastAsia="仿宋" w:hAnsi="仿宋"/>
          <w:color w:val="000000"/>
          <w:sz w:val="32"/>
          <w:szCs w:val="32"/>
        </w:rPr>
      </w:pPr>
      <w:bookmarkStart w:id="51" w:name="_Toc15377222"/>
      <w:r>
        <w:rPr>
          <w:rFonts w:ascii="仿宋" w:eastAsia="仿宋" w:hAnsi="仿宋" w:hint="eastAsia"/>
          <w:b/>
          <w:color w:val="000000"/>
          <w:sz w:val="32"/>
          <w:szCs w:val="32"/>
        </w:rPr>
        <w:t>（一）机关运行经费支出情况</w:t>
      </w:r>
      <w:bookmarkEnd w:id="51"/>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8年，机关运行经费支出194.69万元，比</w:t>
      </w:r>
      <w:r>
        <w:rPr>
          <w:rFonts w:ascii="仿宋_GB2312" w:eastAsia="仿宋_GB2312"/>
          <w:color w:val="000000"/>
          <w:sz w:val="32"/>
          <w:szCs w:val="32"/>
        </w:rPr>
        <w:t>201</w:t>
      </w:r>
      <w:r>
        <w:rPr>
          <w:rFonts w:ascii="仿宋_GB2312" w:eastAsia="仿宋_GB2312" w:hint="eastAsia"/>
          <w:color w:val="000000"/>
          <w:sz w:val="32"/>
          <w:szCs w:val="32"/>
        </w:rPr>
        <w:t>7年增加53.7万元，增长38.09</w:t>
      </w:r>
      <w:r>
        <w:rPr>
          <w:rFonts w:ascii="仿宋_GB2312" w:eastAsia="仿宋_GB2312"/>
          <w:color w:val="000000"/>
          <w:sz w:val="32"/>
          <w:szCs w:val="32"/>
        </w:rPr>
        <w:t>%</w:t>
      </w:r>
      <w:r>
        <w:rPr>
          <w:rFonts w:ascii="仿宋_GB2312" w:eastAsia="仿宋_GB2312" w:hint="eastAsia"/>
          <w:color w:val="000000"/>
          <w:sz w:val="32"/>
          <w:szCs w:val="32"/>
        </w:rPr>
        <w:t>。主要原因是增加垃圾车2辆和船只2艘。</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2" w:name="_Toc15377223"/>
      <w:r>
        <w:rPr>
          <w:rFonts w:ascii="仿宋" w:eastAsia="仿宋" w:hAnsi="仿宋" w:hint="eastAsia"/>
          <w:b/>
          <w:color w:val="000000"/>
          <w:sz w:val="32"/>
          <w:szCs w:val="32"/>
        </w:rPr>
        <w:t>（二）政府采购支出情况</w:t>
      </w:r>
      <w:bookmarkEnd w:id="52"/>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8年，政府采购支出总额0万元。</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3" w:name="_Toc15377224"/>
      <w:r>
        <w:rPr>
          <w:rFonts w:ascii="仿宋" w:eastAsia="仿宋" w:hAnsi="仿宋" w:hint="eastAsia"/>
          <w:b/>
          <w:color w:val="000000"/>
          <w:sz w:val="32"/>
          <w:szCs w:val="32"/>
        </w:rPr>
        <w:t>（三）国有资产占有使用情况</w:t>
      </w:r>
      <w:bookmarkEnd w:id="53"/>
    </w:p>
    <w:p>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日，共有车辆3辆，其中：一般公务用车1辆、其他用车2辆，其他用车主要是用于垃圾运输。</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left="0" w:firstLineChars="150" w:firstLine="660"/>
        <w:jc w:val="center"/>
        <w:outlineLvl w:val="0"/>
        <w:rPr>
          <w:rStyle w:val="1Char"/>
          <w:rFonts w:ascii="黑体" w:eastAsia="黑体" w:hAnsi="黑体"/>
          <w:b w:val="0"/>
        </w:rPr>
      </w:pPr>
      <w:bookmarkStart w:id="54" w:name="_Toc15396613"/>
      <w:bookmarkStart w:id="55" w:name="_Toc15377225"/>
      <w:r>
        <w:rPr>
          <w:rFonts w:ascii="黑体" w:eastAsia="黑体" w:hAnsi="黑体" w:hint="eastAsia"/>
          <w:b/>
          <w:color w:val="000000"/>
          <w:sz w:val="44"/>
          <w:szCs w:val="44"/>
        </w:rPr>
        <w:t>名</w:t>
      </w:r>
      <w:r>
        <w:rPr>
          <w:rStyle w:val="1Char"/>
          <w:rFonts w:ascii="黑体" w:eastAsia="黑体" w:hAnsi="黑体" w:hint="eastAsia"/>
          <w:b w:val="0"/>
        </w:rPr>
        <w:t>词解释</w:t>
      </w:r>
      <w:bookmarkEnd w:id="54"/>
      <w:bookmarkEnd w:id="55"/>
    </w:p>
    <w:p>
      <w:pPr>
        <w:spacing w:line="600" w:lineRule="exact"/>
        <w:jc w:val="left"/>
        <w:rPr>
          <w:rFonts w:ascii="宋体"/>
          <w:b/>
          <w:color w:val="000000"/>
          <w:sz w:val="44"/>
          <w:szCs w:val="44"/>
        </w:rPr>
      </w:pPr>
    </w:p>
    <w:p>
      <w:pPr>
        <w:pStyle w:val="27"/>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7"/>
        <w:spacing w:line="560" w:lineRule="exact"/>
        <w:ind w:firstLineChars="200" w:firstLine="640"/>
        <w:rPr>
          <w:rFonts w:ascii="仿宋_GB2312" w:eastAsia="仿宋_GB2312"/>
          <w:sz w:val="32"/>
          <w:szCs w:val="32"/>
        </w:rPr>
      </w:pPr>
      <w:r>
        <w:rPr>
          <w:rFonts w:ascii="仿宋_GB2312" w:eastAsia="仿宋_GB2312" w:hint="eastAsia"/>
          <w:sz w:val="32"/>
          <w:szCs w:val="32"/>
        </w:rPr>
        <w:t>2.年末结转和结余：指单位按有关规定结转到下年或以后年度继续使用的资金。</w:t>
      </w:r>
    </w:p>
    <w:p>
      <w:pPr>
        <w:spacing w:line="580" w:lineRule="exact"/>
        <w:ind w:firstLineChars="200" w:firstLine="640"/>
        <w:rPr>
          <w:rFonts w:ascii="仿宋_GB2312" w:eastAsia="仿宋_GB2312" w:cs="仿宋" w:hAnsi="Calibri"/>
          <w:color w:val="000000"/>
          <w:kern w:val="0"/>
          <w:sz w:val="32"/>
          <w:szCs w:val="32"/>
        </w:rPr>
      </w:pP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cs="仿宋" w:hAnsi="Calibri" w:hint="eastAsia"/>
          <w:color w:val="000000"/>
          <w:kern w:val="0"/>
          <w:sz w:val="32"/>
          <w:szCs w:val="32"/>
        </w:rPr>
        <w:t>一般公共服务：2010108指人大代表工作；2010301指政府办公室行政运行；2010601指财政事务行政运行；2013101指；2013105党委办公室80岁老党员生活补助及远程教育；2019999指办公经费补助。</w:t>
      </w:r>
    </w:p>
    <w:p>
      <w:pPr>
        <w:spacing w:line="580" w:lineRule="exact"/>
        <w:ind w:firstLineChars="200" w:firstLine="640"/>
        <w:rPr>
          <w:rFonts w:ascii="仿宋_GB2312" w:eastAsia="仿宋_GB2312" w:cs="仿宋" w:hAnsi="Calibri"/>
          <w:color w:val="000000"/>
          <w:kern w:val="0"/>
          <w:sz w:val="32"/>
          <w:szCs w:val="32"/>
        </w:rPr>
      </w:pPr>
      <w:r>
        <w:rPr>
          <w:rFonts w:ascii="仿宋_GB2312" w:eastAsia="仿宋_GB2312" w:cs="仿宋" w:hAnsi="Calibri" w:hint="eastAsia"/>
          <w:color w:val="000000"/>
          <w:kern w:val="0"/>
          <w:sz w:val="32"/>
          <w:szCs w:val="32"/>
        </w:rPr>
        <w:t>4.文化体育与传媒:2070101指文化行政运行；2079999指其他文化体育与传媒。</w:t>
      </w:r>
    </w:p>
    <w:p>
      <w:pPr>
        <w:spacing w:line="580" w:lineRule="exact"/>
        <w:ind w:firstLineChars="200" w:firstLine="640"/>
        <w:rPr>
          <w:rFonts w:ascii="仿宋_GB2312" w:eastAsia="仿宋_GB2312"/>
          <w:sz w:val="32"/>
          <w:szCs w:val="32"/>
        </w:rPr>
      </w:pPr>
      <w:r>
        <w:rPr>
          <w:rFonts w:ascii="仿宋_GB2312" w:eastAsia="仿宋_GB2312" w:cs="仿宋" w:hAnsi="Calibri" w:hint="eastAsia"/>
          <w:color w:val="000000"/>
          <w:kern w:val="0"/>
          <w:sz w:val="32"/>
          <w:szCs w:val="32"/>
        </w:rPr>
        <w:t>5.社会保障和就业：2080505指机关事业单位基本养老保险；2080801指死亡抚恤；2080805指义务兵优待金；</w:t>
      </w:r>
      <w:r>
        <w:rPr>
          <w:rFonts w:ascii="仿宋_GB2312" w:eastAsia="仿宋_GB2312" w:hint="eastAsia"/>
          <w:sz w:val="32"/>
          <w:szCs w:val="32"/>
        </w:rPr>
        <w:t>2080506</w:t>
      </w:r>
      <w:r>
        <w:rPr>
          <w:rFonts w:ascii="仿宋_GB2312" w:eastAsia="仿宋_GB2312" w:cs="仿宋" w:hAnsi="Calibri" w:hint="eastAsia"/>
          <w:color w:val="000000"/>
          <w:kern w:val="0"/>
          <w:sz w:val="32"/>
          <w:szCs w:val="32"/>
        </w:rPr>
        <w:t>指</w:t>
      </w:r>
      <w:r>
        <w:rPr>
          <w:rFonts w:ascii="仿宋_GB2312" w:eastAsia="仿宋_GB2312" w:hint="eastAsia"/>
          <w:sz w:val="32"/>
          <w:szCs w:val="32"/>
        </w:rPr>
        <w:t>机关事业单位职业年金缴费；2080801</w:t>
      </w:r>
      <w:r>
        <w:rPr>
          <w:rFonts w:ascii="仿宋_GB2312" w:eastAsia="仿宋_GB2312" w:cs="仿宋" w:hAnsi="Calibri" w:hint="eastAsia"/>
          <w:color w:val="000000"/>
          <w:kern w:val="0"/>
          <w:sz w:val="32"/>
          <w:szCs w:val="32"/>
        </w:rPr>
        <w:t>指</w:t>
      </w:r>
      <w:r>
        <w:rPr>
          <w:rFonts w:ascii="仿宋_GB2312" w:eastAsia="仿宋_GB2312" w:hint="eastAsia"/>
          <w:sz w:val="32"/>
          <w:szCs w:val="32"/>
        </w:rPr>
        <w:t>死亡抚恤；2080805</w:t>
      </w:r>
      <w:r>
        <w:rPr>
          <w:rFonts w:ascii="仿宋_GB2312" w:eastAsia="仿宋_GB2312" w:cs="仿宋" w:hAnsi="Calibri" w:hint="eastAsia"/>
          <w:color w:val="000000"/>
          <w:kern w:val="0"/>
          <w:sz w:val="32"/>
          <w:szCs w:val="32"/>
        </w:rPr>
        <w:t>指</w:t>
      </w:r>
      <w:r>
        <w:rPr>
          <w:rFonts w:ascii="仿宋_GB2312" w:eastAsia="仿宋_GB2312" w:hint="eastAsia"/>
          <w:sz w:val="32"/>
          <w:szCs w:val="32"/>
        </w:rPr>
        <w:t>义务兵优待;2081501</w:t>
      </w:r>
      <w:r>
        <w:rPr>
          <w:rFonts w:ascii="仿宋_GB2312" w:eastAsia="仿宋_GB2312" w:cs="仿宋" w:hAnsi="Calibri" w:hint="eastAsia"/>
          <w:color w:val="000000"/>
          <w:kern w:val="0"/>
          <w:sz w:val="32"/>
          <w:szCs w:val="32"/>
        </w:rPr>
        <w:t>指</w:t>
      </w:r>
      <w:r>
        <w:rPr>
          <w:rFonts w:ascii="仿宋_GB2312" w:eastAsia="仿宋_GB2312" w:hint="eastAsia"/>
          <w:sz w:val="32"/>
          <w:szCs w:val="32"/>
        </w:rPr>
        <w:t>中央自然灾害生活补助；2081502</w:t>
      </w:r>
      <w:r>
        <w:rPr>
          <w:rFonts w:ascii="仿宋_GB2312" w:eastAsia="仿宋_GB2312" w:cs="仿宋" w:hAnsi="Calibri" w:hint="eastAsia"/>
          <w:color w:val="000000"/>
          <w:kern w:val="0"/>
          <w:sz w:val="32"/>
          <w:szCs w:val="32"/>
        </w:rPr>
        <w:t>指</w:t>
      </w:r>
      <w:r>
        <w:rPr>
          <w:rFonts w:ascii="仿宋_GB2312" w:eastAsia="仿宋_GB2312" w:hint="eastAsia"/>
          <w:sz w:val="32"/>
          <w:szCs w:val="32"/>
        </w:rPr>
        <w:t>地方自然灾害生活补助；2081503</w:t>
      </w:r>
      <w:r>
        <w:rPr>
          <w:rFonts w:ascii="仿宋_GB2312" w:eastAsia="仿宋_GB2312" w:cs="仿宋" w:hAnsi="Calibri" w:hint="eastAsia"/>
          <w:color w:val="000000"/>
          <w:kern w:val="0"/>
          <w:sz w:val="32"/>
          <w:szCs w:val="32"/>
        </w:rPr>
        <w:t>指</w:t>
      </w:r>
      <w:r>
        <w:rPr>
          <w:rFonts w:ascii="仿宋_GB2312" w:eastAsia="仿宋_GB2312" w:hint="eastAsia"/>
          <w:sz w:val="32"/>
          <w:szCs w:val="32"/>
        </w:rPr>
        <w:t>自然灾害灾后重建补助。</w:t>
      </w:r>
    </w:p>
    <w:p>
      <w:pPr>
        <w:spacing w:line="580" w:lineRule="exact"/>
        <w:ind w:firstLineChars="200" w:firstLine="640"/>
        <w:rPr>
          <w:rFonts w:ascii="仿宋_GB2312" w:eastAsia="仿宋_GB2312"/>
          <w:sz w:val="32"/>
          <w:szCs w:val="32"/>
        </w:rPr>
      </w:pPr>
      <w:r>
        <w:rPr>
          <w:rFonts w:ascii="仿宋_GB2312" w:eastAsia="仿宋_GB2312" w:hint="eastAsia"/>
          <w:sz w:val="32"/>
          <w:szCs w:val="32"/>
        </w:rPr>
        <w:t>6.医疗卫生与计划生育：2100716</w:t>
      </w:r>
      <w:r>
        <w:rPr>
          <w:rFonts w:ascii="仿宋_GB2312" w:eastAsia="仿宋_GB2312" w:cs="仿宋" w:hAnsi="Calibri" w:hint="eastAsia"/>
          <w:color w:val="000000"/>
          <w:kern w:val="0"/>
          <w:sz w:val="32"/>
          <w:szCs w:val="32"/>
        </w:rPr>
        <w:t>指</w:t>
      </w:r>
      <w:r>
        <w:rPr>
          <w:rFonts w:ascii="仿宋_GB2312" w:eastAsia="仿宋_GB2312" w:hint="eastAsia"/>
          <w:sz w:val="32"/>
          <w:szCs w:val="32"/>
        </w:rPr>
        <w:t>计划生育机构行政运行；2100717指计划生育服务；2101101指行政单位医疗。</w:t>
      </w:r>
    </w:p>
    <w:p>
      <w:pPr>
        <w:spacing w:line="580" w:lineRule="exact"/>
        <w:ind w:firstLineChars="200" w:firstLine="640"/>
        <w:rPr>
          <w:rFonts w:ascii="仿宋_GB2312" w:eastAsia="仿宋_GB2312"/>
          <w:sz w:val="32"/>
          <w:szCs w:val="32"/>
        </w:rPr>
      </w:pPr>
      <w:r>
        <w:rPr>
          <w:rFonts w:ascii="仿宋_GB2312" w:eastAsia="仿宋_GB2312" w:hint="eastAsia"/>
          <w:sz w:val="32"/>
          <w:szCs w:val="32"/>
        </w:rPr>
        <w:t>7.城乡社区：2120101指城乡社区管理事务行政运行；2120102指城镇路灯、船只运行维护；2120303指小城镇基础设施建设。</w:t>
      </w:r>
    </w:p>
    <w:p>
      <w:pPr>
        <w:spacing w:line="580" w:lineRule="exact"/>
        <w:ind w:firstLineChars="200" w:firstLine="640"/>
        <w:rPr>
          <w:rStyle w:val="22"/>
          <w:rFonts w:ascii="仿宋_GB2312" w:eastAsia="仿宋_GB2312"/>
          <w:b w:val="0"/>
          <w:color w:val="000000"/>
          <w:sz w:val="32"/>
          <w:szCs w:val="32"/>
        </w:rPr>
      </w:pPr>
      <w:r>
        <w:rPr>
          <w:rFonts w:ascii="仿宋_GB2312" w:eastAsia="仿宋_GB2312" w:hint="eastAsia"/>
          <w:sz w:val="32"/>
          <w:szCs w:val="32"/>
        </w:rPr>
        <w:t>8.农林水：2130101指农业行政运行；2130135指农业资源保护修复与利用；2130199指其他农业支出；2130234指林业防灾；2130301指水利行政运行；2130505指生产发展；2130599指贫困村工作经费及</w:t>
      </w:r>
      <w:r>
        <w:rPr>
          <w:rStyle w:val="22"/>
          <w:rFonts w:ascii="仿宋_GB2312" w:eastAsia="仿宋_GB2312" w:hint="eastAsia"/>
          <w:b w:val="0"/>
          <w:color w:val="000000"/>
          <w:sz w:val="32"/>
          <w:szCs w:val="32"/>
        </w:rPr>
        <w:t>两新组织指导员补助；2130701指对村级一事一议的补助；2130705指村、组干部生活补贴、村级办公经费及公共运行维护；2130799指其他农村综合改革。</w:t>
      </w:r>
    </w:p>
    <w:p>
      <w:pPr>
        <w:spacing w:line="580" w:lineRule="exact"/>
        <w:ind w:firstLineChars="200" w:firstLine="640"/>
        <w:rPr>
          <w:rFonts w:ascii="仿宋_GB2312" w:eastAsia="仿宋_GB2312"/>
          <w:sz w:val="32"/>
          <w:szCs w:val="32"/>
        </w:rPr>
      </w:pPr>
      <w:r>
        <w:rPr>
          <w:rFonts w:ascii="仿宋_GB2312" w:eastAsia="仿宋_GB2312" w:hint="eastAsia"/>
          <w:sz w:val="32"/>
          <w:szCs w:val="32"/>
        </w:rPr>
        <w:t>9.交通运输：2140129指内河运输。</w:t>
      </w:r>
    </w:p>
    <w:p>
      <w:pPr>
        <w:spacing w:line="580" w:lineRule="exact"/>
        <w:ind w:firstLineChars="200" w:firstLine="640"/>
        <w:rPr>
          <w:rFonts w:ascii="仿宋_GB2312" w:eastAsia="仿宋_GB2312" w:cs="仿宋" w:hAnsi="Calibri"/>
          <w:color w:val="000000"/>
          <w:kern w:val="0"/>
          <w:sz w:val="32"/>
          <w:szCs w:val="32"/>
        </w:rPr>
      </w:pPr>
      <w:r>
        <w:rPr>
          <w:rFonts w:ascii="仿宋_GB2312" w:eastAsia="仿宋_GB2312" w:hint="eastAsia"/>
          <w:sz w:val="32"/>
          <w:szCs w:val="32"/>
        </w:rPr>
        <w:t>10.住房保障：2210201指住房公积金。</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pPr>
        <w:pStyle w:val="27"/>
        <w:spacing w:line="56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ind w:firstLineChars="200" w:firstLine="640"/>
        <w:rPr>
          <w:rFonts w:ascii="仿宋" w:eastAsia="仿宋" w:hAnsi="仿宋"/>
          <w:b/>
          <w:color w:val="000000"/>
          <w:sz w:val="32"/>
          <w:szCs w:val="32"/>
        </w:rPr>
      </w:pPr>
    </w:p>
    <w:p>
      <w:pPr>
        <w:spacing w:line="600" w:lineRule="exact"/>
        <w:jc w:val="center"/>
        <w:outlineLvl w:val="0"/>
        <w:rPr>
          <w:rStyle w:val="1Char"/>
          <w:rFonts w:ascii="黑体" w:eastAsia="黑体" w:hAnsi="黑体"/>
          <w:b w:val="0"/>
        </w:rPr>
      </w:pPr>
      <w:bookmarkStart w:id="56" w:name="_Toc15377226"/>
      <w:r>
        <w:rPr>
          <w:rFonts w:ascii="宋体"/>
          <w:b/>
          <w:color w:val="000000"/>
          <w:sz w:val="44"/>
          <w:szCs w:val="44"/>
        </w:rPr>
        <w:br w:type="page"/>
      </w:r>
      <w:bookmarkStart w:id="57"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57"/>
    </w:p>
    <w:p>
      <w:pPr>
        <w:spacing w:line="600" w:lineRule="exact"/>
        <w:jc w:val="center"/>
        <w:outlineLvl w:val="0"/>
        <w:rPr>
          <w:rStyle w:val="1Char"/>
        </w:rPr>
      </w:pPr>
    </w:p>
    <w:p>
      <w:pPr>
        <w:pStyle w:val="2"/>
        <w:rPr>
          <w:rStyle w:val="1Char"/>
          <w:rFonts w:ascii="仿宋" w:eastAsia="仿宋" w:hAnsi="仿宋"/>
          <w:sz w:val="32"/>
          <w:szCs w:val="32"/>
        </w:rPr>
      </w:pPr>
      <w:bookmarkStart w:id="58" w:name="_Toc15396615"/>
      <w:r>
        <w:rPr>
          <w:rStyle w:val="1Char"/>
          <w:rFonts w:ascii="仿宋" w:eastAsia="仿宋" w:hAnsi="仿宋" w:hint="eastAsia"/>
          <w:sz w:val="32"/>
          <w:szCs w:val="32"/>
        </w:rPr>
        <w:t>附件1</w:t>
      </w:r>
      <w:bookmarkEnd w:id="58"/>
    </w:p>
    <w:p>
      <w:pPr>
        <w:spacing w:line="600" w:lineRule="exact"/>
        <w:jc w:val="center"/>
        <w:outlineLvl w:val="0"/>
        <w:rPr>
          <w:rFonts w:ascii="黑体" w:eastAsia="黑体" w:cs="方正小标宋简体" w:hAnsi="黑体"/>
          <w:sz w:val="36"/>
          <w:szCs w:val="36"/>
        </w:rPr>
      </w:pPr>
      <w:bookmarkStart w:id="59" w:name="_Toc15396616"/>
      <w:r>
        <w:rPr>
          <w:rFonts w:ascii="黑体" w:eastAsia="黑体" w:cs="方正小标宋简体" w:hAnsi="黑体" w:hint="eastAsia"/>
          <w:sz w:val="36"/>
          <w:szCs w:val="36"/>
        </w:rPr>
        <w:t>金洞乡2018年部门整体支出绩效评价报告</w:t>
      </w:r>
      <w:bookmarkEnd w:id="59"/>
    </w:p>
    <w:p>
      <w:pPr>
        <w:spacing w:line="580" w:lineRule="exact"/>
        <w:ind w:firstLineChars="200" w:firstLine="640"/>
        <w:rPr>
          <w:rFonts w:ascii="黑体" w:eastAsia="黑体" w:cs="黑体" w:hAnsi="黑体"/>
          <w:sz w:val="32"/>
          <w:szCs w:val="32"/>
        </w:rPr>
      </w:pPr>
    </w:p>
    <w:p>
      <w:pPr>
        <w:spacing w:line="580" w:lineRule="exact"/>
        <w:ind w:firstLineChars="200" w:firstLine="640"/>
        <w:rPr>
          <w:rFonts w:ascii="黑体" w:eastAsia="黑体" w:cs="黑体" w:hAnsi="黑体"/>
          <w:sz w:val="32"/>
          <w:szCs w:val="32"/>
        </w:rPr>
      </w:pPr>
      <w:r>
        <w:rPr>
          <w:rFonts w:ascii="黑体" w:eastAsia="黑体" w:cs="黑体" w:hAnsi="黑体" w:hint="eastAsia"/>
          <w:sz w:val="32"/>
          <w:szCs w:val="32"/>
        </w:rPr>
        <w:t>一、单位概况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（一）机构组成。</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color w:val="000000"/>
          <w:sz w:val="32"/>
          <w:szCs w:val="32"/>
        </w:rPr>
        <w:t>金洞乡属一级预算单位，无下属的二级预算单位。</w:t>
      </w:r>
    </w:p>
    <w:p>
      <w:pPr>
        <w:spacing w:line="580" w:lineRule="exact"/>
        <w:ind w:firstLineChars="200" w:firstLine="640"/>
        <w:rPr>
          <w:rFonts w:ascii="仿宋" w:eastAsia="仿宋" w:cs="仿宋_GB2312" w:hAnsi="仿宋"/>
          <w:sz w:val="32"/>
          <w:szCs w:val="32"/>
        </w:rPr>
      </w:pPr>
      <w:r>
        <w:rPr>
          <w:rFonts w:ascii="仿宋_GB2312" w:eastAsia="仿宋_GB2312" w:hint="eastAsia"/>
          <w:sz w:val="32"/>
          <w:szCs w:val="32"/>
        </w:rPr>
        <w:t>我乡201</w:t>
      </w:r>
      <w:r>
        <w:rPr>
          <w:rFonts w:hint="eastAsia"/>
          <w:sz w:val="32"/>
          <w:szCs w:val="32"/>
        </w:rPr>
        <w:t>8</w:t>
      </w:r>
      <w:r>
        <w:rPr>
          <w:rFonts w:ascii="仿宋_GB2312" w:eastAsia="仿宋_GB2312" w:hint="eastAsia"/>
          <w:sz w:val="32"/>
          <w:szCs w:val="32"/>
        </w:rPr>
        <w:t>年所设部门为党政办、经发办（内设财政所、安全办、扶贫移民办、交管办）、社会事务办、便民服务中心，与201</w:t>
      </w:r>
      <w:r>
        <w:rPr>
          <w:rFonts w:hint="eastAsia"/>
          <w:sz w:val="32"/>
          <w:szCs w:val="32"/>
        </w:rPr>
        <w:t>7</w:t>
      </w:r>
      <w:r>
        <w:rPr>
          <w:rFonts w:ascii="仿宋_GB2312" w:eastAsia="仿宋_GB2312" w:hint="eastAsia"/>
          <w:sz w:val="32"/>
          <w:szCs w:val="32"/>
        </w:rPr>
        <w:t>年比无机构增减变动。</w:t>
      </w:r>
    </w:p>
    <w:p>
      <w:pPr>
        <w:numPr>
          <w:ilvl w:val="0"/>
          <w:numId w:val="6"/>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机构职能。</w:t>
      </w:r>
    </w:p>
    <w:p>
      <w:pPr>
        <w:ind w:firstLineChars="200" w:firstLine="640"/>
        <w:rPr>
          <w:rFonts w:ascii="仿宋_GB2312" w:eastAsia="仿宋_GB2312"/>
          <w:kern w:val="0"/>
          <w:sz w:val="32"/>
          <w:szCs w:val="32"/>
        </w:rPr>
      </w:pPr>
      <w:r>
        <w:rPr>
          <w:rFonts w:ascii="仿宋_GB2312" w:eastAsia="仿宋_GB2312" w:hint="eastAsia"/>
          <w:kern w:val="0"/>
          <w:sz w:val="32"/>
          <w:szCs w:val="32"/>
        </w:rPr>
        <w:t>1、执行上级国家行政机关的决定、命令和国家制定的法令、法规，接受同级党委的领导，执行本级人民代表大会的各项决议，并报告执行决议、决定和命令的情况。</w:t>
      </w:r>
    </w:p>
    <w:p>
      <w:pPr>
        <w:ind w:firstLineChars="200" w:firstLine="640"/>
        <w:rPr>
          <w:rFonts w:ascii="仿宋_GB2312" w:eastAsia="仿宋_GB2312"/>
          <w:kern w:val="0"/>
          <w:sz w:val="32"/>
          <w:szCs w:val="32"/>
        </w:rPr>
      </w:pPr>
      <w:r>
        <w:rPr>
          <w:rFonts w:ascii="仿宋_GB2312" w:eastAsia="仿宋_GB2312" w:hint="eastAsia"/>
          <w:kern w:val="0"/>
          <w:sz w:val="32"/>
          <w:szCs w:val="32"/>
        </w:rPr>
        <w:t>2、制定并落实本行政区域的经济计划和措施，促进产业结构调整及其他经济保持平衡协调发展，全面提高人民群众的生活水平和生活质量。</w:t>
      </w:r>
    </w:p>
    <w:p>
      <w:pPr>
        <w:ind w:firstLineChars="200" w:firstLine="640"/>
        <w:rPr>
          <w:rFonts w:ascii="仿宋_GB2312" w:eastAsia="仿宋_GB2312"/>
          <w:kern w:val="0"/>
          <w:sz w:val="32"/>
          <w:szCs w:val="32"/>
        </w:rPr>
      </w:pPr>
      <w:r>
        <w:rPr>
          <w:rFonts w:ascii="仿宋_GB2312" w:eastAsia="仿宋_GB2312" w:hint="eastAsia"/>
          <w:kern w:val="0"/>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ind w:firstLineChars="200" w:firstLine="640"/>
        <w:rPr>
          <w:rFonts w:ascii="仿宋_GB2312" w:eastAsia="仿宋_GB2312"/>
          <w:kern w:val="0"/>
          <w:sz w:val="32"/>
          <w:szCs w:val="32"/>
        </w:rPr>
      </w:pPr>
      <w:r>
        <w:rPr>
          <w:rFonts w:ascii="仿宋_GB2312" w:eastAsia="仿宋_GB2312" w:hint="eastAsia"/>
          <w:kern w:val="0"/>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ind w:firstLineChars="200" w:firstLine="640"/>
        <w:rPr>
          <w:rFonts w:ascii="仿宋_GB2312" w:eastAsia="仿宋_GB2312"/>
          <w:kern w:val="0"/>
          <w:sz w:val="32"/>
          <w:szCs w:val="32"/>
        </w:rPr>
      </w:pPr>
      <w:r>
        <w:rPr>
          <w:rFonts w:ascii="仿宋_GB2312" w:eastAsia="仿宋_GB2312" w:hint="eastAsia"/>
          <w:kern w:val="0"/>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ind w:firstLineChars="200" w:firstLine="640"/>
        <w:rPr>
          <w:rFonts w:ascii="仿宋_GB2312" w:eastAsia="仿宋_GB2312"/>
          <w:kern w:val="0"/>
          <w:sz w:val="32"/>
          <w:szCs w:val="32"/>
        </w:rPr>
      </w:pPr>
      <w:r>
        <w:rPr>
          <w:rFonts w:ascii="仿宋_GB2312" w:eastAsia="仿宋_GB2312" w:hint="eastAsia"/>
          <w:kern w:val="0"/>
          <w:sz w:val="32"/>
          <w:szCs w:val="32"/>
        </w:rPr>
        <w:t>6、加强乡级财政的监督和管理，按计划组织、管理镇财政收入和支出，执行国家有关财经纪律和政策，保证国家财政收入的完成;做好统计工作。</w:t>
      </w:r>
    </w:p>
    <w:p>
      <w:pPr>
        <w:ind w:firstLineChars="200" w:firstLine="640"/>
        <w:rPr>
          <w:rFonts w:ascii="仿宋_GB2312" w:eastAsia="仿宋_GB2312"/>
          <w:kern w:val="0"/>
          <w:sz w:val="32"/>
          <w:szCs w:val="32"/>
        </w:rPr>
      </w:pPr>
      <w:r>
        <w:rPr>
          <w:rFonts w:ascii="仿宋_GB2312" w:eastAsia="仿宋_GB2312" w:hint="eastAsia"/>
          <w:kern w:val="0"/>
          <w:sz w:val="32"/>
          <w:szCs w:val="32"/>
        </w:rPr>
        <w:t>7、指导、支持、帮助村(居)民委员会的组织制度建设和业务建设，促进村(居)民委员会民主自治。</w:t>
      </w:r>
    </w:p>
    <w:p>
      <w:pPr>
        <w:ind w:firstLineChars="200" w:firstLine="640"/>
        <w:rPr>
          <w:rFonts w:ascii="仿宋_GB2312" w:eastAsia="仿宋_GB2312"/>
          <w:kern w:val="0"/>
          <w:sz w:val="32"/>
          <w:szCs w:val="32"/>
        </w:rPr>
      </w:pPr>
      <w:r>
        <w:rPr>
          <w:rFonts w:ascii="仿宋_GB2312" w:eastAsia="仿宋_GB2312" w:hint="eastAsia"/>
          <w:kern w:val="0"/>
          <w:sz w:val="32"/>
          <w:szCs w:val="32"/>
        </w:rPr>
        <w:t>8、制定和组织实施镇村建设规划;加强公用、市政设施、水利建设和管理以及房屋土地管理和环境综合整治工作，保护和改善生活环境和生态环境。</w:t>
      </w:r>
    </w:p>
    <w:p>
      <w:pPr>
        <w:ind w:firstLineChars="200" w:firstLine="640"/>
        <w:rPr>
          <w:rFonts w:ascii="仿宋_GB2312" w:eastAsia="仿宋_GB2312"/>
          <w:kern w:val="0"/>
          <w:sz w:val="32"/>
          <w:szCs w:val="32"/>
        </w:rPr>
      </w:pPr>
      <w:r>
        <w:rPr>
          <w:rFonts w:ascii="仿宋_GB2312" w:eastAsia="仿宋_GB2312" w:hint="eastAsia"/>
          <w:kern w:val="0"/>
          <w:sz w:val="32"/>
          <w:szCs w:val="32"/>
        </w:rPr>
        <w:t>9、协助和支持设置在本行政区域内不隶属于镇的国家机关和企事业单位工作，监督其遵守和执行国家的法律、法规和政策。</w:t>
      </w:r>
    </w:p>
    <w:p>
      <w:pPr>
        <w:spacing w:line="580" w:lineRule="exact"/>
        <w:ind w:firstLineChars="196" w:firstLine="627"/>
        <w:rPr>
          <w:rFonts w:ascii="仿宋_GB2312" w:eastAsia="仿宋_GB2312"/>
          <w:kern w:val="0"/>
          <w:sz w:val="32"/>
          <w:szCs w:val="32"/>
        </w:rPr>
      </w:pPr>
      <w:r>
        <w:rPr>
          <w:rFonts w:ascii="仿宋_GB2312" w:eastAsia="仿宋_GB2312" w:hint="eastAsia"/>
          <w:kern w:val="0"/>
          <w:sz w:val="32"/>
          <w:szCs w:val="32"/>
        </w:rPr>
        <w:t>10、承办区人民政府交办的其它事项。</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（三）人员概况。</w:t>
      </w:r>
    </w:p>
    <w:p>
      <w:pPr>
        <w:spacing w:line="580" w:lineRule="exact"/>
        <w:ind w:firstLineChars="200" w:firstLine="640"/>
        <w:rPr>
          <w:rFonts w:ascii="仿宋" w:eastAsia="仿宋" w:cs="仿宋_GB2312" w:hAnsi="仿宋"/>
          <w:sz w:val="32"/>
          <w:szCs w:val="32"/>
        </w:rPr>
      </w:pPr>
      <w:r>
        <w:rPr>
          <w:rFonts w:ascii="仿宋_GB2312" w:eastAsia="仿宋_GB2312" w:hint="eastAsia"/>
          <w:sz w:val="32"/>
          <w:szCs w:val="32"/>
        </w:rPr>
        <w:t>201</w:t>
      </w:r>
      <w:r>
        <w:rPr>
          <w:rFonts w:hint="eastAsia"/>
          <w:sz w:val="32"/>
          <w:szCs w:val="32"/>
        </w:rPr>
        <w:t>8</w:t>
      </w:r>
      <w:r>
        <w:rPr>
          <w:rFonts w:ascii="仿宋_GB2312" w:eastAsia="仿宋_GB2312" w:hint="eastAsia"/>
          <w:sz w:val="32"/>
          <w:szCs w:val="32"/>
        </w:rPr>
        <w:t>年底金洞乡在职数</w:t>
      </w:r>
      <w:r>
        <w:rPr>
          <w:rFonts w:hint="eastAsia"/>
          <w:sz w:val="32"/>
          <w:szCs w:val="32"/>
        </w:rPr>
        <w:t>38人（</w:t>
      </w:r>
      <w:r>
        <w:rPr>
          <w:rFonts w:ascii="仿宋_GB2312" w:eastAsia="仿宋_GB2312" w:hint="eastAsia"/>
          <w:sz w:val="32"/>
          <w:szCs w:val="32"/>
        </w:rPr>
        <w:t>其中：公务员1</w:t>
      </w:r>
      <w:r>
        <w:rPr>
          <w:rFonts w:hint="eastAsia"/>
          <w:sz w:val="32"/>
          <w:szCs w:val="32"/>
        </w:rPr>
        <w:t>9</w:t>
      </w:r>
      <w:r>
        <w:rPr>
          <w:rFonts w:ascii="仿宋_GB2312" w:eastAsia="仿宋_GB2312" w:hint="eastAsia"/>
          <w:sz w:val="32"/>
          <w:szCs w:val="32"/>
        </w:rPr>
        <w:t>人，机关工人3人，事业人员16人），退休人员1</w:t>
      </w:r>
      <w:r>
        <w:rPr>
          <w:rFonts w:hint="eastAsia"/>
          <w:sz w:val="32"/>
          <w:szCs w:val="32"/>
        </w:rPr>
        <w:t>7</w:t>
      </w:r>
      <w:r>
        <w:rPr>
          <w:rFonts w:ascii="仿宋_GB2312" w:eastAsia="仿宋_GB2312" w:hint="eastAsia"/>
          <w:sz w:val="32"/>
          <w:szCs w:val="32"/>
        </w:rPr>
        <w:t>人，均为财政全额拨款。</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二、部门财政资金收支情况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（一）部门财政资金收入情况。</w:t>
      </w:r>
    </w:p>
    <w:p>
      <w:pPr>
        <w:spacing w:line="580" w:lineRule="exact"/>
        <w:ind w:firstLineChars="200" w:firstLine="640"/>
        <w:rPr>
          <w:rFonts w:ascii="仿宋_GB2312" w:eastAsia="仿宋_GB2312" w:cs="仿宋_GB2312" w:hAnsi="仿宋" w:hint="eastAsia"/>
          <w:sz w:val="32"/>
          <w:szCs w:val="32"/>
        </w:rPr>
      </w:pPr>
      <w:r>
        <w:rPr>
          <w:rFonts w:ascii="仿宋_GB2312" w:eastAsia="仿宋_GB2312" w:hAnsi="仿宋" w:hint="eastAsia"/>
          <w:color w:val="000000"/>
          <w:sz w:val="32"/>
          <w:szCs w:val="32"/>
        </w:rPr>
        <w:t>2018年本年收入合计1523.92万元，其中：一般公共预算财政拨款收入1523.92万元，占100%。</w:t>
      </w:r>
    </w:p>
    <w:p>
      <w:pPr>
        <w:numPr>
          <w:ilvl w:val="0"/>
          <w:numId w:val="6"/>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部门财政资金支出情况。</w:t>
      </w:r>
    </w:p>
    <w:p>
      <w:pPr>
        <w:spacing w:line="580" w:lineRule="exact"/>
        <w:ind w:firstLineChars="200" w:firstLine="640"/>
        <w:rPr>
          <w:rFonts w:ascii="仿宋_GB2312" w:eastAsia="仿宋_GB2312" w:cs="仿宋_GB2312" w:hAnsi="仿宋" w:hint="eastAsia"/>
          <w:sz w:val="32"/>
          <w:szCs w:val="32"/>
        </w:rPr>
      </w:pPr>
      <w:r>
        <w:rPr>
          <w:rFonts w:ascii="仿宋_GB2312" w:eastAsia="仿宋_GB2312" w:hAnsi="仿宋" w:hint="eastAsia"/>
          <w:color w:val="000000"/>
          <w:sz w:val="32"/>
          <w:szCs w:val="32"/>
        </w:rPr>
        <w:t>2018年本年支出合计1545.19万元，其中：基本支出940.51万元，占60.87%；项目支出604.67万元，占39.13%。</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三、部门整体预算绩效管理情况（根据适用指标体系进行调整）</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（一）部门预算管理。</w:t>
      </w:r>
    </w:p>
    <w:p>
      <w:pPr>
        <w:spacing w:line="580" w:lineRule="exact"/>
        <w:ind w:firstLineChars="200" w:firstLine="640"/>
        <w:rPr>
          <w:rFonts w:ascii="仿宋_GB2312" w:eastAsia="仿宋_GB2312" w:cs="仿宋_GB2312" w:hAnsi="仿宋" w:hint="eastAsia"/>
          <w:sz w:val="32"/>
          <w:szCs w:val="32"/>
        </w:rPr>
      </w:pPr>
      <w:r>
        <w:rPr>
          <w:rFonts w:ascii="仿宋_GB2312" w:eastAsia="仿宋_GB2312" w:cs="仿宋_GB2312" w:hAnsi="仿宋" w:hint="eastAsia"/>
          <w:sz w:val="32"/>
          <w:szCs w:val="32"/>
        </w:rPr>
        <w:t>年初预算时制定总体绩效目标、人员经费做好实有人数，人员情况登记造册，按照财政部门制定的定额标准直接计算编制。维持机构正常运行的公用经费按照财政部门制定的定额标准直接计算编制，做到预算编制准确。严格支出控制、层层把关审核。做好预算动态调整、执行进度、预算完成情况和违规记录等。</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（二）专项预算管理。</w:t>
      </w:r>
    </w:p>
    <w:p>
      <w:pPr>
        <w:spacing w:line="580" w:lineRule="exact"/>
        <w:ind w:firstLineChars="200" w:firstLine="640"/>
        <w:rPr>
          <w:rFonts w:ascii="仿宋_GB2312" w:eastAsia="仿宋_GB2312" w:cs="仿宋_GB2312" w:hAnsi="仿宋" w:hint="eastAsia"/>
          <w:sz w:val="32"/>
          <w:szCs w:val="32"/>
        </w:rPr>
      </w:pPr>
      <w:r>
        <w:rPr>
          <w:rFonts w:ascii="仿宋_GB2312" w:eastAsia="仿宋_GB2312" w:cs="仿宋_GB2312" w:hAnsi="仿宋" w:hint="eastAsia"/>
          <w:sz w:val="32"/>
          <w:szCs w:val="32"/>
        </w:rPr>
        <w:t>专项预算项目程序严密、按照效率最优规划合理，分配科学编制专项预算。及时做好专项预算绩效目标完成、实施绩效、违规等记录。</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w:t>
      </w:r>
      <w:r>
        <w:rPr>
          <w:rFonts w:ascii="仿宋" w:eastAsia="仿宋" w:cs="仿宋_GB2312" w:hAnsi="仿宋"/>
          <w:sz w:val="32"/>
          <w:szCs w:val="32"/>
        </w:rPr>
        <w:t>结果应用情况。</w:t>
      </w:r>
    </w:p>
    <w:p>
      <w:pPr>
        <w:spacing w:line="580" w:lineRule="exact"/>
        <w:ind w:leftChars="200" w:left="420" w:firstLineChars="200" w:firstLine="640"/>
        <w:rPr>
          <w:rFonts w:ascii="仿宋_GB2312" w:eastAsia="仿宋_GB2312" w:cs="仿宋_GB2312" w:hAnsi="仿宋" w:hint="eastAsia"/>
          <w:sz w:val="32"/>
          <w:szCs w:val="32"/>
        </w:rPr>
      </w:pPr>
      <w:r>
        <w:rPr>
          <w:rFonts w:ascii="仿宋_GB2312" w:eastAsia="仿宋_GB2312" w:cs="仿宋_GB2312" w:hAnsi="仿宋" w:hint="eastAsia"/>
          <w:sz w:val="32"/>
          <w:szCs w:val="32"/>
        </w:rPr>
        <w:t>2018年金洞乡整体绩效较为良好，财政支出严格按照规程执行达到预期的绩效目标。</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四、评价结论及建议</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w:t>
      </w:r>
      <w:r>
        <w:rPr>
          <w:rFonts w:ascii="仿宋_GB2312" w:hAnsi="仿宋_GB2312" w:hint="eastAsia"/>
          <w:color w:val="000000"/>
          <w:sz w:val="32"/>
          <w:szCs w:val="32"/>
        </w:rPr>
        <w:t>8</w:t>
      </w:r>
      <w:r>
        <w:rPr>
          <w:rFonts w:ascii="仿宋_GB2312" w:eastAsia="仿宋_GB2312" w:hint="eastAsia"/>
          <w:color w:val="000000"/>
          <w:sz w:val="32"/>
          <w:szCs w:val="32"/>
        </w:rPr>
        <w:t>年我乡部门整体支出绩效评价自查自评结果良好，按照预算绩效管理要求，本单位对201</w:t>
      </w:r>
      <w:r>
        <w:rPr>
          <w:rFonts w:ascii="仿宋_GB2312" w:hAnsi="仿宋_GB2312" w:hint="eastAsia"/>
          <w:color w:val="000000"/>
          <w:sz w:val="32"/>
          <w:szCs w:val="32"/>
        </w:rPr>
        <w:t>8</w:t>
      </w:r>
      <w:r>
        <w:rPr>
          <w:rFonts w:ascii="仿宋_GB2312" w:eastAsia="仿宋_GB2312" w:hint="eastAsia"/>
          <w:color w:val="000000"/>
          <w:sz w:val="32"/>
          <w:szCs w:val="32"/>
        </w:rPr>
        <w:t>年整体支出开展绩效自评，自评得分97分，基本支出保证了部门的正常运行和日常工作的正常开展，项目支出能够保障重点工作的开展，达到预期了绩效目标。</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存在问题。</w:t>
      </w:r>
    </w:p>
    <w:p>
      <w:pPr>
        <w:spacing w:line="580" w:lineRule="exact"/>
        <w:ind w:firstLineChars="200" w:firstLine="640"/>
        <w:rPr>
          <w:rFonts w:ascii="仿宋" w:eastAsia="仿宋" w:cs="仿宋_GB2312" w:hAnsi="仿宋"/>
          <w:sz w:val="32"/>
          <w:szCs w:val="32"/>
        </w:rPr>
      </w:pPr>
      <w:r>
        <w:rPr>
          <w:rFonts w:ascii="仿宋_GB2312" w:eastAsia="仿宋_GB2312" w:hint="eastAsia"/>
          <w:color w:val="000000"/>
          <w:sz w:val="32"/>
          <w:szCs w:val="32"/>
        </w:rPr>
        <w:t>内控信息化建设不够完善，预算项目不够全面。</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（三）改进建议。</w:t>
      </w:r>
    </w:p>
    <w:p>
      <w:pPr>
        <w:spacing w:line="580" w:lineRule="exact"/>
        <w:ind w:firstLineChars="200" w:firstLine="640"/>
        <w:rPr>
          <w:rFonts w:ascii="仿宋" w:eastAsia="仿宋" w:cs="仿宋_GB2312" w:hAnsi="仿宋"/>
          <w:sz w:val="32"/>
          <w:szCs w:val="32"/>
        </w:rPr>
      </w:pPr>
      <w:r>
        <w:rPr>
          <w:rFonts w:ascii="仿宋_GB2312" w:eastAsia="仿宋_GB2312" w:hint="eastAsia"/>
          <w:color w:val="000000"/>
          <w:sz w:val="32"/>
          <w:szCs w:val="32"/>
        </w:rPr>
        <w:t>一是在完善内控制度工作基础上，我乡将进一步加强内控信息化建设，采取“分期建设、分步推进”的方式，覆盖内控重点环节。二是梳理细化工作流程及风险点，将各项财经法律、法规以及中央、省各项规章制度与经费支出衔接，实现预设标准、范围，做到提前预警控制。三是强化内控信息化数据分析，发挥信息化管理数据分析优势，并将内控分析结果运用于预算安排、绩效目标编报、资产配置管理等方面，四是加强预算项目的前瞻性，确保预算项目的全面性。</w:t>
      </w:r>
    </w:p>
    <w:p>
      <w:pPr>
        <w:widowControl/>
        <w:jc w:val="left"/>
        <w:rPr>
          <w:rFonts w:ascii="仿宋_GB2312" w:eastAsia="仿宋_GB2312" w:cs="仿宋_GB2312" w:hAnsi="仿宋_GB2312"/>
          <w:sz w:val="32"/>
          <w:szCs w:val="32"/>
        </w:rPr>
      </w:pPr>
      <w:r>
        <w:rPr>
          <w:rFonts w:ascii="仿宋_GB2312" w:eastAsia="仿宋_GB2312" w:cs="仿宋_GB2312" w:hAnsi="仿宋_GB2312"/>
          <w:sz w:val="32"/>
          <w:szCs w:val="32"/>
        </w:rPr>
        <w:br w:type="page"/>
      </w:r>
    </w:p>
    <w:p>
      <w:pPr>
        <w:pStyle w:val="2"/>
        <w:rPr>
          <w:rStyle w:val="1Char"/>
          <w:rFonts w:ascii="仿宋" w:eastAsia="仿宋" w:hAnsi="仿宋"/>
          <w:sz w:val="32"/>
          <w:szCs w:val="32"/>
        </w:rPr>
      </w:pPr>
      <w:bookmarkStart w:id="60" w:name="_Toc15396617"/>
      <w:r>
        <w:rPr>
          <w:rStyle w:val="1Char"/>
          <w:rFonts w:ascii="仿宋" w:eastAsia="仿宋" w:hAnsi="仿宋" w:hint="eastAsia"/>
          <w:sz w:val="32"/>
          <w:szCs w:val="32"/>
        </w:rPr>
        <w:t>附件2</w:t>
      </w:r>
      <w:bookmarkEnd w:id="60"/>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2018年伙食补助项目支出绩效评价报告</w:t>
      </w: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项目评价实施方案情况</w:t>
      </w:r>
      <w:r>
        <w:rPr>
          <w:rFonts w:ascii="仿宋" w:eastAsia="仿宋" w:cs="仿宋_GB2312" w:hAnsi="仿宋" w:hint="eastAsia"/>
          <w:sz w:val="32"/>
          <w:szCs w:val="32"/>
        </w:rPr>
        <w:t>：</w:t>
      </w:r>
      <w:r>
        <w:rPr>
          <w:rFonts w:ascii="仿宋_GB2312" w:eastAsia="仿宋_GB2312" w:cs="仿宋_GB2312" w:hAnsi="仿宋" w:hint="eastAsia"/>
          <w:sz w:val="32"/>
          <w:szCs w:val="32"/>
        </w:rPr>
        <w:t>伙食补助工作重点促进乡伙食团的正常运转，使职工生活有保障，有效解决职工走读问题。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评价指标：</w:t>
      </w:r>
      <w:r>
        <w:rPr>
          <w:rFonts w:ascii="仿宋_GB2312" w:eastAsia="仿宋_GB2312" w:cs="仿宋_GB2312" w:hAnsi="仿宋" w:hint="eastAsia"/>
          <w:sz w:val="32"/>
          <w:szCs w:val="32"/>
        </w:rPr>
        <w:t>全年伙食补助费用支付情况，食堂运行情况。</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hint="eastAsia"/>
          <w:sz w:val="32"/>
          <w:szCs w:val="32"/>
        </w:rPr>
        <w:t>评价方式：</w:t>
      </w:r>
      <w:r>
        <w:rPr>
          <w:rFonts w:ascii="仿宋_GB2312" w:eastAsia="仿宋_GB2312" w:cs="仿宋_GB2312" w:hAnsi="仿宋" w:hint="eastAsia"/>
          <w:sz w:val="32"/>
          <w:szCs w:val="32"/>
        </w:rPr>
        <w:t>实地查看，食堂运行效果展示，群众问卷调查。</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项目绩效评价总体结论：</w:t>
      </w:r>
      <w:r>
        <w:rPr>
          <w:rFonts w:ascii="仿宋_GB2312" w:eastAsia="仿宋_GB2312" w:cs="仿宋_GB2312" w:hAnsi="仿宋" w:hint="eastAsia"/>
          <w:sz w:val="32"/>
          <w:szCs w:val="32"/>
        </w:rPr>
        <w:t>该项目总体实施较好，严格按照八项规定执行，保障了干部职工基本生活，保证了各项工作的顺利进行有效解决了职工走读问题。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sz w:val="32"/>
          <w:szCs w:val="32"/>
        </w:rPr>
        <w:t>必要性和可行性分析</w:t>
      </w:r>
      <w:r>
        <w:rPr>
          <w:rFonts w:ascii="仿宋" w:eastAsia="仿宋" w:cs="仿宋_GB2312" w:hAnsi="仿宋" w:hint="eastAsia"/>
          <w:sz w:val="32"/>
          <w:szCs w:val="32"/>
        </w:rPr>
        <w:t>：</w:t>
      </w:r>
      <w:r>
        <w:rPr>
          <w:rFonts w:ascii="仿宋_GB2312" w:eastAsia="仿宋_GB2312" w:cs="仿宋_GB2312" w:hAnsi="仿宋" w:hint="eastAsia"/>
          <w:sz w:val="32"/>
          <w:szCs w:val="32"/>
        </w:rPr>
        <w:t>由于我乡距离场镇12公里，干部职工生活无法保障，导致干部职工走读现象。为了落实“严禁乡镇干部‘走读’规定”，所以伙食补助工作的实施相当重要。</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sz w:val="32"/>
          <w:szCs w:val="32"/>
        </w:rPr>
        <w:t>绩效目标设置情况</w:t>
      </w:r>
      <w:r>
        <w:rPr>
          <w:rFonts w:ascii="仿宋" w:eastAsia="仿宋" w:cs="仿宋_GB2312" w:hAnsi="仿宋" w:hint="eastAsia"/>
          <w:sz w:val="32"/>
          <w:szCs w:val="32"/>
        </w:rPr>
        <w:t>：</w:t>
      </w:r>
      <w:r>
        <w:rPr>
          <w:rFonts w:ascii="仿宋_GB2312" w:eastAsia="仿宋_GB2312" w:cs="仿宋_GB2312" w:hAnsi="仿宋" w:hint="eastAsia"/>
          <w:sz w:val="32"/>
          <w:szCs w:val="32"/>
        </w:rPr>
        <w:t>保障干部职工基本生活，杜绝走读现象。</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sz w:val="32"/>
          <w:szCs w:val="32"/>
        </w:rPr>
        <w:t>资金分配情况（资金分配管理的科学合理性）</w:t>
      </w:r>
      <w:r>
        <w:rPr>
          <w:rFonts w:ascii="仿宋" w:eastAsia="仿宋" w:cs="仿宋_GB2312" w:hAnsi="仿宋" w:hint="eastAsia"/>
          <w:sz w:val="32"/>
          <w:szCs w:val="32"/>
        </w:rPr>
        <w:t>：</w:t>
      </w:r>
      <w:r>
        <w:rPr>
          <w:rFonts w:ascii="仿宋_GB2312" w:eastAsia="仿宋_GB2312" w:cs="仿宋_GB2312" w:hAnsi="仿宋" w:hint="eastAsia"/>
          <w:sz w:val="32"/>
          <w:szCs w:val="32"/>
        </w:rPr>
        <w:t>全部资金主要是用于乡食堂伙食补助。</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项目目标完成情况</w:t>
      </w:r>
      <w:r>
        <w:rPr>
          <w:rFonts w:ascii="仿宋" w:eastAsia="仿宋" w:cs="仿宋_GB2312" w:hAnsi="仿宋" w:hint="eastAsia"/>
          <w:sz w:val="32"/>
          <w:szCs w:val="32"/>
        </w:rPr>
        <w:t>：</w:t>
      </w:r>
      <w:r>
        <w:rPr>
          <w:rFonts w:ascii="仿宋_GB2312" w:eastAsia="仿宋_GB2312" w:hint="eastAsia"/>
          <w:color w:val="000000"/>
          <w:sz w:val="32"/>
          <w:szCs w:val="32"/>
        </w:rPr>
        <w:t>严格落实专项经费使用管理规定，做到专款专用，保障各项工作的顺利实行，在经费开支上严格按照八项规定执行</w:t>
      </w:r>
      <w:r>
        <w:rPr>
          <w:rFonts w:ascii="仿宋" w:eastAsia="仿宋" w:cs="仿宋_GB2312" w:hAnsi="仿宋" w:hint="eastAsia"/>
          <w:sz w:val="32"/>
          <w:szCs w:val="32"/>
        </w:rPr>
        <w:t>。</w:t>
      </w:r>
    </w:p>
    <w:p>
      <w:pPr>
        <w:numPr>
          <w:ilvl w:val="0"/>
          <w:numId w:val="7"/>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存在主要问题</w:t>
      </w:r>
    </w:p>
    <w:p>
      <w:pPr>
        <w:spacing w:line="580" w:lineRule="exact"/>
        <w:ind w:firstLineChars="200" w:firstLine="640"/>
        <w:rPr>
          <w:rFonts w:ascii="仿宋" w:eastAsia="仿宋" w:cs="仿宋_GB2312" w:hAnsi="仿宋"/>
          <w:sz w:val="32"/>
          <w:szCs w:val="32"/>
        </w:rPr>
      </w:pPr>
      <w:r>
        <w:rPr>
          <w:rFonts w:ascii="仿宋_GB2312" w:eastAsia="仿宋_GB2312" w:hint="eastAsia"/>
          <w:color w:val="000000"/>
          <w:sz w:val="32"/>
          <w:szCs w:val="32"/>
        </w:rPr>
        <w:t>因为我乡属于贫困山区，2018年面临各项检查验收，导致伙食经费开支比较多。</w:t>
      </w:r>
    </w:p>
    <w:p>
      <w:pPr>
        <w:numPr>
          <w:ilvl w:val="0"/>
          <w:numId w:val="7"/>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相关措施建议</w:t>
      </w:r>
    </w:p>
    <w:p>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是严格预算编制，做到细化精确，争取一些费用纳入财政预算中；二是应及时与财政部门衔接，调减专项资金的预算安排，调增人员基本支出的预算安排；三是要严格按照《公务员法》的规定，确保财政供养人员及时到位。</w:t>
      </w:r>
    </w:p>
    <w:p>
      <w:pPr>
        <w:spacing w:line="580" w:lineRule="exact"/>
        <w:ind w:firstLineChars="200" w:firstLine="640"/>
        <w:rPr>
          <w:rFonts w:ascii="仿宋_GB2312" w:eastAsia="仿宋_GB2312"/>
          <w:color w:val="000000"/>
          <w:sz w:val="32"/>
          <w:szCs w:val="32"/>
        </w:rPr>
      </w:pP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2018年森林防火专项经费项目支出绩效评价报告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仿宋_GB2312" w:eastAsia="仿宋_GB2312" w:cs="仿宋_GB2312" w:hAnsi="仿宋_GB2312" w:hint="eastAsia"/>
          <w:sz w:val="32"/>
          <w:szCs w:val="32"/>
        </w:rPr>
      </w:pPr>
      <w:r>
        <w:rPr>
          <w:rFonts w:ascii="仿宋" w:eastAsia="仿宋" w:cs="仿宋_GB2312" w:hAnsi="仿宋"/>
          <w:sz w:val="32"/>
          <w:szCs w:val="32"/>
        </w:rPr>
        <w:t>项目评价实施方案情况</w:t>
      </w:r>
      <w:r>
        <w:rPr>
          <w:rFonts w:ascii="仿宋" w:eastAsia="仿宋" w:cs="仿宋_GB2312" w:hAnsi="仿宋" w:hint="eastAsia"/>
          <w:sz w:val="32"/>
          <w:szCs w:val="32"/>
        </w:rPr>
        <w:t>：</w:t>
      </w:r>
      <w:r>
        <w:rPr>
          <w:rFonts w:ascii="仿宋_GB2312" w:eastAsia="仿宋_GB2312" w:cs="仿宋_GB2312" w:hAnsi="仿宋" w:hint="eastAsia"/>
          <w:sz w:val="32"/>
          <w:szCs w:val="32"/>
        </w:rPr>
        <w:t>全年预算数2万元，执行数为2万元，完成预算的100%。通过项目实施，有效防范辖区森林火灾的发生，保护珍稀植物，保障森林防火宣传，提高群众森林防火意识，绿化面积逐年提升。</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评价指标</w:t>
      </w:r>
      <w:r>
        <w:rPr>
          <w:rFonts w:ascii="仿宋" w:eastAsia="仿宋" w:cs="仿宋_GB2312" w:hAnsi="仿宋" w:hint="eastAsia"/>
          <w:sz w:val="32"/>
          <w:szCs w:val="32"/>
        </w:rPr>
        <w:t>：</w:t>
      </w:r>
      <w:r>
        <w:rPr>
          <w:rFonts w:ascii="仿宋_GB2312" w:eastAsia="仿宋_GB2312" w:cs="仿宋_GB2312" w:hAnsi="仿宋" w:hint="eastAsia"/>
          <w:sz w:val="32"/>
          <w:szCs w:val="32"/>
        </w:rPr>
        <w:t>森林防火措施是否有效，相关宣传是否到位。绿化面积是否提高。</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评价方法</w:t>
      </w:r>
      <w:r>
        <w:rPr>
          <w:rFonts w:ascii="仿宋" w:eastAsia="仿宋" w:cs="仿宋_GB2312" w:hAnsi="仿宋" w:hint="eastAsia"/>
          <w:sz w:val="32"/>
          <w:szCs w:val="32"/>
        </w:rPr>
        <w:t>：</w:t>
      </w:r>
      <w:r>
        <w:rPr>
          <w:rFonts w:ascii="仿宋_GB2312" w:eastAsia="仿宋_GB2312" w:cs="仿宋_GB2312" w:hAnsi="仿宋" w:hint="eastAsia"/>
          <w:sz w:val="32"/>
          <w:szCs w:val="32"/>
        </w:rPr>
        <w:t>支付凭证资料查阅，相关资料翻阅，森林火灾发生控制率。</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580" w:lineRule="exact"/>
        <w:ind w:firstLineChars="200" w:firstLine="640"/>
        <w:rPr>
          <w:rFonts w:ascii="仿宋" w:eastAsia="仿宋" w:cs="仿宋_GB2312" w:hAnsi="仿宋" w:hint="eastAsia"/>
          <w:sz w:val="32"/>
          <w:szCs w:val="32"/>
        </w:rPr>
      </w:pPr>
      <w:r>
        <w:rPr>
          <w:rFonts w:ascii="仿宋" w:eastAsia="仿宋" w:cs="仿宋_GB2312" w:hAnsi="仿宋"/>
          <w:sz w:val="32"/>
          <w:szCs w:val="32"/>
        </w:rPr>
        <w:t>项目绩效评价总体结论</w:t>
      </w:r>
      <w:r>
        <w:rPr>
          <w:rFonts w:ascii="仿宋" w:eastAsia="仿宋" w:cs="仿宋_GB2312" w:hAnsi="仿宋" w:hint="eastAsia"/>
          <w:sz w:val="32"/>
          <w:szCs w:val="32"/>
        </w:rPr>
        <w:t>：</w:t>
      </w:r>
      <w:r>
        <w:rPr>
          <w:rFonts w:ascii="仿宋_GB2312" w:eastAsia="仿宋_GB2312" w:cs="仿宋_GB2312" w:hAnsi="仿宋" w:hint="eastAsia"/>
          <w:sz w:val="32"/>
          <w:szCs w:val="32"/>
        </w:rPr>
        <w:t>该项目总体实践较好，有效防范辖区森林火灾的发生，保护珍稀植物，保障森林防火宣传，提高群众森林防火意识，绿化面积逐年提升。</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必要性和可行性分析</w:t>
      </w:r>
      <w:r>
        <w:rPr>
          <w:rFonts w:ascii="仿宋" w:eastAsia="仿宋" w:cs="仿宋_GB2312" w:hAnsi="仿宋" w:hint="eastAsia"/>
          <w:sz w:val="32"/>
          <w:szCs w:val="32"/>
        </w:rPr>
        <w:t>：</w:t>
      </w:r>
      <w:r>
        <w:rPr>
          <w:rFonts w:ascii="仿宋_GB2312" w:eastAsia="仿宋_GB2312" w:cs="仿宋_GB2312" w:hAnsi="仿宋" w:hint="eastAsia"/>
          <w:sz w:val="32"/>
          <w:szCs w:val="32"/>
        </w:rPr>
        <w:t>森林是地球上最大的陆地生态系统，是全球生物圈中重要的一环。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sz w:val="32"/>
          <w:szCs w:val="32"/>
        </w:rPr>
        <w:t>绩效目标设置情况</w:t>
      </w:r>
      <w:r>
        <w:rPr>
          <w:rFonts w:ascii="仿宋" w:eastAsia="仿宋" w:cs="仿宋_GB2312" w:hAnsi="仿宋" w:hint="eastAsia"/>
          <w:sz w:val="32"/>
          <w:szCs w:val="32"/>
        </w:rPr>
        <w:t>：</w:t>
      </w:r>
      <w:r>
        <w:rPr>
          <w:rFonts w:ascii="仿宋_GB2312" w:eastAsia="仿宋_GB2312" w:cs="仿宋_GB2312" w:hAnsi="仿宋" w:hint="eastAsia"/>
          <w:sz w:val="32"/>
          <w:szCs w:val="32"/>
        </w:rPr>
        <w:t>防范森林火灾，保护珍稀植物，增强群众防火意识。</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sz w:val="32"/>
          <w:szCs w:val="32"/>
        </w:rPr>
        <w:t>资金分配情况</w:t>
      </w:r>
      <w:r>
        <w:rPr>
          <w:rFonts w:ascii="仿宋" w:eastAsia="仿宋" w:cs="仿宋_GB2312" w:hAnsi="仿宋" w:hint="eastAsia"/>
          <w:sz w:val="32"/>
          <w:szCs w:val="32"/>
        </w:rPr>
        <w:t>：</w:t>
      </w:r>
      <w:r>
        <w:rPr>
          <w:rFonts w:ascii="仿宋_GB2312" w:eastAsia="仿宋_GB2312" w:cs="仿宋_GB2312" w:hAnsi="仿宋" w:hint="eastAsia"/>
          <w:sz w:val="32"/>
          <w:szCs w:val="32"/>
        </w:rPr>
        <w:t>该项目全年预算数2万元，用于防火宣传标示标牌的制作和安装，防火物资的采购储备。</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资金使用情况：</w:t>
      </w:r>
      <w:r>
        <w:rPr>
          <w:rFonts w:ascii="仿宋_GB2312" w:eastAsia="仿宋_GB2312" w:cs="仿宋_GB2312" w:hAnsi="仿宋" w:hint="eastAsia"/>
          <w:sz w:val="32"/>
          <w:szCs w:val="32"/>
        </w:rPr>
        <w:t>该项目共计使用2万元，用于防火宣传标示标牌的制作和安装，防火物资的采购储备。</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sz w:val="32"/>
          <w:szCs w:val="32"/>
        </w:rPr>
        <w:t>项目目标完成情况</w:t>
      </w:r>
      <w:r>
        <w:rPr>
          <w:rFonts w:ascii="仿宋" w:eastAsia="仿宋" w:cs="仿宋_GB2312" w:hAnsi="仿宋" w:hint="eastAsia"/>
          <w:sz w:val="32"/>
          <w:szCs w:val="32"/>
        </w:rPr>
        <w:t>：</w:t>
      </w:r>
      <w:r>
        <w:rPr>
          <w:rFonts w:ascii="仿宋_GB2312" w:eastAsia="仿宋_GB2312" w:cs="仿宋_GB2312" w:hAnsi="仿宋" w:hint="eastAsia"/>
          <w:sz w:val="32"/>
          <w:szCs w:val="32"/>
        </w:rPr>
        <w:t>该项目实施较好，全年预算数2万元，执行数为2万元，完成预算的100%。</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项目效益情况</w:t>
      </w:r>
      <w:r>
        <w:rPr>
          <w:rFonts w:ascii="仿宋" w:eastAsia="仿宋" w:cs="仿宋_GB2312" w:hAnsi="仿宋" w:hint="eastAsia"/>
          <w:sz w:val="32"/>
          <w:szCs w:val="32"/>
        </w:rPr>
        <w:t>：</w:t>
      </w:r>
      <w:r>
        <w:rPr>
          <w:rFonts w:ascii="仿宋_GB2312" w:eastAsia="仿宋_GB2312" w:cs="仿宋_GB2312" w:hAnsi="仿宋_GB2312" w:hint="eastAsia"/>
          <w:sz w:val="32"/>
          <w:szCs w:val="32"/>
        </w:rPr>
        <w:t>通过项目实施，有效防范辖区森林火灾的发生，保护珍稀植物，保障森林防火宣传，提高群众森林防火意识，绿化面积逐年提升</w:t>
      </w:r>
      <w:r>
        <w:rPr>
          <w:rFonts w:ascii="仿宋_GB2312" w:cs="仿宋_GB2312" w:hAnsi="仿宋_GB2312" w:hint="eastAsia"/>
          <w:sz w:val="32"/>
          <w:szCs w:val="32"/>
        </w:rPr>
        <w:t>。</w:t>
      </w:r>
    </w:p>
    <w:p>
      <w:pPr>
        <w:numPr>
          <w:ilvl w:val="0"/>
          <w:numId w:val="8"/>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存在主要问题</w:t>
      </w:r>
      <w:r>
        <w:rPr>
          <w:rFonts w:ascii="仿宋_GB2312" w:eastAsia="仿宋_GB2312" w:cs="仿宋_GB2312" w:hAnsi="仿宋_GB2312" w:hint="eastAsia"/>
          <w:sz w:val="32"/>
          <w:szCs w:val="32"/>
        </w:rPr>
        <w:t>：群众森林防火意识需进一步加强</w:t>
      </w:r>
      <w:r>
        <w:rPr>
          <w:rFonts w:ascii="仿宋_GB2312" w:cs="仿宋_GB2312" w:hAnsi="仿宋_GB2312" w:hint="eastAsia"/>
          <w:sz w:val="32"/>
          <w:szCs w:val="32"/>
        </w:rPr>
        <w:t>。</w:t>
      </w:r>
    </w:p>
    <w:p>
      <w:pPr>
        <w:spacing w:line="580" w:lineRule="exact"/>
        <w:jc w:val="left"/>
        <w:rPr>
          <w:rFonts w:ascii="仿宋_GB2312" w:eastAsia="仿宋_GB2312" w:cs="仿宋_GB2312" w:hAnsi="仿宋_GB2312"/>
          <w:sz w:val="32"/>
          <w:szCs w:val="32"/>
        </w:rPr>
      </w:pPr>
      <w:r>
        <w:rPr>
          <w:rFonts w:ascii="仿宋" w:eastAsia="仿宋" w:cs="仿宋_GB2312" w:hAnsi="仿宋"/>
          <w:sz w:val="32"/>
          <w:szCs w:val="32"/>
        </w:rPr>
        <w:t>相关措施建议</w:t>
      </w:r>
      <w:r>
        <w:rPr>
          <w:rFonts w:ascii="仿宋" w:eastAsia="仿宋" w:cs="仿宋_GB2312" w:hAnsi="仿宋" w:hint="eastAsia"/>
          <w:sz w:val="32"/>
          <w:szCs w:val="32"/>
        </w:rPr>
        <w:t>：</w:t>
      </w:r>
      <w:r>
        <w:rPr>
          <w:rFonts w:ascii="仿宋_GB2312" w:eastAsia="仿宋_GB2312" w:cs="仿宋_GB2312" w:hAnsi="仿宋_GB2312" w:hint="eastAsia"/>
          <w:sz w:val="32"/>
          <w:szCs w:val="32"/>
        </w:rPr>
        <w:t>加强森林防火宣传，创新宣传方式方法。</w:t>
      </w:r>
    </w:p>
    <w:p>
      <w:pPr>
        <w:spacing w:line="580" w:lineRule="exact"/>
        <w:ind w:firstLineChars="200" w:firstLine="640"/>
        <w:rPr>
          <w:rFonts w:ascii="仿宋_GB2312" w:eastAsia="仿宋_GB2312"/>
          <w:color w:val="000000"/>
          <w:sz w:val="32"/>
          <w:szCs w:val="32"/>
        </w:rPr>
      </w:pP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2018年人大主席团及代表活动经费项目支出绩效评价报告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仿宋_GB2312" w:eastAsia="仿宋_GB2312" w:cs="仿宋_GB2312" w:hAnsi="仿宋_GB2312" w:hint="eastAsia"/>
          <w:sz w:val="32"/>
          <w:szCs w:val="32"/>
        </w:rPr>
      </w:pPr>
      <w:r>
        <w:rPr>
          <w:rFonts w:ascii="仿宋" w:eastAsia="仿宋" w:cs="仿宋_GB2312" w:hAnsi="仿宋"/>
          <w:sz w:val="32"/>
          <w:szCs w:val="32"/>
        </w:rPr>
        <w:t>项目评价实施方案情况</w:t>
      </w:r>
      <w:r>
        <w:rPr>
          <w:rFonts w:ascii="仿宋" w:eastAsia="仿宋" w:cs="仿宋_GB2312" w:hAnsi="仿宋" w:hint="eastAsia"/>
          <w:sz w:val="32"/>
          <w:szCs w:val="32"/>
        </w:rPr>
        <w:t>：</w:t>
      </w:r>
      <w:r>
        <w:rPr>
          <w:rFonts w:ascii="仿宋_GB2312" w:eastAsia="仿宋_GB2312" w:cs="仿宋_GB2312" w:hAnsi="仿宋" w:hint="eastAsia"/>
          <w:sz w:val="32"/>
          <w:szCs w:val="32"/>
        </w:rPr>
        <w:t>确保人大代表会议的顺利召开，</w:t>
      </w:r>
      <w:r>
        <w:rPr>
          <w:rFonts w:ascii="仿宋_GB2312" w:eastAsia="仿宋_GB2312" w:cs="仿宋_GB2312" w:hAnsi="仿宋_GB2312" w:hint="eastAsia"/>
          <w:sz w:val="32"/>
          <w:szCs w:val="32"/>
        </w:rPr>
        <w:t>保障了人代会及代表工作正常开展及代表权益履行。保证农村代表误工生活补助。</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评价指标</w:t>
      </w:r>
      <w:r>
        <w:rPr>
          <w:rFonts w:ascii="仿宋" w:eastAsia="仿宋" w:cs="仿宋_GB2312" w:hAnsi="仿宋" w:hint="eastAsia"/>
          <w:sz w:val="32"/>
          <w:szCs w:val="32"/>
        </w:rPr>
        <w:t>：</w:t>
      </w:r>
      <w:r>
        <w:rPr>
          <w:rFonts w:ascii="仿宋_GB2312" w:eastAsia="仿宋_GB2312" w:cs="仿宋_GB2312" w:hAnsi="仿宋" w:hint="eastAsia"/>
          <w:sz w:val="32"/>
          <w:szCs w:val="32"/>
        </w:rPr>
        <w:t>人代会召开的经费支出，会议是否及时召开，老百姓满意度和知晓度，人代会办公室装修是否达标，是否能确保正常工作的开展。</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评价方法</w:t>
      </w:r>
      <w:r>
        <w:rPr>
          <w:rFonts w:ascii="仿宋" w:eastAsia="仿宋" w:cs="仿宋_GB2312" w:hAnsi="仿宋" w:hint="eastAsia"/>
          <w:sz w:val="32"/>
          <w:szCs w:val="32"/>
        </w:rPr>
        <w:t>：</w:t>
      </w:r>
      <w:r>
        <w:rPr>
          <w:rFonts w:ascii="仿宋_GB2312" w:eastAsia="仿宋_GB2312" w:cs="仿宋_GB2312" w:hAnsi="仿宋" w:hint="eastAsia"/>
          <w:sz w:val="32"/>
          <w:szCs w:val="32"/>
        </w:rPr>
        <w:t>资料查阅，达到效果评价，群众知晓度调查。</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580" w:lineRule="exact"/>
        <w:ind w:firstLineChars="200" w:firstLine="640"/>
        <w:rPr>
          <w:rFonts w:ascii="仿宋_GB2312" w:eastAsia="仿宋_GB2312" w:cs="仿宋_GB2312" w:hAnsi="仿宋_GB2312"/>
          <w:sz w:val="32"/>
          <w:szCs w:val="32"/>
        </w:rPr>
      </w:pPr>
      <w:r>
        <w:rPr>
          <w:rFonts w:ascii="仿宋" w:eastAsia="仿宋" w:cs="仿宋_GB2312" w:hAnsi="仿宋"/>
          <w:sz w:val="32"/>
          <w:szCs w:val="32"/>
        </w:rPr>
        <w:t>项目绩效评价总体结论</w:t>
      </w:r>
      <w:r>
        <w:rPr>
          <w:rFonts w:ascii="仿宋" w:eastAsia="仿宋" w:cs="仿宋_GB2312" w:hAnsi="仿宋" w:hint="eastAsia"/>
          <w:sz w:val="32"/>
          <w:szCs w:val="32"/>
        </w:rPr>
        <w:t>：</w:t>
      </w:r>
      <w:r>
        <w:rPr>
          <w:rFonts w:ascii="仿宋_GB2312" w:eastAsia="仿宋_GB2312" w:cs="仿宋_GB2312" w:hAnsi="仿宋" w:hint="eastAsia"/>
          <w:sz w:val="32"/>
          <w:szCs w:val="32"/>
        </w:rPr>
        <w:t>该项目总体实践较好，</w:t>
      </w:r>
      <w:r>
        <w:rPr>
          <w:rFonts w:ascii="仿宋_GB2312" w:eastAsia="仿宋_GB2312" w:cs="仿宋_GB2312" w:hAnsi="仿宋_GB2312" w:hint="eastAsia"/>
          <w:sz w:val="32"/>
          <w:szCs w:val="32"/>
        </w:rPr>
        <w:t>保障了人代会及代表工作正常开展及代表权益履行</w:t>
      </w:r>
      <w:r>
        <w:rPr>
          <w:rFonts w:ascii="仿宋_GB2312" w:cs="仿宋_GB2312" w:hAnsi="仿宋_GB2312" w:hint="eastAsia"/>
          <w:sz w:val="32"/>
          <w:szCs w:val="32"/>
        </w:rPr>
        <w:t>。基层民意能及时收集到位。</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_GB2312" w:cs="仿宋_GB2312" w:hAnsi="仿宋" w:hint="eastAsia"/>
          <w:sz w:val="32"/>
          <w:szCs w:val="32"/>
        </w:rPr>
      </w:pPr>
      <w:r>
        <w:rPr>
          <w:rFonts w:ascii="仿宋" w:eastAsia="仿宋" w:cs="仿宋_GB2312" w:hAnsi="仿宋"/>
          <w:sz w:val="32"/>
          <w:szCs w:val="32"/>
        </w:rPr>
        <w:t>必要性和可行性分析</w:t>
      </w:r>
      <w:r>
        <w:rPr>
          <w:rFonts w:ascii="仿宋" w:eastAsia="仿宋" w:cs="仿宋_GB2312" w:hAnsi="仿宋" w:hint="eastAsia"/>
          <w:sz w:val="32"/>
          <w:szCs w:val="32"/>
        </w:rPr>
        <w:t>：</w:t>
      </w:r>
      <w:r>
        <w:rPr>
          <w:rFonts w:ascii="仿宋_GB2312" w:eastAsia="仿宋_GB2312" w:cs="仿宋_GB2312" w:hAnsi="仿宋" w:hint="eastAsia"/>
          <w:sz w:val="32"/>
          <w:szCs w:val="32"/>
        </w:rPr>
        <w:t>乡人大作为最基层的国家权力机关，是人大工作的重要组成部分，乡镇人大是联系人大代表与人民群众的桥梁纽带。改项目能</w:t>
      </w:r>
      <w:r>
        <w:rPr>
          <w:rFonts w:ascii="仿宋_GB2312" w:eastAsia="仿宋_GB2312" w:cs="仿宋_GB2312" w:hAnsi="仿宋_GB2312" w:hint="eastAsia"/>
          <w:sz w:val="32"/>
          <w:szCs w:val="32"/>
        </w:rPr>
        <w:t>保障人代会及代表工作正常开展及代表权益履行</w:t>
      </w:r>
      <w:r>
        <w:rPr>
          <w:rFonts w:ascii="仿宋_GB2312" w:cs="仿宋_GB2312" w:hAnsi="仿宋_GB2312" w:hint="eastAsia"/>
          <w:sz w:val="32"/>
          <w:szCs w:val="32"/>
        </w:rPr>
        <w:t>。</w:t>
      </w:r>
    </w:p>
    <w:p>
      <w:pPr>
        <w:spacing w:line="580" w:lineRule="exact"/>
        <w:ind w:firstLineChars="200" w:firstLine="640"/>
        <w:rPr>
          <w:rFonts w:ascii="仿宋_GB2312" w:eastAsia="仿宋_GB2312" w:cs="仿宋_GB2312" w:hAnsi="仿宋_GB2312"/>
          <w:sz w:val="32"/>
          <w:szCs w:val="32"/>
        </w:rPr>
      </w:pPr>
      <w:r>
        <w:rPr>
          <w:rFonts w:ascii="仿宋" w:eastAsia="仿宋" w:cs="仿宋_GB2312" w:hAnsi="仿宋"/>
          <w:sz w:val="32"/>
          <w:szCs w:val="32"/>
        </w:rPr>
        <w:t>绩效目标设置情况</w:t>
      </w:r>
      <w:r>
        <w:rPr>
          <w:rFonts w:ascii="仿宋" w:eastAsia="仿宋" w:cs="仿宋_GB2312" w:hAnsi="仿宋" w:hint="eastAsia"/>
          <w:sz w:val="32"/>
          <w:szCs w:val="32"/>
        </w:rPr>
        <w:t>：</w:t>
      </w:r>
      <w:r>
        <w:rPr>
          <w:rFonts w:ascii="仿宋_GB2312" w:eastAsia="仿宋_GB2312" w:cs="仿宋_GB2312" w:hAnsi="仿宋" w:hint="eastAsia"/>
          <w:sz w:val="32"/>
          <w:szCs w:val="32"/>
        </w:rPr>
        <w:t>人大代表会议的顺利召开，</w:t>
      </w:r>
      <w:r>
        <w:rPr>
          <w:rFonts w:ascii="仿宋_GB2312" w:eastAsia="仿宋_GB2312" w:cs="仿宋_GB2312" w:hAnsi="仿宋_GB2312" w:hint="eastAsia"/>
          <w:sz w:val="32"/>
          <w:szCs w:val="32"/>
        </w:rPr>
        <w:t>保障人代会及代表工作正常开展及代表权益履行，保障农村</w:t>
      </w:r>
      <w:r>
        <w:rPr>
          <w:rFonts w:ascii="仿宋_GB2312" w:cs="仿宋_GB2312" w:hAnsi="仿宋_GB2312" w:hint="eastAsia"/>
          <w:sz w:val="32"/>
          <w:szCs w:val="32"/>
        </w:rPr>
        <w:t>代表的误工生活补助。</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资金分配情况</w:t>
      </w:r>
      <w:r>
        <w:rPr>
          <w:rFonts w:ascii="仿宋" w:eastAsia="仿宋" w:cs="仿宋_GB2312" w:hAnsi="仿宋" w:hint="eastAsia"/>
          <w:sz w:val="32"/>
          <w:szCs w:val="32"/>
        </w:rPr>
        <w:t>：</w:t>
      </w:r>
      <w:r>
        <w:rPr>
          <w:rFonts w:ascii="仿宋_GB2312" w:eastAsia="仿宋_GB2312" w:cs="仿宋_GB2312" w:hAnsi="仿宋" w:hint="eastAsia"/>
          <w:sz w:val="32"/>
          <w:szCs w:val="32"/>
        </w:rPr>
        <w:t>人代会会议费支出1.92万。</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资金使用情况</w:t>
      </w:r>
      <w:r>
        <w:rPr>
          <w:rFonts w:ascii="仿宋" w:eastAsia="仿宋" w:cs="仿宋_GB2312" w:hAnsi="仿宋" w:hint="eastAsia"/>
          <w:sz w:val="32"/>
          <w:szCs w:val="32"/>
        </w:rPr>
        <w:t>：</w:t>
      </w:r>
      <w:r>
        <w:rPr>
          <w:rFonts w:ascii="仿宋_GB2312" w:eastAsia="仿宋_GB2312" w:cs="仿宋_GB2312" w:hAnsi="仿宋" w:hint="eastAsia"/>
          <w:sz w:val="32"/>
          <w:szCs w:val="32"/>
        </w:rPr>
        <w:t>人代会会议费支出1.92万。</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项目目标完成情况</w:t>
      </w:r>
      <w:r>
        <w:rPr>
          <w:rFonts w:ascii="仿宋" w:eastAsia="仿宋" w:cs="仿宋_GB2312" w:hAnsi="仿宋" w:hint="eastAsia"/>
          <w:sz w:val="32"/>
          <w:szCs w:val="32"/>
        </w:rPr>
        <w:t>：</w:t>
      </w:r>
      <w:r>
        <w:rPr>
          <w:rFonts w:ascii="仿宋_GB2312" w:eastAsia="仿宋_GB2312" w:cs="仿宋_GB2312" w:hAnsi="仿宋" w:hint="eastAsia"/>
          <w:sz w:val="32"/>
          <w:szCs w:val="32"/>
        </w:rPr>
        <w:t>该项目绩效完成情况较好，保障了人代会的及时召开，民意及时得到收集，人大办公室装修达标，确保正常工作的开展。</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sz w:val="32"/>
          <w:szCs w:val="32"/>
        </w:rPr>
        <w:t>项目效益情况</w:t>
      </w:r>
      <w:r>
        <w:rPr>
          <w:rFonts w:ascii="仿宋" w:eastAsia="仿宋" w:cs="仿宋_GB2312" w:hAnsi="仿宋" w:hint="eastAsia"/>
          <w:sz w:val="32"/>
          <w:szCs w:val="32"/>
        </w:rPr>
        <w:t>：</w:t>
      </w:r>
      <w:r>
        <w:rPr>
          <w:rFonts w:ascii="仿宋_GB2312" w:eastAsia="仿宋_GB2312" w:cs="仿宋_GB2312" w:hAnsi="仿宋" w:hint="eastAsia"/>
          <w:sz w:val="32"/>
          <w:szCs w:val="32"/>
        </w:rPr>
        <w:t>进一步提高群众知晓度，广泛收集群众述求，并及时按标准召开人代会，保障代表的合法权益。人民满意度进一步提高。</w:t>
      </w:r>
    </w:p>
    <w:p>
      <w:pPr>
        <w:numPr>
          <w:ilvl w:val="0"/>
          <w:numId w:val="8"/>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存在主要问题</w:t>
      </w:r>
      <w:r>
        <w:rPr>
          <w:rFonts w:ascii="仿宋_GB2312" w:eastAsia="仿宋_GB2312" w:cs="仿宋_GB2312" w:hAnsi="仿宋_GB2312" w:hint="eastAsia"/>
          <w:sz w:val="32"/>
          <w:szCs w:val="32"/>
        </w:rPr>
        <w:t>：群众对人大工作只晓度低</w:t>
      </w:r>
      <w:r>
        <w:rPr>
          <w:rFonts w:ascii="仿宋_GB2312" w:cs="仿宋_GB2312" w:hAnsi="仿宋_GB2312" w:hint="eastAsia"/>
          <w:sz w:val="32"/>
          <w:szCs w:val="32"/>
        </w:rPr>
        <w:t>。</w:t>
      </w:r>
    </w:p>
    <w:p>
      <w:pPr>
        <w:spacing w:line="580" w:lineRule="exact"/>
        <w:jc w:val="left"/>
        <w:rPr>
          <w:rFonts w:ascii="仿宋_GB2312" w:eastAsia="仿宋_GB2312" w:cs="仿宋_GB2312" w:hAnsi="仿宋_GB2312"/>
          <w:sz w:val="32"/>
          <w:szCs w:val="32"/>
        </w:rPr>
      </w:pPr>
      <w:r>
        <w:rPr>
          <w:rFonts w:ascii="仿宋" w:eastAsia="仿宋" w:cs="仿宋_GB2312" w:hAnsi="仿宋"/>
          <w:sz w:val="32"/>
          <w:szCs w:val="32"/>
        </w:rPr>
        <w:t>相关措施建议</w:t>
      </w:r>
      <w:r>
        <w:rPr>
          <w:rFonts w:ascii="仿宋" w:eastAsia="仿宋" w:cs="仿宋_GB2312" w:hAnsi="仿宋" w:hint="eastAsia"/>
          <w:sz w:val="32"/>
          <w:szCs w:val="32"/>
        </w:rPr>
        <w:t>：</w:t>
      </w:r>
      <w:r>
        <w:rPr>
          <w:rFonts w:ascii="仿宋_GB2312" w:eastAsia="仿宋_GB2312" w:cs="仿宋_GB2312" w:hAnsi="仿宋_GB2312" w:hint="eastAsia"/>
          <w:sz w:val="32"/>
          <w:szCs w:val="32"/>
        </w:rPr>
        <w:t>进一步加大人大工作宣传力度，特别提高对代表会议的召开的宣传力度。保证民生述求能够及时收集到位。</w:t>
      </w:r>
    </w:p>
    <w:p>
      <w:pPr>
        <w:spacing w:line="580" w:lineRule="exact"/>
        <w:ind w:firstLineChars="200" w:firstLine="640"/>
        <w:rPr>
          <w:rFonts w:ascii="仿宋_GB2312" w:eastAsia="仿宋_GB2312"/>
          <w:color w:val="000000"/>
          <w:sz w:val="32"/>
          <w:szCs w:val="32"/>
        </w:rPr>
      </w:pP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2018年安全监管项目支出绩效评价报告</w:t>
      </w: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sz w:val="32"/>
          <w:szCs w:val="32"/>
        </w:rPr>
        <w:t>项目评价实施方案情况</w:t>
      </w:r>
      <w:r>
        <w:rPr>
          <w:rFonts w:ascii="仿宋" w:eastAsia="仿宋" w:cs="仿宋_GB2312" w:hAnsi="仿宋" w:hint="eastAsia"/>
          <w:sz w:val="32"/>
          <w:szCs w:val="32"/>
        </w:rPr>
        <w:t>：</w:t>
      </w:r>
      <w:r>
        <w:rPr>
          <w:rFonts w:ascii="仿宋_GB2312" w:eastAsia="仿宋_GB2312" w:cs="仿宋_GB2312" w:hAnsi="仿宋" w:hint="eastAsia"/>
          <w:sz w:val="32"/>
          <w:szCs w:val="32"/>
        </w:rPr>
        <w:t>安全监管工作重点为辖区内全年的安全宣传监管，进乡村，进农户，进学校等安全宣讲活动。</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评价指标：</w:t>
      </w:r>
      <w:r>
        <w:rPr>
          <w:rFonts w:ascii="仿宋_GB2312" w:eastAsia="仿宋_GB2312" w:cs="仿宋_GB2312" w:hAnsi="仿宋" w:hint="eastAsia"/>
          <w:sz w:val="32"/>
          <w:szCs w:val="32"/>
        </w:rPr>
        <w:t>全年安全宣传监管费用支付情况，安全监管活动开展次数。</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hint="eastAsia"/>
          <w:sz w:val="32"/>
          <w:szCs w:val="32"/>
        </w:rPr>
        <w:t>评价方式：</w:t>
      </w:r>
      <w:r>
        <w:rPr>
          <w:rFonts w:ascii="仿宋_GB2312" w:eastAsia="仿宋_GB2312" w:cs="仿宋_GB2312" w:hAnsi="仿宋" w:hint="eastAsia"/>
          <w:sz w:val="32"/>
          <w:szCs w:val="32"/>
        </w:rPr>
        <w:t>资料翻阅，安全监管效果展示，群众问卷调查。</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项目绩效评价总体结论</w:t>
      </w:r>
      <w:r>
        <w:rPr>
          <w:rFonts w:ascii="仿宋" w:eastAsia="仿宋" w:cs="仿宋_GB2312" w:hAnsi="仿宋" w:hint="eastAsia"/>
          <w:sz w:val="32"/>
          <w:szCs w:val="32"/>
        </w:rPr>
        <w:t>：</w:t>
      </w:r>
      <w:r>
        <w:rPr>
          <w:rFonts w:ascii="仿宋_GB2312" w:eastAsia="仿宋_GB2312" w:cs="仿宋_GB2312" w:hAnsi="仿宋" w:hint="eastAsia"/>
          <w:sz w:val="32"/>
          <w:szCs w:val="32"/>
        </w:rPr>
        <w:t>该项目总体实施较好，开展法律进学校、进乡村、进农户20余次。宣传标语12副。</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sz w:val="32"/>
          <w:szCs w:val="32"/>
        </w:rPr>
        <w:t>必要性和可行性分析</w:t>
      </w:r>
      <w:r>
        <w:rPr>
          <w:rFonts w:ascii="仿宋" w:eastAsia="仿宋" w:cs="仿宋_GB2312" w:hAnsi="仿宋" w:hint="eastAsia"/>
          <w:sz w:val="32"/>
          <w:szCs w:val="32"/>
        </w:rPr>
        <w:t>：</w:t>
      </w:r>
      <w:r>
        <w:rPr>
          <w:rFonts w:ascii="仿宋_GB2312" w:eastAsia="仿宋_GB2312" w:cs="仿宋_GB2312" w:hAnsi="仿宋" w:hint="eastAsia"/>
          <w:sz w:val="32"/>
          <w:szCs w:val="32"/>
        </w:rPr>
        <w:t>安全监管是党领导群众的基本方略，依法治区是依法治国的基层具体实践。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绩效目标设置情况</w:t>
      </w:r>
      <w:r>
        <w:rPr>
          <w:rFonts w:ascii="仿宋" w:eastAsia="仿宋" w:cs="仿宋_GB2312" w:hAnsi="仿宋" w:hint="eastAsia"/>
          <w:sz w:val="32"/>
          <w:szCs w:val="32"/>
        </w:rPr>
        <w:t>：</w:t>
      </w:r>
      <w:r>
        <w:rPr>
          <w:rFonts w:ascii="仿宋_GB2312" w:eastAsia="仿宋_GB2312" w:cs="仿宋_GB2312" w:hAnsi="仿宋" w:hint="eastAsia"/>
          <w:sz w:val="32"/>
          <w:szCs w:val="32"/>
        </w:rPr>
        <w:t>提高群众安全意识，时刻保护自己的人身财产安全，确保辖区的安全稳定和谐。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资金分配情况（资金分配管理的科学合理性）</w:t>
      </w:r>
      <w:r>
        <w:rPr>
          <w:rFonts w:ascii="仿宋" w:eastAsia="仿宋" w:cs="仿宋_GB2312" w:hAnsi="仿宋" w:hint="eastAsia"/>
          <w:sz w:val="32"/>
          <w:szCs w:val="32"/>
        </w:rPr>
        <w:t>：</w:t>
      </w:r>
      <w:r>
        <w:rPr>
          <w:rFonts w:ascii="仿宋_GB2312" w:eastAsia="仿宋_GB2312" w:cs="仿宋_GB2312" w:hAnsi="仿宋" w:hint="eastAsia"/>
          <w:sz w:val="32"/>
          <w:szCs w:val="32"/>
        </w:rPr>
        <w:t>全部资金主要是用于安全宣传监管，辖区内安全宣传标语制作。</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sz w:val="32"/>
          <w:szCs w:val="32"/>
        </w:rPr>
        <w:t>项目目标完成情况</w:t>
      </w:r>
      <w:r>
        <w:rPr>
          <w:rFonts w:ascii="仿宋" w:eastAsia="仿宋" w:cs="仿宋_GB2312" w:hAnsi="仿宋" w:hint="eastAsia"/>
          <w:sz w:val="32"/>
          <w:szCs w:val="32"/>
        </w:rPr>
        <w:t>：</w:t>
      </w:r>
      <w:r>
        <w:rPr>
          <w:rFonts w:ascii="仿宋_GB2312" w:eastAsia="仿宋_GB2312" w:cs="仿宋_GB2312" w:hAnsi="仿宋" w:hint="eastAsia"/>
          <w:sz w:val="32"/>
          <w:szCs w:val="32"/>
        </w:rPr>
        <w:t>宣传活动开展安全进学校、进乡村、进农户20余次，宣传标语12副。项目效益情况：项目提高群众安全意识，时刻保护自己的人身财产安全；促进辖区内安全稳定和谐，群众满意度较高。</w:t>
      </w:r>
    </w:p>
    <w:p>
      <w:pPr>
        <w:numPr>
          <w:ilvl w:val="0"/>
          <w:numId w:val="7"/>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存在主要问题</w:t>
      </w:r>
    </w:p>
    <w:p>
      <w:pPr>
        <w:spacing w:line="580" w:lineRule="exact"/>
        <w:ind w:firstLineChars="200" w:firstLine="640"/>
        <w:rPr>
          <w:rFonts w:ascii="仿宋" w:eastAsia="仿宋" w:cs="仿宋_GB2312" w:hAnsi="仿宋"/>
          <w:sz w:val="32"/>
          <w:szCs w:val="32"/>
        </w:rPr>
      </w:pPr>
      <w:r>
        <w:rPr>
          <w:rFonts w:ascii="仿宋_GB2312" w:eastAsia="仿宋_GB2312" w:cs="仿宋_GB2312" w:hAnsi="仿宋_GB2312" w:hint="eastAsia"/>
          <w:sz w:val="32"/>
          <w:szCs w:val="32"/>
        </w:rPr>
        <w:t>安全宣传力度不够。</w:t>
      </w:r>
    </w:p>
    <w:p>
      <w:pPr>
        <w:numPr>
          <w:ilvl w:val="0"/>
          <w:numId w:val="7"/>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相关措施建议</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加大安全宣传力度，提升群众知晓率，增强群众安全意识。</w:t>
      </w:r>
    </w:p>
    <w:p>
      <w:pPr>
        <w:spacing w:line="600" w:lineRule="exact"/>
        <w:jc w:val="center"/>
        <w:outlineLvl w:val="0"/>
        <w:rPr>
          <w:rFonts w:ascii="黑体" w:eastAsia="黑体" w:hAnsi="黑体"/>
          <w:color w:val="000000"/>
          <w:sz w:val="44"/>
          <w:szCs w:val="44"/>
        </w:rPr>
      </w:pPr>
      <w:bookmarkStart w:id="61" w:name="_Toc15396618"/>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2018年依法治区工作经费项目支出绩效评价报告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项目评价实施方案情况</w:t>
      </w:r>
      <w:r>
        <w:rPr>
          <w:rFonts w:ascii="仿宋" w:eastAsia="仿宋" w:cs="仿宋_GB2312" w:hAnsi="仿宋" w:hint="eastAsia"/>
          <w:sz w:val="32"/>
          <w:szCs w:val="32"/>
        </w:rPr>
        <w:t>：</w:t>
      </w:r>
      <w:r>
        <w:rPr>
          <w:rFonts w:ascii="仿宋_GB2312" w:eastAsia="仿宋_GB2312" w:cs="仿宋_GB2312" w:hAnsi="仿宋" w:hint="eastAsia"/>
          <w:sz w:val="32"/>
          <w:szCs w:val="32"/>
        </w:rPr>
        <w:t>依法治区工作重点为辖区内全年的法治宣传，法律进乡村、进学校、进农户等宣讲活动。</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hint="eastAsia"/>
          <w:sz w:val="32"/>
          <w:szCs w:val="32"/>
        </w:rPr>
        <w:t>评价指标：</w:t>
      </w:r>
      <w:r>
        <w:rPr>
          <w:rFonts w:ascii="仿宋_GB2312" w:eastAsia="仿宋_GB2312" w:cs="仿宋_GB2312" w:hAnsi="仿宋" w:hint="eastAsia"/>
          <w:sz w:val="32"/>
          <w:szCs w:val="32"/>
        </w:rPr>
        <w:t>全年法律宣传费用支付情况，法律宣传活动开展次数。</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hint="eastAsia"/>
          <w:sz w:val="32"/>
          <w:szCs w:val="32"/>
        </w:rPr>
        <w:t>评价方式：</w:t>
      </w:r>
      <w:r>
        <w:rPr>
          <w:rFonts w:ascii="仿宋_GB2312" w:eastAsia="仿宋_GB2312" w:cs="仿宋_GB2312" w:hAnsi="仿宋" w:hint="eastAsia"/>
          <w:sz w:val="32"/>
          <w:szCs w:val="32"/>
        </w:rPr>
        <w:t>资料翻阅，法律宣传效果展示，群众问卷调查。</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项目绩效评价总体结论</w:t>
      </w:r>
      <w:r>
        <w:rPr>
          <w:rFonts w:ascii="仿宋" w:eastAsia="仿宋" w:cs="仿宋_GB2312" w:hAnsi="仿宋" w:hint="eastAsia"/>
          <w:sz w:val="32"/>
          <w:szCs w:val="32"/>
        </w:rPr>
        <w:t>：</w:t>
      </w:r>
      <w:r>
        <w:rPr>
          <w:rFonts w:ascii="仿宋_GB2312" w:eastAsia="仿宋_GB2312" w:cs="仿宋_GB2312" w:hAnsi="仿宋" w:hint="eastAsia"/>
          <w:sz w:val="32"/>
          <w:szCs w:val="32"/>
        </w:rPr>
        <w:t>该项目总体实施较好，开展法律进学校、进乡村20余次。宣传标语12副。</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必要性和可行性分析</w:t>
      </w:r>
      <w:r>
        <w:rPr>
          <w:rFonts w:ascii="仿宋" w:eastAsia="仿宋" w:cs="仿宋_GB2312" w:hAnsi="仿宋" w:hint="eastAsia"/>
          <w:sz w:val="32"/>
          <w:szCs w:val="32"/>
        </w:rPr>
        <w:t>：</w:t>
      </w:r>
      <w:r>
        <w:rPr>
          <w:rFonts w:ascii="仿宋_GB2312" w:eastAsia="仿宋_GB2312" w:cs="仿宋_GB2312" w:hAnsi="仿宋" w:hint="eastAsia"/>
          <w:sz w:val="32"/>
          <w:szCs w:val="32"/>
        </w:rPr>
        <w:t>依法治国是党领导群众的基本方略，依法治区是依法治国的基层具体实践。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绩效目标设置情况</w:t>
      </w:r>
      <w:r>
        <w:rPr>
          <w:rFonts w:ascii="仿宋" w:eastAsia="仿宋" w:cs="仿宋_GB2312" w:hAnsi="仿宋" w:hint="eastAsia"/>
          <w:sz w:val="32"/>
          <w:szCs w:val="32"/>
        </w:rPr>
        <w:t>：</w:t>
      </w:r>
      <w:r>
        <w:rPr>
          <w:rFonts w:ascii="仿宋_GB2312" w:eastAsia="仿宋_GB2312" w:cs="仿宋_GB2312" w:hAnsi="仿宋" w:hint="eastAsia"/>
          <w:sz w:val="32"/>
          <w:szCs w:val="32"/>
        </w:rPr>
        <w:t>提高群众法律意识，使群众遇事懂法，关键时刻用法律武器保护自己，确保辖区的安定和谐。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_GB2312" w:eastAsia="仿宋_GB2312" w:cs="仿宋_GB2312" w:hAnsi="仿宋" w:hint="eastAsia"/>
          <w:sz w:val="32"/>
          <w:szCs w:val="32"/>
        </w:rPr>
      </w:pPr>
      <w:r>
        <w:rPr>
          <w:rFonts w:ascii="仿宋" w:eastAsia="仿宋" w:cs="仿宋_GB2312" w:hAnsi="仿宋"/>
          <w:sz w:val="32"/>
          <w:szCs w:val="32"/>
        </w:rPr>
        <w:t>资金分配情况（资金分配管理的科学合理性）</w:t>
      </w:r>
      <w:r>
        <w:rPr>
          <w:rFonts w:ascii="仿宋" w:eastAsia="仿宋" w:cs="仿宋_GB2312" w:hAnsi="仿宋" w:hint="eastAsia"/>
          <w:sz w:val="32"/>
          <w:szCs w:val="32"/>
        </w:rPr>
        <w:t>：</w:t>
      </w:r>
      <w:r>
        <w:rPr>
          <w:rFonts w:ascii="仿宋_GB2312" w:eastAsia="仿宋_GB2312" w:cs="仿宋_GB2312" w:hAnsi="仿宋" w:hint="eastAsia"/>
          <w:sz w:val="32"/>
          <w:szCs w:val="32"/>
        </w:rPr>
        <w:t>全部资金主要是用于法治宣传，辖区内法治宣传标语制作。</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项目目标完成情况</w:t>
      </w:r>
      <w:r>
        <w:rPr>
          <w:rFonts w:ascii="仿宋" w:eastAsia="仿宋" w:cs="仿宋_GB2312" w:hAnsi="仿宋" w:hint="eastAsia"/>
          <w:sz w:val="32"/>
          <w:szCs w:val="32"/>
        </w:rPr>
        <w:t>：</w:t>
      </w:r>
      <w:r>
        <w:rPr>
          <w:rFonts w:ascii="仿宋_GB2312" w:eastAsia="仿宋_GB2312" w:cs="仿宋_GB2312" w:hAnsi="仿宋" w:hint="eastAsia"/>
          <w:sz w:val="32"/>
          <w:szCs w:val="32"/>
        </w:rPr>
        <w:t>宣传活动开展法律进学校、进乡村、进农户20余次。宣传标语12副。项目效益情况：项目提高群众法律意识，知法，懂法用法律武器保护自己；促进辖区内和谐安定，群众满意度较高。</w:t>
      </w:r>
    </w:p>
    <w:p>
      <w:pPr>
        <w:numPr>
          <w:ilvl w:val="0"/>
          <w:numId w:val="7"/>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存在主要问题</w:t>
      </w:r>
    </w:p>
    <w:p>
      <w:pPr>
        <w:spacing w:line="580" w:lineRule="exact"/>
        <w:ind w:firstLineChars="200" w:firstLine="640"/>
        <w:rPr>
          <w:rFonts w:ascii="仿宋" w:eastAsia="仿宋" w:cs="仿宋_GB2312" w:hAnsi="仿宋"/>
          <w:sz w:val="32"/>
          <w:szCs w:val="32"/>
        </w:rPr>
      </w:pPr>
      <w:r>
        <w:rPr>
          <w:rFonts w:ascii="仿宋_GB2312" w:eastAsia="仿宋_GB2312" w:cs="仿宋_GB2312" w:hAnsi="仿宋_GB2312" w:hint="eastAsia"/>
          <w:sz w:val="32"/>
          <w:szCs w:val="32"/>
        </w:rPr>
        <w:t>法律宣传措施和方式单一，预期效果无法完全达到</w:t>
      </w:r>
      <w:r>
        <w:rPr>
          <w:rFonts w:ascii="仿宋_GB2312" w:cs="仿宋_GB2312" w:hAnsi="仿宋_GB2312" w:hint="eastAsia"/>
          <w:sz w:val="32"/>
          <w:szCs w:val="32"/>
        </w:rPr>
        <w:t>。</w:t>
      </w:r>
    </w:p>
    <w:p>
      <w:pPr>
        <w:numPr>
          <w:ilvl w:val="0"/>
          <w:numId w:val="7"/>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相关措施建议</w:t>
      </w:r>
    </w:p>
    <w:p>
      <w:pPr>
        <w:spacing w:line="58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创新法律宣传方式方法，进一步提高群众法律意识。</w:t>
      </w:r>
    </w:p>
    <w:p>
      <w:pPr>
        <w:pageBreakBefore/>
        <w:widowControl w:val="0"/>
        <w:spacing w:line="600" w:lineRule="exact"/>
        <w:jc w:val="center"/>
        <w:outlineLvl w:val="0"/>
        <w:rPr>
          <w:rFonts w:ascii="黑体" w:eastAsia="黑体" w:hAnsi="黑体"/>
          <w:color w:val="000000"/>
          <w:sz w:val="44"/>
          <w:szCs w:val="44"/>
        </w:rPr>
      </w:pPr>
    </w:p>
    <w:p>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 附表</w:t>
      </w:r>
      <w:bookmarkEnd w:id="56"/>
      <w:bookmarkEnd w:id="61"/>
    </w:p>
    <w:p>
      <w:pPr>
        <w:pStyle w:val="2"/>
        <w:rPr>
          <w:rFonts w:ascii="仿宋" w:eastAsia="仿宋" w:hAnsi="仿宋"/>
          <w:color w:val="000000"/>
        </w:rPr>
      </w:pPr>
      <w:bookmarkStart w:id="62" w:name="_Toc15396619"/>
      <w:r>
        <w:rPr>
          <w:rFonts w:ascii="仿宋" w:eastAsia="仿宋" w:hAnsi="仿宋" w:hint="eastAsia"/>
          <w:b w:val="0"/>
          <w:color w:val="000000"/>
        </w:rPr>
        <w:t>一、收</w:t>
      </w:r>
      <w:r>
        <w:rPr>
          <w:rStyle w:val="2Char"/>
          <w:rFonts w:ascii="仿宋" w:eastAsia="仿宋" w:hAnsi="仿宋" w:hint="eastAsia"/>
        </w:rPr>
        <w:t>入支出决算总表</w:t>
      </w:r>
      <w:bookmarkEnd w:id="62"/>
    </w:p>
    <w:p>
      <w:pPr>
        <w:pStyle w:val="2"/>
        <w:rPr>
          <w:rFonts w:ascii="仿宋" w:eastAsia="仿宋" w:hAnsi="仿宋"/>
          <w:color w:val="000000"/>
        </w:rPr>
      </w:pPr>
      <w:bookmarkStart w:id="63" w:name="_Toc15396620"/>
      <w:r>
        <w:rPr>
          <w:rFonts w:ascii="仿宋" w:eastAsia="仿宋" w:hAnsi="仿宋" w:hint="eastAsia"/>
          <w:b w:val="0"/>
          <w:color w:val="000000"/>
        </w:rPr>
        <w:t>二、收</w:t>
      </w:r>
      <w:r>
        <w:rPr>
          <w:rStyle w:val="2Char"/>
          <w:rFonts w:ascii="仿宋" w:eastAsia="仿宋" w:hAnsi="仿宋" w:hint="eastAsia"/>
        </w:rPr>
        <w:t>入总表</w:t>
      </w:r>
      <w:bookmarkEnd w:id="63"/>
    </w:p>
    <w:p>
      <w:pPr>
        <w:pStyle w:val="2"/>
        <w:rPr>
          <w:rFonts w:ascii="仿宋" w:eastAsia="仿宋" w:hAnsi="仿宋"/>
          <w:color w:val="000000"/>
        </w:rPr>
      </w:pPr>
      <w:bookmarkStart w:id="64"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4"/>
    </w:p>
    <w:p>
      <w:pPr>
        <w:pStyle w:val="2"/>
        <w:rPr>
          <w:rFonts w:ascii="仿宋" w:eastAsia="仿宋" w:hAnsi="仿宋"/>
          <w:b w:val="0"/>
          <w:color w:val="000000"/>
        </w:rPr>
      </w:pPr>
      <w:bookmarkStart w:id="65"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5"/>
    </w:p>
    <w:p>
      <w:pPr>
        <w:pStyle w:val="2"/>
        <w:rPr>
          <w:rFonts w:ascii="仿宋" w:eastAsia="仿宋" w:hAnsi="仿宋"/>
          <w:color w:val="000000"/>
        </w:rPr>
      </w:pPr>
      <w:bookmarkStart w:id="66"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6"/>
    </w:p>
    <w:p>
      <w:pPr>
        <w:pStyle w:val="2"/>
        <w:rPr>
          <w:rFonts w:ascii="仿宋" w:eastAsia="仿宋" w:hAnsi="仿宋"/>
          <w:color w:val="000000"/>
        </w:rPr>
      </w:pPr>
      <w:bookmarkStart w:id="67"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7"/>
    </w:p>
    <w:p>
      <w:pPr>
        <w:pStyle w:val="2"/>
        <w:rPr>
          <w:rFonts w:ascii="仿宋" w:eastAsia="仿宋" w:hAnsi="仿宋"/>
          <w:color w:val="000000"/>
        </w:rPr>
      </w:pPr>
      <w:bookmarkStart w:id="68"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8"/>
    </w:p>
    <w:p>
      <w:pPr>
        <w:pStyle w:val="2"/>
        <w:rPr>
          <w:rFonts w:ascii="仿宋" w:eastAsia="仿宋" w:hAnsi="仿宋"/>
          <w:color w:val="000000"/>
        </w:rPr>
      </w:pPr>
      <w:bookmarkStart w:id="69"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9"/>
    </w:p>
    <w:p>
      <w:pPr>
        <w:pStyle w:val="2"/>
        <w:rPr>
          <w:rFonts w:ascii="仿宋" w:eastAsia="仿宋" w:hAnsi="仿宋"/>
          <w:color w:val="000000"/>
        </w:rPr>
      </w:pPr>
      <w:bookmarkStart w:id="70"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0"/>
    </w:p>
    <w:p>
      <w:pPr>
        <w:pStyle w:val="2"/>
        <w:rPr>
          <w:rFonts w:ascii="仿宋" w:eastAsia="仿宋" w:hAnsi="仿宋"/>
          <w:color w:val="000000"/>
        </w:rPr>
      </w:pPr>
      <w:bookmarkStart w:id="71"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1"/>
    </w:p>
    <w:p>
      <w:pPr>
        <w:pStyle w:val="2"/>
        <w:rPr>
          <w:rFonts w:ascii="仿宋" w:eastAsia="仿宋" w:hAnsi="仿宋"/>
          <w:color w:val="000000"/>
        </w:rPr>
      </w:pPr>
      <w:bookmarkStart w:id="72"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2"/>
    </w:p>
    <w:p>
      <w:pPr>
        <w:pStyle w:val="2"/>
        <w:rPr>
          <w:rFonts w:ascii="仿宋" w:eastAsia="仿宋" w:hAnsi="仿宋"/>
          <w:color w:val="000000"/>
        </w:rPr>
      </w:pPr>
      <w:bookmarkStart w:id="73"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3"/>
    </w:p>
    <w:p>
      <w:pPr>
        <w:pStyle w:val="2"/>
        <w:rPr>
          <w:rFonts w:ascii="仿宋" w:eastAsia="仿宋" w:hAnsi="仿宋"/>
          <w:color w:val="000000"/>
        </w:rPr>
      </w:pPr>
      <w:bookmarkStart w:id="74"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4"/>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仿宋_GB2312"/>
    <w:panose1 w:val="00000000000000000000"/>
    <w:charset w:val="86"/>
    <w:family w:val="auto"/>
    <w:pitch w:val="variable"/>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auto"/>
    <w:pitch w:val="variable"/>
    <w:sig w:usb0="00007A87" w:usb1="80000000" w:usb2="00000008" w:usb3="00000000" w:csb0="400001FF" w:csb1="FFFF0000"/>
  </w:font>
  <w:font w:name="仿宋">
    <w:altName w:val="仿宋_GB2312"/>
    <w:panose1 w:val="00000000000000000000"/>
    <w:charset w:val="00"/>
    <w:family w:val="auto"/>
    <w:pitch w:val="variable"/>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variable"/>
    <w:sig w:usb0="00000001" w:usb1="080E0000" w:usb2="00000010" w:usb3="00000000" w:csb0="00040000" w:csb1="00000000"/>
  </w:font>
  <w:font w:name="楷体_GB2312">
    <w:panose1 w:val="02010609030101010101"/>
    <w:charset w:val="86"/>
    <w:family w:val="modern"/>
    <w:pitch w:val="variable"/>
    <w:sig w:usb0="00000001" w:usb1="080E0000" w:usb2="00000010" w:usb3="00000000" w:csb0="00040000" w:csb1="00000000"/>
  </w:font>
  <w:font w:name="Calibri">
    <w:altName w:val="Times New Roman"/>
    <w:panose1 w:val="020F0502020204030204"/>
    <w:charset w:val="00"/>
    <w:family w:val="swiss"/>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A00002EF" w:usb1="4000004B" w:usb2="00000000" w:usb3="00000000" w:csb0="0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961435851"/>
    </w:sdtPr>
    <w:sdtContent>
      <w:p>
        <w:pPr>
          <w:pStyle w:val="18"/>
          <w:tabs>
            <w:tab w:val="center" w:pos="4153"/>
            <w:tab w:val="right" w:pos="8306"/>
          </w:tabs>
          <w:jc w:val="center"/>
        </w:pPr>
        <w:r>
          <w:fldChar w:fldCharType="begin"/>
        </w:r>
        <w:r>
          <w:instrText>PAGE   \* MERGEFORMAT</w:instrText>
        </w:r>
        <w:r>
          <w:fldChar w:fldCharType="separate"/>
        </w:r>
        <w:r>
          <w:rPr>
            <w:lang w:val="zh-CN"/>
          </w:rPr>
          <w:t>7</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C0BEF30"/>
    <w:multiLevelType w:val="singleLevel"/>
    <w:tmpl w:val="EC0BEF30"/>
    <w:lvl w:ilvl="0">
      <w:start w:val="1"/>
      <w:numFmt w:val="chineseCounting"/>
      <w:lvlRestart w:val="0"/>
      <w:suff w:val="nothing"/>
      <w:lvlText w:val="（%1）"/>
      <w:lvlJc w:val="left"/>
      <w:pPr/>
      <w:rPr>
        <w:rFonts w:ascii="楷体_GB2312" w:hAnsi="楷体_GB2312" w:eastAsia="楷体_GB2312" w:cs="楷体_GB2312" w:hint="eastAsia"/>
        <w:b/>
        <w:bCs/>
        <w:sz w:val="32"/>
        <w:szCs w:val="32"/>
      </w:rPr>
    </w:lvl>
  </w:abstractNum>
  <w:abstractNum w:abstractNumId="3">
    <w:nsid w:val="B026C66B"/>
    <w:multiLevelType w:val="singleLevel"/>
    <w:tmpl w:val="B026C66B"/>
    <w:lvl w:ilvl="0">
      <w:start w:val="1"/>
      <w:numFmt w:val="decimal"/>
      <w:lvlRestart w:val="0"/>
      <w:lvlText w:val="%1."/>
      <w:lvlJc w:val="left"/>
      <w:pPr>
        <w:tabs>
          <w:tab w:val="num" w:pos="312"/>
        </w:tabs>
      </w:pPr>
    </w:lvl>
  </w:abstractNum>
  <w:abstractNum w:abstractNumId="4">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5">
    <w:nsid w:val="FC96D771"/>
    <w:multiLevelType w:val="singleLevel"/>
    <w:tmpl w:val="FC96D771"/>
    <w:lvl w:ilvl="0">
      <w:start w:val="2"/>
      <w:numFmt w:val="chineseCounting"/>
      <w:lvlRestart w:val="0"/>
      <w:suff w:val="nothing"/>
      <w:lvlText w:val="（%1）"/>
      <w:lvlJc w:val="left"/>
      <w:pPr/>
      <w:rPr>
        <w:rFonts w:hint="eastAsia"/>
      </w:rPr>
    </w:lvl>
  </w:abstractNum>
  <w:abstractNum w:abstractNumId="6">
    <w:nsid w:val="A86348F4"/>
    <w:multiLevelType w:val="singleLevel"/>
    <w:tmpl w:val="A86348F4"/>
    <w:lvl w:ilvl="0">
      <w:start w:val="3"/>
      <w:numFmt w:val="chineseCounting"/>
      <w:lvlRestart w:val="0"/>
      <w:suff w:val="nothing"/>
      <w:lvlText w:val="%1、"/>
      <w:lvlJc w:val="left"/>
      <w:pPr/>
      <w:rPr>
        <w:rFonts w:hint="eastAsia"/>
      </w:rPr>
    </w:lvl>
  </w:abstractNum>
  <w:abstractNum w:abstractNumId="7">
    <w:nsid w:val="32B2F5DB"/>
    <w:multiLevelType w:val="singleLevel"/>
    <w:tmpl w:val="32B2F5DB"/>
    <w:lvl w:ilvl="0">
      <w:start w:val="3"/>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9"/>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0" i="0" u="none" strike="noStrike" baseline="0">
                <a:solidFill>
                  <a:srgbClr val="595959"/>
                </a:solidFill>
                <a:latin typeface="黑体"/>
                <a:ea typeface="黑体"/>
                <a:cs typeface="Lucida Sans"/>
              </a:defRPr>
            </a:pPr>
            <a:r>
              <a:rPr lang="zh-CN"/>
              <a:t>收、支决算总计变动情况图</a:t>
            </a:r>
          </a:p>
        </c:rich>
      </c:tx>
      <c:layout/>
      <c:overlay val="0"/>
      <c:spPr>
        <a:noFill/>
        <a:ln>
          <a:noFill/>
        </a:ln>
      </c:spPr>
    </c:title>
    <c:autoTitleDeleted val="1"/>
    <c:plotArea>
      <c:layout/>
      <c:barChart>
        <c:barDir val="col"/>
        <c:grouping val="clustered"/>
        <c:varyColors val="0"/>
        <c:ser>
          <c:idx val="0"/>
          <c:order val="0"/>
          <c:tx>
            <c:v>2017年</c:v>
          </c:tx>
          <c:spPr>
            <a:solidFill>
              <a:srgbClr val="4F81BD"/>
            </a:solidFill>
            <a:ln>
              <a:noFill/>
            </a:ln>
          </c:spPr>
          <c:invertIfNegative val="0"/>
          <c:dLbls>
            <c:showLegendKey val="0"/>
            <c:showVal val="0"/>
            <c:showCatName val="0"/>
            <c:showSerName val="0"/>
            <c:showPercent val="0"/>
            <c:showBubbleSize val="0"/>
            <c:showLeaderLines val="0"/>
          </c:dLbls>
          <c:cat>
            <c:strLit>
              <c:ptCount val="2"/>
              <c:pt idx="0">
                <c:v>收入（万元）</c:v>
              </c:pt>
              <c:pt idx="1">
                <c:v>支出（万元）</c:v>
              </c:pt>
            </c:strLit>
          </c:cat>
          <c:val>
            <c:numRef>
              <c:f/>
              <c:numCache>
                <c:formatCode>General</c:formatCode>
                <c:ptCount val="2"/>
                <c:pt idx="0">
                  <c:v>1237.65</c:v>
                </c:pt>
                <c:pt idx="1">
                  <c:v>1257.16</c:v>
                </c:pt>
              </c:numCache>
            </c:numRef>
          </c:val>
        </c:ser>
        <c:ser>
          <c:idx val="1"/>
          <c:order val="1"/>
          <c:tx>
            <c:v>2018年</c:v>
          </c:tx>
          <c:spPr>
            <a:solidFill>
              <a:srgbClr val="C0504D"/>
            </a:solidFill>
            <a:ln>
              <a:noFill/>
            </a:ln>
          </c:spPr>
          <c:invertIfNegative val="0"/>
          <c:dLbls>
            <c:showLegendKey val="0"/>
            <c:showVal val="0"/>
            <c:showCatName val="0"/>
            <c:showSerName val="0"/>
            <c:showPercent val="0"/>
            <c:showBubbleSize val="0"/>
            <c:showLeaderLines val="0"/>
          </c:dLbls>
          <c:cat>
            <c:strLit>
              <c:ptCount val="2"/>
              <c:pt idx="0">
                <c:v>收入（万元）</c:v>
              </c:pt>
              <c:pt idx="1">
                <c:v>支出（万元）</c:v>
              </c:pt>
            </c:strLit>
          </c:cat>
          <c:val>
            <c:numRef>
              <c:f/>
              <c:numCache>
                <c:formatCode>General</c:formatCode>
                <c:ptCount val="2"/>
                <c:pt idx="0">
                  <c:v>1523.92</c:v>
                </c:pt>
                <c:pt idx="1">
                  <c:v>1545.19</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1100" b="0" i="0" u="none" strike="noStrike" baseline="0">
                <a:solidFill>
                  <a:srgbClr val="595959"/>
                </a:solidFill>
                <a:latin typeface="黑体"/>
                <a:ea typeface="黑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1100" b="0" i="0" u="none" strike="noStrike" baseline="0">
                <a:solidFill>
                  <a:srgbClr val="595959"/>
                </a:solidFill>
                <a:latin typeface="黑体"/>
                <a:ea typeface="黑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1100" b="0" i="0" u="none" strike="noStrike" baseline="0">
              <a:solidFill>
                <a:srgbClr val="595959"/>
              </a:solidFill>
              <a:latin typeface="黑体"/>
              <a:ea typeface="黑体"/>
              <a:cs typeface="Lucida Sans"/>
            </a:defRPr>
          </a:pPr>
          <a:endParaRPr lang="zh-CN"/>
        </a:p>
      </c:txPr>
      <c:legendEntry>
        <c:idx val="0"/>
        <c:txPr>
          <a:bodyPr/>
          <a:lstStyle/>
          <a:p>
            <a:pPr>
              <a:defRPr sz="1100" b="0" i="0" u="none" strike="noStrike" baseline="0">
                <a:solidFill>
                  <a:srgbClr val="595959"/>
                </a:solidFill>
                <a:latin typeface="黑体"/>
                <a:ea typeface="黑体"/>
                <a:cs typeface="Lucida Sans"/>
              </a:defRPr>
            </a:pPr>
            <a:endParaRPr lang="zh-CN"/>
          </a:p>
        </c:txPr>
      </c:legendEntry>
      <c:legendEntry>
        <c:idx val="1"/>
        <c:txPr>
          <a:bodyPr/>
          <a:lstStyle/>
          <a:p>
            <a:pPr>
              <a:defRPr sz="1100" b="0" i="0" u="none" strike="noStrike" baseline="0">
                <a:solidFill>
                  <a:srgbClr val="595959"/>
                </a:solidFill>
                <a:latin typeface="黑体"/>
                <a:ea typeface="黑体"/>
                <a:cs typeface="Lucida Sans"/>
              </a:defRPr>
            </a:pPr>
            <a:endParaRPr lang="zh-CN"/>
          </a:p>
        </c:txPr>
      </c:legendEntry>
    </c:legend>
    <c:plotVisOnly val="1"/>
    <c:dispBlanksAs val="gap"/>
    <c:showDLblsOverMax val="0"/>
  </c:chart>
  <c:spPr>
    <a:solidFill>
      <a:srgbClr val="FFFFFF"/>
    </a:solidFill>
    <a:ln w="6350">
      <a:solidFill>
        <a:srgbClr val="D9D9D9"/>
      </a:solidFill>
      <a:prstDash val="solid"/>
    </a:ln>
  </c:spPr>
  <c:txPr>
    <a:bodyPr/>
    <a:lstStyle/>
    <a:p>
      <a:pPr>
        <a:defRPr sz="1100" b="0" i="0" u="none" strike="noStrike" baseline="0">
          <a:solidFill>
            <a:srgbClr val="000000"/>
          </a:solidFill>
          <a:latin typeface="黑体"/>
          <a:ea typeface="黑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收入决算结构图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Pt>
            <c:idx val="5"/>
            <c:bubble3D val="0"/>
            <c:spPr>
              <a:solidFill>
                <a:srgbClr val="F79646"/>
              </a:solidFill>
              <a:ln w="19050">
                <a:solidFill>
                  <a:srgbClr val="FFFFFF"/>
                </a:solidFill>
                <a:prstDash val="solid"/>
              </a:ln>
            </c:spPr>
          </c:dPt>
          <c:dPt>
            <c:idx val="6"/>
            <c:bubble3D val="0"/>
            <c:spPr>
              <a:solidFill>
                <a:srgbClr val="2C4D75"/>
              </a:solidFill>
              <a:ln w="19050">
                <a:solidFill>
                  <a:srgbClr val="FFFFFF"/>
                </a:solidFill>
                <a:prstDash val="solid"/>
              </a:ln>
            </c:spPr>
          </c:dPt>
          <c:dLbls>
            <c:showLegendKey val="0"/>
            <c:showVal val="0"/>
            <c:showCatName val="0"/>
            <c:showSerName val="0"/>
            <c:showPercent val="0"/>
            <c:showBubbleSize val="0"/>
            <c:showLeaderLines val="0"/>
          </c:dLbls>
          <c:cat>
            <c:strLit>
              <c:ptCount val="7"/>
              <c:pt idx="0">
                <c:v>一般公共预算财政拨款</c:v>
              </c:pt>
              <c:pt idx="1">
                <c:v>政府性基金预算财政拨款</c:v>
              </c:pt>
              <c:pt idx="2">
                <c:v>国有资本经营预算财政拨款</c:v>
              </c:pt>
              <c:pt idx="3">
                <c:v>事业</c:v>
              </c:pt>
              <c:pt idx="4">
                <c:v>经营</c:v>
              </c:pt>
              <c:pt idx="5">
                <c:v>附属单位上缴</c:v>
              </c:pt>
              <c:pt idx="6">
                <c:v>其他</c:v>
              </c:pt>
            </c:strLit>
          </c:cat>
          <c:val>
            <c:numRef>
              <c:f/>
              <c:numCache>
                <c:formatCode>General</c:formatCode>
                <c:ptCount val="7"/>
                <c:pt idx="0">
                  <c:v>1523.92</c:v>
                </c:pt>
                <c:pt idx="1">
                  <c:v>0.0</c:v>
                </c:pt>
                <c:pt idx="3">
                  <c:v>0.0</c:v>
                </c:pt>
                <c:pt idx="4">
                  <c:v>0.0</c:v>
                </c:pt>
                <c:pt idx="5">
                  <c:v>0.0</c:v>
                </c:pt>
                <c:pt idx="6">
                  <c:v>0.0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支出决算结构图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Lbls>
            <c:showLegendKey val="0"/>
            <c:showVal val="0"/>
            <c:showCatName val="0"/>
            <c:showSerName val="0"/>
            <c:showPercent val="0"/>
            <c:showBubbleSize val="0"/>
            <c:showLeaderLines val="0"/>
          </c:dLbls>
          <c:cat>
            <c:strLit>
              <c:ptCount val="5"/>
              <c:pt idx="0">
                <c:v>基本</c:v>
              </c:pt>
              <c:pt idx="1">
                <c:v>项目</c:v>
              </c:pt>
              <c:pt idx="2">
                <c:v>上缴上级</c:v>
              </c:pt>
              <c:pt idx="3">
                <c:v>经营</c:v>
              </c:pt>
              <c:pt idx="4">
                <c:v>对附属单位补助</c:v>
              </c:pt>
            </c:strLit>
          </c:cat>
          <c:val>
            <c:numRef>
              <c:f/>
              <c:numCache>
                <c:formatCode>General</c:formatCode>
                <c:ptCount val="5"/>
                <c:pt idx="0">
                  <c:v>940.51</c:v>
                </c:pt>
                <c:pt idx="1">
                  <c:v>604.67</c:v>
                </c:pt>
                <c:pt idx="3">
                  <c:v>0.0</c:v>
                </c:pt>
                <c:pt idx="4">
                  <c:v>0.0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0" i="0" u="none" strike="noStrike" baseline="0">
                <a:solidFill>
                  <a:srgbClr val="595959"/>
                </a:solidFill>
                <a:latin typeface="黑体"/>
                <a:ea typeface="黑体"/>
                <a:cs typeface="Lucida Sans"/>
              </a:defRPr>
            </a:pPr>
            <a:r>
              <a:rPr lang="zh-CN"/>
              <a:t>财政拨款收、支决算总计变动情况图</a:t>
            </a:r>
          </a:p>
        </c:rich>
      </c:tx>
      <c:layout/>
      <c:overlay val="0"/>
      <c:spPr>
        <a:noFill/>
        <a:ln>
          <a:noFill/>
        </a:ln>
      </c:spPr>
    </c:title>
    <c:autoTitleDeleted val="1"/>
    <c:plotArea>
      <c:layout/>
      <c:barChart>
        <c:barDir val="col"/>
        <c:grouping val="clustered"/>
        <c:varyColors val="0"/>
        <c:ser>
          <c:idx val="0"/>
          <c:order val="0"/>
          <c:tx>
            <c:v>2017年</c:v>
          </c:tx>
          <c:spPr>
            <a:solidFill>
              <a:srgbClr val="4F81BD"/>
            </a:solidFill>
            <a:ln>
              <a:noFill/>
            </a:ln>
          </c:spPr>
          <c:invertIfNegative val="0"/>
          <c:dLbls>
            <c:showLegendKey val="0"/>
            <c:showVal val="0"/>
            <c:showCatName val="0"/>
            <c:showSerName val="0"/>
            <c:showPercent val="0"/>
            <c:showBubbleSize val="0"/>
            <c:showLeaderLines val="0"/>
          </c:dLbls>
          <c:cat>
            <c:strLit>
              <c:ptCount val="2"/>
              <c:pt idx="0">
                <c:v>收入（万元）</c:v>
              </c:pt>
              <c:pt idx="1">
                <c:v>支出（万元）</c:v>
              </c:pt>
            </c:strLit>
          </c:cat>
          <c:val>
            <c:numRef>
              <c:f/>
              <c:numCache>
                <c:formatCode>General</c:formatCode>
                <c:ptCount val="2"/>
                <c:pt idx="0">
                  <c:v>1237.65</c:v>
                </c:pt>
                <c:pt idx="1">
                  <c:v>1257.16</c:v>
                </c:pt>
              </c:numCache>
            </c:numRef>
          </c:val>
        </c:ser>
        <c:ser>
          <c:idx val="1"/>
          <c:order val="1"/>
          <c:tx>
            <c:v>2018年</c:v>
          </c:tx>
          <c:spPr>
            <a:solidFill>
              <a:srgbClr val="C0504D"/>
            </a:solidFill>
            <a:ln>
              <a:noFill/>
            </a:ln>
          </c:spPr>
          <c:invertIfNegative val="0"/>
          <c:dLbls>
            <c:showLegendKey val="0"/>
            <c:showVal val="0"/>
            <c:showCatName val="0"/>
            <c:showSerName val="0"/>
            <c:showPercent val="0"/>
            <c:showBubbleSize val="0"/>
            <c:showLeaderLines val="0"/>
          </c:dLbls>
          <c:cat>
            <c:strLit>
              <c:ptCount val="2"/>
              <c:pt idx="0">
                <c:v>收入（万元）</c:v>
              </c:pt>
              <c:pt idx="1">
                <c:v>支出（万元）</c:v>
              </c:pt>
            </c:strLit>
          </c:cat>
          <c:val>
            <c:numRef>
              <c:f/>
              <c:numCache>
                <c:formatCode>General</c:formatCode>
                <c:ptCount val="2"/>
                <c:pt idx="0">
                  <c:v>1523.92</c:v>
                </c:pt>
                <c:pt idx="1">
                  <c:v>1545.19</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1100" b="0" i="0" u="none" strike="noStrike" baseline="0">
                <a:solidFill>
                  <a:srgbClr val="595959"/>
                </a:solidFill>
                <a:latin typeface="黑体"/>
                <a:ea typeface="黑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1100" b="0" i="0" u="none" strike="noStrike" baseline="0">
                <a:solidFill>
                  <a:srgbClr val="595959"/>
                </a:solidFill>
                <a:latin typeface="黑体"/>
                <a:ea typeface="黑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1100" b="0" i="0" u="none" strike="noStrike" baseline="0">
              <a:solidFill>
                <a:srgbClr val="595959"/>
              </a:solidFill>
              <a:latin typeface="黑体"/>
              <a:ea typeface="黑体"/>
              <a:cs typeface="Lucida Sans"/>
            </a:defRPr>
          </a:pPr>
          <a:endParaRPr lang="zh-CN"/>
        </a:p>
      </c:txPr>
      <c:legendEntry>
        <c:idx val="0"/>
        <c:txPr>
          <a:bodyPr/>
          <a:lstStyle/>
          <a:p>
            <a:pPr>
              <a:defRPr sz="1100" b="0" i="0" u="none" strike="noStrike" baseline="0">
                <a:solidFill>
                  <a:srgbClr val="595959"/>
                </a:solidFill>
                <a:latin typeface="黑体"/>
                <a:ea typeface="黑体"/>
                <a:cs typeface="Lucida Sans"/>
              </a:defRPr>
            </a:pPr>
            <a:endParaRPr lang="zh-CN"/>
          </a:p>
        </c:txPr>
      </c:legendEntry>
      <c:legendEntry>
        <c:idx val="1"/>
        <c:txPr>
          <a:bodyPr/>
          <a:lstStyle/>
          <a:p>
            <a:pPr>
              <a:defRPr sz="1100" b="0" i="0" u="none" strike="noStrike" baseline="0">
                <a:solidFill>
                  <a:srgbClr val="595959"/>
                </a:solidFill>
                <a:latin typeface="黑体"/>
                <a:ea typeface="黑体"/>
                <a:cs typeface="Lucida Sans"/>
              </a:defRPr>
            </a:pPr>
            <a:endParaRPr lang="zh-CN"/>
          </a:p>
        </c:txPr>
      </c:legendEntry>
    </c:legend>
    <c:plotVisOnly val="1"/>
    <c:dispBlanksAs val="gap"/>
    <c:showDLblsOverMax val="0"/>
  </c:chart>
  <c:spPr>
    <a:solidFill>
      <a:srgbClr val="FFFFFF"/>
    </a:solidFill>
    <a:ln w="6350">
      <a:solidFill>
        <a:srgbClr val="D9D9D9"/>
      </a:solidFill>
      <a:prstDash val="solid"/>
    </a:ln>
  </c:spPr>
  <c:txPr>
    <a:bodyPr/>
    <a:lstStyle/>
    <a:p>
      <a:pPr>
        <a:defRPr sz="1100" b="0" i="0" u="none" strike="noStrike" baseline="0">
          <a:solidFill>
            <a:srgbClr val="000000"/>
          </a:solidFill>
          <a:latin typeface="黑体"/>
          <a:ea typeface="黑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一般公共预算财政拨款支出决算变动情况</a:t>
            </a:r>
          </a:p>
        </c:rich>
      </c:tx>
      <c:layout/>
      <c:overlay val="0"/>
      <c:spPr>
        <a:noFill/>
        <a:ln>
          <a:noFill/>
        </a:ln>
      </c:spPr>
    </c:title>
    <c:autoTitleDeleted val="1"/>
    <c:plotArea>
      <c:layout/>
      <c:barChart>
        <c:barDir val="col"/>
        <c:grouping val="clustered"/>
        <c:varyColors val="0"/>
        <c:ser>
          <c:idx val="0"/>
          <c:order val="0"/>
          <c:tx>
            <c:v>一般公共预算财政拨款</c:v>
          </c:tx>
          <c:spPr>
            <a:solidFill>
              <a:srgbClr val="4F81BD"/>
            </a:solidFill>
            <a:ln>
              <a:noFill/>
            </a:ln>
          </c:spPr>
          <c:invertIfNegative val="0"/>
          <c:dLbls>
            <c:showLegendKey val="0"/>
            <c:showVal val="0"/>
            <c:showCatName val="0"/>
            <c:showSerName val="0"/>
            <c:showPercent val="0"/>
            <c:showBubbleSize val="0"/>
            <c:showLeaderLines val="0"/>
          </c:dLbls>
          <c:cat>
            <c:strLit>
              <c:ptCount val="2"/>
              <c:pt idx="0">
                <c:v>2018年</c:v>
              </c:pt>
              <c:pt idx="1">
                <c:v>2017年</c:v>
              </c:pt>
            </c:strLit>
          </c:cat>
          <c:val>
            <c:numRef>
              <c:f/>
              <c:numCache>
                <c:formatCode>General</c:formatCode>
                <c:ptCount val="2"/>
                <c:pt idx="0">
                  <c:v>1545.19</c:v>
                </c:pt>
                <c:pt idx="1">
                  <c:v>1257.16</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一般公共预算财政拨款支出决算结构</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Pt>
            <c:idx val="5"/>
            <c:bubble3D val="0"/>
            <c:spPr>
              <a:solidFill>
                <a:srgbClr val="F79646"/>
              </a:solidFill>
              <a:ln w="19050">
                <a:solidFill>
                  <a:srgbClr val="FFFFFF"/>
                </a:solidFill>
                <a:prstDash val="solid"/>
              </a:ln>
            </c:spPr>
          </c:dPt>
          <c:dPt>
            <c:idx val="6"/>
            <c:bubble3D val="0"/>
            <c:spPr>
              <a:solidFill>
                <a:srgbClr val="2C4D75"/>
              </a:solidFill>
              <a:ln w="19050">
                <a:solidFill>
                  <a:srgbClr val="FFFFFF"/>
                </a:solidFill>
                <a:prstDash val="solid"/>
              </a:ln>
            </c:spPr>
          </c:dPt>
          <c:dPt>
            <c:idx val="7"/>
            <c:bubble3D val="0"/>
            <c:spPr>
              <a:solidFill>
                <a:srgbClr val="772C2A"/>
              </a:solidFill>
              <a:ln w="19050">
                <a:solidFill>
                  <a:srgbClr val="FFFFFF"/>
                </a:solidFill>
                <a:prstDash val="solid"/>
              </a:ln>
            </c:spPr>
          </c:dPt>
          <c:dLbls>
            <c:showLegendKey val="0"/>
            <c:showVal val="0"/>
            <c:showCatName val="0"/>
            <c:showSerName val="0"/>
            <c:showPercent val="0"/>
            <c:showBubbleSize val="0"/>
            <c:showLeaderLines val="0"/>
          </c:dLbls>
          <c:cat>
            <c:strLit>
              <c:ptCount val="8"/>
              <c:pt idx="0">
                <c:v>一般公共服务</c:v>
              </c:pt>
              <c:pt idx="1">
                <c:v>文化体育与传媒</c:v>
              </c:pt>
              <c:pt idx="2">
                <c:v>社会保障和就业</c:v>
              </c:pt>
              <c:pt idx="3">
                <c:v>医疗卫生</c:v>
              </c:pt>
              <c:pt idx="4">
                <c:v>城乡社区</c:v>
              </c:pt>
              <c:pt idx="5">
                <c:v>农林水</c:v>
              </c:pt>
              <c:pt idx="6">
                <c:v>交通运输</c:v>
              </c:pt>
              <c:pt idx="7">
                <c:v>住房保障</c:v>
              </c:pt>
            </c:strLit>
          </c:cat>
          <c:val>
            <c:numRef>
              <c:f/>
              <c:numCache>
                <c:formatCode>General</c:formatCode>
                <c:ptCount val="8"/>
                <c:pt idx="0">
                  <c:v>406.58</c:v>
                </c:pt>
                <c:pt idx="1">
                  <c:v>22.55</c:v>
                </c:pt>
                <c:pt idx="2">
                  <c:v>125.3</c:v>
                </c:pt>
                <c:pt idx="3">
                  <c:v>40.12</c:v>
                </c:pt>
                <c:pt idx="4">
                  <c:v>120.22</c:v>
                </c:pt>
                <c:pt idx="5">
                  <c:v>782.02</c:v>
                </c:pt>
                <c:pt idx="6">
                  <c:v>10.0</c:v>
                </c:pt>
                <c:pt idx="7">
                  <c:v>38.4</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'Sheet1'!$B$1</c:f>
              <c:strCache>
                <c:ptCount val="1"/>
                <c:pt idx="0">
                  <c:v>“三公”经费财政拨款支出结构</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showLegendKey val="0"/>
            <c:showVal val="0"/>
            <c:showCatName val="0"/>
            <c:showSerName val="0"/>
            <c:showPercent val="0"/>
            <c:showBubbleSize val="0"/>
            <c:showLeaderLines val="0"/>
          </c:dLbls>
          <c:cat>
            <c:strRef>
              <c:f>'Sheet1'!$A$2:$A$4</c:f>
              <c:strCache>
                <c:ptCount val="3"/>
                <c:pt idx="0">
                  <c:v>因公出国（境）费</c:v>
                </c:pt>
                <c:pt idx="1">
                  <c:v>公务车购置及运行维护费</c:v>
                </c:pt>
                <c:pt idx="2">
                  <c:v>公务接待费</c:v>
                </c:pt>
              </c:strCache>
            </c:strRef>
          </c:cat>
          <c:val>
            <c:numRef>
              <c:f>'Sheet1'!$B$2:$B$4</c:f>
              <c:numCache>
                <c:formatCode>General</c:formatCode>
                <c:ptCount val="3"/>
                <c:pt idx="0">
                  <c:v>0.0</c:v>
                </c:pt>
                <c:pt idx="1">
                  <c:v>7.09</c:v>
                </c:pt>
                <c:pt idx="2">
                  <c:v>4.88</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7EDB60F-B33F-4C36-9DEB-622FE303FF7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32</TotalTime>
  <Application>Yozo_Office27021597764231179</Application>
  <Pages>21</Pages>
  <Words>0</Words>
  <Characters>15078</Characters>
  <Lines>0</Lines>
  <Paragraphs>341</Paragraphs>
  <CharactersWithSpaces>20105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32</cp:revision>
  <cp:lastPrinted>2019-08-01T00:48:00Z</cp:lastPrinted>
  <dcterms:created xsi:type="dcterms:W3CDTF">2019-08-01T01:14:00Z</dcterms:created>
  <dcterms:modified xsi:type="dcterms:W3CDTF">2024-05-27T01:10:19Z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2052-11.1.0.8976</vt:lpwstr>
  </property>
</Properties>
</file>