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exact"/>
        <w:jc w:val="center"/>
        <w:outlineLvl w:val="0"/>
        <w:rPr>
          <w:rFonts w:ascii="方正小标宋简体" w:eastAsia="方正小标宋简体" w:hAnsi="宋体"/>
          <w:color w:val="000000"/>
          <w:sz w:val="72"/>
          <w:szCs w:val="72"/>
        </w:rPr>
      </w:pPr>
      <w:bookmarkStart w:id="0" w:name="_Toc15306267"/>
    </w:p>
    <w:p>
      <w:pPr>
        <w:spacing w:line="600" w:lineRule="exact"/>
        <w:jc w:val="center"/>
        <w:outlineLvl w:val="0"/>
        <w:rPr>
          <w:rFonts w:ascii="方正小标宋简体" w:eastAsia="方正小标宋简体" w:hAnsi="宋体"/>
          <w:color w:val="000000"/>
          <w:sz w:val="72"/>
          <w:szCs w:val="72"/>
        </w:rPr>
      </w:pPr>
    </w:p>
    <w:p>
      <w:pPr>
        <w:adjustRightInd w:val="0"/>
        <w:snapToGrid w:val="0"/>
        <w:spacing w:line="360" w:lineRule="auto"/>
        <w:jc w:val="center"/>
        <w:outlineLvl w:val="0"/>
        <w:rPr>
          <w:rFonts w:ascii="方正小标宋简体" w:eastAsia="方正小标宋简体" w:hAnsi="宋体"/>
          <w:b/>
          <w:bCs/>
          <w:color w:val="000000"/>
          <w:sz w:val="84"/>
          <w:szCs w:val="84"/>
        </w:rPr>
      </w:pPr>
      <w:bookmarkStart w:id="1" w:name="_Toc15377193"/>
      <w:bookmarkStart w:id="2" w:name="_Toc15377425"/>
      <w:bookmarkStart w:id="3" w:name="_Toc15396597"/>
      <w:bookmarkStart w:id="4" w:name="_Toc15378441"/>
      <w:bookmarkStart w:id="5" w:name="_Toc15396475"/>
      <w:r>
        <w:rPr>
          <w:rFonts w:ascii="黑体" w:eastAsia="黑体" w:hAnsi="黑体"/>
          <w:b/>
          <w:bCs/>
          <w:color w:val="000000"/>
          <w:sz w:val="84"/>
          <w:szCs w:val="84"/>
        </w:rPr>
        <w:t>20</w:t>
      </w:r>
      <w:r>
        <w:rPr>
          <w:rFonts w:ascii="黑体" w:eastAsia="黑体" w:hAnsi="黑体" w:hint="eastAsia"/>
          <w:b/>
          <w:bCs/>
          <w:color w:val="000000"/>
          <w:sz w:val="84"/>
          <w:szCs w:val="84"/>
        </w:rPr>
        <w:t>20</w:t>
      </w:r>
      <w:r>
        <w:rPr>
          <w:rFonts w:ascii="方正小标宋简体" w:eastAsia="方正小标宋简体" w:hAnsi="宋体" w:hint="eastAsia"/>
          <w:b/>
          <w:bCs/>
          <w:color w:val="000000"/>
          <w:sz w:val="84"/>
          <w:szCs w:val="84"/>
        </w:rPr>
        <w:t>年度</w:t>
      </w:r>
      <w:bookmarkEnd w:id="1"/>
      <w:bookmarkEnd w:id="2"/>
      <w:bookmarkEnd w:id="3"/>
      <w:bookmarkEnd w:id="4"/>
      <w:bookmarkEnd w:id="5"/>
    </w:p>
    <w:p>
      <w:pPr>
        <w:spacing w:line="600" w:lineRule="exact"/>
        <w:jc w:val="center"/>
        <w:outlineLvl w:val="0"/>
        <w:rPr>
          <w:rFonts w:ascii="方正小标宋简体" w:eastAsia="方正小标宋简体" w:hAnsi="宋体"/>
          <w:color w:val="000000"/>
          <w:sz w:val="72"/>
          <w:szCs w:val="72"/>
        </w:rPr>
      </w:pPr>
    </w:p>
    <w:p>
      <w:pPr>
        <w:spacing w:line="600" w:lineRule="exact"/>
        <w:jc w:val="center"/>
        <w:outlineLvl w:val="0"/>
        <w:rPr>
          <w:rFonts w:ascii="方正小标宋简体" w:eastAsia="方正小标宋简体" w:hAnsi="宋体"/>
          <w:color w:val="000000"/>
          <w:sz w:val="72"/>
          <w:szCs w:val="72"/>
        </w:rPr>
      </w:pPr>
    </w:p>
    <w:p>
      <w:pPr>
        <w:adjustRightInd w:val="0"/>
        <w:snapToGrid w:val="0"/>
        <w:spacing w:line="360" w:lineRule="auto"/>
        <w:jc w:val="center"/>
        <w:outlineLvl w:val="0"/>
        <w:rPr>
          <w:rFonts w:ascii="方正小标宋简体" w:eastAsia="方正小标宋简体" w:hAnsi="宋体" w:hint="eastAsia"/>
          <w:b/>
          <w:bCs/>
          <w:color w:val="000000"/>
          <w:sz w:val="48"/>
          <w:szCs w:val="48"/>
          <w:lang w:eastAsia="zh-CN"/>
        </w:rPr>
      </w:pPr>
      <w:bookmarkStart w:id="6" w:name="_Toc15377426"/>
      <w:bookmarkStart w:id="7" w:name="_Toc15396598"/>
      <w:bookmarkStart w:id="8" w:name="_Toc15306268"/>
      <w:bookmarkStart w:id="9" w:name="_Toc15396476"/>
      <w:bookmarkStart w:id="10" w:name="_Toc15377194"/>
      <w:bookmarkStart w:id="11" w:name="_Toc15378442"/>
      <w:bookmarkEnd w:id="0"/>
      <w:r>
        <w:rPr>
          <w:rFonts w:ascii="方正小标宋简体" w:eastAsia="方正小标宋简体" w:hAnsi="宋体" w:hint="eastAsia"/>
          <w:b/>
          <w:bCs/>
          <w:color w:val="000000"/>
          <w:sz w:val="48"/>
          <w:szCs w:val="48"/>
          <w:lang w:eastAsia="zh-CN"/>
        </w:rPr>
        <w:t>中国</w:t>
      </w:r>
      <w:bookmarkStart w:id="12" w:name="_GoBack"/>
      <w:bookmarkEnd w:id="12"/>
      <w:r>
        <w:rPr>
          <w:rFonts w:ascii="方正小标宋简体" w:eastAsia="方正小标宋简体" w:hAnsi="宋体" w:hint="eastAsia"/>
          <w:b/>
          <w:bCs/>
          <w:color w:val="000000"/>
          <w:sz w:val="48"/>
          <w:szCs w:val="48"/>
          <w:lang w:eastAsia="zh-CN"/>
        </w:rPr>
        <w:t>人民政治协商会议四川省</w:t>
      </w:r>
    </w:p>
    <w:p>
      <w:pPr>
        <w:adjustRightInd w:val="0"/>
        <w:snapToGrid w:val="0"/>
        <w:spacing w:line="360" w:lineRule="auto"/>
        <w:jc w:val="center"/>
        <w:outlineLvl w:val="0"/>
        <w:rPr>
          <w:rFonts w:ascii="方正小标宋简体" w:eastAsia="方正小标宋简体" w:hAnsi="宋体" w:hint="eastAsia"/>
          <w:b/>
          <w:bCs/>
          <w:color w:val="000000"/>
          <w:sz w:val="48"/>
          <w:szCs w:val="48"/>
          <w:lang w:eastAsia="zh-CN"/>
        </w:rPr>
      </w:pPr>
      <w:r>
        <w:rPr>
          <w:rFonts w:ascii="方正小标宋简体" w:eastAsia="方正小标宋简体" w:hAnsi="宋体" w:hint="eastAsia"/>
          <w:b/>
          <w:bCs/>
          <w:color w:val="000000"/>
          <w:sz w:val="48"/>
          <w:szCs w:val="48"/>
          <w:lang w:eastAsia="zh-CN"/>
        </w:rPr>
        <w:t>广元市利州区委员会</w:t>
      </w:r>
    </w:p>
    <w:p>
      <w:pPr>
        <w:adjustRightInd w:val="0"/>
        <w:snapToGrid w:val="0"/>
        <w:spacing w:line="360" w:lineRule="auto"/>
        <w:jc w:val="center"/>
        <w:outlineLvl w:val="0"/>
        <w:rPr>
          <w:rFonts w:ascii="方正小标宋简体" w:eastAsia="方正小标宋简体" w:hAnsi="宋体" w:hint="eastAsia"/>
          <w:b/>
          <w:bCs/>
          <w:color w:val="000000"/>
          <w:sz w:val="72"/>
          <w:szCs w:val="72"/>
        </w:rPr>
      </w:pPr>
    </w:p>
    <w:p>
      <w:pPr>
        <w:adjustRightInd w:val="0"/>
        <w:snapToGrid w:val="0"/>
        <w:spacing w:line="360" w:lineRule="auto"/>
        <w:jc w:val="center"/>
        <w:outlineLvl w:val="0"/>
        <w:rPr>
          <w:rFonts w:ascii="方正小标宋简体" w:eastAsia="方正小标宋简体" w:hAnsi="宋体"/>
          <w:b/>
          <w:bCs/>
          <w:color w:val="000000"/>
          <w:sz w:val="72"/>
          <w:szCs w:val="72"/>
        </w:rPr>
      </w:pPr>
      <w:r>
        <w:rPr>
          <w:rFonts w:ascii="方正小标宋简体" w:eastAsia="方正小标宋简体" w:hAnsi="宋体" w:hint="eastAsia"/>
          <w:b/>
          <w:bCs/>
          <w:color w:val="000000"/>
          <w:sz w:val="72"/>
          <w:szCs w:val="72"/>
        </w:rPr>
        <w:t xml:space="preserve">决 </w:t>
      </w:r>
      <w:r>
        <w:rPr>
          <w:rFonts w:ascii="方正小标宋简体" w:eastAsia="方正小标宋简体" w:hAnsi="宋体" w:hint="eastAsia"/>
          <w:b/>
          <w:bCs/>
          <w:color w:val="000000"/>
          <w:sz w:val="72"/>
          <w:szCs w:val="72"/>
          <w:lang w:val="en-US" w:eastAsia="zh-CN"/>
        </w:rPr>
        <w:t xml:space="preserve">     </w:t>
      </w:r>
      <w:r>
        <w:rPr>
          <w:rFonts w:ascii="方正小标宋简体" w:eastAsia="方正小标宋简体" w:hAnsi="宋体" w:hint="eastAsia"/>
          <w:b/>
          <w:bCs/>
          <w:color w:val="000000"/>
          <w:sz w:val="72"/>
          <w:szCs w:val="72"/>
        </w:rPr>
        <w:t>算</w:t>
      </w:r>
      <w:bookmarkEnd w:id="6"/>
      <w:bookmarkEnd w:id="7"/>
      <w:bookmarkEnd w:id="8"/>
      <w:bookmarkEnd w:id="9"/>
      <w:bookmarkEnd w:id="10"/>
      <w:bookmarkEnd w:id="11"/>
    </w:p>
    <w:p>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t>目录</w:t>
      </w:r>
    </w:p>
    <w:p>
      <w:pPr>
        <w:widowControl/>
        <w:jc w:val="center"/>
        <w:rPr>
          <w:rFonts w:ascii="黑体" w:eastAsia="黑体" w:cs="Arial" w:hAnsi="黑体"/>
          <w:sz w:val="28"/>
          <w:szCs w:val="28"/>
        </w:rPr>
      </w:pPr>
    </w:p>
    <w:p>
      <w:pPr>
        <w:pStyle w:val="22"/>
        <w:tabs>
          <w:tab w:val="right" w:leader="dot" w:pos="8296"/>
        </w:tabs>
      </w:pPr>
      <w:r>
        <w:rPr>
          <w:rFonts w:hint="eastAsia"/>
        </w:rPr>
        <w:t>公开时间：2021年9月25日</w:t>
      </w:r>
    </w:p>
    <w:p/>
    <w:p>
      <w:pPr>
        <w:pStyle w:val="22"/>
        <w:tabs>
          <w:tab w:val="right" w:leader="dot" w:pos="8296"/>
        </w:tabs>
        <w:adjustRightInd w:val="0"/>
        <w:snapToGrid w:val="0"/>
        <w:spacing w:before="0" w:line="440" w:lineRule="exact"/>
        <w:jc w:val="left"/>
        <w:rPr>
          <w:rFonts w:ascii="方正仿宋简体" w:eastAsia="方正仿宋简体" w:cs="方正仿宋简体" w:hAnsi="方正仿宋简体"/>
          <w:bCs/>
          <w:color w:val="000000"/>
          <w:kern w:val="0"/>
          <w:sz w:val="30"/>
          <w:szCs w:val="30"/>
        </w:rPr>
      </w:pPr>
      <w:r>
        <w:rPr>
          <w:rFonts w:ascii="方正仿宋简体" w:eastAsia="方正仿宋简体" w:cs="方正仿宋简体" w:hAnsi="方正仿宋简体" w:hint="eastAsia"/>
          <w:bCs/>
          <w:color w:val="000000"/>
          <w:kern w:val="0"/>
          <w:sz w:val="30"/>
          <w:szCs w:val="30"/>
        </w:rPr>
        <w:t>第一部分 部门概况</w:t>
      </w:r>
    </w:p>
    <w:p>
      <w:pPr>
        <w:pStyle w:val="23"/>
        <w:tabs>
          <w:tab w:val="right" w:leader="dot" w:pos="8296"/>
        </w:tabs>
        <w:adjustRightInd w:val="0"/>
        <w:snapToGrid w:val="0"/>
        <w:spacing w:line="440" w:lineRule="exact"/>
        <w:jc w:val="left"/>
        <w:rPr>
          <w:rFonts w:ascii="方正仿宋简体" w:eastAsia="方正仿宋简体" w:cs="方正仿宋简体" w:hAnsi="方正仿宋简体"/>
          <w:bCs/>
          <w:color w:val="000000"/>
          <w:kern w:val="0"/>
          <w:sz w:val="30"/>
          <w:szCs w:val="30"/>
        </w:rPr>
      </w:pPr>
      <w:r>
        <w:rPr>
          <w:rFonts w:ascii="方正仿宋简体" w:eastAsia="方正仿宋简体" w:cs="方正仿宋简体" w:hAnsi="方正仿宋简体" w:hint="eastAsia"/>
          <w:bCs/>
          <w:color w:val="000000"/>
          <w:kern w:val="0"/>
          <w:sz w:val="30"/>
          <w:szCs w:val="30"/>
        </w:rPr>
        <w:t>一、基本职能及主要工作...................................................4</w:t>
      </w:r>
    </w:p>
    <w:p>
      <w:pPr>
        <w:pStyle w:val="23"/>
        <w:tabs>
          <w:tab w:val="right" w:leader="dot" w:pos="8296"/>
        </w:tabs>
        <w:adjustRightInd w:val="0"/>
        <w:snapToGrid w:val="0"/>
        <w:spacing w:line="440" w:lineRule="exact"/>
        <w:jc w:val="left"/>
        <w:rPr>
          <w:rFonts w:ascii="方正仿宋简体" w:eastAsia="方正仿宋简体" w:cs="方正仿宋简体" w:hAnsi="方正仿宋简体"/>
          <w:bCs/>
          <w:color w:val="000000"/>
          <w:kern w:val="0"/>
          <w:sz w:val="30"/>
          <w:szCs w:val="30"/>
        </w:rPr>
      </w:pPr>
      <w:r>
        <w:rPr>
          <w:rFonts w:ascii="方正仿宋简体" w:eastAsia="方正仿宋简体" w:cs="方正仿宋简体" w:hAnsi="方正仿宋简体" w:hint="eastAsia"/>
          <w:bCs/>
          <w:color w:val="000000"/>
          <w:kern w:val="0"/>
          <w:sz w:val="30"/>
          <w:szCs w:val="30"/>
        </w:rPr>
        <w:t>二、机构设置...................................................................15</w:t>
      </w:r>
    </w:p>
    <w:p>
      <w:pPr>
        <w:pStyle w:val="22"/>
        <w:tabs>
          <w:tab w:val="right" w:leader="dot" w:pos="8296"/>
        </w:tabs>
        <w:adjustRightInd w:val="0"/>
        <w:snapToGrid w:val="0"/>
        <w:spacing w:before="0" w:line="440" w:lineRule="exact"/>
        <w:jc w:val="left"/>
        <w:rPr>
          <w:rFonts w:ascii="方正仿宋简体" w:eastAsia="方正仿宋简体" w:cs="方正仿宋简体" w:hAnsi="方正仿宋简体"/>
          <w:bCs/>
          <w:color w:val="000000"/>
          <w:kern w:val="0"/>
          <w:sz w:val="30"/>
          <w:szCs w:val="30"/>
        </w:rPr>
      </w:pPr>
      <w:r>
        <w:rPr>
          <w:rFonts w:ascii="方正仿宋简体" w:eastAsia="方正仿宋简体" w:cs="方正仿宋简体" w:hAnsi="方正仿宋简体" w:hint="eastAsia"/>
          <w:bCs/>
          <w:color w:val="000000"/>
          <w:kern w:val="0"/>
          <w:sz w:val="30"/>
          <w:szCs w:val="30"/>
        </w:rPr>
        <w:t>第二部分度部门决算情况说明....................... ........................16</w:t>
      </w:r>
    </w:p>
    <w:p>
      <w:pPr>
        <w:pStyle w:val="23"/>
        <w:tabs>
          <w:tab w:val="right" w:leader="dot" w:pos="8296"/>
        </w:tabs>
        <w:adjustRightInd w:val="0"/>
        <w:snapToGrid w:val="0"/>
        <w:spacing w:line="440" w:lineRule="exact"/>
        <w:jc w:val="left"/>
        <w:rPr>
          <w:rFonts w:ascii="方正仿宋简体" w:eastAsia="方正仿宋简体" w:cs="方正仿宋简体" w:hAnsi="方正仿宋简体"/>
          <w:bCs/>
          <w:color w:val="000000"/>
          <w:kern w:val="0"/>
          <w:sz w:val="30"/>
          <w:szCs w:val="30"/>
        </w:rPr>
      </w:pPr>
      <w:r>
        <w:rPr>
          <w:rFonts w:ascii="方正仿宋简体" w:eastAsia="方正仿宋简体" w:cs="方正仿宋简体" w:hAnsi="方正仿宋简体" w:hint="eastAsia"/>
          <w:bCs/>
          <w:color w:val="000000"/>
          <w:kern w:val="0"/>
          <w:sz w:val="30"/>
          <w:szCs w:val="30"/>
        </w:rPr>
        <w:t>一、收入支出决算总体情况说明........................................16</w:t>
      </w:r>
    </w:p>
    <w:p>
      <w:pPr>
        <w:pStyle w:val="23"/>
        <w:tabs>
          <w:tab w:val="right" w:leader="dot" w:pos="8296"/>
        </w:tabs>
        <w:adjustRightInd w:val="0"/>
        <w:snapToGrid w:val="0"/>
        <w:spacing w:line="440" w:lineRule="exact"/>
        <w:jc w:val="left"/>
        <w:rPr>
          <w:rFonts w:ascii="方正仿宋简体" w:eastAsia="方正仿宋简体" w:cs="方正仿宋简体" w:hAnsi="方正仿宋简体"/>
          <w:bCs/>
          <w:color w:val="000000"/>
          <w:kern w:val="0"/>
          <w:sz w:val="30"/>
          <w:szCs w:val="30"/>
        </w:rPr>
      </w:pPr>
      <w:r>
        <w:rPr>
          <w:rFonts w:ascii="方正仿宋简体" w:eastAsia="方正仿宋简体" w:cs="方正仿宋简体" w:hAnsi="方正仿宋简体" w:hint="eastAsia"/>
          <w:bCs/>
          <w:color w:val="000000"/>
          <w:kern w:val="0"/>
          <w:sz w:val="30"/>
          <w:szCs w:val="30"/>
        </w:rPr>
        <w:t>二、收入决算情况说明......................................................16</w:t>
      </w:r>
    </w:p>
    <w:p>
      <w:pPr>
        <w:pStyle w:val="23"/>
        <w:tabs>
          <w:tab w:val="right" w:leader="dot" w:pos="8296"/>
        </w:tabs>
        <w:adjustRightInd w:val="0"/>
        <w:snapToGrid w:val="0"/>
        <w:spacing w:line="440" w:lineRule="exact"/>
        <w:jc w:val="left"/>
        <w:rPr>
          <w:rFonts w:ascii="方正仿宋简体" w:eastAsia="方正仿宋简体" w:cs="方正仿宋简体" w:hAnsi="方正仿宋简体"/>
          <w:bCs/>
          <w:color w:val="000000"/>
          <w:kern w:val="0"/>
          <w:sz w:val="30"/>
          <w:szCs w:val="30"/>
        </w:rPr>
      </w:pPr>
      <w:r>
        <w:rPr>
          <w:rFonts w:ascii="方正仿宋简体" w:eastAsia="方正仿宋简体" w:cs="方正仿宋简体" w:hAnsi="方正仿宋简体" w:hint="eastAsia"/>
          <w:bCs/>
          <w:color w:val="000000"/>
          <w:kern w:val="0"/>
          <w:sz w:val="30"/>
          <w:szCs w:val="30"/>
        </w:rPr>
        <w:t>三、支出决算情况说明....................................................17</w:t>
      </w:r>
    </w:p>
    <w:p>
      <w:pPr>
        <w:pStyle w:val="23"/>
        <w:tabs>
          <w:tab w:val="right" w:leader="dot" w:pos="8296"/>
        </w:tabs>
        <w:adjustRightInd w:val="0"/>
        <w:snapToGrid w:val="0"/>
        <w:spacing w:line="440" w:lineRule="exact"/>
        <w:jc w:val="left"/>
        <w:rPr>
          <w:rFonts w:ascii="方正仿宋简体" w:eastAsia="方正仿宋简体" w:cs="方正仿宋简体" w:hAnsi="方正仿宋简体"/>
          <w:bCs/>
          <w:color w:val="000000"/>
          <w:kern w:val="0"/>
          <w:sz w:val="30"/>
          <w:szCs w:val="30"/>
        </w:rPr>
      </w:pPr>
      <w:r>
        <w:rPr>
          <w:rFonts w:ascii="方正仿宋简体" w:eastAsia="方正仿宋简体" w:cs="方正仿宋简体" w:hAnsi="方正仿宋简体" w:hint="eastAsia"/>
          <w:bCs/>
          <w:color w:val="000000"/>
          <w:kern w:val="0"/>
          <w:sz w:val="30"/>
          <w:szCs w:val="30"/>
        </w:rPr>
        <w:t>四、财政拨款收入支出决算总体情况说明........................17</w:t>
      </w:r>
    </w:p>
    <w:p>
      <w:pPr>
        <w:pStyle w:val="23"/>
        <w:tabs>
          <w:tab w:val="right" w:leader="dot" w:pos="8296"/>
        </w:tabs>
        <w:adjustRightInd w:val="0"/>
        <w:snapToGrid w:val="0"/>
        <w:spacing w:line="440" w:lineRule="exact"/>
        <w:jc w:val="left"/>
        <w:rPr>
          <w:rFonts w:ascii="方正仿宋简体" w:eastAsia="方正仿宋简体" w:cs="方正仿宋简体" w:hAnsi="方正仿宋简体"/>
          <w:bCs/>
          <w:color w:val="000000"/>
          <w:kern w:val="0"/>
          <w:sz w:val="30"/>
          <w:szCs w:val="30"/>
        </w:rPr>
      </w:pPr>
      <w:r>
        <w:rPr>
          <w:rFonts w:ascii="方正仿宋简体" w:eastAsia="方正仿宋简体" w:cs="方正仿宋简体" w:hAnsi="方正仿宋简体" w:hint="eastAsia"/>
          <w:bCs/>
          <w:color w:val="000000"/>
          <w:kern w:val="0"/>
          <w:sz w:val="30"/>
          <w:szCs w:val="30"/>
        </w:rPr>
        <w:t>五、一般公共预算财政拨款支出决算情况说明.................18</w:t>
      </w:r>
    </w:p>
    <w:p>
      <w:pPr>
        <w:pStyle w:val="23"/>
        <w:tabs>
          <w:tab w:val="right" w:leader="dot" w:pos="8296"/>
        </w:tabs>
        <w:adjustRightInd w:val="0"/>
        <w:snapToGrid w:val="0"/>
        <w:spacing w:line="440" w:lineRule="exact"/>
        <w:jc w:val="left"/>
        <w:rPr>
          <w:rFonts w:ascii="方正仿宋简体" w:eastAsia="方正仿宋简体" w:cs="方正仿宋简体" w:hAnsi="方正仿宋简体"/>
          <w:bCs/>
          <w:color w:val="000000"/>
          <w:kern w:val="0"/>
          <w:sz w:val="30"/>
          <w:szCs w:val="30"/>
        </w:rPr>
      </w:pPr>
      <w:r>
        <w:rPr>
          <w:rFonts w:ascii="方正仿宋简体" w:eastAsia="方正仿宋简体" w:cs="方正仿宋简体" w:hAnsi="方正仿宋简体" w:hint="eastAsia"/>
          <w:bCs/>
          <w:color w:val="000000"/>
          <w:kern w:val="0"/>
          <w:sz w:val="30"/>
          <w:szCs w:val="30"/>
        </w:rPr>
        <w:t>六、一般公共预算财政拨款基本支出决算情况说明...........21</w:t>
      </w:r>
    </w:p>
    <w:p>
      <w:pPr>
        <w:pStyle w:val="23"/>
        <w:tabs>
          <w:tab w:val="right" w:leader="dot" w:pos="8296"/>
        </w:tabs>
        <w:adjustRightInd w:val="0"/>
        <w:snapToGrid w:val="0"/>
        <w:spacing w:line="440" w:lineRule="exact"/>
        <w:jc w:val="left"/>
        <w:rPr>
          <w:rFonts w:ascii="方正仿宋简体" w:eastAsia="方正仿宋简体" w:cs="方正仿宋简体" w:hAnsi="方正仿宋简体"/>
          <w:bCs/>
          <w:color w:val="000000"/>
          <w:kern w:val="0"/>
          <w:sz w:val="30"/>
          <w:szCs w:val="30"/>
        </w:rPr>
      </w:pPr>
      <w:r>
        <w:rPr>
          <w:rFonts w:ascii="方正仿宋简体" w:eastAsia="方正仿宋简体" w:cs="方正仿宋简体" w:hAnsi="方正仿宋简体" w:hint="eastAsia"/>
          <w:bCs/>
          <w:color w:val="000000"/>
          <w:kern w:val="0"/>
          <w:sz w:val="30"/>
          <w:szCs w:val="30"/>
        </w:rPr>
        <w:t>七、“三公”经费财政拨款支出决算情况说明..................21</w:t>
      </w:r>
    </w:p>
    <w:p>
      <w:pPr>
        <w:pStyle w:val="23"/>
        <w:tabs>
          <w:tab w:val="right" w:leader="dot" w:pos="8296"/>
        </w:tabs>
        <w:adjustRightInd w:val="0"/>
        <w:snapToGrid w:val="0"/>
        <w:spacing w:line="440" w:lineRule="exact"/>
        <w:jc w:val="left"/>
        <w:rPr>
          <w:rFonts w:ascii="方正仿宋简体" w:eastAsia="方正仿宋简体" w:cs="方正仿宋简体" w:hAnsi="方正仿宋简体"/>
          <w:bCs/>
          <w:color w:val="000000"/>
          <w:kern w:val="0"/>
          <w:sz w:val="30"/>
          <w:szCs w:val="30"/>
        </w:rPr>
      </w:pPr>
      <w:r>
        <w:rPr>
          <w:rFonts w:ascii="方正仿宋简体" w:eastAsia="方正仿宋简体" w:cs="方正仿宋简体" w:hAnsi="方正仿宋简体" w:hint="eastAsia"/>
          <w:bCs/>
          <w:color w:val="000000"/>
          <w:kern w:val="0"/>
          <w:sz w:val="30"/>
          <w:szCs w:val="30"/>
        </w:rPr>
        <w:t>八、政府性基金预算支出决算情况说明............................21</w:t>
      </w:r>
    </w:p>
    <w:p>
      <w:pPr>
        <w:pStyle w:val="23"/>
        <w:tabs>
          <w:tab w:val="right" w:leader="dot" w:pos="8296"/>
        </w:tabs>
        <w:adjustRightInd w:val="0"/>
        <w:snapToGrid w:val="0"/>
        <w:spacing w:line="440" w:lineRule="exact"/>
        <w:ind w:leftChars="0" w:left="420"/>
        <w:jc w:val="left"/>
        <w:rPr>
          <w:rFonts w:ascii="方正仿宋简体" w:eastAsia="方正仿宋简体" w:cs="方正仿宋简体" w:hAnsi="方正仿宋简体"/>
          <w:bCs/>
          <w:color w:val="000000"/>
          <w:kern w:val="0"/>
          <w:sz w:val="30"/>
          <w:szCs w:val="30"/>
        </w:rPr>
      </w:pPr>
      <w:r>
        <w:rPr>
          <w:rFonts w:ascii="方正仿宋简体" w:eastAsia="方正仿宋简体" w:cs="方正仿宋简体" w:hAnsi="方正仿宋简体" w:hint="eastAsia"/>
          <w:bCs/>
          <w:color w:val="000000"/>
          <w:kern w:val="0"/>
          <w:sz w:val="30"/>
          <w:szCs w:val="30"/>
        </w:rPr>
        <w:t>九、 国有资本经营预算支出决算情况说明.......................21</w:t>
      </w:r>
    </w:p>
    <w:p>
      <w:pPr>
        <w:pStyle w:val="23"/>
        <w:tabs>
          <w:tab w:val="right" w:leader="dot" w:pos="8296"/>
        </w:tabs>
        <w:adjustRightInd w:val="0"/>
        <w:snapToGrid w:val="0"/>
        <w:spacing w:line="440" w:lineRule="exact"/>
        <w:ind w:leftChars="0" w:left="420"/>
        <w:jc w:val="left"/>
        <w:rPr>
          <w:rFonts w:ascii="方正仿宋简体" w:eastAsia="方正仿宋简体" w:cs="方正仿宋简体" w:hAnsi="方正仿宋简体"/>
          <w:bCs/>
          <w:color w:val="000000"/>
          <w:kern w:val="0"/>
          <w:sz w:val="30"/>
          <w:szCs w:val="30"/>
        </w:rPr>
      </w:pPr>
      <w:r>
        <w:rPr>
          <w:rFonts w:ascii="方正仿宋简体" w:eastAsia="方正仿宋简体" w:cs="方正仿宋简体" w:hAnsi="方正仿宋简体" w:hint="eastAsia"/>
          <w:bCs/>
          <w:color w:val="000000"/>
          <w:kern w:val="0"/>
          <w:sz w:val="30"/>
          <w:szCs w:val="30"/>
        </w:rPr>
        <w:t>十、其他重要事项的情况说明.........................................21</w:t>
      </w:r>
    </w:p>
    <w:p>
      <w:pPr>
        <w:pStyle w:val="22"/>
        <w:tabs>
          <w:tab w:val="right" w:leader="dot" w:pos="8296"/>
        </w:tabs>
        <w:adjustRightInd w:val="0"/>
        <w:snapToGrid w:val="0"/>
        <w:spacing w:before="0" w:line="440" w:lineRule="exact"/>
        <w:jc w:val="left"/>
        <w:rPr>
          <w:rFonts w:ascii="方正仿宋简体" w:eastAsia="方正仿宋简体" w:cs="方正仿宋简体" w:hAnsi="方正仿宋简体"/>
          <w:bCs/>
          <w:color w:val="000000"/>
          <w:kern w:val="0"/>
          <w:sz w:val="30"/>
          <w:szCs w:val="30"/>
        </w:rPr>
      </w:pPr>
      <w:r>
        <w:rPr>
          <w:rFonts w:ascii="方正仿宋简体" w:eastAsia="方正仿宋简体" w:cs="方正仿宋简体" w:hAnsi="方正仿宋简体" w:hint="eastAsia"/>
          <w:bCs/>
          <w:color w:val="000000"/>
          <w:kern w:val="0"/>
          <w:sz w:val="30"/>
          <w:szCs w:val="30"/>
        </w:rPr>
        <w:t>第三部分 名词解释.............................................................36</w:t>
      </w:r>
    </w:p>
    <w:p>
      <w:pPr>
        <w:pStyle w:val="22"/>
        <w:tabs>
          <w:tab w:val="right" w:leader="dot" w:pos="8296"/>
        </w:tabs>
        <w:adjustRightInd w:val="0"/>
        <w:snapToGrid w:val="0"/>
        <w:spacing w:before="0" w:line="440" w:lineRule="exact"/>
        <w:jc w:val="left"/>
        <w:rPr>
          <w:rFonts w:ascii="方正仿宋简体" w:eastAsia="方正仿宋简体" w:cs="方正仿宋简体" w:hAnsi="方正仿宋简体"/>
          <w:bCs/>
          <w:color w:val="000000"/>
          <w:kern w:val="0"/>
          <w:sz w:val="30"/>
          <w:szCs w:val="30"/>
        </w:rPr>
      </w:pPr>
      <w:r>
        <w:rPr>
          <w:rFonts w:ascii="方正仿宋简体" w:eastAsia="方正仿宋简体" w:cs="方正仿宋简体" w:hAnsi="方正仿宋简体" w:hint="eastAsia"/>
          <w:bCs/>
          <w:color w:val="000000"/>
          <w:kern w:val="0"/>
          <w:sz w:val="30"/>
          <w:szCs w:val="30"/>
        </w:rPr>
        <w:t>第四部分 附件...................................................................39</w:t>
      </w:r>
    </w:p>
    <w:p>
      <w:pPr>
        <w:pStyle w:val="23"/>
        <w:tabs>
          <w:tab w:val="right" w:leader="dot" w:pos="8296"/>
        </w:tabs>
        <w:adjustRightInd w:val="0"/>
        <w:snapToGrid w:val="0"/>
        <w:spacing w:line="440" w:lineRule="exact"/>
        <w:jc w:val="left"/>
        <w:rPr>
          <w:rFonts w:ascii="方正仿宋简体" w:eastAsia="方正仿宋简体" w:cs="方正仿宋简体" w:hAnsi="方正仿宋简体"/>
          <w:bCs/>
          <w:color w:val="000000"/>
          <w:kern w:val="0"/>
          <w:sz w:val="30"/>
          <w:szCs w:val="30"/>
        </w:rPr>
      </w:pPr>
      <w:r>
        <w:rPr>
          <w:rFonts w:ascii="方正仿宋简体" w:eastAsia="方正仿宋简体" w:cs="方正仿宋简体" w:hAnsi="方正仿宋简体" w:hint="eastAsia"/>
          <w:bCs/>
          <w:color w:val="000000"/>
          <w:kern w:val="0"/>
          <w:sz w:val="30"/>
          <w:szCs w:val="30"/>
        </w:rPr>
        <w:t>附件1...........................................................................39</w:t>
      </w:r>
    </w:p>
    <w:p>
      <w:pPr>
        <w:pStyle w:val="23"/>
        <w:tabs>
          <w:tab w:val="right" w:leader="dot" w:pos="8296"/>
        </w:tabs>
        <w:adjustRightInd w:val="0"/>
        <w:snapToGrid w:val="0"/>
        <w:spacing w:line="440" w:lineRule="exact"/>
        <w:jc w:val="left"/>
        <w:rPr>
          <w:rFonts w:ascii="方正仿宋简体" w:eastAsia="方正仿宋简体" w:cs="方正仿宋简体" w:hAnsi="方正仿宋简体"/>
          <w:bCs/>
          <w:color w:val="000000"/>
          <w:kern w:val="0"/>
          <w:sz w:val="30"/>
          <w:szCs w:val="30"/>
        </w:rPr>
      </w:pPr>
      <w:r>
        <w:rPr>
          <w:rFonts w:ascii="方正仿宋简体" w:eastAsia="方正仿宋简体" w:cs="方正仿宋简体" w:hAnsi="方正仿宋简体" w:hint="eastAsia"/>
          <w:bCs/>
          <w:color w:val="000000"/>
          <w:kern w:val="0"/>
          <w:sz w:val="30"/>
          <w:szCs w:val="30"/>
        </w:rPr>
        <w:t>附件2...........................................................................40</w:t>
      </w:r>
    </w:p>
    <w:p>
      <w:pPr>
        <w:pStyle w:val="22"/>
        <w:tabs>
          <w:tab w:val="right" w:leader="dot" w:pos="8296"/>
        </w:tabs>
        <w:adjustRightInd w:val="0"/>
        <w:snapToGrid w:val="0"/>
        <w:spacing w:before="0" w:line="440" w:lineRule="exact"/>
        <w:jc w:val="left"/>
        <w:rPr>
          <w:rFonts w:ascii="方正仿宋简体" w:eastAsia="方正仿宋简体" w:cs="方正仿宋简体" w:hAnsi="方正仿宋简体"/>
          <w:bCs/>
          <w:color w:val="000000"/>
          <w:kern w:val="0"/>
          <w:sz w:val="30"/>
          <w:szCs w:val="30"/>
        </w:rPr>
      </w:pPr>
      <w:r>
        <w:rPr>
          <w:rFonts w:ascii="方正仿宋简体" w:eastAsia="方正仿宋简体" w:cs="方正仿宋简体" w:hAnsi="方正仿宋简体" w:hint="eastAsia"/>
          <w:bCs/>
          <w:color w:val="000000"/>
          <w:kern w:val="0"/>
          <w:sz w:val="30"/>
          <w:szCs w:val="30"/>
        </w:rPr>
        <w:t>第五部分 附表...................................................................49</w:t>
      </w:r>
    </w:p>
    <w:p>
      <w:pPr>
        <w:pStyle w:val="23"/>
        <w:tabs>
          <w:tab w:val="right" w:leader="dot" w:pos="8296"/>
        </w:tabs>
        <w:adjustRightInd w:val="0"/>
        <w:snapToGrid w:val="0"/>
        <w:spacing w:line="440" w:lineRule="exact"/>
        <w:jc w:val="left"/>
        <w:rPr>
          <w:rFonts w:ascii="方正仿宋简体" w:eastAsia="方正仿宋简体" w:cs="方正仿宋简体" w:hAnsi="方正仿宋简体"/>
          <w:bCs/>
          <w:color w:val="000000"/>
          <w:kern w:val="0"/>
          <w:sz w:val="30"/>
          <w:szCs w:val="30"/>
        </w:rPr>
      </w:pPr>
      <w:r>
        <w:rPr>
          <w:rFonts w:ascii="方正仿宋简体" w:eastAsia="方正仿宋简体" w:cs="方正仿宋简体" w:hAnsi="方正仿宋简体" w:hint="eastAsia"/>
          <w:bCs/>
          <w:color w:val="000000"/>
          <w:kern w:val="0"/>
          <w:sz w:val="30"/>
          <w:szCs w:val="30"/>
        </w:rPr>
        <w:t>一、收入支出决算总表</w:t>
      </w:r>
    </w:p>
    <w:p>
      <w:pPr>
        <w:pStyle w:val="23"/>
        <w:tabs>
          <w:tab w:val="right" w:leader="dot" w:pos="8296"/>
        </w:tabs>
        <w:adjustRightInd w:val="0"/>
        <w:snapToGrid w:val="0"/>
        <w:spacing w:line="440" w:lineRule="exact"/>
        <w:jc w:val="left"/>
        <w:rPr>
          <w:rFonts w:ascii="方正仿宋简体" w:eastAsia="方正仿宋简体" w:cs="方正仿宋简体" w:hAnsi="方正仿宋简体"/>
          <w:bCs/>
          <w:color w:val="000000"/>
          <w:kern w:val="0"/>
          <w:sz w:val="30"/>
          <w:szCs w:val="30"/>
        </w:rPr>
      </w:pPr>
      <w:r>
        <w:rPr>
          <w:rFonts w:ascii="方正仿宋简体" w:eastAsia="方正仿宋简体" w:cs="方正仿宋简体" w:hAnsi="方正仿宋简体" w:hint="eastAsia"/>
          <w:bCs/>
          <w:color w:val="000000"/>
          <w:kern w:val="0"/>
          <w:sz w:val="30"/>
          <w:szCs w:val="30"/>
        </w:rPr>
        <w:t>二、收入决算表</w:t>
      </w:r>
    </w:p>
    <w:p>
      <w:pPr>
        <w:pStyle w:val="23"/>
        <w:tabs>
          <w:tab w:val="right" w:leader="dot" w:pos="8296"/>
        </w:tabs>
        <w:adjustRightInd w:val="0"/>
        <w:snapToGrid w:val="0"/>
        <w:spacing w:line="440" w:lineRule="exact"/>
        <w:jc w:val="left"/>
        <w:rPr>
          <w:rFonts w:ascii="方正仿宋简体" w:eastAsia="方正仿宋简体" w:cs="方正仿宋简体" w:hAnsi="方正仿宋简体"/>
          <w:bCs/>
          <w:color w:val="000000"/>
          <w:kern w:val="0"/>
          <w:sz w:val="30"/>
          <w:szCs w:val="30"/>
        </w:rPr>
      </w:pPr>
      <w:r>
        <w:rPr>
          <w:rFonts w:ascii="方正仿宋简体" w:eastAsia="方正仿宋简体" w:cs="方正仿宋简体" w:hAnsi="方正仿宋简体" w:hint="eastAsia"/>
          <w:bCs/>
          <w:color w:val="000000"/>
          <w:kern w:val="0"/>
          <w:sz w:val="30"/>
          <w:szCs w:val="30"/>
        </w:rPr>
        <w:t>三、支出决算表</w:t>
      </w:r>
    </w:p>
    <w:p>
      <w:pPr>
        <w:pStyle w:val="23"/>
        <w:tabs>
          <w:tab w:val="right" w:leader="dot" w:pos="8296"/>
        </w:tabs>
        <w:adjustRightInd w:val="0"/>
        <w:snapToGrid w:val="0"/>
        <w:spacing w:line="440" w:lineRule="exact"/>
        <w:jc w:val="left"/>
        <w:rPr>
          <w:rFonts w:ascii="方正仿宋简体" w:eastAsia="方正仿宋简体" w:cs="方正仿宋简体" w:hAnsi="方正仿宋简体"/>
          <w:bCs/>
          <w:color w:val="000000"/>
          <w:kern w:val="0"/>
          <w:sz w:val="30"/>
          <w:szCs w:val="30"/>
        </w:rPr>
      </w:pPr>
      <w:r>
        <w:rPr>
          <w:rFonts w:ascii="方正仿宋简体" w:eastAsia="方正仿宋简体" w:cs="方正仿宋简体" w:hAnsi="方正仿宋简体" w:hint="eastAsia"/>
          <w:bCs/>
          <w:color w:val="000000"/>
          <w:kern w:val="0"/>
          <w:sz w:val="30"/>
          <w:szCs w:val="30"/>
        </w:rPr>
        <w:t>四、财政拨款收入支出决算总表</w:t>
      </w:r>
    </w:p>
    <w:p>
      <w:pPr>
        <w:pStyle w:val="23"/>
        <w:tabs>
          <w:tab w:val="right" w:leader="dot" w:pos="8296"/>
        </w:tabs>
        <w:adjustRightInd w:val="0"/>
        <w:snapToGrid w:val="0"/>
        <w:spacing w:line="440" w:lineRule="exact"/>
        <w:jc w:val="left"/>
        <w:rPr>
          <w:rFonts w:ascii="方正仿宋简体" w:eastAsia="方正仿宋简体" w:cs="方正仿宋简体" w:hAnsi="方正仿宋简体"/>
          <w:bCs/>
          <w:color w:val="000000"/>
          <w:kern w:val="0"/>
          <w:sz w:val="30"/>
          <w:szCs w:val="30"/>
        </w:rPr>
      </w:pPr>
      <w:r>
        <w:rPr>
          <w:rFonts w:ascii="方正仿宋简体" w:eastAsia="方正仿宋简体" w:cs="方正仿宋简体" w:hAnsi="方正仿宋简体" w:hint="eastAsia"/>
          <w:bCs/>
          <w:color w:val="000000"/>
          <w:kern w:val="0"/>
          <w:sz w:val="30"/>
          <w:szCs w:val="30"/>
        </w:rPr>
        <w:t>五、财政拨款支出决算明细表</w:t>
      </w:r>
    </w:p>
    <w:p>
      <w:pPr>
        <w:pStyle w:val="23"/>
        <w:tabs>
          <w:tab w:val="right" w:leader="dot" w:pos="8296"/>
        </w:tabs>
        <w:adjustRightInd w:val="0"/>
        <w:snapToGrid w:val="0"/>
        <w:spacing w:line="440" w:lineRule="exact"/>
        <w:jc w:val="left"/>
        <w:rPr>
          <w:rFonts w:ascii="方正仿宋简体" w:eastAsia="方正仿宋简体" w:cs="方正仿宋简体" w:hAnsi="方正仿宋简体"/>
          <w:bCs/>
          <w:color w:val="000000"/>
          <w:kern w:val="0"/>
          <w:sz w:val="30"/>
          <w:szCs w:val="30"/>
        </w:rPr>
      </w:pPr>
      <w:r>
        <w:rPr>
          <w:rFonts w:ascii="方正仿宋简体" w:eastAsia="方正仿宋简体" w:cs="方正仿宋简体" w:hAnsi="方正仿宋简体" w:hint="eastAsia"/>
          <w:bCs/>
          <w:color w:val="000000"/>
          <w:kern w:val="0"/>
          <w:sz w:val="30"/>
          <w:szCs w:val="30"/>
        </w:rPr>
        <w:t>六、一般公共预算财政拨款支出决算表</w:t>
      </w:r>
    </w:p>
    <w:p>
      <w:pPr>
        <w:pStyle w:val="23"/>
        <w:tabs>
          <w:tab w:val="right" w:leader="dot" w:pos="8296"/>
        </w:tabs>
        <w:adjustRightInd w:val="0"/>
        <w:snapToGrid w:val="0"/>
        <w:spacing w:line="440" w:lineRule="exact"/>
        <w:jc w:val="left"/>
        <w:rPr>
          <w:rFonts w:ascii="方正仿宋简体" w:eastAsia="方正仿宋简体" w:cs="方正仿宋简体" w:hAnsi="方正仿宋简体"/>
          <w:bCs/>
          <w:color w:val="000000"/>
          <w:kern w:val="0"/>
          <w:sz w:val="30"/>
          <w:szCs w:val="30"/>
        </w:rPr>
      </w:pPr>
      <w:r>
        <w:rPr>
          <w:rFonts w:ascii="方正仿宋简体" w:eastAsia="方正仿宋简体" w:cs="方正仿宋简体" w:hAnsi="方正仿宋简体" w:hint="eastAsia"/>
          <w:bCs/>
          <w:color w:val="000000"/>
          <w:kern w:val="0"/>
          <w:sz w:val="30"/>
          <w:szCs w:val="30"/>
        </w:rPr>
        <w:t>七、一般公共预算财政拨款支出决算明细表</w:t>
      </w:r>
    </w:p>
    <w:p>
      <w:pPr>
        <w:pStyle w:val="23"/>
        <w:tabs>
          <w:tab w:val="right" w:leader="dot" w:pos="8296"/>
        </w:tabs>
        <w:adjustRightInd w:val="0"/>
        <w:snapToGrid w:val="0"/>
        <w:spacing w:line="440" w:lineRule="exact"/>
        <w:jc w:val="left"/>
        <w:rPr>
          <w:rFonts w:ascii="方正仿宋简体" w:eastAsia="方正仿宋简体" w:cs="方正仿宋简体" w:hAnsi="方正仿宋简体"/>
          <w:bCs/>
          <w:color w:val="000000"/>
          <w:kern w:val="0"/>
          <w:sz w:val="30"/>
          <w:szCs w:val="30"/>
        </w:rPr>
      </w:pPr>
      <w:r>
        <w:rPr>
          <w:rFonts w:ascii="方正仿宋简体" w:eastAsia="方正仿宋简体" w:cs="方正仿宋简体" w:hAnsi="方正仿宋简体" w:hint="eastAsia"/>
          <w:bCs/>
          <w:color w:val="000000"/>
          <w:kern w:val="0"/>
          <w:sz w:val="30"/>
          <w:szCs w:val="30"/>
        </w:rPr>
        <w:t>八、一般公共预算财政拨款基本支出决算表</w:t>
      </w:r>
    </w:p>
    <w:p>
      <w:pPr>
        <w:pStyle w:val="23"/>
        <w:tabs>
          <w:tab w:val="right" w:leader="dot" w:pos="8296"/>
        </w:tabs>
        <w:adjustRightInd w:val="0"/>
        <w:snapToGrid w:val="0"/>
        <w:spacing w:line="440" w:lineRule="exact"/>
        <w:jc w:val="left"/>
        <w:rPr>
          <w:rFonts w:ascii="方正仿宋简体" w:eastAsia="方正仿宋简体" w:cs="方正仿宋简体" w:hAnsi="方正仿宋简体"/>
          <w:bCs/>
          <w:color w:val="000000"/>
          <w:kern w:val="0"/>
          <w:sz w:val="30"/>
          <w:szCs w:val="30"/>
        </w:rPr>
      </w:pPr>
      <w:r>
        <w:rPr>
          <w:rFonts w:ascii="方正仿宋简体" w:eastAsia="方正仿宋简体" w:cs="方正仿宋简体" w:hAnsi="方正仿宋简体" w:hint="eastAsia"/>
          <w:bCs/>
          <w:color w:val="000000"/>
          <w:kern w:val="0"/>
          <w:sz w:val="30"/>
          <w:szCs w:val="30"/>
        </w:rPr>
        <w:t>九、一般公共预算财政拨款项目支出决算表</w:t>
      </w:r>
    </w:p>
    <w:p>
      <w:pPr>
        <w:pStyle w:val="23"/>
        <w:tabs>
          <w:tab w:val="right" w:leader="dot" w:pos="8296"/>
        </w:tabs>
        <w:adjustRightInd w:val="0"/>
        <w:snapToGrid w:val="0"/>
        <w:spacing w:line="440" w:lineRule="exact"/>
        <w:jc w:val="left"/>
        <w:rPr>
          <w:rFonts w:ascii="方正仿宋简体" w:eastAsia="方正仿宋简体" w:cs="方正仿宋简体" w:hAnsi="方正仿宋简体"/>
          <w:bCs/>
          <w:color w:val="000000"/>
          <w:kern w:val="0"/>
          <w:sz w:val="30"/>
          <w:szCs w:val="30"/>
        </w:rPr>
      </w:pPr>
      <w:r>
        <w:rPr>
          <w:rFonts w:ascii="方正仿宋简体" w:eastAsia="方正仿宋简体" w:cs="方正仿宋简体" w:hAnsi="方正仿宋简体" w:hint="eastAsia"/>
          <w:bCs/>
          <w:color w:val="000000"/>
          <w:kern w:val="0"/>
          <w:sz w:val="30"/>
          <w:szCs w:val="30"/>
        </w:rPr>
        <w:t>十、一般公共预算财政拨款“三公”经费支出决算表</w:t>
      </w:r>
    </w:p>
    <w:p>
      <w:pPr>
        <w:pStyle w:val="23"/>
        <w:tabs>
          <w:tab w:val="right" w:leader="dot" w:pos="8296"/>
        </w:tabs>
        <w:adjustRightInd w:val="0"/>
        <w:snapToGrid w:val="0"/>
        <w:spacing w:line="440" w:lineRule="exact"/>
        <w:jc w:val="left"/>
        <w:rPr>
          <w:rFonts w:ascii="方正仿宋简体" w:eastAsia="方正仿宋简体" w:cs="方正仿宋简体" w:hAnsi="方正仿宋简体"/>
          <w:bCs/>
          <w:color w:val="000000"/>
          <w:kern w:val="0"/>
          <w:sz w:val="30"/>
          <w:szCs w:val="30"/>
        </w:rPr>
      </w:pPr>
      <w:r>
        <w:rPr>
          <w:rFonts w:ascii="方正仿宋简体" w:eastAsia="方正仿宋简体" w:cs="方正仿宋简体" w:hAnsi="方正仿宋简体" w:hint="eastAsia"/>
          <w:bCs/>
          <w:color w:val="000000"/>
          <w:kern w:val="0"/>
          <w:sz w:val="30"/>
          <w:szCs w:val="30"/>
        </w:rPr>
        <w:t>十一、政府性基金预算财政拨款收入支出决算表</w:t>
      </w:r>
    </w:p>
    <w:p>
      <w:pPr>
        <w:pStyle w:val="23"/>
        <w:tabs>
          <w:tab w:val="right" w:leader="dot" w:pos="8296"/>
        </w:tabs>
        <w:adjustRightInd w:val="0"/>
        <w:snapToGrid w:val="0"/>
        <w:spacing w:line="440" w:lineRule="exact"/>
        <w:jc w:val="left"/>
        <w:rPr>
          <w:rFonts w:ascii="方正仿宋简体" w:eastAsia="方正仿宋简体" w:cs="方正仿宋简体" w:hAnsi="方正仿宋简体"/>
          <w:bCs/>
          <w:color w:val="000000"/>
          <w:kern w:val="0"/>
          <w:sz w:val="30"/>
          <w:szCs w:val="30"/>
        </w:rPr>
      </w:pPr>
      <w:r>
        <w:rPr>
          <w:rFonts w:ascii="方正仿宋简体" w:eastAsia="方正仿宋简体" w:cs="方正仿宋简体" w:hAnsi="方正仿宋简体" w:hint="eastAsia"/>
          <w:bCs/>
          <w:color w:val="000000"/>
          <w:kern w:val="0"/>
          <w:sz w:val="30"/>
          <w:szCs w:val="30"/>
        </w:rPr>
        <w:t>十二、政府性基金预算财政拨款“三公”经费支出决算表</w:t>
      </w:r>
    </w:p>
    <w:p>
      <w:pPr>
        <w:pStyle w:val="23"/>
        <w:tabs>
          <w:tab w:val="right" w:leader="dot" w:pos="8296"/>
        </w:tabs>
        <w:adjustRightInd w:val="0"/>
        <w:snapToGrid w:val="0"/>
        <w:spacing w:line="440" w:lineRule="exact"/>
        <w:jc w:val="left"/>
        <w:rPr>
          <w:rFonts w:ascii="方正仿宋简体" w:eastAsia="方正仿宋简体" w:cs="方正仿宋简体" w:hAnsi="方正仿宋简体"/>
          <w:bCs/>
          <w:color w:val="000000"/>
          <w:kern w:val="0"/>
          <w:sz w:val="30"/>
          <w:szCs w:val="30"/>
        </w:rPr>
      </w:pPr>
      <w:r>
        <w:rPr>
          <w:rFonts w:ascii="方正仿宋简体" w:eastAsia="方正仿宋简体" w:cs="方正仿宋简体" w:hAnsi="方正仿宋简体" w:hint="eastAsia"/>
          <w:bCs/>
          <w:color w:val="000000"/>
          <w:kern w:val="0"/>
          <w:sz w:val="30"/>
          <w:szCs w:val="30"/>
        </w:rPr>
        <w:t>十三、国有资本经营预算支出决算表</w:t>
      </w:r>
    </w:p>
    <w:p>
      <w:pPr>
        <w:widowControl/>
        <w:spacing w:line="440" w:lineRule="exact"/>
        <w:jc w:val="left"/>
        <w:rPr>
          <w:rFonts w:ascii="方正仿宋简体" w:eastAsia="方正仿宋简体" w:cs="方正仿宋简体" w:hAnsi="方正仿宋简体"/>
          <w:bCs/>
          <w:kern w:val="44"/>
          <w:sz w:val="30"/>
          <w:szCs w:val="30"/>
        </w:rPr>
      </w:pPr>
      <w:bookmarkStart w:id="13" w:name="_Toc15396599"/>
      <w:bookmarkStart w:id="14" w:name="_Toc15377196"/>
      <w:r>
        <w:rPr>
          <w:rFonts w:ascii="方正仿宋简体" w:eastAsia="方正仿宋简体" w:cs="方正仿宋简体" w:hAnsi="方正仿宋简体" w:hint="eastAsia"/>
          <w:b/>
          <w:sz w:val="30"/>
          <w:szCs w:val="30"/>
        </w:rPr>
        <w:br w:type="page"/>
      </w:r>
    </w:p>
    <w:p>
      <w:pPr>
        <w:pStyle w:val="1"/>
        <w:jc w:val="center"/>
        <w:rPr>
          <w:rFonts w:ascii="黑体" w:eastAsia="黑体"/>
          <w:color w:val="000000"/>
          <w:sz w:val="32"/>
          <w:szCs w:val="32"/>
        </w:rPr>
      </w:pPr>
      <w:r>
        <w:rPr>
          <w:rFonts w:ascii="黑体" w:eastAsia="黑体" w:hAnsi="黑体" w:hint="eastAsia"/>
          <w:b w:val="0"/>
        </w:rPr>
        <w:t xml:space="preserve">第一部分 </w:t>
      </w:r>
      <w:r>
        <w:rPr>
          <w:rStyle w:val="1Char"/>
          <w:rFonts w:ascii="黑体" w:eastAsia="黑体" w:hAnsi="黑体" w:hint="eastAsia"/>
          <w:b w:val="0"/>
          <w:bCs w:val="0"/>
        </w:rPr>
        <w:t>部门概况</w:t>
      </w:r>
      <w:bookmarkEnd w:id="13"/>
      <w:bookmarkEnd w:id="14"/>
    </w:p>
    <w:p>
      <w:pPr>
        <w:overflowPunct w:val="0"/>
        <w:spacing w:line="576" w:lineRule="exact"/>
        <w:ind w:firstLineChars="200" w:firstLine="640"/>
        <w:rPr>
          <w:rFonts w:ascii="仿宋" w:eastAsia="仿宋" w:hAnsi="仿宋"/>
          <w:b/>
          <w:color w:val="000000"/>
          <w:sz w:val="32"/>
          <w:szCs w:val="32"/>
        </w:rPr>
      </w:pPr>
      <w:bookmarkStart w:id="15" w:name="_Toc15377197"/>
      <w:bookmarkStart w:id="16" w:name="_Toc15396600"/>
      <w:r>
        <w:rPr>
          <w:rFonts w:ascii="仿宋" w:eastAsia="仿宋" w:hAnsi="仿宋" w:hint="eastAsia"/>
          <w:b/>
          <w:color w:val="000000"/>
          <w:sz w:val="32"/>
          <w:szCs w:val="32"/>
        </w:rPr>
        <w:t>一、基本职能及主要工作</w:t>
      </w:r>
      <w:bookmarkEnd w:id="15"/>
      <w:bookmarkEnd w:id="16"/>
    </w:p>
    <w:p>
      <w:pPr>
        <w:overflowPunct w:val="0"/>
        <w:spacing w:line="576" w:lineRule="exact"/>
        <w:ind w:firstLineChars="200" w:firstLine="640"/>
        <w:rPr>
          <w:rFonts w:ascii="仿宋" w:eastAsia="仿宋" w:hAnsi="仿宋"/>
          <w:b/>
          <w:color w:val="000000"/>
          <w:sz w:val="32"/>
          <w:szCs w:val="32"/>
        </w:rPr>
      </w:pPr>
      <w:bookmarkStart w:id="17" w:name="_Toc15377198"/>
      <w:bookmarkStart w:id="18" w:name="_Toc15378445"/>
      <w:r>
        <w:rPr>
          <w:rFonts w:ascii="仿宋" w:eastAsia="仿宋" w:hAnsi="仿宋" w:hint="eastAsia"/>
          <w:b/>
          <w:color w:val="000000"/>
          <w:sz w:val="32"/>
          <w:szCs w:val="32"/>
        </w:rPr>
        <w:t>（一）主要职能。</w:t>
      </w:r>
      <w:bookmarkStart w:id="19" w:name="_Toc15377199"/>
      <w:bookmarkStart w:id="20" w:name="_Toc15378446"/>
      <w:bookmarkEnd w:id="17"/>
      <w:bookmarkEnd w:id="18"/>
    </w:p>
    <w:p>
      <w:pPr>
        <w:overflowPunct w:val="0"/>
        <w:spacing w:line="576"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 xml:space="preserve"> 利州区政协设办公室、提案法制委、经济科技委、教科文卫体委、农业委、城建环资委、学习宣传委、信息中心、政协书画院。现有在职干部职工33人，退休干部25人。政协机关主要职责如下：</w:t>
      </w:r>
    </w:p>
    <w:p>
      <w:pPr>
        <w:overflowPunct w:val="0"/>
        <w:spacing w:line="576"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1.负责区政协全体会议、常务委员会议、主席办公会议和专门委员会会议的会务工作，负责上述会议所形成的决议、决定、建议案的组织实施.</w:t>
      </w:r>
    </w:p>
    <w:p>
      <w:pPr>
        <w:overflowPunct w:val="0"/>
        <w:spacing w:line="576"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2.组织政协委员开展履职工作，充分发挥区政协委员的作用，履行好政治协商、民主监督、参政议政的基本职能。</w:t>
      </w:r>
    </w:p>
    <w:p>
      <w:pPr>
        <w:overflowPunct w:val="0"/>
        <w:spacing w:line="576"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3.负责政协委员视察、参观、调查、座谈、学习、研讨等日常活动的服务和具体组织工作；受省、市政协的委托，组织在区的省、市政协委员进行视察活动。</w:t>
      </w:r>
    </w:p>
    <w:p>
      <w:pPr>
        <w:overflowPunct w:val="0"/>
        <w:spacing w:line="576"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4.研究统一战线和人民政协理论、政策，调查研究地方政协的共同性问题及解决办法，供领导参考。</w:t>
      </w:r>
    </w:p>
    <w:p>
      <w:pPr>
        <w:overflowPunct w:val="0"/>
        <w:spacing w:line="576"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 xml:space="preserve"> 5.针对我区经济社会发展等重点领域问题和群众最为关注的热点问题，围绕区委各项中心工作，组织政协委员进行调查研究，写好调查报告，与区委、区政府领导进行协商，为区委、区政府科学决策提供依据。联系工商联、各人民团体和无党派人士，联系区直有关部门，互通信息，协调工作，加强合作。</w:t>
      </w:r>
    </w:p>
    <w:p>
      <w:pPr>
        <w:overflowPunct w:val="0"/>
        <w:spacing w:line="576"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6.宣传人民政协的方针政策、工作业绩和经验以及政协委员的先进事迹，收集反映区政协委员和各界人士的意见与建议，综合反映社情民意。</w:t>
      </w:r>
    </w:p>
    <w:p>
      <w:pPr>
        <w:overflowPunct w:val="0"/>
        <w:spacing w:line="576"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7.负责接待来区访问的市内外政协机关和对外联谊交流工作。</w:t>
      </w:r>
    </w:p>
    <w:p>
      <w:pPr>
        <w:overflowPunct w:val="0"/>
        <w:spacing w:line="576"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8.承办区政协主席、副主席交办的其他事项。</w:t>
      </w:r>
    </w:p>
    <w:p>
      <w:pPr>
        <w:overflowPunct w:val="0"/>
        <w:spacing w:line="576"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（二）2020年重点工作完成情况。</w:t>
      </w:r>
      <w:bookmarkEnd w:id="19"/>
      <w:bookmarkEnd w:id="20"/>
    </w:p>
    <w:p>
      <w:pPr>
        <w:overflowPunct w:val="0"/>
        <w:spacing w:line="576" w:lineRule="exact"/>
        <w:ind w:firstLineChars="200" w:firstLine="640"/>
        <w:rPr>
          <w:rFonts w:ascii="仿宋" w:eastAsia="仿宋" w:hAnsi="仿宋"/>
          <w:bCs/>
          <w:color w:val="000000"/>
          <w:sz w:val="32"/>
          <w:szCs w:val="32"/>
        </w:rPr>
      </w:pPr>
      <w:bookmarkStart w:id="21" w:name="_Toc15396601"/>
      <w:bookmarkStart w:id="22" w:name="_Toc15377200"/>
      <w:r>
        <w:rPr>
          <w:rFonts w:ascii="仿宋" w:eastAsia="仿宋" w:hAnsi="仿宋" w:hint="eastAsia"/>
          <w:bCs/>
          <w:color w:val="000000"/>
          <w:sz w:val="32"/>
          <w:szCs w:val="32"/>
        </w:rPr>
        <w:t>2020年，区政协坚持以习近平新时代中国特色社会主义思想为指导，认真落实中共广元市利州区委的部署和要求，紧扣区委八届十一次、十二次全会提出的目标任务，团结广大政协委员和社会各界人士，积极履行政治协商、民主监督、参政议政职能，持续在建言资政和凝聚共识上双向发力，为夺取疫情防控和经济社会发展双胜利作出了积极贡献。</w:t>
      </w:r>
    </w:p>
    <w:p>
      <w:pPr>
        <w:overflowPunct w:val="0"/>
        <w:spacing w:line="576"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一、强化理论武装，夯实共同思想基础</w:t>
      </w:r>
    </w:p>
    <w:p>
      <w:pPr>
        <w:overflowPunct w:val="0"/>
        <w:spacing w:line="576"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坚决拥护党的领导，把思想政治建设摆在首要位置，团结带领政协机关和广大政协委员，围绕中心谋事，服务大局干事，为改革发展凝聚共识、汇聚合力。</w:t>
      </w:r>
    </w:p>
    <w:p>
      <w:pPr>
        <w:overflowPunct w:val="0"/>
        <w:spacing w:line="576"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持续强化理论武装。坚持将学习贯彻习近平新时代中国特色社会主义思想和党的十九大、十九届四中、五中全会精神的，学习贯彻习近平总书记对四川工作系列重要指示批示精神作为首要政治任务，按照学懂弄通做实的要求，充分发挥党组理论学习示范引领作用，周密安排，组织机关干部和政协委员运用学习强国、专题研讨等多种形式，扎实抓好党章党规、党史国史、《习近平谈治国理政》第三卷的系统学习，在常学常新中加强理论修养，在真学真信中坚定理想信念，在学思践悟中牢记初心使命，在细照笃行中不断修炼自我，进一步增强“四个意识”、坚定“四个自信”、坚决做到“两个维护”，始终在政治立场、政治方向、政治原则、政治道路上同以习近平同志为核心的党中央保持高度一致。</w:t>
      </w:r>
    </w:p>
    <w:p>
      <w:pPr>
        <w:overflowPunct w:val="0"/>
        <w:spacing w:line="576"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全面加强党的领导。区委常委会定期听取政协党组工作汇报，区委领导带头参加政协重要会议和活动，为政协工作创造良好条件。区政协党组认真履行把方向、管大局、保落实的职责，主动向区委请示报告重大事项、重大工作、重要情况，及时传达贯彻区委重大会议和决策部署精神，按照区委指示抓好落实，始终做到与区委思想上同心同德、目标上同心同向、行动上同心同行。紧紧围绕全区中心工作协商议政、凝心聚力，切实做到区委中心工作推进到哪里，政协履职就跟进到哪里，建言助力就体现到哪里。以高度的政治责任感做好巡视整改“后半篇文章”，认真抓好反馈问题整改，把巡视成果转化成推动全面从严治党的实际行动，确保政协始终在党的领导下主动负责、积极有效地开展工作。</w:t>
      </w:r>
    </w:p>
    <w:p>
      <w:pPr>
        <w:overflowPunct w:val="0"/>
        <w:spacing w:line="576"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广泛凝聚思想共识。严格落实意识形态工作责任制，落实国安责任制，引导委员站稳政治立场，增强政治定力，在大是大非面前敢于举旗亮剑、主动发声。加强与各民主党派、人民团体、工商联、民族宗教及新的社会阶层人士沟通联系，进一步夯实团结奋斗的共同思想政治基础，不断巩固和发展最广泛的爱国统一战线。坚持将凝聚共识融入调研视察、协商议政、学习培训等各项履职活动中，增进政治思想认同，增强发展使命感和紧迫感，为决胜全面小康凝聚发展合力，营造和谐氛围。</w:t>
      </w:r>
    </w:p>
    <w:p>
      <w:pPr>
        <w:overflowPunct w:val="0"/>
        <w:spacing w:line="576"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发挥政协优势，积极助力疫情防控</w:t>
      </w:r>
    </w:p>
    <w:p>
      <w:pPr>
        <w:overflowPunct w:val="0"/>
        <w:spacing w:line="576"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新冠肺炎疫情发生以来，区政协及其常委会坚决贯彻落实中央、省委、市委和区委的决策部署，充分发挥政协组织的政治优势，在疫情防控、复工复产中积极作为，为夺取疫情防控和经济社会发展双胜利贡献智慧和力量。</w:t>
      </w:r>
    </w:p>
    <w:p>
      <w:pPr>
        <w:overflowPunct w:val="0"/>
        <w:spacing w:line="576"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突出政治引领，广泛凝聚抗疫力量。区政协党组第一时间响应区委号召，于农历大年初一晚上召开干部职工会议，迅速吹响集结号。先后召开专题会议5次，研究布置政协疫情防控工作。通过不同方式，广泛地向政协委员宣传防疫工作，号召广大政协委员坚定信心，切实把思想和行动统一到中央和省委、市委、区委的决策部署上来，主动担当作为，同心协力打赢新冠肺炎疫情防控阻击战。</w:t>
      </w:r>
    </w:p>
    <w:p>
      <w:pPr>
        <w:overflowPunct w:val="0"/>
        <w:spacing w:line="576"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主动担当作为，坚守一线抗击疫情。主席会议成员尽己之责，担岗各疫情防控工作督导组组长，深入社区、企业和商户督察，有序推进各乡镇、街道联防联控工作；政协机关干部全员参与，深入东坝街道、雪峰街道部分社区，不漏一户一人地开展疫情防控排查，在居民小区开展重点人员值守；区级各民主党派成员和广大政协委员尽己所能，或战斗在防疫一线，或坚守工作岗位，或想方设法筹措防疫物资，为抗击疫情贡献力量。</w:t>
      </w:r>
    </w:p>
    <w:p>
      <w:pPr>
        <w:overflowPunct w:val="0"/>
        <w:spacing w:line="576"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强化履职创新，协力助推抗疫复产。改进履职形式，充分利用QQ群、微信群、微信公众号等平台，积极宣传政策法规、普及防控知识、开展网络调研和议政，汇聚共克时艰的强大合力。发挥社情民意“直通车”作用，为疫情防控、复工复产建言资政，报送社情民意16条，积极建言助推“六稳”“六保”。区工商联积极寻找采购途径，为各商会、会员企业协调采购口罩、红外线体温仪、消毒液、酒精等防疫物资，缓解了企业复产应急之需。区级各民主党派和广大政协委员纷纷响应号召，积极捐款捐物，支援武汉等疫情严重地区和我区疫情防控工作。据不完全统计，政协系统为疫情防控捐款捐物达160余万元。</w:t>
      </w:r>
    </w:p>
    <w:p>
      <w:pPr>
        <w:overflowPunct w:val="0"/>
        <w:spacing w:line="576"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三、服务全区大局，认真履行政协职能</w:t>
      </w:r>
    </w:p>
    <w:p>
      <w:pPr>
        <w:overflowPunct w:val="0"/>
        <w:spacing w:line="576"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深入贯彻落实省委十一届六次、七次、八次全会，市委七届十一次、十二次、十三次全会精神，紧扣区委区政府工作大局，情系百姓群众利益，坚持高质量精准履职，议政建言实效进一步增强。</w:t>
      </w:r>
    </w:p>
    <w:p>
      <w:pPr>
        <w:overflowPunct w:val="0"/>
        <w:spacing w:line="576"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政治协商内容更加广泛。围绕全区政治、经济、文化、社会生活中的重大问题和群众关注的热难点问题，认真制定和实施《2020年度协商计划》，力求使协商主题明确，紧扣中心工作。不断完善全会集中协商、常委会专题协商、专委会对口协商的格局，并通过大规模讨论、小范围座谈、公开协商、内部沟通等方式，丰富协商形式，拓展协商渠道。全年组织召开主席会议19次、专题议政性常委会议4次、专委会议 8次。围绕“建立健全返贫监测预警和应急救助机制，巩固脱贫成果”、“推进基层治理制度创新，提升社区公共服务供给能力和水平”、“加强民营企业司法保护，优化营商法治环境”、“做好乡镇行政区划调整改革‘后半篇文章’，提高乡村治理水平”等课题开展了协商，协商前充分开展调研，提高协商质量，努力做到协商有的放矢，建言有理有据。充分利用参加区委常委会、区委中心组学习会、政府办公会和工作督察等时机，认真履行协商职责，积极提出意见建议。</w:t>
      </w:r>
    </w:p>
    <w:p>
      <w:pPr>
        <w:overflowPunct w:val="0"/>
        <w:spacing w:line="576"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民主监督作用更加突出。坚持围绕发展抓监督、抓好监督促发展的原则，积极探索，注重实效，不断加大民主监督力度。按照年度工作计划，各专委会在充分酝酿、认真准备的基础上，组织委员对妇女儿童关爱救助、返贫预警监测、村级建制调整改革、农村产业发展、食品药品监督管理、民族宗教工作、禁毒工作等开展了视察，提出了改进意见，进一步推进了部门作风的转变和工作的有效落实；组织委员参加了区检察院“同舟共济、检护明天”开放日活动，围绕如何加强和改进未成年人检察工作建言献策；组织委员参加了区检察院“健康人生、绿色无毒”主题开放日活动，为推进广元“全国禁毒示范城市”创建献计出力。</w:t>
      </w:r>
    </w:p>
    <w:p>
      <w:pPr>
        <w:overflowPunct w:val="0"/>
        <w:spacing w:line="576"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参政议政成效更加显著。成功召开了区政协八届五次会议。选择全区经济社会发展中带全局性、战略性的问题，经过主席会议讨论研究，确定一批重点课题，由政协班子成员领衔，邀请区政府分管领导和相关部门参加，组成调研组，开展广泛深入的专题调研和视察。围绕“十四五”规划编制、脱贫攻坚、规范物业管理市场秩序、公共卫生安全和疾病预防控制体系建设、现代服务业提质增效、农村养老困境、“菜篮子”工程建设等课题开展调研，并形成调研成果，提出建设性的意见和建议，对推动相关部门工作的开展提供了决策参考。《关于规范我市中心城区物业管理市场秩序的建议》《别让农村留守老人在孤寂中老去》两篇调研成果在市政协七届五次全会上交流发言，得到参会市领导的充分肯定；《关于“十四五”规划编制工作的建议案》《关于加强我区公共卫生安全和疾病预防控制体系建设》《推进基层治理制度创新，提升社区公共服务供给能力和水平的建议》等调研成果，为区委和相关部门提供了科学决策参考。</w:t>
      </w:r>
    </w:p>
    <w:p>
      <w:pPr>
        <w:overflowPunct w:val="0"/>
        <w:spacing w:line="576"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持续巩固脱贫奔康成效。贯彻落实习近平总书记在决战决胜脱贫攻坚座谈会上的重要讲话精神和省、市、区委工作部署，按照脱贫攻坚总复习“百日攻坚”要求，细化工作措施，扎实开展专项行动，始终做到思想认识围绕脱贫攻坚立、人员力量围绕脱贫攻坚聚、工作机制围绕脱贫攻坚建。班子成员每周至少1次深入联系乡镇、村开展走访调研，督导“两不愁三保障”回头看大排查等工作，加快推进问题整改清零行动，全覆盖排查补短；驻村工作队和机关干部持续做好脱贫攻坚工作，帮扶力度不减，缩减机关办公经费，投入各类帮扶资金10余万元，着力推进各帮扶村产业发展，确保脱贫群众不返贫，政协机关帮扶的田湾村代表利州区接受全省脱贫普查，脱贫成效得到充分肯定。持续推进政协委员“我为扶贫攻坚做件事”活动，实现委员参与全覆盖。积极引导委员参与捐资助学、扶贫济困、爱心救助等社会公益事业，不断提升政协组织在群众中的亲和力与影响力，为构建和谐社会、建设美好利州倾注爱心、传递正能量。</w:t>
      </w:r>
    </w:p>
    <w:p>
      <w:pPr>
        <w:overflowPunct w:val="0"/>
        <w:spacing w:line="576"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倾力服务全区中心工作。始终坚持“维护核心、服务中心、汇集人心”，紧紧围绕区委工作思路，积极主动融入经济社会发展大局，以实干助推发展。认真落实区委要求，班子成员挂联重点项目，积极配合，主动作为，与党政领导共同抓协调、抓督查、抓落实；联系指导村级建制调整改革工作，主席、副主席多次深入涉及改革的村组走访座谈，了解群众思想动态，指导调整改革工作顺利推进；认真履行职责，积极做好河长制、森林防灭火、安全生产等重要工作，深入一线明察暗访，督导相关部门、单位及时整改；把维护和谐稳定作为重要职责，按要求参加区委、区政府群众信访接待工作，做好协调关系、化解矛盾等工作。</w:t>
      </w:r>
    </w:p>
    <w:p>
      <w:pPr>
        <w:overflowPunct w:val="0"/>
        <w:spacing w:line="576"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切实加强政协自身建设。分界别组织规模50人左右的委员培训班4次，提升委员履职能力，切实增强履职责任感。突出委员在政协履行职能、开展工作中的主体地位，组织委员广泛开展调研视察、联谊交流及学习考察活动，取得了良好成效。落实好干部标准，坚持公正用人，拓宽用人视野，对政协机关相关委室负责人进行了调整，进一步优化了政协干部队伍结构。坚持对机关干部从严教育、从严要求、从严管理、从严监督，认真落实机关管理各项制度。持续开展机关效能建设，提高办文办会质量，提升服务能力，机关各项工作规范有序、服务周到、保障有力，为政协工作提质增效提供了坚实保障。</w:t>
      </w:r>
    </w:p>
    <w:p>
      <w:pPr>
        <w:overflowPunct w:val="0"/>
        <w:spacing w:line="576"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四、履行党风廉政建设主体责任，保持清正廉洁本色</w:t>
      </w:r>
    </w:p>
    <w:p>
      <w:pPr>
        <w:overflowPunct w:val="0"/>
        <w:spacing w:line="576"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把加强党性修养、保持优良作风作为立身之本和从政之要，主动适应全面从严治党新常态，切实履行党风廉政建设主体责任和“一岗双责”责任，持之以恒落实中央、省委、市委和区委各项规定与要求。</w:t>
      </w:r>
    </w:p>
    <w:p>
      <w:pPr>
        <w:overflowPunct w:val="0"/>
        <w:spacing w:line="576"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以政治建设为统领，切实提高政治站位。坚决做到旗帜鲜明讲政治，在思想上政治上行动上同以习近平同志为核心的党中央保持高度一致。坚持重大事项、重要工作及时向区委请示汇报，确保中央、省委、市委、区委的决策部署和要求贯彻落实到政协工作各方面。根据人事变动，区政协党组及时调整党建工作领导小组，严格落实管党治党主体责任，班子成员实行“一岗双责”，层层压实“两个责任”。及时研究制定了区政协2020年全面从严治党和党风廉政建设安排意见，召开了机关党风廉政建设和反腐败工作会议，对党风廉政建设工作进行安排部署，区政协党组书记与班子成员签订了党风廉政和反腐败工作责任清单。围绕年度工作要点，制定党建工作计划，建立工作台账，落实工作任务，确保各项任务有安排、有推动、有检查、有落实。党组召开了3次专题会议，专题听取并研究机关党的建设工作，确保机关党建工作有序开展。</w:t>
      </w:r>
    </w:p>
    <w:p>
      <w:pPr>
        <w:overflowPunct w:val="0"/>
        <w:spacing w:line="576"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以思想建设为载体，更加坚定理想信念。年初制定政协党组理论学习中心组、政协机关党委、机关支部学习计划，明确学习内容，丰富学习方式。将党的十九大精神，习近平新时代中国特色社会主义思想，习近平总书记关于加强和改进人民政协工作的重要思想，党建工作相关文件等作为必学内容，按计划开展学习。注重夯实意识形态阵地，区政协主席和秘书长切实担负起政协党组和机关党委意识形态工作第一责任人责任，强化对“利州政协”微信公众号、政协委员QQ群和微信群、政协机关微信工作群等意识形态阵地的建设管理，抓好意识形态工作。党的99岁生日之际，组织机关党员干部开展了“忆党恩、听党话、跟党走”系列庆祝活动，通过深入联系村帮扶、重温入党誓词、集中观看警示教育片、专题党课辅导、慰问老党员等，进一步坚定了理想信念，提升了党性修养。</w:t>
      </w:r>
    </w:p>
    <w:p>
      <w:pPr>
        <w:overflowPunct w:val="0"/>
        <w:spacing w:line="576"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以组织建设为核心，夯实党建工作根基。严格执行《关于新形势下党内政治生活的若干准则》和党组工作条例等规定，认真开展“三会一课”、民主生活会和组织生活会、谈心谈话、民主评议党员、主题党日活动等活动，切实增强党内政治生活的政治性、时代性、原则性。全年召开党组会议27次，理论学习中心组学习会议6次，党员会议5次，党组成员讲党课11次。党组成员以普通党员的身份参加活动，认真研读党章党规，突出思想教育、党性锻炼。在调整完善机关党委组织机构的基础上，持续打造“讲政治、业务精、作风好”模范党员干部队伍。</w:t>
      </w:r>
    </w:p>
    <w:p>
      <w:pPr>
        <w:overflowPunct w:val="0"/>
        <w:spacing w:line="576"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以作风建设为重点，推动风气持续向好。党组强化政治担当，以高度的政治责任感做好巡视整改“后半篇文章”，针对巡视反馈的党的政治建设、组织建设及作风方面存在的8项问题，深刻剖析存在问题的根源，将整改工作与推动政协各项日常工作有机结合，所反馈的问题已整改到位。把作风建设摆在更加突出的位置，严格落实中央八项规定精神，以及省委省政府十项规定、市委“六个带头”、区委“七项要求”等规定，驰而不息转变作风，促进政协各项工作落实。认真贯彻落实从严管党治党要求，加强机关干部监管，严格执行领导干部个人有关事项报告制度，及时开展谈心谈话提醒。党组书记与每位班子成员开展谈心谈话，围绕分管工作、作风建设、</w:t>
      </w:r>
      <w:r>
        <w:rPr>
          <w:rFonts w:ascii="仿宋" w:eastAsia="仿宋" w:hAnsi="仿宋" w:hint="eastAsia"/>
          <w:bCs/>
          <w:color w:val="000000"/>
          <w:sz w:val="32"/>
          <w:szCs w:val="32"/>
          <w:lang w:eastAsia="zh-CN"/>
        </w:rPr>
        <w:t>中央</w:t>
      </w:r>
      <w:r>
        <w:rPr>
          <w:rFonts w:ascii="仿宋" w:eastAsia="仿宋" w:hAnsi="仿宋" w:hint="eastAsia"/>
          <w:bCs/>
          <w:color w:val="000000"/>
          <w:sz w:val="32"/>
          <w:szCs w:val="32"/>
        </w:rPr>
        <w:t>八项规定等方面要求，进行专门谈话提醒。结合省委巡视反馈问题整改工作，修订完善了《政协机关财务管理制度》等5项制度；严格执行机关上下班、请销假等工作制度，对不遵守相关纪律的干部进行批评教育。加强干部“八小时外”和亲属圈、朋友圈、同学圈等监管。</w:t>
      </w:r>
    </w:p>
    <w:p>
      <w:pPr>
        <w:overflowPunct w:val="0"/>
        <w:spacing w:line="576"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以纪律建设为根本，推动管党治党更严。认真贯彻《党委（党组）落实全面从严治党主体责任规定》，严格落实《广元市全面从严治党“三张清单”》。坚持抓在经常、严在日常，把《关于新形势下党内政治生活的若干准则》《党内监督条例》《廉洁自律准则》《</w:t>
      </w:r>
      <w:r>
        <w:rPr>
          <w:rFonts w:ascii="仿宋" w:eastAsia="仿宋" w:hAnsi="仿宋" w:hint="eastAsia"/>
          <w:bCs/>
          <w:color w:val="000000"/>
          <w:sz w:val="32"/>
          <w:szCs w:val="32"/>
          <w:lang w:eastAsia="zh-CN"/>
        </w:rPr>
        <w:t>中国共产党</w:t>
      </w:r>
      <w:r>
        <w:rPr>
          <w:rFonts w:ascii="仿宋" w:eastAsia="仿宋" w:hAnsi="仿宋" w:hint="eastAsia"/>
          <w:bCs/>
          <w:color w:val="000000"/>
          <w:sz w:val="32"/>
          <w:szCs w:val="32"/>
        </w:rPr>
        <w:t>纪律处分条例》《问责条例》等党内法规，作为党员学习培训必修课，切实增强政治纪律和政治规矩，教育和引导机关干部做遵规守纪的模范。全力支持派驻纪检监察组的工作，组织机关干部学习关于刘亚洲、向永东违纪违法的案例，观看警示教育片，到廉政文化基地开展警示教育，及时对各类违纪案件处理情况进行通报，利用身边的违纪违法典型案件开展警示教育活动，以案为戒，汲取教训，筑牢拒腐防变思想防线。</w:t>
      </w:r>
    </w:p>
    <w:p>
      <w:pPr>
        <w:overflowPunct w:val="0"/>
        <w:spacing w:line="576" w:lineRule="exact"/>
        <w:ind w:firstLineChars="200" w:firstLine="640"/>
        <w:rPr>
          <w:rFonts w:ascii="仿宋" w:eastAsia="仿宋" w:hAnsi="仿宋"/>
          <w:b/>
          <w:color w:val="000000"/>
          <w:sz w:val="32"/>
          <w:szCs w:val="32"/>
        </w:rPr>
      </w:pPr>
    </w:p>
    <w:p>
      <w:pPr>
        <w:overflowPunct w:val="0"/>
        <w:spacing w:line="576" w:lineRule="exact"/>
        <w:ind w:firstLineChars="200" w:firstLine="640"/>
        <w:rPr>
          <w:rFonts w:ascii="仿宋" w:eastAsia="仿宋" w:hAnsi="仿宋"/>
          <w:b/>
          <w:color w:val="000000"/>
          <w:sz w:val="32"/>
          <w:szCs w:val="32"/>
        </w:rPr>
      </w:pPr>
      <w:r>
        <w:rPr>
          <w:rFonts w:ascii="仿宋" w:eastAsia="仿宋" w:hAnsi="仿宋" w:hint="eastAsia"/>
          <w:b/>
          <w:color w:val="000000"/>
          <w:sz w:val="32"/>
          <w:szCs w:val="32"/>
        </w:rPr>
        <w:t>二、机构设置</w:t>
      </w:r>
      <w:bookmarkEnd w:id="21"/>
      <w:bookmarkEnd w:id="22"/>
    </w:p>
    <w:p>
      <w:pPr>
        <w:overflowPunct w:val="0"/>
        <w:spacing w:line="576"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中共广元市利州区政协下属二级单位0个，其中行政单位0个，参照公务员法管理的事业单位0个，其他事业单位0个。</w:t>
      </w:r>
    </w:p>
    <w:p>
      <w:pPr>
        <w:overflowPunct w:val="0"/>
        <w:spacing w:line="576"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纳入中共广元市利州区政协2020年度部门决算编制范围的二级预算单位包括：</w:t>
      </w:r>
    </w:p>
    <w:p>
      <w:pPr>
        <w:overflowPunct w:val="0"/>
        <w:spacing w:line="576"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无</w:t>
        <w:br w:type="page"/>
      </w:r>
    </w:p>
    <w:p>
      <w:pPr>
        <w:widowControl/>
        <w:jc w:val="left"/>
        <w:rPr>
          <w:rStyle w:val="1Char"/>
          <w:rFonts w:ascii="黑体" w:eastAsia="黑体" w:hAnsi="黑体"/>
          <w:b w:val="0"/>
          <w:bCs w:val="0"/>
        </w:rPr>
      </w:pPr>
      <w:bookmarkStart w:id="23" w:name="_Toc15396602"/>
      <w:bookmarkStart w:id="24" w:name="_Toc15377204"/>
      <w:r>
        <w:rPr>
          <w:rStyle w:val="1Char"/>
          <w:rFonts w:ascii="黑体" w:eastAsia="黑体" w:hAnsi="黑体" w:hint="eastAsia"/>
          <w:b w:val="0"/>
          <w:bCs w:val="0"/>
        </w:rPr>
        <w:t>第二部分 2020年度部门决算情况说明</w:t>
      </w:r>
      <w:bookmarkEnd w:id="23"/>
      <w:bookmarkEnd w:id="24"/>
    </w:p>
    <w:p/>
    <w:p>
      <w:pPr>
        <w:pStyle w:val="30"/>
        <w:numPr>
          <w:ilvl w:val="0"/>
          <w:numId w:val="1"/>
        </w:numPr>
        <w:spacing w:line="600" w:lineRule="exact"/>
        <w:ind w:firstLineChars="0"/>
        <w:outlineLvl w:val="1"/>
        <w:rPr>
          <w:rStyle w:val="2Char"/>
          <w:rFonts w:ascii="黑体" w:eastAsia="黑体" w:hAnsi="黑体"/>
          <w:b w:val="0"/>
        </w:rPr>
      </w:pPr>
      <w:bookmarkStart w:id="25" w:name="_Toc15396603"/>
      <w:bookmarkStart w:id="26" w:name="_Toc15377205"/>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25"/>
      <w:bookmarkEnd w:id="26"/>
    </w:p>
    <w:p>
      <w:pPr>
        <w:ind w:firstLineChars="200" w:firstLine="640"/>
        <w:rPr>
          <w:rFonts w:ascii="仿宋" w:eastAsia="仿宋" w:hAnsi="仿宋"/>
          <w:color w:val="000000"/>
          <w:sz w:val="32"/>
          <w:szCs w:val="32"/>
        </w:rPr>
      </w:pPr>
      <w:r>
        <w:rPr>
          <w:rFonts w:ascii="仿宋" w:eastAsia="仿宋" w:hAnsi="仿宋" w:hint="eastAsia"/>
          <w:color w:val="000000"/>
          <w:sz w:val="32"/>
          <w:szCs w:val="32"/>
        </w:rPr>
        <w:t>2020年度收入总计758.10万元，支出总计715.74万元。与2019年相比，收、支总计各增加82.52万元和45.32万元，增长12%和7</w:t>
      </w:r>
      <w:r>
        <w:rPr>
          <w:rFonts w:ascii="仿宋" w:eastAsia="仿宋" w:hAnsi="仿宋"/>
          <w:color w:val="000000"/>
          <w:sz w:val="32"/>
          <w:szCs w:val="32"/>
        </w:rPr>
        <w:t>%</w:t>
      </w:r>
      <w:r>
        <w:rPr>
          <w:rFonts w:ascii="仿宋" w:eastAsia="仿宋" w:hAnsi="仿宋" w:hint="eastAsia"/>
          <w:color w:val="000000"/>
          <w:sz w:val="32"/>
          <w:szCs w:val="32"/>
        </w:rPr>
        <w:t>。主要变动原因是人员经费增加和项目增加。</w:t>
      </w:r>
    </w:p>
    <w:p>
      <w:pPr>
        <w:ind w:firstLineChars="200" w:firstLine="640"/>
        <w:rPr>
          <w:rFonts w:ascii="仿宋_GB2312" w:eastAsia="仿宋_GB2312"/>
          <w:color w:val="000000"/>
          <w:sz w:val="32"/>
          <w:szCs w:val="32"/>
        </w:rPr>
      </w:pPr>
      <w:r>
        <w:rPr>
          <w:rFonts w:ascii="仿宋" w:eastAsia="仿宋" w:hAnsi="仿宋" w:hint="eastAsia"/>
          <w:color w:val="000000"/>
          <w:sz w:val="32"/>
          <w:szCs w:val="32"/>
        </w:rPr>
        <w:drawing>
          <wp:inline distT="0" distB="0" distL="114300" distR="114300">
            <wp:extent cx="5079999" cy="3810000"/>
            <wp:effectExtent l="0" t="0" r="0" b="0"/>
            <wp:docPr id="1" name="图表 2"/>
            <wp:cNvGraphicFramePr>
              <a:graphicFrameLocks noChangeAspect="0"/>
            </wp:cNvGraphicFramePr>
            <a:graphic>
              <a:graphicData uri="http://schemas.openxmlformats.org/drawingml/2006/chart">
                <c:chart xmlns:c="http://schemas.openxmlformats.org/drawingml/2006/chart" r:id="rId4"/>
              </a:graphicData>
            </a:graphic>
          </wp:inline>
        </w:drawing>
      </w:r>
    </w:p>
    <w:p>
      <w:pPr>
        <w:pStyle w:val="30"/>
        <w:numPr>
          <w:ilvl w:val="0"/>
          <w:numId w:val="1"/>
        </w:numPr>
        <w:spacing w:line="600" w:lineRule="exact"/>
        <w:ind w:firstLineChars="0"/>
        <w:outlineLvl w:val="1"/>
        <w:rPr>
          <w:rStyle w:val="2Char"/>
          <w:rFonts w:ascii="黑体" w:eastAsia="黑体" w:hAnsi="黑体"/>
          <w:b w:val="0"/>
        </w:rPr>
      </w:pPr>
      <w:bookmarkStart w:id="27" w:name="_Toc15377206"/>
      <w:bookmarkStart w:id="28" w:name="_Toc15396604"/>
      <w:r>
        <w:rPr>
          <w:rFonts w:ascii="黑体" w:eastAsia="黑体" w:hAnsi="黑体" w:hint="eastAsia"/>
          <w:color w:val="000000"/>
          <w:sz w:val="32"/>
          <w:szCs w:val="32"/>
        </w:rPr>
        <w:t>收</w:t>
      </w:r>
      <w:r>
        <w:rPr>
          <w:rStyle w:val="2Char"/>
          <w:rFonts w:ascii="黑体" w:eastAsia="黑体" w:hAnsi="黑体" w:hint="eastAsia"/>
          <w:b w:val="0"/>
        </w:rPr>
        <w:t>入决算情况说明</w:t>
      </w:r>
      <w:bookmarkEnd w:id="27"/>
      <w:bookmarkEnd w:id="28"/>
    </w:p>
    <w:p>
      <w:pPr>
        <w:spacing w:line="600" w:lineRule="exact"/>
        <w:ind w:firstLineChars="200" w:firstLine="640"/>
        <w:outlineLvl w:val="1"/>
        <w:rPr>
          <w:rFonts w:ascii="仿宋_GB2312" w:eastAsia="仿宋" w:hAnsi="仿宋_GB2312"/>
          <w:color w:val="FF0000"/>
          <w:sz w:val="32"/>
          <w:szCs w:val="32"/>
        </w:rPr>
      </w:pPr>
      <w:r>
        <w:rPr>
          <w:rFonts w:ascii="仿宋" w:eastAsia="仿宋" w:hAnsi="仿宋"/>
          <w:color w:val="000000"/>
          <w:sz w:val="32"/>
          <w:szCs w:val="32"/>
        </w:rPr>
        <w:t>20</w:t>
      </w:r>
      <w:r>
        <w:rPr>
          <w:rFonts w:ascii="仿宋" w:eastAsia="仿宋" w:hAnsi="仿宋" w:hint="eastAsia"/>
          <w:color w:val="000000"/>
          <w:sz w:val="32"/>
          <w:szCs w:val="32"/>
        </w:rPr>
        <w:t>20年本年收入合计758.10万元，其中：一般公共预算财政拨款收入758.10万元，占100</w:t>
      </w:r>
      <w:r>
        <w:rPr>
          <w:rFonts w:ascii="仿宋" w:eastAsia="仿宋" w:hAnsi="仿宋"/>
          <w:color w:val="000000"/>
          <w:sz w:val="32"/>
          <w:szCs w:val="32"/>
        </w:rPr>
        <w:t>%</w:t>
      </w:r>
      <w:r>
        <w:rPr>
          <w:rFonts w:ascii="仿宋" w:eastAsia="仿宋" w:hAnsi="仿宋" w:hint="eastAsia"/>
          <w:color w:val="000000"/>
          <w:sz w:val="32"/>
          <w:szCs w:val="32"/>
        </w:rPr>
        <w:t>；政府性基金预算财政拨款收入0万元；</w:t>
      </w:r>
      <w:r>
        <w:rPr>
          <w:rFonts w:ascii="仿宋" w:eastAsia="仿宋" w:hAnsi="仿宋" w:hint="eastAsia"/>
          <w:color w:val="000000"/>
          <w:sz w:val="32"/>
          <w:szCs w:val="32"/>
          <w14:textFill>
            <w14:solidFill>
              <w14:srgbClr w14:val="000000"/>
            </w14:solidFill>
          </w14:textFill>
        </w:rPr>
        <w:t>上级补助收入0</w:t>
      </w:r>
      <w:r>
        <w:rPr>
          <w:rFonts w:ascii="仿宋" w:eastAsia="仿宋" w:hAnsi="仿宋" w:hint="eastAsia"/>
          <w:color w:val="000000"/>
          <w:sz w:val="32"/>
          <w:szCs w:val="32"/>
        </w:rPr>
        <w:t>万元；事业收入0万元；经营收入0万元；附属单位上缴收入0万元；其他收入0万元。</w:t>
      </w:r>
    </w:p>
    <w:p>
      <w:pPr>
        <w:pStyle w:val="30"/>
        <w:numPr>
          <w:ilvl w:val="0"/>
          <w:numId w:val="1"/>
        </w:numPr>
        <w:spacing w:line="600" w:lineRule="exact"/>
        <w:ind w:firstLineChars="0"/>
        <w:outlineLvl w:val="1"/>
        <w:rPr>
          <w:rStyle w:val="2Char"/>
          <w:rFonts w:ascii="黑体" w:eastAsia="黑体" w:hAnsi="黑体"/>
          <w:b w:val="0"/>
        </w:rPr>
      </w:pPr>
      <w:bookmarkStart w:id="29" w:name="_Toc15377207"/>
      <w:bookmarkStart w:id="30" w:name="_Toc15396605"/>
      <w:r>
        <w:rPr>
          <w:rFonts w:ascii="黑体" w:eastAsia="黑体" w:hAnsi="黑体" w:hint="eastAsia"/>
          <w:color w:val="000000"/>
          <w:sz w:val="32"/>
          <w:szCs w:val="32"/>
        </w:rPr>
        <w:t>支</w:t>
      </w:r>
      <w:r>
        <w:rPr>
          <w:rStyle w:val="2Char"/>
          <w:rFonts w:ascii="黑体" w:eastAsia="黑体" w:hAnsi="黑体" w:hint="eastAsia"/>
          <w:b w:val="0"/>
        </w:rPr>
        <w:t>出决算情况说明</w:t>
      </w:r>
      <w:bookmarkEnd w:id="29"/>
      <w:bookmarkEnd w:id="30"/>
    </w:p>
    <w:p>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w:t>
      </w:r>
      <w:r>
        <w:rPr>
          <w:rFonts w:ascii="仿宋" w:eastAsia="仿宋" w:hAnsi="仿宋" w:hint="eastAsia"/>
          <w:color w:val="000000"/>
          <w:sz w:val="32"/>
          <w:szCs w:val="32"/>
        </w:rPr>
        <w:t>20年本年支出合计715.74万元，其中：基本支出576.83万元，占80.59</w:t>
      </w:r>
      <w:r>
        <w:rPr>
          <w:rFonts w:ascii="仿宋" w:eastAsia="仿宋" w:hAnsi="仿宋"/>
          <w:color w:val="000000"/>
          <w:sz w:val="32"/>
          <w:szCs w:val="32"/>
        </w:rPr>
        <w:t>%</w:t>
      </w:r>
      <w:r>
        <w:rPr>
          <w:rFonts w:ascii="仿宋" w:eastAsia="仿宋" w:hAnsi="仿宋" w:hint="eastAsia"/>
          <w:color w:val="000000"/>
          <w:sz w:val="32"/>
          <w:szCs w:val="32"/>
        </w:rPr>
        <w:t>；项目支出138.91万元，占19.41</w:t>
      </w:r>
      <w:r>
        <w:rPr>
          <w:rFonts w:ascii="仿宋" w:eastAsia="仿宋" w:hAnsi="仿宋"/>
          <w:color w:val="000000"/>
          <w:sz w:val="32"/>
          <w:szCs w:val="32"/>
        </w:rPr>
        <w:t>%</w:t>
      </w:r>
      <w:r>
        <w:rPr>
          <w:rFonts w:ascii="仿宋" w:eastAsia="仿宋" w:hAnsi="仿宋" w:hint="eastAsia"/>
          <w:color w:val="000000"/>
          <w:sz w:val="32"/>
          <w:szCs w:val="32"/>
        </w:rPr>
        <w:t>；上缴上级支出0万元；经营支出0万元；对附属单位补助支出0万元。</w:t>
      </w:r>
    </w:p>
    <w:p>
      <w:pPr>
        <w:ind w:firstLineChars="200" w:firstLine="640"/>
        <w:rPr>
          <w:rFonts w:ascii="仿宋_GB2312" w:eastAsia="仿宋_GB2312"/>
          <w:color w:val="FF0000"/>
          <w:sz w:val="32"/>
          <w:szCs w:val="32"/>
        </w:rPr>
      </w:pPr>
      <w:r>
        <w:rPr>
          <w:rFonts w:ascii="仿宋_GB2312" w:eastAsia="仿宋_GB2312" w:hint="eastAsia"/>
          <w:color w:val="FF0000"/>
          <w:sz w:val="32"/>
          <w:szCs w:val="32"/>
        </w:rPr>
        <w:drawing>
          <wp:inline distT="0" distB="0" distL="114300" distR="114300">
            <wp:extent cx="5079999" cy="3810000"/>
            <wp:effectExtent l="0" t="0" r="0" b="0"/>
            <wp:docPr id="2" name="图表 3"/>
            <wp:cNvGraphicFramePr>
              <a:graphicFrameLocks noChangeAspect="0"/>
            </wp:cNvGraphicFramePr>
            <a:graphic>
              <a:graphicData uri="http://schemas.openxmlformats.org/drawingml/2006/chart">
                <c:chart xmlns:c="http://schemas.openxmlformats.org/drawingml/2006/chart" r:id="rId5"/>
              </a:graphicData>
            </a:graphic>
          </wp:inline>
        </w:drawing>
      </w:r>
    </w:p>
    <w:p>
      <w:pPr>
        <w:spacing w:line="600" w:lineRule="exact"/>
        <w:ind w:firstLineChars="200" w:firstLine="640"/>
        <w:outlineLvl w:val="1"/>
        <w:rPr>
          <w:rStyle w:val="2Char"/>
          <w:rFonts w:ascii="黑体" w:eastAsia="黑体" w:hAnsi="黑体"/>
          <w:b w:val="0"/>
        </w:rPr>
      </w:pPr>
      <w:bookmarkStart w:id="31" w:name="_Toc15396606"/>
      <w:bookmarkStart w:id="32" w:name="_Toc15377208"/>
      <w:r>
        <w:rPr>
          <w:rStyle w:val="2Char"/>
          <w:rFonts w:ascii="黑体" w:eastAsia="黑体" w:hAnsi="黑体" w:hint="eastAsia"/>
          <w:b w:val="0"/>
        </w:rPr>
        <w:t>四、财政拨款收入支出决算总体情况说明</w:t>
      </w:r>
      <w:bookmarkEnd w:id="31"/>
      <w:bookmarkEnd w:id="32"/>
    </w:p>
    <w:p>
      <w:pPr>
        <w:ind w:firstLineChars="200" w:firstLine="640"/>
        <w:rPr>
          <w:rFonts w:ascii="仿宋" w:eastAsia="仿宋" w:hAnsi="仿宋"/>
          <w:color w:val="000000"/>
          <w:sz w:val="32"/>
          <w:szCs w:val="32"/>
        </w:rPr>
      </w:pPr>
      <w:r>
        <w:rPr>
          <w:rFonts w:ascii="仿宋" w:eastAsia="仿宋" w:hAnsi="仿宋" w:hint="eastAsia"/>
          <w:color w:val="000000"/>
          <w:sz w:val="32"/>
          <w:szCs w:val="32"/>
        </w:rPr>
        <w:t>2020年度收入总计758.10万元，支出总计715.74万元。与2019年相比，收、支总计各增加82.52万元和45.32万元，增长12%和7</w:t>
      </w:r>
      <w:r>
        <w:rPr>
          <w:rFonts w:ascii="仿宋" w:eastAsia="仿宋" w:hAnsi="仿宋"/>
          <w:color w:val="000000"/>
          <w:sz w:val="32"/>
          <w:szCs w:val="32"/>
        </w:rPr>
        <w:t>%</w:t>
      </w:r>
      <w:r>
        <w:rPr>
          <w:rFonts w:ascii="仿宋" w:eastAsia="仿宋" w:hAnsi="仿宋" w:hint="eastAsia"/>
          <w:color w:val="000000"/>
          <w:sz w:val="32"/>
          <w:szCs w:val="32"/>
        </w:rPr>
        <w:t>。主要变动原因是人员经费增加和项目增加。</w:t>
      </w:r>
    </w:p>
    <w:p>
      <w:pPr>
        <w:ind w:firstLineChars="200" w:firstLine="640"/>
        <w:rPr>
          <w:rFonts w:ascii="仿宋" w:eastAsia="仿宋" w:hAnsi="仿宋"/>
          <w:b/>
          <w:color w:val="00B050"/>
          <w:sz w:val="32"/>
          <w:szCs w:val="32"/>
        </w:rPr>
      </w:pPr>
      <w:r>
        <w:rPr>
          <w:rFonts w:ascii="仿宋" w:eastAsia="仿宋" w:hAnsi="仿宋" w:hint="eastAsia"/>
          <w:color w:val="000000"/>
          <w:sz w:val="32"/>
          <w:szCs w:val="32"/>
        </w:rPr>
        <w:drawing>
          <wp:inline distT="0" distB="0" distL="114300" distR="114300">
            <wp:extent cx="5079999" cy="3810000"/>
            <wp:effectExtent l="0" t="0" r="0" b="0"/>
            <wp:docPr id="3" name="图表 7"/>
            <wp:cNvGraphicFramePr>
              <a:graphicFrameLocks noChangeAspect="0"/>
            </wp:cNvGraphicFramePr>
            <a:graphic>
              <a:graphicData uri="http://schemas.openxmlformats.org/drawingml/2006/chart">
                <c:chart xmlns:c="http://schemas.openxmlformats.org/drawingml/2006/chart" r:id="rId6"/>
              </a:graphicData>
            </a:graphic>
          </wp:inline>
        </w:drawing>
      </w:r>
    </w:p>
    <w:p>
      <w:pPr>
        <w:spacing w:line="600" w:lineRule="exact"/>
        <w:ind w:firstLineChars="200" w:firstLine="640"/>
        <w:outlineLvl w:val="1"/>
        <w:rPr>
          <w:rStyle w:val="2Char"/>
          <w:rFonts w:ascii="黑体" w:eastAsia="黑体" w:hAnsi="黑体"/>
          <w:b w:val="0"/>
        </w:rPr>
      </w:pPr>
      <w:bookmarkStart w:id="33" w:name="_Toc15396607"/>
      <w:bookmarkStart w:id="34" w:name="_Toc15377209"/>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33"/>
      <w:bookmarkEnd w:id="34"/>
    </w:p>
    <w:p>
      <w:pPr>
        <w:spacing w:line="600" w:lineRule="exact"/>
        <w:ind w:firstLineChars="200" w:firstLine="640"/>
        <w:outlineLvl w:val="2"/>
        <w:rPr>
          <w:rFonts w:ascii="仿宋" w:eastAsia="仿宋" w:hAnsi="仿宋"/>
          <w:b/>
          <w:color w:val="000000"/>
          <w:sz w:val="32"/>
          <w:szCs w:val="32"/>
        </w:rPr>
      </w:pPr>
      <w:bookmarkStart w:id="35" w:name="_Toc15377210"/>
      <w:r>
        <w:rPr>
          <w:rFonts w:ascii="仿宋" w:eastAsia="仿宋" w:hAnsi="仿宋" w:hint="eastAsia"/>
          <w:b/>
          <w:color w:val="000000"/>
          <w:sz w:val="32"/>
          <w:szCs w:val="32"/>
        </w:rPr>
        <w:t>（一）一般公共预算财政拨款支出决算总体情况</w:t>
      </w:r>
      <w:bookmarkEnd w:id="35"/>
    </w:p>
    <w:p>
      <w:pPr>
        <w:ind w:firstLineChars="200" w:firstLine="640"/>
        <w:rPr>
          <w:rFonts w:ascii="仿宋" w:eastAsia="仿宋" w:hAnsi="仿宋"/>
          <w:color w:val="000000"/>
          <w:sz w:val="32"/>
          <w:szCs w:val="32"/>
        </w:rPr>
      </w:pPr>
      <w:r>
        <w:rPr>
          <w:rFonts w:ascii="仿宋" w:eastAsia="仿宋" w:hAnsi="仿宋"/>
          <w:color w:val="000000"/>
          <w:sz w:val="32"/>
          <w:szCs w:val="32"/>
        </w:rPr>
        <w:t>20</w:t>
      </w:r>
      <w:r>
        <w:rPr>
          <w:rFonts w:ascii="仿宋" w:eastAsia="仿宋" w:hAnsi="仿宋" w:hint="eastAsia"/>
          <w:color w:val="000000"/>
          <w:sz w:val="32"/>
          <w:szCs w:val="32"/>
        </w:rPr>
        <w:t>20年一般公共预算财政拨款支出715.74万元，占本年支出合计的100</w:t>
      </w:r>
      <w:r>
        <w:rPr>
          <w:rFonts w:ascii="仿宋" w:eastAsia="仿宋" w:hAnsi="仿宋"/>
          <w:color w:val="000000"/>
          <w:sz w:val="32"/>
          <w:szCs w:val="32"/>
        </w:rPr>
        <w:t>%</w:t>
      </w:r>
      <w:r>
        <w:rPr>
          <w:rFonts w:ascii="仿宋" w:eastAsia="仿宋" w:hAnsi="仿宋" w:hint="eastAsia"/>
          <w:color w:val="000000"/>
          <w:sz w:val="32"/>
          <w:szCs w:val="32"/>
        </w:rPr>
        <w:t>。与</w:t>
      </w:r>
      <w:r>
        <w:rPr>
          <w:rFonts w:ascii="仿宋" w:eastAsia="仿宋" w:hAnsi="仿宋"/>
          <w:color w:val="000000"/>
          <w:sz w:val="32"/>
          <w:szCs w:val="32"/>
        </w:rPr>
        <w:t>201</w:t>
      </w:r>
      <w:r>
        <w:rPr>
          <w:rFonts w:ascii="仿宋" w:eastAsia="仿宋" w:hAnsi="仿宋" w:hint="eastAsia"/>
          <w:color w:val="000000"/>
          <w:sz w:val="32"/>
          <w:szCs w:val="32"/>
        </w:rPr>
        <w:t>9年相比，一般公共预算财政拨款支出增加45.32万元，增长7</w:t>
      </w:r>
      <w:r>
        <w:rPr>
          <w:rFonts w:ascii="仿宋" w:eastAsia="仿宋" w:hAnsi="仿宋"/>
          <w:color w:val="000000"/>
          <w:sz w:val="32"/>
          <w:szCs w:val="32"/>
        </w:rPr>
        <w:t>%</w:t>
      </w:r>
      <w:r>
        <w:rPr>
          <w:rFonts w:ascii="仿宋" w:eastAsia="仿宋" w:hAnsi="仿宋" w:hint="eastAsia"/>
          <w:color w:val="000000"/>
          <w:sz w:val="32"/>
          <w:szCs w:val="32"/>
        </w:rPr>
        <w:t>。主要变动原因是人员经费增加和项目增加。</w:t>
      </w:r>
    </w:p>
    <w:p>
      <w:pPr>
        <w:ind w:firstLineChars="200" w:firstLine="420"/>
        <w:rPr>
          <w:rFonts w:ascii="仿宋" w:eastAsia="仿宋" w:hAnsi="仿宋"/>
          <w:color w:val="000000"/>
          <w:sz w:val="32"/>
          <w:szCs w:val="32"/>
          <w14:textFill>
            <w14:solidFill>
              <w14:srgbClr w14:val="000000"/>
            </w14:solidFill>
          </w14:textFill>
        </w:rPr>
      </w:pPr>
      <w:r>
        <w:drawing>
          <wp:inline distT="0" distB="0" distL="0" distR="0">
            <wp:extent cx="5274310" cy="3076575"/>
            <wp:effectExtent l="0" t="0" r="0" b="0"/>
            <wp:docPr id="4" name="图表 1"/>
            <wp:cNvGraphicFramePr>
              <a:graphicFrameLocks noChangeAspect="0"/>
            </wp:cNvGraphicFramePr>
            <a:graphic>
              <a:graphicData uri="http://schemas.openxmlformats.org/drawingml/2006/chart">
                <c:chart xmlns:c="http://schemas.openxmlformats.org/drawingml/2006/chart" r:id="rId7"/>
              </a:graphicData>
            </a:graphic>
          </wp:inline>
        </w:drawing>
      </w:r>
    </w:p>
    <w:p>
      <w:pPr>
        <w:spacing w:line="600" w:lineRule="exact"/>
        <w:ind w:firstLineChars="200" w:firstLine="640"/>
        <w:outlineLvl w:val="2"/>
        <w:rPr>
          <w:rFonts w:ascii="仿宋" w:eastAsia="仿宋" w:hAnsi="仿宋"/>
          <w:b/>
          <w:color w:val="000000"/>
          <w:sz w:val="32"/>
          <w:szCs w:val="32"/>
        </w:rPr>
      </w:pPr>
      <w:bookmarkStart w:id="36" w:name="_Toc15377211"/>
      <w:r>
        <w:rPr>
          <w:rFonts w:ascii="仿宋" w:eastAsia="仿宋" w:hAnsi="仿宋" w:hint="eastAsia"/>
          <w:b/>
          <w:color w:val="000000"/>
          <w:sz w:val="32"/>
          <w:szCs w:val="32"/>
        </w:rPr>
        <w:t>（二）一般公共预算财政拨款支出决算结构情况</w:t>
      </w:r>
      <w:bookmarkEnd w:id="36"/>
    </w:p>
    <w:p>
      <w:pPr>
        <w:spacing w:line="600" w:lineRule="exact"/>
        <w:ind w:firstLine="640"/>
        <w:rPr>
          <w:rFonts w:ascii="仿宋" w:eastAsia="仿宋" w:hAnsi="仿宋"/>
          <w:color w:val="000000"/>
          <w:sz w:val="32"/>
          <w:szCs w:val="32"/>
          <w14:textFill>
            <w14:solidFill>
              <w14:srgbClr w14:val="000000"/>
            </w14:solidFill>
          </w14:textFill>
        </w:rPr>
      </w:pPr>
      <w:r>
        <w:rPr>
          <w:rFonts w:ascii="仿宋" w:eastAsia="仿宋" w:hAnsi="仿宋"/>
          <w:color w:val="000000"/>
          <w:sz w:val="32"/>
          <w:szCs w:val="32"/>
        </w:rPr>
        <w:t>20</w:t>
      </w:r>
      <w:r>
        <w:rPr>
          <w:rFonts w:ascii="仿宋" w:eastAsia="仿宋" w:hAnsi="仿宋" w:hint="eastAsia"/>
          <w:color w:val="000000"/>
          <w:sz w:val="32"/>
          <w:szCs w:val="32"/>
        </w:rPr>
        <w:t>20年一般公共预算财</w:t>
      </w:r>
      <w:r>
        <w:rPr>
          <w:rFonts w:ascii="仿宋" w:eastAsia="仿宋" w:hAnsi="仿宋" w:hint="eastAsia"/>
          <w:color w:val="000000"/>
          <w:sz w:val="32"/>
          <w:szCs w:val="32"/>
          <w14:textFill>
            <w14:solidFill>
              <w14:srgbClr w14:val="000000"/>
            </w14:solidFill>
          </w14:textFill>
        </w:rPr>
        <w:t>政拨款支出715.74万元，主要用于以下方面</w:t>
      </w:r>
      <w:r>
        <w:rPr>
          <w:rFonts w:ascii="仿宋" w:eastAsia="仿宋" w:hAnsi="仿宋"/>
          <w:color w:val="000000"/>
          <w:sz w:val="32"/>
          <w:szCs w:val="32"/>
          <w14:textFill>
            <w14:solidFill>
              <w14:srgbClr w14:val="000000"/>
            </w14:solidFill>
          </w14:textFill>
        </w:rPr>
        <w:t>:</w:t>
      </w:r>
      <w:r>
        <w:rPr>
          <w:rFonts w:ascii="仿宋" w:eastAsia="仿宋" w:hAnsi="仿宋" w:hint="eastAsia"/>
          <w:b/>
          <w:color w:val="000000"/>
          <w:sz w:val="32"/>
          <w:szCs w:val="32"/>
          <w14:textFill>
            <w14:solidFill>
              <w14:srgbClr w14:val="000000"/>
            </w14:solidFill>
          </w14:textFill>
        </w:rPr>
        <w:t>一般公共服务（201）</w:t>
      </w:r>
      <w:r>
        <w:rPr>
          <w:rFonts w:ascii="仿宋" w:eastAsia="仿宋" w:hAnsi="仿宋" w:hint="eastAsia"/>
          <w:color w:val="000000"/>
          <w:sz w:val="32"/>
          <w:szCs w:val="32"/>
          <w14:textFill>
            <w14:solidFill>
              <w14:srgbClr w14:val="000000"/>
            </w14:solidFill>
          </w14:textFill>
        </w:rPr>
        <w:t>支出606.94万元，占84.80</w:t>
      </w:r>
      <w:r>
        <w:rPr>
          <w:rFonts w:ascii="仿宋" w:eastAsia="仿宋" w:hAnsi="仿宋"/>
          <w:color w:val="000000"/>
          <w:sz w:val="32"/>
          <w:szCs w:val="32"/>
          <w14:textFill>
            <w14:solidFill>
              <w14:srgbClr w14:val="000000"/>
            </w14:solidFill>
          </w14:textFill>
        </w:rPr>
        <w:t>%</w:t>
      </w:r>
      <w:r>
        <w:rPr>
          <w:rFonts w:ascii="仿宋" w:eastAsia="仿宋" w:hAnsi="仿宋" w:hint="eastAsia"/>
          <w:color w:val="000000"/>
          <w:sz w:val="32"/>
          <w:szCs w:val="32"/>
          <w14:textFill>
            <w14:solidFill>
              <w14:srgbClr w14:val="000000"/>
            </w14:solidFill>
          </w14:textFill>
        </w:rPr>
        <w:t>；</w:t>
      </w:r>
      <w:r>
        <w:rPr>
          <w:rFonts w:ascii="仿宋" w:eastAsia="仿宋" w:hAnsi="仿宋" w:hint="eastAsia"/>
          <w:b/>
          <w:color w:val="000000"/>
          <w:sz w:val="32"/>
          <w:szCs w:val="32"/>
          <w14:textFill>
            <w14:solidFill>
              <w14:srgbClr w14:val="000000"/>
            </w14:solidFill>
          </w14:textFill>
        </w:rPr>
        <w:t>社会保障和就业（208）</w:t>
      </w:r>
      <w:r>
        <w:rPr>
          <w:rFonts w:ascii="仿宋" w:eastAsia="仿宋" w:hAnsi="仿宋" w:hint="eastAsia"/>
          <w:color w:val="000000"/>
          <w:sz w:val="32"/>
          <w:szCs w:val="32"/>
          <w14:textFill>
            <w14:solidFill>
              <w14:srgbClr w14:val="000000"/>
            </w14:solidFill>
          </w14:textFill>
        </w:rPr>
        <w:t>支出61.69万元，占8.62</w:t>
      </w:r>
      <w:r>
        <w:rPr>
          <w:rFonts w:ascii="仿宋" w:eastAsia="仿宋" w:hAnsi="仿宋"/>
          <w:color w:val="000000"/>
          <w:sz w:val="32"/>
          <w:szCs w:val="32"/>
          <w14:textFill>
            <w14:solidFill>
              <w14:srgbClr w14:val="000000"/>
            </w14:solidFill>
          </w14:textFill>
        </w:rPr>
        <w:t>%</w:t>
      </w:r>
      <w:r>
        <w:rPr>
          <w:rFonts w:ascii="仿宋" w:eastAsia="仿宋" w:hAnsi="仿宋" w:hint="eastAsia"/>
          <w:color w:val="000000"/>
          <w:sz w:val="32"/>
          <w:szCs w:val="32"/>
          <w14:textFill>
            <w14:solidFill>
              <w14:srgbClr w14:val="000000"/>
            </w14:solidFill>
          </w14:textFill>
        </w:rPr>
        <w:t>；医疗卫生与计划生育（210）</w:t>
      </w:r>
      <w:r>
        <w:rPr>
          <w:rFonts w:ascii="仿宋" w:eastAsia="仿宋" w:hAnsi="仿宋" w:hint="eastAsia"/>
          <w:b/>
          <w:bCs/>
          <w:color w:val="000000"/>
          <w:sz w:val="32"/>
          <w:szCs w:val="32"/>
          <w14:textFill>
            <w14:solidFill>
              <w14:srgbClr w14:val="000000"/>
            </w14:solidFill>
          </w14:textFill>
        </w:rPr>
        <w:t>支出</w:t>
      </w:r>
      <w:r>
        <w:rPr>
          <w:rFonts w:ascii="仿宋" w:eastAsia="仿宋" w:hAnsi="仿宋" w:hint="eastAsia"/>
          <w:color w:val="000000"/>
          <w:sz w:val="32"/>
          <w:szCs w:val="32"/>
          <w14:textFill>
            <w14:solidFill>
              <w14:srgbClr w14:val="000000"/>
            </w14:solidFill>
          </w14:textFill>
        </w:rPr>
        <w:t>19.88万元，占2.78</w:t>
      </w:r>
      <w:r>
        <w:rPr>
          <w:rFonts w:ascii="仿宋" w:eastAsia="仿宋" w:hAnsi="仿宋"/>
          <w:color w:val="000000"/>
          <w:sz w:val="32"/>
          <w:szCs w:val="32"/>
          <w14:textFill>
            <w14:solidFill>
              <w14:srgbClr w14:val="000000"/>
            </w14:solidFill>
          </w14:textFill>
        </w:rPr>
        <w:t>%</w:t>
      </w:r>
      <w:r>
        <w:rPr>
          <w:rFonts w:ascii="仿宋" w:eastAsia="仿宋" w:hAnsi="仿宋" w:hint="eastAsia"/>
          <w:color w:val="000000"/>
          <w:sz w:val="32"/>
          <w:szCs w:val="32"/>
          <w14:textFill>
            <w14:solidFill>
              <w14:srgbClr w14:val="000000"/>
            </w14:solidFill>
          </w14:textFill>
        </w:rPr>
        <w:t>；住房保障（221）支出27.22万元，占3.80</w:t>
      </w:r>
      <w:r>
        <w:rPr>
          <w:rFonts w:ascii="仿宋" w:eastAsia="仿宋" w:hAnsi="仿宋"/>
          <w:color w:val="000000"/>
          <w:sz w:val="32"/>
          <w:szCs w:val="32"/>
          <w14:textFill>
            <w14:solidFill>
              <w14:srgbClr w14:val="000000"/>
            </w14:solidFill>
          </w14:textFill>
        </w:rPr>
        <w:t>%</w:t>
      </w:r>
      <w:r>
        <w:rPr>
          <w:rFonts w:ascii="仿宋" w:eastAsia="仿宋" w:hAnsi="仿宋" w:hint="eastAsia"/>
          <w:color w:val="000000"/>
          <w:sz w:val="32"/>
          <w:szCs w:val="32"/>
          <w14:textFill>
            <w14:solidFill>
              <w14:srgbClr w14:val="000000"/>
            </w14:solidFill>
          </w14:textFill>
        </w:rPr>
        <w:t>.</w:t>
      </w:r>
    </w:p>
    <w:p>
      <w:pPr>
        <w:ind w:firstLineChars="200" w:firstLine="640"/>
        <w:rPr>
          <w:rFonts w:ascii="仿宋" w:eastAsia="仿宋" w:hAnsi="仿宋"/>
          <w:color w:val="000000"/>
          <w:sz w:val="32"/>
          <w:szCs w:val="32"/>
        </w:rPr>
      </w:pPr>
      <w:r>
        <w:rPr>
          <w:rFonts w:ascii="仿宋" w:eastAsia="仿宋" w:hAnsi="仿宋" w:hint="eastAsia"/>
          <w:color w:val="000000"/>
          <w:sz w:val="32"/>
          <w:szCs w:val="32"/>
        </w:rPr>
        <w:drawing>
          <wp:inline distT="0" distB="0" distL="114300" distR="114300">
            <wp:extent cx="5079999" cy="3810000"/>
            <wp:effectExtent l="0" t="0" r="0" b="0"/>
            <wp:docPr id="5" name="图表 5"/>
            <wp:cNvGraphicFramePr>
              <a:graphicFrameLocks noChangeAspect="0"/>
            </wp:cNvGraphicFramePr>
            <a:graphic>
              <a:graphicData uri="http://schemas.openxmlformats.org/drawingml/2006/chart">
                <c:chart xmlns:c="http://schemas.openxmlformats.org/drawingml/2006/chart" r:id="rId8"/>
              </a:graphicData>
            </a:graphic>
          </wp:inline>
        </w:drawing>
      </w:r>
    </w:p>
    <w:p>
      <w:pPr>
        <w:spacing w:line="600" w:lineRule="exact"/>
        <w:ind w:firstLineChars="200" w:firstLine="640"/>
        <w:rPr>
          <w:rFonts w:ascii="仿宋" w:eastAsia="仿宋" w:hAnsi="仿宋"/>
          <w:color w:val="000000"/>
          <w:sz w:val="32"/>
          <w:szCs w:val="32"/>
        </w:rPr>
      </w:pPr>
    </w:p>
    <w:p>
      <w:pPr>
        <w:spacing w:line="600" w:lineRule="exact"/>
        <w:ind w:firstLineChars="200" w:firstLine="640"/>
        <w:outlineLvl w:val="2"/>
        <w:rPr>
          <w:rFonts w:ascii="仿宋" w:eastAsia="仿宋" w:hAnsi="仿宋"/>
          <w:b/>
          <w:color w:val="000000"/>
          <w:sz w:val="32"/>
          <w:szCs w:val="32"/>
        </w:rPr>
      </w:pPr>
      <w:bookmarkStart w:id="37" w:name="_Toc15377212"/>
      <w:r>
        <w:rPr>
          <w:rFonts w:ascii="仿宋" w:eastAsia="仿宋" w:hAnsi="仿宋" w:hint="eastAsia"/>
          <w:b/>
          <w:color w:val="000000"/>
          <w:sz w:val="32"/>
          <w:szCs w:val="32"/>
        </w:rPr>
        <w:t>（三）一般公共预算财政拨款支出决算具体情况</w:t>
      </w:r>
      <w:bookmarkEnd w:id="37"/>
    </w:p>
    <w:p>
      <w:pPr>
        <w:spacing w:line="600" w:lineRule="exact"/>
        <w:ind w:firstLineChars="200" w:firstLine="640"/>
        <w:outlineLvl w:val="2"/>
        <w:rPr>
          <w:rFonts w:ascii="仿宋" w:eastAsia="仿宋" w:hAnsi="仿宋"/>
          <w:color w:val="FF0000"/>
          <w:sz w:val="32"/>
          <w:szCs w:val="32"/>
        </w:rPr>
      </w:pPr>
      <w:bookmarkStart w:id="38" w:name="_Toc15377444"/>
      <w:bookmarkStart w:id="39" w:name="_Toc15378460"/>
      <w:bookmarkStart w:id="40" w:name="_Toc15377213"/>
      <w:r>
        <w:rPr>
          <w:rFonts w:ascii="仿宋" w:eastAsia="仿宋" w:hAnsi="仿宋" w:hint="eastAsia"/>
          <w:b/>
          <w:color w:val="000000"/>
          <w:sz w:val="32"/>
          <w:szCs w:val="32"/>
          <w14:textFill>
            <w14:solidFill>
              <w14:srgbClr w14:val="000000"/>
            </w14:solidFill>
          </w14:textFill>
        </w:rPr>
        <w:t>2020年般公共预算支出决算数为715.74万元</w:t>
      </w:r>
      <w:r>
        <w:rPr>
          <w:rFonts w:ascii="仿宋" w:eastAsia="仿宋" w:hAnsi="仿宋" w:hint="eastAsia"/>
          <w:color w:val="000000"/>
          <w:sz w:val="32"/>
          <w:szCs w:val="32"/>
          <w14:textFill>
            <w14:solidFill>
              <w14:srgbClr w14:val="000000"/>
            </w14:solidFill>
          </w14:textFill>
        </w:rPr>
        <w:t>，</w:t>
      </w:r>
      <w:r>
        <w:rPr>
          <w:rStyle w:val="24"/>
          <w:rFonts w:ascii="仿宋" w:eastAsia="仿宋" w:hAnsi="仿宋" w:hint="eastAsia"/>
          <w:bCs/>
          <w:color w:val="000000"/>
          <w:sz w:val="32"/>
          <w:szCs w:val="32"/>
          <w14:textFill>
            <w14:solidFill>
              <w14:srgbClr w14:val="000000"/>
            </w14:solidFill>
          </w14:textFill>
        </w:rPr>
        <w:t>完成</w:t>
      </w:r>
      <w:r>
        <w:rPr>
          <w:rStyle w:val="24"/>
          <w:rFonts w:ascii="仿宋" w:eastAsia="仿宋" w:hAnsi="仿宋" w:hint="eastAsia"/>
          <w:bCs/>
          <w:color w:val="000000"/>
          <w:sz w:val="32"/>
          <w:szCs w:val="32"/>
        </w:rPr>
        <w:t>预算94.41</w:t>
      </w:r>
      <w:r>
        <w:rPr>
          <w:rStyle w:val="24"/>
          <w:rFonts w:ascii="仿宋" w:eastAsia="仿宋" w:hAnsi="仿宋"/>
          <w:bCs/>
          <w:color w:val="000000"/>
          <w:sz w:val="32"/>
          <w:szCs w:val="32"/>
        </w:rPr>
        <w:t>%</w:t>
      </w:r>
      <w:r>
        <w:rPr>
          <w:rStyle w:val="24"/>
          <w:rFonts w:ascii="仿宋" w:eastAsia="仿宋" w:hAnsi="仿宋" w:hint="eastAsia"/>
          <w:bCs/>
          <w:color w:val="000000"/>
          <w:sz w:val="32"/>
          <w:szCs w:val="32"/>
        </w:rPr>
        <w:t>。其中：</w:t>
      </w:r>
      <w:bookmarkEnd w:id="38"/>
      <w:bookmarkEnd w:id="39"/>
      <w:bookmarkEnd w:id="40"/>
    </w:p>
    <w:p>
      <w:pPr>
        <w:spacing w:line="600" w:lineRule="exact"/>
        <w:ind w:firstLineChars="200" w:firstLine="640"/>
        <w:rPr>
          <w:rStyle w:val="24"/>
          <w:rFonts w:ascii="仿宋" w:eastAsia="仿宋" w:hAnsi="仿宋"/>
          <w:b w:val="0"/>
          <w:bCs/>
          <w:sz w:val="32"/>
          <w:szCs w:val="32"/>
        </w:rPr>
      </w:pPr>
      <w:r>
        <w:rPr>
          <w:rStyle w:val="24"/>
          <w:rFonts w:ascii="仿宋" w:eastAsia="仿宋" w:hAnsi="仿宋" w:hint="eastAsia"/>
          <w:b w:val="0"/>
          <w:bCs/>
          <w:sz w:val="32"/>
          <w:szCs w:val="32"/>
        </w:rPr>
        <w:t>1.一般公共服务（类）201（款）34（项）01: 支出决算为606.94万元，完成预算93.48%，决算数小于预算数的主要原因是部分工作未在年终完成，所以存在未全额支付。</w:t>
      </w:r>
    </w:p>
    <w:p>
      <w:pPr>
        <w:spacing w:line="600" w:lineRule="exact"/>
        <w:ind w:firstLineChars="200" w:firstLine="640"/>
        <w:rPr>
          <w:rStyle w:val="24"/>
          <w:rFonts w:ascii="仿宋" w:eastAsia="仿宋" w:hAnsi="仿宋"/>
          <w:b w:val="0"/>
          <w:bCs/>
          <w:sz w:val="32"/>
          <w:szCs w:val="32"/>
        </w:rPr>
      </w:pPr>
      <w:r>
        <w:rPr>
          <w:rStyle w:val="24"/>
          <w:rFonts w:ascii="仿宋" w:eastAsia="仿宋" w:hAnsi="仿宋" w:hint="eastAsia"/>
          <w:b w:val="0"/>
          <w:bCs/>
          <w:sz w:val="32"/>
          <w:szCs w:val="32"/>
        </w:rPr>
        <w:t>2. 社会保障和就业（类）208（款）05（项）05: 支出决算为61.69万元，完成预算100%，决算数等于预算数。</w:t>
      </w:r>
    </w:p>
    <w:p>
      <w:pPr>
        <w:spacing w:line="600" w:lineRule="exact"/>
        <w:ind w:firstLineChars="200" w:firstLine="640"/>
        <w:rPr>
          <w:rStyle w:val="24"/>
          <w:rFonts w:ascii="仿宋" w:eastAsia="仿宋" w:hAnsi="仿宋"/>
          <w:b w:val="0"/>
          <w:bCs/>
          <w:sz w:val="32"/>
          <w:szCs w:val="32"/>
        </w:rPr>
      </w:pPr>
      <w:r>
        <w:rPr>
          <w:rStyle w:val="24"/>
          <w:rFonts w:ascii="仿宋" w:eastAsia="仿宋" w:hAnsi="仿宋" w:hint="eastAsia"/>
          <w:b w:val="0"/>
          <w:bCs/>
          <w:sz w:val="32"/>
          <w:szCs w:val="32"/>
        </w:rPr>
        <w:t>6.医疗卫生与计划生育（类）210（款）11（项）01:支出决算为19.88万元，完成预算100%，决算数等于预算数。</w:t>
      </w:r>
    </w:p>
    <w:p>
      <w:pPr>
        <w:spacing w:line="600" w:lineRule="exact"/>
        <w:ind w:firstLineChars="200" w:firstLine="640"/>
        <w:rPr>
          <w:rFonts w:ascii="仿宋" w:eastAsia="仿宋" w:hAnsi="仿宋"/>
          <w:sz w:val="32"/>
          <w:szCs w:val="32"/>
        </w:rPr>
      </w:pPr>
      <w:r>
        <w:rPr>
          <w:rStyle w:val="24"/>
          <w:rFonts w:ascii="仿宋" w:eastAsia="仿宋" w:hAnsi="仿宋" w:hint="eastAsia"/>
          <w:b w:val="0"/>
          <w:bCs/>
          <w:sz w:val="32"/>
          <w:szCs w:val="32"/>
        </w:rPr>
        <w:t>8.</w:t>
      </w:r>
      <w:r>
        <w:rPr>
          <w:rFonts w:ascii="仿宋" w:eastAsia="仿宋" w:hAnsi="仿宋" w:hint="eastAsia"/>
          <w:sz w:val="32"/>
          <w:szCs w:val="32"/>
        </w:rPr>
        <w:t>住房保障（类）221（款）02（项）01：支出决算数为27.22万元, 完成预算100%，决算数等于预算数。</w:t>
      </w:r>
    </w:p>
    <w:p>
      <w:pPr>
        <w:tabs>
          <w:tab w:val="right" w:pos="8306"/>
        </w:tabs>
        <w:spacing w:line="600" w:lineRule="exact"/>
        <w:ind w:firstLine="640"/>
        <w:outlineLvl w:val="1"/>
        <w:rPr>
          <w:rStyle w:val="2Char"/>
        </w:rPr>
      </w:pPr>
      <w:bookmarkStart w:id="41" w:name="_Toc15396608"/>
      <w:bookmarkStart w:id="42" w:name="_Toc15377214"/>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41"/>
      <w:bookmarkEnd w:id="42"/>
      <w:r>
        <w:rPr>
          <w:rStyle w:val="2Char"/>
          <w:rFonts w:ascii="黑体" w:eastAsia="黑体" w:hAnsi="黑体"/>
          <w:b w:val="0"/>
        </w:rPr>
        <w:tab/>
      </w:r>
    </w:p>
    <w:p>
      <w:pPr>
        <w:spacing w:line="600" w:lineRule="exact"/>
        <w:ind w:firstLine="645"/>
        <w:rPr>
          <w:rFonts w:ascii="仿宋" w:eastAsia="仿宋" w:hAnsi="仿宋"/>
          <w:color w:val="000000"/>
          <w:sz w:val="32"/>
          <w:szCs w:val="32"/>
        </w:rPr>
      </w:pPr>
      <w:r>
        <w:rPr>
          <w:rFonts w:ascii="仿宋" w:eastAsia="仿宋" w:hAnsi="仿宋"/>
          <w:color w:val="000000"/>
          <w:sz w:val="32"/>
          <w:szCs w:val="32"/>
        </w:rPr>
        <w:t>20</w:t>
      </w:r>
      <w:r>
        <w:rPr>
          <w:rFonts w:ascii="仿宋" w:eastAsia="仿宋" w:hAnsi="仿宋" w:hint="eastAsia"/>
          <w:color w:val="000000"/>
          <w:sz w:val="32"/>
          <w:szCs w:val="32"/>
        </w:rPr>
        <w:t>20年一般公共预算财政拨款基本支出715.74万元，其中：</w:t>
      </w:r>
    </w:p>
    <w:p>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人员经费454.22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日常公用经费202.66万元，主要包括：办公费、印刷费、电费、邮电费、差旅费、会议费、培训费、公务接待费、劳务费、工会经费、福利费、公务用车运行维护费、其他交通费、税金及附加费用、其他商品和服务支出、办公设备购置、专用设备购置、信息网络及软件购置更新等。</w:t>
      </w:r>
    </w:p>
    <w:p>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对个人和家庭的补助支出58.86万元，主要包括抚恤金、生活补助等。</w:t>
      </w:r>
    </w:p>
    <w:p>
      <w:pPr>
        <w:spacing w:line="600" w:lineRule="exact"/>
        <w:ind w:firstLine="640"/>
        <w:outlineLvl w:val="1"/>
        <w:rPr>
          <w:rStyle w:val="2Char"/>
          <w:rFonts w:ascii="黑体" w:eastAsia="黑体" w:hAnsi="黑体"/>
          <w:b w:val="0"/>
        </w:rPr>
      </w:pPr>
      <w:bookmarkStart w:id="43" w:name="_Toc15396609"/>
      <w:bookmarkStart w:id="44" w:name="_Toc15377215"/>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43"/>
      <w:bookmarkEnd w:id="44"/>
    </w:p>
    <w:p>
      <w:pPr>
        <w:spacing w:line="600" w:lineRule="exact"/>
        <w:ind w:firstLine="640"/>
        <w:outlineLvl w:val="2"/>
        <w:rPr>
          <w:rFonts w:ascii="仿宋" w:eastAsia="仿宋" w:hAnsi="仿宋"/>
          <w:color w:val="000000"/>
          <w:sz w:val="32"/>
          <w:szCs w:val="32"/>
        </w:rPr>
      </w:pPr>
      <w:bookmarkStart w:id="45" w:name="_Toc15377216"/>
      <w:r>
        <w:rPr>
          <w:rFonts w:ascii="仿宋" w:eastAsia="仿宋" w:hAnsi="仿宋" w:hint="eastAsia"/>
          <w:b/>
          <w:color w:val="000000"/>
          <w:sz w:val="32"/>
          <w:szCs w:val="32"/>
        </w:rPr>
        <w:t>（</w:t>
      </w:r>
      <w:r>
        <w:rPr>
          <w:rFonts w:ascii="仿宋" w:eastAsia="仿宋" w:hAnsi="仿宋" w:hint="eastAsia"/>
          <w:color w:val="000000"/>
          <w:sz w:val="32"/>
          <w:szCs w:val="32"/>
        </w:rPr>
        <w:t>一）“三公”经费财政拨款支出决算总体情况说明</w:t>
      </w:r>
      <w:bookmarkEnd w:id="45"/>
    </w:p>
    <w:p>
      <w:pPr>
        <w:spacing w:line="600" w:lineRule="exact"/>
        <w:ind w:firstLine="640"/>
        <w:rPr>
          <w:rFonts w:ascii="仿宋" w:eastAsia="仿宋" w:hAnsi="仿宋"/>
          <w:b/>
          <w:color w:val="FF0000"/>
          <w:sz w:val="32"/>
          <w:szCs w:val="32"/>
        </w:rPr>
      </w:pPr>
      <w:r>
        <w:rPr>
          <w:rFonts w:ascii="仿宋" w:eastAsia="仿宋" w:hAnsi="仿宋"/>
          <w:color w:val="000000"/>
          <w:sz w:val="32"/>
          <w:szCs w:val="32"/>
        </w:rPr>
        <w:t>20</w:t>
      </w:r>
      <w:r>
        <w:rPr>
          <w:rFonts w:ascii="仿宋" w:eastAsia="仿宋" w:hAnsi="仿宋" w:hint="eastAsia"/>
          <w:color w:val="000000"/>
          <w:sz w:val="32"/>
          <w:szCs w:val="32"/>
        </w:rPr>
        <w:t>20年“三公”经费财政拨款支出决算为0.49万元，完成预算100</w:t>
      </w:r>
      <w:r>
        <w:rPr>
          <w:rFonts w:ascii="仿宋" w:eastAsia="仿宋" w:hAnsi="仿宋"/>
          <w:color w:val="000000"/>
          <w:sz w:val="32"/>
          <w:szCs w:val="32"/>
        </w:rPr>
        <w:t>%</w:t>
      </w:r>
      <w:r>
        <w:rPr>
          <w:rFonts w:ascii="仿宋" w:eastAsia="仿宋" w:hAnsi="仿宋" w:hint="eastAsia"/>
          <w:color w:val="000000"/>
          <w:sz w:val="32"/>
          <w:szCs w:val="32"/>
        </w:rPr>
        <w:t>，决算数与预算数持平。</w:t>
      </w:r>
    </w:p>
    <w:p>
      <w:pPr>
        <w:spacing w:line="600" w:lineRule="exact"/>
        <w:ind w:firstLine="640"/>
        <w:rPr>
          <w:rFonts w:ascii="仿宋" w:eastAsia="仿宋" w:hAnsi="仿宋"/>
          <w:color w:val="000000"/>
          <w:sz w:val="32"/>
          <w:szCs w:val="32"/>
        </w:rPr>
      </w:pPr>
      <w:bookmarkStart w:id="46" w:name="_Toc15377217"/>
      <w:r>
        <w:rPr>
          <w:rFonts w:ascii="仿宋" w:eastAsia="仿宋" w:hAnsi="仿宋" w:hint="eastAsia"/>
          <w:color w:val="000000"/>
          <w:sz w:val="32"/>
          <w:szCs w:val="32"/>
        </w:rPr>
        <w:t>（二）“三公”经费财政拨款支出决算具体情况说明</w:t>
      </w:r>
      <w:bookmarkEnd w:id="46"/>
    </w:p>
    <w:p>
      <w:pPr>
        <w:spacing w:line="600" w:lineRule="exact"/>
        <w:ind w:firstLine="640"/>
        <w:rPr>
          <w:rFonts w:ascii="仿宋" w:eastAsia="仿宋" w:hAnsi="仿宋"/>
          <w:color w:val="000000"/>
          <w:sz w:val="32"/>
          <w:szCs w:val="32"/>
        </w:rPr>
      </w:pPr>
      <w:r>
        <w:rPr>
          <w:rFonts w:ascii="仿宋" w:eastAsia="仿宋" w:hAnsi="仿宋"/>
          <w:color w:val="000000"/>
          <w:sz w:val="32"/>
          <w:szCs w:val="32"/>
        </w:rPr>
        <w:t>20</w:t>
      </w:r>
      <w:r>
        <w:rPr>
          <w:rFonts w:ascii="仿宋" w:eastAsia="仿宋" w:hAnsi="仿宋" w:hint="eastAsia"/>
          <w:color w:val="000000"/>
          <w:sz w:val="32"/>
          <w:szCs w:val="32"/>
        </w:rPr>
        <w:t>20年“三公”经费财政拨款支出决算中，因公出国（境）费支出决算0万元；公务用车购置及运行维护费支出决算0万元；公务接待费支出决算0.49万元，占100</w:t>
      </w:r>
      <w:r>
        <w:rPr>
          <w:rFonts w:ascii="仿宋" w:eastAsia="仿宋" w:hAnsi="仿宋"/>
          <w:color w:val="000000"/>
          <w:sz w:val="32"/>
          <w:szCs w:val="32"/>
        </w:rPr>
        <w:t>%</w:t>
      </w:r>
      <w:r>
        <w:rPr>
          <w:rFonts w:ascii="仿宋" w:eastAsia="仿宋" w:hAnsi="仿宋" w:hint="eastAsia"/>
          <w:color w:val="000000"/>
          <w:sz w:val="32"/>
          <w:szCs w:val="32"/>
        </w:rPr>
        <w:t>。具体情况如下：</w:t>
      </w:r>
    </w:p>
    <w:p>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t>1.因公出国（境）经费支出0万元。</w:t>
      </w:r>
    </w:p>
    <w:p>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t>2.公务用车购置及运行维护费支出０万元。</w:t>
      </w:r>
    </w:p>
    <w:p>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t>3.公务接待费支出0.49万元，完成预算100%。公务接待费支出决算比2019年减少：</w:t>
      </w:r>
    </w:p>
    <w:p>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t>国内公务接待支出0.49万元，主要用于执行公务、开展业务活动开支的交通费、住宿费、用餐费等。</w:t>
      </w:r>
      <w:bookmarkStart w:id="47" w:name="_Toc15377218"/>
      <w:bookmarkStart w:id="48" w:name="_Toc15396610"/>
    </w:p>
    <w:p>
      <w:pPr>
        <w:spacing w:line="600" w:lineRule="exact"/>
        <w:ind w:firstLine="640"/>
        <w:outlineLvl w:val="1"/>
        <w:rPr>
          <w:rStyle w:val="2Char"/>
          <w:rFonts w:ascii="黑体" w:eastAsia="黑体" w:hAnsi="黑体"/>
        </w:rPr>
      </w:pPr>
      <w:r>
        <w:rPr>
          <w:rFonts w:ascii="黑体" w:eastAsia="黑体" w:hint="eastAsia"/>
          <w:color w:val="000000"/>
          <w:sz w:val="32"/>
          <w:szCs w:val="32"/>
        </w:rPr>
        <w:t>八、</w:t>
      </w:r>
      <w:r>
        <w:rPr>
          <w:rStyle w:val="2Char"/>
          <w:rFonts w:ascii="黑体" w:eastAsia="黑体" w:hAnsi="黑体" w:hint="eastAsia"/>
          <w:b w:val="0"/>
        </w:rPr>
        <w:t>政府性基金预算支出决算情况说明</w:t>
      </w:r>
      <w:bookmarkEnd w:id="47"/>
      <w:bookmarkEnd w:id="48"/>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w:t>
      </w:r>
      <w:r>
        <w:rPr>
          <w:rFonts w:ascii="仿宋_GB2312" w:eastAsia="仿宋_GB2312" w:hint="eastAsia"/>
          <w:color w:val="000000"/>
          <w:sz w:val="32"/>
          <w:szCs w:val="32"/>
        </w:rPr>
        <w:t>20年政府性基金预算拨款支出0万元。</w:t>
      </w:r>
    </w:p>
    <w:p>
      <w:pPr>
        <w:numPr>
          <w:ilvl w:val="0"/>
          <w:numId w:val="2"/>
        </w:numPr>
        <w:spacing w:line="600" w:lineRule="exact"/>
        <w:ind w:left="0" w:firstLine="640"/>
        <w:outlineLvl w:val="1"/>
        <w:rPr>
          <w:rStyle w:val="2Char"/>
          <w:rFonts w:ascii="黑体" w:eastAsia="黑体" w:hAnsi="黑体"/>
          <w:b w:val="0"/>
        </w:rPr>
      </w:pPr>
      <w:bookmarkStart w:id="49" w:name="_Toc15396611"/>
      <w:bookmarkStart w:id="50" w:name="_Toc15377219"/>
      <w:r>
        <w:rPr>
          <w:rStyle w:val="2Char"/>
          <w:rFonts w:ascii="黑体" w:eastAsia="黑体" w:hAnsi="黑体" w:hint="eastAsia"/>
          <w:b w:val="0"/>
        </w:rPr>
        <w:t>国有资本经营预算支出决算情况说明</w:t>
      </w:r>
      <w:bookmarkEnd w:id="49"/>
      <w:bookmarkEnd w:id="50"/>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w:t>
      </w:r>
      <w:r>
        <w:rPr>
          <w:rFonts w:ascii="仿宋_GB2312" w:eastAsia="仿宋_GB2312" w:hint="eastAsia"/>
          <w:color w:val="000000"/>
          <w:sz w:val="32"/>
          <w:szCs w:val="32"/>
        </w:rPr>
        <w:t>20年国有资本经营预算拨款支出0万元。</w:t>
      </w:r>
    </w:p>
    <w:p>
      <w:pPr>
        <w:spacing w:line="600" w:lineRule="exact"/>
        <w:ind w:firstLineChars="200" w:firstLine="640"/>
        <w:outlineLvl w:val="1"/>
        <w:rPr>
          <w:rStyle w:val="2Char"/>
          <w:rFonts w:ascii="黑体" w:eastAsia="黑体" w:hAnsi="黑体"/>
        </w:rPr>
      </w:pPr>
      <w:bookmarkStart w:id="51" w:name="_Toc15377221"/>
      <w:bookmarkStart w:id="52" w:name="_Toc15396612"/>
      <w:r>
        <w:rPr>
          <w:rFonts w:ascii="黑体" w:eastAsia="黑体" w:hAnsi="黑体" w:hint="eastAsia"/>
          <w:color w:val="000000"/>
          <w:sz w:val="32"/>
          <w:szCs w:val="32"/>
        </w:rPr>
        <w:t>十</w:t>
      </w:r>
      <w:r>
        <w:rPr>
          <w:rStyle w:val="2Char"/>
          <w:rFonts w:ascii="黑体" w:eastAsia="黑体" w:hAnsi="黑体" w:hint="eastAsia"/>
        </w:rPr>
        <w:t>、</w:t>
      </w:r>
      <w:r>
        <w:rPr>
          <w:rStyle w:val="2Char"/>
          <w:rFonts w:ascii="黑体" w:eastAsia="黑体" w:hAnsi="黑体" w:hint="eastAsia"/>
          <w:b w:val="0"/>
        </w:rPr>
        <w:t>其他重要事项的情况说明</w:t>
      </w:r>
      <w:bookmarkEnd w:id="51"/>
      <w:bookmarkEnd w:id="52"/>
    </w:p>
    <w:p>
      <w:pPr>
        <w:spacing w:line="600" w:lineRule="exact"/>
        <w:ind w:firstLineChars="200" w:firstLine="640"/>
        <w:outlineLvl w:val="2"/>
        <w:rPr>
          <w:rFonts w:ascii="仿宋" w:eastAsia="仿宋" w:hAnsi="仿宋"/>
          <w:color w:val="000000"/>
          <w:sz w:val="32"/>
          <w:szCs w:val="32"/>
        </w:rPr>
      </w:pPr>
      <w:bookmarkStart w:id="53" w:name="_Toc15377222"/>
      <w:r>
        <w:rPr>
          <w:rFonts w:ascii="仿宋" w:eastAsia="仿宋" w:hAnsi="仿宋" w:hint="eastAsia"/>
          <w:b/>
          <w:color w:val="000000"/>
          <w:sz w:val="32"/>
          <w:szCs w:val="32"/>
        </w:rPr>
        <w:t>（一）机关运行经费支出情况</w:t>
      </w:r>
      <w:bookmarkEnd w:id="53"/>
    </w:p>
    <w:p>
      <w:pPr>
        <w:spacing w:line="600" w:lineRule="exact"/>
        <w:ind w:firstLineChars="200" w:firstLine="640"/>
        <w:rPr>
          <w:rFonts w:ascii="仿宋" w:eastAsia="仿宋_GB2312" w:hAnsi="仿宋"/>
          <w:b/>
          <w:color w:val="FF0000"/>
          <w:sz w:val="32"/>
          <w:szCs w:val="32"/>
        </w:rPr>
      </w:pPr>
      <w:r>
        <w:rPr>
          <w:rFonts w:ascii="仿宋_GB2312" w:eastAsia="仿宋_GB2312"/>
          <w:color w:val="000000"/>
          <w:sz w:val="32"/>
          <w:szCs w:val="32"/>
        </w:rPr>
        <w:t>20</w:t>
      </w:r>
      <w:r>
        <w:rPr>
          <w:rFonts w:ascii="仿宋_GB2312" w:eastAsia="仿宋_GB2312" w:hint="eastAsia"/>
          <w:color w:val="000000"/>
          <w:sz w:val="32"/>
          <w:szCs w:val="32"/>
        </w:rPr>
        <w:t>20年，区政协机关运行经费支出63.76万元，比</w:t>
      </w:r>
      <w:r>
        <w:rPr>
          <w:rFonts w:ascii="仿宋_GB2312" w:eastAsia="仿宋_GB2312"/>
          <w:color w:val="000000"/>
          <w:sz w:val="32"/>
          <w:szCs w:val="32"/>
        </w:rPr>
        <w:t>201</w:t>
      </w:r>
      <w:r>
        <w:rPr>
          <w:rFonts w:ascii="仿宋_GB2312" w:eastAsia="仿宋_GB2312" w:hint="eastAsia"/>
          <w:color w:val="000000"/>
          <w:sz w:val="32"/>
          <w:szCs w:val="32"/>
        </w:rPr>
        <w:t>8年减少，主要是按要求节约、压缩经费开支。</w:t>
      </w:r>
    </w:p>
    <w:p>
      <w:pPr>
        <w:pStyle w:val="30"/>
        <w:spacing w:line="580" w:lineRule="exact"/>
        <w:ind w:left="709" w:firstLineChars="0" w:firstLine="0"/>
        <w:rPr>
          <w:rStyle w:val="2Char"/>
          <w:rFonts w:ascii="黑体" w:eastAsia="黑体" w:hAnsi="黑体"/>
          <w:b w:val="0"/>
        </w:rPr>
      </w:pPr>
      <w:bookmarkStart w:id="54" w:name="_Toc15377223"/>
      <w:r>
        <w:rPr>
          <w:rStyle w:val="2Char"/>
          <w:rFonts w:ascii="黑体" w:eastAsia="黑体" w:hAnsi="黑体" w:hint="eastAsia"/>
          <w:b w:val="0"/>
        </w:rPr>
        <w:t>十一、预算绩效情况说明</w:t>
      </w:r>
    </w:p>
    <w:p>
      <w:pPr>
        <w:numPr>
          <w:ilvl w:val="0"/>
          <w:numId w:val="3"/>
        </w:numPr>
        <w:spacing w:line="580" w:lineRule="exact"/>
        <w:ind w:left="0" w:firstLineChars="200" w:firstLine="640"/>
        <w:rPr>
          <w:rFonts w:ascii="仿宋" w:eastAsia="仿宋" w:cs="楷体_GB2312" w:hAnsi="仿宋"/>
          <w:b/>
          <w:bCs/>
          <w:sz w:val="32"/>
          <w:szCs w:val="32"/>
        </w:rPr>
      </w:pPr>
      <w:r>
        <w:rPr>
          <w:rFonts w:ascii="仿宋" w:eastAsia="仿宋" w:cs="楷体_GB2312" w:hAnsi="仿宋" w:hint="eastAsia"/>
          <w:b/>
          <w:bCs/>
          <w:sz w:val="32"/>
          <w:szCs w:val="32"/>
        </w:rPr>
        <w:t>预算绩效管理工作开展情况。</w:t>
      </w:r>
    </w:p>
    <w:p>
      <w:pPr>
        <w:spacing w:line="580" w:lineRule="exact"/>
        <w:ind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根据预算绩效管理要求，本部门（单位）在年初预算编制阶段，组织对文史资料收集和编印、政协常委会、委员视察、政协八届四次全会项目开展了预算事前绩效评估，对3个项目编制了绩效目标，预算执行过程中，选取3个项目开展绩效监控，年终执行完毕后，对3个项目开展了绩效目标完成情况梳理填报。</w:t>
      </w:r>
    </w:p>
    <w:p>
      <w:pPr>
        <w:spacing w:line="580" w:lineRule="exact"/>
        <w:ind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本部门按要求对2020年部门整体支出开展绩效自评，从评价情况来看，区政协机关带领全体政协委员认真履职尽责，扎实开展视察、调研、民主监督等活动，为全区经济社会的发展积极建言献策，完成了各项目标任务。</w:t>
      </w:r>
    </w:p>
    <w:p>
      <w:pPr>
        <w:numPr>
          <w:ilvl w:val="0"/>
          <w:numId w:val="3"/>
        </w:numPr>
        <w:spacing w:line="580" w:lineRule="exact"/>
        <w:ind w:left="0"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项目绩效目标完成情况。</w:t>
      </w:r>
    </w:p>
    <w:p>
      <w:pPr>
        <w:numPr>
          <w:ilvl w:val="0"/>
          <w:numId w:val="3"/>
        </w:numPr>
        <w:spacing w:line="580" w:lineRule="exact"/>
        <w:ind w:left="0"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本部门在2020年度部门决算中反映“一般行政管理事务--政协会议、政协事务(参政议政、民主监督、委员活动)等”； “综合管理（老促会工作）”等项目绩效目标实际完成情况。</w:t>
      </w:r>
    </w:p>
    <w:p>
      <w:pPr>
        <w:numPr>
          <w:ilvl w:val="0"/>
          <w:numId w:val="4"/>
        </w:numPr>
        <w:overflowPunct w:val="0"/>
        <w:spacing w:line="576" w:lineRule="exact"/>
        <w:ind w:left="0" w:firstLineChars="200" w:firstLine="640"/>
        <w:rPr>
          <w:rFonts w:ascii="仿宋" w:eastAsia="仿宋" w:hAnsi="仿宋"/>
          <w:bCs/>
          <w:color w:val="000000"/>
          <w:sz w:val="32"/>
          <w:szCs w:val="32"/>
        </w:rPr>
      </w:pPr>
      <w:r>
        <w:rPr>
          <w:rFonts w:ascii="仿宋_GB2312" w:eastAsia="仿宋_GB2312" w:cs="仿宋_GB2312" w:hAnsi="仿宋_GB2312" w:hint="eastAsia"/>
          <w:sz w:val="32"/>
          <w:szCs w:val="32"/>
        </w:rPr>
        <w:t>一般行政管理事务--政协会议、政协事务(参政议政、民主监督、委员活动)等目标完成情况综述。项目全年预算数185.56万元（其中上年结转6.48万元），执行数为138.91万元 。通过项目实施，20</w:t>
      </w:r>
      <w:r>
        <w:rPr>
          <w:rFonts w:ascii="仿宋" w:eastAsia="仿宋" w:hAnsi="仿宋" w:hint="eastAsia"/>
          <w:bCs/>
          <w:color w:val="000000"/>
          <w:sz w:val="32"/>
          <w:szCs w:val="32"/>
        </w:rPr>
        <w:t>20年，认真落实中共广元市利州区委的部署和要求，紧扣区委八届十一次、十二次全会提出的目标任务，团结广大政协委员和社会各界人士，积极履行政治协商、民主监督、参政议政职能，持续在建言资政和凝聚共识上双向发力，服务全区大局，认真履行政协职能：深入贯彻落实省委十一届六次、七次、八次全会，市委七届十一次、十二次、十三次全会精神，紧扣区委区政府工作大局，情系百姓群众利益，坚持高质量精准履职，议政建言实效进一步增强。（1）政治协商内容更加广泛。围绕全区政治、经济、文化、社会生活中的重大问题和群众关注的热难点问题，认真制定和实施《2020年度协商计划》，力求使协商主题明确，紧扣中心工作。全年组织召开主席会议19次、专题议政性常委会议4次、专委会议 8次。认真履行协商职责，积极提出意见建议。（2）民主监督作用更加突出。坚持围绕发展抓监督、抓好监督促发展的原则，积极探索，注重实效，不断加大民主监督力度。（3）参政议政成效更加显著，为区委和相关部门提供了科学决策参考。（4）持续巩固脱贫奔康成效。投入各类帮扶资金10余万元，着力推进各帮扶村产业发展，确保脱贫群众不返贫，政协机关帮扶的田湾村代表利州区接受全省脱贫普查，脱贫成效得到充分肯定。（5）倾力服务全区中心工作。始终坚持“维护核心、服务中心、汇集人心”，紧紧围绕区委工作思路，积极主动融入经济社会发展大局，以实干助推发展。（6）切实加强政协自身建设。分界别组织规模50人左右的委员培训班4次，提升委员履职能力，切实增强履职责任感。全年召开党组会议27次，理论学习中心组学习会议6次，党员会议5次，党组成员讲党课11次。</w:t>
      </w:r>
    </w:p>
    <w:p>
      <w:pPr>
        <w:numPr>
          <w:ilvl w:val="0"/>
          <w:numId w:val="4"/>
        </w:numPr>
        <w:overflowPunct w:val="0"/>
        <w:spacing w:line="576" w:lineRule="exact"/>
        <w:ind w:left="0" w:firstLineChars="200" w:firstLine="640"/>
        <w:rPr>
          <w:rFonts w:ascii="仿宋_GB2312" w:eastAsia="仿宋_GB2312" w:cs="仿宋_GB2312" w:hAnsi="仿宋_GB2312"/>
          <w:color w:val="FF0000"/>
          <w:sz w:val="32"/>
          <w:szCs w:val="32"/>
        </w:rPr>
      </w:pPr>
      <w:r>
        <w:rPr>
          <w:rFonts w:ascii="仿宋_GB2312" w:eastAsia="仿宋_GB2312" w:cs="仿宋_GB2312" w:hAnsi="仿宋_GB2312" w:hint="eastAsia"/>
          <w:sz w:val="32"/>
          <w:szCs w:val="32"/>
        </w:rPr>
        <w:t>综合管理（老促会工作）项目全年预算数2.8万元执行数为2.8万元 。</w:t>
      </w:r>
      <w:r>
        <w:rPr>
          <w:rFonts w:ascii="仿宋" w:eastAsia="仿宋" w:hAnsi="仿宋" w:hint="eastAsia"/>
          <w:bCs/>
          <w:color w:val="000000"/>
          <w:sz w:val="32"/>
          <w:szCs w:val="32"/>
        </w:rPr>
        <w:t>宣传老区人民对党和革命事业做出的巨大牺牲和贡献；动员社会各界关心支持老区建设；深入老区调查；提出政策性建议；开展信息交流；帮助老区发展经济等。</w:t>
      </w:r>
    </w:p>
    <w:tbl>
      <w:tblPr>
        <w:tblpPr w:leftFromText="180" w:rightFromText="180" w:vertAnchor="text" w:horzAnchor="page" w:tblpX="932" w:tblpY="2711"/>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90"/>
        <w:gridCol w:w="1367"/>
        <w:gridCol w:w="1025"/>
        <w:gridCol w:w="2392"/>
        <w:gridCol w:w="2394"/>
        <w:gridCol w:w="2392"/>
      </w:tblGrid>
      <w:tr>
        <w:trPr>
          <w:trHeight w:val="1687"/>
        </w:trPr>
        <w:tc>
          <w:tcPr>
            <w:tcW w:w="9960" w:type="dxa"/>
            <w:gridSpan w:val="6"/>
            <w:tcMar>
              <w:top w:w="15" w:type="dxa"/>
              <w:left w:w="15" w:type="dxa"/>
              <w:right w:w="15" w:type="dxa"/>
            </w:tcMar>
            <w:vAlign w:val="center"/>
          </w:tcPr>
          <w:p>
            <w:pPr>
              <w:pStyle w:val="30"/>
              <w:widowControl/>
              <w:ind w:firstLineChars="0" w:firstLine="0"/>
              <w:textAlignment w:val="center"/>
              <w:rPr>
                <w:rFonts w:ascii="黑体" w:eastAsia="黑体" w:cs="宋体" w:hAnsi="黑体"/>
                <w:bCs/>
                <w:color w:val="000000"/>
                <w:kern w:val="0"/>
                <w:sz w:val="36"/>
                <w:szCs w:val="36"/>
                <w14:textFill>
                  <w14:solidFill>
                    <w14:srgbClr w14:val="000000"/>
                  </w14:solidFill>
                </w14:textFill>
              </w:rPr>
            </w:pPr>
          </w:p>
          <w:p>
            <w:pPr>
              <w:pStyle w:val="30"/>
              <w:widowControl/>
              <w:ind w:firstLineChars="0" w:firstLine="0"/>
              <w:jc w:val="center"/>
              <w:textAlignment w:val="center"/>
              <w:rPr>
                <w:rFonts w:ascii="黑体" w:eastAsia="黑体" w:cs="宋体" w:hAnsi="黑体"/>
                <w:bCs/>
                <w:color w:val="000000"/>
                <w:kern w:val="0"/>
                <w:sz w:val="36"/>
                <w:szCs w:val="36"/>
                <w14:textFill>
                  <w14:solidFill>
                    <w14:srgbClr w14:val="000000"/>
                  </w14:solidFill>
                </w14:textFill>
              </w:rPr>
            </w:pPr>
            <w:r>
              <w:rPr>
                <w:rFonts w:ascii="黑体" w:eastAsia="黑体" w:cs="宋体" w:hAnsi="黑体" w:hint="eastAsia"/>
                <w:bCs/>
                <w:color w:val="000000"/>
                <w:kern w:val="0"/>
                <w:sz w:val="36"/>
                <w:szCs w:val="36"/>
                <w14:textFill>
                  <w14:solidFill>
                    <w14:srgbClr w14:val="000000"/>
                  </w14:solidFill>
                </w14:textFill>
              </w:rPr>
              <w:t>项目支出绩效目标完成情况表（一）</w:t>
            </w:r>
          </w:p>
          <w:p>
            <w:pPr>
              <w:pStyle w:val="30"/>
              <w:widowControl/>
              <w:ind w:firstLineChars="0" w:firstLine="0"/>
              <w:jc w:val="center"/>
              <w:textAlignment w:val="center"/>
              <w:rPr>
                <w:rFonts w:ascii="宋体" w:cs="宋体" w:hAnsi="宋体"/>
                <w:color w:val="000000"/>
                <w:sz w:val="36"/>
                <w:szCs w:val="36"/>
                <w14:textFill>
                  <w14:solidFill>
                    <w14:srgbClr w14:val="000000"/>
                  </w14:solidFill>
                </w14:textFill>
              </w:rPr>
            </w:pPr>
            <w:r>
              <w:rPr>
                <w:rFonts w:ascii="宋体" w:cs="宋体" w:hAnsi="宋体" w:hint="eastAsia"/>
                <w:color w:val="000000"/>
                <w:kern w:val="0"/>
                <w:sz w:val="36"/>
                <w:szCs w:val="36"/>
                <w14:textFill>
                  <w14:solidFill>
                    <w14:srgbClr w14:val="000000"/>
                  </w14:solidFill>
                </w14:textFill>
              </w:rPr>
              <w:t>(2020年度)</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14:textFill>
                  <w14:solidFill>
                    <w14:srgbClr w14:val="000000"/>
                  </w14:solidFill>
                </w14:textFill>
              </w:rPr>
            </w:pPr>
            <w:r>
              <w:rPr>
                <w:rFonts w:ascii="仿宋_GB2312" w:eastAsia="仿宋_GB2312" w:cs="仿宋_GB2312" w:hAnsi="仿宋_GB2312" w:hint="eastAsia"/>
                <w:sz w:val="32"/>
                <w:szCs w:val="32"/>
              </w:rPr>
              <w:t>一般行政管理事务--政协会议、政协事务(参政议政、民主监督、委员活动)等</w:t>
            </w:r>
          </w:p>
        </w:tc>
      </w:tr>
      <w:tr>
        <w:trPr>
          <w:trHeight w:val="90"/>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利州区政协</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14:textFill>
                  <w14:solidFill>
                    <w14:srgbClr w14:val="000000"/>
                  </w14:solidFill>
                </w14:textFill>
              </w:rPr>
            </w:pPr>
            <w:r>
              <w:rPr>
                <w:rFonts w:ascii="仿宋_GB2312" w:eastAsia="仿宋_GB2312" w:cs="仿宋_GB2312" w:hAnsi="仿宋_GB2312" w:hint="eastAsia"/>
                <w:sz w:val="32"/>
                <w:szCs w:val="32"/>
              </w:rPr>
              <w:t>185.56</w:t>
            </w:r>
            <w:r>
              <w:rPr>
                <w:rFonts w:ascii="宋体" w:cs="宋体" w:hAnsi="宋体" w:hint="eastAsia"/>
                <w:color w:val="000000"/>
                <w:sz w:val="24"/>
                <w14:textFill>
                  <w14:solidFill>
                    <w14:srgbClr w14:val="000000"/>
                  </w14:solidFill>
                </w14:textFill>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14:textFill>
                  <w14:solidFill>
                    <w14:srgbClr w14:val="000000"/>
                  </w14:solidFill>
                </w14:textFill>
              </w:rPr>
            </w:pPr>
            <w:r>
              <w:rPr>
                <w:rFonts w:ascii="仿宋_GB2312" w:eastAsia="仿宋_GB2312" w:cs="仿宋_GB2312" w:hAnsi="仿宋_GB2312" w:hint="eastAsia"/>
                <w:sz w:val="32"/>
                <w:szCs w:val="32"/>
              </w:rPr>
              <w:t>138.91</w:t>
            </w:r>
            <w:r>
              <w:rPr>
                <w:rFonts w:ascii="宋体" w:cs="宋体" w:hAnsi="宋体" w:hint="eastAsia"/>
                <w:color w:val="000000"/>
                <w:sz w:val="24"/>
                <w14:textFill>
                  <w14:solidFill>
                    <w14:srgbClr w14:val="000000"/>
                  </w14:solidFill>
                </w14:textFill>
              </w:rPr>
              <w:t>万元</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14:textFill>
                  <w14:solidFill>
                    <w14:srgbClr w14:val="000000"/>
                  </w14:solidFill>
                </w14:textFill>
              </w:rPr>
            </w:pPr>
            <w:r>
              <w:rPr>
                <w:rFonts w:ascii="仿宋_GB2312" w:eastAsia="仿宋_GB2312" w:cs="仿宋_GB2312" w:hAnsi="仿宋_GB2312" w:hint="eastAsia"/>
                <w:sz w:val="32"/>
                <w:szCs w:val="32"/>
              </w:rPr>
              <w:t>185.56</w:t>
            </w:r>
            <w:r>
              <w:rPr>
                <w:rFonts w:ascii="宋体" w:cs="宋体" w:hAnsi="宋体" w:hint="eastAsia"/>
                <w:color w:val="000000"/>
                <w:sz w:val="24"/>
                <w14:textFill>
                  <w14:solidFill>
                    <w14:srgbClr w14:val="000000"/>
                  </w14:solidFill>
                </w14:textFill>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14:textFill>
                  <w14:solidFill>
                    <w14:srgbClr w14:val="000000"/>
                  </w14:solidFill>
                </w14:textFill>
              </w:rPr>
            </w:pPr>
            <w:r>
              <w:rPr>
                <w:rFonts w:ascii="仿宋_GB2312" w:eastAsia="仿宋_GB2312" w:cs="仿宋_GB2312" w:hAnsi="仿宋_GB2312" w:hint="eastAsia"/>
                <w:sz w:val="32"/>
                <w:szCs w:val="32"/>
              </w:rPr>
              <w:t>138.91</w:t>
            </w:r>
            <w:r>
              <w:rPr>
                <w:rFonts w:ascii="宋体" w:cs="宋体" w:hAnsi="宋体" w:hint="eastAsia"/>
                <w:color w:val="000000"/>
                <w:sz w:val="24"/>
                <w14:textFill>
                  <w14:solidFill>
                    <w14:srgbClr w14:val="000000"/>
                  </w14:solidFill>
                </w14:textFill>
              </w:rPr>
              <w:t>万元</w:t>
            </w:r>
          </w:p>
        </w:tc>
      </w:tr>
      <w:tr>
        <w:trPr>
          <w:trHeight w:val="1227"/>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0</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实际完成目标</w:t>
            </w:r>
          </w:p>
        </w:tc>
      </w:tr>
      <w:tr>
        <w:trPr>
          <w:trHeight w:val="90"/>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overflowPunct w:val="0"/>
              <w:spacing w:line="576" w:lineRule="exact"/>
              <w:ind w:firstLineChars="200" w:firstLine="640"/>
              <w:rPr>
                <w:rFonts w:ascii="仿宋" w:eastAsia="仿宋" w:hAnsi="仿宋"/>
                <w:bCs/>
                <w:color w:val="000000"/>
                <w:sz w:val="32"/>
                <w:szCs w:val="32"/>
              </w:rPr>
            </w:pPr>
            <w:r>
              <w:rPr>
                <w:rFonts w:ascii="仿宋_GB2312" w:eastAsia="仿宋_GB2312" w:cs="仿宋_GB2312" w:hAnsi="仿宋_GB2312" w:hint="eastAsia"/>
                <w:sz w:val="32"/>
                <w:szCs w:val="32"/>
              </w:rPr>
              <w:t>通过项目实施，20</w:t>
            </w:r>
            <w:r>
              <w:rPr>
                <w:rFonts w:ascii="仿宋" w:eastAsia="仿宋" w:hAnsi="仿宋" w:hint="eastAsia"/>
                <w:bCs/>
                <w:color w:val="000000"/>
                <w:sz w:val="32"/>
                <w:szCs w:val="32"/>
              </w:rPr>
              <w:t>20年，认真落实中共广元市利州区委的部署和要求，紧扣区委八届十一次、十二次全会提出的目标任务，团结广大政协委员和社会各界人士，积极履行政治协商、民主监督、参政议政职能，持续在建言资政和凝聚共识上双向发力，服务全区大局，认真履行政协职能：深入贯彻落实省委十一届六次、七次、八次全会，市委七届十一次、十二次、十三次全会精神，紧扣区委区政府工作大局，情系百姓群众利益，坚持高质量精准履职，议政建言实效进一步增强。（1）政治协商内容更加广泛。围绕全区政治、经济、文化、社会生活中的重大问题和群众关注的热难点问题，认真制定和实施《2020年度协商计划》，力求使协商主题明确，紧扣中心工作。全年组织召开主席会议19次、专题议政性常委会议4次、专委会议 8次。认真履行协商职责，积极提出意见建议。（2）民主监督作用更加突出。坚持围绕发展抓监督、抓好监督促发展的原则，积极探索，注重实效，不断加大民主监督力度。（3）参政议政成效更加显著，为区委和相关部门提供了科学决策参考。（4）持续巩固脱贫奔康成效。投入各类帮扶资金10余万元，着力推进各帮扶村产业发展，确保脱贫群众不返贫，政协机关帮扶的田湾村代表利州区接受全省脱贫普查，脱贫成效得到充分肯定。（5）倾力服务全区中心工作。始终坚持“维护核心、服务中心、汇集人心”，紧紧围绕区委工作思路，积极主动融入经济社会发展大局，以实干助推发展。（6）切实加强政协自身建设。分界别组织规模50人左右的委员培训班4次，提升委员履职能力，切实增强履职责任感。全年召开党组会议27次，理论学习中心组学习会议6次，党员会议5次，党组成员讲党课11次。</w:t>
            </w:r>
          </w:p>
          <w:p>
            <w:pPr>
              <w:widowControl/>
              <w:ind w:firstLineChars="200" w:firstLine="480"/>
              <w:jc w:val="left"/>
              <w:textAlignment w:val="center"/>
              <w:rPr>
                <w:rFonts w:ascii="宋体" w:cs="宋体" w:hAnsi="宋体"/>
                <w:color w:val="000000"/>
                <w:sz w:val="24"/>
                <w14:textFill>
                  <w14:solidFill>
                    <w14:srgbClr w14:val="000000"/>
                  </w14:solidFill>
                </w14:textFill>
              </w:rPr>
            </w:pP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overflowPunct w:val="0"/>
              <w:spacing w:line="576" w:lineRule="exact"/>
              <w:ind w:firstLineChars="200" w:firstLine="640"/>
              <w:rPr>
                <w:rFonts w:ascii="仿宋" w:eastAsia="仿宋" w:hAnsi="仿宋"/>
                <w:bCs/>
                <w:color w:val="000000"/>
                <w:sz w:val="32"/>
                <w:szCs w:val="32"/>
              </w:rPr>
            </w:pPr>
            <w:r>
              <w:rPr>
                <w:rFonts w:ascii="仿宋_GB2312" w:eastAsia="仿宋_GB2312" w:cs="仿宋_GB2312" w:hAnsi="仿宋_GB2312" w:hint="eastAsia"/>
                <w:sz w:val="32"/>
                <w:szCs w:val="32"/>
              </w:rPr>
              <w:t>通过项目实施，20</w:t>
            </w:r>
            <w:r>
              <w:rPr>
                <w:rFonts w:ascii="仿宋" w:eastAsia="仿宋" w:hAnsi="仿宋" w:hint="eastAsia"/>
                <w:bCs/>
                <w:color w:val="000000"/>
                <w:sz w:val="32"/>
                <w:szCs w:val="32"/>
              </w:rPr>
              <w:t>20年，认真落实中共广元市利州区委的部署和要求，紧扣区委八届十一次、十二次全会提出的目标任务，团结广大政协委员和社会各界人士，积极履行政治协商、民主监督、参政议政职能，持续在建言资政和凝聚共识上双向发力，服务全区大局，认真履行政协职能：深入贯彻落实省委十一届六次、七次、八次全会，市委七届十一次、十二次、十三次全会精神，紧扣区委区政府工作大局，情系百姓群众利益，坚持高质量精准履职，议政建言实效进一步增强。（1）政治协商内容更加广泛。围绕全区政治、经济、文化、社会生活中的重大问题和群众关注的热难点问题，认真制定和实施《2020年度协商计划》，力求使协商主题明确，紧扣中心工作。全年组织召开主席会议19次、专题议政性常委会议4次、专委会议 8次。认真履行协商职责，积极提出意见建议。（2）民主监督作用更加突出。坚持围绕发展抓监督、抓好监督促发展的原则，积极探索，注重实效，不断加大民主监督力度。（3）参政议政成效更加显著，为区委和相关部门提供了科学决策参考。（4）持续巩固脱贫奔康成效。投入各类帮扶资金10余万元，着力推进各帮扶村产业发展，确保脱贫群众不返贫，政协机关帮扶的田湾村代表利州区接受全省脱贫普查，脱贫成效得到充分肯定。（5）倾力服务全区中心工作。始终坚持“维护核心、服务中心、汇集人心”，紧紧围绕区委工作思路，积极主动融入经济社会发展大局，以实干助推发展。（6）切实加强政协自身建设。分界别组织规模50人左右的委员培训班4次，提升委员履职能力，切实增强履职责任感。全年召开党组会议27次，理论学习中心组学习会议6次，党员会议5次，党组成员讲党课11次。</w:t>
            </w:r>
          </w:p>
          <w:p>
            <w:pPr>
              <w:widowControl/>
              <w:ind w:firstLineChars="200" w:firstLine="480"/>
              <w:jc w:val="left"/>
              <w:textAlignment w:val="center"/>
              <w:rPr>
                <w:rFonts w:ascii="宋体" w:cs="宋体" w:hAnsi="宋体"/>
                <w:color w:val="000000"/>
                <w:sz w:val="24"/>
                <w14:textFill>
                  <w14:solidFill>
                    <w14:srgbClr w14:val="000000"/>
                  </w14:solidFill>
                </w14:textFill>
              </w:rPr>
            </w:pPr>
          </w:p>
        </w:tc>
      </w:tr>
      <w:tr>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实际完成指标值(包含数字及文字描述)</w:t>
            </w:r>
          </w:p>
        </w:tc>
      </w:tr>
      <w:tr>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14:textFill>
                  <w14:solidFill>
                    <w14:srgbClr w14:val="000000"/>
                  </w14:solidFill>
                </w14:textFill>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14:textFill>
                  <w14:solidFill>
                    <w14:srgbClr w14:val="000000"/>
                  </w14:solidFill>
                </w14:textFill>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overflowPunct w:val="0"/>
              <w:spacing w:line="576" w:lineRule="exact"/>
              <w:rPr>
                <w:rFonts w:ascii="仿宋" w:eastAsia="仿宋" w:hAnsi="仿宋"/>
                <w:bCs/>
                <w:color w:val="000000"/>
                <w:sz w:val="32"/>
                <w:szCs w:val="32"/>
              </w:rPr>
            </w:pPr>
            <w:r>
              <w:rPr>
                <w:rFonts w:ascii="仿宋_GB2312" w:eastAsia="仿宋_GB2312" w:cs="仿宋_GB2312" w:hAnsi="仿宋_GB2312" w:hint="eastAsia"/>
                <w:color w:val="000000"/>
                <w:sz w:val="28"/>
                <w:szCs w:val="28"/>
                <w14:textFill>
                  <w14:solidFill>
                    <w14:srgbClr w14:val="000000"/>
                  </w14:solidFill>
                </w14:textFill>
              </w:rPr>
              <w:t xml:space="preserve">    </w:t>
            </w:r>
            <w:r>
              <w:rPr>
                <w:rFonts w:ascii="仿宋" w:eastAsia="仿宋" w:hAnsi="仿宋" w:hint="eastAsia"/>
                <w:bCs/>
                <w:color w:val="000000"/>
                <w:sz w:val="32"/>
                <w:szCs w:val="32"/>
              </w:rPr>
              <w:t>认真落实中共广元市利州区委的部署和要求，紧扣区委八届十一次、十二次全会提出的目标任务，团结广大政协委员和社会各界人士，积极履行政治协商、民主监督、参政议政职能，持续在建言资政和凝聚共识上双向发力，服务全区大局，认真履行政协职能：深入贯彻落实省委十一届六次、七次、八次全会，市委七届十一次、十二次、十三次全会精神，紧扣区委区政府工作大局，情系百姓群众利益，坚持高质量精准履职，议政建言实效进一步增强。（1）政治协商内容更加广泛。围绕全区政治、经济、文化、社会生活中的重大问题和群众关注的热难点问题，认真制定和实施《2020年度协商计划》，力求使协商主题明确，紧扣中心工作。全年组织召开主席会议19次、专题议政性常委会议4次、专委会议 8次。认真履行协商职责，积极提出意见建议。（2）民主监督作用更加突出。坚持围绕发展抓监督、抓好监督促发展的原则，积极探索，注重实效，不断加大民主监督力度。（3）参政议政成效更加显著，为区委和相关部门提供了科学决策参考。（4）持续巩固脱贫奔康成效。投入各类帮扶资金10余万元，着力推进各帮扶村产业发展，确保脱贫群众不返贫，政协机关帮扶的田湾村代表利州区接受全省脱贫普查，脱贫成效得到充分肯定。（5）倾力服务全区中心工作。始终坚持“维护核心、服务中心、汇集人心”，紧紧围绕区委工作思路，积极主动融入经济社会发展大局，以实干助推发展。（6）切实加强政协自身建设。分界别组织规模50人左右的委员培训班4次，提升委员履职能力，切实增强履职责任感。全年召开党组会议27次，理论学习中心组学习会议6次，党员会议5次，党组成员讲党课11次。</w:t>
            </w:r>
          </w:p>
          <w:p>
            <w:pPr>
              <w:widowControl/>
              <w:spacing w:line="440" w:lineRule="exact"/>
              <w:jc w:val="left"/>
              <w:textAlignment w:val="center"/>
              <w:rPr>
                <w:rFonts w:ascii="宋体" w:cs="宋体" w:hAnsi="宋体"/>
                <w:color w:val="000000"/>
                <w:sz w:val="28"/>
                <w:szCs w:val="28"/>
                <w14:textFill>
                  <w14:solidFill>
                    <w14:srgbClr w14:val="000000"/>
                  </w14:solidFill>
                </w14:textFill>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overflowPunct w:val="0"/>
              <w:spacing w:line="576"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认真落实中共广元市利州区委的部署和要求，紧扣区委八届十一次、十二次全会提出的目标任务，团结广大政协委员和社会各界人士，积极履行政治协商、民主监督、参政议政职能，持续在建言资政和凝聚共识上双向发力，服务全区大局，认真履行政协职能：深入贯彻落实省委十一届六次、七次、八次全会，市委七届十一次、十二次、十三次全会精神，紧扣区委区政府工作大局，情系百姓群众利益，坚持高质量精准履职，议政建言实效进一步增强。（1）政治协商内容更加广泛。围绕全区政治、经济、文化、社会生活中的重大问题和群众关注的热难点问题，认真制定和实施《2020年度协商计划》，力求使协商主题明确，紧扣中心工作。全年组织召开主席会议19次、专题议政性常委会议4次、专委会议 8次。认真履行协商职责，积极提出意见建议。（2）民主监督作用更加突出。坚持围绕发展抓监督、抓好监督促发展的原则，积极探索，注重实效，不断加大民主监督力度。（3）参政议政成效更加显著，为区委和相关部门提供了科学决策参考。（4）持续巩固脱贫奔康成效。投入各类帮扶资金10余万元，着力推进各帮扶村产业发展，确保脱贫群众不返贫，政协机关帮扶的田湾村代表利州区接受全省脱贫普查，脱贫成效得到充分肯定。（5）倾力服务全区中心工作。始终坚持“维护核心、服务中心、汇集人心”，紧紧围绕区委工作思路，积极主动融入经济社会发展大局，以实干助推发展。（6）切实加强政协自身建设。分界别组织规模50人左右的委员培训班4次，提升委员履职能力，切实增强履职责任感。全年召开党组会议27次，理论学习中心组学习会议6次，党员会议5次，党组成员讲党课11次。</w:t>
            </w:r>
          </w:p>
          <w:p>
            <w:pPr>
              <w:widowControl/>
              <w:spacing w:line="440" w:lineRule="exact"/>
              <w:ind w:firstLineChars="200" w:firstLine="560"/>
              <w:jc w:val="left"/>
              <w:textAlignment w:val="center"/>
              <w:rPr>
                <w:rFonts w:ascii="宋体" w:cs="宋体" w:hAnsi="宋体"/>
                <w:color w:val="000000"/>
                <w:sz w:val="28"/>
                <w:szCs w:val="28"/>
                <w14:textFill>
                  <w14:solidFill>
                    <w14:srgbClr w14:val="000000"/>
                  </w14:solidFill>
                </w14:textFill>
              </w:rPr>
            </w:pPr>
          </w:p>
        </w:tc>
      </w:tr>
      <w:tr>
        <w:trPr>
          <w:trHeight w:val="1477"/>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14:textFill>
                  <w14:solidFill>
                    <w14:srgbClr w14:val="000000"/>
                  </w14:solidFill>
                </w14:textFill>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14:textFill>
                  <w14:solidFill>
                    <w14:srgbClr w14:val="000000"/>
                  </w14:solidFill>
                </w14:textFill>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overflowPunct w:val="0"/>
              <w:spacing w:line="576" w:lineRule="exact"/>
              <w:rPr>
                <w:rFonts w:ascii="仿宋" w:eastAsia="仿宋" w:hAnsi="仿宋"/>
                <w:bCs/>
                <w:color w:val="000000"/>
                <w:sz w:val="32"/>
                <w:szCs w:val="32"/>
              </w:rPr>
            </w:pPr>
            <w:r>
              <w:rPr>
                <w:rFonts w:ascii="仿宋" w:eastAsia="仿宋" w:hAnsi="仿宋" w:hint="eastAsia"/>
                <w:bCs/>
                <w:color w:val="000000"/>
                <w:sz w:val="32"/>
                <w:szCs w:val="32"/>
              </w:rPr>
              <w:t xml:space="preserve"> 区政协坚持以习近平新时代中国特色社会主义思想为指导，认真落实中共广元市利州区委的部署和要求，紧扣区委八届十一次、十二次全会提出的目标任务，团结广大政协委员和社会各界人士，积极履行政治协商、民主监督、参政议政职能，持续在建言资政和凝聚共识上双向发力，为夺取疫情防控和经济社会发展双胜利作出了积极贡献。</w:t>
            </w:r>
          </w:p>
          <w:p>
            <w:pPr>
              <w:overflowPunct w:val="0"/>
              <w:spacing w:line="576" w:lineRule="exact"/>
              <w:rPr>
                <w:rFonts w:ascii="仿宋" w:eastAsia="仿宋" w:hAnsi="仿宋"/>
                <w:bCs/>
                <w:color w:val="000000"/>
                <w:sz w:val="32"/>
                <w:szCs w:val="32"/>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overflowPunct w:val="0"/>
              <w:spacing w:line="576" w:lineRule="exact"/>
              <w:rPr>
                <w:rFonts w:ascii="仿宋" w:eastAsia="仿宋" w:hAnsi="仿宋"/>
                <w:bCs/>
                <w:color w:val="000000"/>
                <w:sz w:val="32"/>
                <w:szCs w:val="32"/>
              </w:rPr>
            </w:pPr>
            <w:r>
              <w:rPr>
                <w:rFonts w:ascii="仿宋" w:eastAsia="仿宋" w:hAnsi="仿宋" w:hint="eastAsia"/>
                <w:bCs/>
                <w:color w:val="000000"/>
                <w:sz w:val="32"/>
                <w:szCs w:val="32"/>
              </w:rPr>
              <w:t>区政协坚持以习近平新时代中国特色社会主义思想为指导，认真落实中共广元市利州区委的部署和要求，紧扣区委八届十一次、十二次全会提出的目标任务，团结广大政协委员和社会各界人士，积极履行政治协商、民主监督、参政议政职能，持续在建言资政和凝聚共识上双向发力，为夺取疫情防控和经济社会发展双胜利作出了积极贡献。</w:t>
            </w:r>
          </w:p>
          <w:p>
            <w:pPr>
              <w:overflowPunct w:val="0"/>
              <w:spacing w:line="576" w:lineRule="exact"/>
              <w:rPr>
                <w:rFonts w:ascii="仿宋" w:eastAsia="仿宋" w:hAnsi="仿宋"/>
                <w:bCs/>
                <w:color w:val="000000"/>
                <w:sz w:val="32"/>
                <w:szCs w:val="32"/>
              </w:rPr>
            </w:pPr>
          </w:p>
        </w:tc>
      </w:tr>
      <w:tr>
        <w:trPr>
          <w:trHeight w:val="13227"/>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14:textFill>
                  <w14:solidFill>
                    <w14:srgbClr w14:val="000000"/>
                  </w14:solidFill>
                </w14:textFill>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14:textFill>
                  <w14:solidFill>
                    <w14:srgbClr w14:val="000000"/>
                  </w14:solidFill>
                </w14:textFill>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overflowPunct w:val="0"/>
              <w:spacing w:line="576" w:lineRule="exact"/>
              <w:rPr>
                <w:rFonts w:ascii="仿宋" w:eastAsia="仿宋" w:hAnsi="仿宋"/>
                <w:bCs/>
                <w:color w:val="000000"/>
                <w:sz w:val="32"/>
                <w:szCs w:val="32"/>
              </w:rPr>
            </w:pPr>
            <w:r>
              <w:rPr>
                <w:rFonts w:ascii="仿宋" w:eastAsia="仿宋" w:hAnsi="仿宋" w:hint="eastAsia"/>
                <w:bCs/>
                <w:color w:val="000000"/>
                <w:sz w:val="32"/>
                <w:szCs w:val="32"/>
              </w:rPr>
              <w:t xml:space="preserve"> 2020年，区政协坚持以习近平新时代中国特色社会主义思想为指导，认真落实中共广元市利州区委的部署和要求，紧扣区委八届十一次、十二次全会提出的目标任务，团结广大政协委员和社会各界人士，积极履行政治协商、民主监督、参政议政职能，持续在建言资政和凝聚共识上双向发力，为夺取疫情防控和经济社会发展双胜利作出了积极贡献。</w:t>
            </w:r>
          </w:p>
          <w:p>
            <w:pPr>
              <w:overflowPunct w:val="0"/>
              <w:spacing w:line="576" w:lineRule="exact"/>
              <w:rPr>
                <w:rFonts w:ascii="仿宋" w:eastAsia="仿宋" w:hAnsi="仿宋"/>
                <w:bCs/>
                <w:color w:val="000000"/>
                <w:sz w:val="32"/>
                <w:szCs w:val="32"/>
              </w:rPr>
            </w:pPr>
            <w:r>
              <w:rPr>
                <w:rFonts w:ascii="仿宋" w:eastAsia="仿宋" w:hAnsi="仿宋" w:hint="eastAsia"/>
                <w:bCs/>
                <w:color w:val="000000"/>
                <w:sz w:val="32"/>
                <w:szCs w:val="32"/>
              </w:rPr>
              <w:t xml:space="preserve">  </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overflowPunct w:val="0"/>
              <w:spacing w:line="576" w:lineRule="exact"/>
              <w:rPr>
                <w:rFonts w:ascii="仿宋" w:eastAsia="仿宋" w:hAnsi="仿宋"/>
                <w:bCs/>
                <w:color w:val="000000"/>
                <w:sz w:val="32"/>
                <w:szCs w:val="32"/>
              </w:rPr>
            </w:pPr>
            <w:r>
              <w:rPr>
                <w:rFonts w:ascii="仿宋" w:eastAsia="仿宋" w:hAnsi="仿宋" w:hint="eastAsia"/>
                <w:bCs/>
                <w:color w:val="000000"/>
                <w:sz w:val="32"/>
                <w:szCs w:val="32"/>
              </w:rPr>
              <w:t>2020年，区政协坚持以习近平新时代中国特色社会主义思想为指导，认真落实中共广元市利州区委的部署和要求，紧扣区委八届十一次、十二次全会提出的目标任务，团结广大政协委员和社会各界人士，积极履行政治协商、民主监督、参政议政职能，持续在建言资政和凝聚共识上双向发力，为夺取疫情防控和经济社会发展双胜利作出了积极贡献。</w:t>
            </w:r>
          </w:p>
          <w:p>
            <w:pPr>
              <w:overflowPunct w:val="0"/>
              <w:spacing w:line="576" w:lineRule="exact"/>
              <w:rPr>
                <w:rFonts w:ascii="仿宋" w:eastAsia="仿宋" w:hAnsi="仿宋"/>
                <w:bCs/>
                <w:color w:val="000000"/>
                <w:sz w:val="32"/>
                <w:szCs w:val="32"/>
              </w:rPr>
            </w:pPr>
          </w:p>
        </w:tc>
      </w:tr>
    </w:tbl>
    <w:p>
      <w:pPr>
        <w:rPr>
          <w:rFonts w:ascii="Calibri" w:hAnsi="Calibri"/>
          <w:color w:val="000000"/>
          <w14:textFill>
            <w14:solidFill>
              <w14:srgbClr w14:val="000000"/>
            </w14:solidFill>
          </w14:textFill>
        </w:rPr>
      </w:pPr>
    </w:p>
    <w:tbl>
      <w:tblPr>
        <w:tblpPr w:leftFromText="180" w:rightFromText="180" w:vertAnchor="text" w:horzAnchor="page" w:tblpXSpec="center" w:tblpY="423"/>
        <w:tblOverlap w:val="never"/>
        <w:tblW w:w="9818"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722"/>
        <w:gridCol w:w="1035"/>
        <w:gridCol w:w="1025"/>
        <w:gridCol w:w="2286"/>
        <w:gridCol w:w="2500"/>
        <w:gridCol w:w="2250"/>
      </w:tblGrid>
      <w:tr>
        <w:trPr>
          <w:trHeight w:val="1034"/>
        </w:trPr>
        <w:tc>
          <w:tcPr>
            <w:tcW w:w="9818" w:type="dxa"/>
            <w:gridSpan w:val="6"/>
            <w:tcMar>
              <w:top w:w="15" w:type="dxa"/>
              <w:left w:w="15" w:type="dxa"/>
              <w:right w:w="15" w:type="dxa"/>
            </w:tcMar>
            <w:vAlign w:val="center"/>
          </w:tcPr>
          <w:p>
            <w:pPr>
              <w:pStyle w:val="30"/>
              <w:widowControl/>
              <w:ind w:firstLineChars="0" w:firstLine="0"/>
              <w:textAlignment w:val="center"/>
              <w:rPr>
                <w:rFonts w:ascii="仿宋" w:eastAsia="仿宋" w:hAnsi="仿宋"/>
                <w:bCs/>
                <w:color w:val="000000"/>
                <w:sz w:val="32"/>
                <w:szCs w:val="32"/>
              </w:rPr>
            </w:pPr>
          </w:p>
          <w:p>
            <w:pPr>
              <w:pStyle w:val="30"/>
              <w:widowControl/>
              <w:ind w:leftChars="1310" w:left="4015" w:hangingChars="395" w:hanging="1264"/>
              <w:textAlignment w:val="center"/>
              <w:rPr>
                <w:rFonts w:ascii="仿宋" w:eastAsia="仿宋" w:hAnsi="仿宋"/>
                <w:bCs/>
                <w:color w:val="000000"/>
                <w:sz w:val="32"/>
                <w:szCs w:val="32"/>
              </w:rPr>
            </w:pPr>
            <w:r>
              <w:rPr>
                <w:rFonts w:ascii="仿宋" w:eastAsia="仿宋" w:hAnsi="仿宋" w:hint="eastAsia"/>
                <w:bCs/>
                <w:color w:val="000000"/>
                <w:sz w:val="32"/>
                <w:szCs w:val="32"/>
              </w:rPr>
              <w:t>项目支出绩效目标完成情况表（二）</w:t>
            </w:r>
          </w:p>
          <w:p>
            <w:pPr>
              <w:pStyle w:val="30"/>
              <w:widowControl/>
              <w:ind w:leftChars="1310" w:left="4015" w:hangingChars="395" w:hanging="1264"/>
              <w:textAlignment w:val="center"/>
              <w:rPr>
                <w:rFonts w:ascii="仿宋" w:eastAsia="仿宋" w:hAnsi="仿宋"/>
                <w:bCs/>
                <w:color w:val="000000"/>
                <w:sz w:val="32"/>
                <w:szCs w:val="32"/>
              </w:rPr>
            </w:pPr>
            <w:r>
              <w:rPr>
                <w:rFonts w:ascii="仿宋" w:eastAsia="仿宋" w:hAnsi="仿宋" w:hint="eastAsia"/>
                <w:bCs/>
                <w:color w:val="000000"/>
                <w:sz w:val="32"/>
                <w:szCs w:val="32"/>
              </w:rPr>
              <w:t>(2020年度)</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overflowPunct w:val="0"/>
              <w:spacing w:line="576" w:lineRule="exact"/>
              <w:rPr>
                <w:rFonts w:ascii="仿宋" w:eastAsia="仿宋" w:hAnsi="仿宋"/>
                <w:bCs/>
                <w:color w:val="000000"/>
                <w:sz w:val="32"/>
                <w:szCs w:val="32"/>
              </w:rPr>
            </w:pPr>
            <w:r>
              <w:rPr>
                <w:rFonts w:ascii="仿宋" w:eastAsia="仿宋" w:hAnsi="仿宋" w:hint="eastAsia"/>
                <w:bCs/>
                <w:color w:val="000000"/>
                <w:sz w:val="32"/>
                <w:szCs w:val="32"/>
              </w:rPr>
              <w:t>项目名称</w:t>
            </w:r>
          </w:p>
        </w:tc>
        <w:tc>
          <w:tcPr>
            <w:tcW w:w="703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overflowPunct w:val="0"/>
              <w:spacing w:line="576" w:lineRule="exact"/>
              <w:rPr>
                <w:rFonts w:ascii="仿宋" w:eastAsia="仿宋" w:hAnsi="仿宋"/>
                <w:bCs/>
                <w:color w:val="000000"/>
                <w:sz w:val="32"/>
                <w:szCs w:val="32"/>
              </w:rPr>
            </w:pPr>
            <w:r>
              <w:rPr>
                <w:rFonts w:ascii="仿宋" w:eastAsia="仿宋" w:hAnsi="仿宋" w:hint="eastAsia"/>
                <w:bCs/>
                <w:color w:val="000000"/>
                <w:sz w:val="32"/>
                <w:szCs w:val="32"/>
              </w:rPr>
              <w:t>综合管理（老促会工作）</w:t>
            </w:r>
          </w:p>
        </w:tc>
      </w:tr>
      <w:tr>
        <w:trPr>
          <w:trHeight w:val="642"/>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overflowPunct w:val="0"/>
              <w:spacing w:line="576" w:lineRule="exact"/>
              <w:rPr>
                <w:rFonts w:ascii="仿宋" w:eastAsia="仿宋" w:hAnsi="仿宋"/>
                <w:bCs/>
                <w:color w:val="000000"/>
                <w:sz w:val="32"/>
                <w:szCs w:val="32"/>
              </w:rPr>
            </w:pPr>
            <w:r>
              <w:rPr>
                <w:rFonts w:ascii="仿宋" w:eastAsia="仿宋" w:hAnsi="仿宋" w:hint="eastAsia"/>
                <w:bCs/>
                <w:color w:val="000000"/>
                <w:sz w:val="32"/>
                <w:szCs w:val="32"/>
              </w:rPr>
              <w:t>预算单位</w:t>
            </w:r>
          </w:p>
        </w:tc>
        <w:tc>
          <w:tcPr>
            <w:tcW w:w="703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overflowPunct w:val="0"/>
              <w:spacing w:line="576" w:lineRule="exact"/>
              <w:rPr>
                <w:rFonts w:ascii="仿宋" w:eastAsia="仿宋" w:hAnsi="仿宋"/>
                <w:bCs/>
                <w:color w:val="000000"/>
                <w:sz w:val="32"/>
                <w:szCs w:val="32"/>
              </w:rPr>
            </w:pPr>
            <w:r>
              <w:rPr>
                <w:rFonts w:ascii="仿宋" w:eastAsia="仿宋" w:hAnsi="仿宋" w:hint="eastAsia"/>
                <w:bCs/>
                <w:color w:val="000000"/>
                <w:sz w:val="32"/>
                <w:szCs w:val="32"/>
              </w:rPr>
              <w:t>利州区政协</w:t>
            </w:r>
          </w:p>
        </w:tc>
      </w:tr>
      <w:tr>
        <w:trPr>
          <w:trHeight w:val="842"/>
        </w:trPr>
        <w:tc>
          <w:tcPr>
            <w:tcW w:w="72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overflowPunct w:val="0"/>
              <w:spacing w:line="576" w:lineRule="exact"/>
              <w:rPr>
                <w:rFonts w:ascii="仿宋" w:eastAsia="仿宋" w:hAnsi="仿宋"/>
                <w:bCs/>
                <w:color w:val="000000"/>
                <w:sz w:val="32"/>
                <w:szCs w:val="32"/>
              </w:rPr>
            </w:pPr>
            <w:r>
              <w:rPr>
                <w:rFonts w:ascii="仿宋" w:eastAsia="仿宋" w:hAnsi="仿宋" w:hint="eastAsia"/>
                <w:bCs/>
                <w:color w:val="000000"/>
                <w:sz w:val="32"/>
                <w:szCs w:val="32"/>
              </w:rPr>
              <w:t>预算执行情况(万元)</w:t>
            </w:r>
          </w:p>
        </w:tc>
        <w:tc>
          <w:tcPr>
            <w:tcW w:w="206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overflowPunct w:val="0"/>
              <w:spacing w:line="576" w:lineRule="exact"/>
              <w:rPr>
                <w:rFonts w:ascii="仿宋" w:eastAsia="仿宋" w:hAnsi="仿宋"/>
                <w:bCs/>
                <w:color w:val="000000"/>
                <w:sz w:val="32"/>
                <w:szCs w:val="32"/>
              </w:rPr>
            </w:pPr>
            <w:r>
              <w:rPr>
                <w:rFonts w:ascii="仿宋" w:eastAsia="仿宋" w:hAnsi="仿宋" w:hint="eastAsia"/>
                <w:bCs/>
                <w:color w:val="000000"/>
                <w:sz w:val="32"/>
                <w:szCs w:val="32"/>
              </w:rPr>
              <w:t>预算数:</w:t>
            </w:r>
          </w:p>
        </w:tc>
        <w:tc>
          <w:tcPr>
            <w:tcW w:w="2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overflowPunct w:val="0"/>
              <w:spacing w:line="576" w:lineRule="exact"/>
              <w:rPr>
                <w:rFonts w:ascii="仿宋" w:eastAsia="仿宋" w:hAnsi="仿宋"/>
                <w:bCs/>
                <w:color w:val="000000"/>
                <w:sz w:val="32"/>
                <w:szCs w:val="32"/>
              </w:rPr>
            </w:pPr>
            <w:r>
              <w:rPr>
                <w:rFonts w:ascii="仿宋" w:eastAsia="仿宋" w:hAnsi="仿宋" w:hint="eastAsia"/>
                <w:bCs/>
                <w:color w:val="000000"/>
                <w:sz w:val="32"/>
                <w:szCs w:val="32"/>
              </w:rPr>
              <w:t>2.8万元</w:t>
            </w:r>
          </w:p>
        </w:tc>
        <w:tc>
          <w:tcPr>
            <w:tcW w:w="2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overflowPunct w:val="0"/>
              <w:spacing w:line="576" w:lineRule="exact"/>
              <w:rPr>
                <w:rFonts w:ascii="仿宋" w:eastAsia="仿宋" w:hAnsi="仿宋"/>
                <w:bCs/>
                <w:color w:val="000000"/>
                <w:sz w:val="32"/>
                <w:szCs w:val="32"/>
              </w:rPr>
            </w:pPr>
            <w:r>
              <w:rPr>
                <w:rFonts w:ascii="仿宋" w:eastAsia="仿宋" w:hAnsi="仿宋" w:hint="eastAsia"/>
                <w:bCs/>
                <w:color w:val="000000"/>
                <w:sz w:val="32"/>
                <w:szCs w:val="32"/>
              </w:rPr>
              <w:t>执行数:</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overflowPunct w:val="0"/>
              <w:spacing w:line="576" w:lineRule="exact"/>
              <w:rPr>
                <w:rFonts w:ascii="仿宋" w:eastAsia="仿宋" w:hAnsi="仿宋"/>
                <w:bCs/>
                <w:color w:val="000000"/>
                <w:sz w:val="32"/>
                <w:szCs w:val="32"/>
              </w:rPr>
            </w:pPr>
            <w:r>
              <w:rPr>
                <w:rFonts w:ascii="仿宋" w:eastAsia="仿宋" w:hAnsi="仿宋" w:hint="eastAsia"/>
                <w:bCs/>
                <w:color w:val="000000"/>
                <w:sz w:val="32"/>
                <w:szCs w:val="32"/>
              </w:rPr>
              <w:t>2.8万元</w:t>
            </w:r>
          </w:p>
        </w:tc>
      </w:tr>
      <w:tr>
        <w:trPr>
          <w:trHeight w:val="679"/>
        </w:trPr>
        <w:tc>
          <w:tcPr>
            <w:tcW w:w="722" w:type="dxa"/>
            <w:vMerge/>
            <w:tcBorders>
              <w:top w:val="single" w:sz="4" w:space="0" w:color="000000"/>
              <w:left w:val="single" w:sz="4" w:space="0" w:color="000000"/>
              <w:bottom w:val="single" w:sz="4" w:space="0" w:color="000000"/>
              <w:right w:val="single" w:sz="4" w:space="0" w:color="000000"/>
            </w:tcBorders>
            <w:vAlign w:val="center"/>
          </w:tcPr>
          <w:p/>
        </w:tc>
        <w:tc>
          <w:tcPr>
            <w:tcW w:w="206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overflowPunct w:val="0"/>
              <w:spacing w:line="576" w:lineRule="exact"/>
              <w:rPr>
                <w:rFonts w:ascii="仿宋" w:eastAsia="仿宋" w:hAnsi="仿宋"/>
                <w:bCs/>
                <w:color w:val="000000"/>
                <w:sz w:val="32"/>
                <w:szCs w:val="32"/>
              </w:rPr>
            </w:pPr>
            <w:r>
              <w:rPr>
                <w:rFonts w:ascii="仿宋" w:eastAsia="仿宋" w:hAnsi="仿宋" w:hint="eastAsia"/>
                <w:bCs/>
                <w:color w:val="000000"/>
                <w:sz w:val="32"/>
                <w:szCs w:val="32"/>
              </w:rPr>
              <w:t>其中-财政拨款:</w:t>
            </w:r>
          </w:p>
        </w:tc>
        <w:tc>
          <w:tcPr>
            <w:tcW w:w="2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overflowPunct w:val="0"/>
              <w:spacing w:line="576" w:lineRule="exact"/>
              <w:rPr>
                <w:rFonts w:ascii="仿宋" w:eastAsia="仿宋" w:hAnsi="仿宋"/>
                <w:bCs/>
                <w:color w:val="000000"/>
                <w:sz w:val="32"/>
                <w:szCs w:val="32"/>
              </w:rPr>
            </w:pPr>
            <w:r>
              <w:rPr>
                <w:rFonts w:ascii="仿宋" w:eastAsia="仿宋" w:hAnsi="仿宋" w:hint="eastAsia"/>
                <w:bCs/>
                <w:color w:val="000000"/>
                <w:sz w:val="32"/>
                <w:szCs w:val="32"/>
              </w:rPr>
              <w:t>2.8万元</w:t>
            </w:r>
          </w:p>
        </w:tc>
        <w:tc>
          <w:tcPr>
            <w:tcW w:w="2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overflowPunct w:val="0"/>
              <w:spacing w:line="576" w:lineRule="exact"/>
              <w:rPr>
                <w:rFonts w:ascii="仿宋" w:eastAsia="仿宋" w:hAnsi="仿宋"/>
                <w:bCs/>
                <w:color w:val="000000"/>
                <w:sz w:val="32"/>
                <w:szCs w:val="32"/>
              </w:rPr>
            </w:pPr>
            <w:r>
              <w:rPr>
                <w:rFonts w:ascii="仿宋" w:eastAsia="仿宋" w:hAnsi="仿宋" w:hint="eastAsia"/>
                <w:bCs/>
                <w:color w:val="000000"/>
                <w:sz w:val="32"/>
                <w:szCs w:val="32"/>
              </w:rPr>
              <w:t>其中-财政拨款:</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overflowPunct w:val="0"/>
              <w:spacing w:line="576" w:lineRule="exact"/>
              <w:rPr>
                <w:rFonts w:ascii="仿宋" w:eastAsia="仿宋" w:hAnsi="仿宋"/>
                <w:bCs/>
                <w:color w:val="000000"/>
                <w:sz w:val="32"/>
                <w:szCs w:val="32"/>
              </w:rPr>
            </w:pPr>
            <w:r>
              <w:rPr>
                <w:rFonts w:ascii="仿宋" w:eastAsia="仿宋" w:hAnsi="仿宋" w:hint="eastAsia"/>
                <w:bCs/>
                <w:color w:val="000000"/>
                <w:sz w:val="32"/>
                <w:szCs w:val="32"/>
              </w:rPr>
              <w:t>2.8万元</w:t>
            </w:r>
          </w:p>
        </w:tc>
      </w:tr>
      <w:tr>
        <w:trPr>
          <w:trHeight w:val="365"/>
        </w:trPr>
        <w:tc>
          <w:tcPr>
            <w:tcW w:w="722" w:type="dxa"/>
            <w:vMerge/>
            <w:tcBorders>
              <w:top w:val="single" w:sz="4" w:space="0" w:color="000000"/>
              <w:left w:val="single" w:sz="4" w:space="0" w:color="000000"/>
              <w:bottom w:val="single" w:sz="4" w:space="0" w:color="000000"/>
              <w:right w:val="single" w:sz="4" w:space="0" w:color="000000"/>
            </w:tcBorders>
            <w:vAlign w:val="center"/>
          </w:tcPr>
          <w:p/>
        </w:tc>
        <w:tc>
          <w:tcPr>
            <w:tcW w:w="206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overflowPunct w:val="0"/>
              <w:spacing w:line="576" w:lineRule="exact"/>
              <w:rPr>
                <w:rFonts w:ascii="仿宋" w:eastAsia="仿宋" w:hAnsi="仿宋"/>
                <w:bCs/>
                <w:color w:val="000000"/>
                <w:sz w:val="32"/>
                <w:szCs w:val="32"/>
              </w:rPr>
            </w:pPr>
            <w:r>
              <w:rPr>
                <w:rFonts w:ascii="仿宋" w:eastAsia="仿宋" w:hAnsi="仿宋" w:hint="eastAsia"/>
                <w:bCs/>
                <w:color w:val="000000"/>
                <w:sz w:val="32"/>
                <w:szCs w:val="32"/>
              </w:rPr>
              <w:t>其它资金:</w:t>
            </w:r>
          </w:p>
        </w:tc>
        <w:tc>
          <w:tcPr>
            <w:tcW w:w="2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overflowPunct w:val="0"/>
              <w:spacing w:line="576" w:lineRule="exact"/>
              <w:rPr>
                <w:rFonts w:ascii="仿宋" w:eastAsia="仿宋" w:hAnsi="仿宋"/>
                <w:bCs/>
                <w:color w:val="000000"/>
                <w:sz w:val="32"/>
                <w:szCs w:val="32"/>
              </w:rPr>
            </w:pPr>
            <w:r>
              <w:rPr>
                <w:rFonts w:ascii="仿宋" w:eastAsia="仿宋" w:hAnsi="仿宋" w:hint="eastAsia"/>
                <w:bCs/>
                <w:color w:val="000000"/>
                <w:sz w:val="32"/>
                <w:szCs w:val="32"/>
              </w:rPr>
              <w:t>0</w:t>
            </w:r>
          </w:p>
        </w:tc>
        <w:tc>
          <w:tcPr>
            <w:tcW w:w="2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overflowPunct w:val="0"/>
              <w:spacing w:line="576" w:lineRule="exact"/>
              <w:rPr>
                <w:rFonts w:ascii="仿宋" w:eastAsia="仿宋" w:hAnsi="仿宋"/>
                <w:bCs/>
                <w:color w:val="000000"/>
                <w:sz w:val="32"/>
                <w:szCs w:val="32"/>
              </w:rPr>
            </w:pPr>
            <w:r>
              <w:rPr>
                <w:rFonts w:ascii="仿宋" w:eastAsia="仿宋" w:hAnsi="仿宋" w:hint="eastAsia"/>
                <w:bCs/>
                <w:color w:val="000000"/>
                <w:sz w:val="32"/>
                <w:szCs w:val="32"/>
              </w:rPr>
              <w:t>其它资金:</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overflowPunct w:val="0"/>
              <w:spacing w:line="576" w:lineRule="exact"/>
              <w:rPr>
                <w:rFonts w:ascii="仿宋" w:eastAsia="仿宋" w:hAnsi="仿宋"/>
                <w:bCs/>
                <w:color w:val="000000"/>
                <w:sz w:val="32"/>
                <w:szCs w:val="32"/>
              </w:rPr>
            </w:pPr>
            <w:r>
              <w:rPr>
                <w:rFonts w:ascii="仿宋" w:eastAsia="仿宋" w:hAnsi="仿宋" w:hint="eastAsia"/>
                <w:bCs/>
                <w:color w:val="000000"/>
                <w:sz w:val="32"/>
                <w:szCs w:val="32"/>
              </w:rPr>
              <w:t>0</w:t>
            </w:r>
          </w:p>
        </w:tc>
      </w:tr>
      <w:tr>
        <w:trPr>
          <w:trHeight w:val="276"/>
        </w:trPr>
        <w:tc>
          <w:tcPr>
            <w:tcW w:w="72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overflowPunct w:val="0"/>
              <w:spacing w:line="576" w:lineRule="exact"/>
              <w:rPr>
                <w:rFonts w:ascii="仿宋" w:eastAsia="仿宋" w:hAnsi="仿宋"/>
                <w:bCs/>
                <w:color w:val="000000"/>
                <w:sz w:val="32"/>
                <w:szCs w:val="32"/>
              </w:rPr>
            </w:pPr>
            <w:r>
              <w:rPr>
                <w:rFonts w:ascii="仿宋" w:eastAsia="仿宋" w:hAnsi="仿宋" w:hint="eastAsia"/>
                <w:bCs/>
                <w:color w:val="000000"/>
                <w:sz w:val="32"/>
                <w:szCs w:val="32"/>
              </w:rPr>
              <w:t>年度目标完成情况</w:t>
            </w:r>
          </w:p>
        </w:tc>
        <w:tc>
          <w:tcPr>
            <w:tcW w:w="434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overflowPunct w:val="0"/>
              <w:spacing w:line="576" w:lineRule="exact"/>
              <w:rPr>
                <w:rFonts w:ascii="仿宋" w:eastAsia="仿宋" w:hAnsi="仿宋"/>
                <w:bCs/>
                <w:color w:val="000000"/>
                <w:sz w:val="32"/>
                <w:szCs w:val="32"/>
              </w:rPr>
            </w:pPr>
            <w:r>
              <w:rPr>
                <w:rFonts w:ascii="仿宋" w:eastAsia="仿宋" w:hAnsi="仿宋" w:hint="eastAsia"/>
                <w:bCs/>
                <w:color w:val="000000"/>
                <w:sz w:val="32"/>
                <w:szCs w:val="32"/>
              </w:rPr>
              <w:t>预期目标</w:t>
            </w:r>
          </w:p>
        </w:tc>
        <w:tc>
          <w:tcPr>
            <w:tcW w:w="47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overflowPunct w:val="0"/>
              <w:spacing w:line="576" w:lineRule="exact"/>
              <w:rPr>
                <w:rFonts w:ascii="仿宋" w:eastAsia="仿宋" w:hAnsi="仿宋"/>
                <w:bCs/>
                <w:color w:val="000000"/>
                <w:sz w:val="32"/>
                <w:szCs w:val="32"/>
              </w:rPr>
            </w:pPr>
            <w:r>
              <w:rPr>
                <w:rFonts w:ascii="仿宋" w:eastAsia="仿宋" w:hAnsi="仿宋" w:hint="eastAsia"/>
                <w:bCs/>
                <w:color w:val="000000"/>
                <w:sz w:val="32"/>
                <w:szCs w:val="32"/>
              </w:rPr>
              <w:t>实际完成目标</w:t>
            </w:r>
          </w:p>
        </w:tc>
      </w:tr>
      <w:tr>
        <w:trPr>
          <w:trHeight w:val="106"/>
        </w:trPr>
        <w:tc>
          <w:tcPr>
            <w:tcW w:w="722" w:type="dxa"/>
            <w:vMerge/>
            <w:tcBorders>
              <w:top w:val="single" w:sz="4" w:space="0" w:color="000000"/>
              <w:left w:val="single" w:sz="4" w:space="0" w:color="000000"/>
              <w:bottom w:val="single" w:sz="4" w:space="0" w:color="000000"/>
              <w:right w:val="single" w:sz="4" w:space="0" w:color="000000"/>
            </w:tcBorders>
            <w:vAlign w:val="center"/>
          </w:tcPr>
          <w:p/>
        </w:tc>
        <w:tc>
          <w:tcPr>
            <w:tcW w:w="434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overflowPunct w:val="0"/>
              <w:spacing w:line="576" w:lineRule="exact"/>
              <w:rPr>
                <w:rFonts w:ascii="仿宋" w:eastAsia="仿宋" w:hAnsi="仿宋"/>
                <w:bCs/>
                <w:color w:val="000000"/>
                <w:sz w:val="32"/>
                <w:szCs w:val="32"/>
              </w:rPr>
            </w:pPr>
            <w:r>
              <w:rPr>
                <w:rFonts w:ascii="仿宋" w:eastAsia="仿宋" w:hAnsi="仿宋" w:hint="eastAsia"/>
                <w:bCs/>
                <w:color w:val="000000"/>
                <w:sz w:val="32"/>
                <w:szCs w:val="32"/>
              </w:rPr>
              <w:t>宣传老区人民对党和革命事业做出的巨大牺牲和贡献；动员社会各界关心支持老区建设；深入老区调查；提出政策性建议；开展信息交流；帮助老区发展经济等。</w:t>
            </w:r>
          </w:p>
        </w:tc>
        <w:tc>
          <w:tcPr>
            <w:tcW w:w="47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overflowPunct w:val="0"/>
              <w:spacing w:line="576" w:lineRule="exact"/>
              <w:rPr>
                <w:rFonts w:ascii="仿宋" w:eastAsia="仿宋" w:hAnsi="仿宋"/>
                <w:bCs/>
                <w:color w:val="000000"/>
                <w:sz w:val="32"/>
                <w:szCs w:val="32"/>
              </w:rPr>
            </w:pPr>
            <w:r>
              <w:rPr>
                <w:rFonts w:ascii="仿宋" w:eastAsia="仿宋" w:hAnsi="仿宋" w:hint="eastAsia"/>
                <w:bCs/>
                <w:color w:val="000000"/>
                <w:sz w:val="32"/>
                <w:szCs w:val="32"/>
              </w:rPr>
              <w:t xml:space="preserve"> 宣传老区人民对党和革命事业做出的巨大牺牲和贡献；动员社会各界关心支持老区建设；深入老区调查；提出政策性建议；开展信息交流；帮助老区发展经济等。</w:t>
            </w:r>
          </w:p>
        </w:tc>
      </w:tr>
      <w:tr>
        <w:trPr>
          <w:trHeight w:val="1042"/>
        </w:trPr>
        <w:tc>
          <w:tcPr>
            <w:tcW w:w="72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overflowPunct w:val="0"/>
              <w:spacing w:line="576" w:lineRule="exact"/>
              <w:rPr>
                <w:rFonts w:ascii="仿宋" w:eastAsia="仿宋" w:hAnsi="仿宋"/>
                <w:bCs/>
                <w:color w:val="000000"/>
                <w:sz w:val="32"/>
                <w:szCs w:val="32"/>
              </w:rPr>
            </w:pPr>
            <w:r>
              <w:rPr>
                <w:rFonts w:ascii="仿宋" w:eastAsia="仿宋" w:hAnsi="仿宋" w:hint="eastAsia"/>
                <w:bCs/>
                <w:color w:val="000000"/>
                <w:sz w:val="32"/>
                <w:szCs w:val="32"/>
              </w:rPr>
              <w:t>绩效指标完成情况</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overflowPunct w:val="0"/>
              <w:spacing w:line="576" w:lineRule="exact"/>
              <w:rPr>
                <w:rFonts w:ascii="仿宋" w:eastAsia="仿宋" w:hAnsi="仿宋"/>
                <w:bCs/>
                <w:color w:val="000000"/>
                <w:sz w:val="32"/>
                <w:szCs w:val="32"/>
              </w:rPr>
            </w:pPr>
            <w:r>
              <w:rPr>
                <w:rFonts w:ascii="仿宋" w:eastAsia="仿宋" w:hAnsi="仿宋" w:hint="eastAsia"/>
                <w:bCs/>
                <w:color w:val="000000"/>
                <w:sz w:val="32"/>
                <w:szCs w:val="32"/>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overflowPunct w:val="0"/>
              <w:spacing w:line="576" w:lineRule="exact"/>
              <w:rPr>
                <w:rFonts w:ascii="仿宋" w:eastAsia="仿宋" w:hAnsi="仿宋"/>
                <w:bCs/>
                <w:color w:val="000000"/>
                <w:sz w:val="32"/>
                <w:szCs w:val="32"/>
              </w:rPr>
            </w:pPr>
            <w:r>
              <w:rPr>
                <w:rFonts w:ascii="仿宋" w:eastAsia="仿宋" w:hAnsi="仿宋" w:hint="eastAsia"/>
                <w:bCs/>
                <w:color w:val="000000"/>
                <w:sz w:val="32"/>
                <w:szCs w:val="32"/>
              </w:rPr>
              <w:t>二级指标</w:t>
            </w:r>
          </w:p>
        </w:tc>
        <w:tc>
          <w:tcPr>
            <w:tcW w:w="2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overflowPunct w:val="0"/>
              <w:spacing w:line="576" w:lineRule="exact"/>
              <w:rPr>
                <w:rFonts w:ascii="仿宋" w:eastAsia="仿宋" w:hAnsi="仿宋"/>
                <w:bCs/>
                <w:color w:val="000000"/>
                <w:sz w:val="32"/>
                <w:szCs w:val="32"/>
              </w:rPr>
            </w:pPr>
            <w:r>
              <w:rPr>
                <w:rFonts w:ascii="仿宋" w:eastAsia="仿宋" w:hAnsi="仿宋" w:hint="eastAsia"/>
                <w:bCs/>
                <w:color w:val="000000"/>
                <w:sz w:val="32"/>
                <w:szCs w:val="32"/>
              </w:rPr>
              <w:t>三级指标</w:t>
            </w:r>
          </w:p>
        </w:tc>
        <w:tc>
          <w:tcPr>
            <w:tcW w:w="2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overflowPunct w:val="0"/>
              <w:spacing w:line="576" w:lineRule="exact"/>
              <w:rPr>
                <w:rFonts w:ascii="仿宋" w:eastAsia="仿宋" w:hAnsi="仿宋"/>
                <w:bCs/>
                <w:color w:val="000000"/>
                <w:sz w:val="32"/>
                <w:szCs w:val="32"/>
              </w:rPr>
            </w:pPr>
            <w:r>
              <w:rPr>
                <w:rFonts w:ascii="仿宋" w:eastAsia="仿宋" w:hAnsi="仿宋" w:hint="eastAsia"/>
                <w:bCs/>
                <w:color w:val="000000"/>
                <w:sz w:val="32"/>
                <w:szCs w:val="32"/>
              </w:rPr>
              <w:t>预期指标值(包含数字及文字描述)</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overflowPunct w:val="0"/>
              <w:spacing w:line="576" w:lineRule="exact"/>
              <w:rPr>
                <w:rFonts w:ascii="仿宋" w:eastAsia="仿宋" w:hAnsi="仿宋"/>
                <w:bCs/>
                <w:color w:val="000000"/>
                <w:sz w:val="32"/>
                <w:szCs w:val="32"/>
              </w:rPr>
            </w:pPr>
            <w:r>
              <w:rPr>
                <w:rFonts w:ascii="仿宋" w:eastAsia="仿宋" w:hAnsi="仿宋" w:hint="eastAsia"/>
                <w:bCs/>
                <w:color w:val="000000"/>
                <w:sz w:val="32"/>
                <w:szCs w:val="32"/>
              </w:rPr>
              <w:t>实际完成指标值(包含数字及文字描述)</w:t>
            </w:r>
          </w:p>
        </w:tc>
      </w:tr>
      <w:tr>
        <w:trPr>
          <w:trHeight w:val="953"/>
        </w:trPr>
        <w:tc>
          <w:tcPr>
            <w:tcW w:w="722" w:type="dxa"/>
            <w:vMerge/>
            <w:tcBorders>
              <w:top w:val="single" w:sz="4" w:space="0" w:color="000000"/>
              <w:left w:val="single" w:sz="4" w:space="0" w:color="000000"/>
              <w:bottom w:val="single" w:sz="4" w:space="0" w:color="000000"/>
              <w:right w:val="single" w:sz="4" w:space="0" w:color="000000"/>
            </w:tcBorders>
            <w:vAlign w:val="center"/>
          </w:tcP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overflowPunct w:val="0"/>
              <w:spacing w:line="576" w:lineRule="exact"/>
              <w:rPr>
                <w:rFonts w:ascii="仿宋" w:eastAsia="仿宋" w:hAnsi="仿宋"/>
                <w:bCs/>
                <w:color w:val="000000"/>
                <w:sz w:val="32"/>
                <w:szCs w:val="32"/>
              </w:rPr>
            </w:pPr>
            <w:r>
              <w:rPr>
                <w:rFonts w:ascii="仿宋" w:eastAsia="仿宋" w:hAnsi="仿宋" w:hint="eastAsia"/>
                <w:bCs/>
                <w:color w:val="000000"/>
                <w:sz w:val="32"/>
                <w:szCs w:val="32"/>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overflowPunct w:val="0"/>
              <w:spacing w:line="576" w:lineRule="exact"/>
              <w:rPr>
                <w:rFonts w:ascii="仿宋" w:eastAsia="仿宋" w:hAnsi="仿宋"/>
                <w:bCs/>
                <w:color w:val="000000"/>
                <w:sz w:val="32"/>
                <w:szCs w:val="32"/>
              </w:rPr>
            </w:pPr>
          </w:p>
        </w:tc>
        <w:tc>
          <w:tcPr>
            <w:tcW w:w="2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overflowPunct w:val="0"/>
              <w:spacing w:line="576" w:lineRule="exact"/>
              <w:rPr>
                <w:rFonts w:ascii="仿宋" w:eastAsia="仿宋" w:hAnsi="仿宋"/>
                <w:bCs/>
                <w:color w:val="000000"/>
                <w:sz w:val="32"/>
                <w:szCs w:val="32"/>
              </w:rPr>
            </w:pPr>
          </w:p>
        </w:tc>
        <w:tc>
          <w:tcPr>
            <w:tcW w:w="2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overflowPunct w:val="0"/>
              <w:spacing w:line="576" w:lineRule="exact"/>
              <w:rPr>
                <w:rFonts w:ascii="仿宋" w:eastAsia="仿宋" w:hAnsi="仿宋"/>
                <w:bCs/>
                <w:color w:val="000000"/>
                <w:sz w:val="32"/>
                <w:szCs w:val="32"/>
              </w:rPr>
            </w:pPr>
            <w:r>
              <w:rPr>
                <w:rFonts w:ascii="仿宋" w:eastAsia="仿宋" w:hAnsi="仿宋" w:hint="eastAsia"/>
                <w:bCs/>
                <w:color w:val="000000"/>
                <w:sz w:val="32"/>
                <w:szCs w:val="32"/>
              </w:rPr>
              <w:t xml:space="preserve">宣传老区人民对党和革命事业做出的巨大牺牲和贡献；动员社会各界关心支持老区建设；深入老区调查；提出政策性建议；开展信息交流；帮助老区发展经济等。 </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overflowPunct w:val="0"/>
              <w:spacing w:line="576" w:lineRule="exact"/>
              <w:rPr>
                <w:rFonts w:ascii="仿宋" w:eastAsia="仿宋" w:hAnsi="仿宋"/>
                <w:bCs/>
                <w:color w:val="000000"/>
                <w:sz w:val="32"/>
                <w:szCs w:val="32"/>
              </w:rPr>
            </w:pPr>
            <w:r>
              <w:rPr>
                <w:rFonts w:ascii="仿宋" w:eastAsia="仿宋" w:hAnsi="仿宋" w:hint="eastAsia"/>
                <w:bCs/>
                <w:color w:val="000000"/>
                <w:sz w:val="32"/>
                <w:szCs w:val="32"/>
              </w:rPr>
              <w:t>宣传老区人民对党和革命事业做出的巨大牺牲和贡献；动员社会各界关心支持老区建设；深入老区调查；提出政策性建议；开展信息交流；帮助老区发展经济等。</w:t>
            </w:r>
          </w:p>
        </w:tc>
      </w:tr>
      <w:tr>
        <w:trPr>
          <w:trHeight w:val="1042"/>
        </w:trPr>
        <w:tc>
          <w:tcPr>
            <w:tcW w:w="722" w:type="dxa"/>
            <w:vMerge/>
            <w:tcBorders>
              <w:top w:val="single" w:sz="4" w:space="0" w:color="000000"/>
              <w:left w:val="single" w:sz="4" w:space="0" w:color="000000"/>
              <w:bottom w:val="single" w:sz="4" w:space="0" w:color="000000"/>
              <w:right w:val="single" w:sz="4" w:space="0" w:color="000000"/>
            </w:tcBorders>
            <w:vAlign w:val="center"/>
          </w:tcP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overflowPunct w:val="0"/>
              <w:spacing w:line="576" w:lineRule="exact"/>
              <w:rPr>
                <w:rFonts w:ascii="仿宋" w:eastAsia="仿宋" w:hAnsi="仿宋"/>
                <w:bCs/>
                <w:color w:val="000000"/>
                <w:sz w:val="32"/>
                <w:szCs w:val="32"/>
              </w:rPr>
            </w:pPr>
            <w:r>
              <w:rPr>
                <w:rFonts w:ascii="仿宋" w:eastAsia="仿宋" w:hAnsi="仿宋" w:hint="eastAsia"/>
                <w:bCs/>
                <w:color w:val="000000"/>
                <w:sz w:val="32"/>
                <w:szCs w:val="32"/>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overflowPunct w:val="0"/>
              <w:spacing w:line="576" w:lineRule="exact"/>
              <w:rPr>
                <w:rFonts w:ascii="仿宋" w:eastAsia="仿宋" w:hAnsi="仿宋"/>
                <w:bCs/>
                <w:color w:val="000000"/>
                <w:sz w:val="32"/>
                <w:szCs w:val="32"/>
              </w:rPr>
            </w:pPr>
          </w:p>
        </w:tc>
        <w:tc>
          <w:tcPr>
            <w:tcW w:w="2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overflowPunct w:val="0"/>
              <w:spacing w:line="576" w:lineRule="exact"/>
              <w:rPr>
                <w:rFonts w:ascii="仿宋" w:eastAsia="仿宋" w:hAnsi="仿宋"/>
                <w:bCs/>
                <w:color w:val="000000"/>
                <w:sz w:val="32"/>
                <w:szCs w:val="32"/>
              </w:rPr>
            </w:pPr>
          </w:p>
        </w:tc>
        <w:tc>
          <w:tcPr>
            <w:tcW w:w="2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overflowPunct w:val="0"/>
              <w:spacing w:line="576" w:lineRule="exact"/>
              <w:rPr>
                <w:rFonts w:ascii="仿宋" w:eastAsia="仿宋" w:hAnsi="仿宋"/>
                <w:bCs/>
                <w:color w:val="000000"/>
                <w:sz w:val="32"/>
                <w:szCs w:val="32"/>
              </w:rPr>
            </w:pPr>
            <w:r>
              <w:rPr>
                <w:rFonts w:ascii="仿宋" w:eastAsia="仿宋" w:hAnsi="仿宋" w:hint="eastAsia"/>
                <w:bCs/>
                <w:color w:val="000000"/>
                <w:sz w:val="32"/>
                <w:szCs w:val="32"/>
              </w:rPr>
              <w:t xml:space="preserve"> </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overflowPunct w:val="0"/>
              <w:spacing w:line="576" w:lineRule="exact"/>
              <w:rPr>
                <w:rFonts w:ascii="仿宋" w:eastAsia="仿宋" w:hAnsi="仿宋"/>
                <w:bCs/>
                <w:color w:val="000000"/>
                <w:sz w:val="32"/>
                <w:szCs w:val="32"/>
              </w:rPr>
            </w:pPr>
            <w:r>
              <w:rPr>
                <w:rFonts w:ascii="仿宋" w:eastAsia="仿宋" w:hAnsi="仿宋" w:hint="eastAsia"/>
                <w:bCs/>
                <w:color w:val="000000"/>
                <w:sz w:val="32"/>
                <w:szCs w:val="32"/>
              </w:rPr>
              <w:t xml:space="preserve">   </w:t>
            </w:r>
          </w:p>
        </w:tc>
      </w:tr>
      <w:tr>
        <w:trPr>
          <w:trHeight w:val="1050"/>
        </w:trPr>
        <w:tc>
          <w:tcPr>
            <w:tcW w:w="722" w:type="dxa"/>
            <w:vMerge/>
            <w:tcBorders>
              <w:top w:val="single" w:sz="4" w:space="0" w:color="000000"/>
              <w:left w:val="single" w:sz="4" w:space="0" w:color="000000"/>
              <w:bottom w:val="single" w:sz="4" w:space="0" w:color="000000"/>
              <w:right w:val="single" w:sz="4" w:space="0" w:color="000000"/>
            </w:tcBorders>
            <w:vAlign w:val="center"/>
          </w:tcP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14:textFill>
                  <w14:solidFill>
                    <w14:srgbClr w14:val="000000"/>
                  </w14:solidFill>
                </w14:textFill>
              </w:rPr>
            </w:pPr>
          </w:p>
        </w:tc>
        <w:tc>
          <w:tcPr>
            <w:tcW w:w="22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14:textFill>
                  <w14:solidFill>
                    <w14:srgbClr w14:val="000000"/>
                  </w14:solidFill>
                </w14:textFill>
              </w:rPr>
            </w:pPr>
          </w:p>
        </w:tc>
        <w:tc>
          <w:tcPr>
            <w:tcW w:w="2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仿宋_GB2312" w:cs="宋体" w:hAnsi="宋体"/>
                <w:color w:val="000000"/>
                <w:sz w:val="24"/>
                <w14:textFill>
                  <w14:solidFill>
                    <w14:srgbClr w14:val="000000"/>
                  </w14:solidFill>
                </w14:textFill>
              </w:rPr>
            </w:pPr>
            <w:r>
              <w:rPr>
                <w:rFonts w:ascii="仿宋_GB2312" w:eastAsia="仿宋_GB2312" w:cs="仿宋_GB2312" w:hAnsi="仿宋_GB2312" w:hint="eastAsia"/>
                <w:color w:val="000000"/>
                <w:sz w:val="32"/>
                <w:szCs w:val="32"/>
                <w14:textFill>
                  <w14:solidFill>
                    <w14:srgbClr w14:val="000000"/>
                  </w14:solidFill>
                </w14:textFill>
              </w:rPr>
              <w:t xml:space="preserve">   </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14:textFill>
                  <w14:solidFill>
                    <w14:srgbClr w14:val="000000"/>
                  </w14:solidFill>
                </w14:textFill>
              </w:rPr>
            </w:pPr>
            <w:r>
              <w:rPr>
                <w:rFonts w:ascii="仿宋_GB2312" w:eastAsia="仿宋_GB2312" w:cs="仿宋_GB2312" w:hAnsi="仿宋_GB2312" w:hint="eastAsia"/>
                <w:color w:val="000000"/>
                <w:sz w:val="32"/>
                <w:szCs w:val="32"/>
                <w14:textFill>
                  <w14:solidFill>
                    <w14:srgbClr w14:val="000000"/>
                  </w14:solidFill>
                </w14:textFill>
              </w:rPr>
              <w:t xml:space="preserve">  </w:t>
            </w:r>
          </w:p>
        </w:tc>
      </w:tr>
    </w:tbl>
    <w:p>
      <w:pPr>
        <w:numPr>
          <w:ilvl w:val="0"/>
          <w:numId w:val="3"/>
        </w:numPr>
        <w:spacing w:line="580" w:lineRule="exact"/>
        <w:ind w:left="0" w:firstLineChars="200" w:firstLine="640"/>
        <w:rPr>
          <w:rFonts w:ascii="仿宋" w:eastAsia="仿宋" w:cs="仿宋_GB2312" w:hAnsi="仿宋"/>
          <w:color w:val="000000"/>
          <w:sz w:val="32"/>
          <w:szCs w:val="32"/>
          <w14:textFill>
            <w14:solidFill>
              <w14:srgbClr w14:val="000000"/>
            </w14:solidFill>
          </w14:textFill>
        </w:rPr>
      </w:pPr>
      <w:r>
        <w:rPr>
          <w:rFonts w:ascii="仿宋" w:eastAsia="仿宋" w:cs="楷体_GB2312" w:hAnsi="仿宋" w:hint="eastAsia"/>
          <w:b/>
          <w:bCs/>
          <w:color w:val="000000"/>
          <w:sz w:val="32"/>
          <w:szCs w:val="32"/>
          <w14:textFill>
            <w14:solidFill>
              <w14:srgbClr w14:val="000000"/>
            </w14:solidFill>
          </w14:textFill>
        </w:rPr>
        <w:t>部门开展绩效评价结果。</w:t>
      </w:r>
    </w:p>
    <w:p>
      <w:pPr>
        <w:spacing w:line="580" w:lineRule="exact"/>
        <w:ind w:firstLineChars="200" w:firstLine="640"/>
        <w:rPr>
          <w:rFonts w:ascii="仿宋_GB2312" w:eastAsia="仿宋_GB2312" w:cs="仿宋_GB2312" w:hAnsi="仿宋_GB2312"/>
          <w:color w:val="000000"/>
          <w:sz w:val="32"/>
          <w:szCs w:val="32"/>
          <w14:textFill>
            <w14:solidFill>
              <w14:srgbClr w14:val="000000"/>
            </w14:solidFill>
          </w14:textFill>
        </w:rPr>
      </w:pPr>
      <w:r>
        <w:rPr>
          <w:rFonts w:ascii="仿宋_GB2312" w:eastAsia="仿宋_GB2312" w:cs="仿宋_GB2312" w:hAnsi="仿宋_GB2312" w:hint="eastAsia"/>
          <w:color w:val="000000"/>
          <w:sz w:val="32"/>
          <w:szCs w:val="32"/>
          <w14:textFill>
            <w14:solidFill>
              <w14:srgbClr w14:val="000000"/>
            </w14:solidFill>
          </w14:textFill>
        </w:rPr>
        <w:t>本部门按要求对2020年部门整体支出绩效评价情况开展自评，《利州区政协2020年部门整体支出绩效评价报告》见附件。</w:t>
      </w:r>
    </w:p>
    <w:p>
      <w:pPr>
        <w:spacing w:line="580" w:lineRule="exact"/>
        <w:ind w:firstLineChars="200" w:firstLine="640"/>
        <w:rPr>
          <w:rFonts w:ascii="仿宋_GB2312" w:eastAsia="仿宋_GB2312" w:cs="仿宋_GB2312" w:hAnsi="仿宋_GB2312"/>
          <w:color w:val="000000"/>
          <w:sz w:val="32"/>
          <w:szCs w:val="32"/>
          <w14:textFill>
            <w14:solidFill>
              <w14:srgbClr w14:val="000000"/>
            </w14:solidFill>
          </w14:textFill>
        </w:rPr>
      </w:pPr>
      <w:r>
        <w:rPr>
          <w:rFonts w:ascii="仿宋_GB2312" w:eastAsia="仿宋_GB2312" w:cs="仿宋_GB2312" w:hAnsi="仿宋_GB2312" w:hint="eastAsia"/>
          <w:color w:val="000000"/>
          <w:sz w:val="32"/>
          <w:szCs w:val="32"/>
          <w14:textFill>
            <w14:solidFill>
              <w14:srgbClr w14:val="000000"/>
            </w14:solidFill>
          </w14:textFill>
        </w:rPr>
        <w:t>本部门自行组织对一般行政管理事务--政协机关办公、常务会议项目、政协事务---政协全委会项目、扶贫--第一书记工作经费项目开展了绩效评价，《利州区政协项目2020年绩效评价报告》见附件。（非涉密部门均需公开部门整体支出评价报告，部门自行组织的绩效评价情况根据部门实际公开）</w:t>
      </w:r>
    </w:p>
    <w:p>
      <w:pPr>
        <w:tabs>
          <w:tab w:val="left" w:pos="312"/>
        </w:tabs>
        <w:spacing w:line="580" w:lineRule="exact"/>
        <w:rPr>
          <w:rFonts w:ascii="仿宋_GB2312" w:eastAsia="仿宋_GB2312" w:cs="仿宋_GB2312" w:hAnsi="仿宋_GB2312"/>
          <w:color w:val="000000"/>
          <w:sz w:val="32"/>
          <w:szCs w:val="32"/>
          <w14:textFill>
            <w14:solidFill>
              <w14:srgbClr w14:val="000000"/>
            </w14:solidFill>
          </w14:textFill>
        </w:rPr>
      </w:pPr>
      <w:bookmarkEnd w:id="54"/>
    </w:p>
    <w:p>
      <w:pPr>
        <w:widowControl/>
        <w:jc w:val="left"/>
        <w:rPr>
          <w:rFonts w:ascii="仿宋_GB2312" w:eastAsia="仿宋_GB2312"/>
          <w:b/>
          <w:color w:val="000000"/>
          <w:sz w:val="32"/>
          <w:szCs w:val="32"/>
        </w:rPr>
      </w:pPr>
    </w:p>
    <w:p>
      <w:pPr>
        <w:numPr>
          <w:ilvl w:val="0"/>
          <w:numId w:val="5"/>
        </w:numPr>
        <w:spacing w:line="600" w:lineRule="exact"/>
        <w:ind w:left="0" w:firstLineChars="150" w:firstLine="660"/>
        <w:jc w:val="center"/>
        <w:outlineLvl w:val="0"/>
        <w:rPr>
          <w:rStyle w:val="1Char"/>
          <w:rFonts w:ascii="黑体" w:eastAsia="黑体" w:hAnsi="黑体"/>
          <w:b w:val="0"/>
        </w:rPr>
      </w:pPr>
      <w:bookmarkStart w:id="55" w:name="_Toc15377225"/>
      <w:bookmarkStart w:id="56" w:name="_Toc15396613"/>
      <w:r>
        <w:rPr>
          <w:rFonts w:ascii="黑体" w:eastAsia="黑体" w:hAnsi="黑体" w:hint="eastAsia"/>
          <w:color w:val="000000"/>
          <w:sz w:val="44"/>
          <w:szCs w:val="44"/>
        </w:rPr>
        <w:t>名</w:t>
      </w:r>
      <w:r>
        <w:rPr>
          <w:rStyle w:val="1Char"/>
          <w:rFonts w:ascii="黑体" w:eastAsia="黑体" w:hAnsi="黑体" w:hint="eastAsia"/>
          <w:b w:val="0"/>
        </w:rPr>
        <w:t>词解释</w:t>
      </w:r>
      <w:bookmarkEnd w:id="55"/>
      <w:bookmarkEnd w:id="56"/>
    </w:p>
    <w:p>
      <w:pPr>
        <w:spacing w:line="600" w:lineRule="exact"/>
        <w:jc w:val="left"/>
        <w:rPr>
          <w:rFonts w:ascii="宋体"/>
          <w:b/>
          <w:color w:val="000000"/>
          <w:sz w:val="44"/>
          <w:szCs w:val="44"/>
        </w:rPr>
      </w:pPr>
    </w:p>
    <w:p>
      <w:pPr>
        <w:pStyle w:val="29"/>
        <w:spacing w:line="560" w:lineRule="exact"/>
        <w:ind w:firstLineChars="200" w:firstLine="640"/>
        <w:rPr>
          <w:rFonts w:ascii="仿宋_GB2312" w:eastAsia="仿宋_GB2312"/>
          <w:sz w:val="32"/>
          <w:szCs w:val="32"/>
        </w:rPr>
      </w:pPr>
      <w:bookmarkStart w:id="57" w:name="_Toc15377226"/>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pPr>
        <w:pStyle w:val="29"/>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w:t>
      </w:r>
    </w:p>
    <w:p>
      <w:pPr>
        <w:pStyle w:val="29"/>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经营收入：指事业单位在专业业务活动及其辅助活动之外开展非独立核算经营活动取得的收入。</w:t>
      </w:r>
    </w:p>
    <w:p>
      <w:pPr>
        <w:pStyle w:val="29"/>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其他收入：指单位取得的除上述收入以外的各项收入。</w:t>
      </w:r>
      <w:r>
        <w:rPr>
          <w:rFonts w:ascii="仿宋_GB2312" w:eastAsia="仿宋_GB2312"/>
          <w:sz w:val="32"/>
          <w:szCs w:val="32"/>
        </w:rPr>
        <w:t xml:space="preserve"> </w:t>
      </w:r>
    </w:p>
    <w:p>
      <w:pPr>
        <w:pStyle w:val="29"/>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9"/>
        <w:spacing w:line="56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年初结转和结余：指以前年度尚未完成、结转到本年按有关规定继续使用的资金。</w:t>
      </w:r>
      <w:r>
        <w:rPr>
          <w:rFonts w:ascii="仿宋_GB2312" w:eastAsia="仿宋_GB2312"/>
          <w:sz w:val="32"/>
          <w:szCs w:val="32"/>
        </w:rPr>
        <w:t xml:space="preserve"> </w:t>
      </w:r>
    </w:p>
    <w:p>
      <w:pPr>
        <w:pStyle w:val="29"/>
        <w:spacing w:line="56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结余分配：指事业单位按照事业单位会计制度的规定从非财政补助结余中分配的事业基金和职工福利基金等。</w:t>
      </w:r>
    </w:p>
    <w:p>
      <w:pPr>
        <w:pStyle w:val="29"/>
        <w:spacing w:line="560" w:lineRule="exact"/>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、年末结转和结余：指单位按有关规定结转到下年或以后年度继续使用的资金。</w:t>
      </w:r>
    </w:p>
    <w:p>
      <w:pPr>
        <w:ind w:firstLineChars="200" w:firstLine="640"/>
        <w:rPr>
          <w:rFonts w:ascii="仿宋_GB2312" w:eastAsia="仿宋_GB2312" w:cs="仿宋" w:hAnsi="Calibri"/>
          <w:color w:val="000000"/>
          <w:kern w:val="0"/>
          <w:sz w:val="32"/>
          <w:szCs w:val="32"/>
        </w:rPr>
      </w:pPr>
      <w:r>
        <w:rPr>
          <w:rFonts w:ascii="仿宋_GB2312" w:eastAsia="仿宋_GB2312" w:cs="仿宋" w:hAnsi="Calibri"/>
          <w:color w:val="000000"/>
          <w:kern w:val="0"/>
          <w:sz w:val="32"/>
          <w:szCs w:val="32"/>
        </w:rPr>
        <w:t>9.</w:t>
      </w:r>
      <w:r>
        <w:rPr>
          <w:rFonts w:ascii="仿宋_GB2312" w:eastAsia="仿宋_GB2312" w:cs="仿宋" w:hAnsi="Calibri" w:hint="eastAsia"/>
          <w:color w:val="000000"/>
          <w:kern w:val="0"/>
          <w:sz w:val="32"/>
          <w:szCs w:val="32"/>
        </w:rPr>
        <w:t>一般公共服务（类）201（款）34（项）01：指中国共产党统战部门的事务的基本支出。</w:t>
      </w:r>
    </w:p>
    <w:p>
      <w:pPr>
        <w:ind w:firstLineChars="200" w:firstLine="640"/>
        <w:rPr>
          <w:rFonts w:ascii="仿宋_GB2312" w:eastAsia="仿宋_GB2312" w:cs="仿宋" w:hAnsi="Calibri"/>
          <w:color w:val="000000"/>
          <w:kern w:val="0"/>
          <w:sz w:val="32"/>
          <w:szCs w:val="32"/>
        </w:rPr>
      </w:pPr>
      <w:r>
        <w:rPr>
          <w:rFonts w:ascii="仿宋_GB2312" w:eastAsia="仿宋_GB2312" w:cs="仿宋" w:hAnsi="Calibri"/>
          <w:color w:val="000000"/>
          <w:kern w:val="0"/>
          <w:sz w:val="32"/>
          <w:szCs w:val="32"/>
        </w:rPr>
        <w:t>10.</w:t>
      </w:r>
      <w:r>
        <w:rPr>
          <w:rFonts w:ascii="仿宋_GB2312" w:eastAsia="仿宋_GB2312" w:cs="仿宋" w:hAnsi="Calibri" w:hint="eastAsia"/>
          <w:color w:val="000000"/>
          <w:kern w:val="0"/>
          <w:sz w:val="32"/>
          <w:szCs w:val="32"/>
        </w:rPr>
        <w:t xml:space="preserve"> 一般公共服务（类）201（款）34（项）02：指中国共产党统战部门的未单独设置项级科目的其他项目支出。</w:t>
      </w:r>
    </w:p>
    <w:p>
      <w:pPr>
        <w:ind w:firstLineChars="200" w:firstLine="640"/>
        <w:rPr>
          <w:rFonts w:ascii="仿宋_GB2312" w:eastAsia="仿宋_GB2312" w:cs="仿宋" w:hAnsi="Calibri"/>
          <w:color w:val="000000"/>
          <w:kern w:val="0"/>
          <w:sz w:val="32"/>
          <w:szCs w:val="32"/>
        </w:rPr>
      </w:pPr>
      <w:r>
        <w:rPr>
          <w:rFonts w:ascii="仿宋_GB2312" w:eastAsia="仿宋_GB2312" w:cs="仿宋" w:hAnsi="Calibri" w:hint="eastAsia"/>
          <w:color w:val="000000"/>
          <w:kern w:val="0"/>
          <w:sz w:val="32"/>
          <w:szCs w:val="32"/>
        </w:rPr>
        <w:t>11.社会保障和就业（类）208（款）05（项）05：指机关事业单位实施养老保险制度由单位缴纳的基本养老保险费支出。</w:t>
      </w:r>
    </w:p>
    <w:p>
      <w:pPr>
        <w:ind w:firstLineChars="200" w:firstLine="640"/>
        <w:rPr>
          <w:rFonts w:ascii="仿宋_GB2312" w:eastAsia="仿宋_GB2312" w:cs="仿宋" w:hAnsi="Calibri"/>
          <w:color w:val="000000"/>
          <w:kern w:val="0"/>
          <w:sz w:val="32"/>
          <w:szCs w:val="32"/>
        </w:rPr>
      </w:pPr>
      <w:r>
        <w:rPr>
          <w:rFonts w:ascii="仿宋_GB2312" w:eastAsia="仿宋_GB2312" w:cs="仿宋" w:hAnsi="Calibri"/>
          <w:color w:val="000000"/>
          <w:kern w:val="0"/>
          <w:sz w:val="32"/>
          <w:szCs w:val="32"/>
        </w:rPr>
        <w:t>1</w:t>
      </w:r>
      <w:r>
        <w:rPr>
          <w:rFonts w:ascii="仿宋_GB2312" w:eastAsia="仿宋_GB2312" w:cs="仿宋" w:hAnsi="Calibri" w:hint="eastAsia"/>
          <w:color w:val="000000"/>
          <w:kern w:val="0"/>
          <w:sz w:val="32"/>
          <w:szCs w:val="32"/>
        </w:rPr>
        <w:t>2</w:t>
      </w:r>
      <w:r>
        <w:rPr>
          <w:rFonts w:ascii="仿宋_GB2312" w:eastAsia="仿宋_GB2312" w:cs="仿宋" w:hAnsi="Calibri"/>
          <w:color w:val="000000"/>
          <w:kern w:val="0"/>
          <w:sz w:val="32"/>
          <w:szCs w:val="32"/>
        </w:rPr>
        <w:t>.</w:t>
      </w:r>
      <w:r>
        <w:rPr>
          <w:rFonts w:ascii="仿宋_GB2312" w:eastAsia="仿宋_GB2312" w:cs="仿宋" w:hAnsi="Calibri" w:hint="eastAsia"/>
          <w:color w:val="000000"/>
          <w:kern w:val="0"/>
          <w:sz w:val="32"/>
          <w:szCs w:val="32"/>
        </w:rPr>
        <w:t xml:space="preserve"> 社会保障和就业（类）208（款）05（项）06：指机关事业单位实施养老保险制度由单位实际缴纳的职业年金支出</w:t>
      </w:r>
    </w:p>
    <w:p>
      <w:pPr>
        <w:ind w:firstLineChars="200" w:firstLine="640"/>
        <w:rPr>
          <w:rFonts w:ascii="仿宋_GB2312" w:eastAsia="仿宋_GB2312" w:cs="仿宋" w:hAnsi="Calibri"/>
          <w:color w:val="000000"/>
          <w:kern w:val="0"/>
          <w:sz w:val="32"/>
          <w:szCs w:val="32"/>
        </w:rPr>
      </w:pPr>
      <w:r>
        <w:rPr>
          <w:rFonts w:ascii="仿宋_GB2312" w:eastAsia="仿宋_GB2312" w:cs="仿宋" w:hAnsi="Calibri" w:hint="eastAsia"/>
          <w:color w:val="000000"/>
          <w:kern w:val="0"/>
          <w:sz w:val="32"/>
          <w:szCs w:val="32"/>
        </w:rPr>
        <w:t>13.医疗卫生与计划生育（类）210（款）11（项）01：指财政部门集中安排的行政单位基本医疗保险缴费经费，未参加医疗保险的行政单位的公费医疗经费，按国家规定享受离休人员、红军老战士待遇人员的医疗经费。</w:t>
      </w:r>
    </w:p>
    <w:p>
      <w:pPr>
        <w:ind w:firstLineChars="200" w:firstLine="640"/>
        <w:rPr>
          <w:rFonts w:ascii="仿宋_GB2312" w:eastAsia="仿宋_GB2312" w:cs="仿宋" w:hAnsi="Calibri"/>
          <w:color w:val="000000"/>
          <w:kern w:val="0"/>
          <w:sz w:val="32"/>
          <w:szCs w:val="32"/>
        </w:rPr>
      </w:pPr>
      <w:r>
        <w:rPr>
          <w:rFonts w:ascii="仿宋_GB2312" w:eastAsia="仿宋_GB2312" w:cs="仿宋" w:hAnsi="Calibri"/>
          <w:color w:val="000000"/>
          <w:kern w:val="0"/>
          <w:sz w:val="32"/>
          <w:szCs w:val="32"/>
        </w:rPr>
        <w:t>1</w:t>
      </w:r>
      <w:r>
        <w:rPr>
          <w:rFonts w:ascii="仿宋_GB2312" w:eastAsia="仿宋_GB2312" w:cs="仿宋" w:hAnsi="Calibri" w:hint="eastAsia"/>
          <w:color w:val="000000"/>
          <w:kern w:val="0"/>
          <w:sz w:val="32"/>
          <w:szCs w:val="32"/>
        </w:rPr>
        <w:t>4</w:t>
      </w:r>
      <w:r>
        <w:rPr>
          <w:rFonts w:ascii="仿宋_GB2312" w:eastAsia="仿宋_GB2312" w:cs="仿宋" w:hAnsi="Calibri"/>
          <w:color w:val="000000"/>
          <w:kern w:val="0"/>
          <w:sz w:val="32"/>
          <w:szCs w:val="32"/>
        </w:rPr>
        <w:t>.</w:t>
      </w:r>
      <w:r>
        <w:rPr>
          <w:rFonts w:ascii="仿宋_GB2312" w:eastAsia="仿宋_GB2312" w:cs="仿宋" w:hAnsi="Calibri" w:hint="eastAsia"/>
          <w:color w:val="000000"/>
          <w:kern w:val="0"/>
          <w:sz w:val="32"/>
          <w:szCs w:val="32"/>
        </w:rPr>
        <w:t>农林水（类）213（款）05（项）99：指其他用于扶贫方面的支出。</w:t>
      </w:r>
    </w:p>
    <w:p>
      <w:pPr>
        <w:ind w:firstLineChars="200" w:firstLine="640"/>
        <w:rPr>
          <w:rFonts w:ascii="仿宋_GB2312" w:eastAsia="仿宋_GB2312" w:cs="仿宋" w:hAnsi="Calibri"/>
          <w:color w:val="000000"/>
          <w:kern w:val="0"/>
          <w:sz w:val="32"/>
          <w:szCs w:val="32"/>
        </w:rPr>
      </w:pPr>
      <w:r>
        <w:rPr>
          <w:rFonts w:ascii="仿宋_GB2312" w:eastAsia="仿宋_GB2312" w:cs="仿宋" w:hAnsi="Calibri" w:hint="eastAsia"/>
          <w:color w:val="000000"/>
          <w:kern w:val="0"/>
          <w:sz w:val="32"/>
          <w:szCs w:val="32"/>
        </w:rPr>
        <w:t>15</w:t>
      </w:r>
      <w:r>
        <w:rPr>
          <w:rFonts w:ascii="仿宋_GB2312" w:eastAsia="仿宋_GB2312" w:cs="仿宋" w:hAnsi="Calibri"/>
          <w:color w:val="000000"/>
          <w:kern w:val="0"/>
          <w:sz w:val="32"/>
          <w:szCs w:val="32"/>
        </w:rPr>
        <w:t>.</w:t>
      </w:r>
      <w:r>
        <w:rPr>
          <w:rFonts w:ascii="仿宋_GB2312" w:eastAsia="仿宋_GB2312" w:cs="仿宋" w:hAnsi="Calibri" w:hint="eastAsia"/>
          <w:color w:val="000000"/>
          <w:kern w:val="0"/>
          <w:sz w:val="32"/>
          <w:szCs w:val="32"/>
        </w:rPr>
        <w:t>住房保障（类）221（款）02（项）01：指行政事业单位按人力资源和社会保障部、财政部规定的基本工资和津贴补贴以及规定比例为职工缴纳的住房公积金。</w:t>
      </w:r>
    </w:p>
    <w:p>
      <w:pPr>
        <w:ind w:firstLineChars="200" w:firstLine="640"/>
        <w:rPr>
          <w:rFonts w:ascii="仿宋_GB2312" w:eastAsia="仿宋_GB2312"/>
          <w:color w:val="000000"/>
          <w:sz w:val="32"/>
          <w:szCs w:val="32"/>
        </w:rPr>
      </w:pPr>
      <w:r>
        <w:rPr>
          <w:rFonts w:ascii="仿宋_GB2312" w:eastAsia="仿宋_GB2312" w:hint="eastAsia"/>
          <w:color w:val="000000"/>
          <w:sz w:val="32"/>
          <w:szCs w:val="32"/>
        </w:rPr>
        <w:t>16</w:t>
      </w:r>
      <w:r>
        <w:rPr>
          <w:rFonts w:ascii="仿宋_GB2312" w:eastAsia="仿宋_GB2312"/>
          <w:color w:val="000000"/>
          <w:sz w:val="32"/>
          <w:szCs w:val="32"/>
        </w:rPr>
        <w:t>.</w:t>
      </w:r>
      <w:r>
        <w:rPr>
          <w:rFonts w:ascii="仿宋_GB2312" w:eastAsia="仿宋_GB2312" w:hint="eastAsia"/>
          <w:color w:val="000000"/>
          <w:sz w:val="32"/>
          <w:szCs w:val="32"/>
        </w:rPr>
        <w:t>基本支出：指为保障机构正常运转、完成日常工作任务而发生的人员支出和公用支出。</w:t>
      </w:r>
    </w:p>
    <w:p>
      <w:pPr>
        <w:ind w:firstLineChars="200" w:firstLine="640"/>
        <w:rPr>
          <w:rFonts w:ascii="仿宋_GB2312" w:eastAsia="仿宋_GB2312"/>
          <w:color w:val="000000"/>
          <w:sz w:val="32"/>
          <w:szCs w:val="32"/>
        </w:rPr>
      </w:pPr>
      <w:r>
        <w:rPr>
          <w:rFonts w:ascii="仿宋_GB2312" w:eastAsia="仿宋_GB2312" w:hint="eastAsia"/>
          <w:color w:val="000000"/>
          <w:sz w:val="32"/>
          <w:szCs w:val="32"/>
        </w:rPr>
        <w:t>17</w:t>
      </w:r>
      <w:r>
        <w:rPr>
          <w:rFonts w:ascii="仿宋_GB2312" w:eastAsia="仿宋_GB2312"/>
          <w:color w:val="000000"/>
          <w:sz w:val="32"/>
          <w:szCs w:val="32"/>
        </w:rPr>
        <w:t>.</w:t>
      </w:r>
      <w:r>
        <w:rPr>
          <w:rFonts w:ascii="仿宋_GB2312" w:eastAsia="仿宋_GB2312" w:hint="eastAsia"/>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Chars="200" w:firstLine="640"/>
        <w:rPr>
          <w:rFonts w:ascii="仿宋_GB2312" w:eastAsia="仿宋_GB2312"/>
          <w:color w:val="000000"/>
          <w:sz w:val="32"/>
          <w:szCs w:val="32"/>
        </w:rPr>
      </w:pPr>
      <w:r>
        <w:rPr>
          <w:rFonts w:ascii="仿宋_GB2312" w:eastAsia="仿宋_GB2312" w:hint="eastAsia"/>
          <w:color w:val="000000"/>
          <w:sz w:val="32"/>
          <w:szCs w:val="32"/>
        </w:rPr>
        <w:t>18</w:t>
      </w:r>
      <w:r>
        <w:rPr>
          <w:rFonts w:ascii="仿宋_GB2312" w:eastAsia="仿宋_GB2312"/>
          <w:color w:val="000000"/>
          <w:sz w:val="32"/>
          <w:szCs w:val="32"/>
        </w:rPr>
        <w:t>.</w:t>
      </w:r>
      <w:r>
        <w:rPr>
          <w:rFonts w:ascii="仿宋_GB2312" w:eastAsia="仿宋_GB2312" w:hint="eastAsia"/>
          <w:color w:val="000000"/>
          <w:sz w:val="32"/>
          <w:szCs w:val="32"/>
        </w:rPr>
        <w:t>经营支出：指事业单位在专业业务活动及其辅助活动之外开展非独立核算经营活动发生的支出。</w:t>
      </w:r>
    </w:p>
    <w:p>
      <w:pPr>
        <w:pStyle w:val="29"/>
        <w:spacing w:line="560" w:lineRule="exact"/>
        <w:ind w:firstLineChars="200" w:firstLine="640"/>
        <w:rPr>
          <w:rFonts w:ascii="仿宋_GB2312" w:eastAsia="仿宋_GB2312"/>
          <w:sz w:val="32"/>
          <w:szCs w:val="32"/>
        </w:rPr>
      </w:pPr>
      <w:r>
        <w:rPr>
          <w:rFonts w:ascii="仿宋_GB2312" w:eastAsia="仿宋_GB2312" w:hint="eastAsia"/>
          <w:sz w:val="32"/>
          <w:szCs w:val="32"/>
        </w:rPr>
        <w:t>19</w:t>
      </w:r>
      <w:r>
        <w:rPr>
          <w:rFonts w:ascii="仿宋_GB2312" w:eastAsia="仿宋_GB2312"/>
          <w:sz w:val="32"/>
          <w:szCs w:val="32"/>
        </w:rPr>
        <w:t>.</w:t>
      </w:r>
      <w:r>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9"/>
        <w:spacing w:line="560" w:lineRule="exact"/>
        <w:ind w:firstLineChars="200" w:firstLine="640"/>
        <w:rPr>
          <w:rFonts w:ascii="仿宋_GB2312" w:eastAsia="仿宋_GB2312"/>
          <w:sz w:val="32"/>
          <w:szCs w:val="32"/>
        </w:rPr>
      </w:pPr>
      <w:r>
        <w:rPr>
          <w:rFonts w:ascii="仿宋_GB2312" w:eastAsia="仿宋_GB2312" w:hint="eastAsia"/>
          <w:sz w:val="32"/>
          <w:szCs w:val="32"/>
        </w:rPr>
        <w:t>20</w:t>
      </w:r>
      <w:r>
        <w:rPr>
          <w:rFonts w:ascii="仿宋_GB2312" w:eastAsia="仿宋_GB2312"/>
          <w:sz w:val="32"/>
          <w:szCs w:val="32"/>
        </w:rPr>
        <w:t>.</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ascii="宋体"/>
          <w:b/>
          <w:color w:val="000000"/>
          <w:sz w:val="44"/>
          <w:szCs w:val="44"/>
        </w:rPr>
      </w:pPr>
      <w:r>
        <w:rPr>
          <w:rFonts w:ascii="宋体"/>
          <w:b/>
          <w:color w:val="000000"/>
          <w:sz w:val="44"/>
          <w:szCs w:val="44"/>
        </w:rPr>
        <w:br w:type="page"/>
      </w:r>
      <w:bookmarkStart w:id="58" w:name="_Toc15396614"/>
    </w:p>
    <w:p>
      <w:pPr>
        <w:spacing w:line="600" w:lineRule="exact"/>
        <w:jc w:val="center"/>
        <w:outlineLvl w:val="0"/>
        <w:rPr>
          <w:rFonts w:ascii="黑体" w:eastAsia="黑体" w:hAnsi="黑体"/>
          <w:color w:val="000000"/>
          <w:sz w:val="44"/>
          <w:szCs w:val="44"/>
        </w:rPr>
      </w:pPr>
      <w:r>
        <w:rPr>
          <w:rFonts w:ascii="黑体" w:eastAsia="黑体" w:hAnsi="黑体" w:hint="eastAsia"/>
          <w:color w:val="000000"/>
          <w:sz w:val="44"/>
          <w:szCs w:val="44"/>
        </w:rPr>
        <w:t>第四部分 附件</w:t>
      </w:r>
    </w:p>
    <w:p>
      <w:pPr>
        <w:spacing w:line="600" w:lineRule="exact"/>
        <w:jc w:val="left"/>
        <w:outlineLvl w:val="0"/>
        <w:rPr>
          <w:rStyle w:val="1Char"/>
        </w:rPr>
      </w:pPr>
      <w:r>
        <w:rPr>
          <w:rFonts w:ascii="黑体" w:eastAsia="黑体" w:cs="黑体" w:hAnsi="黑体" w:hint="eastAsia"/>
          <w:sz w:val="32"/>
          <w:szCs w:val="32"/>
        </w:rPr>
        <w:t>附件</w:t>
      </w:r>
      <w:r>
        <w:rPr>
          <w:rFonts w:ascii="黑体" w:eastAsia="黑体" w:cs="黑体" w:hAnsi="黑体"/>
          <w:sz w:val="32"/>
          <w:szCs w:val="32"/>
        </w:rPr>
        <w:t>1</w:t>
      </w:r>
    </w:p>
    <w:p>
      <w:pPr>
        <w:spacing w:line="600" w:lineRule="exact"/>
        <w:jc w:val="center"/>
        <w:outlineLvl w:val="0"/>
        <w:rPr>
          <w:rFonts w:ascii="黑体" w:eastAsia="黑体" w:cs="方正小标宋简体" w:hAnsi="黑体"/>
          <w:sz w:val="36"/>
          <w:szCs w:val="36"/>
        </w:rPr>
      </w:pPr>
      <w:r>
        <w:rPr>
          <w:rFonts w:ascii="黑体" w:eastAsia="黑体" w:cs="方正小标宋简体" w:hAnsi="黑体" w:hint="eastAsia"/>
          <w:sz w:val="36"/>
          <w:szCs w:val="36"/>
        </w:rPr>
        <w:t xml:space="preserve"> 广元市利州区政协</w:t>
      </w:r>
    </w:p>
    <w:p>
      <w:pPr>
        <w:spacing w:line="600" w:lineRule="exact"/>
        <w:jc w:val="center"/>
        <w:outlineLvl w:val="0"/>
        <w:rPr>
          <w:rFonts w:ascii="黑体" w:eastAsia="黑体" w:cs="方正小标宋简体" w:hAnsi="黑体"/>
          <w:sz w:val="36"/>
          <w:szCs w:val="36"/>
        </w:rPr>
      </w:pPr>
      <w:r>
        <w:rPr>
          <w:rFonts w:ascii="黑体" w:eastAsia="黑体" w:cs="方正小标宋简体" w:hAnsi="黑体" w:hint="eastAsia"/>
          <w:sz w:val="36"/>
          <w:szCs w:val="36"/>
        </w:rPr>
        <w:t>2020年部门整体支出绩效评价报告</w:t>
      </w:r>
    </w:p>
    <w:p>
      <w:pPr>
        <w:spacing w:line="580" w:lineRule="exact"/>
        <w:ind w:firstLineChars="200" w:firstLine="640"/>
        <w:rPr>
          <w:rFonts w:ascii="黑体" w:eastAsia="黑体" w:cs="黑体" w:hAnsi="黑体"/>
          <w:sz w:val="32"/>
          <w:szCs w:val="32"/>
        </w:rPr>
      </w:pPr>
    </w:p>
    <w:p>
      <w:pPr>
        <w:spacing w:line="580" w:lineRule="exact"/>
        <w:ind w:firstLineChars="200" w:firstLine="640"/>
        <w:rPr>
          <w:rFonts w:ascii="黑体" w:eastAsia="黑体" w:cs="黑体" w:hAnsi="黑体"/>
          <w:sz w:val="32"/>
          <w:szCs w:val="32"/>
        </w:rPr>
      </w:pPr>
      <w:r>
        <w:rPr>
          <w:rFonts w:ascii="黑体" w:eastAsia="黑体" w:cs="黑体" w:hAnsi="黑体" w:hint="eastAsia"/>
          <w:sz w:val="32"/>
          <w:szCs w:val="32"/>
        </w:rPr>
        <w:t>一、部门（单位）概况</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（一）机构组成</w:t>
      </w:r>
      <w:r>
        <w:rPr>
          <w:rFonts w:ascii="仿宋" w:eastAsia="仿宋" w:cs="仿宋_GB2312" w:hAnsi="仿宋" w:hint="eastAsia"/>
          <w:sz w:val="32"/>
          <w:szCs w:val="32"/>
        </w:rPr>
        <w:t>：广元市利州区政协属国家行政机关，本单位属独立编制机构，属一级预算单位，无下属单位。</w:t>
      </w:r>
    </w:p>
    <w:p>
      <w:pPr>
        <w:ind w:firstLineChars="200" w:firstLine="640"/>
        <w:rPr>
          <w:rFonts w:ascii="仿宋" w:eastAsia="仿宋" w:hAnsi="仿宋"/>
          <w:bCs/>
          <w:sz w:val="32"/>
          <w:szCs w:val="32"/>
        </w:rPr>
      </w:pPr>
      <w:r>
        <w:rPr>
          <w:rFonts w:ascii="仿宋" w:eastAsia="仿宋" w:cs="仿宋_GB2312" w:hAnsi="仿宋"/>
          <w:sz w:val="32"/>
          <w:szCs w:val="32"/>
        </w:rPr>
        <w:t>（二）机构职能</w:t>
      </w:r>
      <w:r>
        <w:rPr>
          <w:rFonts w:ascii="仿宋" w:eastAsia="仿宋" w:cs="仿宋_GB2312" w:hAnsi="仿宋" w:hint="eastAsia"/>
          <w:sz w:val="32"/>
          <w:szCs w:val="32"/>
        </w:rPr>
        <w:t>：</w:t>
      </w:r>
      <w:r>
        <w:rPr>
          <w:rFonts w:ascii="仿宋" w:eastAsia="仿宋" w:hAnsi="仿宋" w:hint="eastAsia"/>
          <w:bCs/>
          <w:sz w:val="32"/>
          <w:szCs w:val="32"/>
        </w:rPr>
        <w:t>中国人民政治协商会议四川省广元市利州区委员会办公室主要职能：政治协商、民主监督、参政议政，即对全区政治、经济、文化和社会生活中的重要问题在决策之前进行协商和就决策执行过程中的重要问题进行协商，对全区重点方针政策的落实及事关民生的重要工作进行监督，对政治、经济、文化生活中的重要问题以及人民关心的问题，开展调查研究，反映社情民意，进行协商讨论。</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（三）人员概况</w:t>
      </w:r>
      <w:r>
        <w:rPr>
          <w:rFonts w:ascii="仿宋" w:eastAsia="仿宋" w:cs="仿宋_GB2312" w:hAnsi="仿宋" w:hint="eastAsia"/>
          <w:sz w:val="32"/>
          <w:szCs w:val="32"/>
        </w:rPr>
        <w:t>：本单位共有编制数22名，其中行政编制17名，事业编制5名。实有人员33名，其中行政人员28名，事业人员5名。</w:t>
      </w:r>
    </w:p>
    <w:p>
      <w:pPr>
        <w:spacing w:line="580" w:lineRule="exact"/>
        <w:ind w:firstLineChars="200" w:firstLine="640"/>
        <w:rPr>
          <w:rFonts w:ascii="黑体" w:eastAsia="黑体" w:cs="黑体" w:hAnsi="黑体"/>
          <w:sz w:val="32"/>
          <w:szCs w:val="32"/>
        </w:rPr>
      </w:pPr>
      <w:r>
        <w:rPr>
          <w:rFonts w:ascii="黑体" w:eastAsia="黑体" w:cs="黑体" w:hAnsi="黑体"/>
          <w:sz w:val="32"/>
          <w:szCs w:val="32"/>
        </w:rPr>
        <w:t>二、部门财政资金收支情况</w:t>
      </w:r>
    </w:p>
    <w:p>
      <w:pPr>
        <w:spacing w:line="600" w:lineRule="exact"/>
        <w:ind w:firstLineChars="200" w:firstLine="640"/>
        <w:outlineLvl w:val="1"/>
        <w:rPr>
          <w:rFonts w:ascii="仿宋" w:eastAsia="仿宋" w:hAnsi="仿宋"/>
          <w:sz w:val="32"/>
          <w:szCs w:val="32"/>
        </w:rPr>
      </w:pPr>
      <w:r>
        <w:rPr>
          <w:rFonts w:ascii="仿宋" w:eastAsia="仿宋" w:cs="仿宋_GB2312" w:hAnsi="仿宋"/>
          <w:sz w:val="32"/>
          <w:szCs w:val="32"/>
        </w:rPr>
        <w:t>（一）部门财政资金收入情况。</w:t>
      </w:r>
      <w:r>
        <w:rPr>
          <w:rFonts w:ascii="仿宋" w:eastAsia="仿宋" w:hAnsi="仿宋"/>
          <w:sz w:val="32"/>
          <w:szCs w:val="32"/>
        </w:rPr>
        <w:t>20</w:t>
      </w:r>
      <w:r>
        <w:rPr>
          <w:rFonts w:ascii="仿宋" w:eastAsia="仿宋" w:hAnsi="仿宋" w:hint="eastAsia"/>
          <w:sz w:val="32"/>
          <w:szCs w:val="32"/>
        </w:rPr>
        <w:t>20年本年收入合计758.10万元，其中：一般公共预算财政拨款收入758.10万元，占100</w:t>
      </w:r>
      <w:r>
        <w:rPr>
          <w:rFonts w:ascii="仿宋" w:eastAsia="仿宋" w:hAnsi="仿宋"/>
          <w:sz w:val="32"/>
          <w:szCs w:val="32"/>
        </w:rPr>
        <w:t>%</w:t>
      </w:r>
      <w:r>
        <w:rPr>
          <w:rFonts w:ascii="仿宋" w:eastAsia="仿宋" w:hAnsi="仿宋" w:hint="eastAsia"/>
          <w:sz w:val="32"/>
          <w:szCs w:val="32"/>
        </w:rPr>
        <w:t>。</w:t>
      </w:r>
    </w:p>
    <w:p>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w:t>
      </w:r>
      <w:r>
        <w:rPr>
          <w:rFonts w:ascii="仿宋" w:eastAsia="仿宋" w:hAnsi="仿宋" w:hint="eastAsia"/>
          <w:color w:val="000000"/>
          <w:sz w:val="32"/>
          <w:szCs w:val="32"/>
        </w:rPr>
        <w:t>20年本年支出合计715.74万元，其中：基本支出576.83万元，占80.59</w:t>
      </w:r>
      <w:r>
        <w:rPr>
          <w:rFonts w:ascii="仿宋" w:eastAsia="仿宋" w:hAnsi="仿宋"/>
          <w:color w:val="000000"/>
          <w:sz w:val="32"/>
          <w:szCs w:val="32"/>
        </w:rPr>
        <w:t>%</w:t>
      </w:r>
      <w:r>
        <w:rPr>
          <w:rFonts w:ascii="仿宋" w:eastAsia="仿宋" w:hAnsi="仿宋" w:hint="eastAsia"/>
          <w:color w:val="000000"/>
          <w:sz w:val="32"/>
          <w:szCs w:val="32"/>
        </w:rPr>
        <w:t>；项目支出138.91万元，占19.41</w:t>
      </w:r>
      <w:r>
        <w:rPr>
          <w:rFonts w:ascii="仿宋" w:eastAsia="仿宋" w:hAnsi="仿宋"/>
          <w:color w:val="000000"/>
          <w:sz w:val="32"/>
          <w:szCs w:val="32"/>
        </w:rPr>
        <w:t>%</w:t>
      </w:r>
      <w:r>
        <w:rPr>
          <w:rFonts w:ascii="仿宋" w:eastAsia="仿宋" w:hAnsi="仿宋" w:hint="eastAsia"/>
          <w:color w:val="000000"/>
          <w:sz w:val="32"/>
          <w:szCs w:val="32"/>
        </w:rPr>
        <w:t>；上缴上级支出0万元；经营支出0万元；对附属单位补助支出0万元。</w:t>
      </w:r>
    </w:p>
    <w:p>
      <w:pPr>
        <w:spacing w:line="580" w:lineRule="exact"/>
        <w:ind w:firstLineChars="200" w:firstLine="640"/>
        <w:rPr>
          <w:rFonts w:ascii="黑体" w:eastAsia="黑体" w:cs="黑体" w:hAnsi="黑体"/>
          <w:sz w:val="32"/>
          <w:szCs w:val="32"/>
        </w:rPr>
      </w:pPr>
      <w:r>
        <w:rPr>
          <w:rFonts w:ascii="黑体" w:eastAsia="黑体" w:cs="黑体" w:hAnsi="黑体"/>
          <w:sz w:val="32"/>
          <w:szCs w:val="32"/>
        </w:rPr>
        <w:t>三、部门整体预算绩效管理情况（根据适用指标体系进行调整）</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（一）部门预算管理。</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本单位成立了以分管财务副主席为组长、各委室负责人为成员的绩效管理领导小组。年初制定相应的股室绩效目标，分阶段进行相应的对照检查，确保目标的完成。严格按规定，根据实际需要编制预算，各种支出厉行节约，采取先申请后实施的方法，杜绝超预算支出。全年无违规违纪现象发生。</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（二）专项预算管理。</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在项目管理实施时确定责任领导，具体负责人等，先制定工作计划，根据工作进程进行资金拨付使用。未达到目标或者工作执行不到位时，暂停资金使用，待整改后再进行拨付使用。全年无违规违纪现象发生。</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（三）结果应用情况。</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本单位整体预算管理情况良好，各种资金使用公正公开，不徇私舞弊，不违规违纪。</w:t>
      </w:r>
    </w:p>
    <w:p>
      <w:pPr>
        <w:spacing w:line="580" w:lineRule="exact"/>
        <w:ind w:firstLineChars="200" w:firstLine="640"/>
        <w:rPr>
          <w:rFonts w:ascii="黑体" w:eastAsia="黑体" w:cs="黑体" w:hAnsi="黑体"/>
          <w:sz w:val="32"/>
          <w:szCs w:val="32"/>
        </w:rPr>
      </w:pPr>
      <w:r>
        <w:rPr>
          <w:rFonts w:ascii="黑体" w:eastAsia="黑体" w:cs="黑体" w:hAnsi="黑体"/>
          <w:sz w:val="32"/>
          <w:szCs w:val="32"/>
        </w:rPr>
        <w:t>四、评价结论及建议</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（一）评价结论</w:t>
      </w:r>
      <w:r>
        <w:rPr>
          <w:rFonts w:ascii="仿宋" w:eastAsia="仿宋" w:cs="仿宋_GB2312" w:hAnsi="仿宋" w:hint="eastAsia"/>
          <w:sz w:val="32"/>
          <w:szCs w:val="32"/>
        </w:rPr>
        <w:t>：2020年政协顺利完成了绩效目标考核，按时完成工作任务。</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（二）存在问题</w:t>
      </w:r>
      <w:r>
        <w:rPr>
          <w:rFonts w:ascii="仿宋" w:eastAsia="仿宋" w:cs="仿宋_GB2312" w:hAnsi="仿宋" w:hint="eastAsia"/>
          <w:sz w:val="32"/>
          <w:szCs w:val="32"/>
        </w:rPr>
        <w:t>：在资金使用上有未严格按照用途进行分配使用现象，一些支出附件不齐备，资料不完善。</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（三）改进建议</w:t>
      </w:r>
      <w:r>
        <w:rPr>
          <w:rFonts w:ascii="仿宋" w:eastAsia="仿宋" w:cs="仿宋_GB2312" w:hAnsi="仿宋" w:hint="eastAsia"/>
          <w:sz w:val="32"/>
          <w:szCs w:val="32"/>
        </w:rPr>
        <w:t>：下一步单位财务工作人员要严格把关，确保各项资金正确使用，遵守资金使用制度，杜绝违规违纪现象。</w:t>
      </w:r>
    </w:p>
    <w:p>
      <w:pPr>
        <w:spacing w:line="580" w:lineRule="exact"/>
        <w:ind w:firstLineChars="200" w:firstLine="640"/>
        <w:rPr>
          <w:rFonts w:ascii="仿宋_GB2312" w:eastAsia="仿宋_GB2312" w:cs="仿宋_GB2312" w:hAnsi="仿宋_GB2312"/>
          <w:sz w:val="32"/>
          <w:szCs w:val="32"/>
        </w:rPr>
      </w:pPr>
    </w:p>
    <w:p>
      <w:pPr>
        <w:widowControl/>
        <w:jc w:val="left"/>
        <w:rPr>
          <w:rFonts w:ascii="仿宋_GB2312" w:eastAsia="仿宋_GB2312" w:cs="仿宋_GB2312" w:hAnsi="仿宋_GB2312"/>
          <w:sz w:val="32"/>
          <w:szCs w:val="32"/>
        </w:rPr>
      </w:pPr>
      <w:r>
        <w:rPr>
          <w:rFonts w:ascii="仿宋_GB2312" w:eastAsia="仿宋_GB2312" w:cs="仿宋_GB2312" w:hAnsi="仿宋_GB2312"/>
          <w:sz w:val="32"/>
          <w:szCs w:val="32"/>
        </w:rPr>
        <w:br w:type="page"/>
      </w:r>
    </w:p>
    <w:p>
      <w:pPr>
        <w:pStyle w:val="2"/>
        <w:rPr>
          <w:rStyle w:val="1Char"/>
          <w:rFonts w:ascii="仿宋" w:eastAsia="仿宋" w:hAnsi="仿宋"/>
          <w:b w:val="0"/>
          <w:bCs w:val="0"/>
          <w:sz w:val="32"/>
          <w:szCs w:val="32"/>
        </w:rPr>
      </w:pPr>
      <w:r>
        <w:rPr>
          <w:rStyle w:val="1Char"/>
          <w:rFonts w:ascii="仿宋" w:eastAsia="仿宋" w:hAnsi="仿宋" w:hint="eastAsia"/>
          <w:b w:val="0"/>
          <w:bCs w:val="0"/>
          <w:sz w:val="32"/>
          <w:szCs w:val="32"/>
        </w:rPr>
        <w:t>附件2</w:t>
      </w:r>
    </w:p>
    <w:p>
      <w:pPr>
        <w:pStyle w:val="2"/>
        <w:jc w:val="center"/>
        <w:rPr>
          <w:rStyle w:val="1Char"/>
          <w:rFonts w:ascii="仿宋" w:eastAsia="仿宋" w:hAnsi="仿宋"/>
          <w:b/>
          <w:bCs/>
        </w:rPr>
      </w:pPr>
      <w:r>
        <w:rPr>
          <w:rStyle w:val="1Char"/>
          <w:rFonts w:ascii="仿宋" w:eastAsia="仿宋" w:hAnsi="仿宋" w:hint="eastAsia"/>
          <w:b/>
          <w:bCs/>
        </w:rPr>
        <w:t>2020年一般行政管理事务--政协会议、政协事务(参政议政、民主监督、委员活动)等</w:t>
      </w:r>
    </w:p>
    <w:p>
      <w:pPr>
        <w:pStyle w:val="2"/>
        <w:jc w:val="center"/>
        <w:rPr>
          <w:rStyle w:val="1Char"/>
          <w:rFonts w:ascii="仿宋" w:eastAsia="仿宋" w:hAnsi="仿宋"/>
          <w:b/>
          <w:bCs/>
        </w:rPr>
      </w:pPr>
      <w:r>
        <w:rPr>
          <w:rStyle w:val="1Char"/>
          <w:rFonts w:ascii="仿宋" w:eastAsia="仿宋" w:hAnsi="仿宋" w:hint="eastAsia"/>
          <w:b/>
          <w:bCs/>
        </w:rPr>
        <w:t>项目支出绩效评价报告</w:t>
      </w:r>
    </w:p>
    <w:p>
      <w:pPr>
        <w:spacing w:line="580" w:lineRule="exact"/>
        <w:ind w:firstLineChars="200" w:firstLine="640"/>
        <w:rPr>
          <w:rStyle w:val="1Char"/>
          <w:rFonts w:ascii="仿宋" w:eastAsia="仿宋" w:cs="Times New Roman" w:hAnsi="仿宋"/>
          <w:b w:val="0"/>
          <w:bCs w:val="0"/>
          <w:sz w:val="32"/>
          <w:szCs w:val="32"/>
        </w:rPr>
      </w:pPr>
      <w:r>
        <w:rPr>
          <w:rStyle w:val="1Char"/>
          <w:rFonts w:ascii="仿宋" w:eastAsia="仿宋" w:cs="Times New Roman" w:hAnsi="仿宋" w:hint="eastAsia"/>
          <w:b w:val="0"/>
          <w:bCs w:val="0"/>
          <w:sz w:val="32"/>
          <w:szCs w:val="32"/>
        </w:rPr>
        <w:t>一、评价工作开展及项目情况</w:t>
      </w:r>
    </w:p>
    <w:p>
      <w:pPr>
        <w:overflowPunct w:val="0"/>
        <w:spacing w:line="576" w:lineRule="exact"/>
        <w:ind w:firstLineChars="200" w:firstLine="640"/>
        <w:rPr>
          <w:rFonts w:ascii="仿宋" w:eastAsia="仿宋" w:hAnsi="仿宋"/>
          <w:bCs/>
          <w:color w:val="000000"/>
          <w:sz w:val="32"/>
          <w:szCs w:val="32"/>
        </w:rPr>
      </w:pPr>
      <w:r>
        <w:rPr>
          <w:rFonts w:ascii="仿宋_GB2312" w:eastAsia="仿宋_GB2312" w:cs="仿宋_GB2312" w:hAnsi="仿宋_GB2312" w:hint="eastAsia"/>
          <w:sz w:val="32"/>
          <w:szCs w:val="32"/>
        </w:rPr>
        <w:t>1</w:t>
      </w:r>
      <w:r>
        <w:rPr>
          <w:rStyle w:val="1Char"/>
          <w:rFonts w:ascii="仿宋" w:eastAsia="仿宋" w:cs="Times New Roman" w:hAnsi="仿宋" w:hint="eastAsia"/>
          <w:b w:val="0"/>
          <w:bCs w:val="0"/>
          <w:sz w:val="32"/>
          <w:szCs w:val="32"/>
        </w:rPr>
        <w:t>、</w:t>
      </w:r>
      <w:r>
        <w:rPr>
          <w:rFonts w:ascii="仿宋_GB2312" w:eastAsia="仿宋_GB2312" w:cs="仿宋_GB2312" w:hAnsi="仿宋_GB2312" w:hint="eastAsia"/>
          <w:sz w:val="32"/>
          <w:szCs w:val="32"/>
        </w:rPr>
        <w:t>一般行政管理事务--政协会议、政协事务(参政议政、民主监督、委员活动)等目标完成情况综述。项目全年预算数185.56万元（其中上年结转6.48万元），执行数为138.91万元 。通过项目实施，20</w:t>
      </w:r>
      <w:r>
        <w:rPr>
          <w:rFonts w:ascii="仿宋" w:eastAsia="仿宋" w:hAnsi="仿宋" w:hint="eastAsia"/>
          <w:bCs/>
          <w:color w:val="000000"/>
          <w:sz w:val="32"/>
          <w:szCs w:val="32"/>
        </w:rPr>
        <w:t>20年，认真落实中共广元市利州区委的部署和要求，紧扣区委八届十一次、十二次全会提出的目标任务，团结广大政协委员和社会各界人士，积极履行政治协商、民主监督、参政议政职能，持续在建言资政和凝聚共识上双向发力，服务全区大局，认真履行政协职能：深入贯彻落实省委十一届六次、七次、八次全会，市委七届十一次、十二次、十三次全会精神，紧扣区委区政府工作大局，情系百姓群众利益，坚持高质量精准履职，议政建言实效进一步增强。（1）政治协商内容更加广泛。围绕全区政治、经济、文化、社会生活中的重大问题和群众关注的热难点问题，认真制定和实施《2020年度协商计划》，力求使协商主题明确，紧扣中心工作。全年组织召开主席会议19次、专题议政性常委会议4次、专委会议 8次。认真履行协商职责，积极提出意见建议。（2）民主监督作用更加突出。坚持围绕发展抓监督、抓好监督促发展的原则，积极探索，注重实效，不断加大民主监督力度。（3）参政议政成效更加显著，为区委和相关部门提供了科学决策参考。（4）持续巩固脱贫奔康成效。投入各类帮扶资金10余万元，着力推进各帮扶村产业发展，确保脱贫群众不返贫，政协机关帮扶的田湾村代表利州区接受全省脱贫普查，脱贫成效得到充分肯定。（5）倾力服务全区中心工作。始终坚持“维护核心、服务中心、汇集人心”，紧紧围绕区委工作思路，积极主动融入经济社会发展大局，以实干助推发展。（6）切实加强政协自身建设。分界别组织规模50人左右的委员培训班4次，提升委员履职能力，切实增强履职责任感。全年召开党组会议27次，理论学习中心组学习会议6次，党员会议5次，党组成员讲党课11次。</w:t>
      </w:r>
    </w:p>
    <w:p>
      <w:pPr>
        <w:spacing w:line="580" w:lineRule="exact"/>
        <w:ind w:firstLineChars="200" w:firstLine="640"/>
        <w:rPr>
          <w:rStyle w:val="1Char"/>
          <w:rFonts w:ascii="仿宋" w:eastAsia="仿宋" w:cs="Times New Roman" w:hAnsi="仿宋"/>
          <w:b w:val="0"/>
          <w:bCs w:val="0"/>
          <w:sz w:val="32"/>
          <w:szCs w:val="32"/>
        </w:rPr>
      </w:pPr>
      <w:r>
        <w:rPr>
          <w:rStyle w:val="1Char"/>
          <w:rFonts w:ascii="仿宋" w:eastAsia="仿宋" w:cs="Times New Roman" w:hAnsi="仿宋" w:hint="eastAsia"/>
          <w:b w:val="0"/>
          <w:bCs w:val="0"/>
          <w:sz w:val="32"/>
          <w:szCs w:val="32"/>
        </w:rPr>
        <w:t>二、评价结论及绩效分析</w:t>
      </w:r>
    </w:p>
    <w:p>
      <w:pPr>
        <w:spacing w:line="580" w:lineRule="exact"/>
        <w:ind w:firstLineChars="200" w:firstLine="640"/>
        <w:rPr>
          <w:rStyle w:val="1Char"/>
          <w:rFonts w:ascii="仿宋" w:eastAsia="仿宋" w:cs="Times New Roman" w:hAnsi="仿宋"/>
          <w:b w:val="0"/>
          <w:bCs w:val="0"/>
          <w:sz w:val="32"/>
          <w:szCs w:val="32"/>
        </w:rPr>
      </w:pPr>
      <w:r>
        <w:rPr>
          <w:rStyle w:val="1Char"/>
          <w:rFonts w:ascii="仿宋" w:eastAsia="仿宋" w:cs="Times New Roman" w:hAnsi="仿宋" w:hint="eastAsia"/>
          <w:b w:val="0"/>
          <w:bCs w:val="0"/>
          <w:sz w:val="32"/>
          <w:szCs w:val="32"/>
        </w:rPr>
        <w:t>（一）评价结论</w:t>
      </w:r>
    </w:p>
    <w:p>
      <w:pPr>
        <w:spacing w:line="580" w:lineRule="exact"/>
        <w:ind w:firstLineChars="200" w:firstLine="640"/>
        <w:rPr>
          <w:rStyle w:val="1Char"/>
          <w:rFonts w:ascii="仿宋" w:eastAsia="仿宋" w:cs="Times New Roman" w:hAnsi="仿宋"/>
          <w:b w:val="0"/>
          <w:bCs w:val="0"/>
          <w:sz w:val="32"/>
          <w:szCs w:val="32"/>
        </w:rPr>
      </w:pPr>
      <w:r>
        <w:rPr>
          <w:rStyle w:val="1Char"/>
          <w:rFonts w:ascii="仿宋" w:eastAsia="仿宋" w:cs="Times New Roman" w:hAnsi="仿宋" w:hint="eastAsia"/>
          <w:b w:val="0"/>
          <w:bCs w:val="0"/>
          <w:sz w:val="32"/>
          <w:szCs w:val="32"/>
        </w:rPr>
        <w:t>项目绩效评价总体结论（包括项目评价得分表）</w:t>
      </w:r>
    </w:p>
    <w:p>
      <w:pPr>
        <w:spacing w:line="580" w:lineRule="exact"/>
        <w:ind w:firstLineChars="200" w:firstLine="640"/>
        <w:rPr>
          <w:rStyle w:val="1Char"/>
          <w:rFonts w:ascii="仿宋" w:eastAsia="仿宋" w:cs="Times New Roman" w:hAnsi="仿宋"/>
          <w:b w:val="0"/>
          <w:bCs w:val="0"/>
          <w:sz w:val="32"/>
          <w:szCs w:val="32"/>
        </w:rPr>
      </w:pPr>
      <w:r>
        <w:rPr>
          <w:rStyle w:val="1Char"/>
          <w:rFonts w:ascii="仿宋" w:eastAsia="仿宋" w:cs="Times New Roman" w:hAnsi="仿宋" w:hint="eastAsia"/>
          <w:b w:val="0"/>
          <w:bCs w:val="0"/>
          <w:sz w:val="32"/>
          <w:szCs w:val="32"/>
        </w:rPr>
        <w:t>项目评价得分表</w:t>
      </w:r>
    </w:p>
    <w:tbl>
      <w:tblPr>
        <w:jc w:val="left"/>
        <w:tblInd w:w="0" w:type="dxa"/>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652"/>
        <w:gridCol w:w="2268"/>
        <w:gridCol w:w="2268"/>
      </w:tblGrid>
      <w:tr>
        <w:tc>
          <w:tcPr>
            <w:tcW w:w="3652" w:type="dxa"/>
          </w:tcPr>
          <w:p>
            <w:pPr>
              <w:spacing w:line="580" w:lineRule="exact"/>
              <w:ind w:firstLineChars="200" w:firstLine="640"/>
              <w:rPr>
                <w:rStyle w:val="1Char"/>
                <w:rFonts w:ascii="仿宋" w:eastAsia="仿宋" w:cs="Times New Roman" w:hAnsi="仿宋"/>
                <w:b w:val="0"/>
                <w:bCs w:val="0"/>
                <w:sz w:val="32"/>
                <w:szCs w:val="32"/>
              </w:rPr>
            </w:pPr>
            <w:r>
              <w:rPr>
                <w:rStyle w:val="1Char"/>
                <w:rFonts w:ascii="仿宋" w:eastAsia="仿宋" w:cs="Times New Roman" w:hAnsi="仿宋" w:hint="eastAsia"/>
                <w:b w:val="0"/>
                <w:bCs w:val="0"/>
                <w:sz w:val="32"/>
                <w:szCs w:val="32"/>
              </w:rPr>
              <w:t>目标任务</w:t>
            </w:r>
          </w:p>
        </w:tc>
        <w:tc>
          <w:tcPr>
            <w:tcW w:w="2268" w:type="dxa"/>
          </w:tcPr>
          <w:p>
            <w:pPr>
              <w:spacing w:line="580" w:lineRule="exact"/>
              <w:ind w:firstLineChars="200" w:firstLine="640"/>
              <w:rPr>
                <w:rStyle w:val="1Char"/>
                <w:rFonts w:ascii="仿宋" w:eastAsia="仿宋" w:cs="Times New Roman" w:hAnsi="仿宋"/>
                <w:b w:val="0"/>
                <w:bCs w:val="0"/>
                <w:sz w:val="32"/>
                <w:szCs w:val="32"/>
              </w:rPr>
            </w:pPr>
            <w:r>
              <w:rPr>
                <w:rStyle w:val="1Char"/>
                <w:rFonts w:ascii="仿宋" w:eastAsia="仿宋" w:cs="Times New Roman" w:hAnsi="仿宋" w:hint="eastAsia"/>
                <w:b w:val="0"/>
                <w:bCs w:val="0"/>
                <w:sz w:val="32"/>
                <w:szCs w:val="32"/>
              </w:rPr>
              <w:t>得分</w:t>
            </w:r>
          </w:p>
        </w:tc>
        <w:tc>
          <w:tcPr>
            <w:tcW w:w="2268" w:type="dxa"/>
          </w:tcPr>
          <w:p>
            <w:pPr>
              <w:spacing w:line="580" w:lineRule="exact"/>
              <w:ind w:firstLineChars="200" w:firstLine="640"/>
              <w:rPr>
                <w:rStyle w:val="1Char"/>
                <w:rFonts w:ascii="仿宋" w:eastAsia="仿宋" w:cs="Times New Roman" w:hAnsi="仿宋"/>
                <w:b w:val="0"/>
                <w:bCs w:val="0"/>
                <w:sz w:val="32"/>
                <w:szCs w:val="32"/>
              </w:rPr>
            </w:pPr>
            <w:r>
              <w:rPr>
                <w:rStyle w:val="1Char"/>
                <w:rFonts w:ascii="仿宋" w:eastAsia="仿宋" w:cs="Times New Roman" w:hAnsi="仿宋" w:hint="eastAsia"/>
                <w:b w:val="0"/>
                <w:bCs w:val="0"/>
                <w:sz w:val="32"/>
                <w:szCs w:val="32"/>
              </w:rPr>
              <w:t>备 注</w:t>
            </w:r>
          </w:p>
        </w:tc>
      </w:tr>
      <w:tr>
        <w:trPr>
          <w:trHeight w:val="817"/>
        </w:trPr>
        <w:tc>
          <w:tcPr>
            <w:tcW w:w="3652" w:type="dxa"/>
          </w:tcPr>
          <w:p>
            <w:pPr>
              <w:spacing w:line="580" w:lineRule="exact"/>
              <w:ind w:firstLineChars="200" w:firstLine="640"/>
              <w:rPr>
                <w:rStyle w:val="1Char"/>
                <w:rFonts w:ascii="仿宋" w:eastAsia="仿宋" w:cs="Times New Roman" w:hAnsi="仿宋"/>
                <w:b w:val="0"/>
                <w:bCs w:val="0"/>
                <w:sz w:val="32"/>
                <w:szCs w:val="32"/>
              </w:rPr>
            </w:pPr>
            <w:r>
              <w:rPr>
                <w:rStyle w:val="1Char"/>
                <w:rFonts w:ascii="仿宋" w:eastAsia="仿宋" w:cs="Times New Roman" w:hAnsi="仿宋" w:hint="eastAsia"/>
                <w:b w:val="0"/>
                <w:bCs w:val="0"/>
                <w:sz w:val="32"/>
                <w:szCs w:val="32"/>
              </w:rPr>
              <w:t>参政议政</w:t>
            </w:r>
          </w:p>
        </w:tc>
        <w:tc>
          <w:tcPr>
            <w:tcW w:w="2268" w:type="dxa"/>
            <w:tcBorders>
              <w:top w:val="single" w:sz="4" w:space="0" w:color="auto"/>
              <w:left w:val="single" w:sz="4" w:space="0" w:color="auto"/>
              <w:right w:val="single" w:sz="4" w:space="0" w:color="auto"/>
            </w:tcBorders>
          </w:tcPr>
          <w:p>
            <w:pPr>
              <w:spacing w:line="580" w:lineRule="exact"/>
              <w:ind w:firstLineChars="200" w:firstLine="640"/>
              <w:rPr>
                <w:rStyle w:val="1Char"/>
                <w:rFonts w:ascii="仿宋" w:eastAsia="仿宋" w:cs="Times New Roman" w:hAnsi="仿宋"/>
                <w:b w:val="0"/>
                <w:bCs w:val="0"/>
                <w:sz w:val="32"/>
                <w:szCs w:val="32"/>
              </w:rPr>
            </w:pPr>
            <w:r>
              <w:rPr>
                <w:rStyle w:val="1Char"/>
                <w:rFonts w:ascii="仿宋" w:eastAsia="仿宋" w:cs="Times New Roman" w:hAnsi="仿宋" w:hint="eastAsia"/>
                <w:b w:val="0"/>
                <w:bCs w:val="0"/>
                <w:sz w:val="32"/>
                <w:szCs w:val="32"/>
              </w:rPr>
              <w:t>2</w:t>
            </w:r>
          </w:p>
        </w:tc>
        <w:tc>
          <w:tcPr>
            <w:tcW w:w="2268" w:type="dxa"/>
          </w:tcPr>
          <w:p>
            <w:pPr>
              <w:spacing w:line="580" w:lineRule="exact"/>
              <w:ind w:firstLineChars="200" w:firstLine="640"/>
              <w:rPr>
                <w:rStyle w:val="1Char"/>
                <w:rFonts w:ascii="仿宋" w:eastAsia="仿宋" w:cs="Times New Roman" w:hAnsi="仿宋"/>
                <w:b w:val="0"/>
                <w:bCs w:val="0"/>
                <w:sz w:val="32"/>
                <w:szCs w:val="32"/>
              </w:rPr>
            </w:pPr>
          </w:p>
        </w:tc>
      </w:tr>
      <w:tr>
        <w:trPr>
          <w:trHeight w:val="817"/>
        </w:trPr>
        <w:tc>
          <w:tcPr>
            <w:tcW w:w="3652" w:type="dxa"/>
          </w:tcPr>
          <w:p>
            <w:pPr>
              <w:spacing w:line="580" w:lineRule="exact"/>
              <w:ind w:firstLineChars="200" w:firstLine="640"/>
              <w:rPr>
                <w:rStyle w:val="1Char"/>
                <w:rFonts w:ascii="仿宋" w:eastAsia="仿宋" w:cs="Times New Roman" w:hAnsi="仿宋"/>
                <w:b w:val="0"/>
                <w:bCs w:val="0"/>
                <w:sz w:val="32"/>
                <w:szCs w:val="32"/>
              </w:rPr>
            </w:pPr>
            <w:r>
              <w:rPr>
                <w:rStyle w:val="1Char"/>
                <w:rFonts w:ascii="仿宋" w:eastAsia="仿宋" w:cs="Times New Roman" w:hAnsi="仿宋" w:hint="eastAsia"/>
                <w:b w:val="0"/>
                <w:bCs w:val="0"/>
                <w:sz w:val="32"/>
                <w:szCs w:val="32"/>
              </w:rPr>
              <w:t>民主监督</w:t>
            </w:r>
          </w:p>
        </w:tc>
        <w:tc>
          <w:tcPr>
            <w:tcW w:w="2268" w:type="dxa"/>
            <w:tcBorders>
              <w:top w:val="single" w:sz="4" w:space="0" w:color="auto"/>
              <w:left w:val="single" w:sz="4" w:space="0" w:color="auto"/>
              <w:right w:val="single" w:sz="4" w:space="0" w:color="auto"/>
            </w:tcBorders>
          </w:tcPr>
          <w:p>
            <w:pPr>
              <w:spacing w:line="580" w:lineRule="exact"/>
              <w:ind w:firstLineChars="200" w:firstLine="640"/>
              <w:rPr>
                <w:rStyle w:val="1Char"/>
                <w:rFonts w:ascii="仿宋" w:eastAsia="仿宋" w:cs="Times New Roman" w:hAnsi="仿宋"/>
                <w:b w:val="0"/>
                <w:bCs w:val="0"/>
                <w:sz w:val="32"/>
                <w:szCs w:val="32"/>
              </w:rPr>
            </w:pPr>
            <w:r>
              <w:rPr>
                <w:rStyle w:val="1Char"/>
                <w:rFonts w:ascii="仿宋" w:eastAsia="仿宋" w:cs="Times New Roman" w:hAnsi="仿宋" w:hint="eastAsia"/>
                <w:b w:val="0"/>
                <w:bCs w:val="0"/>
                <w:sz w:val="32"/>
                <w:szCs w:val="32"/>
              </w:rPr>
              <w:t>2</w:t>
            </w:r>
          </w:p>
        </w:tc>
        <w:tc>
          <w:tcPr>
            <w:tcW w:w="2268" w:type="dxa"/>
          </w:tcPr>
          <w:p>
            <w:pPr>
              <w:spacing w:line="580" w:lineRule="exact"/>
              <w:ind w:firstLineChars="200" w:firstLine="640"/>
              <w:rPr>
                <w:rStyle w:val="1Char"/>
                <w:rFonts w:ascii="仿宋" w:eastAsia="仿宋" w:cs="Times New Roman" w:hAnsi="仿宋"/>
                <w:b w:val="0"/>
                <w:bCs w:val="0"/>
                <w:sz w:val="32"/>
                <w:szCs w:val="32"/>
              </w:rPr>
            </w:pPr>
          </w:p>
        </w:tc>
      </w:tr>
      <w:tr>
        <w:trPr>
          <w:trHeight w:val="817"/>
        </w:trPr>
        <w:tc>
          <w:tcPr>
            <w:tcW w:w="3652" w:type="dxa"/>
          </w:tcPr>
          <w:p>
            <w:pPr>
              <w:spacing w:line="580" w:lineRule="exact"/>
              <w:ind w:firstLineChars="200" w:firstLine="640"/>
              <w:rPr>
                <w:rStyle w:val="1Char"/>
                <w:rFonts w:ascii="仿宋" w:eastAsia="仿宋" w:cs="Times New Roman" w:hAnsi="仿宋"/>
                <w:b w:val="0"/>
                <w:bCs w:val="0"/>
                <w:sz w:val="32"/>
                <w:szCs w:val="32"/>
              </w:rPr>
            </w:pPr>
            <w:r>
              <w:rPr>
                <w:rStyle w:val="1Char"/>
                <w:rFonts w:ascii="仿宋" w:eastAsia="仿宋" w:cs="Times New Roman" w:hAnsi="仿宋" w:hint="eastAsia"/>
                <w:b w:val="0"/>
                <w:bCs w:val="0"/>
                <w:sz w:val="32"/>
                <w:szCs w:val="32"/>
              </w:rPr>
              <w:t>政协会议</w:t>
            </w:r>
          </w:p>
        </w:tc>
        <w:tc>
          <w:tcPr>
            <w:tcW w:w="2268" w:type="dxa"/>
            <w:tcBorders>
              <w:top w:val="single" w:sz="4" w:space="0" w:color="auto"/>
              <w:left w:val="single" w:sz="4" w:space="0" w:color="auto"/>
              <w:right w:val="single" w:sz="4" w:space="0" w:color="auto"/>
            </w:tcBorders>
          </w:tcPr>
          <w:p>
            <w:pPr>
              <w:spacing w:line="580" w:lineRule="exact"/>
              <w:ind w:firstLineChars="200" w:firstLine="640"/>
              <w:rPr>
                <w:rStyle w:val="1Char"/>
                <w:rFonts w:ascii="仿宋" w:eastAsia="仿宋" w:cs="Times New Roman" w:hAnsi="仿宋"/>
                <w:b w:val="0"/>
                <w:bCs w:val="0"/>
                <w:sz w:val="32"/>
                <w:szCs w:val="32"/>
              </w:rPr>
            </w:pPr>
            <w:r>
              <w:rPr>
                <w:rStyle w:val="1Char"/>
                <w:rFonts w:ascii="仿宋" w:eastAsia="仿宋" w:cs="Times New Roman" w:hAnsi="仿宋" w:hint="eastAsia"/>
                <w:b w:val="0"/>
                <w:bCs w:val="0"/>
                <w:sz w:val="32"/>
                <w:szCs w:val="32"/>
              </w:rPr>
              <w:t>2</w:t>
            </w:r>
          </w:p>
        </w:tc>
        <w:tc>
          <w:tcPr>
            <w:tcW w:w="2268" w:type="dxa"/>
          </w:tcPr>
          <w:p>
            <w:pPr>
              <w:spacing w:line="580" w:lineRule="exact"/>
              <w:ind w:firstLineChars="200" w:firstLine="640"/>
              <w:rPr>
                <w:rStyle w:val="1Char"/>
                <w:rFonts w:ascii="仿宋" w:eastAsia="仿宋" w:cs="Times New Roman" w:hAnsi="仿宋"/>
                <w:b w:val="0"/>
                <w:bCs w:val="0"/>
                <w:sz w:val="32"/>
                <w:szCs w:val="32"/>
              </w:rPr>
            </w:pPr>
          </w:p>
        </w:tc>
      </w:tr>
      <w:tr>
        <w:trPr>
          <w:trHeight w:val="817"/>
        </w:trPr>
        <w:tc>
          <w:tcPr>
            <w:tcW w:w="3652" w:type="dxa"/>
          </w:tcPr>
          <w:p>
            <w:pPr>
              <w:spacing w:line="580" w:lineRule="exact"/>
              <w:ind w:firstLineChars="200" w:firstLine="640"/>
              <w:rPr>
                <w:rStyle w:val="1Char"/>
                <w:rFonts w:ascii="仿宋" w:eastAsia="仿宋" w:cs="Times New Roman" w:hAnsi="仿宋"/>
                <w:b w:val="0"/>
                <w:bCs w:val="0"/>
                <w:sz w:val="32"/>
                <w:szCs w:val="32"/>
              </w:rPr>
            </w:pPr>
            <w:r>
              <w:rPr>
                <w:rStyle w:val="1Char"/>
                <w:rFonts w:ascii="仿宋" w:eastAsia="仿宋" w:cs="Times New Roman" w:hAnsi="仿宋" w:hint="eastAsia"/>
                <w:b w:val="0"/>
                <w:bCs w:val="0"/>
                <w:sz w:val="32"/>
                <w:szCs w:val="32"/>
              </w:rPr>
              <w:t>委员活动</w:t>
            </w:r>
          </w:p>
        </w:tc>
        <w:tc>
          <w:tcPr>
            <w:tcW w:w="2268" w:type="dxa"/>
            <w:tcBorders>
              <w:top w:val="single" w:sz="4" w:space="0" w:color="auto"/>
              <w:left w:val="single" w:sz="4" w:space="0" w:color="auto"/>
              <w:right w:val="single" w:sz="4" w:space="0" w:color="auto"/>
            </w:tcBorders>
          </w:tcPr>
          <w:p>
            <w:pPr>
              <w:spacing w:line="580" w:lineRule="exact"/>
              <w:ind w:firstLineChars="200" w:firstLine="640"/>
              <w:rPr>
                <w:rStyle w:val="1Char"/>
                <w:rFonts w:ascii="仿宋" w:eastAsia="仿宋" w:cs="Times New Roman" w:hAnsi="仿宋"/>
                <w:b w:val="0"/>
                <w:bCs w:val="0"/>
                <w:sz w:val="32"/>
                <w:szCs w:val="32"/>
              </w:rPr>
            </w:pPr>
            <w:r>
              <w:rPr>
                <w:rStyle w:val="1Char"/>
                <w:rFonts w:ascii="仿宋" w:eastAsia="仿宋" w:cs="Times New Roman" w:hAnsi="仿宋" w:hint="eastAsia"/>
                <w:b w:val="0"/>
                <w:bCs w:val="0"/>
                <w:sz w:val="32"/>
                <w:szCs w:val="32"/>
              </w:rPr>
              <w:t>2</w:t>
            </w:r>
          </w:p>
        </w:tc>
        <w:tc>
          <w:tcPr>
            <w:tcW w:w="2268" w:type="dxa"/>
          </w:tcPr>
          <w:p>
            <w:pPr>
              <w:spacing w:line="580" w:lineRule="exact"/>
              <w:ind w:firstLineChars="200" w:firstLine="640"/>
              <w:rPr>
                <w:rStyle w:val="1Char"/>
                <w:rFonts w:ascii="仿宋" w:eastAsia="仿宋" w:cs="Times New Roman" w:hAnsi="仿宋"/>
                <w:b w:val="0"/>
                <w:bCs w:val="0"/>
                <w:sz w:val="32"/>
                <w:szCs w:val="32"/>
              </w:rPr>
            </w:pPr>
          </w:p>
        </w:tc>
      </w:tr>
      <w:tr>
        <w:trPr>
          <w:trHeight w:val="817"/>
        </w:trPr>
        <w:tc>
          <w:tcPr>
            <w:tcW w:w="3652" w:type="dxa"/>
          </w:tcPr>
          <w:p>
            <w:pPr>
              <w:spacing w:line="580" w:lineRule="exact"/>
              <w:ind w:firstLineChars="200" w:firstLine="640"/>
              <w:rPr>
                <w:rStyle w:val="1Char"/>
                <w:rFonts w:ascii="仿宋" w:eastAsia="仿宋" w:cs="Times New Roman" w:hAnsi="仿宋"/>
                <w:b w:val="0"/>
                <w:bCs w:val="0"/>
                <w:sz w:val="32"/>
                <w:szCs w:val="32"/>
              </w:rPr>
            </w:pPr>
            <w:r>
              <w:rPr>
                <w:rStyle w:val="1Char"/>
                <w:rFonts w:ascii="仿宋" w:eastAsia="仿宋" w:cs="Times New Roman" w:hAnsi="仿宋" w:hint="eastAsia"/>
                <w:b w:val="0"/>
                <w:bCs w:val="0"/>
                <w:sz w:val="32"/>
                <w:szCs w:val="32"/>
              </w:rPr>
              <w:t>综合管理</w:t>
            </w:r>
          </w:p>
        </w:tc>
        <w:tc>
          <w:tcPr>
            <w:tcW w:w="2268" w:type="dxa"/>
            <w:tcBorders>
              <w:top w:val="single" w:sz="4" w:space="0" w:color="auto"/>
              <w:left w:val="single" w:sz="4" w:space="0" w:color="auto"/>
              <w:right w:val="single" w:sz="4" w:space="0" w:color="auto"/>
            </w:tcBorders>
          </w:tcPr>
          <w:p>
            <w:pPr>
              <w:spacing w:line="580" w:lineRule="exact"/>
              <w:ind w:firstLineChars="200" w:firstLine="640"/>
              <w:rPr>
                <w:rStyle w:val="1Char"/>
                <w:rFonts w:ascii="仿宋" w:eastAsia="仿宋" w:cs="Times New Roman" w:hAnsi="仿宋"/>
                <w:b w:val="0"/>
                <w:bCs w:val="0"/>
                <w:sz w:val="32"/>
                <w:szCs w:val="32"/>
              </w:rPr>
            </w:pPr>
            <w:r>
              <w:rPr>
                <w:rStyle w:val="1Char"/>
                <w:rFonts w:ascii="仿宋" w:eastAsia="仿宋" w:cs="Times New Roman" w:hAnsi="仿宋" w:hint="eastAsia"/>
                <w:b w:val="0"/>
                <w:bCs w:val="0"/>
                <w:sz w:val="32"/>
                <w:szCs w:val="32"/>
              </w:rPr>
              <w:t>1</w:t>
            </w:r>
          </w:p>
        </w:tc>
        <w:tc>
          <w:tcPr>
            <w:tcW w:w="2268" w:type="dxa"/>
          </w:tcPr>
          <w:p>
            <w:pPr>
              <w:spacing w:line="580" w:lineRule="exact"/>
              <w:ind w:firstLineChars="200" w:firstLine="640"/>
              <w:rPr>
                <w:rStyle w:val="1Char"/>
                <w:rFonts w:ascii="仿宋" w:eastAsia="仿宋" w:cs="Times New Roman" w:hAnsi="仿宋"/>
                <w:b w:val="0"/>
                <w:bCs w:val="0"/>
                <w:sz w:val="32"/>
                <w:szCs w:val="32"/>
              </w:rPr>
            </w:pPr>
          </w:p>
        </w:tc>
      </w:tr>
      <w:tr>
        <w:tc>
          <w:tcPr>
            <w:tcW w:w="3652" w:type="dxa"/>
          </w:tcPr>
          <w:p>
            <w:pPr>
              <w:spacing w:line="580" w:lineRule="exact"/>
              <w:ind w:firstLineChars="200" w:firstLine="640"/>
              <w:rPr>
                <w:rStyle w:val="1Char"/>
                <w:rFonts w:ascii="仿宋" w:eastAsia="仿宋" w:cs="Times New Roman" w:hAnsi="仿宋"/>
                <w:b w:val="0"/>
                <w:bCs w:val="0"/>
                <w:sz w:val="32"/>
                <w:szCs w:val="32"/>
              </w:rPr>
            </w:pPr>
            <w:r>
              <w:rPr>
                <w:rStyle w:val="1Char"/>
                <w:rFonts w:ascii="仿宋" w:eastAsia="仿宋" w:cs="Times New Roman" w:hAnsi="仿宋" w:hint="eastAsia"/>
                <w:b w:val="0"/>
                <w:bCs w:val="0"/>
                <w:sz w:val="32"/>
                <w:szCs w:val="32"/>
              </w:rPr>
              <w:t>满意度</w:t>
            </w:r>
          </w:p>
        </w:tc>
        <w:tc>
          <w:tcPr>
            <w:tcW w:w="2268" w:type="dxa"/>
            <w:tcBorders>
              <w:top w:val="single" w:sz="4" w:space="0" w:color="auto"/>
              <w:left w:val="single" w:sz="4" w:space="0" w:color="auto"/>
              <w:right w:val="single" w:sz="4" w:space="0" w:color="auto"/>
            </w:tcBorders>
          </w:tcPr>
          <w:p>
            <w:pPr>
              <w:spacing w:line="580" w:lineRule="exact"/>
              <w:ind w:firstLineChars="200" w:firstLine="640"/>
              <w:rPr>
                <w:rStyle w:val="1Char"/>
                <w:rFonts w:ascii="仿宋" w:eastAsia="仿宋" w:cs="Times New Roman" w:hAnsi="仿宋"/>
                <w:b w:val="0"/>
                <w:bCs w:val="0"/>
                <w:sz w:val="32"/>
                <w:szCs w:val="32"/>
              </w:rPr>
            </w:pPr>
            <w:r>
              <w:rPr>
                <w:rStyle w:val="1Char"/>
                <w:rFonts w:ascii="仿宋" w:eastAsia="仿宋" w:cs="Times New Roman" w:hAnsi="仿宋" w:hint="eastAsia"/>
                <w:b w:val="0"/>
                <w:bCs w:val="0"/>
                <w:sz w:val="32"/>
                <w:szCs w:val="32"/>
              </w:rPr>
              <w:t>1</w:t>
            </w:r>
          </w:p>
        </w:tc>
        <w:tc>
          <w:tcPr>
            <w:tcW w:w="2268" w:type="dxa"/>
          </w:tcPr>
          <w:p>
            <w:pPr>
              <w:spacing w:line="580" w:lineRule="exact"/>
              <w:ind w:firstLineChars="200" w:firstLine="640"/>
              <w:rPr>
                <w:rStyle w:val="1Char"/>
                <w:rFonts w:ascii="仿宋" w:eastAsia="仿宋" w:cs="Times New Roman" w:hAnsi="仿宋"/>
                <w:b w:val="0"/>
                <w:bCs w:val="0"/>
                <w:sz w:val="32"/>
                <w:szCs w:val="32"/>
              </w:rPr>
            </w:pPr>
          </w:p>
        </w:tc>
      </w:tr>
      <w:tr>
        <w:trPr>
          <w:trHeight w:val="761"/>
        </w:trPr>
        <w:tc>
          <w:tcPr>
            <w:tcW w:w="3652" w:type="dxa"/>
          </w:tcPr>
          <w:p>
            <w:pPr>
              <w:spacing w:line="580" w:lineRule="exact"/>
              <w:ind w:firstLineChars="200" w:firstLine="640"/>
              <w:rPr>
                <w:rStyle w:val="1Char"/>
                <w:rFonts w:ascii="仿宋" w:eastAsia="仿宋" w:cs="Times New Roman" w:hAnsi="仿宋"/>
                <w:b w:val="0"/>
                <w:bCs w:val="0"/>
                <w:sz w:val="32"/>
                <w:szCs w:val="32"/>
              </w:rPr>
            </w:pPr>
            <w:r>
              <w:rPr>
                <w:rStyle w:val="1Char"/>
                <w:rFonts w:ascii="仿宋" w:eastAsia="仿宋" w:cs="Times New Roman" w:hAnsi="仿宋" w:hint="eastAsia"/>
                <w:b w:val="0"/>
                <w:bCs w:val="0"/>
                <w:sz w:val="32"/>
                <w:szCs w:val="32"/>
              </w:rPr>
              <w:t>合  计</w:t>
            </w:r>
          </w:p>
        </w:tc>
        <w:tc>
          <w:tcPr>
            <w:tcW w:w="2268" w:type="dxa"/>
            <w:tcBorders>
              <w:top w:val="single" w:sz="4" w:space="0" w:color="auto"/>
              <w:left w:val="single" w:sz="4" w:space="0" w:color="auto"/>
              <w:right w:val="single" w:sz="4" w:space="0" w:color="auto"/>
            </w:tcBorders>
          </w:tcPr>
          <w:p>
            <w:pPr>
              <w:spacing w:line="580" w:lineRule="exact"/>
              <w:ind w:firstLineChars="200" w:firstLine="640"/>
              <w:rPr>
                <w:rStyle w:val="1Char"/>
                <w:rFonts w:ascii="仿宋" w:eastAsia="仿宋" w:cs="Times New Roman" w:hAnsi="仿宋"/>
                <w:b w:val="0"/>
                <w:bCs w:val="0"/>
                <w:sz w:val="32"/>
                <w:szCs w:val="32"/>
              </w:rPr>
            </w:pPr>
            <w:r>
              <w:rPr>
                <w:rStyle w:val="1Char"/>
                <w:rFonts w:ascii="仿宋" w:eastAsia="仿宋" w:cs="Times New Roman" w:hAnsi="仿宋" w:hint="eastAsia"/>
                <w:b w:val="0"/>
                <w:bCs w:val="0"/>
                <w:sz w:val="32"/>
                <w:szCs w:val="32"/>
              </w:rPr>
              <w:t>10</w:t>
            </w:r>
          </w:p>
        </w:tc>
        <w:tc>
          <w:tcPr>
            <w:tcW w:w="2268" w:type="dxa"/>
          </w:tcPr>
          <w:p>
            <w:pPr>
              <w:spacing w:line="580" w:lineRule="exact"/>
              <w:ind w:firstLineChars="200" w:firstLine="640"/>
              <w:rPr>
                <w:rStyle w:val="1Char"/>
                <w:rFonts w:ascii="仿宋" w:eastAsia="仿宋" w:cs="Times New Roman" w:hAnsi="仿宋"/>
                <w:b w:val="0"/>
                <w:bCs w:val="0"/>
                <w:sz w:val="32"/>
                <w:szCs w:val="32"/>
              </w:rPr>
            </w:pPr>
          </w:p>
        </w:tc>
      </w:tr>
    </w:tbl>
    <w:p>
      <w:pPr>
        <w:spacing w:line="580" w:lineRule="exact"/>
        <w:ind w:firstLineChars="200" w:firstLine="640"/>
        <w:rPr>
          <w:rStyle w:val="1Char"/>
          <w:rFonts w:ascii="仿宋" w:eastAsia="仿宋" w:cs="Times New Roman" w:hAnsi="仿宋"/>
          <w:b w:val="0"/>
          <w:bCs w:val="0"/>
          <w:sz w:val="32"/>
          <w:szCs w:val="32"/>
        </w:rPr>
      </w:pPr>
      <w:r>
        <w:rPr>
          <w:rStyle w:val="1Char"/>
          <w:rFonts w:ascii="仿宋" w:eastAsia="仿宋" w:cs="Times New Roman" w:hAnsi="仿宋" w:hint="eastAsia"/>
          <w:b w:val="0"/>
          <w:bCs w:val="0"/>
          <w:sz w:val="32"/>
          <w:szCs w:val="32"/>
        </w:rPr>
        <w:t>（二）绩效分析</w:t>
      </w:r>
    </w:p>
    <w:p>
      <w:pPr>
        <w:spacing w:line="580" w:lineRule="exact"/>
        <w:ind w:firstLineChars="200" w:firstLine="640"/>
        <w:rPr>
          <w:rStyle w:val="1Char"/>
          <w:rFonts w:ascii="仿宋" w:eastAsia="仿宋" w:cs="Times New Roman" w:hAnsi="仿宋"/>
          <w:b w:val="0"/>
          <w:bCs w:val="0"/>
          <w:sz w:val="32"/>
          <w:szCs w:val="32"/>
        </w:rPr>
      </w:pPr>
      <w:r>
        <w:rPr>
          <w:rStyle w:val="1Char"/>
          <w:rFonts w:ascii="仿宋" w:eastAsia="仿宋" w:cs="Times New Roman" w:hAnsi="仿宋" w:hint="eastAsia"/>
          <w:b w:val="0"/>
          <w:bCs w:val="0"/>
          <w:sz w:val="32"/>
          <w:szCs w:val="32"/>
        </w:rPr>
        <w:t>1、项目决策</w:t>
      </w:r>
    </w:p>
    <w:p>
      <w:pPr>
        <w:spacing w:line="580" w:lineRule="exact"/>
        <w:ind w:firstLineChars="200" w:firstLine="640"/>
        <w:rPr>
          <w:rStyle w:val="1Char"/>
          <w:rFonts w:ascii="仿宋" w:eastAsia="仿宋" w:cs="Times New Roman" w:hAnsi="仿宋"/>
          <w:b w:val="0"/>
          <w:bCs w:val="0"/>
          <w:sz w:val="32"/>
          <w:szCs w:val="32"/>
        </w:rPr>
      </w:pPr>
      <w:r>
        <w:rPr>
          <w:rFonts w:ascii="仿宋_GB2312" w:eastAsia="仿宋_GB2312" w:cs="仿宋_GB2312" w:hAnsi="仿宋_GB2312" w:hint="eastAsia"/>
          <w:sz w:val="32"/>
          <w:szCs w:val="32"/>
        </w:rPr>
        <w:t>项目全年预算数185.56万元（其中上年结转6.48万元），执行数为138.91万元 。</w:t>
      </w:r>
    </w:p>
    <w:p>
      <w:pPr>
        <w:spacing w:line="580" w:lineRule="exact"/>
        <w:ind w:firstLineChars="200" w:firstLine="640"/>
        <w:rPr>
          <w:rStyle w:val="1Char"/>
          <w:rFonts w:ascii="仿宋" w:eastAsia="仿宋" w:cs="Times New Roman" w:hAnsi="仿宋"/>
          <w:b w:val="0"/>
          <w:bCs w:val="0"/>
          <w:sz w:val="32"/>
          <w:szCs w:val="32"/>
        </w:rPr>
      </w:pPr>
      <w:r>
        <w:rPr>
          <w:rStyle w:val="1Char"/>
          <w:rFonts w:ascii="仿宋" w:eastAsia="仿宋" w:cs="Times New Roman" w:hAnsi="仿宋" w:hint="eastAsia"/>
          <w:b w:val="0"/>
          <w:bCs w:val="0"/>
          <w:sz w:val="32"/>
          <w:szCs w:val="32"/>
        </w:rPr>
        <w:t>2、项目管理</w:t>
      </w:r>
    </w:p>
    <w:p>
      <w:pPr>
        <w:overflowPunct w:val="0"/>
        <w:spacing w:line="576" w:lineRule="exact"/>
        <w:ind w:firstLineChars="200" w:firstLine="640"/>
        <w:rPr>
          <w:rFonts w:ascii="仿宋" w:eastAsia="仿宋" w:hAnsi="仿宋"/>
          <w:bCs/>
          <w:color w:val="000000"/>
          <w:sz w:val="32"/>
          <w:szCs w:val="32"/>
        </w:rPr>
      </w:pPr>
      <w:r>
        <w:rPr>
          <w:rFonts w:ascii="仿宋_GB2312" w:eastAsia="仿宋_GB2312" w:cs="仿宋_GB2312" w:hAnsi="仿宋_GB2312" w:hint="eastAsia"/>
          <w:sz w:val="32"/>
          <w:szCs w:val="32"/>
        </w:rPr>
        <w:t>通过项目实施，20</w:t>
      </w:r>
      <w:r>
        <w:rPr>
          <w:rFonts w:ascii="仿宋" w:eastAsia="仿宋" w:hAnsi="仿宋" w:hint="eastAsia"/>
          <w:bCs/>
          <w:color w:val="000000"/>
          <w:sz w:val="32"/>
          <w:szCs w:val="32"/>
        </w:rPr>
        <w:t>20年，认真落实中共广元市利州区委的部署和要求，紧扣区委八届十一次、十二次全会提出的目标任务，团结广大政协委员和社会各界人士，积极履行政治协商、民主监督、参政议政职能，持续在建言资政和凝聚共识上双向发力，服务全区大局，认真履行政协职能：深入贯彻落实省委十一届六次、七次、八次全会，市委七届十一次、十二次、十三次全会精神，紧扣区委区政府工作大局，情系百姓群众利益，坚持高质量精准履职，议政建言实效进一步增强。（1）政治协商内容更加广泛。围绕全区政治、经济、文化、社会生活中的重大问题和群众关注的热难点问题，认真制定和实施《2020年度协商计划》，力求使协商主题明确，紧扣中心工作。全年组织召开主席会议19次、专题议政性常委会议4次、专委会议 8次。认真履行协商职责，积极提出意见建议。（2）民主监督作用更加突出。坚持围绕发展抓监督、抓好监督促发展的原则，积极探索，注重实效，不断加大民主监督力度。（3）参政议政成效更加显著，为区委和相关部门提供了科学决策参考。（4）持续巩固脱贫奔康成效。投入各类帮扶资金10余万元，着力推进各帮扶村产业发展，确保脱贫群众不返贫，政协机关帮扶的田湾村代表利州区接受全省脱贫普查，脱贫成效得到充分肯定。（5）倾力服务全区中心工作。始终坚持“维护核心、服务中心、汇集人心”，紧紧围绕区委工作思路，积极主动融入经济社会发展大局，以实干助推发展。（6）切实加强政协自身建设。分界别组织规模50人左右的委员培训班4次，提升委员履职能力，切实增强履职责任感。全年召开党组会议27次，理论学习中心组学习会议6次，党员会议5次，党组成员讲党课11次。</w:t>
      </w:r>
    </w:p>
    <w:p>
      <w:pPr>
        <w:spacing w:line="580" w:lineRule="exact"/>
        <w:ind w:firstLineChars="200" w:firstLine="640"/>
        <w:rPr>
          <w:rStyle w:val="1Char"/>
          <w:rFonts w:ascii="仿宋" w:eastAsia="仿宋" w:cs="Times New Roman" w:hAnsi="仿宋"/>
          <w:b w:val="0"/>
          <w:bCs w:val="0"/>
          <w:sz w:val="32"/>
          <w:szCs w:val="32"/>
        </w:rPr>
      </w:pPr>
      <w:r>
        <w:rPr>
          <w:rStyle w:val="1Char"/>
          <w:rFonts w:ascii="仿宋" w:eastAsia="仿宋" w:cs="Times New Roman" w:hAnsi="仿宋" w:hint="eastAsia"/>
          <w:b w:val="0"/>
          <w:bCs w:val="0"/>
          <w:sz w:val="32"/>
          <w:szCs w:val="32"/>
        </w:rPr>
        <w:t xml:space="preserve"> 3、项目绩效</w:t>
      </w:r>
    </w:p>
    <w:p>
      <w:pPr>
        <w:spacing w:line="580" w:lineRule="exact"/>
        <w:ind w:firstLineChars="200" w:firstLine="640"/>
        <w:rPr>
          <w:rStyle w:val="1Char"/>
          <w:rFonts w:ascii="仿宋" w:eastAsia="仿宋" w:cs="Times New Roman" w:hAnsi="仿宋"/>
          <w:b w:val="0"/>
          <w:bCs w:val="0"/>
          <w:sz w:val="32"/>
          <w:szCs w:val="32"/>
        </w:rPr>
      </w:pPr>
      <w:r>
        <w:rPr>
          <w:rStyle w:val="1Char"/>
          <w:rFonts w:ascii="仿宋" w:eastAsia="仿宋" w:cs="Times New Roman" w:hAnsi="仿宋" w:hint="eastAsia"/>
          <w:b w:val="0"/>
          <w:bCs w:val="0"/>
          <w:sz w:val="32"/>
          <w:szCs w:val="32"/>
        </w:rPr>
        <w:t>通过项目实施，保障了政协机关 日常工作的顺利推进，各项会议的顺利召开，委员们积极开展视察调研，认真完成提案办理等，推动了政协各项工作的完成。</w:t>
      </w:r>
    </w:p>
    <w:p>
      <w:pPr>
        <w:spacing w:line="580" w:lineRule="exact"/>
        <w:ind w:firstLineChars="200" w:firstLine="640"/>
        <w:rPr>
          <w:rStyle w:val="1Char"/>
          <w:rFonts w:ascii="仿宋" w:eastAsia="仿宋" w:cs="Times New Roman" w:hAnsi="仿宋"/>
          <w:b w:val="0"/>
          <w:bCs w:val="0"/>
          <w:sz w:val="32"/>
          <w:szCs w:val="32"/>
        </w:rPr>
      </w:pPr>
      <w:r>
        <w:rPr>
          <w:rStyle w:val="1Char"/>
          <w:rFonts w:ascii="仿宋" w:eastAsia="仿宋" w:cs="Times New Roman" w:hAnsi="仿宋" w:hint="eastAsia"/>
          <w:b w:val="0"/>
          <w:bCs w:val="0"/>
          <w:sz w:val="32"/>
          <w:szCs w:val="32"/>
        </w:rPr>
        <w:t>三、存在主要问题</w:t>
      </w:r>
    </w:p>
    <w:p>
      <w:pPr>
        <w:pBdr>
          <w:bottom w:val="single" w:sz="4" w:space="31" w:color="FFFFFF"/>
        </w:pBdr>
        <w:tabs>
          <w:tab w:val="left" w:pos="7380"/>
        </w:tabs>
        <w:autoSpaceDE w:val="0"/>
        <w:autoSpaceDN w:val="0"/>
        <w:spacing w:line="560" w:lineRule="exact"/>
        <w:ind w:firstLineChars="200" w:firstLine="640"/>
        <w:jc w:val="left"/>
        <w:rPr>
          <w:rFonts w:ascii="仿宋_GB2312" w:eastAsia="仿宋_GB2312" w:cs="仿宋_GB2312" w:hAnsi="仿宋_GB2312"/>
          <w:color w:val="000000"/>
          <w:kern w:val="0"/>
          <w:sz w:val="32"/>
          <w:szCs w:val="32"/>
        </w:rPr>
      </w:pPr>
      <w:r>
        <w:rPr>
          <w:rFonts w:ascii="仿宋_GB2312" w:eastAsia="仿宋_GB2312" w:cs="仿宋_GB2312" w:hAnsi="仿宋_GB2312" w:hint="eastAsia"/>
          <w:color w:val="000000"/>
          <w:kern w:val="0"/>
          <w:sz w:val="32"/>
          <w:szCs w:val="32"/>
        </w:rPr>
        <w:t>个别委员视察调研不积极，提案质量不太高，委员培训、集中学习安排太少，办会质量还要进一步提升，机关管理还有待加强。</w:t>
      </w:r>
    </w:p>
    <w:p>
      <w:pPr>
        <w:pBdr>
          <w:bottom w:val="single" w:sz="4" w:space="31" w:color="FFFFFF"/>
        </w:pBdr>
        <w:tabs>
          <w:tab w:val="left" w:pos="7380"/>
        </w:tabs>
        <w:autoSpaceDE w:val="0"/>
        <w:autoSpaceDN w:val="0"/>
        <w:spacing w:line="560" w:lineRule="exact"/>
        <w:ind w:firstLineChars="200" w:firstLine="640"/>
        <w:jc w:val="left"/>
        <w:rPr>
          <w:rStyle w:val="1Char"/>
          <w:rFonts w:ascii="仿宋" w:eastAsia="仿宋" w:cs="Times New Roman" w:hAnsi="仿宋"/>
          <w:b w:val="0"/>
          <w:bCs w:val="0"/>
          <w:sz w:val="32"/>
          <w:szCs w:val="32"/>
        </w:rPr>
      </w:pPr>
      <w:r>
        <w:rPr>
          <w:rStyle w:val="1Char"/>
          <w:rFonts w:ascii="仿宋" w:eastAsia="仿宋" w:cs="Times New Roman" w:hAnsi="仿宋" w:hint="eastAsia"/>
          <w:b w:val="0"/>
          <w:bCs w:val="0"/>
          <w:sz w:val="32"/>
          <w:szCs w:val="32"/>
        </w:rPr>
        <w:t>四、相关措施建议</w:t>
      </w:r>
    </w:p>
    <w:p>
      <w:pPr>
        <w:pBdr>
          <w:bottom w:val="single" w:sz="4" w:space="31" w:color="FFFFFF"/>
        </w:pBdr>
        <w:tabs>
          <w:tab w:val="left" w:pos="7380"/>
        </w:tabs>
        <w:autoSpaceDE w:val="0"/>
        <w:autoSpaceDN w:val="0"/>
        <w:spacing w:line="560" w:lineRule="exact"/>
        <w:ind w:firstLineChars="200" w:firstLine="640"/>
        <w:jc w:val="left"/>
      </w:pPr>
      <w:r>
        <w:rPr>
          <w:rFonts w:ascii="仿宋_GB2312" w:eastAsia="仿宋_GB2312" w:cs="仿宋_GB2312" w:hAnsi="仿宋_GB2312" w:hint="eastAsia"/>
          <w:color w:val="000000"/>
          <w:kern w:val="0"/>
          <w:sz w:val="32"/>
          <w:szCs w:val="32"/>
        </w:rPr>
        <w:t>区政协将以习近平新时代中国特色社会主义思想为根本指导，持续深入学习党的十九大及十九届历次全会精神，全面贯彻落实中央、省委、市委和区委重要会议精神，继续努力抓好思想建设和作风建设，扎扎实实履行政协职责，为推动新时代全面建成综合实力一流的现代化市辖区再上新台阶做出新的贡献。一是要进一步强化理论武装，提高政治站位，切实履行好政治协商、民主监督、参政议政职能。二是在区委的领导下，组织开好区政协八届六次会议。三是进一步加强政协“三化”建设，使政协机关各项履职工作更加规范有序。四是要进一步深化提案工作，通过提案督办会、提案办理民主评议等形式，抓好提案的督办和回访工作。五是围绕人民群众关注的热点问题和事关全区发展的重大问题，深入开展调查研究，积极献计献策，助推利州经济社会跨越发展。六健全社情民意信息网络，提高社情民意工作成效，协助区委、区政府做好协调关系、化解矛盾、凝心聚力的工作。七是进一步创新民主监督形式，履行好民主监督职能。八是进一步抓好政协机关自身建设，加强政协委员管理和服务，用事业凝聚委员、用机制激励委员、用实践锻炼委员，使委员的主体作用得到更有效的彰显，增强政协工作活力与成效。</w:t>
      </w:r>
    </w:p>
    <w:p>
      <w:pPr>
        <w:spacing w:line="580" w:lineRule="exact"/>
        <w:jc w:val="center"/>
        <w:rPr>
          <w:rStyle w:val="1Char"/>
          <w:rFonts w:ascii="仿宋" w:eastAsia="仿宋" w:cs="Times New Roman" w:hAnsi="仿宋"/>
        </w:rPr>
      </w:pPr>
    </w:p>
    <w:p>
      <w:pPr>
        <w:spacing w:line="580" w:lineRule="exact"/>
        <w:jc w:val="center"/>
        <w:rPr>
          <w:rStyle w:val="1Char"/>
          <w:rFonts w:ascii="仿宋" w:eastAsia="仿宋" w:cs="Times New Roman" w:hAnsi="仿宋"/>
        </w:rPr>
      </w:pPr>
    </w:p>
    <w:p>
      <w:pPr>
        <w:spacing w:line="580" w:lineRule="exact"/>
        <w:jc w:val="center"/>
        <w:rPr>
          <w:rStyle w:val="1Char"/>
          <w:rFonts w:ascii="仿宋" w:eastAsia="仿宋" w:cs="Times New Roman" w:hAnsi="仿宋"/>
        </w:rPr>
      </w:pPr>
    </w:p>
    <w:p>
      <w:pPr>
        <w:spacing w:line="580" w:lineRule="exact"/>
        <w:jc w:val="center"/>
        <w:rPr>
          <w:rStyle w:val="1Char"/>
          <w:rFonts w:ascii="仿宋" w:eastAsia="仿宋" w:cs="Times New Roman" w:hAnsi="仿宋"/>
        </w:rPr>
      </w:pPr>
    </w:p>
    <w:p>
      <w:pPr>
        <w:spacing w:line="580" w:lineRule="exact"/>
        <w:jc w:val="center"/>
        <w:rPr>
          <w:rStyle w:val="1Char"/>
          <w:rFonts w:ascii="仿宋" w:eastAsia="仿宋" w:cs="Times New Roman" w:hAnsi="仿宋"/>
        </w:rPr>
      </w:pPr>
    </w:p>
    <w:p>
      <w:pPr>
        <w:spacing w:line="580" w:lineRule="exact"/>
        <w:jc w:val="center"/>
        <w:rPr>
          <w:rStyle w:val="1Char"/>
          <w:rFonts w:ascii="仿宋" w:eastAsia="仿宋" w:cs="Times New Roman" w:hAnsi="仿宋"/>
        </w:rPr>
      </w:pPr>
    </w:p>
    <w:p>
      <w:pPr>
        <w:spacing w:line="580" w:lineRule="exact"/>
        <w:rPr>
          <w:rStyle w:val="1Char"/>
          <w:rFonts w:ascii="仿宋" w:eastAsia="仿宋" w:cs="Times New Roman" w:hAnsi="仿宋"/>
        </w:rPr>
      </w:pPr>
    </w:p>
    <w:p>
      <w:pPr>
        <w:spacing w:line="580" w:lineRule="exact"/>
        <w:jc w:val="center"/>
        <w:rPr>
          <w:rStyle w:val="1Char"/>
          <w:rFonts w:ascii="仿宋" w:eastAsia="仿宋" w:cs="Times New Roman" w:hAnsi="仿宋"/>
        </w:rPr>
      </w:pPr>
      <w:r>
        <w:rPr>
          <w:rStyle w:val="1Char"/>
          <w:rFonts w:ascii="仿宋" w:eastAsia="仿宋" w:cs="Times New Roman" w:hAnsi="仿宋" w:hint="eastAsia"/>
        </w:rPr>
        <w:t>2020年政协综合管理（老促会工作）</w:t>
      </w:r>
    </w:p>
    <w:p>
      <w:pPr>
        <w:spacing w:line="580" w:lineRule="exact"/>
        <w:jc w:val="center"/>
        <w:rPr>
          <w:rStyle w:val="1Char"/>
          <w:rFonts w:ascii="仿宋" w:eastAsia="仿宋" w:cs="Times New Roman" w:hAnsi="仿宋"/>
        </w:rPr>
      </w:pPr>
      <w:r>
        <w:rPr>
          <w:rStyle w:val="1Char"/>
          <w:rFonts w:ascii="仿宋" w:eastAsia="仿宋" w:cs="Times New Roman" w:hAnsi="仿宋" w:hint="eastAsia"/>
        </w:rPr>
        <w:t>绩效评价报告</w:t>
      </w:r>
    </w:p>
    <w:p>
      <w:pPr>
        <w:spacing w:line="580" w:lineRule="exact"/>
        <w:ind w:firstLineChars="200" w:firstLine="640"/>
        <w:rPr>
          <w:rStyle w:val="1Char"/>
          <w:rFonts w:ascii="仿宋" w:eastAsia="仿宋" w:cs="Times New Roman" w:hAnsi="仿宋"/>
          <w:b w:val="0"/>
          <w:bCs w:val="0"/>
          <w:sz w:val="32"/>
          <w:szCs w:val="32"/>
        </w:rPr>
      </w:pPr>
      <w:r>
        <w:rPr>
          <w:rStyle w:val="1Char"/>
          <w:rFonts w:ascii="仿宋" w:eastAsia="仿宋" w:cs="Times New Roman" w:hAnsi="仿宋" w:hint="eastAsia"/>
          <w:b w:val="0"/>
          <w:bCs w:val="0"/>
          <w:sz w:val="32"/>
          <w:szCs w:val="32"/>
        </w:rPr>
        <w:t>一、评价工作开展及项目情况</w:t>
      </w:r>
    </w:p>
    <w:p>
      <w:pPr>
        <w:spacing w:line="580" w:lineRule="exact"/>
        <w:ind w:firstLineChars="200" w:firstLine="640"/>
        <w:rPr>
          <w:rStyle w:val="1Char"/>
          <w:rFonts w:ascii="仿宋" w:eastAsia="仿宋" w:cs="Times New Roman" w:hAnsi="仿宋"/>
          <w:b w:val="0"/>
          <w:bCs w:val="0"/>
          <w:sz w:val="32"/>
          <w:szCs w:val="32"/>
        </w:rPr>
      </w:pPr>
      <w:r>
        <w:rPr>
          <w:rFonts w:ascii="仿宋" w:eastAsia="仿宋" w:hAnsi="仿宋" w:hint="eastAsia"/>
          <w:bCs/>
          <w:color w:val="000000"/>
          <w:sz w:val="32"/>
          <w:szCs w:val="32"/>
        </w:rPr>
        <w:t>宣传老区人民对党和革命事业做出的巨大牺牲和贡献；动员社会各界关心支持老区建设；深入老区调查；提出政策性建议；开展信息交流；帮助老区发展经济等。</w:t>
      </w:r>
    </w:p>
    <w:p>
      <w:pPr>
        <w:spacing w:line="580" w:lineRule="exact"/>
        <w:ind w:firstLineChars="200" w:firstLine="640"/>
        <w:rPr>
          <w:rStyle w:val="1Char"/>
          <w:rFonts w:ascii="仿宋" w:eastAsia="仿宋" w:cs="Times New Roman" w:hAnsi="仿宋"/>
          <w:b w:val="0"/>
          <w:bCs w:val="0"/>
          <w:sz w:val="32"/>
          <w:szCs w:val="32"/>
        </w:rPr>
      </w:pPr>
      <w:r>
        <w:rPr>
          <w:rStyle w:val="1Char"/>
          <w:rFonts w:ascii="仿宋" w:eastAsia="仿宋" w:cs="Times New Roman" w:hAnsi="仿宋" w:hint="eastAsia"/>
          <w:b w:val="0"/>
          <w:bCs w:val="0"/>
          <w:sz w:val="32"/>
          <w:szCs w:val="32"/>
        </w:rPr>
        <w:t>二、评价结论及绩效分析</w:t>
      </w:r>
    </w:p>
    <w:p>
      <w:pPr>
        <w:spacing w:line="580" w:lineRule="exact"/>
        <w:ind w:firstLineChars="200" w:firstLine="640"/>
        <w:rPr>
          <w:rStyle w:val="1Char"/>
          <w:rFonts w:ascii="仿宋" w:eastAsia="仿宋" w:cs="Times New Roman" w:hAnsi="仿宋"/>
          <w:b w:val="0"/>
          <w:bCs w:val="0"/>
          <w:sz w:val="32"/>
          <w:szCs w:val="32"/>
        </w:rPr>
      </w:pPr>
      <w:r>
        <w:rPr>
          <w:rStyle w:val="1Char"/>
          <w:rFonts w:ascii="仿宋" w:eastAsia="仿宋" w:cs="Times New Roman" w:hAnsi="仿宋" w:hint="eastAsia"/>
          <w:b w:val="0"/>
          <w:bCs w:val="0"/>
          <w:sz w:val="32"/>
          <w:szCs w:val="32"/>
        </w:rPr>
        <w:t>（一）评价结论</w:t>
      </w:r>
    </w:p>
    <w:p>
      <w:pPr>
        <w:spacing w:line="58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宣传老区人民对党和革命事业做出的巨大牺牲和贡献；动员社会各界关心支持老区建设；深入老区调查；提出政策性建议；开展信息交流；帮助老区发展经济等。</w:t>
      </w:r>
    </w:p>
    <w:p>
      <w:pPr>
        <w:spacing w:line="580" w:lineRule="exact"/>
        <w:ind w:firstLineChars="200" w:firstLine="640"/>
        <w:rPr>
          <w:rStyle w:val="1Char"/>
          <w:rFonts w:ascii="仿宋" w:eastAsia="仿宋" w:cs="Times New Roman" w:hAnsi="仿宋"/>
          <w:b w:val="0"/>
          <w:bCs w:val="0"/>
          <w:sz w:val="32"/>
          <w:szCs w:val="32"/>
        </w:rPr>
      </w:pPr>
      <w:r>
        <w:rPr>
          <w:rStyle w:val="1Char"/>
          <w:rFonts w:ascii="仿宋" w:eastAsia="仿宋" w:cs="Times New Roman" w:hAnsi="仿宋" w:hint="eastAsia"/>
          <w:b w:val="0"/>
          <w:bCs w:val="0"/>
          <w:sz w:val="32"/>
          <w:szCs w:val="32"/>
        </w:rPr>
        <w:t>项目评价得分表</w:t>
      </w:r>
    </w:p>
    <w:tbl>
      <w:tblPr>
        <w:jc w:val="left"/>
        <w:tblInd w:w="0" w:type="dxa"/>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840"/>
        <w:gridCol w:w="2841"/>
        <w:gridCol w:w="2841"/>
      </w:tblGrid>
      <w:tr>
        <w:tc>
          <w:tcPr>
            <w:tcW w:w="2840" w:type="dxa"/>
          </w:tcPr>
          <w:p>
            <w:pPr>
              <w:spacing w:line="580" w:lineRule="exact"/>
              <w:ind w:firstLineChars="200" w:firstLine="640"/>
              <w:rPr>
                <w:rStyle w:val="1Char"/>
                <w:rFonts w:ascii="仿宋" w:eastAsia="仿宋" w:cs="Times New Roman" w:hAnsi="仿宋"/>
                <w:b w:val="0"/>
                <w:bCs w:val="0"/>
                <w:sz w:val="32"/>
                <w:szCs w:val="32"/>
              </w:rPr>
            </w:pPr>
            <w:r>
              <w:rPr>
                <w:rStyle w:val="1Char"/>
                <w:rFonts w:ascii="仿宋" w:eastAsia="仿宋" w:cs="Times New Roman" w:hAnsi="仿宋" w:hint="eastAsia"/>
                <w:b w:val="0"/>
                <w:bCs w:val="0"/>
                <w:sz w:val="32"/>
                <w:szCs w:val="32"/>
              </w:rPr>
              <w:t>目标任务</w:t>
            </w:r>
          </w:p>
        </w:tc>
        <w:tc>
          <w:tcPr>
            <w:tcW w:w="2841" w:type="dxa"/>
          </w:tcPr>
          <w:p>
            <w:pPr>
              <w:spacing w:line="580" w:lineRule="exact"/>
              <w:ind w:firstLineChars="200" w:firstLine="640"/>
              <w:rPr>
                <w:rStyle w:val="1Char"/>
                <w:rFonts w:ascii="仿宋" w:eastAsia="仿宋" w:cs="Times New Roman" w:hAnsi="仿宋"/>
                <w:b w:val="0"/>
                <w:bCs w:val="0"/>
                <w:sz w:val="32"/>
                <w:szCs w:val="32"/>
              </w:rPr>
            </w:pPr>
            <w:r>
              <w:rPr>
                <w:rStyle w:val="1Char"/>
                <w:rFonts w:ascii="仿宋" w:eastAsia="仿宋" w:cs="Times New Roman" w:hAnsi="仿宋" w:hint="eastAsia"/>
                <w:b w:val="0"/>
                <w:bCs w:val="0"/>
                <w:sz w:val="32"/>
                <w:szCs w:val="32"/>
              </w:rPr>
              <w:t>得 分</w:t>
            </w:r>
          </w:p>
        </w:tc>
        <w:tc>
          <w:tcPr>
            <w:tcW w:w="2841" w:type="dxa"/>
          </w:tcPr>
          <w:p>
            <w:pPr>
              <w:spacing w:line="580" w:lineRule="exact"/>
              <w:ind w:firstLineChars="200" w:firstLine="640"/>
              <w:rPr>
                <w:rStyle w:val="1Char"/>
                <w:rFonts w:ascii="仿宋" w:eastAsia="仿宋" w:cs="Times New Roman" w:hAnsi="仿宋"/>
                <w:b w:val="0"/>
                <w:bCs w:val="0"/>
                <w:sz w:val="32"/>
                <w:szCs w:val="32"/>
              </w:rPr>
            </w:pPr>
            <w:r>
              <w:rPr>
                <w:rStyle w:val="1Char"/>
                <w:rFonts w:ascii="仿宋" w:eastAsia="仿宋" w:cs="Times New Roman" w:hAnsi="仿宋" w:hint="eastAsia"/>
                <w:b w:val="0"/>
                <w:bCs w:val="0"/>
                <w:sz w:val="32"/>
                <w:szCs w:val="32"/>
              </w:rPr>
              <w:t>备注</w:t>
            </w:r>
          </w:p>
        </w:tc>
      </w:tr>
      <w:tr>
        <w:tc>
          <w:tcPr>
            <w:tcW w:w="2840" w:type="dxa"/>
          </w:tcPr>
          <w:p>
            <w:pPr>
              <w:spacing w:line="580" w:lineRule="exact"/>
              <w:ind w:firstLineChars="200" w:firstLine="640"/>
              <w:rPr>
                <w:rStyle w:val="1Char"/>
                <w:rFonts w:ascii="仿宋" w:eastAsia="仿宋" w:cs="Times New Roman" w:hAnsi="仿宋"/>
                <w:b w:val="0"/>
                <w:bCs w:val="0"/>
                <w:sz w:val="32"/>
                <w:szCs w:val="32"/>
              </w:rPr>
            </w:pPr>
            <w:r>
              <w:rPr>
                <w:rStyle w:val="1Char"/>
                <w:rFonts w:ascii="仿宋" w:eastAsia="仿宋" w:cs="Times New Roman" w:hAnsi="仿宋" w:hint="eastAsia"/>
                <w:b w:val="0"/>
                <w:bCs w:val="0"/>
                <w:sz w:val="32"/>
                <w:szCs w:val="32"/>
              </w:rPr>
              <w:t>资金拨付</w:t>
            </w:r>
          </w:p>
        </w:tc>
        <w:tc>
          <w:tcPr>
            <w:tcW w:w="2841" w:type="dxa"/>
            <w:tcBorders>
              <w:top w:val="single" w:sz="4" w:space="0" w:color="auto"/>
              <w:left w:val="single" w:sz="4" w:space="0" w:color="auto"/>
              <w:right w:val="single" w:sz="4" w:space="0" w:color="auto"/>
            </w:tcBorders>
          </w:tcPr>
          <w:p>
            <w:pPr>
              <w:spacing w:line="580" w:lineRule="exact"/>
              <w:ind w:firstLineChars="200" w:firstLine="640"/>
              <w:rPr>
                <w:rStyle w:val="1Char"/>
                <w:rFonts w:ascii="仿宋" w:eastAsia="仿宋" w:cs="Times New Roman" w:hAnsi="仿宋"/>
                <w:b w:val="0"/>
                <w:bCs w:val="0"/>
                <w:sz w:val="32"/>
                <w:szCs w:val="32"/>
              </w:rPr>
            </w:pPr>
            <w:r>
              <w:rPr>
                <w:rStyle w:val="1Char"/>
                <w:rFonts w:ascii="仿宋" w:eastAsia="仿宋" w:cs="Times New Roman" w:hAnsi="仿宋" w:hint="eastAsia"/>
                <w:b w:val="0"/>
                <w:bCs w:val="0"/>
                <w:sz w:val="32"/>
                <w:szCs w:val="32"/>
              </w:rPr>
              <w:t>5</w:t>
            </w:r>
          </w:p>
        </w:tc>
        <w:tc>
          <w:tcPr>
            <w:tcW w:w="2841" w:type="dxa"/>
          </w:tcPr>
          <w:p>
            <w:pPr>
              <w:spacing w:line="580" w:lineRule="exact"/>
              <w:ind w:firstLineChars="200" w:firstLine="640"/>
              <w:rPr>
                <w:rStyle w:val="1Char"/>
                <w:rFonts w:ascii="仿宋" w:eastAsia="仿宋" w:cs="Times New Roman" w:hAnsi="仿宋"/>
                <w:b w:val="0"/>
                <w:bCs w:val="0"/>
                <w:sz w:val="32"/>
                <w:szCs w:val="32"/>
              </w:rPr>
            </w:pPr>
          </w:p>
        </w:tc>
      </w:tr>
      <w:tr>
        <w:tc>
          <w:tcPr>
            <w:tcW w:w="2840" w:type="dxa"/>
          </w:tcPr>
          <w:p>
            <w:pPr>
              <w:spacing w:line="580" w:lineRule="exact"/>
              <w:ind w:firstLineChars="200" w:firstLine="640"/>
              <w:rPr>
                <w:rStyle w:val="1Char"/>
                <w:rFonts w:ascii="仿宋" w:eastAsia="仿宋" w:cs="Times New Roman" w:hAnsi="仿宋"/>
                <w:b w:val="0"/>
                <w:bCs w:val="0"/>
                <w:sz w:val="32"/>
                <w:szCs w:val="32"/>
              </w:rPr>
            </w:pPr>
            <w:r>
              <w:rPr>
                <w:rStyle w:val="1Char"/>
                <w:rFonts w:ascii="仿宋" w:eastAsia="仿宋" w:cs="Times New Roman" w:hAnsi="仿宋" w:hint="eastAsia"/>
                <w:b w:val="0"/>
                <w:bCs w:val="0"/>
                <w:sz w:val="32"/>
                <w:szCs w:val="32"/>
              </w:rPr>
              <w:t>满意度</w:t>
            </w:r>
          </w:p>
        </w:tc>
        <w:tc>
          <w:tcPr>
            <w:tcW w:w="2841" w:type="dxa"/>
            <w:tcBorders>
              <w:top w:val="single" w:sz="4" w:space="0" w:color="auto"/>
              <w:left w:val="single" w:sz="4" w:space="0" w:color="auto"/>
              <w:right w:val="single" w:sz="4" w:space="0" w:color="auto"/>
            </w:tcBorders>
          </w:tcPr>
          <w:p>
            <w:pPr>
              <w:spacing w:line="580" w:lineRule="exact"/>
              <w:ind w:firstLineChars="200" w:firstLine="640"/>
              <w:rPr>
                <w:rStyle w:val="1Char"/>
                <w:rFonts w:ascii="仿宋" w:eastAsia="仿宋" w:cs="Times New Roman" w:hAnsi="仿宋"/>
                <w:b w:val="0"/>
                <w:bCs w:val="0"/>
                <w:sz w:val="32"/>
                <w:szCs w:val="32"/>
              </w:rPr>
            </w:pPr>
            <w:r>
              <w:rPr>
                <w:rStyle w:val="1Char"/>
                <w:rFonts w:ascii="仿宋" w:eastAsia="仿宋" w:cs="Times New Roman" w:hAnsi="仿宋" w:hint="eastAsia"/>
                <w:b w:val="0"/>
                <w:bCs w:val="0"/>
                <w:sz w:val="32"/>
                <w:szCs w:val="32"/>
              </w:rPr>
              <w:t>5</w:t>
            </w:r>
          </w:p>
        </w:tc>
        <w:tc>
          <w:tcPr>
            <w:tcW w:w="2841" w:type="dxa"/>
          </w:tcPr>
          <w:p>
            <w:pPr>
              <w:spacing w:line="580" w:lineRule="exact"/>
              <w:ind w:firstLineChars="200" w:firstLine="640"/>
              <w:rPr>
                <w:rStyle w:val="1Char"/>
                <w:rFonts w:ascii="仿宋" w:eastAsia="仿宋" w:cs="Times New Roman" w:hAnsi="仿宋"/>
                <w:b w:val="0"/>
                <w:bCs w:val="0"/>
                <w:sz w:val="32"/>
                <w:szCs w:val="32"/>
              </w:rPr>
            </w:pPr>
          </w:p>
        </w:tc>
      </w:tr>
      <w:tr>
        <w:tc>
          <w:tcPr>
            <w:tcW w:w="2840" w:type="dxa"/>
          </w:tcPr>
          <w:p>
            <w:pPr>
              <w:spacing w:line="580" w:lineRule="exact"/>
              <w:ind w:firstLineChars="200" w:firstLine="640"/>
              <w:rPr>
                <w:rStyle w:val="1Char"/>
                <w:rFonts w:ascii="仿宋" w:eastAsia="仿宋" w:cs="Times New Roman" w:hAnsi="仿宋"/>
                <w:b w:val="0"/>
                <w:bCs w:val="0"/>
                <w:sz w:val="32"/>
                <w:szCs w:val="32"/>
              </w:rPr>
            </w:pPr>
            <w:r>
              <w:rPr>
                <w:rStyle w:val="1Char"/>
                <w:rFonts w:ascii="仿宋" w:eastAsia="仿宋" w:cs="Times New Roman" w:hAnsi="仿宋" w:hint="eastAsia"/>
                <w:b w:val="0"/>
                <w:bCs w:val="0"/>
                <w:sz w:val="32"/>
                <w:szCs w:val="32"/>
              </w:rPr>
              <w:t>合  计</w:t>
            </w:r>
          </w:p>
        </w:tc>
        <w:tc>
          <w:tcPr>
            <w:tcW w:w="2841" w:type="dxa"/>
            <w:tcBorders>
              <w:top w:val="single" w:sz="4" w:space="0" w:color="auto"/>
              <w:left w:val="single" w:sz="4" w:space="0" w:color="auto"/>
              <w:right w:val="single" w:sz="4" w:space="0" w:color="auto"/>
            </w:tcBorders>
          </w:tcPr>
          <w:p>
            <w:pPr>
              <w:spacing w:line="580" w:lineRule="exact"/>
              <w:ind w:firstLineChars="200" w:firstLine="640"/>
              <w:rPr>
                <w:rStyle w:val="1Char"/>
                <w:rFonts w:ascii="仿宋" w:eastAsia="仿宋" w:cs="Times New Roman" w:hAnsi="仿宋"/>
                <w:b w:val="0"/>
                <w:bCs w:val="0"/>
                <w:sz w:val="32"/>
                <w:szCs w:val="32"/>
              </w:rPr>
            </w:pPr>
            <w:r>
              <w:rPr>
                <w:rStyle w:val="1Char"/>
                <w:rFonts w:ascii="仿宋" w:eastAsia="仿宋" w:cs="Times New Roman" w:hAnsi="仿宋" w:hint="eastAsia"/>
                <w:b w:val="0"/>
                <w:bCs w:val="0"/>
                <w:sz w:val="32"/>
                <w:szCs w:val="32"/>
              </w:rPr>
              <w:t>10</w:t>
            </w:r>
          </w:p>
        </w:tc>
        <w:tc>
          <w:tcPr>
            <w:tcW w:w="2841" w:type="dxa"/>
          </w:tcPr>
          <w:p>
            <w:pPr>
              <w:spacing w:line="580" w:lineRule="exact"/>
              <w:ind w:firstLineChars="200" w:firstLine="640"/>
              <w:rPr>
                <w:rStyle w:val="1Char"/>
                <w:rFonts w:ascii="仿宋" w:eastAsia="仿宋" w:cs="Times New Roman" w:hAnsi="仿宋"/>
                <w:b w:val="0"/>
                <w:bCs w:val="0"/>
                <w:sz w:val="32"/>
                <w:szCs w:val="32"/>
              </w:rPr>
            </w:pPr>
          </w:p>
        </w:tc>
      </w:tr>
    </w:tbl>
    <w:p>
      <w:pPr>
        <w:spacing w:line="580" w:lineRule="exact"/>
        <w:ind w:firstLineChars="200" w:firstLine="640"/>
        <w:rPr>
          <w:rStyle w:val="1Char"/>
          <w:rFonts w:ascii="仿宋" w:eastAsia="仿宋" w:cs="Times New Roman" w:hAnsi="仿宋"/>
          <w:b w:val="0"/>
          <w:bCs w:val="0"/>
          <w:sz w:val="32"/>
          <w:szCs w:val="32"/>
        </w:rPr>
      </w:pPr>
    </w:p>
    <w:p>
      <w:pPr>
        <w:spacing w:line="580" w:lineRule="exact"/>
        <w:ind w:firstLineChars="200" w:firstLine="640"/>
        <w:rPr>
          <w:rStyle w:val="1Char"/>
          <w:rFonts w:ascii="仿宋" w:eastAsia="仿宋" w:cs="Times New Roman" w:hAnsi="仿宋"/>
          <w:b w:val="0"/>
          <w:bCs w:val="0"/>
          <w:sz w:val="32"/>
          <w:szCs w:val="32"/>
        </w:rPr>
      </w:pPr>
      <w:r>
        <w:rPr>
          <w:rStyle w:val="1Char"/>
          <w:rFonts w:ascii="仿宋" w:eastAsia="仿宋" w:cs="Times New Roman" w:hAnsi="仿宋" w:hint="eastAsia"/>
          <w:b w:val="0"/>
          <w:bCs w:val="0"/>
          <w:sz w:val="32"/>
          <w:szCs w:val="32"/>
        </w:rPr>
        <w:t>（二）绩效分析</w:t>
      </w:r>
    </w:p>
    <w:p>
      <w:pPr>
        <w:spacing w:line="580" w:lineRule="exact"/>
        <w:ind w:firstLineChars="200" w:firstLine="640"/>
        <w:rPr>
          <w:rStyle w:val="1Char"/>
          <w:rFonts w:ascii="仿宋" w:eastAsia="仿宋" w:cs="Times New Roman" w:hAnsi="仿宋"/>
          <w:b w:val="0"/>
          <w:bCs w:val="0"/>
          <w:sz w:val="32"/>
          <w:szCs w:val="32"/>
        </w:rPr>
      </w:pPr>
      <w:r>
        <w:rPr>
          <w:rStyle w:val="1Char"/>
          <w:rFonts w:ascii="仿宋" w:eastAsia="仿宋" w:cs="Times New Roman" w:hAnsi="仿宋" w:hint="eastAsia"/>
          <w:b w:val="0"/>
          <w:bCs w:val="0"/>
          <w:sz w:val="32"/>
          <w:szCs w:val="32"/>
        </w:rPr>
        <w:t>1、项目决策</w:t>
      </w:r>
    </w:p>
    <w:p>
      <w:pPr>
        <w:spacing w:line="580" w:lineRule="exact"/>
        <w:ind w:firstLineChars="200" w:firstLine="640"/>
        <w:rPr>
          <w:rStyle w:val="1Char"/>
          <w:rFonts w:ascii="仿宋" w:eastAsia="仿宋" w:cs="Times New Roman" w:hAnsi="仿宋"/>
          <w:b w:val="0"/>
          <w:bCs w:val="0"/>
          <w:sz w:val="32"/>
          <w:szCs w:val="32"/>
        </w:rPr>
      </w:pPr>
      <w:r>
        <w:rPr>
          <w:rFonts w:ascii="仿宋" w:eastAsia="仿宋" w:hAnsi="仿宋" w:hint="eastAsia"/>
          <w:bCs/>
          <w:color w:val="000000"/>
          <w:sz w:val="32"/>
          <w:szCs w:val="32"/>
        </w:rPr>
        <w:t>宣传老区人民对党和革命事业做出的巨大牺牲和贡献；动员社会各界关心支持老区建设；深入老区调查；提出政策性建议；开展信息交流；帮助老区发展经济等。</w:t>
      </w:r>
    </w:p>
    <w:p>
      <w:pPr>
        <w:spacing w:line="580" w:lineRule="exact"/>
        <w:ind w:firstLineChars="200" w:firstLine="640"/>
        <w:rPr>
          <w:rStyle w:val="1Char"/>
          <w:rFonts w:ascii="仿宋" w:eastAsia="仿宋" w:cs="Times New Roman" w:hAnsi="仿宋"/>
          <w:b w:val="0"/>
          <w:bCs w:val="0"/>
          <w:sz w:val="32"/>
          <w:szCs w:val="32"/>
        </w:rPr>
      </w:pPr>
      <w:r>
        <w:rPr>
          <w:rStyle w:val="1Char"/>
          <w:rFonts w:ascii="仿宋" w:eastAsia="仿宋" w:cs="Times New Roman" w:hAnsi="仿宋" w:hint="eastAsia"/>
          <w:b w:val="0"/>
          <w:bCs w:val="0"/>
          <w:sz w:val="32"/>
          <w:szCs w:val="32"/>
        </w:rPr>
        <w:t>2、项目管理</w:t>
      </w:r>
    </w:p>
    <w:p>
      <w:pPr>
        <w:spacing w:line="58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宣传老区人民对党和革命事业做出的巨大牺牲和贡献；动员社会各界关心支持老区建设；深入老区调查；提出政策性建议；开展信息交流；帮助老区发展经济等。</w:t>
      </w:r>
    </w:p>
    <w:p>
      <w:pPr>
        <w:spacing w:line="580" w:lineRule="exact"/>
        <w:ind w:firstLineChars="200" w:firstLine="640"/>
        <w:rPr>
          <w:rStyle w:val="1Char"/>
          <w:rFonts w:ascii="仿宋" w:eastAsia="仿宋" w:cs="Times New Roman" w:hAnsi="仿宋"/>
          <w:b w:val="0"/>
          <w:bCs w:val="0"/>
          <w:sz w:val="32"/>
          <w:szCs w:val="32"/>
        </w:rPr>
      </w:pPr>
      <w:r>
        <w:rPr>
          <w:rStyle w:val="1Char"/>
          <w:rFonts w:ascii="仿宋" w:eastAsia="仿宋" w:cs="Times New Roman" w:hAnsi="仿宋" w:hint="eastAsia"/>
          <w:b w:val="0"/>
          <w:bCs w:val="0"/>
          <w:sz w:val="32"/>
          <w:szCs w:val="32"/>
        </w:rPr>
        <w:t>3、项目绩效</w:t>
      </w:r>
    </w:p>
    <w:p>
      <w:pPr>
        <w:spacing w:line="580" w:lineRule="exact"/>
        <w:ind w:firstLineChars="200" w:firstLine="640"/>
        <w:rPr>
          <w:rStyle w:val="1Char"/>
          <w:rFonts w:ascii="仿宋" w:eastAsia="仿宋" w:cs="Times New Roman" w:hAnsi="仿宋"/>
          <w:b w:val="0"/>
          <w:bCs w:val="0"/>
          <w:sz w:val="32"/>
          <w:szCs w:val="32"/>
        </w:rPr>
      </w:pPr>
      <w:r>
        <w:rPr>
          <w:rFonts w:ascii="仿宋" w:eastAsia="仿宋" w:hAnsi="仿宋" w:hint="eastAsia"/>
          <w:bCs/>
          <w:color w:val="000000"/>
          <w:sz w:val="32"/>
          <w:szCs w:val="32"/>
        </w:rPr>
        <w:t>通过该项工作的开展，宣传老区人民对党和革命事业做出的巨大牺牲和贡献；动员社会各界关心支持老区建设；深入老区调查；提出政策性建议；开展信息交流；帮助老区发展经济等。</w:t>
      </w:r>
      <w:r>
        <w:rPr>
          <w:rStyle w:val="1Char"/>
          <w:rFonts w:ascii="仿宋" w:eastAsia="仿宋" w:cs="Times New Roman" w:hAnsi="仿宋" w:hint="eastAsia"/>
          <w:b w:val="0"/>
          <w:bCs w:val="0"/>
          <w:sz w:val="32"/>
          <w:szCs w:val="32"/>
        </w:rPr>
        <w:t xml:space="preserve"> </w:t>
      </w:r>
    </w:p>
    <w:p>
      <w:pPr>
        <w:spacing w:line="580" w:lineRule="exact"/>
        <w:ind w:firstLineChars="200" w:firstLine="640"/>
        <w:rPr>
          <w:rStyle w:val="1Char"/>
          <w:rFonts w:ascii="仿宋" w:eastAsia="仿宋" w:cs="Times New Roman" w:hAnsi="仿宋"/>
          <w:b w:val="0"/>
          <w:bCs w:val="0"/>
          <w:sz w:val="32"/>
          <w:szCs w:val="32"/>
        </w:rPr>
      </w:pPr>
      <w:r>
        <w:rPr>
          <w:rStyle w:val="1Char"/>
          <w:rFonts w:ascii="仿宋" w:eastAsia="仿宋" w:cs="Times New Roman" w:hAnsi="仿宋" w:hint="eastAsia"/>
          <w:b w:val="0"/>
          <w:bCs w:val="0"/>
          <w:sz w:val="32"/>
          <w:szCs w:val="32"/>
        </w:rPr>
        <w:t xml:space="preserve">三、存在主要问题  </w:t>
      </w:r>
    </w:p>
    <w:p>
      <w:pPr>
        <w:spacing w:line="58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 xml:space="preserve"> 进一步加强开展信息交流，帮助老区发展经济等。</w:t>
      </w:r>
    </w:p>
    <w:p>
      <w:pPr>
        <w:spacing w:line="580" w:lineRule="exact"/>
        <w:ind w:firstLineChars="200" w:firstLine="640"/>
        <w:rPr>
          <w:rStyle w:val="1Char"/>
          <w:rFonts w:ascii="仿宋" w:eastAsia="仿宋" w:cs="Times New Roman" w:hAnsi="仿宋"/>
          <w:b w:val="0"/>
          <w:bCs w:val="0"/>
          <w:sz w:val="32"/>
          <w:szCs w:val="32"/>
        </w:rPr>
      </w:pPr>
      <w:r>
        <w:rPr>
          <w:rStyle w:val="1Char"/>
          <w:rFonts w:ascii="仿宋" w:eastAsia="仿宋" w:cs="Times New Roman" w:hAnsi="仿宋" w:hint="eastAsia"/>
          <w:b w:val="0"/>
          <w:bCs w:val="0"/>
          <w:sz w:val="32"/>
          <w:szCs w:val="32"/>
        </w:rPr>
        <w:t>四、相关措施建议</w:t>
      </w:r>
    </w:p>
    <w:p>
      <w:pPr>
        <w:spacing w:line="580" w:lineRule="exact"/>
        <w:ind w:firstLineChars="200" w:firstLine="640"/>
        <w:rPr>
          <w:rStyle w:val="1Char"/>
          <w:rFonts w:ascii="仿宋" w:eastAsia="仿宋" w:cs="Times New Roman" w:hAnsi="仿宋"/>
          <w:b w:val="0"/>
          <w:bCs w:val="0"/>
          <w:sz w:val="32"/>
          <w:szCs w:val="32"/>
        </w:rPr>
      </w:pPr>
      <w:r>
        <w:rPr>
          <w:rFonts w:ascii="仿宋" w:eastAsia="仿宋" w:hAnsi="仿宋" w:hint="eastAsia"/>
          <w:bCs/>
          <w:color w:val="000000"/>
          <w:sz w:val="32"/>
          <w:szCs w:val="32"/>
        </w:rPr>
        <w:t xml:space="preserve"> 动员社会各界关心支持老区建设，深入老区调查，提出政策性建议。</w:t>
      </w:r>
    </w:p>
    <w:p>
      <w:pPr>
        <w:spacing w:line="580" w:lineRule="exact"/>
        <w:jc w:val="center"/>
        <w:rPr>
          <w:rStyle w:val="1Char"/>
          <w:rFonts w:ascii="仿宋" w:eastAsia="仿宋" w:cs="Times New Roman" w:hAnsi="仿宋"/>
          <w:b w:val="0"/>
          <w:bCs w:val="0"/>
          <w:sz w:val="32"/>
          <w:szCs w:val="32"/>
        </w:rPr>
      </w:pPr>
    </w:p>
    <w:p>
      <w:pPr>
        <w:spacing w:line="580" w:lineRule="exact"/>
        <w:jc w:val="center"/>
        <w:rPr>
          <w:rStyle w:val="1Char"/>
          <w:rFonts w:ascii="仿宋" w:eastAsia="仿宋" w:cs="Times New Roman" w:hAnsi="仿宋"/>
          <w:b w:val="0"/>
          <w:bCs w:val="0"/>
          <w:sz w:val="32"/>
          <w:szCs w:val="32"/>
        </w:rPr>
      </w:pPr>
    </w:p>
    <w:p>
      <w:pPr>
        <w:spacing w:line="580" w:lineRule="exact"/>
        <w:jc w:val="center"/>
        <w:rPr>
          <w:rStyle w:val="1Char"/>
          <w:rFonts w:ascii="仿宋" w:eastAsia="仿宋" w:cs="Times New Roman" w:hAnsi="仿宋"/>
          <w:b w:val="0"/>
          <w:bCs w:val="0"/>
          <w:sz w:val="32"/>
          <w:szCs w:val="32"/>
        </w:rPr>
      </w:pPr>
    </w:p>
    <w:p>
      <w:pPr>
        <w:spacing w:line="580" w:lineRule="exact"/>
        <w:jc w:val="center"/>
        <w:rPr>
          <w:rStyle w:val="1Char"/>
          <w:rFonts w:ascii="仿宋" w:eastAsia="仿宋" w:cs="Times New Roman" w:hAnsi="仿宋"/>
          <w:b w:val="0"/>
          <w:bCs w:val="0"/>
          <w:sz w:val="32"/>
          <w:szCs w:val="32"/>
        </w:rPr>
      </w:pPr>
    </w:p>
    <w:p>
      <w:pPr>
        <w:spacing w:line="580" w:lineRule="exact"/>
        <w:jc w:val="center"/>
        <w:rPr>
          <w:rStyle w:val="1Char"/>
          <w:rFonts w:ascii="仿宋" w:eastAsia="仿宋" w:cs="Times New Roman" w:hAnsi="仿宋"/>
          <w:b w:val="0"/>
          <w:bCs w:val="0"/>
          <w:sz w:val="32"/>
          <w:szCs w:val="32"/>
        </w:rPr>
      </w:pPr>
    </w:p>
    <w:p>
      <w:pPr>
        <w:spacing w:line="580" w:lineRule="exact"/>
        <w:rPr>
          <w:rFonts w:ascii="黑体" w:eastAsia="黑体" w:cs="方正小标宋简体" w:hAnsi="黑体"/>
          <w:color w:val="FF0000"/>
          <w:w w:val="80"/>
          <w:sz w:val="44"/>
          <w:szCs w:val="44"/>
        </w:rPr>
      </w:pPr>
    </w:p>
    <w:p>
      <w:pPr>
        <w:spacing w:line="600" w:lineRule="exact"/>
        <w:jc w:val="center"/>
        <w:outlineLvl w:val="0"/>
        <w:rPr>
          <w:rFonts w:ascii="黑体" w:eastAsia="黑体" w:hAnsi="黑体"/>
          <w:color w:val="000000"/>
          <w:sz w:val="44"/>
          <w:szCs w:val="44"/>
        </w:rPr>
      </w:pPr>
    </w:p>
    <w:p>
      <w:pPr>
        <w:spacing w:line="600" w:lineRule="exact"/>
        <w:jc w:val="center"/>
        <w:outlineLvl w:val="0"/>
        <w:rPr>
          <w:rFonts w:ascii="黑体" w:eastAsia="黑体" w:hAnsi="黑体"/>
          <w:color w:val="000000"/>
          <w:sz w:val="44"/>
          <w:szCs w:val="44"/>
        </w:rPr>
      </w:pPr>
    </w:p>
    <w:p>
      <w:pPr>
        <w:widowControl/>
        <w:jc w:val="left"/>
        <w:rPr>
          <w:rStyle w:val="1Char"/>
          <w:rFonts w:ascii="黑体" w:eastAsia="黑体" w:hAnsi="黑体"/>
          <w:b w:val="0"/>
        </w:rPr>
      </w:pPr>
      <w:bookmarkEnd w:id="58"/>
      <w:r>
        <w:rPr>
          <w:rStyle w:val="1Char"/>
          <w:rFonts w:ascii="黑体" w:eastAsia="黑体" w:hAnsi="黑体"/>
          <w:b w:val="0"/>
        </w:rPr>
        <w:br w:type="page"/>
      </w:r>
    </w:p>
    <w:p>
      <w:pPr>
        <w:spacing w:line="600" w:lineRule="exact"/>
        <w:jc w:val="center"/>
        <w:outlineLvl w:val="0"/>
        <w:rPr>
          <w:rStyle w:val="1Char"/>
          <w:rFonts w:ascii="黑体" w:eastAsia="黑体" w:hAnsi="黑体"/>
          <w:b w:val="0"/>
        </w:rPr>
      </w:pPr>
    </w:p>
    <w:p>
      <w:pPr>
        <w:spacing w:line="600" w:lineRule="exact"/>
        <w:jc w:val="center"/>
        <w:outlineLvl w:val="0"/>
        <w:rPr>
          <w:rStyle w:val="1Char"/>
          <w:rFonts w:ascii="黑体" w:eastAsia="黑体" w:hAnsi="黑体"/>
          <w:b w:val="0"/>
        </w:rPr>
      </w:pPr>
      <w:bookmarkStart w:id="59" w:name="_Toc15396618"/>
      <w:r>
        <w:rPr>
          <w:rFonts w:ascii="黑体" w:eastAsia="黑体" w:hAnsi="黑体" w:hint="eastAsia"/>
          <w:color w:val="000000"/>
          <w:sz w:val="44"/>
          <w:szCs w:val="44"/>
        </w:rPr>
        <w:t>第</w:t>
      </w:r>
      <w:r>
        <w:rPr>
          <w:rStyle w:val="1Char"/>
          <w:rFonts w:ascii="黑体" w:eastAsia="黑体" w:hAnsi="黑体" w:hint="eastAsia"/>
          <w:b w:val="0"/>
        </w:rPr>
        <w:t>五部分 附表</w:t>
      </w:r>
      <w:bookmarkEnd w:id="57"/>
      <w:bookmarkEnd w:id="59"/>
    </w:p>
    <w:p>
      <w:pPr>
        <w:spacing w:line="600" w:lineRule="exact"/>
        <w:jc w:val="center"/>
        <w:outlineLvl w:val="0"/>
        <w:rPr>
          <w:rFonts w:ascii="仿宋" w:eastAsia="仿宋" w:hAnsi="仿宋"/>
          <w:b/>
          <w:color w:val="000000"/>
          <w:sz w:val="44"/>
          <w:szCs w:val="44"/>
        </w:rPr>
      </w:pPr>
    </w:p>
    <w:p>
      <w:pPr>
        <w:pStyle w:val="2"/>
        <w:rPr>
          <w:rFonts w:ascii="仿宋" w:eastAsia="仿宋" w:hAnsi="仿宋"/>
          <w:color w:val="000000"/>
        </w:rPr>
      </w:pPr>
      <w:bookmarkStart w:id="60" w:name="_Toc15396619"/>
      <w:r>
        <w:rPr>
          <w:rFonts w:ascii="仿宋" w:eastAsia="仿宋" w:hAnsi="仿宋" w:hint="eastAsia"/>
          <w:b w:val="0"/>
          <w:color w:val="000000"/>
        </w:rPr>
        <w:t>一、收</w:t>
      </w:r>
      <w:r>
        <w:rPr>
          <w:rStyle w:val="2Char"/>
          <w:rFonts w:ascii="仿宋" w:eastAsia="仿宋" w:hAnsi="仿宋" w:hint="eastAsia"/>
          <w:b w:val="0"/>
          <w:bCs w:val="0"/>
        </w:rPr>
        <w:t>入支出决算总表</w:t>
      </w:r>
      <w:bookmarkEnd w:id="60"/>
    </w:p>
    <w:p>
      <w:pPr>
        <w:pStyle w:val="2"/>
        <w:rPr>
          <w:rFonts w:ascii="仿宋" w:eastAsia="仿宋" w:hAnsi="仿宋"/>
          <w:color w:val="000000"/>
        </w:rPr>
      </w:pPr>
      <w:bookmarkStart w:id="61" w:name="_Toc15396620"/>
      <w:r>
        <w:rPr>
          <w:rFonts w:ascii="仿宋" w:eastAsia="仿宋" w:hAnsi="仿宋" w:hint="eastAsia"/>
          <w:b w:val="0"/>
          <w:color w:val="000000"/>
        </w:rPr>
        <w:t>二、收</w:t>
      </w:r>
      <w:r>
        <w:rPr>
          <w:rStyle w:val="2Char"/>
          <w:rFonts w:ascii="仿宋" w:eastAsia="仿宋" w:hAnsi="仿宋" w:hint="eastAsia"/>
          <w:b w:val="0"/>
          <w:bCs w:val="0"/>
        </w:rPr>
        <w:t>入决算表</w:t>
      </w:r>
      <w:bookmarkEnd w:id="61"/>
    </w:p>
    <w:p>
      <w:pPr>
        <w:pStyle w:val="2"/>
        <w:rPr>
          <w:rFonts w:ascii="仿宋" w:eastAsia="仿宋" w:hAnsi="仿宋"/>
          <w:color w:val="000000"/>
        </w:rPr>
      </w:pPr>
      <w:bookmarkStart w:id="62" w:name="_Toc15396621"/>
      <w:r>
        <w:rPr>
          <w:rStyle w:val="2Char"/>
          <w:rFonts w:ascii="仿宋" w:eastAsia="仿宋" w:hAnsi="仿宋" w:hint="eastAsia"/>
          <w:b w:val="0"/>
          <w:bCs w:val="0"/>
        </w:rPr>
        <w:t>三、</w:t>
      </w:r>
      <w:r>
        <w:rPr>
          <w:rFonts w:ascii="仿宋" w:eastAsia="仿宋" w:hAnsi="仿宋" w:hint="eastAsia"/>
          <w:b w:val="0"/>
          <w:color w:val="000000"/>
        </w:rPr>
        <w:t>支</w:t>
      </w:r>
      <w:r>
        <w:rPr>
          <w:rStyle w:val="2Char"/>
          <w:rFonts w:ascii="仿宋" w:eastAsia="仿宋" w:hAnsi="仿宋" w:hint="eastAsia"/>
          <w:b w:val="0"/>
          <w:bCs w:val="0"/>
        </w:rPr>
        <w:t>出决算表</w:t>
      </w:r>
      <w:bookmarkEnd w:id="62"/>
    </w:p>
    <w:p>
      <w:pPr>
        <w:pStyle w:val="2"/>
        <w:rPr>
          <w:rFonts w:ascii="仿宋" w:eastAsia="仿宋" w:hAnsi="仿宋"/>
          <w:b w:val="0"/>
          <w:color w:val="000000"/>
        </w:rPr>
      </w:pPr>
      <w:bookmarkStart w:id="63" w:name="_Toc15396622"/>
      <w:r>
        <w:rPr>
          <w:rStyle w:val="2Char"/>
          <w:rFonts w:ascii="仿宋" w:eastAsia="仿宋" w:hAnsi="仿宋" w:hint="eastAsia"/>
          <w:b w:val="0"/>
          <w:bCs w:val="0"/>
        </w:rPr>
        <w:t>四、</w:t>
      </w:r>
      <w:r>
        <w:rPr>
          <w:rFonts w:ascii="仿宋" w:eastAsia="仿宋" w:hAnsi="仿宋" w:hint="eastAsia"/>
          <w:b w:val="0"/>
          <w:color w:val="000000"/>
        </w:rPr>
        <w:t>财</w:t>
      </w:r>
      <w:r>
        <w:rPr>
          <w:rStyle w:val="2Char"/>
          <w:rFonts w:ascii="仿宋" w:eastAsia="仿宋" w:hAnsi="仿宋" w:hint="eastAsia"/>
          <w:b w:val="0"/>
          <w:bCs w:val="0"/>
        </w:rPr>
        <w:t>政拨款收入支出决算总表</w:t>
      </w:r>
      <w:bookmarkEnd w:id="63"/>
    </w:p>
    <w:p>
      <w:pPr>
        <w:pStyle w:val="2"/>
        <w:rPr>
          <w:rStyle w:val="2Char"/>
          <w:rFonts w:ascii="仿宋" w:eastAsia="仿宋" w:hAnsi="仿宋"/>
          <w:b w:val="0"/>
          <w:bCs w:val="0"/>
        </w:rPr>
      </w:pPr>
      <w:bookmarkStart w:id="64" w:name="_Toc15396623"/>
      <w:r>
        <w:rPr>
          <w:rStyle w:val="2Char"/>
          <w:rFonts w:ascii="仿宋" w:eastAsia="仿宋" w:hAnsi="仿宋" w:hint="eastAsia"/>
          <w:b w:val="0"/>
          <w:bCs w:val="0"/>
        </w:rPr>
        <w:t>五、</w:t>
      </w:r>
      <w:r>
        <w:rPr>
          <w:rFonts w:ascii="仿宋" w:eastAsia="仿宋" w:hAnsi="仿宋" w:hint="eastAsia"/>
          <w:b w:val="0"/>
          <w:color w:val="000000"/>
        </w:rPr>
        <w:t>财</w:t>
      </w:r>
      <w:r>
        <w:rPr>
          <w:rStyle w:val="2Char"/>
          <w:rFonts w:ascii="仿宋" w:eastAsia="仿宋" w:hAnsi="仿宋" w:hint="eastAsia"/>
          <w:b w:val="0"/>
          <w:bCs w:val="0"/>
        </w:rPr>
        <w:t>政拨款支出决算明细表</w:t>
      </w:r>
      <w:bookmarkStart w:id="65" w:name="_Toc15396624"/>
      <w:bookmarkEnd w:id="64"/>
    </w:p>
    <w:p>
      <w:pPr>
        <w:pStyle w:val="2"/>
        <w:rPr>
          <w:rFonts w:ascii="仿宋" w:eastAsia="仿宋" w:hAnsi="仿宋"/>
          <w:color w:val="000000"/>
        </w:rPr>
      </w:pPr>
      <w:r>
        <w:rPr>
          <w:rStyle w:val="2Char"/>
          <w:rFonts w:ascii="仿宋" w:eastAsia="仿宋" w:hAnsi="仿宋" w:hint="eastAsia"/>
          <w:b w:val="0"/>
          <w:bCs w:val="0"/>
        </w:rPr>
        <w:t>六、</w:t>
      </w:r>
      <w:r>
        <w:rPr>
          <w:rFonts w:ascii="仿宋" w:eastAsia="仿宋" w:hAnsi="仿宋" w:hint="eastAsia"/>
          <w:b w:val="0"/>
          <w:color w:val="000000"/>
        </w:rPr>
        <w:t>一</w:t>
      </w:r>
      <w:r>
        <w:rPr>
          <w:rStyle w:val="2Char"/>
          <w:rFonts w:ascii="仿宋" w:eastAsia="仿宋" w:hAnsi="仿宋" w:hint="eastAsia"/>
          <w:b w:val="0"/>
          <w:bCs w:val="0"/>
        </w:rPr>
        <w:t>般公共预算财政拨款支出决算表</w:t>
      </w:r>
      <w:bookmarkEnd w:id="65"/>
    </w:p>
    <w:p>
      <w:pPr>
        <w:pStyle w:val="2"/>
        <w:rPr>
          <w:rFonts w:ascii="仿宋" w:eastAsia="仿宋" w:hAnsi="仿宋"/>
          <w:color w:val="000000"/>
        </w:rPr>
      </w:pPr>
      <w:bookmarkStart w:id="66" w:name="_Toc15396625"/>
      <w:r>
        <w:rPr>
          <w:rStyle w:val="2Char"/>
          <w:rFonts w:ascii="仿宋" w:eastAsia="仿宋" w:hAnsi="仿宋" w:hint="eastAsia"/>
          <w:b w:val="0"/>
          <w:bCs w:val="0"/>
        </w:rPr>
        <w:t>七、</w:t>
      </w:r>
      <w:r>
        <w:rPr>
          <w:rFonts w:ascii="仿宋" w:eastAsia="仿宋" w:hAnsi="仿宋" w:hint="eastAsia"/>
          <w:b w:val="0"/>
          <w:color w:val="000000"/>
        </w:rPr>
        <w:t>一</w:t>
      </w:r>
      <w:r>
        <w:rPr>
          <w:rStyle w:val="2Char"/>
          <w:rFonts w:ascii="仿宋" w:eastAsia="仿宋" w:hAnsi="仿宋" w:hint="eastAsia"/>
          <w:b w:val="0"/>
          <w:bCs w:val="0"/>
        </w:rPr>
        <w:t>般公共预算财政拨款支出决算明细表</w:t>
      </w:r>
      <w:bookmarkEnd w:id="66"/>
    </w:p>
    <w:p>
      <w:pPr>
        <w:pStyle w:val="2"/>
        <w:rPr>
          <w:rFonts w:ascii="仿宋" w:eastAsia="仿宋" w:hAnsi="仿宋"/>
          <w:color w:val="000000"/>
        </w:rPr>
      </w:pPr>
      <w:bookmarkStart w:id="67" w:name="_Toc15396626"/>
      <w:r>
        <w:rPr>
          <w:rStyle w:val="2Char"/>
          <w:rFonts w:ascii="仿宋" w:eastAsia="仿宋" w:hAnsi="仿宋" w:hint="eastAsia"/>
          <w:b w:val="0"/>
          <w:bCs w:val="0"/>
        </w:rPr>
        <w:t>八、</w:t>
      </w:r>
      <w:r>
        <w:rPr>
          <w:rFonts w:ascii="仿宋" w:eastAsia="仿宋" w:hAnsi="仿宋" w:hint="eastAsia"/>
          <w:b w:val="0"/>
          <w:color w:val="000000"/>
        </w:rPr>
        <w:t>一</w:t>
      </w:r>
      <w:r>
        <w:rPr>
          <w:rStyle w:val="2Char"/>
          <w:rFonts w:ascii="仿宋" w:eastAsia="仿宋" w:hAnsi="仿宋" w:hint="eastAsia"/>
          <w:b w:val="0"/>
          <w:bCs w:val="0"/>
        </w:rPr>
        <w:t>般公共预算财政拨款基本支出决算表</w:t>
      </w:r>
      <w:bookmarkEnd w:id="67"/>
    </w:p>
    <w:p>
      <w:pPr>
        <w:pStyle w:val="2"/>
        <w:rPr>
          <w:rFonts w:ascii="仿宋" w:eastAsia="仿宋" w:hAnsi="仿宋"/>
          <w:color w:val="000000"/>
        </w:rPr>
      </w:pPr>
      <w:bookmarkStart w:id="68" w:name="_Toc15396627"/>
      <w:r>
        <w:rPr>
          <w:rStyle w:val="2Char"/>
          <w:rFonts w:ascii="仿宋" w:eastAsia="仿宋" w:hAnsi="仿宋" w:hint="eastAsia"/>
          <w:b w:val="0"/>
          <w:bCs w:val="0"/>
        </w:rPr>
        <w:t>九、</w:t>
      </w:r>
      <w:r>
        <w:rPr>
          <w:rFonts w:ascii="仿宋" w:eastAsia="仿宋" w:hAnsi="仿宋" w:hint="eastAsia"/>
          <w:b w:val="0"/>
          <w:color w:val="000000"/>
        </w:rPr>
        <w:t>一</w:t>
      </w:r>
      <w:r>
        <w:rPr>
          <w:rStyle w:val="2Char"/>
          <w:rFonts w:ascii="仿宋" w:eastAsia="仿宋" w:hAnsi="仿宋" w:hint="eastAsia"/>
          <w:b w:val="0"/>
          <w:bCs w:val="0"/>
        </w:rPr>
        <w:t>般公共预算财政拨款项目支出决算表</w:t>
      </w:r>
      <w:bookmarkEnd w:id="68"/>
    </w:p>
    <w:p>
      <w:pPr>
        <w:pStyle w:val="2"/>
        <w:rPr>
          <w:rFonts w:ascii="仿宋" w:eastAsia="仿宋" w:hAnsi="仿宋"/>
          <w:color w:val="000000"/>
        </w:rPr>
      </w:pPr>
      <w:bookmarkStart w:id="69" w:name="_Toc15396628"/>
      <w:r>
        <w:rPr>
          <w:rStyle w:val="2Char"/>
          <w:rFonts w:ascii="仿宋" w:eastAsia="仿宋" w:hAnsi="仿宋" w:hint="eastAsia"/>
          <w:b w:val="0"/>
          <w:bCs w:val="0"/>
        </w:rPr>
        <w:t>十、</w:t>
      </w:r>
      <w:r>
        <w:rPr>
          <w:rFonts w:ascii="仿宋" w:eastAsia="仿宋" w:hAnsi="仿宋" w:hint="eastAsia"/>
          <w:b w:val="0"/>
          <w:color w:val="000000"/>
        </w:rPr>
        <w:t>一</w:t>
      </w:r>
      <w:r>
        <w:rPr>
          <w:rStyle w:val="2Char"/>
          <w:rFonts w:ascii="仿宋" w:eastAsia="仿宋" w:hAnsi="仿宋" w:hint="eastAsia"/>
          <w:b w:val="0"/>
          <w:bCs w:val="0"/>
        </w:rPr>
        <w:t>般公共预算财政拨款“三公”经费支出决算表</w:t>
      </w:r>
      <w:bookmarkEnd w:id="69"/>
    </w:p>
    <w:p>
      <w:pPr>
        <w:pStyle w:val="2"/>
        <w:rPr>
          <w:rFonts w:ascii="仿宋" w:eastAsia="仿宋" w:hAnsi="仿宋"/>
          <w:color w:val="000000"/>
        </w:rPr>
      </w:pPr>
      <w:bookmarkStart w:id="70" w:name="_Toc15396629"/>
      <w:r>
        <w:rPr>
          <w:rStyle w:val="2Char"/>
          <w:rFonts w:ascii="仿宋" w:eastAsia="仿宋" w:hAnsi="仿宋" w:hint="eastAsia"/>
          <w:b w:val="0"/>
          <w:bCs w:val="0"/>
        </w:rPr>
        <w:t>十一、</w:t>
      </w:r>
      <w:r>
        <w:rPr>
          <w:rFonts w:ascii="仿宋" w:eastAsia="仿宋" w:hAnsi="仿宋" w:hint="eastAsia"/>
          <w:b w:val="0"/>
          <w:color w:val="000000"/>
        </w:rPr>
        <w:t>政</w:t>
      </w:r>
      <w:r>
        <w:rPr>
          <w:rStyle w:val="2Char"/>
          <w:rFonts w:ascii="仿宋" w:eastAsia="仿宋" w:hAnsi="仿宋" w:hint="eastAsia"/>
          <w:b w:val="0"/>
          <w:bCs w:val="0"/>
        </w:rPr>
        <w:t>府性基金预算财政拨款收入支出决算表</w:t>
      </w:r>
      <w:bookmarkEnd w:id="70"/>
    </w:p>
    <w:p>
      <w:pPr>
        <w:pStyle w:val="2"/>
        <w:rPr>
          <w:rFonts w:ascii="仿宋" w:eastAsia="仿宋" w:hAnsi="仿宋"/>
          <w:color w:val="000000"/>
        </w:rPr>
      </w:pPr>
      <w:bookmarkStart w:id="71" w:name="_Toc15396630"/>
      <w:r>
        <w:rPr>
          <w:rStyle w:val="2Char"/>
          <w:rFonts w:ascii="仿宋" w:eastAsia="仿宋" w:hAnsi="仿宋" w:hint="eastAsia"/>
          <w:b w:val="0"/>
          <w:bCs w:val="0"/>
        </w:rPr>
        <w:t>十二、</w:t>
      </w:r>
      <w:r>
        <w:rPr>
          <w:rFonts w:ascii="仿宋" w:eastAsia="仿宋" w:hAnsi="仿宋" w:hint="eastAsia"/>
          <w:b w:val="0"/>
          <w:color w:val="000000"/>
        </w:rPr>
        <w:t>政</w:t>
      </w:r>
      <w:r>
        <w:rPr>
          <w:rStyle w:val="2Char"/>
          <w:rFonts w:ascii="仿宋" w:eastAsia="仿宋" w:hAnsi="仿宋" w:hint="eastAsia"/>
          <w:b w:val="0"/>
          <w:bCs w:val="0"/>
        </w:rPr>
        <w:t>府性基金预算财政拨款“三公”经费支出决算表</w:t>
      </w:r>
      <w:bookmarkEnd w:id="71"/>
    </w:p>
    <w:p>
      <w:pPr>
        <w:pStyle w:val="2"/>
        <w:rPr>
          <w:rFonts w:ascii="仿宋" w:eastAsia="仿宋" w:hAnsi="仿宋"/>
          <w:color w:val="000000"/>
          <w14:textFill>
            <w14:solidFill>
              <w14:srgbClr w14:val="000000"/>
            </w14:solidFill>
          </w14:textFill>
        </w:rPr>
      </w:pPr>
      <w:bookmarkStart w:id="72" w:name="_Toc15396631"/>
      <w:r>
        <w:rPr>
          <w:rStyle w:val="2Char"/>
          <w:rFonts w:ascii="仿宋" w:eastAsia="仿宋" w:hAnsi="仿宋" w:hint="eastAsia"/>
          <w:b w:val="0"/>
          <w:bCs w:val="0"/>
        </w:rPr>
        <w:t>十三、</w:t>
      </w:r>
      <w:r>
        <w:rPr>
          <w:rFonts w:ascii="仿宋" w:eastAsia="仿宋" w:hAnsi="仿宋" w:hint="eastAsia"/>
          <w:b w:val="0"/>
          <w:color w:val="000000"/>
        </w:rPr>
        <w:t>国</w:t>
      </w:r>
      <w:r>
        <w:rPr>
          <w:rStyle w:val="2Char"/>
          <w:rFonts w:ascii="仿宋" w:eastAsia="仿宋" w:hAnsi="仿宋" w:hint="eastAsia"/>
          <w:b w:val="0"/>
          <w:bCs w:val="0"/>
        </w:rPr>
        <w:t>有资本经营预算支出决算表</w:t>
      </w:r>
      <w:bookmarkEnd w:id="72"/>
    </w:p>
    <w:sectPr>
      <w:headerReference w:type="default" r:id="rId2"/>
      <w:footerReference w:type="default" r:id="rId3"/>
      <w:pgSz w:w="11906" w:h="16838"/>
      <w:pgMar w:top="1440" w:right="1800" w:bottom="1440" w:left="1800" w:header="851" w:footer="992" w:gutter="0"/>
      <w:pgNumType w:start="1"/>
      <w:cols w:num="1" w:space="425"/>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panose1 w:val="02000000000000000000"/>
    <w:charset w:val="86"/>
    <w:family w:val="script"/>
    <w:pitch w:val="variable"/>
    <w:sig w:usb0="A00002BF" w:usb1="184F6CFA" w:usb2="00000012" w:usb3="00000000" w:csb0="00040001" w:csb1="00000000"/>
  </w:font>
  <w:font w:name="宋体">
    <w:panose1 w:val="02010600030101010101"/>
    <w:charset w:val="86"/>
    <w:family w:val="auto"/>
    <w:pitch w:val="variable"/>
    <w:sig w:usb0="00000003" w:usb1="288F0000" w:usb2="00000006" w:usb3="00000000" w:csb0="00040001" w:csb1="00000000"/>
  </w:font>
  <w:font w:name="黑体">
    <w:panose1 w:val="02010600030101010101"/>
    <w:charset w:val="86"/>
    <w:family w:val="auto"/>
    <w:pitch w:val="variable"/>
    <w:sig w:usb0="00000001" w:usb1="080E0000" w:usb2="00000000" w:usb3="00000000" w:csb0="00040000" w:csb1="00000000"/>
  </w:font>
  <w:font w:name="Arial">
    <w:panose1 w:val="020B0604020202020204"/>
    <w:charset w:val="01"/>
    <w:family w:val="swiss"/>
    <w:pitch w:val="variable"/>
    <w:sig w:usb0="00007A87" w:usb1="80000000" w:usb2="00000008" w:usb3="00000000" w:csb0="400001FF" w:csb1="FFFF0000"/>
  </w:font>
  <w:font w:name="方正仿宋简体">
    <w:panose1 w:val="03000509000000000000"/>
    <w:charset w:val="86"/>
    <w:family w:val="auto"/>
    <w:pitch w:val="variable"/>
    <w:sig w:usb0="00000001" w:usb1="080E0000" w:usb2="00000000" w:usb3="00000000" w:csb0="00040000" w:csb1="00000000"/>
  </w:font>
  <w:font w:name="仿宋">
    <w:altName w:val="仿宋_GB2312"/>
    <w:panose1 w:val="02010609060101010101"/>
    <w:charset w:val="86"/>
    <w:family w:val="modern"/>
    <w:pitch w:val="variable"/>
    <w:sig w:usb0="00000000" w:usb1="00000000" w:usb2="00000016" w:usb3="00000000" w:csb0="00040001" w:csb1="00000000"/>
  </w:font>
  <w:font w:name="仿宋_GB2312">
    <w:panose1 w:val="02010609030101010101"/>
    <w:charset w:val="86"/>
    <w:family w:val="modern"/>
    <w:pitch w:val="variable"/>
    <w:sig w:usb0="00000001" w:usb1="080E0000" w:usb2="00000000" w:usb3="00000000" w:csb0="00040000" w:csb1="00000000"/>
  </w:font>
  <w:font w:name="楷体_GB2312">
    <w:panose1 w:val="02010609030101010101"/>
    <w:charset w:val="86"/>
    <w:family w:val="modern"/>
    <w:pitch w:val="variable"/>
    <w:sig w:usb0="00000001" w:usb1="080E0000" w:usb2="00000000" w:usb3="00000000" w:csb0="00040000" w:csb1="00000000"/>
  </w:font>
  <w:font w:name="Calibri">
    <w:altName w:val="Lucida Sans"/>
    <w:panose1 w:val="020F0502020204030204"/>
    <w:charset w:val="00"/>
    <w:family w:val="swiss"/>
    <w:pitch w:val="variable"/>
    <w:sig w:usb0="00000000" w:usb1="00000000" w:usb2="00000001" w:usb3="00000000" w:csb0="0000019F" w:csb1="00000000"/>
  </w:font>
  <w:font w:name="Times New Roman">
    <w:panose1 w:val="02020603050405020304"/>
    <w:charset w:val="00"/>
    <w:family w:val="roman"/>
    <w:pitch w:val="variable"/>
    <w:sig w:usb0="20007A87" w:usb1="80000000" w:usb2="00000008" w:usb3="00000000" w:csb0="000001FF" w:csb1="00000000"/>
  </w:font>
  <w:font w:name="Lucida Sans">
    <w:panose1 w:val="020B0602030504020204"/>
    <w:charset w:val="00"/>
    <w:family w:val="auto"/>
    <w:pitch w:val="variable"/>
    <w:sig w:usb0="00000003" w:usb1="00000000" w:usb2="00000000" w:usb3="00000000" w:csb0="20000001" w:csb1="00000000"/>
  </w:font>
  <w:font w:name="Cambria">
    <w:altName w:val="Noto Sans Syriac Eastern"/>
    <w:panose1 w:val="02040503050406030204"/>
    <w:charset w:val="00"/>
    <w:family w:val="roman"/>
    <w:pitch w:val="variable"/>
    <w:sig w:usb0="00000000" w:usb1="00000000" w:usb2="00000000" w:usb3="00000000" w:csb0="2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805564255"/>
    </w:sdtPr>
    <w:sdtContent>
      <w:p>
        <w:pPr>
          <w:pStyle w:val="20"/>
          <w:tabs>
            <w:tab w:val="center" w:pos="4153"/>
            <w:tab w:val="right" w:pos="8306"/>
          </w:tabs>
          <w:jc w:val="center"/>
        </w:pPr>
        <w:r>
          <w:fldChar w:fldCharType="begin"/>
        </w:r>
        <w:r>
          <w:instrText>PAGE   \* MERGEFORMAT</w:instrText>
        </w:r>
        <w:r>
          <w:fldChar w:fldCharType="separate"/>
        </w:r>
        <w:r>
          <w:rPr>
            <w:lang w:val="zh-CN"/>
          </w:rPr>
          <w:t>49</w:t>
        </w:r>
        <w:r>
          <w:fldChar w:fldCharType="end"/>
        </w:r>
      </w:p>
    </w:sdtContent>
  </w:sdt>
  <w:p>
    <w:pPr>
      <w:pStyle w:val="20"/>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1272550B"/>
    <w:multiLevelType w:val="multilevel"/>
    <w:tmpl w:val="1272550B"/>
    <w:lvl w:ilvl="0">
      <w:start w:val="1"/>
      <w:numFmt w:val="japaneseCounting"/>
      <w:lvlRestart w:val="0"/>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CF652CEC"/>
    <w:multiLevelType w:val="singleLevel"/>
    <w:tmpl w:val="CF652CEC"/>
    <w:lvl w:ilvl="0">
      <w:start w:val="9"/>
      <w:numFmt w:val="chineseCounting"/>
      <w:lvlRestart w:val="0"/>
      <w:suff w:val="nothing"/>
      <w:lvlText w:val="%1、"/>
      <w:lvlJc w:val="left"/>
      <w:pPr/>
      <w:rPr>
        <w:rFonts w:hint="eastAsia"/>
      </w:rPr>
    </w:lvl>
  </w:abstractNum>
  <w:abstractNum w:abstractNumId="2">
    <w:nsid w:val="EC0BEF30"/>
    <w:multiLevelType w:val="singleLevel"/>
    <w:tmpl w:val="EC0BEF30"/>
    <w:lvl w:ilvl="0">
      <w:start w:val="1"/>
      <w:numFmt w:val="chineseCounting"/>
      <w:lvlRestart w:val="0"/>
      <w:suff w:val="nothing"/>
      <w:lvlText w:val="（%1）"/>
      <w:lvlJc w:val="left"/>
      <w:pPr/>
      <w:rPr>
        <w:rFonts w:ascii="楷体_GB2312" w:hAnsi="楷体_GB2312" w:eastAsia="楷体_GB2312" w:cs="楷体_GB2312" w:hint="eastAsia"/>
        <w:b/>
        <w:bCs/>
        <w:sz w:val="32"/>
        <w:szCs w:val="32"/>
      </w:rPr>
    </w:lvl>
  </w:abstractNum>
  <w:abstractNum w:abstractNumId="3">
    <w:nsid w:val="47383B4E"/>
    <w:multiLevelType w:val="singleLevel"/>
    <w:tmpl w:val="47383B4E"/>
    <w:lvl w:ilvl="0">
      <w:start w:val="1"/>
      <w:numFmt w:val="decimal"/>
      <w:lvlRestart w:val="0"/>
      <w:suff w:val="nothing"/>
      <w:lvlText w:val="%1、"/>
      <w:lvlJc w:val="left"/>
      <w:pPr/>
    </w:lvl>
  </w:abstractNum>
  <w:abstractNum w:abstractNumId="4">
    <w:nsid w:val="E2FA047D"/>
    <w:multiLevelType w:val="singleLevel"/>
    <w:tmpl w:val="E2FA047D"/>
    <w:lvl w:ilvl="0">
      <w:start w:val="3"/>
      <w:numFmt w:val="chineseCounting"/>
      <w:lvlRestart w:val="0"/>
      <w:suff w:val="space"/>
      <w:lvlText w:val="第%1部分"/>
      <w:lvlJc w:val="left"/>
      <w:pPr/>
      <w:rPr>
        <w:rFonts w:hint="eastAsia"/>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39"/>
  <w:doNotDisplayPageBoundaries/>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next w:val="16"/>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basedOn w:val="0"/>
    <w:next w:val="0"/>
    <w:link w:val="2Char"/>
    <w:pPr>
      <w:keepNext/>
      <w:keepLines/>
      <w:widowControl w:val="0"/>
      <w:spacing w:before="260" w:after="260" w:line="415" w:lineRule="auto"/>
      <w:outlineLvl w:val="1"/>
    </w:pPr>
    <w:rPr>
      <w:rFonts w:ascii="Cambria" w:eastAsia="宋体" w:cs="Times New Roman" w:hAnsi="Cambria"/>
      <w:b/>
      <w:bCs/>
      <w:sz w:val="32"/>
      <w:szCs w:val="32"/>
    </w:rPr>
  </w:style>
  <w:style w:type="character" w:customStyle="1" w:styleId="2Char">
    <w:name w:val="heading 2 Char"/>
    <w:basedOn w:val="10"/>
    <w:link w:val="2"/>
    <w:rPr>
      <w:rFonts w:ascii="Cambria" w:eastAsia="宋体" w:cs="Times New Roman" w:hAnsi="Times New Roman"/>
      <w:b/>
      <w:bCs/>
      <w:kern w:val="2"/>
      <w:sz w:val="32"/>
      <w:szCs w:val="32"/>
      <w:lang w:val="en-US" w:eastAsia="zh-CN" w:bidi="ar-SA"/>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Body Text Indent"/>
    <w:basedOn w:val="0"/>
    <w:pPr>
      <w:spacing w:after="120"/>
      <w:ind w:leftChars="200" w:left="200"/>
    </w:pPr>
  </w:style>
  <w:style w:type="paragraph" w:styleId="16">
    <w:name w:val="Body Text First Indent 2"/>
    <w:basedOn w:val="15"/>
    <w:pPr>
      <w:spacing w:after="0" w:line="360" w:lineRule="auto"/>
      <w:ind w:leftChars="0" w:left="0" w:firstLineChars="200" w:firstLine="200"/>
    </w:pPr>
    <w:rPr>
      <w:sz w:val="24"/>
    </w:rPr>
  </w:style>
  <w:style w:type="paragraph" w:styleId="17">
    <w:name w:val="Body Text"/>
    <w:basedOn w:val="0"/>
    <w:pPr>
      <w:spacing w:beforeLines="30" w:before="30"/>
    </w:pPr>
    <w:rPr>
      <w:rFonts w:ascii="仿宋_GB2312" w:eastAsia="仿宋_GB2312"/>
      <w:kern w:val="0"/>
      <w:sz w:val="30"/>
    </w:rPr>
  </w:style>
  <w:style w:type="paragraph" w:styleId="18">
    <w:name w:val="toc 3"/>
    <w:basedOn w:val="0"/>
    <w:next w:val="0"/>
    <w:pPr>
      <w:tabs>
        <w:tab w:val="right" w:leader="dot" w:pos="8296"/>
      </w:tabs>
      <w:ind w:leftChars="400" w:left="400"/>
    </w:pPr>
  </w:style>
  <w:style w:type="paragraph" w:styleId="19">
    <w:name w:val="Balloon Text"/>
    <w:basedOn w:val="0"/>
    <w:rPr>
      <w:sz w:val="18"/>
      <w:szCs w:val="18"/>
    </w:rPr>
  </w:style>
  <w:style w:type="paragraph" w:styleId="20">
    <w:name w:val="footer"/>
    <w:basedOn w:val="0"/>
    <w:pPr>
      <w:tabs>
        <w:tab w:val="center" w:pos="4153"/>
        <w:tab w:val="right" w:pos="8306"/>
      </w:tabs>
      <w:snapToGrid w:val="0"/>
      <w:jc w:val="left"/>
    </w:pPr>
    <w:rPr>
      <w:rFonts w:ascii="Calibri" w:hAnsi="Calibri"/>
      <w:kern w:val="0"/>
      <w:sz w:val="18"/>
      <w:szCs w:val="18"/>
    </w:rPr>
  </w:style>
  <w:style w:type="paragraph" w:styleId="21">
    <w:name w:val="header"/>
    <w:basedOn w:val="0"/>
    <w:pPr>
      <w:pBdr>
        <w:bottom w:val="single" w:sz="6" w:space="1" w:color="auto"/>
      </w:pBdr>
      <w:tabs>
        <w:tab w:val="center" w:pos="4153"/>
        <w:tab w:val="right" w:pos="8306"/>
      </w:tabs>
      <w:snapToGrid w:val="0"/>
      <w:jc w:val="center"/>
    </w:pPr>
    <w:rPr>
      <w:rFonts w:ascii="Calibri" w:hAnsi="Calibri"/>
      <w:kern w:val="0"/>
      <w:sz w:val="18"/>
      <w:szCs w:val="18"/>
    </w:rPr>
  </w:style>
  <w:style w:type="paragraph" w:styleId="22">
    <w:name w:val="toc 1"/>
    <w:basedOn w:val="0"/>
    <w:next w:val="0"/>
    <w:pPr>
      <w:tabs>
        <w:tab w:val="right" w:leader="dot" w:pos="8296"/>
      </w:tabs>
      <w:spacing w:before="93"/>
      <w:jc w:val="center"/>
    </w:pPr>
    <w:rPr>
      <w:rFonts w:ascii="仿宋" w:eastAsia="仿宋" w:hAnsi="仿宋"/>
      <w:sz w:val="28"/>
      <w:szCs w:val="28"/>
    </w:rPr>
  </w:style>
  <w:style w:type="paragraph" w:styleId="23">
    <w:name w:val="toc 2"/>
    <w:basedOn w:val="0"/>
    <w:next w:val="0"/>
    <w:pPr>
      <w:tabs>
        <w:tab w:val="right" w:leader="dot" w:pos="8296"/>
      </w:tabs>
      <w:ind w:leftChars="200" w:left="200"/>
    </w:pPr>
  </w:style>
  <w:style w:type="character" w:styleId="24">
    <w:name w:val="Strong"/>
    <w:basedOn w:val="10"/>
    <w:rPr>
      <w:b/>
    </w:rPr>
  </w:style>
  <w:style w:type="character" w:styleId="25">
    <w:name w:val="Hyperlink"/>
    <w:basedOn w:val="10"/>
    <w:rPr>
      <w:color w:val="0000FF"/>
      <w:u w:val="single"/>
    </w:rPr>
  </w:style>
  <w:style w:type="character" w:customStyle="1" w:styleId="26">
    <w:name w:val="Header Char"/>
    <w:basedOn w:val="10"/>
    <w:rPr>
      <w:rFonts w:ascii="Times New Roman" w:hAnsi="Times New Roman"/>
      <w:sz w:val="18"/>
      <w:szCs w:val="18"/>
    </w:rPr>
  </w:style>
  <w:style w:type="character" w:customStyle="1" w:styleId="27">
    <w:name w:val="Footer Char"/>
    <w:basedOn w:val="10"/>
    <w:rPr>
      <w:rFonts w:ascii="Times New Roman" w:hAnsi="Times New Roman"/>
      <w:sz w:val="18"/>
      <w:szCs w:val="18"/>
    </w:rPr>
  </w:style>
  <w:style w:type="character" w:customStyle="1" w:styleId="28">
    <w:name w:val="Body Text Char"/>
    <w:basedOn w:val="10"/>
    <w:rPr>
      <w:rFonts w:ascii="Times New Roman" w:hAnsi="Times New Roman"/>
      <w:szCs w:val="24"/>
    </w:rPr>
  </w:style>
  <w:style w:type="paragraph" w:customStyle="1" w:styleId="29">
    <w:name w:val="Default"/>
    <w:pPr>
      <w:widowControl w:val="0"/>
      <w:autoSpaceDE w:val="0"/>
      <w:autoSpaceDN w:val="0"/>
      <w:adjustRightInd w:val="0"/>
    </w:pPr>
    <w:rPr>
      <w:rFonts w:ascii="仿宋" w:eastAsia="仿宋" w:cs="仿宋" w:hAnsi="Calibri"/>
      <w:color w:val="000000"/>
      <w:sz w:val="24"/>
      <w:szCs w:val="24"/>
      <w:lang w:val="en-US" w:eastAsia="zh-CN" w:bidi="ar-SA"/>
    </w:rPr>
  </w:style>
  <w:style w:type="paragraph" w:styleId="30">
    <w:name w:val="List Paragraph"/>
    <w:basedOn w:val="0"/>
    <w:pPr>
      <w:ind w:firstLineChars="200" w:firstLine="200"/>
    </w:pPr>
  </w:style>
  <w:style w:type="paragraph" w:customStyle="1" w:styleId="31">
    <w:name w:val="TOC 标题1"/>
    <w:basedOn w:val="1"/>
    <w:next w:val="0"/>
    <w:pPr>
      <w:keepNext/>
      <w:keepLines/>
      <w:widowControl/>
      <w:spacing w:before="480" w:after="0" w:line="276" w:lineRule="auto"/>
      <w:jc w:val="left"/>
      <w:outlineLvl w:val="9"/>
    </w:pPr>
    <w:rPr>
      <w:rFonts w:ascii="Cambria" w:eastAsia="宋体" w:cs="Times New Roman" w:hAnsi="Cambria"/>
      <w:color w:val="376092"/>
      <w:kern w:val="0"/>
      <w:sz w:val="28"/>
      <w:szCs w:val="28"/>
    </w:rPr>
  </w:style>
  <w:style w:type="paragraph" w:customStyle="1" w:styleId="32">
    <w:name w:val="TOC 标题2"/>
    <w:basedOn w:val="1"/>
    <w:next w:val="0"/>
    <w:pPr>
      <w:keepNext/>
      <w:keepLines/>
      <w:widowControl/>
      <w:spacing w:before="480" w:after="0" w:line="276" w:lineRule="auto"/>
      <w:jc w:val="left"/>
      <w:outlineLvl w:val="9"/>
    </w:pPr>
    <w:rPr>
      <w:rFonts w:ascii="Cambria" w:eastAsia="宋体" w:cs="Times New Roman" w:hAnsi="Cambria"/>
      <w:color w:val="376092"/>
      <w:kern w:val="0"/>
      <w:sz w:val="28"/>
      <w:szCs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chart" Target="charts/chart1.xml"/><Relationship Id="rId5" Type="http://schemas.openxmlformats.org/officeDocument/2006/relationships/chart" Target="charts/chart2.xml"/><Relationship Id="rId6" Type="http://schemas.openxmlformats.org/officeDocument/2006/relationships/chart" Target="charts/chart3.xml"/><Relationship Id="rId7" Type="http://schemas.openxmlformats.org/officeDocument/2006/relationships/chart" Target="charts/chart4.xml"/><Relationship Id="rId8" Type="http://schemas.openxmlformats.org/officeDocument/2006/relationships/chart" Target="charts/chart5.xml"/><Relationship Id="rId9" Type="http://schemas.openxmlformats.org/officeDocument/2006/relationships/styles" Target="styles.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customXml" Target="../customXml/item1.xml"/></Relationships>
</file>

<file path=word/charts/_rels/chart1.xml.rels><?xml version="1.0" encoding="UTF-8" standalone="yes"?>
<Relationships xmlns="http://schemas.openxmlformats.org/package/2006/relationships"><Relationship Id="rId1" Type="http://schemas.openxmlformats.org/officeDocument/2006/relationships/package" Target="../embeddings/char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char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char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char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char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595959"/>
                </a:solidFill>
                <a:latin typeface="Times New Roman"/>
                <a:ea typeface="宋体"/>
                <a:cs typeface="Lucida Sans"/>
              </a:defRPr>
            </a:pPr>
            <a:r>
              <a:rPr lang="zh-CN"/>
              <a:t>2019年与2020年收支对比图</a:t>
            </a:r>
          </a:p>
        </c:rich>
      </c:tx>
      <c:layout/>
      <c:overlay val="0"/>
      <c:spPr>
        <a:noFill/>
        <a:ln>
          <a:noFill/>
        </a:ln>
      </c:spPr>
    </c:title>
    <c:autoTitleDeleted val="1"/>
    <c:plotArea>
      <c:layout/>
      <c:barChart>
        <c:barDir val="col"/>
        <c:grouping val="clustered"/>
        <c:varyColors val="0"/>
        <c:ser>
          <c:idx val="0"/>
          <c:order val="0"/>
          <c:spPr>
            <a:solidFill>
              <a:srgbClr val="4F81BD"/>
            </a:solidFill>
            <a:ln>
              <a:noFill/>
            </a:ln>
          </c:spPr>
          <c:invertIfNegative val="0"/>
          <c:dLbls>
            <c:dLblPos val="outEnd"/>
            <c:showLegendKey val="0"/>
            <c:showVal val="0"/>
            <c:showCatName val="0"/>
            <c:showSerName val="0"/>
            <c:showPercent val="0"/>
            <c:showBubbleSize val="0"/>
            <c:showLeaderLines val="1"/>
            <c:extLst>
              <c:ext xmlns:c15="http://schemas.microsoft.com/office/drawing/2012/chart" uri="{CE6537A1-D6FC-4f65-9D91-7224C49458BB}">
                <c15:showLeaderLines val="1"/>
              </c:ext>
            </c:extLst>
          </c:dLbls>
          <c:cat>
            <c:strRef>
              <c:f>'Sheet1'!$A$1:$A$4</c:f>
              <c:strCache>
                <c:ptCount val="4"/>
                <c:pt idx="0">
                  <c:v>2019年收入</c:v>
                </c:pt>
                <c:pt idx="1">
                  <c:v>2020年收入</c:v>
                </c:pt>
                <c:pt idx="2">
                  <c:v>2019年支出</c:v>
                </c:pt>
                <c:pt idx="3">
                  <c:v>2020年支出</c:v>
                </c:pt>
              </c:strCache>
            </c:strRef>
          </c:cat>
          <c:val>
            <c:numRef>
              <c:f>'Sheet1'!$B$1:$B$4</c:f>
              <c:numCache>
                <c:formatCode>General</c:formatCode>
                <c:ptCount val="4"/>
                <c:pt idx="0">
                  <c:v>675.58</c:v>
                </c:pt>
                <c:pt idx="1">
                  <c:v>758.1</c:v>
                </c:pt>
                <c:pt idx="2">
                  <c:v>670.42</c:v>
                </c:pt>
                <c:pt idx="3">
                  <c:v>715.74</c:v>
                </c:pt>
              </c:numCache>
            </c:numRef>
          </c:val>
        </c:ser>
        <c:overlap val="-27"/>
        <c:gapWidth val="219"/>
        <c:axId val="0"/>
        <c:axId val="1"/>
      </c:barChart>
      <c:catAx>
        <c:axId val="0"/>
        <c:scaling>
          <c:orientation val="minMax"/>
        </c:scaling>
        <c:delete val="0"/>
        <c:axPos val="b"/>
        <c:numFmt formatCode="General" sourceLinked="1"/>
        <c:majorTickMark val="none"/>
        <c:minorTickMark val="none"/>
        <c:tickLblPos val="nextTo"/>
        <c:spPr>
          <a:ln w="6350">
            <a:solidFill>
              <a:srgbClr val="D9D9D9"/>
            </a:solidFill>
            <a:prstDash val="solid"/>
          </a:ln>
        </c:spPr>
        <c:txPr>
          <a:bodyPr/>
          <a:lstStyle/>
          <a:p>
            <a:pPr>
              <a:defRPr sz="900" b="0" i="0" u="none" strike="noStrike" baseline="0">
                <a:solidFill>
                  <a:srgbClr val="595959"/>
                </a:solidFill>
                <a:latin typeface="Times New Roman"/>
                <a:ea typeface="宋体"/>
                <a:cs typeface="Lucida Sans"/>
              </a:defRPr>
            </a:pPr>
            <a:endParaRPr lang="zh-CN"/>
          </a:p>
        </c:txPr>
        <c:crosses val="autoZero"/>
        <c:auto val="0"/>
        <c:lblOffset val="100"/>
        <c:lblAlgn val="ctr"/>
        <c:noMultiLvlLbl val="0"/>
        <c:crossAx val="1"/>
      </c:catAx>
      <c:valAx>
        <c:axId val="1"/>
        <c:scaling>
          <c:orientation val="minMax"/>
        </c:scaling>
        <c:delete val="0"/>
        <c:axPos val="l"/>
        <c:majorGridlines>
          <c:spPr>
            <a:ln w="6350">
              <a:solidFill>
                <a:srgbClr val="D9D9D9"/>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Times New Roman"/>
                <a:ea typeface="宋体"/>
                <a:cs typeface="Lucida Sans"/>
              </a:defRPr>
            </a:pPr>
            <a:endParaRPr lang="zh-CN"/>
          </a:p>
        </c:txPr>
        <c:crossesAt val="1.0"/>
        <c:crossBetween val="between"/>
        <c:crossAx val="0"/>
      </c:valAx>
      <c:dTable>
        <c:showHorzBorder val="0"/>
        <c:showVertBorder val="0"/>
        <c:showOutline val="0"/>
        <c:showKeys val="0"/>
        <c:spPr>
          <a:ln w="6350">
            <a:solidFill>
              <a:srgbClr val="D9D9D9"/>
            </a:solidFill>
            <a:prstDash val="solid"/>
          </a:ln>
        </c:spPr>
        <c:txPr>
          <a:bodyPr/>
          <a:lstStyle/>
          <a:p>
            <a:pPr rtl="0">
              <a:defRPr sz="900" b="0" i="0" u="none" strike="noStrike" baseline="0">
                <a:solidFill>
                  <a:srgbClr val="595959"/>
                </a:solidFill>
                <a:latin typeface="Times New Roman"/>
                <a:ea typeface="宋体"/>
                <a:cs typeface="Lucida Sans"/>
              </a:defRPr>
            </a:pPr>
            <a:endParaRPr lang="zh-CN"/>
          </a:p>
        </c:txPr>
      </c:dTable>
      <c:spPr>
        <a:noFill/>
        <a:ln>
          <a:noFill/>
        </a:ln>
      </c:spPr>
    </c:plotArea>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0"/>
        <c:ser>
          <c:idx val="0"/>
          <c:order val="0"/>
          <c:tx>
            <c:strRef>
              <c:f>'Sheet1 (2)'!$B$1</c:f>
              <c:strCache>
                <c:ptCount val="1"/>
                <c:pt idx="0">
                  <c:v>支出情况对比图</c:v>
                </c:pt>
              </c:strCache>
            </c:strRef>
          </c:tx>
          <c:spPr>
            <a:solidFill>
              <a:srgbClr val="4F81BD"/>
            </a:solidFill>
          </c:spPr>
          <c:dPt>
            <c:idx val="0"/>
            <c:bubble3D val="0"/>
            <c:spPr>
              <a:solidFill>
                <a:srgbClr val="4F81BD"/>
              </a:solidFill>
              <a:ln w="19050">
                <a:solidFill>
                  <a:srgbClr val="FFFFFF"/>
                </a:solidFill>
                <a:prstDash val="solid"/>
              </a:ln>
            </c:spPr>
          </c:dPt>
          <c:dPt>
            <c:idx val="1"/>
            <c:bubble3D val="0"/>
            <c:spPr>
              <a:solidFill>
                <a:srgbClr val="C0504D"/>
              </a:solidFill>
              <a:ln w="19050">
                <a:solidFill>
                  <a:srgbClr val="FFFFFF"/>
                </a:solidFill>
                <a:prstDash val="solid"/>
              </a:ln>
            </c:spPr>
          </c:dPt>
          <c:dLbls>
            <c:showLegendKey val="0"/>
            <c:showVal val="0"/>
            <c:showCatName val="0"/>
            <c:showSerName val="0"/>
            <c:showPercent val="0"/>
            <c:showBubbleSize val="0"/>
            <c:showLeaderLines val="1"/>
          </c:dLbls>
          <c:cat>
            <c:strRef>
              <c:f>'Sheet1 (2)'!$A$2:$A$3</c:f>
              <c:strCache>
                <c:ptCount val="2"/>
                <c:pt idx="0">
                  <c:v>基本支出</c:v>
                </c:pt>
                <c:pt idx="1">
                  <c:v>项目支出</c:v>
                </c:pt>
              </c:strCache>
            </c:strRef>
          </c:cat>
          <c:val>
            <c:numRef>
              <c:f>'Sheet1 (2)'!$B$2:$B$3</c:f>
              <c:numCache>
                <c:formatCode>General</c:formatCode>
                <c:ptCount val="2"/>
                <c:pt idx="0">
                  <c:v>576.83</c:v>
                </c:pt>
                <c:pt idx="1">
                  <c:v>138.91</c:v>
                </c:pt>
              </c:numCache>
            </c:numRef>
          </c:val>
        </c:ser>
        <c:firstSliceAng val="0"/>
      </c:pieChart>
      <c:spPr>
        <a:noFill/>
        <a:ln>
          <a:noFill/>
        </a:ln>
      </c:spPr>
    </c:plotArea>
    <c:legend>
      <c:legendPos val="b"/>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zero"/>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595959"/>
                </a:solidFill>
                <a:latin typeface="Times New Roman"/>
                <a:ea typeface="宋体"/>
                <a:cs typeface="Lucida Sans"/>
              </a:defRPr>
            </a:pPr>
            <a:r>
              <a:rPr lang="zh-CN"/>
              <a:t>2019年与2020年收支对比图</a:t>
            </a:r>
          </a:p>
        </c:rich>
      </c:tx>
      <c:layout/>
      <c:overlay val="0"/>
      <c:spPr>
        <a:noFill/>
        <a:ln>
          <a:noFill/>
        </a:ln>
      </c:spPr>
    </c:title>
    <c:autoTitleDeleted val="1"/>
    <c:plotArea>
      <c:layout/>
      <c:barChart>
        <c:barDir val="col"/>
        <c:grouping val="clustered"/>
        <c:varyColors val="0"/>
        <c:ser>
          <c:idx val="0"/>
          <c:order val="0"/>
          <c:spPr>
            <a:solidFill>
              <a:srgbClr val="4F81BD"/>
            </a:solidFill>
            <a:ln>
              <a:noFill/>
            </a:ln>
          </c:spPr>
          <c:invertIfNegative val="0"/>
          <c:dLbls>
            <c:dLblPos val="outEnd"/>
            <c:showLegendKey val="0"/>
            <c:showVal val="0"/>
            <c:showCatName val="0"/>
            <c:showSerName val="0"/>
            <c:showPercent val="0"/>
            <c:showBubbleSize val="0"/>
            <c:showLeaderLines val="1"/>
            <c:extLst>
              <c:ext xmlns:c15="http://schemas.microsoft.com/office/drawing/2012/chart" uri="{CE6537A1-D6FC-4f65-9D91-7224C49458BB}">
                <c15:showLeaderLines val="1"/>
              </c:ext>
            </c:extLst>
          </c:dLbls>
          <c:cat>
            <c:strRef>
              <c:f>'Sheet1 (3)'!$A$1:$A$4</c:f>
              <c:strCache>
                <c:ptCount val="4"/>
                <c:pt idx="0">
                  <c:v>2019年收入</c:v>
                </c:pt>
                <c:pt idx="1">
                  <c:v>2020年收入</c:v>
                </c:pt>
                <c:pt idx="2">
                  <c:v>2019年支出</c:v>
                </c:pt>
                <c:pt idx="3">
                  <c:v>2020年支出</c:v>
                </c:pt>
              </c:strCache>
            </c:strRef>
          </c:cat>
          <c:val>
            <c:numRef>
              <c:f>'Sheet1 (3)'!$B$1:$B$4</c:f>
              <c:numCache>
                <c:formatCode>General</c:formatCode>
                <c:ptCount val="4"/>
                <c:pt idx="0">
                  <c:v>675.58</c:v>
                </c:pt>
                <c:pt idx="1">
                  <c:v>758.1</c:v>
                </c:pt>
                <c:pt idx="2">
                  <c:v>670.42</c:v>
                </c:pt>
                <c:pt idx="3">
                  <c:v>715.74</c:v>
                </c:pt>
              </c:numCache>
            </c:numRef>
          </c:val>
        </c:ser>
        <c:overlap val="-27"/>
        <c:gapWidth val="219"/>
        <c:axId val="0"/>
        <c:axId val="1"/>
      </c:barChart>
      <c:catAx>
        <c:axId val="0"/>
        <c:scaling>
          <c:orientation val="minMax"/>
        </c:scaling>
        <c:delete val="0"/>
        <c:axPos val="b"/>
        <c:numFmt formatCode="General" sourceLinked="1"/>
        <c:majorTickMark val="none"/>
        <c:minorTickMark val="none"/>
        <c:tickLblPos val="nextTo"/>
        <c:spPr>
          <a:ln w="6350">
            <a:solidFill>
              <a:srgbClr val="D9D9D9"/>
            </a:solidFill>
            <a:prstDash val="solid"/>
          </a:ln>
        </c:spPr>
        <c:txPr>
          <a:bodyPr/>
          <a:lstStyle/>
          <a:p>
            <a:pPr>
              <a:defRPr sz="900" b="0" i="0" u="none" strike="noStrike" baseline="0">
                <a:solidFill>
                  <a:srgbClr val="595959"/>
                </a:solidFill>
                <a:latin typeface="Times New Roman"/>
                <a:ea typeface="宋体"/>
                <a:cs typeface="Lucida Sans"/>
              </a:defRPr>
            </a:pPr>
            <a:endParaRPr lang="zh-CN"/>
          </a:p>
        </c:txPr>
        <c:crosses val="autoZero"/>
        <c:auto val="0"/>
        <c:lblOffset val="100"/>
        <c:lblAlgn val="ctr"/>
        <c:noMultiLvlLbl val="0"/>
        <c:crossAx val="1"/>
      </c:catAx>
      <c:valAx>
        <c:axId val="1"/>
        <c:scaling>
          <c:orientation val="minMax"/>
        </c:scaling>
        <c:delete val="0"/>
        <c:axPos val="l"/>
        <c:majorGridlines>
          <c:spPr>
            <a:ln w="6350">
              <a:solidFill>
                <a:srgbClr val="D9D9D9"/>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Times New Roman"/>
                <a:ea typeface="宋体"/>
                <a:cs typeface="Lucida Sans"/>
              </a:defRPr>
            </a:pPr>
            <a:endParaRPr lang="zh-CN"/>
          </a:p>
        </c:txPr>
        <c:crossesAt val="1.0"/>
        <c:crossBetween val="between"/>
        <c:crossAx val="0"/>
      </c:valAx>
      <c:dTable>
        <c:showHorzBorder val="0"/>
        <c:showVertBorder val="0"/>
        <c:showOutline val="0"/>
        <c:showKeys val="0"/>
        <c:spPr>
          <a:ln w="6350">
            <a:solidFill>
              <a:srgbClr val="D9D9D9"/>
            </a:solidFill>
            <a:prstDash val="solid"/>
          </a:ln>
        </c:spPr>
        <c:txPr>
          <a:bodyPr/>
          <a:lstStyle/>
          <a:p>
            <a:pPr rtl="0">
              <a:defRPr sz="900" b="0" i="0" u="none" strike="noStrike" baseline="0">
                <a:solidFill>
                  <a:srgbClr val="595959"/>
                </a:solidFill>
                <a:latin typeface="Times New Roman"/>
                <a:ea typeface="宋体"/>
                <a:cs typeface="Lucida Sans"/>
              </a:defRPr>
            </a:pPr>
            <a:endParaRPr lang="zh-CN"/>
          </a:p>
        </c:txPr>
      </c:dTable>
      <c:spPr>
        <a:noFill/>
        <a:ln>
          <a:noFill/>
        </a:ln>
      </c:spPr>
    </c:plotArea>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 (4)'!$B$1</c:f>
              <c:strCache>
                <c:ptCount val="1"/>
                <c:pt idx="0">
                  <c:v>2019年与2020年一般公共预算拨款支出对比图</c:v>
                </c:pt>
              </c:strCache>
            </c:strRef>
          </c:tx>
          <c:spPr>
            <a:solidFill>
              <a:srgbClr val="4F81BD"/>
            </a:solidFill>
          </c:spPr>
          <c:invertIfNegative val="0"/>
          <c:dLbls>
            <c:showLegendKey val="0"/>
            <c:showVal val="0"/>
            <c:showCatName val="0"/>
            <c:showSerName val="0"/>
            <c:showPercent val="0"/>
            <c:showBubbleSize val="0"/>
            <c:showLeaderLines val="0"/>
          </c:dLbls>
          <c:cat>
            <c:strRef>
              <c:f>'Sheet1 (4)'!$A$2:$A$3</c:f>
              <c:strCache>
                <c:ptCount val="2"/>
                <c:pt idx="0">
                  <c:v>2019年支出670.42万元 </c:v>
                </c:pt>
                <c:pt idx="1">
                  <c:v>2020年支出715.74万元</c:v>
                </c:pt>
              </c:strCache>
            </c:strRef>
          </c:cat>
          <c:val>
            <c:numRef>
              <c:f>'Sheet1 (4)'!$B$2:$B$3</c:f>
              <c:numCache>
                <c:formatCode>General</c:formatCode>
                <c:ptCount val="2"/>
                <c:pt idx="0">
                  <c:v>6.7</c:v>
                </c:pt>
                <c:pt idx="1">
                  <c:v>7.2</c:v>
                </c:pt>
              </c:numCache>
            </c:numRef>
          </c:val>
        </c:ser>
        <c:gapWidth val="150"/>
        <c:axId val="0"/>
        <c:axId val="1"/>
      </c:barChart>
      <c:catAx>
        <c:axId val="0"/>
        <c:scaling>
          <c:orientation val="minMax"/>
        </c:scaling>
        <c:delete val="0"/>
        <c:axPos val="b"/>
        <c:numFmt formatCode="General" sourceLinked="1"/>
        <c:majorTickMark val="out"/>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 val="autoZero"/>
        <c:auto val="0"/>
        <c:lblOffset val="100"/>
        <c:lblAlgn val="ctr"/>
        <c:noMultiLvlLbl val="0"/>
        <c:crossAx val="1"/>
      </c:catAx>
      <c:valAx>
        <c:axId val="1"/>
        <c:scaling>
          <c:orientation val="minMax"/>
        </c:scaling>
        <c:delete val="0"/>
        <c:axPos val="l"/>
        <c:majorGridlines/>
        <c:numFmt formatCode="General" sourceLinked="1"/>
        <c:majorTickMark val="out"/>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At val="1.0"/>
        <c:crossBetween val="between"/>
        <c:crossAx val="0"/>
      </c:valAx>
      <c:spPr>
        <a:solidFill>
          <a:srgbClr val="FFFFFF"/>
        </a:solidFill>
      </c:spPr>
    </c:plotArea>
    <c:plotVisOnly val="1"/>
    <c:dispBlanksAs val="gap"/>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0"/>
        <c:ser>
          <c:idx val="0"/>
          <c:order val="0"/>
          <c:tx>
            <c:strRef>
              <c:f>'Sheet1 (5)'!$B$1</c:f>
              <c:strCache>
                <c:ptCount val="1"/>
                <c:pt idx="0">
                  <c:v>一般公共预算财政拨款支出对比图</c:v>
                </c:pt>
              </c:strCache>
            </c:strRef>
          </c:tx>
          <c:spPr>
            <a:solidFill>
              <a:srgbClr val="4F81BD"/>
            </a:solidFill>
          </c:spPr>
          <c:dPt>
            <c:idx val="0"/>
            <c:bubble3D val="0"/>
            <c:spPr>
              <a:solidFill>
                <a:srgbClr val="4F81BD"/>
              </a:solidFill>
              <a:ln w="19050">
                <a:solidFill>
                  <a:srgbClr val="FFFFFF"/>
                </a:solidFill>
                <a:prstDash val="solid"/>
              </a:ln>
            </c:spPr>
          </c:dPt>
          <c:dPt>
            <c:idx val="1"/>
            <c:bubble3D val="0"/>
            <c:spPr>
              <a:solidFill>
                <a:srgbClr val="C0504D"/>
              </a:solidFill>
              <a:ln w="19050">
                <a:solidFill>
                  <a:srgbClr val="FFFFFF"/>
                </a:solidFill>
                <a:prstDash val="solid"/>
              </a:ln>
            </c:spPr>
          </c:dPt>
          <c:dPt>
            <c:idx val="2"/>
            <c:bubble3D val="0"/>
            <c:spPr>
              <a:solidFill>
                <a:srgbClr val="9BBB59"/>
              </a:solidFill>
              <a:ln w="19050">
                <a:solidFill>
                  <a:srgbClr val="FFFFFF"/>
                </a:solidFill>
                <a:prstDash val="solid"/>
              </a:ln>
            </c:spPr>
          </c:dPt>
          <c:dPt>
            <c:idx val="3"/>
            <c:bubble3D val="0"/>
            <c:spPr>
              <a:solidFill>
                <a:srgbClr val="8064A2"/>
              </a:solidFill>
              <a:ln w="19050">
                <a:solidFill>
                  <a:srgbClr val="FFFFFF"/>
                </a:solidFill>
                <a:prstDash val="solid"/>
              </a:ln>
            </c:spPr>
          </c:dPt>
          <c:dLbls>
            <c:showLegendKey val="0"/>
            <c:showVal val="0"/>
            <c:showCatName val="0"/>
            <c:showSerName val="0"/>
            <c:showPercent val="0"/>
            <c:showBubbleSize val="0"/>
            <c:showLeaderLines val="1"/>
          </c:dLbls>
          <c:cat>
            <c:strRef>
              <c:f>'Sheet1 (5)'!$A$3:$A$6</c:f>
              <c:strCache>
                <c:ptCount val="4"/>
                <c:pt idx="0">
                  <c:v>社会保障和就业支出</c:v>
                </c:pt>
                <c:pt idx="1">
                  <c:v>医疗卫生和计划生育支出</c:v>
                </c:pt>
                <c:pt idx="2">
                  <c:v>住房保障支出</c:v>
                </c:pt>
              </c:strCache>
            </c:strRef>
          </c:cat>
          <c:val>
            <c:numRef>
              <c:f>'Sheet1 (5)'!$B$3:$B$6</c:f>
              <c:numCache>
                <c:formatCode>General</c:formatCode>
                <c:ptCount val="4"/>
                <c:pt idx="0">
                  <c:v>61.69</c:v>
                </c:pt>
                <c:pt idx="1">
                  <c:v>19.88</c:v>
                </c:pt>
                <c:pt idx="2">
                  <c:v>27.22</c:v>
                </c:pt>
              </c:numCache>
            </c:numRef>
          </c:val>
        </c:ser>
        <c:firstSliceAng val="0"/>
      </c:pieChart>
      <c:spPr>
        <a:noFill/>
        <a:ln>
          <a:noFill/>
        </a:ln>
      </c:spPr>
    </c:plotArea>
    <c:legend>
      <c:legendPos val="b"/>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zero"/>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A00AB99F-F531-4834-98FD-025B0CD91785}">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2</TotalTime>
  <Application>Yozo_Office27021597764231179</Application>
  <Pages>49</Pages>
  <Words>0</Words>
  <Characters>15776</Characters>
  <Lines>0</Lines>
  <Paragraphs>276</Paragraphs>
  <CharactersWithSpaces>21035</CharactersWithSpaces>
  <Company>四川省财政厅</Company>
</Properties>
</file>

<file path=docProps/core.xml><?xml version="1.0" encoding="utf-8"?>
<cp:coreProperties xmlns:cp="http://schemas.openxmlformats.org/package/2006/metadata/core-properties" xmlns:dc="http://purl.org/dc/elements/1.1/" xmlns:dcterms="http://purl.org/dc/terms/" xmlns:xsi="http://www.w3.org/2001/XMLSchema-instance">
  <dc:title>四川省***</dc:title>
  <dc:creator>曹颖</dc:creator>
  <cp:lastModifiedBy>user</cp:lastModifiedBy>
  <cp:revision>39</cp:revision>
  <cp:lastPrinted>2021-09-28T08:41:00Z</cp:lastPrinted>
  <dcterms:created xsi:type="dcterms:W3CDTF">2020-08-05T09:49:00Z</dcterms:created>
  <dcterms:modified xsi:type="dcterms:W3CDTF">2024-05-27T01:04:50Z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2052-11.8.2.9980</vt:lpwstr>
  </property>
  <property fmtid="{D5CDD505-2E9C-101B-9397-08002B2CF9AE}" pid="3" name="ICV">
    <vt:lpwstr>9FE711308A634E4DB89B2A548E92CBE2</vt:lpwstr>
  </property>
</Properties>
</file>