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pStyle w:val="15"/>
        <w:wordWrap w:val="0"/>
        <w:spacing w:line="576" w:lineRule="exact"/>
        <w:ind w:firstLine="0"/>
        <w:jc w:val="right"/>
      </w:pPr>
      <w:bookmarkStart w:id="0" w:name="_GoBack"/>
      <w:bookmarkEnd w:id="0"/>
      <w:r>
        <w:rPr>
          <w:rFonts w:ascii="方正仿宋简体" w:eastAsia="方正仿宋简体" w:cs="方正仿宋简体" w:hAnsi="方正仿宋简体" w:hint="eastAsia"/>
        </w:rPr>
        <w:t xml:space="preserve">   </w:t>
      </w:r>
    </w:p>
    <w:p>
      <w:pPr>
        <w:pStyle w:val="15"/>
        <w:overflowPunct w:val="0"/>
        <w:spacing w:line="576" w:lineRule="exact"/>
        <w:ind w:firstLine="0"/>
        <w:jc w:val="center"/>
        <w:rPr>
          <w:rFonts w:ascii="方正小标宋简体" w:eastAsia="方正小标宋简体" w:cs="宋体" w:hAnsi="方正小标宋简体"/>
          <w:spacing w:val="-17"/>
          <w:sz w:val="44"/>
          <w:szCs w:val="44"/>
        </w:rPr>
      </w:pPr>
      <w:r>
        <w:rPr>
          <w:rFonts w:ascii="方正小标宋简体" w:eastAsia="方正小标宋简体" w:cs="宋体" w:hAnsi="方正小标宋简体" w:hint="eastAsia"/>
          <w:spacing w:val="-17"/>
          <w:sz w:val="44"/>
          <w:szCs w:val="44"/>
        </w:rPr>
        <w:t>广元市利州区2021—2030年高标准农田建设规划</w:t>
      </w:r>
    </w:p>
    <w:p>
      <w:pPr>
        <w:overflowPunct w:val="0"/>
        <w:spacing w:line="576" w:lineRule="exact"/>
        <w:jc w:val="center"/>
        <w:rPr>
          <w:rFonts w:ascii="方正小标宋简体" w:eastAsia="方正小标宋简体" w:cs="方正小标宋简体" w:hAnsi="方正小标宋简体"/>
          <w:sz w:val="44"/>
          <w:szCs w:val="44"/>
        </w:rPr>
      </w:pPr>
    </w:p>
    <w:p>
      <w:pPr>
        <w:overflowPunct w:val="0"/>
        <w:spacing w:line="576" w:lineRule="exact"/>
        <w:jc w:val="center"/>
        <w:rPr>
          <w:rFonts w:ascii="方正小标宋简体" w:eastAsia="方正小标宋简体" w:cs="方正小标宋简体" w:hAnsi="方正小标宋简体"/>
          <w:sz w:val="44"/>
          <w:szCs w:val="44"/>
        </w:rPr>
      </w:pPr>
      <w:r>
        <w:rPr>
          <w:rFonts w:ascii="方正小标宋简体" w:eastAsia="方正小标宋简体" w:cs="方正小标宋简体" w:hAnsi="方正小标宋简体" w:hint="eastAsia"/>
          <w:sz w:val="44"/>
          <w:szCs w:val="44"/>
        </w:rPr>
        <w:t>目      录</w:t>
      </w:r>
    </w:p>
    <w:p>
      <w:pPr>
        <w:overflowPunct w:val="0"/>
        <w:spacing w:line="576" w:lineRule="exact"/>
        <w:jc w:val="distribute"/>
        <w:rPr>
          <w:rFonts w:ascii="方正小标宋简体" w:eastAsia="方正小标宋简体" w:hAnsi="宋体"/>
          <w:sz w:val="32"/>
          <w:szCs w:val="32"/>
        </w:rPr>
      </w:pPr>
    </w:p>
    <w:p>
      <w:pPr>
        <w:overflowPunct w:val="0"/>
        <w:spacing w:line="576" w:lineRule="exact"/>
        <w:jc w:val="distribute"/>
        <w:rPr>
          <w:rFonts w:ascii="方正黑体简体" w:eastAsia="方正黑体简体" w:hAnsi="宋体"/>
          <w:sz w:val="32"/>
          <w:szCs w:val="32"/>
        </w:rPr>
      </w:pPr>
      <w:r>
        <w:rPr>
          <w:rFonts w:ascii="方正黑体简体" w:eastAsia="方正黑体简体" w:hAnsi="宋体" w:hint="eastAsia"/>
          <w:sz w:val="32"/>
          <w:szCs w:val="32"/>
        </w:rPr>
        <w:t>第一章  规划区基本情况…………………………………………4</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一、编制背景…………………………………………………4</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二、规划范围…………………………………………………6</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三、自然概况…………………………………………………6</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四、社会经济状况…………………………………………8</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五、农田基础设施现状（包括高标准农田建设情况）……9</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六、农业生产障碍因素分析………………………………10</w:t>
      </w:r>
    </w:p>
    <w:p>
      <w:pPr>
        <w:overflowPunct w:val="0"/>
        <w:spacing w:line="576" w:lineRule="exact"/>
        <w:jc w:val="distribute"/>
        <w:rPr>
          <w:rFonts w:ascii="方正黑体简体" w:eastAsia="方正黑体简体" w:hAnsi="宋体"/>
          <w:sz w:val="32"/>
          <w:szCs w:val="32"/>
        </w:rPr>
      </w:pPr>
      <w:r>
        <w:rPr>
          <w:rFonts w:ascii="方正黑体简体" w:eastAsia="方正黑体简体" w:hAnsi="宋体" w:hint="eastAsia"/>
          <w:sz w:val="32"/>
          <w:szCs w:val="32"/>
        </w:rPr>
        <w:t>第二章  规划的必要性与可行性………………………………12</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一、规划的必要性…………………………………………12</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二、规划的可行性…………………………………………14</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三、生态环境影响评估论证………………………………16</w:t>
      </w:r>
    </w:p>
    <w:p>
      <w:pPr>
        <w:overflowPunct w:val="0"/>
        <w:spacing w:line="576" w:lineRule="exact"/>
        <w:jc w:val="distribute"/>
        <w:rPr>
          <w:rFonts w:ascii="方正黑体简体" w:eastAsia="方正黑体简体" w:hAnsi="宋体"/>
          <w:sz w:val="32"/>
          <w:szCs w:val="32"/>
        </w:rPr>
      </w:pPr>
      <w:r>
        <w:rPr>
          <w:rFonts w:ascii="方正黑体简体" w:eastAsia="方正黑体简体" w:hAnsi="宋体" w:hint="eastAsia"/>
          <w:sz w:val="32"/>
          <w:szCs w:val="32"/>
        </w:rPr>
        <w:t>第三章  指导思想、基本原则与目标任务………………………19</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一、指导思想………………………………………………19</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二、基本原则………………………………………………19</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三、规划年限与目标任务…………………………………21</w:t>
      </w:r>
    </w:p>
    <w:p>
      <w:pPr>
        <w:overflowPunct w:val="0"/>
        <w:spacing w:line="576" w:lineRule="exact"/>
        <w:jc w:val="distribute"/>
        <w:rPr>
          <w:rFonts w:ascii="方正黑体简体" w:eastAsia="方正黑体简体" w:hAnsi="宋体"/>
          <w:sz w:val="32"/>
          <w:szCs w:val="32"/>
        </w:rPr>
      </w:pPr>
      <w:r>
        <w:rPr>
          <w:rFonts w:ascii="方正黑体简体" w:eastAsia="方正黑体简体" w:hAnsi="宋体" w:hint="eastAsia"/>
          <w:sz w:val="32"/>
          <w:szCs w:val="32"/>
        </w:rPr>
        <w:t>第四章  区域布局与建设重点…………………………………25</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一、区域布局………………………………………………25</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二、建设重点………………………………………………25</w:t>
      </w:r>
    </w:p>
    <w:p>
      <w:pPr>
        <w:overflowPunct w:val="0"/>
        <w:spacing w:line="576" w:lineRule="exact"/>
        <w:jc w:val="distribute"/>
        <w:rPr>
          <w:rFonts w:ascii="方正黑体简体" w:eastAsia="方正黑体简体" w:hAnsi="宋体"/>
          <w:sz w:val="32"/>
          <w:szCs w:val="32"/>
        </w:rPr>
      </w:pPr>
      <w:r>
        <w:rPr>
          <w:rFonts w:ascii="方正黑体简体" w:eastAsia="方正黑体简体" w:hAnsi="宋体" w:hint="eastAsia"/>
          <w:sz w:val="32"/>
          <w:szCs w:val="32"/>
        </w:rPr>
        <w:t>第五章  建设标准与主要内容…………………………………31</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一、建设标准………………………………………………31</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二、主要建设内容…………………………………………34</w:t>
      </w:r>
    </w:p>
    <w:p>
      <w:pPr>
        <w:overflowPunct w:val="0"/>
        <w:spacing w:line="576" w:lineRule="exact"/>
        <w:jc w:val="distribute"/>
        <w:rPr>
          <w:rFonts w:ascii="方正黑体简体" w:eastAsia="方正黑体简体" w:hAnsi="宋体"/>
          <w:sz w:val="32"/>
          <w:szCs w:val="32"/>
        </w:rPr>
      </w:pPr>
      <w:r>
        <w:rPr>
          <w:rFonts w:ascii="方正黑体简体" w:eastAsia="方正黑体简体" w:hAnsi="宋体" w:hint="eastAsia"/>
          <w:sz w:val="32"/>
          <w:szCs w:val="32"/>
        </w:rPr>
        <w:t>第六章  投资估算与筹措方案…………………………………37</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一、投资估算………………………………………………37</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二、资金筹措方案…………………………………………41</w:t>
      </w:r>
    </w:p>
    <w:p>
      <w:pPr>
        <w:overflowPunct w:val="0"/>
        <w:spacing w:line="576" w:lineRule="exact"/>
        <w:jc w:val="distribute"/>
        <w:rPr>
          <w:rFonts w:ascii="方正黑体简体" w:eastAsia="方正黑体简体" w:hAnsi="宋体"/>
          <w:sz w:val="32"/>
          <w:szCs w:val="32"/>
        </w:rPr>
      </w:pPr>
      <w:r>
        <w:rPr>
          <w:rFonts w:ascii="方正黑体简体" w:eastAsia="方正黑体简体" w:hAnsi="宋体" w:hint="eastAsia"/>
          <w:sz w:val="32"/>
          <w:szCs w:val="32"/>
        </w:rPr>
        <w:t>第七章  效益分析………………………………………………42</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一、经济效益及评价………………………………………42</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二、社会效益………………………………………………42</w:t>
      </w:r>
    </w:p>
    <w:p>
      <w:pPr>
        <w:overflowPunct w:val="0"/>
        <w:spacing w:line="576" w:lineRule="exact"/>
        <w:ind w:firstLineChars="200" w:firstLine="640"/>
        <w:jc w:val="distribute"/>
        <w:rPr>
          <w:rFonts w:ascii="方正仿宋简体" w:eastAsia="方正仿宋简体" w:hAnsi="宋体" w:hint="eastAsia"/>
          <w:sz w:val="32"/>
          <w:szCs w:val="32"/>
        </w:rPr>
      </w:pPr>
      <w:r>
        <w:rPr>
          <w:rFonts w:ascii="方正仿宋简体" w:eastAsia="方正仿宋简体" w:hAnsi="宋体" w:hint="eastAsia"/>
          <w:sz w:val="32"/>
          <w:szCs w:val="32"/>
        </w:rPr>
        <w:t>三、生态效益………………………………………………43</w:t>
      </w:r>
    </w:p>
    <w:p>
      <w:pPr>
        <w:overflowPunct w:val="0"/>
        <w:spacing w:line="576" w:lineRule="exact"/>
        <w:jc w:val="distribute"/>
        <w:rPr>
          <w:rFonts w:ascii="方正黑体简体" w:eastAsia="方正黑体简体" w:hAnsi="宋体"/>
          <w:sz w:val="32"/>
          <w:szCs w:val="32"/>
        </w:rPr>
      </w:pPr>
      <w:r>
        <w:rPr>
          <w:rFonts w:ascii="方正黑体简体" w:eastAsia="方正黑体简体" w:hAnsi="宋体" w:hint="eastAsia"/>
          <w:sz w:val="32"/>
          <w:szCs w:val="32"/>
        </w:rPr>
        <w:t>第八章  保障措施………………………………………………44</w:t>
      </w:r>
    </w:p>
    <w:p>
      <w:pPr>
        <w:overflowPunct w:val="0"/>
        <w:spacing w:line="576" w:lineRule="exact"/>
        <w:ind w:firstLineChars="200" w:firstLine="640"/>
        <w:jc w:val="distribute"/>
        <w:outlineLvl w:val="1"/>
        <w:rPr>
          <w:rFonts w:ascii="方正仿宋简体" w:eastAsia="方正仿宋简体" w:cs="方正黑体简体" w:hAnsi="方正黑体简体" w:hint="eastAsia"/>
          <w:sz w:val="32"/>
          <w:szCs w:val="32"/>
        </w:rPr>
      </w:pPr>
      <w:r>
        <w:rPr>
          <w:rFonts w:ascii="方正仿宋简体" w:eastAsia="方正仿宋简体" w:cs="方正黑体简体" w:hAnsi="方正黑体简体" w:hint="eastAsia"/>
          <w:sz w:val="32"/>
          <w:szCs w:val="32"/>
        </w:rPr>
        <w:t>一、强化组织保障</w:t>
      </w:r>
      <w:r>
        <w:rPr>
          <w:rFonts w:ascii="方正仿宋简体" w:eastAsia="方正仿宋简体" w:hAnsi="宋体" w:hint="eastAsia"/>
          <w:sz w:val="32"/>
          <w:szCs w:val="32"/>
        </w:rPr>
        <w:t>…………………………………………44</w:t>
      </w:r>
    </w:p>
    <w:p>
      <w:pPr>
        <w:overflowPunct w:val="0"/>
        <w:spacing w:line="576" w:lineRule="exact"/>
        <w:ind w:firstLineChars="200" w:firstLine="640"/>
        <w:jc w:val="distribute"/>
        <w:outlineLvl w:val="1"/>
        <w:rPr>
          <w:rFonts w:ascii="方正仿宋简体" w:eastAsia="方正仿宋简体" w:cs="方正黑体简体" w:hAnsi="方正黑体简体" w:hint="eastAsia"/>
          <w:sz w:val="32"/>
          <w:szCs w:val="32"/>
        </w:rPr>
      </w:pPr>
      <w:r>
        <w:rPr>
          <w:rFonts w:ascii="方正仿宋简体" w:eastAsia="方正仿宋简体" w:cs="方正黑体简体" w:hAnsi="方正黑体简体" w:hint="eastAsia"/>
          <w:sz w:val="32"/>
          <w:szCs w:val="32"/>
        </w:rPr>
        <w:t>二、强化规划引领</w:t>
      </w:r>
      <w:r>
        <w:rPr>
          <w:rFonts w:ascii="方正仿宋简体" w:eastAsia="方正仿宋简体" w:hAnsi="宋体" w:hint="eastAsia"/>
          <w:sz w:val="32"/>
          <w:szCs w:val="32"/>
        </w:rPr>
        <w:t>…………………………………………44</w:t>
      </w:r>
    </w:p>
    <w:p>
      <w:pPr>
        <w:overflowPunct w:val="0"/>
        <w:spacing w:line="576" w:lineRule="exact"/>
        <w:ind w:firstLineChars="200" w:firstLine="640"/>
        <w:jc w:val="distribute"/>
        <w:outlineLvl w:val="1"/>
        <w:rPr>
          <w:rFonts w:ascii="方正仿宋简体" w:eastAsia="方正仿宋简体" w:cs="方正黑体简体" w:hAnsi="方正黑体简体" w:hint="eastAsia"/>
          <w:sz w:val="32"/>
          <w:szCs w:val="32"/>
        </w:rPr>
      </w:pPr>
      <w:r>
        <w:rPr>
          <w:rFonts w:ascii="方正仿宋简体" w:eastAsia="方正仿宋简体" w:cs="方正黑体简体" w:hAnsi="方正黑体简体" w:hint="eastAsia"/>
          <w:sz w:val="32"/>
          <w:szCs w:val="32"/>
        </w:rPr>
        <w:t>三、强化资金管理</w:t>
      </w:r>
      <w:r>
        <w:rPr>
          <w:rFonts w:ascii="方正仿宋简体" w:eastAsia="方正仿宋简体" w:hAnsi="宋体" w:hint="eastAsia"/>
          <w:sz w:val="32"/>
          <w:szCs w:val="32"/>
        </w:rPr>
        <w:t>…………………………………………45</w:t>
      </w:r>
    </w:p>
    <w:p>
      <w:pPr>
        <w:overflowPunct w:val="0"/>
        <w:spacing w:line="576" w:lineRule="exact"/>
        <w:ind w:firstLineChars="200" w:firstLine="640"/>
        <w:jc w:val="distribute"/>
        <w:outlineLvl w:val="1"/>
        <w:rPr>
          <w:rFonts w:ascii="方正仿宋简体" w:eastAsia="方正仿宋简体" w:cs="方正黑体简体" w:hAnsi="方正黑体简体" w:hint="eastAsia"/>
          <w:sz w:val="32"/>
          <w:szCs w:val="32"/>
        </w:rPr>
      </w:pPr>
      <w:r>
        <w:rPr>
          <w:rFonts w:ascii="方正仿宋简体" w:eastAsia="方正仿宋简体" w:cs="方正黑体简体" w:hAnsi="方正黑体简体" w:hint="eastAsia"/>
          <w:sz w:val="32"/>
          <w:szCs w:val="32"/>
        </w:rPr>
        <w:t>四、强化项目管理</w:t>
      </w:r>
      <w:r>
        <w:rPr>
          <w:rFonts w:ascii="方正仿宋简体" w:eastAsia="方正仿宋简体" w:hAnsi="宋体" w:hint="eastAsia"/>
          <w:sz w:val="32"/>
          <w:szCs w:val="32"/>
        </w:rPr>
        <w:t>…………………………………………45</w:t>
      </w:r>
    </w:p>
    <w:p>
      <w:pPr>
        <w:overflowPunct w:val="0"/>
        <w:spacing w:line="576" w:lineRule="exact"/>
        <w:ind w:firstLineChars="200" w:firstLine="640"/>
        <w:jc w:val="distribute"/>
        <w:outlineLvl w:val="1"/>
        <w:rPr>
          <w:rFonts w:ascii="方正仿宋简体" w:eastAsia="方正仿宋简体" w:cs="方正黑体简体" w:hAnsi="方正黑体简体" w:hint="eastAsia"/>
          <w:sz w:val="32"/>
          <w:szCs w:val="32"/>
        </w:rPr>
      </w:pPr>
      <w:r>
        <w:rPr>
          <w:rFonts w:ascii="方正仿宋简体" w:eastAsia="方正仿宋简体" w:cs="方正黑体简体" w:hAnsi="方正黑体简体" w:hint="eastAsia"/>
          <w:sz w:val="32"/>
          <w:szCs w:val="32"/>
        </w:rPr>
        <w:t>五、强化风险防控</w:t>
      </w:r>
      <w:r>
        <w:rPr>
          <w:rFonts w:ascii="方正仿宋简体" w:eastAsia="方正仿宋简体" w:hAnsi="宋体" w:hint="eastAsia"/>
          <w:sz w:val="32"/>
          <w:szCs w:val="32"/>
        </w:rPr>
        <w:t>…………………………………………47</w:t>
      </w:r>
    </w:p>
    <w:p>
      <w:pPr>
        <w:overflowPunct w:val="0"/>
        <w:spacing w:line="576" w:lineRule="exact"/>
        <w:ind w:firstLineChars="200" w:firstLine="640"/>
        <w:jc w:val="distribute"/>
        <w:outlineLvl w:val="1"/>
        <w:rPr>
          <w:rFonts w:ascii="方正仿宋简体" w:eastAsia="方正仿宋简体" w:cs="方正黑体简体" w:hAnsi="方正黑体简体" w:hint="eastAsia"/>
          <w:sz w:val="32"/>
          <w:szCs w:val="32"/>
        </w:rPr>
      </w:pPr>
      <w:r>
        <w:rPr>
          <w:rFonts w:ascii="方正仿宋简体" w:eastAsia="方正仿宋简体" w:cs="方正黑体简体" w:hAnsi="方正黑体简体" w:hint="eastAsia"/>
          <w:sz w:val="32"/>
          <w:szCs w:val="32"/>
        </w:rPr>
        <w:t>六、强化招标管理</w:t>
      </w:r>
      <w:r>
        <w:rPr>
          <w:rFonts w:ascii="方正仿宋简体" w:eastAsia="方正仿宋简体" w:hAnsi="宋体" w:hint="eastAsia"/>
          <w:sz w:val="32"/>
          <w:szCs w:val="32"/>
        </w:rPr>
        <w:t>…………………………………………47</w:t>
      </w:r>
    </w:p>
    <w:p>
      <w:pPr>
        <w:overflowPunct w:val="0"/>
        <w:spacing w:line="576" w:lineRule="exact"/>
        <w:ind w:firstLineChars="200" w:firstLine="640"/>
        <w:jc w:val="distribute"/>
        <w:outlineLvl w:val="1"/>
        <w:rPr>
          <w:rFonts w:ascii="方正仿宋简体" w:eastAsia="方正仿宋简体" w:cs="方正黑体简体" w:hAnsi="方正黑体简体" w:hint="eastAsia"/>
          <w:sz w:val="32"/>
          <w:szCs w:val="32"/>
        </w:rPr>
      </w:pPr>
      <w:r>
        <w:rPr>
          <w:rFonts w:ascii="方正仿宋简体" w:eastAsia="方正仿宋简体" w:cs="方正黑体简体" w:hAnsi="方正黑体简体" w:hint="eastAsia"/>
          <w:sz w:val="32"/>
          <w:szCs w:val="32"/>
        </w:rPr>
        <w:t>七、强化大宗物资采购管理</w:t>
      </w:r>
      <w:r>
        <w:rPr>
          <w:rFonts w:ascii="方正仿宋简体" w:eastAsia="方正仿宋简体" w:hAnsi="宋体" w:hint="eastAsia"/>
          <w:sz w:val="32"/>
          <w:szCs w:val="32"/>
        </w:rPr>
        <w:t>………………………………48</w:t>
      </w:r>
    </w:p>
    <w:p>
      <w:pPr>
        <w:overflowPunct w:val="0"/>
        <w:spacing w:line="576" w:lineRule="exact"/>
        <w:jc w:val="distribute"/>
        <w:rPr>
          <w:rFonts w:ascii="方正黑体简体" w:eastAsia="方正黑体简体" w:hAnsi="宋体"/>
          <w:sz w:val="32"/>
          <w:szCs w:val="32"/>
        </w:rPr>
      </w:pPr>
      <w:r>
        <w:rPr>
          <w:rFonts w:ascii="方正黑体简体" w:eastAsia="方正黑体简体" w:hAnsi="宋体" w:hint="eastAsia"/>
          <w:sz w:val="32"/>
          <w:szCs w:val="32"/>
        </w:rPr>
        <w:t>附    录…………………………………………………………49</w:t>
      </w:r>
    </w:p>
    <w:p>
      <w:pPr>
        <w:overflowPunct w:val="0"/>
        <w:spacing w:line="576" w:lineRule="exact"/>
        <w:ind w:firstLineChars="200" w:firstLine="640"/>
        <w:jc w:val="distribute"/>
        <w:outlineLvl w:val="1"/>
        <w:rPr>
          <w:rFonts w:ascii="方正仿宋简体" w:eastAsia="方正仿宋简体" w:cs="方正黑体简体" w:hAnsi="方正黑体简体" w:hint="eastAsia"/>
          <w:sz w:val="32"/>
          <w:szCs w:val="32"/>
        </w:rPr>
      </w:pPr>
      <w:r>
        <w:rPr>
          <w:rFonts w:ascii="方正仿宋简体" w:eastAsia="方正仿宋简体" w:cs="方正黑体简体" w:hAnsi="方正黑体简体" w:hint="eastAsia"/>
          <w:sz w:val="32"/>
          <w:szCs w:val="32"/>
        </w:rPr>
        <w:t>一、附表</w:t>
      </w:r>
      <w:r>
        <w:rPr>
          <w:rFonts w:ascii="方正仿宋简体" w:eastAsia="方正仿宋简体" w:hAnsi="宋体" w:hint="eastAsia"/>
          <w:sz w:val="32"/>
          <w:szCs w:val="32"/>
        </w:rPr>
        <w:t>…………………………………………………50</w:t>
      </w:r>
    </w:p>
    <w:p>
      <w:pPr>
        <w:overflowPunct w:val="0"/>
        <w:spacing w:line="576" w:lineRule="exact"/>
        <w:ind w:firstLineChars="200" w:firstLine="640"/>
        <w:jc w:val="distribute"/>
        <w:outlineLvl w:val="1"/>
        <w:rPr>
          <w:rFonts w:ascii="方正仿宋简体" w:eastAsia="方正仿宋简体" w:cs="方正黑体简体" w:hAnsi="方正黑体简体" w:hint="eastAsia"/>
          <w:sz w:val="32"/>
          <w:szCs w:val="32"/>
        </w:rPr>
      </w:pPr>
      <w:r>
        <w:rPr>
          <w:rFonts w:ascii="方正仿宋简体" w:eastAsia="方正仿宋简体" w:cs="方正黑体简体" w:hAnsi="方正黑体简体" w:hint="eastAsia"/>
          <w:sz w:val="32"/>
          <w:szCs w:val="32"/>
        </w:rPr>
        <w:t>二、附图</w:t>
      </w:r>
      <w:r>
        <w:rPr>
          <w:rFonts w:ascii="方正仿宋简体" w:eastAsia="方正仿宋简体" w:hAnsi="宋体" w:hint="eastAsia"/>
          <w:sz w:val="32"/>
          <w:szCs w:val="32"/>
        </w:rPr>
        <w:t>……………………………………………………61</w:t>
      </w:r>
    </w:p>
    <w:p>
      <w:pPr>
        <w:overflowPunct w:val="0"/>
        <w:spacing w:line="576" w:lineRule="exact"/>
        <w:ind w:firstLineChars="200" w:firstLine="640"/>
        <w:rPr>
          <w:rFonts w:ascii="方正仿宋简体" w:eastAsia="方正仿宋简体" w:cs="方正小标宋简体" w:hAnsi="方正小标宋简体"/>
          <w:sz w:val="32"/>
          <w:szCs w:val="32"/>
        </w:rPr>
      </w:pPr>
      <w:r>
        <w:rPr>
          <w:rFonts w:ascii="方正仿宋简体" w:eastAsia="方正仿宋简体" w:cs="方正小标宋简体" w:hAnsi="方正小标宋简体" w:hint="eastAsia"/>
          <w:sz w:val="32"/>
          <w:szCs w:val="32"/>
        </w:rPr>
        <w:br w:type="page"/>
      </w:r>
    </w:p>
    <w:p>
      <w:pPr>
        <w:overflowPunct w:val="0"/>
        <w:spacing w:line="576" w:lineRule="exact"/>
        <w:jc w:val="center"/>
        <w:outlineLvl w:val="0"/>
        <w:rPr>
          <w:rFonts w:ascii="方正小标宋简体" w:eastAsia="方正小标宋简体" w:cs="方正小标宋简体" w:hAnsi="方正小标宋简体"/>
          <w:sz w:val="44"/>
          <w:szCs w:val="44"/>
        </w:rPr>
      </w:pPr>
      <w:bookmarkStart w:id="1" w:name="_Toc32193"/>
      <w:r>
        <w:rPr>
          <w:rFonts w:ascii="方正小标宋简体" w:eastAsia="方正小标宋简体" w:cs="方正小标宋简体" w:hAnsi="方正小标宋简体" w:hint="eastAsia"/>
          <w:sz w:val="44"/>
          <w:szCs w:val="44"/>
        </w:rPr>
        <w:t>第一章  规划区基本情况</w:t>
      </w:r>
      <w:bookmarkEnd w:id="1"/>
    </w:p>
    <w:p>
      <w:pPr>
        <w:overflowPunct w:val="0"/>
        <w:spacing w:line="576" w:lineRule="exact"/>
        <w:ind w:firstLineChars="200" w:firstLine="640"/>
        <w:rPr>
          <w:rFonts w:ascii="方正仿宋简体" w:eastAsia="方正仿宋简体" w:cs="方正仿宋简体" w:hAnsi="方正仿宋简体"/>
          <w:sz w:val="32"/>
          <w:szCs w:val="32"/>
        </w:rPr>
      </w:pPr>
      <w:bookmarkStart w:id="2" w:name="_Toc18051"/>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3" w:name="_Toc11684"/>
      <w:r>
        <w:rPr>
          <w:rFonts w:ascii="方正黑体简体" w:eastAsia="方正黑体简体" w:cs="方正黑体简体" w:hAnsi="方正黑体简体" w:hint="eastAsia"/>
          <w:sz w:val="32"/>
          <w:szCs w:val="32"/>
        </w:rPr>
        <w:t>一、编制背景</w:t>
      </w:r>
      <w:bookmarkEnd w:id="2"/>
      <w:bookmarkEnd w:id="3"/>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建设高标准农田是巩固和提升粮食生产能力、保障国家粮食安全的关键举措，也是农民增收的基础保障。党中央、国务院高度重视高标准农田建设，习近平总书记指出，“中国人的饭碗要牢牢端在自己手里，而且里面应该主要装中国粮”；强调“耕地保护要求要非常明确，18亿亩耕地必须实至名归，农田就是农田，而且必须是良田”“要突出抓好耕地保护和地力提升，坚定不移抓好高标准农田建设，提高建设标准和质量，真正实现旱涝保收、高产稳产”。“十二五”以来，省委、省政府深入贯彻落实党</w:t>
      </w:r>
      <w:r>
        <w:rPr>
          <w:rFonts w:ascii="方正仿宋简体" w:eastAsia="方正仿宋简体" w:cs="方正仿宋简体" w:hAnsi="方正仿宋简体" w:hint="eastAsia"/>
          <w:spacing w:val="-6"/>
          <w:sz w:val="32"/>
          <w:szCs w:val="32"/>
        </w:rPr>
        <w:t>中央、国务院决策部署，扎实推动“藏粮于地、藏粮于技”战略，全面实施《四川省高标准农田建设总体规划（2011—2020年）》，持续建设高标准农田，有力支撑了粮食和重要农产品生产能力提升。截至2020年底，全省已建成高标准农田4496万亩，为粮食产量再次迈上700亿斤台阶、促进农民持续增收作出重要贡献。</w:t>
      </w:r>
    </w:p>
    <w:p>
      <w:pPr>
        <w:overflowPunct w:val="0"/>
        <w:spacing w:line="576" w:lineRule="exact"/>
        <w:ind w:firstLineChars="200" w:firstLine="640"/>
        <w:rPr>
          <w:rFonts w:ascii="方正仿宋简体" w:eastAsia="方正仿宋简体" w:cs="方正仿宋简体" w:hAnsi="方正仿宋简体"/>
          <w:spacing w:val="6"/>
          <w:sz w:val="32"/>
          <w:szCs w:val="32"/>
        </w:rPr>
      </w:pPr>
      <w:r>
        <w:rPr>
          <w:rFonts w:ascii="方正仿宋简体" w:eastAsia="方正仿宋简体" w:cs="方正仿宋简体" w:hAnsi="方正仿宋简体" w:hint="eastAsia"/>
          <w:sz w:val="32"/>
          <w:szCs w:val="32"/>
        </w:rPr>
        <w:t>2018年，国家实施新一轮机构改革，将发展改革部门农业</w:t>
      </w:r>
      <w:r>
        <w:rPr>
          <w:rFonts w:ascii="方正仿宋简体" w:eastAsia="方正仿宋简体" w:cs="方正仿宋简体" w:hAnsi="方正仿宋简体" w:hint="eastAsia"/>
          <w:spacing w:val="6"/>
          <w:sz w:val="32"/>
          <w:szCs w:val="32"/>
        </w:rPr>
        <w:t>投资项目、财政部门农业综合开发项目、水利部门农田水利建设项目管理职能整合到农业农村部门，明确由农业农村部门负责统一实施高标准农田建设项目。2019年，中共中央、国务院《关于坚持农业农村优先发展做好“三农”工作的若干意见》提出“修编全国高标准农田建设总体规划”“实施新一轮高标准农田建设规划”。国务院办公厅《关于切实加强高标准农田建设提升国家粮食安全保障能力的意见》（国办发〔2019〕50号）要求“修编全国高标准农田建设规划，形成国家、省、市、县四级农田建设规划体系”。国务院《关于全国高标准农田建设规划（2021—2030年）的批复》（国函〔2021〕86号）、农业农村部《全国高标准农田建设规划（2021—2030年）》要求“根据确定的目标任务，加快推进省、市、县级高标准农田建设规划”。2020年，中共四川省委、四川省人民政府《关于推进“三农”工作补短板强弱项确保如期实现全面小康的意见》明确提出“编制全省高标准农田建设规划”。据此，我区组织编制了《广元市利州区2021－2030年高标准农田建设规划》（以下简称《规划》）。</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规划》以《全国高标准农田建设规划（2021—2030年）》为指引，以“十二五”时期以来各地实践创新为基础，紧密衔接《四川省国民经济和社会发展第十四个五年规划和二〇三五年远景目标纲要》《成渝地区双城经济圈建设规划纲要》《四川省国土空间规划（2020—2035年）》《四川省“十四五”推进农业农村现代化规划》《四川省“十四五”水安全保障规划》等相关规划，在深入调研的基础上，总结近年来全省农田建设经验，分析利州区当前形势，提出至2030年高标准农田建设的总体目标、建设标准、建设分区、建设任务、建设监管、效益分析和保障措施等，是指导利州区高标准农田建设科学有序开展的重要依据。</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4" w:name="_Toc30677"/>
      <w:bookmarkStart w:id="5" w:name="_Toc31468"/>
      <w:r>
        <w:rPr>
          <w:rFonts w:ascii="方正黑体简体" w:eastAsia="方正黑体简体" w:cs="方正黑体简体" w:hAnsi="方正黑体简体" w:hint="eastAsia"/>
          <w:sz w:val="32"/>
          <w:szCs w:val="32"/>
        </w:rPr>
        <w:t>二、规划范围</w:t>
      </w:r>
      <w:bookmarkEnd w:id="4"/>
      <w:bookmarkEnd w:id="5"/>
    </w:p>
    <w:p>
      <w:pPr>
        <w:overflowPunct w:val="0"/>
        <w:spacing w:line="576" w:lineRule="exact"/>
        <w:ind w:firstLineChars="200" w:firstLine="640"/>
        <w:rPr>
          <w:rFonts w:ascii="方正仿宋简体" w:eastAsia="方正仿宋简体" w:cs="方正仿宋简体" w:hAnsi="方正仿宋简体"/>
          <w:sz w:val="32"/>
          <w:szCs w:val="32"/>
        </w:rPr>
      </w:pPr>
      <w:bookmarkStart w:id="6" w:name="_Toc8101"/>
      <w:r>
        <w:rPr>
          <w:rFonts w:ascii="方正仿宋简体" w:eastAsia="方正仿宋简体" w:cs="方正仿宋简体" w:hAnsi="方正仿宋简体" w:hint="eastAsia"/>
          <w:sz w:val="32"/>
          <w:szCs w:val="32"/>
        </w:rPr>
        <w:t>拟实施的利州区2021—2030年高标准农田建设规划区，位于利州区（含广元经济技术开发区），涉及乡镇（街道）共13个，其中乡3个、镇5个、街道5个；有村（社区）共122个，其中村98个、社区24个（含广元经济技术开发区管辖内镇1个，其中村14个、社区10个）。</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7" w:name="_Toc23588"/>
      <w:r>
        <w:rPr>
          <w:rFonts w:ascii="方正黑体简体" w:eastAsia="方正黑体简体" w:cs="方正黑体简体" w:hAnsi="方正黑体简体" w:hint="eastAsia"/>
          <w:sz w:val="32"/>
          <w:szCs w:val="32"/>
        </w:rPr>
        <w:t>三、自然概况</w:t>
      </w:r>
      <w:bookmarkEnd w:id="6"/>
      <w:bookmarkEnd w:id="7"/>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8" w:name="_Toc13628"/>
      <w:bookmarkStart w:id="9" w:name="_Toc25293"/>
      <w:r>
        <w:rPr>
          <w:rFonts w:ascii="方正楷体简体" w:eastAsia="方正楷体简体" w:cs="方正楷体简体" w:hAnsi="方正楷体简体" w:hint="eastAsia"/>
          <w:sz w:val="32"/>
          <w:szCs w:val="32"/>
        </w:rPr>
        <w:t>（一）地形地貌</w:t>
      </w:r>
      <w:bookmarkEnd w:id="8"/>
      <w:bookmarkEnd w:id="9"/>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广元市利州区位于东经105</w:t>
      </w:r>
      <w:r>
        <w:rPr>
          <w:rFonts w:ascii="方正仿宋简体" w:eastAsia="方正仿宋简体" w:cs="方正仿宋简体" w:hAnsi="方正仿宋简体" w:hint="eastAsia"/>
          <w:sz w:val="32"/>
          <w:szCs w:val="32"/>
          <w:vertAlign w:val="superscript"/>
        </w:rPr>
        <w:t>°</w:t>
      </w:r>
      <w:r>
        <w:rPr>
          <w:rFonts w:ascii="方正仿宋简体" w:eastAsia="方正仿宋简体" w:cs="方正仿宋简体" w:hAnsi="方正仿宋简体" w:hint="eastAsia"/>
          <w:sz w:val="32"/>
          <w:szCs w:val="32"/>
        </w:rPr>
        <w:t>27</w:t>
      </w:r>
      <w:r>
        <w:rPr>
          <w:rFonts w:ascii="方正仿宋简体" w:eastAsia="方正仿宋简体" w:cs="方正仿宋简体" w:hAnsi="方正仿宋简体" w:hint="eastAsia"/>
          <w:sz w:val="32"/>
          <w:szCs w:val="32"/>
          <w:vertAlign w:val="superscript"/>
        </w:rPr>
        <w:t>′</w:t>
      </w:r>
      <w:r>
        <w:rPr>
          <w:rFonts w:ascii="方正仿宋简体" w:eastAsia="方正仿宋简体" w:cs="方正仿宋简体" w:hAnsi="方正仿宋简体" w:hint="eastAsia"/>
          <w:sz w:val="32"/>
          <w:szCs w:val="32"/>
        </w:rPr>
        <w:t>至106</w:t>
      </w:r>
      <w:r>
        <w:rPr>
          <w:rFonts w:ascii="方正仿宋简体" w:eastAsia="方正仿宋简体" w:cs="方正仿宋简体" w:hAnsi="方正仿宋简体" w:hint="eastAsia"/>
          <w:sz w:val="32"/>
          <w:szCs w:val="32"/>
          <w:vertAlign w:val="superscript"/>
        </w:rPr>
        <w:t>°</w:t>
      </w:r>
      <w:r>
        <w:rPr>
          <w:rFonts w:ascii="方正仿宋简体" w:eastAsia="方正仿宋简体" w:cs="方正仿宋简体" w:hAnsi="方正仿宋简体" w:hint="eastAsia"/>
          <w:sz w:val="32"/>
          <w:szCs w:val="32"/>
        </w:rPr>
        <w:t>04</w:t>
      </w:r>
      <w:r>
        <w:rPr>
          <w:rFonts w:ascii="方正仿宋简体" w:eastAsia="方正仿宋简体" w:cs="方正仿宋简体" w:hAnsi="方正仿宋简体" w:hint="eastAsia"/>
          <w:sz w:val="32"/>
          <w:szCs w:val="32"/>
          <w:vertAlign w:val="superscript"/>
        </w:rPr>
        <w:t>′</w:t>
      </w:r>
      <w:r>
        <w:rPr>
          <w:rFonts w:ascii="方正仿宋简体" w:eastAsia="方正仿宋简体" w:cs="方正仿宋简体" w:hAnsi="方正仿宋简体" w:hint="eastAsia"/>
          <w:sz w:val="32"/>
          <w:szCs w:val="32"/>
        </w:rPr>
        <w:t>，北纬32</w:t>
      </w:r>
      <w:r>
        <w:rPr>
          <w:rFonts w:ascii="方正仿宋简体" w:eastAsia="方正仿宋简体" w:cs="方正仿宋简体" w:hAnsi="方正仿宋简体" w:hint="eastAsia"/>
          <w:sz w:val="32"/>
          <w:szCs w:val="32"/>
          <w:vertAlign w:val="superscript"/>
        </w:rPr>
        <w:t>°</w:t>
      </w:r>
      <w:r>
        <w:rPr>
          <w:rFonts w:ascii="方正仿宋简体" w:eastAsia="方正仿宋简体" w:cs="方正仿宋简体" w:hAnsi="方正仿宋简体" w:hint="eastAsia"/>
          <w:sz w:val="32"/>
          <w:szCs w:val="32"/>
        </w:rPr>
        <w:t>19</w:t>
      </w:r>
      <w:r>
        <w:rPr>
          <w:rFonts w:ascii="方正仿宋简体" w:eastAsia="方正仿宋简体" w:cs="方正仿宋简体" w:hAnsi="方正仿宋简体" w:hint="eastAsia"/>
          <w:sz w:val="32"/>
          <w:szCs w:val="32"/>
          <w:vertAlign w:val="superscript"/>
        </w:rPr>
        <w:t>′</w:t>
      </w:r>
      <w:r>
        <w:rPr>
          <w:rFonts w:ascii="方正仿宋简体" w:eastAsia="方正仿宋简体" w:cs="方正仿宋简体" w:hAnsi="方正仿宋简体" w:hint="eastAsia"/>
          <w:spacing w:val="-6"/>
          <w:sz w:val="32"/>
          <w:szCs w:val="32"/>
        </w:rPr>
        <w:t>至32</w:t>
      </w:r>
      <w:r>
        <w:rPr>
          <w:rFonts w:ascii="方正仿宋简体" w:eastAsia="方正仿宋简体" w:cs="方正仿宋简体" w:hAnsi="方正仿宋简体" w:hint="eastAsia"/>
          <w:spacing w:val="-6"/>
          <w:sz w:val="32"/>
          <w:szCs w:val="32"/>
          <w:vertAlign w:val="superscript"/>
        </w:rPr>
        <w:t>°</w:t>
      </w:r>
      <w:r>
        <w:rPr>
          <w:rFonts w:ascii="方正仿宋简体" w:eastAsia="方正仿宋简体" w:cs="方正仿宋简体" w:hAnsi="方正仿宋简体" w:hint="eastAsia"/>
          <w:spacing w:val="-6"/>
          <w:sz w:val="32"/>
          <w:szCs w:val="32"/>
        </w:rPr>
        <w:t>37</w:t>
      </w:r>
      <w:r>
        <w:rPr>
          <w:rFonts w:ascii="方正仿宋简体" w:eastAsia="方正仿宋简体" w:cs="方正仿宋简体" w:hAnsi="方正仿宋简体" w:hint="eastAsia"/>
          <w:spacing w:val="-6"/>
          <w:sz w:val="32"/>
          <w:szCs w:val="32"/>
          <w:vertAlign w:val="superscript"/>
        </w:rPr>
        <w:t>′</w:t>
      </w:r>
      <w:r>
        <w:rPr>
          <w:rFonts w:ascii="方正仿宋简体" w:eastAsia="方正仿宋简体" w:cs="方正仿宋简体" w:hAnsi="方正仿宋简体" w:hint="eastAsia"/>
          <w:spacing w:val="-6"/>
          <w:sz w:val="32"/>
          <w:szCs w:val="32"/>
        </w:rPr>
        <w:t>之间，幅员面积1538.53平方公里。东邻旺苍县，南连</w:t>
      </w:r>
      <w:r>
        <w:rPr>
          <w:rFonts w:ascii="方正仿宋简体" w:eastAsia="方正仿宋简体" w:cs="方正仿宋简体" w:hAnsi="方正仿宋简体" w:hint="eastAsia"/>
          <w:sz w:val="32"/>
          <w:szCs w:val="32"/>
        </w:rPr>
        <w:t>剑</w:t>
      </w:r>
      <w:r>
        <w:rPr>
          <w:rFonts w:ascii="方正仿宋简体" w:eastAsia="方正仿宋简体" w:cs="方正仿宋简体" w:hAnsi="方正仿宋简体" w:hint="eastAsia"/>
          <w:spacing w:val="-6"/>
          <w:sz w:val="32"/>
          <w:szCs w:val="32"/>
        </w:rPr>
        <w:t>阁县、昭化区，西接青川县，北接朝天区，地处四川盆地北部边缘，</w:t>
      </w:r>
      <w:r>
        <w:rPr>
          <w:rFonts w:ascii="方正仿宋简体" w:eastAsia="方正仿宋简体" w:cs="方正仿宋简体" w:hAnsi="方正仿宋简体" w:hint="eastAsia"/>
          <w:sz w:val="32"/>
          <w:szCs w:val="32"/>
        </w:rPr>
        <w:t>嘉陵江上游，四川、陕西、甘肃三省交汇处，处于广元市腹心，四川省的北大门。地处四川北部盆周地区，为米仓山南麓低凹槽地带，东西向展布长度137公里。中心地带为平坝，宽度1—15公里不等，平均宽度约5公里。全区属低山丘陵地形，70％以上幅员面积属深丘和山区，多数乡镇海拔为600—800米。</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0" w:name="_Toc27608"/>
      <w:bookmarkStart w:id="11" w:name="_Toc24521"/>
      <w:r>
        <w:rPr>
          <w:rFonts w:ascii="方正楷体简体" w:eastAsia="方正楷体简体" w:cs="方正楷体简体" w:hAnsi="方正楷体简体" w:hint="eastAsia"/>
          <w:sz w:val="32"/>
          <w:szCs w:val="32"/>
        </w:rPr>
        <w:t>（二）河流水系</w:t>
      </w:r>
      <w:bookmarkEnd w:id="10"/>
      <w:bookmarkEnd w:id="11"/>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利州区境内河流属嘉陵江流域。嘉陵江由北向南贯穿全境，流程90公里，形成以嘉陵江为主干，白龙江、清江河、南河为主要支流的江河水系。大小河流20余条，总长400余公里，组成河网密度为0.24公里/平方公里的水资源网，中部河谷浅丘平坝地区水资源较为丰富。</w:t>
      </w:r>
    </w:p>
    <w:p>
      <w:pPr>
        <w:overflowPunct w:val="0"/>
        <w:spacing w:line="600" w:lineRule="exact"/>
        <w:ind w:firstLineChars="200" w:firstLine="640"/>
        <w:outlineLvl w:val="1"/>
        <w:rPr>
          <w:rFonts w:ascii="方正楷体简体" w:eastAsia="方正楷体简体" w:cs="方正楷体简体" w:hAnsi="方正楷体简体"/>
          <w:sz w:val="32"/>
          <w:szCs w:val="32"/>
        </w:rPr>
      </w:pPr>
      <w:bookmarkStart w:id="12" w:name="_Toc18057"/>
      <w:bookmarkStart w:id="13" w:name="_Toc17961"/>
      <w:r>
        <w:rPr>
          <w:rFonts w:ascii="方正楷体简体" w:eastAsia="方正楷体简体" w:cs="方正楷体简体" w:hAnsi="方正楷体简体" w:hint="eastAsia"/>
          <w:sz w:val="32"/>
          <w:szCs w:val="32"/>
        </w:rPr>
        <w:t>（三）光热资源</w:t>
      </w:r>
      <w:bookmarkEnd w:id="12"/>
      <w:bookmarkEnd w:id="13"/>
    </w:p>
    <w:p>
      <w:pPr>
        <w:overflowPunct w:val="0"/>
        <w:spacing w:line="600"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规划区内属于典型的亚热带湿润季风气候，四季分明，日照时间长。年均气温17℃，平均生长期310天，无霜期263天，年日照时数1342小时。光热资源丰富，热量集中在4月至9月，满足多种农作物生产，年均降雨量980毫米，形成冬干、春旱、夏洪、秋涝的一般现象。</w:t>
      </w:r>
    </w:p>
    <w:p>
      <w:pPr>
        <w:overflowPunct w:val="0"/>
        <w:spacing w:line="600" w:lineRule="exact"/>
        <w:ind w:firstLineChars="200" w:firstLine="640"/>
        <w:outlineLvl w:val="1"/>
        <w:rPr>
          <w:rFonts w:ascii="方正楷体简体" w:eastAsia="方正楷体简体" w:cs="方正楷体简体" w:hAnsi="方正楷体简体"/>
          <w:sz w:val="32"/>
          <w:szCs w:val="32"/>
        </w:rPr>
      </w:pPr>
      <w:bookmarkStart w:id="14" w:name="_Toc10495"/>
      <w:bookmarkStart w:id="15" w:name="_Toc11860"/>
      <w:r>
        <w:rPr>
          <w:rFonts w:ascii="方正楷体简体" w:eastAsia="方正楷体简体" w:cs="方正楷体简体" w:hAnsi="方正楷体简体" w:hint="eastAsia"/>
          <w:sz w:val="32"/>
          <w:szCs w:val="32"/>
        </w:rPr>
        <w:t>（四）耕地利用状况</w:t>
      </w:r>
      <w:bookmarkEnd w:id="14"/>
      <w:bookmarkEnd w:id="15"/>
    </w:p>
    <w:p>
      <w:pPr>
        <w:pStyle w:val="22"/>
        <w:widowControl w:val="0"/>
        <w:shd w:val="clear" w:color="auto" w:fill="FFFFFF"/>
        <w:overflowPunct w:val="0"/>
        <w:spacing w:before="0" w:beforeAutospacing="0" w:after="0" w:afterAutospacing="0" w:line="600" w:lineRule="exact"/>
        <w:ind w:firstLineChars="200" w:firstLine="640"/>
        <w:jc w:val="both"/>
        <w:rPr>
          <w:rFonts w:ascii="方正仿宋简体" w:eastAsia="方正仿宋简体" w:cs="方正仿宋简体" w:hAnsi="方正仿宋简体"/>
          <w:color w:val="auto"/>
          <w:sz w:val="32"/>
          <w:szCs w:val="32"/>
        </w:rPr>
      </w:pPr>
      <w:r>
        <w:rPr>
          <w:rFonts w:ascii="方正仿宋简体" w:eastAsia="方正仿宋简体" w:cs="方正仿宋简体" w:hAnsi="方正仿宋简体" w:hint="eastAsia"/>
          <w:color w:val="auto"/>
          <w:sz w:val="32"/>
          <w:szCs w:val="32"/>
        </w:rPr>
        <w:t>利</w:t>
      </w:r>
      <w:r>
        <w:rPr>
          <w:rFonts w:ascii="方正仿宋简体" w:eastAsia="方正仿宋简体" w:cs="方正仿宋简体" w:hAnsi="方正仿宋简体" w:hint="eastAsia"/>
          <w:color w:val="auto"/>
          <w:spacing w:val="-8"/>
          <w:sz w:val="32"/>
          <w:szCs w:val="32"/>
        </w:rPr>
        <w:t>州区符合实施条件的耕地面积24.63万亩（坡度5</w:t>
      </w:r>
      <w:r>
        <w:rPr>
          <w:rFonts w:ascii="方正仿宋简体" w:eastAsia="方正仿宋简体" w:cs="方正仿宋简体" w:hAnsi="方正仿宋简体" w:hint="eastAsia"/>
          <w:color w:val="auto"/>
          <w:spacing w:val="-8"/>
          <w:sz w:val="32"/>
          <w:szCs w:val="32"/>
          <w:vertAlign w:val="superscript"/>
        </w:rPr>
        <w:t>°</w:t>
      </w:r>
      <w:r>
        <w:rPr>
          <w:rFonts w:ascii="方正仿宋简体" w:eastAsia="方正仿宋简体" w:cs="方正仿宋简体" w:hAnsi="方正仿宋简体" w:hint="eastAsia"/>
          <w:color w:val="auto"/>
          <w:spacing w:val="-8"/>
          <w:sz w:val="32"/>
          <w:szCs w:val="32"/>
        </w:rPr>
        <w:t>—25</w:t>
      </w:r>
      <w:r>
        <w:rPr>
          <w:rFonts w:ascii="方正仿宋简体" w:eastAsia="方正仿宋简体" w:cs="方正仿宋简体" w:hAnsi="方正仿宋简体" w:hint="eastAsia"/>
          <w:color w:val="auto"/>
          <w:spacing w:val="-8"/>
          <w:sz w:val="32"/>
          <w:szCs w:val="32"/>
          <w:vertAlign w:val="superscript"/>
        </w:rPr>
        <w:t>°</w:t>
      </w:r>
      <w:r>
        <w:rPr>
          <w:rFonts w:ascii="方正仿宋简体" w:eastAsia="方正仿宋简体" w:cs="方正仿宋简体" w:hAnsi="方正仿宋简体" w:hint="eastAsia"/>
          <w:color w:val="auto"/>
          <w:spacing w:val="-8"/>
          <w:sz w:val="32"/>
          <w:szCs w:val="32"/>
        </w:rPr>
        <w:t>）。</w:t>
      </w:r>
      <w:r>
        <w:rPr>
          <w:rFonts w:ascii="方正仿宋简体" w:eastAsia="方正仿宋简体" w:cs="方正仿宋简体" w:hAnsi="方正仿宋简体" w:hint="eastAsia"/>
          <w:color w:val="auto"/>
          <w:sz w:val="32"/>
          <w:szCs w:val="32"/>
        </w:rPr>
        <w:t>其中：水田8.31万亩，占耕地面积的33.73%；旱地16.32万亩，占耕地面积的66.27%。规划区内土壤质地总体偏轻，宜耕性好，持水能力较差，稻田排水能力较差。依山冷浸田多，复种指数较低，耕地单产较低。在中低产耕地中，水田存在“深脚、冷浸、烂泡、毒素、串排串灌”等障碍因素，旱地存在“陡、薄、瘦、蚀、旱、保水保肥能力”等障碍因素，导致农业生产效益低下，结构调整受到较大制约。规划区内水低田高，水资源丰富，但渠系配套不完善，无法完全满足灌溉用水需求。</w:t>
      </w:r>
    </w:p>
    <w:p>
      <w:pPr>
        <w:overflowPunct w:val="0"/>
        <w:spacing w:line="600" w:lineRule="exact"/>
        <w:ind w:firstLineChars="200" w:firstLine="640"/>
        <w:outlineLvl w:val="1"/>
        <w:rPr>
          <w:rFonts w:ascii="方正楷体简体" w:eastAsia="方正楷体简体" w:cs="方正楷体简体" w:hAnsi="方正楷体简体"/>
          <w:sz w:val="32"/>
          <w:szCs w:val="32"/>
        </w:rPr>
      </w:pPr>
      <w:bookmarkStart w:id="16" w:name="_Toc29964"/>
      <w:r>
        <w:rPr>
          <w:rFonts w:ascii="方正楷体简体" w:eastAsia="方正楷体简体" w:cs="方正楷体简体" w:hAnsi="方正楷体简体" w:hint="eastAsia"/>
          <w:sz w:val="32"/>
          <w:szCs w:val="32"/>
        </w:rPr>
        <w:t>（五）自然灾害</w:t>
      </w:r>
      <w:bookmarkEnd w:id="16"/>
    </w:p>
    <w:p>
      <w:pPr>
        <w:overflowPunct w:val="0"/>
        <w:spacing w:line="600"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降雨时空分布不均衡，主要集中在5月—10月，降雨量占全年的85%以上，暴雨频繁，排水设施不健全，洪涝灾害频发；其余时节易出现干旱和寒流灾害，冬干、春旱、夏旱连伏旱、倒春寒等灾害性气候变化对农业生产影响很大。</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7" w:name="_Toc13710"/>
      <w:bookmarkStart w:id="18" w:name="_Toc29894"/>
      <w:r>
        <w:rPr>
          <w:rFonts w:ascii="方正黑体简体" w:eastAsia="方正黑体简体" w:cs="方正黑体简体" w:hAnsi="方正黑体简体" w:hint="eastAsia"/>
          <w:sz w:val="32"/>
          <w:szCs w:val="32"/>
        </w:rPr>
        <w:t>四、社会经济状况</w:t>
      </w:r>
      <w:bookmarkEnd w:id="17"/>
      <w:bookmarkEnd w:id="18"/>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9" w:name="_Toc21000"/>
      <w:bookmarkStart w:id="20" w:name="_Toc18742"/>
      <w:r>
        <w:rPr>
          <w:rFonts w:ascii="方正楷体简体" w:eastAsia="方正楷体简体" w:cs="方正楷体简体" w:hAnsi="方正楷体简体" w:hint="eastAsia"/>
          <w:sz w:val="32"/>
          <w:szCs w:val="32"/>
        </w:rPr>
        <w:t>（一）行政区划</w:t>
      </w:r>
      <w:bookmarkEnd w:id="19"/>
      <w:bookmarkEnd w:id="20"/>
    </w:p>
    <w:p>
      <w:pPr>
        <w:overflowPunct w:val="0"/>
        <w:spacing w:line="576" w:lineRule="exact"/>
        <w:ind w:firstLineChars="200" w:firstLine="640"/>
        <w:rPr>
          <w:rFonts w:ascii="方正仿宋简体" w:eastAsia="方正仿宋简体" w:cs="方正仿宋简体" w:hAnsi="方正仿宋简体"/>
          <w:sz w:val="32"/>
          <w:szCs w:val="32"/>
        </w:rPr>
      </w:pPr>
      <w:bookmarkStart w:id="21" w:name="_Toc24625"/>
      <w:r>
        <w:rPr>
          <w:rFonts w:ascii="方正仿宋简体" w:eastAsia="方正仿宋简体" w:cs="方正仿宋简体" w:hAnsi="方正仿宋简体" w:hint="eastAsia"/>
          <w:sz w:val="32"/>
          <w:szCs w:val="32"/>
        </w:rPr>
        <w:t>根据利州区《统计年鉴》（2021年），截至2021年底，利州区（含广元市经济技术开发区），有乡镇（街道）共15个，其中乡3个、镇5个、街道7个；有村（社区）共187个，其中村98个、社区89个（含广元经济技术开发区管辖内镇1个，其中村14个、社区16个）。</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22" w:name="_Toc5410"/>
      <w:r>
        <w:rPr>
          <w:rFonts w:ascii="方正楷体简体" w:eastAsia="方正楷体简体" w:cs="方正楷体简体" w:hAnsi="方正楷体简体" w:hint="eastAsia"/>
          <w:sz w:val="32"/>
          <w:szCs w:val="32"/>
        </w:rPr>
        <w:t>（二）社会经济状况</w:t>
      </w:r>
      <w:bookmarkEnd w:id="21"/>
      <w:bookmarkEnd w:id="22"/>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2020年末，全区常住人口621978人，其中：居住在乡村的人口149845人，居住在城镇的人口472133人。2020年，全区实现地区生产总值（GDP）338.6亿元，人均地区生产总值54439元。根据利州区《统计年鉴》（2020年），粮食总产量79702吨。</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23" w:name="_Toc18787"/>
      <w:bookmarkStart w:id="24" w:name="_Toc19676"/>
      <w:r>
        <w:rPr>
          <w:rFonts w:ascii="方正楷体简体" w:eastAsia="方正楷体简体" w:cs="方正楷体简体" w:hAnsi="方正楷体简体" w:hint="eastAsia"/>
          <w:sz w:val="32"/>
          <w:szCs w:val="32"/>
        </w:rPr>
        <w:t>（三）农业生产概况</w:t>
      </w:r>
      <w:bookmarkEnd w:id="23"/>
      <w:bookmarkEnd w:id="24"/>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利州区以绿色发展为导向，合理配置生产要素，转变粮食生产方式，促进粮食生产向绿色生态可持续方向发展。</w:t>
      </w:r>
    </w:p>
    <w:p>
      <w:pPr>
        <w:overflowPunct w:val="0"/>
        <w:spacing w:line="576" w:lineRule="exact"/>
        <w:ind w:firstLineChars="200" w:firstLine="640"/>
        <w:rPr>
          <w:rFonts w:ascii="方正仿宋简体" w:eastAsia="方正仿宋简体" w:cs="方正仿宋简体" w:hAnsi="方正仿宋简体"/>
          <w:spacing w:val="6"/>
          <w:sz w:val="32"/>
          <w:szCs w:val="32"/>
        </w:rPr>
      </w:pPr>
      <w:r>
        <w:rPr>
          <w:rFonts w:ascii="方正仿宋简体" w:eastAsia="方正仿宋简体" w:cs="方正仿宋简体" w:hAnsi="方正仿宋简体" w:hint="eastAsia"/>
          <w:sz w:val="32"/>
          <w:szCs w:val="32"/>
        </w:rPr>
        <w:t>一是实行绿色高产高效标准化生产。推广优良品种、推广集中配套技术，推行稻—鱼（虾）共生、果—油—豆、玉—豆（薯）套作等，实行从种到收全过程标准化生产，深入推进粮油果绿色高产高效创建。二是坚持用地与养地相结合。积极发展稻田（油菜田）绿肥生产，增加土壤有机质含量、改善土壤团粒结构，提高地力水平，全区稻田油菜轮作5万亩，大豆扩种1.5万亩已全部安排落实到户，建立粮油示范片3个。三是加速机械化生产。重点突破机插秧流水线播种、病虫害机防飞防、机械烘干等薄弱环节，鼓励支持各类服务组织开展机耕、机插、机收、机防、机烘等社会化服务，促进全程机械化生产。四是推进社会化服务。引导培育社会化服务组织建设集粮食生产技术推广、粮食生产托管</w:t>
      </w:r>
      <w:r>
        <w:rPr>
          <w:rFonts w:ascii="方正仿宋简体" w:eastAsia="方正仿宋简体" w:cs="方正仿宋简体" w:hAnsi="方正仿宋简体" w:hint="eastAsia"/>
          <w:spacing w:val="6"/>
          <w:sz w:val="32"/>
          <w:szCs w:val="32"/>
        </w:rPr>
        <w:t>服务、农机综合服务、烘干储存、加工销售等粮食产前、产中、产后服务，一、二、三产业融合发展的粮食生产综合服务中心，促进粮食生产专业化、全程社会化服务组织发展，加快农业生产发展方式转变，促进农业供给侧结构性改革。经国家统计局四川调查总队核定，2021年利州区粮食播种面积26.7万亩，比上年增加2400亩，增长0.9%。粮食总产量8.1万吨，比上年增产1291吨，增长1.6%。其中夏粮面积10.4万亩，总产量1.96万吨，同比增加273.86吨，增长1.42%。秋粮种植面积16.3万亩，同比增加3200亩，增长2%；总产量6.14万吨，同比增加1017吨，增长1.6%。</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25" w:name="_Toc7808"/>
      <w:bookmarkStart w:id="26" w:name="_Toc26262"/>
      <w:r>
        <w:rPr>
          <w:rFonts w:ascii="方正黑体简体" w:eastAsia="方正黑体简体" w:cs="方正黑体简体" w:hAnsi="方正黑体简体" w:hint="eastAsia"/>
          <w:sz w:val="32"/>
          <w:szCs w:val="32"/>
        </w:rPr>
        <w:t>五、农田基础设施现状（包括高标准农田建设情况）</w:t>
      </w:r>
      <w:bookmarkEnd w:id="25"/>
      <w:bookmarkEnd w:id="26"/>
    </w:p>
    <w:p>
      <w:pPr>
        <w:overflowPunct w:val="0"/>
        <w:spacing w:line="576" w:lineRule="exact"/>
        <w:ind w:firstLineChars="200" w:firstLine="640"/>
        <w:outlineLvl w:val="1"/>
        <w:rPr>
          <w:rFonts w:ascii="方正仿宋简体" w:eastAsia="方正仿宋简体" w:cs="方正仿宋简体" w:hAnsi="方正仿宋简体"/>
          <w:sz w:val="32"/>
          <w:szCs w:val="32"/>
        </w:rPr>
      </w:pPr>
      <w:r>
        <w:rPr>
          <w:rFonts w:ascii="方正楷体简体" w:eastAsia="方正楷体简体" w:cs="方正楷体简体" w:hAnsi="方正楷体简体" w:hint="eastAsia"/>
          <w:sz w:val="32"/>
          <w:szCs w:val="32"/>
        </w:rPr>
        <w:t>（一）水利骨干工程。</w:t>
      </w:r>
      <w:r>
        <w:rPr>
          <w:rFonts w:ascii="方正仿宋简体" w:eastAsia="方正仿宋简体" w:cs="方正仿宋简体" w:hAnsi="方正仿宋简体" w:hint="eastAsia"/>
          <w:sz w:val="32"/>
          <w:szCs w:val="32"/>
        </w:rPr>
        <w:t>截至2020年，全区共建水利工程13848处。区内现有水资源利用以蓄、提水为主，灌溉供水功能小型水库共27座，有效蓄水可利用量858万立方米，提水工程162处，现状供水能力1368万立方米。地下水提水井6630眼，现状供水能力2163万立方米。农村供水工程1373处，覆盖人口16.87万人，其中：规模化供水工程3处，千人以上规模工程9处，千人以下规模工程1361处。</w:t>
      </w:r>
      <w:bookmarkStart w:id="27" w:name="_Toc238539712"/>
      <w:bookmarkStart w:id="28" w:name="_Toc239321763"/>
    </w:p>
    <w:p>
      <w:pPr>
        <w:overflowPunct w:val="0"/>
        <w:spacing w:line="576" w:lineRule="exact"/>
        <w:ind w:firstLineChars="200" w:firstLine="640"/>
        <w:outlineLvl w:val="1"/>
        <w:rPr>
          <w:rFonts w:ascii="方正仿宋简体" w:eastAsia="方正仿宋简体" w:cs="方正仿宋简体" w:hAnsi="方正仿宋简体"/>
          <w:kern w:val="44"/>
          <w:sz w:val="32"/>
          <w:szCs w:val="32"/>
        </w:rPr>
      </w:pPr>
      <w:r>
        <w:rPr>
          <w:rFonts w:ascii="方正楷体简体" w:eastAsia="方正楷体简体" w:cs="方正楷体简体" w:hAnsi="方正楷体简体" w:hint="eastAsia"/>
          <w:sz w:val="32"/>
          <w:szCs w:val="32"/>
        </w:rPr>
        <w:t>（二）农业机械及农机服务设施</w:t>
      </w:r>
      <w:bookmarkEnd w:id="27"/>
      <w:bookmarkEnd w:id="28"/>
      <w:r>
        <w:rPr>
          <w:rFonts w:ascii="方正楷体简体" w:eastAsia="方正楷体简体" w:cs="方正楷体简体" w:hAnsi="方正楷体简体" w:hint="eastAsia"/>
          <w:sz w:val="32"/>
          <w:szCs w:val="32"/>
        </w:rPr>
        <w:t>。</w:t>
      </w:r>
      <w:r>
        <w:rPr>
          <w:rFonts w:ascii="方正仿宋简体" w:eastAsia="方正仿宋简体" w:cs="方正仿宋简体" w:hAnsi="方正仿宋简体" w:hint="eastAsia"/>
          <w:kern w:val="44"/>
          <w:sz w:val="32"/>
          <w:szCs w:val="32"/>
        </w:rPr>
        <w:t>目前，全区农机总动力为19.85万千瓦，其中拖拉机427台，联合收割机110台，微耕机8000余台，农业服务设施网络正在逐步形成。</w:t>
      </w:r>
    </w:p>
    <w:p>
      <w:pPr>
        <w:overflowPunct w:val="0"/>
        <w:spacing w:line="576" w:lineRule="exact"/>
        <w:ind w:firstLineChars="200" w:firstLine="640"/>
        <w:outlineLvl w:val="1"/>
        <w:rPr>
          <w:rFonts w:ascii="方正仿宋简体" w:eastAsia="方正仿宋简体" w:cs="方正仿宋简体" w:hAnsi="方正仿宋简体"/>
          <w:kern w:val="44"/>
          <w:sz w:val="32"/>
          <w:szCs w:val="32"/>
        </w:rPr>
      </w:pPr>
      <w:r>
        <w:rPr>
          <w:rFonts w:ascii="方正楷体简体" w:eastAsia="方正楷体简体" w:cs="方正楷体简体" w:hAnsi="方正楷体简体" w:hint="eastAsia"/>
          <w:sz w:val="32"/>
          <w:szCs w:val="32"/>
        </w:rPr>
        <w:t>（三）道路交通与电力设施。</w:t>
      </w:r>
      <w:r>
        <w:rPr>
          <w:rFonts w:ascii="方正仿宋简体" w:eastAsia="方正仿宋简体" w:cs="方正仿宋简体" w:hAnsi="方正仿宋简体" w:hint="eastAsia"/>
          <w:kern w:val="44"/>
          <w:sz w:val="32"/>
          <w:szCs w:val="32"/>
        </w:rPr>
        <w:t>规划区内，通硬化路率达到100%，适宜机械行走的田间耕作便道少，农业机械化程度较低。规划区内村村通电，电力能够保障，电话、闭路电视通村率100%。</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29" w:name="_Toc19116"/>
      <w:bookmarkStart w:id="30" w:name="_Toc23484"/>
      <w:r>
        <w:rPr>
          <w:rFonts w:ascii="方正黑体简体" w:eastAsia="方正黑体简体" w:cs="方正黑体简体" w:hAnsi="方正黑体简体" w:hint="eastAsia"/>
          <w:sz w:val="32"/>
          <w:szCs w:val="32"/>
        </w:rPr>
        <w:t>六、农业生产障碍因素分析</w:t>
      </w:r>
      <w:bookmarkEnd w:id="29"/>
      <w:bookmarkEnd w:id="30"/>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31" w:name="_Toc22861"/>
      <w:bookmarkStart w:id="32" w:name="_Toc30655"/>
      <w:r>
        <w:rPr>
          <w:rFonts w:ascii="方正楷体简体" w:eastAsia="方正楷体简体" w:cs="方正楷体简体" w:hAnsi="方正楷体简体" w:hint="eastAsia"/>
          <w:sz w:val="32"/>
          <w:szCs w:val="32"/>
        </w:rPr>
        <w:t>（一）山区山地多、耕地碎片化</w:t>
      </w:r>
      <w:bookmarkEnd w:id="31"/>
      <w:bookmarkEnd w:id="32"/>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耕地主要分布在海拔较低的缓坡上，以坡耕地为主，地块小而散，土壤类型以黄壤和黄色石灰土为主，其次为黄棕壤、水稻土。土壤立地条件较差，耕地质量等级以中下等为主。</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33" w:name="_Toc20654"/>
      <w:bookmarkStart w:id="34" w:name="_Toc19525"/>
      <w:r>
        <w:rPr>
          <w:rFonts w:ascii="方正楷体简体" w:eastAsia="方正楷体简体" w:cs="方正楷体简体" w:hAnsi="方正楷体简体" w:hint="eastAsia"/>
          <w:sz w:val="32"/>
          <w:szCs w:val="32"/>
        </w:rPr>
        <w:t>（二）工程性缺水</w:t>
      </w:r>
      <w:bookmarkEnd w:id="33"/>
      <w:bookmarkEnd w:id="34"/>
    </w:p>
    <w:p>
      <w:pPr>
        <w:overflowPunct w:val="0"/>
        <w:spacing w:line="576" w:lineRule="exact"/>
        <w:ind w:firstLineChars="200" w:firstLine="640"/>
        <w:rPr>
          <w:rFonts w:ascii="方正仿宋简体" w:eastAsia="方正仿宋简体" w:cs="方正仿宋简体" w:hAnsi="方正仿宋简体"/>
          <w:spacing w:val="6"/>
          <w:sz w:val="32"/>
          <w:szCs w:val="32"/>
        </w:rPr>
      </w:pPr>
      <w:r>
        <w:rPr>
          <w:rFonts w:ascii="方正仿宋简体" w:eastAsia="方正仿宋简体" w:cs="方正仿宋简体" w:hAnsi="方正仿宋简体" w:hint="eastAsia"/>
          <w:sz w:val="32"/>
          <w:szCs w:val="32"/>
        </w:rPr>
        <w:t>已建高标准农田标准不高、维修保养难度大，基础设施不</w:t>
      </w:r>
      <w:r>
        <w:rPr>
          <w:rFonts w:ascii="方正仿宋简体" w:eastAsia="方正仿宋简体" w:cs="方正仿宋简体" w:hAnsi="方正仿宋简体" w:hint="eastAsia"/>
          <w:spacing w:val="6"/>
          <w:sz w:val="32"/>
          <w:szCs w:val="32"/>
        </w:rPr>
        <w:t>足，灌溉效率较低，部分田间道路及其附属设施建设有待完善，已修建道路老化或损毁，不能正常发挥作用，改造提升需求迫切。</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35" w:name="_Toc10738"/>
      <w:bookmarkStart w:id="36" w:name="_Toc17647"/>
      <w:r>
        <w:rPr>
          <w:rFonts w:ascii="方正楷体简体" w:eastAsia="方正楷体简体" w:cs="方正楷体简体" w:hAnsi="方正楷体简体" w:hint="eastAsia"/>
          <w:sz w:val="32"/>
          <w:szCs w:val="32"/>
        </w:rPr>
        <w:t>（三）土壤保水能力较差，水土流失易发</w:t>
      </w:r>
      <w:bookmarkEnd w:id="35"/>
      <w:bookmarkEnd w:id="36"/>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山地土壤土层浅薄、贫瘠、水土流失严重，石漠化区域大。气候垂直变化显著，气候差异较大，年降水量800—1800毫米。盆周山区农田建设基础条件一般，季节性缺水严重，田间道路和灌排等工程设施不完善，水土流失易发，抵御自然灾害能力一般。</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37" w:name="_Toc16479"/>
      <w:bookmarkStart w:id="38" w:name="_Toc19563"/>
      <w:r>
        <w:rPr>
          <w:rFonts w:ascii="方正楷体简体" w:eastAsia="方正楷体简体" w:cs="方正楷体简体" w:hAnsi="方正楷体简体" w:hint="eastAsia"/>
          <w:sz w:val="32"/>
          <w:szCs w:val="32"/>
        </w:rPr>
        <w:t>（四）农田投入产出比过高</w:t>
      </w:r>
      <w:bookmarkEnd w:id="37"/>
      <w:bookmarkEnd w:id="38"/>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家庭农业粮食产量少，农业生产投入大、效益低，与务工收</w:t>
      </w:r>
      <w:r>
        <w:rPr>
          <w:rFonts w:ascii="方正仿宋简体" w:eastAsia="方正仿宋简体" w:cs="方正仿宋简体" w:hAnsi="方正仿宋简体" w:hint="eastAsia"/>
          <w:spacing w:val="6"/>
          <w:sz w:val="32"/>
          <w:szCs w:val="32"/>
        </w:rPr>
        <w:t>益相差较大。基础设施不完善限制了土地流转，导致部分土地撂</w:t>
      </w:r>
      <w:r>
        <w:rPr>
          <w:rFonts w:ascii="方正仿宋简体" w:eastAsia="方正仿宋简体" w:cs="方正仿宋简体" w:hAnsi="方正仿宋简体" w:hint="eastAsia"/>
          <w:sz w:val="32"/>
          <w:szCs w:val="32"/>
        </w:rPr>
        <w:t>荒。</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39" w:name="_Toc27436"/>
      <w:bookmarkStart w:id="40" w:name="_Toc28399"/>
      <w:r>
        <w:rPr>
          <w:rFonts w:ascii="方正楷体简体" w:eastAsia="方正楷体简体" w:cs="方正楷体简体" w:hAnsi="方正楷体简体" w:hint="eastAsia"/>
          <w:sz w:val="32"/>
          <w:szCs w:val="32"/>
        </w:rPr>
        <w:t>（五）农业科技水平不高</w:t>
      </w:r>
      <w:bookmarkEnd w:id="39"/>
      <w:bookmarkEnd w:id="40"/>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经过历年科技推广，农业科技水平已有明显改善，但与成都平原等地的差距仍然较大。当地农民对新品种、新技术的推广应用抱观望态度，主要原因是农民年纪偏大，文化知识较低，新科技、新农业知识接受较慢。</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41" w:name="_Toc27501"/>
      <w:bookmarkStart w:id="42" w:name="_Toc27452"/>
      <w:r>
        <w:rPr>
          <w:rFonts w:ascii="方正楷体简体" w:eastAsia="方正楷体简体" w:cs="方正楷体简体" w:hAnsi="方正楷体简体" w:hint="eastAsia"/>
          <w:sz w:val="32"/>
          <w:szCs w:val="32"/>
        </w:rPr>
        <w:t>（六）农业产业结构不完善</w:t>
      </w:r>
      <w:bookmarkEnd w:id="41"/>
      <w:bookmarkEnd w:id="42"/>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种植结构比较单一，产业总量较少，覆盖面窄，同质化严重，特色产业难以形成，农产品增值能力低，缺少深加工高附加值的产品。农业管理以粗放经营为主，农产品质量低、效益差，品牌市场占有率低。优质品牌生产规模小，难以形成“拳头”产品，缺乏市场竞争力。</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43" w:name="_Toc18837"/>
      <w:bookmarkStart w:id="44" w:name="_Toc23811"/>
      <w:r>
        <w:rPr>
          <w:rFonts w:ascii="方正楷体简体" w:eastAsia="方正楷体简体" w:cs="方正楷体简体" w:hAnsi="方正楷体简体" w:hint="eastAsia"/>
          <w:sz w:val="32"/>
          <w:szCs w:val="32"/>
        </w:rPr>
        <w:t>（七）社会化服务体系配套不足</w:t>
      </w:r>
      <w:bookmarkEnd w:id="43"/>
      <w:bookmarkEnd w:id="44"/>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村集体经济组织经济实力较弱，组织化程度不高；市场信息服务严重不足，农业信息服务体系建设刚刚起步，不能满足集散产品、形成信息、引导生产的需要；农民合作经济组织发展较慢，规模较小；服务水平低、功能不完善，特别是信息服务和产后服务不能满足农业生产的需要。</w:t>
      </w:r>
    </w:p>
    <w:p>
      <w:pPr>
        <w:overflowPunct w:val="0"/>
        <w:spacing w:line="576" w:lineRule="exact"/>
        <w:ind w:firstLineChars="200" w:firstLine="640"/>
        <w:rPr>
          <w:rFonts w:ascii="方正仿宋简体" w:eastAsia="方正仿宋简体" w:cs="方正仿宋简体" w:hAnsi="方正仿宋简体"/>
          <w:sz w:val="32"/>
          <w:szCs w:val="32"/>
        </w:rPr>
      </w:pPr>
    </w:p>
    <w:p>
      <w:pPr>
        <w:overflowPunct w:val="0"/>
        <w:spacing w:line="576" w:lineRule="exact"/>
        <w:jc w:val="center"/>
        <w:outlineLvl w:val="0"/>
        <w:rPr>
          <w:rFonts w:ascii="方正小标宋简体" w:eastAsia="方正小标宋简体" w:cs="方正小标宋简体" w:hAnsi="方正小标宋简体"/>
          <w:sz w:val="44"/>
          <w:szCs w:val="44"/>
        </w:rPr>
      </w:pPr>
      <w:r>
        <w:rPr>
          <w:rFonts w:ascii="方正仿宋简体" w:eastAsia="方正仿宋简体" w:cs="方正仿宋简体" w:hAnsi="方正仿宋简体" w:hint="eastAsia"/>
          <w:sz w:val="32"/>
          <w:szCs w:val="32"/>
        </w:rPr>
        <w:br w:type="page"/>
      </w:r>
      <w:bookmarkStart w:id="45" w:name="_Toc22914"/>
      <w:bookmarkStart w:id="46" w:name="_Toc13085"/>
      <w:r>
        <w:rPr>
          <w:rFonts w:ascii="方正小标宋简体" w:eastAsia="方正小标宋简体" w:cs="方正小标宋简体" w:hAnsi="方正小标宋简体" w:hint="eastAsia"/>
          <w:sz w:val="44"/>
          <w:szCs w:val="44"/>
        </w:rPr>
        <w:t>第二章  规划的必要性与可行性</w:t>
      </w:r>
      <w:bookmarkEnd w:id="45"/>
      <w:bookmarkEnd w:id="46"/>
    </w:p>
    <w:p>
      <w:pPr>
        <w:overflowPunct w:val="0"/>
        <w:spacing w:line="576" w:lineRule="exact"/>
        <w:ind w:firstLineChars="200" w:firstLine="640"/>
        <w:rPr>
          <w:rFonts w:ascii="方正仿宋简体" w:eastAsia="方正仿宋简体" w:cs="方正仿宋简体" w:hAnsi="方正仿宋简体"/>
          <w:sz w:val="32"/>
          <w:szCs w:val="32"/>
        </w:rPr>
      </w:pPr>
      <w:bookmarkStart w:id="47" w:name="_Toc7403"/>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48" w:name="_Toc18497"/>
      <w:r>
        <w:rPr>
          <w:rFonts w:ascii="方正黑体简体" w:eastAsia="方正黑体简体" w:cs="方正黑体简体" w:hAnsi="方正黑体简体" w:hint="eastAsia"/>
          <w:sz w:val="32"/>
          <w:szCs w:val="32"/>
        </w:rPr>
        <w:t>一、规划的必要性</w:t>
      </w:r>
      <w:bookmarkEnd w:id="47"/>
      <w:bookmarkEnd w:id="48"/>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积极开展高标准农田建设工作，是稳步提高农业综合生产能力、保障国家粮食长久安全的物质基础，是打造粮食核心产区、发展现代农业、全面推进乡村振兴战略的现实要求，是公共财政支持“三农”工作的重要战略举措，是进一步提升农业综合生产能力的客观需要，具有重大的现实意义。</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49" w:name="_Toc25073"/>
      <w:bookmarkStart w:id="50" w:name="_Toc13646"/>
      <w:r>
        <w:rPr>
          <w:rFonts w:ascii="方正楷体简体" w:eastAsia="方正楷体简体" w:cs="方正楷体简体" w:hAnsi="方正楷体简体" w:hint="eastAsia"/>
          <w:sz w:val="32"/>
          <w:szCs w:val="32"/>
        </w:rPr>
        <w:t>（一）提高粮食生产能力，全力保障粮食安全</w:t>
      </w:r>
      <w:bookmarkEnd w:id="49"/>
      <w:bookmarkEnd w:id="50"/>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规划区是利州区的粮食主产区，在该区域建设高标准农田符合国家重大粮食生产安全战略，也符合利州区粮食产业发展规划。规划区内农作物播种面积大，但地方财力有限，农业基础设施较差，农田抗御自然灾害的能力较弱，粮食等农作物产量受气候因素影响较大，农民靠天吃饭的局面尚未改变。建设高标准农田能提高农田保水供水能力、抗灾能力，提高农业生产科技水</w:t>
      </w:r>
      <w:r>
        <w:rPr>
          <w:rFonts w:ascii="方正仿宋简体" w:eastAsia="方正仿宋简体" w:cs="方正仿宋简体" w:hAnsi="方正仿宋简体" w:hint="eastAsia"/>
          <w:spacing w:val="-6"/>
          <w:sz w:val="32"/>
          <w:szCs w:val="32"/>
        </w:rPr>
        <w:t>平，实现稳产高产，增加农民收入，保障民生，保障国家粮食安</w:t>
      </w:r>
      <w:r>
        <w:rPr>
          <w:rFonts w:ascii="方正仿宋简体" w:eastAsia="方正仿宋简体" w:cs="方正仿宋简体" w:hAnsi="方正仿宋简体" w:hint="eastAsia"/>
          <w:sz w:val="32"/>
          <w:szCs w:val="32"/>
        </w:rPr>
        <w:t>全。</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51" w:name="_Toc17322"/>
      <w:bookmarkStart w:id="52" w:name="_Toc30546"/>
      <w:r>
        <w:rPr>
          <w:rFonts w:ascii="方正楷体简体" w:eastAsia="方正楷体简体" w:cs="方正楷体简体" w:hAnsi="方正楷体简体" w:hint="eastAsia"/>
          <w:sz w:val="32"/>
          <w:szCs w:val="32"/>
        </w:rPr>
        <w:t>（二）加强基础设施建设，促进现代农业发展</w:t>
      </w:r>
      <w:bookmarkEnd w:id="51"/>
      <w:bookmarkEnd w:id="52"/>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规划区内耕地质量等级以中下等为主、耕地后备资源缺乏，耕地主要分布在海拔较低的缓坡上，以坡耕地为主，地块小而散。土壤类型以黄壤和黄色石灰土为主，其次为黄棕壤、水稻土。通过项目水利工程建设，合理配置水资源，满足区域农业生产用水需求；改造中低产田，薄土变厚土，增加复种指数，提高土地利用率，实现水资源、土地资源合理利用，促进规划区内农业资源优化配置，推动当地现代农业发展。</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53" w:name="_Toc4930"/>
      <w:bookmarkStart w:id="54" w:name="_Toc18238"/>
      <w:r>
        <w:rPr>
          <w:rFonts w:ascii="方正楷体简体" w:eastAsia="方正楷体简体" w:cs="方正楷体简体" w:hAnsi="方正楷体简体" w:hint="eastAsia"/>
          <w:sz w:val="32"/>
          <w:szCs w:val="32"/>
        </w:rPr>
        <w:t>（三）不断强化地力培肥，切实提升耕地质量</w:t>
      </w:r>
      <w:bookmarkEnd w:id="53"/>
      <w:bookmarkEnd w:id="54"/>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利州区现有符合实施条件的耕地面积24.63万亩（坡度5</w:t>
      </w:r>
      <w:r>
        <w:rPr>
          <w:rFonts w:ascii="方正仿宋简体" w:eastAsia="方正仿宋简体" w:cs="方正仿宋简体" w:hAnsi="方正仿宋简体" w:hint="eastAsia"/>
          <w:sz w:val="32"/>
          <w:szCs w:val="32"/>
          <w:vertAlign w:val="superscript"/>
        </w:rPr>
        <w:t>°</w:t>
      </w:r>
      <w:r>
        <w:rPr>
          <w:rFonts w:ascii="方正仿宋简体" w:eastAsia="方正仿宋简体" w:cs="方正仿宋简体" w:hAnsi="方正仿宋简体" w:hint="eastAsia"/>
          <w:sz w:val="32"/>
          <w:szCs w:val="32"/>
        </w:rPr>
        <w:t>—25</w:t>
      </w:r>
      <w:r>
        <w:rPr>
          <w:rFonts w:ascii="方正仿宋简体" w:eastAsia="方正仿宋简体" w:cs="方正仿宋简体" w:hAnsi="方正仿宋简体" w:hint="eastAsia"/>
          <w:sz w:val="32"/>
          <w:szCs w:val="32"/>
          <w:vertAlign w:val="superscript"/>
        </w:rPr>
        <w:t>°</w:t>
      </w:r>
      <w:r>
        <w:rPr>
          <w:rFonts w:ascii="方正仿宋简体" w:eastAsia="方正仿宋简体" w:cs="方正仿宋简体" w:hAnsi="方正仿宋简体" w:hint="eastAsia"/>
          <w:sz w:val="32"/>
          <w:szCs w:val="32"/>
        </w:rPr>
        <w:t>）。本次纳入规划23.06万亩，耕地基础肥力较差、综合生产能力较低。通过高标准农田项目建设，消除土壤障碍因素，强化土壤培肥，提升耕地质量，将极大提高规划区内粮食及农副产品生产量。</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55" w:name="_Toc20195"/>
      <w:bookmarkStart w:id="56" w:name="_Toc25332"/>
      <w:r>
        <w:rPr>
          <w:rFonts w:ascii="方正楷体简体" w:eastAsia="方正楷体简体" w:cs="方正楷体简体" w:hAnsi="方正楷体简体" w:hint="eastAsia"/>
          <w:sz w:val="32"/>
          <w:szCs w:val="32"/>
        </w:rPr>
        <w:t>（四）大力实施节水增效，加快区域经济发展</w:t>
      </w:r>
      <w:bookmarkEnd w:id="55"/>
      <w:bookmarkEnd w:id="56"/>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规划区内人均水资源2377立方米，为世界平均值9360立方米/人·年的l/4。加强高标准农田建设，对提升水资源利用率、加快区域经济发展至关重要。</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57" w:name="_Toc17055"/>
      <w:bookmarkStart w:id="58" w:name="_Toc17708"/>
      <w:r>
        <w:rPr>
          <w:rFonts w:ascii="方正楷体简体" w:eastAsia="方正楷体简体" w:cs="方正楷体简体" w:hAnsi="方正楷体简体" w:hint="eastAsia"/>
          <w:sz w:val="32"/>
          <w:szCs w:val="32"/>
        </w:rPr>
        <w:t>（五）遏制农业面源污染</w:t>
      </w:r>
      <w:bookmarkEnd w:id="57"/>
      <w:r>
        <w:rPr>
          <w:rFonts w:ascii="方正楷体简体" w:eastAsia="方正楷体简体" w:cs="方正楷体简体" w:hAnsi="方正楷体简体" w:hint="eastAsia"/>
          <w:sz w:val="32"/>
          <w:szCs w:val="32"/>
        </w:rPr>
        <w:t>，改善农业生产条件</w:t>
      </w:r>
      <w:bookmarkEnd w:id="58"/>
    </w:p>
    <w:p>
      <w:pPr>
        <w:overflowPunct w:val="0"/>
        <w:spacing w:line="576" w:lineRule="exact"/>
        <w:ind w:firstLineChars="200" w:firstLine="640"/>
        <w:rPr>
          <w:rFonts w:ascii="方正仿宋简体" w:eastAsia="方正仿宋简体" w:cs="方正仿宋简体" w:hAnsi="方正仿宋简体"/>
          <w:spacing w:val="4"/>
          <w:sz w:val="32"/>
          <w:szCs w:val="32"/>
        </w:rPr>
      </w:pPr>
      <w:r>
        <w:rPr>
          <w:rFonts w:ascii="方正仿宋简体" w:eastAsia="方正仿宋简体" w:cs="方正仿宋简体" w:hAnsi="方正仿宋简体" w:hint="eastAsia"/>
          <w:sz w:val="32"/>
          <w:szCs w:val="32"/>
        </w:rPr>
        <w:t>高标准农田建设是扎实推进社会主义新农村建设、加强农村基</w:t>
      </w:r>
      <w:r>
        <w:rPr>
          <w:rFonts w:ascii="方正仿宋简体" w:eastAsia="方正仿宋简体" w:cs="方正仿宋简体" w:hAnsi="方正仿宋简体" w:hint="eastAsia"/>
          <w:spacing w:val="4"/>
          <w:sz w:val="32"/>
          <w:szCs w:val="32"/>
        </w:rPr>
        <w:t>础设施建设的重要举措，对提高粮食综合生产能力、改善农业生产生活条件和增加农民收入有十分重要的现实意义，对改变农村面貌、构建和谐农村具有深远影响。据调查，过去习惯重化肥轻有机肥、重氮肥轻磷钾肥、重大量元素肥轻中微量元素肥。氮磷钾肥投入比例不合理，大量低质肥料进入农田，作物营养失调、抗逆性降低，农田污染较重。通过科技培训可增强农民科学种田意识，减少化肥农药对土壤和农产品的污染，实现节本增效。</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59" w:name="_Toc13505"/>
      <w:bookmarkStart w:id="60" w:name="_Toc17514"/>
      <w:r>
        <w:rPr>
          <w:rFonts w:ascii="方正黑体简体" w:eastAsia="方正黑体简体" w:cs="方正黑体简体" w:hAnsi="方正黑体简体" w:hint="eastAsia"/>
          <w:sz w:val="32"/>
          <w:szCs w:val="32"/>
        </w:rPr>
        <w:t>二、规划的可行性</w:t>
      </w:r>
      <w:bookmarkEnd w:id="59"/>
      <w:bookmarkEnd w:id="60"/>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规划区内自然条件和社会条件较为优越，为项目全面发挥效益奠定基础。所选项目村成片集中，有一定农业基础设施，开展项目建设成熟度较高。项目建设内容符合国家政策要求，符合规划区内实际状况和需求，采用的工程方案成熟、技术先进，投资合理。</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61" w:name="_Toc29388"/>
      <w:bookmarkStart w:id="62" w:name="_Toc17198"/>
      <w:r>
        <w:rPr>
          <w:rFonts w:ascii="方正楷体简体" w:eastAsia="方正楷体简体" w:cs="方正楷体简体" w:hAnsi="方正楷体简体" w:hint="eastAsia"/>
          <w:sz w:val="32"/>
          <w:szCs w:val="32"/>
        </w:rPr>
        <w:t>（一）全区上下高度重视，</w:t>
      </w:r>
      <w:bookmarkEnd w:id="61"/>
      <w:r>
        <w:rPr>
          <w:rFonts w:ascii="方正楷体简体" w:eastAsia="方正楷体简体" w:cs="方正楷体简体" w:hAnsi="方正楷体简体" w:hint="eastAsia"/>
          <w:sz w:val="32"/>
          <w:szCs w:val="32"/>
        </w:rPr>
        <w:t>组织保障体制健全</w:t>
      </w:r>
      <w:bookmarkEnd w:id="62"/>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区委、区政府高度重视高标准农田建设工作，把高标准农田建设作为项目区农村工作的重要抓手，区、乡镇（街道）机构健全、人员齐备，村（社区）干部有干劲，乡村两级干部务实认真，区级农业部门全力配合，建立健全组织保障体制，层层落实责任人，做好项目实施前期准备工作。当地农民群众对高标准农田建设项目高度支持。</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项目和资金监督管理制度完善，考核奖惩措施落实。项目工程建设主体、受益主体明确，管护主体责任落实。</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63" w:name="_Toc18136"/>
      <w:bookmarkStart w:id="64" w:name="_Toc17923"/>
      <w:r>
        <w:rPr>
          <w:rFonts w:ascii="方正楷体简体" w:eastAsia="方正楷体简体" w:cs="方正楷体简体" w:hAnsi="方正楷体简体" w:hint="eastAsia"/>
          <w:sz w:val="32"/>
          <w:szCs w:val="32"/>
        </w:rPr>
        <w:t>（二）农业技术力量较强，用工用材资源富足</w:t>
      </w:r>
      <w:bookmarkEnd w:id="63"/>
      <w:bookmarkEnd w:id="64"/>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技术力量：区、乡镇（街道）农业服务体系健全，技术力量较强。参与项目实施的区农业农村局、区水利局和区交通运输局等相关部门的业务站股技术人员承担过多项重大项目的组织实施工作，有较丰富的项目建设和管理经验，技术扶持较大，能支持高标准农田建设工作。</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劳动力资源：规划区内现有劳动力约8.7万人，部分外出劳动力愿回乡支持高标准农田项目建设。规划区内劳动力资源丰富，能够满足项目实施要求。</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规划区内施工材料取用便捷，具有成片开发的优势和潜力。施工用水可就地提取，施工用电采用农村电网和各施工单位自备柴油发电机结合利用。工程所需主要建筑物材料有水泥、钢筋、河砂、块条石、火砖、卵石、炸药、雷管、导线等。水泥、钢筋可在利州区城区或项目区乡镇（街道）采购运入工地，块条石就地取材。</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65" w:name="_Toc7084"/>
      <w:bookmarkStart w:id="66" w:name="_Toc1095"/>
      <w:r>
        <w:rPr>
          <w:rFonts w:ascii="方正楷体简体" w:eastAsia="方正楷体简体" w:cs="方正楷体简体" w:hAnsi="方正楷体简体" w:hint="eastAsia"/>
          <w:sz w:val="32"/>
          <w:szCs w:val="32"/>
        </w:rPr>
        <w:t>（三）农田增产极具潜力，投资效益大幅提高</w:t>
      </w:r>
      <w:bookmarkEnd w:id="65"/>
      <w:bookmarkEnd w:id="66"/>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规划区内光、热、水资源丰富，适宜多种粮食、经济作物生</w:t>
      </w:r>
      <w:r>
        <w:rPr>
          <w:rFonts w:ascii="方正仿宋简体" w:eastAsia="方正仿宋简体" w:cs="方正仿宋简体" w:hAnsi="方正仿宋简体" w:hint="eastAsia"/>
          <w:spacing w:val="6"/>
          <w:sz w:val="32"/>
          <w:szCs w:val="32"/>
        </w:rPr>
        <w:t>长。中低产田比重大，有良好水源保障，是增产增收潜力最大的地方。项目实施后，输水损失大幅降低，灌溉水利用系数提高到</w:t>
      </w:r>
      <w:r>
        <w:rPr>
          <w:rFonts w:ascii="方正仿宋简体" w:eastAsia="方正仿宋简体" w:cs="方正仿宋简体" w:hAnsi="方正仿宋简体" w:hint="eastAsia"/>
          <w:sz w:val="32"/>
          <w:szCs w:val="32"/>
        </w:rPr>
        <w:t>0.75。</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67" w:name="_Toc16877"/>
      <w:bookmarkStart w:id="68" w:name="_Toc7846"/>
      <w:r>
        <w:rPr>
          <w:rFonts w:ascii="方正楷体简体" w:eastAsia="方正楷体简体" w:cs="方正楷体简体" w:hAnsi="方正楷体简体" w:hint="eastAsia"/>
          <w:sz w:val="32"/>
          <w:szCs w:val="32"/>
        </w:rPr>
        <w:t>（四）规划思路清晰明确，</w:t>
      </w:r>
      <w:bookmarkEnd w:id="67"/>
      <w:r>
        <w:rPr>
          <w:rFonts w:ascii="方正楷体简体" w:eastAsia="方正楷体简体" w:cs="方正楷体简体" w:hAnsi="方正楷体简体" w:hint="eastAsia"/>
          <w:sz w:val="32"/>
          <w:szCs w:val="32"/>
        </w:rPr>
        <w:t>配套措施全面保障</w:t>
      </w:r>
      <w:bookmarkEnd w:id="68"/>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区委、区政府及农口各部门和项目实施乡镇（街道）均形成统一认识，要充分发挥高标准农田资金的引导作用，倾力打造高标准农田规划区，实现规模效应。</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一是项目规划上，按照“规划先行，加强衔接，统筹安排，突出重点，讲求实效”的原则和“资金性质不变，管理渠道不乱，统一规划，各司其职，各记其功”的思路，注重与其他农田水利设施建设项目相结合；注重拟建项目与在建项目相结合；注重区域发展与主导优势、特色产业发展相结合。</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二是措施搭配及资金筹措上，采取“捆绑”方式合力打造。①整合交通“通畅工程”项目，推进村级田间机耕道路、环村路硬化；②整合农村能源、巩固拓展脱贫攻坚成果同乡村振兴有效衔接、国土整理等项目，加强“田间耕作路”与“入户路”的融合，进一步改善农民生产生活环境；③整合农业机械购置补贴项目，进一步提升规划区内机械化水平；④整合良种补贴、玉米综合高产示范、测土配方施肥等项目，在规划区内大力推进良种、良法，提高肥料利用率，提升农民的组织化程度；⑤整合农村实用技术培训项目，进一步提高规划区内农民科学种田水平；⑥扎实推进巩固拓展脱贫攻坚成果同乡村振兴有效衔接，加快推进高标准农田建设，筑牢粮食安全根基。</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69" w:name="_Toc32537"/>
      <w:bookmarkStart w:id="70" w:name="_Toc28296"/>
      <w:r>
        <w:rPr>
          <w:rFonts w:ascii="方正楷体简体" w:eastAsia="方正楷体简体" w:cs="方正楷体简体" w:hAnsi="方正楷体简体" w:hint="eastAsia"/>
          <w:sz w:val="32"/>
          <w:szCs w:val="32"/>
        </w:rPr>
        <w:t>（五）群众种粮积极性高，示范带动作用明显</w:t>
      </w:r>
      <w:bookmarkEnd w:id="69"/>
      <w:bookmarkEnd w:id="70"/>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规划区内以粮食生产为主，2020年，利州区粮食作物播面26.46万亩，总产7.97万吨。近年来国家各项惠农政策落实，规划区内群众种粮积极性较高。高标准农田建设项目在该区域实施也符合国家扶持种粮大户进行土地治理的相关政策。</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71" w:name="_Toc1775"/>
      <w:bookmarkStart w:id="72" w:name="_Toc7396"/>
      <w:r>
        <w:rPr>
          <w:rFonts w:ascii="方正黑体简体" w:eastAsia="方正黑体简体" w:cs="方正黑体简体" w:hAnsi="方正黑体简体" w:hint="eastAsia"/>
          <w:sz w:val="32"/>
          <w:szCs w:val="32"/>
        </w:rPr>
        <w:t>三、生态环境影响评估论证</w:t>
      </w:r>
      <w:bookmarkEnd w:id="71"/>
      <w:bookmarkEnd w:id="72"/>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73" w:name="_Toc32377"/>
      <w:bookmarkStart w:id="74" w:name="_Toc3149"/>
      <w:r>
        <w:rPr>
          <w:rFonts w:ascii="方正楷体简体" w:eastAsia="方正楷体简体" w:cs="方正楷体简体" w:hAnsi="方正楷体简体" w:hint="eastAsia"/>
          <w:sz w:val="32"/>
          <w:szCs w:val="32"/>
        </w:rPr>
        <w:t>（一）水资源供需平衡分析</w:t>
      </w:r>
      <w:bookmarkEnd w:id="73"/>
      <w:bookmarkEnd w:id="74"/>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利州区水资源丰富，区内水资源表观特点为：第一，地下水类型齐全。境内现有第四系松散层孔隙潜水、基岩裂隙潜水、裂隙溶洞潜水、碳酸盐裂隙喀斯特水等四种地下水类型。第二，地下水储量相对贫乏。除第四系松散层孔隙潜水较丰富外，其他类型地下水均较贫乏，按地下水径流模数法计算，地下水总量为0.85亿立方米，几乎是天然降水补给，含量相对贫乏，不易成规模开采。第三，地下水水质良好。境内地下水水质普遍较好，一般都是无色、无味、透明，矿化度在0.1—0.5g/L，硬度均不小于25</w:t>
      </w:r>
      <w:r>
        <w:rPr>
          <w:rFonts w:ascii="方正仿宋简体" w:eastAsia="方正仿宋简体" w:cs="方正仿宋简体" w:hAnsi="方正仿宋简体" w:hint="eastAsia"/>
          <w:sz w:val="32"/>
          <w:szCs w:val="32"/>
          <w:vertAlign w:val="superscript"/>
        </w:rPr>
        <w:t>°</w:t>
      </w:r>
      <w:r>
        <w:rPr>
          <w:rFonts w:ascii="方正仿宋简体" w:eastAsia="方正仿宋简体" w:cs="方正仿宋简体" w:hAnsi="方正仿宋简体" w:hint="eastAsia"/>
          <w:sz w:val="32"/>
          <w:szCs w:val="32"/>
        </w:rPr>
        <w:t>，PH值在6.8—8.1之间，其物理、化学性质均符合国家饮用水标准，是较好的生活饮用水。</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75" w:name="_Toc21694"/>
      <w:bookmarkStart w:id="76" w:name="_Toc32683"/>
      <w:r>
        <w:rPr>
          <w:rFonts w:ascii="方正楷体简体" w:eastAsia="方正楷体简体" w:cs="方正楷体简体" w:hAnsi="方正楷体简体" w:hint="eastAsia"/>
          <w:sz w:val="32"/>
          <w:szCs w:val="32"/>
        </w:rPr>
        <w:t>（二）土地资源可持续利用分析</w:t>
      </w:r>
      <w:bookmarkEnd w:id="75"/>
      <w:bookmarkEnd w:id="76"/>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利州区耕地优势较明显，水域及水利设施用地中河流水面面积广、裸地多，在土地开发利用方面仍有很大的潜力。利州区境内土壤类型有紫色土、冲积土、山地黄壤及少量黄棕壤。低山下部及河谷浅丘平坝区分布着紫色土和冲积土，紫色土主要分布在海拔在1000m以下的低山区，质地主要为砂壤、轻壤和中壤，土层较酸性紫色土薄，约30至60厘米，碳酸钙含量小于30g/kg，pH值约为7.5，肥力水平较高，但有机质、氮、磷稍显不足。低山中上部和中山地带为山地黄壤和棕壤，质地以中壤土和重壤土为主，有少量的砂壤土和轻壤土，呈酸性或微酸性。黄棕壤由于肥力高，是主要的农业耕作土类（常将自然植被破坏从事农业活动）。但经耕作后，有机质含量大大下降，改变了原有土性和肥力，故应采取增肥措施。否则，将愈渐贫瘠和板结。</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77" w:name="_Toc9277"/>
      <w:bookmarkStart w:id="78" w:name="_Toc1651"/>
      <w:r>
        <w:rPr>
          <w:rFonts w:ascii="方正楷体简体" w:eastAsia="方正楷体简体" w:cs="方正楷体简体" w:hAnsi="方正楷体简体" w:hint="eastAsia"/>
          <w:sz w:val="32"/>
          <w:szCs w:val="32"/>
        </w:rPr>
        <w:t>（三）生物资源保护利用分析</w:t>
      </w:r>
      <w:bookmarkEnd w:id="77"/>
      <w:bookmarkEnd w:id="78"/>
    </w:p>
    <w:p>
      <w:pPr>
        <w:pStyle w:val="22"/>
        <w:widowControl w:val="0"/>
        <w:overflowPunct w:val="0"/>
        <w:spacing w:before="0" w:beforeAutospacing="0" w:after="0" w:afterAutospacing="0" w:line="576" w:lineRule="exact"/>
        <w:ind w:firstLineChars="200" w:firstLine="640"/>
        <w:jc w:val="both"/>
        <w:rPr>
          <w:rFonts w:ascii="方正仿宋简体" w:eastAsia="方正仿宋简体" w:cs="方正仿宋简体" w:hAnsi="方正仿宋简体"/>
          <w:color w:val="auto"/>
          <w:kern w:val="2"/>
          <w:sz w:val="32"/>
          <w:szCs w:val="32"/>
        </w:rPr>
      </w:pPr>
      <w:r>
        <w:rPr>
          <w:rFonts w:ascii="方正仿宋简体" w:eastAsia="方正仿宋简体" w:cs="方正仿宋简体" w:hAnsi="方正仿宋简体" w:hint="eastAsia"/>
          <w:color w:val="auto"/>
          <w:kern w:val="2"/>
          <w:sz w:val="32"/>
          <w:szCs w:val="32"/>
        </w:rPr>
        <w:t>生物资源为支撑和保障粮食安全提供了本底资源保障，有力支撑了农业安全与可持续发展。</w:t>
      </w:r>
    </w:p>
    <w:p>
      <w:pPr>
        <w:pStyle w:val="22"/>
        <w:widowControl w:val="0"/>
        <w:overflowPunct w:val="0"/>
        <w:spacing w:before="0" w:beforeAutospacing="0" w:after="0" w:afterAutospacing="0" w:line="576" w:lineRule="exact"/>
        <w:ind w:firstLineChars="200" w:firstLine="640"/>
        <w:jc w:val="both"/>
        <w:rPr>
          <w:rFonts w:ascii="方正仿宋简体" w:eastAsia="方正仿宋简体" w:cs="方正仿宋简体" w:hAnsi="方正仿宋简体"/>
          <w:color w:val="auto"/>
          <w:kern w:val="2"/>
          <w:sz w:val="32"/>
          <w:szCs w:val="32"/>
        </w:rPr>
      </w:pPr>
      <w:r>
        <w:rPr>
          <w:rFonts w:ascii="方正仿宋简体" w:eastAsia="方正仿宋简体" w:cs="方正仿宋简体" w:hAnsi="方正仿宋简体" w:hint="eastAsia"/>
          <w:color w:val="auto"/>
          <w:kern w:val="2"/>
          <w:sz w:val="32"/>
          <w:szCs w:val="32"/>
        </w:rPr>
        <w:t>生物资源是指生长在自然界中能够直接或间接被人类利用的、对人类具有现实和潜在价值的基因和物种的总和，包括植物、动物、微生物和人类遗传资源等。生物资源是生态系统的基本组成部分，是人类生产、生活资料的基本来源和人类赖以生存的重要物质基础，是生物技术和产业发展的重要基石，是保障国家粮食安全、生态安全、能源安全等的重要战略资源。对生物资源的收集、保藏、保护、开发与利用是保障人民生命健康、支撑国民经济可持续发展的重要基础。但由于我国对生物资源的收集</w:t>
      </w:r>
      <w:r>
        <w:rPr>
          <w:rFonts w:ascii="方正仿宋简体" w:eastAsia="方正仿宋简体" w:cs="方正仿宋简体" w:hAnsi="方正仿宋简体" w:hint="eastAsia"/>
          <w:color w:val="auto"/>
          <w:spacing w:val="6"/>
          <w:kern w:val="2"/>
          <w:sz w:val="32"/>
          <w:szCs w:val="32"/>
        </w:rPr>
        <w:t>保藏起步较晚，我国生物资源保藏和利用仍然面临诸多严峻的挑</w:t>
      </w:r>
      <w:r>
        <w:rPr>
          <w:rFonts w:ascii="方正仿宋简体" w:eastAsia="方正仿宋简体" w:cs="方正仿宋简体" w:hAnsi="方正仿宋简体" w:hint="eastAsia"/>
          <w:color w:val="auto"/>
          <w:kern w:val="2"/>
          <w:sz w:val="32"/>
          <w:szCs w:val="32"/>
        </w:rPr>
        <w:t>战。</w:t>
      </w:r>
    </w:p>
    <w:p>
      <w:pPr>
        <w:pStyle w:val="22"/>
        <w:widowControl w:val="0"/>
        <w:overflowPunct w:val="0"/>
        <w:spacing w:before="0" w:beforeAutospacing="0" w:after="0" w:afterAutospacing="0" w:line="576" w:lineRule="exact"/>
        <w:ind w:firstLineChars="200" w:firstLine="640"/>
        <w:jc w:val="both"/>
        <w:rPr>
          <w:rFonts w:ascii="方正仿宋简体" w:eastAsia="方正仿宋简体" w:cs="方正仿宋简体" w:hAnsi="方正仿宋简体"/>
          <w:color w:val="auto"/>
          <w:kern w:val="2"/>
          <w:sz w:val="32"/>
          <w:szCs w:val="32"/>
        </w:rPr>
      </w:pPr>
      <w:r>
        <w:rPr>
          <w:rFonts w:ascii="方正仿宋简体" w:eastAsia="方正仿宋简体" w:cs="方正仿宋简体" w:hAnsi="方正仿宋简体" w:hint="eastAsia"/>
          <w:color w:val="auto"/>
          <w:kern w:val="2"/>
          <w:sz w:val="32"/>
          <w:szCs w:val="32"/>
        </w:rPr>
        <w:t>综上所述，规划区有良好的开发前景和区位优势、可靠的技术力量、强劲的领导集体和深厚的群众基础，具备高标准农田建设项目实施的各项基础条件，项目建设切实可行。同时仍需加强生物资源有效保护与可持续利用。</w:t>
      </w:r>
    </w:p>
    <w:p>
      <w:pPr>
        <w:overflowPunct w:val="0"/>
        <w:spacing w:line="576" w:lineRule="exact"/>
        <w:ind w:firstLineChars="200" w:firstLine="640"/>
        <w:rPr>
          <w:rFonts w:ascii="方正仿宋简体" w:eastAsia="方正仿宋简体" w:cs="方正仿宋简体" w:hAnsi="方正仿宋简体"/>
          <w:sz w:val="32"/>
          <w:szCs w:val="32"/>
        </w:rPr>
      </w:pPr>
    </w:p>
    <w:p>
      <w:pPr>
        <w:overflowPunct w:val="0"/>
        <w:spacing w:line="576" w:lineRule="exact"/>
        <w:ind w:firstLineChars="200" w:firstLine="640"/>
        <w:rPr>
          <w:rFonts w:ascii="方正仿宋简体" w:eastAsia="方正仿宋简体" w:cs="方正仿宋简体" w:hAnsi="方正仿宋简体"/>
          <w:sz w:val="32"/>
          <w:szCs w:val="32"/>
        </w:rPr>
      </w:pPr>
    </w:p>
    <w:p>
      <w:pPr>
        <w:overflowPunct w:val="0"/>
        <w:spacing w:line="576" w:lineRule="exact"/>
        <w:jc w:val="center"/>
        <w:outlineLvl w:val="0"/>
        <w:rPr>
          <w:rFonts w:ascii="方正小标宋简体" w:eastAsia="方正小标宋简体" w:cs="方正小标宋简体" w:hAnsi="方正小标宋简体"/>
          <w:sz w:val="44"/>
          <w:szCs w:val="44"/>
        </w:rPr>
      </w:pPr>
      <w:r>
        <w:rPr>
          <w:rFonts w:ascii="方正仿宋简体" w:eastAsia="方正仿宋简体" w:cs="方正仿宋简体" w:hAnsi="方正仿宋简体" w:hint="eastAsia"/>
          <w:sz w:val="32"/>
          <w:szCs w:val="32"/>
        </w:rPr>
        <w:br w:type="page"/>
      </w:r>
      <w:bookmarkStart w:id="79" w:name="_Toc7798"/>
      <w:bookmarkStart w:id="80" w:name="_Toc25594"/>
      <w:r>
        <w:rPr>
          <w:rFonts w:ascii="方正小标宋简体" w:eastAsia="方正小标宋简体" w:cs="方正小标宋简体" w:hAnsi="方正小标宋简体" w:hint="eastAsia"/>
          <w:sz w:val="44"/>
          <w:szCs w:val="44"/>
        </w:rPr>
        <w:t>第三章  指导思想、基本原则与目标任务</w:t>
      </w:r>
      <w:bookmarkEnd w:id="79"/>
      <w:bookmarkEnd w:id="80"/>
    </w:p>
    <w:p>
      <w:pPr>
        <w:pStyle w:val="2"/>
        <w:tabs>
          <w:tab w:val="left" w:pos="0"/>
        </w:tabs>
        <w:overflowPunct w:val="0"/>
        <w:spacing w:line="576" w:lineRule="exact"/>
        <w:rPr>
          <w:rFonts w:ascii="方正仿宋简体" w:eastAsia="方正仿宋简体" w:cs="方正仿宋简体" w:hAnsi="方正仿宋简体"/>
          <w:bCs w:val="0"/>
          <w:sz w:val="32"/>
          <w:szCs w:val="32"/>
        </w:rPr>
      </w:pP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81" w:name="_Toc24583"/>
      <w:bookmarkStart w:id="82" w:name="_Toc12041"/>
      <w:r>
        <w:rPr>
          <w:rFonts w:ascii="方正黑体简体" w:eastAsia="方正黑体简体" w:cs="方正黑体简体" w:hAnsi="方正黑体简体" w:hint="eastAsia"/>
          <w:sz w:val="32"/>
          <w:szCs w:val="32"/>
        </w:rPr>
        <w:t>一、指导思想</w:t>
      </w:r>
      <w:bookmarkEnd w:id="81"/>
      <w:bookmarkEnd w:id="82"/>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坚持以习近平新时代中国特色社会主义思想为指导，深入贯彻党的二十大、中央经济工作会议、中央农村工作会议精神和习近平总书记对四川工作系列重要指示精神，认真落实党中央、国务院，省委、省政府和市委、市政府的决策部署，围绕深入实施乡村振兴战略、加快农业农村现代化，以提升粮食产能为首要目标，以农产品主产区为主体，在永久基本农田和“两区”重点布局，加快推进“藏粮于地、藏粮于技”，大力实施高标准农田建设十年攻坚行动。坚持新增建设和改造提升并重、建设数量和建设质量并重、工程建设和建后管护并重、产能提升和绿色发展协调，统一组织实施与分区分类施策相结合，实行田、土、水、路、林、电、技、管、制综合配套，统筹连片规划，集中规模打造，建设“一季千斤、两季吨粮”的口粮田，确保建成一批“集中连片、能排能灌、防涝保收、宜机作业、节水高效、稳产高产、生态友好”的高标准农田，为保障粮食安全和建设农业强省奠定坚实基础。</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83" w:name="_Toc10303"/>
      <w:bookmarkStart w:id="84" w:name="_Toc6760"/>
      <w:r>
        <w:rPr>
          <w:rFonts w:ascii="方正黑体简体" w:eastAsia="方正黑体简体" w:cs="方正黑体简体" w:hAnsi="方正黑体简体" w:hint="eastAsia"/>
          <w:sz w:val="32"/>
          <w:szCs w:val="32"/>
        </w:rPr>
        <w:t>二、基本原则</w:t>
      </w:r>
      <w:bookmarkEnd w:id="83"/>
      <w:bookmarkEnd w:id="84"/>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85" w:name="_Toc19505"/>
      <w:r>
        <w:rPr>
          <w:rFonts w:ascii="方正楷体简体" w:eastAsia="方正楷体简体" w:cs="方正楷体简体" w:hAnsi="方正楷体简体" w:hint="eastAsia"/>
          <w:sz w:val="32"/>
          <w:szCs w:val="32"/>
        </w:rPr>
        <w:t>（一）政府主导，多元参与</w:t>
      </w:r>
      <w:bookmarkEnd w:id="85"/>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完善和优化公共财政投入保障机制，争取中央财政加大投入</w:t>
      </w:r>
      <w:r>
        <w:rPr>
          <w:rFonts w:ascii="方正仿宋简体" w:eastAsia="方正仿宋简体" w:cs="方正仿宋简体" w:hAnsi="方正仿宋简体" w:hint="eastAsia"/>
          <w:spacing w:val="-6"/>
          <w:sz w:val="32"/>
          <w:szCs w:val="32"/>
        </w:rPr>
        <w:t>力度，切实落实地方各级政府支出责任，提高资金配置效率和使</w:t>
      </w:r>
      <w:r>
        <w:rPr>
          <w:rFonts w:ascii="方正仿宋简体" w:eastAsia="方正仿宋简体" w:cs="方正仿宋简体" w:hAnsi="方正仿宋简体" w:hint="eastAsia"/>
          <w:sz w:val="32"/>
          <w:szCs w:val="32"/>
        </w:rPr>
        <w:t>用效益。尊重农民意愿，维护农民权益，积极引导农民、新型农业经营主体、农村集体经济组织和涉农企业等各类社会资本参与高标准农田建设和管护，形成共建一块田、共保一碗粮的工作合力。</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86" w:name="_Toc14743"/>
      <w:r>
        <w:rPr>
          <w:rFonts w:ascii="方正楷体简体" w:eastAsia="方正楷体简体" w:cs="方正楷体简体" w:hAnsi="方正楷体简体" w:hint="eastAsia"/>
          <w:sz w:val="32"/>
          <w:szCs w:val="32"/>
        </w:rPr>
        <w:t>（二）统筹规划，突出重点</w:t>
      </w:r>
      <w:bookmarkEnd w:id="86"/>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用好高标准农田建设评估、国土“三调”成果，做好与全省国土空间、农业农村现代化、水利等规划的衔接，明确目标任务，优化建设布局，重点在农产品主产区，优先在永久基本农田、粮食生产功能区和重要农产品生产保护区建设高标准农田，分年分批实施，有力保障全省重要农产品特别是粮食的有效供给。</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87" w:name="_Toc3536"/>
      <w:r>
        <w:rPr>
          <w:rFonts w:ascii="方正楷体简体" w:eastAsia="方正楷体简体" w:cs="方正楷体简体" w:hAnsi="方正楷体简体" w:hint="eastAsia"/>
          <w:sz w:val="32"/>
          <w:szCs w:val="32"/>
        </w:rPr>
        <w:t>（三）因地制宜，分类施策</w:t>
      </w:r>
      <w:bookmarkEnd w:id="87"/>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根据区域自然资源禀赋、农业发展布局、主体功能区划和粮食生产主要障碍因素等，分区分类施策，合理确定我区（盆周山区地形）建设模式。开展分类试点示范，统筹推进田、土、水、路、林、电、技、管、制综合配套，助推现代农业发展进程。</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88" w:name="_Toc3539"/>
      <w:r>
        <w:rPr>
          <w:rFonts w:ascii="方正楷体简体" w:eastAsia="方正楷体简体" w:cs="方正楷体简体" w:hAnsi="方正楷体简体" w:hint="eastAsia"/>
          <w:sz w:val="32"/>
          <w:szCs w:val="32"/>
        </w:rPr>
        <w:t>（四）建改并举，绿色生态</w:t>
      </w:r>
      <w:bookmarkEnd w:id="88"/>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落实高质量发展要求，保质保量完成新增高标准农田任务，合理安排已建项目区的改造提升，有效提升农田建设质量、碳汇能力和效益。践行绿色发展理念，加强生态环境保护，防止土壤污染，推动耕地质量保护与提升，实现农业生产与生态保护相协调，促进农业可持续发展。</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89" w:name="_Toc25077"/>
      <w:r>
        <w:rPr>
          <w:rFonts w:ascii="方正楷体简体" w:eastAsia="方正楷体简体" w:cs="方正楷体简体" w:hAnsi="方正楷体简体" w:hint="eastAsia"/>
          <w:sz w:val="32"/>
          <w:szCs w:val="32"/>
        </w:rPr>
        <w:t>（五）建管并重，良性运行</w:t>
      </w:r>
      <w:bookmarkEnd w:id="89"/>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加强高标准农田建设和利用评价，确保建设成效。建立健全高标准农田建设管护机制，落实管护主体和责任，建立多元化管护经费保障机制，形成项目建设、管理一体化。按照“谁使用、谁受益、谁管护”的原则，探索社会化和专业化相结合的管护模式，确保工程长效运行。完善耕地质量监测网络，强化长期跟踪监测。</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90" w:name="_Toc19073"/>
      <w:r>
        <w:rPr>
          <w:rFonts w:ascii="方正楷体简体" w:eastAsia="方正楷体简体" w:cs="方正楷体简体" w:hAnsi="方正楷体简体" w:hint="eastAsia"/>
          <w:sz w:val="32"/>
          <w:szCs w:val="32"/>
        </w:rPr>
        <w:t>（六）依法严管，良田粮用</w:t>
      </w:r>
      <w:bookmarkEnd w:id="90"/>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建成的高标准农田，应当根据土地利用总体规划为永久基本农田，实行特殊保护，坚决遏制耕地“非农化”、防止“非粮化”。落实耕地保护责任，强化用途管制，严格控制耕地转为非耕地，确保良田粮用。强化高标准农田产能目标监测与评价。建成全省高标准农田建设“一张图”和监管系统，实现有据可查、全程监控、精准管理、资源共享。加强廉政建设，强化风险防控，确保建成民心工程、良心工程。</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91" w:name="_Toc32180"/>
      <w:bookmarkStart w:id="92" w:name="_Toc4076"/>
      <w:r>
        <w:rPr>
          <w:rFonts w:ascii="方正黑体简体" w:eastAsia="方正黑体简体" w:cs="方正黑体简体" w:hAnsi="方正黑体简体" w:hint="eastAsia"/>
          <w:sz w:val="32"/>
          <w:szCs w:val="32"/>
        </w:rPr>
        <w:t>三、规划年限与目标任务</w:t>
      </w:r>
      <w:bookmarkEnd w:id="91"/>
      <w:bookmarkEnd w:id="92"/>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93" w:name="_Toc2696"/>
      <w:bookmarkStart w:id="94" w:name="_Toc30617"/>
      <w:r>
        <w:rPr>
          <w:rFonts w:ascii="方正楷体简体" w:eastAsia="方正楷体简体" w:cs="方正楷体简体" w:hAnsi="方正楷体简体" w:hint="eastAsia"/>
          <w:sz w:val="32"/>
          <w:szCs w:val="32"/>
        </w:rPr>
        <w:t>（一）规划期限</w:t>
      </w:r>
      <w:bookmarkEnd w:id="93"/>
      <w:bookmarkEnd w:id="94"/>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规划期为2021—2030年，共10年。</w:t>
      </w:r>
      <w:bookmarkStart w:id="95" w:name="_Toc1383"/>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96" w:name="_Toc27125"/>
      <w:r>
        <w:rPr>
          <w:rFonts w:ascii="方正楷体简体" w:eastAsia="方正楷体简体" w:cs="方正楷体简体" w:hAnsi="方正楷体简体" w:hint="eastAsia"/>
          <w:sz w:val="32"/>
          <w:szCs w:val="32"/>
        </w:rPr>
        <w:t>（二）年度建设任务</w:t>
      </w:r>
      <w:bookmarkEnd w:id="95"/>
      <w:bookmarkEnd w:id="96"/>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根据省厅下发数据，利州区根据三区三线划定永久基本农田面积16.89万亩。永久基本农田中已建高标准农田面积12.31万亩，永久基本农田中未建高标准农田面积4.57万亩。根据利州区实际情况，将永久基本农田中未建高标准农田面积4.57万亩分别纳入2025年新建2.33万亩，2030年新建2.24万亩。</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具体年度建设任务如下：</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2021年度新建5.61万亩。</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2023年度改造1.60万亩。</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2024年度改造1.67万亩。</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2025年度改造1.58万亩，新建2.33万亩。</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2026年度改造1.71万亩。</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2027年度改造1.55万亩。</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2028年度改造1.64万亩。</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2029年度改造1.55万亩。</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2030年度改造1.58万亩，新建2.24万亩。</w:t>
      </w:r>
    </w:p>
    <w:p>
      <w:pPr>
        <w:pStyle w:val="15"/>
      </w:pPr>
    </w:p>
    <w:p>
      <w:pPr>
        <w:pStyle w:val="15"/>
      </w:pPr>
    </w:p>
    <w:p>
      <w:pPr>
        <w:pStyle w:val="15"/>
      </w:pPr>
    </w:p>
    <w:p>
      <w:pPr>
        <w:pStyle w:val="2"/>
        <w:tabs>
          <w:tab w:val="left" w:pos="0"/>
        </w:tabs>
        <w:overflowPunct w:val="0"/>
        <w:spacing w:line="576" w:lineRule="exact"/>
        <w:rPr>
          <w:rFonts w:ascii="方正仿宋简体" w:eastAsia="方正仿宋简体" w:cs="方正仿宋简体" w:hAnsi="方正仿宋简体"/>
          <w:bCs w:val="0"/>
          <w:sz w:val="32"/>
          <w:szCs w:val="32"/>
        </w:rPr>
        <w:sectPr>
          <w:footerReference w:type="default" r:id="rId2"/>
          <w:pgSz w:w="11906" w:h="16838"/>
          <w:pgMar w:top="2098" w:right="1531" w:bottom="1985" w:left="1531" w:header="851" w:footer="1588" w:gutter="0"/>
          <w:cols w:num="1" w:space="720"/>
          <w:docGrid w:type="lines" w:linePitch="312" w:charSpace="0"/>
        </w:sectPr>
      </w:pPr>
    </w:p>
    <w:p>
      <w:pPr>
        <w:overflowPunct w:val="0"/>
        <w:spacing w:line="576" w:lineRule="exact"/>
        <w:jc w:val="center"/>
        <w:outlineLvl w:val="0"/>
        <w:rPr>
          <w:rFonts w:ascii="方正小标宋简体" w:eastAsia="方正小标宋简体" w:cs="方正小标宋简体" w:hAnsi="方正小标宋简体"/>
          <w:kern w:val="0"/>
          <w:sz w:val="44"/>
          <w:szCs w:val="44"/>
        </w:rPr>
      </w:pPr>
      <w:r>
        <w:rPr>
          <w:rFonts w:ascii="方正小标宋简体" w:eastAsia="方正小标宋简体" w:cs="方正小标宋简体" w:hAnsi="方正小标宋简体" w:hint="eastAsia"/>
          <w:kern w:val="0"/>
          <w:sz w:val="44"/>
          <w:szCs w:val="44"/>
        </w:rPr>
        <w:t>利州区高标准农田建设年度任务汇总表（2021—2030年）</w:t>
      </w:r>
    </w:p>
    <w:p>
      <w:pPr>
        <w:pStyle w:val="15"/>
      </w:pPr>
    </w:p>
    <w:p>
      <w:pPr>
        <w:overflowPunct w:val="0"/>
        <w:spacing w:line="576" w:lineRule="exact"/>
        <w:ind w:firstLineChars="200" w:firstLine="640"/>
        <w:jc w:val="right"/>
        <w:rPr>
          <w:rFonts w:ascii="方正仿宋简体" w:eastAsia="方正仿宋简体" w:cs="方正仿宋简体" w:hAnsi="方正仿宋简体"/>
          <w:sz w:val="32"/>
          <w:szCs w:val="32"/>
        </w:rPr>
      </w:pPr>
      <w:r>
        <w:rPr>
          <w:rFonts w:ascii="方正仿宋简体" w:eastAsia="方正仿宋简体" w:cs="方正仿宋简体" w:hAnsi="方正仿宋简体" w:hint="eastAsia"/>
          <w:kern w:val="0"/>
          <w:sz w:val="32"/>
          <w:szCs w:val="32"/>
        </w:rPr>
        <w:t>单位：万亩</w:t>
      </w:r>
    </w:p>
    <w:tbl>
      <w:tblPr>
        <w:jc w:val="center"/>
        <w:tblW w:w="14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Pr>
      <w:tblGrid>
        <w:gridCol w:w="1009"/>
        <w:gridCol w:w="1009"/>
        <w:gridCol w:w="1009"/>
        <w:gridCol w:w="1009"/>
        <w:gridCol w:w="1009"/>
        <w:gridCol w:w="1009"/>
        <w:gridCol w:w="1009"/>
        <w:gridCol w:w="1015"/>
        <w:gridCol w:w="1009"/>
        <w:gridCol w:w="1009"/>
        <w:gridCol w:w="1009"/>
        <w:gridCol w:w="1009"/>
        <w:gridCol w:w="1009"/>
        <w:gridCol w:w="1015"/>
      </w:tblGrid>
      <w:tr>
        <w:trPr>
          <w:trHeight w:val="915"/>
        </w:trPr>
        <w:tc>
          <w:tcPr>
            <w:tcW w:w="1009" w:type="dxa"/>
            <w:vMerge w:val="restart"/>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建设</w:t>
            </w:r>
          </w:p>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类别</w:t>
            </w:r>
          </w:p>
        </w:tc>
        <w:tc>
          <w:tcPr>
            <w:tcW w:w="1009" w:type="dxa"/>
            <w:vMerge w:val="restart"/>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合计</w:t>
            </w:r>
          </w:p>
        </w:tc>
        <w:tc>
          <w:tcPr>
            <w:tcW w:w="6060" w:type="dxa"/>
            <w:gridSpan w:val="6"/>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2021—2025年</w:t>
            </w:r>
          </w:p>
        </w:tc>
        <w:tc>
          <w:tcPr>
            <w:tcW w:w="6060" w:type="dxa"/>
            <w:gridSpan w:val="6"/>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2026—2030年</w:t>
            </w:r>
          </w:p>
        </w:tc>
      </w:tr>
      <w:tr>
        <w:trPr>
          <w:trHeight w:val="896"/>
        </w:trPr>
        <w:tc>
          <w:tcPr>
            <w:tcW w:w="1009" w:type="dxa"/>
            <w:vMerge/>
            <w:noWrap/>
            <w:vAlign w:val="center"/>
          </w:tcPr>
          <w:p/>
        </w:tc>
        <w:tc>
          <w:tcPr>
            <w:tcW w:w="1009" w:type="dxa"/>
            <w:vMerge/>
            <w:tcBorders>
              <w:top w:val="single" w:sz="4" w:space="0" w:color="auto"/>
              <w:left w:val="single" w:sz="4" w:space="0" w:color="auto"/>
              <w:right w:val="single" w:sz="4" w:space="0" w:color="auto"/>
            </w:tcBorders>
            <w:noWrap/>
            <w:vAlign w:val="center"/>
          </w:tcP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小计</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2021年</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2022年</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2023年</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2024年</w:t>
            </w:r>
          </w:p>
        </w:tc>
        <w:tc>
          <w:tcPr>
            <w:tcW w:w="1015"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2025年</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小计</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2026年</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2027年</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2028年</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2029年</w:t>
            </w:r>
          </w:p>
        </w:tc>
        <w:tc>
          <w:tcPr>
            <w:tcW w:w="1015" w:type="dxa"/>
            <w:noWrap/>
            <w:vAlign w:val="center"/>
          </w:tcPr>
          <w:p>
            <w:pPr>
              <w:overflowPunct w:val="0"/>
              <w:spacing w:line="400" w:lineRule="exact"/>
              <w:jc w:val="center"/>
              <w:rPr>
                <w:rFonts w:ascii="方正黑体简体" w:eastAsia="方正黑体简体" w:cs="宋体" w:hAnsi="宋体"/>
                <w:kern w:val="0"/>
                <w:sz w:val="24"/>
              </w:rPr>
            </w:pPr>
            <w:r>
              <w:rPr>
                <w:rFonts w:ascii="方正黑体简体" w:eastAsia="方正黑体简体" w:cs="宋体" w:hAnsi="宋体" w:hint="eastAsia"/>
                <w:kern w:val="0"/>
                <w:sz w:val="24"/>
              </w:rPr>
              <w:t>2030年</w:t>
            </w:r>
          </w:p>
        </w:tc>
      </w:tr>
      <w:tr>
        <w:trPr>
          <w:trHeight w:val="896"/>
        </w:trPr>
        <w:tc>
          <w:tcPr>
            <w:tcW w:w="1009" w:type="dxa"/>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新建</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10.18</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7.94</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5.61</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p>
        </w:tc>
        <w:tc>
          <w:tcPr>
            <w:tcW w:w="1015"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2.33</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2.24</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p>
        </w:tc>
        <w:tc>
          <w:tcPr>
            <w:tcW w:w="1015" w:type="dxa"/>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2.24</w:t>
            </w:r>
          </w:p>
        </w:tc>
      </w:tr>
      <w:tr>
        <w:trPr>
          <w:trHeight w:val="934"/>
        </w:trPr>
        <w:tc>
          <w:tcPr>
            <w:tcW w:w="1009" w:type="dxa"/>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改造</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12.88</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4.85</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1.60</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1.67</w:t>
            </w:r>
          </w:p>
        </w:tc>
        <w:tc>
          <w:tcPr>
            <w:tcW w:w="1015"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1.58</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8.03</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1.71</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1.55</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1.64</w:t>
            </w:r>
          </w:p>
        </w:tc>
        <w:tc>
          <w:tcPr>
            <w:tcW w:w="1009" w:type="dxa"/>
            <w:tcBorders>
              <w:top w:val="single" w:sz="4" w:space="0" w:color="auto"/>
              <w:left w:val="single" w:sz="4" w:space="0" w:color="auto"/>
              <w:right w:val="single" w:sz="4" w:space="0" w:color="auto"/>
            </w:tcBorders>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1.55</w:t>
            </w:r>
          </w:p>
        </w:tc>
        <w:tc>
          <w:tcPr>
            <w:tcW w:w="1015" w:type="dxa"/>
            <w:noWrap/>
            <w:vAlign w:val="center"/>
          </w:tcPr>
          <w:p>
            <w:pPr>
              <w:overflowPunct w:val="0"/>
              <w:spacing w:line="400" w:lineRule="exact"/>
              <w:jc w:val="center"/>
              <w:rPr>
                <w:rFonts w:ascii="宋体" w:cs="宋体" w:hAnsi="宋体"/>
                <w:kern w:val="0"/>
                <w:sz w:val="24"/>
              </w:rPr>
            </w:pPr>
            <w:r>
              <w:rPr>
                <w:rFonts w:ascii="宋体" w:cs="宋体" w:hAnsi="宋体" w:hint="eastAsia"/>
                <w:kern w:val="0"/>
                <w:sz w:val="24"/>
              </w:rPr>
              <w:t>1.58</w:t>
            </w:r>
          </w:p>
        </w:tc>
      </w:tr>
    </w:tbl>
    <w:p>
      <w:pPr>
        <w:overflowPunct w:val="0"/>
        <w:spacing w:line="576" w:lineRule="exact"/>
        <w:ind w:firstLineChars="200" w:firstLine="640"/>
        <w:rPr>
          <w:rFonts w:ascii="方正仿宋简体" w:eastAsia="方正仿宋简体" w:cs="方正仿宋简体" w:hAnsi="方正仿宋简体"/>
          <w:sz w:val="32"/>
          <w:szCs w:val="32"/>
        </w:rPr>
      </w:pPr>
    </w:p>
    <w:p>
      <w:pPr>
        <w:overflowPunct w:val="0"/>
        <w:spacing w:line="576" w:lineRule="exact"/>
        <w:ind w:firstLineChars="200" w:firstLine="640"/>
        <w:rPr>
          <w:rFonts w:ascii="方正仿宋简体" w:eastAsia="方正仿宋简体" w:cs="方正仿宋简体" w:hAnsi="方正仿宋简体"/>
          <w:sz w:val="32"/>
          <w:szCs w:val="32"/>
        </w:rPr>
      </w:pPr>
    </w:p>
    <w:p>
      <w:pPr>
        <w:overflowPunct w:val="0"/>
        <w:spacing w:line="576" w:lineRule="exact"/>
        <w:ind w:firstLineChars="200" w:firstLine="640"/>
        <w:rPr>
          <w:rFonts w:ascii="方正仿宋简体" w:eastAsia="方正仿宋简体" w:cs="方正仿宋简体" w:hAnsi="方正仿宋简体"/>
          <w:sz w:val="32"/>
          <w:szCs w:val="32"/>
        </w:rPr>
        <w:sectPr>
          <w:pgSz w:w="16838" w:h="11906" w:orient="landscape"/>
          <w:pgMar w:top="1701" w:right="1531" w:bottom="1701" w:left="1531" w:header="851" w:footer="1361" w:gutter="0"/>
          <w:cols w:num="1" w:space="720"/>
          <w:docGrid w:type="linesAndChars" w:linePitch="312" w:charSpace="0"/>
        </w:sectPr>
      </w:pP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97" w:name="_Toc3679"/>
      <w:bookmarkStart w:id="98" w:name="_Toc27309"/>
      <w:r>
        <w:rPr>
          <w:rFonts w:ascii="方正楷体简体" w:eastAsia="方正楷体简体" w:cs="方正楷体简体" w:hAnsi="方正楷体简体" w:hint="eastAsia"/>
          <w:sz w:val="32"/>
          <w:szCs w:val="32"/>
        </w:rPr>
        <w:t>（三）建设目标</w:t>
      </w:r>
      <w:bookmarkEnd w:id="97"/>
      <w:bookmarkEnd w:id="98"/>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以提升粮食产能为首要目标，抓好耕地保护和地力提升，加快高标准农田建设，集中力量打造旱涝保收、稳产高产、绿色生态农田，为提升粮食生产能力奠定坚实基础。2021—2025年，新建高标准农田7.94万亩，新增高效节水灌溉面积1.61万亩，改造提升高标准农田4.85万亩，新增高效节水灌溉面积0.48万亩；2026—2030年，新建高标准农田2.24万亩，新增高效节水灌溉面积0.45万亩，改造提升高标准农田8.03万亩，新增高效节水灌溉面积1.00万亩。详见下表：</w:t>
      </w:r>
    </w:p>
    <w:tbl>
      <w:tblPr>
        <w:jc w:val="left"/>
        <w:tblInd w:w="0" w:type="dxa"/>
        <w:tblW w:w="5047" w:type="pct"/>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1664"/>
        <w:gridCol w:w="1313"/>
        <w:gridCol w:w="1567"/>
        <w:gridCol w:w="1818"/>
        <w:gridCol w:w="1308"/>
        <w:gridCol w:w="1471"/>
      </w:tblGrid>
      <w:tr>
        <w:trPr>
          <w:trHeight w:val="1140"/>
        </w:trPr>
        <w:tc>
          <w:tcPr>
            <w:tcW w:w="910"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方正黑体简体" w:eastAsia="方正黑体简体" w:cs="方正黑体简体" w:hAnsi="方正黑体简体"/>
                <w:sz w:val="24"/>
              </w:rPr>
            </w:pPr>
            <w:r>
              <w:rPr>
                <w:rFonts w:ascii="方正黑体简体" w:eastAsia="方正黑体简体" w:cs="方正黑体简体" w:hAnsi="方正黑体简体" w:hint="eastAsia"/>
                <w:kern w:val="0"/>
                <w:sz w:val="24"/>
              </w:rPr>
              <w:t>规划区间</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方正黑体简体" w:eastAsia="方正黑体简体" w:cs="方正黑体简体" w:hAnsi="方正黑体简体"/>
                <w:sz w:val="24"/>
              </w:rPr>
            </w:pPr>
            <w:r>
              <w:rPr>
                <w:rFonts w:ascii="方正黑体简体" w:eastAsia="方正黑体简体" w:cs="方正黑体简体" w:hAnsi="方正黑体简体" w:hint="eastAsia"/>
                <w:kern w:val="0"/>
                <w:sz w:val="24"/>
              </w:rPr>
              <w:t>规划年份</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方正黑体简体" w:eastAsia="方正黑体简体" w:cs="方正黑体简体" w:hAnsi="方正黑体简体"/>
                <w:kern w:val="0"/>
                <w:sz w:val="24"/>
              </w:rPr>
            </w:pPr>
            <w:r>
              <w:rPr>
                <w:rFonts w:ascii="方正黑体简体" w:eastAsia="方正黑体简体" w:cs="方正黑体简体" w:hAnsi="方正黑体简体" w:hint="eastAsia"/>
                <w:kern w:val="0"/>
                <w:sz w:val="24"/>
              </w:rPr>
              <w:t>新建高标准</w:t>
            </w:r>
          </w:p>
          <w:p>
            <w:pPr>
              <w:overflowPunct w:val="0"/>
              <w:spacing w:line="320" w:lineRule="exact"/>
              <w:ind w:leftChars="-25" w:left="-52" w:rightChars="-25" w:right="-52"/>
              <w:jc w:val="center"/>
              <w:textAlignment w:val="center"/>
              <w:rPr>
                <w:rFonts w:ascii="方正黑体简体" w:eastAsia="方正黑体简体" w:cs="方正黑体简体" w:hAnsi="方正黑体简体"/>
                <w:kern w:val="0"/>
                <w:sz w:val="24"/>
              </w:rPr>
            </w:pPr>
            <w:r>
              <w:rPr>
                <w:rFonts w:ascii="方正黑体简体" w:eastAsia="方正黑体简体" w:cs="方正黑体简体" w:hAnsi="方正黑体简体" w:hint="eastAsia"/>
                <w:kern w:val="0"/>
                <w:sz w:val="24"/>
              </w:rPr>
              <w:t>农田面积</w:t>
            </w:r>
          </w:p>
          <w:p>
            <w:pPr>
              <w:overflowPunct w:val="0"/>
              <w:spacing w:line="320" w:lineRule="exact"/>
              <w:ind w:leftChars="-25" w:left="-52" w:rightChars="-25" w:right="-52"/>
              <w:jc w:val="center"/>
              <w:textAlignment w:val="center"/>
              <w:rPr>
                <w:rFonts w:ascii="方正黑体简体" w:eastAsia="方正黑体简体" w:cs="方正黑体简体" w:hAnsi="方正黑体简体"/>
                <w:sz w:val="24"/>
              </w:rPr>
            </w:pPr>
            <w:r>
              <w:rPr>
                <w:rFonts w:ascii="方正黑体简体" w:eastAsia="方正黑体简体" w:cs="方正黑体简体" w:hAnsi="方正黑体简体" w:hint="eastAsia"/>
                <w:kern w:val="0"/>
                <w:sz w:val="24"/>
              </w:rPr>
              <w:t>（万亩）</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方正黑体简体" w:eastAsia="方正黑体简体" w:cs="方正黑体简体" w:hAnsi="方正黑体简体"/>
                <w:kern w:val="0"/>
                <w:sz w:val="24"/>
              </w:rPr>
            </w:pPr>
            <w:r>
              <w:rPr>
                <w:rFonts w:ascii="方正黑体简体" w:eastAsia="方正黑体简体" w:cs="方正黑体简体" w:hAnsi="方正黑体简体" w:hint="eastAsia"/>
                <w:kern w:val="0"/>
                <w:sz w:val="24"/>
              </w:rPr>
              <w:t>改造提升</w:t>
            </w:r>
          </w:p>
          <w:p>
            <w:pPr>
              <w:overflowPunct w:val="0"/>
              <w:spacing w:line="320" w:lineRule="exact"/>
              <w:ind w:leftChars="-25" w:left="-52" w:rightChars="-25" w:right="-52"/>
              <w:jc w:val="center"/>
              <w:textAlignment w:val="center"/>
              <w:rPr>
                <w:rFonts w:ascii="方正黑体简体" w:eastAsia="方正黑体简体" w:cs="方正黑体简体" w:hAnsi="方正黑体简体"/>
                <w:sz w:val="24"/>
              </w:rPr>
            </w:pPr>
            <w:r>
              <w:rPr>
                <w:rFonts w:ascii="方正黑体简体" w:eastAsia="方正黑体简体" w:cs="方正黑体简体" w:hAnsi="方正黑体简体" w:hint="eastAsia"/>
                <w:kern w:val="0"/>
                <w:sz w:val="24"/>
              </w:rPr>
              <w:t>高标准农田面积（万亩）</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方正黑体简体" w:eastAsia="方正黑体简体" w:cs="方正黑体简体" w:hAnsi="方正黑体简体"/>
                <w:kern w:val="0"/>
                <w:sz w:val="24"/>
              </w:rPr>
            </w:pPr>
            <w:r>
              <w:rPr>
                <w:rFonts w:ascii="方正黑体简体" w:eastAsia="方正黑体简体" w:cs="方正黑体简体" w:hAnsi="方正黑体简体" w:hint="eastAsia"/>
                <w:kern w:val="0"/>
                <w:sz w:val="24"/>
              </w:rPr>
              <w:t>新增节水</w:t>
            </w:r>
          </w:p>
          <w:p>
            <w:pPr>
              <w:overflowPunct w:val="0"/>
              <w:spacing w:line="320" w:lineRule="exact"/>
              <w:ind w:leftChars="-25" w:left="-52" w:rightChars="-25" w:right="-52"/>
              <w:jc w:val="center"/>
              <w:textAlignment w:val="center"/>
              <w:rPr>
                <w:rFonts w:ascii="方正黑体简体" w:eastAsia="方正黑体简体" w:cs="方正黑体简体" w:hAnsi="方正黑体简体"/>
                <w:kern w:val="0"/>
                <w:sz w:val="24"/>
              </w:rPr>
            </w:pPr>
            <w:r>
              <w:rPr>
                <w:rFonts w:ascii="方正黑体简体" w:eastAsia="方正黑体简体" w:cs="方正黑体简体" w:hAnsi="方正黑体简体" w:hint="eastAsia"/>
                <w:kern w:val="0"/>
                <w:sz w:val="24"/>
              </w:rPr>
              <w:t>灌溉面积</w:t>
            </w:r>
          </w:p>
          <w:p>
            <w:pPr>
              <w:overflowPunct w:val="0"/>
              <w:spacing w:line="320" w:lineRule="exact"/>
              <w:ind w:leftChars="-25" w:left="-52" w:rightChars="-25" w:right="-52"/>
              <w:jc w:val="center"/>
              <w:textAlignment w:val="center"/>
              <w:rPr>
                <w:rFonts w:ascii="方正黑体简体" w:eastAsia="方正黑体简体" w:cs="方正黑体简体" w:hAnsi="方正黑体简体"/>
                <w:sz w:val="24"/>
              </w:rPr>
            </w:pPr>
            <w:r>
              <w:rPr>
                <w:rFonts w:ascii="方正黑体简体" w:eastAsia="方正黑体简体" w:cs="方正黑体简体" w:hAnsi="方正黑体简体" w:hint="eastAsia"/>
                <w:kern w:val="0"/>
                <w:sz w:val="24"/>
              </w:rPr>
              <w:t>（新建）</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方正黑体简体" w:eastAsia="方正黑体简体" w:cs="方正黑体简体" w:hAnsi="方正黑体简体"/>
                <w:kern w:val="0"/>
                <w:sz w:val="24"/>
              </w:rPr>
            </w:pPr>
            <w:r>
              <w:rPr>
                <w:rFonts w:ascii="方正黑体简体" w:eastAsia="方正黑体简体" w:cs="方正黑体简体" w:hAnsi="方正黑体简体" w:hint="eastAsia"/>
                <w:kern w:val="0"/>
                <w:sz w:val="24"/>
              </w:rPr>
              <w:t>新增节水</w:t>
            </w:r>
          </w:p>
          <w:p>
            <w:pPr>
              <w:overflowPunct w:val="0"/>
              <w:spacing w:line="320" w:lineRule="exact"/>
              <w:ind w:leftChars="-25" w:left="-52" w:rightChars="-25" w:right="-52"/>
              <w:jc w:val="center"/>
              <w:textAlignment w:val="center"/>
              <w:rPr>
                <w:rFonts w:ascii="方正黑体简体" w:eastAsia="方正黑体简体" w:cs="方正黑体简体" w:hAnsi="方正黑体简体"/>
                <w:kern w:val="0"/>
                <w:sz w:val="24"/>
              </w:rPr>
            </w:pPr>
            <w:r>
              <w:rPr>
                <w:rFonts w:ascii="方正黑体简体" w:eastAsia="方正黑体简体" w:cs="方正黑体简体" w:hAnsi="方正黑体简体" w:hint="eastAsia"/>
                <w:kern w:val="0"/>
                <w:sz w:val="24"/>
              </w:rPr>
              <w:t>灌溉面积</w:t>
            </w:r>
          </w:p>
          <w:p>
            <w:pPr>
              <w:overflowPunct w:val="0"/>
              <w:spacing w:line="320" w:lineRule="exact"/>
              <w:ind w:leftChars="-25" w:left="-52" w:rightChars="-25" w:right="-52"/>
              <w:jc w:val="center"/>
              <w:textAlignment w:val="center"/>
              <w:rPr>
                <w:rFonts w:ascii="方正黑体简体" w:eastAsia="方正黑体简体" w:cs="方正黑体简体" w:hAnsi="方正黑体简体"/>
                <w:sz w:val="24"/>
              </w:rPr>
            </w:pPr>
            <w:r>
              <w:rPr>
                <w:rFonts w:ascii="方正黑体简体" w:eastAsia="方正黑体简体" w:cs="方正黑体简体" w:hAnsi="方正黑体简体" w:hint="eastAsia"/>
                <w:kern w:val="0"/>
                <w:sz w:val="24"/>
              </w:rPr>
              <w:t>（改造提升）</w:t>
            </w:r>
          </w:p>
        </w:tc>
      </w:tr>
      <w:tr>
        <w:trPr>
          <w:trHeight w:val="458"/>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2021—2025年</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2021年</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5.61</w:t>
            </w:r>
          </w:p>
        </w:tc>
        <w:tc>
          <w:tcPr>
            <w:tcW w:w="9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1.12</w:t>
            </w:r>
          </w:p>
        </w:tc>
        <w:tc>
          <w:tcPr>
            <w:tcW w:w="8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r>
      <w:tr>
        <w:trPr>
          <w:trHeight w:val="458"/>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2022年</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99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8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r>
      <w:tr>
        <w:trPr>
          <w:trHeight w:val="458"/>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2023年</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1.60</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0.25</w:t>
            </w:r>
          </w:p>
        </w:tc>
      </w:tr>
      <w:tr>
        <w:trPr>
          <w:trHeight w:val="458"/>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2024年</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1.67</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0.13</w:t>
            </w:r>
          </w:p>
        </w:tc>
      </w:tr>
      <w:tr>
        <w:trPr>
          <w:trHeight w:val="458"/>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2025年</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2.33</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1.58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0.49</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0.10</w:t>
            </w:r>
          </w:p>
        </w:tc>
      </w:tr>
      <w:tr>
        <w:trPr>
          <w:trHeight w:val="458"/>
        </w:trPr>
        <w:tc>
          <w:tcPr>
            <w:tcW w:w="16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小计</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7.94</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4.85</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1.61</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0.48</w:t>
            </w:r>
          </w:p>
        </w:tc>
      </w:tr>
      <w:tr>
        <w:trPr>
          <w:trHeight w:val="458"/>
        </w:trPr>
        <w:tc>
          <w:tcPr>
            <w:tcW w:w="91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2026—2030年</w:t>
            </w: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2026年</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1.71</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0.22</w:t>
            </w:r>
          </w:p>
        </w:tc>
      </w:tr>
      <w:tr>
        <w:trPr>
          <w:trHeight w:val="458"/>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2027年</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1.55</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0.20</w:t>
            </w:r>
          </w:p>
        </w:tc>
      </w:tr>
      <w:tr>
        <w:trPr>
          <w:trHeight w:val="458"/>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2028年</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1.64</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0.18</w:t>
            </w:r>
          </w:p>
        </w:tc>
      </w:tr>
      <w:tr>
        <w:trPr>
          <w:trHeight w:val="458"/>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2029年</w:t>
            </w:r>
          </w:p>
        </w:tc>
        <w:tc>
          <w:tcPr>
            <w:tcW w:w="85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1.55</w:t>
            </w:r>
          </w:p>
        </w:tc>
        <w:tc>
          <w:tcPr>
            <w:tcW w:w="7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0.15</w:t>
            </w:r>
          </w:p>
        </w:tc>
      </w:tr>
      <w:tr>
        <w:trPr>
          <w:trHeight w:val="458"/>
        </w:trPr>
        <w:tc>
          <w:tcPr>
            <w:tcW w:w="91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tc>
        <w:tc>
          <w:tcPr>
            <w:tcW w:w="718"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2030年</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2.24</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1.58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0.45</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0.25</w:t>
            </w:r>
          </w:p>
        </w:tc>
      </w:tr>
      <w:tr>
        <w:trPr>
          <w:trHeight w:val="458"/>
        </w:trPr>
        <w:tc>
          <w:tcPr>
            <w:tcW w:w="16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小计</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2.24</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8.03</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0.45</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1.00</w:t>
            </w:r>
          </w:p>
        </w:tc>
      </w:tr>
      <w:tr>
        <w:trPr>
          <w:trHeight w:val="458"/>
        </w:trPr>
        <w:tc>
          <w:tcPr>
            <w:tcW w:w="16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合计</w:t>
            </w:r>
          </w:p>
        </w:tc>
        <w:tc>
          <w:tcPr>
            <w:tcW w:w="857"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10.18</w:t>
            </w:r>
          </w:p>
        </w:tc>
        <w:tc>
          <w:tcPr>
            <w:tcW w:w="99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12.88</w:t>
            </w:r>
          </w:p>
        </w:tc>
        <w:tc>
          <w:tcPr>
            <w:tcW w:w="715"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2.06</w:t>
            </w:r>
          </w:p>
        </w:tc>
        <w:tc>
          <w:tcPr>
            <w:tcW w:w="804" w:type="pct"/>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pacing w:line="320" w:lineRule="exact"/>
              <w:ind w:leftChars="-25" w:left="-52" w:rightChars="-25" w:right="-52"/>
              <w:jc w:val="center"/>
              <w:textAlignment w:val="center"/>
              <w:rPr>
                <w:rFonts w:ascii="宋体" w:cs="宋体" w:hAnsi="宋体"/>
                <w:sz w:val="24"/>
              </w:rPr>
            </w:pPr>
            <w:r>
              <w:rPr>
                <w:rFonts w:ascii="宋体" w:cs="宋体" w:hAnsi="宋体" w:hint="eastAsia"/>
                <w:kern w:val="0"/>
                <w:sz w:val="24"/>
              </w:rPr>
              <w:t>1.48</w:t>
            </w:r>
          </w:p>
        </w:tc>
      </w:tr>
    </w:tbl>
    <w:p>
      <w:pPr>
        <w:pStyle w:val="15"/>
        <w:overflowPunct w:val="0"/>
        <w:spacing w:line="604" w:lineRule="exact"/>
        <w:ind w:firstLine="0"/>
        <w:jc w:val="center"/>
        <w:outlineLvl w:val="0"/>
        <w:rPr>
          <w:rFonts w:ascii="方正小标宋简体" w:eastAsia="方正小标宋简体" w:cs="方正小标宋简体" w:hAnsi="方正小标宋简体"/>
          <w:sz w:val="44"/>
          <w:szCs w:val="44"/>
        </w:rPr>
      </w:pPr>
      <w:bookmarkStart w:id="99" w:name="_Toc7104"/>
      <w:r>
        <w:rPr>
          <w:rFonts w:ascii="方正小标宋简体" w:eastAsia="方正小标宋简体" w:cs="方正小标宋简体" w:hAnsi="方正小标宋简体" w:hint="eastAsia"/>
          <w:sz w:val="44"/>
          <w:szCs w:val="44"/>
        </w:rPr>
        <w:t>第四章  区域布局与建设重点</w:t>
      </w:r>
      <w:bookmarkEnd w:id="99"/>
    </w:p>
    <w:p>
      <w:pPr>
        <w:pStyle w:val="15"/>
        <w:overflowPunct w:val="0"/>
        <w:spacing w:line="604" w:lineRule="exact"/>
        <w:ind w:firstLineChars="200" w:firstLine="640"/>
        <w:rPr>
          <w:rFonts w:ascii="方正仿宋简体" w:eastAsia="方正仿宋简体" w:cs="方正仿宋简体" w:hAnsi="方正仿宋简体"/>
        </w:rPr>
      </w:pPr>
    </w:p>
    <w:p>
      <w:pPr>
        <w:pStyle w:val="15"/>
        <w:overflowPunct w:val="0"/>
        <w:spacing w:line="604" w:lineRule="exact"/>
        <w:ind w:firstLineChars="200" w:firstLine="640"/>
        <w:outlineLvl w:val="1"/>
        <w:rPr>
          <w:rFonts w:ascii="方正黑体简体" w:eastAsia="方正黑体简体" w:cs="方正黑体简体" w:hAnsi="方正黑体简体"/>
        </w:rPr>
      </w:pPr>
      <w:bookmarkStart w:id="100" w:name="_Toc31667"/>
      <w:r>
        <w:rPr>
          <w:rFonts w:ascii="方正黑体简体" w:eastAsia="方正黑体简体" w:cs="方正黑体简体" w:hAnsi="方正黑体简体" w:hint="eastAsia"/>
        </w:rPr>
        <w:t>一、区域布局</w:t>
      </w:r>
      <w:bookmarkEnd w:id="100"/>
    </w:p>
    <w:p>
      <w:pPr>
        <w:pStyle w:val="15"/>
        <w:overflowPunct w:val="0"/>
        <w:spacing w:line="604"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按照“资金安排向高标准农田聚焦、项目布局向现代农业园区、粮食主产区聚焦，同时兼顾偏远乡镇（街道）”原则，适当兼顾其他乡镇（街道），规划区涉及3个乡、5个镇、5个街道。根据乡镇（街道）农业基础设施实际情况，重点进行山坪塘整治等水源工程、排灌渠为主的渠系工程建设，为利州区粮油基地建设等特色产业大发展奠定坚实基础。</w:t>
      </w:r>
    </w:p>
    <w:p>
      <w:pPr>
        <w:pStyle w:val="15"/>
        <w:overflowPunct w:val="0"/>
        <w:spacing w:line="604" w:lineRule="exact"/>
        <w:ind w:firstLineChars="200" w:firstLine="640"/>
        <w:outlineLvl w:val="1"/>
        <w:rPr>
          <w:rFonts w:ascii="方正黑体简体" w:eastAsia="方正黑体简体" w:cs="方正黑体简体" w:hAnsi="方正黑体简体"/>
        </w:rPr>
      </w:pPr>
      <w:bookmarkStart w:id="101" w:name="_Toc7105"/>
      <w:r>
        <w:rPr>
          <w:rFonts w:ascii="方正黑体简体" w:eastAsia="方正黑体简体" w:cs="方正黑体简体" w:hAnsi="方正黑体简体" w:hint="eastAsia"/>
        </w:rPr>
        <w:t>二、建设重点</w:t>
      </w:r>
      <w:bookmarkEnd w:id="101"/>
    </w:p>
    <w:p>
      <w:pPr>
        <w:pStyle w:val="15"/>
        <w:overflowPunct w:val="0"/>
        <w:spacing w:line="604"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以改造坡耕地、完善灌排渠系和地力培肥为主攻方向，建设缓坡梯田，完善田间生产道路，开展耕地地力培肥，推广绿色低碳种植模式。</w:t>
      </w:r>
    </w:p>
    <w:p>
      <w:pPr>
        <w:pStyle w:val="15"/>
        <w:overflowPunct w:val="0"/>
        <w:spacing w:line="604"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（一）主要工程措施</w:t>
      </w:r>
    </w:p>
    <w:p>
      <w:pPr>
        <w:pStyle w:val="15"/>
        <w:overflowPunct w:val="0"/>
        <w:spacing w:line="604"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1．土地平整。因地制宜整治坡耕地，实施坡改缓、坡改台或坡改梯工程，提高农业机械化水平。修筑梯田，田面长边平行等高线布置，田面宽度应便于机械化作业和田间管理，配套坡面防护设施。土地平整应避免打乱表土层与心土层，无法避免时应实施表土剥离回填工程。土层较薄地区实施客土填充，增加耕作层厚度。梯田化率宜达到90%以上，耕地耕作层厚度达到20厘米以上。</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2．土壤改良。建设秸秆还田和农家肥积造设施，推广秸秆还田、增施有机肥、种植绿肥等措施，提升土壤有机质含量。大力开展土壤改良和地力培肥建设工程，治理障碍土壤，提升耕地地力。土壤改良重点针对酸化土壤和石漠化土壤，可采用物理、化学和工程的复合措施去除土壤障碍因子。实施测土配方施肥，保护和提升耕地质量。结合耕地质量监测点现状分布情况，每3.5万亩左右建设1个耕地质量监测点，开展长期定位监测。土壤有机质含量宜达到20g/kg以上，土壤pH值宜保持在5.5—7.5，耕地质量等级宜达到4.5等以上。</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3．灌溉排水。建设塘（堰）坝、水池等小型水源工程，加强雨水集蓄利用，解决旱季农业缺水问题。配套灌排设施，完善田间灌排工程体系。鼓励实施生态化灌溉与排水工程，优先选择本土材料和工艺。发展管灌、喷灌、微灌等高效节水灌溉，提高</w:t>
      </w:r>
      <w:r>
        <w:rPr>
          <w:rFonts w:ascii="方正仿宋简体" w:eastAsia="方正仿宋简体" w:cs="方正仿宋简体" w:hAnsi="方正仿宋简体" w:hint="eastAsia"/>
          <w:spacing w:val="-6"/>
        </w:rPr>
        <w:t>水资源利用效率。配套输配电设施，满足生产和管理需要。水稻区</w:t>
      </w:r>
      <w:r>
        <w:rPr>
          <w:rFonts w:ascii="方正仿宋简体" w:eastAsia="方正仿宋简体" w:cs="方正仿宋简体" w:hAnsi="方正仿宋简体" w:hint="eastAsia"/>
        </w:rPr>
        <w:t>灌溉设计保证率达到80%，水稻区农田排水设计暴雨重现期达到“10年一遇”，旱作区农田排水设计暴雨重现期达到“5—10年一遇”。</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4．田间道路。合理确定路网密度、路面宽度、路面材质，整修和新建机耕路、生产路。机耕路路面宽度宜为3米，生产路路面宽度宜为1—2米。整修和新建机耕路、生产路，配套建设农机下田坡道、桥涵、错车点和末端掉头点等附属设施，提高农田道路通达率和农机作业便捷度。田间道路通达率达到90%。</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5．农田防护与生态环境保护。以小流域为单元，推进水土流失综合治理，合理修筑岸坡防护、沟道治理和坡面防护等设施。在石漠化地区综合采用拦沙谷坊坝、沉沙池、地埂绿篱等措施，改善农田生态环境，提高水土保持能力。农田防护面积比例不低于90%。</w:t>
      </w:r>
    </w:p>
    <w:p>
      <w:pPr>
        <w:pStyle w:val="15"/>
        <w:overflowPunct w:val="0"/>
        <w:spacing w:line="576"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（二）建设地点</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1．2021年度</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广元市利州区2021年高标准农田建设项目：本项目建设地点涉及5个乡镇（街道）、10个村（社区）。包括白朝乡荞鱼村、星明村，上西街道联盟村，嘉陵街道小岩村、枫香村、三颗村，龙潭乡回民村、凤凰村、红心村，宝轮镇石桥社区。〔详见：广元市农业农村局《关于〈广元市利州区2021年标准农田建设项目实施方案〉的批复》（广农函〔2021〕148号）〕</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广元市利州区2021年灾毁农田修复项目：本项目建设地点涉及5个乡镇（街道）、18个村（社）。包括宝轮镇海棠溪村、范家村、菖溪村、清江村，三堆镇宝珠社区、井田村、高桥村、龙池村、羊盘村、九龙村、舞凤村，河西街道白山村、杨家浩村，龙潭乡小垭村、界牌村，大石镇大石板社区、安家湾村、青岭村。〔详见：广元市农业农村局《关于〈广元市利州区2021年毁田修复项目实施方案〉的批复》（广农函〔2021〕147号）〕</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广元市利州区2021年中央预算内投资高标准农田建设项目：本项目建设地点涉及10个乡镇（街道）19个村（社区），金洞乡龙洞村、水磨村，三堆镇五郎村，宝轮镇赤化村、白田坝社区、泥窝社区，白朝乡新房村，河西街道同心村、群心社区、学工村，上西街道郑家沟村，嘉陵街道亮垭村、大塘村，荣山镇泉坝村、大地村、中口村，大石镇小稻村，龙潭乡庙坪村、青龙村。〔详见：广元市农业农村局《关于〈四川省广元市利州区2021年中央预算内投资高标准农田建设项目实施方案〉的批复》（广农函〔2021〕256号）〕</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2．2023年度</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改造提升高标准农田区域：大石镇安家湾村、光荣村、青岭村、五一村、小稻村，荣山镇泉坝村、中口村，三堆镇白岩村、羊盘村。</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3．2024年度</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改造提升高标准农田区域：白朝乡荞鱼村、月坝村、观音村，大石镇金龙洞村，雪峰街道金山村、泡石社区，万缘街道快乐社区、绿化村、万和村、万缘社区，河西街道白山村、学工村、杨家浩村、杨柳村，金洞乡店子村、清河村、水磨村、龙洞村、长阳村、青峰村。广元经济技术开发区管辖内：南陵社区、下西社区、八一社区、曾家营社区。</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4．2025年度</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新建高标准农田区域：白朝乡荞鱼村、月坝村、观音村、新房村、新华村、徐家村，宝轮镇菖溪村、范家村、海棠溪村、张公岭村、梨源村、天曌村、石桥社区，大石镇安家湾村、金龙洞村、石笋村、小稻村、大稻坝村、前进村、缠龙村、青岩村、青岭村、光荣村、大石板社区，金洞乡长阳村、清河村、青峰村、龙洞村、水磨村、店子村，龙潭乡柏佛村、凤凰村、回民村、界牌村，荣山镇鱼龙村，三堆镇井田村、五郎村、高桥村、七里村、羊盘村、龙星村、飞凤村、飞龙村、白岩村、舞凤村、九龙村，荣山镇岩窝村、中口村、高坑村、和平村、大山村、太山村、鱼龙村、泉坝村、红旗村、宋坪村。广元经济技术开发区管辖内：石龙村、白龙社区、双龙社区、石门社区、东升村、黄垭村、南山村、深沟村、仕农村、新龙村、西南村、五佛崖村、协合村。</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改造提升高标准农田区域：宝轮镇赤化村、张公岭村、梨源村、范家村、天曌村、石桥社区，三堆镇井田村、高桥村、九龙村、飞凤村、舞凤村、七里村、龙星村。</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5．2026年度</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改造提升高标准农田区域：大石镇大石板社区，荣山镇和平</w:t>
      </w:r>
      <w:r>
        <w:rPr>
          <w:rFonts w:ascii="方正仿宋简体" w:eastAsia="方正仿宋简体" w:cs="方正仿宋简体" w:hAnsi="方正仿宋简体" w:hint="eastAsia"/>
          <w:spacing w:val="-6"/>
          <w:sz w:val="32"/>
          <w:szCs w:val="32"/>
        </w:rPr>
        <w:t>村、岩窝村、高坑村、太山村、大山村、宋坪村、鱼龙村、红旗</w:t>
      </w:r>
      <w:r>
        <w:rPr>
          <w:rFonts w:ascii="方正仿宋简体" w:eastAsia="方正仿宋简体" w:cs="方正仿宋简体" w:hAnsi="方正仿宋简体" w:hint="eastAsia"/>
          <w:sz w:val="32"/>
          <w:szCs w:val="32"/>
        </w:rPr>
        <w:t>村。</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6．2027年度</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改</w:t>
      </w:r>
      <w:r>
        <w:rPr>
          <w:rFonts w:ascii="方正仿宋简体" w:eastAsia="方正仿宋简体" w:cs="方正仿宋简体" w:hAnsi="方正仿宋简体" w:hint="eastAsia"/>
          <w:spacing w:val="6"/>
          <w:sz w:val="32"/>
          <w:szCs w:val="32"/>
        </w:rPr>
        <w:t>造提升高标准农田区域：宝轮镇海棠溪村、范家村、菖溪村、红星村、清江村、老林村、天曌村、爱国社区、三江口社区，上西街道联盟村、吴家濠村，大石镇缠龙村、前进村、青岩村、大稻坝村。广元经济技术开发区管辖内：白龙社区、石门社区。</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7．2028年度</w:t>
      </w:r>
    </w:p>
    <w:p>
      <w:pPr>
        <w:overflowPunct w:val="0"/>
        <w:spacing w:line="550"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改造提升高标准农田区域：龙潭乡红心村、凤凰村、青龙村、曙光村、桃园村、界牌村、庙坪村，三堆镇五郎村。</w:t>
      </w:r>
    </w:p>
    <w:p>
      <w:pPr>
        <w:overflowPunct w:val="0"/>
        <w:spacing w:line="550"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8．2029年度</w:t>
      </w:r>
    </w:p>
    <w:p>
      <w:pPr>
        <w:overflowPunct w:val="0"/>
        <w:spacing w:line="550"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改造提升高标准农田区域：嘉陵街道新塘村、枫香村、小岩村、亮垭村、虎星村、三颗村，龙潭乡柏佛村、金鼓村、复兴村、回民村。</w:t>
      </w:r>
    </w:p>
    <w:p>
      <w:pPr>
        <w:overflowPunct w:val="0"/>
        <w:spacing w:line="550"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9．2030年度</w:t>
      </w:r>
    </w:p>
    <w:p>
      <w:pPr>
        <w:overflowPunct w:val="0"/>
        <w:spacing w:line="550"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新建高标准农田区域：龙潭乡红心村、凤凰村、界牌村、回民村、小垭村、青龙村、金鼓村、曙光村、桃园村、复兴村、庙坪村、柏佛村，河西街道学工村、杨柳村、白山村、杨家浩村、同心村，上西街道联盟村、吴家濠村，万缘街道万和村、绿化村，雪峰街道金山村，嘉陵街道枫香村、新塘村、小岩村、虎星村、亮垭村、三颗村。广元经济技术开发区管辖内：南山村、西南村、黄垭村、深沟村、红光村、仕农村、覃家梁村、石盘社区、走马岭社区、上石村、新龙村、五佛崖村。</w:t>
      </w:r>
    </w:p>
    <w:p>
      <w:pPr>
        <w:overflowPunct w:val="0"/>
        <w:spacing w:line="550"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改造提升高标准农田区域：龙潭乡凤凰村、小垭村。广元经济技术开发区管辖内：东升村、红光村、黄垭村、南山村、西南村、五佛崖村、协合村、新龙村、覃家梁村、上石村、深沟村、仕农村、石盘社区、惠家沟社区、走马岭社区。</w:t>
      </w:r>
    </w:p>
    <w:p>
      <w:pPr>
        <w:pStyle w:val="15"/>
        <w:overflowPunct w:val="0"/>
        <w:spacing w:line="550"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（三）建设目标</w:t>
      </w:r>
    </w:p>
    <w:p>
      <w:pPr>
        <w:pStyle w:val="15"/>
        <w:overflowPunct w:val="0"/>
        <w:spacing w:line="550"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为推动我市建设脱贫地区特色产业高质量发展引领区、巩固拓展脱贫攻坚成果同乡村振兴有效衔接、守牢建好“天府粮仓”贡献利州力量。</w:t>
        <w:br w:type="page"/>
      </w:r>
    </w:p>
    <w:p>
      <w:pPr>
        <w:pStyle w:val="15"/>
        <w:overflowPunct w:val="0"/>
        <w:spacing w:line="576" w:lineRule="exact"/>
        <w:ind w:firstLine="0"/>
        <w:jc w:val="center"/>
        <w:outlineLvl w:val="0"/>
        <w:rPr>
          <w:rFonts w:ascii="方正小标宋简体" w:eastAsia="方正小标宋简体" w:cs="方正小标宋简体" w:hAnsi="方正小标宋简体"/>
          <w:sz w:val="44"/>
          <w:szCs w:val="44"/>
        </w:rPr>
      </w:pPr>
      <w:bookmarkStart w:id="102" w:name="_Toc13139"/>
      <w:r>
        <w:rPr>
          <w:rFonts w:ascii="方正小标宋简体" w:eastAsia="方正小标宋简体" w:cs="方正小标宋简体" w:hAnsi="方正小标宋简体" w:hint="eastAsia"/>
          <w:sz w:val="44"/>
          <w:szCs w:val="44"/>
        </w:rPr>
        <w:t>第五章  建设标准与主要内容</w:t>
      </w:r>
      <w:bookmarkEnd w:id="102"/>
    </w:p>
    <w:p>
      <w:pPr>
        <w:pStyle w:val="15"/>
        <w:overflowPunct w:val="0"/>
        <w:spacing w:line="576" w:lineRule="exact"/>
        <w:ind w:firstLineChars="200" w:firstLine="880"/>
        <w:rPr>
          <w:rFonts w:ascii="方正小标宋简体" w:eastAsia="方正小标宋简体" w:cs="方正小标宋简体" w:hAnsi="方正小标宋简体"/>
          <w:sz w:val="44"/>
          <w:szCs w:val="44"/>
        </w:rPr>
      </w:pPr>
    </w:p>
    <w:p>
      <w:pPr>
        <w:pStyle w:val="15"/>
        <w:overflowPunct w:val="0"/>
        <w:spacing w:line="576" w:lineRule="exact"/>
        <w:ind w:firstLineChars="200" w:firstLine="640"/>
        <w:outlineLvl w:val="1"/>
        <w:rPr>
          <w:rFonts w:ascii="方正黑体简体" w:eastAsia="方正黑体简体" w:cs="方正黑体简体" w:hAnsi="方正黑体简体"/>
        </w:rPr>
      </w:pPr>
      <w:bookmarkStart w:id="103" w:name="_Toc7964"/>
      <w:r>
        <w:rPr>
          <w:rFonts w:ascii="方正黑体简体" w:eastAsia="方正黑体简体" w:cs="方正黑体简体" w:hAnsi="方正黑体简体" w:hint="eastAsia"/>
        </w:rPr>
        <w:t>一、建设标准</w:t>
      </w:r>
      <w:bookmarkEnd w:id="103"/>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参照国家水利、农业、自然资源等部门的技术规范和标准，依据《高标准农田建设通则》《四川省高标准农田建设技术规范》《高标准基本农田建设标准》《四川省粮田建设等级标准》，高标准农田建设的总体标准是：通过高标准农田建设，解除制约农业生产的关键障碍因素，规划区内田成方、土成型、渠成网、路相通、沟相连、土壤肥、旱能灌、涝能排、产量高、无污染。田网、路网、渠网“三网”配套，耕地生产能力、农田灌排能力、农机作业能力“三力”提升，农业生态环境改善，农业科技贡献率明显提高，主</w:t>
      </w:r>
      <w:r>
        <w:rPr>
          <w:rFonts w:ascii="方正仿宋简体" w:eastAsia="方正仿宋简体" w:cs="方正仿宋简体" w:hAnsi="方正仿宋简体" w:hint="eastAsia"/>
          <w:spacing w:val="-6"/>
        </w:rPr>
        <w:t>要农产品市场竞争力显著增强，取得较高的经济、社会和生态效</w:t>
      </w:r>
      <w:r>
        <w:rPr>
          <w:rFonts w:ascii="方正仿宋简体" w:eastAsia="方正仿宋简体" w:cs="方正仿宋简体" w:hAnsi="方正仿宋简体" w:hint="eastAsia"/>
        </w:rPr>
        <w:t>益。</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高标准农田建设主要包括田块整治、土壤改良、灌溉排水、田间道路和农田防护与生态环境保护，建设标准如下：</w:t>
      </w:r>
    </w:p>
    <w:p>
      <w:pPr>
        <w:pStyle w:val="15"/>
        <w:overflowPunct w:val="0"/>
        <w:spacing w:line="576" w:lineRule="exact"/>
        <w:ind w:firstLineChars="200" w:firstLine="640"/>
        <w:rPr>
          <w:rFonts w:ascii="方正仿宋简体" w:eastAsia="方正仿宋简体" w:cs="方正仿宋简体" w:hAnsi="方正仿宋简体"/>
          <w:spacing w:val="-6"/>
        </w:rPr>
      </w:pPr>
      <w:r>
        <w:rPr>
          <w:rFonts w:ascii="方正仿宋简体" w:eastAsia="方正仿宋简体" w:cs="方正仿宋简体" w:hAnsi="方正仿宋简体" w:hint="eastAsia"/>
        </w:rPr>
        <w:t>土地平整：以原有自然台位为基础，以道路和较大沟渠为骨架，沿等高线调整合并田块，夯实加固田埂，田埂高度控制在1.5米以内，超过1.2米的田埂需进行外坡护埂，基本实现梯田化，便于机械作业和田间管理。规划区内集中连片规模100亩以上，田面宽度5米以上，单个田块面积2亩以上；稻田平整度≤3厘米；调整后的田块应遵循自然台位，延长田块长度，根据不同材料合理确定地埂边坡系数，田埂坚实牢固，田块规整度≥75%；主要农作物耕种收综合机械化水平≥60%；主要农作物良种</w:t>
      </w:r>
      <w:r>
        <w:rPr>
          <w:rFonts w:ascii="方正仿宋简体" w:eastAsia="方正仿宋简体" w:cs="方正仿宋简体" w:hAnsi="方正仿宋简体" w:hint="eastAsia"/>
          <w:spacing w:val="-6"/>
        </w:rPr>
        <w:t>推广率≥95%；粮食综合生产能力450公斤/亩以上。建成后农田土体厚度宜达到50厘米以上，耕作层厚度宜达到20厘米以上，丘陵区梯田化率宜达到90%以上，田间基础设施占地率一般不超过8%。</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土壤改良：通过工程、物理、化学和生物等综合措施，治理酸化土壤，推进地力培肥，切实提高耕地质量水平。利用石灰质物质、土壤调理剂等开展酸化土壤治理，针对土壤存在瘠薄、砾石含量高、障碍层次、质地偏黏或偏砂等问题，结合工程、农艺、生物等措施，消除土壤障碍因素，治理退化耕地。实施秸秆还田、种植绿肥、增施有机肥、适度深耕等地力培肥措施，增加土壤有机质，改良土壤结构，提升土壤肥力。推广测土配方施肥，促进土壤养分平衡。根据不同地区生产条件，因地制宜推广轮作模式，减轻连作障碍，改善土壤生态环境。开展土壤普查工作。建成后土壤pH值宜为5.5—7.5，土壤有机质含量、容重、阳离子交换量、有效磷、速效钾、微生物碳量等主要物理、化学、生物指标达到当地自然条件和种植水平下的中上等水平。</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灌溉排水：按照“大中小微并举，蓄引提灌排结合”的要求，完善田间灌排设施，加强与大中型灌区骨干灌排工程的衔接配套，提高输配水效率，解决农田灌溉“最后一公里”，达到旱能灌、涝能排，彻底解决靠天吃饭问题。因地制宜建设小型水源工程，有效拦截地表径流，新增和恢复供水能力。</w:t>
      </w:r>
    </w:p>
    <w:p>
      <w:pPr>
        <w:pStyle w:val="15"/>
        <w:overflowPunct w:val="0"/>
        <w:spacing w:line="576" w:lineRule="exact"/>
        <w:ind w:firstLineChars="200" w:firstLine="640"/>
        <w:rPr>
          <w:rFonts w:ascii="方正仿宋简体" w:eastAsia="方正仿宋简体" w:cs="方正仿宋简体" w:hAnsi="方正仿宋简体"/>
          <w:spacing w:val="-6"/>
        </w:rPr>
      </w:pPr>
      <w:r>
        <w:rPr>
          <w:rFonts w:ascii="方正仿宋简体" w:eastAsia="方正仿宋简体" w:cs="方正仿宋简体" w:hAnsi="方正仿宋简体" w:hint="eastAsia"/>
        </w:rPr>
        <w:t>灌溉水源有充分保证，灌溉水质应符合GB5084—2005标准，禁止使用未经处理过的污水进行灌溉；灌溉保证率≥75%；田间农毛渠防渗率≥70%，田间灌渠间距宜为200—300米，单位面积灌排渠长度每公顷60—90米，合理确定排洪、排涝渠道断面和布设位置，形成网状格局，排渠间距根据区域地形地貌确定，一般为200—600米，水稻区农田排水设计暴雨重现期达到10年一遇，旱作区农田排水设计暴雨重现期达到5—10年一遇。灌排建筑物等附属设施配套完善。旱地坡面水系健全，“三沟”“三池”配套，形成截、引、蓄、排水系统网络，每亩有效蓄水容积60立</w:t>
      </w:r>
      <w:r>
        <w:rPr>
          <w:rFonts w:ascii="方正仿宋简体" w:eastAsia="方正仿宋简体" w:cs="方正仿宋简体" w:hAnsi="方正仿宋简体" w:hint="eastAsia"/>
          <w:spacing w:val="-6"/>
        </w:rPr>
        <w:t>方米以上，实现土不下山，水不乱流。排水沟、沿山沟标准达到拦蓄一次降雨70—100毫米的排水能力；田间灌、排等工程设施使用年限不低于15年；灌排建筑物等附属设施配套完好率大于95%。</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田间道路：田间道路建设要与现有农村道路衔接，因地制宜确定道路密度和宽度，形成道路网络体系，提高田间道路通达率。原则上机耕路宽度不宜超过3.5米，生产路宽度一般不超过2米，在大型机械化作业区，路面可适当放宽。构建生态型田间道路体系，减少硬化路面及附属设施对生态的不利影响，降低碳排放和能源消耗，保护生物多样性和生态平衡。建成后在集中连片的耕作田块中，田间道路通达率达到90%以上，满足机械化作业、农资运输和其他农业生产活动的需要。</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农田防护与生态环境保护：根据因害设防、因地制宜的原则</w:t>
      </w:r>
      <w:r>
        <w:rPr>
          <w:rFonts w:ascii="方正仿宋简体" w:eastAsia="方正仿宋简体" w:cs="方正仿宋简体" w:hAnsi="方正仿宋简体" w:hint="eastAsia"/>
          <w:spacing w:val="6"/>
        </w:rPr>
        <w:t>，对农田防护与生态环境保护工程进行合理布局。通过构建</w:t>
      </w:r>
      <w:r>
        <w:rPr>
          <w:rFonts w:ascii="方正仿宋简体" w:eastAsia="方正仿宋简体" w:cs="方正仿宋简体" w:hAnsi="方正仿宋简体" w:hint="eastAsia"/>
        </w:rPr>
        <w:t>生态沟渠、道路和湿地生态系统，实施面源污染防治、水土流失治理、岸坡防护、沟道治理、坡面防护等生态工程，保持和改善农田生态环境，提高农田碳汇能力，增强生态服务功能。建成后，区域内受防护农田面积比例一般不低于90%，防洪标准达到10—20年一遇。</w:t>
      </w:r>
    </w:p>
    <w:p>
      <w:pPr>
        <w:pStyle w:val="15"/>
        <w:overflowPunct w:val="0"/>
        <w:spacing w:line="576" w:lineRule="exact"/>
        <w:ind w:firstLineChars="200" w:firstLine="640"/>
        <w:outlineLvl w:val="1"/>
        <w:rPr>
          <w:rFonts w:ascii="方正黑体简体" w:eastAsia="方正黑体简体" w:cs="方正黑体简体" w:hAnsi="方正黑体简体"/>
        </w:rPr>
      </w:pPr>
      <w:bookmarkStart w:id="104" w:name="_Toc14129"/>
      <w:r>
        <w:rPr>
          <w:rFonts w:ascii="方正黑体简体" w:eastAsia="方正黑体简体" w:cs="方正黑体简体" w:hAnsi="方正黑体简体" w:hint="eastAsia"/>
        </w:rPr>
        <w:t>二、主要建设内容</w:t>
      </w:r>
      <w:bookmarkEnd w:id="104"/>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共建设高标准农田23.06万亩，其中：新建高标准农田10.18万亩，改造提升高标准农田12.88万亩，高效节水灌溉3.54万亩。实施农田基础设施建设工程：其中田块整治工程面积3.76万亩，灌溉与排水工程中维修整治山坪塘154口、新建蓄水池251口、排灌渠系100.44千米；田间道路工程115.11千米、地力培肥19.30万亩。</w:t>
      </w:r>
    </w:p>
    <w:p>
      <w:pPr>
        <w:pStyle w:val="15"/>
        <w:overflowPunct w:val="0"/>
        <w:spacing w:line="576"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（一）2021年度建设内容</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新建：实施农田基础设施建设工程：其中田块整治工程面积1.15万亩，灌溉与排水工程中维修整治山坪塘54口、新建蓄水池113口、排灌渠系47.75千米、实施高效节水灌溉面积11200亩；田间道路工程58.30千米、地力培肥4.46万亩。</w:t>
      </w:r>
    </w:p>
    <w:p>
      <w:pPr>
        <w:pStyle w:val="15"/>
        <w:overflowPunct w:val="0"/>
        <w:spacing w:line="576"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（二）2023年度建设内容</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改造提升：实施农田基础设施建设工程：其中田块整治工程面积0.20万亩，灌溉与排水工程中维修整治山坪塘5口、新建蓄水池5口、排灌渠系1.26千米、实施高效节水灌溉面积2500亩；地力培肥1.4万亩。</w:t>
      </w:r>
    </w:p>
    <w:p>
      <w:pPr>
        <w:pStyle w:val="15"/>
        <w:overflowPunct w:val="0"/>
        <w:spacing w:line="576"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（三）2024年度建设内容</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改造提升：实施农田基础设施建设工程：其中田块整治工程面积0.22万亩，灌溉与排水工程中维修整治山坪塘6口、新建蓄水池6口、排灌渠系2.30千米、实施高效节水灌溉面积1300亩；田间道路工程3.52千米、农田地力培肥面积1.45万亩。</w:t>
      </w:r>
    </w:p>
    <w:p>
      <w:pPr>
        <w:pStyle w:val="15"/>
        <w:overflowPunct w:val="0"/>
        <w:spacing w:line="550"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（四）2025年度建设内容</w:t>
      </w:r>
    </w:p>
    <w:p>
      <w:pPr>
        <w:pStyle w:val="15"/>
        <w:overflowPunct w:val="0"/>
        <w:spacing w:line="550"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新建：实施农田基础设施建设工程：其中田块整治工程面积0.45万亩，灌溉与排水工程中维修整治山坪塘27口、新建蓄水池47口、排灌渠系26.61千米、实施高效节水灌溉面积4900亩；田间道路工程17.73千米、地力培肥1.88万亩。</w:t>
      </w:r>
    </w:p>
    <w:p>
      <w:pPr>
        <w:pStyle w:val="15"/>
        <w:overflowPunct w:val="0"/>
        <w:spacing w:line="550"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改造提升：实施农田基础设施建设工程：其中田块整治工程面积0.21万亩，灌溉与排水工程中维修整治山坪塘6口、新建蓄水池6口、排灌渠系2.41千米、实施高效节水灌溉面积1000亩；田间道路工程中硬化田间作业道2.98千米、地力培肥1.37万亩。</w:t>
      </w:r>
    </w:p>
    <w:p>
      <w:pPr>
        <w:pStyle w:val="15"/>
        <w:overflowPunct w:val="0"/>
        <w:spacing w:line="550"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（五）2026年度建设内容</w:t>
      </w:r>
    </w:p>
    <w:p>
      <w:pPr>
        <w:pStyle w:val="15"/>
        <w:overflowPunct w:val="0"/>
        <w:spacing w:line="550"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改造提升：实施农田基础设施建设工程：其中田块整治工程面积0.22万亩，灌溉与排水工程中维修整治山坪塘8口、新建蓄水池7口、排灌渠系2.35千米、实施高效节水灌溉面积2200亩；田间道路工程2.79千米、地力培肥1.49万亩。</w:t>
      </w:r>
    </w:p>
    <w:p>
      <w:pPr>
        <w:pStyle w:val="15"/>
        <w:overflowPunct w:val="0"/>
        <w:spacing w:line="550"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（六）2027年度建设内容</w:t>
      </w:r>
    </w:p>
    <w:p>
      <w:pPr>
        <w:pStyle w:val="15"/>
        <w:overflowPunct w:val="0"/>
        <w:spacing w:line="550"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改造提升：实施农田基础设施建设工程：其中田块整治工程面积0.20万亩，灌溉与排水工程中维修整治山坪塘6口、新建蓄水池5口、排灌渠系2.52千米、实施高效节水灌溉面积2000亩；田间道路工程2.51千米、地力培肥1.35万亩。</w:t>
      </w:r>
    </w:p>
    <w:p>
      <w:pPr>
        <w:pStyle w:val="15"/>
        <w:overflowPunct w:val="0"/>
        <w:spacing w:line="576"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（七）2028年度建设内容</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改造提升：实施农田基础设施建设工程：其中田块整治工程面积0.22万亩，灌溉与排水工程中维修整治山坪塘6口、新建蓄水池6口、排灌渠系2.42千米、实施高效节水灌溉面积1800亩；田间道路工程2.68千米、地力培肥1.42万亩。</w:t>
      </w:r>
    </w:p>
    <w:p>
      <w:pPr>
        <w:pStyle w:val="15"/>
        <w:overflowPunct w:val="0"/>
        <w:spacing w:line="576"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（八）2029年度建设内容</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改造提升：实施农田基础设施建设工程：其中田块整治工程面积0.22万亩，灌溉与排水工程中维修整治山坪塘8口、新建蓄水池8口、排灌渠系1.45千米、实施高效节水灌溉面积1500亩；田间道路工程2.06千米、地力培肥1.33万亩。</w:t>
      </w:r>
    </w:p>
    <w:p>
      <w:pPr>
        <w:pStyle w:val="15"/>
        <w:overflowPunct w:val="0"/>
        <w:spacing w:line="576"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（九）2030年度建设内容</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新建：实施农田基础设施建设工程：其中田块整治工程面积0.45万亩，灌溉与排水工程中维修整治山坪塘20口、新建蓄水池40口、排灌渠系27.45千米、实施高效节水灌溉面积4500亩；田间道路工程16.10千米、新建农机下田坡道450处。地力培肥1.79万亩。</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改造提升：实施农田基础设施建设工程：其中田块整治工程面积0.22万亩，灌溉与排水工程中维修整治山坪塘8口、新建蓄水池8口、排灌渠系1.39千米、实施高效节水灌溉面积2500亩；田间道路工程2.11千米、地力培肥1.36万亩。</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br w:type="page"/>
      </w:r>
    </w:p>
    <w:p>
      <w:pPr>
        <w:pStyle w:val="15"/>
        <w:overflowPunct w:val="0"/>
        <w:spacing w:line="576" w:lineRule="exact"/>
        <w:ind w:firstLine="0"/>
        <w:jc w:val="center"/>
        <w:outlineLvl w:val="0"/>
        <w:rPr>
          <w:rFonts w:ascii="方正小标宋简体" w:eastAsia="方正小标宋简体" w:cs="方正小标宋简体" w:hAnsi="方正小标宋简体"/>
          <w:sz w:val="44"/>
          <w:szCs w:val="44"/>
        </w:rPr>
      </w:pPr>
      <w:bookmarkStart w:id="105" w:name="_Toc17363"/>
      <w:r>
        <w:rPr>
          <w:rFonts w:ascii="方正小标宋简体" w:eastAsia="方正小标宋简体" w:cs="方正小标宋简体" w:hAnsi="方正小标宋简体" w:hint="eastAsia"/>
          <w:sz w:val="44"/>
          <w:szCs w:val="44"/>
        </w:rPr>
        <w:t>第六章  投资估算与筹措方案</w:t>
      </w:r>
      <w:bookmarkEnd w:id="105"/>
    </w:p>
    <w:p>
      <w:pPr>
        <w:pStyle w:val="15"/>
        <w:overflowPunct w:val="0"/>
        <w:spacing w:line="576" w:lineRule="exact"/>
        <w:ind w:firstLineChars="200" w:firstLine="880"/>
        <w:rPr>
          <w:rFonts w:ascii="方正小标宋简体" w:eastAsia="方正小标宋简体" w:cs="方正小标宋简体" w:hAnsi="方正小标宋简体"/>
          <w:sz w:val="44"/>
          <w:szCs w:val="44"/>
        </w:rPr>
      </w:pPr>
    </w:p>
    <w:p>
      <w:pPr>
        <w:pStyle w:val="15"/>
        <w:overflowPunct w:val="0"/>
        <w:spacing w:line="576" w:lineRule="exact"/>
        <w:ind w:firstLineChars="200" w:firstLine="640"/>
        <w:outlineLvl w:val="1"/>
        <w:rPr>
          <w:rFonts w:ascii="方正黑体简体" w:eastAsia="方正黑体简体" w:cs="方正黑体简体" w:hAnsi="方正黑体简体"/>
        </w:rPr>
      </w:pPr>
      <w:bookmarkStart w:id="106" w:name="_Toc10685"/>
      <w:r>
        <w:rPr>
          <w:rFonts w:ascii="方正黑体简体" w:eastAsia="方正黑体简体" w:cs="方正黑体简体" w:hAnsi="方正黑体简体" w:hint="eastAsia"/>
        </w:rPr>
        <w:t>一、投资估算</w:t>
      </w:r>
      <w:bookmarkEnd w:id="106"/>
    </w:p>
    <w:p>
      <w:pPr>
        <w:pStyle w:val="15"/>
        <w:overflowPunct w:val="0"/>
        <w:spacing w:line="576"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（一）编制依据</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1．《四川省水利水电工程设计概（估）算编制规定》（川水发〔2015〕9号）、《四川省水利水电建筑工程预算定额》（川水发〔2007〕20号）</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2．四川省水利厅关于印发《增值税税率调整后〈四川省水利水电工程设计概（估）算编制规定〉相应调整办法》的通知（川水函〔2019〕610号）</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3．水利部关于发布《水利水电设备安装工程概算定额》的通知（水建管〔1999〕523号）</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4．水利部关于发布《水利工程施工机械台时费定额》的通知（水总〔2002〕116号）</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5．国家计委、建设部关于发布《工程勘察设计收费管理规定》的通知（计价格〔2002〕10号）</w:t>
      </w:r>
    </w:p>
    <w:p>
      <w:pPr>
        <w:pStyle w:val="15"/>
        <w:overflowPunct w:val="0"/>
        <w:spacing w:line="576" w:lineRule="exact"/>
        <w:ind w:firstLineChars="200" w:firstLine="640"/>
        <w:outlineLvl w:val="1"/>
        <w:rPr>
          <w:rFonts w:ascii="方正楷体简体" w:eastAsia="方正楷体简体" w:cs="方正楷体简体" w:hAnsi="方正楷体简体"/>
        </w:rPr>
      </w:pPr>
      <w:r>
        <w:rPr>
          <w:rFonts w:ascii="方正楷体简体" w:eastAsia="方正楷体简体" w:cs="方正楷体简体" w:hAnsi="方正楷体简体" w:hint="eastAsia"/>
        </w:rPr>
        <w:t>（二）规划工程建设项目估算</w:t>
      </w:r>
    </w:p>
    <w:p>
      <w:pPr>
        <w:pStyle w:val="15"/>
        <w:overflowPunct w:val="0"/>
        <w:spacing w:line="576" w:lineRule="exact"/>
        <w:ind w:firstLineChars="200" w:firstLine="640"/>
        <w:rPr>
          <w:rFonts w:ascii="方正仿宋简体" w:eastAsia="方正仿宋简体" w:cs="方正仿宋简体" w:hAnsi="方正仿宋简体"/>
        </w:rPr>
      </w:pPr>
      <w:r>
        <w:rPr>
          <w:rFonts w:ascii="方正仿宋简体" w:eastAsia="方正仿宋简体" w:cs="方正仿宋简体" w:hAnsi="方正仿宋简体" w:hint="eastAsia"/>
        </w:rPr>
        <w:t>按照《灌溉与排水工程设计规范》（GB50288－2018）《四川省水利水电工程设计概（估）算编制规定》（川水发〔2015〕9号），主要建筑物级别为Ⅴ级，按此规模进行估算编制。详见利州区高标准农田建设（2021—2030年）投资估算表。</w:t>
      </w:r>
    </w:p>
    <w:p>
      <w:pPr>
        <w:overflowPunct w:val="0"/>
        <w:spacing w:line="576" w:lineRule="exact"/>
        <w:ind w:firstLineChars="200" w:firstLine="640"/>
        <w:rPr>
          <w:rFonts w:ascii="方正仿宋简体" w:eastAsia="方正仿宋简体" w:cs="方正仿宋简体" w:hAnsi="方正仿宋简体"/>
          <w:sz w:val="32"/>
          <w:szCs w:val="32"/>
        </w:rPr>
        <w:sectPr>
          <w:pgSz w:w="11906" w:h="16838"/>
          <w:pgMar w:top="2098" w:right="1531" w:bottom="1985" w:left="1531" w:header="851" w:footer="1588" w:gutter="0"/>
          <w:cols w:num="1" w:space="720"/>
          <w:docGrid w:type="lines" w:linePitch="435" w:charSpace="0"/>
        </w:sectPr>
      </w:pPr>
      <w:r>
        <w:rPr>
          <w:rFonts w:ascii="方正仿宋简体" w:eastAsia="方正仿宋简体" w:cs="方正仿宋简体" w:hAnsi="方正仿宋简体" w:hint="eastAsia"/>
          <w:sz w:val="32"/>
          <w:szCs w:val="32"/>
        </w:rPr>
        <w:br w:type="page"/>
      </w:r>
    </w:p>
    <w:p>
      <w:pPr>
        <w:overflowPunct w:val="0"/>
        <w:spacing w:afterLines="50" w:after="156" w:line="576" w:lineRule="exact"/>
        <w:jc w:val="center"/>
        <w:outlineLvl w:val="0"/>
        <w:rPr>
          <w:rFonts w:ascii="方正小标宋简体" w:eastAsia="方正小标宋简体" w:cs="方正小标宋简体" w:hAnsi="方正小标宋简体"/>
          <w:kern w:val="0"/>
          <w:sz w:val="44"/>
          <w:szCs w:val="44"/>
        </w:rPr>
      </w:pPr>
      <w:r>
        <w:rPr>
          <w:rFonts w:ascii="方正小标宋简体" w:eastAsia="方正小标宋简体" w:cs="方正小标宋简体" w:hAnsi="方正小标宋简体" w:hint="eastAsia"/>
          <w:kern w:val="0"/>
          <w:sz w:val="44"/>
          <w:szCs w:val="44"/>
        </w:rPr>
        <w:t>利州区高标准农田建设（2021—2030年）投资估算表（新建）</w:t>
      </w:r>
    </w:p>
    <w:tbl>
      <w:tblPr>
        <w:jc w:val="center"/>
        <w:tblW w:w="14264"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846"/>
        <w:gridCol w:w="3267"/>
        <w:gridCol w:w="684"/>
        <w:gridCol w:w="1212"/>
        <w:gridCol w:w="839"/>
        <w:gridCol w:w="1541"/>
        <w:gridCol w:w="1121"/>
        <w:gridCol w:w="1585"/>
        <w:gridCol w:w="1584"/>
        <w:gridCol w:w="1585"/>
      </w:tblGrid>
      <w:tr>
        <w:trPr>
          <w:trHeight w:val="560"/>
        </w:trPr>
        <w:tc>
          <w:tcPr>
            <w:tcW w:w="846" w:type="dxa"/>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序号</w:t>
            </w:r>
          </w:p>
        </w:tc>
        <w:tc>
          <w:tcPr>
            <w:tcW w:w="3267" w:type="dxa"/>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建设内容</w:t>
            </w:r>
          </w:p>
        </w:tc>
        <w:tc>
          <w:tcPr>
            <w:tcW w:w="684" w:type="dxa"/>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单位</w:t>
            </w:r>
          </w:p>
        </w:tc>
        <w:tc>
          <w:tcPr>
            <w:tcW w:w="1212" w:type="dxa"/>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综合单价</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（新建）</w:t>
            </w:r>
          </w:p>
        </w:tc>
        <w:tc>
          <w:tcPr>
            <w:tcW w:w="2380" w:type="dxa"/>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2021年度</w:t>
            </w:r>
          </w:p>
        </w:tc>
        <w:tc>
          <w:tcPr>
            <w:tcW w:w="2706" w:type="dxa"/>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2025年度</w:t>
            </w:r>
          </w:p>
        </w:tc>
        <w:tc>
          <w:tcPr>
            <w:tcW w:w="3169" w:type="dxa"/>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2030年度</w:t>
            </w:r>
          </w:p>
        </w:tc>
      </w:tr>
      <w:tr>
        <w:trPr>
          <w:trHeight w:val="560"/>
        </w:trPr>
        <w:tc>
          <w:tcPr>
            <w:tcW w:w="846" w:type="dxa"/>
            <w:vMerge/>
            <w:tcBorders>
              <w:top w:val="single" w:sz="4" w:space="0" w:color="000000"/>
              <w:left w:val="single" w:sz="4" w:space="0" w:color="000000"/>
              <w:bottom w:val="single" w:sz="4" w:space="0" w:color="000000"/>
              <w:right w:val="single" w:sz="4" w:space="0" w:color="000000"/>
            </w:tcBorders>
            <w:vAlign w:val="center"/>
          </w:tcPr>
          <w:p/>
        </w:tc>
        <w:tc>
          <w:tcPr>
            <w:tcW w:w="3267" w:type="dxa"/>
            <w:vMerge/>
            <w:tcBorders>
              <w:top w:val="single" w:sz="4" w:space="0" w:color="000000"/>
              <w:left w:val="single" w:sz="4" w:space="0" w:color="000000"/>
              <w:bottom w:val="single" w:sz="4" w:space="0" w:color="000000"/>
              <w:right w:val="single" w:sz="4" w:space="0" w:color="000000"/>
            </w:tcBorders>
            <w:vAlign w:val="center"/>
          </w:tcPr>
          <w:p/>
        </w:tc>
        <w:tc>
          <w:tcPr>
            <w:tcW w:w="684" w:type="dxa"/>
            <w:vMerge/>
            <w:tcBorders>
              <w:top w:val="single" w:sz="4" w:space="0" w:color="000000"/>
              <w:left w:val="single" w:sz="4" w:space="0" w:color="000000"/>
              <w:bottom w:val="single" w:sz="4" w:space="0" w:color="000000"/>
              <w:right w:val="single" w:sz="4" w:space="0" w:color="000000"/>
            </w:tcBorders>
            <w:vAlign w:val="center"/>
          </w:tcPr>
          <w:p/>
        </w:tc>
        <w:tc>
          <w:tcPr>
            <w:tcW w:w="1212" w:type="dxa"/>
            <w:vMerge/>
            <w:tcBorders>
              <w:top w:val="single" w:sz="4" w:space="0" w:color="000000"/>
              <w:left w:val="single" w:sz="4" w:space="0" w:color="000000"/>
              <w:bottom w:val="single" w:sz="4" w:space="0" w:color="000000"/>
              <w:right w:val="single" w:sz="4" w:space="0" w:color="000000"/>
            </w:tcBorders>
            <w:vAlign w:val="center"/>
          </w:tc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估算投资</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（万元）</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规划</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工程</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估算投资</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（万元）</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估算投资</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（万元）</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bCs/>
                <w:color w:val="000000"/>
                <w:szCs w:val="21"/>
              </w:rPr>
            </w:pP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高标准农田建设面积</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bCs/>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56100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16831.68</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23300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6990.43</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22400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6720.98</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（一）</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农田基础设施建设工程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15267.62</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6326.73</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6085.15</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田块整治工程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5000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11500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5750.00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4500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2250.00</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4500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2250.00</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灌溉与排水工程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5287.37</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2736.28</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2599.10</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山坪塘</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192000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54</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1036.80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27</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518.40</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384.00</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蓄水池</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55400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113</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626.02</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47</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260.38</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221.60</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排灌渠系</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千米</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650000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47.75</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3103.75</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26.61</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1729.65</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27.45</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1784.25</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高效节水</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465</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11200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520.80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4900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227.85</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4500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209.25</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田间道路工程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r>
              <w:rPr>
                <w:rFonts w:ascii="宋体" w:cs="仿宋" w:hAnsi="宋体" w:hint="eastAsia"/>
                <w:color w:val="000000"/>
                <w:kern w:val="0"/>
                <w:szCs w:val="21"/>
              </w:rPr>
              <w:t>千米</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58.3</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3953.95</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17.73</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1198.55</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16.1</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1087.85</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农机下田通道</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处</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1800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108.00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72.00</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450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81.00</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农田防护与生态环境保护工程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56100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168.30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23300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69.90</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22400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67.20</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（二）</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农田地力培肥工程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44600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1115.46</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18800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477.40</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17900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456.70</w:t>
            </w:r>
          </w:p>
        </w:tc>
      </w:tr>
      <w:tr>
        <w:trPr>
          <w:trHeight w:val="474"/>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（三）</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其它费用</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万亩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448.60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186.31</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179.13</w:t>
            </w:r>
          </w:p>
        </w:tc>
      </w:tr>
    </w:tbl>
    <w:p>
      <w:pPr>
        <w:overflowPunct w:val="0"/>
        <w:spacing w:afterLines="50" w:after="156" w:line="576" w:lineRule="exact"/>
        <w:jc w:val="center"/>
        <w:outlineLvl w:val="0"/>
        <w:rPr>
          <w:rFonts w:ascii="方正小标宋简体" w:eastAsia="方正小标宋简体" w:cs="方正小标宋简体" w:hAnsi="方正小标宋简体"/>
          <w:kern w:val="0"/>
          <w:sz w:val="44"/>
          <w:szCs w:val="44"/>
        </w:rPr>
      </w:pPr>
      <w:r>
        <w:rPr>
          <w:rFonts w:ascii="方正小标宋简体" w:eastAsia="方正小标宋简体" w:cs="方正小标宋简体" w:hAnsi="方正小标宋简体" w:hint="eastAsia"/>
          <w:kern w:val="0"/>
          <w:sz w:val="44"/>
          <w:szCs w:val="44"/>
        </w:rPr>
        <w:t>利州区高标准农田建设（2021—2030年）投资估算表（改造提升）</w:t>
      </w:r>
    </w:p>
    <w:tbl>
      <w:tblPr>
        <w:jc w:val="center"/>
        <w:tblW w:w="4971" w:type="pct"/>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846"/>
        <w:gridCol w:w="3041"/>
        <w:gridCol w:w="673"/>
        <w:gridCol w:w="1463"/>
        <w:gridCol w:w="824"/>
        <w:gridCol w:w="1105"/>
        <w:gridCol w:w="899"/>
        <w:gridCol w:w="1121"/>
        <w:gridCol w:w="899"/>
        <w:gridCol w:w="1071"/>
        <w:gridCol w:w="899"/>
        <w:gridCol w:w="1071"/>
      </w:tblGrid>
      <w:tr>
        <w:trPr>
          <w:trHeight w:val="544"/>
        </w:trPr>
        <w:tc>
          <w:tcPr>
            <w:tcW w:w="304" w:type="pct"/>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序号</w:t>
            </w:r>
          </w:p>
        </w:tc>
        <w:tc>
          <w:tcPr>
            <w:tcW w:w="1093" w:type="pct"/>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建设内容</w:t>
            </w:r>
          </w:p>
        </w:tc>
        <w:tc>
          <w:tcPr>
            <w:tcW w:w="242" w:type="pct"/>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单位</w:t>
            </w:r>
          </w:p>
        </w:tc>
        <w:tc>
          <w:tcPr>
            <w:tcW w:w="526" w:type="pct"/>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综合单价</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（改造提升）</w:t>
            </w:r>
          </w:p>
        </w:tc>
        <w:tc>
          <w:tcPr>
            <w:tcW w:w="693" w:type="pct"/>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2022年度</w:t>
            </w:r>
          </w:p>
        </w:tc>
        <w:tc>
          <w:tcPr>
            <w:tcW w:w="726" w:type="pct"/>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2023年度</w:t>
            </w:r>
          </w:p>
        </w:tc>
        <w:tc>
          <w:tcPr>
            <w:tcW w:w="708" w:type="pct"/>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2024年度</w:t>
            </w:r>
          </w:p>
        </w:tc>
        <w:tc>
          <w:tcPr>
            <w:tcW w:w="708" w:type="pct"/>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2025年度</w:t>
            </w:r>
          </w:p>
        </w:tc>
      </w:tr>
      <w:tr>
        <w:trPr>
          <w:trHeight w:val="600"/>
        </w:trPr>
        <w:tc>
          <w:tcPr>
            <w:tcW w:w="304" w:type="pct"/>
            <w:vMerge/>
            <w:tcBorders>
              <w:top w:val="single" w:sz="4" w:space="0" w:color="000000"/>
              <w:left w:val="single" w:sz="4" w:space="0" w:color="000000"/>
              <w:bottom w:val="single" w:sz="4" w:space="0" w:color="000000"/>
              <w:right w:val="single" w:sz="4" w:space="0" w:color="000000"/>
            </w:tcBorders>
            <w:vAlign w:val="center"/>
          </w:tcPr>
          <w:p/>
        </w:tc>
        <w:tc>
          <w:tcPr>
            <w:tcW w:w="1093" w:type="pct"/>
            <w:vMerge/>
            <w:tcBorders>
              <w:top w:val="single" w:sz="4" w:space="0" w:color="000000"/>
              <w:left w:val="single" w:sz="4" w:space="0" w:color="000000"/>
              <w:bottom w:val="single" w:sz="4" w:space="0" w:color="000000"/>
              <w:right w:val="single" w:sz="4" w:space="0" w:color="000000"/>
            </w:tcBorders>
            <w:vAlign w:val="center"/>
          </w:tcPr>
          <w:p/>
        </w:tc>
        <w:tc>
          <w:tcPr>
            <w:tcW w:w="242" w:type="pct"/>
            <w:vMerge/>
            <w:tcBorders>
              <w:top w:val="single" w:sz="4" w:space="0" w:color="000000"/>
              <w:left w:val="single" w:sz="4" w:space="0" w:color="000000"/>
              <w:bottom w:val="single" w:sz="4" w:space="0" w:color="000000"/>
              <w:right w:val="single" w:sz="4" w:space="0" w:color="000000"/>
            </w:tcBorders>
            <w:vAlign w:val="center"/>
          </w:tcPr>
          <w:p/>
        </w:tc>
        <w:tc>
          <w:tcPr>
            <w:tcW w:w="526" w:type="pct"/>
            <w:vMerge/>
            <w:tcBorders>
              <w:top w:val="single" w:sz="4" w:space="0" w:color="000000"/>
              <w:left w:val="single" w:sz="4" w:space="0" w:color="000000"/>
              <w:bottom w:val="single" w:sz="4" w:space="0" w:color="000000"/>
              <w:right w:val="single" w:sz="4" w:space="0" w:color="000000"/>
            </w:tcBorders>
            <w:vAlign w:val="center"/>
          </w:tc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规划</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工程</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规划</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工程</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规划</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工程</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规划</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工程</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bCs/>
                <w:color w:val="000000"/>
                <w:szCs w:val="21"/>
              </w:rPr>
            </w:pP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高标准农田建设面积</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bCs/>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16000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2175.28</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16700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2270.89</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15800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2148.88</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（一）</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农田基础设施建设工程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1475.87</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1845.37</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1742.76</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田块整治工程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5000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2000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1000.00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1100.00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2100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1050.00</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灌溉与排水工程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321.85</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358.39</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351.59</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山坪塘</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192000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96.00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115.20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115.20</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蓄水池</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55400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27.70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33.24</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33.24</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排灌渠系</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千米</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650000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1.26</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81.90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2.30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149.50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2.41</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156.65</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高效节水</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465</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2500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116.25</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1300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60.45</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46.50</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田间道路工程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r>
              <w:rPr>
                <w:rFonts w:ascii="宋体" w:cs="仿宋" w:hAnsi="宋体" w:hint="eastAsia"/>
                <w:color w:val="000000"/>
                <w:kern w:val="0"/>
                <w:szCs w:val="21"/>
              </w:rPr>
              <w:t>千米</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0.00</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3.52</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228.88</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2.98</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194.77</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农机下田通道</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处</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1800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589</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106.02</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108.00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550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99.00</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农田防护与生态环境保护工程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16000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48.00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16700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50.10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15800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47.40</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（二）</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农田地力培肥工程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14000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367.00</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14500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365.00</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13700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348.85</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（三）</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其它费用</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万亩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332.41</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60.52</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57.27</w:t>
            </w:r>
          </w:p>
        </w:tc>
      </w:tr>
    </w:tbl>
    <w:p>
      <w:pPr>
        <w:overflowPunct w:val="0"/>
        <w:spacing w:afterLines="50" w:after="156" w:line="576" w:lineRule="exact"/>
        <w:outlineLvl w:val="0"/>
        <w:rPr>
          <w:rFonts w:ascii="方正小标宋简体" w:eastAsia="方正小标宋简体" w:cs="方正小标宋简体" w:hAnsi="方正小标宋简体"/>
          <w:kern w:val="0"/>
          <w:sz w:val="44"/>
          <w:szCs w:val="44"/>
        </w:rPr>
      </w:pPr>
      <w:r>
        <w:rPr>
          <w:rFonts w:ascii="方正小标宋简体" w:eastAsia="方正小标宋简体" w:cs="方正小标宋简体" w:hAnsi="方正小标宋简体" w:hint="eastAsia"/>
          <w:kern w:val="0"/>
          <w:sz w:val="44"/>
          <w:szCs w:val="44"/>
        </w:rPr>
        <w:t>利州区高标准农田建设（2021—2030年）投资估算表（改造提升）续表</w:t>
      </w:r>
    </w:p>
    <w:tbl>
      <w:tblPr>
        <w:jc w:val="center"/>
        <w:tblW w:w="5502" w:type="pct"/>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846"/>
        <w:gridCol w:w="2940"/>
        <w:gridCol w:w="486"/>
        <w:gridCol w:w="1386"/>
        <w:gridCol w:w="777"/>
        <w:gridCol w:w="1120"/>
        <w:gridCol w:w="777"/>
        <w:gridCol w:w="1147"/>
        <w:gridCol w:w="777"/>
        <w:gridCol w:w="1212"/>
        <w:gridCol w:w="777"/>
        <w:gridCol w:w="1221"/>
        <w:gridCol w:w="777"/>
        <w:gridCol w:w="1153"/>
      </w:tblGrid>
      <w:tr>
        <w:trPr>
          <w:trHeight w:val="498"/>
        </w:trPr>
        <w:tc>
          <w:tcPr>
            <w:tcW w:w="244" w:type="pct"/>
            <w:vMerge w:val="restar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序号</w:t>
            </w:r>
          </w:p>
        </w:tc>
        <w:tc>
          <w:tcPr>
            <w:tcW w:w="961" w:type="pct"/>
            <w:vMerge w:val="restar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建设内容</w:t>
            </w:r>
          </w:p>
        </w:tc>
        <w:tc>
          <w:tcPr>
            <w:tcW w:w="159" w:type="pct"/>
            <w:vMerge w:val="restar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单位</w:t>
            </w:r>
          </w:p>
        </w:tc>
        <w:tc>
          <w:tcPr>
            <w:tcW w:w="453" w:type="pct"/>
            <w:vMerge w:val="restar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综合单价</w:t>
            </w:r>
          </w:p>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（改造提升）</w:t>
            </w:r>
          </w:p>
        </w:tc>
        <w:tc>
          <w:tcPr>
            <w:tcW w:w="620" w:type="pct"/>
            <w:gridSpan w:val="2"/>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2026年度</w:t>
            </w:r>
          </w:p>
        </w:tc>
        <w:tc>
          <w:tcPr>
            <w:tcW w:w="629" w:type="pct"/>
            <w:gridSpan w:val="2"/>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2027年度</w:t>
            </w:r>
          </w:p>
        </w:tc>
        <w:tc>
          <w:tcPr>
            <w:tcW w:w="650" w:type="pct"/>
            <w:gridSpan w:val="2"/>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2028年度</w:t>
            </w:r>
          </w:p>
        </w:tc>
        <w:tc>
          <w:tcPr>
            <w:tcW w:w="653" w:type="pct"/>
            <w:gridSpan w:val="2"/>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2029年度</w:t>
            </w:r>
          </w:p>
        </w:tc>
        <w:tc>
          <w:tcPr>
            <w:tcW w:w="632" w:type="pct"/>
            <w:gridSpan w:val="2"/>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2030年度</w:t>
            </w:r>
          </w:p>
        </w:tc>
      </w:tr>
      <w:tr>
        <w:trPr>
          <w:trHeight w:val="600"/>
        </w:trPr>
        <w:tc>
          <w:tcPr>
            <w:tcW w:w="244" w:type="pct"/>
            <w:vMerge/>
            <w:tcBorders>
              <w:top w:val="single" w:sz="4" w:space="0" w:color="000000"/>
              <w:left w:val="single" w:sz="4" w:space="0" w:color="000000"/>
              <w:bottom w:val="single" w:sz="4" w:space="0" w:color="000000"/>
              <w:right w:val="single" w:sz="4" w:space="0" w:color="000000"/>
            </w:tcBorders>
            <w:vAlign w:val="center"/>
          </w:tcPr>
          <w:p/>
        </w:tc>
        <w:tc>
          <w:tcPr>
            <w:tcW w:w="961" w:type="pct"/>
            <w:vMerge/>
            <w:tcBorders>
              <w:top w:val="single" w:sz="4" w:space="0" w:color="000000"/>
              <w:left w:val="single" w:sz="4" w:space="0" w:color="000000"/>
              <w:bottom w:val="single" w:sz="4" w:space="0" w:color="000000"/>
              <w:right w:val="single" w:sz="4" w:space="0" w:color="000000"/>
            </w:tcBorders>
            <w:vAlign w:val="center"/>
          </w:tcPr>
          <w:p/>
        </w:tc>
        <w:tc>
          <w:tcPr>
            <w:tcW w:w="159" w:type="pct"/>
            <w:vMerge/>
            <w:tcBorders>
              <w:top w:val="single" w:sz="4" w:space="0" w:color="000000"/>
              <w:left w:val="single" w:sz="4" w:space="0" w:color="000000"/>
              <w:bottom w:val="single" w:sz="4" w:space="0" w:color="000000"/>
              <w:right w:val="single" w:sz="4" w:space="0" w:color="000000"/>
            </w:tcBorders>
            <w:vAlign w:val="center"/>
          </w:tcPr>
          <w:p/>
        </w:tc>
        <w:tc>
          <w:tcPr>
            <w:tcW w:w="453" w:type="pct"/>
            <w:vMerge/>
            <w:tcBorders>
              <w:top w:val="single" w:sz="4" w:space="0" w:color="000000"/>
              <w:left w:val="single" w:sz="4" w:space="0" w:color="000000"/>
              <w:bottom w:val="single" w:sz="4" w:space="0" w:color="000000"/>
              <w:right w:val="single" w:sz="4" w:space="0" w:color="000000"/>
            </w:tcBorders>
            <w:vAlign w:val="center"/>
          </w:tc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bCs/>
                <w:color w:val="000000"/>
                <w:szCs w:val="21"/>
              </w:rPr>
            </w:pP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bCs/>
                <w:color w:val="000000"/>
                <w:szCs w:val="21"/>
              </w:rPr>
            </w:pPr>
            <w:r>
              <w:rPr>
                <w:rFonts w:ascii="宋体" w:cs="仿宋" w:hAnsi="宋体" w:hint="eastAsia"/>
                <w:bCs/>
                <w:color w:val="000000"/>
                <w:kern w:val="0"/>
                <w:szCs w:val="21"/>
              </w:rPr>
              <w:t>高标准农田建设面积</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bCs/>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17100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2325.57</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15500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2107.81</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16400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2231.04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15500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2107.60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15800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2149.46</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（一）</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农田基础设施建设工程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1893.89</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1714.14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1817.98</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1718.53</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1743.38</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田块整治工程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1100.00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2000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1000.00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1100.00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1100.00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1100.00</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灌溉与排水工程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447.43</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399.70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389.44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361.92</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404.52</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山坪塘</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192000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153.60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115.20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115.20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153.60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153.60</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蓄水池</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55400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7</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38.78</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27.70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33.24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44.32</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44.32</w:t>
            </w:r>
          </w:p>
        </w:tc>
      </w:tr>
      <w:tr>
        <w:trPr>
          <w:trHeight w:val="560"/>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排灌渠系</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千米</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650000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2.35</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152.75</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2.52</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163.80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2.42</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157.30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1.45</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94.25</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1.39</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90.35</w:t>
            </w:r>
          </w:p>
        </w:tc>
      </w:tr>
      <w:tr>
        <w:trPr>
          <w:trHeight w:val="560"/>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高效节水</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465</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102.30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2000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93.00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1800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83.70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1500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69.75</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2500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116.25</w:t>
            </w:r>
          </w:p>
        </w:tc>
      </w:tr>
      <w:tr>
        <w:trPr>
          <w:trHeight w:val="560"/>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田间道路工程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r>
              <w:rPr>
                <w:rFonts w:ascii="宋体" w:cs="仿宋" w:hAnsi="宋体" w:hint="eastAsia"/>
                <w:color w:val="000000"/>
                <w:kern w:val="0"/>
                <w:szCs w:val="21"/>
              </w:rPr>
              <w:t>千米</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2.79</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178.16</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2.51</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159.94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2.68</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171.34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2.06</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129.11</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2.11</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132.06</w:t>
            </w:r>
          </w:p>
        </w:tc>
      </w:tr>
      <w:tr>
        <w:trPr>
          <w:trHeight w:val="432"/>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农机下田通道</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处</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1800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650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117.00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108.00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108.00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450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81.00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330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59.40</w:t>
            </w:r>
          </w:p>
        </w:tc>
      </w:tr>
      <w:tr>
        <w:trPr>
          <w:trHeight w:val="432"/>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农田防护与生态环境保护工程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17100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51.30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15500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46.50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16400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49.20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15500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46.50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15800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47.40</w:t>
            </w:r>
          </w:p>
        </w:tc>
      </w:tr>
      <w:tr>
        <w:trPr>
          <w:trHeight w:val="432"/>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（二）</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农田地力培肥工程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14900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369.70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13500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337.50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14200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353.60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13300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332.90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13600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348.80</w:t>
            </w:r>
          </w:p>
        </w:tc>
      </w:tr>
      <w:tr>
        <w:trPr>
          <w:trHeight w:val="432"/>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（三）</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bCs/>
                <w:color w:val="000000"/>
                <w:szCs w:val="21"/>
              </w:rPr>
            </w:pPr>
            <w:r>
              <w:rPr>
                <w:rFonts w:ascii="宋体" w:cs="仿宋" w:hAnsi="宋体" w:hint="eastAsia"/>
                <w:bCs/>
                <w:color w:val="000000"/>
                <w:kern w:val="0"/>
                <w:szCs w:val="21"/>
              </w:rPr>
              <w:t>其它费用</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61.98</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56.18</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59.46</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56.17</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57.29</w:t>
            </w:r>
          </w:p>
        </w:tc>
      </w:tr>
    </w:tbl>
    <w:p>
      <w:pPr>
        <w:pStyle w:val="2"/>
        <w:tabs>
          <w:tab w:val="left" w:pos="0"/>
        </w:tabs>
        <w:overflowPunct w:val="0"/>
        <w:spacing w:line="576" w:lineRule="exact"/>
        <w:rPr>
          <w:rFonts w:ascii="方正仿宋简体" w:eastAsia="方正仿宋简体" w:cs="方正仿宋简体" w:hAnsi="方正仿宋简体"/>
          <w:bCs w:val="0"/>
          <w:sz w:val="32"/>
          <w:szCs w:val="32"/>
        </w:rPr>
        <w:sectPr>
          <w:pgSz w:w="16838" w:h="11906" w:orient="landscape"/>
          <w:pgMar w:top="1701" w:right="1531" w:bottom="1701" w:left="1531" w:header="851" w:footer="1361" w:gutter="0"/>
          <w:cols w:num="1" w:space="720"/>
          <w:docGrid w:type="lines" w:linePitch="312" w:charSpace="0"/>
        </w:sectPr>
      </w:pP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07" w:name="_Toc17025"/>
      <w:bookmarkStart w:id="108" w:name="_Toc30013"/>
      <w:bookmarkStart w:id="109" w:name="_Toc28571"/>
      <w:r>
        <w:rPr>
          <w:rFonts w:ascii="方正黑体简体" w:eastAsia="方正黑体简体" w:cs="方正黑体简体" w:hAnsi="方正黑体简体" w:hint="eastAsia"/>
          <w:sz w:val="32"/>
          <w:szCs w:val="32"/>
        </w:rPr>
        <w:t>二、资金筹措方案</w:t>
      </w:r>
      <w:bookmarkEnd w:id="107"/>
      <w:bookmarkEnd w:id="108"/>
      <w:bookmarkEnd w:id="109"/>
    </w:p>
    <w:p>
      <w:pPr>
        <w:overflowPunct w:val="0"/>
        <w:spacing w:line="576" w:lineRule="exact"/>
        <w:ind w:firstLineChars="200" w:firstLine="640"/>
        <w:rPr>
          <w:rFonts w:ascii="方正仿宋简体" w:eastAsia="方正仿宋简体" w:cs="方正仿宋简体" w:hAnsi="方正仿宋简体"/>
          <w:sz w:val="32"/>
          <w:szCs w:val="32"/>
        </w:rPr>
      </w:pPr>
      <w:bookmarkStart w:id="110" w:name="_Toc32125"/>
      <w:r>
        <w:rPr>
          <w:rFonts w:ascii="方正仿宋简体" w:eastAsia="方正仿宋简体" w:cs="方正仿宋简体" w:hAnsi="方正仿宋简体" w:hint="eastAsia"/>
          <w:sz w:val="32"/>
          <w:szCs w:val="32"/>
        </w:rPr>
        <w:t>按照规定的财政补助标准，拓宽高标准农田建设资金渠道，进一步完善“以财政资金引导，社会资本参与”的多元化资金筹措机制，落实各级财政资金投入，积极吸引各类社会投资，建立健全高标准农田建设投入稳定增长机制。积极争取中央财政支持，各级财政共同承担农田建设支出责</w:t>
      </w:r>
      <w:bookmarkStart w:id="111" w:name="page67"/>
      <w:bookmarkEnd w:id="111"/>
      <w:r>
        <w:rPr>
          <w:rFonts w:ascii="方正仿宋简体" w:eastAsia="方正仿宋简体" w:cs="方正仿宋简体" w:hAnsi="方正仿宋简体" w:hint="eastAsia"/>
          <w:sz w:val="32"/>
          <w:szCs w:val="32"/>
        </w:rPr>
        <w:t>任，将高标准农田建设作为重点事项，优化财政支出结构，列入本级政府预算，安排必要资金投入高标准农田建设。将高标准农田建设纳入土地出让收入使用重点支持范围。在政府债务风险可控前提下，支持地方政府统筹安排债券资金，推进符合条件的高标准农田项目建设。加快推进高标准农田建设新增耕地核定工作，加强新增耕地指标省域内调剂统筹和收益调节分配，优先用于包括高标准农田建设在内的农田建设再投入和债券偿还、贴息等；土地指标跨省域调剂收益要按规定用于增加高标准农田建设投入。积极探索先建后补、以奖代补、政府和社会资本合作等多元投入模式，撬动更多的工商资本和新型农业经营主体自筹资金投向高标准农田建设。统筹整合性质相同、用途相近的涉农资金纳入同一资金池，形成“多个渠道引水、一个龙头放水”的高标准农田建设投入格局，提升资金使用效益。</w:t>
      </w:r>
      <w:bookmarkEnd w:id="110"/>
    </w:p>
    <w:p>
      <w:pPr>
        <w:overflowPunct w:val="0"/>
        <w:spacing w:line="576" w:lineRule="exact"/>
        <w:ind w:firstLineChars="200" w:firstLine="640"/>
        <w:rPr>
          <w:rFonts w:ascii="方正仿宋简体" w:eastAsia="方正仿宋简体" w:cs="方正仿宋简体" w:hAnsi="方正仿宋简体"/>
          <w:sz w:val="32"/>
          <w:szCs w:val="32"/>
        </w:rPr>
      </w:pPr>
      <w:bookmarkStart w:id="112" w:name="_Toc3864"/>
      <w:r>
        <w:rPr>
          <w:rFonts w:ascii="方正仿宋简体" w:eastAsia="方正仿宋简体" w:cs="方正仿宋简体" w:hAnsi="方正仿宋简体" w:hint="eastAsia"/>
          <w:sz w:val="32"/>
          <w:szCs w:val="32"/>
        </w:rPr>
        <w:br w:type="page"/>
      </w:r>
    </w:p>
    <w:p>
      <w:pPr>
        <w:overflowPunct w:val="0"/>
        <w:spacing w:line="576" w:lineRule="exact"/>
        <w:jc w:val="center"/>
        <w:outlineLvl w:val="0"/>
        <w:rPr>
          <w:rFonts w:ascii="方正小标宋简体" w:eastAsia="方正小标宋简体" w:cs="方正小标宋简体" w:hAnsi="方正小标宋简体"/>
          <w:sz w:val="44"/>
          <w:szCs w:val="44"/>
        </w:rPr>
      </w:pPr>
      <w:bookmarkStart w:id="113" w:name="_Toc3646"/>
      <w:bookmarkStart w:id="114" w:name="_Toc30962"/>
      <w:r>
        <w:rPr>
          <w:rFonts w:ascii="方正小标宋简体" w:eastAsia="方正小标宋简体" w:cs="方正小标宋简体" w:hAnsi="方正小标宋简体" w:hint="eastAsia"/>
          <w:sz w:val="44"/>
          <w:szCs w:val="44"/>
        </w:rPr>
        <w:t>第七章  效益分析</w:t>
      </w:r>
      <w:bookmarkEnd w:id="112"/>
      <w:bookmarkEnd w:id="113"/>
      <w:bookmarkEnd w:id="114"/>
    </w:p>
    <w:p>
      <w:pPr>
        <w:overflowPunct w:val="0"/>
        <w:spacing w:line="576" w:lineRule="exact"/>
        <w:ind w:firstLineChars="200" w:firstLine="640"/>
        <w:rPr>
          <w:rFonts w:ascii="方正仿宋简体" w:eastAsia="方正仿宋简体" w:cs="方正仿宋简体" w:hAnsi="方正仿宋简体"/>
          <w:sz w:val="32"/>
          <w:szCs w:val="32"/>
        </w:rPr>
      </w:pP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15" w:name="_Toc18694"/>
      <w:bookmarkStart w:id="116" w:name="_Toc24935"/>
      <w:bookmarkStart w:id="117" w:name="_Toc1463"/>
      <w:r>
        <w:rPr>
          <w:rFonts w:ascii="方正黑体简体" w:eastAsia="方正黑体简体" w:cs="方正黑体简体" w:hAnsi="方正黑体简体" w:hint="eastAsia"/>
          <w:sz w:val="32"/>
          <w:szCs w:val="32"/>
        </w:rPr>
        <w:t>一、经济效益</w:t>
      </w:r>
      <w:bookmarkEnd w:id="115"/>
      <w:bookmarkEnd w:id="116"/>
      <w:bookmarkEnd w:id="117"/>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高标准农田建成后，耕地地力平均提高0.3个等级，新建高标准农田粮食综合产能亩均提高80公斤、改造提升农田粮食综合产能亩均提高60公斤，节水、节能、节肥、节药、节劳效果明显，每年亩均节本增效180—260元，合计每年增加粮食综合产能1408万公斤左右，促进农民增收效果明显。</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18" w:name="_Toc6843"/>
      <w:bookmarkStart w:id="119" w:name="_Toc18424"/>
      <w:bookmarkStart w:id="120" w:name="_Toc20706"/>
      <w:r>
        <w:rPr>
          <w:rFonts w:ascii="方正黑体简体" w:eastAsia="方正黑体简体" w:cs="方正黑体简体" w:hAnsi="方正黑体简体" w:hint="eastAsia"/>
          <w:sz w:val="32"/>
          <w:szCs w:val="32"/>
        </w:rPr>
        <w:t>二、社会效益</w:t>
      </w:r>
      <w:bookmarkEnd w:id="118"/>
      <w:bookmarkEnd w:id="119"/>
      <w:bookmarkEnd w:id="120"/>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一是增强粮食安全保障能力。项目建成能加快补齐农田基础设施短板，提高水土资源利用效率，增强粮食生产能力和农田防灾抗灾减灾能力，使农田成为旱涝保收、稳产高产的良田。到2030年，粮食自给率基本稳定，谷物自给率不下降。二是推动现代化农业发展。拓宽了农业发展空间，优化了产业布局，促进农业新品种、新技术、新装备的推广与应用，推动农业经营主体、农业经营方式、生产方式、资源利用方式的转型升级。通过大力发展“特色农业+生态旅游+休闲养老”的新型复合业态，农业规模化、专业化以及标准化的生产经营模式，促进了农业生产、生活、生态三大功能深度融合，能加快质量兴农、绿色兴农、品牌强农的步伐，助力乡村振兴战略实施。三是提高种粮农民积极性。高标准农田建成后，一方面农田基础设施得以完善，农业生产条件的进一步改善为农民种粮生产提供了便利，有助于提升农民种粮积极性。另一方面，节水减肥下耕地质量不断优化，保证作物产量增加的同时，也降低了农业投入成本，种粮经济效益的提升有助于提高农民种粮积极性。四是助推乡村振兴战略实施。高标准农田建设项目结合美丽乡村建设的实际需要，加强田间道路建设，改善农村环境，使规划区内的沟河能排、能灌，水质清澈，空气清新，交通状况良好，农民生产生活条件明显改善。</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21" w:name="_Toc27848"/>
      <w:bookmarkStart w:id="122" w:name="_Toc6691"/>
      <w:bookmarkStart w:id="123" w:name="_Toc28249"/>
      <w:r>
        <w:rPr>
          <w:rFonts w:ascii="方正黑体简体" w:eastAsia="方正黑体简体" w:cs="方正黑体简体" w:hAnsi="方正黑体简体" w:hint="eastAsia"/>
          <w:sz w:val="32"/>
          <w:szCs w:val="32"/>
        </w:rPr>
        <w:t>三、生态效益</w:t>
      </w:r>
      <w:bookmarkEnd w:id="121"/>
      <w:bookmarkEnd w:id="122"/>
      <w:bookmarkEnd w:id="123"/>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一是明显提高水土资源利用效率。通过高标准农田和高效节水灌溉工程建设，解决水资源时空分布不均的问题，解决农田排涝问题，改善区域内水资源供需平衡状况，提高水资源利用效率，有效提高耕地集约节约利用水平，灌溉水有效利用率提高10%以上，缓解农业发展的水土资源约束，促进农业可持续发展。二是改善农业生态环境。有效提高农药化肥利用效率、减轻农业面源污染，防治土壤酸化、潜育化，促进农业绿色发展。三是提升农田生态功能。有效拦截泥沙、保水保肥，有效减轻土壤侵蚀强度，防治水土流失、改善生态环境，增强农田水土保持能力，优化农村田园景观，为乡村生态宜居提供绿色屏障。</w:t>
      </w:r>
    </w:p>
    <w:p>
      <w:pPr>
        <w:overflowPunct w:val="0"/>
        <w:spacing w:line="576" w:lineRule="exact"/>
        <w:jc w:val="center"/>
        <w:outlineLvl w:val="0"/>
        <w:rPr>
          <w:rFonts w:ascii="方正小标宋简体" w:eastAsia="方正小标宋简体" w:cs="方正小标宋简体" w:hAnsi="方正小标宋简体"/>
          <w:sz w:val="44"/>
          <w:szCs w:val="44"/>
        </w:rPr>
      </w:pPr>
      <w:r>
        <w:rPr>
          <w:rFonts w:ascii="方正仿宋简体" w:eastAsia="方正仿宋简体" w:cs="方正仿宋简体" w:hAnsi="方正仿宋简体" w:hint="eastAsia"/>
          <w:sz w:val="32"/>
          <w:szCs w:val="32"/>
        </w:rPr>
        <w:br w:type="page"/>
      </w:r>
      <w:bookmarkStart w:id="124" w:name="_Toc16272"/>
      <w:bookmarkStart w:id="125" w:name="_Toc25037"/>
      <w:bookmarkStart w:id="126" w:name="_Toc11682"/>
      <w:r>
        <w:rPr>
          <w:rFonts w:ascii="方正小标宋简体" w:eastAsia="方正小标宋简体" w:cs="方正小标宋简体" w:hAnsi="方正小标宋简体" w:hint="eastAsia"/>
          <w:sz w:val="44"/>
          <w:szCs w:val="44"/>
        </w:rPr>
        <w:t>第八章  保障措施</w:t>
      </w:r>
      <w:bookmarkEnd w:id="124"/>
      <w:bookmarkEnd w:id="125"/>
      <w:bookmarkEnd w:id="126"/>
    </w:p>
    <w:p>
      <w:pPr>
        <w:overflowPunct w:val="0"/>
        <w:spacing w:line="576" w:lineRule="exact"/>
        <w:ind w:firstLineChars="200" w:firstLine="640"/>
        <w:rPr>
          <w:rFonts w:ascii="方正仿宋简体" w:eastAsia="方正仿宋简体" w:cs="方正仿宋简体" w:hAnsi="方正仿宋简体"/>
          <w:sz w:val="32"/>
          <w:szCs w:val="32"/>
        </w:rPr>
      </w:pPr>
      <w:bookmarkStart w:id="127" w:name="_Toc9679"/>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28" w:name="_Toc8360"/>
      <w:bookmarkStart w:id="129" w:name="_Toc22157"/>
      <w:r>
        <w:rPr>
          <w:rFonts w:ascii="方正黑体简体" w:eastAsia="方正黑体简体" w:cs="方正黑体简体" w:hAnsi="方正黑体简体" w:hint="eastAsia"/>
          <w:sz w:val="32"/>
          <w:szCs w:val="32"/>
        </w:rPr>
        <w:t>一、强化组织保障</w:t>
      </w:r>
      <w:bookmarkEnd w:id="127"/>
      <w:bookmarkEnd w:id="128"/>
      <w:bookmarkEnd w:id="129"/>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高标准农田建设实行省负总责、市县抓落实、群众参与的工作机制。各级人民政府是高标准农田建设的实施主体和责任主体，要严格落实各级政府一把手负总责、分管领导直接负责的责任制，统筹抓好规划实施、任务落实、资金保障、监督评价和运营管护等工作。区农业农村局要全面履行好农田建设集中统一管理职责，区发展和改革局、区财政局、区自然资源分局、区水利局、区国资金融局等相关部门（单位）要按照职责分工，密切配合，切实做好规划指导、资金投入，协同推进高标准农田建设。</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各乡镇（街道）要在区人民政府的领导下，逐级落实好建设</w:t>
      </w:r>
      <w:r>
        <w:rPr>
          <w:rFonts w:ascii="方正仿宋简体" w:eastAsia="方正仿宋简体" w:cs="方正仿宋简体" w:hAnsi="方正仿宋简体" w:hint="eastAsia"/>
          <w:spacing w:val="6"/>
          <w:sz w:val="32"/>
          <w:szCs w:val="32"/>
        </w:rPr>
        <w:t>任务和工作责任，按照职责分工，主动协作配合，加强高标准</w:t>
      </w:r>
      <w:r>
        <w:rPr>
          <w:rFonts w:ascii="方正仿宋简体" w:eastAsia="方正仿宋简体" w:cs="方正仿宋简体" w:hAnsi="方正仿宋简体" w:hint="eastAsia"/>
          <w:sz w:val="32"/>
          <w:szCs w:val="32"/>
        </w:rPr>
        <w:t>农田建设管理和技术服务体系队伍建设，确保各项工作任务按期完成。</w:t>
      </w:r>
      <w:bookmarkStart w:id="130" w:name="_Toc21253196"/>
      <w:bookmarkStart w:id="131" w:name="_Toc533518193"/>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32" w:name="_Toc18499"/>
      <w:bookmarkStart w:id="133" w:name="_Toc10220"/>
      <w:bookmarkStart w:id="134" w:name="_Toc19060"/>
      <w:r>
        <w:rPr>
          <w:rFonts w:ascii="方正黑体简体" w:eastAsia="方正黑体简体" w:cs="方正黑体简体" w:hAnsi="方正黑体简体" w:hint="eastAsia"/>
          <w:sz w:val="32"/>
          <w:szCs w:val="32"/>
        </w:rPr>
        <w:t>二、强化规划引领</w:t>
      </w:r>
      <w:bookmarkEnd w:id="132"/>
      <w:bookmarkEnd w:id="133"/>
      <w:bookmarkEnd w:id="134"/>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区人民政府建设规划要将各项建设任务落实到村组、地块，明确时序安排。在编制本高标准农田建设规划时，在建设目标、任务、布局以及重大项目安排上，充分结合国土空间规划、水利等相关规划，综合考虑资源环境承载力、粮食保障要求等因素，科学开展水资源论证，确定高标准农田建设区域，明确建设的重点区域、限制区域和禁止区域，高标准农田建设优先安排在骨干水网工程灌区范围内实施。全力构建统一规划布局、统一建设标准、统一组织实施、统一验收考核、统一上图入库的集中统一高效的高标准农田管理新体制。</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35" w:name="_Toc20076"/>
      <w:bookmarkStart w:id="136" w:name="_Toc3614"/>
      <w:bookmarkStart w:id="137" w:name="_Toc25155"/>
      <w:r>
        <w:rPr>
          <w:rFonts w:ascii="方正黑体简体" w:eastAsia="方正黑体简体" w:cs="方正黑体简体" w:hAnsi="方正黑体简体" w:hint="eastAsia"/>
          <w:sz w:val="32"/>
          <w:szCs w:val="32"/>
        </w:rPr>
        <w:t>三、强化资金管理</w:t>
      </w:r>
      <w:bookmarkEnd w:id="135"/>
      <w:bookmarkEnd w:id="136"/>
      <w:bookmarkEnd w:id="137"/>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38" w:name="_Toc9709"/>
      <w:bookmarkStart w:id="139" w:name="_Toc20616"/>
      <w:r>
        <w:rPr>
          <w:rFonts w:ascii="方正楷体简体" w:eastAsia="方正楷体简体" w:cs="方正楷体简体" w:hAnsi="方正楷体简体" w:hint="eastAsia"/>
          <w:sz w:val="32"/>
          <w:szCs w:val="32"/>
        </w:rPr>
        <w:t>（一）资金拨付管理</w:t>
      </w:r>
      <w:bookmarkEnd w:id="138"/>
      <w:bookmarkEnd w:id="139"/>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建设施工单位要根据项目计划、工程进度、建设施工合同拟定工程用款计划。项目业主要根据项目监理单位意见，按比例向建设施工单位拨付工程款。同时预留工程合同金额的3%—10%作为质量保证金。</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40" w:name="_Toc24188"/>
      <w:bookmarkStart w:id="141" w:name="_Toc6553"/>
      <w:r>
        <w:rPr>
          <w:rFonts w:ascii="方正楷体简体" w:eastAsia="方正楷体简体" w:cs="方正楷体简体" w:hAnsi="方正楷体简体" w:hint="eastAsia"/>
          <w:sz w:val="32"/>
          <w:szCs w:val="32"/>
        </w:rPr>
        <w:t>（二）资金报账管理</w:t>
      </w:r>
      <w:bookmarkEnd w:id="140"/>
      <w:bookmarkEnd w:id="141"/>
    </w:p>
    <w:p>
      <w:pPr>
        <w:overflowPunct w:val="0"/>
        <w:spacing w:line="576" w:lineRule="exact"/>
        <w:ind w:firstLineChars="200" w:firstLine="640"/>
        <w:rPr>
          <w:rFonts w:ascii="方正仿宋简体" w:eastAsia="方正仿宋简体" w:cs="方正仿宋简体" w:hAnsi="方正仿宋简体"/>
          <w:sz w:val="32"/>
          <w:szCs w:val="32"/>
        </w:rPr>
      </w:pPr>
      <w:bookmarkStart w:id="142" w:name="_Toc8903"/>
      <w:r>
        <w:rPr>
          <w:rFonts w:ascii="方正仿宋简体" w:eastAsia="方正仿宋简体" w:cs="方正仿宋简体" w:hAnsi="方正仿宋简体" w:hint="eastAsia"/>
          <w:sz w:val="32"/>
          <w:szCs w:val="32"/>
        </w:rPr>
        <w:t>按照农田建设资金管理的相关规定，项目财政资金全部实行区级财政报账制，严格执行专人管理、专账核算、专款专用的“三专制度”。按项目实施进度，按规定程序和规范手续，实行国库集中支付，直接支付至第三方。</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43" w:name="_Toc22650"/>
      <w:r>
        <w:rPr>
          <w:rFonts w:ascii="方正楷体简体" w:eastAsia="方正楷体简体" w:cs="方正楷体简体" w:hAnsi="方正楷体简体" w:hint="eastAsia"/>
          <w:sz w:val="32"/>
          <w:szCs w:val="32"/>
        </w:rPr>
        <w:t>（三）财务监督</w:t>
      </w:r>
      <w:bookmarkEnd w:id="142"/>
      <w:bookmarkEnd w:id="143"/>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项目业主要根据项目管理要求，严格执行国家相关政策及公务员廉政准则，确保资金专款专用，不截留、不挪用。会同监察、审计等部门，定期对项目资金的筹集、使用、管理进行检查和监督，一旦发现有截留、挪用资金等现象，须及时予以纠正，并依法追究有关人员责任。</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44" w:name="_Toc21667"/>
      <w:bookmarkStart w:id="145" w:name="_Toc14874"/>
      <w:bookmarkStart w:id="146" w:name="_Toc2199"/>
      <w:r>
        <w:rPr>
          <w:rFonts w:ascii="方正黑体简体" w:eastAsia="方正黑体简体" w:cs="方正黑体简体" w:hAnsi="方正黑体简体" w:hint="eastAsia"/>
          <w:sz w:val="32"/>
          <w:szCs w:val="32"/>
        </w:rPr>
        <w:t>四、强化项目管理</w:t>
      </w:r>
      <w:bookmarkEnd w:id="144"/>
      <w:bookmarkEnd w:id="145"/>
      <w:bookmarkEnd w:id="146"/>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47" w:name="_Toc24750"/>
      <w:bookmarkStart w:id="148" w:name="_Toc32059"/>
      <w:r>
        <w:rPr>
          <w:rFonts w:ascii="方正楷体简体" w:eastAsia="方正楷体简体" w:cs="方正楷体简体" w:hAnsi="方正楷体简体" w:hint="eastAsia"/>
          <w:sz w:val="32"/>
          <w:szCs w:val="32"/>
        </w:rPr>
        <w:t>（一）强化工程管理</w:t>
      </w:r>
      <w:bookmarkEnd w:id="147"/>
      <w:bookmarkEnd w:id="148"/>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实行项目法人制、公示制、招投标制、工程监理制、合同管理制，按国家项目招投标管理办法公开、公平、公正地组织好招投标工作，严格执行招投标纪律，杜绝腐败滋生，把好工程建设质量的第一关。</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加强工程监理管理，实行项目建设监理制。项目实施单位在项目区设立公示牌，公示项目的立项条件、建设任务、建设范围、资金投入等有关内容，自觉接受社会和群众监督。</w:t>
      </w:r>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49" w:name="_Toc15913"/>
      <w:bookmarkStart w:id="150" w:name="_Toc29563"/>
      <w:r>
        <w:rPr>
          <w:rFonts w:ascii="方正楷体简体" w:eastAsia="方正楷体简体" w:cs="方正楷体简体" w:hAnsi="方正楷体简体" w:hint="eastAsia"/>
          <w:sz w:val="32"/>
          <w:szCs w:val="32"/>
        </w:rPr>
        <w:t>（二）强化安全管理</w:t>
      </w:r>
      <w:bookmarkEnd w:id="149"/>
      <w:bookmarkEnd w:id="150"/>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坚持安全第一，预防为主，加强劳动保护，搞好安全生产，加强安全教育，强化安全意识。施工单位要定期对施工人员进行安全生产规程培训，严格按照教育企业职工按生产规程操作，强化安全宣传。</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完善安全生产制度。施工单位要建立健全各项规章制度，积极推进安全生产工作的规范化、科学化、制度化。招投标过程</w:t>
      </w:r>
      <w:r>
        <w:rPr>
          <w:rFonts w:ascii="方正仿宋简体" w:eastAsia="方正仿宋简体" w:cs="方正仿宋简体" w:hAnsi="方正仿宋简体" w:hint="eastAsia"/>
          <w:spacing w:val="6"/>
          <w:sz w:val="32"/>
          <w:szCs w:val="32"/>
        </w:rPr>
        <w:t>中，严审施工单位是否有培训合格的安全员。同时，建立安全</w:t>
      </w:r>
      <w:r>
        <w:rPr>
          <w:rFonts w:ascii="方正仿宋简体" w:eastAsia="方正仿宋简体" w:cs="方正仿宋简体" w:hAnsi="方正仿宋简体" w:hint="eastAsia"/>
          <w:sz w:val="32"/>
          <w:szCs w:val="32"/>
        </w:rPr>
        <w:t>生产一票否决制度、安全生产工作例会制度、安全生产检查制度、安全教育培训制度、安全生产月报制度及事故隐患报告和整改制度。</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签订安全协议书，层层落实安全责任制。项目建设单位与各施工单位签订安全文明施工协议，施工单位与内部班组签订安全责任书，按施工工序落实安全制度，层层严把安全关口。</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强化安全生产监督检查。工程施工过程中，项目建设单位按照安全文明施工制度，定期对施工单位进行安全检查，督促整改安全隐患。</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51" w:name="_Toc22359"/>
      <w:bookmarkStart w:id="152" w:name="_Toc29846"/>
      <w:bookmarkStart w:id="153" w:name="_Toc260"/>
      <w:r>
        <w:rPr>
          <w:rFonts w:ascii="方正黑体简体" w:eastAsia="方正黑体简体" w:cs="方正黑体简体" w:hAnsi="方正黑体简体" w:hint="eastAsia"/>
          <w:sz w:val="32"/>
          <w:szCs w:val="32"/>
        </w:rPr>
        <w:t>五、强化风险防控</w:t>
      </w:r>
      <w:bookmarkEnd w:id="151"/>
      <w:bookmarkEnd w:id="152"/>
      <w:bookmarkEnd w:id="153"/>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坚持把廉政建设放在首位，坚守底线思维，加强风险防控，严肃廉政纪律和财经纪律，树立良好工作作风，推进项目建设公开透明、廉洁高效，切实防范农田建设项目管理风险，确保项目安全、资金安全、队伍安全。加强对高标准农田建设资金全过程绩效管理，做好绩效运行监控和评价，对发现的问题及时督促整改，对履职不力、监管不严、失职渎职的，依法依规追究有关人员责任。</w:t>
      </w:r>
      <w:bookmarkEnd w:id="130"/>
      <w:bookmarkEnd w:id="131"/>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54" w:name="_Toc5023"/>
      <w:bookmarkStart w:id="155" w:name="_Toc8136"/>
      <w:bookmarkStart w:id="156" w:name="_Toc14845"/>
      <w:r>
        <w:rPr>
          <w:rFonts w:ascii="方正黑体简体" w:eastAsia="方正黑体简体" w:cs="方正黑体简体" w:hAnsi="方正黑体简体" w:hint="eastAsia"/>
          <w:sz w:val="32"/>
          <w:szCs w:val="32"/>
        </w:rPr>
        <w:t>六、强化招标管理</w:t>
      </w:r>
      <w:bookmarkEnd w:id="154"/>
      <w:bookmarkEnd w:id="155"/>
      <w:bookmarkEnd w:id="156"/>
    </w:p>
    <w:p>
      <w:pPr>
        <w:overflowPunct w:val="0"/>
        <w:spacing w:line="576" w:lineRule="exact"/>
        <w:ind w:firstLineChars="200" w:firstLine="640"/>
        <w:outlineLvl w:val="1"/>
        <w:rPr>
          <w:rFonts w:ascii="方正仿宋简体" w:eastAsia="方正仿宋简体" w:cs="方正仿宋简体" w:hAnsi="方正仿宋简体"/>
          <w:sz w:val="32"/>
          <w:szCs w:val="32"/>
        </w:rPr>
      </w:pPr>
      <w:r>
        <w:rPr>
          <w:rFonts w:ascii="方正楷体简体" w:eastAsia="方正楷体简体" w:cs="方正楷体简体" w:hAnsi="方正楷体简体" w:hint="eastAsia"/>
          <w:sz w:val="32"/>
          <w:szCs w:val="32"/>
        </w:rPr>
        <w:t>（一）招标依据：</w:t>
      </w:r>
      <w:r>
        <w:rPr>
          <w:rFonts w:ascii="方正仿宋简体" w:eastAsia="方正仿宋简体" w:cs="方正仿宋简体" w:hAnsi="方正仿宋简体" w:hint="eastAsia"/>
          <w:sz w:val="32"/>
          <w:szCs w:val="32"/>
        </w:rPr>
        <w:t>依据国家招标投标法律进行本项目工程招投标。</w:t>
      </w:r>
    </w:p>
    <w:p>
      <w:pPr>
        <w:overflowPunct w:val="0"/>
        <w:spacing w:line="576" w:lineRule="exact"/>
        <w:ind w:firstLineChars="200" w:firstLine="640"/>
        <w:outlineLvl w:val="1"/>
        <w:rPr>
          <w:rFonts w:ascii="方正仿宋简体" w:eastAsia="方正仿宋简体" w:cs="方正仿宋简体" w:hAnsi="方正仿宋简体"/>
          <w:sz w:val="32"/>
          <w:szCs w:val="32"/>
        </w:rPr>
      </w:pPr>
      <w:r>
        <w:rPr>
          <w:rFonts w:ascii="方正楷体简体" w:eastAsia="方正楷体简体" w:cs="方正楷体简体" w:hAnsi="方正楷体简体" w:hint="eastAsia"/>
          <w:sz w:val="32"/>
          <w:szCs w:val="32"/>
        </w:rPr>
        <w:t>（二）招标范围：</w:t>
      </w:r>
      <w:r>
        <w:rPr>
          <w:rFonts w:ascii="方正仿宋简体" w:eastAsia="方正仿宋简体" w:cs="方正仿宋简体" w:hAnsi="方正仿宋简体" w:hint="eastAsia"/>
          <w:sz w:val="32"/>
          <w:szCs w:val="32"/>
        </w:rPr>
        <w:t>项目实施方案编制与施工设计、工程监理、田间工程建设。</w:t>
      </w:r>
    </w:p>
    <w:p>
      <w:pPr>
        <w:overflowPunct w:val="0"/>
        <w:spacing w:line="576" w:lineRule="exact"/>
        <w:ind w:firstLineChars="200" w:firstLine="640"/>
        <w:outlineLvl w:val="1"/>
        <w:rPr>
          <w:rFonts w:ascii="方正仿宋简体" w:eastAsia="方正仿宋简体" w:cs="方正仿宋简体" w:hAnsi="方正仿宋简体"/>
          <w:sz w:val="32"/>
          <w:szCs w:val="32"/>
        </w:rPr>
      </w:pPr>
      <w:r>
        <w:rPr>
          <w:rFonts w:ascii="方正楷体简体" w:eastAsia="方正楷体简体" w:cs="方正楷体简体" w:hAnsi="方正楷体简体" w:hint="eastAsia"/>
          <w:sz w:val="32"/>
          <w:szCs w:val="32"/>
        </w:rPr>
        <w:t>（三）招标组织形式：</w:t>
      </w:r>
      <w:r>
        <w:rPr>
          <w:rFonts w:ascii="方正仿宋简体" w:eastAsia="方正仿宋简体" w:cs="方正仿宋简体" w:hAnsi="方正仿宋简体" w:hint="eastAsia"/>
          <w:sz w:val="32"/>
          <w:szCs w:val="32"/>
        </w:rPr>
        <w:t>本项目拟采用业主单位自行招标或委托招标。</w:t>
      </w:r>
    </w:p>
    <w:p>
      <w:pPr>
        <w:overflowPunct w:val="0"/>
        <w:spacing w:line="576" w:lineRule="exact"/>
        <w:ind w:firstLineChars="200" w:firstLine="640"/>
        <w:outlineLvl w:val="1"/>
        <w:rPr>
          <w:rFonts w:ascii="方正仿宋简体" w:eastAsia="方正仿宋简体" w:cs="方正仿宋简体" w:hAnsi="方正仿宋简体"/>
          <w:sz w:val="32"/>
          <w:szCs w:val="32"/>
        </w:rPr>
      </w:pPr>
      <w:r>
        <w:rPr>
          <w:rFonts w:ascii="方正楷体简体" w:eastAsia="方正楷体简体" w:cs="方正楷体简体" w:hAnsi="方正楷体简体" w:hint="eastAsia"/>
          <w:sz w:val="32"/>
          <w:szCs w:val="32"/>
        </w:rPr>
        <w:t>（四）招标方式：</w:t>
      </w:r>
      <w:r>
        <w:rPr>
          <w:rFonts w:ascii="方正仿宋简体" w:eastAsia="方正仿宋简体" w:cs="方正仿宋简体" w:hAnsi="方正仿宋简体" w:hint="eastAsia"/>
          <w:sz w:val="32"/>
          <w:szCs w:val="32"/>
        </w:rPr>
        <w:t>利州区高标准农田建设项目前期工作咨询实施方案编制与施工设计、工程监理、田间工程建设拟采用公开招标方式选定施工企业。按照公开、公正、公平的原则，进行规范招投标并严格招标程序。由业主比选委托招标代理机构，招标代理机构公开招标选定施工企业；项目编制实施方案编制与施工设计、工程监理、田间工程建设，严格按照《中华人民共和国政府采购法》《中华人民共和国招标投标法》《必须招标的工程项目规定》等相关法律法规相关要求确定实施方案编制与施工设计、工程监理、田间工程建设单位。同时，进一步强化项目法人制，项目建设单位按此要求确定其项目建设负责人，做到责任明确，保证项目工程的顺利实施。</w:t>
      </w:r>
    </w:p>
    <w:p>
      <w:pPr>
        <w:overflowPunct w:val="0"/>
        <w:adjustRightInd w:val="0"/>
        <w:snapToGrid w:val="0"/>
        <w:spacing w:line="576" w:lineRule="exact"/>
        <w:jc w:val="center"/>
        <w:rPr>
          <w:rFonts w:ascii="方正黑体简体" w:eastAsia="方正黑体简体" w:cs="方正仿宋简体" w:hAnsi="方正仿宋简体"/>
          <w:snapToGrid w:val="0"/>
          <w:sz w:val="32"/>
          <w:szCs w:val="32"/>
        </w:rPr>
      </w:pPr>
      <w:r>
        <w:rPr>
          <w:rFonts w:ascii="方正黑体简体" w:eastAsia="方正黑体简体" w:cs="方正仿宋简体" w:hAnsi="方正仿宋简体" w:hint="eastAsia"/>
          <w:snapToGrid w:val="0"/>
          <w:sz w:val="32"/>
          <w:szCs w:val="32"/>
        </w:rPr>
        <w:t>招标基本情况表</w:t>
      </w:r>
    </w:p>
    <w:tbl>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950"/>
        <w:gridCol w:w="1272"/>
        <w:gridCol w:w="780"/>
        <w:gridCol w:w="787"/>
        <w:gridCol w:w="907"/>
        <w:gridCol w:w="905"/>
        <w:gridCol w:w="1174"/>
        <w:gridCol w:w="1103"/>
      </w:tblGrid>
      <w:tr>
        <w:trPr>
          <w:cantSplit/>
          <w:trHeight w:val="689"/>
        </w:trPr>
        <w:tc>
          <w:tcPr>
            <w:tcW w:w="1950" w:type="dxa"/>
            <w:vMerge w:val="restart"/>
            <w:noWrap/>
            <w:vAlign w:val="center"/>
          </w:tcPr>
          <w:p>
            <w:pPr>
              <w:pStyle w:val="19"/>
              <w:pBdr>
                <w:bottom w:val="none" w:sz="0" w:space="0" w:color="auto"/>
              </w:pBdr>
              <w:tabs>
                <w:tab w:val="clear" w:pos="4153"/>
                <w:tab w:val="clear" w:pos="8306"/>
              </w:tabs>
              <w:overflowPunct w:val="0"/>
              <w:adjustRightInd w:val="0"/>
              <w:snapToGrid w:val="0"/>
              <w:spacing w:line="280" w:lineRule="exact"/>
              <w:ind w:leftChars="-25" w:left="-52" w:rightChars="-25" w:right="-52"/>
              <w:rPr>
                <w:rFonts w:ascii="方正黑体简体" w:eastAsia="方正黑体简体" w:cs="方正黑体简体" w:hAnsi="方正黑体简体"/>
                <w:sz w:val="24"/>
                <w:szCs w:val="24"/>
              </w:rPr>
            </w:pPr>
            <w:r>
              <w:rPr>
                <w:rFonts w:ascii="方正黑体简体" w:eastAsia="方正黑体简体" w:cs="方正黑体简体" w:hAnsi="方正黑体简体" w:hint="eastAsia"/>
                <w:sz w:val="24"/>
                <w:szCs w:val="24"/>
              </w:rPr>
              <w:t>招标内容</w:t>
            </w:r>
          </w:p>
        </w:tc>
        <w:tc>
          <w:tcPr>
            <w:tcW w:w="2052" w:type="dxa"/>
            <w:gridSpan w:val="2"/>
            <w:noWrap/>
            <w:vAlign w:val="center"/>
          </w:tcPr>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招标范围</w:t>
            </w:r>
          </w:p>
        </w:tc>
        <w:tc>
          <w:tcPr>
            <w:tcW w:w="1694" w:type="dxa"/>
            <w:gridSpan w:val="2"/>
            <w:noWrap/>
            <w:vAlign w:val="center"/>
          </w:tcPr>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招标组织形式</w:t>
            </w:r>
          </w:p>
        </w:tc>
        <w:tc>
          <w:tcPr>
            <w:tcW w:w="2079" w:type="dxa"/>
            <w:gridSpan w:val="2"/>
            <w:noWrap/>
            <w:vAlign w:val="center"/>
          </w:tcPr>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招标形式</w:t>
            </w:r>
          </w:p>
        </w:tc>
        <w:tc>
          <w:tcPr>
            <w:tcW w:w="1103" w:type="dxa"/>
            <w:vMerge w:val="restart"/>
            <w:noWrap/>
            <w:vAlign w:val="center"/>
          </w:tcPr>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不采用</w:t>
            </w:r>
          </w:p>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招标方式</w:t>
            </w:r>
          </w:p>
        </w:tc>
      </w:tr>
      <w:tr>
        <w:trPr>
          <w:cantSplit/>
          <w:trHeight w:val="689"/>
        </w:trPr>
        <w:tc>
          <w:tcPr>
            <w:tcW w:w="1950" w:type="dxa"/>
            <w:vMerge/>
            <w:noWrap/>
            <w:vAlign w:val="center"/>
          </w:tcPr>
          <w:p/>
        </w:tc>
        <w:tc>
          <w:tcPr>
            <w:tcW w:w="1272"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全部招标</w:t>
            </w:r>
          </w:p>
        </w:tc>
        <w:tc>
          <w:tcPr>
            <w:tcW w:w="780"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部分招标</w:t>
            </w:r>
          </w:p>
        </w:tc>
        <w:tc>
          <w:tcPr>
            <w:tcW w:w="787"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自行招标</w:t>
            </w:r>
          </w:p>
        </w:tc>
        <w:tc>
          <w:tcPr>
            <w:tcW w:w="907"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委托</w:t>
            </w:r>
          </w:p>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招标</w:t>
            </w:r>
          </w:p>
        </w:tc>
        <w:tc>
          <w:tcPr>
            <w:tcW w:w="905"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公开</w:t>
            </w:r>
          </w:p>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招标</w:t>
            </w:r>
          </w:p>
        </w:tc>
        <w:tc>
          <w:tcPr>
            <w:tcW w:w="1174"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方正黑体简体" w:eastAsia="方正黑体简体" w:cs="方正黑体简体" w:hAnsi="方正黑体简体"/>
                <w:sz w:val="24"/>
              </w:rPr>
            </w:pPr>
            <w:r>
              <w:rPr>
                <w:rFonts w:ascii="方正黑体简体" w:eastAsia="方正黑体简体" w:cs="方正黑体简体" w:hAnsi="方正黑体简体" w:hint="eastAsia"/>
                <w:sz w:val="24"/>
              </w:rPr>
              <w:t>邀请招标</w:t>
            </w:r>
          </w:p>
        </w:tc>
        <w:tc>
          <w:tcPr>
            <w:tcW w:w="1103" w:type="dxa"/>
            <w:vMerge/>
            <w:noWrap/>
            <w:vAlign w:val="center"/>
          </w:tcPr>
          <w:p/>
        </w:tc>
      </w:tr>
      <w:tr>
        <w:trPr>
          <w:cantSplit/>
          <w:trHeight w:val="689"/>
        </w:trPr>
        <w:tc>
          <w:tcPr>
            <w:tcW w:w="1950" w:type="dxa"/>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实施方案编制与施工设计</w:t>
            </w:r>
          </w:p>
        </w:tc>
        <w:tc>
          <w:tcPr>
            <w:tcW w:w="1272"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w:t>
            </w:r>
          </w:p>
        </w:tc>
        <w:tc>
          <w:tcPr>
            <w:tcW w:w="780"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p>
        </w:tc>
        <w:tc>
          <w:tcPr>
            <w:tcW w:w="787"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p>
        </w:tc>
        <w:tc>
          <w:tcPr>
            <w:tcW w:w="907"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w:t>
            </w:r>
          </w:p>
        </w:tc>
        <w:tc>
          <w:tcPr>
            <w:tcW w:w="905"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w:t>
            </w:r>
          </w:p>
        </w:tc>
        <w:tc>
          <w:tcPr>
            <w:tcW w:w="1174"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p>
        </w:tc>
        <w:tc>
          <w:tcPr>
            <w:tcW w:w="1103" w:type="dxa"/>
            <w:noWrap/>
            <w:vAlign w:val="center"/>
          </w:tcPr>
          <w:p>
            <w:pPr>
              <w:overflowPunct w:val="0"/>
              <w:adjustRightInd w:val="0"/>
              <w:snapToGrid w:val="0"/>
              <w:spacing w:line="280" w:lineRule="exact"/>
              <w:ind w:leftChars="-25" w:left="-52" w:rightChars="-25" w:right="-52"/>
              <w:jc w:val="center"/>
              <w:rPr>
                <w:rFonts w:ascii="宋体" w:cs="宋体" w:hAnsi="宋体"/>
                <w:sz w:val="24"/>
              </w:rPr>
            </w:pPr>
          </w:p>
        </w:tc>
      </w:tr>
      <w:tr>
        <w:trPr>
          <w:cantSplit/>
          <w:trHeight w:val="689"/>
        </w:trPr>
        <w:tc>
          <w:tcPr>
            <w:tcW w:w="1950" w:type="dxa"/>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工程监理</w:t>
            </w:r>
          </w:p>
        </w:tc>
        <w:tc>
          <w:tcPr>
            <w:tcW w:w="1272"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w:t>
            </w:r>
          </w:p>
        </w:tc>
        <w:tc>
          <w:tcPr>
            <w:tcW w:w="780"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p>
        </w:tc>
        <w:tc>
          <w:tcPr>
            <w:tcW w:w="787"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p>
        </w:tc>
        <w:tc>
          <w:tcPr>
            <w:tcW w:w="907"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w:t>
            </w:r>
          </w:p>
        </w:tc>
        <w:tc>
          <w:tcPr>
            <w:tcW w:w="905"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w:t>
            </w:r>
          </w:p>
        </w:tc>
        <w:tc>
          <w:tcPr>
            <w:tcW w:w="1174"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p>
        </w:tc>
        <w:tc>
          <w:tcPr>
            <w:tcW w:w="1103" w:type="dxa"/>
            <w:noWrap/>
            <w:vAlign w:val="center"/>
          </w:tcPr>
          <w:p>
            <w:pPr>
              <w:overflowPunct w:val="0"/>
              <w:adjustRightInd w:val="0"/>
              <w:snapToGrid w:val="0"/>
              <w:spacing w:line="280" w:lineRule="exact"/>
              <w:ind w:leftChars="-25" w:left="-52" w:rightChars="-25" w:right="-52"/>
              <w:jc w:val="center"/>
              <w:rPr>
                <w:rFonts w:ascii="宋体" w:cs="宋体" w:hAnsi="宋体"/>
                <w:sz w:val="24"/>
              </w:rPr>
            </w:pPr>
          </w:p>
        </w:tc>
      </w:tr>
      <w:tr>
        <w:trPr>
          <w:cantSplit/>
          <w:trHeight w:val="689"/>
        </w:trPr>
        <w:tc>
          <w:tcPr>
            <w:tcW w:w="1950" w:type="dxa"/>
            <w:noWrap/>
            <w:vAlign w:val="center"/>
          </w:tcPr>
          <w:p>
            <w:pPr>
              <w:pStyle w:val="19"/>
              <w:pBdr>
                <w:bottom w:val="none" w:sz="0" w:space="0" w:color="auto"/>
              </w:pBdr>
              <w:tabs>
                <w:tab w:val="clear" w:pos="4153"/>
                <w:tab w:val="clear" w:pos="8306"/>
              </w:tabs>
              <w:overflowPunct w:val="0"/>
              <w:adjustRightInd w:val="0"/>
              <w:snapToGrid w:val="0"/>
              <w:spacing w:line="280" w:lineRule="exact"/>
              <w:ind w:leftChars="-25" w:left="-52" w:rightChars="-25" w:right="-52"/>
              <w:rPr>
                <w:rFonts w:ascii="宋体" w:cs="宋体" w:hAnsi="宋体"/>
                <w:sz w:val="24"/>
                <w:szCs w:val="24"/>
              </w:rPr>
            </w:pPr>
            <w:r>
              <w:rPr>
                <w:rFonts w:ascii="宋体" w:cs="宋体" w:hAnsi="宋体" w:hint="eastAsia"/>
                <w:sz w:val="24"/>
                <w:szCs w:val="24"/>
              </w:rPr>
              <w:t>田间工程建设</w:t>
            </w:r>
          </w:p>
        </w:tc>
        <w:tc>
          <w:tcPr>
            <w:tcW w:w="1272"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w:t>
            </w:r>
          </w:p>
        </w:tc>
        <w:tc>
          <w:tcPr>
            <w:tcW w:w="780"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p>
        </w:tc>
        <w:tc>
          <w:tcPr>
            <w:tcW w:w="787"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p>
        </w:tc>
        <w:tc>
          <w:tcPr>
            <w:tcW w:w="907"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w:t>
            </w:r>
          </w:p>
        </w:tc>
        <w:tc>
          <w:tcPr>
            <w:tcW w:w="905"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r>
              <w:rPr>
                <w:rFonts w:ascii="宋体" w:cs="宋体" w:hAnsi="宋体" w:hint="eastAsia"/>
                <w:sz w:val="24"/>
              </w:rPr>
              <w:t>√</w:t>
            </w:r>
          </w:p>
        </w:tc>
        <w:tc>
          <w:tcPr>
            <w:tcW w:w="1174" w:type="dxa"/>
            <w:tcBorders>
              <w:top w:val="single" w:sz="4" w:space="0" w:color="auto"/>
              <w:left w:val="single" w:sz="4" w:space="0" w:color="auto"/>
              <w:right w:val="single" w:sz="4" w:space="0" w:color="auto"/>
            </w:tcBorders>
            <w:noWrap/>
            <w:vAlign w:val="center"/>
          </w:tcPr>
          <w:p>
            <w:pPr>
              <w:overflowPunct w:val="0"/>
              <w:adjustRightInd w:val="0"/>
              <w:snapToGrid w:val="0"/>
              <w:spacing w:line="280" w:lineRule="exact"/>
              <w:ind w:leftChars="-25" w:left="-52" w:rightChars="-25" w:right="-52"/>
              <w:jc w:val="center"/>
              <w:rPr>
                <w:rFonts w:ascii="宋体" w:cs="宋体" w:hAnsi="宋体"/>
                <w:sz w:val="24"/>
              </w:rPr>
            </w:pPr>
          </w:p>
        </w:tc>
        <w:tc>
          <w:tcPr>
            <w:tcW w:w="1103" w:type="dxa"/>
            <w:noWrap/>
            <w:vAlign w:val="center"/>
          </w:tcPr>
          <w:p>
            <w:pPr>
              <w:overflowPunct w:val="0"/>
              <w:adjustRightInd w:val="0"/>
              <w:snapToGrid w:val="0"/>
              <w:spacing w:line="280" w:lineRule="exact"/>
              <w:ind w:leftChars="-25" w:left="-52" w:rightChars="-25" w:right="-52"/>
              <w:jc w:val="center"/>
              <w:rPr>
                <w:rFonts w:ascii="宋体" w:cs="宋体" w:hAnsi="宋体"/>
                <w:sz w:val="24"/>
              </w:rPr>
            </w:pPr>
          </w:p>
        </w:tc>
      </w:tr>
    </w:tbl>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单项合同估算价达不到必须招标规模标准、达到比选规模标准的，通过比选确定承包单位，比选严格按照《中华人民共和国政府采购法》《中华人民共和国招标投标法》《必须招标的工程项目规定》等相关法律法规规定进行。</w:t>
      </w: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57" w:name="_Toc533518204"/>
      <w:bookmarkStart w:id="158" w:name="_Toc21648"/>
      <w:bookmarkStart w:id="159" w:name="_Toc21253207"/>
      <w:bookmarkStart w:id="160" w:name="_Toc4875"/>
      <w:r>
        <w:rPr>
          <w:rFonts w:ascii="方正黑体简体" w:eastAsia="方正黑体简体" w:cs="方正黑体简体" w:hAnsi="方正黑体简体" w:hint="eastAsia"/>
          <w:sz w:val="32"/>
          <w:szCs w:val="32"/>
        </w:rPr>
        <w:t>七、强化大宗物资采购</w:t>
      </w:r>
      <w:bookmarkEnd w:id="157"/>
      <w:bookmarkEnd w:id="158"/>
      <w:bookmarkEnd w:id="159"/>
      <w:bookmarkEnd w:id="160"/>
      <w:r>
        <w:rPr>
          <w:rFonts w:ascii="方正黑体简体" w:eastAsia="方正黑体简体" w:cs="方正黑体简体" w:hAnsi="方正黑体简体" w:hint="eastAsia"/>
          <w:sz w:val="32"/>
          <w:szCs w:val="32"/>
        </w:rPr>
        <w:t>管理</w:t>
      </w:r>
    </w:p>
    <w:p>
      <w:pPr>
        <w:overflowPunct w:val="0"/>
        <w:spacing w:line="576" w:lineRule="exact"/>
        <w:ind w:firstLineChars="200" w:firstLine="640"/>
        <w:rPr>
          <w:rFonts w:ascii="方正仿宋简体" w:eastAsia="方正仿宋简体" w:cs="方正仿宋简体" w:hAnsi="方正仿宋简体"/>
          <w:sz w:val="32"/>
          <w:szCs w:val="32"/>
        </w:rPr>
      </w:pPr>
      <w:r>
        <w:rPr>
          <w:rFonts w:ascii="方正仿宋简体" w:eastAsia="方正仿宋简体" w:cs="方正仿宋简体" w:hAnsi="方正仿宋简体" w:hint="eastAsia"/>
          <w:sz w:val="32"/>
          <w:szCs w:val="32"/>
        </w:rPr>
        <w:t>项目所需的商品有机肥、测土配方肥等严格按照四川省财政厅关于印发《四川省政府集中采购目录及标准（2020年版）》的通知（川财规〔2020〕11号）要求采取委托招标的形式进行政府采购，以后年度以最新政府采购限额为准。</w:t>
      </w:r>
    </w:p>
    <w:p>
      <w:pPr>
        <w:overflowPunct w:val="0"/>
        <w:spacing w:line="576" w:lineRule="exact"/>
        <w:ind w:firstLineChars="200" w:firstLine="880"/>
        <w:jc w:val="center"/>
        <w:outlineLvl w:val="0"/>
        <w:rPr>
          <w:rFonts w:ascii="方正小标宋简体" w:eastAsia="方正小标宋简体" w:cs="方正小标宋简体" w:hAnsi="方正小标宋简体"/>
          <w:sz w:val="44"/>
          <w:szCs w:val="44"/>
        </w:rPr>
      </w:pPr>
      <w:bookmarkStart w:id="161" w:name="_Toc18252"/>
      <w:bookmarkStart w:id="162" w:name="_Toc16870"/>
      <w:bookmarkStart w:id="163" w:name="_Toc12610"/>
      <w:r>
        <w:rPr>
          <w:rFonts w:ascii="方正小标宋简体" w:eastAsia="方正小标宋简体" w:cs="方正小标宋简体" w:hAnsi="方正小标宋简体" w:hint="eastAsia"/>
          <w:sz w:val="44"/>
          <w:szCs w:val="44"/>
        </w:rPr>
        <w:t>附    录</w:t>
      </w:r>
      <w:bookmarkEnd w:id="161"/>
      <w:bookmarkEnd w:id="162"/>
      <w:bookmarkEnd w:id="163"/>
    </w:p>
    <w:p>
      <w:pPr>
        <w:overflowPunct w:val="0"/>
        <w:spacing w:line="576" w:lineRule="exact"/>
        <w:ind w:firstLineChars="200" w:firstLine="640"/>
        <w:rPr>
          <w:rFonts w:ascii="方正仿宋简体" w:eastAsia="方正仿宋简体" w:cs="方正仿宋简体" w:hAnsi="方正仿宋简体"/>
          <w:sz w:val="32"/>
          <w:szCs w:val="32"/>
        </w:rPr>
      </w:pPr>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64" w:name="_Toc30068"/>
      <w:r>
        <w:rPr>
          <w:rFonts w:ascii="方正黑体简体" w:eastAsia="方正黑体简体" w:cs="方正黑体简体" w:hAnsi="方正黑体简体" w:hint="eastAsia"/>
          <w:sz w:val="32"/>
          <w:szCs w:val="32"/>
        </w:rPr>
        <w:t>一、附表</w:t>
      </w:r>
      <w:bookmarkEnd w:id="164"/>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65" w:name="_Toc4062"/>
      <w:r>
        <w:rPr>
          <w:rFonts w:ascii="方正楷体简体" w:eastAsia="方正楷体简体" w:cs="方正楷体简体" w:hAnsi="方正楷体简体" w:hint="eastAsia"/>
          <w:sz w:val="32"/>
          <w:szCs w:val="32"/>
        </w:rPr>
        <w:t>（一）利州区基本情况表</w:t>
      </w:r>
      <w:bookmarkEnd w:id="165"/>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66" w:name="_Toc275"/>
      <w:r>
        <w:rPr>
          <w:rFonts w:ascii="方正楷体简体" w:eastAsia="方正楷体简体" w:cs="方正楷体简体" w:hAnsi="方正楷体简体" w:hint="eastAsia"/>
          <w:sz w:val="32"/>
          <w:szCs w:val="32"/>
        </w:rPr>
        <w:t>（二）项目建设内容与投资估算表</w:t>
      </w:r>
      <w:bookmarkEnd w:id="166"/>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67" w:name="_Toc3338"/>
      <w:r>
        <w:rPr>
          <w:rFonts w:ascii="方正楷体简体" w:eastAsia="方正楷体简体" w:cs="方正楷体简体" w:hAnsi="方正楷体简体" w:hint="eastAsia"/>
          <w:sz w:val="32"/>
          <w:szCs w:val="32"/>
        </w:rPr>
        <w:t>（三）分年度投资任务表</w:t>
      </w:r>
      <w:bookmarkEnd w:id="167"/>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68" w:name="_Toc10133"/>
      <w:r>
        <w:rPr>
          <w:rFonts w:ascii="方正楷体简体" w:eastAsia="方正楷体简体" w:cs="方正楷体简体" w:hAnsi="方正楷体简体" w:hint="eastAsia"/>
          <w:sz w:val="32"/>
          <w:szCs w:val="32"/>
        </w:rPr>
        <w:t>（四）项目预期效益表</w:t>
      </w:r>
      <w:bookmarkEnd w:id="168"/>
    </w:p>
    <w:p>
      <w:pPr>
        <w:overflowPunct w:val="0"/>
        <w:spacing w:line="576" w:lineRule="exact"/>
        <w:ind w:firstLineChars="200" w:firstLine="640"/>
        <w:outlineLvl w:val="1"/>
        <w:rPr>
          <w:rFonts w:ascii="方正楷体简体" w:eastAsia="方正楷体简体" w:cs="方正楷体简体" w:hAnsi="方正楷体简体"/>
          <w:sz w:val="32"/>
          <w:szCs w:val="32"/>
        </w:rPr>
      </w:pPr>
      <w:bookmarkStart w:id="169" w:name="_Toc17685"/>
      <w:r>
        <w:rPr>
          <w:rFonts w:ascii="方正楷体简体" w:eastAsia="方正楷体简体" w:cs="方正楷体简体" w:hAnsi="方正楷体简体" w:hint="eastAsia"/>
          <w:sz w:val="32"/>
          <w:szCs w:val="32"/>
        </w:rPr>
        <w:t>（五）广元市利州区高标准农田建设项目储备库清单</w:t>
      </w:r>
      <w:bookmarkEnd w:id="169"/>
    </w:p>
    <w:p>
      <w:pPr>
        <w:overflowPunct w:val="0"/>
        <w:spacing w:line="576" w:lineRule="exact"/>
        <w:ind w:firstLineChars="200" w:firstLine="640"/>
        <w:outlineLvl w:val="1"/>
        <w:rPr>
          <w:rFonts w:ascii="方正黑体简体" w:eastAsia="方正黑体简体" w:cs="方正黑体简体" w:hAnsi="方正黑体简体"/>
          <w:sz w:val="32"/>
          <w:szCs w:val="32"/>
        </w:rPr>
      </w:pPr>
      <w:bookmarkStart w:id="170" w:name="_Toc27614"/>
      <w:r>
        <w:rPr>
          <w:rFonts w:ascii="方正黑体简体" w:eastAsia="方正黑体简体" w:cs="方正黑体简体" w:hAnsi="方正黑体简体" w:hint="eastAsia"/>
          <w:sz w:val="32"/>
          <w:szCs w:val="32"/>
        </w:rPr>
        <w:t>二、附图</w:t>
      </w:r>
      <w:bookmarkEnd w:id="170"/>
    </w:p>
    <w:p>
      <w:pPr>
        <w:overflowPunct w:val="0"/>
        <w:spacing w:line="576" w:lineRule="exact"/>
        <w:ind w:firstLineChars="200" w:firstLine="640"/>
        <w:outlineLvl w:val="1"/>
        <w:rPr>
          <w:rFonts w:ascii="方正楷体简体" w:eastAsia="方正楷体简体" w:cs="方正楷体简体" w:hAnsi="方正楷体简体"/>
          <w:sz w:val="32"/>
          <w:szCs w:val="32"/>
        </w:rPr>
      </w:pPr>
      <w:r>
        <w:rPr>
          <w:rFonts w:ascii="方正楷体简体" w:eastAsia="方正楷体简体" w:cs="方正楷体简体" w:hAnsi="方正楷体简体" w:hint="eastAsia"/>
          <w:sz w:val="32"/>
          <w:szCs w:val="32"/>
        </w:rPr>
        <w:t>区域耕地分布图</w:t>
      </w:r>
    </w:p>
    <w:p>
      <w:pPr>
        <w:overflowPunct w:val="0"/>
        <w:spacing w:line="576" w:lineRule="exact"/>
        <w:ind w:firstLineChars="200" w:firstLine="640"/>
        <w:outlineLvl w:val="1"/>
        <w:rPr>
          <w:rFonts w:ascii="方正楷体简体" w:eastAsia="方正楷体简体" w:cs="方正楷体简体" w:hAnsi="方正楷体简体"/>
          <w:sz w:val="32"/>
          <w:szCs w:val="32"/>
        </w:rPr>
      </w:pPr>
      <w:r>
        <w:rPr>
          <w:rFonts w:ascii="方正楷体简体" w:eastAsia="方正楷体简体" w:cs="方正楷体简体" w:hAnsi="方正楷体简体" w:hint="eastAsia"/>
          <w:sz w:val="32"/>
          <w:szCs w:val="32"/>
        </w:rPr>
        <w:t>区域永久基本农田分布图</w:t>
      </w:r>
    </w:p>
    <w:p>
      <w:pPr>
        <w:overflowPunct w:val="0"/>
        <w:spacing w:line="576" w:lineRule="exact"/>
        <w:ind w:firstLineChars="200" w:firstLine="640"/>
        <w:outlineLvl w:val="1"/>
        <w:rPr>
          <w:rFonts w:ascii="方正楷体简体" w:eastAsia="方正楷体简体" w:cs="方正楷体简体" w:hAnsi="方正楷体简体"/>
          <w:sz w:val="32"/>
          <w:szCs w:val="32"/>
        </w:rPr>
      </w:pPr>
      <w:r>
        <w:rPr>
          <w:rFonts w:ascii="方正楷体简体" w:eastAsia="方正楷体简体" w:cs="方正楷体简体" w:hAnsi="方正楷体简体" w:hint="eastAsia"/>
          <w:sz w:val="32"/>
          <w:szCs w:val="32"/>
        </w:rPr>
        <w:t>规划区内位置图</w:t>
      </w:r>
    </w:p>
    <w:p>
      <w:pPr>
        <w:overflowPunct w:val="0"/>
        <w:spacing w:line="576" w:lineRule="exact"/>
        <w:ind w:firstLineChars="200" w:firstLine="640"/>
        <w:rPr>
          <w:rFonts w:ascii="方正仿宋简体" w:eastAsia="方正仿宋简体" w:cs="方正仿宋简体" w:hAnsi="方正仿宋简体"/>
          <w:sz w:val="32"/>
          <w:szCs w:val="32"/>
        </w:rPr>
      </w:pPr>
    </w:p>
    <w:p>
      <w:pPr>
        <w:pStyle w:val="2"/>
        <w:tabs>
          <w:tab w:val="left" w:pos="0"/>
        </w:tabs>
        <w:overflowPunct w:val="0"/>
        <w:spacing w:line="576" w:lineRule="exact"/>
        <w:rPr>
          <w:rFonts w:ascii="方正仿宋简体" w:eastAsia="方正仿宋简体" w:cs="方正仿宋简体" w:hAnsi="方正仿宋简体"/>
          <w:bCs w:val="0"/>
          <w:sz w:val="32"/>
          <w:szCs w:val="32"/>
        </w:rPr>
      </w:pPr>
    </w:p>
    <w:p>
      <w:pPr>
        <w:overflowPunct w:val="0"/>
        <w:spacing w:line="576" w:lineRule="exact"/>
        <w:ind w:firstLineChars="200" w:firstLine="640"/>
        <w:rPr>
          <w:rFonts w:ascii="方正仿宋简体" w:eastAsia="方正仿宋简体" w:cs="方正仿宋简体" w:hAnsi="方正仿宋简体"/>
          <w:sz w:val="32"/>
          <w:szCs w:val="32"/>
        </w:rPr>
      </w:pPr>
    </w:p>
    <w:p>
      <w:pPr>
        <w:overflowPunct w:val="0"/>
        <w:spacing w:line="360" w:lineRule="auto"/>
        <w:rPr>
          <w:rFonts w:ascii="仿宋" w:eastAsia="仿宋" w:cs="仿宋" w:hAnsi="仿宋"/>
          <w:kern w:val="0"/>
          <w:sz w:val="22"/>
          <w:szCs w:val="22"/>
        </w:rPr>
      </w:pPr>
      <w:bookmarkStart w:id="171" w:name="RANGE!A1:B55"/>
      <w:r>
        <w:rPr>
          <w:rFonts w:ascii="仿宋" w:eastAsia="仿宋" w:cs="仿宋" w:hAnsi="仿宋" w:hint="eastAsia"/>
          <w:kern w:val="0"/>
          <w:sz w:val="22"/>
          <w:szCs w:val="22"/>
        </w:rPr>
        <w:br w:type="page"/>
      </w:r>
    </w:p>
    <w:p>
      <w:pPr>
        <w:overflowPunct w:val="0"/>
        <w:spacing w:line="576" w:lineRule="exact"/>
        <w:outlineLvl w:val="1"/>
        <w:rPr>
          <w:rFonts w:ascii="方正黑体简体" w:eastAsia="方正黑体简体" w:cs="方正黑体简体" w:hAnsi="方正黑体简体"/>
          <w:sz w:val="32"/>
          <w:szCs w:val="32"/>
        </w:rPr>
      </w:pPr>
      <w:r>
        <w:rPr>
          <w:rFonts w:ascii="方正黑体简体" w:eastAsia="方正黑体简体" w:cs="方正黑体简体" w:hAnsi="方正黑体简体" w:hint="eastAsia"/>
          <w:sz w:val="32"/>
          <w:szCs w:val="32"/>
        </w:rPr>
        <w:t>附表1</w:t>
      </w:r>
      <w:bookmarkEnd w:id="171"/>
    </w:p>
    <w:p>
      <w:pPr>
        <w:pStyle w:val="1"/>
        <w:keepNext w:val="0"/>
        <w:keepLines w:val="0"/>
        <w:widowControl w:val="0"/>
        <w:tabs>
          <w:tab w:val="left" w:pos="0"/>
        </w:tabs>
        <w:spacing w:line="576" w:lineRule="exact"/>
        <w:jc w:val="center"/>
        <w:rPr>
          <w:rFonts w:ascii="方正小标宋简体" w:eastAsia="方正小标宋简体" w:cs="方正小标宋简体" w:hAnsi="方正小标宋简体"/>
          <w:b w:val="0"/>
          <w:kern w:val="2"/>
          <w:szCs w:val="44"/>
        </w:rPr>
      </w:pPr>
      <w:bookmarkStart w:id="172" w:name="_Toc2868"/>
      <w:bookmarkStart w:id="173" w:name="_Toc25368"/>
      <w:bookmarkStart w:id="174" w:name="_Toc26005"/>
    </w:p>
    <w:p>
      <w:pPr>
        <w:pStyle w:val="1"/>
        <w:keepNext w:val="0"/>
        <w:keepLines w:val="0"/>
        <w:widowControl w:val="0"/>
        <w:tabs>
          <w:tab w:val="left" w:pos="0"/>
        </w:tabs>
        <w:spacing w:line="576" w:lineRule="exact"/>
        <w:jc w:val="center"/>
        <w:rPr>
          <w:rFonts w:ascii="方正小标宋简体" w:eastAsia="方正小标宋简体" w:cs="方正小标宋简体" w:hAnsi="方正小标宋简体"/>
          <w:b w:val="0"/>
          <w:kern w:val="2"/>
          <w:szCs w:val="44"/>
        </w:rPr>
      </w:pPr>
      <w:r>
        <w:rPr>
          <w:rFonts w:ascii="方正小标宋简体" w:eastAsia="方正小标宋简体" w:cs="方正小标宋简体" w:hAnsi="方正小标宋简体" w:hint="eastAsia"/>
          <w:b w:val="0"/>
          <w:kern w:val="2"/>
          <w:szCs w:val="44"/>
        </w:rPr>
        <w:t>利州区基本情况表</w:t>
      </w:r>
      <w:bookmarkEnd w:id="172"/>
      <w:bookmarkEnd w:id="173"/>
      <w:bookmarkEnd w:id="174"/>
    </w:p>
    <w:tbl>
      <w:tblPr>
        <w:jc w:val="center"/>
        <w:tblW w:w="90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Grid>
        <w:gridCol w:w="7533"/>
        <w:gridCol w:w="1524"/>
      </w:tblGrid>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一、规划区基本情况</w:t>
            </w:r>
          </w:p>
        </w:tc>
        <w:tc>
          <w:tcPr>
            <w:tcW w:w="841" w:type="pct"/>
            <w:tcBorders>
              <w:tl2br w:val="nil"/>
              <w:tr2bl w:val="nil"/>
            </w:tcBorders>
            <w:noWrap/>
            <w:vAlign w:val="center"/>
          </w:tcPr>
          <w:p>
            <w:pPr>
              <w:spacing w:line="280" w:lineRule="exact"/>
              <w:jc w:val="center"/>
              <w:rPr>
                <w:rFonts w:ascii="宋体" w:cs="仿宋" w:hAnsi="宋体"/>
                <w:szCs w:val="21"/>
              </w:rPr>
            </w:pP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1.村（社区）（个）</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187</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2.常住人口（人）</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621978</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3.农业人口（人）</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149845</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4.土地总面积（平方公里）</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1538.53</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5.耕地面积（万亩）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 xml:space="preserve">24.63 </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（1）田（万亩）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 xml:space="preserve">8.30 </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（2）土（万亩）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16.33</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其中：A、0—25度的坡耕地（万亩）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 xml:space="preserve">21.70 </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B.25度以上的坡耕地（万亩）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2.93</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8.林地面积（万亩）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168.37</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9.牧草地面积（万亩）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10.水域面积（万亩）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8.02</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11.未利用地（万亩）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12.2021年粮食总产量（万吨）</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8.1</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13.人均可支配收入（元）</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33227</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14.农业总产值（亿元）</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16.64</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二、项目区资源条件</w:t>
            </w:r>
          </w:p>
        </w:tc>
        <w:tc>
          <w:tcPr>
            <w:tcW w:w="841" w:type="pct"/>
            <w:tcBorders>
              <w:tl2br w:val="nil"/>
              <w:tr2bl w:val="nil"/>
            </w:tcBorders>
            <w:noWrap/>
            <w:vAlign w:val="center"/>
          </w:tcPr>
          <w:p>
            <w:pPr>
              <w:spacing w:line="280" w:lineRule="exact"/>
              <w:jc w:val="center"/>
              <w:rPr>
                <w:rFonts w:ascii="宋体" w:cs="仿宋" w:hAnsi="宋体"/>
                <w:szCs w:val="21"/>
              </w:rPr>
            </w:pP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1.现有中低产田土面积（万亩）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6.65</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（1）瘠薄型（万亩）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3</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（2）干旱缺水型（万亩）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2.35</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（3）渍涝型（万亩）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1.3</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（4）其他（万亩）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2.宜林地面积（万亩）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3.宜牧草原（场）（万亩）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三、项目区生态现状</w:t>
            </w:r>
          </w:p>
        </w:tc>
        <w:tc>
          <w:tcPr>
            <w:tcW w:w="841" w:type="pct"/>
            <w:tcBorders>
              <w:tl2br w:val="nil"/>
              <w:tr2bl w:val="nil"/>
            </w:tcBorders>
            <w:noWrap/>
            <w:vAlign w:val="center"/>
          </w:tcPr>
          <w:p>
            <w:pPr>
              <w:spacing w:line="280" w:lineRule="exact"/>
              <w:jc w:val="center"/>
              <w:rPr>
                <w:rFonts w:ascii="宋体" w:cs="仿宋" w:hAnsi="宋体"/>
                <w:szCs w:val="21"/>
              </w:rPr>
            </w:pP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1.行政村农村生活污水有效治理比例（%）</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68.9</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2.受污染耕地安全利用率（%）</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94.34</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3.森林覆盖率（%）</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63.95</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4.生态保护红线占国土面积比例（%））</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1.31</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5.城区细颗粒物（PM2.5）平均浓度（μg/m）</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24.8</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6.城区空气质量优良天数比率（%）</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96.7</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7.已实施高标准农田面积（万亩）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21.57</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四、2021年粮食生产能力（万公斤）</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8100</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1、玉米</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2960</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2、水稻</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2600</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3、薯类</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840</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4、小麦</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1250</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5、其他</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450</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五、2021年其他主要农产品生产能力（万公斤）</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49740</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1、棉花</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2、油料</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1050</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3、糖料</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4、优质饲料作物</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5、蔬菜</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45700</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6、水果</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2990</w:t>
            </w:r>
          </w:p>
        </w:tc>
      </w:tr>
      <w:tr>
        <w:trPr>
          <w:trHeight w:val="454"/>
        </w:trPr>
        <w:tc>
          <w:tcPr>
            <w:tcW w:w="4158" w:type="pct"/>
            <w:tcBorders>
              <w:tl2br w:val="nil"/>
              <w:tr2bl w:val="nil"/>
            </w:tcBorders>
            <w:noWrap/>
            <w:vAlign w:val="center"/>
          </w:tcPr>
          <w:p>
            <w:pPr>
              <w:spacing w:line="280" w:lineRule="exact"/>
              <w:textAlignment w:val="center"/>
              <w:rPr>
                <w:rFonts w:ascii="宋体" w:cs="仿宋" w:hAnsi="宋体"/>
                <w:szCs w:val="21"/>
              </w:rPr>
            </w:pPr>
            <w:r>
              <w:rPr>
                <w:rFonts w:ascii="宋体" w:cs="仿宋" w:hAnsi="宋体" w:hint="eastAsia"/>
                <w:kern w:val="0"/>
                <w:szCs w:val="21"/>
              </w:rPr>
              <w:t>7、其他</w:t>
            </w:r>
          </w:p>
        </w:tc>
        <w:tc>
          <w:tcPr>
            <w:tcW w:w="841" w:type="pct"/>
            <w:tcBorders>
              <w:tl2br w:val="nil"/>
              <w:tr2bl w:val="nil"/>
            </w:tcBorders>
            <w:noWrap/>
            <w:vAlign w:val="center"/>
          </w:tcPr>
          <w:p>
            <w:pPr>
              <w:spacing w:line="280" w:lineRule="exact"/>
              <w:jc w:val="center"/>
              <w:textAlignment w:val="center"/>
              <w:rPr>
                <w:rFonts w:ascii="宋体" w:cs="仿宋" w:hAnsi="宋体"/>
                <w:szCs w:val="21"/>
              </w:rPr>
            </w:pPr>
            <w:r>
              <w:rPr>
                <w:rFonts w:ascii="宋体" w:cs="仿宋" w:hAnsi="宋体" w:hint="eastAsia"/>
                <w:kern w:val="0"/>
                <w:szCs w:val="21"/>
              </w:rPr>
              <w:t>/</w:t>
            </w:r>
          </w:p>
        </w:tc>
      </w:tr>
    </w:tbl>
    <w:p>
      <w:pPr>
        <w:pStyle w:val="2"/>
        <w:tabs>
          <w:tab w:val="left" w:pos="0"/>
        </w:tabs>
        <w:rPr>
          <w:rFonts w:ascii="仿宋" w:eastAsia="仿宋" w:cs="仿宋" w:hAnsi="仿宋"/>
          <w:bCs w:val="0"/>
        </w:rPr>
        <w:sectPr>
          <w:pgSz w:w="11906" w:h="16838"/>
          <w:pgMar w:top="2098" w:right="1531" w:bottom="1985" w:left="1531" w:header="851" w:footer="1588" w:gutter="0"/>
          <w:cols w:num="1" w:space="720"/>
          <w:docGrid w:type="lines" w:linePitch="435" w:charSpace="0"/>
        </w:sectPr>
      </w:pPr>
    </w:p>
    <w:p>
      <w:pPr>
        <w:overflowPunct w:val="0"/>
        <w:spacing w:line="576" w:lineRule="exact"/>
        <w:outlineLvl w:val="1"/>
        <w:rPr>
          <w:rFonts w:ascii="方正黑体简体" w:eastAsia="方正黑体简体" w:cs="方正黑体简体" w:hAnsi="方正黑体简体"/>
          <w:sz w:val="32"/>
          <w:szCs w:val="32"/>
        </w:rPr>
      </w:pPr>
      <w:bookmarkStart w:id="175" w:name="_Toc24403"/>
      <w:r>
        <w:rPr>
          <w:rFonts w:ascii="方正黑体简体" w:eastAsia="方正黑体简体" w:cs="方正黑体简体" w:hAnsi="方正黑体简体" w:hint="eastAsia"/>
          <w:sz w:val="32"/>
          <w:szCs w:val="32"/>
        </w:rPr>
        <w:t>附表2</w:t>
      </w:r>
      <w:bookmarkEnd w:id="175"/>
    </w:p>
    <w:p>
      <w:pPr>
        <w:overflowPunct w:val="0"/>
        <w:spacing w:beforeLines="50" w:before="156" w:afterLines="50" w:after="156" w:line="576" w:lineRule="exact"/>
        <w:jc w:val="center"/>
        <w:outlineLvl w:val="0"/>
        <w:rPr>
          <w:rFonts w:ascii="方正小标宋简体" w:eastAsia="方正小标宋简体" w:cs="方正小标宋简体" w:hAnsi="方正小标宋简体"/>
          <w:kern w:val="0"/>
          <w:sz w:val="44"/>
          <w:szCs w:val="44"/>
        </w:rPr>
      </w:pPr>
      <w:r>
        <w:rPr>
          <w:rFonts w:ascii="方正小标宋简体" w:eastAsia="方正小标宋简体" w:cs="方正小标宋简体" w:hAnsi="方正小标宋简体" w:hint="eastAsia"/>
          <w:kern w:val="0"/>
          <w:sz w:val="44"/>
          <w:szCs w:val="44"/>
        </w:rPr>
        <w:t>利州区高标准农田建设（2021—2030年）投资估算表（新建）</w:t>
      </w:r>
    </w:p>
    <w:tbl>
      <w:tblPr>
        <w:jc w:val="center"/>
        <w:tblW w:w="14264"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846"/>
        <w:gridCol w:w="3267"/>
        <w:gridCol w:w="684"/>
        <w:gridCol w:w="1212"/>
        <w:gridCol w:w="839"/>
        <w:gridCol w:w="1541"/>
        <w:gridCol w:w="1121"/>
        <w:gridCol w:w="1585"/>
        <w:gridCol w:w="1584"/>
        <w:gridCol w:w="1585"/>
      </w:tblGrid>
      <w:tr>
        <w:trPr>
          <w:trHeight w:val="560"/>
        </w:trPr>
        <w:tc>
          <w:tcPr>
            <w:tcW w:w="846" w:type="dxa"/>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序号</w:t>
            </w:r>
          </w:p>
        </w:tc>
        <w:tc>
          <w:tcPr>
            <w:tcW w:w="3267" w:type="dxa"/>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建设内容</w:t>
            </w:r>
          </w:p>
        </w:tc>
        <w:tc>
          <w:tcPr>
            <w:tcW w:w="684" w:type="dxa"/>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单位</w:t>
            </w:r>
          </w:p>
        </w:tc>
        <w:tc>
          <w:tcPr>
            <w:tcW w:w="1212" w:type="dxa"/>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综合单价</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（新建）</w:t>
            </w:r>
          </w:p>
        </w:tc>
        <w:tc>
          <w:tcPr>
            <w:tcW w:w="2380" w:type="dxa"/>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2021年度</w:t>
            </w:r>
          </w:p>
        </w:tc>
        <w:tc>
          <w:tcPr>
            <w:tcW w:w="2706" w:type="dxa"/>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2025年度</w:t>
            </w:r>
          </w:p>
        </w:tc>
        <w:tc>
          <w:tcPr>
            <w:tcW w:w="3169" w:type="dxa"/>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2030年度</w:t>
            </w:r>
          </w:p>
        </w:tc>
      </w:tr>
      <w:tr>
        <w:trPr>
          <w:trHeight w:val="560"/>
        </w:trPr>
        <w:tc>
          <w:tcPr>
            <w:tcW w:w="846" w:type="dxa"/>
            <w:vMerge/>
            <w:tcBorders>
              <w:top w:val="single" w:sz="4" w:space="0" w:color="000000"/>
              <w:left w:val="single" w:sz="4" w:space="0" w:color="000000"/>
              <w:bottom w:val="single" w:sz="4" w:space="0" w:color="000000"/>
              <w:right w:val="single" w:sz="4" w:space="0" w:color="000000"/>
            </w:tcBorders>
            <w:vAlign w:val="center"/>
          </w:tcPr>
          <w:p/>
        </w:tc>
        <w:tc>
          <w:tcPr>
            <w:tcW w:w="3267" w:type="dxa"/>
            <w:vMerge/>
            <w:tcBorders>
              <w:top w:val="single" w:sz="4" w:space="0" w:color="000000"/>
              <w:left w:val="single" w:sz="4" w:space="0" w:color="000000"/>
              <w:bottom w:val="single" w:sz="4" w:space="0" w:color="000000"/>
              <w:right w:val="single" w:sz="4" w:space="0" w:color="000000"/>
            </w:tcBorders>
            <w:vAlign w:val="center"/>
          </w:tcPr>
          <w:p/>
        </w:tc>
        <w:tc>
          <w:tcPr>
            <w:tcW w:w="684" w:type="dxa"/>
            <w:vMerge/>
            <w:tcBorders>
              <w:top w:val="single" w:sz="4" w:space="0" w:color="000000"/>
              <w:left w:val="single" w:sz="4" w:space="0" w:color="000000"/>
              <w:bottom w:val="single" w:sz="4" w:space="0" w:color="000000"/>
              <w:right w:val="single" w:sz="4" w:space="0" w:color="000000"/>
            </w:tcBorders>
            <w:vAlign w:val="center"/>
          </w:tcPr>
          <w:p/>
        </w:tc>
        <w:tc>
          <w:tcPr>
            <w:tcW w:w="1212" w:type="dxa"/>
            <w:vMerge/>
            <w:tcBorders>
              <w:top w:val="single" w:sz="4" w:space="0" w:color="000000"/>
              <w:left w:val="single" w:sz="4" w:space="0" w:color="000000"/>
              <w:bottom w:val="single" w:sz="4" w:space="0" w:color="000000"/>
              <w:right w:val="single" w:sz="4" w:space="0" w:color="000000"/>
            </w:tcBorders>
            <w:vAlign w:val="center"/>
          </w:tc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估算投资</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（万元）</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规划</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工程</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估算投资</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（万元）</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估算投资</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（万元）</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bCs/>
                <w:color w:val="000000"/>
                <w:szCs w:val="21"/>
              </w:rPr>
            </w:pP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高标准农田建设面积</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bCs/>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56100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16831.68</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23300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6990.43</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22400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6720.98</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（一）</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农田基础设施建设工程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15267.62</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6326.73</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6085.15</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田块整治工程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5000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11500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5750.00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4500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2250.00</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4500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2250.00</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灌溉与排水工程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5287.37</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2736.28</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2599.10</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山坪塘</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192000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54</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1036.80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27</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518.40</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384.00</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蓄水池</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55400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113</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626.02</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47</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260.38</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221.60</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排灌渠系</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千米</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650000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47.75</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3103.75</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26.61</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1729.65</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27.45</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1784.25</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高效节水</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465</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11200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520.80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4900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227.85</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4500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209.25</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田间道路工程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r>
              <w:rPr>
                <w:rFonts w:ascii="宋体" w:cs="仿宋" w:hAnsi="宋体" w:hint="eastAsia"/>
                <w:color w:val="000000"/>
                <w:kern w:val="0"/>
                <w:szCs w:val="21"/>
              </w:rPr>
              <w:t>千米</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58.3</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3953.95</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17.73</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1198.55</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16.1</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1087.85</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农机下田通道</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处</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1800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108.00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72.00</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450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81.00</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农田防护与生态环境保护工程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30</w:t>
            </w: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56100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168.30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23300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69.90</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22400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67.20</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（二）</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农田地力培肥工程</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r>
              <w:rPr>
                <w:rFonts w:ascii="宋体" w:cs="仿宋" w:hAnsi="宋体" w:hint="eastAsia"/>
                <w:color w:val="000000"/>
                <w:kern w:val="0"/>
                <w:szCs w:val="21"/>
              </w:rPr>
              <w:t>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44600</w:t>
            </w: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1115.46</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18800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477.40</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17900</w:t>
            </w: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456.70</w:t>
            </w:r>
          </w:p>
        </w:tc>
      </w:tr>
      <w:tr>
        <w:trPr>
          <w:trHeight w:val="429"/>
        </w:trPr>
        <w:tc>
          <w:tcPr>
            <w:tcW w:w="846"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（三）</w:t>
            </w:r>
          </w:p>
        </w:tc>
        <w:tc>
          <w:tcPr>
            <w:tcW w:w="3267"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其它费用</w:t>
            </w:r>
          </w:p>
        </w:tc>
        <w:tc>
          <w:tcPr>
            <w:tcW w:w="6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万亩</w:t>
            </w:r>
          </w:p>
        </w:tc>
        <w:tc>
          <w:tcPr>
            <w:tcW w:w="1212"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839"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4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448.60</w:t>
            </w:r>
          </w:p>
        </w:tc>
        <w:tc>
          <w:tcPr>
            <w:tcW w:w="1121"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186.31</w:t>
            </w:r>
          </w:p>
        </w:tc>
        <w:tc>
          <w:tcPr>
            <w:tcW w:w="1584"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1585" w:type="dxa"/>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179.13</w:t>
            </w:r>
          </w:p>
        </w:tc>
      </w:tr>
    </w:tbl>
    <w:p>
      <w:pPr>
        <w:overflowPunct w:val="0"/>
        <w:spacing w:afterLines="50" w:after="156" w:line="576" w:lineRule="exact"/>
        <w:jc w:val="center"/>
        <w:outlineLvl w:val="0"/>
        <w:rPr>
          <w:rFonts w:ascii="方正小标宋简体" w:eastAsia="方正小标宋简体" w:cs="方正小标宋简体" w:hAnsi="方正小标宋简体"/>
          <w:kern w:val="0"/>
          <w:sz w:val="44"/>
          <w:szCs w:val="44"/>
        </w:rPr>
      </w:pPr>
      <w:r>
        <w:rPr>
          <w:rFonts w:ascii="方正小标宋简体" w:eastAsia="方正小标宋简体" w:cs="方正小标宋简体" w:hAnsi="方正小标宋简体" w:hint="eastAsia"/>
          <w:kern w:val="0"/>
          <w:sz w:val="44"/>
          <w:szCs w:val="44"/>
        </w:rPr>
        <w:t>利州区高标准农田建设（2021—2030年）投资估算表（改造提升）</w:t>
      </w:r>
    </w:p>
    <w:tbl>
      <w:tblPr>
        <w:jc w:val="center"/>
        <w:tblW w:w="4971" w:type="pct"/>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846"/>
        <w:gridCol w:w="3041"/>
        <w:gridCol w:w="673"/>
        <w:gridCol w:w="1464"/>
        <w:gridCol w:w="824"/>
        <w:gridCol w:w="1105"/>
        <w:gridCol w:w="899"/>
        <w:gridCol w:w="1121"/>
        <w:gridCol w:w="899"/>
        <w:gridCol w:w="1071"/>
        <w:gridCol w:w="899"/>
        <w:gridCol w:w="1071"/>
      </w:tblGrid>
      <w:tr>
        <w:trPr>
          <w:trHeight w:val="544"/>
        </w:trPr>
        <w:tc>
          <w:tcPr>
            <w:tcW w:w="304" w:type="pct"/>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序号</w:t>
            </w:r>
          </w:p>
        </w:tc>
        <w:tc>
          <w:tcPr>
            <w:tcW w:w="1093" w:type="pct"/>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建设内容</w:t>
            </w:r>
          </w:p>
        </w:tc>
        <w:tc>
          <w:tcPr>
            <w:tcW w:w="242" w:type="pct"/>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单位</w:t>
            </w:r>
          </w:p>
        </w:tc>
        <w:tc>
          <w:tcPr>
            <w:tcW w:w="526" w:type="pct"/>
            <w:vMerge w:val="restar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综合单价</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（改造提升）</w:t>
            </w:r>
          </w:p>
        </w:tc>
        <w:tc>
          <w:tcPr>
            <w:tcW w:w="693" w:type="pct"/>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2022年度</w:t>
            </w:r>
          </w:p>
        </w:tc>
        <w:tc>
          <w:tcPr>
            <w:tcW w:w="726" w:type="pct"/>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2023年度</w:t>
            </w:r>
          </w:p>
        </w:tc>
        <w:tc>
          <w:tcPr>
            <w:tcW w:w="708" w:type="pct"/>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2024年度</w:t>
            </w:r>
          </w:p>
        </w:tc>
        <w:tc>
          <w:tcPr>
            <w:tcW w:w="708" w:type="pct"/>
            <w:gridSpan w:val="2"/>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2025年度</w:t>
            </w:r>
          </w:p>
        </w:tc>
      </w:tr>
      <w:tr>
        <w:trPr>
          <w:trHeight w:val="600"/>
        </w:trPr>
        <w:tc>
          <w:tcPr>
            <w:tcW w:w="304" w:type="pct"/>
            <w:vMerge/>
            <w:tcBorders>
              <w:top w:val="single" w:sz="4" w:space="0" w:color="000000"/>
              <w:left w:val="single" w:sz="4" w:space="0" w:color="000000"/>
              <w:bottom w:val="single" w:sz="4" w:space="0" w:color="000000"/>
              <w:right w:val="single" w:sz="4" w:space="0" w:color="000000"/>
            </w:tcBorders>
            <w:vAlign w:val="center"/>
          </w:tcPr>
          <w:p/>
        </w:tc>
        <w:tc>
          <w:tcPr>
            <w:tcW w:w="1093" w:type="pct"/>
            <w:vMerge/>
            <w:tcBorders>
              <w:top w:val="single" w:sz="4" w:space="0" w:color="000000"/>
              <w:left w:val="single" w:sz="4" w:space="0" w:color="000000"/>
              <w:bottom w:val="single" w:sz="4" w:space="0" w:color="000000"/>
              <w:right w:val="single" w:sz="4" w:space="0" w:color="000000"/>
            </w:tcBorders>
            <w:vAlign w:val="center"/>
          </w:tcPr>
          <w:p/>
        </w:tc>
        <w:tc>
          <w:tcPr>
            <w:tcW w:w="242" w:type="pct"/>
            <w:vMerge/>
            <w:tcBorders>
              <w:top w:val="single" w:sz="4" w:space="0" w:color="000000"/>
              <w:left w:val="single" w:sz="4" w:space="0" w:color="000000"/>
              <w:bottom w:val="single" w:sz="4" w:space="0" w:color="000000"/>
              <w:right w:val="single" w:sz="4" w:space="0" w:color="000000"/>
            </w:tcBorders>
            <w:vAlign w:val="center"/>
          </w:tcPr>
          <w:p/>
        </w:tc>
        <w:tc>
          <w:tcPr>
            <w:tcW w:w="526" w:type="pct"/>
            <w:vMerge/>
            <w:tcBorders>
              <w:top w:val="single" w:sz="4" w:space="0" w:color="000000"/>
              <w:left w:val="single" w:sz="4" w:space="0" w:color="000000"/>
              <w:bottom w:val="single" w:sz="4" w:space="0" w:color="000000"/>
              <w:right w:val="single" w:sz="4" w:space="0" w:color="000000"/>
            </w:tcBorders>
            <w:vAlign w:val="center"/>
          </w:tc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规划</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工程</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规划</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工程</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规划</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工程</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规划</w:t>
            </w:r>
          </w:p>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工程</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bCs/>
                <w:color w:val="000000"/>
                <w:szCs w:val="21"/>
              </w:rPr>
            </w:pP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高标准农田建设面积</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bCs/>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16000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2175.28</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16700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2270.89</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15800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2148.88</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（一）</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农田基础设施建设工程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1475.87</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1845.37</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1742.76</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田块整治工程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5000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2000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1000.00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1100.00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2100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1050.00</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灌溉与排水工程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321.85</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358.39</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351.59</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山坪塘</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192000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96.00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115.20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115.20</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蓄水池</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55400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27.70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33.24</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33.24</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排灌渠系</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千米</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650000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1.26</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81.90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2.30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149.50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2.41</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156.65</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高效节水</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465</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2500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116.25</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1300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60.45</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46.50</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田间道路工程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r>
              <w:rPr>
                <w:rFonts w:ascii="宋体" w:cs="仿宋" w:hAnsi="宋体" w:hint="eastAsia"/>
                <w:color w:val="000000"/>
                <w:kern w:val="0"/>
                <w:szCs w:val="21"/>
              </w:rPr>
              <w:t>千米</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0.00</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3.52</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228.88</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2.98</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194.77</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农机下田通道</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处</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1800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589</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106.02</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108.00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550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99.00</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农田防护与生态环境保护工程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30</w:t>
            </w: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16000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48.00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16700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50.10</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15800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47.40</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（二）</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农田地力培肥工程</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r>
              <w:rPr>
                <w:rFonts w:ascii="宋体" w:cs="仿宋" w:hAnsi="宋体" w:hint="eastAsia"/>
                <w:color w:val="000000"/>
                <w:kern w:val="0"/>
                <w:szCs w:val="21"/>
              </w:rPr>
              <w:t>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14000</w:t>
            </w: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367.00</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14500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365.00</w:t>
            </w:r>
          </w:p>
        </w:tc>
        <w:tc>
          <w:tcPr>
            <w:tcW w:w="32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13700</w:t>
            </w: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348.85</w:t>
            </w:r>
          </w:p>
        </w:tc>
      </w:tr>
      <w:tr>
        <w:trPr>
          <w:trHeight w:val="478"/>
        </w:trPr>
        <w:tc>
          <w:tcPr>
            <w:tcW w:w="304"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（三）</w:t>
            </w:r>
          </w:p>
        </w:tc>
        <w:tc>
          <w:tcPr>
            <w:tcW w:w="109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bCs/>
                <w:color w:val="000000"/>
                <w:szCs w:val="21"/>
              </w:rPr>
            </w:pPr>
            <w:r>
              <w:rPr>
                <w:rFonts w:ascii="宋体" w:cs="仿宋" w:hAnsi="宋体" w:hint="eastAsia"/>
                <w:bCs/>
                <w:color w:val="000000"/>
                <w:kern w:val="0"/>
                <w:szCs w:val="21"/>
              </w:rPr>
              <w:t>其它费用</w:t>
            </w:r>
          </w:p>
        </w:tc>
        <w:tc>
          <w:tcPr>
            <w:tcW w:w="242"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万亩</w:t>
            </w:r>
          </w:p>
        </w:tc>
        <w:tc>
          <w:tcPr>
            <w:tcW w:w="52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rPr>
                <w:rFonts w:ascii="宋体" w:cs="仿宋" w:hAnsi="宋体"/>
                <w:color w:val="000000"/>
                <w:szCs w:val="21"/>
              </w:rPr>
            </w:pPr>
          </w:p>
        </w:tc>
        <w:tc>
          <w:tcPr>
            <w:tcW w:w="2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403"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332.41</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60.52</w:t>
            </w:r>
          </w:p>
        </w:tc>
        <w:tc>
          <w:tcPr>
            <w:tcW w:w="323" w:type="pct"/>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color w:val="000000"/>
                <w:szCs w:val="21"/>
              </w:rPr>
            </w:pPr>
          </w:p>
        </w:tc>
        <w:tc>
          <w:tcPr>
            <w:tcW w:w="385" w:type="pct"/>
            <w:tcBorders>
              <w:top w:val="single" w:sz="4" w:space="0" w:color="000000"/>
              <w:left w:val="single" w:sz="4" w:space="0" w:color="000000"/>
              <w:bottom w:val="single" w:sz="4" w:space="0" w:color="000000"/>
              <w:right w:val="single" w:sz="4" w:space="0" w:color="000000"/>
            </w:tcBorders>
            <w:vAlign w:val="center"/>
          </w:tcPr>
          <w:p>
            <w:pPr>
              <w:spacing w:line="280" w:lineRule="exact"/>
              <w:jc w:val="center"/>
              <w:textAlignment w:val="center"/>
              <w:rPr>
                <w:rFonts w:ascii="宋体" w:cs="仿宋" w:hAnsi="宋体"/>
                <w:color w:val="000000"/>
                <w:szCs w:val="21"/>
              </w:rPr>
            </w:pPr>
            <w:r>
              <w:rPr>
                <w:rFonts w:ascii="宋体" w:cs="仿宋" w:hAnsi="宋体" w:hint="eastAsia"/>
                <w:color w:val="000000"/>
                <w:kern w:val="0"/>
                <w:szCs w:val="21"/>
              </w:rPr>
              <w:t>57.27</w:t>
            </w:r>
          </w:p>
        </w:tc>
      </w:tr>
    </w:tbl>
    <w:p>
      <w:pPr>
        <w:overflowPunct w:val="0"/>
        <w:spacing w:afterLines="50" w:after="156" w:line="576" w:lineRule="exact"/>
        <w:outlineLvl w:val="0"/>
        <w:rPr>
          <w:rFonts w:ascii="方正小标宋简体" w:eastAsia="方正小标宋简体" w:cs="方正小标宋简体" w:hAnsi="方正小标宋简体"/>
          <w:kern w:val="0"/>
          <w:sz w:val="44"/>
          <w:szCs w:val="44"/>
        </w:rPr>
      </w:pPr>
      <w:r>
        <w:rPr>
          <w:rFonts w:ascii="方正小标宋简体" w:eastAsia="方正小标宋简体" w:cs="方正小标宋简体" w:hAnsi="方正小标宋简体" w:hint="eastAsia"/>
          <w:kern w:val="0"/>
          <w:sz w:val="44"/>
          <w:szCs w:val="44"/>
        </w:rPr>
        <w:t>利州区高标准农田建设（2021—2030年）投资估算表（改造提升）续表</w:t>
      </w:r>
    </w:p>
    <w:tbl>
      <w:tblPr>
        <w:jc w:val="center"/>
        <w:tblW w:w="5502" w:type="pct"/>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846"/>
        <w:gridCol w:w="2940"/>
        <w:gridCol w:w="486"/>
        <w:gridCol w:w="1386"/>
        <w:gridCol w:w="777"/>
        <w:gridCol w:w="1120"/>
        <w:gridCol w:w="777"/>
        <w:gridCol w:w="1147"/>
        <w:gridCol w:w="777"/>
        <w:gridCol w:w="1212"/>
        <w:gridCol w:w="777"/>
        <w:gridCol w:w="1221"/>
        <w:gridCol w:w="777"/>
        <w:gridCol w:w="1153"/>
      </w:tblGrid>
      <w:tr>
        <w:trPr>
          <w:trHeight w:val="498"/>
        </w:trPr>
        <w:tc>
          <w:tcPr>
            <w:tcW w:w="244" w:type="pct"/>
            <w:vMerge w:val="restar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序号</w:t>
            </w:r>
          </w:p>
        </w:tc>
        <w:tc>
          <w:tcPr>
            <w:tcW w:w="961" w:type="pct"/>
            <w:vMerge w:val="restar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建设内容</w:t>
            </w:r>
          </w:p>
        </w:tc>
        <w:tc>
          <w:tcPr>
            <w:tcW w:w="159" w:type="pct"/>
            <w:vMerge w:val="restar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单位</w:t>
            </w:r>
          </w:p>
        </w:tc>
        <w:tc>
          <w:tcPr>
            <w:tcW w:w="453" w:type="pct"/>
            <w:vMerge w:val="restar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kern w:val="0"/>
                <w:szCs w:val="21"/>
              </w:rPr>
            </w:pPr>
            <w:r>
              <w:rPr>
                <w:rFonts w:ascii="方正黑体简体" w:eastAsia="方正黑体简体" w:cs="仿宋" w:hAnsi="宋体" w:hint="eastAsia"/>
                <w:color w:val="000000"/>
                <w:kern w:val="0"/>
                <w:szCs w:val="21"/>
              </w:rPr>
              <w:t>综合单价</w:t>
            </w:r>
          </w:p>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（改造提升）</w:t>
            </w:r>
          </w:p>
        </w:tc>
        <w:tc>
          <w:tcPr>
            <w:tcW w:w="620" w:type="pct"/>
            <w:gridSpan w:val="2"/>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2026年度</w:t>
            </w:r>
          </w:p>
        </w:tc>
        <w:tc>
          <w:tcPr>
            <w:tcW w:w="629" w:type="pct"/>
            <w:gridSpan w:val="2"/>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2027年度</w:t>
            </w:r>
          </w:p>
        </w:tc>
        <w:tc>
          <w:tcPr>
            <w:tcW w:w="650" w:type="pct"/>
            <w:gridSpan w:val="2"/>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2028年度</w:t>
            </w:r>
          </w:p>
        </w:tc>
        <w:tc>
          <w:tcPr>
            <w:tcW w:w="653" w:type="pct"/>
            <w:gridSpan w:val="2"/>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2029年度</w:t>
            </w:r>
          </w:p>
        </w:tc>
        <w:tc>
          <w:tcPr>
            <w:tcW w:w="632" w:type="pct"/>
            <w:gridSpan w:val="2"/>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2030年度</w:t>
            </w:r>
          </w:p>
        </w:tc>
      </w:tr>
      <w:tr>
        <w:trPr>
          <w:trHeight w:val="600"/>
        </w:trPr>
        <w:tc>
          <w:tcPr>
            <w:tcW w:w="244" w:type="pct"/>
            <w:vMerge/>
            <w:tcBorders>
              <w:top w:val="single" w:sz="4" w:space="0" w:color="000000"/>
              <w:left w:val="single" w:sz="4" w:space="0" w:color="000000"/>
              <w:bottom w:val="single" w:sz="4" w:space="0" w:color="000000"/>
              <w:right w:val="single" w:sz="4" w:space="0" w:color="000000"/>
            </w:tcBorders>
            <w:vAlign w:val="center"/>
          </w:tcPr>
          <w:p/>
        </w:tc>
        <w:tc>
          <w:tcPr>
            <w:tcW w:w="961" w:type="pct"/>
            <w:vMerge/>
            <w:tcBorders>
              <w:top w:val="single" w:sz="4" w:space="0" w:color="000000"/>
              <w:left w:val="single" w:sz="4" w:space="0" w:color="000000"/>
              <w:bottom w:val="single" w:sz="4" w:space="0" w:color="000000"/>
              <w:right w:val="single" w:sz="4" w:space="0" w:color="000000"/>
            </w:tcBorders>
            <w:vAlign w:val="center"/>
          </w:tcPr>
          <w:p/>
        </w:tc>
        <w:tc>
          <w:tcPr>
            <w:tcW w:w="159" w:type="pct"/>
            <w:vMerge/>
            <w:tcBorders>
              <w:top w:val="single" w:sz="4" w:space="0" w:color="000000"/>
              <w:left w:val="single" w:sz="4" w:space="0" w:color="000000"/>
              <w:bottom w:val="single" w:sz="4" w:space="0" w:color="000000"/>
              <w:right w:val="single" w:sz="4" w:space="0" w:color="000000"/>
            </w:tcBorders>
            <w:vAlign w:val="center"/>
          </w:tcPr>
          <w:p/>
        </w:tc>
        <w:tc>
          <w:tcPr>
            <w:tcW w:w="453" w:type="pct"/>
            <w:vMerge/>
            <w:tcBorders>
              <w:top w:val="single" w:sz="4" w:space="0" w:color="000000"/>
              <w:left w:val="single" w:sz="4" w:space="0" w:color="000000"/>
              <w:bottom w:val="single" w:sz="4" w:space="0" w:color="000000"/>
              <w:right w:val="single" w:sz="4" w:space="0" w:color="000000"/>
            </w:tcBorders>
            <w:vAlign w:val="center"/>
          </w:tc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规划工程</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方正黑体简体" w:eastAsia="方正黑体简体" w:cs="仿宋" w:hAnsi="宋体"/>
                <w:color w:val="000000"/>
                <w:szCs w:val="21"/>
              </w:rPr>
            </w:pPr>
            <w:r>
              <w:rPr>
                <w:rFonts w:ascii="方正黑体简体" w:eastAsia="方正黑体简体" w:cs="仿宋" w:hAnsi="宋体" w:hint="eastAsia"/>
                <w:color w:val="000000"/>
                <w:kern w:val="0"/>
                <w:szCs w:val="21"/>
              </w:rPr>
              <w:t>估算投资（万元）</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bCs/>
                <w:color w:val="000000"/>
                <w:szCs w:val="21"/>
              </w:rPr>
            </w:pP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bCs/>
                <w:color w:val="000000"/>
                <w:szCs w:val="21"/>
              </w:rPr>
            </w:pPr>
            <w:r>
              <w:rPr>
                <w:rFonts w:ascii="宋体" w:cs="仿宋" w:hAnsi="宋体" w:hint="eastAsia"/>
                <w:bCs/>
                <w:color w:val="000000"/>
                <w:kern w:val="0"/>
                <w:szCs w:val="21"/>
              </w:rPr>
              <w:t>高标准农田建设面积</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bCs/>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17100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2325.57</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15500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2107.81</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16400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2231.04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15500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2107.60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15800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2149.46</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（一）</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农田基础设施建设工程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1893.89</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1714.14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1817.98</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1718.53</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1743.38</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田块整治工程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1100.00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2000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1000.00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1100.00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1100.00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1100.00</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灌溉与排水工程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447.43</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399.70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389.44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361.92</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404.52</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山坪塘</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192000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153.60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115.20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115.20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153.60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153.60</w:t>
            </w:r>
          </w:p>
        </w:tc>
      </w:tr>
      <w:tr>
        <w:trPr>
          <w:trHeight w:val="468"/>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蓄水池</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口</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55400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7</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38.78</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27.70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33.24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44.32</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44.32</w:t>
            </w:r>
          </w:p>
        </w:tc>
      </w:tr>
      <w:tr>
        <w:trPr>
          <w:trHeight w:val="560"/>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排灌渠系</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千米</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650000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2.35</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152.75</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2.52</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163.80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2.42</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157.30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1.45</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94.25</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1.39</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90.35</w:t>
            </w:r>
          </w:p>
        </w:tc>
      </w:tr>
      <w:tr>
        <w:trPr>
          <w:trHeight w:val="560"/>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高效节水</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465</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2200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102.30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2000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93.00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1800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83.70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1500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69.75</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2500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116.25</w:t>
            </w:r>
          </w:p>
        </w:tc>
      </w:tr>
      <w:tr>
        <w:trPr>
          <w:trHeight w:val="560"/>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田间道路工程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r>
              <w:rPr>
                <w:rFonts w:ascii="宋体" w:cs="仿宋" w:hAnsi="宋体" w:hint="eastAsia"/>
                <w:color w:val="000000"/>
                <w:kern w:val="0"/>
                <w:szCs w:val="21"/>
              </w:rPr>
              <w:t>千米</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2.79</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178.16</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2.51</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159.94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2.68</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171.34</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2.06</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129.11</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2.11</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132.06</w:t>
            </w:r>
          </w:p>
        </w:tc>
      </w:tr>
      <w:tr>
        <w:trPr>
          <w:trHeight w:val="432"/>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农机下田通道</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处</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1800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650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117.00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108.00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108.00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450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81.00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330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59.40</w:t>
            </w:r>
          </w:p>
        </w:tc>
      </w:tr>
      <w:tr>
        <w:trPr>
          <w:trHeight w:val="432"/>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农田防护与生态环境保护工程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17100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51.30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15500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46.50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16400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49.20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15500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46.50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15800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47.40</w:t>
            </w:r>
          </w:p>
        </w:tc>
      </w:tr>
      <w:tr>
        <w:trPr>
          <w:trHeight w:val="432"/>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（二）</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bCs/>
                <w:color w:val="000000"/>
                <w:szCs w:val="21"/>
              </w:rPr>
            </w:pPr>
            <w:r>
              <w:rPr>
                <w:rFonts w:ascii="宋体" w:cs="仿宋" w:hAnsi="宋体" w:hint="eastAsia"/>
                <w:bCs/>
                <w:color w:val="000000"/>
                <w:kern w:val="0"/>
                <w:szCs w:val="21"/>
              </w:rPr>
              <w:t>农田地力培肥工程</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r>
              <w:rPr>
                <w:rFonts w:ascii="宋体" w:cs="仿宋" w:hAnsi="宋体" w:hint="eastAsia"/>
                <w:color w:val="000000"/>
                <w:kern w:val="0"/>
                <w:szCs w:val="21"/>
              </w:rPr>
              <w:t>亩</w:t>
            </w: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14900</w:t>
            </w: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369.70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13500</w:t>
            </w: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337.50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14200</w:t>
            </w: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353.60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13300</w:t>
            </w: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332.90</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13600</w:t>
            </w: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348.80</w:t>
            </w:r>
          </w:p>
        </w:tc>
      </w:tr>
      <w:tr>
        <w:trPr>
          <w:trHeight w:val="432"/>
        </w:trPr>
        <w:tc>
          <w:tcPr>
            <w:tcW w:w="24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（三）</w:t>
            </w:r>
          </w:p>
        </w:tc>
        <w:tc>
          <w:tcPr>
            <w:tcW w:w="961"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bCs/>
                <w:color w:val="000000"/>
                <w:szCs w:val="21"/>
              </w:rPr>
            </w:pPr>
            <w:r>
              <w:rPr>
                <w:rFonts w:ascii="宋体" w:cs="仿宋" w:hAnsi="宋体" w:hint="eastAsia"/>
                <w:bCs/>
                <w:color w:val="000000"/>
                <w:kern w:val="0"/>
                <w:szCs w:val="21"/>
              </w:rPr>
              <w:t>其它费用</w:t>
            </w:r>
          </w:p>
        </w:tc>
        <w:tc>
          <w:tcPr>
            <w:tcW w:w="15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453"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6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61.98</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5"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56.18</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6"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59.46</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99"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56.17</w:t>
            </w:r>
          </w:p>
        </w:tc>
        <w:tc>
          <w:tcPr>
            <w:tcW w:w="254"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rPr>
                <w:rFonts w:ascii="宋体" w:cs="仿宋" w:hAnsi="宋体"/>
                <w:color w:val="000000"/>
                <w:szCs w:val="21"/>
              </w:rPr>
            </w:pPr>
          </w:p>
        </w:tc>
        <w:tc>
          <w:tcPr>
            <w:tcW w:w="378" w:type="pct"/>
            <w:tcBorders>
              <w:top w:val="single" w:sz="4" w:space="0" w:color="000000"/>
              <w:left w:val="single" w:sz="4" w:space="0" w:color="000000"/>
              <w:bottom w:val="single" w:sz="4" w:space="0" w:color="000000"/>
              <w:right w:val="single" w:sz="4" w:space="0" w:color="000000"/>
            </w:tcBorders>
            <w:vAlign w:val="center"/>
          </w:tcPr>
          <w:p>
            <w:pPr>
              <w:spacing w:line="240" w:lineRule="exact"/>
              <w:jc w:val="center"/>
              <w:textAlignment w:val="center"/>
              <w:rPr>
                <w:rFonts w:ascii="宋体" w:cs="仿宋" w:hAnsi="宋体"/>
                <w:color w:val="000000"/>
                <w:szCs w:val="21"/>
              </w:rPr>
            </w:pPr>
            <w:r>
              <w:rPr>
                <w:rFonts w:ascii="宋体" w:cs="仿宋" w:hAnsi="宋体" w:hint="eastAsia"/>
                <w:color w:val="000000"/>
                <w:kern w:val="0"/>
                <w:szCs w:val="21"/>
              </w:rPr>
              <w:t>57.29</w:t>
            </w:r>
          </w:p>
        </w:tc>
      </w:tr>
    </w:tbl>
    <w:p>
      <w:pPr>
        <w:pStyle w:val="2"/>
        <w:tabs>
          <w:tab w:val="left" w:pos="0"/>
        </w:tabs>
        <w:ind w:firstLineChars="0" w:firstLine="0"/>
        <w:rPr>
          <w:rFonts w:ascii="仿宋" w:eastAsia="仿宋" w:cs="仿宋" w:hAnsi="仿宋"/>
          <w:bCs w:val="0"/>
        </w:rPr>
        <w:sectPr>
          <w:pgSz w:w="16838" w:h="11906" w:orient="landscape"/>
          <w:pgMar w:top="1701" w:right="1474" w:bottom="1531" w:left="1587" w:header="851" w:footer="1361" w:gutter="0"/>
          <w:cols w:num="1" w:space="720"/>
          <w:docGrid w:type="lines" w:linePitch="312" w:charSpace="0"/>
        </w:sectPr>
      </w:pPr>
    </w:p>
    <w:p>
      <w:pPr>
        <w:overflowPunct w:val="0"/>
        <w:spacing w:line="576" w:lineRule="exact"/>
        <w:outlineLvl w:val="1"/>
        <w:rPr>
          <w:rFonts w:ascii="方正黑体简体" w:eastAsia="方正黑体简体" w:cs="方正黑体简体" w:hAnsi="方正黑体简体"/>
          <w:sz w:val="32"/>
          <w:szCs w:val="32"/>
        </w:rPr>
      </w:pPr>
      <w:r>
        <w:rPr>
          <w:rFonts w:ascii="方正黑体简体" w:eastAsia="方正黑体简体" w:cs="方正黑体简体" w:hAnsi="方正黑体简体" w:hint="eastAsia"/>
          <w:sz w:val="32"/>
          <w:szCs w:val="32"/>
        </w:rPr>
        <w:t>附表3</w:t>
      </w:r>
    </w:p>
    <w:p>
      <w:pPr>
        <w:pStyle w:val="1"/>
        <w:keepNext w:val="0"/>
        <w:keepLines w:val="0"/>
        <w:widowControl w:val="0"/>
        <w:tabs>
          <w:tab w:val="left" w:pos="0"/>
        </w:tabs>
        <w:spacing w:line="576" w:lineRule="exact"/>
        <w:jc w:val="center"/>
        <w:rPr>
          <w:rFonts w:ascii="方正小标宋简体" w:eastAsia="方正小标宋简体" w:cs="方正小标宋简体" w:hAnsi="方正小标宋简体"/>
          <w:b w:val="0"/>
          <w:kern w:val="2"/>
          <w:szCs w:val="44"/>
        </w:rPr>
      </w:pPr>
      <w:bookmarkStart w:id="176" w:name="_Toc7232"/>
      <w:bookmarkStart w:id="177" w:name="_Toc10861"/>
      <w:bookmarkStart w:id="178" w:name="_Toc6460"/>
      <w:bookmarkStart w:id="179" w:name="_Toc10790"/>
    </w:p>
    <w:p>
      <w:pPr>
        <w:pStyle w:val="1"/>
        <w:keepNext w:val="0"/>
        <w:keepLines w:val="0"/>
        <w:widowControl w:val="0"/>
        <w:tabs>
          <w:tab w:val="left" w:pos="0"/>
        </w:tabs>
        <w:spacing w:line="576" w:lineRule="exact"/>
        <w:jc w:val="center"/>
        <w:rPr>
          <w:rFonts w:ascii="方正小标宋简体" w:eastAsia="方正小标宋简体" w:cs="方正小标宋简体" w:hAnsi="方正小标宋简体"/>
          <w:b w:val="0"/>
          <w:kern w:val="2"/>
          <w:szCs w:val="44"/>
        </w:rPr>
      </w:pPr>
      <w:r>
        <w:rPr>
          <w:rFonts w:ascii="方正小标宋简体" w:eastAsia="方正小标宋简体" w:cs="方正小标宋简体" w:hAnsi="方正小标宋简体" w:hint="eastAsia"/>
          <w:b w:val="0"/>
          <w:kern w:val="2"/>
          <w:szCs w:val="44"/>
        </w:rPr>
        <w:t>分年度投资任务表</w:t>
      </w:r>
      <w:bookmarkEnd w:id="176"/>
      <w:bookmarkEnd w:id="177"/>
      <w:bookmarkEnd w:id="178"/>
      <w:bookmarkEnd w:id="179"/>
    </w:p>
    <w:p>
      <w:pPr>
        <w:spacing w:line="360" w:lineRule="auto"/>
        <w:jc w:val="right"/>
        <w:rPr>
          <w:rFonts w:ascii="仿宋" w:eastAsia="仿宋" w:cs="仿宋" w:hAnsi="仿宋"/>
          <w:sz w:val="28"/>
          <w:szCs w:val="28"/>
        </w:rPr>
      </w:pPr>
      <w:r>
        <w:rPr>
          <w:rFonts w:ascii="仿宋" w:eastAsia="仿宋" w:cs="仿宋" w:hAnsi="仿宋" w:hint="eastAsia"/>
          <w:kern w:val="0"/>
          <w:sz w:val="28"/>
          <w:szCs w:val="28"/>
        </w:rPr>
        <w:t>单位：万亩，万元</w:t>
      </w:r>
    </w:p>
    <w:tbl>
      <w:tblPr>
        <w:jc w:val="center"/>
        <w:tblW w:w="9399"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2700"/>
        <w:gridCol w:w="2751"/>
        <w:gridCol w:w="3948"/>
      </w:tblGrid>
      <w:tr>
        <w:trPr>
          <w:trHeight w:val="601"/>
        </w:trPr>
        <w:tc>
          <w:tcPr>
            <w:tcW w:w="2700" w:type="dxa"/>
            <w:vMerge w:val="restart"/>
            <w:tcBorders>
              <w:top w:val="single" w:sz="8" w:space="0" w:color="000000"/>
              <w:left w:val="single" w:sz="8" w:space="0" w:color="000000"/>
              <w:bottom w:val="single" w:sz="8" w:space="0" w:color="000000"/>
              <w:right w:val="single" w:sz="8" w:space="0" w:color="000000"/>
            </w:tcBorders>
            <w:noWrap/>
            <w:vAlign w:val="center"/>
          </w:tcPr>
          <w:p>
            <w:pPr>
              <w:widowControl/>
              <w:spacing w:line="280" w:lineRule="exact"/>
              <w:jc w:val="center"/>
              <w:textAlignment w:val="center"/>
              <w:rPr>
                <w:rFonts w:ascii="方正黑体简体" w:eastAsia="方正黑体简体" w:cs="仿宋" w:hAnsi="宋体"/>
                <w:szCs w:val="21"/>
              </w:rPr>
            </w:pPr>
            <w:r>
              <w:rPr>
                <w:rFonts w:ascii="方正黑体简体" w:eastAsia="方正黑体简体" w:cs="仿宋" w:hAnsi="宋体" w:hint="eastAsia"/>
                <w:kern w:val="0"/>
                <w:szCs w:val="21"/>
              </w:rPr>
              <w:t>年度</w:t>
            </w:r>
          </w:p>
        </w:tc>
        <w:tc>
          <w:tcPr>
            <w:tcW w:w="6699" w:type="dxa"/>
            <w:gridSpan w:val="2"/>
            <w:tcBorders>
              <w:top w:val="single" w:sz="8" w:space="0" w:color="000000"/>
              <w:left w:val="nil"/>
              <w:bottom w:val="single" w:sz="8" w:space="0" w:color="000000"/>
              <w:right w:val="single" w:sz="8" w:space="0" w:color="000000"/>
            </w:tcBorders>
            <w:noWrap/>
            <w:vAlign w:val="center"/>
          </w:tcPr>
          <w:p>
            <w:pPr>
              <w:widowControl/>
              <w:spacing w:line="280" w:lineRule="exact"/>
              <w:jc w:val="center"/>
              <w:textAlignment w:val="center"/>
              <w:rPr>
                <w:rFonts w:ascii="方正黑体简体" w:eastAsia="方正黑体简体" w:cs="仿宋" w:hAnsi="宋体"/>
                <w:szCs w:val="21"/>
              </w:rPr>
            </w:pPr>
            <w:r>
              <w:rPr>
                <w:rFonts w:ascii="方正黑体简体" w:eastAsia="方正黑体简体" w:cs="仿宋" w:hAnsi="宋体" w:hint="eastAsia"/>
                <w:kern w:val="0"/>
                <w:szCs w:val="21"/>
              </w:rPr>
              <w:t>项目</w:t>
            </w:r>
          </w:p>
        </w:tc>
      </w:tr>
      <w:tr>
        <w:trPr>
          <w:trHeight w:val="475"/>
        </w:trPr>
        <w:tc>
          <w:tcPr>
            <w:tcW w:w="2700" w:type="dxa"/>
            <w:vMerge/>
            <w:tcBorders>
              <w:top w:val="single" w:sz="8" w:space="0" w:color="000000"/>
              <w:left w:val="single" w:sz="8" w:space="0" w:color="000000"/>
              <w:bottom w:val="single" w:sz="8" w:space="0" w:color="000000"/>
              <w:right w:val="single" w:sz="8" w:space="0" w:color="000000"/>
            </w:tcBorders>
            <w:noWrap/>
            <w:vAlign w:val="center"/>
          </w:tcPr>
          <w:p/>
        </w:tc>
        <w:tc>
          <w:tcPr>
            <w:tcW w:w="2751" w:type="dxa"/>
            <w:tcBorders>
              <w:top w:val="nil"/>
              <w:left w:val="nil"/>
              <w:bottom w:val="nil"/>
              <w:right w:val="single" w:sz="8" w:space="0" w:color="000000"/>
            </w:tcBorders>
            <w:noWrap/>
            <w:vAlign w:val="center"/>
          </w:tcPr>
          <w:p>
            <w:pPr>
              <w:widowControl/>
              <w:spacing w:line="280" w:lineRule="exact"/>
              <w:jc w:val="center"/>
              <w:textAlignment w:val="center"/>
              <w:rPr>
                <w:rFonts w:ascii="方正黑体简体" w:eastAsia="方正黑体简体" w:cs="仿宋" w:hAnsi="宋体"/>
                <w:szCs w:val="21"/>
              </w:rPr>
            </w:pPr>
            <w:r>
              <w:rPr>
                <w:rFonts w:ascii="方正黑体简体" w:eastAsia="方正黑体简体" w:cs="仿宋" w:hAnsi="宋体" w:hint="eastAsia"/>
                <w:kern w:val="0"/>
                <w:szCs w:val="21"/>
              </w:rPr>
              <w:t>任务量（万亩）</w:t>
            </w:r>
          </w:p>
        </w:tc>
        <w:tc>
          <w:tcPr>
            <w:tcW w:w="3948" w:type="dxa"/>
            <w:tcBorders>
              <w:top w:val="nil"/>
              <w:left w:val="nil"/>
              <w:bottom w:val="nil"/>
              <w:right w:val="single" w:sz="8" w:space="0" w:color="000000"/>
            </w:tcBorders>
            <w:noWrap/>
            <w:vAlign w:val="center"/>
          </w:tcPr>
          <w:p>
            <w:pPr>
              <w:widowControl/>
              <w:spacing w:line="280" w:lineRule="exact"/>
              <w:jc w:val="center"/>
              <w:textAlignment w:val="center"/>
              <w:rPr>
                <w:rFonts w:ascii="方正黑体简体" w:eastAsia="方正黑体简体" w:cs="仿宋" w:hAnsi="宋体"/>
                <w:szCs w:val="21"/>
              </w:rPr>
            </w:pPr>
            <w:r>
              <w:rPr>
                <w:rFonts w:ascii="方正黑体简体" w:eastAsia="方正黑体简体" w:cs="仿宋" w:hAnsi="宋体" w:hint="eastAsia"/>
                <w:kern w:val="0"/>
                <w:szCs w:val="21"/>
              </w:rPr>
              <w:t>年度投资总额（万元）</w:t>
            </w:r>
          </w:p>
        </w:tc>
      </w:tr>
      <w:tr>
        <w:trPr>
          <w:trHeight w:val="676"/>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2021年度新建</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5.61</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16832</w:t>
            </w:r>
          </w:p>
        </w:tc>
      </w:tr>
      <w:tr>
        <w:trPr>
          <w:trHeight w:val="651"/>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2023年度改造提升</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1.6</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2175</w:t>
            </w:r>
          </w:p>
        </w:tc>
      </w:tr>
      <w:tr>
        <w:trPr>
          <w:trHeight w:val="651"/>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2024年度改造提升</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1.67</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 xml:space="preserve">2271 </w:t>
            </w:r>
          </w:p>
        </w:tc>
      </w:tr>
      <w:tr>
        <w:trPr>
          <w:trHeight w:val="651"/>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2025年度新建</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2.33</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 xml:space="preserve">6990 </w:t>
            </w:r>
          </w:p>
        </w:tc>
      </w:tr>
      <w:tr>
        <w:trPr>
          <w:trHeight w:val="651"/>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2025年度改造提升</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1.58</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 xml:space="preserve">2149 </w:t>
            </w:r>
          </w:p>
        </w:tc>
      </w:tr>
      <w:tr>
        <w:trPr>
          <w:trHeight w:val="651"/>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2026年度改造提升</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1.71</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 xml:space="preserve">2326 </w:t>
            </w:r>
          </w:p>
        </w:tc>
      </w:tr>
      <w:tr>
        <w:trPr>
          <w:trHeight w:val="651"/>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2027年度改造提升</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1.55</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 xml:space="preserve">2108 </w:t>
            </w:r>
          </w:p>
        </w:tc>
      </w:tr>
      <w:tr>
        <w:trPr>
          <w:trHeight w:val="651"/>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2028年度改造提升</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1.64</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 xml:space="preserve">2231 </w:t>
            </w:r>
          </w:p>
        </w:tc>
      </w:tr>
      <w:tr>
        <w:trPr>
          <w:trHeight w:val="651"/>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2029年度改造提升</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1.55</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 xml:space="preserve">2108 </w:t>
            </w:r>
          </w:p>
        </w:tc>
      </w:tr>
      <w:tr>
        <w:trPr>
          <w:trHeight w:val="651"/>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2030年度新建</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2.24</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 xml:space="preserve">6721 </w:t>
            </w:r>
          </w:p>
        </w:tc>
      </w:tr>
      <w:tr>
        <w:trPr>
          <w:trHeight w:val="651"/>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2030年度改造提升</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1.58</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 xml:space="preserve">2149 </w:t>
            </w:r>
          </w:p>
        </w:tc>
      </w:tr>
      <w:tr>
        <w:trPr>
          <w:trHeight w:val="676"/>
        </w:trPr>
        <w:tc>
          <w:tcPr>
            <w:tcW w:w="2700"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合计</w:t>
            </w:r>
          </w:p>
        </w:tc>
        <w:tc>
          <w:tcPr>
            <w:tcW w:w="2751"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23.06</w:t>
            </w:r>
          </w:p>
        </w:tc>
        <w:tc>
          <w:tcPr>
            <w:tcW w:w="39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kern w:val="0"/>
                <w:szCs w:val="21"/>
              </w:rPr>
            </w:pPr>
            <w:r>
              <w:rPr>
                <w:rFonts w:ascii="宋体" w:cs="仿宋" w:hAnsi="宋体" w:hint="eastAsia"/>
                <w:kern w:val="0"/>
                <w:szCs w:val="21"/>
              </w:rPr>
              <w:t xml:space="preserve">48060 </w:t>
            </w:r>
          </w:p>
        </w:tc>
      </w:tr>
    </w:tbl>
    <w:p>
      <w:pPr>
        <w:pStyle w:val="2"/>
        <w:tabs>
          <w:tab w:val="left" w:pos="0"/>
        </w:tabs>
        <w:rPr>
          <w:rFonts w:ascii="仿宋" w:eastAsia="仿宋" w:cs="仿宋" w:hAnsi="仿宋"/>
          <w:bCs w:val="0"/>
        </w:rPr>
      </w:pPr>
    </w:p>
    <w:p>
      <w:pPr>
        <w:widowControl/>
        <w:jc w:val="left"/>
        <w:rPr>
          <w:rFonts w:ascii="方正黑体简体" w:eastAsia="方正黑体简体" w:cs="方正黑体简体" w:hAnsi="方正黑体简体"/>
          <w:sz w:val="32"/>
          <w:szCs w:val="32"/>
        </w:rPr>
      </w:pPr>
      <w:bookmarkStart w:id="180" w:name="RANGE!A1:D41"/>
      <w:r>
        <w:rPr>
          <w:rFonts w:ascii="方正黑体简体" w:eastAsia="方正黑体简体" w:cs="方正黑体简体" w:hAnsi="方正黑体简体"/>
          <w:sz w:val="32"/>
          <w:szCs w:val="32"/>
        </w:rPr>
        <w:br w:type="page"/>
      </w:r>
    </w:p>
    <w:p>
      <w:pPr>
        <w:overflowPunct w:val="0"/>
        <w:spacing w:line="576" w:lineRule="exact"/>
        <w:outlineLvl w:val="1"/>
        <w:rPr>
          <w:rFonts w:ascii="方正黑体简体" w:eastAsia="方正黑体简体" w:cs="方正黑体简体" w:hAnsi="方正黑体简体"/>
          <w:sz w:val="32"/>
          <w:szCs w:val="32"/>
        </w:rPr>
      </w:pPr>
      <w:r>
        <w:rPr>
          <w:rFonts w:ascii="方正黑体简体" w:eastAsia="方正黑体简体" w:cs="方正黑体简体" w:hAnsi="方正黑体简体" w:hint="eastAsia"/>
          <w:sz w:val="32"/>
          <w:szCs w:val="32"/>
        </w:rPr>
        <w:t>附表4</w:t>
      </w:r>
      <w:bookmarkEnd w:id="180"/>
    </w:p>
    <w:p>
      <w:pPr>
        <w:pStyle w:val="15"/>
        <w:spacing w:line="576" w:lineRule="exact"/>
        <w:ind w:firstLine="0"/>
      </w:pPr>
    </w:p>
    <w:p>
      <w:pPr>
        <w:pStyle w:val="1"/>
        <w:keepNext w:val="0"/>
        <w:keepLines w:val="0"/>
        <w:widowControl w:val="0"/>
        <w:tabs>
          <w:tab w:val="left" w:pos="0"/>
        </w:tabs>
        <w:spacing w:afterLines="50" w:after="218" w:line="576" w:lineRule="exact"/>
        <w:jc w:val="center"/>
        <w:rPr>
          <w:rFonts w:ascii="方正小标宋简体" w:eastAsia="方正小标宋简体" w:cs="方正小标宋简体" w:hAnsi="方正小标宋简体"/>
          <w:b w:val="0"/>
          <w:kern w:val="2"/>
          <w:szCs w:val="44"/>
        </w:rPr>
      </w:pPr>
      <w:bookmarkStart w:id="181" w:name="_Toc25714"/>
      <w:bookmarkStart w:id="182" w:name="_Toc4449"/>
      <w:bookmarkStart w:id="183" w:name="_Toc30378"/>
      <w:bookmarkStart w:id="184" w:name="_Toc5470"/>
      <w:r>
        <w:rPr>
          <w:rFonts w:ascii="方正小标宋简体" w:eastAsia="方正小标宋简体" w:cs="方正小标宋简体" w:hAnsi="方正小标宋简体" w:hint="eastAsia"/>
          <w:b w:val="0"/>
          <w:kern w:val="2"/>
          <w:szCs w:val="44"/>
        </w:rPr>
        <w:t>项目预期效益表</w:t>
      </w:r>
      <w:bookmarkEnd w:id="181"/>
      <w:bookmarkEnd w:id="182"/>
      <w:bookmarkEnd w:id="183"/>
      <w:bookmarkEnd w:id="184"/>
    </w:p>
    <w:tbl>
      <w:tblPr>
        <w:jc w:val="center"/>
        <w:tblW w:w="9604" w:type="dxa"/>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
      <w:tblGrid>
        <w:gridCol w:w="4708"/>
        <w:gridCol w:w="2448"/>
        <w:gridCol w:w="2448"/>
      </w:tblGrid>
      <w:tr>
        <w:trPr>
          <w:trHeight w:val="576"/>
          <w:tblHeader/>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方正黑体简体" w:eastAsia="方正黑体简体" w:cs="仿宋" w:hAnsi="宋体"/>
                <w:szCs w:val="21"/>
              </w:rPr>
            </w:pPr>
            <w:r>
              <w:rPr>
                <w:rFonts w:ascii="方正黑体简体" w:eastAsia="方正黑体简体" w:cs="仿宋" w:hAnsi="宋体" w:hint="eastAsia"/>
                <w:kern w:val="0"/>
                <w:szCs w:val="21"/>
              </w:rPr>
              <w:t>项目名称</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方正黑体简体" w:eastAsia="方正黑体简体" w:cs="仿宋" w:hAnsi="宋体"/>
                <w:szCs w:val="21"/>
              </w:rPr>
            </w:pPr>
            <w:r>
              <w:rPr>
                <w:rFonts w:ascii="方正黑体简体" w:eastAsia="方正黑体简体" w:cs="仿宋" w:hAnsi="宋体" w:hint="eastAsia"/>
                <w:kern w:val="0"/>
                <w:szCs w:val="21"/>
              </w:rPr>
              <w:t>数值</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方正黑体简体" w:eastAsia="方正黑体简体" w:cs="仿宋" w:hAnsi="宋体"/>
                <w:szCs w:val="21"/>
              </w:rPr>
            </w:pPr>
            <w:r>
              <w:rPr>
                <w:rFonts w:ascii="方正黑体简体" w:eastAsia="方正黑体简体" w:cs="仿宋" w:hAnsi="宋体" w:hint="eastAsia"/>
                <w:kern w:val="0"/>
                <w:szCs w:val="21"/>
              </w:rPr>
              <w:t>单位</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（一）农业生产条件及生态环境改善</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szCs w:val="21"/>
              </w:rPr>
            </w:pP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新增耕地平均增加等级</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0.5</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级</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高标准农田粮食综合产能亩均提高</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100</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公斤</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改造提升农田粮食综合产能亩均提高</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80</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公斤</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每年亩均节本增效</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200—300</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元</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合计每年增加粮食综合产能</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1824.4</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万公斤</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高效节水灌溉面积</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3.09</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万亩</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灌溉水利用率提高至</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75</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百分比</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增加农田林网防护面积</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23.06</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万亩</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增加机耕面积</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10.22</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万亩</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农业综合机械化提高值</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25</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百分比</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道路通达率</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95</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百分比</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蓄水池容量</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7.64</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万立方米</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（二）年新增主要农产品生产能力</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szCs w:val="21"/>
              </w:rPr>
            </w:pP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粮食</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9720</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万公斤</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棉花</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万公斤</w:t>
            </w:r>
          </w:p>
        </w:tc>
      </w:tr>
      <w:tr>
        <w:trPr>
          <w:trHeight w:val="576"/>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油料</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1785</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万公斤</w:t>
            </w:r>
          </w:p>
        </w:tc>
      </w:tr>
      <w:tr>
        <w:trPr>
          <w:trHeight w:val="567"/>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糖料</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万公斤</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其他农产品</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3976</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万公斤</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（三）项目区经济效益和社会效益</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szCs w:val="21"/>
              </w:rPr>
            </w:pP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项目区年直接受益农户数量</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4.4</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万户</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项目区年直接受益农业人口数</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14.5</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万人</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项目区直接受益农民年纯收入增加总额</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312.52</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万元</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项目区公众满意度</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97</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百分比</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（四）其他效益</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spacing w:line="280" w:lineRule="exact"/>
              <w:jc w:val="center"/>
              <w:rPr>
                <w:rFonts w:ascii="宋体" w:cs="仿宋" w:hAnsi="宋体"/>
                <w:szCs w:val="21"/>
              </w:rPr>
            </w:pP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扩大良种种植面积</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15.44</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万亩</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治理盐碱化土地面积</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万亩</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治理酸化土地面积</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万亩</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治理沙化土地面积</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万亩</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控制水土流失面积</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4.43</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万亩</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项目区土地流转面积</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5.59</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万亩</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项目区引进新型农业经营主体个数</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917</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个</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农业龙头企业个数</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3</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个</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农民合作组织个数</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56</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个</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家庭农场个数</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552</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个</w:t>
            </w:r>
          </w:p>
        </w:tc>
      </w:tr>
      <w:tr>
        <w:trPr>
          <w:trHeight w:val="588"/>
        </w:trPr>
        <w:tc>
          <w:tcPr>
            <w:tcW w:w="470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种粮大户个数</w:t>
            </w:r>
          </w:p>
        </w:tc>
        <w:tc>
          <w:tcPr>
            <w:tcW w:w="2448" w:type="dxa"/>
            <w:tcBorders>
              <w:top w:val="single" w:sz="4" w:space="0" w:color="000000"/>
              <w:left w:val="single" w:sz="4" w:space="0" w:color="000000"/>
              <w:bottom w:val="single" w:sz="4" w:space="0" w:color="000000"/>
              <w:right w:val="single" w:sz="4" w:space="0" w:color="000000"/>
            </w:tcBorders>
            <w:noWrap/>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420</w:t>
            </w:r>
          </w:p>
        </w:tc>
        <w:tc>
          <w:tcPr>
            <w:tcW w:w="2448" w:type="dxa"/>
            <w:tcBorders>
              <w:top w:val="single" w:sz="4" w:space="0" w:color="000000"/>
              <w:left w:val="single" w:sz="4" w:space="0" w:color="000000"/>
              <w:bottom w:val="single" w:sz="4" w:space="0" w:color="000000"/>
              <w:right w:val="single" w:sz="4" w:space="0" w:color="000000"/>
            </w:tcBorders>
            <w:vAlign w:val="center"/>
          </w:tcPr>
          <w:p>
            <w:pPr>
              <w:widowControl/>
              <w:spacing w:line="280" w:lineRule="exact"/>
              <w:jc w:val="center"/>
              <w:textAlignment w:val="center"/>
              <w:rPr>
                <w:rFonts w:ascii="宋体" w:cs="仿宋" w:hAnsi="宋体"/>
                <w:szCs w:val="21"/>
              </w:rPr>
            </w:pPr>
            <w:r>
              <w:rPr>
                <w:rFonts w:ascii="宋体" w:cs="仿宋" w:hAnsi="宋体" w:hint="eastAsia"/>
                <w:kern w:val="0"/>
                <w:szCs w:val="21"/>
              </w:rPr>
              <w:t>个</w:t>
            </w:r>
          </w:p>
        </w:tc>
      </w:tr>
    </w:tbl>
    <w:p>
      <w:pPr>
        <w:pStyle w:val="2"/>
        <w:tabs>
          <w:tab w:val="left" w:pos="0"/>
        </w:tabs>
        <w:rPr>
          <w:rFonts w:ascii="仿宋" w:eastAsia="仿宋" w:cs="仿宋" w:hAnsi="仿宋"/>
          <w:bCs w:val="0"/>
        </w:rPr>
      </w:pPr>
    </w:p>
    <w:p>
      <w:pPr>
        <w:spacing w:line="360" w:lineRule="auto"/>
        <w:rPr>
          <w:rFonts w:ascii="仿宋" w:eastAsia="仿宋" w:cs="仿宋" w:hAnsi="仿宋"/>
        </w:rPr>
        <w:sectPr>
          <w:pgSz w:w="11906" w:h="16838"/>
          <w:pgMar w:top="2098" w:right="1474" w:bottom="1984" w:left="1587" w:header="851" w:footer="1588" w:gutter="0"/>
          <w:cols w:num="1" w:space="720"/>
          <w:docGrid w:type="lines" w:linePitch="435" w:charSpace="0"/>
        </w:sectPr>
      </w:pPr>
    </w:p>
    <w:p>
      <w:pPr>
        <w:overflowPunct w:val="0"/>
        <w:spacing w:line="576" w:lineRule="exact"/>
        <w:outlineLvl w:val="1"/>
        <w:rPr>
          <w:rFonts w:ascii="方正黑体简体" w:eastAsia="方正黑体简体" w:cs="方正黑体简体" w:hAnsi="方正黑体简体"/>
          <w:sz w:val="32"/>
          <w:szCs w:val="32"/>
        </w:rPr>
      </w:pPr>
      <w:r>
        <w:rPr>
          <w:rFonts w:ascii="方正黑体简体" w:eastAsia="方正黑体简体" w:cs="方正黑体简体" w:hAnsi="方正黑体简体" w:hint="eastAsia"/>
          <w:sz w:val="32"/>
          <w:szCs w:val="32"/>
        </w:rPr>
        <w:t>附表5</w:t>
      </w:r>
    </w:p>
    <w:p>
      <w:pPr>
        <w:pStyle w:val="1"/>
        <w:keepNext w:val="0"/>
        <w:keepLines w:val="0"/>
        <w:widowControl w:val="0"/>
        <w:tabs>
          <w:tab w:val="left" w:pos="0"/>
        </w:tabs>
        <w:spacing w:line="576" w:lineRule="exact"/>
        <w:jc w:val="center"/>
        <w:rPr>
          <w:rFonts w:ascii="方正小标宋简体" w:eastAsia="方正小标宋简体" w:cs="方正小标宋简体" w:hAnsi="方正小标宋简体"/>
          <w:b w:val="0"/>
          <w:kern w:val="2"/>
          <w:szCs w:val="44"/>
        </w:rPr>
      </w:pPr>
      <w:bookmarkStart w:id="185" w:name="_Toc11550"/>
      <w:bookmarkStart w:id="186" w:name="_Toc28631"/>
      <w:bookmarkStart w:id="187" w:name="_Toc6594"/>
      <w:bookmarkStart w:id="188" w:name="_Toc7552"/>
    </w:p>
    <w:p>
      <w:pPr>
        <w:pStyle w:val="1"/>
        <w:keepNext w:val="0"/>
        <w:keepLines w:val="0"/>
        <w:widowControl w:val="0"/>
        <w:tabs>
          <w:tab w:val="left" w:pos="0"/>
        </w:tabs>
        <w:spacing w:afterLines="50" w:after="218" w:line="576" w:lineRule="exact"/>
        <w:jc w:val="center"/>
        <w:rPr>
          <w:rFonts w:ascii="方正小标宋简体" w:eastAsia="方正小标宋简体" w:cs="方正小标宋简体" w:hAnsi="方正小标宋简体"/>
          <w:b w:val="0"/>
          <w:kern w:val="2"/>
          <w:szCs w:val="44"/>
        </w:rPr>
      </w:pPr>
      <w:r>
        <w:rPr>
          <w:rFonts w:ascii="方正小标宋简体" w:eastAsia="方正小标宋简体" w:cs="方正小标宋简体" w:hAnsi="方正小标宋简体" w:hint="eastAsia"/>
          <w:b w:val="0"/>
          <w:kern w:val="2"/>
          <w:szCs w:val="44"/>
        </w:rPr>
        <w:t>广元市利州区高标准农田建设项目储备库清单</w:t>
      </w:r>
      <w:bookmarkEnd w:id="185"/>
      <w:bookmarkEnd w:id="186"/>
      <w:bookmarkEnd w:id="187"/>
      <w:bookmarkEnd w:id="188"/>
    </w:p>
    <w:tbl>
      <w:tblPr>
        <w:jc w:val="center"/>
        <w:tblW w:w="14058"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Pr>
      <w:tblGrid>
        <w:gridCol w:w="470"/>
        <w:gridCol w:w="868"/>
        <w:gridCol w:w="1184"/>
        <w:gridCol w:w="1561"/>
        <w:gridCol w:w="1035"/>
        <w:gridCol w:w="6600"/>
        <w:gridCol w:w="1127"/>
        <w:gridCol w:w="718"/>
        <w:gridCol w:w="495"/>
      </w:tblGrid>
      <w:tr>
        <w:trPr>
          <w:trHeight w:val="527"/>
          <w:tblHeader/>
        </w:trPr>
        <w:tc>
          <w:tcPr>
            <w:tcW w:w="470" w:type="dxa"/>
            <w:tcBorders>
              <w:top w:val="single" w:sz="8" w:space="0" w:color="000000"/>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方正黑体简体" w:eastAsia="方正黑体简体" w:cs="方正黑体简体" w:hAnsi="宋体"/>
                <w:szCs w:val="21"/>
              </w:rPr>
            </w:pPr>
            <w:r>
              <w:rPr>
                <w:rFonts w:ascii="方正黑体简体" w:eastAsia="方正黑体简体" w:cs="方正黑体简体" w:hAnsi="宋体" w:hint="eastAsia"/>
                <w:kern w:val="0"/>
                <w:szCs w:val="21"/>
              </w:rPr>
              <w:t>序号</w:t>
            </w:r>
          </w:p>
        </w:tc>
        <w:tc>
          <w:tcPr>
            <w:tcW w:w="868" w:type="dxa"/>
            <w:tcBorders>
              <w:top w:val="single" w:sz="8" w:space="0" w:color="000000"/>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方正黑体简体" w:eastAsia="方正黑体简体" w:cs="方正黑体简体" w:hAnsi="宋体"/>
                <w:szCs w:val="21"/>
              </w:rPr>
            </w:pPr>
            <w:r>
              <w:rPr>
                <w:rFonts w:ascii="方正黑体简体" w:eastAsia="方正黑体简体" w:cs="方正黑体简体" w:hAnsi="宋体" w:hint="eastAsia"/>
                <w:kern w:val="0"/>
                <w:szCs w:val="21"/>
              </w:rPr>
              <w:t>市（州）</w:t>
            </w:r>
          </w:p>
        </w:tc>
        <w:tc>
          <w:tcPr>
            <w:tcW w:w="1184" w:type="dxa"/>
            <w:tcBorders>
              <w:top w:val="single" w:sz="8" w:space="0" w:color="000000"/>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方正黑体简体" w:eastAsia="方正黑体简体" w:cs="方正黑体简体" w:hAnsi="宋体"/>
                <w:kern w:val="0"/>
                <w:szCs w:val="21"/>
              </w:rPr>
            </w:pPr>
            <w:r>
              <w:rPr>
                <w:rFonts w:ascii="方正黑体简体" w:eastAsia="方正黑体简体" w:cs="方正黑体简体" w:hAnsi="宋体" w:hint="eastAsia"/>
                <w:kern w:val="0"/>
                <w:szCs w:val="21"/>
              </w:rPr>
              <w:t>区</w:t>
            </w:r>
          </w:p>
          <w:p>
            <w:pPr>
              <w:widowControl/>
              <w:spacing w:line="280" w:lineRule="exact"/>
              <w:jc w:val="center"/>
              <w:textAlignment w:val="center"/>
              <w:rPr>
                <w:rFonts w:ascii="方正黑体简体" w:eastAsia="方正黑体简体" w:cs="方正黑体简体" w:hAnsi="宋体"/>
                <w:szCs w:val="21"/>
              </w:rPr>
            </w:pPr>
            <w:r>
              <w:rPr>
                <w:rFonts w:ascii="方正黑体简体" w:eastAsia="方正黑体简体" w:cs="方正黑体简体" w:hAnsi="宋体" w:hint="eastAsia"/>
                <w:kern w:val="0"/>
                <w:szCs w:val="21"/>
              </w:rPr>
              <w:t>（市、区）</w:t>
            </w:r>
          </w:p>
        </w:tc>
        <w:tc>
          <w:tcPr>
            <w:tcW w:w="1561" w:type="dxa"/>
            <w:tcBorders>
              <w:top w:val="single" w:sz="8" w:space="0" w:color="000000"/>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方正黑体简体" w:eastAsia="方正黑体简体" w:cs="方正黑体简体" w:hAnsi="宋体"/>
                <w:szCs w:val="21"/>
              </w:rPr>
            </w:pPr>
            <w:r>
              <w:rPr>
                <w:rFonts w:ascii="方正黑体简体" w:eastAsia="方正黑体简体" w:cs="方正黑体简体" w:hAnsi="宋体" w:hint="eastAsia"/>
                <w:kern w:val="0"/>
                <w:szCs w:val="21"/>
              </w:rPr>
              <w:t>项目名称</w:t>
            </w:r>
          </w:p>
        </w:tc>
        <w:tc>
          <w:tcPr>
            <w:tcW w:w="1035" w:type="dxa"/>
            <w:tcBorders>
              <w:top w:val="single" w:sz="8" w:space="0" w:color="000000"/>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方正黑体简体" w:eastAsia="方正黑体简体" w:cs="方正黑体简体" w:hAnsi="宋体"/>
                <w:szCs w:val="21"/>
              </w:rPr>
            </w:pPr>
            <w:r>
              <w:rPr>
                <w:rFonts w:ascii="方正黑体简体" w:eastAsia="方正黑体简体" w:cs="方正黑体简体" w:hAnsi="宋体" w:hint="eastAsia"/>
                <w:kern w:val="0"/>
                <w:szCs w:val="21"/>
              </w:rPr>
              <w:t>任务量</w:t>
            </w:r>
          </w:p>
        </w:tc>
        <w:tc>
          <w:tcPr>
            <w:tcW w:w="6600" w:type="dxa"/>
            <w:tcBorders>
              <w:top w:val="single" w:sz="8" w:space="0" w:color="000000"/>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方正黑体简体" w:eastAsia="方正黑体简体" w:cs="方正黑体简体" w:hAnsi="宋体"/>
                <w:szCs w:val="21"/>
              </w:rPr>
            </w:pPr>
            <w:r>
              <w:rPr>
                <w:rFonts w:ascii="方正黑体简体" w:eastAsia="方正黑体简体" w:cs="方正黑体简体" w:hAnsi="宋体" w:hint="eastAsia"/>
                <w:kern w:val="0"/>
                <w:szCs w:val="21"/>
              </w:rPr>
              <w:t>建设地点</w:t>
            </w:r>
          </w:p>
        </w:tc>
        <w:tc>
          <w:tcPr>
            <w:tcW w:w="1127" w:type="dxa"/>
            <w:tcBorders>
              <w:top w:val="single" w:sz="8" w:space="0" w:color="000000"/>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方正黑体简体" w:eastAsia="方正黑体简体" w:cs="方正黑体简体" w:hAnsi="宋体"/>
                <w:szCs w:val="21"/>
              </w:rPr>
            </w:pPr>
            <w:r>
              <w:rPr>
                <w:rFonts w:ascii="方正黑体简体" w:eastAsia="方正黑体简体" w:cs="方正黑体简体" w:hAnsi="宋体" w:hint="eastAsia"/>
                <w:kern w:val="0"/>
                <w:szCs w:val="21"/>
              </w:rPr>
              <w:t>是否改造提升项目（是/否）</w:t>
            </w:r>
          </w:p>
        </w:tc>
        <w:tc>
          <w:tcPr>
            <w:tcW w:w="718" w:type="dxa"/>
            <w:tcBorders>
              <w:top w:val="single" w:sz="8" w:space="0" w:color="000000"/>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方正黑体简体" w:eastAsia="方正黑体简体" w:cs="方正黑体简体" w:hAnsi="宋体"/>
                <w:szCs w:val="21"/>
              </w:rPr>
            </w:pPr>
            <w:r>
              <w:rPr>
                <w:rFonts w:ascii="方正黑体简体" w:eastAsia="方正黑体简体" w:cs="方正黑体简体" w:hAnsi="宋体" w:hint="eastAsia"/>
                <w:kern w:val="0"/>
                <w:szCs w:val="21"/>
              </w:rPr>
              <w:t>当前进度</w:t>
            </w:r>
          </w:p>
        </w:tc>
        <w:tc>
          <w:tcPr>
            <w:tcW w:w="495" w:type="dxa"/>
            <w:tcBorders>
              <w:top w:val="single" w:sz="8" w:space="0" w:color="000000"/>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方正黑体简体" w:eastAsia="方正黑体简体" w:cs="方正黑体简体" w:hAnsi="宋体"/>
                <w:szCs w:val="21"/>
              </w:rPr>
            </w:pPr>
            <w:r>
              <w:rPr>
                <w:rFonts w:ascii="方正黑体简体" w:eastAsia="方正黑体简体" w:cs="方正黑体简体" w:hAnsi="宋体" w:hint="eastAsia"/>
                <w:kern w:val="0"/>
                <w:szCs w:val="21"/>
              </w:rPr>
              <w:t>备注</w:t>
            </w:r>
          </w:p>
        </w:tc>
      </w:tr>
      <w:tr>
        <w:trPr>
          <w:trHeight w:val="2499"/>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四川省广元市2021年利州区高标准农田建设项目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5.61</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白朝乡荞鱼村、星明村、新房村，上西街道联盟村、郑家沟村，嘉陵街道小岩村、枫香村、三颗村、亮垭村、新塘村，龙潭乡回民村、凤凰村、红心村、庙坪村、青龙村、小垭村、界牌村，宝轮镇石桥社区、海棠溪村、范家村、菖溪村、清江村、赤化村、白田坝社区、泥窝社区，三堆镇宝珠社区、井田村、高桥村、龙池村、羊盘村、九龙村、舞凤村、五郎村，河西街道白山村、杨家浩村、同心村、学工村、群心社区、龙泉社区，荣山镇泉坝村、大地村、中口村，大石镇大石板社区、安家湾村、青岭村、小稻村，金洞乡龙洞村、水磨村。</w:t>
            </w:r>
          </w:p>
        </w:tc>
        <w:tc>
          <w:tcPr>
            <w:tcW w:w="1127"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否</w:t>
            </w:r>
          </w:p>
        </w:tc>
        <w:tc>
          <w:tcPr>
            <w:tcW w:w="718"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r>
      <w:tr>
        <w:trPr>
          <w:trHeight w:val="3254"/>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2</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四川省广元市2025年利州区高标准农田建设项目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2.33</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jc w:val="left"/>
              <w:textAlignment w:val="center"/>
              <w:rPr>
                <w:rFonts w:ascii="宋体" w:cs="宋体" w:hAnsi="宋体"/>
                <w:szCs w:val="21"/>
              </w:rPr>
            </w:pPr>
            <w:r>
              <w:rPr>
                <w:rFonts w:ascii="宋体" w:cs="宋体" w:hAnsi="宋体" w:hint="eastAsia"/>
                <w:szCs w:val="21"/>
              </w:rPr>
              <w:t>白朝乡荞鱼村、月坝村、观音村、新房村、新华村、徐家村，宝轮镇菖溪村、范家村、海棠溪村、张公岭村、梨源村、天曌村、石桥社区，大石镇安家湾村、金龙洞村、石笋村、小稻村、大稻坝村、前进村、缠龙村、青岩村、青岭村、光荣村、大石板社区，金洞乡长阳村、清</w:t>
            </w:r>
            <w:r>
              <w:rPr>
                <w:rFonts w:ascii="宋体" w:cs="宋体" w:hAnsi="宋体" w:hint="eastAsia"/>
                <w:kern w:val="0"/>
                <w:szCs w:val="21"/>
              </w:rPr>
              <w:t>河村、青峰村、龙洞村、水磨村、店子村，龙潭乡柏佛村、凤凰村、回民村、界牌村，荣山镇鱼龙村，三堆镇井田村、五郎村、高桥村、七里村、羊盘村、龙星村、飞凤村、飞龙村、白岩村、舞凤村、九龙村，荣山镇岩窝村、中口村、高坑村、和平村、大山村、太山村、鱼龙村、泉坝村、红旗村、宋坪村。广元经济技术开发区管辖内：石龙村、白龙社区、双龙社区、石门社区，东升村、黄垭村、南山村、深沟村、仕农村、新龙村、西南村、五佛崖村、协合村。</w:t>
            </w:r>
          </w:p>
        </w:tc>
        <w:tc>
          <w:tcPr>
            <w:tcW w:w="1127"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否</w:t>
            </w:r>
          </w:p>
        </w:tc>
        <w:tc>
          <w:tcPr>
            <w:tcW w:w="718"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r>
      <w:tr>
        <w:trPr>
          <w:trHeight w:val="525"/>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3</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四川省广元市2023年利州区高标准农田改造提升项目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1.6</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大石镇安家湾村、光荣村、青岭村、五一村、小稻村，荣山镇泉坝村、中口村，三堆镇白岩村、羊盘村。</w:t>
            </w:r>
          </w:p>
        </w:tc>
        <w:tc>
          <w:tcPr>
            <w:tcW w:w="1127"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是</w:t>
            </w:r>
          </w:p>
        </w:tc>
        <w:tc>
          <w:tcPr>
            <w:tcW w:w="718"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r>
      <w:tr>
        <w:trPr>
          <w:trHeight w:val="1035"/>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4</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四川省广元市2024年利州区高标准农田改造提升项目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1.67</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白朝乡荞鱼村、月坝村、观音村，大石镇金龙洞村，雪峰街道金山村、泡石社区，万缘街道快乐社区、绿化村、万和村、万缘社区，河西街道白山村、学工村、杨家浩村、杨柳村，金洞乡店子村、清河村、水磨村、龙洞村、长阳村、青峰村。广元经济技术开发区管辖内：南陵社区、下西社区、八一社区、曾家营社区。</w:t>
            </w:r>
          </w:p>
        </w:tc>
        <w:tc>
          <w:tcPr>
            <w:tcW w:w="1127"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是</w:t>
            </w:r>
          </w:p>
        </w:tc>
        <w:tc>
          <w:tcPr>
            <w:tcW w:w="718"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r>
      <w:tr>
        <w:trPr>
          <w:trHeight w:val="525"/>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5</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四川省广元市2025年利州区高标准农田建设项目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1.58</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宝轮镇赤化村、张公岭村、梨源村、范家村、天曌村、石桥社区，三堆镇井田村、高桥村、九龙村、飞凤村、舞凤村、七里村、龙星村。</w:t>
            </w:r>
          </w:p>
        </w:tc>
        <w:tc>
          <w:tcPr>
            <w:tcW w:w="1127"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是</w:t>
            </w:r>
          </w:p>
        </w:tc>
        <w:tc>
          <w:tcPr>
            <w:tcW w:w="718"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r>
      <w:tr>
        <w:trPr>
          <w:trHeight w:val="525"/>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6</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四川省广元市2026年利州区高标准农田改造提升项目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1.71</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大石镇大石板社区，荣山镇和平村、岩窝村、高坑村、太山村、大山村、宋坪村、鱼龙村、红旗村。</w:t>
            </w:r>
          </w:p>
        </w:tc>
        <w:tc>
          <w:tcPr>
            <w:tcW w:w="1127"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是</w:t>
            </w:r>
          </w:p>
        </w:tc>
        <w:tc>
          <w:tcPr>
            <w:tcW w:w="718"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r>
      <w:tr>
        <w:trPr>
          <w:trHeight w:val="1452"/>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7</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四川省广元市2027年利州区高标准农田建设项目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1.55</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宝轮镇海棠溪村、范家村、菖溪村、红星村、清江村、老林村、天曌村、爱国社区、三江口社区，上西街道联盟村、吴家濠村，大石镇缠龙村、前进村、青岩村、大稻坝村。广元经济技术开发区管辖内：白龙社区、石门社区。</w:t>
            </w:r>
          </w:p>
        </w:tc>
        <w:tc>
          <w:tcPr>
            <w:tcW w:w="1127"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是</w:t>
            </w:r>
          </w:p>
        </w:tc>
        <w:tc>
          <w:tcPr>
            <w:tcW w:w="718"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r>
      <w:tr>
        <w:trPr>
          <w:trHeight w:val="1325"/>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8</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四川省广元市2028年利州区高标准农田改造提升项目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1.64</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kern w:val="0"/>
                <w:szCs w:val="21"/>
              </w:rPr>
            </w:pPr>
            <w:r>
              <w:rPr>
                <w:rFonts w:ascii="宋体" w:cs="宋体" w:hAnsi="宋体" w:hint="eastAsia"/>
                <w:kern w:val="0"/>
                <w:szCs w:val="21"/>
              </w:rPr>
              <w:t>龙潭乡红心村、凤凰村、青龙村、曙光村、桃园村、界牌村、庙坪村，三堆镇五郎村。</w:t>
            </w:r>
          </w:p>
        </w:tc>
        <w:tc>
          <w:tcPr>
            <w:tcW w:w="1127"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是</w:t>
            </w:r>
          </w:p>
        </w:tc>
        <w:tc>
          <w:tcPr>
            <w:tcW w:w="718"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r>
      <w:tr>
        <w:trPr>
          <w:trHeight w:val="1313"/>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9</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四川省广元市2029年利州区高标准农田建设项目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1.55</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嘉陵街道新塘村、枫香村、小岩村、亮垭村、虎星村、三颗村，龙潭乡柏佛村、金鼓村、复兴村、回民村。</w:t>
            </w:r>
          </w:p>
        </w:tc>
        <w:tc>
          <w:tcPr>
            <w:tcW w:w="1127"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是</w:t>
            </w:r>
          </w:p>
        </w:tc>
        <w:tc>
          <w:tcPr>
            <w:tcW w:w="718" w:type="dxa"/>
            <w:tcBorders>
              <w:top w:val="nil"/>
              <w:left w:val="nil"/>
              <w:bottom w:val="single" w:sz="8" w:space="0" w:color="000000"/>
              <w:right w:val="single" w:sz="8" w:space="0" w:color="000000"/>
            </w:tcBorders>
            <w:shd w:val="clear" w:color="auto" w:fill="auto"/>
            <w:noWrap/>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noWrap/>
            <w:vAlign w:val="center"/>
          </w:tcPr>
          <w:p>
            <w:pPr>
              <w:spacing w:line="280" w:lineRule="exact"/>
              <w:jc w:val="center"/>
              <w:rPr>
                <w:rFonts w:ascii="宋体" w:cs="宋体" w:hAnsi="宋体"/>
                <w:szCs w:val="21"/>
              </w:rPr>
            </w:pPr>
          </w:p>
        </w:tc>
      </w:tr>
      <w:tr>
        <w:trPr>
          <w:trHeight w:val="2346"/>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10</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四川省广元市2030年利州区高标准农田建设项目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2.24</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龙潭乡红心村、凤凰村、界牌村、回民村、小垭村、青龙村、金鼓村、曙光村、桃园村、复兴村、庙坪村、柏佛村，河西街道学工村、杨柳村、白山村、杨家浩村、同心村，上西街道联盟村、吴家濠村，万缘街道万和村、绿化村，雪峰街道金山村，嘉陵街道枫香村、新塘村、小岩村、虎星村、亮垭村、三颗村。广元经济技术开发区管辖内：南山村、西南村、黄垭村、深沟村、红光村、仕农村、覃家梁村、石盘社区、走马岭社区、上石村、新龙村、五佛崖村。</w:t>
            </w:r>
          </w:p>
        </w:tc>
        <w:tc>
          <w:tcPr>
            <w:tcW w:w="1127" w:type="dxa"/>
            <w:tcBorders>
              <w:top w:val="nil"/>
              <w:left w:val="nil"/>
              <w:bottom w:val="single" w:sz="8" w:space="0" w:color="000000"/>
              <w:right w:val="single" w:sz="8" w:space="0" w:color="000000"/>
            </w:tcBorders>
            <w:shd w:val="clear" w:color="auto" w:fill="auto"/>
            <w:vAlign w:val="center"/>
          </w:tcPr>
          <w:p>
            <w:pPr>
              <w:spacing w:line="280" w:lineRule="exact"/>
              <w:jc w:val="center"/>
              <w:rPr>
                <w:rFonts w:ascii="宋体" w:cs="宋体" w:hAnsi="宋体"/>
                <w:szCs w:val="21"/>
              </w:rPr>
            </w:pPr>
          </w:p>
        </w:tc>
        <w:tc>
          <w:tcPr>
            <w:tcW w:w="718" w:type="dxa"/>
            <w:tcBorders>
              <w:top w:val="nil"/>
              <w:left w:val="nil"/>
              <w:bottom w:val="single" w:sz="8" w:space="0" w:color="000000"/>
              <w:right w:val="single" w:sz="8" w:space="0" w:color="000000"/>
            </w:tcBorders>
            <w:shd w:val="clear" w:color="auto" w:fill="auto"/>
            <w:noWrap/>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noWrap/>
            <w:vAlign w:val="center"/>
          </w:tcPr>
          <w:p>
            <w:pPr>
              <w:spacing w:line="280" w:lineRule="exact"/>
              <w:jc w:val="center"/>
              <w:rPr>
                <w:rFonts w:ascii="宋体" w:cs="宋体" w:hAnsi="宋体"/>
                <w:szCs w:val="21"/>
              </w:rPr>
            </w:pPr>
          </w:p>
        </w:tc>
      </w:tr>
      <w:tr>
        <w:trPr>
          <w:trHeight w:val="1494"/>
        </w:trPr>
        <w:tc>
          <w:tcPr>
            <w:tcW w:w="470" w:type="dxa"/>
            <w:tcBorders>
              <w:top w:val="nil"/>
              <w:left w:val="single" w:sz="8" w:space="0" w:color="000000"/>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11</w:t>
            </w:r>
          </w:p>
        </w:tc>
        <w:tc>
          <w:tcPr>
            <w:tcW w:w="868"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广元市</w:t>
            </w:r>
          </w:p>
        </w:tc>
        <w:tc>
          <w:tcPr>
            <w:tcW w:w="1184"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利州区</w:t>
            </w:r>
          </w:p>
        </w:tc>
        <w:tc>
          <w:tcPr>
            <w:tcW w:w="1561"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四川省广元市2030年利州区高标准农田改造提升项目</w:t>
            </w:r>
          </w:p>
        </w:tc>
        <w:tc>
          <w:tcPr>
            <w:tcW w:w="1035"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1.58</w:t>
            </w:r>
          </w:p>
        </w:tc>
        <w:tc>
          <w:tcPr>
            <w:tcW w:w="6600" w:type="dxa"/>
            <w:tcBorders>
              <w:top w:val="nil"/>
              <w:left w:val="nil"/>
              <w:bottom w:val="single" w:sz="8" w:space="0" w:color="000000"/>
              <w:right w:val="single" w:sz="8" w:space="0" w:color="000000"/>
            </w:tcBorders>
            <w:shd w:val="clear" w:color="auto" w:fill="auto"/>
            <w:vAlign w:val="center"/>
          </w:tcPr>
          <w:p>
            <w:pPr>
              <w:widowControl/>
              <w:spacing w:line="280" w:lineRule="exact"/>
              <w:textAlignment w:val="center"/>
              <w:rPr>
                <w:rFonts w:ascii="宋体" w:cs="宋体" w:hAnsi="宋体"/>
                <w:szCs w:val="21"/>
              </w:rPr>
            </w:pPr>
            <w:r>
              <w:rPr>
                <w:rFonts w:ascii="宋体" w:cs="宋体" w:hAnsi="宋体" w:hint="eastAsia"/>
                <w:kern w:val="0"/>
                <w:szCs w:val="21"/>
              </w:rPr>
              <w:t>龙潭乡凤凰村、小垭村。广元经济技术开发区管辖内：东升村、红光村、黄垭村、南山村、西南村、五佛崖村、协合村、新龙村、覃家梁村、上石村、深沟村、仕农村、石盘社区、惠家沟社区、走马岭社区。</w:t>
            </w:r>
          </w:p>
        </w:tc>
        <w:tc>
          <w:tcPr>
            <w:tcW w:w="1127" w:type="dxa"/>
            <w:tcBorders>
              <w:top w:val="nil"/>
              <w:left w:val="nil"/>
              <w:bottom w:val="single" w:sz="8" w:space="0" w:color="000000"/>
              <w:right w:val="single" w:sz="8" w:space="0" w:color="000000"/>
            </w:tcBorders>
            <w:shd w:val="clear" w:color="auto" w:fill="auto"/>
            <w:vAlign w:val="center"/>
          </w:tcPr>
          <w:p>
            <w:pPr>
              <w:widowControl/>
              <w:spacing w:line="280" w:lineRule="exact"/>
              <w:jc w:val="center"/>
              <w:textAlignment w:val="center"/>
              <w:rPr>
                <w:rFonts w:ascii="宋体" w:cs="宋体" w:hAnsi="宋体"/>
                <w:szCs w:val="21"/>
              </w:rPr>
            </w:pPr>
            <w:r>
              <w:rPr>
                <w:rFonts w:ascii="宋体" w:cs="宋体" w:hAnsi="宋体" w:hint="eastAsia"/>
                <w:kern w:val="0"/>
                <w:szCs w:val="21"/>
              </w:rPr>
              <w:t>是</w:t>
            </w:r>
          </w:p>
        </w:tc>
        <w:tc>
          <w:tcPr>
            <w:tcW w:w="718" w:type="dxa"/>
            <w:tcBorders>
              <w:top w:val="nil"/>
              <w:left w:val="nil"/>
              <w:bottom w:val="single" w:sz="8" w:space="0" w:color="000000"/>
              <w:right w:val="single" w:sz="8" w:space="0" w:color="000000"/>
            </w:tcBorders>
            <w:shd w:val="clear" w:color="auto" w:fill="auto"/>
            <w:noWrap/>
            <w:vAlign w:val="center"/>
          </w:tcPr>
          <w:p>
            <w:pPr>
              <w:spacing w:line="280" w:lineRule="exact"/>
              <w:jc w:val="center"/>
              <w:rPr>
                <w:rFonts w:ascii="宋体" w:cs="宋体" w:hAnsi="宋体"/>
                <w:szCs w:val="21"/>
              </w:rPr>
            </w:pPr>
          </w:p>
        </w:tc>
        <w:tc>
          <w:tcPr>
            <w:tcW w:w="495" w:type="dxa"/>
            <w:tcBorders>
              <w:top w:val="nil"/>
              <w:left w:val="nil"/>
              <w:bottom w:val="single" w:sz="8" w:space="0" w:color="000000"/>
              <w:right w:val="single" w:sz="8" w:space="0" w:color="000000"/>
            </w:tcBorders>
            <w:shd w:val="clear" w:color="auto" w:fill="auto"/>
            <w:noWrap/>
            <w:vAlign w:val="center"/>
          </w:tcPr>
          <w:p>
            <w:pPr>
              <w:spacing w:line="280" w:lineRule="exact"/>
              <w:rPr>
                <w:rFonts w:ascii="宋体" w:cs="宋体" w:hAnsi="宋体"/>
                <w:szCs w:val="21"/>
              </w:rPr>
            </w:pPr>
          </w:p>
        </w:tc>
      </w:tr>
    </w:tbl>
    <w:p>
      <w:pPr>
        <w:spacing w:line="360" w:lineRule="auto"/>
        <w:rPr>
          <w:rFonts w:ascii="仿宋" w:eastAsia="仿宋" w:cs="仿宋" w:hAnsi="仿宋"/>
          <w:sz w:val="28"/>
          <w:szCs w:val="28"/>
        </w:rPr>
      </w:pPr>
    </w:p>
    <w:p>
      <w:pPr>
        <w:overflowPunct w:val="0"/>
        <w:spacing w:line="360" w:lineRule="auto"/>
        <w:jc w:val="left"/>
        <w:rPr>
          <w:rFonts w:ascii="仿宋" w:eastAsia="仿宋" w:cs="仿宋" w:hAnsi="仿宋"/>
          <w:sz w:val="36"/>
          <w:szCs w:val="36"/>
        </w:rPr>
        <w:sectPr>
          <w:pgSz w:w="16838" w:h="11906" w:orient="landscape"/>
          <w:pgMar w:top="1701" w:right="1474" w:bottom="1531" w:left="1587" w:header="851" w:footer="1247" w:gutter="0"/>
          <w:cols w:num="1" w:space="720"/>
          <w:docGrid w:type="lines" w:linePitch="435" w:charSpace="0"/>
        </w:sectPr>
      </w:pPr>
    </w:p>
    <w:p>
      <w:pPr>
        <w:pStyle w:val="1"/>
        <w:keepNext w:val="0"/>
        <w:keepLines w:val="0"/>
        <w:widowControl w:val="0"/>
        <w:tabs>
          <w:tab w:val="left" w:pos="0"/>
        </w:tabs>
        <w:spacing w:line="576" w:lineRule="exact"/>
        <w:jc w:val="center"/>
        <w:rPr>
          <w:rFonts w:ascii="方正小标宋简体" w:eastAsia="方正小标宋简体" w:cs="方正小标宋简体" w:hAnsi="方正小标宋简体"/>
          <w:b w:val="0"/>
          <w:kern w:val="2"/>
          <w:szCs w:val="44"/>
        </w:rPr>
      </w:pPr>
      <w:bookmarkStart w:id="189" w:name="_Toc27422"/>
      <w:bookmarkStart w:id="190" w:name="_Toc24857"/>
      <w:bookmarkStart w:id="191" w:name="_Toc18559"/>
      <w:bookmarkStart w:id="192" w:name="_Toc3807"/>
      <w:r>
        <w:rPr>
          <w:rFonts w:ascii="方正小标宋简体" w:eastAsia="方正小标宋简体" w:cs="方正小标宋简体" w:hAnsi="方正小标宋简体" w:hint="eastAsia"/>
          <w:b w:val="0"/>
          <w:kern w:val="2"/>
          <w:szCs w:val="44"/>
        </w:rPr>
        <w:t>区域耕地分布图</w:t>
      </w:r>
      <w:bookmarkEnd w:id="189"/>
      <w:bookmarkEnd w:id="190"/>
      <w:bookmarkEnd w:id="191"/>
      <w:bookmarkEnd w:id="192"/>
    </w:p>
    <w:p>
      <w:r>
        <w:rPr>
          <w:rFonts w:ascii="方正小标宋简体" w:eastAsia="方正小标宋简体" w:cs="方正小标宋简体" w:hAnsi="方正小标宋简体" w:hint="eastAsia"/>
          <w:sz w:val="44"/>
          <w:szCs w:val="44"/>
        </w:rPr>
        <w:drawing>
          <wp:anchor distT="0" distB="0" distL="114300" distR="114300" simplePos="0" relativeHeight="46" behindDoc="0" locked="0" layoutInCell="1" hidden="0" allowOverlap="1">
            <wp:simplePos x="0" y="0"/>
            <wp:positionH relativeFrom="column">
              <wp:posOffset>820420</wp:posOffset>
            </wp:positionH>
            <wp:positionV relativeFrom="paragraph">
              <wp:posOffset>12700</wp:posOffset>
            </wp:positionV>
            <wp:extent cx="7025640" cy="4968240"/>
            <wp:effectExtent l="0" t="0" r="0" b="0"/>
            <wp:wrapNone/>
            <wp:docPr id="1" name="图片 1" descr="耕地分布图"/>
            <wp:cNvGraphicFramePr>
              <a:graphicFrameLocks noChangeAspect="1"/>
            </wp:cNvGraphicFramePr>
            <a:graphic>
              <a:graphicData uri="http://schemas.openxmlformats.org/drawingml/2006/picture">
                <pic:pic>
                  <pic:nvPicPr>
                    <pic:cNvPr id="3" name="图片 1 3"/>
                    <pic:cNvPicPr/>
                  </pic:nvPicPr>
                  <pic:blipFill>
                    <a:blip r:embed="rId3"/>
                    <a:stretch>
                      <a:fillRect/>
                    </a:stretch>
                  </pic:blipFill>
                  <pic:spPr>
                    <a:xfrm rot="0">
                      <a:off x="0" y="0"/>
                      <a:ext cx="7025640" cy="4968240"/>
                    </a:xfrm>
                    <a:prstGeom prst="rect"/>
                    <a:noFill/>
                    <a:ln w="9525" cmpd="sng" cap="flat">
                      <a:noFill/>
                      <a:prstDash val="solid"/>
                      <a:round/>
                    </a:ln>
                  </pic:spPr>
                </pic:pic>
              </a:graphicData>
            </a:graphic>
          </wp:anchor>
        </w:drawing>
      </w:r>
    </w:p>
    <w:p>
      <w:pPr>
        <w:spacing w:line="360" w:lineRule="auto"/>
        <w:jc w:val="center"/>
        <w:rPr>
          <w:rFonts w:ascii="仿宋" w:eastAsia="仿宋" w:cs="仿宋" w:hAnsi="仿宋"/>
        </w:rPr>
      </w:pPr>
    </w:p>
    <w:p>
      <w:pPr>
        <w:rPr>
          <w:rFonts w:ascii="仿宋" w:eastAsia="仿宋" w:cs="仿宋" w:hAnsi="仿宋"/>
        </w:rPr>
      </w:pPr>
      <w:r>
        <w:rPr>
          <w:rFonts w:ascii="仿宋" w:eastAsia="仿宋" w:cs="仿宋" w:hAnsi="仿宋" w:hint="eastAsia"/>
        </w:rPr>
        <w:br w:type="page"/>
      </w:r>
    </w:p>
    <w:p>
      <w:pPr>
        <w:pStyle w:val="1"/>
        <w:keepNext w:val="0"/>
        <w:keepLines w:val="0"/>
        <w:widowControl w:val="0"/>
        <w:tabs>
          <w:tab w:val="left" w:pos="0"/>
        </w:tabs>
        <w:spacing w:line="576" w:lineRule="exact"/>
        <w:jc w:val="center"/>
        <w:rPr>
          <w:rFonts w:ascii="方正小标宋简体" w:eastAsia="方正小标宋简体" w:cs="方正小标宋简体" w:hAnsi="方正小标宋简体"/>
          <w:b w:val="0"/>
          <w:kern w:val="2"/>
          <w:szCs w:val="44"/>
        </w:rPr>
      </w:pPr>
      <w:bookmarkStart w:id="193" w:name="_Toc17985"/>
      <w:bookmarkStart w:id="194" w:name="_Toc24361"/>
      <w:bookmarkStart w:id="195" w:name="_Toc7937"/>
      <w:bookmarkStart w:id="196" w:name="_Toc7785"/>
      <w:r>
        <w:rPr>
          <w:rFonts w:ascii="方正小标宋简体" w:eastAsia="方正小标宋简体" w:cs="方正小标宋简体" w:hAnsi="方正小标宋简体" w:hint="eastAsia"/>
          <w:b w:val="0"/>
          <w:kern w:val="2"/>
          <w:szCs w:val="44"/>
        </w:rPr>
        <w:drawing>
          <wp:anchor distT="0" distB="0" distL="114300" distR="114300" simplePos="0" relativeHeight="48" behindDoc="0" locked="0" layoutInCell="1" hidden="0" allowOverlap="1">
            <wp:simplePos x="0" y="0"/>
            <wp:positionH relativeFrom="column">
              <wp:posOffset>592455</wp:posOffset>
            </wp:positionH>
            <wp:positionV relativeFrom="paragraph">
              <wp:posOffset>535305</wp:posOffset>
            </wp:positionV>
            <wp:extent cx="7026275" cy="4968240"/>
            <wp:effectExtent l="0" t="0" r="0" b="0"/>
            <wp:wrapNone/>
            <wp:docPr id="4" name="图片 2" descr="永久基本农田"/>
            <wp:cNvGraphicFramePr>
              <a:graphicFrameLocks noChangeAspect="1"/>
            </wp:cNvGraphicFramePr>
            <a:graphic>
              <a:graphicData uri="http://schemas.openxmlformats.org/drawingml/2006/picture">
                <pic:pic>
                  <pic:nvPicPr>
                    <pic:cNvPr id="6" name="图片 2 6"/>
                    <pic:cNvPicPr/>
                  </pic:nvPicPr>
                  <pic:blipFill>
                    <a:blip r:embed="rId4"/>
                    <a:stretch>
                      <a:fillRect/>
                    </a:stretch>
                  </pic:blipFill>
                  <pic:spPr>
                    <a:xfrm rot="0">
                      <a:off x="0" y="0"/>
                      <a:ext cx="7026275" cy="4968240"/>
                    </a:xfrm>
                    <a:prstGeom prst="rect"/>
                    <a:noFill/>
                    <a:ln w="9525" cmpd="sng" cap="flat">
                      <a:noFill/>
                      <a:prstDash val="solid"/>
                      <a:round/>
                    </a:ln>
                  </pic:spPr>
                </pic:pic>
              </a:graphicData>
            </a:graphic>
          </wp:anchor>
        </w:drawing>
      </w:r>
      <w:r>
        <w:rPr>
          <w:rFonts w:ascii="方正小标宋简体" w:eastAsia="方正小标宋简体" w:cs="方正小标宋简体" w:hAnsi="方正小标宋简体" w:hint="eastAsia"/>
          <w:b w:val="0"/>
          <w:kern w:val="2"/>
          <w:szCs w:val="44"/>
        </w:rPr>
        <w:t>区域永久基本农田分布图</w:t>
      </w:r>
      <w:bookmarkEnd w:id="193"/>
      <w:bookmarkEnd w:id="194"/>
      <w:bookmarkEnd w:id="195"/>
      <w:bookmarkEnd w:id="196"/>
    </w:p>
    <w:p>
      <w:pPr>
        <w:pStyle w:val="1"/>
        <w:keepNext w:val="0"/>
        <w:keepLines w:val="0"/>
        <w:widowControl w:val="0"/>
        <w:tabs>
          <w:tab w:val="left" w:pos="0"/>
        </w:tabs>
        <w:spacing w:line="576" w:lineRule="exact"/>
        <w:rPr>
          <w:rFonts w:ascii="方正小标宋简体" w:eastAsia="方正小标宋简体" w:cs="方正小标宋简体" w:hAnsi="方正小标宋简体"/>
          <w:b w:val="0"/>
          <w:szCs w:val="44"/>
        </w:rPr>
        <w:sectPr>
          <w:pgSz w:w="16838" w:h="11906" w:orient="landscape"/>
          <w:pgMar w:top="1701" w:right="1474" w:bottom="1531" w:left="1587" w:header="851" w:footer="1247" w:gutter="0"/>
          <w:cols w:num="1" w:space="720"/>
          <w:docGrid w:type="lines" w:linePitch="435" w:charSpace="0"/>
        </w:sectPr>
      </w:pPr>
    </w:p>
    <w:p>
      <w:pPr>
        <w:pStyle w:val="1"/>
        <w:keepNext w:val="0"/>
        <w:keepLines w:val="0"/>
        <w:widowControl w:val="0"/>
        <w:tabs>
          <w:tab w:val="left" w:pos="0"/>
        </w:tabs>
        <w:spacing w:line="576" w:lineRule="exact"/>
        <w:jc w:val="center"/>
        <w:rPr>
          <w:rFonts w:ascii="方正小标宋简体" w:eastAsia="方正小标宋简体" w:cs="方正小标宋简体" w:hAnsi="方正小标宋简体"/>
          <w:b w:val="0"/>
          <w:kern w:val="2"/>
          <w:szCs w:val="44"/>
        </w:rPr>
      </w:pPr>
      <w:bookmarkStart w:id="197" w:name="_Toc6745"/>
      <w:r>
        <w:rPr>
          <w:rFonts w:ascii="方正小标宋简体" w:eastAsia="方正小标宋简体" w:cs="方正小标宋简体" w:hAnsi="方正小标宋简体" w:hint="eastAsia"/>
          <w:b w:val="0"/>
          <w:kern w:val="2"/>
          <w:szCs w:val="44"/>
        </w:rPr>
        <w:t>规划区内位置图</w:t>
      </w:r>
      <w:bookmarkEnd w:id="197"/>
    </w:p>
    <w:p>
      <w:pPr>
        <w:pStyle w:val="15"/>
      </w:pPr>
      <w:r>
        <w:rPr>
          <w:rFonts w:ascii="仿宋" w:eastAsia="仿宋" w:cs="仿宋" w:hAnsi="仿宋" w:hint="eastAsia"/>
        </w:rPr>
        <w:drawing>
          <wp:anchor distT="0" distB="0" distL="114300" distR="114300" simplePos="0" relativeHeight="50" behindDoc="0" locked="0" layoutInCell="1" hidden="0" allowOverlap="1">
            <wp:simplePos x="0" y="0"/>
            <wp:positionH relativeFrom="column">
              <wp:posOffset>883920</wp:posOffset>
            </wp:positionH>
            <wp:positionV relativeFrom="paragraph">
              <wp:posOffset>64135</wp:posOffset>
            </wp:positionV>
            <wp:extent cx="7117715" cy="5036820"/>
            <wp:effectExtent l="0" t="0" r="18" b="18"/>
            <wp:wrapSquare wrapText="bothSides"/>
            <wp:docPr id="7" name="图片 16" descr="总规划"/>
            <wp:cNvGraphicFramePr>
              <a:graphicFrameLocks noChangeAspect="1"/>
            </wp:cNvGraphicFramePr>
            <a:graphic>
              <a:graphicData uri="http://schemas.openxmlformats.org/drawingml/2006/picture">
                <pic:pic>
                  <pic:nvPicPr>
                    <pic:cNvPr id="9" name="图片 16 9"/>
                    <pic:cNvPicPr/>
                  </pic:nvPicPr>
                  <pic:blipFill>
                    <a:blip r:embed="rId5"/>
                    <a:stretch>
                      <a:fillRect/>
                    </a:stretch>
                  </pic:blipFill>
                  <pic:spPr>
                    <a:xfrm rot="0">
                      <a:off x="0" y="0"/>
                      <a:ext cx="7117715" cy="5036820"/>
                    </a:xfrm>
                    <a:prstGeom prst="rect"/>
                    <a:noFill/>
                    <a:ln w="9525" cmpd="sng" cap="flat">
                      <a:noFill/>
                      <a:prstDash val="solid"/>
                      <a:miter/>
                    </a:ln>
                  </pic:spPr>
                </pic:pic>
              </a:graphicData>
            </a:graphic>
          </wp:anchor>
        </w:drawing>
      </w:r>
    </w:p>
    <w:p>
      <w:pPr>
        <w:jc w:val="center"/>
        <w:sectPr>
          <w:pgSz w:w="16838" w:h="11906" w:orient="landscape"/>
          <w:pgMar w:top="1701" w:right="1474" w:bottom="1531" w:left="1587" w:header="851" w:footer="1247" w:gutter="0"/>
          <w:cols w:num="1" w:space="720"/>
          <w:docGrid w:type="lines" w:linePitch="435" w:charSpace="0"/>
        </w:sectPr>
      </w:pPr>
      <w:r>
        <w:rPr>
          <w:rFonts w:ascii="仿宋" w:eastAsia="仿宋" w:cs="仿宋" w:hAnsi="仿宋" w:hint="eastAsia"/>
        </w:rPr>
        <w:drawing>
          <wp:inline distT="0" distB="0" distL="114300" distR="114300">
            <wp:extent cx="7740015" cy="5476875"/>
            <wp:effectExtent l="0" t="0" r="23" b="12"/>
            <wp:docPr id="10" name="图片 26" descr="2023年改造提升"/>
            <wp:cNvGraphicFramePr>
              <a:graphicFrameLocks noChangeAspect="1"/>
            </wp:cNvGraphicFramePr>
            <a:graphic>
              <a:graphicData uri="http://schemas.openxmlformats.org/drawingml/2006/picture">
                <pic:pic>
                  <pic:nvPicPr>
                    <pic:cNvPr id="12" name="图片 26 12"/>
                    <pic:cNvPicPr/>
                  </pic:nvPicPr>
                  <pic:blipFill>
                    <a:blip r:embed="rId6"/>
                    <a:stretch>
                      <a:fillRect/>
                    </a:stretch>
                  </pic:blipFill>
                  <pic:spPr>
                    <a:xfrm rot="0">
                      <a:off x="0" y="0"/>
                      <a:ext cx="7740015" cy="5476875"/>
                    </a:xfrm>
                    <a:prstGeom prst="rect"/>
                    <a:noFill/>
                    <a:ln w="9525" cmpd="sng" cap="flat">
                      <a:noFill/>
                      <a:prstDash val="solid"/>
                      <a:miter/>
                    </a:ln>
                  </pic:spPr>
                </pic:pic>
              </a:graphicData>
            </a:graphic>
          </wp:inline>
        </w:drawing>
      </w:r>
      <w:r>
        <w:rPr>
          <w:rFonts w:ascii="仿宋" w:eastAsia="仿宋" w:cs="仿宋" w:hAnsi="仿宋" w:hint="eastAsia"/>
        </w:rPr>
        <w:drawing>
          <wp:inline distT="0" distB="0" distL="114300" distR="114300">
            <wp:extent cx="7740015" cy="5476875"/>
            <wp:effectExtent l="0" t="0" r="23" b="12"/>
            <wp:docPr id="13" name="图片 25" descr="2024年改造提升"/>
            <wp:cNvGraphicFramePr>
              <a:graphicFrameLocks noChangeAspect="1"/>
            </wp:cNvGraphicFramePr>
            <a:graphic>
              <a:graphicData uri="http://schemas.openxmlformats.org/drawingml/2006/picture">
                <pic:pic>
                  <pic:nvPicPr>
                    <pic:cNvPr id="15" name="图片 25 15"/>
                    <pic:cNvPicPr/>
                  </pic:nvPicPr>
                  <pic:blipFill>
                    <a:blip r:embed="rId7"/>
                    <a:stretch>
                      <a:fillRect/>
                    </a:stretch>
                  </pic:blipFill>
                  <pic:spPr>
                    <a:xfrm rot="0">
                      <a:off x="0" y="0"/>
                      <a:ext cx="7740015" cy="5476875"/>
                    </a:xfrm>
                    <a:prstGeom prst="rect"/>
                    <a:noFill/>
                    <a:ln w="9525" cmpd="sng" cap="flat">
                      <a:noFill/>
                      <a:prstDash val="solid"/>
                      <a:miter/>
                    </a:ln>
                  </pic:spPr>
                </pic:pic>
              </a:graphicData>
            </a:graphic>
          </wp:inline>
        </w:drawing>
      </w:r>
      <w:r>
        <w:rPr>
          <w:rFonts w:ascii="仿宋" w:eastAsia="仿宋" w:cs="仿宋" w:hAnsi="仿宋" w:hint="eastAsia"/>
        </w:rPr>
        <w:drawing>
          <wp:inline distT="0" distB="0" distL="114300" distR="114300">
            <wp:extent cx="7740015" cy="5476875"/>
            <wp:effectExtent l="0" t="0" r="23" b="12"/>
            <wp:docPr id="16" name="图片 23" descr="2025年新建"/>
            <wp:cNvGraphicFramePr>
              <a:graphicFrameLocks noChangeAspect="1"/>
            </wp:cNvGraphicFramePr>
            <a:graphic>
              <a:graphicData uri="http://schemas.openxmlformats.org/drawingml/2006/picture">
                <pic:pic>
                  <pic:nvPicPr>
                    <pic:cNvPr id="18" name="图片 23 18"/>
                    <pic:cNvPicPr/>
                  </pic:nvPicPr>
                  <pic:blipFill>
                    <a:blip r:embed="rId8"/>
                    <a:stretch>
                      <a:fillRect/>
                    </a:stretch>
                  </pic:blipFill>
                  <pic:spPr>
                    <a:xfrm rot="0">
                      <a:off x="0" y="0"/>
                      <a:ext cx="7740015" cy="5476875"/>
                    </a:xfrm>
                    <a:prstGeom prst="rect"/>
                    <a:noFill/>
                    <a:ln w="9525" cmpd="sng" cap="flat">
                      <a:noFill/>
                      <a:prstDash val="solid"/>
                      <a:miter/>
                    </a:ln>
                  </pic:spPr>
                </pic:pic>
              </a:graphicData>
            </a:graphic>
          </wp:inline>
        </w:drawing>
      </w:r>
      <w:r>
        <w:rPr>
          <w:rFonts w:ascii="仿宋" w:eastAsia="仿宋" w:cs="仿宋" w:hAnsi="仿宋" w:hint="eastAsia"/>
        </w:rPr>
        <w:drawing>
          <wp:inline distT="0" distB="0" distL="114300" distR="114300">
            <wp:extent cx="7740015" cy="5476875"/>
            <wp:effectExtent l="0" t="0" r="23" b="12"/>
            <wp:docPr id="19" name="图片 24" descr="2025年改造提升"/>
            <wp:cNvGraphicFramePr>
              <a:graphicFrameLocks noChangeAspect="1"/>
            </wp:cNvGraphicFramePr>
            <a:graphic>
              <a:graphicData uri="http://schemas.openxmlformats.org/drawingml/2006/picture">
                <pic:pic>
                  <pic:nvPicPr>
                    <pic:cNvPr id="21" name="图片 24 21"/>
                    <pic:cNvPicPr/>
                  </pic:nvPicPr>
                  <pic:blipFill>
                    <a:blip r:embed="rId9"/>
                    <a:stretch>
                      <a:fillRect/>
                    </a:stretch>
                  </pic:blipFill>
                  <pic:spPr>
                    <a:xfrm rot="0">
                      <a:off x="0" y="0"/>
                      <a:ext cx="7740015" cy="5476875"/>
                    </a:xfrm>
                    <a:prstGeom prst="rect"/>
                    <a:noFill/>
                    <a:ln w="9525" cmpd="sng" cap="flat">
                      <a:noFill/>
                      <a:prstDash val="solid"/>
                      <a:miter/>
                    </a:ln>
                  </pic:spPr>
                </pic:pic>
              </a:graphicData>
            </a:graphic>
          </wp:inline>
        </w:drawing>
      </w:r>
      <w:r>
        <w:rPr>
          <w:rFonts w:ascii="仿宋" w:eastAsia="仿宋" w:cs="仿宋" w:hAnsi="仿宋" w:hint="eastAsia"/>
        </w:rPr>
        <w:drawing>
          <wp:inline distT="0" distB="0" distL="114300" distR="114300">
            <wp:extent cx="7740015" cy="5476875"/>
            <wp:effectExtent l="0" t="0" r="23" b="12"/>
            <wp:docPr id="22" name="图片 22" descr="2026年改造提升"/>
            <wp:cNvGraphicFramePr>
              <a:graphicFrameLocks noChangeAspect="1"/>
            </wp:cNvGraphicFramePr>
            <a:graphic>
              <a:graphicData uri="http://schemas.openxmlformats.org/drawingml/2006/picture">
                <pic:pic>
                  <pic:nvPicPr>
                    <pic:cNvPr id="24" name="图片 22 24"/>
                    <pic:cNvPicPr/>
                  </pic:nvPicPr>
                  <pic:blipFill>
                    <a:blip r:embed="rId10"/>
                    <a:stretch>
                      <a:fillRect/>
                    </a:stretch>
                  </pic:blipFill>
                  <pic:spPr>
                    <a:xfrm rot="0">
                      <a:off x="0" y="0"/>
                      <a:ext cx="7740015" cy="5476875"/>
                    </a:xfrm>
                    <a:prstGeom prst="rect"/>
                    <a:noFill/>
                    <a:ln w="9525" cmpd="sng" cap="flat">
                      <a:noFill/>
                      <a:prstDash val="solid"/>
                      <a:miter/>
                    </a:ln>
                  </pic:spPr>
                </pic:pic>
              </a:graphicData>
            </a:graphic>
          </wp:inline>
        </w:drawing>
      </w:r>
      <w:r>
        <w:rPr>
          <w:rFonts w:ascii="仿宋" w:eastAsia="仿宋" w:cs="仿宋" w:hAnsi="仿宋" w:hint="eastAsia"/>
        </w:rPr>
        <w:drawing>
          <wp:inline distT="0" distB="0" distL="114300" distR="114300">
            <wp:extent cx="7740015" cy="5476875"/>
            <wp:effectExtent l="0" t="0" r="23" b="12"/>
            <wp:docPr id="25" name="图片 21" descr="2027年改造提升"/>
            <wp:cNvGraphicFramePr>
              <a:graphicFrameLocks noChangeAspect="1"/>
            </wp:cNvGraphicFramePr>
            <a:graphic>
              <a:graphicData uri="http://schemas.openxmlformats.org/drawingml/2006/picture">
                <pic:pic>
                  <pic:nvPicPr>
                    <pic:cNvPr id="27" name="图片 21 27"/>
                    <pic:cNvPicPr/>
                  </pic:nvPicPr>
                  <pic:blipFill>
                    <a:blip r:embed="rId11"/>
                    <a:stretch>
                      <a:fillRect/>
                    </a:stretch>
                  </pic:blipFill>
                  <pic:spPr>
                    <a:xfrm rot="0">
                      <a:off x="0" y="0"/>
                      <a:ext cx="7740015" cy="5476875"/>
                    </a:xfrm>
                    <a:prstGeom prst="rect"/>
                    <a:noFill/>
                    <a:ln w="9525" cmpd="sng" cap="flat">
                      <a:noFill/>
                      <a:prstDash val="solid"/>
                      <a:miter/>
                    </a:ln>
                  </pic:spPr>
                </pic:pic>
              </a:graphicData>
            </a:graphic>
          </wp:inline>
        </w:drawing>
      </w:r>
      <w:r>
        <w:rPr>
          <w:rFonts w:ascii="仿宋" w:eastAsia="仿宋" w:cs="仿宋" w:hAnsi="仿宋" w:hint="eastAsia"/>
        </w:rPr>
        <w:drawing>
          <wp:inline distT="0" distB="0" distL="114300" distR="114300">
            <wp:extent cx="7740015" cy="5476875"/>
            <wp:effectExtent l="0" t="0" r="23" b="12"/>
            <wp:docPr id="28" name="图片 20" descr="2028年改造提升"/>
            <wp:cNvGraphicFramePr>
              <a:graphicFrameLocks noChangeAspect="1"/>
            </wp:cNvGraphicFramePr>
            <a:graphic>
              <a:graphicData uri="http://schemas.openxmlformats.org/drawingml/2006/picture">
                <pic:pic>
                  <pic:nvPicPr>
                    <pic:cNvPr id="30" name="图片 20 30"/>
                    <pic:cNvPicPr/>
                  </pic:nvPicPr>
                  <pic:blipFill>
                    <a:blip r:embed="rId12"/>
                    <a:stretch>
                      <a:fillRect/>
                    </a:stretch>
                  </pic:blipFill>
                  <pic:spPr>
                    <a:xfrm rot="0">
                      <a:off x="0" y="0"/>
                      <a:ext cx="7740015" cy="5476875"/>
                    </a:xfrm>
                    <a:prstGeom prst="rect"/>
                    <a:noFill/>
                    <a:ln w="9525" cmpd="sng" cap="flat">
                      <a:noFill/>
                      <a:prstDash val="solid"/>
                      <a:miter/>
                    </a:ln>
                  </pic:spPr>
                </pic:pic>
              </a:graphicData>
            </a:graphic>
          </wp:inline>
        </w:drawing>
      </w:r>
      <w:r>
        <w:rPr>
          <w:rFonts w:ascii="仿宋" w:eastAsia="仿宋" w:cs="仿宋" w:hAnsi="仿宋" w:hint="eastAsia"/>
        </w:rPr>
        <w:drawing>
          <wp:inline distT="0" distB="0" distL="114300" distR="114300">
            <wp:extent cx="7740015" cy="5476875"/>
            <wp:effectExtent l="0" t="0" r="23" b="12"/>
            <wp:docPr id="31" name="图片 19" descr="2029年改造提升"/>
            <wp:cNvGraphicFramePr>
              <a:graphicFrameLocks noChangeAspect="1"/>
            </wp:cNvGraphicFramePr>
            <a:graphic>
              <a:graphicData uri="http://schemas.openxmlformats.org/drawingml/2006/picture">
                <pic:pic>
                  <pic:nvPicPr>
                    <pic:cNvPr id="33" name="图片 19 33"/>
                    <pic:cNvPicPr/>
                  </pic:nvPicPr>
                  <pic:blipFill>
                    <a:blip r:embed="rId13"/>
                    <a:stretch>
                      <a:fillRect/>
                    </a:stretch>
                  </pic:blipFill>
                  <pic:spPr>
                    <a:xfrm rot="0">
                      <a:off x="0" y="0"/>
                      <a:ext cx="7740015" cy="5476875"/>
                    </a:xfrm>
                    <a:prstGeom prst="rect"/>
                    <a:noFill/>
                    <a:ln w="9525" cmpd="sng" cap="flat">
                      <a:noFill/>
                      <a:prstDash val="solid"/>
                      <a:miter/>
                    </a:ln>
                  </pic:spPr>
                </pic:pic>
              </a:graphicData>
            </a:graphic>
          </wp:inline>
        </w:drawing>
      </w:r>
      <w:r>
        <w:rPr>
          <w:rFonts w:ascii="仿宋" w:eastAsia="仿宋" w:cs="仿宋" w:hAnsi="仿宋" w:hint="eastAsia"/>
        </w:rPr>
        <w:drawing>
          <wp:inline distT="0" distB="0" distL="114300" distR="114300">
            <wp:extent cx="7740015" cy="5476875"/>
            <wp:effectExtent l="0" t="0" r="23" b="12"/>
            <wp:docPr id="34" name="图片 17" descr="2030年新建"/>
            <wp:cNvGraphicFramePr>
              <a:graphicFrameLocks noChangeAspect="1"/>
            </wp:cNvGraphicFramePr>
            <a:graphic>
              <a:graphicData uri="http://schemas.openxmlformats.org/drawingml/2006/picture">
                <pic:pic>
                  <pic:nvPicPr>
                    <pic:cNvPr id="36" name="图片 17 36"/>
                    <pic:cNvPicPr/>
                  </pic:nvPicPr>
                  <pic:blipFill>
                    <a:blip r:embed="rId14"/>
                    <a:stretch>
                      <a:fillRect/>
                    </a:stretch>
                  </pic:blipFill>
                  <pic:spPr>
                    <a:xfrm rot="0">
                      <a:off x="0" y="0"/>
                      <a:ext cx="7740015" cy="5476875"/>
                    </a:xfrm>
                    <a:prstGeom prst="rect"/>
                    <a:noFill/>
                    <a:ln w="9525" cmpd="sng" cap="flat">
                      <a:noFill/>
                      <a:prstDash val="solid"/>
                      <a:miter/>
                    </a:ln>
                  </pic:spPr>
                </pic:pic>
              </a:graphicData>
            </a:graphic>
          </wp:inline>
        </w:drawing>
      </w:r>
      <w:r>
        <w:rPr>
          <w:rFonts w:ascii="仿宋" w:eastAsia="仿宋" w:cs="仿宋" w:hAnsi="仿宋" w:hint="eastAsia"/>
        </w:rPr>
        <w:drawing>
          <wp:inline distT="0" distB="0" distL="114300" distR="114300">
            <wp:extent cx="7740015" cy="5476875"/>
            <wp:effectExtent l="0" t="0" r="23" b="12"/>
            <wp:docPr id="37" name="图片 18" descr="2030年改造提升"/>
            <wp:cNvGraphicFramePr>
              <a:graphicFrameLocks noChangeAspect="1"/>
            </wp:cNvGraphicFramePr>
            <a:graphic>
              <a:graphicData uri="http://schemas.openxmlformats.org/drawingml/2006/picture">
                <pic:pic>
                  <pic:nvPicPr>
                    <pic:cNvPr id="39" name="图片 18 39"/>
                    <pic:cNvPicPr/>
                  </pic:nvPicPr>
                  <pic:blipFill>
                    <a:blip r:embed="rId15"/>
                    <a:stretch>
                      <a:fillRect/>
                    </a:stretch>
                  </pic:blipFill>
                  <pic:spPr>
                    <a:xfrm rot="0">
                      <a:off x="0" y="0"/>
                      <a:ext cx="7740015" cy="5476875"/>
                    </a:xfrm>
                    <a:prstGeom prst="rect"/>
                    <a:noFill/>
                    <a:ln w="9525" cmpd="sng" cap="flat">
                      <a:noFill/>
                      <a:prstDash val="solid"/>
                      <a:miter/>
                    </a:ln>
                  </pic:spPr>
                </pic:pic>
              </a:graphicData>
            </a:graphic>
          </wp:inline>
        </w:drawing>
      </w:r>
    </w:p>
    <w:p>
      <w:pPr>
        <w:adjustRightInd w:val="0"/>
        <w:snapToGrid w:val="0"/>
        <w:spacing w:line="576" w:lineRule="exact"/>
        <w:rPr>
          <w:rFonts w:ascii="宋体" w:eastAsia="方正仿宋简体" w:cs="仿宋" w:hAnsi="宋体"/>
          <w:sz w:val="32"/>
          <w:szCs w:val="32"/>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黑体" w:eastAsia="黑体"/>
          <w:b/>
          <w:sz w:val="28"/>
          <w:szCs w:val="28"/>
        </w:rPr>
      </w:pPr>
    </w:p>
    <w:p>
      <w:pPr>
        <w:widowControl w:val="0"/>
        <w:suppressAutoHyphens/>
        <w:spacing w:line="576" w:lineRule="exact"/>
        <w:rPr>
          <w:rFonts w:ascii="方正黑体简体" w:eastAsia="方正黑体简体" w:hAnsi="Calibri"/>
          <w:color w:val="000000"/>
          <w:sz w:val="32"/>
          <w:szCs w:val="32"/>
        </w:rPr>
      </w:pPr>
    </w:p>
    <w:p>
      <w:pPr>
        <w:widowControl w:val="0"/>
        <w:suppressAutoHyphens/>
        <w:spacing w:line="576" w:lineRule="exact"/>
        <w:rPr>
          <w:rFonts w:ascii="方正黑体简体" w:eastAsia="方正黑体简体" w:hAnsi="Calibri"/>
          <w:color w:val="000000"/>
          <w:sz w:val="32"/>
          <w:szCs w:val="32"/>
        </w:rPr>
      </w:pPr>
    </w:p>
    <w:p>
      <w:pPr>
        <w:widowControl w:val="0"/>
        <w:suppressAutoHyphens/>
        <w:spacing w:line="576" w:lineRule="exact"/>
        <w:rPr>
          <w:rFonts w:ascii="方正黑体简体" w:eastAsia="方正黑体简体" w:hAnsi="Calibri"/>
          <w:color w:val="000000"/>
          <w:sz w:val="32"/>
          <w:szCs w:val="32"/>
        </w:rPr>
      </w:pPr>
    </w:p>
    <w:p>
      <w:pPr>
        <w:widowControl w:val="0"/>
        <w:suppressAutoHyphens/>
        <w:spacing w:line="576" w:lineRule="exact"/>
        <w:rPr>
          <w:rFonts w:ascii="方正黑体简体" w:eastAsia="方正黑体简体" w:hAnsi="Calibri"/>
          <w:color w:val="000000"/>
          <w:sz w:val="32"/>
          <w:szCs w:val="32"/>
        </w:rPr>
      </w:pPr>
    </w:p>
    <w:p>
      <w:pPr>
        <w:widowControl w:val="0"/>
        <w:suppressAutoHyphens/>
        <w:spacing w:line="576" w:lineRule="exact"/>
        <w:rPr>
          <w:rFonts w:ascii="方正黑体简体" w:eastAsia="方正黑体简体" w:hAnsi="Calibri"/>
          <w:color w:val="000000"/>
          <w:sz w:val="32"/>
          <w:szCs w:val="32"/>
        </w:rPr>
      </w:pPr>
    </w:p>
    <w:p>
      <w:pPr>
        <w:widowControl w:val="0"/>
        <w:suppressAutoHyphens/>
        <w:spacing w:line="576" w:lineRule="exact"/>
        <w:rPr>
          <w:rFonts w:ascii="方正黑体简体" w:eastAsia="方正黑体简体" w:hAnsi="Calibri"/>
          <w:color w:val="000000"/>
          <w:sz w:val="32"/>
          <w:szCs w:val="32"/>
        </w:rPr>
      </w:pPr>
    </w:p>
    <w:p>
      <w:pPr>
        <w:widowControl w:val="0"/>
        <w:suppressAutoHyphens/>
        <w:spacing w:line="576" w:lineRule="exact"/>
        <w:rPr>
          <w:rFonts w:ascii="方正仿宋简体" w:eastAsia="方正仿宋简体" w:hAnsi="Calibri"/>
          <w:color w:val="000000"/>
          <w:sz w:val="32"/>
          <w:szCs w:val="32"/>
        </w:rPr>
      </w:pPr>
      <w:r>
        <w:rPr>
          <w:rFonts w:ascii="方正黑体简体" w:eastAsia="方正黑体简体" w:hAnsi="Calibri" w:hint="eastAsia"/>
          <w:color w:val="000000"/>
          <w:sz w:val="32"/>
          <w:szCs w:val="32"/>
        </w:rPr>
        <w:t>信息公开选项：</w:t>
      </w:r>
      <w:r>
        <w:rPr>
          <w:rFonts w:ascii="方正小标宋简体" w:eastAsia="方正小标宋简体" w:hAnsi="Calibri" w:hint="eastAsia"/>
          <w:color w:val="000000"/>
          <w:sz w:val="32"/>
          <w:szCs w:val="32"/>
        </w:rPr>
        <w:t>主动公开</w:t>
      </w:r>
    </w:p>
    <w:p>
      <w:pPr>
        <w:widowControl w:val="0"/>
        <w:tabs>
          <w:tab w:val="left" w:pos="5881"/>
        </w:tabs>
        <w:suppressAutoHyphens/>
        <w:overflowPunct w:val="0"/>
        <w:spacing w:line="576" w:lineRule="exact"/>
        <w:ind w:leftChars="100" w:left="210" w:rightChars="100" w:right="210"/>
      </w:pPr>
      <w:r>
        <w:rPr>
          <w:rFonts w:ascii="Calibri" w:hAnsi="Calibri"/>
          <w:sz w:val="28"/>
        </w:rPr>
        <mc:AlternateContent>
          <mc:Choice Requires="wps">
            <w:drawing>
              <wp:anchor distT="0" distB="0" distL="114298" distR="114298" simplePos="0" relativeHeight="54" behindDoc="0" locked="0" layoutInCell="1" hidden="0" allowOverlap="1">
                <wp:simplePos x="0" y="0"/>
                <wp:positionH relativeFrom="column">
                  <wp:posOffset>0</wp:posOffset>
                </wp:positionH>
                <wp:positionV relativeFrom="paragraph">
                  <wp:posOffset>410210</wp:posOffset>
                </wp:positionV>
                <wp:extent cx="5615940" cy="952"/>
                <wp:effectExtent l="0" t="0" r="0" b="0"/>
                <wp:wrapNone/>
                <wp:docPr id="40" name="1028"/>
                <wp:cNvGraphicFramePr>
                  <a:graphicFrameLocks noChangeAspect="0"/>
                </wp:cNvGraphicFramePr>
                <a:graphic>
                  <a:graphicData uri="http://schemas.microsoft.com/office/word/2010/wordprocessingShape">
                    <wps:wsp>
                      <wps:cNvSpPr/>
                      <wps:spPr>
                        <a:xfrm rot="0">
                          <a:off x="0" y="0"/>
                          <a:ext cx="5615940" cy="952"/>
                        </a:xfrm>
                        <a:prstGeom prst="line"/>
                        <a:noFill/>
                        <a:ln w="12700" cmpd="sng" cap="flat">
                          <a:solidFill>
                            <a:srgbClr val="000000"/>
                          </a:solidFill>
                          <a:prstDash val="solid"/>
                          <a:miter/>
                        </a:ln>
                      </wps:spPr>
                      <wps:bodyPr vert="horz" wrap="square" lIns="91440" tIns="45720" rIns="91440" bIns="45720" anchor="t" anchorCtr="0" upright="1">
                        <a:noAutofit/>
                      </wps:bodyPr>
                    </wps:wsp>
                  </a:graphicData>
                </a:graphic>
              </wp:anchor>
            </w:drawing>
          </mc:Choice>
          <mc:Fallback>
            <w:pict>
              <v:line type="#_x0000_t20" id="1028 41" o:spid="_x0000_s41" from="0.0pt,32.3pt" to="442.2pt,32.374996pt" filled="f" stroked="t" strokeweight="1.0pt" style="position:absolute;z-index:54;mso-position-horizontal:absolute;mso-position-vertical:absolute;mso-wrap-distance-left:8.999863pt;mso-wrap-distance-right:8.999863pt;visibility:visible;">
                <v:stroke color="#000000"/>
              </v:line>
            </w:pict>
          </mc:Fallback>
        </mc:AlternateContent>
      </w:r>
      <w:r>
        <w:rPr>
          <w:rFonts w:ascii="方正仿宋简体" w:eastAsia="方正仿宋简体" w:cs="方正仿宋简体" w:hAnsi="方正仿宋简体" w:hint="eastAsia"/>
          <w:sz w:val="28"/>
          <w:szCs w:val="28"/>
        </w:rPr>
        <w:t>广元市利州区人民政府办公室               2023年7月26日印发</w:t>
      </w:r>
      <w:r>
        <w:rPr>
          <w:rFonts w:ascii="Calibri" w:hAnsi="Calibri"/>
          <w:sz w:val="28"/>
        </w:rPr>
        <mc:AlternateContent>
          <mc:Choice Requires="wps">
            <w:drawing>
              <wp:anchor distT="0" distB="0" distL="114298" distR="114298" simplePos="0" relativeHeight="52" behindDoc="0" locked="0" layoutInCell="1" hidden="0" allowOverlap="1">
                <wp:simplePos x="0" y="0"/>
                <wp:positionH relativeFrom="column">
                  <wp:posOffset>0</wp:posOffset>
                </wp:positionH>
                <wp:positionV relativeFrom="paragraph">
                  <wp:posOffset>36830</wp:posOffset>
                </wp:positionV>
                <wp:extent cx="5615940" cy="952"/>
                <wp:effectExtent l="0" t="0" r="0" b="0"/>
                <wp:wrapNone/>
                <wp:docPr id="42" name="1027"/>
                <wp:cNvGraphicFramePr>
                  <a:graphicFrameLocks noChangeAspect="0"/>
                </wp:cNvGraphicFramePr>
                <a:graphic>
                  <a:graphicData uri="http://schemas.microsoft.com/office/word/2010/wordprocessingShape">
                    <wps:wsp>
                      <wps:cNvSpPr/>
                      <wps:spPr>
                        <a:xfrm rot="0">
                          <a:off x="0" y="0"/>
                          <a:ext cx="5615940" cy="952"/>
                        </a:xfrm>
                        <a:prstGeom prst="line"/>
                        <a:noFill/>
                        <a:ln w="12700" cmpd="sng" cap="flat">
                          <a:solidFill>
                            <a:srgbClr val="000000"/>
                          </a:solidFill>
                          <a:prstDash val="solid"/>
                          <a:miter/>
                        </a:ln>
                      </wps:spPr>
                      <wps:bodyPr vert="horz" wrap="square" lIns="91440" tIns="45720" rIns="91440" bIns="45720" anchor="t" anchorCtr="0" upright="1">
                        <a:noAutofit/>
                      </wps:bodyPr>
                    </wps:wsp>
                  </a:graphicData>
                </a:graphic>
              </wp:anchor>
            </w:drawing>
          </mc:Choice>
          <mc:Fallback>
            <w:pict>
              <v:line type="#_x0000_t20" id="1027 43" o:spid="_x0000_s43" from="0.0pt,2.9pt" to="442.2pt,2.974999pt" filled="f" stroked="t" strokeweight="1.0pt" style="position:absolute;z-index:52;mso-position-horizontal:absolute;mso-position-vertical:absolute;mso-wrap-distance-left:8.999863pt;mso-wrap-distance-right:8.999863pt;visibility:visible;">
                <v:stroke color="#000000"/>
              </v:line>
            </w:pict>
          </mc:Fallback>
        </mc:AlternateContent>
      </w:r>
    </w:p>
    <w:sectPr>
      <w:footerReference w:type="default" r:id="rId16"/>
      <w:pgSz w:w="11906" w:h="16838"/>
      <w:pgMar w:top="2098" w:right="1531" w:bottom="1985" w:left="1531" w:header="851" w:footer="1588" w:gutter="0"/>
      <w:cols w:num="1" w:space="425"/>
      <w:docGrid w:type="lines" w:linePitch="312" w:charSpace="0"/>
    </w:sectPr>
  </w:body>
</w:document>
</file>

<file path=word/fontTable.xml><?xml version="1.0" encoding="utf-8"?>
<w:fonts xmlns:w="http://schemas.openxmlformats.org/wordprocessingml/2006/main" xmlns:r="http://schemas.openxmlformats.org/officeDocument/2006/relationships">
  <w:font w:name="宋体">
    <w:panose1 w:val="02010600030101010101"/>
    <w:charset w:val="86"/>
    <w:family w:val="auto"/>
    <w:pitch w:val="variable"/>
    <w:sig w:usb0="00000003" w:usb1="288F0000" w:usb2="00000006" w:usb3="00000000" w:csb0="00040001" w:csb1="00000000"/>
  </w:font>
  <w:font w:name="方正仿宋简体">
    <w:panose1 w:val="03000509000000000000"/>
    <w:charset w:val="86"/>
    <w:family w:val="script"/>
    <w:pitch w:val="variable"/>
    <w:sig w:usb0="00000001" w:usb1="080E0000" w:usb2="00000000" w:usb3="00000000" w:csb0="00040000" w:csb1="00000000"/>
  </w:font>
  <w:font w:name="方正小标宋简体">
    <w:panose1 w:val="02000000000000000000"/>
    <w:charset w:val="86"/>
    <w:family w:val="script"/>
    <w:pitch w:val="variable"/>
    <w:sig w:usb0="A00002BF" w:usb1="184F6CFA" w:usb2="00000012" w:usb3="00000000" w:csb0="00040001" w:csb1="00000000"/>
  </w:font>
  <w:font w:name="方正黑体简体">
    <w:altName w:val="方正黑体_GBK"/>
    <w:panose1 w:val="03000509000000000000"/>
    <w:charset w:val="86"/>
    <w:family w:val="script"/>
    <w:pitch w:val="variable"/>
    <w:sig w:usb0="00000000" w:usb1="00000000" w:usb2="00000010" w:usb3="00000000" w:csb0="00040000" w:csb1="00000000"/>
  </w:font>
  <w:font w:name="方正楷体简体">
    <w:altName w:val="方正楷体_GBK"/>
    <w:panose1 w:val="03000509000000000000"/>
    <w:charset w:val="86"/>
    <w:family w:val="script"/>
    <w:pitch w:val="variable"/>
    <w:sig w:usb0="00000000" w:usb1="00000000" w:usb2="00000010" w:usb3="00000000" w:csb0="00040000" w:csb1="00000000"/>
  </w:font>
  <w:font w:name="仿宋">
    <w:altName w:val="仿宋_GB2312"/>
    <w:panose1 w:val="02010609060101010101"/>
    <w:charset w:val="86"/>
    <w:family w:val="modern"/>
    <w:pitch w:val="variable"/>
    <w:sig w:usb0="00000000" w:usb1="00000000" w:usb2="00000016" w:usb3="00000000" w:csb0="00040001" w:csb1="00000000"/>
  </w:font>
  <w:font w:name="黑体">
    <w:panose1 w:val="02010600030101010101"/>
    <w:charset w:val="86"/>
    <w:family w:val="auto"/>
    <w:pitch w:val="variable"/>
    <w:sig w:usb0="00000001" w:usb1="080E0000" w:usb2="00000000" w:usb3="00000000" w:csb0="00040000" w:csb1="00000000"/>
  </w:font>
  <w:font w:name="Calibri">
    <w:altName w:val="Lucida Sans"/>
    <w:panose1 w:val="020F0502020204030204"/>
    <w:charset w:val="00"/>
    <w:family w:val="swiss"/>
    <w:pitch w:val="variable"/>
    <w:sig w:usb0="00000000" w:usb1="00000000" w:usb2="00000001" w:usb3="00000000" w:csb0="0000019F" w:csb1="00000000"/>
  </w:font>
  <w:font w:name="Times New Roman">
    <w:panose1 w:val="02020603050405020304"/>
    <w:charset w:val="00"/>
    <w:family w:val="roman"/>
    <w:pitch w:val="variable"/>
    <w:sig w:usb0="20007A87" w:usb1="80000000" w:usb2="00000008" w:usb3="00000000" w:csb0="000001FF" w:csb1="00000000"/>
  </w:font>
  <w:font w:name="Lucida Sans">
    <w:panose1 w:val="020B0602030504020204"/>
    <w:charset w:val="00"/>
    <w:family w:val="auto"/>
    <w:pitch w:val="variable"/>
    <w:sig w:usb0="00000003" w:usb1="00000000" w:usb2="00000000" w:usb3="00000000" w:csb0="20000001" w:csb1="00000000"/>
  </w:font>
  <w:font w:name="仿宋_GB2312">
    <w:panose1 w:val="02010609030101010101"/>
    <w:charset w:val="86"/>
    <w:family w:val="modern"/>
    <w:pitch w:val="variable"/>
    <w:sig w:usb0="00000001" w:usb1="080E0000" w:usb2="00000000" w:usb3="00000000" w:csb0="00040000" w:csb1="00000000"/>
  </w:font>
  <w:font w:name="文鼎CS仿宋体">
    <w:altName w:val="方正仿宋_GBK"/>
    <w:panose1 w:val="00000000000000000000"/>
    <w:charset w:val="86"/>
    <w:family w:val="modern"/>
    <w:pitch w:val="variable"/>
    <w:sig w:usb0="00000000" w:usb1="00000000" w:usb2="00000010" w:usb3="00000000" w:csb0="00040000" w:csb1="00000000"/>
  </w:font>
  <w:font w:name="Arial">
    <w:panose1 w:val="020B0604020202020204"/>
    <w:charset w:val="01"/>
    <w:family w:val="swiss"/>
    <w:pitch w:val="variable"/>
    <w:sig w:usb0="00007A87" w:usb1="80000000" w:usb2="00000008" w:usb3="00000000" w:csb0="400001FF" w:csb1="FFFF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8"/>
      <w:framePr w:w="0" w:hRule="auto" w:wrap="around" w:vAnchor="text" w:hAnchor="margin" w:xAlign="outside" w:y="1" w:anchorLock="0"/>
      <w:tabs>
        <w:tab w:val="center" w:pos="4153"/>
        <w:tab w:val="right" w:pos="8306"/>
      </w:tabs>
      <w:wordWrap w:val="0"/>
      <w:rPr>
        <w:rStyle w:val="23"/>
        <w:rFonts w:ascii="宋体" w:cs="宋体" w:hAnsi="宋体"/>
        <w:sz w:val="28"/>
        <w:szCs w:val="28"/>
      </w:rPr>
    </w:pPr>
    <w:r>
      <w:rPr>
        <w:rStyle w:val="23"/>
        <w:rFonts w:ascii="宋体" w:cs="宋体" w:hAnsi="宋体" w:hint="eastAsia"/>
        <w:sz w:val="28"/>
        <w:szCs w:val="28"/>
      </w:rPr>
      <w:t>　—　</w:t>
    </w:r>
    <w:r>
      <w:rPr>
        <w:rStyle w:val="23"/>
        <w:rFonts w:ascii="宋体" w:cs="宋体" w:hAnsi="宋体" w:hint="eastAsia"/>
        <w:sz w:val="28"/>
        <w:szCs w:val="28"/>
      </w:rPr>
      <w:fldChar w:fldCharType="begin"/>
    </w:r>
    <w:r>
      <w:rPr>
        <w:rStyle w:val="23"/>
        <w:rFonts w:ascii="宋体" w:cs="宋体" w:hAnsi="宋体" w:hint="eastAsia"/>
        <w:sz w:val="28"/>
        <w:szCs w:val="28"/>
      </w:rPr>
      <w:instrText xml:space="preserve">PAGE  </w:instrText>
    </w:r>
    <w:r>
      <w:rPr>
        <w:rStyle w:val="23"/>
        <w:rFonts w:ascii="宋体" w:cs="宋体" w:hAnsi="宋体" w:hint="eastAsia"/>
        <w:sz w:val="28"/>
        <w:szCs w:val="28"/>
      </w:rPr>
      <w:fldChar w:fldCharType="separate"/>
    </w:r>
    <w:r>
      <w:rPr>
        <w:rStyle w:val="23"/>
        <w:rFonts w:ascii="宋体" w:cs="宋体" w:hAnsi="宋体"/>
        <w:sz w:val="28"/>
        <w:szCs w:val="28"/>
      </w:rPr>
      <w:t>1</w:t>
    </w:r>
    <w:r>
      <w:rPr>
        <w:rStyle w:val="23"/>
        <w:rFonts w:ascii="宋体" w:cs="宋体" w:hAnsi="宋体" w:hint="eastAsia"/>
        <w:sz w:val="28"/>
        <w:szCs w:val="28"/>
      </w:rPr>
      <w:fldChar w:fldCharType="end"/>
    </w:r>
    <w:r>
      <w:rPr>
        <w:rStyle w:val="23"/>
        <w:rFonts w:ascii="宋体" w:cs="宋体" w:hAnsi="宋体" w:hint="eastAsia"/>
        <w:sz w:val="28"/>
        <w:szCs w:val="28"/>
      </w:rPr>
      <w:t>　—　</w:t>
    </w:r>
  </w:p>
  <w:p>
    <w:pPr>
      <w:pStyle w:val="18"/>
      <w:tabs>
        <w:tab w:val="center" w:pos="4153"/>
        <w:tab w:val="right" w:pos="8306"/>
      </w:tabs>
      <w:rPr>
        <w:sz w:val="28"/>
        <w:szCs w:val="28"/>
      </w:rPr>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8"/>
      <w:tabs>
        <w:tab w:val="center" w:pos="4153"/>
        <w:tab w:val="right" w:pos="8306"/>
      </w:tabs>
    </w:pPr>
  </w:p>
</w:ft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39"/>
  <w:bordersDoNotSurroundHeader/>
  <w:bordersDoNotSurroundFooter/>
  <w:documentProtection w:edit="readOnly"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ulTrailSpace/>
    <w:doNotExpandShiftReturn/>
    <w:adjustLineHeightInTable/>
    <w:compatSetting w:name="compatibilityMode" w:uri="http://schemas.microsoft.com/office/word" w:val="12"/>
  </w:compat>
  <w:docVars>
    <w:docVar w:name="commondata" w:val="eyJoZGlkIjoiNmY1OGIyNTRhN2IxOTI3MzE4MjM1YTBjYzhiNzIyNWIifQ=="/>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Lucida Sans"/>
        <w:lang w:val="en-US" w:eastAsia="zh-CN" w:bidi="ar-SA"/>
      </w:rPr>
    </w:rPrDefault>
    <w:pPrDefault/>
  </w:docDefaults>
  <w:style w:type="paragraph" w:default="1" w:styleId="0">
    <w:name w:val="Normal"/>
    <w:next w:val="15"/>
    <w:pPr>
      <w:widowControl w:val="0"/>
      <w:jc w:val="both"/>
    </w:pPr>
    <w:rPr>
      <w:rFonts w:ascii="Times New Roman" w:eastAsia="宋体" w:cs="Times New Roman" w:hAnsi="Times New Roman"/>
      <w:kern w:val="2"/>
      <w:sz w:val="21"/>
      <w:szCs w:val="24"/>
      <w:lang w:val="en-US" w:eastAsia="zh-CN" w:bidi="ar-SA"/>
    </w:rPr>
  </w:style>
  <w:style w:type="paragraph" w:styleId="1">
    <w:name w:val="heading 1"/>
    <w:basedOn w:val="0"/>
    <w:next w:val="0"/>
    <w:pPr>
      <w:keepNext/>
      <w:keepLines/>
      <w:widowControl w:val="0"/>
      <w:spacing w:line="576" w:lineRule="auto"/>
      <w:outlineLvl w:val="0"/>
    </w:pPr>
    <w:rPr>
      <w:b/>
      <w:kern w:val="44"/>
      <w:sz w:val="44"/>
    </w:rPr>
  </w:style>
  <w:style w:type="paragraph" w:styleId="2">
    <w:name w:val="heading 2"/>
    <w:basedOn w:val="0"/>
    <w:next w:val="0"/>
    <w:pPr>
      <w:tabs>
        <w:tab w:val="left" w:pos="0"/>
      </w:tabs>
      <w:adjustRightInd w:val="0"/>
      <w:snapToGrid w:val="0"/>
      <w:spacing w:line="360" w:lineRule="auto"/>
      <w:ind w:firstLineChars="200" w:firstLine="200"/>
      <w:outlineLvl w:val="1"/>
    </w:pPr>
    <w:rPr>
      <w:rFonts w:ascii="仿宋_GB2312" w:eastAsia="黑体" w:hAnsi="仿宋_GB2312"/>
      <w:bCs/>
      <w:kern w:val="44"/>
      <w:sz w:val="30"/>
      <w:szCs w:val="30"/>
    </w:rPr>
  </w:style>
  <w:style w:type="paragraph" w:styleId="3">
    <w:name w:val="heading 3"/>
    <w:basedOn w:val="0"/>
    <w:next w:val="0"/>
    <w:pPr>
      <w:keepNext/>
      <w:keepLines/>
      <w:spacing w:before="260" w:after="260" w:line="415" w:lineRule="auto"/>
      <w:outlineLvl w:val="2"/>
    </w:pPr>
    <w:rPr>
      <w:b/>
      <w:bCs/>
      <w:sz w:val="32"/>
      <w:szCs w:val="32"/>
    </w:rPr>
  </w:style>
  <w:style w:type="character" w:default="1" w:styleId="10">
    <w:name w:val="Default Paragraph Font"/>
  </w:style>
  <w:style w:type="paragraph" w:styleId="15">
    <w:name w:val="Normal Indent"/>
    <w:basedOn w:val="0"/>
    <w:pPr>
      <w:ind w:firstLine="680"/>
    </w:pPr>
    <w:rPr>
      <w:rFonts w:eastAsia="文鼎CS仿宋体"/>
      <w:sz w:val="32"/>
      <w:szCs w:val="32"/>
    </w:rPr>
  </w:style>
  <w:style w:type="paragraph" w:styleId="16">
    <w:name w:val="annotation text"/>
    <w:basedOn w:val="0"/>
    <w:pPr>
      <w:jc w:val="left"/>
    </w:pPr>
  </w:style>
  <w:style w:type="paragraph" w:styleId="17">
    <w:name w:val="Balloon Text"/>
    <w:basedOn w:val="0"/>
    <w:rPr>
      <w:sz w:val="18"/>
      <w:szCs w:val="18"/>
    </w:rPr>
  </w:style>
  <w:style w:type="paragraph" w:styleId="18">
    <w:name w:val="footer"/>
    <w:basedOn w:val="0"/>
    <w:pPr>
      <w:tabs>
        <w:tab w:val="center" w:pos="4153"/>
        <w:tab w:val="right" w:pos="8306"/>
      </w:tabs>
      <w:snapToGrid w:val="0"/>
      <w:jc w:val="left"/>
    </w:pPr>
    <w:rPr>
      <w:sz w:val="18"/>
      <w:szCs w:val="18"/>
    </w:rPr>
  </w:style>
  <w:style w:type="paragraph" w:styleId="19">
    <w:name w:val="header"/>
    <w:basedOn w:val="0"/>
    <w:pPr>
      <w:pBdr>
        <w:bottom w:val="single" w:sz="6" w:space="1" w:color="auto"/>
      </w:pBdr>
      <w:tabs>
        <w:tab w:val="center" w:pos="4153"/>
        <w:tab w:val="right" w:pos="8306"/>
      </w:tabs>
      <w:snapToGrid w:val="0"/>
      <w:jc w:val="center"/>
    </w:pPr>
    <w:rPr>
      <w:sz w:val="18"/>
      <w:szCs w:val="18"/>
    </w:rPr>
  </w:style>
  <w:style w:type="paragraph" w:styleId="20">
    <w:name w:val="toc 1"/>
    <w:basedOn w:val="0"/>
    <w:next w:val="0"/>
  </w:style>
  <w:style w:type="paragraph" w:styleId="21">
    <w:name w:val="toc 2"/>
    <w:basedOn w:val="0"/>
    <w:next w:val="0"/>
    <w:pPr>
      <w:ind w:leftChars="200" w:left="200"/>
    </w:pPr>
  </w:style>
  <w:style w:type="paragraph" w:styleId="22">
    <w:name w:val="Normal (Web)"/>
    <w:basedOn w:val="0"/>
    <w:pPr>
      <w:widowControl/>
      <w:spacing w:before="100" w:beforeAutospacing="1" w:after="100" w:afterAutospacing="1"/>
      <w:jc w:val="left"/>
    </w:pPr>
    <w:rPr>
      <w:rFonts w:ascii="宋体" w:hAnsi="宋体"/>
      <w:color w:val="000000"/>
      <w:kern w:val="0"/>
      <w:sz w:val="24"/>
    </w:rPr>
  </w:style>
  <w:style w:type="character" w:styleId="23">
    <w:name w:val="page number"/>
    <w:basedOn w:val="10"/>
  </w:style>
  <w:style w:type="paragraph" w:customStyle="1" w:styleId="24">
    <w:name w:val="WPSOffice手动目录 1"/>
    <w:rPr>
      <w:rFonts w:ascii="Calibri" w:eastAsia="宋体" w:cs="Arial" w:hAnsi="Calibri"/>
      <w:sz w:val="20"/>
      <w:szCs w:val="20"/>
      <w:lang w:val="en-US" w:eastAsia="zh-CN" w:bidi="ar-SA"/>
    </w:rPr>
  </w:style>
  <w:style w:type="paragraph" w:customStyle="1" w:styleId="25">
    <w:name w:val="WPSOffice手动目录 2"/>
    <w:pPr>
      <w:ind w:leftChars="200" w:left="200"/>
    </w:pPr>
    <w:rPr>
      <w:rFonts w:ascii="Calibri" w:eastAsia="宋体" w:cs="Arial" w:hAnsi="Calibri"/>
      <w:sz w:val="20"/>
      <w:szCs w:val="20"/>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image" Target="media/2.jpeg"/><Relationship Id="rId4" Type="http://schemas.openxmlformats.org/officeDocument/2006/relationships/image" Target="media/5.jpeg"/><Relationship Id="rId5" Type="http://schemas.openxmlformats.org/officeDocument/2006/relationships/image" Target="media/8.jpeg"/><Relationship Id="rId6" Type="http://schemas.openxmlformats.org/officeDocument/2006/relationships/image" Target="media/11.jpeg"/><Relationship Id="rId7" Type="http://schemas.openxmlformats.org/officeDocument/2006/relationships/image" Target="media/14.jpeg"/><Relationship Id="rId8" Type="http://schemas.openxmlformats.org/officeDocument/2006/relationships/image" Target="media/17.jpeg"/><Relationship Id="rId9" Type="http://schemas.openxmlformats.org/officeDocument/2006/relationships/image" Target="media/20.jpeg"/><Relationship Id="rId10" Type="http://schemas.openxmlformats.org/officeDocument/2006/relationships/image" Target="media/23.jpeg"/><Relationship Id="rId11" Type="http://schemas.openxmlformats.org/officeDocument/2006/relationships/image" Target="media/26.jpeg"/><Relationship Id="rId12" Type="http://schemas.openxmlformats.org/officeDocument/2006/relationships/image" Target="media/29.jpeg"/><Relationship Id="rId13" Type="http://schemas.openxmlformats.org/officeDocument/2006/relationships/image" Target="media/32.jpeg"/><Relationship Id="rId14" Type="http://schemas.openxmlformats.org/officeDocument/2006/relationships/image" Target="media/35.jpeg"/><Relationship Id="rId15" Type="http://schemas.openxmlformats.org/officeDocument/2006/relationships/image" Target="media/38.jpeg"/><Relationship Id="rId16" Type="http://schemas.openxmlformats.org/officeDocument/2006/relationships/footer" Target="footer2.xml"/><Relationship Id="rId17" Type="http://schemas.openxmlformats.org/officeDocument/2006/relationships/styles" Target="styles.xml"/><Relationship Id="rId18" Type="http://schemas.openxmlformats.org/officeDocument/2006/relationships/fontTable" Target="fontTable.xml"/><Relationship Id="rId19" Type="http://schemas.openxmlformats.org/officeDocument/2006/relationships/customXml" Target="../customXml/item1.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sectPr/>
    <sectPr/>
    <sectPr/>
    <sectPr/>
    <sectPr/>
    <sectPr/>
    <sectPr/>
    <sectPr/>
    <sectPr/>
    <sectPr/>
  </customProps>
</customData>
</file>

<file path=customXml/itemProps1.xml><?xml version="1.0" encoding="utf-8"?>
<ds:datastoreItem xmlns:ds="http://schemas.openxmlformats.org/officeDocument/2006/customXml" ds:itemID="{CBFCE785-CC17-4342-B3DD-F2279253670A}">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0</TotalTime>
  <Application>Yozo_Office27021597764231179</Application>
  <Pages>75</Pages>
  <Words>0</Words>
  <Characters>23910</Characters>
  <Lines>0</Lines>
  <Paragraphs>395</Paragraphs>
  <CharactersWithSpaces>31880</CharactersWithSpaces>
  <Company>Microsoft</Company>
</Properties>
</file>

<file path=docProps/core.xml><?xml version="1.0" encoding="utf-8"?>
<cp:coreProperties xmlns:cp="http://schemas.openxmlformats.org/package/2006/metadata/core-properties" xmlns:dc="http://purl.org/dc/elements/1.1/" xmlns:dcterms="http://purl.org/dc/terms/" xmlns:xsi="http://www.w3.org/2001/XMLSchema-instance">
  <dc:creator>杜一笔</dc:creator>
  <cp:lastModifiedBy>user</cp:lastModifiedBy>
  <cp:revision>2</cp:revision>
  <cp:lastPrinted>2023-07-31T11:16:00Z</cp:lastPrinted>
  <dcterms:created xsi:type="dcterms:W3CDTF">2023-07-31T11:16:00Z</dcterms:created>
  <dcterms:modified xsi:type="dcterms:W3CDTF">2024-05-24T09:07:18Z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2052-11.8.2.1122</vt:lpwstr>
  </property>
  <property fmtid="{D5CDD505-2E9C-101B-9397-08002B2CF9AE}" pid="3" name="ICV">
    <vt:lpwstr>612F582F1F7A4AF39107BC05137AF43F_13</vt:lpwstr>
  </property>
</Properties>
</file>