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52"/>
          <w:szCs w:val="52"/>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ascii="方正小标宋简体" w:eastAsia="方正小标宋简体" w:cs="方正小标宋简体" w:hAnsi="方正小标宋简体" w:hint="eastAsia"/>
          <w:color w:val="000000"/>
          <w:sz w:val="52"/>
          <w:szCs w:val="52"/>
        </w:rPr>
      </w:pPr>
      <w:bookmarkStart w:id="2" w:name="_Toc15378441"/>
      <w:bookmarkStart w:id="3" w:name="_Toc15377193"/>
      <w:bookmarkStart w:id="4" w:name="_Toc15377425"/>
      <w:bookmarkStart w:id="5" w:name="_Toc15396475"/>
      <w:bookmarkStart w:id="6" w:name="_Toc15396597"/>
      <w:r>
        <w:rPr>
          <w:rFonts w:ascii="方正小标宋简体" w:eastAsia="方正小标宋简体" w:cs="方正小标宋简体" w:hAnsi="方正小标宋简体" w:hint="eastAsia"/>
          <w:color w:val="000000"/>
          <w:sz w:val="52"/>
          <w:szCs w:val="52"/>
        </w:rPr>
        <w:t>2020年度</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ascii="方正小标宋简体" w:eastAsia="方正小标宋简体" w:hAnsi="宋体" w:hint="eastAsia"/>
          <w:color w:val="000000"/>
          <w:sz w:val="52"/>
          <w:szCs w:val="52"/>
          <w:lang w:eastAsia="zh-CN"/>
        </w:rPr>
      </w:pPr>
      <w:bookmarkStart w:id="7" w:name="_Toc15377194"/>
      <w:bookmarkStart w:id="8" w:name="_Toc15306268"/>
      <w:bookmarkStart w:id="9" w:name="_Toc15396598"/>
      <w:bookmarkStart w:id="10" w:name="_Toc15378442"/>
      <w:bookmarkStart w:id="11" w:name="_Toc15396476"/>
      <w:bookmarkStart w:id="12" w:name="_Toc15377426"/>
      <w:bookmarkEnd w:id="0"/>
      <w:r>
        <w:rPr>
          <w:rFonts w:ascii="方正小标宋简体" w:eastAsia="方正小标宋简体" w:hAnsi="宋体" w:hint="eastAsia"/>
          <w:color w:val="000000"/>
          <w:sz w:val="52"/>
          <w:szCs w:val="52"/>
          <w:lang w:eastAsia="zh-CN"/>
        </w:rPr>
        <w:t>广元市利州区公共卫生指导中心</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部门决算</w:t>
      </w:r>
    </w:p>
    <w:p>
      <w:pPr>
        <w:pageBreakBefore w:val="0"/>
        <w:widowControl/>
        <w:kinsoku/>
        <w:wordWrap/>
        <w:overflowPunct/>
        <w:topLinePunct w:val="0"/>
        <w:autoSpaceDE/>
        <w:autoSpaceDN/>
        <w:bidi w:val="0"/>
        <w:spacing w:line="576" w:lineRule="exact"/>
        <w:ind w:left="0" w:right="0"/>
        <w:jc w:val="center"/>
        <w:textAlignment w:val="auto"/>
        <w:rPr>
          <w:rFonts w:ascii="方正小标宋简体" w:eastAsia="方正小标宋简体" w:cs="方正小标宋简体" w:hAnsi="方正小标宋简体" w:hint="eastAsia"/>
          <w:color w:val="000000"/>
          <w:sz w:val="44"/>
          <w:szCs w:val="44"/>
        </w:rPr>
      </w:pPr>
      <w:bookmarkEnd w:id="7"/>
      <w:bookmarkEnd w:id="8"/>
      <w:bookmarkEnd w:id="9"/>
      <w:bookmarkEnd w:id="10"/>
      <w:bookmarkEnd w:id="11"/>
      <w:bookmarkEnd w:id="12"/>
      <w:r>
        <w:rPr>
          <w:rFonts w:ascii="方正小标宋简体" w:eastAsia="方正小标宋简体" w:hAnsi="宋体"/>
          <w:color w:val="000000"/>
          <w:sz w:val="36"/>
          <w:szCs w:val="36"/>
        </w:rPr>
        <w:br w:type="page"/>
      </w:r>
      <w:r>
        <w:rPr>
          <w:rFonts w:ascii="方正小标宋简体" w:eastAsia="方正小标宋简体" w:cs="方正小标宋简体" w:hAnsi="方正小标宋简体" w:hint="eastAsia"/>
          <w:color w:val="000000"/>
          <w:sz w:val="44"/>
          <w:szCs w:val="44"/>
        </w:rPr>
        <w:t>目</w:t>
      </w:r>
      <w:r>
        <w:rPr>
          <w:rFonts w:ascii="方正小标宋简体" w:eastAsia="方正小标宋简体" w:cs="方正小标宋简体" w:hAnsi="方正小标宋简体" w:hint="eastAsia"/>
          <w:color w:val="000000"/>
          <w:sz w:val="44"/>
          <w:szCs w:val="44"/>
          <w:lang w:val="en-US" w:eastAsia="zh-CN"/>
        </w:rPr>
        <w:t xml:space="preserve">      </w:t>
      </w:r>
      <w:r>
        <w:rPr>
          <w:rFonts w:ascii="方正小标宋简体" w:eastAsia="方正小标宋简体" w:cs="方正小标宋简体" w:hAnsi="方正小标宋简体" w:hint="eastAsia"/>
          <w:color w:val="000000"/>
          <w:sz w:val="44"/>
          <w:szCs w:val="44"/>
        </w:rPr>
        <w:t>录</w:t>
      </w:r>
    </w:p>
    <w:p>
      <w:pPr>
        <w:pStyle w:val="20"/>
        <w:pageBreakBefore w:val="0"/>
        <w:widowControl w:val="0"/>
        <w:tabs>
          <w:tab w:val="right" w:leader="dot" w:pos="8296"/>
        </w:tabs>
        <w:kinsoku/>
        <w:wordWrap/>
        <w:overflowPunct/>
        <w:topLinePunct w:val="0"/>
        <w:autoSpaceDE/>
        <w:autoSpaceDN/>
        <w:bidi w:val="0"/>
        <w:spacing w:before="0" w:line="576" w:lineRule="exact"/>
        <w:ind w:left="0" w:right="0"/>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公开时间：2021年</w:t>
      </w:r>
      <w:r>
        <w:rPr>
          <w:rFonts w:ascii="方正楷体简体" w:eastAsia="方正楷体简体" w:cs="方正楷体简体" w:hAnsi="方正楷体简体" w:hint="eastAsia"/>
          <w:sz w:val="32"/>
          <w:szCs w:val="32"/>
          <w:lang w:val="en-US" w:eastAsia="zh-CN"/>
        </w:rPr>
        <w:t>10</w:t>
      </w:r>
      <w:r>
        <w:rPr>
          <w:rFonts w:ascii="方正楷体简体" w:eastAsia="方正楷体简体" w:cs="方正楷体简体" w:hAnsi="方正楷体简体" w:hint="eastAsia"/>
          <w:sz w:val="32"/>
          <w:szCs w:val="32"/>
        </w:rPr>
        <w:t>月</w:t>
      </w:r>
      <w:r>
        <w:rPr>
          <w:rFonts w:ascii="方正楷体简体" w:eastAsia="方正楷体简体" w:cs="方正楷体简体" w:hAnsi="方正楷体简体" w:hint="eastAsia"/>
          <w:sz w:val="32"/>
          <w:szCs w:val="32"/>
          <w:lang w:val="en-US" w:eastAsia="zh-CN"/>
        </w:rPr>
        <w:t>14</w:t>
      </w:r>
      <w:r>
        <w:rPr>
          <w:rFonts w:ascii="方正楷体简体" w:eastAsia="方正楷体简体" w:cs="方正楷体简体" w:hAnsi="方正楷体简体" w:hint="eastAsia"/>
          <w:sz w:val="32"/>
          <w:szCs w:val="32"/>
        </w:rPr>
        <w:t>日</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left"/>
        <w:textAlignment w:val="auto"/>
        <w:rPr>
          <w:rFonts w:ascii="黑体" w:eastAsia="仿宋" w:cs="黑体" w:hAnsi="黑体" w:hint="eastAsia"/>
          <w:b w:val="0"/>
          <w:bCs w:val="0"/>
          <w:color w:val="000000"/>
          <w:sz w:val="32"/>
          <w:szCs w:val="32"/>
          <w14:textFill>
            <w14:solidFill>
              <w14:srgbClr w14:val="000000"/>
            </w14:solidFill>
          </w14:textFill>
          <w:lang w:val="en-US" w:eastAsia="zh-CN"/>
        </w:rPr>
      </w:pPr>
      <w:r>
        <w:rPr>
          <w:rFonts w:ascii="黑体" w:eastAsia="黑体" w:cs="黑体" w:hAnsi="黑体" w:hint="eastAsia"/>
          <w:b w:val="0"/>
          <w:bCs w:val="0"/>
          <w:color w:val="000000"/>
          <w:sz w:val="32"/>
          <w:szCs w:val="32"/>
          <w14:textFill>
            <w14:solidFill>
              <w14:srgbClr w14:val="000000"/>
            </w14:solidFill>
          </w14:textFill>
        </w:rPr>
        <w:t>第一部分 部门概况</w:t>
      </w:r>
      <w:r>
        <w:rPr>
          <w:rFonts w:ascii="仿宋" w:eastAsia="仿宋" w:cs="仿宋" w:hAnsi="仿宋" w:hint="eastAsia"/>
          <w:color w:val="000000"/>
          <w:sz w:val="32"/>
          <w:szCs w:val="32"/>
          <w14:textFill>
            <w14:solidFill>
              <w14:srgbClr w14:val="000000"/>
            </w14:solidFill>
          </w14:textFill>
        </w:rPr>
        <w:tab/>
      </w:r>
      <w:r>
        <w:rPr>
          <w:rFonts w:cs="仿宋" w:hint="eastAsia"/>
          <w:color w:val="000000"/>
          <w:sz w:val="32"/>
          <w:szCs w:val="32"/>
          <w14:textFill>
            <w14:solidFill>
              <w14:srgbClr w14:val="000000"/>
            </w14:solidFill>
          </w14:textFill>
          <w:lang w:val="en-US" w:eastAsia="zh-CN"/>
        </w:rPr>
        <w:t>4</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left"/>
        <w:textAlignment w:val="auto"/>
        <w:rPr>
          <w:rFonts w:ascii="仿宋" w:eastAsia="仿宋" w:cs="仿宋" w:hAnsi="仿宋" w:hint="eastAsia"/>
          <w:color w:val="000000"/>
          <w:sz w:val="32"/>
          <w:szCs w:val="32"/>
          <w14:textFill>
            <w14:solidFill>
              <w14:srgbClr w14:val="000000"/>
            </w14:solidFill>
          </w14:textFill>
          <w:lang w:val="en-US" w:eastAsia="zh-CN"/>
        </w:rPr>
      </w:pPr>
      <w:r>
        <w:rPr>
          <w:rFonts w:ascii="仿宋" w:eastAsia="仿宋" w:cs="仿宋" w:hAnsi="仿宋" w:hint="eastAsia"/>
          <w:color w:val="000000"/>
          <w:sz w:val="32"/>
          <w:szCs w:val="32"/>
          <w14:textFill>
            <w14:solidFill>
              <w14:srgbClr w14:val="000000"/>
            </w14:solidFill>
          </w14:textFill>
        </w:rPr>
        <w:t>一、基本职能及主要工作</w:t>
        <w:tab/>
      </w:r>
      <w:r>
        <w:rPr>
          <w:rFonts w:ascii="仿宋" w:eastAsia="仿宋" w:cs="仿宋" w:hAnsi="仿宋" w:hint="eastAsia"/>
          <w:color w:val="000000"/>
          <w:sz w:val="32"/>
          <w:szCs w:val="32"/>
          <w14:textFill>
            <w14:solidFill>
              <w14:srgbClr w14:val="000000"/>
            </w14:solidFill>
          </w14:textFill>
          <w:lang w:val="en-US" w:eastAsia="zh-CN"/>
        </w:rPr>
        <w:t>4</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left"/>
        <w:textAlignment w:val="auto"/>
        <w:rPr>
          <w:rFonts w:ascii="仿宋" w:eastAsia="仿宋" w:cs="仿宋" w:hAnsi="仿宋" w:hint="eastAsia"/>
          <w:color w:val="000000"/>
          <w:sz w:val="32"/>
          <w:szCs w:val="32"/>
          <w14:textFill>
            <w14:solidFill>
              <w14:srgbClr w14:val="000000"/>
            </w14:solidFill>
          </w14:textFill>
          <w:lang w:val="en-US" w:eastAsia="zh-CN"/>
        </w:rPr>
      </w:pPr>
      <w:r>
        <w:rPr>
          <w:rFonts w:ascii="仿宋" w:eastAsia="仿宋" w:cs="仿宋" w:hAnsi="仿宋" w:hint="eastAsia"/>
          <w:color w:val="000000"/>
          <w:sz w:val="32"/>
          <w:szCs w:val="32"/>
          <w14:textFill>
            <w14:solidFill>
              <w14:srgbClr w14:val="000000"/>
            </w14:solidFill>
          </w14:textFill>
        </w:rPr>
        <w:t>二、机构设置</w:t>
        <w:tab/>
      </w:r>
      <w:r>
        <w:rPr>
          <w:rFonts w:ascii="仿宋" w:eastAsia="仿宋" w:cs="仿宋" w:hAnsi="仿宋" w:hint="eastAsia"/>
          <w:color w:val="000000"/>
          <w:sz w:val="32"/>
          <w:szCs w:val="32"/>
          <w14:textFill>
            <w14:solidFill>
              <w14:srgbClr w14:val="000000"/>
            </w14:solidFill>
          </w14:textFill>
          <w:lang w:val="en-US" w:eastAsia="zh-CN"/>
        </w:rPr>
        <w:t>11</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left"/>
        <w:textAlignment w:val="auto"/>
        <w:rPr>
          <w:rFonts w:ascii="黑体" w:eastAsia="仿宋" w:cs="黑体" w:hAnsi="黑体"/>
          <w:b w:val="0"/>
          <w:bCs w:val="0"/>
          <w:color w:val="000000"/>
          <w:sz w:val="32"/>
          <w:szCs w:val="32"/>
          <w14:textFill>
            <w14:solidFill>
              <w14:srgbClr w14:val="000000"/>
            </w14:solidFill>
          </w14:textFill>
          <w:lang w:val="en-US" w:eastAsia="zh-CN"/>
        </w:rPr>
      </w:pPr>
      <w:r>
        <w:rPr>
          <w:rFonts w:ascii="黑体" w:eastAsia="黑体" w:cs="黑体" w:hAnsi="黑体" w:hint="eastAsia"/>
          <w:b w:val="0"/>
          <w:bCs w:val="0"/>
          <w:color w:val="000000"/>
          <w:sz w:val="32"/>
          <w:szCs w:val="32"/>
          <w14:textFill>
            <w14:solidFill>
              <w14:srgbClr w14:val="000000"/>
            </w14:solidFill>
          </w14:textFill>
        </w:rPr>
        <w:t>第二部分</w:t>
      </w:r>
      <w:r>
        <w:rPr>
          <w:rFonts w:ascii="黑体" w:eastAsia="黑体" w:cs="黑体" w:hAnsi="黑体" w:hint="eastAsia"/>
          <w:b w:val="0"/>
          <w:bCs w:val="0"/>
          <w:color w:val="000000"/>
          <w:sz w:val="32"/>
          <w:szCs w:val="32"/>
          <w14:textFill>
            <w14:solidFill>
              <w14:srgbClr w14:val="000000"/>
            </w14:solidFill>
          </w14:textFill>
          <w:lang w:val="en-US" w:eastAsia="zh-CN"/>
        </w:rPr>
        <w:t xml:space="preserve">  2020年</w:t>
      </w:r>
      <w:r>
        <w:rPr>
          <w:rFonts w:ascii="黑体" w:eastAsia="黑体" w:cs="黑体" w:hAnsi="黑体" w:hint="eastAsia"/>
          <w:b w:val="0"/>
          <w:bCs w:val="0"/>
          <w:color w:val="000000"/>
          <w:sz w:val="32"/>
          <w:szCs w:val="32"/>
          <w14:textFill>
            <w14:solidFill>
              <w14:srgbClr w14:val="000000"/>
            </w14:solidFill>
          </w14:textFill>
        </w:rPr>
        <w:t>度部门决算情况说明</w:t>
      </w:r>
      <w:r>
        <w:rPr>
          <w:rFonts w:ascii="仿宋" w:eastAsia="仿宋" w:cs="仿宋" w:hAnsi="仿宋" w:hint="eastAsia"/>
          <w:color w:val="000000"/>
          <w:sz w:val="32"/>
          <w:szCs w:val="32"/>
          <w14:textFill>
            <w14:solidFill>
              <w14:srgbClr w14:val="000000"/>
            </w14:solidFill>
          </w14:textFill>
        </w:rPr>
        <w:tab/>
      </w:r>
      <w:r>
        <w:rPr>
          <w:rFonts w:cs="仿宋" w:hint="eastAsia"/>
          <w:color w:val="000000"/>
          <w:sz w:val="32"/>
          <w:szCs w:val="32"/>
          <w14:textFill>
            <w14:solidFill>
              <w14:srgbClr w14:val="000000"/>
            </w14:solidFill>
          </w14:textFill>
          <w:lang w:val="en-US" w:eastAsia="zh-CN"/>
        </w:rPr>
        <w:t>12</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left"/>
        <w:textAlignment w:val="auto"/>
        <w:rPr>
          <w:rFonts w:ascii="仿宋" w:eastAsia="仿宋" w:cs="仿宋" w:hAnsi="仿宋" w:hint="eastAsia"/>
          <w:color w:val="000000"/>
          <w:sz w:val="32"/>
          <w:szCs w:val="32"/>
          <w14:textFill>
            <w14:solidFill>
              <w14:srgbClr w14:val="000000"/>
            </w14:solidFill>
          </w14:textFill>
          <w:lang w:val="en-US" w:eastAsia="zh-CN"/>
        </w:rPr>
      </w:pPr>
      <w:r>
        <w:rPr>
          <w:rFonts w:ascii="仿宋" w:eastAsia="仿宋" w:cs="仿宋" w:hAnsi="仿宋" w:hint="eastAsia"/>
          <w:color w:val="000000"/>
          <w:sz w:val="32"/>
          <w:szCs w:val="32"/>
          <w14:textFill>
            <w14:solidFill>
              <w14:srgbClr w14:val="000000"/>
            </w14:solidFill>
          </w14:textFill>
        </w:rPr>
        <w:t>一、收入支出决算总体情况说明</w:t>
        <w:tab/>
      </w:r>
      <w:r>
        <w:rPr>
          <w:rFonts w:ascii="仿宋" w:eastAsia="仿宋" w:cs="仿宋" w:hAnsi="仿宋" w:hint="eastAsia"/>
          <w:color w:val="000000"/>
          <w:sz w:val="32"/>
          <w:szCs w:val="32"/>
          <w14:textFill>
            <w14:solidFill>
              <w14:srgbClr w14:val="000000"/>
            </w14:solidFill>
          </w14:textFill>
          <w:lang w:val="en-US" w:eastAsia="zh-CN"/>
        </w:rPr>
        <w:t>12</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left"/>
        <w:textAlignment w:val="auto"/>
        <w:rPr>
          <w:rFonts w:ascii="仿宋" w:eastAsia="仿宋" w:cs="仿宋" w:hAnsi="仿宋" w:hint="eastAsia"/>
          <w:color w:val="000000"/>
          <w:sz w:val="32"/>
          <w:szCs w:val="32"/>
          <w14:textFill>
            <w14:solidFill>
              <w14:srgbClr w14:val="000000"/>
            </w14:solidFill>
          </w14:textFill>
          <w:lang w:val="en-US" w:eastAsia="zh-CN"/>
        </w:rPr>
      </w:pPr>
      <w:r>
        <w:rPr>
          <w:rFonts w:ascii="仿宋" w:eastAsia="仿宋" w:cs="仿宋" w:hAnsi="仿宋" w:hint="eastAsia"/>
          <w:color w:val="000000"/>
          <w:sz w:val="32"/>
          <w:szCs w:val="32"/>
          <w14:textFill>
            <w14:solidFill>
              <w14:srgbClr w14:val="000000"/>
            </w14:solidFill>
          </w14:textFill>
        </w:rPr>
        <w:t>二、收入决算情况说明</w:t>
        <w:tab/>
      </w:r>
      <w:r>
        <w:rPr>
          <w:rFonts w:ascii="仿宋" w:eastAsia="仿宋" w:cs="仿宋" w:hAnsi="仿宋" w:hint="eastAsia"/>
          <w:color w:val="000000"/>
          <w:sz w:val="32"/>
          <w:szCs w:val="32"/>
          <w14:textFill>
            <w14:solidFill>
              <w14:srgbClr w14:val="000000"/>
            </w14:solidFill>
          </w14:textFill>
          <w:lang w:val="en-US" w:eastAsia="zh-CN"/>
        </w:rPr>
        <w:t>12</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left"/>
        <w:textAlignment w:val="auto"/>
        <w:rPr>
          <w:rFonts w:ascii="仿宋" w:eastAsia="仿宋" w:cs="仿宋" w:hAnsi="仿宋" w:hint="eastAsia"/>
          <w:color w:val="000000"/>
          <w:sz w:val="32"/>
          <w:szCs w:val="32"/>
          <w14:textFill>
            <w14:solidFill>
              <w14:srgbClr w14:val="000000"/>
            </w14:solidFill>
          </w14:textFill>
          <w:lang w:val="en-US" w:eastAsia="zh-CN"/>
        </w:rPr>
      </w:pPr>
      <w:r>
        <w:rPr>
          <w:rFonts w:ascii="仿宋" w:eastAsia="仿宋" w:cs="仿宋" w:hAnsi="仿宋" w:hint="eastAsia"/>
          <w:color w:val="000000"/>
          <w:sz w:val="32"/>
          <w:szCs w:val="32"/>
          <w14:textFill>
            <w14:solidFill>
              <w14:srgbClr w14:val="000000"/>
            </w14:solidFill>
          </w14:textFill>
        </w:rPr>
        <w:t>三、支出决算情况说明</w:t>
        <w:tab/>
      </w:r>
      <w:r>
        <w:rPr>
          <w:rFonts w:ascii="仿宋" w:eastAsia="仿宋" w:cs="仿宋" w:hAnsi="仿宋" w:hint="eastAsia"/>
          <w:color w:val="000000"/>
          <w:sz w:val="32"/>
          <w:szCs w:val="32"/>
          <w14:textFill>
            <w14:solidFill>
              <w14:srgbClr w14:val="000000"/>
            </w14:solidFill>
          </w14:textFill>
          <w:lang w:val="en-US" w:eastAsia="zh-CN"/>
        </w:rPr>
        <w:t>13</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left"/>
        <w:textAlignment w:val="auto"/>
        <w:rPr>
          <w:rFonts w:ascii="仿宋" w:eastAsia="仿宋" w:cs="仿宋" w:hAnsi="仿宋" w:hint="eastAsia"/>
          <w:color w:val="000000"/>
          <w:sz w:val="32"/>
          <w:szCs w:val="32"/>
          <w14:textFill>
            <w14:solidFill>
              <w14:srgbClr w14:val="000000"/>
            </w14:solidFill>
          </w14:textFill>
          <w:lang w:val="en-US" w:eastAsia="zh-CN"/>
        </w:rPr>
      </w:pPr>
      <w:r>
        <w:rPr>
          <w:rFonts w:ascii="仿宋" w:eastAsia="仿宋" w:cs="仿宋" w:hAnsi="仿宋" w:hint="eastAsia"/>
          <w:color w:val="000000"/>
          <w:sz w:val="32"/>
          <w:szCs w:val="32"/>
          <w14:textFill>
            <w14:solidFill>
              <w14:srgbClr w14:val="000000"/>
            </w14:solidFill>
          </w14:textFill>
        </w:rPr>
        <w:t>四、财政拨款收入支出决算总体情况说明</w:t>
        <w:tab/>
      </w:r>
      <w:r>
        <w:rPr>
          <w:rFonts w:ascii="仿宋" w:eastAsia="仿宋" w:cs="仿宋" w:hAnsi="仿宋" w:hint="eastAsia"/>
          <w:color w:val="000000"/>
          <w:sz w:val="32"/>
          <w:szCs w:val="32"/>
          <w14:textFill>
            <w14:solidFill>
              <w14:srgbClr w14:val="000000"/>
            </w14:solidFill>
          </w14:textFill>
          <w:lang w:val="en-US" w:eastAsia="zh-CN"/>
        </w:rPr>
        <w:t>14</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left"/>
        <w:textAlignment w:val="auto"/>
        <w:rPr>
          <w:rFonts w:ascii="仿宋" w:eastAsia="仿宋" w:cs="仿宋" w:hAnsi="仿宋" w:hint="eastAsia"/>
          <w:color w:val="000000"/>
          <w:sz w:val="32"/>
          <w:szCs w:val="32"/>
          <w14:textFill>
            <w14:solidFill>
              <w14:srgbClr w14:val="000000"/>
            </w14:solidFill>
          </w14:textFill>
          <w:lang w:val="en-US" w:eastAsia="zh-CN"/>
        </w:rPr>
      </w:pPr>
      <w:r>
        <w:rPr>
          <w:rFonts w:ascii="仿宋" w:eastAsia="仿宋" w:cs="仿宋" w:hAnsi="仿宋" w:hint="eastAsia"/>
          <w:color w:val="000000"/>
          <w:sz w:val="32"/>
          <w:szCs w:val="32"/>
          <w14:textFill>
            <w14:solidFill>
              <w14:srgbClr w14:val="000000"/>
            </w14:solidFill>
          </w14:textFill>
        </w:rPr>
        <w:t>五、一般公共预算财政拨款支出决算情况说明</w:t>
        <w:tab/>
      </w:r>
      <w:r>
        <w:rPr>
          <w:rFonts w:ascii="仿宋" w:eastAsia="仿宋" w:cs="仿宋" w:hAnsi="仿宋" w:hint="eastAsia"/>
          <w:color w:val="000000"/>
          <w:sz w:val="32"/>
          <w:szCs w:val="32"/>
          <w14:textFill>
            <w14:solidFill>
              <w14:srgbClr w14:val="000000"/>
            </w14:solidFill>
          </w14:textFill>
          <w:lang w:val="en-US" w:eastAsia="zh-CN"/>
        </w:rPr>
        <w:t>15</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left"/>
        <w:textAlignment w:val="auto"/>
        <w:rPr>
          <w:rFonts w:ascii="仿宋" w:eastAsia="仿宋" w:cs="仿宋" w:hAnsi="仿宋" w:hint="eastAsia"/>
          <w:color w:val="000000"/>
          <w:sz w:val="32"/>
          <w:szCs w:val="32"/>
          <w14:textFill>
            <w14:solidFill>
              <w14:srgbClr w14:val="000000"/>
            </w14:solidFill>
          </w14:textFill>
          <w:lang w:val="en-US" w:eastAsia="zh-CN"/>
        </w:rPr>
      </w:pPr>
      <w:r>
        <w:rPr>
          <w:rFonts w:ascii="仿宋" w:eastAsia="仿宋" w:cs="仿宋" w:hAnsi="仿宋" w:hint="eastAsia"/>
          <w:color w:val="000000"/>
          <w:sz w:val="32"/>
          <w:szCs w:val="32"/>
          <w14:textFill>
            <w14:solidFill>
              <w14:srgbClr w14:val="000000"/>
            </w14:solidFill>
          </w14:textFill>
        </w:rPr>
        <w:t>六、一般公共预算财政拨款基本支出决算情况说明</w:t>
        <w:tab/>
      </w:r>
      <w:r>
        <w:rPr>
          <w:rFonts w:ascii="仿宋" w:eastAsia="仿宋" w:cs="仿宋" w:hAnsi="仿宋" w:hint="eastAsia"/>
          <w:color w:val="000000"/>
          <w:sz w:val="32"/>
          <w:szCs w:val="32"/>
          <w14:textFill>
            <w14:solidFill>
              <w14:srgbClr w14:val="000000"/>
            </w14:solidFill>
          </w14:textFill>
          <w:lang w:val="en-US" w:eastAsia="zh-CN"/>
        </w:rPr>
        <w:t>18</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left"/>
        <w:textAlignment w:val="auto"/>
        <w:rPr>
          <w:rFonts w:ascii="仿宋" w:eastAsia="仿宋" w:cs="仿宋" w:hAnsi="仿宋" w:hint="eastAsia"/>
          <w:color w:val="000000"/>
          <w:sz w:val="32"/>
          <w:szCs w:val="32"/>
          <w14:textFill>
            <w14:solidFill>
              <w14:srgbClr w14:val="000000"/>
            </w14:solidFill>
          </w14:textFill>
          <w:lang w:val="en-US" w:eastAsia="zh-CN"/>
        </w:rPr>
      </w:pPr>
      <w:r>
        <w:rPr>
          <w:rFonts w:ascii="仿宋" w:eastAsia="仿宋" w:cs="仿宋" w:hAnsi="仿宋" w:hint="eastAsia"/>
          <w:color w:val="000000"/>
          <w:sz w:val="32"/>
          <w:szCs w:val="32"/>
          <w14:textFill>
            <w14:solidFill>
              <w14:srgbClr w14:val="000000"/>
            </w14:solidFill>
          </w14:textFill>
        </w:rPr>
        <w:t>七、“三公”经费财政拨款支出决算情况说明</w:t>
        <w:tab/>
      </w:r>
      <w:r>
        <w:rPr>
          <w:rFonts w:ascii="仿宋" w:eastAsia="仿宋" w:cs="仿宋" w:hAnsi="仿宋" w:hint="eastAsia"/>
          <w:color w:val="000000"/>
          <w:sz w:val="32"/>
          <w:szCs w:val="32"/>
          <w14:textFill>
            <w14:solidFill>
              <w14:srgbClr w14:val="000000"/>
            </w14:solidFill>
          </w14:textFill>
          <w:lang w:val="en-US" w:eastAsia="zh-CN"/>
        </w:rPr>
        <w:t>19</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left"/>
        <w:textAlignment w:val="auto"/>
        <w:rPr>
          <w:rFonts w:ascii="仿宋" w:eastAsia="仿宋" w:cs="仿宋" w:hAnsi="仿宋" w:hint="eastAsia"/>
          <w:color w:val="000000"/>
          <w:sz w:val="32"/>
          <w:szCs w:val="32"/>
          <w14:textFill>
            <w14:solidFill>
              <w14:srgbClr w14:val="000000"/>
            </w14:solidFill>
          </w14:textFill>
          <w:lang w:val="en-US" w:eastAsia="zh-CN"/>
        </w:rPr>
      </w:pPr>
      <w:r>
        <w:rPr>
          <w:rFonts w:ascii="仿宋" w:eastAsia="仿宋" w:cs="仿宋" w:hAnsi="仿宋" w:hint="eastAsia"/>
          <w:color w:val="000000"/>
          <w:sz w:val="32"/>
          <w:szCs w:val="32"/>
          <w14:textFill>
            <w14:solidFill>
              <w14:srgbClr w14:val="000000"/>
            </w14:solidFill>
          </w14:textFill>
        </w:rPr>
        <w:t>八、政府性基金预算支出决算情况说明</w:t>
        <w:tab/>
      </w:r>
      <w:r>
        <w:rPr>
          <w:rFonts w:ascii="仿宋" w:eastAsia="仿宋" w:cs="仿宋" w:hAnsi="仿宋" w:hint="eastAsia"/>
          <w:color w:val="000000"/>
          <w:sz w:val="32"/>
          <w:szCs w:val="32"/>
          <w14:textFill>
            <w14:solidFill>
              <w14:srgbClr w14:val="000000"/>
            </w14:solidFill>
          </w14:textFill>
          <w:lang w:val="en-US" w:eastAsia="zh-CN"/>
        </w:rPr>
        <w:t>19</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left"/>
        <w:textAlignment w:val="auto"/>
        <w:rPr>
          <w:rFonts w:ascii="仿宋" w:eastAsia="仿宋" w:cs="仿宋" w:hAnsi="仿宋"/>
          <w:color w:val="000000"/>
          <w:sz w:val="32"/>
          <w:szCs w:val="32"/>
          <w14:textFill>
            <w14:solidFill>
              <w14:srgbClr w14:val="000000"/>
            </w14:solidFill>
          </w14:textFill>
          <w:lang w:val="en-US" w:eastAsia="zh-CN"/>
        </w:rPr>
      </w:pPr>
      <w:r>
        <w:rPr>
          <w:rFonts w:ascii="仿宋" w:eastAsia="仿宋" w:cs="仿宋" w:hAnsi="仿宋" w:hint="eastAsia"/>
          <w:color w:val="000000"/>
          <w:sz w:val="32"/>
          <w:szCs w:val="32"/>
          <w14:textFill>
            <w14:solidFill>
              <w14:srgbClr w14:val="000000"/>
            </w14:solidFill>
          </w14:textFill>
        </w:rPr>
        <w:t>九、 国有资本经营预算支出决算情况说明</w:t>
        <w:tab/>
      </w:r>
      <w:r>
        <w:rPr>
          <w:rFonts w:ascii="仿宋" w:eastAsia="仿宋" w:cs="仿宋" w:hAnsi="仿宋" w:hint="eastAsia"/>
          <w:color w:val="000000"/>
          <w:sz w:val="32"/>
          <w:szCs w:val="32"/>
          <w14:textFill>
            <w14:solidFill>
              <w14:srgbClr w14:val="000000"/>
            </w14:solidFill>
          </w14:textFill>
          <w:lang w:val="en-US" w:eastAsia="zh-CN"/>
        </w:rPr>
        <w:t>19</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left"/>
        <w:textAlignment w:val="auto"/>
        <w:rPr>
          <w:rFonts w:ascii="仿宋" w:eastAsia="仿宋" w:cs="仿宋" w:hAnsi="仿宋" w:hint="eastAsia"/>
          <w:color w:val="000000"/>
          <w:sz w:val="32"/>
          <w:szCs w:val="32"/>
          <w14:textFill>
            <w14:solidFill>
              <w14:srgbClr w14:val="000000"/>
            </w14:solidFill>
          </w14:textFill>
          <w:lang w:val="en-US" w:eastAsia="zh-CN"/>
        </w:rPr>
      </w:pPr>
      <w:r>
        <w:rPr>
          <w:rStyle w:val="23"/>
          <w:rFonts w:ascii="仿宋" w:eastAsia="仿宋" w:cs="仿宋" w:hAnsi="仿宋" w:hint="eastAsia"/>
          <w:color w:val="000000"/>
          <w:sz w:val="32"/>
          <w:szCs w:val="32"/>
          <w:u w:val="none"/>
          <w14:textFill>
            <w14:solidFill>
              <w14:srgbClr w14:val="000000"/>
            </w14:solidFill>
          </w14:textFill>
        </w:rPr>
        <w:t>十、</w:t>
      </w:r>
      <w:r>
        <w:rPr>
          <w:rFonts w:ascii="仿宋" w:eastAsia="仿宋" w:cs="仿宋" w:hAnsi="仿宋" w:hint="eastAsia"/>
          <w:color w:val="000000"/>
          <w:sz w:val="32"/>
          <w:szCs w:val="32"/>
          <w14:textFill>
            <w14:solidFill>
              <w14:srgbClr w14:val="000000"/>
            </w14:solidFill>
          </w14:textFill>
        </w:rPr>
        <w:t>其他重要事项的情况说明</w:t>
        <w:tab/>
      </w:r>
      <w:r>
        <w:rPr>
          <w:rFonts w:ascii="仿宋" w:eastAsia="仿宋" w:cs="仿宋" w:hAnsi="仿宋" w:hint="eastAsia"/>
          <w:color w:val="000000"/>
          <w:sz w:val="32"/>
          <w:szCs w:val="32"/>
          <w14:textFill>
            <w14:solidFill>
              <w14:srgbClr w14:val="000000"/>
            </w14:solidFill>
          </w14:textFill>
          <w:lang w:val="en-US" w:eastAsia="zh-CN"/>
        </w:rPr>
        <w:t>20</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left"/>
        <w:textAlignment w:val="auto"/>
        <w:rPr>
          <w:rFonts w:ascii="黑体" w:eastAsia="仿宋" w:cs="黑体" w:hAnsi="黑体"/>
          <w:b w:val="0"/>
          <w:bCs w:val="0"/>
          <w:color w:val="000000"/>
          <w:sz w:val="32"/>
          <w:szCs w:val="32"/>
          <w14:textFill>
            <w14:solidFill>
              <w14:srgbClr w14:val="000000"/>
            </w14:solidFill>
          </w14:textFill>
          <w:lang w:val="en-US" w:eastAsia="zh-CN"/>
        </w:rPr>
      </w:pPr>
      <w:r>
        <w:rPr>
          <w:rFonts w:ascii="黑体" w:eastAsia="黑体" w:cs="黑体" w:hAnsi="黑体" w:hint="eastAsia"/>
          <w:b w:val="0"/>
          <w:bCs w:val="0"/>
          <w:color w:val="000000"/>
          <w:sz w:val="32"/>
          <w:szCs w:val="32"/>
          <w14:textFill>
            <w14:solidFill>
              <w14:srgbClr w14:val="000000"/>
            </w14:solidFill>
          </w14:textFill>
        </w:rPr>
        <w:t>第三部分 名词解释</w:t>
      </w:r>
      <w:r>
        <w:rPr>
          <w:rFonts w:ascii="仿宋" w:eastAsia="仿宋" w:cs="仿宋" w:hAnsi="仿宋" w:hint="eastAsia"/>
          <w:color w:val="000000"/>
          <w:sz w:val="32"/>
          <w:szCs w:val="32"/>
          <w14:textFill>
            <w14:solidFill>
              <w14:srgbClr w14:val="000000"/>
            </w14:solidFill>
          </w14:textFill>
        </w:rPr>
        <w:tab/>
      </w:r>
      <w:r>
        <w:rPr>
          <w:rFonts w:cs="仿宋" w:hint="eastAsia"/>
          <w:color w:val="000000"/>
          <w:sz w:val="32"/>
          <w:szCs w:val="32"/>
          <w14:textFill>
            <w14:solidFill>
              <w14:srgbClr w14:val="000000"/>
            </w14:solidFill>
          </w14:textFill>
          <w:lang w:val="en-US" w:eastAsia="zh-CN"/>
        </w:rPr>
        <w:t>24</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left"/>
        <w:textAlignment w:val="auto"/>
        <w:rPr>
          <w:rFonts w:ascii="黑体" w:eastAsia="仿宋" w:cs="黑体" w:hAnsi="黑体"/>
          <w:b w:val="0"/>
          <w:bCs w:val="0"/>
          <w:color w:val="000000"/>
          <w:sz w:val="32"/>
          <w:szCs w:val="32"/>
          <w14:textFill>
            <w14:solidFill>
              <w14:srgbClr w14:val="000000"/>
            </w14:solidFill>
          </w14:textFill>
          <w:lang w:val="en-US" w:eastAsia="zh-CN"/>
        </w:rPr>
      </w:pPr>
      <w:r>
        <w:rPr>
          <w:rFonts w:ascii="黑体" w:eastAsia="黑体" w:cs="黑体" w:hAnsi="黑体" w:hint="eastAsia"/>
          <w:b w:val="0"/>
          <w:bCs w:val="0"/>
          <w:color w:val="000000"/>
          <w:sz w:val="32"/>
          <w:szCs w:val="32"/>
          <w14:textFill>
            <w14:solidFill>
              <w14:srgbClr w14:val="000000"/>
            </w14:solidFill>
          </w14:textFill>
        </w:rPr>
        <w:t>第四部分 附件</w:t>
      </w:r>
      <w:r>
        <w:rPr>
          <w:rFonts w:ascii="仿宋" w:eastAsia="仿宋" w:cs="仿宋" w:hAnsi="仿宋" w:hint="eastAsia"/>
          <w:color w:val="000000"/>
          <w:sz w:val="32"/>
          <w:szCs w:val="32"/>
          <w14:textFill>
            <w14:solidFill>
              <w14:srgbClr w14:val="000000"/>
            </w14:solidFill>
          </w14:textFill>
        </w:rPr>
        <w:tab/>
      </w:r>
      <w:r>
        <w:rPr>
          <w:rFonts w:cs="仿宋" w:hint="eastAsia"/>
          <w:color w:val="000000"/>
          <w:sz w:val="32"/>
          <w:szCs w:val="32"/>
          <w14:textFill>
            <w14:solidFill>
              <w14:srgbClr w14:val="000000"/>
            </w14:solidFill>
          </w14:textFill>
          <w:lang w:val="en-US" w:eastAsia="zh-CN"/>
        </w:rPr>
        <w:t>26</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left"/>
        <w:textAlignment w:val="auto"/>
        <w:rPr>
          <w:rFonts w:ascii="仿宋" w:eastAsia="仿宋" w:cs="仿宋" w:hAnsi="仿宋"/>
          <w:color w:val="000000"/>
          <w:sz w:val="32"/>
          <w:szCs w:val="32"/>
          <w14:textFill>
            <w14:solidFill>
              <w14:srgbClr w14:val="000000"/>
            </w14:solidFill>
          </w14:textFill>
          <w:lang w:val="en-US" w:eastAsia="zh-CN"/>
        </w:rPr>
      </w:pPr>
      <w:r>
        <w:rPr>
          <w:rFonts w:ascii="仿宋" w:eastAsia="仿宋" w:cs="仿宋" w:hAnsi="仿宋" w:hint="eastAsia"/>
          <w:color w:val="000000"/>
          <w:sz w:val="32"/>
          <w:szCs w:val="32"/>
          <w14:textFill>
            <w14:solidFill>
              <w14:srgbClr w14:val="000000"/>
            </w14:solidFill>
          </w14:textFill>
        </w:rPr>
        <w:t>附件1</w:t>
        <w:tab/>
      </w:r>
      <w:r>
        <w:rPr>
          <w:rFonts w:ascii="仿宋" w:eastAsia="仿宋" w:cs="仿宋" w:hAnsi="仿宋" w:hint="eastAsia"/>
          <w:color w:val="000000"/>
          <w:sz w:val="32"/>
          <w:szCs w:val="32"/>
          <w14:textFill>
            <w14:solidFill>
              <w14:srgbClr w14:val="000000"/>
            </w14:solidFill>
          </w14:textFill>
          <w:lang w:val="en-US" w:eastAsia="zh-CN"/>
        </w:rPr>
        <w:t>27</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left"/>
        <w:textAlignment w:val="auto"/>
        <w:rPr>
          <w:rFonts w:ascii="仿宋" w:eastAsia="仿宋" w:cs="仿宋" w:hAnsi="仿宋"/>
          <w:color w:val="000000"/>
          <w:sz w:val="32"/>
          <w:szCs w:val="32"/>
          <w14:textFill>
            <w14:solidFill>
              <w14:srgbClr w14:val="000000"/>
            </w14:solidFill>
          </w14:textFill>
          <w:lang w:val="en-US" w:eastAsia="zh-CN"/>
        </w:rPr>
      </w:pPr>
      <w:r>
        <w:rPr>
          <w:rFonts w:ascii="仿宋" w:eastAsia="仿宋" w:cs="仿宋" w:hAnsi="仿宋" w:hint="eastAsia"/>
          <w:color w:val="000000"/>
          <w:sz w:val="32"/>
          <w:szCs w:val="32"/>
          <w14:textFill>
            <w14:solidFill>
              <w14:srgbClr w14:val="000000"/>
            </w14:solidFill>
          </w14:textFill>
        </w:rPr>
        <w:t>附件2</w:t>
        <w:tab/>
      </w:r>
      <w:r>
        <w:rPr>
          <w:rFonts w:ascii="仿宋" w:eastAsia="仿宋" w:cs="仿宋" w:hAnsi="仿宋" w:hint="eastAsia"/>
          <w:color w:val="000000"/>
          <w:sz w:val="32"/>
          <w:szCs w:val="32"/>
          <w14:textFill>
            <w14:solidFill>
              <w14:srgbClr w14:val="000000"/>
            </w14:solidFill>
          </w14:textFill>
          <w:lang w:val="en-US" w:eastAsia="zh-CN"/>
        </w:rPr>
        <w:t>30</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left"/>
        <w:textAlignment w:val="auto"/>
        <w:rPr>
          <w:rFonts w:ascii="黑体" w:eastAsia="仿宋" w:cs="黑体" w:hAnsi="黑体"/>
          <w:b w:val="0"/>
          <w:bCs w:val="0"/>
          <w:color w:val="000000"/>
          <w:sz w:val="32"/>
          <w:szCs w:val="32"/>
          <w14:textFill>
            <w14:solidFill>
              <w14:srgbClr w14:val="000000"/>
            </w14:solidFill>
          </w14:textFill>
          <w:lang w:val="en-US" w:eastAsia="zh-CN"/>
        </w:rPr>
      </w:pPr>
      <w:r>
        <w:rPr>
          <w:rFonts w:ascii="黑体" w:eastAsia="黑体" w:cs="黑体" w:hAnsi="黑体" w:hint="eastAsia"/>
          <w:b w:val="0"/>
          <w:bCs w:val="0"/>
          <w:color w:val="000000"/>
          <w:sz w:val="32"/>
          <w:szCs w:val="32"/>
          <w14:textFill>
            <w14:solidFill>
              <w14:srgbClr w14:val="000000"/>
            </w14:solidFill>
          </w14:textFill>
        </w:rPr>
        <w:t>第五部分 附表</w:t>
      </w:r>
      <w:r>
        <w:rPr>
          <w:rFonts w:ascii="仿宋" w:eastAsia="仿宋" w:cs="仿宋" w:hAnsi="仿宋" w:hint="eastAsia"/>
          <w:color w:val="000000"/>
          <w:sz w:val="32"/>
          <w:szCs w:val="32"/>
          <w14:textFill>
            <w14:solidFill>
              <w14:srgbClr w14:val="000000"/>
            </w14:solidFill>
          </w14:textFill>
        </w:rPr>
        <w:tab/>
      </w:r>
      <w:r>
        <w:rPr>
          <w:rFonts w:cs="仿宋" w:hint="eastAsia"/>
          <w:color w:val="000000"/>
          <w:sz w:val="32"/>
          <w:szCs w:val="32"/>
          <w14:textFill>
            <w14:solidFill>
              <w14:srgbClr w14:val="000000"/>
            </w14:solidFill>
          </w14:textFill>
          <w:lang w:val="en-US" w:eastAsia="zh-CN"/>
        </w:rPr>
        <w:t>32</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bookmarkStart w:id="13" w:name="_Toc15396599"/>
      <w:bookmarkStart w:id="14" w:name="_Toc15377196"/>
      <w:r>
        <w:rPr>
          <w:rFonts w:ascii="方正仿宋简体" w:eastAsia="方正仿宋简体" w:cs="方正仿宋简体" w:hAnsi="方正仿宋简体" w:hint="eastAsia"/>
          <w:b w:val="0"/>
          <w:color w:val="000000"/>
          <w:sz w:val="32"/>
          <w:szCs w:val="32"/>
        </w:rPr>
        <w:t>一、收</w:t>
      </w:r>
      <w:r>
        <w:rPr>
          <w:rStyle w:val="2Char"/>
          <w:rFonts w:ascii="方正仿宋简体" w:eastAsia="方正仿宋简体" w:cs="方正仿宋简体" w:hAnsi="方正仿宋简体" w:hint="eastAsia"/>
          <w:b w:val="0"/>
          <w:bCs w:val="0"/>
          <w:sz w:val="32"/>
          <w:szCs w:val="32"/>
        </w:rPr>
        <w:t>入支出决算总表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b w:val="0"/>
          <w:color w:val="000000"/>
          <w:sz w:val="32"/>
          <w:szCs w:val="32"/>
        </w:rPr>
        <w:t>二、收</w:t>
      </w:r>
      <w:r>
        <w:rPr>
          <w:rStyle w:val="2Char"/>
          <w:rFonts w:ascii="方正仿宋简体" w:eastAsia="方正仿宋简体" w:cs="方正仿宋简体" w:hAnsi="方正仿宋简体" w:hint="eastAsia"/>
          <w:b w:val="0"/>
          <w:bCs w:val="0"/>
          <w:sz w:val="32"/>
          <w:szCs w:val="32"/>
        </w:rPr>
        <w:t>入决算表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三、</w:t>
      </w:r>
      <w:r>
        <w:rPr>
          <w:rFonts w:ascii="方正仿宋简体" w:eastAsia="方正仿宋简体" w:cs="方正仿宋简体" w:hAnsi="方正仿宋简体" w:hint="eastAsia"/>
          <w:b w:val="0"/>
          <w:color w:val="000000"/>
          <w:sz w:val="32"/>
          <w:szCs w:val="32"/>
        </w:rPr>
        <w:t>支</w:t>
      </w:r>
      <w:r>
        <w:rPr>
          <w:rStyle w:val="2Char"/>
          <w:rFonts w:ascii="方正仿宋简体" w:eastAsia="方正仿宋简体" w:cs="方正仿宋简体" w:hAnsi="方正仿宋简体" w:hint="eastAsia"/>
          <w:b w:val="0"/>
          <w:bCs w:val="0"/>
          <w:sz w:val="32"/>
          <w:szCs w:val="32"/>
        </w:rPr>
        <w:t>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b w:val="0"/>
          <w:color w:val="000000"/>
          <w:sz w:val="32"/>
          <w:szCs w:val="32"/>
        </w:rPr>
      </w:pPr>
      <w:r>
        <w:rPr>
          <w:rStyle w:val="2Char"/>
          <w:rFonts w:ascii="方正仿宋简体" w:eastAsia="方正仿宋简体" w:cs="方正仿宋简体" w:hAnsi="方正仿宋简体" w:hint="eastAsia"/>
          <w:b w:val="0"/>
          <w:bCs w:val="0"/>
          <w:sz w:val="32"/>
          <w:szCs w:val="32"/>
        </w:rPr>
        <w:t>四、</w:t>
      </w:r>
      <w:r>
        <w:rPr>
          <w:rFonts w:ascii="方正仿宋简体" w:eastAsia="方正仿宋简体" w:cs="方正仿宋简体" w:hAnsi="方正仿宋简体" w:hint="eastAsia"/>
          <w:b w:val="0"/>
          <w:color w:val="000000"/>
          <w:sz w:val="32"/>
          <w:szCs w:val="32"/>
        </w:rPr>
        <w:t>财</w:t>
      </w:r>
      <w:r>
        <w:rPr>
          <w:rStyle w:val="2Char"/>
          <w:rFonts w:ascii="方正仿宋简体" w:eastAsia="方正仿宋简体" w:cs="方正仿宋简体" w:hAnsi="方正仿宋简体" w:hint="eastAsia"/>
          <w:b w:val="0"/>
          <w:bCs w:val="0"/>
          <w:sz w:val="32"/>
          <w:szCs w:val="32"/>
        </w:rPr>
        <w:t>政拨款收入支出决算总表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Style w:val="2Char"/>
          <w:rFonts w:ascii="方正仿宋简体" w:eastAsia="方正仿宋简体" w:cs="方正仿宋简体" w:hAnsi="方正仿宋简体" w:hint="eastAsia"/>
          <w:b w:val="0"/>
          <w:bCs w:val="0"/>
          <w:sz w:val="32"/>
          <w:szCs w:val="32"/>
        </w:rPr>
      </w:pPr>
      <w:r>
        <w:rPr>
          <w:rStyle w:val="2Char"/>
          <w:rFonts w:ascii="方正仿宋简体" w:eastAsia="方正仿宋简体" w:cs="方正仿宋简体" w:hAnsi="方正仿宋简体" w:hint="eastAsia"/>
          <w:b w:val="0"/>
          <w:bCs w:val="0"/>
          <w:sz w:val="32"/>
          <w:szCs w:val="32"/>
        </w:rPr>
        <w:t>五、</w:t>
      </w:r>
      <w:r>
        <w:rPr>
          <w:rFonts w:ascii="方正仿宋简体" w:eastAsia="方正仿宋简体" w:cs="方正仿宋简体" w:hAnsi="方正仿宋简体" w:hint="eastAsia"/>
          <w:b w:val="0"/>
          <w:color w:val="000000"/>
          <w:sz w:val="32"/>
          <w:szCs w:val="32"/>
        </w:rPr>
        <w:t>财</w:t>
      </w:r>
      <w:r>
        <w:rPr>
          <w:rStyle w:val="2Char"/>
          <w:rFonts w:ascii="方正仿宋简体" w:eastAsia="方正仿宋简体" w:cs="方正仿宋简体" w:hAnsi="方正仿宋简体" w:hint="eastAsia"/>
          <w:b w:val="0"/>
          <w:bCs w:val="0"/>
          <w:sz w:val="32"/>
          <w:szCs w:val="32"/>
        </w:rPr>
        <w:t>政拨款支出决算明细表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六、</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七、</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般公共预算财政拨款支出决算明细表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八、</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般公共预算财政拨款基本支出决算表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九、</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般公共预算财政拨款项目支出决算表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十、</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般公共预算财政拨款“三公”经费支出决算表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十一、</w:t>
      </w:r>
      <w:r>
        <w:rPr>
          <w:rFonts w:ascii="方正仿宋简体" w:eastAsia="方正仿宋简体" w:cs="方正仿宋简体" w:hAnsi="方正仿宋简体" w:hint="eastAsia"/>
          <w:b w:val="0"/>
          <w:color w:val="000000"/>
          <w:sz w:val="32"/>
          <w:szCs w:val="32"/>
        </w:rPr>
        <w:t>政</w:t>
      </w:r>
      <w:r>
        <w:rPr>
          <w:rStyle w:val="2Char"/>
          <w:rFonts w:ascii="方正仿宋简体" w:eastAsia="方正仿宋简体" w:cs="方正仿宋简体" w:hAnsi="方正仿宋简体" w:hint="eastAsia"/>
          <w:b w:val="0"/>
          <w:bCs w:val="0"/>
          <w:sz w:val="32"/>
          <w:szCs w:val="32"/>
        </w:rPr>
        <w:t>府性基金预算财政拨款收入支出决算表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十二、</w:t>
      </w:r>
      <w:r>
        <w:rPr>
          <w:rFonts w:ascii="方正仿宋简体" w:eastAsia="方正仿宋简体" w:cs="方正仿宋简体" w:hAnsi="方正仿宋简体" w:hint="eastAsia"/>
          <w:b w:val="0"/>
          <w:color w:val="000000"/>
          <w:sz w:val="32"/>
          <w:szCs w:val="32"/>
        </w:rPr>
        <w:t>政</w:t>
      </w:r>
      <w:r>
        <w:rPr>
          <w:rStyle w:val="2Char"/>
          <w:rFonts w:ascii="方正仿宋简体" w:eastAsia="方正仿宋简体" w:cs="方正仿宋简体" w:hAnsi="方正仿宋简体" w:hint="eastAsia"/>
          <w:b w:val="0"/>
          <w:bCs w:val="0"/>
          <w:sz w:val="32"/>
          <w:szCs w:val="32"/>
        </w:rPr>
        <w:t>府性基金预算财政拨款“三公”经费支出决算表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Style w:val="26"/>
          <w:rFonts w:ascii="方正仿宋简体" w:eastAsia="方正仿宋简体" w:cs="方正仿宋简体" w:hAnsi="方正仿宋简体" w:hint="eastAsia"/>
          <w:b w:val="0"/>
          <w:bCs w:val="0"/>
          <w:sz w:val="32"/>
          <w:szCs w:val="32"/>
        </w:rPr>
      </w:pPr>
      <w:r>
        <w:rPr>
          <w:rStyle w:val="26"/>
          <w:rFonts w:ascii="方正仿宋简体" w:eastAsia="方正仿宋简体" w:cs="方正仿宋简体" w:hAnsi="方正仿宋简体" w:hint="eastAsia"/>
          <w:b w:val="0"/>
          <w:bCs w:val="0"/>
          <w:sz w:val="32"/>
          <w:szCs w:val="32"/>
        </w:rPr>
        <w:t>十三、</w:t>
      </w:r>
      <w:r>
        <w:rPr>
          <w:rFonts w:ascii="方正仿宋简体" w:eastAsia="方正仿宋简体" w:cs="方正仿宋简体" w:hAnsi="方正仿宋简体" w:hint="eastAsia"/>
          <w:b w:val="0"/>
          <w:color w:val="000000"/>
          <w:sz w:val="32"/>
          <w:szCs w:val="32"/>
        </w:rPr>
        <w:t>国</w:t>
      </w:r>
      <w:r>
        <w:rPr>
          <w:rStyle w:val="26"/>
          <w:rFonts w:ascii="方正仿宋简体" w:eastAsia="方正仿宋简体" w:cs="方正仿宋简体" w:hAnsi="方正仿宋简体" w:hint="eastAsia"/>
          <w:b w:val="0"/>
          <w:bCs w:val="0"/>
          <w:sz w:val="32"/>
          <w:szCs w:val="32"/>
        </w:rPr>
        <w:t>有资本经营预算财政拨款</w:t>
      </w:r>
      <w:r>
        <w:rPr>
          <w:rStyle w:val="26"/>
          <w:rFonts w:ascii="方正仿宋简体" w:eastAsia="方正仿宋简体" w:cs="方正仿宋简体" w:hAnsi="方正仿宋简体" w:hint="eastAsia"/>
          <w:b w:val="0"/>
          <w:bCs w:val="0"/>
          <w:sz w:val="32"/>
          <w:szCs w:val="32"/>
          <w:lang w:eastAsia="zh-CN"/>
        </w:rPr>
        <w:t>收入</w:t>
      </w:r>
      <w:r>
        <w:rPr>
          <w:rStyle w:val="26"/>
          <w:rFonts w:ascii="方正仿宋简体" w:eastAsia="方正仿宋简体" w:cs="方正仿宋简体" w:hAnsi="方正仿宋简体" w:hint="eastAsia"/>
          <w:b w:val="0"/>
          <w:bCs w:val="0"/>
          <w:sz w:val="32"/>
          <w:szCs w:val="32"/>
        </w:rPr>
        <w:t>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Style w:val="26"/>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color w:val="000000"/>
          <w:sz w:val="32"/>
          <w:szCs w:val="32"/>
          <w:lang w:eastAsia="zh-CN"/>
        </w:rPr>
        <w:t>十四、</w:t>
      </w:r>
      <w:r>
        <w:rPr>
          <w:rFonts w:ascii="方正仿宋简体" w:eastAsia="方正仿宋简体" w:cs="方正仿宋简体" w:hAnsi="方正仿宋简体" w:hint="eastAsia"/>
          <w:b w:val="0"/>
          <w:color w:val="000000"/>
          <w:sz w:val="32"/>
          <w:szCs w:val="32"/>
        </w:rPr>
        <w:t>国</w:t>
      </w:r>
      <w:r>
        <w:rPr>
          <w:rStyle w:val="26"/>
          <w:rFonts w:ascii="方正仿宋简体" w:eastAsia="方正仿宋简体" w:cs="方正仿宋简体" w:hAnsi="方正仿宋简体" w:hint="eastAsia"/>
          <w:b w:val="0"/>
          <w:bCs w:val="0"/>
          <w:sz w:val="32"/>
          <w:szCs w:val="32"/>
        </w:rPr>
        <w:t>有资本经营预算财政拨款支出决算表</w:t>
      </w:r>
    </w:p>
    <w:p>
      <w:pPr>
        <w:pStyle w:val="1"/>
        <w:keepNext/>
        <w:keepLines/>
        <w:pageBreakBefore w:val="0"/>
        <w:widowControl w:val="0"/>
        <w:kinsoku/>
        <w:wordWrap/>
        <w:overflowPunct/>
        <w:topLinePunct w:val="0"/>
        <w:autoSpaceDE/>
        <w:autoSpaceDN/>
        <w:bidi w:val="0"/>
        <w:spacing w:before="0" w:after="0" w:line="576" w:lineRule="exact"/>
        <w:ind w:left="0" w:right="0"/>
        <w:jc w:val="center"/>
        <w:textAlignment w:val="auto"/>
        <w:rPr>
          <w:rFonts w:ascii="方正小标宋简体" w:eastAsia="方正小标宋简体" w:cs="方正小标宋简体" w:hAnsi="方正小标宋简体" w:hint="eastAsia"/>
          <w:b w:val="0"/>
        </w:rPr>
      </w:pPr>
    </w:p>
    <w:p>
      <w:pPr>
        <w:pStyle w:val="1"/>
        <w:keepNext/>
        <w:keepLines/>
        <w:pageBreakBefore w:val="0"/>
        <w:widowControl w:val="0"/>
        <w:kinsoku/>
        <w:wordWrap/>
        <w:overflowPunct/>
        <w:topLinePunct w:val="0"/>
        <w:autoSpaceDE/>
        <w:autoSpaceDN/>
        <w:bidi w:val="0"/>
        <w:spacing w:before="0" w:after="0" w:line="576" w:lineRule="exact"/>
        <w:ind w:left="0" w:right="0"/>
        <w:jc w:val="center"/>
        <w:textAlignment w:val="auto"/>
        <w:rPr>
          <w:rFonts w:ascii="方正小标宋简体" w:eastAsia="方正小标宋简体" w:cs="方正小标宋简体" w:hAnsi="方正小标宋简体" w:hint="eastAsia"/>
          <w:b w:val="0"/>
        </w:rPr>
      </w:pPr>
    </w:p>
    <w:p>
      <w:pPr>
        <w:pStyle w:val="1"/>
        <w:keepNext/>
        <w:keepLines/>
        <w:pageBreakBefore w:val="0"/>
        <w:widowControl w:val="0"/>
        <w:kinsoku/>
        <w:wordWrap/>
        <w:overflowPunct/>
        <w:topLinePunct w:val="0"/>
        <w:autoSpaceDE/>
        <w:autoSpaceDN/>
        <w:bidi w:val="0"/>
        <w:spacing w:before="0" w:after="0" w:line="576" w:lineRule="exact"/>
        <w:ind w:left="0" w:right="0"/>
        <w:jc w:val="center"/>
        <w:textAlignment w:val="auto"/>
        <w:rPr>
          <w:rFonts w:ascii="方正小标宋简体" w:eastAsia="方正小标宋简体" w:cs="方正小标宋简体" w:hAnsi="方正小标宋简体" w:hint="eastAsia"/>
          <w:b w:val="0"/>
        </w:rPr>
      </w:pPr>
    </w:p>
    <w:p>
      <w:pPr>
        <w:pStyle w:val="1"/>
        <w:keepNext/>
        <w:keepLines/>
        <w:pageBreakBefore w:val="0"/>
        <w:widowControl w:val="0"/>
        <w:kinsoku/>
        <w:wordWrap/>
        <w:overflowPunct/>
        <w:topLinePunct w:val="0"/>
        <w:autoSpaceDE/>
        <w:autoSpaceDN/>
        <w:bidi w:val="0"/>
        <w:spacing w:before="0" w:after="0" w:line="576" w:lineRule="exact"/>
        <w:ind w:left="0" w:right="0"/>
        <w:jc w:val="center"/>
        <w:textAlignment w:val="auto"/>
        <w:rPr>
          <w:rFonts w:ascii="方正小标宋简体" w:eastAsia="方正小标宋简体" w:cs="方正小标宋简体" w:hAnsi="方正小标宋简体" w:hint="eastAsia"/>
          <w:b w:val="0"/>
        </w:rPr>
      </w:pPr>
    </w:p>
    <w:p>
      <w:pPr>
        <w:pStyle w:val="1"/>
        <w:keepNext/>
        <w:keepLines/>
        <w:pageBreakBefore w:val="0"/>
        <w:widowControl w:val="0"/>
        <w:kinsoku/>
        <w:wordWrap/>
        <w:overflowPunct/>
        <w:topLinePunct w:val="0"/>
        <w:autoSpaceDE/>
        <w:autoSpaceDN/>
        <w:bidi w:val="0"/>
        <w:spacing w:before="0" w:after="0" w:line="576" w:lineRule="exact"/>
        <w:ind w:left="0" w:right="0"/>
        <w:jc w:val="center"/>
        <w:textAlignment w:val="auto"/>
        <w:rPr>
          <w:rFonts w:ascii="方正小标宋简体" w:eastAsia="方正小标宋简体" w:cs="方正小标宋简体" w:hAnsi="方正小标宋简体" w:hint="eastAsia"/>
          <w:b w:val="0"/>
        </w:rPr>
      </w:pPr>
    </w:p>
    <w:p>
      <w:pPr>
        <w:pStyle w:val="1"/>
        <w:keepNext/>
        <w:keepLines/>
        <w:pageBreakBefore w:val="0"/>
        <w:widowControl w:val="0"/>
        <w:kinsoku/>
        <w:wordWrap/>
        <w:overflowPunct/>
        <w:topLinePunct w:val="0"/>
        <w:autoSpaceDE/>
        <w:autoSpaceDN/>
        <w:bidi w:val="0"/>
        <w:spacing w:before="0" w:after="0" w:line="576" w:lineRule="exact"/>
        <w:ind w:left="0" w:right="0"/>
        <w:jc w:val="center"/>
        <w:textAlignment w:val="auto"/>
        <w:rPr>
          <w:rFonts w:ascii="方正小标宋简体" w:eastAsia="方正小标宋简体" w:cs="方正小标宋简体" w:hAnsi="方正小标宋简体" w:hint="eastAsia"/>
          <w:b w:val="0"/>
        </w:rPr>
      </w:pPr>
    </w:p>
    <w:p>
      <w:pPr>
        <w:pStyle w:val="1"/>
        <w:keepNext/>
        <w:keepLines/>
        <w:pageBreakBefore w:val="0"/>
        <w:widowControl w:val="0"/>
        <w:kinsoku/>
        <w:wordWrap/>
        <w:overflowPunct/>
        <w:topLinePunct w:val="0"/>
        <w:autoSpaceDE/>
        <w:autoSpaceDN/>
        <w:bidi w:val="0"/>
        <w:spacing w:before="0" w:after="0" w:line="576" w:lineRule="exact"/>
        <w:ind w:left="0" w:right="0"/>
        <w:jc w:val="center"/>
        <w:textAlignment w:val="auto"/>
        <w:rPr>
          <w:rFonts w:ascii="方正小标宋简体" w:eastAsia="方正小标宋简体" w:cs="方正小标宋简体" w:hAnsi="方正小标宋简体" w:hint="eastAsia"/>
          <w:b w:val="0"/>
        </w:rPr>
      </w:pPr>
    </w:p>
    <w:p>
      <w:pPr>
        <w:pStyle w:val="1"/>
        <w:keepNext/>
        <w:keepLines/>
        <w:pageBreakBefore w:val="0"/>
        <w:widowControl w:val="0"/>
        <w:kinsoku/>
        <w:wordWrap/>
        <w:overflowPunct/>
        <w:topLinePunct w:val="0"/>
        <w:autoSpaceDE/>
        <w:autoSpaceDN/>
        <w:bidi w:val="0"/>
        <w:spacing w:before="0" w:after="0" w:line="576" w:lineRule="exact"/>
        <w:ind w:left="0" w:right="0"/>
        <w:jc w:val="center"/>
        <w:textAlignment w:val="auto"/>
        <w:rPr>
          <w:rFonts w:ascii="方正小标宋简体" w:eastAsia="方正小标宋简体" w:cs="方正小标宋简体" w:hAnsi="方正小标宋简体" w:hint="eastAsia"/>
          <w:b w:val="0"/>
        </w:rPr>
      </w:pPr>
    </w:p>
    <w:p>
      <w:pPr>
        <w:pStyle w:val="1"/>
        <w:keepNext/>
        <w:keepLines/>
        <w:pageBreakBefore w:val="0"/>
        <w:widowControl w:val="0"/>
        <w:kinsoku/>
        <w:wordWrap/>
        <w:overflowPunct/>
        <w:topLinePunct w:val="0"/>
        <w:autoSpaceDE/>
        <w:autoSpaceDN/>
        <w:bidi w:val="0"/>
        <w:spacing w:before="0" w:after="0" w:line="576" w:lineRule="exact"/>
        <w:ind w:left="0" w:right="0"/>
        <w:jc w:val="center"/>
        <w:textAlignment w:val="auto"/>
        <w:rPr>
          <w:rStyle w:val="1Char"/>
          <w:rFonts w:ascii="方正小标宋简体" w:eastAsia="方正小标宋简体" w:cs="方正小标宋简体" w:hAnsi="方正小标宋简体" w:hint="eastAsia"/>
          <w:b/>
          <w:bCs w:val="0"/>
        </w:rPr>
      </w:pPr>
      <w:r>
        <w:rPr>
          <w:rFonts w:ascii="方正小标宋简体" w:eastAsia="方正小标宋简体" w:cs="方正小标宋简体" w:hAnsi="方正小标宋简体" w:hint="eastAsia"/>
          <w:b w:val="0"/>
        </w:rPr>
        <w:t xml:space="preserve">第一部分 </w:t>
      </w:r>
      <w:r>
        <w:rPr>
          <w:rStyle w:val="1Char"/>
          <w:rFonts w:ascii="方正小标宋简体" w:eastAsia="方正小标宋简体" w:cs="方正小标宋简体" w:hAnsi="方正小标宋简体" w:hint="eastAsia"/>
          <w:b w:val="0"/>
          <w:bCs w:val="0"/>
        </w:rPr>
        <w:t>部门概况</w:t>
      </w:r>
      <w:bookmarkEnd w:id="13"/>
      <w:bookmarkEnd w:id="14"/>
    </w:p>
    <w:p>
      <w:pPr>
        <w:pageBreakBefore w:val="0"/>
        <w:widowControl w:val="0"/>
        <w:kinsoku/>
        <w:wordWrap/>
        <w:overflowPunct/>
        <w:topLinePunct w:val="0"/>
        <w:autoSpaceDE/>
        <w:autoSpaceDN/>
        <w:bidi w:val="0"/>
        <w:snapToGrid w:val="0"/>
        <w:spacing w:line="576" w:lineRule="exact"/>
        <w:ind w:left="0" w:right="0" w:firstLineChars="200" w:firstLine="640"/>
        <w:jc w:val="both"/>
        <w:textAlignment w:val="auto"/>
        <w:rPr>
          <w:rFonts w:ascii="黑体" w:eastAsia="黑体"/>
          <w:color w:val="000000"/>
          <w:sz w:val="32"/>
          <w:szCs w:val="32"/>
        </w:rPr>
      </w:pPr>
    </w:p>
    <w:p>
      <w:pPr>
        <w:pStyle w:val="2"/>
        <w:keepNext/>
        <w:keepLines/>
        <w:pageBreakBefore w:val="0"/>
        <w:widowControl w:val="0"/>
        <w:kinsoku/>
        <w:wordWrap/>
        <w:overflowPunct/>
        <w:topLinePunct w:val="0"/>
        <w:autoSpaceDE/>
        <w:autoSpaceDN/>
        <w:bidi w:val="0"/>
        <w:snapToGrid w:val="0"/>
        <w:spacing w:before="0" w:after="0" w:line="576" w:lineRule="exact"/>
        <w:ind w:left="0" w:right="0" w:firstLineChars="200" w:firstLine="640"/>
        <w:jc w:val="both"/>
        <w:textAlignment w:val="auto"/>
        <w:rPr>
          <w:rFonts w:ascii="方正黑体简体" w:eastAsia="方正黑体简体" w:cs="方正黑体简体" w:hAnsi="方正黑体简体" w:hint="eastAsia"/>
          <w:bCs/>
          <w:color w:val="000000"/>
          <w:sz w:val="32"/>
          <w:szCs w:val="32"/>
        </w:rPr>
      </w:pPr>
      <w:bookmarkStart w:id="15" w:name="_Toc15377197"/>
      <w:bookmarkStart w:id="16" w:name="_Toc15396600"/>
      <w:r>
        <w:rPr>
          <w:rFonts w:ascii="方正黑体简体" w:eastAsia="方正黑体简体" w:cs="方正黑体简体" w:hAnsi="方正黑体简体" w:hint="eastAsia"/>
          <w:b w:val="0"/>
          <w:color w:val="000000"/>
          <w:lang w:eastAsia="zh-CN"/>
        </w:rPr>
        <w:t>一、</w:t>
      </w:r>
      <w:r>
        <w:rPr>
          <w:rFonts w:ascii="方正黑体简体" w:eastAsia="方正黑体简体" w:cs="方正黑体简体" w:hAnsi="方正黑体简体" w:hint="eastAsia"/>
          <w:b w:val="0"/>
          <w:color w:val="000000"/>
        </w:rPr>
        <w:t>基</w:t>
      </w:r>
      <w:r>
        <w:rPr>
          <w:rStyle w:val="2Char"/>
          <w:rFonts w:ascii="方正黑体简体" w:eastAsia="方正黑体简体" w:cs="方正黑体简体" w:hAnsi="方正黑体简体" w:hint="eastAsia"/>
          <w:b w:val="0"/>
          <w:bCs w:val="0"/>
        </w:rPr>
        <w:t>本职能及主要工作</w:t>
      </w:r>
      <w:bookmarkStart w:id="17" w:name="_Toc15378446"/>
      <w:bookmarkStart w:id="18" w:name="_Toc15377199"/>
      <w:bookmarkEnd w:id="15"/>
      <w:bookmarkEnd w:id="16"/>
    </w:p>
    <w:p>
      <w:pPr>
        <w:pStyle w:val="2"/>
        <w:keepNext/>
        <w:keepLines/>
        <w:pageBreakBefore w:val="0"/>
        <w:widowControl w:val="0"/>
        <w:kinsoku/>
        <w:wordWrap/>
        <w:overflowPunct/>
        <w:topLinePunct w:val="0"/>
        <w:autoSpaceDE/>
        <w:autoSpaceDN/>
        <w:bidi w:val="0"/>
        <w:snapToGrid w:val="0"/>
        <w:spacing w:before="0" w:after="0" w:line="576" w:lineRule="exact"/>
        <w:ind w:left="0" w:right="0" w:firstLineChars="200" w:firstLine="640"/>
        <w:jc w:val="both"/>
        <w:textAlignment w:val="auto"/>
        <w:rPr>
          <w:rFonts w:ascii="方正楷体简体" w:eastAsia="方正楷体简体" w:cs="方正楷体简体" w:hAnsi="方正楷体简体" w:hint="eastAsia"/>
          <w:b w:val="0"/>
          <w:bCs w:val="0"/>
          <w:color w:val="000000"/>
          <w:sz w:val="32"/>
          <w:szCs w:val="32"/>
        </w:rPr>
      </w:pPr>
      <w:r>
        <w:rPr>
          <w:rFonts w:ascii="方正楷体简体" w:eastAsia="方正楷体简体" w:cs="方正楷体简体" w:hAnsi="方正楷体简体" w:hint="eastAsia"/>
          <w:b w:val="0"/>
          <w:bCs w:val="0"/>
          <w:color w:val="000000"/>
          <w:sz w:val="32"/>
          <w:szCs w:val="32"/>
        </w:rPr>
        <w:t>（一）主要职能</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Chars="200" w:firstLine="640"/>
        <w:jc w:val="both"/>
        <w:textAlignment w:val="auto"/>
        <w:outlineLvl w:val="9"/>
        <w:rPr>
          <w:rFonts w:ascii="方正仿宋简体" w:eastAsia="方正仿宋简体" w:cs="方正仿宋简体" w:hAnsi="方正仿宋简体" w:hint="eastAsia"/>
          <w:color w:val="000000"/>
          <w:kern w:val="0"/>
          <w:sz w:val="32"/>
          <w:szCs w:val="32"/>
          <w:lang w:val="en-US" w:eastAsia="zh-CN"/>
        </w:rPr>
      </w:pPr>
      <w:r>
        <w:rPr>
          <w:rFonts w:ascii="方正仿宋简体" w:eastAsia="方正仿宋简体" w:cs="方正仿宋简体" w:hAnsi="方正仿宋简体" w:hint="eastAsia"/>
          <w:color w:val="000000"/>
          <w:kern w:val="0"/>
          <w:sz w:val="32"/>
          <w:szCs w:val="32"/>
          <w:lang w:val="en-US" w:eastAsia="zh-CN"/>
        </w:rPr>
        <w:t>1.负责起草全区基本公共卫生服务项目实施方案、工作计划和工作总结，参与基本公共卫生服务项目政策调研、政策咨询。</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Chars="200" w:firstLine="640"/>
        <w:jc w:val="both"/>
        <w:textAlignment w:val="auto"/>
        <w:outlineLvl w:val="9"/>
        <w:rPr>
          <w:rFonts w:ascii="方正仿宋简体" w:eastAsia="方正仿宋简体" w:cs="方正仿宋简体" w:hAnsi="方正仿宋简体" w:hint="eastAsia"/>
          <w:color w:val="000000"/>
          <w:kern w:val="0"/>
          <w:sz w:val="32"/>
          <w:szCs w:val="32"/>
          <w:lang w:val="en-US" w:eastAsia="zh-CN"/>
        </w:rPr>
      </w:pPr>
      <w:r>
        <w:rPr>
          <w:rFonts w:ascii="方正仿宋简体" w:eastAsia="方正仿宋简体" w:cs="方正仿宋简体" w:hAnsi="方正仿宋简体" w:hint="eastAsia"/>
          <w:color w:val="000000"/>
          <w:kern w:val="0"/>
          <w:sz w:val="32"/>
          <w:szCs w:val="32"/>
          <w:lang w:val="en-US" w:eastAsia="zh-CN"/>
        </w:rPr>
        <w:t>2.承担全区基本公共卫生服务项目技术指导、人员培训、督查和绩效考核工作。</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Chars="200" w:firstLine="640"/>
        <w:jc w:val="both"/>
        <w:textAlignment w:val="auto"/>
        <w:outlineLvl w:val="9"/>
        <w:rPr>
          <w:rFonts w:ascii="方正仿宋简体" w:eastAsia="方正仿宋简体" w:cs="方正仿宋简体" w:hAnsi="方正仿宋简体" w:hint="eastAsia"/>
          <w:color w:val="000000"/>
          <w:kern w:val="0"/>
          <w:sz w:val="32"/>
          <w:szCs w:val="32"/>
          <w:lang w:val="en-US" w:eastAsia="zh-CN"/>
        </w:rPr>
      </w:pPr>
      <w:r>
        <w:rPr>
          <w:rFonts w:ascii="方正仿宋简体" w:eastAsia="方正仿宋简体" w:cs="方正仿宋简体" w:hAnsi="方正仿宋简体" w:hint="eastAsia"/>
          <w:color w:val="000000"/>
          <w:kern w:val="0"/>
          <w:sz w:val="32"/>
          <w:szCs w:val="32"/>
          <w:lang w:val="en-US" w:eastAsia="zh-CN"/>
        </w:rPr>
        <w:t>3.协调落实区级专家技术指导组承担的相关任务，定期组织专家开展活动。</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Chars="200" w:firstLine="640"/>
        <w:jc w:val="both"/>
        <w:textAlignment w:val="auto"/>
        <w:outlineLvl w:val="9"/>
        <w:rPr>
          <w:rFonts w:ascii="方正仿宋简体" w:eastAsia="方正仿宋简体" w:cs="方正仿宋简体" w:hAnsi="方正仿宋简体" w:hint="eastAsia"/>
          <w:color w:val="000000"/>
          <w:kern w:val="0"/>
          <w:sz w:val="32"/>
          <w:szCs w:val="32"/>
          <w:lang w:val="en-US" w:eastAsia="zh-CN"/>
        </w:rPr>
      </w:pPr>
      <w:r>
        <w:rPr>
          <w:rFonts w:ascii="方正仿宋简体" w:eastAsia="方正仿宋简体" w:cs="方正仿宋简体" w:hAnsi="方正仿宋简体" w:hint="eastAsia"/>
          <w:color w:val="000000"/>
          <w:kern w:val="0"/>
          <w:sz w:val="32"/>
          <w:szCs w:val="32"/>
          <w:lang w:val="en-US" w:eastAsia="zh-CN"/>
        </w:rPr>
        <w:t>4.负责全区基本公共卫生服务项目信息收集、分析、报送工作。</w:t>
      </w:r>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0" w:firstLine="640"/>
        <w:jc w:val="both"/>
        <w:textAlignment w:val="auto"/>
        <w:outlineLvl w:val="2"/>
        <w:rPr>
          <w:rFonts w:ascii="方正仿宋简体" w:eastAsia="方正仿宋简体" w:cs="方正仿宋简体" w:hAnsi="方正仿宋简体" w:hint="eastAsia"/>
          <w:color w:val="000000"/>
          <w:kern w:val="0"/>
          <w:sz w:val="32"/>
          <w:szCs w:val="32"/>
          <w:lang w:val="en-US" w:eastAsia="zh-CN"/>
        </w:rPr>
      </w:pPr>
      <w:r>
        <w:rPr>
          <w:rFonts w:ascii="方正仿宋简体" w:eastAsia="方正仿宋简体" w:cs="方正仿宋简体" w:hAnsi="方正仿宋简体" w:hint="eastAsia"/>
          <w:color w:val="000000"/>
          <w:kern w:val="0"/>
          <w:sz w:val="32"/>
          <w:szCs w:val="32"/>
          <w:lang w:val="en-US" w:eastAsia="zh-CN"/>
        </w:rPr>
        <w:t>5.完成</w:t>
      </w:r>
      <w:r>
        <w:rPr>
          <w:rFonts w:ascii="方正仿宋简体" w:eastAsia="方正仿宋简体" w:cs="方正仿宋简体" w:hAnsi="方正仿宋简体" w:hint="eastAsia"/>
          <w:color w:val="000000"/>
          <w:kern w:val="0"/>
          <w:sz w:val="32"/>
          <w:szCs w:val="32"/>
        </w:rPr>
        <w:t>区卫生和计划生育局</w:t>
      </w:r>
      <w:r>
        <w:rPr>
          <w:rFonts w:ascii="方正仿宋简体" w:eastAsia="方正仿宋简体" w:cs="方正仿宋简体" w:hAnsi="方正仿宋简体" w:hint="eastAsia"/>
          <w:color w:val="000000"/>
          <w:kern w:val="0"/>
          <w:sz w:val="32"/>
          <w:szCs w:val="32"/>
          <w:lang w:val="en-US" w:eastAsia="zh-CN"/>
        </w:rPr>
        <w:t>交办的其他工作。</w:t>
      </w:r>
    </w:p>
    <w:p>
      <w:pPr>
        <w:pStyle w:val="2"/>
        <w:keepNext/>
        <w:keepLines/>
        <w:pageBreakBefore w:val="0"/>
        <w:widowControl w:val="0"/>
        <w:kinsoku/>
        <w:wordWrap/>
        <w:overflowPunct/>
        <w:topLinePunct w:val="0"/>
        <w:autoSpaceDE/>
        <w:autoSpaceDN/>
        <w:bidi w:val="0"/>
        <w:snapToGrid w:val="0"/>
        <w:spacing w:before="0" w:after="0" w:line="576" w:lineRule="exact"/>
        <w:ind w:left="0" w:right="0" w:firstLineChars="200" w:firstLine="640"/>
        <w:jc w:val="both"/>
        <w:textAlignment w:val="auto"/>
        <w:rPr>
          <w:rFonts w:ascii="方正楷体简体" w:eastAsia="方正楷体简体" w:cs="方正楷体简体" w:hAnsi="方正楷体简体" w:hint="eastAsia"/>
          <w:b w:val="0"/>
          <w:bCs w:val="0"/>
          <w:color w:val="000000"/>
          <w:sz w:val="32"/>
          <w:szCs w:val="32"/>
          <w:lang w:eastAsia="zh-CN"/>
        </w:rPr>
      </w:pPr>
      <w:r>
        <w:rPr>
          <w:rFonts w:ascii="方正楷体简体" w:eastAsia="方正楷体简体" w:cs="方正楷体简体" w:hAnsi="方正楷体简体" w:hint="eastAsia"/>
          <w:b w:val="0"/>
          <w:bCs w:val="0"/>
          <w:color w:val="000000"/>
          <w:sz w:val="32"/>
          <w:szCs w:val="32"/>
        </w:rPr>
        <w:t>（二）</w:t>
      </w:r>
      <w:bookmarkEnd w:id="17"/>
      <w:bookmarkEnd w:id="18"/>
      <w:r>
        <w:rPr>
          <w:rFonts w:ascii="方正楷体简体" w:eastAsia="方正楷体简体" w:cs="方正楷体简体" w:hAnsi="方正楷体简体" w:hint="eastAsia"/>
          <w:b w:val="0"/>
          <w:bCs w:val="0"/>
          <w:color w:val="000000"/>
          <w:sz w:val="32"/>
          <w:szCs w:val="32"/>
          <w:lang w:val="en-US" w:eastAsia="zh-CN"/>
        </w:rPr>
        <w:t>2020重点工作完成情况</w:t>
      </w:r>
    </w:p>
    <w:p>
      <w:pPr>
        <w:keepNext w:val="0"/>
        <w:keepLines w:val="0"/>
        <w:pageBreakBefore w:val="0"/>
        <w:widowControl w:val="0"/>
        <w:kinsoku/>
        <w:wordWrap/>
        <w:overflowPunct/>
        <w:topLinePunct w:val="0"/>
        <w:autoSpaceDE/>
        <w:autoSpaceDN/>
        <w:bidi w:val="0"/>
        <w:adjustRightInd/>
        <w:snapToGrid w:val="0"/>
        <w:spacing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lang w:eastAsia="zh-CN"/>
        </w:rPr>
      </w:pPr>
      <w:r>
        <w:rPr>
          <w:rFonts w:ascii="方正仿宋简体" w:eastAsia="方正仿宋简体" w:cs="方正仿宋简体" w:hAnsi="方正仿宋简体" w:hint="eastAsia"/>
          <w:b/>
          <w:bCs/>
          <w:sz w:val="32"/>
          <w:szCs w:val="32"/>
          <w:lang w:val="en-US" w:eastAsia="zh-CN"/>
        </w:rPr>
        <w:t>1.</w:t>
      </w:r>
      <w:r>
        <w:rPr>
          <w:rFonts w:ascii="方正仿宋简体" w:eastAsia="方正仿宋简体" w:cs="方正仿宋简体" w:hAnsi="方正仿宋简体" w:hint="eastAsia"/>
          <w:b/>
          <w:bCs/>
          <w:sz w:val="32"/>
          <w:szCs w:val="32"/>
          <w:lang w:eastAsia="zh-CN"/>
        </w:rPr>
        <w:t>工作经验和亮点。</w:t>
      </w:r>
      <w:r>
        <w:rPr>
          <w:rFonts w:ascii="方正仿宋简体" w:eastAsia="方正仿宋简体" w:cs="方正仿宋简体" w:hAnsi="方正仿宋简体" w:hint="eastAsia"/>
          <w:bCs/>
          <w:color w:val="000000"/>
          <w:sz w:val="32"/>
          <w:lang w:eastAsia="zh-CN"/>
        </w:rPr>
        <w:t>一是</w:t>
      </w:r>
      <w:r>
        <w:rPr>
          <w:rFonts w:ascii="方正仿宋简体" w:eastAsia="方正仿宋简体" w:cs="方正仿宋简体" w:hAnsi="方正仿宋简体" w:hint="eastAsia"/>
          <w:b w:val="0"/>
          <w:bCs w:val="0"/>
          <w:sz w:val="32"/>
          <w:szCs w:val="32"/>
          <w:lang w:eastAsia="zh-CN"/>
        </w:rPr>
        <w:t>推动基本公共卫生服务与</w:t>
      </w:r>
      <w:r>
        <w:rPr>
          <w:rFonts w:ascii="方正仿宋简体" w:eastAsia="方正仿宋简体" w:cs="方正仿宋简体" w:hAnsi="方正仿宋简体" w:hint="eastAsia"/>
          <w:b w:val="0"/>
          <w:bCs w:val="0"/>
          <w:sz w:val="32"/>
          <w:szCs w:val="32"/>
        </w:rPr>
        <w:t>疫情防控</w:t>
      </w:r>
      <w:r>
        <w:rPr>
          <w:rFonts w:ascii="方正仿宋简体" w:eastAsia="方正仿宋简体" w:cs="方正仿宋简体" w:hAnsi="方正仿宋简体" w:hint="eastAsia"/>
          <w:b w:val="0"/>
          <w:bCs w:val="0"/>
          <w:sz w:val="32"/>
          <w:szCs w:val="32"/>
          <w:lang w:eastAsia="zh-CN"/>
        </w:rPr>
        <w:t>工作相</w:t>
      </w:r>
      <w:r>
        <w:rPr>
          <w:rFonts w:ascii="方正仿宋简体" w:eastAsia="方正仿宋简体" w:cs="方正仿宋简体" w:hAnsi="方正仿宋简体" w:hint="eastAsia"/>
          <w:b w:val="0"/>
          <w:bCs w:val="0"/>
          <w:sz w:val="32"/>
          <w:szCs w:val="32"/>
        </w:rPr>
        <w:t>结合</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color w:val="auto"/>
          <w:kern w:val="2"/>
          <w:sz w:val="32"/>
          <w:szCs w:val="32"/>
          <w:lang w:val="en-US" w:eastAsia="zh-CN" w:bidi="ar-SA"/>
        </w:rPr>
        <w:t>基层医疗机构充分利用外出务工人员健康检查、家庭医生追踪管理重点人员的有力时机，同步开展健康档案清理核实、动态管理、贫困人口健康体检等工作，共核实和动态管理居民健康档案20000余份，为2056名在外务工贫困人口开展了免费健康体检，贫困人口健康体检率达100%。二是</w:t>
      </w:r>
      <w:r>
        <w:rPr>
          <w:rFonts w:ascii="方正仿宋简体" w:eastAsia="方正仿宋简体" w:cs="方正仿宋简体" w:hAnsi="方正仿宋简体" w:hint="eastAsia"/>
          <w:b w:val="0"/>
          <w:bCs w:val="0"/>
          <w:kern w:val="2"/>
          <w:sz w:val="32"/>
          <w:szCs w:val="32"/>
          <w:lang w:val="en-US" w:eastAsia="zh-CN" w:bidi="ar-SA"/>
        </w:rPr>
        <w:t>积极探索乡村医生轮训机制。</w:t>
      </w:r>
      <w:r>
        <w:rPr>
          <w:rFonts w:ascii="方正仿宋简体" w:eastAsia="方正仿宋简体" w:cs="方正仿宋简体" w:hAnsi="方正仿宋简体" w:hint="eastAsia"/>
          <w:sz w:val="32"/>
          <w:szCs w:val="32"/>
        </w:rPr>
        <w:t>为</w:t>
      </w:r>
      <w:r>
        <w:rPr>
          <w:rFonts w:ascii="方正仿宋简体" w:eastAsia="方正仿宋简体" w:cs="方正仿宋简体" w:hAnsi="方正仿宋简体" w:hint="eastAsia"/>
          <w:sz w:val="32"/>
          <w:szCs w:val="32"/>
          <w:lang w:eastAsia="zh-CN"/>
        </w:rPr>
        <w:t>切实</w:t>
      </w:r>
      <w:r>
        <w:rPr>
          <w:rFonts w:ascii="方正仿宋简体" w:eastAsia="方正仿宋简体" w:cs="方正仿宋简体" w:hAnsi="方正仿宋简体" w:hint="eastAsia"/>
          <w:sz w:val="32"/>
          <w:szCs w:val="32"/>
        </w:rPr>
        <w:t>提高乡村医生的</w:t>
      </w:r>
      <w:r>
        <w:rPr>
          <w:rFonts w:ascii="方正仿宋简体" w:eastAsia="方正仿宋简体" w:cs="方正仿宋简体" w:hAnsi="方正仿宋简体" w:hint="eastAsia"/>
          <w:sz w:val="32"/>
          <w:szCs w:val="32"/>
          <w:lang w:eastAsia="zh-CN"/>
        </w:rPr>
        <w:t>服务能力和</w:t>
      </w:r>
      <w:r>
        <w:rPr>
          <w:rFonts w:ascii="方正仿宋简体" w:eastAsia="方正仿宋简体" w:cs="方正仿宋简体" w:hAnsi="方正仿宋简体" w:hint="eastAsia"/>
          <w:sz w:val="32"/>
          <w:szCs w:val="32"/>
        </w:rPr>
        <w:t>水平，</w:t>
      </w:r>
      <w:r>
        <w:rPr>
          <w:rFonts w:ascii="方正仿宋简体" w:eastAsia="方正仿宋简体" w:cs="方正仿宋简体" w:hAnsi="方正仿宋简体" w:hint="eastAsia"/>
          <w:sz w:val="32"/>
          <w:szCs w:val="32"/>
          <w:lang w:eastAsia="zh-CN"/>
        </w:rPr>
        <w:t>更好地为辖区居民服务，赤化镇卫生院探索建立了乡村医生轮训机制，每年安排</w:t>
      </w:r>
      <w:r>
        <w:rPr>
          <w:rFonts w:ascii="方正仿宋简体" w:eastAsia="方正仿宋简体" w:cs="方正仿宋简体" w:hAnsi="方正仿宋简体" w:hint="eastAsia"/>
          <w:sz w:val="32"/>
          <w:szCs w:val="32"/>
        </w:rPr>
        <w:t>辖区内乡村医生轮流到卫生院进行为期2个月的</w:t>
      </w:r>
      <w:r>
        <w:rPr>
          <w:rFonts w:ascii="方正仿宋简体" w:eastAsia="方正仿宋简体" w:cs="方正仿宋简体" w:hAnsi="方正仿宋简体" w:hint="eastAsia"/>
          <w:sz w:val="32"/>
          <w:szCs w:val="32"/>
          <w:lang w:eastAsia="zh-CN"/>
        </w:rPr>
        <w:t>轮训，主要对《国家</w:t>
      </w:r>
      <w:r>
        <w:rPr>
          <w:rFonts w:ascii="方正仿宋简体" w:eastAsia="方正仿宋简体" w:cs="方正仿宋简体" w:hAnsi="方正仿宋简体" w:hint="eastAsia"/>
          <w:sz w:val="32"/>
          <w:szCs w:val="32"/>
        </w:rPr>
        <w:t>基本公共卫生服</w:t>
      </w:r>
      <w:r>
        <w:rPr>
          <w:rFonts w:ascii="方正仿宋简体" w:eastAsia="方正仿宋简体" w:cs="方正仿宋简体" w:hAnsi="方正仿宋简体" w:hint="eastAsia"/>
          <w:sz w:val="32"/>
          <w:szCs w:val="32"/>
          <w:lang w:eastAsia="zh-CN"/>
        </w:rPr>
        <w:t>务规范（第三版）》、</w:t>
      </w:r>
      <w:r>
        <w:rPr>
          <w:rFonts w:ascii="方正仿宋简体" w:eastAsia="方正仿宋简体" w:cs="方正仿宋简体" w:hAnsi="方正仿宋简体" w:hint="eastAsia"/>
          <w:sz w:val="32"/>
          <w:szCs w:val="32"/>
        </w:rPr>
        <w:t>四川省基层医疗机构卫生管理信息系统</w:t>
      </w:r>
      <w:r>
        <w:rPr>
          <w:rFonts w:ascii="方正仿宋简体" w:eastAsia="方正仿宋简体" w:cs="方正仿宋简体" w:hAnsi="方正仿宋简体" w:hint="eastAsia"/>
          <w:sz w:val="32"/>
          <w:szCs w:val="32"/>
          <w:lang w:eastAsia="zh-CN"/>
        </w:rPr>
        <w:t>及专业知识等进行</w:t>
      </w:r>
      <w:r>
        <w:rPr>
          <w:rFonts w:ascii="方正仿宋简体" w:eastAsia="方正仿宋简体" w:cs="方正仿宋简体" w:hAnsi="方正仿宋简体" w:hint="eastAsia"/>
          <w:sz w:val="32"/>
          <w:szCs w:val="32"/>
        </w:rPr>
        <w:t>培训</w:t>
      </w:r>
      <w:r>
        <w:rPr>
          <w:rFonts w:ascii="方正仿宋简体" w:eastAsia="方正仿宋简体" w:cs="方正仿宋简体" w:hAnsi="方正仿宋简体" w:hint="eastAsia"/>
          <w:sz w:val="32"/>
          <w:szCs w:val="32"/>
          <w:lang w:eastAsia="zh-CN"/>
        </w:rPr>
        <w:t>，同时协助卫生院管理项目档案资料，提升了村卫生室的服务能力和项目资料质量</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b w:val="0"/>
          <w:bCs w:val="0"/>
          <w:color w:val="auto"/>
          <w:kern w:val="0"/>
          <w:sz w:val="32"/>
          <w:szCs w:val="32"/>
          <w:lang w:eastAsia="zh-CN"/>
        </w:rPr>
        <w:t>三是</w:t>
      </w:r>
      <w:r>
        <w:rPr>
          <w:rFonts w:ascii="方正仿宋简体" w:eastAsia="方正仿宋简体" w:cs="方正仿宋简体" w:hAnsi="方正仿宋简体" w:hint="eastAsia"/>
          <w:b w:val="0"/>
          <w:bCs w:val="0"/>
          <w:kern w:val="2"/>
          <w:sz w:val="32"/>
          <w:szCs w:val="32"/>
          <w:lang w:val="en-US" w:eastAsia="zh-CN" w:bidi="ar-SA"/>
        </w:rPr>
        <w:t>村卫生室管理进一步加强。</w:t>
      </w:r>
      <w:r>
        <w:rPr>
          <w:rFonts w:ascii="方正仿宋简体" w:eastAsia="方正仿宋简体" w:cs="方正仿宋简体" w:hAnsi="方正仿宋简体" w:hint="eastAsia"/>
          <w:sz w:val="32"/>
          <w:szCs w:val="32"/>
          <w:lang w:val="en-US" w:eastAsia="zh-CN"/>
        </w:rPr>
        <w:t>针对部分</w:t>
      </w:r>
      <w:r>
        <w:rPr>
          <w:rFonts w:ascii="方正仿宋简体" w:eastAsia="方正仿宋简体" w:cs="方正仿宋简体" w:hAnsi="方正仿宋简体" w:hint="eastAsia"/>
          <w:sz w:val="32"/>
          <w:szCs w:val="32"/>
        </w:rPr>
        <w:t>乡村医生</w:t>
      </w:r>
      <w:r>
        <w:rPr>
          <w:rFonts w:ascii="方正仿宋简体" w:eastAsia="方正仿宋简体" w:cs="方正仿宋简体" w:hAnsi="方正仿宋简体" w:hint="eastAsia"/>
          <w:sz w:val="32"/>
          <w:szCs w:val="32"/>
          <w:lang w:eastAsia="zh-CN"/>
        </w:rPr>
        <w:t>年龄老化、实施项目质量不高的问题，建立完善了《村卫生室基本公共卫生服务项目绩效评价方案》，</w:t>
      </w:r>
      <w:r>
        <w:rPr>
          <w:rFonts w:ascii="方正仿宋简体" w:eastAsia="方正仿宋简体" w:cs="方正仿宋简体" w:hAnsi="方正仿宋简体" w:hint="eastAsia"/>
          <w:sz w:val="32"/>
          <w:szCs w:val="32"/>
        </w:rPr>
        <w:t>在落实40%村级下沉任务的同时，将服务模式的选择决定权交由乡村医生自行决定，由</w:t>
      </w:r>
      <w:r>
        <w:rPr>
          <w:rFonts w:ascii="方正仿宋简体" w:eastAsia="方正仿宋简体" w:cs="方正仿宋简体" w:hAnsi="方正仿宋简体" w:hint="eastAsia"/>
          <w:sz w:val="32"/>
          <w:szCs w:val="32"/>
          <w:lang w:eastAsia="zh-CN"/>
        </w:rPr>
        <w:t>乡村医生</w:t>
      </w:r>
      <w:r>
        <w:rPr>
          <w:rFonts w:ascii="方正仿宋简体" w:eastAsia="方正仿宋简体" w:cs="方正仿宋简体" w:hAnsi="方正仿宋简体" w:hint="eastAsia"/>
          <w:sz w:val="32"/>
          <w:szCs w:val="32"/>
        </w:rPr>
        <w:t>根据自身能力的不同，选择自己</w:t>
      </w:r>
      <w:r>
        <w:rPr>
          <w:rFonts w:ascii="方正仿宋简体" w:eastAsia="方正仿宋简体" w:cs="方正仿宋简体" w:hAnsi="方正仿宋简体" w:hint="eastAsia"/>
          <w:sz w:val="32"/>
          <w:szCs w:val="32"/>
          <w:lang w:eastAsia="zh-CN"/>
        </w:rPr>
        <w:t>能够</w:t>
      </w:r>
      <w:r>
        <w:rPr>
          <w:rFonts w:ascii="方正仿宋简体" w:eastAsia="方正仿宋简体" w:cs="方正仿宋简体" w:hAnsi="方正仿宋简体" w:hint="eastAsia"/>
          <w:sz w:val="32"/>
          <w:szCs w:val="32"/>
        </w:rPr>
        <w:t>承担的项目比例，对不能完成的部分，</w:t>
      </w:r>
      <w:r>
        <w:rPr>
          <w:rFonts w:ascii="方正仿宋简体" w:eastAsia="方正仿宋简体" w:cs="方正仿宋简体" w:hAnsi="方正仿宋简体" w:hint="eastAsia"/>
          <w:sz w:val="32"/>
          <w:szCs w:val="32"/>
          <w:lang w:eastAsia="zh-CN"/>
        </w:rPr>
        <w:t>自愿</w:t>
      </w:r>
      <w:r>
        <w:rPr>
          <w:rFonts w:ascii="方正仿宋简体" w:eastAsia="方正仿宋简体" w:cs="方正仿宋简体" w:hAnsi="方正仿宋简体" w:hint="eastAsia"/>
          <w:sz w:val="32"/>
          <w:szCs w:val="32"/>
        </w:rPr>
        <w:t>委托</w:t>
      </w:r>
      <w:r>
        <w:rPr>
          <w:rFonts w:ascii="方正仿宋简体" w:eastAsia="方正仿宋简体" w:cs="方正仿宋简体" w:hAnsi="方正仿宋简体" w:hint="eastAsia"/>
          <w:sz w:val="32"/>
          <w:szCs w:val="32"/>
          <w:lang w:eastAsia="zh-CN"/>
        </w:rPr>
        <w:t>给家庭医生团队</w:t>
      </w:r>
      <w:r>
        <w:rPr>
          <w:rFonts w:ascii="方正仿宋简体" w:eastAsia="方正仿宋简体" w:cs="方正仿宋简体" w:hAnsi="方正仿宋简体" w:hint="eastAsia"/>
          <w:sz w:val="32"/>
          <w:szCs w:val="32"/>
        </w:rPr>
        <w:t>代为完成，并签订</w:t>
      </w:r>
      <w:r>
        <w:rPr>
          <w:rFonts w:ascii="方正仿宋简体" w:eastAsia="方正仿宋简体" w:cs="方正仿宋简体" w:hAnsi="方正仿宋简体" w:hint="eastAsia"/>
          <w:sz w:val="32"/>
          <w:szCs w:val="32"/>
          <w:lang w:eastAsia="zh-CN"/>
        </w:rPr>
        <w:t>《工作</w:t>
      </w:r>
      <w:r>
        <w:rPr>
          <w:rFonts w:ascii="方正仿宋简体" w:eastAsia="方正仿宋简体" w:cs="方正仿宋简体" w:hAnsi="方正仿宋简体" w:hint="eastAsia"/>
          <w:sz w:val="32"/>
          <w:szCs w:val="32"/>
        </w:rPr>
        <w:t>委托协议</w:t>
      </w:r>
      <w:r>
        <w:rPr>
          <w:rFonts w:ascii="方正仿宋简体" w:eastAsia="方正仿宋简体" w:cs="方正仿宋简体" w:hAnsi="方正仿宋简体" w:hint="eastAsia"/>
          <w:sz w:val="32"/>
          <w:szCs w:val="32"/>
          <w:lang w:eastAsia="zh-CN"/>
        </w:rPr>
        <w:t>》，委托部分的工作经费也相应支付给家庭医生团队。三堆镇卫生院、赤化镇卫生院实行公卫科人员包村责任制，将村卫生室考核情况与包村人员的绩效挂钩，促进了村卫生室水平整体提高。四是</w:t>
      </w:r>
      <w:r>
        <w:rPr>
          <w:rFonts w:ascii="方正仿宋简体" w:eastAsia="方正仿宋简体" w:cs="方正仿宋简体" w:hAnsi="方正仿宋简体" w:hint="eastAsia"/>
          <w:b w:val="0"/>
          <w:bCs w:val="0"/>
          <w:kern w:val="2"/>
          <w:sz w:val="32"/>
          <w:szCs w:val="32"/>
          <w:lang w:val="en-US" w:eastAsia="zh-CN" w:bidi="ar-SA"/>
        </w:rPr>
        <w:t>创新家庭医生工作机制</w:t>
      </w:r>
      <w:r>
        <w:rPr>
          <w:rFonts w:ascii="方正仿宋简体" w:eastAsia="方正仿宋简体" w:cs="方正仿宋简体" w:hAnsi="方正仿宋简体" w:hint="eastAsia"/>
          <w:kern w:val="0"/>
          <w:sz w:val="32"/>
          <w:szCs w:val="32"/>
          <w:lang w:eastAsia="zh-CN"/>
        </w:rPr>
        <w:t>。赤化镇卫生院、工农镇卫生院统一着装印有</w:t>
      </w:r>
      <w:r>
        <w:rPr>
          <w:rFonts w:ascii="方正仿宋简体" w:eastAsia="方正仿宋简体" w:cs="方正仿宋简体" w:hAnsi="方正仿宋简体" w:hint="eastAsia"/>
          <w:snapToGrid w:val="0"/>
          <w:color w:val="000000"/>
          <w:kern w:val="0"/>
          <w:sz w:val="32"/>
          <w:szCs w:val="32"/>
          <w:lang w:eastAsia="zh-CN"/>
        </w:rPr>
        <w:t>“</w:t>
      </w:r>
      <w:r>
        <w:rPr>
          <w:rFonts w:ascii="方正仿宋简体" w:eastAsia="方正仿宋简体" w:cs="方正仿宋简体" w:hAnsi="方正仿宋简体" w:hint="eastAsia"/>
          <w:snapToGrid w:val="0"/>
          <w:color w:val="000000"/>
          <w:kern w:val="0"/>
          <w:sz w:val="32"/>
          <w:szCs w:val="32"/>
        </w:rPr>
        <w:t>家庭医生签约服务团队背心</w:t>
      </w:r>
      <w:r>
        <w:rPr>
          <w:rFonts w:ascii="方正仿宋简体" w:eastAsia="方正仿宋简体" w:cs="方正仿宋简体" w:hAnsi="方正仿宋简体" w:hint="eastAsia"/>
          <w:snapToGrid w:val="0"/>
          <w:color w:val="000000"/>
          <w:kern w:val="0"/>
          <w:sz w:val="32"/>
          <w:szCs w:val="32"/>
          <w:lang w:eastAsia="zh-CN"/>
        </w:rPr>
        <w:t>”,在签约居民家中张贴“</w:t>
      </w:r>
      <w:r>
        <w:rPr>
          <w:rFonts w:ascii="方正仿宋简体" w:eastAsia="方正仿宋简体" w:cs="方正仿宋简体" w:hAnsi="方正仿宋简体" w:hint="eastAsia"/>
          <w:snapToGrid w:val="0"/>
          <w:color w:val="000000"/>
          <w:kern w:val="0"/>
          <w:sz w:val="32"/>
          <w:szCs w:val="32"/>
        </w:rPr>
        <w:t>家庭医生签约服务团队卡</w:t>
      </w:r>
      <w:r>
        <w:rPr>
          <w:rFonts w:ascii="方正仿宋简体" w:eastAsia="方正仿宋简体" w:cs="方正仿宋简体" w:hAnsi="方正仿宋简体" w:hint="eastAsia"/>
          <w:snapToGrid w:val="0"/>
          <w:color w:val="000000"/>
          <w:kern w:val="0"/>
          <w:sz w:val="32"/>
          <w:szCs w:val="32"/>
          <w:lang w:eastAsia="zh-CN"/>
        </w:rPr>
        <w:t>”，提高了群众知晓度和宣传效果。雪峰社区卫生服务中心</w:t>
      </w:r>
      <w:r>
        <w:rPr>
          <w:rFonts w:ascii="方正仿宋简体" w:eastAsia="方正仿宋简体" w:cs="方正仿宋简体" w:hAnsi="方正仿宋简体" w:hint="eastAsia"/>
          <w:snapToGrid w:val="0"/>
          <w:color w:val="000000"/>
          <w:kern w:val="0"/>
          <w:sz w:val="32"/>
          <w:szCs w:val="32"/>
          <w:lang w:val="en-US" w:eastAsia="zh-CN"/>
        </w:rPr>
        <w:t>充分发挥绩效考核的激励作用，</w:t>
      </w:r>
      <w:r>
        <w:rPr>
          <w:rFonts w:ascii="方正仿宋简体" w:eastAsia="方正仿宋简体" w:cs="方正仿宋简体" w:hAnsi="方正仿宋简体" w:hint="eastAsia"/>
          <w:snapToGrid w:val="0"/>
          <w:color w:val="000000"/>
          <w:kern w:val="0"/>
          <w:sz w:val="32"/>
          <w:szCs w:val="32"/>
        </w:rPr>
        <w:t>将</w:t>
      </w:r>
      <w:r>
        <w:rPr>
          <w:rFonts w:ascii="方正仿宋简体" w:eastAsia="方正仿宋简体" w:cs="方正仿宋简体" w:hAnsi="方正仿宋简体" w:hint="eastAsia"/>
          <w:snapToGrid w:val="0"/>
          <w:color w:val="000000"/>
          <w:kern w:val="0"/>
          <w:sz w:val="32"/>
          <w:szCs w:val="32"/>
          <w:lang w:eastAsia="zh-CN"/>
        </w:rPr>
        <w:t>居民健康档案建立、档案维护、慢性病管理、老年人体检</w:t>
      </w:r>
      <w:r>
        <w:rPr>
          <w:rFonts w:ascii="方正仿宋简体" w:eastAsia="方正仿宋简体" w:cs="方正仿宋简体" w:hAnsi="方正仿宋简体" w:hint="eastAsia"/>
          <w:snapToGrid w:val="0"/>
          <w:color w:val="000000"/>
          <w:kern w:val="0"/>
          <w:sz w:val="32"/>
          <w:szCs w:val="32"/>
        </w:rPr>
        <w:t>等</w:t>
      </w:r>
      <w:r>
        <w:rPr>
          <w:rFonts w:ascii="方正仿宋简体" w:eastAsia="方正仿宋简体" w:cs="方正仿宋简体" w:hAnsi="方正仿宋简体" w:hint="eastAsia"/>
          <w:snapToGrid w:val="0"/>
          <w:color w:val="000000"/>
          <w:kern w:val="0"/>
          <w:sz w:val="32"/>
          <w:szCs w:val="32"/>
          <w:lang w:eastAsia="zh-CN"/>
        </w:rPr>
        <w:t>纳入家庭医生绩效考核的内容</w:t>
      </w:r>
      <w:r>
        <w:rPr>
          <w:rFonts w:ascii="方正仿宋简体" w:eastAsia="方正仿宋简体" w:cs="方正仿宋简体" w:hAnsi="方正仿宋简体" w:hint="eastAsia"/>
          <w:snapToGrid w:val="0"/>
          <w:color w:val="000000"/>
          <w:kern w:val="0"/>
          <w:sz w:val="32"/>
          <w:szCs w:val="32"/>
        </w:rPr>
        <w:t>，</w:t>
      </w:r>
      <w:r>
        <w:rPr>
          <w:rFonts w:ascii="方正仿宋简体" w:eastAsia="方正仿宋简体" w:cs="方正仿宋简体" w:hAnsi="方正仿宋简体" w:hint="eastAsia"/>
          <w:snapToGrid w:val="0"/>
          <w:color w:val="000000"/>
          <w:kern w:val="0"/>
          <w:sz w:val="32"/>
          <w:szCs w:val="32"/>
          <w:lang w:eastAsia="zh-CN"/>
        </w:rPr>
        <w:t>逗硬奖惩</w:t>
      </w:r>
      <w:r>
        <w:rPr>
          <w:rFonts w:ascii="方正仿宋简体" w:eastAsia="方正仿宋简体" w:cs="方正仿宋简体" w:hAnsi="方正仿宋简体" w:hint="eastAsia"/>
          <w:snapToGrid w:val="0"/>
          <w:color w:val="000000"/>
          <w:kern w:val="0"/>
          <w:sz w:val="32"/>
          <w:szCs w:val="32"/>
          <w:lang w:val="en-US" w:eastAsia="zh-CN"/>
        </w:rPr>
        <w:t>，</w:t>
      </w:r>
      <w:r>
        <w:rPr>
          <w:rFonts w:ascii="方正仿宋简体" w:eastAsia="方正仿宋简体" w:cs="方正仿宋简体" w:hAnsi="方正仿宋简体" w:hint="eastAsia"/>
          <w:snapToGrid w:val="0"/>
          <w:color w:val="000000"/>
          <w:kern w:val="0"/>
          <w:sz w:val="32"/>
          <w:szCs w:val="32"/>
          <w:lang w:eastAsia="zh-CN"/>
        </w:rPr>
        <w:t>进一步推动了临床医生参与公卫工作的积极性，促使医疗与公卫的齐头并进。工农镇卫生院针对居民白天大多在外务工的情况，利用上午</w:t>
      </w:r>
      <w:r>
        <w:rPr>
          <w:rFonts w:ascii="方正仿宋简体" w:eastAsia="方正仿宋简体" w:cs="方正仿宋简体" w:hAnsi="方正仿宋简体" w:hint="eastAsia"/>
          <w:snapToGrid w:val="0"/>
          <w:color w:val="000000"/>
          <w:kern w:val="0"/>
          <w:sz w:val="32"/>
          <w:szCs w:val="32"/>
          <w:lang w:val="en-US" w:eastAsia="zh-CN"/>
        </w:rPr>
        <w:t>7点至9点、下午18点至20点开展入户服务，提高了服务质量和效果。</w:t>
      </w:r>
    </w:p>
    <w:p>
      <w:pPr>
        <w:keepNext w:val="0"/>
        <w:keepLines w:val="0"/>
        <w:pageBreakBefore w:val="0"/>
        <w:widowControl w:val="0"/>
        <w:kinsoku/>
        <w:wordWrap/>
        <w:overflowPunct/>
        <w:topLinePunct w:val="0"/>
        <w:autoSpaceDE/>
        <w:autoSpaceDN/>
        <w:bidi w:val="0"/>
        <w:adjustRightInd/>
        <w:snapToGrid w:val="0"/>
        <w:spacing w:afterAutospacing="0" w:line="576" w:lineRule="exact"/>
        <w:ind w:left="0" w:right="0" w:firstLineChars="200" w:firstLine="640"/>
        <w:jc w:val="both"/>
        <w:textAlignment w:val="auto"/>
        <w:rPr>
          <w:rFonts w:ascii="方正仿宋简体" w:eastAsia="方正仿宋简体" w:cs="方正仿宋简体" w:hAnsi="方正仿宋简体" w:hint="eastAsia"/>
          <w:b/>
          <w:bCs/>
          <w:snapToGrid w:val="0"/>
          <w:color w:val="000000"/>
          <w:kern w:val="0"/>
          <w:sz w:val="32"/>
          <w:szCs w:val="32"/>
          <w:lang w:val="en-US" w:eastAsia="zh-CN"/>
        </w:rPr>
      </w:pPr>
      <w:r>
        <w:rPr>
          <w:rFonts w:ascii="方正仿宋简体" w:eastAsia="方正仿宋简体" w:cs="方正仿宋简体" w:hAnsi="方正仿宋简体" w:hint="eastAsia"/>
          <w:b/>
          <w:bCs/>
          <w:snapToGrid w:val="0"/>
          <w:color w:val="000000"/>
          <w:kern w:val="0"/>
          <w:sz w:val="32"/>
          <w:szCs w:val="32"/>
          <w:lang w:val="en-US" w:eastAsia="zh-CN"/>
        </w:rPr>
        <w:t>2.主要做法及成效。</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lang w:eastAsia="zh-CN"/>
        </w:rPr>
      </w:pPr>
      <w:r>
        <w:rPr>
          <w:rFonts w:ascii="方正仿宋简体" w:eastAsia="方正仿宋简体" w:cs="方正仿宋简体" w:hAnsi="方正仿宋简体" w:hint="eastAsia"/>
          <w:b w:val="0"/>
          <w:bCs w:val="0"/>
          <w:color w:val="auto"/>
          <w:sz w:val="32"/>
          <w:szCs w:val="32"/>
          <w:lang w:val="en-US" w:eastAsia="zh-CN"/>
        </w:rPr>
        <w:t>①</w:t>
      </w:r>
      <w:r>
        <w:rPr>
          <w:rFonts w:ascii="方正仿宋简体" w:eastAsia="方正仿宋简体" w:cs="方正仿宋简体" w:hAnsi="方正仿宋简体" w:hint="eastAsia"/>
          <w:b w:val="0"/>
          <w:bCs w:val="0"/>
          <w:color w:val="auto"/>
          <w:sz w:val="32"/>
          <w:szCs w:val="32"/>
          <w:lang w:eastAsia="zh-CN"/>
        </w:rPr>
        <w:t>强化</w:t>
      </w:r>
      <w:r>
        <w:rPr>
          <w:rFonts w:ascii="方正仿宋简体" w:eastAsia="方正仿宋简体" w:cs="方正仿宋简体" w:hAnsi="方正仿宋简体" w:hint="eastAsia"/>
          <w:b w:val="0"/>
          <w:bCs w:val="0"/>
          <w:color w:val="auto"/>
          <w:sz w:val="32"/>
          <w:szCs w:val="32"/>
        </w:rPr>
        <w:t>专业</w:t>
      </w:r>
      <w:r>
        <w:rPr>
          <w:rFonts w:ascii="方正仿宋简体" w:eastAsia="方正仿宋简体" w:cs="方正仿宋简体" w:hAnsi="方正仿宋简体" w:hint="eastAsia"/>
          <w:b w:val="0"/>
          <w:bCs w:val="0"/>
          <w:color w:val="auto"/>
          <w:sz w:val="32"/>
          <w:szCs w:val="32"/>
          <w:lang w:eastAsia="zh-CN"/>
        </w:rPr>
        <w:t>公共卫生</w:t>
      </w:r>
      <w:r>
        <w:rPr>
          <w:rFonts w:ascii="方正仿宋简体" w:eastAsia="方正仿宋简体" w:cs="方正仿宋简体" w:hAnsi="方正仿宋简体" w:hint="eastAsia"/>
          <w:b w:val="0"/>
          <w:bCs w:val="0"/>
          <w:color w:val="auto"/>
          <w:sz w:val="32"/>
          <w:szCs w:val="32"/>
        </w:rPr>
        <w:t>机构</w:t>
      </w:r>
      <w:r>
        <w:rPr>
          <w:rFonts w:ascii="方正仿宋简体" w:eastAsia="方正仿宋简体" w:cs="方正仿宋简体" w:hAnsi="方正仿宋简体" w:hint="eastAsia"/>
          <w:b w:val="0"/>
          <w:bCs w:val="0"/>
          <w:color w:val="auto"/>
          <w:sz w:val="32"/>
          <w:szCs w:val="32"/>
          <w:lang w:eastAsia="zh-CN"/>
        </w:rPr>
        <w:t>的指导和培训</w:t>
      </w:r>
      <w:r>
        <w:rPr>
          <w:rFonts w:ascii="方正仿宋简体" w:eastAsia="方正仿宋简体" w:cs="方正仿宋简体" w:hAnsi="方正仿宋简体" w:hint="eastAsia"/>
          <w:b w:val="0"/>
          <w:bCs w:val="0"/>
          <w:color w:val="auto"/>
          <w:sz w:val="32"/>
          <w:szCs w:val="32"/>
        </w:rPr>
        <w:t>。一是</w:t>
      </w:r>
      <w:r>
        <w:rPr>
          <w:rFonts w:ascii="方正仿宋简体" w:eastAsia="方正仿宋简体" w:cs="方正仿宋简体" w:hAnsi="方正仿宋简体" w:hint="eastAsia"/>
          <w:b w:val="0"/>
          <w:bCs w:val="0"/>
          <w:color w:val="auto"/>
          <w:sz w:val="32"/>
          <w:szCs w:val="32"/>
          <w:lang w:eastAsia="zh-CN"/>
        </w:rPr>
        <w:t>健全组</w:t>
      </w:r>
      <w:r>
        <w:rPr>
          <w:rFonts w:ascii="方正仿宋简体" w:eastAsia="方正仿宋简体" w:cs="方正仿宋简体" w:hAnsi="方正仿宋简体" w:hint="eastAsia"/>
          <w:b w:val="0"/>
          <w:bCs w:val="0"/>
          <w:color w:val="auto"/>
          <w:sz w:val="32"/>
          <w:szCs w:val="32"/>
        </w:rPr>
        <w:t>织领导。</w:t>
      </w:r>
      <w:r>
        <w:rPr>
          <w:rFonts w:ascii="方正仿宋简体" w:eastAsia="方正仿宋简体" w:cs="方正仿宋简体" w:hAnsi="方正仿宋简体" w:hint="eastAsia"/>
          <w:b w:val="0"/>
          <w:bCs w:val="0"/>
          <w:color w:val="auto"/>
          <w:sz w:val="32"/>
          <w:szCs w:val="32"/>
          <w:lang w:eastAsia="zh-CN"/>
        </w:rPr>
        <w:t>充实调整</w:t>
      </w:r>
      <w:r>
        <w:rPr>
          <w:rFonts w:ascii="方正仿宋简体" w:eastAsia="方正仿宋简体" w:cs="方正仿宋简体" w:hAnsi="方正仿宋简体" w:hint="eastAsia"/>
          <w:b w:val="0"/>
          <w:bCs w:val="0"/>
          <w:color w:val="auto"/>
          <w:sz w:val="32"/>
          <w:szCs w:val="32"/>
        </w:rPr>
        <w:t>了利州区国家基本公共卫生服务项目领导小组，定期召开领导小组会议</w:t>
      </w:r>
      <w:r>
        <w:rPr>
          <w:rFonts w:ascii="方正仿宋简体" w:eastAsia="方正仿宋简体" w:cs="方正仿宋简体" w:hAnsi="方正仿宋简体" w:hint="eastAsia"/>
          <w:b w:val="0"/>
          <w:bCs w:val="0"/>
          <w:color w:val="auto"/>
          <w:sz w:val="32"/>
          <w:szCs w:val="32"/>
          <w:lang w:eastAsia="zh-CN"/>
        </w:rPr>
        <w:t>、专题会议、推进会议</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听取工作情况汇报，</w:t>
      </w:r>
      <w:r>
        <w:rPr>
          <w:rFonts w:ascii="方正仿宋简体" w:eastAsia="方正仿宋简体" w:cs="方正仿宋简体" w:hAnsi="方正仿宋简体" w:hint="eastAsia"/>
          <w:b w:val="0"/>
          <w:bCs w:val="0"/>
          <w:color w:val="auto"/>
          <w:sz w:val="32"/>
          <w:szCs w:val="32"/>
        </w:rPr>
        <w:t>协调解决</w:t>
      </w:r>
      <w:r>
        <w:rPr>
          <w:rFonts w:ascii="方正仿宋简体" w:eastAsia="方正仿宋简体" w:cs="方正仿宋简体" w:hAnsi="方正仿宋简体" w:hint="eastAsia"/>
          <w:b w:val="0"/>
          <w:bCs w:val="0"/>
          <w:color w:val="auto"/>
          <w:sz w:val="32"/>
          <w:szCs w:val="32"/>
          <w:lang w:eastAsia="zh-CN"/>
        </w:rPr>
        <w:t>工作中的困难问题</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二是制定实施方案。区卫生健康局、区财政局联合下发</w:t>
      </w:r>
      <w:r>
        <w:rPr>
          <w:rFonts w:ascii="方正仿宋简体" w:eastAsia="方正仿宋简体" w:cs="方正仿宋简体" w:hAnsi="方正仿宋简体" w:hint="eastAsia"/>
          <w:b w:val="0"/>
          <w:bCs w:val="0"/>
          <w:color w:val="auto"/>
          <w:sz w:val="32"/>
          <w:szCs w:val="32"/>
        </w:rPr>
        <w:t>了《20</w:t>
      </w:r>
      <w:r>
        <w:rPr>
          <w:rFonts w:ascii="方正仿宋简体" w:eastAsia="方正仿宋简体" w:cs="方正仿宋简体" w:hAnsi="方正仿宋简体" w:hint="eastAsia"/>
          <w:b w:val="0"/>
          <w:bCs w:val="0"/>
          <w:color w:val="auto"/>
          <w:sz w:val="32"/>
          <w:szCs w:val="32"/>
          <w:lang w:val="en-US" w:eastAsia="zh-CN"/>
        </w:rPr>
        <w:t>20</w:t>
      </w:r>
      <w:r>
        <w:rPr>
          <w:rFonts w:ascii="方正仿宋简体" w:eastAsia="方正仿宋简体" w:cs="方正仿宋简体" w:hAnsi="方正仿宋简体" w:hint="eastAsia"/>
          <w:b w:val="0"/>
          <w:bCs w:val="0"/>
          <w:color w:val="auto"/>
          <w:sz w:val="32"/>
          <w:szCs w:val="32"/>
        </w:rPr>
        <w:t>年</w:t>
      </w:r>
      <w:r>
        <w:rPr>
          <w:rFonts w:ascii="方正仿宋简体" w:eastAsia="方正仿宋简体" w:cs="方正仿宋简体" w:hAnsi="方正仿宋简体" w:hint="eastAsia"/>
          <w:b w:val="0"/>
          <w:bCs w:val="0"/>
          <w:color w:val="auto"/>
          <w:sz w:val="32"/>
          <w:szCs w:val="32"/>
          <w:lang w:eastAsia="zh-CN"/>
        </w:rPr>
        <w:t>度全区</w:t>
      </w:r>
      <w:r>
        <w:rPr>
          <w:rFonts w:ascii="方正仿宋简体" w:eastAsia="方正仿宋简体" w:cs="方正仿宋简体" w:hAnsi="方正仿宋简体" w:hint="eastAsia"/>
          <w:b w:val="0"/>
          <w:bCs w:val="0"/>
          <w:color w:val="auto"/>
          <w:sz w:val="32"/>
          <w:szCs w:val="32"/>
        </w:rPr>
        <w:t>基本公共卫生服务项目实施方案》《2020年全区基本公共卫生服务项目工作计划》，</w:t>
      </w:r>
      <w:r>
        <w:rPr>
          <w:rFonts w:ascii="方正仿宋简体" w:eastAsia="方正仿宋简体" w:cs="方正仿宋简体" w:hAnsi="方正仿宋简体" w:hint="eastAsia"/>
          <w:b w:val="0"/>
          <w:bCs w:val="0"/>
          <w:color w:val="auto"/>
          <w:sz w:val="32"/>
          <w:szCs w:val="32"/>
          <w:lang w:eastAsia="zh-CN"/>
        </w:rPr>
        <w:t>明确了目标任务，细化了方法举措，</w:t>
      </w:r>
      <w:r>
        <w:rPr>
          <w:rFonts w:ascii="方正仿宋简体" w:eastAsia="方正仿宋简体" w:cs="方正仿宋简体" w:hAnsi="方正仿宋简体" w:hint="eastAsia"/>
          <w:b w:val="0"/>
          <w:bCs w:val="0"/>
          <w:color w:val="auto"/>
          <w:sz w:val="32"/>
          <w:szCs w:val="32"/>
        </w:rPr>
        <w:t>确保基本公共卫生服务项目有章可循、稳步推进。</w:t>
      </w:r>
      <w:r>
        <w:rPr>
          <w:rFonts w:ascii="方正仿宋简体" w:eastAsia="方正仿宋简体" w:cs="方正仿宋简体" w:hAnsi="方正仿宋简体" w:hint="eastAsia"/>
          <w:b w:val="0"/>
          <w:bCs w:val="0"/>
          <w:color w:val="auto"/>
          <w:sz w:val="32"/>
          <w:szCs w:val="32"/>
          <w:lang w:eastAsia="zh-CN"/>
        </w:rPr>
        <w:t>三是加强督导指导。</w:t>
      </w:r>
      <w:r>
        <w:rPr>
          <w:rFonts w:ascii="方正仿宋简体" w:eastAsia="方正仿宋简体" w:cs="方正仿宋简体" w:hAnsi="方正仿宋简体" w:hint="eastAsia"/>
          <w:sz w:val="32"/>
          <w:szCs w:val="32"/>
        </w:rPr>
        <w:t>充分发挥指导</w:t>
      </w:r>
      <w:r>
        <w:rPr>
          <w:rFonts w:ascii="方正仿宋简体" w:eastAsia="方正仿宋简体" w:cs="方正仿宋简体" w:hAnsi="方正仿宋简体" w:hint="eastAsia"/>
          <w:b w:val="0"/>
          <w:bCs w:val="0"/>
          <w:color w:val="auto"/>
          <w:kern w:val="0"/>
          <w:sz w:val="32"/>
          <w:szCs w:val="32"/>
          <w:lang w:eastAsia="zh-CN"/>
        </w:rPr>
        <w:t>中心</w:t>
      </w:r>
      <w:r>
        <w:rPr>
          <w:rFonts w:ascii="方正仿宋简体" w:eastAsia="方正仿宋简体" w:cs="方正仿宋简体" w:hAnsi="方正仿宋简体" w:hint="eastAsia"/>
          <w:sz w:val="32"/>
          <w:szCs w:val="32"/>
        </w:rPr>
        <w:t>的项目引领导向作用，提高项目执行效能，</w:t>
      </w:r>
      <w:r>
        <w:rPr>
          <w:rFonts w:ascii="方正仿宋简体" w:eastAsia="方正仿宋简体" w:cs="方正仿宋简体" w:hAnsi="方正仿宋简体" w:hint="eastAsia"/>
          <w:b w:val="0"/>
          <w:bCs w:val="0"/>
          <w:color w:val="auto"/>
          <w:sz w:val="32"/>
          <w:szCs w:val="32"/>
          <w:lang w:eastAsia="zh-CN"/>
        </w:rPr>
        <w:t>建立了</w:t>
      </w:r>
      <w:r>
        <w:rPr>
          <w:rFonts w:ascii="方正仿宋简体" w:eastAsia="方正仿宋简体" w:cs="方正仿宋简体" w:hAnsi="方正仿宋简体" w:hint="eastAsia"/>
          <w:b w:val="0"/>
          <w:bCs w:val="0"/>
          <w:color w:val="auto"/>
          <w:sz w:val="32"/>
          <w:szCs w:val="32"/>
          <w:lang w:val="en-US" w:eastAsia="zh-CN"/>
        </w:rPr>
        <w:t>利州</w:t>
      </w:r>
      <w:r>
        <w:rPr>
          <w:rFonts w:ascii="方正仿宋简体" w:eastAsia="方正仿宋简体" w:cs="方正仿宋简体" w:hAnsi="方正仿宋简体" w:hint="eastAsia"/>
          <w:b w:val="0"/>
          <w:bCs w:val="0"/>
          <w:color w:val="auto"/>
          <w:sz w:val="32"/>
          <w:szCs w:val="32"/>
          <w:lang w:eastAsia="zh-CN"/>
        </w:rPr>
        <w:t>区基本公共卫生服务项目技术专家团队，区卫生健康局印发了《</w:t>
      </w:r>
      <w:r>
        <w:rPr>
          <w:rFonts w:ascii="方正仿宋简体" w:eastAsia="方正仿宋简体" w:cs="方正仿宋简体" w:hAnsi="方正仿宋简体" w:hint="eastAsia"/>
          <w:b w:val="0"/>
          <w:bCs w:val="0"/>
          <w:color w:val="auto"/>
          <w:sz w:val="32"/>
          <w:szCs w:val="32"/>
          <w:lang w:val="en-US" w:eastAsia="zh-CN"/>
        </w:rPr>
        <w:t>2020年广元市利州区基本公共卫生服务项目指导工作方案</w:t>
      </w:r>
      <w:r>
        <w:rPr>
          <w:rFonts w:ascii="方正仿宋简体" w:eastAsia="方正仿宋简体" w:cs="方正仿宋简体" w:hAnsi="方正仿宋简体" w:hint="eastAsia"/>
          <w:b w:val="0"/>
          <w:bCs w:val="0"/>
          <w:color w:val="auto"/>
          <w:sz w:val="32"/>
          <w:szCs w:val="32"/>
          <w:lang w:eastAsia="zh-CN"/>
        </w:rPr>
        <w:t>》，中心每月通过国家信息系统和月进度报表跟踪掌握基本公共卫生服务项目实施情况，并及时进行针对性指导，每季度根据基本公共卫生服务项目报表对</w:t>
      </w:r>
      <w:r>
        <w:rPr>
          <w:rFonts w:ascii="方正仿宋简体" w:eastAsia="方正仿宋简体" w:cs="方正仿宋简体" w:hAnsi="方正仿宋简体" w:hint="eastAsia"/>
          <w:b w:val="0"/>
          <w:bCs w:val="0"/>
          <w:color w:val="auto"/>
          <w:sz w:val="32"/>
          <w:szCs w:val="32"/>
        </w:rPr>
        <w:t>居民健康档案、</w:t>
      </w:r>
      <w:r>
        <w:rPr>
          <w:rFonts w:ascii="方正仿宋简体" w:eastAsia="方正仿宋简体" w:cs="方正仿宋简体" w:hAnsi="方正仿宋简体" w:hint="eastAsia"/>
          <w:b w:val="0"/>
          <w:bCs w:val="0"/>
          <w:color w:val="auto"/>
          <w:sz w:val="32"/>
          <w:szCs w:val="32"/>
          <w:lang w:eastAsia="zh-CN"/>
        </w:rPr>
        <w:t>慢性病</w:t>
      </w:r>
      <w:r>
        <w:rPr>
          <w:rFonts w:ascii="方正仿宋简体" w:eastAsia="方正仿宋简体" w:cs="方正仿宋简体" w:hAnsi="方正仿宋简体" w:hint="eastAsia"/>
          <w:b w:val="0"/>
          <w:bCs w:val="0"/>
          <w:color w:val="auto"/>
          <w:sz w:val="32"/>
          <w:szCs w:val="32"/>
        </w:rPr>
        <w:t>、老年人的管理情况</w:t>
      </w:r>
      <w:r>
        <w:rPr>
          <w:rFonts w:ascii="方正仿宋简体" w:eastAsia="方正仿宋简体" w:cs="方正仿宋简体" w:hAnsi="方正仿宋简体" w:hint="eastAsia"/>
          <w:b w:val="0"/>
          <w:bCs w:val="0"/>
          <w:color w:val="auto"/>
          <w:sz w:val="32"/>
          <w:szCs w:val="32"/>
          <w:lang w:eastAsia="zh-CN"/>
        </w:rPr>
        <w:t>进行</w:t>
      </w:r>
      <w:r>
        <w:rPr>
          <w:rFonts w:ascii="方正仿宋简体" w:eastAsia="方正仿宋简体" w:cs="方正仿宋简体" w:hAnsi="方正仿宋简体" w:hint="eastAsia"/>
          <w:b w:val="0"/>
          <w:bCs w:val="0"/>
          <w:color w:val="auto"/>
          <w:sz w:val="32"/>
          <w:szCs w:val="32"/>
        </w:rPr>
        <w:t>分析</w:t>
      </w:r>
      <w:r>
        <w:rPr>
          <w:rFonts w:ascii="方正仿宋简体" w:eastAsia="方正仿宋简体" w:cs="方正仿宋简体" w:hAnsi="方正仿宋简体" w:hint="eastAsia"/>
          <w:b w:val="0"/>
          <w:bCs w:val="0"/>
          <w:color w:val="auto"/>
          <w:sz w:val="32"/>
          <w:szCs w:val="32"/>
          <w:lang w:eastAsia="zh-CN"/>
        </w:rPr>
        <w:t>并通报，</w:t>
      </w:r>
      <w:r>
        <w:rPr>
          <w:rFonts w:ascii="方正仿宋简体" w:eastAsia="方正仿宋简体" w:cs="方正仿宋简体" w:hAnsi="方正仿宋简体" w:hint="eastAsia"/>
          <w:b w:val="0"/>
          <w:bCs w:val="0"/>
          <w:color w:val="auto"/>
          <w:kern w:val="0"/>
          <w:sz w:val="32"/>
          <w:szCs w:val="32"/>
        </w:rPr>
        <w:t>并将</w:t>
      </w:r>
      <w:r>
        <w:rPr>
          <w:rFonts w:ascii="方正仿宋简体" w:eastAsia="方正仿宋简体" w:cs="方正仿宋简体" w:hAnsi="方正仿宋简体" w:hint="eastAsia"/>
          <w:b w:val="0"/>
          <w:bCs w:val="0"/>
          <w:color w:val="auto"/>
          <w:kern w:val="0"/>
          <w:sz w:val="32"/>
          <w:szCs w:val="32"/>
          <w:lang w:eastAsia="zh-CN"/>
        </w:rPr>
        <w:t>每月督导、季度督导情况</w:t>
      </w:r>
      <w:r>
        <w:rPr>
          <w:rFonts w:ascii="方正仿宋简体" w:eastAsia="方正仿宋简体" w:cs="方正仿宋简体" w:hAnsi="方正仿宋简体" w:hint="eastAsia"/>
          <w:b w:val="0"/>
          <w:bCs w:val="0"/>
          <w:color w:val="auto"/>
          <w:kern w:val="0"/>
          <w:sz w:val="32"/>
          <w:szCs w:val="32"/>
        </w:rPr>
        <w:t>纳入</w:t>
      </w:r>
      <w:r>
        <w:rPr>
          <w:rFonts w:ascii="方正仿宋简体" w:eastAsia="方正仿宋简体" w:cs="方正仿宋简体" w:hAnsi="方正仿宋简体" w:hint="eastAsia"/>
          <w:b w:val="0"/>
          <w:bCs w:val="0"/>
          <w:color w:val="auto"/>
          <w:kern w:val="0"/>
          <w:sz w:val="32"/>
          <w:szCs w:val="32"/>
          <w:lang w:eastAsia="zh-CN"/>
        </w:rPr>
        <w:t>年度</w:t>
      </w:r>
      <w:r>
        <w:rPr>
          <w:rFonts w:ascii="方正仿宋简体" w:eastAsia="方正仿宋简体" w:cs="方正仿宋简体" w:hAnsi="方正仿宋简体" w:hint="eastAsia"/>
          <w:b w:val="0"/>
          <w:bCs w:val="0"/>
          <w:color w:val="auto"/>
          <w:kern w:val="0"/>
          <w:sz w:val="32"/>
          <w:szCs w:val="32"/>
        </w:rPr>
        <w:t>综合</w:t>
      </w:r>
      <w:r>
        <w:rPr>
          <w:rFonts w:ascii="方正仿宋简体" w:eastAsia="方正仿宋简体" w:cs="方正仿宋简体" w:hAnsi="方正仿宋简体" w:hint="eastAsia"/>
          <w:b w:val="0"/>
          <w:bCs w:val="0"/>
          <w:color w:val="auto"/>
          <w:kern w:val="0"/>
          <w:sz w:val="32"/>
          <w:szCs w:val="32"/>
          <w:lang w:eastAsia="zh-CN"/>
        </w:rPr>
        <w:t>绩效评价；采取集中督导、单独督导的方式，开展区级</w:t>
      </w:r>
      <w:r>
        <w:rPr>
          <w:rFonts w:ascii="方正仿宋简体" w:eastAsia="方正仿宋简体" w:cs="方正仿宋简体" w:hAnsi="方正仿宋简体" w:hint="eastAsia"/>
          <w:sz w:val="32"/>
          <w:szCs w:val="32"/>
        </w:rPr>
        <w:t>集中组织指导与督导2</w:t>
      </w:r>
      <w:r>
        <w:rPr>
          <w:rFonts w:ascii="方正仿宋简体" w:eastAsia="方正仿宋简体" w:cs="方正仿宋简体" w:hAnsi="方正仿宋简体" w:hint="eastAsia"/>
          <w:color w:val="auto"/>
          <w:sz w:val="32"/>
          <w:szCs w:val="32"/>
        </w:rPr>
        <w:t>次</w:t>
      </w:r>
      <w:r>
        <w:rPr>
          <w:rFonts w:ascii="方正仿宋简体" w:eastAsia="方正仿宋简体" w:cs="方正仿宋简体" w:hAnsi="方正仿宋简体" w:hint="eastAsia"/>
          <w:color w:val="auto"/>
          <w:sz w:val="32"/>
          <w:szCs w:val="32"/>
          <w:lang w:eastAsia="zh-CN"/>
        </w:rPr>
        <w:t>，指导中心和专业公共卫生机构共开展</w:t>
      </w:r>
      <w:r>
        <w:rPr>
          <w:rFonts w:ascii="方正仿宋简体" w:eastAsia="方正仿宋简体" w:cs="方正仿宋简体" w:hAnsi="方正仿宋简体" w:hint="eastAsia"/>
          <w:color w:val="auto"/>
          <w:sz w:val="32"/>
          <w:szCs w:val="32"/>
        </w:rPr>
        <w:t>单独指导与督导</w:t>
      </w:r>
      <w:r>
        <w:rPr>
          <w:rFonts w:ascii="方正仿宋简体" w:eastAsia="方正仿宋简体" w:cs="方正仿宋简体" w:hAnsi="方正仿宋简体" w:hint="eastAsia"/>
          <w:b w:val="0"/>
          <w:bCs w:val="0"/>
          <w:color w:val="auto"/>
          <w:kern w:val="0"/>
          <w:sz w:val="32"/>
          <w:szCs w:val="32"/>
          <w:lang w:val="en-US" w:eastAsia="zh-CN"/>
        </w:rPr>
        <w:t>6次</w:t>
      </w:r>
      <w:r>
        <w:rPr>
          <w:rFonts w:ascii="方正仿宋简体" w:eastAsia="方正仿宋简体" w:cs="方正仿宋简体" w:hAnsi="方正仿宋简体" w:hint="eastAsia"/>
          <w:b w:val="0"/>
          <w:bCs w:val="0"/>
          <w:color w:val="auto"/>
          <w:kern w:val="0"/>
          <w:sz w:val="32"/>
          <w:szCs w:val="32"/>
          <w:lang w:eastAsia="zh-CN"/>
        </w:rPr>
        <w:t>，现场下达书面反馈意见，</w:t>
      </w:r>
      <w:r>
        <w:rPr>
          <w:rFonts w:ascii="方正仿宋简体" w:eastAsia="方正仿宋简体" w:cs="方正仿宋简体" w:hAnsi="方正仿宋简体" w:hint="eastAsia"/>
          <w:sz w:val="32"/>
          <w:szCs w:val="32"/>
          <w:lang w:eastAsia="zh-CN"/>
        </w:rPr>
        <w:t>并</w:t>
      </w:r>
      <w:r>
        <w:rPr>
          <w:rFonts w:ascii="方正仿宋简体" w:eastAsia="方正仿宋简体" w:cs="方正仿宋简体" w:hAnsi="方正仿宋简体" w:hint="eastAsia"/>
          <w:sz w:val="32"/>
          <w:szCs w:val="32"/>
        </w:rPr>
        <w:t>提出</w:t>
      </w:r>
      <w:r>
        <w:rPr>
          <w:rFonts w:ascii="方正仿宋简体" w:eastAsia="方正仿宋简体" w:cs="方正仿宋简体" w:hAnsi="方正仿宋简体" w:hint="eastAsia"/>
          <w:sz w:val="32"/>
          <w:szCs w:val="32"/>
          <w:lang w:eastAsia="zh-CN"/>
        </w:rPr>
        <w:t>针对性的意见</w:t>
      </w:r>
      <w:r>
        <w:rPr>
          <w:rFonts w:ascii="方正仿宋简体" w:eastAsia="方正仿宋简体" w:cs="方正仿宋简体" w:hAnsi="方正仿宋简体" w:hint="eastAsia"/>
          <w:sz w:val="32"/>
          <w:szCs w:val="32"/>
        </w:rPr>
        <w:t>建议</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b w:val="0"/>
          <w:bCs w:val="0"/>
          <w:color w:val="auto"/>
          <w:sz w:val="32"/>
          <w:szCs w:val="32"/>
          <w:lang w:eastAsia="zh-CN"/>
        </w:rPr>
        <w:t>四是加强业务培训。印发了《关于做好2020年度基本公共卫生服务项目培训工作的通知》，定期组织区级专家对相关</w:t>
      </w:r>
      <w:r>
        <w:rPr>
          <w:rFonts w:ascii="方正仿宋简体" w:eastAsia="方正仿宋简体" w:cs="方正仿宋简体" w:hAnsi="方正仿宋简体" w:hint="eastAsia"/>
          <w:b w:val="0"/>
          <w:bCs w:val="0"/>
          <w:color w:val="auto"/>
          <w:sz w:val="32"/>
          <w:szCs w:val="32"/>
          <w:lang w:val="en-US" w:eastAsia="zh-CN"/>
        </w:rPr>
        <w:t>公卫人员（含乡村医生）</w:t>
      </w:r>
      <w:r>
        <w:rPr>
          <w:rFonts w:ascii="方正仿宋简体" w:eastAsia="方正仿宋简体" w:cs="方正仿宋简体" w:hAnsi="方正仿宋简体" w:hint="eastAsia"/>
          <w:b w:val="0"/>
          <w:bCs w:val="0"/>
          <w:color w:val="auto"/>
          <w:sz w:val="32"/>
          <w:szCs w:val="32"/>
          <w:lang w:eastAsia="zh-CN"/>
        </w:rPr>
        <w:t>开展集中培训，</w:t>
      </w:r>
      <w:r>
        <w:rPr>
          <w:rFonts w:ascii="方正仿宋简体" w:eastAsia="方正仿宋简体" w:cs="方正仿宋简体" w:hAnsi="方正仿宋简体" w:hint="eastAsia"/>
          <w:b w:val="0"/>
          <w:bCs w:val="0"/>
          <w:color w:val="auto"/>
          <w:kern w:val="0"/>
          <w:sz w:val="32"/>
          <w:szCs w:val="32"/>
          <w:lang w:eastAsia="zh-CN"/>
        </w:rPr>
        <w:t>加强</w:t>
      </w:r>
      <w:r>
        <w:rPr>
          <w:rFonts w:ascii="方正仿宋简体" w:eastAsia="方正仿宋简体" w:cs="方正仿宋简体" w:hAnsi="方正仿宋简体" w:hint="eastAsia"/>
          <w:b w:val="0"/>
          <w:bCs w:val="0"/>
          <w:color w:val="auto"/>
          <w:kern w:val="0"/>
          <w:sz w:val="32"/>
          <w:szCs w:val="32"/>
        </w:rPr>
        <w:t>对《国家基本公共卫生服务规范》（第三版）</w:t>
      </w:r>
      <w:r>
        <w:rPr>
          <w:rFonts w:ascii="方正仿宋简体" w:eastAsia="方正仿宋简体" w:cs="方正仿宋简体" w:hAnsi="方正仿宋简体" w:hint="eastAsia"/>
          <w:b w:val="0"/>
          <w:bCs w:val="0"/>
          <w:color w:val="auto"/>
          <w:kern w:val="0"/>
          <w:sz w:val="32"/>
          <w:szCs w:val="32"/>
          <w:lang w:eastAsia="zh-CN"/>
        </w:rPr>
        <w:t>、专业知识</w:t>
      </w:r>
      <w:r>
        <w:rPr>
          <w:rFonts w:ascii="方正仿宋简体" w:eastAsia="方正仿宋简体" w:cs="方正仿宋简体" w:hAnsi="方正仿宋简体" w:hint="eastAsia"/>
          <w:b w:val="0"/>
          <w:bCs w:val="0"/>
          <w:color w:val="auto"/>
          <w:kern w:val="0"/>
          <w:sz w:val="32"/>
          <w:szCs w:val="32"/>
        </w:rPr>
        <w:t>的培训，</w:t>
      </w:r>
      <w:r>
        <w:rPr>
          <w:rFonts w:ascii="方正仿宋简体" w:eastAsia="方正仿宋简体" w:cs="方正仿宋简体" w:hAnsi="方正仿宋简体" w:hint="eastAsia"/>
          <w:b w:val="0"/>
          <w:bCs w:val="0"/>
          <w:color w:val="auto"/>
          <w:kern w:val="0"/>
          <w:sz w:val="32"/>
          <w:szCs w:val="32"/>
          <w:lang w:eastAsia="zh-CN"/>
        </w:rPr>
        <w:t>指导中心及专业公共卫生机构共开展培训</w:t>
      </w:r>
      <w:r>
        <w:rPr>
          <w:rFonts w:ascii="方正仿宋简体" w:eastAsia="方正仿宋简体" w:cs="方正仿宋简体" w:hAnsi="方正仿宋简体" w:hint="eastAsia"/>
          <w:b w:val="0"/>
          <w:bCs w:val="0"/>
          <w:color w:val="auto"/>
          <w:kern w:val="0"/>
          <w:sz w:val="32"/>
          <w:szCs w:val="32"/>
          <w:lang w:val="en-US" w:eastAsia="zh-CN"/>
        </w:rPr>
        <w:t>7次，参训人员达512人次，</w:t>
      </w:r>
      <w:r>
        <w:rPr>
          <w:rFonts w:ascii="方正仿宋简体" w:eastAsia="方正仿宋简体" w:cs="方正仿宋简体" w:hAnsi="方正仿宋简体" w:hint="eastAsia"/>
          <w:b w:val="0"/>
          <w:bCs w:val="0"/>
          <w:color w:val="auto"/>
          <w:kern w:val="0"/>
          <w:sz w:val="32"/>
          <w:szCs w:val="32"/>
          <w:lang w:eastAsia="zh-CN"/>
        </w:rPr>
        <w:t>全</w:t>
      </w:r>
      <w:r>
        <w:rPr>
          <w:rFonts w:ascii="方正仿宋简体" w:eastAsia="方正仿宋简体" w:cs="方正仿宋简体" w:hAnsi="方正仿宋简体" w:hint="eastAsia"/>
          <w:b w:val="0"/>
          <w:bCs w:val="0"/>
          <w:color w:val="auto"/>
          <w:sz w:val="32"/>
          <w:szCs w:val="32"/>
          <w:lang w:eastAsia="zh-CN"/>
        </w:rPr>
        <w:t>区公卫</w:t>
      </w:r>
      <w:r>
        <w:rPr>
          <w:rFonts w:ascii="方正仿宋简体" w:eastAsia="方正仿宋简体" w:cs="方正仿宋简体" w:hAnsi="方正仿宋简体" w:hint="eastAsia"/>
          <w:b w:val="0"/>
          <w:bCs w:val="0"/>
          <w:color w:val="auto"/>
          <w:sz w:val="32"/>
          <w:szCs w:val="32"/>
        </w:rPr>
        <w:t>人员参训率达100%。</w:t>
      </w:r>
      <w:r>
        <w:rPr>
          <w:rFonts w:ascii="方正仿宋简体" w:eastAsia="方正仿宋简体" w:cs="方正仿宋简体" w:hAnsi="方正仿宋简体" w:hint="eastAsia"/>
          <w:b w:val="0"/>
          <w:bCs w:val="0"/>
          <w:color w:val="auto"/>
          <w:sz w:val="32"/>
          <w:szCs w:val="32"/>
          <w:lang w:eastAsia="zh-CN"/>
        </w:rPr>
        <w:t>五是</w:t>
      </w:r>
      <w:r>
        <w:rPr>
          <w:rFonts w:ascii="方正仿宋简体" w:eastAsia="方正仿宋简体" w:cs="方正仿宋简体" w:hAnsi="方正仿宋简体" w:hint="eastAsia"/>
          <w:b w:val="0"/>
          <w:bCs w:val="0"/>
          <w:color w:val="auto"/>
          <w:sz w:val="32"/>
          <w:szCs w:val="32"/>
        </w:rPr>
        <w:t>加强</w:t>
      </w:r>
      <w:r>
        <w:rPr>
          <w:rFonts w:ascii="方正仿宋简体" w:eastAsia="方正仿宋简体" w:cs="方正仿宋简体" w:hAnsi="方正仿宋简体" w:hint="eastAsia"/>
          <w:b w:val="0"/>
          <w:bCs w:val="0"/>
          <w:color w:val="auto"/>
          <w:sz w:val="32"/>
          <w:szCs w:val="32"/>
          <w:lang w:eastAsia="zh-CN"/>
        </w:rPr>
        <w:t>项目</w:t>
      </w:r>
      <w:r>
        <w:rPr>
          <w:rFonts w:ascii="方正仿宋简体" w:eastAsia="方正仿宋简体" w:cs="方正仿宋简体" w:hAnsi="方正仿宋简体" w:hint="eastAsia"/>
          <w:b w:val="0"/>
          <w:bCs w:val="0"/>
          <w:color w:val="auto"/>
          <w:sz w:val="32"/>
          <w:szCs w:val="32"/>
        </w:rPr>
        <w:t>宣传。</w:t>
      </w:r>
      <w:r>
        <w:rPr>
          <w:rFonts w:ascii="方正仿宋简体" w:eastAsia="方正仿宋简体" w:cs="方正仿宋简体" w:hAnsi="方正仿宋简体" w:hint="eastAsia"/>
          <w:kern w:val="0"/>
          <w:sz w:val="32"/>
          <w:szCs w:val="32"/>
          <w:lang w:val="en-US" w:eastAsia="zh-CN"/>
        </w:rPr>
        <w:t>利用年末岁尾大量农民工返乡的有利时机，11月16日起</w:t>
      </w:r>
      <w:r>
        <w:rPr>
          <w:rFonts w:ascii="方正仿宋简体" w:eastAsia="方正仿宋简体" w:cs="方正仿宋简体" w:hAnsi="方正仿宋简体" w:hint="eastAsia"/>
          <w:kern w:val="0"/>
          <w:sz w:val="32"/>
          <w:szCs w:val="32"/>
          <w:lang w:eastAsia="zh-CN"/>
        </w:rPr>
        <w:t>在广元城区</w:t>
      </w:r>
      <w:r>
        <w:rPr>
          <w:rFonts w:ascii="方正仿宋简体" w:eastAsia="方正仿宋简体" w:cs="方正仿宋简体" w:hAnsi="方正仿宋简体" w:hint="eastAsia"/>
          <w:kern w:val="0"/>
          <w:sz w:val="32"/>
          <w:szCs w:val="32"/>
          <w:lang w:val="en-US" w:eastAsia="zh-CN"/>
        </w:rPr>
        <w:t>179辆</w:t>
      </w:r>
      <w:r>
        <w:rPr>
          <w:rFonts w:ascii="方正仿宋简体" w:eastAsia="方正仿宋简体" w:cs="方正仿宋简体" w:hAnsi="方正仿宋简体" w:hint="eastAsia"/>
          <w:kern w:val="0"/>
          <w:sz w:val="32"/>
          <w:szCs w:val="32"/>
          <w:lang w:eastAsia="zh-CN"/>
        </w:rPr>
        <w:t>公交车载电视</w:t>
      </w:r>
      <w:r>
        <w:rPr>
          <w:rFonts w:ascii="方正仿宋简体" w:eastAsia="方正仿宋简体" w:cs="方正仿宋简体" w:hAnsi="方正仿宋简体" w:hint="eastAsia"/>
          <w:kern w:val="0"/>
          <w:sz w:val="32"/>
          <w:szCs w:val="32"/>
          <w:lang w:val="en-US" w:eastAsia="zh-CN"/>
        </w:rPr>
        <w:t>上</w:t>
      </w:r>
      <w:r>
        <w:rPr>
          <w:rFonts w:ascii="方正仿宋简体" w:eastAsia="方正仿宋简体" w:cs="方正仿宋简体" w:hAnsi="方正仿宋简体" w:hint="eastAsia"/>
          <w:kern w:val="0"/>
          <w:sz w:val="32"/>
          <w:szCs w:val="32"/>
          <w:lang w:eastAsia="zh-CN"/>
        </w:rPr>
        <w:t>播放基本公共卫生服务项目宣传广告达</w:t>
      </w:r>
      <w:r>
        <w:rPr>
          <w:rFonts w:ascii="方正仿宋简体" w:eastAsia="方正仿宋简体" w:cs="方正仿宋简体" w:hAnsi="方正仿宋简体" w:hint="eastAsia"/>
          <w:kern w:val="0"/>
          <w:sz w:val="32"/>
          <w:szCs w:val="32"/>
          <w:lang w:val="en-US" w:eastAsia="zh-CN"/>
        </w:rPr>
        <w:t>90天</w:t>
      </w:r>
      <w:r>
        <w:rPr>
          <w:rFonts w:ascii="方正仿宋简体" w:eastAsia="方正仿宋简体" w:cs="方正仿宋简体" w:hAnsi="方正仿宋简体" w:hint="eastAsia"/>
          <w:kern w:val="0"/>
          <w:sz w:val="32"/>
          <w:szCs w:val="32"/>
          <w:lang w:eastAsia="zh-CN"/>
        </w:rPr>
        <w:t>，在利州电视台播放国家卫健委制作的《国家基本公共卫生服务项目宣传片》</w:t>
      </w:r>
      <w:r>
        <w:rPr>
          <w:rFonts w:ascii="方正仿宋简体" w:eastAsia="方正仿宋简体" w:cs="方正仿宋简体" w:hAnsi="方正仿宋简体" w:hint="eastAsia"/>
          <w:kern w:val="0"/>
          <w:sz w:val="32"/>
          <w:szCs w:val="32"/>
          <w:lang w:val="en-US" w:eastAsia="zh-CN"/>
        </w:rPr>
        <w:t>1个月</w:t>
      </w:r>
      <w:r>
        <w:rPr>
          <w:rFonts w:ascii="方正仿宋简体" w:eastAsia="方正仿宋简体" w:cs="方正仿宋简体" w:hAnsi="方正仿宋简体" w:hint="eastAsia"/>
          <w:kern w:val="0"/>
          <w:sz w:val="32"/>
          <w:szCs w:val="32"/>
          <w:lang w:eastAsia="zh-CN"/>
        </w:rPr>
        <w:t>，印发国家基本公共卫生服务项目宣传海报</w:t>
      </w:r>
      <w:r>
        <w:rPr>
          <w:rFonts w:ascii="方正仿宋简体" w:eastAsia="方正仿宋简体" w:cs="方正仿宋简体" w:hAnsi="方正仿宋简体" w:hint="eastAsia"/>
          <w:kern w:val="0"/>
          <w:sz w:val="32"/>
          <w:szCs w:val="32"/>
          <w:lang w:val="en-US" w:eastAsia="zh-CN"/>
        </w:rPr>
        <w:t>20000张，</w:t>
      </w:r>
      <w:r>
        <w:rPr>
          <w:rFonts w:ascii="方正仿宋简体" w:eastAsia="方正仿宋简体" w:cs="方正仿宋简体" w:hAnsi="方正仿宋简体" w:hint="eastAsia"/>
          <w:b w:val="0"/>
          <w:bCs w:val="0"/>
          <w:color w:val="auto"/>
          <w:sz w:val="32"/>
          <w:szCs w:val="32"/>
          <w:lang w:val="en-US" w:eastAsia="zh-CN"/>
        </w:rPr>
        <w:t>基层医疗机构</w:t>
      </w:r>
      <w:r>
        <w:rPr>
          <w:rFonts w:ascii="方正仿宋简体" w:eastAsia="方正仿宋简体" w:cs="方正仿宋简体" w:hAnsi="方正仿宋简体" w:hint="eastAsia"/>
          <w:b w:val="0"/>
          <w:bCs w:val="0"/>
          <w:color w:val="auto"/>
          <w:sz w:val="32"/>
          <w:szCs w:val="32"/>
          <w:lang w:eastAsia="zh-CN"/>
        </w:rPr>
        <w:t>均在醒目位置张贴有</w:t>
      </w:r>
      <w:r>
        <w:rPr>
          <w:rFonts w:ascii="方正仿宋简体" w:eastAsia="方正仿宋简体" w:cs="方正仿宋简体" w:hAnsi="方正仿宋简体" w:hint="eastAsia"/>
          <w:b w:val="0"/>
          <w:bCs w:val="0"/>
          <w:color w:val="auto"/>
          <w:sz w:val="32"/>
          <w:szCs w:val="32"/>
        </w:rPr>
        <w:t>基本公共卫生服务项目宣传壁报</w:t>
      </w:r>
      <w:r>
        <w:rPr>
          <w:rFonts w:ascii="方正仿宋简体" w:eastAsia="方正仿宋简体" w:cs="方正仿宋简体" w:hAnsi="方正仿宋简体" w:hint="eastAsia"/>
          <w:b w:val="0"/>
          <w:bCs w:val="0"/>
          <w:color w:val="auto"/>
          <w:sz w:val="32"/>
          <w:szCs w:val="32"/>
          <w:lang w:eastAsia="zh-CN"/>
        </w:rPr>
        <w:t>，加大了对基本公共卫生服务项目的宣传，</w:t>
      </w:r>
      <w:r>
        <w:rPr>
          <w:rFonts w:ascii="方正仿宋简体" w:eastAsia="方正仿宋简体" w:cs="方正仿宋简体" w:hAnsi="方正仿宋简体" w:hint="eastAsia"/>
          <w:kern w:val="0"/>
          <w:sz w:val="32"/>
          <w:szCs w:val="32"/>
          <w:lang w:eastAsia="zh-CN"/>
        </w:rPr>
        <w:t>进一步提升了辖区群众对项目实施的知晓度和认可度。</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lang w:val="en-US" w:eastAsia="zh-CN"/>
        </w:rPr>
        <w:t>②</w:t>
      </w:r>
      <w:r>
        <w:rPr>
          <w:rFonts w:ascii="方正仿宋简体" w:eastAsia="方正仿宋简体" w:cs="方正仿宋简体" w:hAnsi="方正仿宋简体" w:hint="eastAsia"/>
          <w:b w:val="0"/>
          <w:bCs w:val="0"/>
          <w:color w:val="auto"/>
          <w:sz w:val="32"/>
          <w:szCs w:val="32"/>
          <w:lang w:eastAsia="zh-CN"/>
        </w:rPr>
        <w:t>进一步</w:t>
      </w:r>
      <w:r>
        <w:rPr>
          <w:rFonts w:ascii="方正仿宋简体" w:eastAsia="方正仿宋简体" w:cs="方正仿宋简体" w:hAnsi="方正仿宋简体" w:hint="eastAsia"/>
          <w:b w:val="0"/>
          <w:bCs w:val="0"/>
          <w:color w:val="auto"/>
          <w:sz w:val="32"/>
          <w:szCs w:val="32"/>
        </w:rPr>
        <w:t>规范资金管理</w:t>
      </w:r>
      <w:r>
        <w:rPr>
          <w:rFonts w:ascii="方正仿宋简体" w:eastAsia="方正仿宋简体" w:cs="方正仿宋简体" w:hAnsi="方正仿宋简体" w:hint="eastAsia"/>
          <w:b w:val="0"/>
          <w:bCs w:val="0"/>
          <w:color w:val="auto"/>
          <w:sz w:val="32"/>
          <w:szCs w:val="32"/>
          <w:lang w:eastAsia="zh-CN"/>
        </w:rPr>
        <w:t>使用</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严格落实《四川省基本公共卫生服务补助资金管理办法》，各级</w:t>
      </w:r>
      <w:r>
        <w:rPr>
          <w:rFonts w:ascii="方正仿宋简体" w:eastAsia="方正仿宋简体" w:cs="方正仿宋简体" w:hAnsi="方正仿宋简体" w:hint="eastAsia"/>
          <w:color w:val="000000"/>
          <w:sz w:val="32"/>
          <w:szCs w:val="32"/>
          <w:lang w:val="en-US" w:eastAsia="zh-CN"/>
        </w:rPr>
        <w:t>补助资金全部于11月底前</w:t>
      </w:r>
      <w:r>
        <w:rPr>
          <w:rFonts w:ascii="方正仿宋简体" w:eastAsia="方正仿宋简体" w:cs="方正仿宋简体" w:hAnsi="方正仿宋简体" w:hint="eastAsia"/>
          <w:color w:val="000000"/>
          <w:sz w:val="32"/>
          <w:szCs w:val="32"/>
        </w:rPr>
        <w:t>拨付</w:t>
      </w:r>
      <w:r>
        <w:rPr>
          <w:rFonts w:ascii="方正仿宋简体" w:eastAsia="方正仿宋简体" w:cs="方正仿宋简体" w:hAnsi="方正仿宋简体" w:hint="eastAsia"/>
          <w:color w:val="000000"/>
          <w:kern w:val="0"/>
          <w:sz w:val="32"/>
          <w:szCs w:val="32"/>
          <w:lang w:eastAsia="zh-CN"/>
        </w:rPr>
        <w:t>到项目实施单位</w:t>
      </w:r>
      <w:r>
        <w:rPr>
          <w:rFonts w:ascii="方正仿宋简体" w:eastAsia="方正仿宋简体" w:cs="方正仿宋简体" w:hAnsi="方正仿宋简体" w:hint="eastAsia"/>
          <w:color w:val="000000"/>
          <w:sz w:val="32"/>
          <w:szCs w:val="32"/>
          <w:lang w:eastAsia="zh-CN"/>
        </w:rPr>
        <w:t>，各单位</w:t>
      </w:r>
      <w:r>
        <w:rPr>
          <w:rFonts w:ascii="方正仿宋简体" w:eastAsia="方正仿宋简体" w:cs="方正仿宋简体" w:hAnsi="方正仿宋简体" w:hint="eastAsia"/>
          <w:sz w:val="32"/>
          <w:szCs w:val="32"/>
          <w:lang w:eastAsia="zh-CN"/>
        </w:rPr>
        <w:t>均设立了基本公共卫生服务项目专项补助资金专账，进行专账管理，确保专款专用。</w:t>
      </w:r>
      <w:r>
        <w:rPr>
          <w:rFonts w:ascii="方正仿宋简体" w:eastAsia="方正仿宋简体" w:cs="方正仿宋简体" w:hAnsi="方正仿宋简体" w:hint="eastAsia"/>
          <w:color w:val="000000"/>
          <w:sz w:val="32"/>
          <w:szCs w:val="32"/>
          <w:lang w:eastAsia="zh-CN"/>
        </w:rPr>
        <w:t>乡镇卫生院、社区卫生服务中心均制定完善了村卫生室绩效考核方案，</w:t>
      </w:r>
      <w:r>
        <w:rPr>
          <w:rFonts w:ascii="方正仿宋简体" w:eastAsia="方正仿宋简体" w:cs="方正仿宋简体" w:hAnsi="方正仿宋简体" w:hint="eastAsia"/>
          <w:color w:val="000000"/>
          <w:sz w:val="32"/>
          <w:szCs w:val="32"/>
        </w:rPr>
        <w:t>将40%的工作任务</w:t>
      </w:r>
      <w:r>
        <w:rPr>
          <w:rFonts w:ascii="方正仿宋简体" w:eastAsia="方正仿宋简体" w:cs="方正仿宋简体" w:hAnsi="方正仿宋简体" w:hint="eastAsia"/>
          <w:color w:val="000000"/>
          <w:sz w:val="32"/>
          <w:szCs w:val="32"/>
          <w:lang w:eastAsia="zh-CN"/>
        </w:rPr>
        <w:t>和经费</w:t>
      </w:r>
      <w:r>
        <w:rPr>
          <w:rFonts w:ascii="方正仿宋简体" w:eastAsia="方正仿宋简体" w:cs="方正仿宋简体" w:hAnsi="方正仿宋简体" w:hint="eastAsia"/>
          <w:color w:val="000000"/>
          <w:sz w:val="32"/>
          <w:szCs w:val="32"/>
        </w:rPr>
        <w:t>下放至村</w:t>
      </w:r>
      <w:r>
        <w:rPr>
          <w:rFonts w:ascii="方正仿宋简体" w:eastAsia="方正仿宋简体" w:cs="方正仿宋简体" w:hAnsi="方正仿宋简体" w:hint="eastAsia"/>
          <w:color w:val="000000"/>
          <w:sz w:val="32"/>
          <w:szCs w:val="32"/>
          <w:lang w:eastAsia="zh-CN"/>
        </w:rPr>
        <w:t>卫生室</w:t>
      </w:r>
      <w:r>
        <w:rPr>
          <w:rFonts w:ascii="方正仿宋简体" w:eastAsia="方正仿宋简体" w:cs="方正仿宋简体" w:hAnsi="方正仿宋简体" w:hint="eastAsia"/>
          <w:color w:val="000000"/>
          <w:sz w:val="32"/>
          <w:szCs w:val="32"/>
        </w:rPr>
        <w:t>，</w:t>
      </w:r>
      <w:r>
        <w:rPr>
          <w:rFonts w:ascii="方正仿宋简体" w:eastAsia="方正仿宋简体" w:cs="方正仿宋简体" w:hAnsi="方正仿宋简体" w:hint="eastAsia"/>
          <w:color w:val="000000"/>
          <w:sz w:val="32"/>
          <w:szCs w:val="32"/>
          <w:lang w:eastAsia="zh-CN"/>
        </w:rPr>
        <w:t>年初预</w:t>
      </w:r>
      <w:r>
        <w:rPr>
          <w:rFonts w:ascii="方正仿宋简体" w:eastAsia="方正仿宋简体" w:cs="方正仿宋简体" w:hAnsi="方正仿宋简体" w:hint="eastAsia"/>
          <w:color w:val="000000"/>
          <w:sz w:val="32"/>
          <w:szCs w:val="32"/>
        </w:rPr>
        <w:t>拨不低于</w:t>
      </w:r>
      <w:r>
        <w:rPr>
          <w:rFonts w:ascii="方正仿宋简体" w:eastAsia="方正仿宋简体" w:cs="方正仿宋简体" w:hAnsi="方正仿宋简体" w:hint="eastAsia"/>
          <w:color w:val="000000"/>
          <w:sz w:val="32"/>
          <w:szCs w:val="32"/>
          <w:lang w:val="en-US" w:eastAsia="zh-CN"/>
        </w:rPr>
        <w:t>50</w:t>
      </w:r>
      <w:r>
        <w:rPr>
          <w:rFonts w:ascii="方正仿宋简体" w:eastAsia="方正仿宋简体" w:cs="方正仿宋简体" w:hAnsi="方正仿宋简体" w:hint="eastAsia"/>
          <w:color w:val="000000"/>
          <w:sz w:val="32"/>
          <w:szCs w:val="32"/>
        </w:rPr>
        <w:t>%的补助经费，</w:t>
      </w:r>
      <w:r>
        <w:rPr>
          <w:rFonts w:ascii="方正仿宋简体" w:eastAsia="方正仿宋简体" w:cs="方正仿宋简体" w:hAnsi="方正仿宋简体" w:hint="eastAsia"/>
          <w:color w:val="000000"/>
          <w:sz w:val="32"/>
          <w:szCs w:val="32"/>
          <w:lang w:eastAsia="zh-CN"/>
        </w:rPr>
        <w:t>年底</w:t>
      </w:r>
      <w:r>
        <w:rPr>
          <w:rFonts w:ascii="方正仿宋简体" w:eastAsia="方正仿宋简体" w:cs="方正仿宋简体" w:hAnsi="方正仿宋简体" w:hint="eastAsia"/>
          <w:sz w:val="32"/>
          <w:szCs w:val="32"/>
        </w:rPr>
        <w:t>根据核定的任务量和考核结果，将相应的经费拨付给村卫生室</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严禁无故克扣乡村医生基本公共卫生服务补助。</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Chars="200" w:firstLine="640"/>
        <w:jc w:val="both"/>
        <w:textAlignment w:val="auto"/>
        <w:rPr>
          <w:rFonts w:ascii="方正仿宋简体" w:eastAsia="方正仿宋简体" w:cs="方正仿宋简体" w:hAnsi="方正仿宋简体" w:hint="eastAsia"/>
          <w:b w:val="0"/>
          <w:bCs w:val="0"/>
          <w:color w:val="C00000"/>
          <w:sz w:val="32"/>
          <w:szCs w:val="32"/>
          <w:lang w:eastAsia="zh-CN"/>
        </w:rPr>
      </w:pPr>
      <w:r>
        <w:rPr>
          <w:rFonts w:ascii="方正仿宋简体" w:eastAsia="方正仿宋简体" w:cs="方正仿宋简体" w:hAnsi="方正仿宋简体" w:hint="eastAsia"/>
          <w:b w:val="0"/>
          <w:bCs w:val="0"/>
          <w:color w:val="auto"/>
          <w:sz w:val="32"/>
          <w:szCs w:val="32"/>
          <w:lang w:val="en-US" w:eastAsia="zh-CN"/>
        </w:rPr>
        <w:t>③</w:t>
      </w:r>
      <w:r>
        <w:rPr>
          <w:rFonts w:ascii="方正仿宋简体" w:eastAsia="方正仿宋简体" w:cs="方正仿宋简体" w:hAnsi="方正仿宋简体" w:hint="eastAsia"/>
          <w:b w:val="0"/>
          <w:bCs w:val="0"/>
          <w:color w:val="auto"/>
          <w:sz w:val="32"/>
          <w:szCs w:val="32"/>
          <w:lang w:eastAsia="zh-CN"/>
        </w:rPr>
        <w:t>全面实施</w:t>
      </w:r>
      <w:r>
        <w:rPr>
          <w:rFonts w:ascii="方正仿宋简体" w:eastAsia="方正仿宋简体" w:cs="方正仿宋简体" w:hAnsi="方正仿宋简体" w:hint="eastAsia"/>
          <w:b w:val="0"/>
          <w:bCs w:val="0"/>
          <w:color w:val="auto"/>
          <w:sz w:val="32"/>
          <w:szCs w:val="32"/>
        </w:rPr>
        <w:t>基本公共卫生服务</w:t>
      </w:r>
      <w:r>
        <w:rPr>
          <w:rFonts w:ascii="方正仿宋简体" w:eastAsia="方正仿宋简体" w:cs="方正仿宋简体" w:hAnsi="方正仿宋简体" w:hint="eastAsia"/>
          <w:b w:val="0"/>
          <w:bCs w:val="0"/>
          <w:color w:val="auto"/>
          <w:sz w:val="32"/>
          <w:szCs w:val="32"/>
          <w:lang w:eastAsia="zh-CN"/>
        </w:rPr>
        <w:t>项目</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sz w:val="32"/>
          <w:szCs w:val="32"/>
          <w:lang w:eastAsia="zh-CN"/>
        </w:rPr>
        <w:t>一是居民健康档案方面。以核查清理居民健康档案身份证异常问题为抓手，通过入户随访、健康体检、预防接种等多种形式，为居民建立健康档案，并及时清出死档、空档、重档，全区累计建立城乡居民电子健康档案</w:t>
      </w:r>
      <w:r>
        <w:rPr>
          <w:rFonts w:ascii="方正仿宋简体" w:eastAsia="方正仿宋简体" w:cs="方正仿宋简体" w:hAnsi="方正仿宋简体" w:hint="eastAsia"/>
          <w:sz w:val="32"/>
          <w:szCs w:val="32"/>
          <w:lang w:val="en-US" w:eastAsia="zh-CN"/>
        </w:rPr>
        <w:t>532894</w:t>
      </w:r>
      <w:r>
        <w:rPr>
          <w:rFonts w:ascii="方正仿宋简体" w:eastAsia="方正仿宋简体" w:cs="方正仿宋简体" w:hAnsi="方正仿宋简体" w:hint="eastAsia"/>
          <w:sz w:val="32"/>
          <w:szCs w:val="32"/>
          <w:lang w:eastAsia="zh-CN"/>
        </w:rPr>
        <w:t>份，电子健康档案建档率达</w:t>
      </w:r>
      <w:r>
        <w:rPr>
          <w:rFonts w:ascii="方正仿宋简体" w:eastAsia="方正仿宋简体" w:cs="方正仿宋简体" w:hAnsi="方正仿宋简体" w:hint="eastAsia"/>
          <w:sz w:val="32"/>
          <w:szCs w:val="32"/>
          <w:lang w:val="en-US" w:eastAsia="zh-CN"/>
        </w:rPr>
        <w:t>95.30</w:t>
      </w:r>
      <w:r>
        <w:rPr>
          <w:rFonts w:ascii="方正仿宋简体" w:eastAsia="方正仿宋简体" w:cs="方正仿宋简体" w:hAnsi="方正仿宋简体" w:hint="eastAsia"/>
          <w:sz w:val="32"/>
          <w:szCs w:val="32"/>
          <w:lang w:eastAsia="zh-CN"/>
        </w:rPr>
        <w:t>%，健康档案使用率达</w:t>
      </w:r>
      <w:r>
        <w:rPr>
          <w:rFonts w:ascii="方正仿宋简体" w:eastAsia="方正仿宋简体" w:cs="方正仿宋简体" w:hAnsi="方正仿宋简体" w:hint="eastAsia"/>
          <w:sz w:val="32"/>
          <w:szCs w:val="32"/>
          <w:lang w:val="en-US" w:eastAsia="zh-CN"/>
        </w:rPr>
        <w:t>90.02%</w:t>
      </w:r>
      <w:r>
        <w:rPr>
          <w:rFonts w:ascii="方正仿宋简体" w:eastAsia="方正仿宋简体" w:cs="方正仿宋简体" w:hAnsi="方正仿宋简体" w:hint="eastAsia"/>
          <w:sz w:val="32"/>
          <w:szCs w:val="32"/>
          <w:lang w:eastAsia="zh-CN"/>
        </w:rPr>
        <w:t>。二是健康教育方面。将健康教育融入各项公共卫生服务中，采取提供健康教育资料、更换健康教育宣传栏、举办公众健康咨询活动</w:t>
      </w:r>
      <w:r>
        <w:rPr>
          <w:rFonts w:ascii="方正仿宋简体" w:eastAsia="方正仿宋简体" w:cs="方正仿宋简体" w:hAnsi="方正仿宋简体" w:hint="eastAsia"/>
          <w:sz w:val="32"/>
          <w:szCs w:val="32"/>
        </w:rPr>
        <w:t>等多种形式，</w:t>
      </w:r>
      <w:r>
        <w:rPr>
          <w:rFonts w:ascii="方正仿宋简体" w:eastAsia="方正仿宋简体" w:cs="方正仿宋简体" w:hAnsi="方正仿宋简体" w:hint="eastAsia"/>
          <w:sz w:val="32"/>
          <w:szCs w:val="32"/>
          <w:lang w:eastAsia="zh-CN"/>
        </w:rPr>
        <w:t>开展面向公众的健康教育，全区共印制宣传</w:t>
      </w:r>
      <w:r>
        <w:rPr>
          <w:rFonts w:ascii="方正仿宋简体" w:eastAsia="方正仿宋简体" w:cs="方正仿宋简体" w:hAnsi="方正仿宋简体" w:hint="eastAsia"/>
          <w:sz w:val="32"/>
          <w:szCs w:val="32"/>
          <w:lang w:val="en-US" w:eastAsia="zh-CN"/>
        </w:rPr>
        <w:t>资料545种，更换健康教育宣传栏244个，播放各种音像资料461种25844小时，举办健康教育知识讲座300次参加16725人次，举办健康教育咨询活动323次参加59514人次。</w:t>
      </w:r>
      <w:r>
        <w:rPr>
          <w:rFonts w:ascii="方正仿宋简体" w:eastAsia="方正仿宋简体" w:cs="方正仿宋简体" w:hAnsi="方正仿宋简体" w:hint="eastAsia"/>
          <w:b w:val="0"/>
          <w:bCs w:val="0"/>
          <w:color w:val="auto"/>
          <w:sz w:val="32"/>
          <w:szCs w:val="32"/>
        </w:rPr>
        <w:t>三是</w:t>
      </w:r>
      <w:r>
        <w:rPr>
          <w:rFonts w:ascii="方正仿宋简体" w:eastAsia="方正仿宋简体" w:cs="方正仿宋简体" w:hAnsi="方正仿宋简体" w:hint="eastAsia"/>
          <w:b w:val="0"/>
          <w:bCs w:val="0"/>
          <w:snapToGrid w:val="0"/>
          <w:color w:val="auto"/>
          <w:kern w:val="0"/>
          <w:sz w:val="32"/>
          <w:szCs w:val="32"/>
        </w:rPr>
        <w:t>预防接种方面。</w:t>
      </w:r>
      <w:r>
        <w:rPr>
          <w:rFonts w:ascii="方正仿宋简体" w:eastAsia="方正仿宋简体" w:cs="方正仿宋简体" w:hAnsi="方正仿宋简体" w:hint="eastAsia"/>
          <w:b w:val="0"/>
          <w:bCs w:val="0"/>
          <w:snapToGrid w:val="0"/>
          <w:color w:val="auto"/>
          <w:kern w:val="0"/>
          <w:sz w:val="32"/>
          <w:szCs w:val="32"/>
          <w:lang w:eastAsia="zh-CN"/>
        </w:rPr>
        <w:t>根据国家免疫规划疫苗免疫程序，</w:t>
      </w:r>
      <w:r>
        <w:rPr>
          <w:rFonts w:ascii="方正仿宋简体" w:eastAsia="方正仿宋简体" w:cs="方正仿宋简体" w:hAnsi="方正仿宋简体" w:hint="eastAsia"/>
          <w:b w:val="0"/>
          <w:bCs w:val="0"/>
          <w:color w:val="auto"/>
          <w:sz w:val="32"/>
          <w:szCs w:val="32"/>
        </w:rPr>
        <w:t>向</w:t>
      </w:r>
      <w:r>
        <w:rPr>
          <w:rFonts w:ascii="方正仿宋简体" w:eastAsia="方正仿宋简体" w:cs="方正仿宋简体" w:hAnsi="方正仿宋简体" w:hint="eastAsia"/>
          <w:b w:val="0"/>
          <w:bCs w:val="0"/>
          <w:color w:val="auto"/>
          <w:sz w:val="32"/>
          <w:szCs w:val="32"/>
          <w:lang w:val="en-US" w:eastAsia="zh-CN"/>
        </w:rPr>
        <w:t>0-6岁</w:t>
      </w:r>
      <w:r>
        <w:rPr>
          <w:rFonts w:ascii="方正仿宋简体" w:eastAsia="方正仿宋简体" w:cs="方正仿宋简体" w:hAnsi="方正仿宋简体" w:hint="eastAsia"/>
          <w:b w:val="0"/>
          <w:bCs w:val="0"/>
          <w:color w:val="auto"/>
          <w:sz w:val="32"/>
          <w:szCs w:val="32"/>
        </w:rPr>
        <w:t>儿童</w:t>
      </w:r>
      <w:r>
        <w:rPr>
          <w:rFonts w:ascii="方正仿宋简体" w:eastAsia="方正仿宋简体" w:cs="方正仿宋简体" w:hAnsi="方正仿宋简体" w:hint="eastAsia"/>
          <w:b w:val="0"/>
          <w:bCs w:val="0"/>
          <w:color w:val="auto"/>
          <w:sz w:val="32"/>
          <w:szCs w:val="32"/>
          <w:lang w:eastAsia="zh-CN"/>
        </w:rPr>
        <w:t>和其他重点人群</w:t>
      </w:r>
      <w:r>
        <w:rPr>
          <w:rFonts w:ascii="方正仿宋简体" w:eastAsia="方正仿宋简体" w:cs="方正仿宋简体" w:hAnsi="方正仿宋简体" w:hint="eastAsia"/>
          <w:b w:val="0"/>
          <w:bCs w:val="0"/>
          <w:color w:val="auto"/>
          <w:sz w:val="32"/>
          <w:szCs w:val="32"/>
        </w:rPr>
        <w:t>提供疫苗接种服务，</w:t>
      </w:r>
      <w:r>
        <w:rPr>
          <w:rFonts w:ascii="方正仿宋简体" w:eastAsia="方正仿宋简体" w:cs="方正仿宋简体" w:hAnsi="方正仿宋简体" w:hint="eastAsia"/>
          <w:b w:val="0"/>
          <w:bCs w:val="0"/>
          <w:color w:val="auto"/>
          <w:sz w:val="32"/>
          <w:szCs w:val="32"/>
          <w:lang w:eastAsia="zh-CN"/>
        </w:rPr>
        <w:t>严格</w:t>
      </w:r>
      <w:r>
        <w:rPr>
          <w:rFonts w:ascii="方正仿宋简体" w:eastAsia="方正仿宋简体" w:cs="方正仿宋简体" w:hAnsi="方正仿宋简体" w:hint="eastAsia"/>
          <w:b w:val="0"/>
          <w:bCs w:val="0"/>
          <w:color w:val="auto"/>
          <w:sz w:val="32"/>
          <w:szCs w:val="32"/>
        </w:rPr>
        <w:t>落实“三查七对，一验证”措施</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免疫规划建</w:t>
      </w:r>
      <w:r>
        <w:rPr>
          <w:rFonts w:ascii="方正仿宋简体" w:eastAsia="方正仿宋简体" w:cs="方正仿宋简体" w:hAnsi="方正仿宋简体" w:hint="eastAsia"/>
          <w:b w:val="0"/>
          <w:bCs w:val="0"/>
          <w:snapToGrid w:val="0"/>
          <w:color w:val="auto"/>
          <w:kern w:val="0"/>
          <w:sz w:val="32"/>
          <w:szCs w:val="32"/>
          <w:lang w:eastAsia="zh-CN"/>
        </w:rPr>
        <w:t>证率</w:t>
      </w:r>
      <w:r>
        <w:rPr>
          <w:rFonts w:ascii="方正仿宋简体" w:eastAsia="方正仿宋简体" w:cs="方正仿宋简体" w:hAnsi="方正仿宋简体" w:hint="eastAsia"/>
          <w:b w:val="0"/>
          <w:bCs w:val="0"/>
          <w:snapToGrid w:val="0"/>
          <w:color w:val="auto"/>
          <w:kern w:val="0"/>
          <w:sz w:val="32"/>
          <w:szCs w:val="32"/>
          <w:lang w:val="en-US" w:eastAsia="zh-CN"/>
        </w:rPr>
        <w:t>100</w:t>
      </w:r>
      <w:r>
        <w:rPr>
          <w:rFonts w:ascii="方正仿宋简体" w:eastAsia="方正仿宋简体" w:cs="方正仿宋简体" w:hAnsi="方正仿宋简体" w:hint="eastAsia"/>
          <w:b w:val="0"/>
          <w:bCs w:val="0"/>
          <w:snapToGrid w:val="0"/>
          <w:color w:val="auto"/>
          <w:kern w:val="0"/>
          <w:sz w:val="32"/>
          <w:szCs w:val="32"/>
          <w:lang w:eastAsia="zh-CN"/>
        </w:rPr>
        <w:t>%，各疫苗接种率保持在</w:t>
      </w:r>
      <w:r>
        <w:rPr>
          <w:rFonts w:ascii="方正仿宋简体" w:eastAsia="方正仿宋简体" w:cs="方正仿宋简体" w:hAnsi="方正仿宋简体" w:hint="eastAsia"/>
          <w:b w:val="0"/>
          <w:bCs w:val="0"/>
          <w:snapToGrid w:val="0"/>
          <w:color w:val="auto"/>
          <w:kern w:val="0"/>
          <w:sz w:val="32"/>
          <w:szCs w:val="32"/>
          <w:lang w:val="en-US" w:eastAsia="zh-CN"/>
        </w:rPr>
        <w:t>98.56</w:t>
      </w:r>
      <w:r>
        <w:rPr>
          <w:rFonts w:ascii="方正仿宋简体" w:eastAsia="方正仿宋简体" w:cs="方正仿宋简体" w:hAnsi="方正仿宋简体" w:hint="eastAsia"/>
          <w:b w:val="0"/>
          <w:bCs w:val="0"/>
          <w:snapToGrid w:val="0"/>
          <w:color w:val="auto"/>
          <w:kern w:val="0"/>
          <w:sz w:val="32"/>
          <w:szCs w:val="32"/>
          <w:lang w:eastAsia="zh-CN"/>
        </w:rPr>
        <w:t>%以上</w:t>
      </w:r>
      <w:r>
        <w:rPr>
          <w:rFonts w:ascii="方正仿宋简体" w:eastAsia="方正仿宋简体" w:cs="方正仿宋简体" w:hAnsi="方正仿宋简体" w:hint="eastAsia"/>
          <w:b w:val="0"/>
          <w:bCs w:val="0"/>
          <w:color w:val="auto"/>
          <w:sz w:val="32"/>
          <w:szCs w:val="32"/>
        </w:rPr>
        <w:t>。四是0-6岁儿童健康管理方面。认真开展新生儿家庭访视、婴幼儿、学龄前儿童的健康管理工作，新生儿家庭访视</w:t>
      </w:r>
      <w:r>
        <w:rPr>
          <w:rFonts w:ascii="方正仿宋简体" w:eastAsia="方正仿宋简体" w:cs="方正仿宋简体" w:hAnsi="方正仿宋简体" w:hint="eastAsia"/>
          <w:b w:val="0"/>
          <w:bCs w:val="0"/>
          <w:snapToGrid w:val="0"/>
          <w:color w:val="auto"/>
          <w:kern w:val="0"/>
          <w:sz w:val="32"/>
          <w:szCs w:val="32"/>
          <w:lang w:eastAsia="zh-CN"/>
        </w:rPr>
        <w:t>率达到</w:t>
      </w:r>
      <w:r>
        <w:rPr>
          <w:rFonts w:ascii="方正仿宋简体" w:eastAsia="方正仿宋简体" w:cs="方正仿宋简体" w:hAnsi="方正仿宋简体" w:hint="eastAsia"/>
          <w:b w:val="0"/>
          <w:bCs w:val="0"/>
          <w:snapToGrid w:val="0"/>
          <w:color w:val="auto"/>
          <w:kern w:val="0"/>
          <w:sz w:val="32"/>
          <w:szCs w:val="32"/>
          <w:lang w:val="en-US" w:eastAsia="zh-CN"/>
        </w:rPr>
        <w:t>98.21</w:t>
      </w:r>
      <w:r>
        <w:rPr>
          <w:rFonts w:ascii="方正仿宋简体" w:eastAsia="方正仿宋简体" w:cs="方正仿宋简体" w:hAnsi="方正仿宋简体" w:hint="eastAsia"/>
          <w:b w:val="0"/>
          <w:bCs w:val="0"/>
          <w:snapToGrid w:val="0"/>
          <w:color w:val="auto"/>
          <w:kern w:val="0"/>
          <w:sz w:val="32"/>
          <w:szCs w:val="32"/>
          <w:lang w:eastAsia="zh-CN"/>
        </w:rPr>
        <w:t>%，0-6岁儿童健康管理率达</w:t>
      </w:r>
      <w:r>
        <w:rPr>
          <w:rFonts w:ascii="方正仿宋简体" w:eastAsia="方正仿宋简体" w:cs="方正仿宋简体" w:hAnsi="方正仿宋简体" w:hint="eastAsia"/>
          <w:b w:val="0"/>
          <w:bCs w:val="0"/>
          <w:snapToGrid w:val="0"/>
          <w:color w:val="auto"/>
          <w:kern w:val="0"/>
          <w:sz w:val="32"/>
          <w:szCs w:val="32"/>
          <w:lang w:val="en-US" w:eastAsia="zh-CN"/>
        </w:rPr>
        <w:t>90.30</w:t>
      </w:r>
      <w:r>
        <w:rPr>
          <w:rFonts w:ascii="方正仿宋简体" w:eastAsia="方正仿宋简体" w:cs="方正仿宋简体" w:hAnsi="方正仿宋简体" w:hint="eastAsia"/>
          <w:b w:val="0"/>
          <w:bCs w:val="0"/>
          <w:snapToGrid w:val="0"/>
          <w:color w:val="auto"/>
          <w:kern w:val="0"/>
          <w:sz w:val="32"/>
          <w:szCs w:val="32"/>
          <w:lang w:eastAsia="zh-CN"/>
        </w:rPr>
        <w:t>%。</w:t>
      </w:r>
      <w:r>
        <w:rPr>
          <w:rFonts w:ascii="方正仿宋简体" w:eastAsia="方正仿宋简体" w:cs="方正仿宋简体" w:hAnsi="方正仿宋简体" w:hint="eastAsia"/>
          <w:b w:val="0"/>
          <w:bCs w:val="0"/>
          <w:color w:val="auto"/>
          <w:sz w:val="32"/>
          <w:szCs w:val="32"/>
        </w:rPr>
        <w:t>五是孕产妇健康管理</w:t>
      </w:r>
      <w:r>
        <w:rPr>
          <w:rFonts w:ascii="方正仿宋简体" w:eastAsia="方正仿宋简体" w:cs="方正仿宋简体" w:hAnsi="方正仿宋简体" w:hint="eastAsia"/>
          <w:b w:val="0"/>
          <w:bCs w:val="0"/>
          <w:snapToGrid w:val="0"/>
          <w:color w:val="auto"/>
          <w:kern w:val="0"/>
          <w:sz w:val="32"/>
          <w:szCs w:val="32"/>
        </w:rPr>
        <w:t>方面。</w:t>
      </w:r>
      <w:r>
        <w:rPr>
          <w:rFonts w:ascii="方正仿宋简体" w:eastAsia="方正仿宋简体" w:cs="方正仿宋简体" w:hAnsi="方正仿宋简体" w:hint="eastAsia"/>
          <w:b w:val="0"/>
          <w:bCs w:val="0"/>
          <w:color w:val="auto"/>
          <w:sz w:val="32"/>
          <w:szCs w:val="32"/>
        </w:rPr>
        <w:t>规范开展孕产妇孕期保健和产后访视工作，</w:t>
      </w:r>
      <w:r>
        <w:rPr>
          <w:rFonts w:ascii="方正仿宋简体" w:eastAsia="方正仿宋简体" w:cs="方正仿宋简体" w:hAnsi="方正仿宋简体" w:hint="eastAsia"/>
          <w:b w:val="0"/>
          <w:bCs w:val="0"/>
          <w:color w:val="auto"/>
          <w:sz w:val="32"/>
          <w:szCs w:val="32"/>
          <w:lang w:eastAsia="zh-CN"/>
        </w:rPr>
        <w:t>早孕建册率达</w:t>
      </w:r>
      <w:r>
        <w:rPr>
          <w:rFonts w:ascii="方正仿宋简体" w:eastAsia="方正仿宋简体" w:cs="方正仿宋简体" w:hAnsi="方正仿宋简体" w:hint="eastAsia"/>
          <w:b w:val="0"/>
          <w:bCs w:val="0"/>
          <w:color w:val="auto"/>
          <w:sz w:val="32"/>
          <w:szCs w:val="32"/>
          <w:lang w:val="en-US" w:eastAsia="zh-CN"/>
        </w:rPr>
        <w:t>98.26%，</w:t>
      </w:r>
      <w:r>
        <w:rPr>
          <w:rFonts w:ascii="方正仿宋简体" w:eastAsia="方正仿宋简体" w:cs="方正仿宋简体" w:hAnsi="方正仿宋简体" w:hint="eastAsia"/>
          <w:b w:val="0"/>
          <w:bCs w:val="0"/>
          <w:color w:val="auto"/>
          <w:sz w:val="32"/>
          <w:szCs w:val="32"/>
          <w:lang w:eastAsia="zh-CN"/>
        </w:rPr>
        <w:t>产后访视</w:t>
      </w:r>
      <w:r>
        <w:rPr>
          <w:rFonts w:ascii="方正仿宋简体" w:eastAsia="方正仿宋简体" w:cs="方正仿宋简体" w:hAnsi="方正仿宋简体" w:hint="eastAsia"/>
          <w:b w:val="0"/>
          <w:bCs w:val="0"/>
          <w:color w:val="auto"/>
          <w:sz w:val="32"/>
          <w:szCs w:val="32"/>
        </w:rPr>
        <w:t>率达</w:t>
      </w:r>
      <w:r>
        <w:rPr>
          <w:rFonts w:ascii="方正仿宋简体" w:eastAsia="方正仿宋简体" w:cs="方正仿宋简体" w:hAnsi="方正仿宋简体" w:hint="eastAsia"/>
          <w:b w:val="0"/>
          <w:bCs w:val="0"/>
          <w:color w:val="auto"/>
          <w:sz w:val="32"/>
          <w:szCs w:val="32"/>
          <w:lang w:val="en-US" w:eastAsia="zh-CN"/>
        </w:rPr>
        <w:t>95.69</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六是</w:t>
      </w:r>
      <w:r>
        <w:rPr>
          <w:rFonts w:ascii="方正仿宋简体" w:eastAsia="方正仿宋简体" w:cs="方正仿宋简体" w:hAnsi="方正仿宋简体" w:hint="eastAsia"/>
          <w:b w:val="0"/>
          <w:bCs w:val="0"/>
          <w:snapToGrid w:val="0"/>
          <w:color w:val="auto"/>
          <w:kern w:val="0"/>
          <w:sz w:val="32"/>
          <w:szCs w:val="32"/>
        </w:rPr>
        <w:t>老年人健康管理方面</w:t>
      </w:r>
      <w:r>
        <w:rPr>
          <w:rFonts w:ascii="方正仿宋简体" w:eastAsia="方正仿宋简体" w:cs="方正仿宋简体" w:hAnsi="方正仿宋简体" w:hint="eastAsia"/>
          <w:b w:val="0"/>
          <w:bCs w:val="0"/>
          <w:snapToGrid w:val="0"/>
          <w:color w:val="auto"/>
          <w:kern w:val="0"/>
          <w:sz w:val="32"/>
          <w:szCs w:val="32"/>
          <w:lang w:eastAsia="zh-CN"/>
        </w:rPr>
        <w:t>。制订65岁及以上老年人年度体检计划，合理安排健康体检时间，按规范要求做好规定的体检检查项目，并及时反馈体检情况</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老年人健康体检</w:t>
      </w:r>
      <w:r>
        <w:rPr>
          <w:rFonts w:ascii="方正仿宋简体" w:eastAsia="方正仿宋简体" w:cs="方正仿宋简体" w:hAnsi="方正仿宋简体" w:hint="eastAsia"/>
          <w:b w:val="0"/>
          <w:bCs w:val="0"/>
          <w:color w:val="auto"/>
          <w:sz w:val="32"/>
          <w:szCs w:val="32"/>
          <w:lang w:val="en-US" w:eastAsia="zh-CN"/>
        </w:rPr>
        <w:t>41894人，</w:t>
      </w:r>
      <w:r>
        <w:rPr>
          <w:rFonts w:ascii="方正仿宋简体" w:eastAsia="方正仿宋简体" w:cs="方正仿宋简体" w:hAnsi="方正仿宋简体" w:hint="eastAsia"/>
          <w:b w:val="0"/>
          <w:bCs w:val="0"/>
          <w:color w:val="auto"/>
          <w:sz w:val="32"/>
          <w:szCs w:val="32"/>
        </w:rPr>
        <w:t>老年人健康管理率</w:t>
      </w:r>
      <w:r>
        <w:rPr>
          <w:rFonts w:ascii="方正仿宋简体" w:eastAsia="方正仿宋简体" w:cs="方正仿宋简体" w:hAnsi="方正仿宋简体" w:hint="eastAsia"/>
          <w:b w:val="0"/>
          <w:bCs w:val="0"/>
          <w:color w:val="auto"/>
          <w:sz w:val="32"/>
          <w:szCs w:val="32"/>
          <w:lang w:eastAsia="zh-CN"/>
        </w:rPr>
        <w:t>达</w:t>
      </w:r>
      <w:r>
        <w:rPr>
          <w:rFonts w:ascii="方正仿宋简体" w:eastAsia="方正仿宋简体" w:cs="方正仿宋简体" w:hAnsi="方正仿宋简体" w:hint="eastAsia"/>
          <w:b w:val="0"/>
          <w:bCs w:val="0"/>
          <w:color w:val="auto"/>
          <w:sz w:val="32"/>
          <w:szCs w:val="32"/>
          <w:lang w:val="en-US" w:eastAsia="zh-CN"/>
        </w:rPr>
        <w:t>58.56</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七是</w:t>
      </w:r>
      <w:r>
        <w:rPr>
          <w:rFonts w:ascii="方正仿宋简体" w:eastAsia="方正仿宋简体" w:cs="方正仿宋简体" w:hAnsi="方正仿宋简体" w:hint="eastAsia"/>
          <w:b w:val="0"/>
          <w:bCs w:val="0"/>
          <w:color w:val="auto"/>
          <w:sz w:val="32"/>
          <w:szCs w:val="32"/>
        </w:rPr>
        <w:t>慢性病患者健康管理方面。积极开展</w:t>
      </w:r>
      <w:r>
        <w:rPr>
          <w:rFonts w:ascii="方正仿宋简体" w:eastAsia="方正仿宋简体" w:cs="方正仿宋简体" w:hAnsi="方正仿宋简体" w:hint="eastAsia"/>
          <w:b w:val="0"/>
          <w:bCs w:val="0"/>
          <w:color w:val="auto"/>
          <w:sz w:val="32"/>
          <w:szCs w:val="32"/>
          <w:lang w:eastAsia="zh-CN"/>
        </w:rPr>
        <w:t>高血压、糖尿病患者</w:t>
      </w:r>
      <w:r>
        <w:rPr>
          <w:rFonts w:ascii="方正仿宋简体" w:eastAsia="方正仿宋简体" w:cs="方正仿宋简体" w:hAnsi="方正仿宋简体" w:hint="eastAsia"/>
          <w:b w:val="0"/>
          <w:bCs w:val="0"/>
          <w:color w:val="auto"/>
          <w:sz w:val="32"/>
          <w:szCs w:val="32"/>
        </w:rPr>
        <w:t>筛查工作，认真落实首诊测血压制度，</w:t>
      </w:r>
      <w:r>
        <w:rPr>
          <w:rFonts w:ascii="方正仿宋简体" w:eastAsia="方正仿宋简体" w:cs="方正仿宋简体" w:hAnsi="方正仿宋简体" w:hint="eastAsia"/>
          <w:b w:val="0"/>
          <w:bCs w:val="0"/>
          <w:color w:val="auto"/>
          <w:sz w:val="32"/>
          <w:szCs w:val="32"/>
          <w:lang w:eastAsia="zh-CN"/>
        </w:rPr>
        <w:t>按照规范要求健康管理高血压患者</w:t>
      </w:r>
      <w:r>
        <w:rPr>
          <w:rFonts w:ascii="方正仿宋简体" w:eastAsia="方正仿宋简体" w:cs="方正仿宋简体" w:hAnsi="方正仿宋简体" w:hint="eastAsia"/>
          <w:b w:val="0"/>
          <w:bCs w:val="0"/>
          <w:color w:val="auto"/>
          <w:sz w:val="32"/>
          <w:szCs w:val="32"/>
          <w:lang w:val="en-US" w:eastAsia="zh-CN"/>
        </w:rPr>
        <w:t>28306</w:t>
      </w:r>
      <w:r>
        <w:rPr>
          <w:rFonts w:ascii="方正仿宋简体" w:eastAsia="方正仿宋简体" w:cs="方正仿宋简体" w:hAnsi="方正仿宋简体" w:hint="eastAsia"/>
          <w:b w:val="0"/>
          <w:bCs w:val="0"/>
          <w:color w:val="auto"/>
          <w:sz w:val="32"/>
          <w:szCs w:val="32"/>
          <w:lang w:eastAsia="zh-CN"/>
        </w:rPr>
        <w:t>人、</w:t>
      </w:r>
      <w:r>
        <w:rPr>
          <w:rFonts w:ascii="方正仿宋简体" w:eastAsia="方正仿宋简体" w:cs="方正仿宋简体" w:hAnsi="方正仿宋简体" w:hint="eastAsia"/>
          <w:b w:val="0"/>
          <w:bCs w:val="0"/>
          <w:color w:val="auto"/>
          <w:sz w:val="32"/>
          <w:szCs w:val="32"/>
        </w:rPr>
        <w:t>2型糖尿病患者</w:t>
      </w:r>
      <w:r>
        <w:rPr>
          <w:rFonts w:ascii="方正仿宋简体" w:eastAsia="方正仿宋简体" w:cs="方正仿宋简体" w:hAnsi="方正仿宋简体" w:hint="eastAsia"/>
          <w:b w:val="0"/>
          <w:bCs w:val="0"/>
          <w:color w:val="auto"/>
          <w:sz w:val="32"/>
          <w:szCs w:val="32"/>
          <w:lang w:val="en-US" w:eastAsia="zh-CN"/>
        </w:rPr>
        <w:t>9856</w:t>
      </w:r>
      <w:r>
        <w:rPr>
          <w:rFonts w:ascii="方正仿宋简体" w:eastAsia="方正仿宋简体" w:cs="方正仿宋简体" w:hAnsi="方正仿宋简体" w:hint="eastAsia"/>
          <w:b w:val="0"/>
          <w:bCs w:val="0"/>
          <w:color w:val="auto"/>
          <w:sz w:val="32"/>
          <w:szCs w:val="32"/>
          <w:lang w:eastAsia="zh-CN"/>
        </w:rPr>
        <w:t>人，</w:t>
      </w:r>
      <w:r>
        <w:rPr>
          <w:rFonts w:ascii="方正仿宋简体" w:eastAsia="方正仿宋简体" w:cs="方正仿宋简体" w:hAnsi="方正仿宋简体" w:hint="eastAsia"/>
          <w:b w:val="0"/>
          <w:bCs w:val="0"/>
          <w:color w:val="auto"/>
          <w:sz w:val="32"/>
          <w:szCs w:val="32"/>
        </w:rPr>
        <w:t>高血压和2型糖尿病患者规范管理率分别达</w:t>
      </w:r>
      <w:r>
        <w:rPr>
          <w:rFonts w:ascii="方正仿宋简体" w:eastAsia="方正仿宋简体" w:cs="方正仿宋简体" w:hAnsi="方正仿宋简体" w:hint="eastAsia"/>
          <w:b w:val="0"/>
          <w:bCs w:val="0"/>
          <w:color w:val="auto"/>
          <w:sz w:val="32"/>
          <w:szCs w:val="32"/>
          <w:lang w:val="en-US" w:eastAsia="zh-CN"/>
        </w:rPr>
        <w:t>92.42</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lang w:val="en-US" w:eastAsia="zh-CN"/>
        </w:rPr>
        <w:t>91.04</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八是</w:t>
      </w:r>
      <w:r>
        <w:rPr>
          <w:rFonts w:ascii="方正仿宋简体" w:eastAsia="方正仿宋简体" w:cs="方正仿宋简体" w:hAnsi="方正仿宋简体" w:hint="eastAsia"/>
          <w:b w:val="0"/>
          <w:bCs w:val="0"/>
          <w:color w:val="auto"/>
          <w:sz w:val="32"/>
          <w:szCs w:val="32"/>
        </w:rPr>
        <w:t>严重精神障碍患者管理方面。</w:t>
      </w:r>
      <w:r>
        <w:rPr>
          <w:rFonts w:ascii="方正仿宋简体" w:eastAsia="方正仿宋简体" w:cs="方正仿宋简体" w:hAnsi="方正仿宋简体" w:hint="eastAsia"/>
          <w:b w:val="0"/>
          <w:bCs w:val="0"/>
          <w:color w:val="auto"/>
          <w:sz w:val="32"/>
          <w:szCs w:val="32"/>
          <w:lang w:eastAsia="zh-CN"/>
        </w:rPr>
        <w:t>各乡镇（街道）、</w:t>
      </w:r>
      <w:r>
        <w:rPr>
          <w:rFonts w:ascii="方正仿宋简体" w:eastAsia="方正仿宋简体" w:cs="方正仿宋简体" w:hAnsi="方正仿宋简体" w:hint="eastAsia"/>
          <w:b w:val="0"/>
          <w:bCs w:val="0"/>
          <w:color w:val="auto"/>
          <w:sz w:val="32"/>
          <w:szCs w:val="32"/>
        </w:rPr>
        <w:t>村</w:t>
      </w:r>
      <w:r>
        <w:rPr>
          <w:rFonts w:ascii="方正仿宋简体" w:eastAsia="方正仿宋简体" w:cs="方正仿宋简体" w:hAnsi="方正仿宋简体" w:hint="eastAsia"/>
          <w:b w:val="0"/>
          <w:bCs w:val="0"/>
          <w:color w:val="auto"/>
          <w:sz w:val="32"/>
          <w:szCs w:val="32"/>
          <w:lang w:eastAsia="zh-CN"/>
        </w:rPr>
        <w:t>均</w:t>
      </w:r>
      <w:r>
        <w:rPr>
          <w:rFonts w:ascii="方正仿宋简体" w:eastAsia="方正仿宋简体" w:cs="方正仿宋简体" w:hAnsi="方正仿宋简体" w:hint="eastAsia"/>
          <w:b w:val="0"/>
          <w:bCs w:val="0"/>
          <w:color w:val="auto"/>
          <w:sz w:val="32"/>
          <w:szCs w:val="32"/>
        </w:rPr>
        <w:t>成立</w:t>
      </w:r>
      <w:r>
        <w:rPr>
          <w:rFonts w:ascii="方正仿宋简体" w:eastAsia="方正仿宋简体" w:cs="方正仿宋简体" w:hAnsi="方正仿宋简体" w:hint="eastAsia"/>
          <w:b w:val="0"/>
          <w:bCs w:val="0"/>
          <w:color w:val="auto"/>
          <w:sz w:val="32"/>
          <w:szCs w:val="32"/>
          <w:lang w:eastAsia="zh-CN"/>
        </w:rPr>
        <w:t>了</w:t>
      </w:r>
      <w:r>
        <w:rPr>
          <w:rFonts w:ascii="方正仿宋简体" w:eastAsia="方正仿宋简体" w:cs="方正仿宋简体" w:hAnsi="方正仿宋简体" w:hint="eastAsia"/>
          <w:b w:val="0"/>
          <w:bCs w:val="0"/>
          <w:color w:val="auto"/>
          <w:sz w:val="32"/>
          <w:szCs w:val="32"/>
        </w:rPr>
        <w:t>精神卫生工作综合管理小组和关爱帮扶小组，明确人员职责，</w:t>
      </w:r>
      <w:r>
        <w:rPr>
          <w:rFonts w:ascii="方正仿宋简体" w:eastAsia="方正仿宋简体" w:cs="方正仿宋简体" w:hAnsi="方正仿宋简体" w:hint="eastAsia"/>
          <w:b w:val="0"/>
          <w:bCs w:val="0"/>
          <w:color w:val="auto"/>
          <w:sz w:val="32"/>
          <w:szCs w:val="32"/>
          <w:lang w:eastAsia="zh-CN"/>
        </w:rPr>
        <w:t>定期</w:t>
      </w:r>
      <w:r>
        <w:rPr>
          <w:rFonts w:ascii="方正仿宋简体" w:eastAsia="方正仿宋简体" w:cs="方正仿宋简体" w:hAnsi="方正仿宋简体" w:hint="eastAsia"/>
          <w:b w:val="0"/>
          <w:bCs w:val="0"/>
          <w:color w:val="auto"/>
          <w:sz w:val="32"/>
          <w:szCs w:val="32"/>
        </w:rPr>
        <w:t>与派出所、综治、民政</w:t>
      </w:r>
      <w:r>
        <w:rPr>
          <w:rFonts w:ascii="方正仿宋简体" w:eastAsia="方正仿宋简体" w:cs="方正仿宋简体" w:hAnsi="方正仿宋简体" w:hint="eastAsia"/>
          <w:b w:val="0"/>
          <w:bCs w:val="0"/>
          <w:color w:val="auto"/>
          <w:sz w:val="32"/>
          <w:szCs w:val="32"/>
          <w:lang w:eastAsia="zh-CN"/>
        </w:rPr>
        <w:t>等</w:t>
      </w:r>
      <w:r>
        <w:rPr>
          <w:rFonts w:ascii="方正仿宋简体" w:eastAsia="方正仿宋简体" w:cs="方正仿宋简体" w:hAnsi="方正仿宋简体" w:hint="eastAsia"/>
          <w:b w:val="0"/>
          <w:bCs w:val="0"/>
          <w:color w:val="auto"/>
          <w:sz w:val="32"/>
          <w:szCs w:val="32"/>
        </w:rPr>
        <w:t>部门交换信息，</w:t>
      </w:r>
      <w:r>
        <w:rPr>
          <w:rFonts w:ascii="方正仿宋简体" w:eastAsia="方正仿宋简体" w:cs="方正仿宋简体" w:hAnsi="方正仿宋简体" w:hint="eastAsia"/>
          <w:b w:val="0"/>
          <w:bCs w:val="0"/>
          <w:color w:val="auto"/>
          <w:sz w:val="32"/>
          <w:szCs w:val="32"/>
          <w:lang w:eastAsia="zh-CN"/>
        </w:rPr>
        <w:t>规范管理严重精神障碍患者</w:t>
      </w:r>
      <w:r>
        <w:rPr>
          <w:rFonts w:ascii="方正仿宋简体" w:eastAsia="方正仿宋简体" w:cs="方正仿宋简体" w:hAnsi="方正仿宋简体" w:hint="eastAsia"/>
          <w:b w:val="0"/>
          <w:bCs w:val="0"/>
          <w:color w:val="auto"/>
          <w:sz w:val="32"/>
          <w:szCs w:val="32"/>
          <w:lang w:val="en-US" w:eastAsia="zh-CN"/>
        </w:rPr>
        <w:t>2551人，</w:t>
      </w:r>
      <w:r>
        <w:rPr>
          <w:rFonts w:ascii="方正仿宋简体" w:eastAsia="方正仿宋简体" w:cs="方正仿宋简体" w:hAnsi="方正仿宋简体" w:hint="eastAsia"/>
          <w:b w:val="0"/>
          <w:bCs w:val="0"/>
          <w:color w:val="auto"/>
          <w:sz w:val="32"/>
          <w:szCs w:val="32"/>
          <w:lang w:eastAsia="zh-CN"/>
        </w:rPr>
        <w:t>检出率达</w:t>
      </w:r>
      <w:r>
        <w:rPr>
          <w:rFonts w:ascii="方正仿宋简体" w:eastAsia="方正仿宋简体" w:cs="方正仿宋简体" w:hAnsi="方正仿宋简体" w:hint="eastAsia"/>
          <w:b w:val="0"/>
          <w:bCs w:val="0"/>
          <w:color w:val="auto"/>
          <w:sz w:val="32"/>
          <w:szCs w:val="32"/>
          <w:lang w:val="en-US" w:eastAsia="zh-CN"/>
        </w:rPr>
        <w:t>4.71‰</w:t>
      </w:r>
      <w:r>
        <w:rPr>
          <w:rFonts w:ascii="方正仿宋简体" w:eastAsia="方正仿宋简体" w:cs="方正仿宋简体" w:hAnsi="方正仿宋简体" w:hint="eastAsia"/>
          <w:b w:val="0"/>
          <w:bCs w:val="0"/>
          <w:color w:val="auto"/>
          <w:sz w:val="32"/>
          <w:szCs w:val="32"/>
          <w:lang w:eastAsia="zh-CN"/>
        </w:rPr>
        <w:t>，规范管理率达</w:t>
      </w:r>
      <w:r>
        <w:rPr>
          <w:rFonts w:ascii="方正仿宋简体" w:eastAsia="方正仿宋简体" w:cs="方正仿宋简体" w:hAnsi="方正仿宋简体" w:hint="eastAsia"/>
          <w:b w:val="0"/>
          <w:bCs w:val="0"/>
          <w:color w:val="auto"/>
          <w:sz w:val="32"/>
          <w:szCs w:val="32"/>
          <w:lang w:val="en-US" w:eastAsia="zh-CN"/>
        </w:rPr>
        <w:t>96.85</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九是</w:t>
      </w:r>
      <w:r>
        <w:rPr>
          <w:rFonts w:ascii="方正仿宋简体" w:eastAsia="方正仿宋简体" w:cs="方正仿宋简体" w:hAnsi="方正仿宋简体" w:hint="eastAsia"/>
          <w:b w:val="0"/>
          <w:bCs w:val="0"/>
          <w:color w:val="auto"/>
          <w:sz w:val="32"/>
          <w:szCs w:val="32"/>
        </w:rPr>
        <w:t>肺结核患者健康管理方面。加大肺结核病人筛查力度，</w:t>
      </w:r>
      <w:r>
        <w:rPr>
          <w:rFonts w:ascii="方正仿宋简体" w:eastAsia="方正仿宋简体" w:cs="方正仿宋简体" w:hAnsi="方正仿宋简体" w:hint="eastAsia"/>
          <w:b w:val="0"/>
          <w:bCs w:val="0"/>
          <w:color w:val="auto"/>
          <w:sz w:val="32"/>
          <w:szCs w:val="32"/>
          <w:lang w:eastAsia="zh-CN"/>
        </w:rPr>
        <w:t>对</w:t>
      </w:r>
      <w:r>
        <w:rPr>
          <w:rFonts w:ascii="方正仿宋简体" w:eastAsia="方正仿宋简体" w:cs="方正仿宋简体" w:hAnsi="方正仿宋简体" w:hint="eastAsia"/>
          <w:b w:val="0"/>
          <w:bCs w:val="0"/>
          <w:color w:val="auto"/>
          <w:sz w:val="32"/>
          <w:szCs w:val="32"/>
          <w:lang w:val="en-US" w:eastAsia="zh-CN"/>
        </w:rPr>
        <w:t>328</w:t>
      </w:r>
      <w:r>
        <w:rPr>
          <w:rFonts w:ascii="方正仿宋简体" w:eastAsia="方正仿宋简体" w:cs="方正仿宋简体" w:hAnsi="方正仿宋简体" w:hint="eastAsia"/>
          <w:b w:val="0"/>
          <w:bCs w:val="0"/>
          <w:color w:val="auto"/>
          <w:sz w:val="32"/>
          <w:szCs w:val="32"/>
        </w:rPr>
        <w:t>例</w:t>
      </w:r>
      <w:r>
        <w:rPr>
          <w:rFonts w:ascii="方正仿宋简体" w:eastAsia="方正仿宋简体" w:cs="方正仿宋简体" w:hAnsi="方正仿宋简体" w:hint="eastAsia"/>
          <w:b w:val="0"/>
          <w:bCs w:val="0"/>
          <w:color w:val="auto"/>
          <w:sz w:val="32"/>
          <w:szCs w:val="32"/>
          <w:lang w:eastAsia="zh-CN"/>
        </w:rPr>
        <w:t>肺</w:t>
      </w:r>
      <w:r>
        <w:rPr>
          <w:rFonts w:ascii="方正仿宋简体" w:eastAsia="方正仿宋简体" w:cs="方正仿宋简体" w:hAnsi="方正仿宋简体" w:hint="eastAsia"/>
          <w:b w:val="0"/>
          <w:bCs w:val="0"/>
          <w:color w:val="auto"/>
          <w:sz w:val="32"/>
          <w:szCs w:val="32"/>
        </w:rPr>
        <w:t>结核病患者</w:t>
      </w:r>
      <w:r>
        <w:rPr>
          <w:rFonts w:ascii="方正仿宋简体" w:eastAsia="方正仿宋简体" w:cs="方正仿宋简体" w:hAnsi="方正仿宋简体" w:hint="eastAsia"/>
          <w:b w:val="0"/>
          <w:bCs w:val="0"/>
          <w:color w:val="auto"/>
          <w:sz w:val="32"/>
          <w:szCs w:val="32"/>
          <w:lang w:eastAsia="zh-CN"/>
        </w:rPr>
        <w:t>全覆盖全疗程开展督导管理工作，肺结核患者管理率、规则服药率均</w:t>
      </w:r>
      <w:r>
        <w:rPr>
          <w:rFonts w:ascii="方正仿宋简体" w:eastAsia="方正仿宋简体" w:cs="方正仿宋简体" w:hAnsi="方正仿宋简体" w:hint="eastAsia"/>
          <w:b w:val="0"/>
          <w:bCs w:val="0"/>
          <w:color w:val="auto"/>
          <w:sz w:val="32"/>
          <w:szCs w:val="32"/>
        </w:rPr>
        <w:t>达</w:t>
      </w:r>
      <w:r>
        <w:rPr>
          <w:rFonts w:ascii="方正仿宋简体" w:eastAsia="方正仿宋简体" w:cs="方正仿宋简体" w:hAnsi="方正仿宋简体" w:hint="eastAsia"/>
          <w:b w:val="0"/>
          <w:bCs w:val="0"/>
          <w:color w:val="auto"/>
          <w:sz w:val="32"/>
          <w:szCs w:val="32"/>
          <w:lang w:val="en-US" w:eastAsia="zh-CN"/>
        </w:rPr>
        <w:t xml:space="preserve">100 </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十是</w:t>
      </w:r>
      <w:r>
        <w:rPr>
          <w:rFonts w:ascii="方正仿宋简体" w:eastAsia="方正仿宋简体" w:cs="方正仿宋简体" w:hAnsi="方正仿宋简体" w:hint="eastAsia"/>
          <w:b w:val="0"/>
          <w:bCs w:val="0"/>
          <w:color w:val="auto"/>
          <w:sz w:val="32"/>
          <w:szCs w:val="32"/>
        </w:rPr>
        <w:t>中医药健康管理方面。</w:t>
      </w:r>
      <w:r>
        <w:rPr>
          <w:rFonts w:ascii="方正仿宋简体" w:eastAsia="方正仿宋简体" w:cs="方正仿宋简体" w:hAnsi="方正仿宋简体" w:hint="eastAsia"/>
          <w:b w:val="0"/>
          <w:bCs w:val="0"/>
          <w:color w:val="auto"/>
          <w:sz w:val="32"/>
          <w:szCs w:val="32"/>
          <w:lang w:eastAsia="zh-CN"/>
        </w:rPr>
        <w:t>积极应用中医药方法，为</w:t>
      </w:r>
      <w:r>
        <w:rPr>
          <w:rFonts w:ascii="方正仿宋简体" w:eastAsia="方正仿宋简体" w:cs="方正仿宋简体" w:hAnsi="方正仿宋简体" w:hint="eastAsia"/>
          <w:b w:val="0"/>
          <w:bCs w:val="0"/>
          <w:color w:val="auto"/>
          <w:sz w:val="32"/>
          <w:szCs w:val="32"/>
          <w:lang w:val="en-US" w:eastAsia="zh-CN"/>
        </w:rPr>
        <w:t>41442名65岁及以上</w:t>
      </w:r>
      <w:r>
        <w:rPr>
          <w:rFonts w:ascii="方正仿宋简体" w:eastAsia="方正仿宋简体" w:cs="方正仿宋简体" w:hAnsi="方正仿宋简体" w:hint="eastAsia"/>
          <w:b w:val="0"/>
          <w:bCs w:val="0"/>
          <w:color w:val="auto"/>
          <w:sz w:val="32"/>
          <w:szCs w:val="32"/>
        </w:rPr>
        <w:t>老年人</w:t>
      </w:r>
      <w:r>
        <w:rPr>
          <w:rFonts w:ascii="方正仿宋简体" w:eastAsia="方正仿宋简体" w:cs="方正仿宋简体" w:hAnsi="方正仿宋简体" w:hint="eastAsia"/>
          <w:b w:val="0"/>
          <w:bCs w:val="0"/>
          <w:color w:val="auto"/>
          <w:sz w:val="32"/>
          <w:szCs w:val="32"/>
          <w:lang w:eastAsia="zh-CN"/>
        </w:rPr>
        <w:t>和</w:t>
      </w:r>
      <w:r>
        <w:rPr>
          <w:rFonts w:ascii="方正仿宋简体" w:eastAsia="方正仿宋简体" w:cs="方正仿宋简体" w:hAnsi="方正仿宋简体" w:hint="eastAsia"/>
          <w:b w:val="0"/>
          <w:bCs w:val="0"/>
          <w:color w:val="auto"/>
          <w:sz w:val="32"/>
          <w:szCs w:val="32"/>
          <w:lang w:val="en-US" w:eastAsia="zh-CN"/>
        </w:rPr>
        <w:t>17754名</w:t>
      </w:r>
      <w:r>
        <w:rPr>
          <w:rFonts w:ascii="方正仿宋简体" w:eastAsia="方正仿宋简体" w:cs="方正仿宋简体" w:hAnsi="方正仿宋简体" w:hint="eastAsia"/>
          <w:b w:val="0"/>
          <w:bCs w:val="0"/>
          <w:color w:val="auto"/>
          <w:sz w:val="32"/>
          <w:szCs w:val="32"/>
        </w:rPr>
        <w:t>0-3岁儿童</w:t>
      </w:r>
      <w:r>
        <w:rPr>
          <w:rFonts w:ascii="方正仿宋简体" w:eastAsia="方正仿宋简体" w:cs="方正仿宋简体" w:hAnsi="方正仿宋简体" w:hint="eastAsia"/>
          <w:b w:val="0"/>
          <w:bCs w:val="0"/>
          <w:color w:val="auto"/>
          <w:sz w:val="32"/>
          <w:szCs w:val="32"/>
          <w:lang w:eastAsia="zh-CN"/>
        </w:rPr>
        <w:t>家长进行中医药健康指导，老年人、</w:t>
      </w:r>
      <w:r>
        <w:rPr>
          <w:rFonts w:ascii="方正仿宋简体" w:eastAsia="方正仿宋简体" w:cs="方正仿宋简体" w:hAnsi="方正仿宋简体" w:hint="eastAsia"/>
          <w:b w:val="0"/>
          <w:bCs w:val="0"/>
          <w:color w:val="auto"/>
          <w:sz w:val="32"/>
          <w:szCs w:val="32"/>
          <w:lang w:val="en-US" w:eastAsia="zh-CN"/>
        </w:rPr>
        <w:t>0-36个月儿童</w:t>
      </w:r>
      <w:r>
        <w:rPr>
          <w:rFonts w:ascii="方正仿宋简体" w:eastAsia="方正仿宋简体" w:cs="方正仿宋简体" w:hAnsi="方正仿宋简体" w:hint="eastAsia"/>
          <w:b w:val="0"/>
          <w:bCs w:val="0"/>
          <w:color w:val="auto"/>
          <w:sz w:val="32"/>
          <w:szCs w:val="32"/>
        </w:rPr>
        <w:t>中医药健康管理率分别达</w:t>
      </w:r>
      <w:r>
        <w:rPr>
          <w:rFonts w:ascii="方正仿宋简体" w:eastAsia="方正仿宋简体" w:cs="方正仿宋简体" w:hAnsi="方正仿宋简体" w:hint="eastAsia"/>
          <w:b w:val="0"/>
          <w:bCs w:val="0"/>
          <w:color w:val="auto"/>
          <w:sz w:val="32"/>
          <w:szCs w:val="32"/>
          <w:lang w:val="en-US" w:eastAsia="zh-CN"/>
        </w:rPr>
        <w:t>58.28</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lang w:val="en-US" w:eastAsia="zh-CN"/>
        </w:rPr>
        <w:t>89.67</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snapToGrid w:val="0"/>
          <w:color w:val="auto"/>
          <w:kern w:val="0"/>
          <w:sz w:val="32"/>
          <w:szCs w:val="32"/>
          <w:lang w:eastAsia="zh-CN"/>
        </w:rPr>
        <w:t>十一是</w:t>
      </w:r>
      <w:r>
        <w:rPr>
          <w:rFonts w:ascii="方正仿宋简体" w:eastAsia="方正仿宋简体" w:cs="方正仿宋简体" w:hAnsi="方正仿宋简体" w:hint="eastAsia"/>
          <w:b w:val="0"/>
          <w:bCs w:val="0"/>
          <w:color w:val="auto"/>
          <w:sz w:val="32"/>
          <w:szCs w:val="32"/>
        </w:rPr>
        <w:t>传染病和突发公共卫生事件报告和处理方面。建立健全了传染病和突发公共卫生事件报告制度，全区传染病疫情报告率、及时率、</w:t>
      </w:r>
      <w:r>
        <w:rPr>
          <w:rFonts w:ascii="方正仿宋简体" w:eastAsia="方正仿宋简体" w:cs="方正仿宋简体" w:hAnsi="方正仿宋简体" w:hint="eastAsia"/>
          <w:b w:val="0"/>
          <w:bCs w:val="0"/>
          <w:color w:val="auto"/>
          <w:sz w:val="32"/>
          <w:szCs w:val="32"/>
          <w:lang w:eastAsia="zh-CN"/>
        </w:rPr>
        <w:t>突发公共卫生事件相关信息报告率均</w:t>
      </w:r>
      <w:r>
        <w:rPr>
          <w:rFonts w:ascii="方正仿宋简体" w:eastAsia="方正仿宋简体" w:cs="方正仿宋简体" w:hAnsi="方正仿宋简体" w:hint="eastAsia"/>
          <w:b w:val="0"/>
          <w:bCs w:val="0"/>
          <w:color w:val="auto"/>
          <w:sz w:val="32"/>
          <w:szCs w:val="32"/>
        </w:rPr>
        <w:t>达100%。</w:t>
      </w:r>
      <w:r>
        <w:rPr>
          <w:rFonts w:ascii="方正仿宋简体" w:eastAsia="方正仿宋简体" w:cs="方正仿宋简体" w:hAnsi="方正仿宋简体" w:hint="eastAsia"/>
          <w:b w:val="0"/>
          <w:bCs w:val="0"/>
          <w:color w:val="auto"/>
          <w:sz w:val="32"/>
          <w:szCs w:val="32"/>
          <w:lang w:eastAsia="zh-CN"/>
        </w:rPr>
        <w:t>十二是</w:t>
      </w:r>
      <w:r>
        <w:rPr>
          <w:rFonts w:ascii="方正仿宋简体" w:eastAsia="方正仿宋简体" w:cs="方正仿宋简体" w:hAnsi="方正仿宋简体" w:hint="eastAsia"/>
          <w:b w:val="0"/>
          <w:bCs w:val="0"/>
          <w:color w:val="auto"/>
          <w:sz w:val="32"/>
          <w:szCs w:val="32"/>
        </w:rPr>
        <w:t>卫生计生监督协管方面。</w:t>
      </w:r>
      <w:r>
        <w:rPr>
          <w:rFonts w:ascii="方正仿宋简体" w:eastAsia="方正仿宋简体" w:cs="方正仿宋简体" w:hAnsi="方正仿宋简体" w:hint="eastAsia"/>
          <w:b w:val="0"/>
          <w:bCs w:val="0"/>
          <w:color w:val="auto"/>
          <w:sz w:val="32"/>
          <w:szCs w:val="32"/>
          <w:lang w:eastAsia="zh-CN"/>
        </w:rPr>
        <w:t>落实有专、兼职工作人员，明确工作责任，本底情况清楚，巡查、信息收集和报告规范有序</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卫生计生监督协管信息报告率达</w:t>
      </w:r>
      <w:r>
        <w:rPr>
          <w:rFonts w:ascii="方正仿宋简体" w:eastAsia="方正仿宋简体" w:cs="方正仿宋简体" w:hAnsi="方正仿宋简体" w:hint="eastAsia"/>
          <w:b w:val="0"/>
          <w:bCs w:val="0"/>
          <w:color w:val="auto"/>
          <w:sz w:val="32"/>
          <w:szCs w:val="32"/>
          <w:lang w:val="en-US" w:eastAsia="zh-CN"/>
        </w:rPr>
        <w:t>100%，协助开展食源性疾病、饮用水卫生安全、学校卫生、非法行医和非法采供血、计划生育实地巡查2556次</w:t>
      </w:r>
      <w:r>
        <w:rPr>
          <w:rFonts w:ascii="方正仿宋简体" w:eastAsia="方正仿宋简体" w:cs="方正仿宋简体" w:hAnsi="方正仿宋简体" w:hint="eastAsia"/>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lang w:val="en-US" w:eastAsia="zh-CN"/>
        </w:rPr>
        <w:t>④</w:t>
      </w:r>
      <w:r>
        <w:rPr>
          <w:rFonts w:ascii="方正仿宋简体" w:eastAsia="方正仿宋简体" w:cs="方正仿宋简体" w:hAnsi="方正仿宋简体" w:hint="eastAsia"/>
          <w:b w:val="0"/>
          <w:bCs w:val="0"/>
          <w:color w:val="auto"/>
          <w:sz w:val="32"/>
          <w:szCs w:val="32"/>
          <w:lang w:eastAsia="zh-CN"/>
        </w:rPr>
        <w:t>进一步加强</w:t>
      </w:r>
      <w:r>
        <w:rPr>
          <w:rFonts w:ascii="方正仿宋简体" w:eastAsia="方正仿宋简体" w:cs="方正仿宋简体" w:hAnsi="方正仿宋简体" w:hint="eastAsia"/>
          <w:b w:val="0"/>
          <w:bCs w:val="0"/>
          <w:color w:val="auto"/>
          <w:sz w:val="32"/>
          <w:szCs w:val="32"/>
        </w:rPr>
        <w:t>信息化建设。基本公卫信息系统与医院信息系统</w:t>
      </w:r>
      <w:r>
        <w:rPr>
          <w:rFonts w:ascii="方正仿宋简体" w:eastAsia="方正仿宋简体" w:cs="方正仿宋简体" w:hAnsi="方正仿宋简体" w:hint="eastAsia"/>
          <w:b w:val="0"/>
          <w:bCs w:val="0"/>
          <w:color w:val="auto"/>
          <w:sz w:val="32"/>
          <w:szCs w:val="32"/>
          <w:lang w:eastAsia="zh-CN"/>
        </w:rPr>
        <w:t>全部</w:t>
      </w:r>
      <w:r>
        <w:rPr>
          <w:rFonts w:ascii="方正仿宋简体" w:eastAsia="方正仿宋简体" w:cs="方正仿宋简体" w:hAnsi="方正仿宋简体" w:hint="eastAsia"/>
          <w:b w:val="0"/>
          <w:bCs w:val="0"/>
          <w:color w:val="auto"/>
          <w:sz w:val="32"/>
          <w:szCs w:val="32"/>
        </w:rPr>
        <w:t>联通对接</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促进了居民健康档案与医疗卫生服务活动的有效衔接</w:t>
      </w:r>
      <w:r>
        <w:rPr>
          <w:rFonts w:ascii="方正仿宋简体" w:eastAsia="方正仿宋简体" w:cs="方正仿宋简体" w:hAnsi="方正仿宋简体" w:hint="eastAsia"/>
          <w:b w:val="0"/>
          <w:bCs w:val="0"/>
          <w:color w:val="auto"/>
          <w:sz w:val="32"/>
          <w:szCs w:val="32"/>
          <w:lang w:val="en-US" w:eastAsia="zh-CN"/>
        </w:rPr>
        <w:t>。</w:t>
      </w:r>
      <w:r>
        <w:rPr>
          <w:rFonts w:ascii="方正仿宋简体" w:eastAsia="方正仿宋简体" w:cs="方正仿宋简体" w:hAnsi="方正仿宋简体" w:hint="eastAsia"/>
          <w:b w:val="0"/>
          <w:bCs w:val="0"/>
          <w:color w:val="auto"/>
          <w:sz w:val="32"/>
          <w:szCs w:val="32"/>
          <w:lang w:eastAsia="zh-CN"/>
        </w:rPr>
        <w:t>基层医疗卫生机构积极</w:t>
      </w:r>
      <w:r>
        <w:rPr>
          <w:rFonts w:ascii="方正仿宋简体" w:eastAsia="方正仿宋简体" w:cs="方正仿宋简体" w:hAnsi="方正仿宋简体" w:hint="eastAsia"/>
          <w:b w:val="0"/>
          <w:bCs w:val="0"/>
          <w:color w:val="auto"/>
          <w:sz w:val="32"/>
          <w:szCs w:val="32"/>
        </w:rPr>
        <w:t>为群众利用电子健康档案创造条件</w:t>
      </w:r>
      <w:r>
        <w:rPr>
          <w:rFonts w:ascii="方正仿宋简体" w:eastAsia="方正仿宋简体" w:cs="方正仿宋简体" w:hAnsi="方正仿宋简体" w:hint="eastAsia"/>
          <w:b w:val="0"/>
          <w:bCs w:val="0"/>
          <w:color w:val="auto"/>
          <w:sz w:val="32"/>
          <w:szCs w:val="32"/>
          <w:lang w:eastAsia="zh-CN"/>
        </w:rPr>
        <w:t>，将</w:t>
      </w:r>
      <w:r>
        <w:rPr>
          <w:rFonts w:ascii="方正仿宋简体" w:eastAsia="方正仿宋简体" w:cs="方正仿宋简体" w:hAnsi="方正仿宋简体" w:hint="eastAsia"/>
          <w:b w:val="0"/>
          <w:bCs w:val="0"/>
          <w:color w:val="auto"/>
          <w:sz w:val="32"/>
          <w:szCs w:val="32"/>
        </w:rPr>
        <w:t>“健康广元”二维码</w:t>
      </w:r>
      <w:r>
        <w:rPr>
          <w:rFonts w:ascii="方正仿宋简体" w:eastAsia="方正仿宋简体" w:cs="方正仿宋简体" w:hAnsi="方正仿宋简体" w:hint="eastAsia"/>
          <w:b w:val="0"/>
          <w:bCs w:val="0"/>
          <w:color w:val="auto"/>
          <w:sz w:val="32"/>
          <w:szCs w:val="32"/>
          <w:lang w:eastAsia="zh-CN"/>
        </w:rPr>
        <w:t>张贴在醒目位置或印制成宣传图片，利用主题日活动、入户随访等多种形式，广泛向辖区居民宣传，指导居民下载</w:t>
      </w:r>
      <w:r>
        <w:rPr>
          <w:rFonts w:ascii="方正仿宋简体" w:eastAsia="方正仿宋简体" w:cs="方正仿宋简体" w:hAnsi="方正仿宋简体" w:hint="eastAsia"/>
          <w:b w:val="0"/>
          <w:bCs w:val="0"/>
          <w:color w:val="auto"/>
          <w:sz w:val="32"/>
          <w:szCs w:val="32"/>
        </w:rPr>
        <w:t>“健康广元”</w:t>
      </w:r>
      <w:r>
        <w:rPr>
          <w:rFonts w:ascii="方正仿宋简体" w:eastAsia="方正仿宋简体" w:cs="方正仿宋简体" w:hAnsi="方正仿宋简体" w:hint="eastAsia"/>
          <w:b w:val="0"/>
          <w:bCs w:val="0"/>
          <w:color w:val="auto"/>
          <w:sz w:val="32"/>
          <w:szCs w:val="32"/>
          <w:lang w:eastAsia="zh-CN"/>
        </w:rPr>
        <w:t>并进行注册，实现</w:t>
      </w:r>
      <w:r>
        <w:rPr>
          <w:rFonts w:ascii="方正仿宋简体" w:eastAsia="方正仿宋简体" w:cs="方正仿宋简体" w:hAnsi="方正仿宋简体" w:hint="eastAsia"/>
          <w:b w:val="0"/>
          <w:bCs w:val="0"/>
          <w:color w:val="auto"/>
          <w:sz w:val="32"/>
          <w:szCs w:val="32"/>
        </w:rPr>
        <w:t>建档居民</w:t>
      </w:r>
      <w:r>
        <w:rPr>
          <w:rFonts w:ascii="方正仿宋简体" w:eastAsia="方正仿宋简体" w:cs="方正仿宋简体" w:hAnsi="方正仿宋简体" w:hint="eastAsia"/>
          <w:b w:val="0"/>
          <w:bCs w:val="0"/>
          <w:color w:val="auto"/>
          <w:sz w:val="32"/>
          <w:szCs w:val="32"/>
          <w:lang w:eastAsia="zh-CN"/>
        </w:rPr>
        <w:t>可查阅到本人</w:t>
      </w:r>
      <w:r>
        <w:rPr>
          <w:rFonts w:ascii="方正仿宋简体" w:eastAsia="方正仿宋简体" w:cs="方正仿宋简体" w:hAnsi="方正仿宋简体" w:hint="eastAsia"/>
          <w:b w:val="0"/>
          <w:bCs w:val="0"/>
          <w:color w:val="auto"/>
          <w:sz w:val="32"/>
          <w:szCs w:val="32"/>
        </w:rPr>
        <w:t>电子健康档案中</w:t>
      </w:r>
      <w:r>
        <w:rPr>
          <w:rFonts w:ascii="方正仿宋简体" w:eastAsia="方正仿宋简体" w:cs="方正仿宋简体" w:hAnsi="方正仿宋简体" w:hint="eastAsia"/>
          <w:b w:val="0"/>
          <w:bCs w:val="0"/>
          <w:color w:val="auto"/>
          <w:sz w:val="32"/>
          <w:szCs w:val="32"/>
          <w:lang w:eastAsia="zh-CN"/>
        </w:rPr>
        <w:t>的相关内容</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val="en-US" w:eastAsia="zh-CN"/>
        </w:rPr>
        <w:t>100</w:t>
      </w:r>
      <w:r>
        <w:rPr>
          <w:rFonts w:ascii="方正仿宋简体" w:eastAsia="方正仿宋简体" w:cs="方正仿宋简体" w:hAnsi="方正仿宋简体" w:hint="eastAsia"/>
          <w:b w:val="0"/>
          <w:bCs w:val="0"/>
          <w:color w:val="auto"/>
          <w:sz w:val="32"/>
          <w:szCs w:val="32"/>
        </w:rPr>
        <w:t>%单位开放健康档案基本信息在线查询。</w:t>
      </w:r>
    </w:p>
    <w:p>
      <w:pPr>
        <w:keepNext w:val="0"/>
        <w:keepLines w:val="0"/>
        <w:pageBreakBefore w:val="0"/>
        <w:widowControl w:val="0"/>
        <w:kinsoku/>
        <w:wordWrap/>
        <w:overflowPunct/>
        <w:topLinePunct w:val="0"/>
        <w:autoSpaceDE/>
        <w:autoSpaceDN/>
        <w:bidi w:val="0"/>
        <w:adjustRightInd/>
        <w:snapToGrid w:val="0"/>
        <w:spacing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lang w:val="en-US" w:eastAsia="zh-CN"/>
        </w:rPr>
        <w:t>⑤</w:t>
      </w:r>
      <w:r>
        <w:rPr>
          <w:rFonts w:ascii="方正仿宋简体" w:eastAsia="方正仿宋简体" w:cs="方正仿宋简体" w:hAnsi="方正仿宋简体" w:hint="eastAsia"/>
          <w:b w:val="0"/>
          <w:bCs w:val="0"/>
          <w:color w:val="auto"/>
          <w:sz w:val="32"/>
          <w:szCs w:val="32"/>
          <w:lang w:eastAsia="zh-CN"/>
        </w:rPr>
        <w:t>不断提升</w:t>
      </w:r>
      <w:r>
        <w:rPr>
          <w:rFonts w:ascii="方正仿宋简体" w:eastAsia="方正仿宋简体" w:cs="方正仿宋简体" w:hAnsi="方正仿宋简体" w:hint="eastAsia"/>
          <w:b w:val="0"/>
          <w:bCs w:val="0"/>
          <w:color w:val="auto"/>
          <w:sz w:val="32"/>
          <w:szCs w:val="32"/>
        </w:rPr>
        <w:t>家庭医生</w:t>
      </w:r>
      <w:r>
        <w:rPr>
          <w:rFonts w:ascii="方正仿宋简体" w:eastAsia="方正仿宋简体" w:cs="方正仿宋简体" w:hAnsi="方正仿宋简体" w:hint="eastAsia"/>
          <w:b w:val="0"/>
          <w:bCs w:val="0"/>
          <w:color w:val="auto"/>
          <w:sz w:val="32"/>
          <w:szCs w:val="32"/>
          <w:lang w:eastAsia="zh-CN"/>
        </w:rPr>
        <w:t>履约</w:t>
      </w:r>
      <w:r>
        <w:rPr>
          <w:rFonts w:ascii="方正仿宋简体" w:eastAsia="方正仿宋简体" w:cs="方正仿宋简体" w:hAnsi="方正仿宋简体" w:hint="eastAsia"/>
          <w:b w:val="0"/>
          <w:bCs w:val="0"/>
          <w:color w:val="auto"/>
          <w:sz w:val="32"/>
          <w:szCs w:val="32"/>
        </w:rPr>
        <w:t>服务</w:t>
      </w:r>
      <w:r>
        <w:rPr>
          <w:rFonts w:ascii="方正仿宋简体" w:eastAsia="方正仿宋简体" w:cs="方正仿宋简体" w:hAnsi="方正仿宋简体" w:hint="eastAsia"/>
          <w:b w:val="0"/>
          <w:bCs w:val="0"/>
          <w:color w:val="auto"/>
          <w:sz w:val="32"/>
          <w:szCs w:val="32"/>
          <w:lang w:eastAsia="zh-CN"/>
        </w:rPr>
        <w:t>质量</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shd w:val="clear" w:color="auto" w:fill="FFFFFF"/>
        </w:rPr>
        <w:t>全面推行“1+1+1”家庭医生签约服务，</w:t>
      </w:r>
      <w:r>
        <w:rPr>
          <w:rFonts w:ascii="方正仿宋简体" w:eastAsia="方正仿宋简体" w:cs="方正仿宋简体" w:hAnsi="方正仿宋简体" w:hint="eastAsia"/>
          <w:b w:val="0"/>
          <w:bCs w:val="0"/>
          <w:color w:val="auto"/>
          <w:sz w:val="32"/>
          <w:szCs w:val="32"/>
        </w:rPr>
        <w:t>全区</w:t>
      </w:r>
      <w:r>
        <w:rPr>
          <w:rFonts w:ascii="方正仿宋简体" w:eastAsia="方正仿宋简体" w:cs="方正仿宋简体" w:hAnsi="方正仿宋简体" w:hint="eastAsia"/>
          <w:b w:val="0"/>
          <w:bCs w:val="0"/>
          <w:color w:val="auto"/>
          <w:sz w:val="32"/>
          <w:szCs w:val="32"/>
          <w:shd w:val="clear" w:color="auto" w:fill="FFFFFF"/>
        </w:rPr>
        <w:t>共</w:t>
      </w:r>
      <w:r>
        <w:rPr>
          <w:rFonts w:ascii="方正仿宋简体" w:eastAsia="方正仿宋简体" w:cs="方正仿宋简体" w:hAnsi="方正仿宋简体" w:hint="eastAsia"/>
          <w:b w:val="0"/>
          <w:bCs w:val="0"/>
          <w:color w:val="auto"/>
          <w:sz w:val="32"/>
          <w:szCs w:val="32"/>
        </w:rPr>
        <w:t>组建家庭医生服务团队</w:t>
      </w:r>
      <w:r>
        <w:rPr>
          <w:rFonts w:ascii="方正仿宋简体" w:eastAsia="方正仿宋简体" w:cs="方正仿宋简体" w:hAnsi="方正仿宋简体" w:hint="eastAsia"/>
          <w:b w:val="0"/>
          <w:bCs w:val="0"/>
          <w:color w:val="auto"/>
          <w:sz w:val="32"/>
          <w:szCs w:val="32"/>
          <w:lang w:val="en-US" w:eastAsia="zh-CN"/>
        </w:rPr>
        <w:t>134</w:t>
      </w:r>
      <w:r>
        <w:rPr>
          <w:rFonts w:ascii="方正仿宋简体" w:eastAsia="方正仿宋简体" w:cs="方正仿宋简体" w:hAnsi="方正仿宋简体" w:hint="eastAsia"/>
          <w:b w:val="0"/>
          <w:bCs w:val="0"/>
          <w:color w:val="auto"/>
          <w:sz w:val="32"/>
          <w:szCs w:val="32"/>
        </w:rPr>
        <w:t>个，</w:t>
      </w:r>
      <w:r>
        <w:rPr>
          <w:rFonts w:ascii="方正仿宋简体" w:eastAsia="方正仿宋简体" w:cs="方正仿宋简体" w:hAnsi="方正仿宋简体" w:hint="eastAsia"/>
          <w:b w:val="0"/>
          <w:bCs w:val="0"/>
          <w:color w:val="auto"/>
          <w:sz w:val="32"/>
          <w:szCs w:val="32"/>
          <w:lang w:eastAsia="zh-CN"/>
        </w:rPr>
        <w:t>家庭医生服务团队定期开展随访巡诊活动</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针对</w:t>
      </w:r>
      <w:r>
        <w:rPr>
          <w:rFonts w:ascii="方正仿宋简体" w:eastAsia="方正仿宋简体" w:cs="方正仿宋简体" w:hAnsi="方正仿宋简体" w:hint="eastAsia"/>
          <w:b w:val="0"/>
          <w:bCs w:val="0"/>
          <w:color w:val="auto"/>
          <w:sz w:val="32"/>
          <w:szCs w:val="32"/>
        </w:rPr>
        <w:t>居民的不同健康需求制定有偿签约包及个性化服务包，定时推送健康教育信息，为签约居民提供基本公共卫生服务、基本医疗服务和约定的健康管理服务等内容</w:t>
      </w:r>
      <w:r>
        <w:rPr>
          <w:rFonts w:ascii="方正仿宋简体" w:eastAsia="方正仿宋简体" w:cs="方正仿宋简体" w:hAnsi="方正仿宋简体" w:hint="eastAsia"/>
          <w:b w:val="0"/>
          <w:bCs w:val="0"/>
          <w:color w:val="auto"/>
          <w:sz w:val="32"/>
          <w:szCs w:val="32"/>
          <w:lang w:eastAsia="zh-CN"/>
        </w:rPr>
        <w:t>，在</w:t>
      </w:r>
      <w:r>
        <w:rPr>
          <w:rFonts w:ascii="方正仿宋简体" w:eastAsia="方正仿宋简体" w:cs="方正仿宋简体" w:hAnsi="方正仿宋简体" w:hint="eastAsia"/>
          <w:b w:val="0"/>
          <w:bCs w:val="0"/>
          <w:color w:val="auto"/>
          <w:sz w:val="32"/>
          <w:szCs w:val="32"/>
          <w:lang w:val="en-US" w:eastAsia="zh-CN"/>
        </w:rPr>
        <w:t>5月19日“世界家庭医生日”活动期间通过利州电视台卫生与健康栏目、</w:t>
      </w:r>
      <w:r>
        <w:rPr>
          <w:rFonts w:ascii="方正仿宋简体" w:eastAsia="方正仿宋简体" w:cs="方正仿宋简体" w:hAnsi="方正仿宋简体" w:hint="eastAsia"/>
          <w:b w:val="0"/>
          <w:bCs w:val="0"/>
          <w:color w:val="auto"/>
          <w:sz w:val="32"/>
          <w:szCs w:val="32"/>
          <w:lang w:eastAsia="zh-CN"/>
        </w:rPr>
        <w:t>利州卫生健康微信平台、微博、印制家庭医生签约服务宣传手册等</w:t>
      </w:r>
      <w:r>
        <w:rPr>
          <w:rFonts w:ascii="方正仿宋简体" w:eastAsia="方正仿宋简体" w:cs="方正仿宋简体" w:hAnsi="方正仿宋简体" w:hint="eastAsia"/>
          <w:b w:val="0"/>
          <w:bCs w:val="0"/>
          <w:color w:val="auto"/>
          <w:sz w:val="32"/>
          <w:szCs w:val="32"/>
        </w:rPr>
        <w:t>宣传材</w:t>
      </w:r>
      <w:r>
        <w:rPr>
          <w:rFonts w:ascii="方正仿宋简体" w:eastAsia="方正仿宋简体" w:cs="方正仿宋简体" w:hAnsi="方正仿宋简体" w:hint="eastAsia"/>
          <w:b w:val="0"/>
          <w:bCs w:val="0"/>
          <w:color w:val="auto"/>
          <w:sz w:val="32"/>
          <w:szCs w:val="32"/>
          <w:lang w:eastAsia="zh-CN"/>
        </w:rPr>
        <w:t>料，广泛宣传家庭医生签约服务，</w:t>
      </w:r>
      <w:r>
        <w:rPr>
          <w:rFonts w:ascii="方正仿宋简体" w:eastAsia="方正仿宋简体" w:cs="方正仿宋简体" w:hAnsi="方正仿宋简体" w:hint="eastAsia"/>
          <w:b w:val="0"/>
          <w:bCs w:val="0"/>
          <w:color w:val="auto"/>
          <w:sz w:val="32"/>
          <w:szCs w:val="32"/>
        </w:rPr>
        <w:t>大力提升</w:t>
      </w:r>
      <w:r>
        <w:rPr>
          <w:rFonts w:ascii="方正仿宋简体" w:eastAsia="方正仿宋简体" w:cs="方正仿宋简体" w:hAnsi="方正仿宋简体" w:hint="eastAsia"/>
          <w:b w:val="0"/>
          <w:bCs w:val="0"/>
          <w:color w:val="auto"/>
          <w:sz w:val="32"/>
          <w:szCs w:val="32"/>
          <w:lang w:val="en-US" w:eastAsia="zh-CN"/>
        </w:rPr>
        <w:t>家庭医生知晓度和满意率。常住人口签约360379人，常住人口签约率达64.45%；重点人群签约155779 人，重点人群签约率达76.20%；签约有偿包2072人</w:t>
      </w:r>
      <w:r>
        <w:rPr>
          <w:rFonts w:ascii="方正仿宋简体" w:eastAsia="方正仿宋简体" w:cs="方正仿宋简体" w:hAnsi="方正仿宋简体" w:hint="eastAsia"/>
          <w:b w:val="0"/>
          <w:bCs w:val="0"/>
          <w:color w:val="auto"/>
          <w:sz w:val="32"/>
          <w:szCs w:val="32"/>
          <w:lang w:val="zh-CN"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color w:val="000000"/>
          <w:kern w:val="2"/>
          <w:sz w:val="32"/>
          <w:szCs w:val="32"/>
          <w:lang w:val="en-US" w:eastAsia="zh-CN" w:bidi="ar-SA"/>
        </w:rPr>
      </w:pPr>
      <w:r>
        <w:rPr>
          <w:rFonts w:ascii="方正仿宋简体" w:eastAsia="方正仿宋简体" w:cs="方正仿宋简体" w:hAnsi="方正仿宋简体" w:hint="eastAsia"/>
          <w:b w:val="0"/>
          <w:bCs w:val="0"/>
          <w:color w:val="auto"/>
          <w:sz w:val="32"/>
          <w:szCs w:val="32"/>
          <w:lang w:val="en-US" w:eastAsia="zh-CN"/>
        </w:rPr>
        <w:t>⑥</w:t>
      </w:r>
      <w:r>
        <w:rPr>
          <w:rFonts w:ascii="方正仿宋简体" w:eastAsia="方正仿宋简体" w:cs="方正仿宋简体" w:hAnsi="方正仿宋简体" w:hint="eastAsia"/>
          <w:b w:val="0"/>
          <w:bCs w:val="0"/>
          <w:color w:val="auto"/>
          <w:sz w:val="32"/>
          <w:szCs w:val="32"/>
          <w:lang w:val="zh-CN" w:eastAsia="zh-CN"/>
        </w:rPr>
        <w:t>落实安全生产工作制度。牢固树立安全生产发展理念，</w:t>
      </w:r>
      <w:r>
        <w:rPr>
          <w:rFonts w:ascii="方正仿宋简体" w:eastAsia="方正仿宋简体" w:cs="方正仿宋简体" w:hAnsi="方正仿宋简体" w:hint="eastAsia"/>
          <w:color w:val="000000"/>
          <w:kern w:val="2"/>
          <w:sz w:val="32"/>
          <w:szCs w:val="32"/>
          <w:lang w:val="en-US" w:eastAsia="zh-CN" w:bidi="ar-SA"/>
        </w:rPr>
        <w:t>坚持把安全生产工作摆在突出位置，</w:t>
      </w:r>
      <w:r>
        <w:rPr>
          <w:rFonts w:ascii="方正仿宋简体" w:eastAsia="方正仿宋简体" w:cs="方正仿宋简体" w:hAnsi="方正仿宋简体" w:hint="eastAsia"/>
          <w:color w:val="000000"/>
          <w:sz w:val="32"/>
          <w:szCs w:val="32"/>
        </w:rPr>
        <w:t>严格落实安全生产</w:t>
      </w:r>
      <w:r>
        <w:rPr>
          <w:rFonts w:ascii="方正仿宋简体" w:eastAsia="方正仿宋简体" w:cs="方正仿宋简体" w:hAnsi="方正仿宋简体" w:hint="eastAsia"/>
          <w:color w:val="000000"/>
          <w:sz w:val="32"/>
          <w:szCs w:val="32"/>
          <w:lang w:eastAsia="zh-CN"/>
        </w:rPr>
        <w:t>责任制，及时</w:t>
      </w:r>
      <w:r>
        <w:rPr>
          <w:rFonts w:ascii="方正仿宋简体" w:eastAsia="方正仿宋简体" w:cs="方正仿宋简体" w:hAnsi="方正仿宋简体" w:hint="eastAsia"/>
          <w:color w:val="000000"/>
          <w:sz w:val="32"/>
          <w:szCs w:val="32"/>
        </w:rPr>
        <w:t>贯彻落实</w:t>
      </w:r>
      <w:r>
        <w:rPr>
          <w:rFonts w:ascii="方正仿宋简体" w:eastAsia="方正仿宋简体" w:cs="方正仿宋简体" w:hAnsi="方正仿宋简体" w:hint="eastAsia"/>
          <w:color w:val="000000"/>
          <w:sz w:val="32"/>
          <w:szCs w:val="32"/>
          <w:lang w:eastAsia="zh-CN"/>
        </w:rPr>
        <w:t>上级</w:t>
      </w:r>
      <w:r>
        <w:rPr>
          <w:rFonts w:ascii="方正仿宋简体" w:eastAsia="方正仿宋简体" w:cs="方正仿宋简体" w:hAnsi="方正仿宋简体" w:hint="eastAsia"/>
          <w:color w:val="000000"/>
          <w:sz w:val="32"/>
          <w:szCs w:val="32"/>
        </w:rPr>
        <w:t>安全生产工作会议精神</w:t>
      </w:r>
      <w:r>
        <w:rPr>
          <w:rFonts w:ascii="方正仿宋简体" w:eastAsia="方正仿宋简体" w:cs="方正仿宋简体" w:hAnsi="方正仿宋简体" w:hint="eastAsia"/>
          <w:color w:val="000000"/>
          <w:kern w:val="2"/>
          <w:sz w:val="32"/>
          <w:szCs w:val="32"/>
          <w:lang w:val="en-US" w:eastAsia="zh-CN" w:bidi="ar-SA"/>
        </w:rPr>
        <w:t>，坚持逢会必讲、逢事必讲，</w:t>
      </w:r>
      <w:r>
        <w:rPr>
          <w:rFonts w:ascii="方正仿宋简体" w:eastAsia="方正仿宋简体" w:cs="方正仿宋简体" w:hAnsi="方正仿宋简体" w:hint="eastAsia"/>
          <w:sz w:val="32"/>
          <w:szCs w:val="32"/>
          <w:lang w:eastAsia="zh-CN"/>
        </w:rPr>
        <w:t>定期开展安全生产教育，</w:t>
      </w:r>
      <w:r>
        <w:rPr>
          <w:rFonts w:ascii="方正仿宋简体" w:eastAsia="方正仿宋简体" w:cs="方正仿宋简体" w:hAnsi="方正仿宋简体" w:hint="eastAsia"/>
          <w:color w:val="000000"/>
          <w:kern w:val="2"/>
          <w:sz w:val="32"/>
          <w:szCs w:val="32"/>
          <w:lang w:val="en-US" w:eastAsia="zh-CN" w:bidi="ar-SA"/>
        </w:rPr>
        <w:t>每月开展</w:t>
      </w:r>
      <w:r>
        <w:rPr>
          <w:rFonts w:ascii="方正仿宋简体" w:eastAsia="方正仿宋简体" w:cs="方正仿宋简体" w:hAnsi="方正仿宋简体" w:hint="eastAsia"/>
          <w:sz w:val="32"/>
          <w:szCs w:val="32"/>
        </w:rPr>
        <w:t>安全</w:t>
      </w:r>
      <w:r>
        <w:rPr>
          <w:rFonts w:ascii="方正仿宋简体" w:eastAsia="方正仿宋简体" w:cs="方正仿宋简体" w:hAnsi="方正仿宋简体" w:hint="eastAsia"/>
          <w:sz w:val="32"/>
          <w:szCs w:val="32"/>
          <w:lang w:eastAsia="zh-CN"/>
        </w:rPr>
        <w:t>生产</w:t>
      </w:r>
      <w:r>
        <w:rPr>
          <w:rFonts w:ascii="方正仿宋简体" w:eastAsia="方正仿宋简体" w:cs="方正仿宋简体" w:hAnsi="方正仿宋简体" w:hint="eastAsia"/>
          <w:sz w:val="32"/>
          <w:szCs w:val="32"/>
        </w:rPr>
        <w:t>督导检查</w:t>
      </w:r>
      <w:r>
        <w:rPr>
          <w:rFonts w:ascii="方正仿宋简体" w:eastAsia="方正仿宋简体" w:cs="方正仿宋简体" w:hAnsi="方正仿宋简体" w:hint="eastAsia"/>
          <w:sz w:val="32"/>
          <w:szCs w:val="32"/>
          <w:lang w:eastAsia="zh-CN"/>
        </w:rPr>
        <w:t>，建立隐患排查台账，实行清单制</w:t>
      </w:r>
      <w:r>
        <w:rPr>
          <w:rFonts w:ascii="方正仿宋简体" w:eastAsia="方正仿宋简体" w:cs="方正仿宋简体" w:hAnsi="方正仿宋简体" w:hint="eastAsia"/>
          <w:sz w:val="32"/>
          <w:szCs w:val="32"/>
          <w:lang w:val="en-US" w:eastAsia="zh-CN"/>
        </w:rPr>
        <w:t>+责任制，</w:t>
      </w:r>
      <w:r>
        <w:rPr>
          <w:rFonts w:ascii="方正仿宋简体" w:eastAsia="方正仿宋简体" w:cs="方正仿宋简体" w:hAnsi="方正仿宋简体" w:hint="eastAsia"/>
          <w:sz w:val="32"/>
          <w:szCs w:val="32"/>
        </w:rPr>
        <w:t>在消防重点部位张贴消防安全警示标识</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color w:val="000000"/>
          <w:kern w:val="2"/>
          <w:sz w:val="32"/>
          <w:szCs w:val="32"/>
          <w:lang w:val="en-US" w:eastAsia="zh-CN" w:bidi="ar-SA"/>
        </w:rPr>
        <w:t>营造浓厚的安全生产氛围，坚决杜绝安全生产事故的发生。</w:t>
      </w:r>
    </w:p>
    <w:p>
      <w:pPr>
        <w:keepNext w:val="0"/>
        <w:keepLines w:val="0"/>
        <w:pageBreakBefore w:val="0"/>
        <w:widowControl w:val="0"/>
        <w:kinsoku/>
        <w:wordWrap/>
        <w:overflowPunct/>
        <w:topLinePunct w:val="0"/>
        <w:autoSpaceDE/>
        <w:autoSpaceDN/>
        <w:bidi w:val="0"/>
        <w:adjustRightInd/>
        <w:snapToGrid w:val="0"/>
        <w:spacing w:afterAutospacing="0" w:line="576" w:lineRule="exact"/>
        <w:ind w:left="0" w:right="0" w:firstLineChars="200" w:firstLine="640"/>
        <w:jc w:val="both"/>
        <w:textAlignment w:val="auto"/>
        <w:rPr>
          <w:rFonts w:ascii="方正仿宋简体" w:eastAsia="方正仿宋简体" w:cs="方正仿宋简体" w:hAnsi="方正仿宋简体" w:hint="eastAsia"/>
          <w:bCs/>
          <w:color w:val="000000"/>
          <w:sz w:val="32"/>
          <w:szCs w:val="32"/>
        </w:rPr>
      </w:pPr>
      <w:r>
        <w:rPr>
          <w:rFonts w:ascii="方正仿宋简体" w:eastAsia="方正仿宋简体" w:cs="方正仿宋简体" w:hAnsi="方正仿宋简体" w:hint="eastAsia"/>
          <w:b w:val="0"/>
          <w:bCs w:val="0"/>
          <w:color w:val="auto"/>
          <w:sz w:val="32"/>
          <w:szCs w:val="32"/>
          <w:lang w:val="en-US" w:eastAsia="zh-CN"/>
        </w:rPr>
        <w:t>⑦加强党的建设和党风廉政建设。</w:t>
      </w:r>
      <w:r>
        <w:rPr>
          <w:rFonts w:ascii="方正仿宋简体" w:eastAsia="方正仿宋简体" w:cs="方正仿宋简体" w:hAnsi="方正仿宋简体" w:hint="eastAsia"/>
          <w:kern w:val="0"/>
          <w:sz w:val="32"/>
          <w:szCs w:val="32"/>
          <w:lang w:val="zh-CN" w:eastAsia="zh-CN"/>
        </w:rPr>
        <w:t>中心现</w:t>
      </w:r>
      <w:r>
        <w:rPr>
          <w:rFonts w:ascii="方正仿宋简体" w:eastAsia="方正仿宋简体" w:cs="方正仿宋简体" w:hAnsi="方正仿宋简体" w:hint="eastAsia"/>
          <w:kern w:val="0"/>
          <w:sz w:val="32"/>
          <w:szCs w:val="32"/>
          <w:lang w:val="zh-CN"/>
        </w:rPr>
        <w:t>有</w:t>
      </w:r>
      <w:r>
        <w:rPr>
          <w:rFonts w:ascii="方正仿宋简体" w:eastAsia="方正仿宋简体" w:cs="方正仿宋简体" w:hAnsi="方正仿宋简体" w:hint="eastAsia"/>
          <w:kern w:val="0"/>
          <w:sz w:val="32"/>
          <w:szCs w:val="32"/>
          <w:lang w:val="en-US" w:eastAsia="zh-CN"/>
        </w:rPr>
        <w:t>4</w:t>
      </w:r>
      <w:r>
        <w:rPr>
          <w:rFonts w:ascii="方正仿宋简体" w:eastAsia="方正仿宋简体" w:cs="方正仿宋简体" w:hAnsi="方正仿宋简体" w:hint="eastAsia"/>
          <w:kern w:val="0"/>
          <w:sz w:val="32"/>
          <w:szCs w:val="32"/>
          <w:lang w:val="zh-CN"/>
        </w:rPr>
        <w:t>名党员，党组织关系挂靠在区卫健局机关支部（其中</w:t>
      </w:r>
      <w:r>
        <w:rPr>
          <w:rFonts w:ascii="方正仿宋简体" w:eastAsia="方正仿宋简体" w:cs="方正仿宋简体" w:hAnsi="方正仿宋简体" w:hint="eastAsia"/>
          <w:kern w:val="0"/>
          <w:sz w:val="32"/>
          <w:szCs w:val="32"/>
          <w:lang w:val="en-US" w:eastAsia="zh-CN"/>
        </w:rPr>
        <w:t>1名党员</w:t>
      </w:r>
      <w:r>
        <w:rPr>
          <w:rFonts w:ascii="方正仿宋简体" w:eastAsia="方正仿宋简体" w:cs="方正仿宋简体" w:hAnsi="方正仿宋简体" w:hint="eastAsia"/>
          <w:kern w:val="0"/>
          <w:sz w:val="32"/>
          <w:szCs w:val="32"/>
          <w:lang w:val="zh-CN"/>
        </w:rPr>
        <w:t>党组织关系挂靠在三堆镇白岩村党支部）。组织中心党员积极参加党组织活动，深入学习习近平新时代中国特色社会主义思想，扎实开展“双报到”“志愿者服务”“不忘初心、牢记使命”主题教育</w:t>
      </w:r>
      <w:r>
        <w:rPr>
          <w:rFonts w:ascii="方正仿宋简体" w:eastAsia="方正仿宋简体" w:cs="方正仿宋简体" w:hAnsi="方正仿宋简体" w:hint="eastAsia"/>
          <w:kern w:val="0"/>
          <w:sz w:val="32"/>
          <w:szCs w:val="32"/>
          <w:lang w:val="en-US" w:eastAsia="zh-CN"/>
        </w:rPr>
        <w:t>，充分发挥党员的先锋模范作用。认真落实党风廉政建设责任制，深入学习贯彻《中国共产党廉洁自律准则》《中国共产党纪律处分条例》等，</w:t>
      </w:r>
      <w:r>
        <w:rPr>
          <w:rFonts w:ascii="方正仿宋简体" w:eastAsia="方正仿宋简体" w:cs="方正仿宋简体" w:hAnsi="方正仿宋简体" w:hint="eastAsia"/>
          <w:kern w:val="0"/>
          <w:sz w:val="32"/>
          <w:szCs w:val="32"/>
        </w:rPr>
        <w:t>党员干部到</w:t>
      </w:r>
      <w:r>
        <w:rPr>
          <w:rFonts w:ascii="方正仿宋简体" w:eastAsia="方正仿宋简体" w:cs="方正仿宋简体" w:hAnsi="方正仿宋简体" w:hint="eastAsia"/>
          <w:kern w:val="0"/>
          <w:sz w:val="32"/>
          <w:szCs w:val="32"/>
          <w:lang w:eastAsia="zh-CN"/>
        </w:rPr>
        <w:t>红星公园</w:t>
      </w:r>
      <w:r>
        <w:rPr>
          <w:rFonts w:ascii="方正仿宋简体" w:eastAsia="方正仿宋简体" w:cs="方正仿宋简体" w:hAnsi="方正仿宋简体" w:hint="eastAsia"/>
          <w:kern w:val="0"/>
          <w:sz w:val="32"/>
          <w:szCs w:val="32"/>
        </w:rPr>
        <w:t>参观学习，观看警示教育片，及时通过QQ、微信推送典型案例和廉政信息</w:t>
      </w:r>
      <w:r>
        <w:rPr>
          <w:rFonts w:ascii="方正仿宋简体" w:eastAsia="方正仿宋简体" w:cs="方正仿宋简体" w:hAnsi="方正仿宋简体" w:hint="eastAsia"/>
          <w:kern w:val="0"/>
          <w:sz w:val="32"/>
          <w:szCs w:val="32"/>
          <w:lang w:eastAsia="zh-CN"/>
        </w:rPr>
        <w:t>，学习</w:t>
      </w:r>
      <w:r>
        <w:rPr>
          <w:rFonts w:ascii="方正仿宋简体" w:eastAsia="方正仿宋简体" w:cs="方正仿宋简体" w:hAnsi="方正仿宋简体" w:hint="eastAsia"/>
          <w:kern w:val="0"/>
          <w:sz w:val="32"/>
          <w:szCs w:val="32"/>
        </w:rPr>
        <w:t>违规违纪典型案例，</w:t>
      </w:r>
      <w:r>
        <w:rPr>
          <w:rFonts w:ascii="方正仿宋简体" w:eastAsia="方正仿宋简体" w:cs="方正仿宋简体" w:hAnsi="方正仿宋简体" w:hint="eastAsia"/>
          <w:b w:val="0"/>
          <w:bCs w:val="0"/>
          <w:color w:val="000000"/>
          <w:kern w:val="0"/>
          <w:sz w:val="32"/>
          <w:szCs w:val="32"/>
          <w:lang w:val="en-US" w:eastAsia="zh-CN"/>
        </w:rPr>
        <w:t>持续开展“作风纪律深化年”活动，</w:t>
      </w:r>
      <w:r>
        <w:rPr>
          <w:rFonts w:ascii="方正仿宋简体" w:eastAsia="方正仿宋简体" w:cs="方正仿宋简体" w:hAnsi="方正仿宋简体" w:hint="eastAsia"/>
          <w:kern w:val="0"/>
          <w:sz w:val="32"/>
          <w:szCs w:val="32"/>
        </w:rPr>
        <w:t>切实增强干部职工的宗旨意识、廉洁意识和法纪意识</w:t>
      </w:r>
      <w:r>
        <w:rPr>
          <w:rFonts w:ascii="方正仿宋简体" w:eastAsia="方正仿宋简体" w:cs="方正仿宋简体" w:hAnsi="方正仿宋简体" w:hint="eastAsia"/>
          <w:kern w:val="0"/>
          <w:sz w:val="32"/>
          <w:szCs w:val="32"/>
          <w:lang w:eastAsia="zh-CN"/>
        </w:rPr>
        <w:t>，</w:t>
      </w:r>
      <w:r>
        <w:rPr>
          <w:rFonts w:ascii="方正仿宋简体" w:eastAsia="方正仿宋简体" w:cs="方正仿宋简体" w:hAnsi="方正仿宋简体" w:hint="eastAsia"/>
          <w:b w:val="0"/>
          <w:bCs w:val="0"/>
          <w:color w:val="000000"/>
          <w:kern w:val="0"/>
          <w:sz w:val="32"/>
          <w:szCs w:val="32"/>
          <w:lang w:val="en-US" w:eastAsia="zh-CN"/>
        </w:rPr>
        <w:t>不断改进工作作风、提升工作质效。</w:t>
      </w:r>
    </w:p>
    <w:p>
      <w:pPr>
        <w:pStyle w:val="2"/>
        <w:keepNext/>
        <w:keepLines/>
        <w:pageBreakBefore w:val="0"/>
        <w:widowControl w:val="0"/>
        <w:kinsoku/>
        <w:wordWrap/>
        <w:overflowPunct/>
        <w:topLinePunct w:val="0"/>
        <w:autoSpaceDE/>
        <w:autoSpaceDN/>
        <w:bidi w:val="0"/>
        <w:snapToGrid w:val="0"/>
        <w:spacing w:before="0" w:after="0" w:line="576" w:lineRule="exact"/>
        <w:ind w:left="0" w:right="0" w:firstLineChars="200" w:firstLine="640"/>
        <w:jc w:val="both"/>
        <w:textAlignment w:val="auto"/>
        <w:rPr>
          <w:rStyle w:val="2Char"/>
          <w:rFonts w:ascii="方正黑体简体" w:eastAsia="方正黑体简体" w:cs="方正黑体简体" w:hAnsi="方正黑体简体" w:hint="eastAsia"/>
          <w:b w:val="0"/>
          <w:bCs w:val="0"/>
        </w:rPr>
      </w:pPr>
      <w:bookmarkStart w:id="19" w:name="_Toc15396601"/>
      <w:bookmarkStart w:id="20" w:name="_Toc15377200"/>
      <w:r>
        <w:rPr>
          <w:rFonts w:ascii="方正黑体简体" w:eastAsia="方正黑体简体" w:cs="方正黑体简体" w:hAnsi="方正黑体简体" w:hint="eastAsia"/>
          <w:b w:val="0"/>
          <w:color w:val="000000"/>
        </w:rPr>
        <w:t>二、机</w:t>
      </w:r>
      <w:r>
        <w:rPr>
          <w:rStyle w:val="2Char"/>
          <w:rFonts w:ascii="方正黑体简体" w:eastAsia="方正黑体简体" w:cs="方正黑体简体" w:hAnsi="方正黑体简体" w:hint="eastAsia"/>
          <w:b w:val="0"/>
          <w:bCs w:val="0"/>
        </w:rPr>
        <w:t>构设置</w:t>
      </w:r>
      <w:bookmarkEnd w:id="19"/>
      <w:bookmarkEnd w:id="20"/>
    </w:p>
    <w:p>
      <w:pPr>
        <w:pageBreakBefore w:val="0"/>
        <w:widowControl w:val="0"/>
        <w:kinsoku/>
        <w:wordWrap/>
        <w:overflowPunct/>
        <w:topLinePunct w:val="0"/>
        <w:autoSpaceDE/>
        <w:autoSpaceDN/>
        <w:bidi w:val="0"/>
        <w:adjustRightInd/>
        <w:snapToGrid w:val="0"/>
        <w:spacing w:line="576" w:lineRule="exact"/>
        <w:ind w:left="0" w:right="0" w:firstLineChars="200" w:firstLine="640"/>
        <w:jc w:val="both"/>
        <w:textAlignment w:val="auto"/>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sz w:val="32"/>
          <w:szCs w:val="32"/>
          <w:lang w:eastAsia="zh-CN"/>
        </w:rPr>
        <w:t>本单位属卫健局下的二级预算单位，在编</w:t>
      </w:r>
      <w:r>
        <w:rPr>
          <w:rFonts w:ascii="方正仿宋简体" w:eastAsia="方正仿宋简体" w:cs="方正仿宋简体" w:hAnsi="方正仿宋简体" w:hint="eastAsia"/>
          <w:sz w:val="32"/>
          <w:szCs w:val="32"/>
          <w:lang w:val="en-US" w:eastAsia="zh-CN"/>
        </w:rPr>
        <w:t>14人，</w:t>
      </w:r>
      <w:r>
        <w:rPr>
          <w:rFonts w:ascii="方正仿宋简体" w:eastAsia="方正仿宋简体" w:cs="方正仿宋简体" w:hAnsi="方正仿宋简体" w:hint="eastAsia"/>
          <w:sz w:val="32"/>
          <w:szCs w:val="32"/>
          <w:lang w:eastAsia="zh-CN"/>
        </w:rPr>
        <w:t>内设股室</w:t>
      </w:r>
      <w:r>
        <w:rPr>
          <w:rFonts w:ascii="方正仿宋简体" w:eastAsia="方正仿宋简体" w:cs="方正仿宋简体" w:hAnsi="方正仿宋简体" w:hint="eastAsia"/>
          <w:sz w:val="32"/>
          <w:szCs w:val="32"/>
          <w:lang w:val="en-US" w:eastAsia="zh-CN"/>
        </w:rPr>
        <w:t>4个。</w:t>
      </w:r>
      <w:r>
        <w:rPr>
          <w:rFonts w:ascii="方正仿宋简体" w:eastAsia="方正仿宋简体" w:cs="方正仿宋简体" w:hAnsi="方正仿宋简体" w:hint="eastAsia"/>
          <w:color w:val="000000"/>
          <w:sz w:val="32"/>
          <w:szCs w:val="32"/>
        </w:rPr>
        <w:br w:type="page"/>
      </w:r>
    </w:p>
    <w:p>
      <w:pPr>
        <w:pStyle w:val="1"/>
        <w:keepNext/>
        <w:keepLines/>
        <w:pageBreakBefore w:val="0"/>
        <w:widowControl w:val="0"/>
        <w:numPr>
          <w:ilvl w:val="0"/>
          <w:numId w:val="1"/>
        </w:numPr>
        <w:kinsoku/>
        <w:wordWrap/>
        <w:overflowPunct/>
        <w:topLinePunct w:val="0"/>
        <w:autoSpaceDE/>
        <w:autoSpaceDN/>
        <w:bidi w:val="0"/>
        <w:spacing w:before="0" w:after="0" w:line="576" w:lineRule="exact"/>
        <w:ind w:left="0" w:right="0"/>
        <w:jc w:val="center"/>
        <w:textAlignment w:val="auto"/>
        <w:rPr>
          <w:rStyle w:val="1Char"/>
          <w:rFonts w:ascii="方正小标宋简体" w:eastAsia="方正小标宋简体" w:cs="方正小标宋简体" w:hAnsi="方正小标宋简体" w:hint="eastAsia"/>
          <w:b w:val="0"/>
          <w:bCs w:val="0"/>
        </w:rPr>
      </w:pPr>
      <w:bookmarkStart w:id="21" w:name="_Toc15396602"/>
      <w:bookmarkStart w:id="22" w:name="_Toc15377204"/>
      <w:r>
        <w:rPr>
          <w:rStyle w:val="1Char"/>
          <w:rFonts w:ascii="方正小标宋简体" w:eastAsia="方正小标宋简体" w:cs="方正小标宋简体" w:hAnsi="方正小标宋简体" w:hint="eastAsia"/>
          <w:b w:val="0"/>
          <w:bCs w:val="0"/>
        </w:rPr>
        <w:t>2020年度部门决算情况说明</w:t>
      </w:r>
      <w:bookmarkStart w:id="23" w:name="_Toc15377205"/>
      <w:bookmarkStart w:id="24" w:name="_Toc15396603"/>
      <w:bookmarkEnd w:id="21"/>
      <w:bookmarkEnd w:id="22"/>
    </w:p>
    <w:p>
      <w:pPr>
        <w:pStyle w:val="1"/>
        <w:keepNext/>
        <w:keepLines/>
        <w:pageBreakBefore w:val="0"/>
        <w:widowControl w:val="0"/>
        <w:kinsoku/>
        <w:wordWrap/>
        <w:overflowPunct/>
        <w:topLinePunct w:val="0"/>
        <w:autoSpaceDE/>
        <w:autoSpaceDN/>
        <w:bidi w:val="0"/>
        <w:spacing w:before="0" w:after="0" w:line="576" w:lineRule="exact"/>
        <w:ind w:left="0" w:right="0" w:firstLineChars="200" w:firstLine="640"/>
        <w:jc w:val="both"/>
        <w:textAlignment w:val="auto"/>
        <w:rPr>
          <w:rFonts w:ascii="黑体" w:eastAsia="黑体" w:hAnsi="黑体" w:hint="eastAsia"/>
          <w:color w:val="000000"/>
          <w:sz w:val="32"/>
          <w:szCs w:val="32"/>
        </w:rPr>
      </w:pPr>
    </w:p>
    <w:p>
      <w:pPr>
        <w:pStyle w:val="1"/>
        <w:keepNext/>
        <w:keepLines/>
        <w:pageBreakBefore w:val="0"/>
        <w:widowControl w:val="0"/>
        <w:kinsoku/>
        <w:wordWrap/>
        <w:overflowPunct/>
        <w:topLinePunct w:val="0"/>
        <w:autoSpaceDE/>
        <w:autoSpaceDN/>
        <w:bidi w:val="0"/>
        <w:spacing w:before="0" w:after="0" w:line="576" w:lineRule="exact"/>
        <w:ind w:left="0" w:right="0" w:firstLineChars="200" w:firstLine="640"/>
        <w:jc w:val="both"/>
        <w:textAlignment w:val="auto"/>
        <w:rPr>
          <w:rStyle w:val="2Char"/>
          <w:rFonts w:ascii="方正黑体简体" w:eastAsia="方正黑体简体" w:cs="方正黑体简体" w:hAnsi="方正黑体简体" w:hint="eastAsia"/>
          <w:b w:val="0"/>
          <w:bCs w:val="0"/>
        </w:rPr>
      </w:pPr>
      <w:r>
        <w:rPr>
          <w:rFonts w:ascii="方正黑体简体" w:eastAsia="方正黑体简体" w:cs="方正黑体简体" w:hAnsi="方正黑体简体" w:hint="eastAsia"/>
          <w:b w:val="0"/>
          <w:bCs w:val="0"/>
          <w:color w:val="000000"/>
          <w:sz w:val="32"/>
          <w:szCs w:val="32"/>
          <w:lang w:eastAsia="zh-CN"/>
        </w:rPr>
        <w:t>一、</w:t>
      </w:r>
      <w:r>
        <w:rPr>
          <w:rFonts w:ascii="方正黑体简体" w:eastAsia="方正黑体简体" w:cs="方正黑体简体" w:hAnsi="方正黑体简体" w:hint="eastAsia"/>
          <w:b w:val="0"/>
          <w:bCs w:val="0"/>
          <w:color w:val="000000"/>
          <w:sz w:val="32"/>
          <w:szCs w:val="32"/>
        </w:rPr>
        <w:t>收</w:t>
      </w:r>
      <w:r>
        <w:rPr>
          <w:rStyle w:val="2Char"/>
          <w:rFonts w:ascii="方正黑体简体" w:eastAsia="方正黑体简体" w:cs="方正黑体简体" w:hAnsi="方正黑体简体" w:hint="eastAsia"/>
          <w:b w:val="0"/>
          <w:bCs w:val="0"/>
        </w:rPr>
        <w:t>入支出决算总体情况说明</w:t>
      </w:r>
      <w:bookmarkEnd w:id="23"/>
      <w:bookmarkEnd w:id="24"/>
    </w:p>
    <w:p>
      <w:pPr>
        <w:pageBreakBefore w:val="0"/>
        <w:widowControl w:val="0"/>
        <w:kinsoku/>
        <w:wordWrap/>
        <w:overflowPunct/>
        <w:topLinePunct w:val="0"/>
        <w:autoSpaceDE/>
        <w:autoSpaceDN/>
        <w:bidi w:val="0"/>
        <w:spacing w:line="576" w:lineRule="exact"/>
        <w:ind w:left="0" w:right="0" w:firstLineChars="200" w:firstLine="640"/>
        <w:textAlignment w:val="auto"/>
        <w:rPr>
          <w:rFonts w:ascii="方正仿宋简体" w:eastAsia="方正仿宋简体" w:cs="方正仿宋简体" w:hAnsi="方正仿宋简体" w:hint="eastAsia"/>
          <w:b/>
          <w:bCs/>
          <w:color w:val="000000"/>
          <w:sz w:val="32"/>
          <w:szCs w:val="32"/>
          <w:lang w:val="en-US" w:eastAsia="zh-CN"/>
        </w:rPr>
      </w:pPr>
      <w:r>
        <w:rPr>
          <w:rFonts w:ascii="方正仿宋简体" w:eastAsia="方正仿宋简体" w:cs="方正仿宋简体" w:hAnsi="方正仿宋简体" w:hint="eastAsia"/>
          <w:color w:val="000000"/>
          <w:sz w:val="32"/>
          <w:szCs w:val="32"/>
        </w:rPr>
        <w:t>2020年度收</w:t>
      </w:r>
      <w:r>
        <w:rPr>
          <w:rFonts w:ascii="方正仿宋简体" w:eastAsia="方正仿宋简体" w:cs="方正仿宋简体" w:hAnsi="方正仿宋简体" w:hint="eastAsia"/>
          <w:color w:val="000000"/>
          <w:sz w:val="32"/>
          <w:szCs w:val="32"/>
          <w:lang w:eastAsia="zh-CN"/>
        </w:rPr>
        <w:t>入</w:t>
      </w:r>
      <w:r>
        <w:rPr>
          <w:rFonts w:ascii="方正仿宋简体" w:eastAsia="方正仿宋简体" w:cs="方正仿宋简体" w:hAnsi="方正仿宋简体" w:hint="eastAsia"/>
          <w:color w:val="000000"/>
          <w:sz w:val="32"/>
          <w:szCs w:val="32"/>
          <w:lang w:val="en-US" w:eastAsia="zh-CN"/>
        </w:rPr>
        <w:t>273.68万元</w:t>
      </w:r>
      <w:r>
        <w:rPr>
          <w:rFonts w:ascii="方正仿宋简体" w:eastAsia="方正仿宋简体" w:cs="方正仿宋简体" w:hAnsi="方正仿宋简体" w:hint="eastAsia"/>
          <w:color w:val="000000"/>
          <w:sz w:val="32"/>
          <w:szCs w:val="32"/>
        </w:rPr>
        <w:t>、支</w:t>
      </w:r>
      <w:r>
        <w:rPr>
          <w:rFonts w:ascii="方正仿宋简体" w:eastAsia="方正仿宋简体" w:cs="方正仿宋简体" w:hAnsi="方正仿宋简体" w:hint="eastAsia"/>
          <w:color w:val="000000"/>
          <w:sz w:val="32"/>
          <w:szCs w:val="32"/>
          <w:lang w:eastAsia="zh-CN"/>
        </w:rPr>
        <w:t>出</w:t>
      </w:r>
      <w:r>
        <w:rPr>
          <w:rFonts w:ascii="方正仿宋简体" w:eastAsia="方正仿宋简体" w:cs="方正仿宋简体" w:hAnsi="方正仿宋简体" w:hint="eastAsia"/>
          <w:color w:val="000000"/>
          <w:sz w:val="32"/>
          <w:szCs w:val="32"/>
          <w:lang w:val="en-US" w:eastAsia="zh-CN"/>
        </w:rPr>
        <w:t>277.34</w:t>
      </w:r>
      <w:r>
        <w:rPr>
          <w:rFonts w:ascii="方正仿宋简体" w:eastAsia="方正仿宋简体" w:cs="方正仿宋简体" w:hAnsi="方正仿宋简体" w:hint="eastAsia"/>
          <w:color w:val="000000"/>
          <w:sz w:val="32"/>
          <w:szCs w:val="32"/>
        </w:rPr>
        <w:t>万元。与2019年相比，收</w:t>
      </w:r>
      <w:r>
        <w:rPr>
          <w:rFonts w:ascii="方正仿宋简体" w:eastAsia="方正仿宋简体" w:cs="方正仿宋简体" w:hAnsi="方正仿宋简体" w:hint="eastAsia"/>
          <w:color w:val="000000"/>
          <w:sz w:val="32"/>
          <w:szCs w:val="32"/>
          <w:lang w:eastAsia="zh-CN"/>
        </w:rPr>
        <w:t>入</w:t>
      </w:r>
      <w:r>
        <w:rPr>
          <w:rFonts w:ascii="方正仿宋简体" w:eastAsia="方正仿宋简体" w:cs="方正仿宋简体" w:hAnsi="方正仿宋简体" w:hint="eastAsia"/>
          <w:color w:val="000000"/>
          <w:sz w:val="32"/>
          <w:szCs w:val="32"/>
        </w:rPr>
        <w:t>减少</w:t>
      </w:r>
      <w:r>
        <w:rPr>
          <w:rFonts w:ascii="方正仿宋简体" w:eastAsia="方正仿宋简体" w:cs="方正仿宋简体" w:hAnsi="方正仿宋简体" w:hint="eastAsia"/>
          <w:color w:val="000000"/>
          <w:sz w:val="32"/>
          <w:szCs w:val="32"/>
          <w:lang w:val="en-US" w:eastAsia="zh-CN"/>
        </w:rPr>
        <w:t>8.12万</w:t>
      </w:r>
      <w:r>
        <w:rPr>
          <w:rFonts w:ascii="方正仿宋简体" w:eastAsia="方正仿宋简体" w:cs="方正仿宋简体" w:hAnsi="方正仿宋简体" w:hint="eastAsia"/>
          <w:color w:val="000000"/>
          <w:sz w:val="32"/>
          <w:szCs w:val="32"/>
        </w:rPr>
        <w:t>下降</w:t>
      </w:r>
      <w:r>
        <w:rPr>
          <w:rFonts w:ascii="方正仿宋简体" w:eastAsia="方正仿宋简体" w:cs="方正仿宋简体" w:hAnsi="方正仿宋简体" w:hint="eastAsia"/>
          <w:color w:val="000000"/>
          <w:sz w:val="32"/>
          <w:szCs w:val="32"/>
          <w:lang w:val="en-US" w:eastAsia="zh-CN"/>
        </w:rPr>
        <w:t>2.9</w:t>
      </w:r>
      <w:r>
        <w:rPr>
          <w:rFonts w:ascii="方正仿宋简体" w:eastAsia="方正仿宋简体" w:cs="方正仿宋简体" w:hAnsi="方正仿宋简体" w:hint="eastAsia"/>
          <w:color w:val="000000"/>
          <w:sz w:val="32"/>
          <w:szCs w:val="32"/>
        </w:rPr>
        <w:t>%</w:t>
      </w:r>
      <w:r>
        <w:rPr>
          <w:rFonts w:ascii="方正仿宋简体" w:eastAsia="方正仿宋简体" w:cs="方正仿宋简体" w:hAnsi="方正仿宋简体" w:hint="eastAsia"/>
          <w:color w:val="000000"/>
          <w:sz w:val="32"/>
          <w:szCs w:val="32"/>
          <w:lang w:val="en-US" w:eastAsia="zh-CN"/>
        </w:rPr>
        <w:t>、</w:t>
      </w:r>
      <w:r>
        <w:rPr>
          <w:rFonts w:ascii="方正仿宋简体" w:eastAsia="方正仿宋简体" w:cs="方正仿宋简体" w:hAnsi="方正仿宋简体" w:hint="eastAsia"/>
          <w:color w:val="000000"/>
          <w:sz w:val="32"/>
          <w:szCs w:val="32"/>
        </w:rPr>
        <w:t>支</w:t>
      </w:r>
      <w:r>
        <w:rPr>
          <w:rFonts w:ascii="方正仿宋简体" w:eastAsia="方正仿宋简体" w:cs="方正仿宋简体" w:hAnsi="方正仿宋简体" w:hint="eastAsia"/>
          <w:color w:val="000000"/>
          <w:sz w:val="32"/>
          <w:szCs w:val="32"/>
          <w:lang w:eastAsia="zh-CN"/>
        </w:rPr>
        <w:t>出减少</w:t>
      </w:r>
      <w:r>
        <w:rPr>
          <w:rFonts w:ascii="方正仿宋简体" w:eastAsia="方正仿宋简体" w:cs="方正仿宋简体" w:hAnsi="方正仿宋简体" w:hint="eastAsia"/>
          <w:color w:val="000000"/>
          <w:sz w:val="32"/>
          <w:szCs w:val="32"/>
          <w:lang w:val="en-US" w:eastAsia="zh-CN"/>
        </w:rPr>
        <w:t>4.81</w:t>
      </w:r>
      <w:r>
        <w:rPr>
          <w:rFonts w:ascii="方正仿宋简体" w:eastAsia="方正仿宋简体" w:cs="方正仿宋简体" w:hAnsi="方正仿宋简体" w:hint="eastAsia"/>
          <w:color w:val="000000"/>
          <w:sz w:val="32"/>
          <w:szCs w:val="32"/>
        </w:rPr>
        <w:t>万元下降</w:t>
      </w:r>
      <w:r>
        <w:rPr>
          <w:rFonts w:ascii="方正仿宋简体" w:eastAsia="方正仿宋简体" w:cs="方正仿宋简体" w:hAnsi="方正仿宋简体" w:hint="eastAsia"/>
          <w:color w:val="000000"/>
          <w:sz w:val="32"/>
          <w:szCs w:val="32"/>
          <w:lang w:val="en-US" w:eastAsia="zh-CN"/>
        </w:rPr>
        <w:t>1.7</w:t>
      </w:r>
      <w:r>
        <w:rPr>
          <w:rFonts w:ascii="方正仿宋简体" w:eastAsia="方正仿宋简体" w:cs="方正仿宋简体" w:hAnsi="方正仿宋简体" w:hint="eastAsia"/>
          <w:color w:val="000000"/>
          <w:sz w:val="32"/>
          <w:szCs w:val="32"/>
        </w:rPr>
        <w:t>%。主要变动原因是</w:t>
      </w:r>
      <w:r>
        <w:rPr>
          <w:rFonts w:ascii="方正仿宋简体" w:eastAsia="方正仿宋简体" w:cs="方正仿宋简体" w:hAnsi="方正仿宋简体" w:hint="eastAsia"/>
          <w:color w:val="000000"/>
          <w:sz w:val="32"/>
          <w:szCs w:val="32"/>
          <w:lang w:val="en-US" w:eastAsia="zh-CN"/>
        </w:rPr>
        <w:t>2020年减少了能力建设项目资金。</w:t>
      </w:r>
    </w:p>
    <w:p>
      <w:pPr>
        <w:pStyle w:val="16"/>
        <w:ind w:leftChars="0" w:left="0" w:firstLineChars="0" w:firstLine="0"/>
        <w:jc w:val="center"/>
        <w:rPr>
          <w:rFonts w:ascii="仿宋_GB2312" w:eastAsia="仿宋_GB2312"/>
          <w:b/>
          <w:bCs/>
          <w:color w:val="000000"/>
          <w:sz w:val="32"/>
          <w:szCs w:val="32"/>
          <w:lang w:val="en-US" w:eastAsia="zh-CN"/>
        </w:rPr>
      </w:pPr>
      <w:r>
        <w:rPr>
          <w:rFonts w:ascii="仿宋_GB2312" w:eastAsia="仿宋_GB2312"/>
          <w:b/>
          <w:bCs/>
          <w:color w:val="000000"/>
          <w:sz w:val="32"/>
          <w:szCs w:val="32"/>
          <w:lang w:val="en-US" w:eastAsia="zh-CN"/>
        </w:rPr>
        <w:drawing>
          <wp:inline distT="0" distB="0" distL="114300" distR="114300">
            <wp:extent cx="5079999" cy="3810000"/>
            <wp:effectExtent l="0" t="0" r="0" b="0"/>
            <wp:docPr id="7" name="图表 1"/>
            <wp:cNvGraphicFramePr>
              <a:graphicFrameLocks noChangeAspect="0"/>
            </wp:cNvGraphicFramePr>
            <a:graphic>
              <a:graphicData uri="http://schemas.openxmlformats.org/drawingml/2006/chart">
                <c:chart xmlns:c="http://schemas.openxmlformats.org/drawingml/2006/chart" r:id="rId5"/>
              </a:graphicData>
            </a:graphic>
          </wp:inline>
        </w:drawing>
      </w:r>
    </w:p>
    <w:p>
      <w:pPr>
        <w:spacing w:line="600" w:lineRule="exact"/>
        <w:jc w:val="center"/>
        <w:rPr>
          <w:rFonts w:ascii="方正楷体简体" w:eastAsia="方正楷体简体" w:cs="方正楷体简体" w:hAnsi="方正楷体简体" w:hint="eastAsia"/>
          <w:b/>
          <w:bCs/>
          <w:color w:val="000000"/>
          <w:sz w:val="28"/>
          <w:szCs w:val="28"/>
          <w:lang w:val="en-US" w:eastAsia="zh-CN"/>
        </w:rPr>
      </w:pPr>
      <w:r>
        <w:rPr>
          <w:rFonts w:ascii="方正楷体简体" w:eastAsia="方正楷体简体" w:cs="方正楷体简体" w:hAnsi="方正楷体简体" w:hint="eastAsia"/>
          <w:color w:val="000000"/>
          <w:sz w:val="28"/>
          <w:szCs w:val="28"/>
        </w:rPr>
        <w:t>（图1：收、支决算总计变动情况图）（柱状图）</w:t>
      </w:r>
    </w:p>
    <w:p>
      <w:pPr>
        <w:pStyle w:val="1"/>
        <w:keepNext/>
        <w:keepLines/>
        <w:pageBreakBefore w:val="0"/>
        <w:widowControl w:val="0"/>
        <w:kinsoku/>
        <w:wordWrap/>
        <w:overflowPunct/>
        <w:topLinePunct w:val="0"/>
        <w:autoSpaceDE/>
        <w:autoSpaceDN/>
        <w:bidi w:val="0"/>
        <w:spacing w:before="0" w:after="0"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sz w:val="32"/>
          <w:szCs w:val="32"/>
          <w:lang w:eastAsia="zh-CN"/>
        </w:rPr>
      </w:pPr>
      <w:bookmarkStart w:id="25" w:name="_Toc15396604"/>
      <w:bookmarkStart w:id="26" w:name="_Toc15377206"/>
    </w:p>
    <w:p>
      <w:pPr>
        <w:pStyle w:val="1"/>
        <w:keepNext/>
        <w:keepLines/>
        <w:pageBreakBefore w:val="0"/>
        <w:widowControl w:val="0"/>
        <w:kinsoku/>
        <w:wordWrap/>
        <w:overflowPunct/>
        <w:topLinePunct w:val="0"/>
        <w:autoSpaceDE/>
        <w:autoSpaceDN/>
        <w:bidi w:val="0"/>
        <w:spacing w:before="0" w:after="0"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sz w:val="32"/>
          <w:szCs w:val="32"/>
          <w:lang w:eastAsia="zh-CN"/>
        </w:rPr>
      </w:pPr>
      <w:r>
        <w:rPr>
          <w:rFonts w:ascii="方正黑体简体" w:eastAsia="方正黑体简体" w:cs="方正黑体简体" w:hAnsi="方正黑体简体" w:hint="eastAsia"/>
          <w:b w:val="0"/>
          <w:bCs w:val="0"/>
          <w:color w:val="000000"/>
          <w:sz w:val="32"/>
          <w:szCs w:val="32"/>
          <w:lang w:eastAsia="zh-CN"/>
        </w:rPr>
        <w:t>二、收入决算情况说明</w:t>
      </w:r>
      <w:bookmarkEnd w:id="25"/>
      <w:bookmarkEnd w:id="26"/>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2020年本年收入合计</w:t>
      </w:r>
      <w:r>
        <w:rPr>
          <w:rFonts w:ascii="方正仿宋简体" w:eastAsia="方正仿宋简体" w:cs="方正仿宋简体" w:hAnsi="方正仿宋简体" w:hint="eastAsia"/>
          <w:sz w:val="32"/>
          <w:szCs w:val="32"/>
          <w:lang w:val="en-US" w:eastAsia="zh-CN"/>
        </w:rPr>
        <w:t>273.68</w:t>
      </w:r>
      <w:r>
        <w:rPr>
          <w:rFonts w:ascii="方正仿宋简体" w:eastAsia="方正仿宋简体" w:cs="方正仿宋简体" w:hAnsi="方正仿宋简体" w:hint="eastAsia"/>
          <w:sz w:val="32"/>
          <w:szCs w:val="32"/>
          <w:lang w:eastAsia="zh-CN"/>
        </w:rPr>
        <w:t>万元，其中：一般公共预算财政拨款收入</w:t>
      </w:r>
      <w:r>
        <w:rPr>
          <w:rFonts w:ascii="方正仿宋简体" w:eastAsia="方正仿宋简体" w:cs="方正仿宋简体" w:hAnsi="方正仿宋简体" w:hint="eastAsia"/>
          <w:sz w:val="32"/>
          <w:szCs w:val="32"/>
          <w:lang w:val="en-US" w:eastAsia="zh-CN"/>
        </w:rPr>
        <w:t>273.60</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99.97</w:t>
      </w:r>
      <w:r>
        <w:rPr>
          <w:rFonts w:ascii="方正仿宋简体" w:eastAsia="方正仿宋简体" w:cs="方正仿宋简体" w:hAnsi="方正仿宋简体" w:hint="eastAsia"/>
          <w:sz w:val="32"/>
          <w:szCs w:val="32"/>
          <w:lang w:eastAsia="zh-CN"/>
        </w:rPr>
        <w:t>%；政府性基金预算财政拨款收入</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%；上级补助收入</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%；事业收入</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%；经营收入</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%；附属单位上缴收入</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%；其他收入</w:t>
      </w:r>
      <w:r>
        <w:rPr>
          <w:rFonts w:ascii="方正仿宋简体" w:eastAsia="方正仿宋简体" w:cs="方正仿宋简体" w:hAnsi="方正仿宋简体" w:hint="eastAsia"/>
          <w:sz w:val="32"/>
          <w:szCs w:val="32"/>
          <w:lang w:val="en-US" w:eastAsia="zh-CN"/>
        </w:rPr>
        <w:t>0.08</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0.03</w:t>
      </w:r>
      <w:r>
        <w:rPr>
          <w:rFonts w:ascii="方正仿宋简体" w:eastAsia="方正仿宋简体" w:cs="方正仿宋简体" w:hAnsi="方正仿宋简体"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楷体简体" w:eastAsia="方正楷体简体" w:cs="方正楷体简体" w:hAnsi="方正楷体简体" w:hint="eastAsia"/>
          <w:color w:val="000000"/>
          <w:sz w:val="28"/>
          <w:szCs w:val="28"/>
        </w:rPr>
      </w:pPr>
      <w:r>
        <w:rPr>
          <w:rFonts w:ascii="方正仿宋简体" w:eastAsia="方正仿宋简体" w:cs="方正仿宋简体" w:hAnsi="方正仿宋简体" w:hint="eastAsia"/>
          <w:sz w:val="32"/>
          <w:szCs w:val="32"/>
          <w:lang w:eastAsia="zh-CN"/>
        </w:rPr>
        <w:tab/>
      </w:r>
      <w:r>
        <w:rPr>
          <w:rFonts w:ascii="方正楷体简体" w:eastAsia="方正楷体简体" w:cs="方正楷体简体" w:hAnsi="方正楷体简体" w:hint="eastAsia"/>
          <w:color w:val="000000"/>
          <w:sz w:val="28"/>
          <w:szCs w:val="28"/>
          <w:lang w:eastAsia="zh-CN"/>
        </w:rPr>
        <w:drawing>
          <wp:anchor distT="0" distB="0" distL="114935" distR="114935" simplePos="0" relativeHeight="31" behindDoc="0" locked="0" layoutInCell="1" hidden="0" allowOverlap="1">
            <wp:simplePos x="0" y="0"/>
            <wp:positionH relativeFrom="column">
              <wp:posOffset>-184150</wp:posOffset>
            </wp:positionH>
            <wp:positionV relativeFrom="paragraph">
              <wp:posOffset>101600</wp:posOffset>
            </wp:positionV>
            <wp:extent cx="5079999" cy="3810000"/>
            <wp:effectExtent l="0" t="0" r="0" b="0"/>
            <wp:wrapTopAndBottom/>
            <wp:docPr id="8" name="图表 2"/>
            <wp:cNvGraphicFramePr>
              <a:graphicFrameLocks noChangeAspect="0"/>
            </wp:cNvGraphicFramePr>
            <a:graphic>
              <a:graphicData uri="http://schemas.openxmlformats.org/drawingml/2006/chart">
                <c:chart xmlns:c="http://schemas.openxmlformats.org/drawingml/2006/chart" r:id="rId6"/>
              </a:graphicData>
            </a:graphic>
          </wp:anchor>
        </w:drawing>
      </w:r>
      <w:r>
        <w:rPr>
          <w:rFonts w:ascii="方正楷体简体" w:eastAsia="方正楷体简体" w:cs="方正楷体简体" w:hAnsi="方正楷体简体" w:hint="eastAsia"/>
          <w:color w:val="000000"/>
          <w:sz w:val="28"/>
          <w:szCs w:val="28"/>
        </w:rPr>
        <w:t>（图2：收入决算结构图）（饼状图）</w:t>
      </w:r>
    </w:p>
    <w:p>
      <w:pPr>
        <w:pStyle w:val="1"/>
        <w:keepNext/>
        <w:keepLines/>
        <w:pageBreakBefore w:val="0"/>
        <w:widowControl w:val="0"/>
        <w:kinsoku/>
        <w:wordWrap/>
        <w:overflowPunct/>
        <w:topLinePunct w:val="0"/>
        <w:autoSpaceDE/>
        <w:autoSpaceDN/>
        <w:bidi w:val="0"/>
        <w:spacing w:before="0" w:after="0"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sz w:val="32"/>
          <w:szCs w:val="32"/>
          <w:lang w:eastAsia="zh-CN"/>
        </w:rPr>
      </w:pPr>
      <w:bookmarkStart w:id="27" w:name="_Toc15396605"/>
      <w:bookmarkStart w:id="28" w:name="_Toc15377207"/>
    </w:p>
    <w:p>
      <w:pPr>
        <w:pStyle w:val="1"/>
        <w:keepNext/>
        <w:keepLines/>
        <w:pageBreakBefore w:val="0"/>
        <w:widowControl w:val="0"/>
        <w:kinsoku/>
        <w:wordWrap/>
        <w:overflowPunct/>
        <w:topLinePunct w:val="0"/>
        <w:autoSpaceDE/>
        <w:autoSpaceDN/>
        <w:bidi w:val="0"/>
        <w:spacing w:before="0" w:after="0"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sz w:val="32"/>
          <w:szCs w:val="32"/>
          <w:lang w:eastAsia="zh-CN"/>
        </w:rPr>
      </w:pPr>
      <w:r>
        <w:rPr>
          <w:rFonts w:ascii="方正黑体简体" w:eastAsia="方正黑体简体" w:cs="方正黑体简体" w:hAnsi="方正黑体简体" w:hint="eastAsia"/>
          <w:b w:val="0"/>
          <w:bCs w:val="0"/>
          <w:color w:val="000000"/>
          <w:sz w:val="32"/>
          <w:szCs w:val="32"/>
          <w:lang w:eastAsia="zh-CN"/>
        </w:rPr>
        <w:t>三、支出决算情况说明</w:t>
      </w:r>
      <w:bookmarkEnd w:id="27"/>
      <w:bookmarkEnd w:id="28"/>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2020年本年支出合计</w:t>
      </w:r>
      <w:r>
        <w:rPr>
          <w:rFonts w:ascii="方正仿宋简体" w:eastAsia="方正仿宋简体" w:cs="方正仿宋简体" w:hAnsi="方正仿宋简体" w:hint="eastAsia"/>
          <w:sz w:val="32"/>
          <w:szCs w:val="32"/>
          <w:lang w:val="en-US" w:eastAsia="zh-CN"/>
        </w:rPr>
        <w:t>277.34</w:t>
      </w:r>
      <w:r>
        <w:rPr>
          <w:rFonts w:ascii="方正仿宋简体" w:eastAsia="方正仿宋简体" w:cs="方正仿宋简体" w:hAnsi="方正仿宋简体" w:hint="eastAsia"/>
          <w:sz w:val="32"/>
          <w:szCs w:val="32"/>
          <w:lang w:eastAsia="zh-CN"/>
        </w:rPr>
        <w:t>万元，其中：基本支出</w:t>
      </w:r>
      <w:r>
        <w:rPr>
          <w:rFonts w:ascii="方正仿宋简体" w:eastAsia="方正仿宋简体" w:cs="方正仿宋简体" w:hAnsi="方正仿宋简体" w:hint="eastAsia"/>
          <w:sz w:val="32"/>
          <w:szCs w:val="32"/>
          <w:lang w:val="en-US" w:eastAsia="zh-CN"/>
        </w:rPr>
        <w:t>202.34</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73</w:t>
      </w:r>
      <w:r>
        <w:rPr>
          <w:rFonts w:ascii="方正仿宋简体" w:eastAsia="方正仿宋简体" w:cs="方正仿宋简体" w:hAnsi="方正仿宋简体" w:hint="eastAsia"/>
          <w:sz w:val="32"/>
          <w:szCs w:val="32"/>
          <w:lang w:eastAsia="zh-CN"/>
        </w:rPr>
        <w:t>%；项目支出</w:t>
      </w:r>
      <w:r>
        <w:rPr>
          <w:rFonts w:ascii="方正仿宋简体" w:eastAsia="方正仿宋简体" w:cs="方正仿宋简体" w:hAnsi="方正仿宋简体" w:hint="eastAsia"/>
          <w:sz w:val="32"/>
          <w:szCs w:val="32"/>
          <w:lang w:val="en-US" w:eastAsia="zh-CN"/>
        </w:rPr>
        <w:t>75</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27</w:t>
      </w:r>
      <w:r>
        <w:rPr>
          <w:rFonts w:ascii="方正仿宋简体" w:eastAsia="方正仿宋简体" w:cs="方正仿宋简体" w:hAnsi="方正仿宋简体" w:hint="eastAsia"/>
          <w:sz w:val="32"/>
          <w:szCs w:val="32"/>
          <w:lang w:eastAsia="zh-CN"/>
        </w:rPr>
        <w:t>%；上缴上级支出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%；经营支出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%；对附属单位补助支出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w:t>
      </w:r>
    </w:p>
    <w:p>
      <w:pPr>
        <w:pStyle w:val="16"/>
        <w:rPr>
          <w:rFonts w:ascii="仿宋" w:eastAsia="仿宋" w:hAnsi="仿宋" w:hint="eastAsia"/>
          <w:color w:val="000000"/>
          <w:sz w:val="32"/>
          <w:szCs w:val="32"/>
        </w:rPr>
      </w:pPr>
    </w:p>
    <w:p>
      <w:pPr>
        <w:pStyle w:val="16"/>
        <w:ind w:leftChars="0" w:left="0" w:firstLineChars="0" w:firstLine="0"/>
        <w:rPr>
          <w:rFonts w:ascii="仿宋" w:eastAsia="仿宋" w:hAnsi="仿宋" w:hint="eastAsia"/>
          <w:color w:val="000000"/>
          <w:sz w:val="32"/>
          <w:szCs w:val="32"/>
          <w:lang w:eastAsia="zh-CN"/>
        </w:rPr>
      </w:pPr>
      <w:r>
        <w:rPr>
          <w:rFonts w:ascii="仿宋" w:eastAsia="仿宋" w:hAnsi="仿宋" w:hint="eastAsia"/>
          <w:color w:val="000000"/>
          <w:sz w:val="32"/>
          <w:szCs w:val="32"/>
          <w:lang w:eastAsia="zh-CN"/>
        </w:rPr>
        <w:drawing>
          <wp:inline distT="0" distB="0" distL="114300" distR="114300">
            <wp:extent cx="5079999" cy="3810000"/>
            <wp:effectExtent l="0" t="0" r="0" b="0"/>
            <wp:docPr id="9" name="图表 3"/>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jc w:val="center"/>
        <w:rPr>
          <w:rFonts w:ascii="方正楷体简体" w:eastAsia="方正楷体简体" w:cs="方正楷体简体" w:hAnsi="方正楷体简体" w:hint="eastAsia"/>
          <w:color w:val="000000"/>
          <w:sz w:val="28"/>
          <w:szCs w:val="28"/>
        </w:rPr>
      </w:pPr>
      <w:r>
        <w:rPr>
          <w:rFonts w:ascii="方正楷体简体" w:eastAsia="方正楷体简体" w:cs="方正楷体简体" w:hAnsi="方正楷体简体" w:hint="eastAsia"/>
          <w:color w:val="000000"/>
          <w:sz w:val="28"/>
          <w:szCs w:val="28"/>
        </w:rPr>
        <w:t>（图3：支出决算结构图）（饼状图）</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p>
    <w:p>
      <w:pPr>
        <w:pStyle w:val="1"/>
        <w:keepNext/>
        <w:keepLines/>
        <w:pageBreakBefore w:val="0"/>
        <w:widowControl w:val="0"/>
        <w:kinsoku/>
        <w:wordWrap/>
        <w:overflowPunct/>
        <w:topLinePunct w:val="0"/>
        <w:autoSpaceDE/>
        <w:autoSpaceDN/>
        <w:bidi w:val="0"/>
        <w:spacing w:before="0" w:after="0"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sz w:val="32"/>
          <w:szCs w:val="32"/>
          <w:lang w:eastAsia="zh-CN"/>
        </w:rPr>
      </w:pPr>
      <w:bookmarkStart w:id="29" w:name="_Toc15377208"/>
      <w:bookmarkStart w:id="30" w:name="_Toc15396606"/>
      <w:r>
        <w:rPr>
          <w:rFonts w:ascii="方正黑体简体" w:eastAsia="方正黑体简体" w:cs="方正黑体简体" w:hAnsi="方正黑体简体" w:hint="eastAsia"/>
          <w:b w:val="0"/>
          <w:bCs w:val="0"/>
          <w:color w:val="000000"/>
          <w:sz w:val="32"/>
          <w:szCs w:val="32"/>
          <w:lang w:eastAsia="zh-CN"/>
        </w:rPr>
        <w:t>四、财政拨款收入支出决算总体情况说明</w:t>
      </w:r>
      <w:bookmarkEnd w:id="29"/>
      <w:bookmarkEnd w:id="30"/>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eastAsia="zh-CN"/>
        </w:rPr>
        <w:t>2020年财政拨款收、支总计</w:t>
      </w:r>
      <w:r>
        <w:rPr>
          <w:rFonts w:ascii="方正仿宋简体" w:eastAsia="方正仿宋简体" w:cs="方正仿宋简体" w:hAnsi="方正仿宋简体" w:hint="eastAsia"/>
          <w:sz w:val="32"/>
          <w:szCs w:val="32"/>
          <w:lang w:val="en-US" w:eastAsia="zh-CN"/>
        </w:rPr>
        <w:t>551.02</w:t>
      </w:r>
      <w:r>
        <w:rPr>
          <w:rFonts w:ascii="方正仿宋简体" w:eastAsia="方正仿宋简体" w:cs="方正仿宋简体" w:hAnsi="方正仿宋简体" w:hint="eastAsia"/>
          <w:sz w:val="32"/>
          <w:szCs w:val="32"/>
          <w:lang w:eastAsia="zh-CN"/>
        </w:rPr>
        <w:t>万元。与2019年相比，财政拨款收入减少</w:t>
      </w:r>
      <w:r>
        <w:rPr>
          <w:rFonts w:ascii="方正仿宋简体" w:eastAsia="方正仿宋简体" w:cs="方正仿宋简体" w:hAnsi="方正仿宋简体" w:hint="eastAsia"/>
          <w:sz w:val="32"/>
          <w:szCs w:val="32"/>
          <w:lang w:val="en-US" w:eastAsia="zh-CN"/>
        </w:rPr>
        <w:t>8.12万</w:t>
      </w:r>
      <w:r>
        <w:rPr>
          <w:rFonts w:ascii="方正仿宋简体" w:eastAsia="方正仿宋简体" w:cs="方正仿宋简体" w:hAnsi="方正仿宋简体" w:hint="eastAsia"/>
          <w:sz w:val="32"/>
          <w:szCs w:val="32"/>
          <w:lang w:eastAsia="zh-CN"/>
        </w:rPr>
        <w:t>下降</w:t>
      </w:r>
      <w:r>
        <w:rPr>
          <w:rFonts w:ascii="方正仿宋简体" w:eastAsia="方正仿宋简体" w:cs="方正仿宋简体" w:hAnsi="方正仿宋简体" w:hint="eastAsia"/>
          <w:sz w:val="32"/>
          <w:szCs w:val="32"/>
          <w:lang w:val="en-US" w:eastAsia="zh-CN"/>
        </w:rPr>
        <w:t>2.9</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lang w:eastAsia="zh-CN"/>
        </w:rPr>
        <w:t>支出减少</w:t>
      </w:r>
      <w:r>
        <w:rPr>
          <w:rFonts w:ascii="方正仿宋简体" w:eastAsia="方正仿宋简体" w:cs="方正仿宋简体" w:hAnsi="方正仿宋简体" w:hint="eastAsia"/>
          <w:sz w:val="32"/>
          <w:szCs w:val="32"/>
          <w:lang w:val="en-US" w:eastAsia="zh-CN"/>
        </w:rPr>
        <w:t>4.81</w:t>
      </w:r>
      <w:r>
        <w:rPr>
          <w:rFonts w:ascii="方正仿宋简体" w:eastAsia="方正仿宋简体" w:cs="方正仿宋简体" w:hAnsi="方正仿宋简体" w:hint="eastAsia"/>
          <w:sz w:val="32"/>
          <w:szCs w:val="32"/>
          <w:lang w:eastAsia="zh-CN"/>
        </w:rPr>
        <w:t>万元下降</w:t>
      </w:r>
      <w:r>
        <w:rPr>
          <w:rFonts w:ascii="方正仿宋简体" w:eastAsia="方正仿宋简体" w:cs="方正仿宋简体" w:hAnsi="方正仿宋简体" w:hint="eastAsia"/>
          <w:sz w:val="32"/>
          <w:szCs w:val="32"/>
          <w:lang w:val="en-US" w:eastAsia="zh-CN"/>
        </w:rPr>
        <w:t>1.7</w:t>
      </w:r>
      <w:r>
        <w:rPr>
          <w:rFonts w:ascii="方正仿宋简体" w:eastAsia="方正仿宋简体" w:cs="方正仿宋简体" w:hAnsi="方正仿宋简体" w:hint="eastAsia"/>
          <w:sz w:val="32"/>
          <w:szCs w:val="32"/>
          <w:lang w:eastAsia="zh-CN"/>
        </w:rPr>
        <w:t>%。主要变动原因是</w:t>
      </w:r>
      <w:r>
        <w:rPr>
          <w:rFonts w:ascii="方正仿宋简体" w:eastAsia="方正仿宋简体" w:cs="方正仿宋简体" w:hAnsi="方正仿宋简体" w:hint="eastAsia"/>
          <w:sz w:val="32"/>
          <w:szCs w:val="32"/>
          <w:lang w:val="en-US" w:eastAsia="zh-CN"/>
        </w:rPr>
        <w:t>2020年减少了能力建设项目资金。</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p>
    <w:p>
      <w:pPr>
        <w:pStyle w:val="16"/>
        <w:rPr>
          <w:rFonts w:ascii="仿宋" w:eastAsia="仿宋" w:hAnsi="仿宋"/>
          <w:color w:val="000000"/>
          <w:sz w:val="32"/>
          <w:szCs w:val="32"/>
        </w:rPr>
      </w:pPr>
    </w:p>
    <w:p>
      <w:pPr>
        <w:pStyle w:val="16"/>
        <w:rPr>
          <w:rFonts w:ascii="仿宋" w:eastAsia="仿宋" w:hAnsi="仿宋"/>
          <w:color w:val="000000"/>
          <w:sz w:val="32"/>
          <w:szCs w:val="32"/>
        </w:rPr>
      </w:pPr>
    </w:p>
    <w:p>
      <w:pPr>
        <w:pStyle w:val="16"/>
        <w:ind w:leftChars="0" w:left="0" w:firstLineChars="0" w:firstLine="0"/>
        <w:rPr>
          <w:rFonts w:ascii="仿宋" w:eastAsia="仿宋" w:hAnsi="仿宋" w:hint="eastAsia"/>
          <w:color w:val="000000"/>
          <w:sz w:val="32"/>
          <w:szCs w:val="32"/>
          <w:lang w:eastAsia="zh-CN"/>
        </w:rPr>
      </w:pPr>
      <w:r>
        <w:rPr>
          <w:rFonts w:ascii="仿宋" w:eastAsia="仿宋" w:hAnsi="仿宋" w:hint="eastAsia"/>
          <w:color w:val="000000"/>
          <w:sz w:val="32"/>
          <w:szCs w:val="32"/>
          <w:lang w:eastAsia="zh-CN"/>
        </w:rPr>
        <w:drawing>
          <wp:inline distT="0" distB="0" distL="114300" distR="114300">
            <wp:extent cx="5079999" cy="3810000"/>
            <wp:effectExtent l="0" t="0" r="0" b="0"/>
            <wp:docPr id="10" name="图表 4"/>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jc w:val="center"/>
        <w:rPr>
          <w:rFonts w:ascii="方正楷体简体" w:eastAsia="方正楷体简体" w:cs="方正楷体简体" w:hAnsi="方正楷体简体" w:hint="eastAsia"/>
          <w:color w:val="000000"/>
          <w:sz w:val="28"/>
          <w:szCs w:val="28"/>
        </w:rPr>
      </w:pPr>
      <w:r>
        <w:rPr>
          <w:rFonts w:ascii="方正楷体简体" w:eastAsia="方正楷体简体" w:cs="方正楷体简体" w:hAnsi="方正楷体简体" w:hint="eastAsia"/>
          <w:color w:val="000000"/>
          <w:sz w:val="28"/>
          <w:szCs w:val="28"/>
        </w:rPr>
        <w:t>（图4：财政拨款收、支决算总计变动情况）（柱状图）</w:t>
      </w:r>
    </w:p>
    <w:p>
      <w:pPr>
        <w:pStyle w:val="16"/>
        <w:rPr>
          <w:rFonts w:hint="eastAsia"/>
        </w:rPr>
      </w:pPr>
    </w:p>
    <w:p>
      <w:pPr>
        <w:pStyle w:val="1"/>
        <w:keepNext/>
        <w:keepLines/>
        <w:pageBreakBefore w:val="0"/>
        <w:widowControl w:val="0"/>
        <w:kinsoku/>
        <w:wordWrap/>
        <w:overflowPunct/>
        <w:topLinePunct w:val="0"/>
        <w:autoSpaceDE/>
        <w:autoSpaceDN/>
        <w:bidi w:val="0"/>
        <w:spacing w:before="0" w:after="0"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sz w:val="32"/>
          <w:szCs w:val="32"/>
          <w:lang w:eastAsia="zh-CN"/>
        </w:rPr>
      </w:pPr>
      <w:bookmarkStart w:id="31" w:name="_Toc15377209"/>
      <w:bookmarkStart w:id="32" w:name="_Toc15396607"/>
      <w:r>
        <w:rPr>
          <w:rFonts w:ascii="方正黑体简体" w:eastAsia="方正黑体简体" w:cs="方正黑体简体" w:hAnsi="方正黑体简体" w:hint="eastAsia"/>
          <w:b w:val="0"/>
          <w:bCs w:val="0"/>
          <w:color w:val="000000"/>
          <w:sz w:val="32"/>
          <w:szCs w:val="32"/>
          <w:lang w:eastAsia="zh-CN"/>
        </w:rPr>
        <w:t>五、一般公共预算财政拨款支出决算情况说明</w:t>
      </w:r>
      <w:bookmarkEnd w:id="31"/>
      <w:bookmarkEnd w:id="32"/>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楷体简体" w:eastAsia="方正楷体简体" w:cs="方正楷体简体" w:hAnsi="方正楷体简体" w:hint="eastAsia"/>
          <w:sz w:val="32"/>
          <w:szCs w:val="32"/>
          <w:lang w:eastAsia="zh-CN"/>
        </w:rPr>
      </w:pPr>
      <w:bookmarkStart w:id="33" w:name="_Toc15377210"/>
      <w:r>
        <w:rPr>
          <w:rFonts w:ascii="方正楷体简体" w:eastAsia="方正楷体简体" w:cs="方正楷体简体" w:hAnsi="方正楷体简体" w:hint="eastAsia"/>
          <w:sz w:val="32"/>
          <w:szCs w:val="32"/>
          <w:lang w:eastAsia="zh-CN"/>
        </w:rPr>
        <w:t>（一）一般公共预算财政拨款支出决算总体情况</w:t>
      </w:r>
      <w:bookmarkEnd w:id="33"/>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eastAsia="zh-CN"/>
        </w:rPr>
        <w:t>2020年一般公共预算财政拨款支出</w:t>
      </w:r>
      <w:r>
        <w:rPr>
          <w:rFonts w:ascii="方正仿宋简体" w:eastAsia="方正仿宋简体" w:cs="方正仿宋简体" w:hAnsi="方正仿宋简体" w:hint="eastAsia"/>
          <w:sz w:val="32"/>
          <w:szCs w:val="32"/>
          <w:lang w:val="en-US" w:eastAsia="zh-CN"/>
        </w:rPr>
        <w:t>277.34</w:t>
      </w:r>
      <w:r>
        <w:rPr>
          <w:rFonts w:ascii="方正仿宋简体" w:eastAsia="方正仿宋简体" w:cs="方正仿宋简体" w:hAnsi="方正仿宋简体" w:hint="eastAsia"/>
          <w:sz w:val="32"/>
          <w:szCs w:val="32"/>
          <w:lang w:eastAsia="zh-CN"/>
        </w:rPr>
        <w:t>万元，占本年支出合计的</w:t>
      </w:r>
      <w:r>
        <w:rPr>
          <w:rFonts w:ascii="方正仿宋简体" w:eastAsia="方正仿宋简体" w:cs="方正仿宋简体" w:hAnsi="方正仿宋简体" w:hint="eastAsia"/>
          <w:sz w:val="32"/>
          <w:szCs w:val="32"/>
          <w:lang w:val="en-US" w:eastAsia="zh-CN"/>
        </w:rPr>
        <w:t>100</w:t>
      </w:r>
      <w:r>
        <w:rPr>
          <w:rFonts w:ascii="方正仿宋简体" w:eastAsia="方正仿宋简体" w:cs="方正仿宋简体" w:hAnsi="方正仿宋简体" w:hint="eastAsia"/>
          <w:sz w:val="32"/>
          <w:szCs w:val="32"/>
          <w:lang w:eastAsia="zh-CN"/>
        </w:rPr>
        <w:t>%。与2019年相比，一般公共预算财政拨款减少</w:t>
      </w:r>
      <w:r>
        <w:rPr>
          <w:rFonts w:ascii="方正仿宋简体" w:eastAsia="方正仿宋简体" w:cs="方正仿宋简体" w:hAnsi="方正仿宋简体" w:hint="eastAsia"/>
          <w:sz w:val="32"/>
          <w:szCs w:val="32"/>
          <w:lang w:val="en-US" w:eastAsia="zh-CN"/>
        </w:rPr>
        <w:t>4.46</w:t>
      </w:r>
      <w:r>
        <w:rPr>
          <w:rFonts w:ascii="方正仿宋简体" w:eastAsia="方正仿宋简体" w:cs="方正仿宋简体" w:hAnsi="方正仿宋简体" w:hint="eastAsia"/>
          <w:sz w:val="32"/>
          <w:szCs w:val="32"/>
          <w:lang w:eastAsia="zh-CN"/>
        </w:rPr>
        <w:t>万元，下降</w:t>
      </w:r>
      <w:r>
        <w:rPr>
          <w:rFonts w:ascii="方正仿宋简体" w:eastAsia="方正仿宋简体" w:cs="方正仿宋简体" w:hAnsi="方正仿宋简体" w:hint="eastAsia"/>
          <w:sz w:val="32"/>
          <w:szCs w:val="32"/>
          <w:lang w:val="en-US" w:eastAsia="zh-CN"/>
        </w:rPr>
        <w:t>1.6</w:t>
      </w:r>
      <w:r>
        <w:rPr>
          <w:rFonts w:ascii="方正仿宋简体" w:eastAsia="方正仿宋简体" w:cs="方正仿宋简体" w:hAnsi="方正仿宋简体" w:hint="eastAsia"/>
          <w:sz w:val="32"/>
          <w:szCs w:val="32"/>
          <w:lang w:eastAsia="zh-CN"/>
        </w:rPr>
        <w:t>%。主要变动原因是</w:t>
      </w:r>
      <w:r>
        <w:rPr>
          <w:rFonts w:ascii="方正仿宋简体" w:eastAsia="方正仿宋简体" w:cs="方正仿宋简体" w:hAnsi="方正仿宋简体" w:hint="eastAsia"/>
          <w:sz w:val="32"/>
          <w:szCs w:val="32"/>
          <w:lang w:val="en-US" w:eastAsia="zh-CN"/>
        </w:rPr>
        <w:t>2020年度减少了能力建设项目资金。</w:t>
      </w:r>
    </w:p>
    <w:p>
      <w:pPr>
        <w:spacing w:line="600" w:lineRule="exact"/>
        <w:ind w:firstLineChars="200" w:firstLine="640"/>
        <w:rPr>
          <w:rFonts w:ascii="仿宋" w:eastAsia="仿宋" w:hAnsi="仿宋"/>
          <w:color w:val="000000"/>
          <w:sz w:val="32"/>
          <w:szCs w:val="32"/>
        </w:rPr>
      </w:pPr>
    </w:p>
    <w:p>
      <w:pPr>
        <w:pStyle w:val="16"/>
        <w:rPr>
          <w:rFonts w:ascii="仿宋" w:eastAsia="仿宋" w:hAnsi="仿宋"/>
          <w:color w:val="000000"/>
          <w:sz w:val="32"/>
          <w:szCs w:val="32"/>
        </w:rPr>
      </w:pPr>
    </w:p>
    <w:p>
      <w:pPr>
        <w:pStyle w:val="16"/>
        <w:rPr>
          <w:rFonts w:ascii="仿宋" w:eastAsia="仿宋" w:hAnsi="仿宋"/>
          <w:color w:val="000000"/>
          <w:sz w:val="32"/>
          <w:szCs w:val="32"/>
        </w:rPr>
      </w:pPr>
    </w:p>
    <w:p>
      <w:pPr>
        <w:pStyle w:val="16"/>
        <w:ind w:leftChars="0" w:left="0" w:firstLineChars="0" w:firstLine="0"/>
        <w:rPr>
          <w:rFonts w:ascii="仿宋" w:eastAsia="仿宋" w:hAnsi="仿宋"/>
          <w:color w:val="000000"/>
          <w:sz w:val="32"/>
          <w:szCs w:val="32"/>
        </w:rPr>
      </w:pPr>
      <w:r>
        <w:rPr>
          <w:rFonts w:ascii="仿宋" w:eastAsia="仿宋" w:hAnsi="仿宋" w:hint="eastAsia"/>
          <w:color w:val="000000"/>
          <w:sz w:val="32"/>
          <w:szCs w:val="32"/>
          <w:lang w:eastAsia="zh-CN"/>
        </w:rPr>
        <w:drawing>
          <wp:inline distT="0" distB="0" distL="114300" distR="114300">
            <wp:extent cx="5079999" cy="3810000"/>
            <wp:effectExtent l="0" t="0" r="0" b="0"/>
            <wp:docPr id="11" name="图表 5"/>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jc w:val="center"/>
        <w:rPr>
          <w:rFonts w:ascii="方正楷体简体" w:eastAsia="方正楷体简体" w:cs="方正楷体简体" w:hAnsi="方正楷体简体" w:hint="eastAsia"/>
          <w:color w:val="000000"/>
          <w:sz w:val="28"/>
          <w:szCs w:val="28"/>
        </w:rPr>
      </w:pPr>
      <w:r>
        <w:rPr>
          <w:rFonts w:ascii="方正楷体简体" w:eastAsia="方正楷体简体" w:cs="方正楷体简体" w:hAnsi="方正楷体简体" w:hint="eastAsia"/>
          <w:color w:val="000000"/>
          <w:sz w:val="28"/>
          <w:szCs w:val="28"/>
        </w:rPr>
        <w:t>（图5：一般公共预算财政拨款支出决算变动情况）（柱状图）</w:t>
      </w:r>
    </w:p>
    <w:p>
      <w:pPr>
        <w:pStyle w:val="16"/>
        <w:rPr>
          <w:rFonts w:hint="eastAsia"/>
        </w:rPr>
      </w:pP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楷体简体" w:eastAsia="方正楷体简体" w:cs="方正楷体简体" w:hAnsi="方正楷体简体" w:hint="eastAsia"/>
          <w:sz w:val="32"/>
          <w:szCs w:val="32"/>
          <w:lang w:eastAsia="zh-CN"/>
        </w:rPr>
      </w:pPr>
      <w:bookmarkStart w:id="34" w:name="_Toc15377211"/>
      <w:r>
        <w:rPr>
          <w:rFonts w:ascii="方正楷体简体" w:eastAsia="方正楷体简体" w:cs="方正楷体简体" w:hAnsi="方正楷体简体" w:hint="eastAsia"/>
          <w:sz w:val="32"/>
          <w:szCs w:val="32"/>
          <w:lang w:eastAsia="zh-CN"/>
        </w:rPr>
        <w:t>（二）一般公共预算财政拨款支出决算结构情况</w:t>
      </w:r>
      <w:bookmarkEnd w:id="34"/>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2020年一般公共预算财政拨款支出</w:t>
      </w:r>
      <w:r>
        <w:rPr>
          <w:rFonts w:ascii="方正仿宋简体" w:eastAsia="方正仿宋简体" w:cs="方正仿宋简体" w:hAnsi="方正仿宋简体" w:hint="eastAsia"/>
          <w:sz w:val="32"/>
          <w:szCs w:val="32"/>
          <w:lang w:val="en-US" w:eastAsia="zh-CN"/>
        </w:rPr>
        <w:t>277.34</w:t>
      </w:r>
      <w:r>
        <w:rPr>
          <w:rFonts w:ascii="方正仿宋简体" w:eastAsia="方正仿宋简体" w:cs="方正仿宋简体" w:hAnsi="方正仿宋简体" w:hint="eastAsia"/>
          <w:sz w:val="32"/>
          <w:szCs w:val="32"/>
          <w:lang w:eastAsia="zh-CN"/>
        </w:rPr>
        <w:t>万元，主要用于以下方面:社会保障和就业（类）支出</w:t>
      </w:r>
      <w:r>
        <w:rPr>
          <w:rFonts w:ascii="方正仿宋简体" w:eastAsia="方正仿宋简体" w:cs="方正仿宋简体" w:hAnsi="方正仿宋简体" w:hint="eastAsia"/>
          <w:sz w:val="32"/>
          <w:szCs w:val="32"/>
          <w:lang w:val="en-US" w:eastAsia="zh-CN"/>
        </w:rPr>
        <w:t>15.96</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5.8</w:t>
      </w:r>
      <w:r>
        <w:rPr>
          <w:rFonts w:ascii="方正仿宋简体" w:eastAsia="方正仿宋简体" w:cs="方正仿宋简体" w:hAnsi="方正仿宋简体" w:hint="eastAsia"/>
          <w:sz w:val="32"/>
          <w:szCs w:val="32"/>
          <w:lang w:eastAsia="zh-CN"/>
        </w:rPr>
        <w:t>%；卫生健康支出</w:t>
      </w:r>
      <w:r>
        <w:rPr>
          <w:rFonts w:ascii="方正仿宋简体" w:eastAsia="方正仿宋简体" w:cs="方正仿宋简体" w:hAnsi="方正仿宋简体" w:hint="eastAsia"/>
          <w:sz w:val="32"/>
          <w:szCs w:val="32"/>
          <w:lang w:val="en-US" w:eastAsia="zh-CN"/>
        </w:rPr>
        <w:t>250.45</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90.3</w:t>
      </w:r>
      <w:r>
        <w:rPr>
          <w:rFonts w:ascii="方正仿宋简体" w:eastAsia="方正仿宋简体" w:cs="方正仿宋简体" w:hAnsi="方正仿宋简体" w:hint="eastAsia"/>
          <w:sz w:val="32"/>
          <w:szCs w:val="32"/>
          <w:lang w:eastAsia="zh-CN"/>
        </w:rPr>
        <w:t>%；住房保障支出</w:t>
      </w:r>
      <w:r>
        <w:rPr>
          <w:rFonts w:ascii="方正仿宋简体" w:eastAsia="方正仿宋简体" w:cs="方正仿宋简体" w:hAnsi="方正仿宋简体" w:hint="eastAsia"/>
          <w:sz w:val="32"/>
          <w:szCs w:val="32"/>
          <w:lang w:val="en-US" w:eastAsia="zh-CN"/>
        </w:rPr>
        <w:t>10.93</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3.9</w:t>
      </w:r>
      <w:r>
        <w:rPr>
          <w:rFonts w:ascii="方正仿宋简体" w:eastAsia="方正仿宋简体" w:cs="方正仿宋简体" w:hAnsi="方正仿宋简体" w:hint="eastAsia"/>
          <w:sz w:val="32"/>
          <w:szCs w:val="32"/>
          <w:lang w:eastAsia="zh-CN"/>
        </w:rPr>
        <w:t>%。</w:t>
      </w:r>
    </w:p>
    <w:p>
      <w:pPr>
        <w:spacing w:line="600" w:lineRule="exact"/>
        <w:ind w:firstLine="640"/>
        <w:rPr>
          <w:rFonts w:ascii="仿宋" w:eastAsia="仿宋" w:hAnsi="仿宋"/>
          <w:color w:val="auto"/>
          <w:sz w:val="32"/>
          <w:szCs w:val="32"/>
        </w:rPr>
      </w:pPr>
    </w:p>
    <w:p>
      <w:pPr>
        <w:pStyle w:val="16"/>
        <w:ind w:leftChars="0" w:left="0" w:firstLineChars="0" w:firstLine="0"/>
        <w:rPr>
          <w:rFonts w:ascii="仿宋" w:eastAsia="仿宋" w:hAnsi="仿宋"/>
          <w:color w:val="000000"/>
          <w:sz w:val="32"/>
          <w:szCs w:val="32"/>
        </w:rPr>
      </w:pPr>
    </w:p>
    <w:p>
      <w:pPr>
        <w:pStyle w:val="16"/>
        <w:rPr>
          <w:rFonts w:ascii="仿宋" w:eastAsia="仿宋" w:hAnsi="仿宋"/>
          <w:color w:val="000000"/>
          <w:sz w:val="32"/>
          <w:szCs w:val="32"/>
        </w:rPr>
      </w:pPr>
    </w:p>
    <w:p>
      <w:pPr>
        <w:pStyle w:val="16"/>
        <w:ind w:leftChars="0" w:left="0" w:firstLineChars="0" w:firstLine="0"/>
        <w:rPr>
          <w:rFonts w:ascii="仿宋" w:eastAsia="仿宋" w:hAnsi="仿宋" w:hint="eastAsia"/>
          <w:color w:val="000000"/>
          <w:sz w:val="32"/>
          <w:szCs w:val="32"/>
          <w:lang w:eastAsia="zh-CN"/>
        </w:rPr>
      </w:pPr>
      <w:r>
        <w:rPr>
          <w:rFonts w:ascii="仿宋" w:eastAsia="仿宋" w:hAnsi="仿宋" w:hint="eastAsia"/>
          <w:color w:val="000000"/>
          <w:sz w:val="32"/>
          <w:szCs w:val="32"/>
          <w:lang w:eastAsia="zh-CN"/>
        </w:rPr>
        <w:drawing>
          <wp:inline distT="0" distB="0" distL="114300" distR="114300">
            <wp:extent cx="5079999" cy="3810000"/>
            <wp:effectExtent l="0" t="0" r="0" b="0"/>
            <wp:docPr id="12" name="图表 6"/>
            <wp:cNvGraphicFramePr>
              <a:graphicFrameLocks noChangeAspect="0"/>
            </wp:cNvGraphicFramePr>
            <a:graphic>
              <a:graphicData uri="http://schemas.openxmlformats.org/drawingml/2006/chart">
                <c:chart xmlns:c="http://schemas.openxmlformats.org/drawingml/2006/chart" r:id="rId10"/>
              </a:graphicData>
            </a:graphic>
          </wp:inline>
        </w:drawing>
      </w:r>
    </w:p>
    <w:p>
      <w:pPr>
        <w:spacing w:line="600" w:lineRule="exact"/>
        <w:jc w:val="center"/>
        <w:rPr>
          <w:rFonts w:ascii="方正楷体简体" w:eastAsia="方正楷体简体" w:cs="方正楷体简体" w:hAnsi="方正楷体简体" w:hint="eastAsia"/>
          <w:color w:val="000000"/>
          <w:sz w:val="28"/>
          <w:szCs w:val="28"/>
        </w:rPr>
      </w:pPr>
      <w:r>
        <w:rPr>
          <w:rFonts w:ascii="方正楷体简体" w:eastAsia="方正楷体简体" w:cs="方正楷体简体" w:hAnsi="方正楷体简体" w:hint="eastAsia"/>
          <w:color w:val="000000"/>
          <w:sz w:val="28"/>
          <w:szCs w:val="28"/>
        </w:rPr>
        <w:t>（图6：一般公共预算财政拨款支出决算结构）（饼状图）</w:t>
      </w:r>
    </w:p>
    <w:p>
      <w:pPr>
        <w:pStyle w:val="16"/>
        <w:rPr>
          <w:rFonts w:hint="eastAsia"/>
        </w:rPr>
      </w:pP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楷体简体" w:eastAsia="方正楷体简体" w:cs="方正楷体简体" w:hAnsi="方正楷体简体" w:hint="eastAsia"/>
          <w:sz w:val="32"/>
          <w:szCs w:val="32"/>
          <w:lang w:eastAsia="zh-CN"/>
        </w:rPr>
      </w:pPr>
      <w:bookmarkStart w:id="35" w:name="_Toc15377212"/>
      <w:r>
        <w:rPr>
          <w:rFonts w:ascii="方正楷体简体" w:eastAsia="方正楷体简体" w:cs="方正楷体简体" w:hAnsi="方正楷体简体" w:hint="eastAsia"/>
          <w:sz w:val="32"/>
          <w:szCs w:val="32"/>
          <w:lang w:eastAsia="zh-CN"/>
        </w:rPr>
        <w:t>（三）一般公共预算财政拨款支出决算具体情况</w:t>
      </w:r>
      <w:bookmarkEnd w:id="35"/>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bookmarkStart w:id="36" w:name="_Toc15377213"/>
      <w:bookmarkStart w:id="37" w:name="_Toc15377444"/>
      <w:bookmarkStart w:id="38" w:name="_Toc15378460"/>
      <w:r>
        <w:rPr>
          <w:rFonts w:ascii="方正仿宋简体" w:eastAsia="方正仿宋简体" w:cs="方正仿宋简体" w:hAnsi="方正仿宋简体" w:hint="eastAsia"/>
          <w:sz w:val="32"/>
          <w:szCs w:val="32"/>
          <w:lang w:eastAsia="zh-CN"/>
        </w:rPr>
        <w:t>2020年一般公共预算支出决算数为</w:t>
      </w:r>
      <w:r>
        <w:rPr>
          <w:rFonts w:ascii="方正仿宋简体" w:eastAsia="方正仿宋简体" w:cs="方正仿宋简体" w:hAnsi="方正仿宋简体" w:hint="eastAsia"/>
          <w:sz w:val="32"/>
          <w:szCs w:val="32"/>
          <w:lang w:val="en-US" w:eastAsia="zh-CN"/>
        </w:rPr>
        <w:t>277.34</w:t>
      </w:r>
      <w:r>
        <w:rPr>
          <w:rFonts w:ascii="方正仿宋简体" w:eastAsia="方正仿宋简体" w:cs="方正仿宋简体" w:hAnsi="方正仿宋简体" w:hint="eastAsia"/>
          <w:sz w:val="32"/>
          <w:szCs w:val="32"/>
          <w:lang w:eastAsia="zh-CN"/>
        </w:rPr>
        <w:t>，完成预算</w:t>
      </w:r>
      <w:r>
        <w:rPr>
          <w:rFonts w:ascii="方正仿宋简体" w:eastAsia="方正仿宋简体" w:cs="方正仿宋简体" w:hAnsi="方正仿宋简体" w:hint="eastAsia"/>
          <w:sz w:val="32"/>
          <w:szCs w:val="32"/>
          <w:lang w:val="en-US" w:eastAsia="zh-CN"/>
        </w:rPr>
        <w:t>100</w:t>
      </w:r>
      <w:r>
        <w:rPr>
          <w:rFonts w:ascii="方正仿宋简体" w:eastAsia="方正仿宋简体" w:cs="方正仿宋简体" w:hAnsi="方正仿宋简体" w:hint="eastAsia"/>
          <w:sz w:val="32"/>
          <w:szCs w:val="32"/>
          <w:lang w:eastAsia="zh-CN"/>
        </w:rPr>
        <w:t>%。其中：</w:t>
      </w:r>
      <w:bookmarkEnd w:id="36"/>
      <w:bookmarkEnd w:id="37"/>
      <w:bookmarkEnd w:id="38"/>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1.一般公共服务（类）***（款）***（项）: 支出决算为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万元，完成预算</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2.教育（类）***（款）***（项）: 支出决算为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万元，完成预算</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3.科学技术（类）***（款）***（项）: 支出决算为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万元，完成预算</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4.文化旅游体育与传媒（类）***（款）***（项）: 支出决算为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万元，完成预算</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val="en-US" w:eastAsia="zh-CN"/>
        </w:rPr>
        <w:t>5</w:t>
      </w:r>
      <w:r>
        <w:rPr>
          <w:rFonts w:ascii="方正仿宋简体" w:eastAsia="方正仿宋简体" w:cs="方正仿宋简体" w:hAnsi="方正仿宋简体" w:hint="eastAsia"/>
          <w:sz w:val="32"/>
          <w:szCs w:val="32"/>
          <w:lang w:eastAsia="zh-CN"/>
        </w:rPr>
        <w:t>.社会保障和就业</w:t>
      </w:r>
      <w:r>
        <w:rPr>
          <w:rFonts w:ascii="方正仿宋简体" w:eastAsia="方正仿宋简体" w:cs="方正仿宋简体" w:hAnsi="方正仿宋简体" w:hint="eastAsia"/>
          <w:sz w:val="32"/>
          <w:szCs w:val="32"/>
          <w:lang w:val="en-US" w:eastAsia="zh-CN"/>
        </w:rPr>
        <w:t>208</w:t>
      </w:r>
      <w:r>
        <w:rPr>
          <w:rFonts w:ascii="方正仿宋简体" w:eastAsia="方正仿宋简体" w:cs="方正仿宋简体" w:hAnsi="方正仿宋简体" w:hint="eastAsia"/>
          <w:sz w:val="32"/>
          <w:szCs w:val="32"/>
          <w:lang w:eastAsia="zh-CN"/>
        </w:rPr>
        <w:t>（类）行政事业单位离退休（</w:t>
      </w:r>
      <w:r>
        <w:rPr>
          <w:rFonts w:ascii="方正仿宋简体" w:eastAsia="方正仿宋简体" w:cs="方正仿宋简体" w:hAnsi="方正仿宋简体" w:hint="eastAsia"/>
          <w:sz w:val="32"/>
          <w:szCs w:val="32"/>
          <w:lang w:val="en-US" w:eastAsia="zh-CN"/>
        </w:rPr>
        <w:t>20805款）</w:t>
      </w:r>
      <w:r>
        <w:rPr>
          <w:rFonts w:ascii="方正仿宋简体" w:eastAsia="方正仿宋简体" w:cs="方正仿宋简体" w:hAnsi="方正仿宋简体" w:hint="eastAsia"/>
          <w:sz w:val="32"/>
          <w:szCs w:val="32"/>
          <w:lang w:eastAsia="zh-CN"/>
        </w:rPr>
        <w:t>机关事业单位基本养老保险缴费支出（</w:t>
      </w:r>
      <w:r>
        <w:rPr>
          <w:rFonts w:ascii="方正仿宋简体" w:eastAsia="方正仿宋简体" w:cs="方正仿宋简体" w:hAnsi="方正仿宋简体" w:hint="eastAsia"/>
          <w:sz w:val="32"/>
          <w:szCs w:val="32"/>
          <w:lang w:val="en-US" w:eastAsia="zh-CN"/>
        </w:rPr>
        <w:t>2080505</w:t>
      </w:r>
      <w:r>
        <w:rPr>
          <w:rFonts w:ascii="方正仿宋简体" w:eastAsia="方正仿宋简体" w:cs="方正仿宋简体" w:hAnsi="方正仿宋简体" w:hint="eastAsia"/>
          <w:sz w:val="32"/>
          <w:szCs w:val="32"/>
          <w:lang w:eastAsia="zh-CN"/>
        </w:rPr>
        <w:t>项）: 支出决算为</w:t>
      </w:r>
      <w:r>
        <w:rPr>
          <w:rFonts w:ascii="方正仿宋简体" w:eastAsia="方正仿宋简体" w:cs="方正仿宋简体" w:hAnsi="方正仿宋简体" w:hint="eastAsia"/>
          <w:sz w:val="32"/>
          <w:szCs w:val="32"/>
          <w:lang w:val="en-US" w:eastAsia="zh-CN"/>
        </w:rPr>
        <w:t>14.58</w:t>
      </w:r>
      <w:r>
        <w:rPr>
          <w:rFonts w:ascii="方正仿宋简体" w:eastAsia="方正仿宋简体" w:cs="方正仿宋简体" w:hAnsi="方正仿宋简体" w:hint="eastAsia"/>
          <w:sz w:val="32"/>
          <w:szCs w:val="32"/>
          <w:lang w:eastAsia="zh-CN"/>
        </w:rPr>
        <w:t>万元，完成预算</w:t>
      </w:r>
      <w:r>
        <w:rPr>
          <w:rFonts w:ascii="方正仿宋简体" w:eastAsia="方正仿宋简体" w:cs="方正仿宋简体" w:hAnsi="方正仿宋简体" w:hint="eastAsia"/>
          <w:sz w:val="32"/>
          <w:szCs w:val="32"/>
          <w:lang w:val="en-US" w:eastAsia="zh-CN"/>
        </w:rPr>
        <w:t>100</w:t>
      </w:r>
      <w:r>
        <w:rPr>
          <w:rFonts w:ascii="方正仿宋简体" w:eastAsia="方正仿宋简体" w:cs="方正仿宋简体" w:hAnsi="方正仿宋简体" w:hint="eastAsia"/>
          <w:sz w:val="32"/>
          <w:szCs w:val="32"/>
          <w:lang w:eastAsia="zh-CN"/>
        </w:rPr>
        <w:t>%，决算数等于预算数。其他社会保障和就业支出（</w:t>
      </w:r>
      <w:r>
        <w:rPr>
          <w:rFonts w:ascii="方正仿宋简体" w:eastAsia="方正仿宋简体" w:cs="方正仿宋简体" w:hAnsi="方正仿宋简体" w:hint="eastAsia"/>
          <w:sz w:val="32"/>
          <w:szCs w:val="32"/>
          <w:lang w:val="en-US" w:eastAsia="zh-CN"/>
        </w:rPr>
        <w:t>20899款）</w:t>
      </w:r>
      <w:r>
        <w:rPr>
          <w:rFonts w:ascii="方正仿宋简体" w:eastAsia="方正仿宋简体" w:cs="方正仿宋简体" w:hAnsi="方正仿宋简体" w:hint="eastAsia"/>
          <w:sz w:val="32"/>
          <w:szCs w:val="32"/>
          <w:lang w:eastAsia="zh-CN"/>
        </w:rPr>
        <w:t>其他社会保障和就业支出（</w:t>
      </w:r>
      <w:r>
        <w:rPr>
          <w:rFonts w:ascii="方正仿宋简体" w:eastAsia="方正仿宋简体" w:cs="方正仿宋简体" w:hAnsi="方正仿宋简体" w:hint="eastAsia"/>
          <w:sz w:val="32"/>
          <w:szCs w:val="32"/>
          <w:lang w:val="en-US" w:eastAsia="zh-CN"/>
        </w:rPr>
        <w:t>2089901</w:t>
      </w:r>
      <w:r>
        <w:rPr>
          <w:rFonts w:ascii="方正仿宋简体" w:eastAsia="方正仿宋简体" w:cs="方正仿宋简体" w:hAnsi="方正仿宋简体" w:hint="eastAsia"/>
          <w:sz w:val="32"/>
          <w:szCs w:val="32"/>
          <w:lang w:eastAsia="zh-CN"/>
        </w:rPr>
        <w:t>项）支出决算为</w:t>
      </w:r>
      <w:r>
        <w:rPr>
          <w:rFonts w:ascii="方正仿宋简体" w:eastAsia="方正仿宋简体" w:cs="方正仿宋简体" w:hAnsi="方正仿宋简体" w:hint="eastAsia"/>
          <w:sz w:val="32"/>
          <w:szCs w:val="32"/>
          <w:lang w:val="en-US" w:eastAsia="zh-CN"/>
        </w:rPr>
        <w:t>1.38</w:t>
      </w:r>
      <w:r>
        <w:rPr>
          <w:rFonts w:ascii="方正仿宋简体" w:eastAsia="方正仿宋简体" w:cs="方正仿宋简体" w:hAnsi="方正仿宋简体" w:hint="eastAsia"/>
          <w:sz w:val="32"/>
          <w:szCs w:val="32"/>
          <w:lang w:eastAsia="zh-CN"/>
        </w:rPr>
        <w:t>万元，完成预算的</w:t>
      </w:r>
      <w:r>
        <w:rPr>
          <w:rFonts w:ascii="方正仿宋简体" w:eastAsia="方正仿宋简体" w:cs="方正仿宋简体" w:hAnsi="方正仿宋简体" w:hint="eastAsia"/>
          <w:sz w:val="32"/>
          <w:szCs w:val="32"/>
          <w:lang w:val="en-US" w:eastAsia="zh-CN"/>
        </w:rPr>
        <w:t>100</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lang w:eastAsia="zh-CN"/>
        </w:rPr>
        <w:t>.卫生健康（</w:t>
      </w:r>
      <w:r>
        <w:rPr>
          <w:rFonts w:ascii="方正仿宋简体" w:eastAsia="方正仿宋简体" w:cs="方正仿宋简体" w:hAnsi="方正仿宋简体" w:hint="eastAsia"/>
          <w:sz w:val="32"/>
          <w:szCs w:val="32"/>
          <w:lang w:val="en-US" w:eastAsia="zh-CN"/>
        </w:rPr>
        <w:t>210</w:t>
      </w:r>
      <w:r>
        <w:rPr>
          <w:rFonts w:ascii="方正仿宋简体" w:eastAsia="方正仿宋简体" w:cs="方正仿宋简体" w:hAnsi="方正仿宋简体" w:hint="eastAsia"/>
          <w:sz w:val="32"/>
          <w:szCs w:val="32"/>
          <w:lang w:eastAsia="zh-CN"/>
        </w:rPr>
        <w:t>类）:卫生健康管理事务（</w:t>
      </w:r>
      <w:r>
        <w:rPr>
          <w:rFonts w:ascii="方正仿宋简体" w:eastAsia="方正仿宋简体" w:cs="方正仿宋简体" w:hAnsi="方正仿宋简体" w:hint="eastAsia"/>
          <w:sz w:val="32"/>
          <w:szCs w:val="32"/>
          <w:lang w:val="en-US" w:eastAsia="zh-CN"/>
        </w:rPr>
        <w:t>21001款）</w:t>
      </w:r>
      <w:r>
        <w:rPr>
          <w:rFonts w:ascii="方正仿宋简体" w:eastAsia="方正仿宋简体" w:cs="方正仿宋简体" w:hAnsi="方正仿宋简体" w:hint="eastAsia"/>
          <w:sz w:val="32"/>
          <w:szCs w:val="32"/>
          <w:lang w:eastAsia="zh-CN"/>
        </w:rPr>
        <w:t>行政运行（</w:t>
      </w:r>
      <w:r>
        <w:rPr>
          <w:rFonts w:ascii="方正仿宋简体" w:eastAsia="方正仿宋简体" w:cs="方正仿宋简体" w:hAnsi="方正仿宋简体" w:hint="eastAsia"/>
          <w:sz w:val="32"/>
          <w:szCs w:val="32"/>
          <w:lang w:val="en-US" w:eastAsia="zh-CN"/>
        </w:rPr>
        <w:t>2100101</w:t>
      </w:r>
      <w:r>
        <w:rPr>
          <w:rFonts w:ascii="方正仿宋简体" w:eastAsia="方正仿宋简体" w:cs="方正仿宋简体" w:hAnsi="方正仿宋简体" w:hint="eastAsia"/>
          <w:sz w:val="32"/>
          <w:szCs w:val="32"/>
          <w:lang w:eastAsia="zh-CN"/>
        </w:rPr>
        <w:t>项）支出决算为</w:t>
      </w:r>
      <w:r>
        <w:rPr>
          <w:rFonts w:ascii="方正仿宋简体" w:eastAsia="方正仿宋简体" w:cs="方正仿宋简体" w:hAnsi="方正仿宋简体" w:hint="eastAsia"/>
          <w:sz w:val="32"/>
          <w:szCs w:val="32"/>
          <w:lang w:val="en-US" w:eastAsia="zh-CN"/>
        </w:rPr>
        <w:t>168.4</w:t>
      </w:r>
      <w:r>
        <w:rPr>
          <w:rFonts w:ascii="方正仿宋简体" w:eastAsia="方正仿宋简体" w:cs="方正仿宋简体" w:hAnsi="方正仿宋简体" w:hint="eastAsia"/>
          <w:sz w:val="32"/>
          <w:szCs w:val="32"/>
          <w:lang w:eastAsia="zh-CN"/>
        </w:rPr>
        <w:t>万元，完成预算</w:t>
      </w:r>
      <w:r>
        <w:rPr>
          <w:rFonts w:ascii="方正仿宋简体" w:eastAsia="方正仿宋简体" w:cs="方正仿宋简体" w:hAnsi="方正仿宋简体" w:hint="eastAsia"/>
          <w:sz w:val="32"/>
          <w:szCs w:val="32"/>
          <w:lang w:val="en-US" w:eastAsia="zh-CN"/>
        </w:rPr>
        <w:t>98.33</w:t>
      </w:r>
      <w:r>
        <w:rPr>
          <w:rFonts w:ascii="方正仿宋简体" w:eastAsia="方正仿宋简体" w:cs="方正仿宋简体" w:hAnsi="方正仿宋简体" w:hint="eastAsia"/>
          <w:sz w:val="32"/>
          <w:szCs w:val="32"/>
          <w:lang w:eastAsia="zh-CN"/>
        </w:rPr>
        <w:t>%，决算数小于预算数的主要原因是办公费未按时支付；</w:t>
      </w:r>
      <w:r>
        <w:rPr>
          <w:rFonts w:ascii="方正仿宋简体" w:eastAsia="方正仿宋简体" w:cs="方正仿宋简体" w:hAnsi="方正仿宋简体" w:hint="eastAsia"/>
          <w:sz w:val="32"/>
          <w:szCs w:val="32"/>
          <w:lang w:val="en-US" w:eastAsia="zh-CN"/>
        </w:rPr>
        <w:t>公共卫生（21004款）基本公共卫生服务（2100408项）支出决算为70万元，重大公共卫生服务（2100409项）支出决算为5万元，完成预算的100%；行政事业单位医疗（21011款）事业单位医疗（2101102项）支出决算为7.05万元，完成预算的100%。</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hint="eastAsia"/>
          <w:sz w:val="32"/>
          <w:szCs w:val="32"/>
          <w:lang w:eastAsia="zh-CN"/>
        </w:rPr>
        <w:t>.住房保障（</w:t>
      </w:r>
      <w:r>
        <w:rPr>
          <w:rFonts w:ascii="方正仿宋简体" w:eastAsia="方正仿宋简体" w:cs="方正仿宋简体" w:hAnsi="方正仿宋简体" w:hint="eastAsia"/>
          <w:sz w:val="32"/>
          <w:szCs w:val="32"/>
          <w:lang w:val="en-US" w:eastAsia="zh-CN"/>
        </w:rPr>
        <w:t>221</w:t>
      </w:r>
      <w:r>
        <w:rPr>
          <w:rFonts w:ascii="方正仿宋简体" w:eastAsia="方正仿宋简体" w:cs="方正仿宋简体" w:hAnsi="方正仿宋简体" w:hint="eastAsia"/>
          <w:sz w:val="32"/>
          <w:szCs w:val="32"/>
          <w:lang w:eastAsia="zh-CN"/>
        </w:rPr>
        <w:t>类）:</w:t>
      </w:r>
      <w:r>
        <w:rPr>
          <w:rFonts w:ascii="方正仿宋简体" w:eastAsia="方正仿宋简体" w:cs="方正仿宋简体" w:hAnsi="方正仿宋简体" w:hint="eastAsia"/>
          <w:sz w:val="32"/>
          <w:szCs w:val="32"/>
          <w:lang w:val="en-US" w:eastAsia="zh-CN"/>
        </w:rPr>
        <w:t>住房改革支出</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22102款</w:t>
      </w:r>
      <w:r>
        <w:rPr>
          <w:rFonts w:ascii="方正仿宋简体" w:eastAsia="方正仿宋简体" w:cs="方正仿宋简体" w:hAnsi="方正仿宋简体" w:hint="eastAsia"/>
          <w:sz w:val="32"/>
          <w:szCs w:val="32"/>
          <w:lang w:eastAsia="zh-CN"/>
        </w:rPr>
        <w:t>）住房公积金（</w:t>
      </w:r>
      <w:r>
        <w:rPr>
          <w:rFonts w:ascii="方正仿宋简体" w:eastAsia="方正仿宋简体" w:cs="方正仿宋简体" w:hAnsi="方正仿宋简体" w:hint="eastAsia"/>
          <w:sz w:val="32"/>
          <w:szCs w:val="32"/>
          <w:lang w:val="en-US" w:eastAsia="zh-CN"/>
        </w:rPr>
        <w:t>2210201</w:t>
      </w:r>
      <w:r>
        <w:rPr>
          <w:rFonts w:ascii="方正仿宋简体" w:eastAsia="方正仿宋简体" w:cs="方正仿宋简体" w:hAnsi="方正仿宋简体" w:hint="eastAsia"/>
          <w:sz w:val="32"/>
          <w:szCs w:val="32"/>
          <w:lang w:eastAsia="zh-CN"/>
        </w:rPr>
        <w:t>项）支出决算为</w:t>
      </w:r>
      <w:r>
        <w:rPr>
          <w:rFonts w:ascii="方正仿宋简体" w:eastAsia="方正仿宋简体" w:cs="方正仿宋简体" w:hAnsi="方正仿宋简体" w:hint="eastAsia"/>
          <w:sz w:val="32"/>
          <w:szCs w:val="32"/>
          <w:lang w:val="en-US" w:eastAsia="zh-CN"/>
        </w:rPr>
        <w:t>10.93</w:t>
      </w:r>
      <w:r>
        <w:rPr>
          <w:rFonts w:ascii="方正仿宋简体" w:eastAsia="方正仿宋简体" w:cs="方正仿宋简体" w:hAnsi="方正仿宋简体" w:hint="eastAsia"/>
          <w:sz w:val="32"/>
          <w:szCs w:val="32"/>
          <w:lang w:eastAsia="zh-CN"/>
        </w:rPr>
        <w:t>万元，完成预算</w:t>
      </w:r>
      <w:r>
        <w:rPr>
          <w:rFonts w:ascii="方正仿宋简体" w:eastAsia="方正仿宋简体" w:cs="方正仿宋简体" w:hAnsi="方正仿宋简体" w:hint="eastAsia"/>
          <w:sz w:val="32"/>
          <w:szCs w:val="32"/>
          <w:lang w:val="en-US" w:eastAsia="zh-CN"/>
        </w:rPr>
        <w:t>100</w:t>
      </w:r>
      <w:r>
        <w:rPr>
          <w:rFonts w:ascii="方正仿宋简体" w:eastAsia="方正仿宋简体" w:cs="方正仿宋简体" w:hAnsi="方正仿宋简体"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kern w:val="44"/>
          <w:sz w:val="32"/>
          <w:szCs w:val="32"/>
          <w:lang w:val="en-US" w:eastAsia="zh-CN" w:bidi="ar-SA"/>
        </w:rPr>
      </w:pPr>
      <w:bookmarkStart w:id="39" w:name="_Toc15377214"/>
      <w:bookmarkStart w:id="40" w:name="_Toc15396608"/>
      <w:r>
        <w:rPr>
          <w:rFonts w:ascii="方正黑体简体" w:eastAsia="方正黑体简体" w:cs="方正黑体简体" w:hAnsi="方正黑体简体" w:hint="eastAsia"/>
          <w:b w:val="0"/>
          <w:bCs w:val="0"/>
          <w:color w:val="000000"/>
          <w:kern w:val="44"/>
          <w:sz w:val="32"/>
          <w:szCs w:val="32"/>
          <w:lang w:val="en-US" w:eastAsia="zh-CN" w:bidi="ar-SA"/>
        </w:rPr>
        <w:t>六、一般公共预算财政拨款基本支出决算情况说明</w:t>
      </w:r>
      <w:bookmarkEnd w:id="39"/>
      <w:bookmarkEnd w:id="40"/>
      <w:r>
        <w:rPr>
          <w:rFonts w:ascii="方正黑体简体" w:eastAsia="方正黑体简体" w:cs="方正黑体简体" w:hAnsi="方正黑体简体" w:hint="eastAsia"/>
          <w:b w:val="0"/>
          <w:bCs w:val="0"/>
          <w:color w:val="000000"/>
          <w:kern w:val="44"/>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2020年一般公共预算财政拨款基本支出</w:t>
      </w:r>
      <w:r>
        <w:rPr>
          <w:rFonts w:ascii="方正仿宋简体" w:eastAsia="方正仿宋简体" w:cs="方正仿宋简体" w:hAnsi="方正仿宋简体" w:hint="eastAsia"/>
          <w:sz w:val="32"/>
          <w:szCs w:val="32"/>
          <w:lang w:val="en-US" w:eastAsia="zh-CN"/>
        </w:rPr>
        <w:t>202.34</w:t>
      </w:r>
      <w:r>
        <w:rPr>
          <w:rFonts w:ascii="方正仿宋简体" w:eastAsia="方正仿宋简体" w:cs="方正仿宋简体" w:hAnsi="方正仿宋简体" w:hint="eastAsia"/>
          <w:sz w:val="32"/>
          <w:szCs w:val="32"/>
          <w:lang w:eastAsia="zh-CN"/>
        </w:rPr>
        <w:t>万元，其中：</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人员经费</w:t>
      </w:r>
      <w:r>
        <w:rPr>
          <w:rFonts w:ascii="方正仿宋简体" w:eastAsia="方正仿宋简体" w:cs="方正仿宋简体" w:hAnsi="方正仿宋简体" w:hint="eastAsia"/>
          <w:sz w:val="32"/>
          <w:szCs w:val="32"/>
          <w:lang w:val="en-US" w:eastAsia="zh-CN"/>
        </w:rPr>
        <w:t>188.58</w:t>
      </w:r>
      <w:r>
        <w:rPr>
          <w:rFonts w:ascii="方正仿宋简体" w:eastAsia="方正仿宋简体" w:cs="方正仿宋简体" w:hAnsi="方正仿宋简体" w:hint="eastAsia"/>
          <w:sz w:val="32"/>
          <w:szCs w:val="32"/>
          <w:lang w:eastAsia="zh-CN"/>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日常公用经费</w:t>
      </w:r>
      <w:r>
        <w:rPr>
          <w:rFonts w:ascii="方正仿宋简体" w:eastAsia="方正仿宋简体" w:cs="方正仿宋简体" w:hAnsi="方正仿宋简体" w:hint="eastAsia"/>
          <w:sz w:val="32"/>
          <w:szCs w:val="32"/>
          <w:lang w:val="en-US" w:eastAsia="zh-CN"/>
        </w:rPr>
        <w:t>13.76</w:t>
      </w:r>
      <w:r>
        <w:rPr>
          <w:rFonts w:ascii="方正仿宋简体" w:eastAsia="方正仿宋简体" w:cs="方正仿宋简体" w:hAnsi="方正仿宋简体" w:hint="eastAsia"/>
          <w:sz w:val="32"/>
          <w:szCs w:val="32"/>
          <w:lang w:eastAsia="zh-CN"/>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kern w:val="44"/>
          <w:sz w:val="32"/>
          <w:szCs w:val="32"/>
          <w:lang w:val="en-US" w:eastAsia="zh-CN" w:bidi="ar-SA"/>
        </w:rPr>
      </w:pPr>
      <w:bookmarkStart w:id="41" w:name="_Toc15377215"/>
      <w:bookmarkStart w:id="42" w:name="_Toc15396609"/>
      <w:r>
        <w:rPr>
          <w:rFonts w:ascii="方正黑体简体" w:eastAsia="方正黑体简体" w:cs="方正黑体简体" w:hAnsi="方正黑体简体" w:hint="eastAsia"/>
          <w:b w:val="0"/>
          <w:bCs w:val="0"/>
          <w:color w:val="000000"/>
          <w:kern w:val="44"/>
          <w:sz w:val="32"/>
          <w:szCs w:val="32"/>
          <w:lang w:val="en-US" w:eastAsia="zh-CN" w:bidi="ar-SA"/>
        </w:rPr>
        <w:t>七、“三公”经费财政拨款支出决算情况说明</w:t>
      </w:r>
      <w:bookmarkEnd w:id="41"/>
      <w:bookmarkEnd w:id="42"/>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楷体简体" w:eastAsia="方正楷体简体" w:cs="方正楷体简体" w:hAnsi="方正楷体简体" w:hint="eastAsia"/>
          <w:sz w:val="32"/>
          <w:szCs w:val="32"/>
          <w:lang w:eastAsia="zh-CN"/>
        </w:rPr>
      </w:pPr>
      <w:bookmarkStart w:id="43" w:name="_Toc15377216"/>
      <w:r>
        <w:rPr>
          <w:rFonts w:ascii="方正楷体简体" w:eastAsia="方正楷体简体" w:cs="方正楷体简体" w:hAnsi="方正楷体简体" w:hint="eastAsia"/>
          <w:sz w:val="32"/>
          <w:szCs w:val="32"/>
          <w:lang w:eastAsia="zh-CN"/>
        </w:rPr>
        <w:t>（一）“三公”经费财政拨款支出决算总体情况说明</w:t>
      </w:r>
      <w:bookmarkEnd w:id="43"/>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2020年“三公”经费财政拨款支出决算为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万元，完成预算</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楷体简体" w:eastAsia="方正楷体简体" w:cs="方正楷体简体" w:hAnsi="方正楷体简体" w:hint="eastAsia"/>
          <w:sz w:val="32"/>
          <w:szCs w:val="32"/>
          <w:lang w:eastAsia="zh-CN"/>
        </w:rPr>
      </w:pPr>
      <w:bookmarkStart w:id="44" w:name="_Toc15377217"/>
      <w:r>
        <w:rPr>
          <w:rFonts w:ascii="方正楷体简体" w:eastAsia="方正楷体简体" w:cs="方正楷体简体" w:hAnsi="方正楷体简体" w:hint="eastAsia"/>
          <w:sz w:val="32"/>
          <w:szCs w:val="32"/>
          <w:lang w:eastAsia="zh-CN"/>
        </w:rPr>
        <w:t>（二）“三公”经费财政拨款支出决算具体情况说明</w:t>
      </w:r>
      <w:bookmarkEnd w:id="44"/>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2020年“三公”经费财政拨款支出决算中，因公出国（境）费支出决算</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%；公务用车购置及运行维护费支出决算</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%；公务接待费支出决算</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万元，占</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1.因公出国（境）经费支出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万元，完成预算</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2.公务用车购置及运行维护费支出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万元,完成预算</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3.公务接待费支出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万元，完成预算</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kern w:val="44"/>
          <w:sz w:val="32"/>
          <w:szCs w:val="32"/>
          <w:lang w:val="en-US" w:eastAsia="zh-CN" w:bidi="ar-SA"/>
        </w:rPr>
      </w:pPr>
      <w:bookmarkStart w:id="45" w:name="_Toc15396610"/>
      <w:bookmarkStart w:id="46" w:name="_Toc15377218"/>
      <w:r>
        <w:rPr>
          <w:rFonts w:ascii="方正黑体简体" w:eastAsia="方正黑体简体" w:cs="方正黑体简体" w:hAnsi="方正黑体简体" w:hint="eastAsia"/>
          <w:b w:val="0"/>
          <w:bCs w:val="0"/>
          <w:color w:val="000000"/>
          <w:kern w:val="44"/>
          <w:sz w:val="32"/>
          <w:szCs w:val="32"/>
          <w:lang w:val="en-US" w:eastAsia="zh-CN" w:bidi="ar-SA"/>
        </w:rPr>
        <w:t>八、政府性基金预算支出决算情况说明</w:t>
      </w:r>
      <w:bookmarkEnd w:id="45"/>
      <w:bookmarkEnd w:id="46"/>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2020年政府性基金预算拨款支出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kern w:val="44"/>
          <w:sz w:val="32"/>
          <w:szCs w:val="32"/>
          <w:lang w:val="en-US" w:eastAsia="zh-CN" w:bidi="ar-SA"/>
        </w:rPr>
      </w:pPr>
      <w:bookmarkStart w:id="47" w:name="_Toc15396611"/>
      <w:bookmarkStart w:id="48" w:name="_Toc15377219"/>
      <w:r>
        <w:rPr>
          <w:rFonts w:ascii="方正黑体简体" w:eastAsia="方正黑体简体" w:cs="方正黑体简体" w:hAnsi="方正黑体简体" w:hint="eastAsia"/>
          <w:b w:val="0"/>
          <w:bCs w:val="0"/>
          <w:color w:val="000000"/>
          <w:kern w:val="44"/>
          <w:sz w:val="32"/>
          <w:szCs w:val="32"/>
          <w:lang w:val="en-US" w:eastAsia="zh-CN" w:bidi="ar-SA"/>
        </w:rPr>
        <w:t>九、国有资本经营预算支出决算情况说明</w:t>
      </w:r>
      <w:bookmarkEnd w:id="47"/>
      <w:bookmarkEnd w:id="48"/>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2020年国有资本经营预算拨款支出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kern w:val="44"/>
          <w:sz w:val="32"/>
          <w:szCs w:val="32"/>
          <w:lang w:val="en-US" w:eastAsia="zh-CN" w:bidi="ar-SA"/>
        </w:rPr>
      </w:pPr>
      <w:bookmarkStart w:id="49" w:name="_Toc15377221"/>
      <w:bookmarkStart w:id="50" w:name="_Toc15396612"/>
      <w:r>
        <w:rPr>
          <w:rFonts w:ascii="方正黑体简体" w:eastAsia="方正黑体简体" w:cs="方正黑体简体" w:hAnsi="方正黑体简体" w:hint="eastAsia"/>
          <w:b w:val="0"/>
          <w:bCs w:val="0"/>
          <w:color w:val="000000"/>
          <w:kern w:val="44"/>
          <w:sz w:val="32"/>
          <w:szCs w:val="32"/>
          <w:lang w:val="en-US" w:eastAsia="zh-CN" w:bidi="ar-SA"/>
        </w:rPr>
        <w:t>十、其他重要事项的情况说明</w:t>
      </w:r>
      <w:bookmarkEnd w:id="49"/>
      <w:bookmarkEnd w:id="50"/>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楷体简体" w:eastAsia="方正楷体简体" w:cs="方正楷体简体" w:hAnsi="方正楷体简体" w:hint="eastAsia"/>
          <w:sz w:val="32"/>
          <w:szCs w:val="32"/>
          <w:lang w:eastAsia="zh-CN"/>
        </w:rPr>
      </w:pPr>
      <w:bookmarkStart w:id="51" w:name="_Toc15377222"/>
      <w:r>
        <w:rPr>
          <w:rFonts w:ascii="方正楷体简体" w:eastAsia="方正楷体简体" w:cs="方正楷体简体" w:hAnsi="方正楷体简体" w:hint="eastAsia"/>
          <w:sz w:val="32"/>
          <w:szCs w:val="32"/>
          <w:lang w:eastAsia="zh-CN"/>
        </w:rPr>
        <w:t>（一）机关运行经费支出情况</w:t>
      </w:r>
      <w:bookmarkEnd w:id="51"/>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eastAsia="zh-CN"/>
        </w:rPr>
        <w:t>2020年，利州区公共卫生指导中心机关运行经费支出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w:t>
      </w:r>
      <w:r>
        <w:rPr>
          <w:rFonts w:ascii="方正仿宋简体" w:eastAsia="方正仿宋简体" w:cs="方正仿宋简体" w:hAnsi="方正仿宋简体"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楷体简体" w:eastAsia="方正楷体简体" w:cs="方正楷体简体" w:hAnsi="方正楷体简体" w:hint="eastAsia"/>
          <w:sz w:val="32"/>
          <w:szCs w:val="32"/>
          <w:lang w:eastAsia="zh-CN"/>
        </w:rPr>
      </w:pPr>
      <w:bookmarkStart w:id="52" w:name="_Toc15377223"/>
      <w:r>
        <w:rPr>
          <w:rFonts w:ascii="方正楷体简体" w:eastAsia="方正楷体简体" w:cs="方正楷体简体" w:hAnsi="方正楷体简体" w:hint="eastAsia"/>
          <w:sz w:val="32"/>
          <w:szCs w:val="32"/>
          <w:lang w:eastAsia="zh-CN"/>
        </w:rPr>
        <w:t>（二）政府采购支出情况</w:t>
      </w:r>
      <w:bookmarkEnd w:id="52"/>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2020年，利州区公共卫生指导中心政府采购支出总额</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万元。</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楷体简体" w:eastAsia="方正楷体简体" w:cs="方正楷体简体" w:hAnsi="方正楷体简体" w:hint="eastAsia"/>
          <w:sz w:val="32"/>
          <w:szCs w:val="32"/>
          <w:lang w:eastAsia="zh-CN"/>
        </w:rPr>
      </w:pPr>
      <w:bookmarkStart w:id="53" w:name="_Toc15377224"/>
      <w:r>
        <w:rPr>
          <w:rFonts w:ascii="方正楷体简体" w:eastAsia="方正楷体简体" w:cs="方正楷体简体" w:hAnsi="方正楷体简体" w:hint="eastAsia"/>
          <w:sz w:val="32"/>
          <w:szCs w:val="32"/>
          <w:lang w:eastAsia="zh-CN"/>
        </w:rPr>
        <w:t>（三）国有资产占有使用情况</w:t>
      </w:r>
      <w:bookmarkEnd w:id="53"/>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截至2020年12月31日，利州区公共卫生指导中心共有车辆</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辆，其中：主要领导干部用车</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辆、机要通信用车</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辆、应急保障用车</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辆、其他用车</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辆，单价50万元以上通用设备</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台（套），单价100万元以上专用设备</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lang w:eastAsia="zh-CN"/>
        </w:rPr>
        <w:t>台（套）。</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楷体简体" w:eastAsia="方正楷体简体" w:cs="方正楷体简体" w:hAnsi="方正楷体简体" w:hint="eastAsia"/>
          <w:sz w:val="32"/>
          <w:szCs w:val="32"/>
          <w:lang w:eastAsia="zh-CN"/>
        </w:rPr>
      </w:pPr>
      <w:r>
        <w:rPr>
          <w:rFonts w:ascii="方正楷体简体" w:eastAsia="方正楷体简体" w:cs="方正楷体简体" w:hAnsi="方正楷体简体" w:hint="eastAsia"/>
          <w:sz w:val="32"/>
          <w:szCs w:val="32"/>
          <w:lang w:eastAsia="zh-CN"/>
        </w:rPr>
        <w:t>（四）预算绩效管理情况。</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根据预算绩效管理要求，本单位在年初预算编制阶段，组织对</w:t>
      </w:r>
      <w:r>
        <w:rPr>
          <w:rFonts w:ascii="方正仿宋简体" w:eastAsia="方正仿宋简体" w:cs="方正仿宋简体" w:hAnsi="方正仿宋简体" w:hint="eastAsia"/>
          <w:sz w:val="32"/>
          <w:szCs w:val="32"/>
          <w:lang w:val="en-US" w:eastAsia="zh-CN"/>
        </w:rPr>
        <w:t>1个</w:t>
      </w:r>
      <w:r>
        <w:rPr>
          <w:rFonts w:ascii="方正仿宋简体" w:eastAsia="方正仿宋简体" w:cs="方正仿宋简体" w:hAnsi="方正仿宋简体" w:hint="eastAsia"/>
          <w:sz w:val="32"/>
          <w:szCs w:val="32"/>
          <w:lang w:eastAsia="zh-CN"/>
        </w:rPr>
        <w:t>项目开展了预算事前绩效评估，对</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个项目编制了绩效目标，预算执行过程中，选取</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个项目开展绩效监控，年终执行完毕后，对</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个项目开展了绩效目标完成情况梳理填报。</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本中心按要求对20</w:t>
      </w:r>
      <w:r>
        <w:rPr>
          <w:rFonts w:ascii="方正仿宋简体" w:eastAsia="方正仿宋简体" w:cs="方正仿宋简体" w:hAnsi="方正仿宋简体" w:hint="eastAsia"/>
          <w:sz w:val="32"/>
          <w:szCs w:val="32"/>
          <w:lang w:val="en-US" w:eastAsia="zh-CN"/>
        </w:rPr>
        <w:t>20</w:t>
      </w:r>
      <w:r>
        <w:rPr>
          <w:rFonts w:ascii="方正仿宋简体" w:eastAsia="方正仿宋简体" w:cs="方正仿宋简体" w:hAnsi="方正仿宋简体" w:hint="eastAsia"/>
          <w:sz w:val="32"/>
          <w:szCs w:val="32"/>
          <w:lang w:eastAsia="zh-CN"/>
        </w:rPr>
        <w:t>年部门整体支出开展绩效自评，从评价情况来看我中心较好地执行了20</w:t>
      </w:r>
      <w:r>
        <w:rPr>
          <w:rFonts w:ascii="方正仿宋简体" w:eastAsia="方正仿宋简体" w:cs="方正仿宋简体" w:hAnsi="方正仿宋简体" w:hint="eastAsia"/>
          <w:sz w:val="32"/>
          <w:szCs w:val="32"/>
          <w:lang w:val="en-US" w:eastAsia="zh-CN"/>
        </w:rPr>
        <w:t>20</w:t>
      </w:r>
      <w:r>
        <w:rPr>
          <w:rFonts w:ascii="方正仿宋简体" w:eastAsia="方正仿宋简体" w:cs="方正仿宋简体" w:hAnsi="方正仿宋简体" w:hint="eastAsia"/>
          <w:sz w:val="32"/>
          <w:szCs w:val="32"/>
          <w:lang w:eastAsia="zh-CN"/>
        </w:rPr>
        <w:t>年部门整体支出绩效目标工作按年初计划稳步推进。我中心严格执行财务制度，按时发放在职人员的工资，保障了干部队伍的稳定，按时支付各项费用，按部门预算科学合理使用财政资金，充分发挥资金利用效率，保证了中心的正常运转。同时强化内部管理，提高工作效率，积极发挥预算、计划的导向作用。本中心还自行组织了</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个项目绩效评价，从评价情况来看基本完成了项目预期目标。</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项目绩效目标完成情况。</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 xml:space="preserve"> 本部门在20</w:t>
      </w:r>
      <w:r>
        <w:rPr>
          <w:rFonts w:ascii="方正仿宋简体" w:eastAsia="方正仿宋简体" w:cs="方正仿宋简体" w:hAnsi="方正仿宋简体" w:hint="eastAsia"/>
          <w:sz w:val="32"/>
          <w:szCs w:val="32"/>
          <w:lang w:val="en-US" w:eastAsia="zh-CN"/>
        </w:rPr>
        <w:t>20</w:t>
      </w:r>
      <w:r>
        <w:rPr>
          <w:rFonts w:ascii="方正仿宋简体" w:eastAsia="方正仿宋简体" w:cs="方正仿宋简体" w:hAnsi="方正仿宋简体" w:hint="eastAsia"/>
          <w:sz w:val="32"/>
          <w:szCs w:val="32"/>
          <w:lang w:eastAsia="zh-CN"/>
        </w:rPr>
        <w:t>年度部门决算中反映“基本公共卫生服务”</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个项目绩效目标实际完成情况。</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基本公共卫生服务项目绩效目标完成情况综述。项目全年预算数</w:t>
      </w:r>
      <w:r>
        <w:rPr>
          <w:rFonts w:ascii="方正仿宋简体" w:eastAsia="方正仿宋简体" w:cs="方正仿宋简体" w:hAnsi="方正仿宋简体" w:hint="eastAsia"/>
          <w:sz w:val="32"/>
          <w:szCs w:val="32"/>
          <w:lang w:val="en-US" w:eastAsia="zh-CN"/>
        </w:rPr>
        <w:t>70</w:t>
      </w:r>
      <w:r>
        <w:rPr>
          <w:rFonts w:ascii="方正仿宋简体" w:eastAsia="方正仿宋简体" w:cs="方正仿宋简体" w:hAnsi="方正仿宋简体" w:hint="eastAsia"/>
          <w:sz w:val="32"/>
          <w:szCs w:val="32"/>
          <w:lang w:eastAsia="zh-CN"/>
        </w:rPr>
        <w:t>万元，执行数为</w:t>
      </w:r>
      <w:r>
        <w:rPr>
          <w:rFonts w:ascii="方正仿宋简体" w:eastAsia="方正仿宋简体" w:cs="方正仿宋简体" w:hAnsi="方正仿宋简体" w:hint="eastAsia"/>
          <w:sz w:val="32"/>
          <w:szCs w:val="32"/>
          <w:lang w:val="en-US" w:eastAsia="zh-CN"/>
        </w:rPr>
        <w:t>70</w:t>
      </w:r>
      <w:r>
        <w:rPr>
          <w:rFonts w:ascii="方正仿宋简体" w:eastAsia="方正仿宋简体" w:cs="方正仿宋简体" w:hAnsi="方正仿宋简体" w:hint="eastAsia"/>
          <w:sz w:val="32"/>
          <w:szCs w:val="32"/>
          <w:lang w:eastAsia="zh-CN"/>
        </w:rPr>
        <w:t>万元，完成预算的</w:t>
      </w:r>
      <w:r>
        <w:rPr>
          <w:rFonts w:ascii="方正仿宋简体" w:eastAsia="方正仿宋简体" w:cs="方正仿宋简体" w:hAnsi="方正仿宋简体" w:hint="eastAsia"/>
          <w:sz w:val="32"/>
          <w:szCs w:val="32"/>
          <w:lang w:val="en-US" w:eastAsia="zh-CN"/>
        </w:rPr>
        <w:t>100</w:t>
      </w:r>
      <w:r>
        <w:rPr>
          <w:rFonts w:ascii="方正仿宋简体" w:eastAsia="方正仿宋简体" w:cs="方正仿宋简体" w:hAnsi="方正仿宋简体" w:hint="eastAsia"/>
          <w:sz w:val="32"/>
          <w:szCs w:val="32"/>
          <w:lang w:eastAsia="zh-CN"/>
        </w:rPr>
        <w:t>%。通过项目实施，规范了项目管理，提升了服务质量，促进了全区基本公共卫生服务均等化水平，提高了群众满意度和知晓率。发现的主要问题：一是</w:t>
      </w:r>
      <w:r>
        <w:rPr>
          <w:rFonts w:ascii="方正仿宋简体" w:eastAsia="方正仿宋简体" w:cs="方正仿宋简体" w:hAnsi="方正仿宋简体" w:hint="eastAsia"/>
          <w:sz w:val="32"/>
          <w:szCs w:val="32"/>
          <w:lang w:val="zh-CN" w:eastAsia="zh-CN"/>
        </w:rPr>
        <w:t>基层医疗机构基础薄弱、设备简陋，</w:t>
      </w:r>
      <w:r>
        <w:rPr>
          <w:rFonts w:ascii="方正仿宋简体" w:eastAsia="方正仿宋简体" w:cs="方正仿宋简体" w:hAnsi="方正仿宋简体" w:hint="eastAsia"/>
          <w:sz w:val="32"/>
          <w:szCs w:val="32"/>
          <w:lang w:eastAsia="zh-CN"/>
        </w:rPr>
        <w:t>服务能力还有差距。二是存在重医疗、轻公卫的老问题，医防融合推进滞后。三是项目宣传还需加强，群众对项目知晓度和满意度还有待进一步提高。下一步改进措施：一是充分发挥绩效评价的激励作用，进一步提高家庭医生的工作积极性。二是强化业务培训，加强对《国家基本公共卫生服务规范》（第三版）及业务知识等的学习，进一步提升基层服务能力。三是加强宣传教育，大力宣传普及基本公卫服务相关政策，着力提高项目知晓度和群众感受度。</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br w:type="page"/>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方正小标宋简体" w:eastAsia="方正小标宋简体" w:cs="方正小标宋简体" w:hAnsi="方正小标宋简体" w:hint="eastAsia"/>
          <w:b w:val="0"/>
          <w:bCs w:val="0"/>
          <w:color w:val="000000"/>
          <w:kern w:val="0"/>
          <w:sz w:val="44"/>
          <w:szCs w:val="44"/>
          <w:lang w:eastAsia="zh-CN"/>
        </w:rPr>
      </w:pPr>
      <w:r>
        <w:rPr>
          <w:rFonts w:ascii="方正小标宋简体" w:eastAsia="方正小标宋简体" w:cs="方正小标宋简体" w:hAnsi="方正小标宋简体" w:hint="eastAsia"/>
          <w:b w:val="0"/>
          <w:bCs w:val="0"/>
          <w:color w:val="000000"/>
          <w:kern w:val="0"/>
          <w:sz w:val="44"/>
          <w:szCs w:val="44"/>
        </w:rPr>
        <w:t>项目绩效目标完成情况表</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方正楷体简体" w:eastAsia="方正楷体简体" w:cs="方正楷体简体" w:hAnsi="方正楷体简体" w:hint="eastAsia"/>
          <w:b/>
          <w:bCs/>
          <w:color w:val="000000"/>
          <w:kern w:val="0"/>
          <w:sz w:val="32"/>
          <w:szCs w:val="32"/>
        </w:rPr>
      </w:pPr>
      <w:r>
        <w:rPr>
          <w:rFonts w:ascii="方正楷体简体" w:eastAsia="方正楷体简体" w:cs="方正楷体简体" w:hAnsi="方正楷体简体" w:hint="eastAsia"/>
          <w:color w:val="000000"/>
          <w:kern w:val="0"/>
          <w:sz w:val="32"/>
          <w:szCs w:val="32"/>
          <w:lang w:eastAsia="zh-CN"/>
        </w:rPr>
        <w:t>（</w:t>
      </w:r>
      <w:r>
        <w:rPr>
          <w:rFonts w:ascii="方正楷体简体" w:eastAsia="方正楷体简体" w:cs="方正楷体简体" w:hAnsi="方正楷体简体" w:hint="eastAsia"/>
          <w:color w:val="000000"/>
          <w:kern w:val="0"/>
          <w:sz w:val="32"/>
          <w:szCs w:val="32"/>
        </w:rPr>
        <w:t>2020年度</w:t>
      </w:r>
      <w:r>
        <w:rPr>
          <w:rFonts w:ascii="方正楷体简体" w:eastAsia="方正楷体简体" w:cs="方正楷体简体" w:hAnsi="方正楷体简体" w:hint="eastAsia"/>
          <w:color w:val="000000"/>
          <w:kern w:val="0"/>
          <w:sz w:val="32"/>
          <w:szCs w:val="32"/>
          <w:lang w:eastAsia="zh-CN"/>
        </w:rPr>
        <w:t>）</w:t>
      </w:r>
    </w:p>
    <w:tbl>
      <w:tblPr>
        <w:jc w:val="cente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580"/>
        <w:gridCol w:w="1177"/>
        <w:gridCol w:w="1025"/>
        <w:gridCol w:w="2392"/>
        <w:gridCol w:w="2394"/>
        <w:gridCol w:w="1949"/>
      </w:tblGrid>
      <w:tr>
        <w:trPr>
          <w:trHeight w:val="534"/>
        </w:trPr>
        <w:tc>
          <w:tcPr>
            <w:tcW w:w="2782" w:type="dxa"/>
            <w:gridSpan w:val="3"/>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项目名称</w:t>
            </w:r>
          </w:p>
        </w:tc>
        <w:tc>
          <w:tcPr>
            <w:tcW w:w="6735" w:type="dxa"/>
            <w:gridSpan w:val="3"/>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sz w:val="21"/>
                <w:szCs w:val="21"/>
                <w:lang w:eastAsia="zh-CN"/>
              </w:rPr>
              <w:t>基本公共卫生服务</w:t>
            </w:r>
          </w:p>
        </w:tc>
      </w:tr>
      <w:tr>
        <w:trPr>
          <w:trHeight w:val="550"/>
        </w:trPr>
        <w:tc>
          <w:tcPr>
            <w:tcW w:w="2782" w:type="dxa"/>
            <w:gridSpan w:val="3"/>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预算单位</w:t>
            </w:r>
          </w:p>
        </w:tc>
        <w:tc>
          <w:tcPr>
            <w:tcW w:w="6735" w:type="dxa"/>
            <w:gridSpan w:val="3"/>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eastAsia="zh-CN"/>
              </w:rPr>
              <w:t>利州区公共卫生指导中心</w:t>
            </w:r>
          </w:p>
        </w:tc>
      </w:tr>
      <w:tr>
        <w:trPr>
          <w:trHeight w:val="534"/>
        </w:trPr>
        <w:tc>
          <w:tcPr>
            <w:tcW w:w="580" w:type="dxa"/>
            <w:vMerge w:val="restart"/>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预算执行情况(万元)</w:t>
            </w:r>
          </w:p>
        </w:tc>
        <w:tc>
          <w:tcPr>
            <w:tcW w:w="2202" w:type="dxa"/>
            <w:gridSpan w:val="2"/>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预算数:</w:t>
            </w:r>
          </w:p>
        </w:tc>
        <w:tc>
          <w:tcPr>
            <w:tcW w:w="2392"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lang w:val="en-US" w:eastAsia="zh-CN"/>
              </w:rPr>
            </w:pPr>
            <w:r>
              <w:rPr>
                <w:rFonts w:ascii="宋体" w:eastAsia="宋体" w:cs="宋体" w:hAnsi="宋体" w:hint="eastAsia"/>
                <w:color w:val="000000"/>
                <w:sz w:val="21"/>
                <w:szCs w:val="21"/>
                <w:lang w:val="en-US" w:eastAsia="zh-CN"/>
              </w:rPr>
              <w:t>70</w:t>
            </w:r>
          </w:p>
        </w:tc>
        <w:tc>
          <w:tcPr>
            <w:tcW w:w="2394"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执行数:</w:t>
            </w:r>
          </w:p>
        </w:tc>
        <w:tc>
          <w:tcPr>
            <w:tcW w:w="1949" w:type="dxa"/>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lang w:val="en-US" w:eastAsia="zh-CN"/>
              </w:rPr>
            </w:pPr>
            <w:r>
              <w:rPr>
                <w:rFonts w:ascii="宋体" w:eastAsia="宋体" w:cs="宋体" w:hAnsi="宋体" w:hint="eastAsia"/>
                <w:color w:val="000000"/>
                <w:sz w:val="21"/>
                <w:szCs w:val="21"/>
                <w:lang w:val="en-US" w:eastAsia="zh-CN"/>
              </w:rPr>
              <w:t>70</w:t>
            </w:r>
          </w:p>
        </w:tc>
      </w:tr>
      <w:tr>
        <w:trPr>
          <w:trHeight w:val="489"/>
        </w:trPr>
        <w:tc>
          <w:tcPr>
            <w:tcW w:w="580" w:type="dxa"/>
            <w:vMerge/>
            <w:tcMar>
              <w:top w:w="15" w:type="dxa"/>
              <w:left w:w="15" w:type="dxa"/>
              <w:right w:w="15" w:type="dxa"/>
            </w:tcMar>
            <w:vAlign w:val="center"/>
          </w:tcPr>
          <w:p/>
        </w:tc>
        <w:tc>
          <w:tcPr>
            <w:tcW w:w="2202" w:type="dxa"/>
            <w:gridSpan w:val="2"/>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其中-财政拨款:</w:t>
            </w:r>
          </w:p>
        </w:tc>
        <w:tc>
          <w:tcPr>
            <w:tcW w:w="2392"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lang w:val="en-US" w:eastAsia="zh-CN"/>
              </w:rPr>
            </w:pPr>
            <w:r>
              <w:rPr>
                <w:rFonts w:ascii="宋体" w:eastAsia="宋体" w:cs="宋体" w:hAnsi="宋体" w:hint="eastAsia"/>
                <w:color w:val="000000"/>
                <w:sz w:val="21"/>
                <w:szCs w:val="21"/>
                <w:lang w:val="en-US" w:eastAsia="zh-CN"/>
              </w:rPr>
              <w:t>70</w:t>
            </w:r>
          </w:p>
        </w:tc>
        <w:tc>
          <w:tcPr>
            <w:tcW w:w="2394"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其中-财政拨款:</w:t>
            </w:r>
          </w:p>
        </w:tc>
        <w:tc>
          <w:tcPr>
            <w:tcW w:w="1949" w:type="dxa"/>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lang w:val="en-US" w:eastAsia="zh-CN"/>
              </w:rPr>
            </w:pPr>
            <w:r>
              <w:rPr>
                <w:rFonts w:ascii="宋体" w:eastAsia="宋体" w:cs="宋体" w:hAnsi="宋体" w:hint="eastAsia"/>
                <w:color w:val="000000"/>
                <w:sz w:val="21"/>
                <w:szCs w:val="21"/>
                <w:lang w:val="en-US" w:eastAsia="zh-CN"/>
              </w:rPr>
              <w:t>70</w:t>
            </w:r>
          </w:p>
        </w:tc>
      </w:tr>
      <w:tr>
        <w:trPr>
          <w:trHeight w:val="360"/>
        </w:trPr>
        <w:tc>
          <w:tcPr>
            <w:tcW w:w="580" w:type="dxa"/>
            <w:vMerge/>
            <w:tcMar>
              <w:top w:w="15" w:type="dxa"/>
              <w:left w:w="15" w:type="dxa"/>
              <w:right w:w="15" w:type="dxa"/>
            </w:tcMar>
            <w:vAlign w:val="center"/>
          </w:tcPr>
          <w:p/>
        </w:tc>
        <w:tc>
          <w:tcPr>
            <w:tcW w:w="2202" w:type="dxa"/>
            <w:gridSpan w:val="2"/>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其它资金:</w:t>
            </w:r>
          </w:p>
        </w:tc>
        <w:tc>
          <w:tcPr>
            <w:tcW w:w="2392"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both"/>
              <w:textAlignment w:val="center"/>
              <w:rPr>
                <w:rFonts w:ascii="宋体" w:eastAsia="宋体" w:cs="宋体" w:hAnsi="宋体" w:hint="eastAsia"/>
                <w:color w:val="000000"/>
                <w:sz w:val="21"/>
                <w:szCs w:val="21"/>
              </w:rPr>
            </w:pPr>
          </w:p>
        </w:tc>
        <w:tc>
          <w:tcPr>
            <w:tcW w:w="2394"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其它资金:</w:t>
            </w:r>
          </w:p>
        </w:tc>
        <w:tc>
          <w:tcPr>
            <w:tcW w:w="1949" w:type="dxa"/>
            <w:tcMar>
              <w:top w:w="15" w:type="dxa"/>
              <w:left w:w="15" w:type="dxa"/>
              <w:right w:w="15" w:type="dxa"/>
            </w:tcMar>
            <w:vAlign w:val="center"/>
          </w:tcPr>
          <w:p>
            <w:pPr>
              <w:jc w:val="center"/>
              <w:rPr>
                <w:rFonts w:ascii="宋体" w:eastAsia="宋体" w:cs="宋体" w:hAnsi="宋体" w:hint="eastAsia"/>
                <w:color w:val="000000"/>
                <w:sz w:val="21"/>
                <w:szCs w:val="21"/>
              </w:rPr>
            </w:pPr>
          </w:p>
        </w:tc>
      </w:tr>
      <w:tr>
        <w:trPr>
          <w:trHeight w:val="276"/>
        </w:trPr>
        <w:tc>
          <w:tcPr>
            <w:tcW w:w="580" w:type="dxa"/>
            <w:vMerge w:val="restart"/>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年度目标完成情况</w:t>
            </w:r>
          </w:p>
        </w:tc>
        <w:tc>
          <w:tcPr>
            <w:tcW w:w="4594" w:type="dxa"/>
            <w:gridSpan w:val="3"/>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预期目标</w:t>
            </w:r>
          </w:p>
        </w:tc>
        <w:tc>
          <w:tcPr>
            <w:tcW w:w="4343" w:type="dxa"/>
            <w:gridSpan w:val="2"/>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实际完成目标</w:t>
            </w:r>
          </w:p>
        </w:tc>
      </w:tr>
      <w:tr>
        <w:trPr>
          <w:trHeight w:val="1159"/>
        </w:trPr>
        <w:tc>
          <w:tcPr>
            <w:tcW w:w="580" w:type="dxa"/>
            <w:vMerge/>
            <w:tcMar>
              <w:top w:w="15" w:type="dxa"/>
              <w:left w:w="15" w:type="dxa"/>
              <w:right w:w="15" w:type="dxa"/>
            </w:tcMar>
            <w:vAlign w:val="center"/>
          </w:tcPr>
          <w:p/>
        </w:tc>
        <w:tc>
          <w:tcPr>
            <w:tcW w:w="4594" w:type="dxa"/>
            <w:gridSpan w:val="3"/>
            <w:tcBorders>
              <w:top w:val="single" w:sz="4" w:space="0" w:color="auto"/>
              <w:left w:val="single" w:sz="4" w:space="0" w:color="auto"/>
              <w:right w:val="single" w:sz="4" w:space="0" w:color="auto"/>
            </w:tcBorders>
            <w:tcMar>
              <w:top w:w="15" w:type="dxa"/>
              <w:left w:w="15" w:type="dxa"/>
              <w:right w:w="15" w:type="dxa"/>
            </w:tcMar>
            <w:vAlign w:val="center"/>
          </w:tcPr>
          <w:p>
            <w:pPr>
              <w:widowControl/>
              <w:jc w:val="both"/>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sz w:val="21"/>
                <w:szCs w:val="21"/>
                <w:lang w:val="en-US" w:eastAsia="zh-CN"/>
              </w:rPr>
              <w:t xml:space="preserve">规范项目管理，提升服务质量，对全区基层医疗机构开展基本公共卫生服务项目技术指导、人员培训、督查和绩效考核工作，做好全区基本公共卫生服务项目信息收集、分析、报送工作，加强项目宣传，提高群众满意度和知晓率。                                                                                                   </w:t>
            </w:r>
          </w:p>
        </w:tc>
        <w:tc>
          <w:tcPr>
            <w:tcW w:w="4343" w:type="dxa"/>
            <w:gridSpan w:val="2"/>
            <w:tcMar>
              <w:top w:w="15" w:type="dxa"/>
              <w:left w:w="15" w:type="dxa"/>
              <w:right w:w="15" w:type="dxa"/>
            </w:tcMar>
            <w:vAlign w:val="center"/>
          </w:tcPr>
          <w:p>
            <w:pPr>
              <w:pStyle w:val="16"/>
              <w:ind w:leftChars="0" w:left="0" w:firstLineChars="0" w:firstLine="0"/>
              <w:jc w:val="left"/>
              <w:rPr>
                <w:rFonts w:ascii="宋体" w:eastAsia="宋体" w:cs="宋体" w:hAnsi="宋体" w:hint="eastAsia"/>
                <w:color w:val="000000"/>
                <w:kern w:val="2"/>
                <w:sz w:val="21"/>
                <w:szCs w:val="21"/>
                <w:lang w:val="en-US" w:eastAsia="zh-CN" w:bidi="ar-SA"/>
              </w:rPr>
            </w:pPr>
            <w:r>
              <w:rPr>
                <w:rFonts w:ascii="宋体" w:eastAsia="宋体" w:cs="宋体" w:hAnsi="宋体" w:hint="eastAsia"/>
                <w:kern w:val="2"/>
                <w:sz w:val="21"/>
                <w:szCs w:val="21"/>
                <w:lang w:val="en-US" w:eastAsia="zh-CN" w:bidi="ar-SA"/>
              </w:rPr>
              <w:t xml:space="preserve">规范项目管理，提升服务质量，对全区基层医疗机构开展基本公共卫生服务项目技术指导、人员培训、督查和绩效考核工作，做好全区基本公共卫生服务项目信息收集、分析、报送工作，加强项目宣传，提高群众满意度和知晓率。 </w:t>
            </w:r>
            <w:r>
              <w:rPr>
                <w:rFonts w:ascii="宋体" w:eastAsia="宋体" w:cs="宋体" w:hAnsi="宋体" w:hint="eastAsia"/>
                <w:sz w:val="21"/>
                <w:szCs w:val="21"/>
                <w:lang w:val="en-US" w:eastAsia="zh-CN"/>
              </w:rPr>
              <w:t xml:space="preserve">  </w:t>
            </w:r>
          </w:p>
        </w:tc>
      </w:tr>
      <w:tr>
        <w:trPr>
          <w:trHeight w:val="713"/>
        </w:trPr>
        <w:tc>
          <w:tcPr>
            <w:tcW w:w="580" w:type="dxa"/>
            <w:vMerge w:val="restart"/>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sz w:val="21"/>
                <w:szCs w:val="21"/>
              </w:rPr>
              <w:t>绩效指标完成情况</w:t>
            </w:r>
          </w:p>
        </w:tc>
        <w:tc>
          <w:tcPr>
            <w:tcW w:w="1177"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一级指标</w:t>
            </w:r>
          </w:p>
        </w:tc>
        <w:tc>
          <w:tcPr>
            <w:tcW w:w="1025"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二级指标</w:t>
            </w:r>
          </w:p>
        </w:tc>
        <w:tc>
          <w:tcPr>
            <w:tcW w:w="2392"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三级指标</w:t>
            </w:r>
          </w:p>
        </w:tc>
        <w:tc>
          <w:tcPr>
            <w:tcW w:w="2394"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预期指标值(包含数字及文字描述)</w:t>
            </w:r>
          </w:p>
        </w:tc>
        <w:tc>
          <w:tcPr>
            <w:tcW w:w="1949" w:type="dxa"/>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实际完成指标值(包含数字及文字描述)</w:t>
            </w:r>
          </w:p>
        </w:tc>
      </w:tr>
      <w:tr>
        <w:trPr>
          <w:trHeight w:val="953"/>
        </w:trPr>
        <w:tc>
          <w:tcPr>
            <w:tcW w:w="580" w:type="dxa"/>
            <w:vMerge/>
            <w:tcMar>
              <w:top w:w="15" w:type="dxa"/>
              <w:left w:w="15" w:type="dxa"/>
              <w:right w:w="15" w:type="dxa"/>
            </w:tcMar>
            <w:vAlign w:val="center"/>
          </w:tcPr>
          <w:p/>
        </w:tc>
        <w:tc>
          <w:tcPr>
            <w:tcW w:w="1177"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项目完成指标</w:t>
            </w:r>
          </w:p>
        </w:tc>
        <w:tc>
          <w:tcPr>
            <w:tcW w:w="1025"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rPr>
              <w:t>数量指标</w:t>
            </w:r>
          </w:p>
        </w:tc>
        <w:tc>
          <w:tcPr>
            <w:tcW w:w="2392" w:type="dxa"/>
            <w:tcBorders>
              <w:top w:val="single" w:sz="4" w:space="0" w:color="auto"/>
              <w:left w:val="single" w:sz="4" w:space="0" w:color="auto"/>
              <w:right w:val="single" w:sz="4" w:space="0" w:color="auto"/>
            </w:tcBorders>
            <w:tcMar>
              <w:top w:w="15" w:type="dxa"/>
              <w:left w:w="15" w:type="dxa"/>
              <w:right w:w="15" w:type="dxa"/>
            </w:tcMar>
            <w:vAlign w:val="center"/>
          </w:tcPr>
          <w:p>
            <w:pPr>
              <w:pStyle w:val="16"/>
              <w:ind w:leftChars="0" w:left="0" w:firstLineChars="200" w:firstLine="420"/>
              <w:rPr>
                <w:rFonts w:ascii="宋体" w:eastAsia="宋体" w:cs="宋体" w:hAnsi="宋体" w:hint="eastAsia"/>
                <w:kern w:val="2"/>
                <w:sz w:val="21"/>
                <w:szCs w:val="21"/>
                <w:lang w:val="en-US" w:eastAsia="zh-CN" w:bidi="ar-SA"/>
              </w:rPr>
            </w:pPr>
            <w:r>
              <w:rPr>
                <w:rFonts w:ascii="宋体" w:eastAsia="宋体" w:cs="宋体" w:hAnsi="宋体" w:hint="eastAsia"/>
                <w:sz w:val="21"/>
                <w:szCs w:val="21"/>
                <w:lang w:val="en-US" w:eastAsia="zh-CN"/>
              </w:rPr>
              <w:t>指导与督导</w:t>
            </w:r>
          </w:p>
        </w:tc>
        <w:tc>
          <w:tcPr>
            <w:tcW w:w="2394"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val="en-US" w:eastAsia="zh-CN"/>
              </w:rPr>
              <w:t>≥4次</w:t>
            </w:r>
          </w:p>
        </w:tc>
        <w:tc>
          <w:tcPr>
            <w:tcW w:w="1949" w:type="dxa"/>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val="en-US" w:eastAsia="zh-CN"/>
              </w:rPr>
              <w:t>≥4次</w:t>
            </w:r>
          </w:p>
        </w:tc>
      </w:tr>
      <w:tr>
        <w:trPr>
          <w:trHeight w:val="872"/>
        </w:trPr>
        <w:tc>
          <w:tcPr>
            <w:tcW w:w="580" w:type="dxa"/>
            <w:vMerge/>
            <w:tcMar>
              <w:top w:w="15" w:type="dxa"/>
              <w:left w:w="15" w:type="dxa"/>
              <w:right w:w="15" w:type="dxa"/>
            </w:tcMar>
            <w:vAlign w:val="center"/>
          </w:tcPr>
          <w:p/>
        </w:tc>
        <w:tc>
          <w:tcPr>
            <w:tcW w:w="1177"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项目完成指标</w:t>
            </w:r>
          </w:p>
        </w:tc>
        <w:tc>
          <w:tcPr>
            <w:tcW w:w="1025"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eastAsia="zh-CN"/>
              </w:rPr>
              <w:t>数</w:t>
            </w:r>
            <w:r>
              <w:rPr>
                <w:rFonts w:ascii="宋体" w:eastAsia="宋体" w:cs="宋体" w:hAnsi="宋体" w:hint="eastAsia"/>
                <w:color w:val="000000"/>
                <w:sz w:val="21"/>
                <w:szCs w:val="21"/>
              </w:rPr>
              <w:t>量指标</w:t>
            </w:r>
          </w:p>
        </w:tc>
        <w:tc>
          <w:tcPr>
            <w:tcW w:w="2392"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eastAsia="zh-CN"/>
              </w:rPr>
              <w:t>业务培训</w:t>
            </w:r>
          </w:p>
        </w:tc>
        <w:tc>
          <w:tcPr>
            <w:tcW w:w="2394" w:type="dxa"/>
            <w:tcBorders>
              <w:top w:val="single" w:sz="4" w:space="0" w:color="auto"/>
              <w:left w:val="single" w:sz="4" w:space="0" w:color="auto"/>
              <w:right w:val="single" w:sz="4" w:space="0" w:color="auto"/>
            </w:tcBorders>
            <w:tcMar>
              <w:top w:w="15" w:type="dxa"/>
              <w:left w:w="15" w:type="dxa"/>
              <w:right w:w="15" w:type="dxa"/>
            </w:tcMar>
            <w:vAlign w:val="center"/>
          </w:tcPr>
          <w:p>
            <w:pPr>
              <w:widowControl/>
              <w:ind w:firstLineChars="400" w:firstLine="840"/>
              <w:jc w:val="both"/>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val="en-US" w:eastAsia="zh-CN"/>
              </w:rPr>
              <w:t>≥4次</w:t>
            </w:r>
          </w:p>
        </w:tc>
        <w:tc>
          <w:tcPr>
            <w:tcW w:w="1949" w:type="dxa"/>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val="en-US" w:eastAsia="zh-CN"/>
              </w:rPr>
              <w:t>≥4次</w:t>
            </w:r>
          </w:p>
        </w:tc>
      </w:tr>
      <w:tr>
        <w:trPr>
          <w:trHeight w:val="800"/>
        </w:trPr>
        <w:tc>
          <w:tcPr>
            <w:tcW w:w="580" w:type="dxa"/>
            <w:vMerge/>
            <w:tcMar>
              <w:top w:w="15" w:type="dxa"/>
              <w:left w:w="15" w:type="dxa"/>
              <w:right w:w="15" w:type="dxa"/>
            </w:tcMar>
            <w:vAlign w:val="center"/>
          </w:tcPr>
          <w:p/>
        </w:tc>
        <w:tc>
          <w:tcPr>
            <w:tcW w:w="1177"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项目完成指标</w:t>
            </w:r>
          </w:p>
        </w:tc>
        <w:tc>
          <w:tcPr>
            <w:tcW w:w="1025"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eastAsia="zh-CN"/>
              </w:rPr>
              <w:t>质量</w:t>
            </w:r>
            <w:r>
              <w:rPr>
                <w:rFonts w:ascii="宋体" w:eastAsia="宋体" w:cs="宋体" w:hAnsi="宋体" w:hint="eastAsia"/>
                <w:color w:val="000000"/>
                <w:sz w:val="21"/>
                <w:szCs w:val="21"/>
              </w:rPr>
              <w:t>指标</w:t>
            </w:r>
          </w:p>
        </w:tc>
        <w:tc>
          <w:tcPr>
            <w:tcW w:w="2392"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eastAsia="zh-CN"/>
              </w:rPr>
              <w:t>绩效评价</w:t>
            </w:r>
          </w:p>
        </w:tc>
        <w:tc>
          <w:tcPr>
            <w:tcW w:w="2394"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val="en-US" w:eastAsia="zh-CN"/>
              </w:rPr>
              <w:t>≥1次</w:t>
            </w:r>
          </w:p>
        </w:tc>
        <w:tc>
          <w:tcPr>
            <w:tcW w:w="1949" w:type="dxa"/>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val="en-US" w:eastAsia="zh-CN"/>
              </w:rPr>
              <w:t>≥1次</w:t>
            </w:r>
          </w:p>
        </w:tc>
      </w:tr>
      <w:tr>
        <w:trPr>
          <w:trHeight w:val="717"/>
        </w:trPr>
        <w:tc>
          <w:tcPr>
            <w:tcW w:w="580" w:type="dxa"/>
            <w:vMerge/>
            <w:tcMar>
              <w:top w:w="15" w:type="dxa"/>
              <w:left w:w="15" w:type="dxa"/>
              <w:right w:w="15" w:type="dxa"/>
            </w:tcMar>
            <w:vAlign w:val="center"/>
          </w:tcPr>
          <w:p/>
        </w:tc>
        <w:tc>
          <w:tcPr>
            <w:tcW w:w="1177"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项目完成指标</w:t>
            </w:r>
          </w:p>
        </w:tc>
        <w:tc>
          <w:tcPr>
            <w:tcW w:w="1025"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eastAsia="zh-CN"/>
              </w:rPr>
              <w:t>时效</w:t>
            </w:r>
            <w:r>
              <w:rPr>
                <w:rFonts w:ascii="宋体" w:eastAsia="宋体" w:cs="宋体" w:hAnsi="宋体" w:hint="eastAsia"/>
                <w:color w:val="000000"/>
                <w:sz w:val="21"/>
                <w:szCs w:val="21"/>
              </w:rPr>
              <w:t>指标</w:t>
            </w:r>
          </w:p>
        </w:tc>
        <w:tc>
          <w:tcPr>
            <w:tcW w:w="2392"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eastAsia="zh-CN"/>
              </w:rPr>
              <w:t>信息报送</w:t>
            </w:r>
          </w:p>
        </w:tc>
        <w:tc>
          <w:tcPr>
            <w:tcW w:w="2394"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val="en-US" w:eastAsia="zh-CN"/>
              </w:rPr>
              <w:t>≥12次</w:t>
            </w:r>
          </w:p>
        </w:tc>
        <w:tc>
          <w:tcPr>
            <w:tcW w:w="1949" w:type="dxa"/>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val="en-US" w:eastAsia="zh-CN"/>
              </w:rPr>
              <w:t>≥12次</w:t>
            </w:r>
          </w:p>
        </w:tc>
      </w:tr>
      <w:tr>
        <w:trPr>
          <w:trHeight w:val="667"/>
        </w:trPr>
        <w:tc>
          <w:tcPr>
            <w:tcW w:w="580" w:type="dxa"/>
            <w:vMerge/>
            <w:tcMar>
              <w:top w:w="15" w:type="dxa"/>
              <w:left w:w="15" w:type="dxa"/>
              <w:right w:w="15" w:type="dxa"/>
            </w:tcMar>
            <w:vAlign w:val="center"/>
          </w:tcPr>
          <w:p/>
        </w:tc>
        <w:tc>
          <w:tcPr>
            <w:tcW w:w="1177"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效益指标</w:t>
            </w:r>
          </w:p>
        </w:tc>
        <w:tc>
          <w:tcPr>
            <w:tcW w:w="1025"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sz w:val="21"/>
                <w:szCs w:val="21"/>
              </w:rPr>
              <w:t>经济效益</w:t>
            </w:r>
          </w:p>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rPr>
              <w:t>指标</w:t>
            </w:r>
          </w:p>
        </w:tc>
        <w:tc>
          <w:tcPr>
            <w:tcW w:w="2392"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eastAsia="zh-CN"/>
              </w:rPr>
              <w:t>宣传资料种类</w:t>
            </w:r>
          </w:p>
        </w:tc>
        <w:tc>
          <w:tcPr>
            <w:tcW w:w="2394"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val="en-US" w:eastAsia="zh-CN"/>
              </w:rPr>
              <w:t>≥12种</w:t>
            </w:r>
          </w:p>
        </w:tc>
        <w:tc>
          <w:tcPr>
            <w:tcW w:w="1949" w:type="dxa"/>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val="en-US" w:eastAsia="zh-CN"/>
              </w:rPr>
              <w:t>≥12种</w:t>
            </w:r>
          </w:p>
        </w:tc>
      </w:tr>
      <w:tr>
        <w:trPr>
          <w:trHeight w:val="1042"/>
        </w:trPr>
        <w:tc>
          <w:tcPr>
            <w:tcW w:w="580" w:type="dxa"/>
            <w:vMerge/>
            <w:tcMar>
              <w:top w:w="15" w:type="dxa"/>
              <w:left w:w="15" w:type="dxa"/>
              <w:right w:w="15" w:type="dxa"/>
            </w:tcMar>
            <w:vAlign w:val="center"/>
          </w:tcPr>
          <w:p/>
        </w:tc>
        <w:tc>
          <w:tcPr>
            <w:tcW w:w="1177"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效益指标</w:t>
            </w:r>
          </w:p>
        </w:tc>
        <w:tc>
          <w:tcPr>
            <w:tcW w:w="1025"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sz w:val="21"/>
                <w:szCs w:val="21"/>
              </w:rPr>
              <w:t>社会效益</w:t>
            </w:r>
          </w:p>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rPr>
              <w:t>指标</w:t>
            </w:r>
          </w:p>
        </w:tc>
        <w:tc>
          <w:tcPr>
            <w:tcW w:w="2392"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rPr>
              <w:t>群众知晓率</w:t>
            </w:r>
          </w:p>
        </w:tc>
        <w:tc>
          <w:tcPr>
            <w:tcW w:w="2394"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val="en-US" w:eastAsia="zh-CN"/>
              </w:rPr>
              <w:t>≥</w:t>
            </w:r>
            <w:r>
              <w:rPr>
                <w:rFonts w:ascii="宋体" w:eastAsia="宋体" w:cs="宋体" w:hAnsi="宋体" w:hint="eastAsia"/>
                <w:color w:val="000000"/>
                <w:sz w:val="21"/>
                <w:szCs w:val="21"/>
              </w:rPr>
              <w:t>90%</w:t>
            </w:r>
          </w:p>
        </w:tc>
        <w:tc>
          <w:tcPr>
            <w:tcW w:w="1949" w:type="dxa"/>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val="en-US" w:eastAsia="zh-CN"/>
              </w:rPr>
              <w:t>≥</w:t>
            </w:r>
            <w:r>
              <w:rPr>
                <w:rFonts w:ascii="宋体" w:eastAsia="宋体" w:cs="宋体" w:hAnsi="宋体" w:hint="eastAsia"/>
                <w:color w:val="000000"/>
                <w:sz w:val="21"/>
                <w:szCs w:val="21"/>
              </w:rPr>
              <w:t>90%</w:t>
            </w:r>
          </w:p>
        </w:tc>
      </w:tr>
      <w:tr>
        <w:trPr>
          <w:trHeight w:val="751"/>
        </w:trPr>
        <w:tc>
          <w:tcPr>
            <w:tcW w:w="580" w:type="dxa"/>
            <w:vMerge/>
            <w:tcMar>
              <w:top w:w="15" w:type="dxa"/>
              <w:left w:w="15" w:type="dxa"/>
              <w:right w:w="15" w:type="dxa"/>
            </w:tcMar>
            <w:vAlign w:val="center"/>
          </w:tcPr>
          <w:p/>
        </w:tc>
        <w:tc>
          <w:tcPr>
            <w:tcW w:w="1177"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满意度指标</w:t>
            </w:r>
          </w:p>
        </w:tc>
        <w:tc>
          <w:tcPr>
            <w:tcW w:w="1025"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rPr>
              <w:t>满意度指标</w:t>
            </w:r>
          </w:p>
        </w:tc>
        <w:tc>
          <w:tcPr>
            <w:tcW w:w="2392"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eastAsia="zh-CN"/>
              </w:rPr>
              <w:t>群众</w:t>
            </w:r>
            <w:r>
              <w:rPr>
                <w:rFonts w:ascii="宋体" w:eastAsia="宋体" w:cs="宋体" w:hAnsi="宋体" w:hint="eastAsia"/>
                <w:color w:val="000000"/>
                <w:sz w:val="21"/>
                <w:szCs w:val="21"/>
              </w:rPr>
              <w:t>满意度</w:t>
            </w:r>
          </w:p>
        </w:tc>
        <w:tc>
          <w:tcPr>
            <w:tcW w:w="2394"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val="en-US" w:eastAsia="zh-CN"/>
              </w:rPr>
              <w:t>≥</w:t>
            </w:r>
            <w:r>
              <w:rPr>
                <w:rFonts w:ascii="宋体" w:eastAsia="宋体" w:cs="宋体" w:hAnsi="宋体" w:hint="eastAsia"/>
                <w:color w:val="000000"/>
                <w:sz w:val="21"/>
                <w:szCs w:val="21"/>
              </w:rPr>
              <w:t>90%</w:t>
            </w:r>
          </w:p>
        </w:tc>
        <w:tc>
          <w:tcPr>
            <w:tcW w:w="1949" w:type="dxa"/>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1"/>
                <w:szCs w:val="21"/>
                <w:lang w:val="en-US" w:eastAsia="zh-CN" w:bidi="ar-SA"/>
              </w:rPr>
            </w:pPr>
            <w:r>
              <w:rPr>
                <w:rFonts w:ascii="宋体" w:eastAsia="宋体" w:cs="宋体" w:hAnsi="宋体" w:hint="eastAsia"/>
                <w:color w:val="000000"/>
                <w:sz w:val="21"/>
                <w:szCs w:val="21"/>
                <w:lang w:val="en-US" w:eastAsia="zh-CN"/>
              </w:rPr>
              <w:t>≥</w:t>
            </w:r>
            <w:r>
              <w:rPr>
                <w:rFonts w:ascii="宋体" w:eastAsia="宋体" w:cs="宋体" w:hAnsi="宋体" w:hint="eastAsia"/>
                <w:color w:val="000000"/>
                <w:sz w:val="21"/>
                <w:szCs w:val="21"/>
              </w:rPr>
              <w:t>90%</w:t>
            </w:r>
          </w:p>
        </w:tc>
      </w:tr>
    </w:tbl>
    <w:p>
      <w:pPr>
        <w:keepNext w:val="0"/>
        <w:keepLines w:val="0"/>
        <w:pageBreakBefore w:val="0"/>
        <w:widowControl w:val="0"/>
        <w:kinsoku/>
        <w:wordWrap/>
        <w:overflowPunct/>
        <w:topLinePunct w:val="0"/>
        <w:bidi w:val="0"/>
        <w:spacing w:line="576"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2.部门绩效评价结果。</w:t>
      </w:r>
    </w:p>
    <w:p>
      <w:pPr>
        <w:keepNext w:val="0"/>
        <w:keepLines w:val="0"/>
        <w:pageBreakBefore w:val="0"/>
        <w:widowControl w:val="0"/>
        <w:kinsoku/>
        <w:wordWrap/>
        <w:overflowPunct/>
        <w:topLinePunct w:val="0"/>
        <w:bidi w:val="0"/>
        <w:spacing w:line="576"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本部门按要求对20</w:t>
      </w:r>
      <w:r>
        <w:rPr>
          <w:rFonts w:ascii="方正仿宋简体" w:eastAsia="方正仿宋简体" w:cs="方正仿宋简体" w:hAnsi="方正仿宋简体" w:hint="eastAsia"/>
          <w:sz w:val="32"/>
          <w:szCs w:val="32"/>
          <w:lang w:val="en-US" w:eastAsia="zh-CN"/>
        </w:rPr>
        <w:t>20</w:t>
      </w:r>
      <w:r>
        <w:rPr>
          <w:rFonts w:ascii="方正仿宋简体" w:eastAsia="方正仿宋简体" w:cs="方正仿宋简体" w:hAnsi="方正仿宋简体" w:hint="eastAsia"/>
          <w:sz w:val="32"/>
          <w:szCs w:val="32"/>
        </w:rPr>
        <w:t>年部门整体支出绩效评价情况开展自评，《</w:t>
      </w:r>
      <w:r>
        <w:rPr>
          <w:rFonts w:ascii="方正仿宋简体" w:eastAsia="方正仿宋简体" w:cs="方正仿宋简体" w:hAnsi="方正仿宋简体" w:hint="eastAsia"/>
          <w:sz w:val="32"/>
          <w:szCs w:val="32"/>
          <w:lang w:eastAsia="zh-CN"/>
        </w:rPr>
        <w:t>利州区公共卫生指导中心</w:t>
      </w:r>
      <w:r>
        <w:rPr>
          <w:rFonts w:ascii="方正仿宋简体" w:eastAsia="方正仿宋简体" w:cs="方正仿宋简体" w:hAnsi="方正仿宋简体" w:hint="eastAsia"/>
          <w:sz w:val="32"/>
          <w:szCs w:val="32"/>
        </w:rPr>
        <w:t>20</w:t>
      </w:r>
      <w:r>
        <w:rPr>
          <w:rFonts w:ascii="方正仿宋简体" w:eastAsia="方正仿宋简体" w:cs="方正仿宋简体" w:hAnsi="方正仿宋简体" w:hint="eastAsia"/>
          <w:sz w:val="32"/>
          <w:szCs w:val="32"/>
          <w:lang w:val="en-US" w:eastAsia="zh-CN"/>
        </w:rPr>
        <w:t>20</w:t>
      </w:r>
      <w:r>
        <w:rPr>
          <w:rFonts w:ascii="方正仿宋简体" w:eastAsia="方正仿宋简体" w:cs="方正仿宋简体" w:hAnsi="方正仿宋简体" w:hint="eastAsia"/>
          <w:sz w:val="32"/>
          <w:szCs w:val="32"/>
        </w:rPr>
        <w:t>年部门整体支出绩效评价报告》见附件（附件1）。</w:t>
      </w:r>
    </w:p>
    <w:p>
      <w:pPr>
        <w:keepNext w:val="0"/>
        <w:keepLines w:val="0"/>
        <w:pageBreakBefore w:val="0"/>
        <w:widowControl w:val="0"/>
        <w:kinsoku/>
        <w:wordWrap/>
        <w:overflowPunct/>
        <w:topLinePunct w:val="0"/>
        <w:bidi w:val="0"/>
        <w:spacing w:line="576" w:lineRule="exact"/>
        <w:ind w:left="0" w:firstLineChars="200" w:firstLine="640"/>
        <w:textAlignment w:val="auto"/>
        <w:rPr>
          <w:rFonts w:ascii="方正仿宋简体" w:eastAsia="方正仿宋简体" w:cs="方正仿宋简体" w:hAnsi="方正仿宋简体" w:hint="eastAsia"/>
          <w:b/>
          <w:color w:val="000000"/>
          <w:sz w:val="32"/>
          <w:szCs w:val="32"/>
        </w:rPr>
      </w:pPr>
      <w:r>
        <w:rPr>
          <w:rFonts w:ascii="方正仿宋简体" w:eastAsia="方正仿宋简体" w:cs="方正仿宋简体" w:hAnsi="方正仿宋简体" w:hint="eastAsia"/>
          <w:sz w:val="32"/>
          <w:szCs w:val="32"/>
        </w:rPr>
        <w:t>本部门自行组织对</w:t>
      </w:r>
      <w:r>
        <w:rPr>
          <w:rFonts w:ascii="方正仿宋简体" w:eastAsia="方正仿宋简体" w:cs="方正仿宋简体" w:hAnsi="方正仿宋简体" w:hint="eastAsia"/>
          <w:sz w:val="32"/>
          <w:szCs w:val="32"/>
          <w:lang w:eastAsia="zh-CN"/>
        </w:rPr>
        <w:t>《基本公共卫生服务》项目</w:t>
      </w:r>
      <w:r>
        <w:rPr>
          <w:rFonts w:ascii="方正仿宋简体" w:eastAsia="方正仿宋简体" w:cs="方正仿宋简体" w:hAnsi="方正仿宋简体" w:hint="eastAsia"/>
          <w:sz w:val="32"/>
          <w:szCs w:val="32"/>
        </w:rPr>
        <w:t>开展了绩效评价，《项目20</w:t>
      </w:r>
      <w:r>
        <w:rPr>
          <w:rFonts w:ascii="方正仿宋简体" w:eastAsia="方正仿宋简体" w:cs="方正仿宋简体" w:hAnsi="方正仿宋简体" w:hint="eastAsia"/>
          <w:sz w:val="32"/>
          <w:szCs w:val="32"/>
          <w:lang w:val="en-US" w:eastAsia="zh-CN"/>
        </w:rPr>
        <w:t>20</w:t>
      </w:r>
      <w:r>
        <w:rPr>
          <w:rFonts w:ascii="方正仿宋简体" w:eastAsia="方正仿宋简体" w:cs="方正仿宋简体" w:hAnsi="方正仿宋简体" w:hint="eastAsia"/>
          <w:sz w:val="32"/>
          <w:szCs w:val="32"/>
        </w:rPr>
        <w:t>年绩效评价报告》</w:t>
      </w:r>
      <w:r>
        <w:rPr>
          <w:rFonts w:ascii="方正仿宋简体" w:eastAsia="方正仿宋简体" w:cs="方正仿宋简体" w:hAnsi="方正仿宋简体" w:hint="eastAsia"/>
          <w:sz w:val="32"/>
          <w:szCs w:val="32"/>
          <w:lang w:eastAsia="zh-CN"/>
        </w:rPr>
        <w:t>详</w:t>
      </w:r>
      <w:r>
        <w:rPr>
          <w:rFonts w:ascii="方正仿宋简体" w:eastAsia="方正仿宋简体" w:cs="方正仿宋简体" w:hAnsi="方正仿宋简体" w:hint="eastAsia"/>
          <w:sz w:val="32"/>
          <w:szCs w:val="32"/>
        </w:rPr>
        <w:t>见附件（附件2）。</w:t>
      </w:r>
    </w:p>
    <w:p>
      <w:pPr>
        <w:keepNext w:val="0"/>
        <w:keepLines w:val="0"/>
        <w:pageBreakBefore w:val="0"/>
        <w:widowControl/>
        <w:kinsoku/>
        <w:wordWrap/>
        <w:overflowPunct/>
        <w:topLinePunct w:val="0"/>
        <w:bidi w:val="0"/>
        <w:spacing w:line="576" w:lineRule="exact"/>
        <w:ind w:left="0"/>
        <w:jc w:val="left"/>
        <w:textAlignment w:val="auto"/>
        <w:rPr>
          <w:rFonts w:ascii="方正仿宋简体" w:eastAsia="方正仿宋简体" w:cs="方正仿宋简体" w:hAnsi="方正仿宋简体" w:hint="eastAsia"/>
          <w:b/>
          <w:color w:val="000000"/>
          <w:sz w:val="32"/>
          <w:szCs w:val="32"/>
        </w:rPr>
      </w:pPr>
    </w:p>
    <w:p>
      <w:pPr>
        <w:keepNext w:val="0"/>
        <w:keepLines w:val="0"/>
        <w:pageBreakBefore w:val="0"/>
        <w:widowControl w:val="0"/>
        <w:kinsoku/>
        <w:wordWrap/>
        <w:overflowPunct/>
        <w:topLinePunct w:val="0"/>
        <w:bidi w:val="0"/>
        <w:spacing w:line="576" w:lineRule="exact"/>
        <w:ind w:left="0"/>
        <w:textAlignment w:val="auto"/>
        <w:rPr>
          <w:rStyle w:val="1Char"/>
          <w:rFonts w:ascii="方正仿宋简体" w:eastAsia="方正仿宋简体" w:cs="方正仿宋简体" w:hAnsi="方正仿宋简体" w:hint="eastAsia"/>
          <w:b w:val="0"/>
          <w:sz w:val="32"/>
          <w:szCs w:val="32"/>
        </w:rPr>
      </w:pPr>
      <w:bookmarkStart w:id="54" w:name="_Toc15377225"/>
      <w:bookmarkStart w:id="55" w:name="_Toc15396613"/>
      <w:r>
        <w:rPr>
          <w:rFonts w:ascii="方正仿宋简体" w:eastAsia="方正仿宋简体" w:cs="方正仿宋简体" w:hAnsi="方正仿宋简体" w:hint="eastAsia"/>
          <w:color w:val="000000"/>
          <w:sz w:val="32"/>
          <w:szCs w:val="32"/>
        </w:rPr>
        <w:br w:type="page"/>
      </w:r>
    </w:p>
    <w:p>
      <w:pPr>
        <w:keepNext w:val="0"/>
        <w:keepLines w:val="0"/>
        <w:pageBreakBefore w:val="0"/>
        <w:widowControl w:val="0"/>
        <w:kinsoku/>
        <w:wordWrap/>
        <w:overflowPunct/>
        <w:topLinePunct w:val="0"/>
        <w:bidi w:val="0"/>
        <w:spacing w:line="576" w:lineRule="exact"/>
        <w:ind w:left="0"/>
        <w:jc w:val="center"/>
        <w:textAlignment w:val="auto"/>
        <w:outlineLvl w:val="0"/>
        <w:rPr>
          <w:rStyle w:val="1Char"/>
          <w:rFonts w:ascii="方正小标宋简体" w:eastAsia="方正小标宋简体" w:cs="方正小标宋简体" w:hAnsi="方正小标宋简体" w:hint="eastAsia"/>
          <w:b w:val="0"/>
          <w:sz w:val="44"/>
          <w:szCs w:val="44"/>
        </w:rPr>
      </w:pPr>
      <w:bookmarkStart w:id="56" w:name="_Toc15396614"/>
      <w:bookmarkStart w:id="57" w:name="_Toc15377226"/>
      <w:bookmarkEnd w:id="54"/>
      <w:bookmarkEnd w:id="55"/>
      <w:r>
        <w:rPr>
          <w:rFonts w:ascii="方正小标宋简体" w:eastAsia="方正小标宋简体" w:cs="方正小标宋简体" w:hAnsi="方正小标宋简体" w:hint="eastAsia"/>
          <w:color w:val="000000"/>
          <w:sz w:val="44"/>
          <w:szCs w:val="44"/>
          <w:lang w:eastAsia="zh-CN"/>
        </w:rPr>
        <w:t>第三部分</w:t>
      </w:r>
      <w:r>
        <w:rPr>
          <w:rFonts w:ascii="方正小标宋简体" w:eastAsia="方正小标宋简体" w:cs="方正小标宋简体" w:hAnsi="方正小标宋简体" w:hint="eastAsia"/>
          <w:color w:val="000000"/>
          <w:sz w:val="44"/>
          <w:szCs w:val="44"/>
          <w:lang w:val="en-US" w:eastAsia="zh-CN"/>
        </w:rPr>
        <w:t xml:space="preserve">  </w:t>
      </w:r>
      <w:r>
        <w:rPr>
          <w:rFonts w:ascii="方正小标宋简体" w:eastAsia="方正小标宋简体" w:cs="方正小标宋简体" w:hAnsi="方正小标宋简体" w:hint="eastAsia"/>
          <w:color w:val="000000"/>
          <w:sz w:val="44"/>
          <w:szCs w:val="44"/>
        </w:rPr>
        <w:t>名</w:t>
      </w:r>
      <w:r>
        <w:rPr>
          <w:rStyle w:val="1Char"/>
          <w:rFonts w:ascii="方正小标宋简体" w:eastAsia="方正小标宋简体" w:cs="方正小标宋简体" w:hAnsi="方正小标宋简体" w:hint="eastAsia"/>
          <w:b w:val="0"/>
          <w:sz w:val="44"/>
          <w:szCs w:val="44"/>
        </w:rPr>
        <w:t>词解释</w:t>
      </w:r>
    </w:p>
    <w:p>
      <w:pPr>
        <w:pStyle w:val="16"/>
        <w:keepNext w:val="0"/>
        <w:keepLines w:val="0"/>
        <w:pageBreakBefore w:val="0"/>
        <w:widowControl w:val="0"/>
        <w:kinsoku/>
        <w:wordWrap/>
        <w:overflowPunct/>
        <w:topLinePunct w:val="0"/>
        <w:bidi w:val="0"/>
        <w:spacing w:line="576" w:lineRule="exact"/>
        <w:ind w:leftChars="0" w:left="0"/>
        <w:textAlignment w:val="auto"/>
        <w:rPr>
          <w:rFonts w:ascii="方正仿宋简体" w:eastAsia="方正仿宋简体" w:cs="方正仿宋简体" w:hAnsi="方正仿宋简体" w:hint="eastAsia"/>
          <w:sz w:val="32"/>
          <w:szCs w:val="32"/>
        </w:rPr>
      </w:pPr>
    </w:p>
    <w:p>
      <w:pPr>
        <w:pStyle w:val="25"/>
        <w:keepNext w:val="0"/>
        <w:keepLines w:val="0"/>
        <w:pageBreakBefore w:val="0"/>
        <w:widowControl w:val="0"/>
        <w:kinsoku/>
        <w:wordWrap/>
        <w:overflowPunct/>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1.财政拨款收入：指单位从同级财政部门取得的财政预算资金。</w:t>
      </w:r>
    </w:p>
    <w:p>
      <w:pPr>
        <w:pStyle w:val="25"/>
        <w:keepNext w:val="0"/>
        <w:keepLines w:val="0"/>
        <w:pageBreakBefore w:val="0"/>
        <w:widowControl w:val="0"/>
        <w:kinsoku/>
        <w:wordWrap/>
        <w:overflowPunct/>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2.事业收入：指事业单位开展专业业务活动及辅助活动取得的收入。</w:t>
      </w:r>
    </w:p>
    <w:p>
      <w:pPr>
        <w:pStyle w:val="25"/>
        <w:keepNext w:val="0"/>
        <w:keepLines w:val="0"/>
        <w:pageBreakBefore w:val="0"/>
        <w:widowControl w:val="0"/>
        <w:kinsoku/>
        <w:wordWrap/>
        <w:overflowPunct/>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3.经营收入：指事业单位在专业业务活动及其辅助活动之外开展非独立核算经营活动取得的收入。</w:t>
      </w:r>
    </w:p>
    <w:p>
      <w:pPr>
        <w:pStyle w:val="25"/>
        <w:keepNext w:val="0"/>
        <w:keepLines w:val="0"/>
        <w:pageBreakBefore w:val="0"/>
        <w:widowControl w:val="0"/>
        <w:kinsoku/>
        <w:wordWrap/>
        <w:overflowPunct/>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4.其他收入：指单位取得的除上述收入以外的各项收入。 </w:t>
      </w:r>
    </w:p>
    <w:p>
      <w:pPr>
        <w:pStyle w:val="25"/>
        <w:keepNext w:val="0"/>
        <w:keepLines w:val="0"/>
        <w:pageBreakBefore w:val="0"/>
        <w:widowControl w:val="0"/>
        <w:kinsoku/>
        <w:wordWrap/>
        <w:overflowPunct/>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5"/>
        <w:keepNext w:val="0"/>
        <w:keepLines w:val="0"/>
        <w:pageBreakBefore w:val="0"/>
        <w:widowControl w:val="0"/>
        <w:kinsoku/>
        <w:wordWrap/>
        <w:overflowPunct/>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6.年初结转和结余：指以前年度尚未完成、结转到本年按有关规定继续使用的资金。 </w:t>
      </w:r>
    </w:p>
    <w:p>
      <w:pPr>
        <w:pStyle w:val="25"/>
        <w:keepNext w:val="0"/>
        <w:keepLines w:val="0"/>
        <w:pageBreakBefore w:val="0"/>
        <w:widowControl w:val="0"/>
        <w:kinsoku/>
        <w:wordWrap/>
        <w:overflowPunct/>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7.结余分配：指事业单位按照事业单位会计制度的规定从非财政补助结余中分配的事业基金和职工福利基金等。</w:t>
      </w:r>
    </w:p>
    <w:p>
      <w:pPr>
        <w:pStyle w:val="25"/>
        <w:keepNext w:val="0"/>
        <w:keepLines w:val="0"/>
        <w:pageBreakBefore w:val="0"/>
        <w:widowControl w:val="0"/>
        <w:kinsoku/>
        <w:wordWrap/>
        <w:overflowPunct/>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8</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年末结转和结余：指单位按有关规定结转到下年或以后年度继续使用的资金。</w:t>
      </w:r>
    </w:p>
    <w:p>
      <w:pPr>
        <w:keepNext w:val="0"/>
        <w:keepLines w:val="0"/>
        <w:pageBreakBefore w:val="0"/>
        <w:widowControl w:val="0"/>
        <w:kinsoku/>
        <w:wordWrap/>
        <w:overflowPunct/>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000000"/>
          <w:sz w:val="32"/>
          <w:szCs w:val="32"/>
          <w14:textFill>
            <w14:solidFill>
              <w14:srgbClr w14:val="000000"/>
            </w14:solidFill>
          </w14:textFill>
        </w:rPr>
      </w:pPr>
      <w:r>
        <w:rPr>
          <w:rFonts w:ascii="方正仿宋简体" w:eastAsia="方正仿宋简体" w:cs="方正仿宋简体" w:hAnsi="方正仿宋简体" w:hint="eastAsia"/>
          <w:color w:val="000000"/>
          <w:sz w:val="32"/>
          <w:szCs w:val="32"/>
        </w:rPr>
        <w:t>9.</w:t>
      </w:r>
      <w:r>
        <w:rPr>
          <w:rFonts w:ascii="方正仿宋简体" w:eastAsia="方正仿宋简体" w:cs="方正仿宋简体" w:hAnsi="方正仿宋简体" w:hint="eastAsia"/>
          <w:color w:val="000000"/>
          <w:sz w:val="32"/>
          <w:szCs w:val="32"/>
          <w14:textFill>
            <w14:solidFill>
              <w14:srgbClr w14:val="000000"/>
            </w14:solidFill>
          </w14:textFill>
        </w:rPr>
        <w:t>社会保障和就业（类）</w:t>
      </w:r>
      <w:r>
        <w:rPr>
          <w:rStyle w:val="22"/>
          <w:rFonts w:ascii="方正仿宋简体" w:eastAsia="方正仿宋简体" w:cs="方正仿宋简体" w:hAnsi="方正仿宋简体" w:hint="eastAsia"/>
          <w:b w:val="0"/>
          <w:color w:val="000000"/>
          <w:sz w:val="32"/>
          <w:szCs w:val="32"/>
          <w14:textFill>
            <w14:solidFill>
              <w14:srgbClr w14:val="000000"/>
            </w14:solidFill>
          </w14:textFill>
        </w:rPr>
        <w:t>行政事业单位离退休（款）机关事业单位基本养老保险缴费支出（项）</w:t>
      </w:r>
      <w:r>
        <w:rPr>
          <w:rFonts w:ascii="方正仿宋简体" w:eastAsia="方正仿宋简体" w:cs="方正仿宋简体" w:hAnsi="方正仿宋简体" w:hint="eastAsia"/>
          <w:color w:val="000000"/>
          <w:sz w:val="32"/>
          <w:szCs w:val="32"/>
          <w14:textFill>
            <w14:solidFill>
              <w14:srgbClr w14:val="000000"/>
            </w14:solidFill>
          </w14:textFill>
        </w:rPr>
        <w:t>：指单位缴纳的基本养老保险费支出。</w:t>
      </w:r>
      <w:r>
        <w:rPr>
          <w:rFonts w:ascii="方正仿宋简体" w:eastAsia="方正仿宋简体" w:cs="方正仿宋简体" w:hAnsi="方正仿宋简体" w:hint="eastAsia"/>
          <w:b w:val="0"/>
          <w:bCs w:val="0"/>
          <w:sz w:val="32"/>
          <w:szCs w:val="32"/>
        </w:rPr>
        <w:t>其他社会保障和就业支出（项）：指</w:t>
      </w:r>
      <w:r>
        <w:rPr>
          <w:rFonts w:ascii="方正仿宋简体" w:eastAsia="方正仿宋简体" w:cs="方正仿宋简体" w:hAnsi="方正仿宋简体" w:hint="eastAsia"/>
          <w:b w:val="0"/>
          <w:bCs w:val="0"/>
          <w:color w:val="000000"/>
          <w:sz w:val="32"/>
          <w:szCs w:val="32"/>
          <w14:textFill>
            <w14:solidFill>
              <w14:srgbClr w14:val="000000"/>
            </w14:solidFill>
          </w14:textFill>
        </w:rPr>
        <w:t>单位缴纳的</w:t>
      </w:r>
      <w:r>
        <w:rPr>
          <w:rFonts w:ascii="方正仿宋简体" w:eastAsia="方正仿宋简体" w:cs="方正仿宋简体" w:hAnsi="方正仿宋简体" w:hint="eastAsia"/>
          <w:b w:val="0"/>
          <w:bCs w:val="0"/>
          <w:sz w:val="32"/>
          <w:szCs w:val="32"/>
        </w:rPr>
        <w:t>其他社会保障缴费支出。</w:t>
      </w:r>
    </w:p>
    <w:p>
      <w:pPr>
        <w:keepNext w:val="0"/>
        <w:keepLines w:val="0"/>
        <w:pageBreakBefore w:val="0"/>
        <w:widowControl w:val="0"/>
        <w:kinsoku/>
        <w:wordWrap/>
        <w:overflowPunct/>
        <w:topLinePunct w:val="0"/>
        <w:bidi w:val="0"/>
        <w:spacing w:line="576" w:lineRule="exact"/>
        <w:ind w:left="0" w:firstLine="640"/>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color w:val="000000"/>
          <w:sz w:val="32"/>
          <w:szCs w:val="32"/>
          <w:lang w:val="en-US" w:eastAsia="zh-CN"/>
        </w:rPr>
        <w:t>10</w:t>
      </w:r>
      <w:r>
        <w:rPr>
          <w:rFonts w:ascii="方正仿宋简体" w:eastAsia="方正仿宋简体" w:cs="方正仿宋简体" w:hAnsi="方正仿宋简体" w:hint="eastAsia"/>
          <w:color w:val="000000"/>
          <w:sz w:val="32"/>
          <w:szCs w:val="32"/>
        </w:rPr>
        <w:t>.</w:t>
      </w:r>
      <w:r>
        <w:rPr>
          <w:rFonts w:ascii="方正仿宋简体" w:eastAsia="方正仿宋简体" w:cs="方正仿宋简体" w:hAnsi="方正仿宋简体" w:hint="eastAsia"/>
          <w:color w:val="000000"/>
          <w:sz w:val="32"/>
          <w:szCs w:val="32"/>
          <w:lang w:eastAsia="zh-CN"/>
        </w:rPr>
        <w:t>卫生健康</w:t>
      </w:r>
      <w:r>
        <w:rPr>
          <w:rFonts w:ascii="方正仿宋简体" w:eastAsia="方正仿宋简体" w:cs="方正仿宋简体" w:hAnsi="方正仿宋简体" w:hint="eastAsia"/>
          <w:color w:val="000000"/>
          <w:sz w:val="32"/>
          <w:szCs w:val="32"/>
        </w:rPr>
        <w:t>支出（类）</w:t>
      </w:r>
      <w:r>
        <w:rPr>
          <w:rStyle w:val="22"/>
          <w:rFonts w:ascii="方正仿宋简体" w:eastAsia="方正仿宋简体" w:cs="方正仿宋简体" w:hAnsi="方正仿宋简体" w:hint="eastAsia"/>
          <w:b w:val="0"/>
          <w:color w:val="000000"/>
          <w:sz w:val="32"/>
          <w:szCs w:val="32"/>
          <w14:textFill>
            <w14:solidFill>
              <w14:srgbClr w14:val="000000"/>
            </w14:solidFill>
          </w14:textFill>
          <w:lang w:eastAsia="zh-CN"/>
        </w:rPr>
        <w:t>卫生健康</w:t>
      </w:r>
      <w:r>
        <w:rPr>
          <w:rStyle w:val="22"/>
          <w:rFonts w:ascii="方正仿宋简体" w:eastAsia="方正仿宋简体" w:cs="方正仿宋简体" w:hAnsi="方正仿宋简体" w:hint="eastAsia"/>
          <w:b w:val="0"/>
          <w:color w:val="000000"/>
          <w:sz w:val="32"/>
          <w:szCs w:val="32"/>
          <w14:textFill>
            <w14:solidFill>
              <w14:srgbClr w14:val="000000"/>
            </w14:solidFill>
          </w14:textFill>
        </w:rPr>
        <w:t>管理事务（21001款）行政运行（2100101项）指</w:t>
      </w:r>
      <w:r>
        <w:rPr>
          <w:rStyle w:val="22"/>
          <w:rFonts w:ascii="方正仿宋简体" w:eastAsia="方正仿宋简体" w:cs="方正仿宋简体" w:hAnsi="方正仿宋简体" w:hint="eastAsia"/>
          <w:b w:val="0"/>
          <w:color w:val="000000"/>
          <w:sz w:val="32"/>
          <w:szCs w:val="32"/>
          <w14:textFill>
            <w14:solidFill>
              <w14:srgbClr w14:val="000000"/>
            </w14:solidFill>
          </w14:textFill>
          <w:lang w:eastAsia="zh-CN"/>
        </w:rPr>
        <w:t>本单位</w:t>
      </w:r>
      <w:r>
        <w:rPr>
          <w:rStyle w:val="22"/>
          <w:rFonts w:ascii="方正仿宋简体" w:eastAsia="方正仿宋简体" w:cs="方正仿宋简体" w:hAnsi="方正仿宋简体" w:hint="eastAsia"/>
          <w:b w:val="0"/>
          <w:color w:val="000000"/>
          <w:sz w:val="32"/>
          <w:szCs w:val="32"/>
          <w14:textFill>
            <w14:solidFill>
              <w14:srgbClr w14:val="000000"/>
            </w14:solidFill>
          </w14:textFill>
        </w:rPr>
        <w:t>的</w:t>
      </w:r>
      <w:r>
        <w:rPr>
          <w:rStyle w:val="22"/>
          <w:rFonts w:ascii="方正仿宋简体" w:eastAsia="方正仿宋简体" w:cs="方正仿宋简体" w:hAnsi="方正仿宋简体" w:hint="eastAsia"/>
          <w:b w:val="0"/>
          <w:color w:val="000000"/>
          <w:sz w:val="32"/>
          <w:szCs w:val="32"/>
          <w14:textFill>
            <w14:solidFill>
              <w14:srgbClr w14:val="000000"/>
            </w14:solidFill>
          </w14:textFill>
          <w:lang w:eastAsia="zh-CN"/>
        </w:rPr>
        <w:t>人员经费、</w:t>
      </w:r>
      <w:r>
        <w:rPr>
          <w:rStyle w:val="22"/>
          <w:rFonts w:ascii="方正仿宋简体" w:eastAsia="方正仿宋简体" w:cs="方正仿宋简体" w:hAnsi="方正仿宋简体" w:hint="eastAsia"/>
          <w:b w:val="0"/>
          <w:color w:val="000000"/>
          <w:sz w:val="32"/>
          <w:szCs w:val="32"/>
          <w14:textFill>
            <w14:solidFill>
              <w14:srgbClr w14:val="000000"/>
            </w14:solidFill>
          </w14:textFill>
        </w:rPr>
        <w:t>基本</w:t>
      </w:r>
      <w:r>
        <w:rPr>
          <w:rStyle w:val="22"/>
          <w:rFonts w:ascii="方正仿宋简体" w:eastAsia="方正仿宋简体" w:cs="方正仿宋简体" w:hAnsi="方正仿宋简体" w:hint="eastAsia"/>
          <w:b w:val="0"/>
          <w:color w:val="000000"/>
          <w:sz w:val="32"/>
          <w:szCs w:val="32"/>
          <w14:textFill>
            <w14:solidFill>
              <w14:srgbClr w14:val="000000"/>
            </w14:solidFill>
          </w14:textFill>
          <w:lang w:eastAsia="zh-CN"/>
        </w:rPr>
        <w:t>运行等。</w:t>
      </w:r>
      <w:r>
        <w:rPr>
          <w:rStyle w:val="22"/>
          <w:rFonts w:ascii="方正仿宋简体" w:eastAsia="方正仿宋简体" w:cs="方正仿宋简体" w:hAnsi="方正仿宋简体" w:hint="eastAsia"/>
          <w:b w:val="0"/>
          <w:color w:val="000000"/>
          <w:sz w:val="32"/>
          <w:szCs w:val="32"/>
          <w14:textFill>
            <w14:solidFill>
              <w14:srgbClr w14:val="000000"/>
            </w14:solidFill>
          </w14:textFill>
        </w:rPr>
        <w:t>支出</w:t>
      </w:r>
      <w:r>
        <w:rPr>
          <w:rStyle w:val="22"/>
          <w:rFonts w:ascii="方正仿宋简体" w:eastAsia="方正仿宋简体" w:cs="方正仿宋简体" w:hAnsi="方正仿宋简体" w:hint="eastAsia"/>
          <w:b w:val="0"/>
          <w:color w:val="000000"/>
          <w:sz w:val="32"/>
          <w:szCs w:val="32"/>
          <w14:textFill>
            <w14:solidFill>
              <w14:srgbClr w14:val="000000"/>
            </w14:solidFill>
          </w14:textFill>
          <w:lang w:eastAsia="zh-CN"/>
        </w:rPr>
        <w:t>。</w:t>
      </w:r>
      <w:r>
        <w:rPr>
          <w:rFonts w:ascii="方正仿宋简体" w:eastAsia="方正仿宋简体" w:cs="方正仿宋简体" w:hAnsi="方正仿宋简体" w:hint="eastAsia"/>
          <w:color w:val="000000"/>
          <w:sz w:val="32"/>
          <w:szCs w:val="32"/>
        </w:rPr>
        <w:t>行政事业单位医疗（款）</w:t>
      </w:r>
      <w:r>
        <w:rPr>
          <w:rFonts w:ascii="方正仿宋简体" w:eastAsia="方正仿宋简体" w:cs="方正仿宋简体" w:hAnsi="方正仿宋简体" w:hint="eastAsia"/>
          <w:color w:val="000000"/>
          <w:sz w:val="32"/>
          <w:szCs w:val="32"/>
          <w:lang w:eastAsia="zh-CN"/>
        </w:rPr>
        <w:t>事业</w:t>
      </w:r>
      <w:r>
        <w:rPr>
          <w:rFonts w:ascii="方正仿宋简体" w:eastAsia="方正仿宋简体" w:cs="方正仿宋简体" w:hAnsi="方正仿宋简体" w:hint="eastAsia"/>
          <w:color w:val="000000"/>
          <w:sz w:val="32"/>
          <w:szCs w:val="32"/>
        </w:rPr>
        <w:t>单位医疗（项）: 反映财政安排的单位基本</w:t>
      </w:r>
      <w:r>
        <w:rPr>
          <w:rFonts w:ascii="方正仿宋简体" w:eastAsia="方正仿宋简体" w:cs="方正仿宋简体" w:hAnsi="方正仿宋简体" w:hint="eastAsia"/>
          <w:color w:val="000000"/>
          <w:sz w:val="32"/>
          <w:szCs w:val="32"/>
          <w:lang w:eastAsia="zh-CN"/>
        </w:rPr>
        <w:t>医疗</w:t>
      </w:r>
      <w:r>
        <w:rPr>
          <w:rFonts w:ascii="方正仿宋简体" w:eastAsia="方正仿宋简体" w:cs="方正仿宋简体" w:hAnsi="方正仿宋简体" w:hint="eastAsia"/>
          <w:color w:val="000000"/>
          <w:sz w:val="32"/>
          <w:szCs w:val="32"/>
        </w:rPr>
        <w:t>保险缴费经费。</w:t>
      </w:r>
    </w:p>
    <w:p>
      <w:pPr>
        <w:keepNext w:val="0"/>
        <w:keepLines w:val="0"/>
        <w:pageBreakBefore w:val="0"/>
        <w:widowControl w:val="0"/>
        <w:kinsoku/>
        <w:wordWrap/>
        <w:overflowPunct/>
        <w:topLinePunct w:val="0"/>
        <w:bidi w:val="0"/>
        <w:spacing w:line="576" w:lineRule="exact"/>
        <w:ind w:left="0" w:firstLineChars="200" w:firstLine="640"/>
        <w:textAlignment w:val="auto"/>
        <w:rPr>
          <w:rFonts w:ascii="方正仿宋简体" w:eastAsia="方正仿宋简体" w:cs="方正仿宋简体" w:hAnsi="方正仿宋简体" w:hint="eastAsia"/>
          <w:color w:val="000000"/>
          <w:sz w:val="32"/>
          <w:szCs w:val="32"/>
          <w:lang w:val="en-US" w:eastAsia="zh-CN"/>
        </w:rPr>
      </w:pPr>
      <w:r>
        <w:rPr>
          <w:rFonts w:ascii="方正仿宋简体" w:eastAsia="方正仿宋简体" w:cs="方正仿宋简体" w:hAnsi="方正仿宋简体" w:hint="eastAsia"/>
          <w:color w:val="000000"/>
          <w:sz w:val="32"/>
          <w:szCs w:val="32"/>
          <w:lang w:val="en-US" w:eastAsia="zh-CN"/>
        </w:rPr>
        <w:t>11.住房保障（221类）住房改革支出（22102款）住房公积金（2210201项）：是指财政按规定比例为职工缴纳的住房公积金支出。</w:t>
      </w:r>
    </w:p>
    <w:p>
      <w:pPr>
        <w:keepNext w:val="0"/>
        <w:keepLines w:val="0"/>
        <w:pageBreakBefore w:val="0"/>
        <w:widowControl w:val="0"/>
        <w:kinsoku/>
        <w:wordWrap/>
        <w:overflowPunct/>
        <w:topLinePunct w:val="0"/>
        <w:bidi w:val="0"/>
        <w:spacing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color w:val="000000"/>
          <w:sz w:val="32"/>
          <w:szCs w:val="32"/>
          <w:lang w:val="en-US" w:eastAsia="zh-CN"/>
        </w:rPr>
        <w:t>12</w:t>
      </w:r>
      <w:r>
        <w:rPr>
          <w:rFonts w:ascii="方正仿宋简体" w:eastAsia="方正仿宋简体" w:cs="方正仿宋简体" w:hAnsi="方正仿宋简体" w:hint="eastAsia"/>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pacing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color w:val="000000"/>
          <w:sz w:val="32"/>
          <w:szCs w:val="32"/>
          <w:lang w:val="en-US" w:eastAsia="zh-CN"/>
        </w:rPr>
        <w:t>13</w:t>
      </w:r>
      <w:r>
        <w:rPr>
          <w:rFonts w:ascii="方正仿宋简体" w:eastAsia="方正仿宋简体" w:cs="方正仿宋简体" w:hAnsi="方正仿宋简体" w:hint="eastAsia"/>
          <w:color w:val="000000"/>
          <w:sz w:val="32"/>
          <w:szCs w:val="32"/>
        </w:rPr>
        <w:t xml:space="preserve">.项目支出：指在基本支出之外为完成特定行政任务和事业发展目标所发生的支出。 </w:t>
      </w:r>
    </w:p>
    <w:p>
      <w:pPr>
        <w:pStyle w:val="25"/>
        <w:keepNext w:val="0"/>
        <w:keepLines w:val="0"/>
        <w:pageBreakBefore w:val="0"/>
        <w:widowControl w:val="0"/>
        <w:kinsoku/>
        <w:wordWrap/>
        <w:overflowPunct/>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14</w:t>
      </w:r>
      <w:r>
        <w:rPr>
          <w:rFonts w:ascii="方正仿宋简体" w:eastAsia="方正仿宋简体" w:cs="方正仿宋简体" w:hAnsi="方正仿宋简体"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pacing w:line="576" w:lineRule="exact"/>
        <w:ind w:left="0"/>
        <w:jc w:val="center"/>
        <w:textAlignment w:val="auto"/>
        <w:outlineLvl w:val="0"/>
        <w:rPr>
          <w:rFonts w:ascii="方正小标宋简体" w:eastAsia="方正小标宋简体" w:cs="方正小标宋简体" w:hAnsi="方正小标宋简体" w:hint="eastAsia"/>
          <w:color w:val="000000"/>
          <w:sz w:val="44"/>
          <w:szCs w:val="44"/>
          <w:lang w:eastAsia="zh-CN"/>
        </w:rPr>
      </w:pPr>
      <w:r>
        <w:rPr>
          <w:rFonts w:ascii="方正仿宋简体" w:eastAsia="方正仿宋简体" w:cs="方正仿宋简体" w:hAnsi="方正仿宋简体" w:hint="eastAsia"/>
          <w:b/>
          <w:color w:val="000000"/>
          <w:sz w:val="32"/>
          <w:szCs w:val="32"/>
        </w:rPr>
        <w:br w:type="page"/>
      </w:r>
      <w:r>
        <w:rPr>
          <w:rFonts w:ascii="方正小标宋简体" w:eastAsia="方正小标宋简体" w:cs="方正小标宋简体" w:hAnsi="方正小标宋简体" w:hint="eastAsia"/>
          <w:color w:val="000000"/>
          <w:sz w:val="44"/>
          <w:szCs w:val="44"/>
          <w:lang w:eastAsia="zh-CN"/>
        </w:rPr>
        <w:t>第四部分 附件</w:t>
      </w:r>
      <w:bookmarkEnd w:id="56"/>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pStyle w:val="16"/>
        <w:rPr>
          <w:rStyle w:val="1Char"/>
          <w:rFonts w:ascii="方正仿宋简体" w:eastAsia="方正仿宋简体" w:cs="方正仿宋简体" w:hAnsi="方正仿宋简体" w:hint="eastAsia"/>
          <w:b w:val="0"/>
          <w:sz w:val="32"/>
          <w:szCs w:val="32"/>
        </w:rPr>
      </w:pPr>
    </w:p>
    <w:p>
      <w:pPr>
        <w:keepNext w:val="0"/>
        <w:keepLines w:val="0"/>
        <w:pageBreakBefore w:val="0"/>
        <w:widowControl w:val="0"/>
        <w:kinsoku/>
        <w:wordWrap/>
        <w:overflowPunct/>
        <w:topLinePunct w:val="0"/>
        <w:bidi w:val="0"/>
        <w:spacing w:line="576" w:lineRule="exact"/>
        <w:ind w:left="0"/>
        <w:jc w:val="left"/>
        <w:textAlignment w:val="auto"/>
        <w:outlineLvl w:val="0"/>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附件1</w:t>
      </w:r>
    </w:p>
    <w:p>
      <w:pPr>
        <w:keepNext w:val="0"/>
        <w:keepLines w:val="0"/>
        <w:pageBreakBefore w:val="0"/>
        <w:widowControl w:val="0"/>
        <w:kinsoku/>
        <w:wordWrap/>
        <w:overflowPunct/>
        <w:topLinePunct w:val="0"/>
        <w:bidi w:val="0"/>
        <w:spacing w:line="576" w:lineRule="exact"/>
        <w:ind w:left="0"/>
        <w:jc w:val="center"/>
        <w:textAlignment w:val="auto"/>
        <w:rPr>
          <w:rFonts w:ascii="方正仿宋简体" w:eastAsia="方正仿宋简体" w:cs="方正仿宋简体" w:hAnsi="方正仿宋简体" w:hint="eastAsia"/>
          <w:sz w:val="32"/>
          <w:szCs w:val="32"/>
        </w:rPr>
      </w:pPr>
    </w:p>
    <w:p>
      <w:pPr>
        <w:keepNext w:val="0"/>
        <w:keepLines w:val="0"/>
        <w:pageBreakBefore w:val="0"/>
        <w:widowControl w:val="0"/>
        <w:kinsoku/>
        <w:wordWrap/>
        <w:overflowPunct/>
        <w:topLinePunct w:val="0"/>
        <w:bidi w:val="0"/>
        <w:spacing w:line="576" w:lineRule="exact"/>
        <w:ind w:left="0"/>
        <w:jc w:val="center"/>
        <w:textAlignment w:val="auto"/>
        <w:rPr>
          <w:rFonts w:ascii="方正小标宋简体" w:eastAsia="方正小标宋简体" w:cs="方正小标宋简体" w:hAnsi="方正小标宋简体" w:hint="eastAsia"/>
          <w:color w:val="000000"/>
          <w:kern w:val="0"/>
          <w:sz w:val="44"/>
          <w:szCs w:val="44"/>
          <w:lang w:eastAsia="zh-CN"/>
        </w:rPr>
      </w:pPr>
      <w:r>
        <w:rPr>
          <w:rFonts w:ascii="方正小标宋简体" w:eastAsia="方正小标宋简体" w:cs="方正小标宋简体" w:hAnsi="方正小标宋简体" w:hint="eastAsia"/>
          <w:color w:val="000000"/>
          <w:kern w:val="0"/>
          <w:sz w:val="44"/>
          <w:szCs w:val="44"/>
          <w:lang w:eastAsia="zh-CN"/>
        </w:rPr>
        <w:t>广元市利州区公共卫生指导中心</w:t>
      </w:r>
    </w:p>
    <w:p>
      <w:pPr>
        <w:keepNext w:val="0"/>
        <w:keepLines w:val="0"/>
        <w:pageBreakBefore w:val="0"/>
        <w:widowControl w:val="0"/>
        <w:kinsoku/>
        <w:wordWrap/>
        <w:overflowPunct/>
        <w:topLinePunct w:val="0"/>
        <w:bidi w:val="0"/>
        <w:spacing w:line="576" w:lineRule="exact"/>
        <w:ind w:left="0"/>
        <w:jc w:val="center"/>
        <w:textAlignment w:val="auto"/>
        <w:rPr>
          <w:rFonts w:ascii="方正小标宋简体" w:eastAsia="方正小标宋简体" w:cs="方正小标宋简体" w:hAnsi="方正小标宋简体" w:hint="eastAsia"/>
          <w:color w:val="000000"/>
          <w:kern w:val="0"/>
          <w:sz w:val="44"/>
          <w:szCs w:val="44"/>
          <w:lang w:val="zh-CN"/>
        </w:rPr>
      </w:pPr>
      <w:r>
        <w:rPr>
          <w:rFonts w:ascii="方正小标宋简体" w:eastAsia="方正小标宋简体" w:cs="方正小标宋简体" w:hAnsi="方正小标宋简体" w:hint="eastAsia"/>
          <w:color w:val="000000"/>
          <w:kern w:val="0"/>
          <w:sz w:val="44"/>
          <w:szCs w:val="44"/>
        </w:rPr>
        <w:t>2020年部门</w:t>
      </w:r>
      <w:r>
        <w:rPr>
          <w:rFonts w:ascii="方正小标宋简体" w:eastAsia="方正小标宋简体" w:cs="方正小标宋简体" w:hAnsi="方正小标宋简体" w:hint="eastAsia"/>
          <w:color w:val="000000"/>
          <w:kern w:val="0"/>
          <w:sz w:val="44"/>
          <w:szCs w:val="44"/>
          <w:lang w:val="zh-CN"/>
        </w:rPr>
        <w:t>整体支出绩效评价报告</w:t>
      </w:r>
    </w:p>
    <w:p>
      <w:pPr>
        <w:keepNext w:val="0"/>
        <w:keepLines w:val="0"/>
        <w:pageBreakBefore w:val="0"/>
        <w:widowControl w:val="0"/>
        <w:kinsoku/>
        <w:wordWrap/>
        <w:overflowPunct/>
        <w:topLinePunct w:val="0"/>
        <w:bidi w:val="0"/>
        <w:spacing w:line="576" w:lineRule="exact"/>
        <w:ind w:left="0" w:firstLineChars="200" w:firstLine="640"/>
        <w:textAlignment w:val="auto"/>
        <w:rPr>
          <w:rFonts w:ascii="方正仿宋简体" w:eastAsia="方正仿宋简体" w:cs="方正仿宋简体" w:hAnsi="方正仿宋简体" w:hint="eastAsia"/>
          <w:color w:val="000000"/>
          <w:kern w:val="0"/>
          <w:sz w:val="32"/>
          <w:szCs w:val="32"/>
          <w:shd w:val="clear" w:color="auto" w:fill="FFFFFF"/>
        </w:rPr>
      </w:pP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kern w:val="0"/>
          <w:sz w:val="32"/>
          <w:szCs w:val="32"/>
          <w:shd w:val="clear" w:color="auto" w:fill="FFFFFF"/>
        </w:rPr>
        <w:t>一、</w:t>
      </w:r>
      <w:r>
        <w:rPr>
          <w:rFonts w:ascii="方正黑体简体" w:eastAsia="方正黑体简体" w:cs="方正黑体简体" w:hAnsi="方正黑体简体" w:hint="eastAsia"/>
          <w:color w:val="000000"/>
          <w:kern w:val="0"/>
          <w:sz w:val="32"/>
          <w:szCs w:val="32"/>
          <w:shd w:val="clear" w:color="auto" w:fill="FFFFFF"/>
          <w:lang w:val="zh-CN"/>
        </w:rPr>
        <w:t>单位概况</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（一）机构组成</w:t>
      </w:r>
    </w:p>
    <w:p>
      <w:pPr>
        <w:keepNext w:val="0"/>
        <w:keepLines w:val="0"/>
        <w:pageBreakBefore w:val="0"/>
        <w:widowControl w:val="0"/>
        <w:kinsoku/>
        <w:wordWrap/>
        <w:overflowPunct/>
        <w:topLinePunct w:val="0"/>
        <w:autoSpaceDE/>
        <w:autoSpaceDN/>
        <w:bidi w:val="0"/>
        <w:adjustRightInd/>
        <w:snapToGrid w:val="0"/>
        <w:spacing w:line="576" w:lineRule="exact"/>
        <w:ind w:left="0" w:firstLineChars="200" w:firstLine="640"/>
        <w:textAlignment w:val="auto"/>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sz w:val="32"/>
          <w:szCs w:val="32"/>
          <w:lang w:eastAsia="zh-CN"/>
        </w:rPr>
        <w:t>本单位属卫健局下的二级预算单位，内设股室</w:t>
      </w:r>
      <w:r>
        <w:rPr>
          <w:rFonts w:ascii="方正仿宋简体" w:eastAsia="方正仿宋简体" w:cs="方正仿宋简体" w:hAnsi="方正仿宋简体" w:hint="eastAsia"/>
          <w:sz w:val="32"/>
          <w:szCs w:val="32"/>
          <w:lang w:val="en-US" w:eastAsia="zh-CN"/>
        </w:rPr>
        <w:t>4个。</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lang w:eastAsia="zh-CN"/>
        </w:rPr>
        <w:t>（二）</w:t>
      </w:r>
      <w:r>
        <w:rPr>
          <w:rFonts w:ascii="方正楷体简体" w:eastAsia="方正楷体简体" w:cs="方正楷体简体" w:hAnsi="方正楷体简体" w:hint="eastAsia"/>
          <w:sz w:val="32"/>
          <w:szCs w:val="32"/>
        </w:rPr>
        <w:t>机构职能</w:t>
      </w:r>
    </w:p>
    <w:p>
      <w:pPr>
        <w:keepNext w:val="0"/>
        <w:keepLines w:val="0"/>
        <w:pageBreakBefore w:val="0"/>
        <w:widowControl w:val="0"/>
        <w:kinsoku/>
        <w:wordWrap/>
        <w:overflowPunct/>
        <w:topLinePunct w:val="0"/>
        <w:autoSpaceDE/>
        <w:autoSpaceDN/>
        <w:bidi w:val="0"/>
        <w:adjustRightInd/>
        <w:snapToGrid w:val="0"/>
        <w:spacing w:line="576" w:lineRule="exact"/>
        <w:ind w:left="0" w:firstLineChars="200" w:firstLine="640"/>
        <w:textAlignment w:val="auto"/>
        <w:outlineLvl w:val="9"/>
        <w:rPr>
          <w:rFonts w:ascii="方正仿宋简体" w:eastAsia="方正仿宋简体" w:cs="方正仿宋简体" w:hAnsi="方正仿宋简体" w:hint="eastAsia"/>
          <w:color w:val="000000"/>
          <w:kern w:val="0"/>
          <w:sz w:val="32"/>
          <w:szCs w:val="32"/>
          <w:lang w:val="en-US" w:eastAsia="zh-CN"/>
        </w:rPr>
      </w:pPr>
      <w:r>
        <w:rPr>
          <w:rFonts w:ascii="方正仿宋简体" w:eastAsia="方正仿宋简体" w:cs="方正仿宋简体" w:hAnsi="方正仿宋简体" w:hint="eastAsia"/>
          <w:color w:val="000000"/>
          <w:kern w:val="0"/>
          <w:sz w:val="32"/>
          <w:szCs w:val="32"/>
          <w:lang w:val="en-US" w:eastAsia="zh-CN"/>
        </w:rPr>
        <w:t>1.负责起草全区基本公共卫生服务项目实施方案、工作计划和工作总结，参与基本公共卫生服务项目政策调研、政策咨询。</w:t>
      </w:r>
    </w:p>
    <w:p>
      <w:pPr>
        <w:keepNext w:val="0"/>
        <w:keepLines w:val="0"/>
        <w:pageBreakBefore w:val="0"/>
        <w:widowControl w:val="0"/>
        <w:kinsoku/>
        <w:wordWrap/>
        <w:overflowPunct/>
        <w:topLinePunct w:val="0"/>
        <w:autoSpaceDE/>
        <w:autoSpaceDN/>
        <w:bidi w:val="0"/>
        <w:adjustRightInd/>
        <w:snapToGrid w:val="0"/>
        <w:spacing w:line="576" w:lineRule="exact"/>
        <w:ind w:left="0" w:firstLineChars="200" w:firstLine="640"/>
        <w:textAlignment w:val="auto"/>
        <w:outlineLvl w:val="9"/>
        <w:rPr>
          <w:rFonts w:ascii="方正仿宋简体" w:eastAsia="方正仿宋简体" w:cs="方正仿宋简体" w:hAnsi="方正仿宋简体" w:hint="eastAsia"/>
          <w:color w:val="000000"/>
          <w:kern w:val="0"/>
          <w:sz w:val="32"/>
          <w:szCs w:val="32"/>
          <w:lang w:val="en-US" w:eastAsia="zh-CN"/>
        </w:rPr>
      </w:pPr>
      <w:r>
        <w:rPr>
          <w:rFonts w:ascii="方正仿宋简体" w:eastAsia="方正仿宋简体" w:cs="方正仿宋简体" w:hAnsi="方正仿宋简体" w:hint="eastAsia"/>
          <w:color w:val="000000"/>
          <w:kern w:val="0"/>
          <w:sz w:val="32"/>
          <w:szCs w:val="32"/>
          <w:lang w:val="en-US" w:eastAsia="zh-CN"/>
        </w:rPr>
        <w:t>2.承担全区基本公共卫生服务项目技术指导、人员培训、督查和绩效考核工作。</w:t>
      </w:r>
    </w:p>
    <w:p>
      <w:pPr>
        <w:keepNext w:val="0"/>
        <w:keepLines w:val="0"/>
        <w:pageBreakBefore w:val="0"/>
        <w:widowControl w:val="0"/>
        <w:kinsoku/>
        <w:wordWrap/>
        <w:overflowPunct/>
        <w:topLinePunct w:val="0"/>
        <w:autoSpaceDE/>
        <w:autoSpaceDN/>
        <w:bidi w:val="0"/>
        <w:adjustRightInd/>
        <w:snapToGrid w:val="0"/>
        <w:spacing w:line="576" w:lineRule="exact"/>
        <w:ind w:left="0" w:firstLineChars="200" w:firstLine="640"/>
        <w:textAlignment w:val="auto"/>
        <w:outlineLvl w:val="9"/>
        <w:rPr>
          <w:rFonts w:ascii="方正仿宋简体" w:eastAsia="方正仿宋简体" w:cs="方正仿宋简体" w:hAnsi="方正仿宋简体" w:hint="eastAsia"/>
          <w:color w:val="000000"/>
          <w:kern w:val="0"/>
          <w:sz w:val="32"/>
          <w:szCs w:val="32"/>
          <w:lang w:val="en-US" w:eastAsia="zh-CN"/>
        </w:rPr>
      </w:pPr>
      <w:r>
        <w:rPr>
          <w:rFonts w:ascii="方正仿宋简体" w:eastAsia="方正仿宋简体" w:cs="方正仿宋简体" w:hAnsi="方正仿宋简体" w:hint="eastAsia"/>
          <w:color w:val="000000"/>
          <w:kern w:val="0"/>
          <w:sz w:val="32"/>
          <w:szCs w:val="32"/>
          <w:lang w:val="en-US" w:eastAsia="zh-CN"/>
        </w:rPr>
        <w:t>3.协调落实区级专家技术指导组承担的相关任务，定期组织专家开展活动。</w:t>
      </w:r>
    </w:p>
    <w:p>
      <w:pPr>
        <w:keepNext w:val="0"/>
        <w:keepLines w:val="0"/>
        <w:pageBreakBefore w:val="0"/>
        <w:widowControl w:val="0"/>
        <w:kinsoku/>
        <w:wordWrap/>
        <w:overflowPunct/>
        <w:topLinePunct w:val="0"/>
        <w:autoSpaceDE/>
        <w:autoSpaceDN/>
        <w:bidi w:val="0"/>
        <w:adjustRightInd/>
        <w:snapToGrid w:val="0"/>
        <w:spacing w:line="576" w:lineRule="exact"/>
        <w:ind w:left="0" w:firstLineChars="200" w:firstLine="640"/>
        <w:textAlignment w:val="auto"/>
        <w:outlineLvl w:val="9"/>
        <w:rPr>
          <w:rFonts w:ascii="方正仿宋简体" w:eastAsia="方正仿宋简体" w:cs="方正仿宋简体" w:hAnsi="方正仿宋简体" w:hint="eastAsia"/>
          <w:color w:val="000000"/>
          <w:kern w:val="0"/>
          <w:sz w:val="32"/>
          <w:szCs w:val="32"/>
          <w:lang w:val="en-US" w:eastAsia="zh-CN"/>
        </w:rPr>
      </w:pPr>
      <w:r>
        <w:rPr>
          <w:rFonts w:ascii="方正仿宋简体" w:eastAsia="方正仿宋简体" w:cs="方正仿宋简体" w:hAnsi="方正仿宋简体" w:hint="eastAsia"/>
          <w:color w:val="000000"/>
          <w:kern w:val="0"/>
          <w:sz w:val="32"/>
          <w:szCs w:val="32"/>
          <w:lang w:val="en-US" w:eastAsia="zh-CN"/>
        </w:rPr>
        <w:t>4.负</w:t>
      </w:r>
      <w:r>
        <w:rPr>
          <w:rFonts w:ascii="方正仿宋简体" w:eastAsia="方正仿宋简体" w:cs="方正仿宋简体" w:hAnsi="方正仿宋简体" w:hint="eastAsia"/>
          <w:color w:val="000000"/>
          <w:spacing w:val="-11"/>
          <w:kern w:val="0"/>
          <w:sz w:val="32"/>
          <w:szCs w:val="32"/>
          <w:lang w:val="en-US" w:eastAsia="zh-CN"/>
        </w:rPr>
        <w:t>责全区基本公共卫生服务项目信息收集、分析、报送工作。</w:t>
      </w:r>
    </w:p>
    <w:p>
      <w:pPr>
        <w:keepNext w:val="0"/>
        <w:keepLines w:val="0"/>
        <w:pageBreakBefore w:val="0"/>
        <w:widowControl w:val="0"/>
        <w:kinsoku/>
        <w:wordWrap/>
        <w:overflowPunct/>
        <w:topLinePunct w:val="0"/>
        <w:autoSpaceDE/>
        <w:autoSpaceDN/>
        <w:bidi w:val="0"/>
        <w:adjustRightInd/>
        <w:snapToGrid w:val="0"/>
        <w:spacing w:line="576" w:lineRule="exact"/>
        <w:ind w:left="0" w:firstLineChars="200" w:firstLine="640"/>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kern w:val="0"/>
          <w:sz w:val="32"/>
          <w:szCs w:val="32"/>
          <w:lang w:val="en-US" w:eastAsia="zh-CN"/>
        </w:rPr>
        <w:t>5.完成</w:t>
      </w:r>
      <w:r>
        <w:rPr>
          <w:rFonts w:ascii="方正仿宋简体" w:eastAsia="方正仿宋简体" w:cs="方正仿宋简体" w:hAnsi="方正仿宋简体" w:hint="eastAsia"/>
          <w:color w:val="000000"/>
          <w:kern w:val="0"/>
          <w:sz w:val="32"/>
          <w:szCs w:val="32"/>
        </w:rPr>
        <w:t>区卫生和计划生育局</w:t>
      </w:r>
      <w:r>
        <w:rPr>
          <w:rFonts w:ascii="方正仿宋简体" w:eastAsia="方正仿宋简体" w:cs="方正仿宋简体" w:hAnsi="方正仿宋简体" w:hint="eastAsia"/>
          <w:color w:val="000000"/>
          <w:kern w:val="0"/>
          <w:sz w:val="32"/>
          <w:szCs w:val="32"/>
          <w:lang w:val="en-US" w:eastAsia="zh-CN"/>
        </w:rPr>
        <w:t>交办的其他工作。</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lang w:eastAsia="zh-CN"/>
        </w:rPr>
        <w:t>（三）</w:t>
      </w:r>
      <w:r>
        <w:rPr>
          <w:rFonts w:ascii="方正楷体简体" w:eastAsia="方正楷体简体" w:cs="方正楷体简体" w:hAnsi="方正楷体简体" w:hint="eastAsia"/>
          <w:sz w:val="32"/>
          <w:szCs w:val="32"/>
        </w:rPr>
        <w:t>人员概况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方正仿宋简体" w:eastAsia="方正仿宋简体" w:cs="方正仿宋简体" w:hAnsi="方正仿宋简体" w:hint="eastAsia"/>
          <w:color w:val="000000"/>
          <w:kern w:val="0"/>
          <w:sz w:val="32"/>
          <w:szCs w:val="32"/>
          <w:shd w:val="clear" w:color="auto" w:fill="FFFFFF"/>
          <w:lang w:val="zh-CN"/>
        </w:rPr>
      </w:pPr>
      <w:r>
        <w:rPr>
          <w:rFonts w:ascii="方正仿宋简体" w:eastAsia="方正仿宋简体" w:cs="方正仿宋简体" w:hAnsi="方正仿宋简体" w:hint="eastAsia"/>
          <w:sz w:val="32"/>
          <w:szCs w:val="32"/>
          <w:lang w:val="en-US" w:eastAsia="zh-CN"/>
        </w:rPr>
        <w:t xml:space="preserve"> 中心核定事业编制14人，实有在职职工14人。</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黑体简体" w:eastAsia="方正黑体简体" w:cs="方正黑体简体" w:hAnsi="方正黑体简体" w:hint="eastAsia"/>
          <w:color w:val="000000"/>
          <w:kern w:val="0"/>
          <w:sz w:val="32"/>
          <w:szCs w:val="32"/>
          <w:shd w:val="clear" w:color="auto" w:fill="FFFFFF"/>
        </w:rPr>
      </w:pPr>
      <w:r>
        <w:rPr>
          <w:rFonts w:ascii="方正黑体简体" w:eastAsia="方正黑体简体" w:cs="方正黑体简体" w:hAnsi="方正黑体简体" w:hint="eastAsia"/>
          <w:color w:val="000000"/>
          <w:kern w:val="0"/>
          <w:sz w:val="32"/>
          <w:szCs w:val="32"/>
          <w:shd w:val="clear" w:color="auto" w:fill="FFFFFF"/>
        </w:rPr>
        <w:t>二、部门财政资金收支情况</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（一）部门财政资金收入情况</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仿宋简体" w:eastAsia="方正仿宋简体" w:cs="方正仿宋简体" w:hAnsi="方正仿宋简体" w:hint="eastAsia"/>
          <w:color w:val="000000"/>
          <w:kern w:val="0"/>
          <w:sz w:val="32"/>
          <w:szCs w:val="32"/>
          <w:shd w:val="clear" w:color="auto" w:fill="FFFFFF"/>
          <w:lang w:val="zh-CN"/>
        </w:rPr>
      </w:pPr>
      <w:r>
        <w:rPr>
          <w:rFonts w:ascii="方正仿宋简体" w:eastAsia="方正仿宋简体" w:cs="方正仿宋简体" w:hAnsi="方正仿宋简体" w:hint="eastAsia"/>
          <w:color w:val="auto"/>
          <w:sz w:val="32"/>
          <w:szCs w:val="32"/>
          <w:lang w:val="en-US" w:eastAsia="zh-CN"/>
        </w:rPr>
        <w:t>2020年本年收入合计273.68万元。其中：一般公共预算财政拨款收入273.68万元，占100%。</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（二）部门财政资金支出情况</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仿宋简体" w:eastAsia="方正仿宋简体" w:cs="方正仿宋简体" w:hAnsi="方正仿宋简体" w:hint="eastAsia"/>
          <w:color w:val="000000"/>
          <w:kern w:val="0"/>
          <w:sz w:val="32"/>
          <w:szCs w:val="32"/>
          <w:shd w:val="clear" w:color="auto" w:fill="FFFFFF"/>
          <w:lang w:val="zh-CN"/>
        </w:rPr>
      </w:pPr>
      <w:r>
        <w:rPr>
          <w:rFonts w:ascii="方正仿宋简体" w:eastAsia="方正仿宋简体" w:cs="方正仿宋简体" w:hAnsi="方正仿宋简体" w:hint="eastAsia"/>
          <w:color w:val="auto"/>
          <w:sz w:val="32"/>
          <w:szCs w:val="32"/>
          <w:lang w:val="en-US" w:eastAsia="zh-CN"/>
        </w:rPr>
        <w:t>2020年本年支出合计277.34万元。其中：基本支出202.34万元，占73%；项目支出75万元，占27%。</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黑体简体" w:eastAsia="方正黑体简体" w:cs="方正黑体简体" w:hAnsi="方正黑体简体" w:hint="eastAsia"/>
          <w:color w:val="000000"/>
          <w:kern w:val="0"/>
          <w:sz w:val="32"/>
          <w:szCs w:val="32"/>
          <w:shd w:val="clear" w:color="auto" w:fill="FFFFFF"/>
        </w:rPr>
      </w:pPr>
      <w:r>
        <w:rPr>
          <w:rFonts w:ascii="方正黑体简体" w:eastAsia="方正黑体简体" w:cs="方正黑体简体" w:hAnsi="方正黑体简体" w:hint="eastAsia"/>
          <w:color w:val="000000"/>
          <w:kern w:val="0"/>
          <w:sz w:val="32"/>
          <w:szCs w:val="32"/>
          <w:shd w:val="clear" w:color="auto" w:fill="FFFFFF"/>
          <w:lang w:eastAsia="zh-CN"/>
        </w:rPr>
        <w:t>三、</w:t>
      </w:r>
      <w:r>
        <w:rPr>
          <w:rFonts w:ascii="方正黑体简体" w:eastAsia="方正黑体简体" w:cs="方正黑体简体" w:hAnsi="方正黑体简体" w:hint="eastAsia"/>
          <w:color w:val="000000"/>
          <w:kern w:val="0"/>
          <w:sz w:val="32"/>
          <w:szCs w:val="32"/>
          <w:shd w:val="clear" w:color="auto" w:fill="FFFFFF"/>
        </w:rPr>
        <w:t>部门整体预算绩效管理情况</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（一）部门预算管理</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lang w:val="en-US" w:eastAsia="zh-CN"/>
        </w:rPr>
        <w:t>2</w:t>
      </w:r>
      <w:r>
        <w:rPr>
          <w:rFonts w:ascii="方正仿宋简体" w:eastAsia="方正仿宋简体" w:cs="方正仿宋简体" w:hAnsi="方正仿宋简体" w:hint="eastAsia"/>
          <w:color w:val="000000"/>
          <w:sz w:val="32"/>
          <w:szCs w:val="32"/>
        </w:rPr>
        <w:t>0</w:t>
      </w:r>
      <w:r>
        <w:rPr>
          <w:rFonts w:ascii="方正仿宋简体" w:eastAsia="方正仿宋简体" w:cs="方正仿宋简体" w:hAnsi="方正仿宋简体" w:hint="eastAsia"/>
          <w:color w:val="000000"/>
          <w:sz w:val="32"/>
          <w:szCs w:val="32"/>
          <w:lang w:val="en-US" w:eastAsia="zh-CN"/>
        </w:rPr>
        <w:t>20</w:t>
      </w:r>
      <w:r>
        <w:rPr>
          <w:rFonts w:ascii="方正仿宋简体" w:eastAsia="方正仿宋简体" w:cs="方正仿宋简体" w:hAnsi="方正仿宋简体" w:hint="eastAsia"/>
          <w:color w:val="000000"/>
          <w:sz w:val="32"/>
          <w:szCs w:val="32"/>
        </w:rPr>
        <w:t>年</w:t>
      </w:r>
      <w:r>
        <w:rPr>
          <w:rFonts w:ascii="方正仿宋简体" w:eastAsia="方正仿宋简体" w:cs="方正仿宋简体" w:hAnsi="方正仿宋简体" w:hint="eastAsia"/>
          <w:color w:val="000000"/>
          <w:sz w:val="32"/>
          <w:szCs w:val="32"/>
          <w:lang w:eastAsia="zh-CN"/>
        </w:rPr>
        <w:t>利州区公共卫生指导中心</w:t>
      </w:r>
      <w:r>
        <w:rPr>
          <w:rFonts w:ascii="方正仿宋简体" w:eastAsia="方正仿宋简体" w:cs="方正仿宋简体" w:hAnsi="方正仿宋简体" w:hint="eastAsia"/>
          <w:color w:val="000000"/>
          <w:sz w:val="32"/>
          <w:szCs w:val="32"/>
        </w:rPr>
        <w:t>部门整体支出资金绩效评价总体良好，主要体现在：预算编制及时，认真执行各项财经纪律，财务管理内控制度健全，资金使用规范，无乱发津补贴、奖金现象。</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（二）专项预算管理</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color w:val="000000"/>
          <w:sz w:val="32"/>
          <w:szCs w:val="32"/>
        </w:rPr>
        <w:t>我</w:t>
      </w:r>
      <w:r>
        <w:rPr>
          <w:rFonts w:ascii="方正仿宋简体" w:eastAsia="方正仿宋简体" w:cs="方正仿宋简体" w:hAnsi="方正仿宋简体" w:hint="eastAsia"/>
          <w:color w:val="000000"/>
          <w:sz w:val="32"/>
          <w:szCs w:val="32"/>
          <w:lang w:eastAsia="zh-CN"/>
        </w:rPr>
        <w:t>中心</w:t>
      </w:r>
      <w:r>
        <w:rPr>
          <w:rFonts w:ascii="方正仿宋简体" w:eastAsia="方正仿宋简体" w:cs="方正仿宋简体" w:hAnsi="方正仿宋简体" w:hint="eastAsia"/>
          <w:color w:val="000000"/>
          <w:sz w:val="32"/>
          <w:szCs w:val="32"/>
        </w:rPr>
        <w:t>专项资金按照文件规定申请申报；所提交的文件、材料符合相关要求，事前经过了内部控制领导小组审核，分管财务领导审核、</w:t>
      </w:r>
      <w:r>
        <w:rPr>
          <w:rFonts w:ascii="方正仿宋简体" w:eastAsia="方正仿宋简体" w:cs="方正仿宋简体" w:hAnsi="方正仿宋简体" w:hint="eastAsia"/>
          <w:color w:val="000000"/>
          <w:sz w:val="32"/>
          <w:szCs w:val="32"/>
          <w:lang w:eastAsia="zh-CN"/>
        </w:rPr>
        <w:t>主任</w:t>
      </w:r>
      <w:r>
        <w:rPr>
          <w:rFonts w:ascii="方正仿宋简体" w:eastAsia="方正仿宋简体" w:cs="方正仿宋简体" w:hAnsi="方正仿宋简体" w:hint="eastAsia"/>
          <w:color w:val="000000"/>
          <w:sz w:val="32"/>
          <w:szCs w:val="32"/>
        </w:rPr>
        <w:t>审批，并达到预期效果。同时，我</w:t>
      </w:r>
      <w:r>
        <w:rPr>
          <w:rFonts w:ascii="方正仿宋简体" w:eastAsia="方正仿宋简体" w:cs="方正仿宋简体" w:hAnsi="方正仿宋简体" w:hint="eastAsia"/>
          <w:color w:val="000000"/>
          <w:sz w:val="32"/>
          <w:szCs w:val="32"/>
          <w:lang w:eastAsia="zh-CN"/>
        </w:rPr>
        <w:t>中心</w:t>
      </w:r>
      <w:r>
        <w:rPr>
          <w:rFonts w:ascii="方正仿宋简体" w:eastAsia="方正仿宋简体" w:cs="方正仿宋简体" w:hAnsi="方正仿宋简体" w:hint="eastAsia"/>
          <w:color w:val="000000"/>
          <w:sz w:val="32"/>
          <w:szCs w:val="32"/>
        </w:rPr>
        <w:t>严格按照上级部门及本级财政专项工作资金的相关规定办法进行开支，做到专款专用，无挪用、占用、套取的现象发生。</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（三）结果应用情况</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仿宋简体" w:eastAsia="方正仿宋简体" w:cs="方正仿宋简体" w:hAnsi="方正仿宋简体" w:hint="eastAsia"/>
          <w:color w:val="000000"/>
          <w:sz w:val="32"/>
          <w:szCs w:val="32"/>
          <w:lang w:eastAsia="zh-CN"/>
        </w:rPr>
      </w:pPr>
      <w:r>
        <w:rPr>
          <w:rFonts w:ascii="方正仿宋简体" w:eastAsia="方正仿宋简体" w:cs="方正仿宋简体" w:hAnsi="方正仿宋简体" w:hint="eastAsia"/>
          <w:color w:val="000000"/>
          <w:sz w:val="32"/>
          <w:szCs w:val="32"/>
        </w:rPr>
        <w:t>根据自评结果，20</w:t>
      </w:r>
      <w:r>
        <w:rPr>
          <w:rFonts w:ascii="方正仿宋简体" w:eastAsia="方正仿宋简体" w:cs="方正仿宋简体" w:hAnsi="方正仿宋简体" w:hint="eastAsia"/>
          <w:color w:val="000000"/>
          <w:sz w:val="32"/>
          <w:szCs w:val="32"/>
          <w:lang w:val="en-US" w:eastAsia="zh-CN"/>
        </w:rPr>
        <w:t>20</w:t>
      </w:r>
      <w:r>
        <w:rPr>
          <w:rFonts w:ascii="方正仿宋简体" w:eastAsia="方正仿宋简体" w:cs="方正仿宋简体" w:hAnsi="方正仿宋简体" w:hint="eastAsia"/>
          <w:color w:val="000000"/>
          <w:sz w:val="32"/>
          <w:szCs w:val="32"/>
        </w:rPr>
        <w:t>年度部门整体预算绩效质量好，既保障了本</w:t>
      </w:r>
      <w:r>
        <w:rPr>
          <w:rFonts w:ascii="方正仿宋简体" w:eastAsia="方正仿宋简体" w:cs="方正仿宋简体" w:hAnsi="方正仿宋简体" w:hint="eastAsia"/>
          <w:color w:val="000000"/>
          <w:sz w:val="32"/>
          <w:szCs w:val="32"/>
          <w:lang w:eastAsia="zh-CN"/>
        </w:rPr>
        <w:t>中心</w:t>
      </w:r>
      <w:r>
        <w:rPr>
          <w:rFonts w:ascii="方正仿宋简体" w:eastAsia="方正仿宋简体" w:cs="方正仿宋简体" w:hAnsi="方正仿宋简体" w:hint="eastAsia"/>
          <w:color w:val="000000"/>
          <w:sz w:val="32"/>
          <w:szCs w:val="32"/>
        </w:rPr>
        <w:t>职工正常办公和生活秩序，又顺利完成各项工作任务，严格履行法定职责，圆满完成了</w:t>
      </w:r>
      <w:r>
        <w:rPr>
          <w:rFonts w:ascii="方正仿宋简体" w:eastAsia="方正仿宋简体" w:cs="方正仿宋简体" w:hAnsi="方正仿宋简体" w:hint="eastAsia"/>
          <w:color w:val="000000"/>
          <w:sz w:val="32"/>
          <w:szCs w:val="32"/>
          <w:lang w:eastAsia="zh-CN"/>
        </w:rPr>
        <w:t>区</w:t>
      </w:r>
      <w:r>
        <w:rPr>
          <w:rFonts w:ascii="方正仿宋简体" w:eastAsia="方正仿宋简体" w:cs="方正仿宋简体" w:hAnsi="方正仿宋简体" w:hint="eastAsia"/>
          <w:color w:val="000000"/>
          <w:sz w:val="32"/>
          <w:szCs w:val="32"/>
        </w:rPr>
        <w:t>委、</w:t>
      </w:r>
      <w:r>
        <w:rPr>
          <w:rFonts w:ascii="方正仿宋简体" w:eastAsia="方正仿宋简体" w:cs="方正仿宋简体" w:hAnsi="方正仿宋简体" w:hint="eastAsia"/>
          <w:color w:val="000000"/>
          <w:sz w:val="32"/>
          <w:szCs w:val="32"/>
          <w:lang w:eastAsia="zh-CN"/>
        </w:rPr>
        <w:t>区</w:t>
      </w:r>
      <w:r>
        <w:rPr>
          <w:rFonts w:ascii="方正仿宋简体" w:eastAsia="方正仿宋简体" w:cs="方正仿宋简体" w:hAnsi="方正仿宋简体" w:hint="eastAsia"/>
          <w:color w:val="000000"/>
          <w:sz w:val="32"/>
          <w:szCs w:val="32"/>
        </w:rPr>
        <w:t>政府部署的工作任务，准确评价了各项指标的完成情况</w:t>
      </w:r>
      <w:r>
        <w:rPr>
          <w:rFonts w:ascii="方正仿宋简体" w:eastAsia="方正仿宋简体" w:cs="方正仿宋简体" w:hAnsi="方正仿宋简体" w:hint="eastAsia"/>
          <w:color w:val="000000"/>
          <w:sz w:val="32"/>
          <w:szCs w:val="32"/>
          <w:lang w:eastAsia="zh-CN"/>
        </w:rPr>
        <w:t>，群众满意度高。</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黑体简体" w:eastAsia="方正黑体简体" w:cs="方正黑体简体" w:hAnsi="方正黑体简体" w:hint="eastAsia"/>
          <w:color w:val="000000"/>
          <w:kern w:val="0"/>
          <w:sz w:val="32"/>
          <w:szCs w:val="32"/>
          <w:shd w:val="clear" w:color="auto" w:fill="FFFFFF"/>
        </w:rPr>
      </w:pPr>
      <w:r>
        <w:rPr>
          <w:rFonts w:ascii="方正黑体简体" w:eastAsia="方正黑体简体" w:cs="方正黑体简体" w:hAnsi="方正黑体简体" w:hint="eastAsia"/>
          <w:color w:val="000000"/>
          <w:kern w:val="0"/>
          <w:sz w:val="32"/>
          <w:szCs w:val="32"/>
          <w:shd w:val="clear" w:color="auto" w:fill="FFFFFF"/>
        </w:rPr>
        <w:t>四、评价结论及建议</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（一）评价结论</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color w:val="000000"/>
          <w:sz w:val="32"/>
          <w:szCs w:val="32"/>
        </w:rPr>
        <w:t>及时、准确、优质地完成了预算编制；预算执行情况良好，支出管理规范，资金管理制度较为完善，会计核算和账务处理规范，会计资料完整。</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（二）存在问题</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在资金使用计划上有待进一步加强,要进一步细化预算编制,编制范围尽可能全面，不漏项。进一步提高预算编制的科学性、合理性、严谨性和可控性。</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（三）改进建议</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仿宋简体" w:eastAsia="方正仿宋简体" w:cs="方正仿宋简体" w:hAnsi="方正仿宋简体" w:hint="eastAsia"/>
          <w:color w:val="auto"/>
          <w:sz w:val="32"/>
          <w:szCs w:val="32"/>
          <w:lang w:val="en-US" w:eastAsia="zh-CN"/>
        </w:rPr>
      </w:pPr>
      <w:r>
        <w:rPr>
          <w:rFonts w:ascii="方正仿宋简体" w:eastAsia="方正仿宋简体" w:cs="方正仿宋简体" w:hAnsi="方正仿宋简体" w:hint="eastAsia"/>
          <w:color w:val="auto"/>
          <w:sz w:val="32"/>
          <w:szCs w:val="32"/>
        </w:rPr>
        <w:t>加强预算编制的前瞻性，进一步优化预算编制，避免项目支出与基本支出划分不准或预算支出与实际执行出现较大偏差的情况，执行中确需调剂预算的，按规定程序报经批</w:t>
      </w:r>
      <w:r>
        <w:rPr>
          <w:rFonts w:ascii="方正仿宋简体" w:eastAsia="方正仿宋简体" w:cs="方正仿宋简体" w:hAnsi="方正仿宋简体" w:hint="eastAsia"/>
          <w:color w:val="auto"/>
          <w:sz w:val="32"/>
          <w:szCs w:val="32"/>
          <w:lang w:eastAsia="zh-CN"/>
        </w:rPr>
        <w:t>。</w:t>
      </w:r>
    </w:p>
    <w:p>
      <w:pPr>
        <w:keepNext w:val="0"/>
        <w:keepLines w:val="0"/>
        <w:pageBreakBefore w:val="0"/>
        <w:widowControl w:val="0"/>
        <w:kinsoku/>
        <w:wordWrap/>
        <w:overflowPunct/>
        <w:topLinePunct w:val="0"/>
        <w:bidi w:val="0"/>
        <w:spacing w:line="576" w:lineRule="exact"/>
        <w:ind w:left="0" w:firstLineChars="200" w:firstLine="640"/>
        <w:textAlignment w:val="auto"/>
        <w:rPr>
          <w:rFonts w:ascii="方正仿宋简体" w:eastAsia="方正仿宋简体" w:cs="方正仿宋简体" w:hAnsi="方正仿宋简体" w:hint="eastAsia"/>
          <w:sz w:val="32"/>
          <w:szCs w:val="32"/>
        </w:rPr>
      </w:pPr>
    </w:p>
    <w:p>
      <w:pPr>
        <w:pStyle w:val="16"/>
        <w:keepNext w:val="0"/>
        <w:keepLines w:val="0"/>
        <w:pageBreakBefore w:val="0"/>
        <w:widowControl w:val="0"/>
        <w:kinsoku/>
        <w:wordWrap/>
        <w:overflowPunct/>
        <w:topLinePunct w:val="0"/>
        <w:bidi w:val="0"/>
        <w:spacing w:line="576" w:lineRule="exact"/>
        <w:ind w:leftChars="0" w:left="0"/>
        <w:textAlignment w:val="auto"/>
        <w:rPr>
          <w:rFonts w:ascii="方正仿宋简体" w:eastAsia="方正仿宋简体" w:cs="方正仿宋简体" w:hAnsi="方正仿宋简体" w:hint="eastAsia"/>
          <w:sz w:val="32"/>
          <w:szCs w:val="32"/>
        </w:rPr>
      </w:pPr>
    </w:p>
    <w:p>
      <w:pPr>
        <w:pStyle w:val="16"/>
        <w:keepNext w:val="0"/>
        <w:keepLines w:val="0"/>
        <w:pageBreakBefore w:val="0"/>
        <w:widowControl w:val="0"/>
        <w:kinsoku/>
        <w:wordWrap/>
        <w:overflowPunct/>
        <w:topLinePunct w:val="0"/>
        <w:bidi w:val="0"/>
        <w:spacing w:line="576" w:lineRule="exact"/>
        <w:ind w:leftChars="0" w:left="0"/>
        <w:textAlignment w:val="auto"/>
        <w:rPr>
          <w:rFonts w:ascii="方正仿宋简体" w:eastAsia="方正仿宋简体" w:cs="方正仿宋简体" w:hAnsi="方正仿宋简体" w:hint="eastAsia"/>
          <w:sz w:val="32"/>
          <w:szCs w:val="32"/>
        </w:rPr>
      </w:pPr>
    </w:p>
    <w:p>
      <w:pPr>
        <w:pStyle w:val="16"/>
        <w:keepNext w:val="0"/>
        <w:keepLines w:val="0"/>
        <w:pageBreakBefore w:val="0"/>
        <w:widowControl w:val="0"/>
        <w:kinsoku/>
        <w:wordWrap/>
        <w:overflowPunct/>
        <w:topLinePunct w:val="0"/>
        <w:bidi w:val="0"/>
        <w:spacing w:line="576" w:lineRule="exact"/>
        <w:ind w:leftChars="0" w:left="0"/>
        <w:textAlignment w:val="auto"/>
        <w:rPr>
          <w:rFonts w:ascii="方正仿宋简体" w:eastAsia="方正仿宋简体" w:cs="方正仿宋简体" w:hAnsi="方正仿宋简体" w:hint="eastAsia"/>
          <w:sz w:val="32"/>
          <w:szCs w:val="32"/>
        </w:rPr>
      </w:pPr>
    </w:p>
    <w:p>
      <w:pPr>
        <w:pStyle w:val="16"/>
        <w:keepNext w:val="0"/>
        <w:keepLines w:val="0"/>
        <w:pageBreakBefore w:val="0"/>
        <w:widowControl w:val="0"/>
        <w:kinsoku/>
        <w:wordWrap/>
        <w:overflowPunct/>
        <w:topLinePunct w:val="0"/>
        <w:bidi w:val="0"/>
        <w:spacing w:line="576" w:lineRule="exact"/>
        <w:ind w:leftChars="0" w:left="0"/>
        <w:textAlignment w:val="auto"/>
        <w:rPr>
          <w:rFonts w:ascii="方正仿宋简体" w:eastAsia="方正仿宋简体" w:cs="方正仿宋简体" w:hAnsi="方正仿宋简体" w:hint="eastAsia"/>
          <w:sz w:val="32"/>
          <w:szCs w:val="32"/>
        </w:rPr>
      </w:pPr>
    </w:p>
    <w:p>
      <w:pPr>
        <w:pStyle w:val="16"/>
        <w:keepNext w:val="0"/>
        <w:keepLines w:val="0"/>
        <w:pageBreakBefore w:val="0"/>
        <w:widowControl w:val="0"/>
        <w:kinsoku/>
        <w:wordWrap/>
        <w:overflowPunct/>
        <w:topLinePunct w:val="0"/>
        <w:bidi w:val="0"/>
        <w:spacing w:line="576" w:lineRule="exact"/>
        <w:ind w:leftChars="0" w:left="0"/>
        <w:textAlignment w:val="auto"/>
        <w:rPr>
          <w:rFonts w:ascii="方正仿宋简体" w:eastAsia="方正仿宋简体" w:cs="方正仿宋简体" w:hAnsi="方正仿宋简体" w:hint="eastAsia"/>
          <w:sz w:val="32"/>
          <w:szCs w:val="32"/>
        </w:rPr>
      </w:pPr>
    </w:p>
    <w:p>
      <w:pPr>
        <w:pStyle w:val="16"/>
        <w:keepNext w:val="0"/>
        <w:keepLines w:val="0"/>
        <w:pageBreakBefore w:val="0"/>
        <w:widowControl w:val="0"/>
        <w:kinsoku/>
        <w:wordWrap/>
        <w:overflowPunct/>
        <w:topLinePunct w:val="0"/>
        <w:bidi w:val="0"/>
        <w:spacing w:line="576" w:lineRule="exact"/>
        <w:ind w:leftChars="0" w:left="0"/>
        <w:textAlignment w:val="auto"/>
        <w:rPr>
          <w:rFonts w:ascii="方正仿宋简体" w:eastAsia="方正仿宋简体" w:cs="方正仿宋简体" w:hAnsi="方正仿宋简体" w:hint="eastAsia"/>
          <w:sz w:val="32"/>
          <w:szCs w:val="32"/>
        </w:rPr>
      </w:pPr>
    </w:p>
    <w:p>
      <w:pPr>
        <w:pStyle w:val="16"/>
        <w:keepNext w:val="0"/>
        <w:keepLines w:val="0"/>
        <w:pageBreakBefore w:val="0"/>
        <w:widowControl w:val="0"/>
        <w:kinsoku/>
        <w:wordWrap/>
        <w:overflowPunct/>
        <w:topLinePunct w:val="0"/>
        <w:bidi w:val="0"/>
        <w:spacing w:line="576" w:lineRule="exact"/>
        <w:ind w:leftChars="0" w:left="0"/>
        <w:textAlignment w:val="auto"/>
        <w:rPr>
          <w:rFonts w:ascii="方正仿宋简体" w:eastAsia="方正仿宋简体" w:cs="方正仿宋简体" w:hAnsi="方正仿宋简体" w:hint="eastAsia"/>
          <w:sz w:val="32"/>
          <w:szCs w:val="32"/>
        </w:rPr>
      </w:pPr>
    </w:p>
    <w:p>
      <w:pPr>
        <w:pStyle w:val="16"/>
        <w:keepNext w:val="0"/>
        <w:keepLines w:val="0"/>
        <w:pageBreakBefore w:val="0"/>
        <w:widowControl w:val="0"/>
        <w:kinsoku/>
        <w:wordWrap/>
        <w:overflowPunct/>
        <w:topLinePunct w:val="0"/>
        <w:bidi w:val="0"/>
        <w:spacing w:line="576" w:lineRule="exact"/>
        <w:ind w:leftChars="0" w:left="0"/>
        <w:textAlignment w:val="auto"/>
        <w:rPr>
          <w:rFonts w:ascii="方正仿宋简体" w:eastAsia="方正仿宋简体" w:cs="方正仿宋简体" w:hAnsi="方正仿宋简体" w:hint="eastAsia"/>
          <w:sz w:val="32"/>
          <w:szCs w:val="32"/>
        </w:rPr>
      </w:pPr>
    </w:p>
    <w:p>
      <w:pPr>
        <w:pStyle w:val="16"/>
        <w:keepNext w:val="0"/>
        <w:keepLines w:val="0"/>
        <w:pageBreakBefore w:val="0"/>
        <w:widowControl w:val="0"/>
        <w:kinsoku/>
        <w:wordWrap/>
        <w:overflowPunct/>
        <w:topLinePunct w:val="0"/>
        <w:bidi w:val="0"/>
        <w:spacing w:line="576" w:lineRule="exact"/>
        <w:ind w:leftChars="0" w:left="0"/>
        <w:textAlignment w:val="auto"/>
        <w:rPr>
          <w:rFonts w:ascii="方正仿宋简体" w:eastAsia="方正仿宋简体" w:cs="方正仿宋简体" w:hAnsi="方正仿宋简体" w:hint="eastAsia"/>
          <w:sz w:val="32"/>
          <w:szCs w:val="32"/>
        </w:rPr>
      </w:pPr>
    </w:p>
    <w:p>
      <w:pPr>
        <w:keepNext w:val="0"/>
        <w:keepLines w:val="0"/>
        <w:pageBreakBefore w:val="0"/>
        <w:widowControl w:val="0"/>
        <w:kinsoku/>
        <w:wordWrap/>
        <w:overflowPunct/>
        <w:topLinePunct w:val="0"/>
        <w:bidi w:val="0"/>
        <w:spacing w:line="576" w:lineRule="exact"/>
        <w:ind w:left="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br w:type="page"/>
      </w:r>
    </w:p>
    <w:p>
      <w:pPr>
        <w:keepNext w:val="0"/>
        <w:keepLines w:val="0"/>
        <w:pageBreakBefore w:val="0"/>
        <w:widowControl w:val="0"/>
        <w:kinsoku/>
        <w:wordWrap/>
        <w:overflowPunct/>
        <w:topLinePunct w:val="0"/>
        <w:bidi w:val="0"/>
        <w:spacing w:line="576" w:lineRule="exact"/>
        <w:ind w:left="0"/>
        <w:jc w:val="left"/>
        <w:textAlignment w:val="auto"/>
        <w:outlineLvl w:val="0"/>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附件2</w:t>
      </w:r>
    </w:p>
    <w:p>
      <w:pPr>
        <w:pStyle w:val="16"/>
        <w:keepNext w:val="0"/>
        <w:keepLines w:val="0"/>
        <w:pageBreakBefore w:val="0"/>
        <w:widowControl w:val="0"/>
        <w:kinsoku/>
        <w:wordWrap/>
        <w:overflowPunct/>
        <w:topLinePunct w:val="0"/>
        <w:bidi w:val="0"/>
        <w:spacing w:line="576" w:lineRule="exact"/>
        <w:ind w:leftChars="0" w:left="0"/>
        <w:textAlignment w:val="auto"/>
        <w:rPr>
          <w:rFonts w:ascii="方正仿宋简体" w:eastAsia="方正仿宋简体" w:cs="方正仿宋简体" w:hAnsi="方正仿宋简体" w:hint="eastAsia"/>
          <w:sz w:val="32"/>
          <w:szCs w:val="32"/>
        </w:rPr>
      </w:pPr>
    </w:p>
    <w:p>
      <w:pPr>
        <w:keepNext w:val="0"/>
        <w:keepLines w:val="0"/>
        <w:pageBreakBefore w:val="0"/>
        <w:widowControl w:val="0"/>
        <w:kinsoku/>
        <w:wordWrap/>
        <w:overflowPunct/>
        <w:topLinePunct w:val="0"/>
        <w:bidi w:val="0"/>
        <w:spacing w:line="576" w:lineRule="exact"/>
        <w:ind w:left="0"/>
        <w:jc w:val="center"/>
        <w:textAlignment w:val="auto"/>
        <w:rPr>
          <w:rFonts w:ascii="方正小标宋简体" w:eastAsia="方正小标宋简体" w:cs="方正小标宋简体" w:hAnsi="方正小标宋简体" w:hint="eastAsia"/>
          <w:b w:val="0"/>
          <w:bCs w:val="0"/>
          <w:kern w:val="2"/>
          <w:sz w:val="44"/>
          <w:szCs w:val="44"/>
          <w:lang w:val="en-US" w:eastAsia="zh-CN" w:bidi="ar-SA"/>
        </w:rPr>
      </w:pPr>
      <w:r>
        <w:rPr>
          <w:rFonts w:ascii="方正小标宋简体" w:eastAsia="方正小标宋简体" w:cs="方正小标宋简体" w:hAnsi="方正小标宋简体" w:hint="eastAsia"/>
          <w:b w:val="0"/>
          <w:bCs w:val="0"/>
          <w:kern w:val="2"/>
          <w:sz w:val="44"/>
          <w:szCs w:val="44"/>
          <w:lang w:val="en-US" w:eastAsia="zh-CN" w:bidi="ar-SA"/>
        </w:rPr>
        <w:t>2020年基本公共卫生服务项目</w:t>
      </w:r>
    </w:p>
    <w:p>
      <w:pPr>
        <w:keepNext w:val="0"/>
        <w:keepLines w:val="0"/>
        <w:pageBreakBefore w:val="0"/>
        <w:widowControl w:val="0"/>
        <w:kinsoku/>
        <w:wordWrap/>
        <w:overflowPunct/>
        <w:topLinePunct w:val="0"/>
        <w:bidi w:val="0"/>
        <w:spacing w:line="576" w:lineRule="exact"/>
        <w:ind w:left="0"/>
        <w:jc w:val="center"/>
        <w:textAlignment w:val="auto"/>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b w:val="0"/>
          <w:bCs w:val="0"/>
          <w:kern w:val="2"/>
          <w:sz w:val="44"/>
          <w:szCs w:val="44"/>
          <w:lang w:val="en-US" w:eastAsia="zh-CN" w:bidi="ar-SA"/>
        </w:rPr>
        <w:t>支出</w:t>
      </w:r>
      <w:r>
        <w:rPr>
          <w:rFonts w:ascii="方正小标宋简体" w:eastAsia="方正小标宋简体" w:cs="方正小标宋简体" w:hAnsi="方正小标宋简体" w:hint="eastAsia"/>
          <w:sz w:val="44"/>
          <w:szCs w:val="44"/>
        </w:rPr>
        <w:t>绩效评价报告</w:t>
      </w:r>
    </w:p>
    <w:p>
      <w:pPr>
        <w:keepNext w:val="0"/>
        <w:keepLines w:val="0"/>
        <w:pageBreakBefore w:val="0"/>
        <w:widowControl w:val="0"/>
        <w:kinsoku/>
        <w:wordWrap/>
        <w:overflowPunct/>
        <w:topLinePunct w:val="0"/>
        <w:bidi w:val="0"/>
        <w:spacing w:line="576" w:lineRule="exact"/>
        <w:ind w:left="0" w:firstLineChars="200" w:firstLine="880"/>
        <w:textAlignment w:val="auto"/>
        <w:rPr>
          <w:rFonts w:ascii="方正小标宋简体" w:eastAsia="方正小标宋简体" w:cs="方正小标宋简体" w:hAnsi="方正小标宋简体" w:hint="eastAsia"/>
          <w:sz w:val="44"/>
          <w:szCs w:val="44"/>
        </w:rPr>
      </w:pP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黑体简体" w:eastAsia="方正黑体简体" w:cs="方正黑体简体" w:hAnsi="方正黑体简体" w:hint="eastAsia"/>
          <w:color w:val="000000"/>
          <w:kern w:val="0"/>
          <w:sz w:val="32"/>
          <w:szCs w:val="32"/>
          <w:shd w:val="clear" w:color="auto" w:fill="FFFFFF"/>
        </w:rPr>
      </w:pPr>
      <w:r>
        <w:rPr>
          <w:rFonts w:ascii="方正黑体简体" w:eastAsia="方正黑体简体" w:cs="方正黑体简体" w:hAnsi="方正黑体简体" w:hint="eastAsia"/>
          <w:color w:val="000000"/>
          <w:kern w:val="0"/>
          <w:sz w:val="32"/>
          <w:szCs w:val="32"/>
          <w:shd w:val="clear" w:color="auto" w:fill="FFFFFF"/>
        </w:rPr>
        <w:t>一、评价工作开展及项目情况</w:t>
      </w:r>
    </w:p>
    <w:p>
      <w:pPr>
        <w:keepNext w:val="0"/>
        <w:keepLines w:val="0"/>
        <w:pageBreakBefore w:val="0"/>
        <w:widowControl w:val="0"/>
        <w:kinsoku/>
        <w:wordWrap/>
        <w:overflowPunct/>
        <w:topLinePunct w:val="0"/>
        <w:autoSpaceDE/>
        <w:autoSpaceDN/>
        <w:bidi w:val="0"/>
        <w:adjustRightInd/>
        <w:snapToGrid w:val="0"/>
        <w:spacing w:line="576" w:lineRule="exact"/>
        <w:ind w:left="0" w:firstLineChars="200" w:firstLine="640"/>
        <w:jc w:val="both"/>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color w:val="000000"/>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keepNext w:val="0"/>
        <w:keepLines w:val="0"/>
        <w:pageBreakBefore w:val="0"/>
        <w:widowControl w:val="0"/>
        <w:kinsoku/>
        <w:wordWrap/>
        <w:overflowPunct/>
        <w:topLinePunct w:val="0"/>
        <w:autoSpaceDE/>
        <w:autoSpaceDN/>
        <w:bidi w:val="0"/>
        <w:adjustRightInd/>
        <w:snapToGrid w:val="0"/>
        <w:spacing w:line="576" w:lineRule="exact"/>
        <w:ind w:left="0" w:firstLineChars="200" w:firstLine="640"/>
        <w:jc w:val="both"/>
        <w:textAlignment w:val="auto"/>
        <w:rPr>
          <w:rFonts w:ascii="方正仿宋简体" w:eastAsia="方正仿宋简体" w:cs="方正仿宋简体" w:hAnsi="方正仿宋简体" w:hint="eastAsia"/>
          <w:color w:val="000000"/>
          <w:sz w:val="32"/>
          <w:szCs w:val="32"/>
          <w:lang w:val="en-US" w:eastAsia="zh-CN"/>
        </w:rPr>
      </w:pPr>
      <w:r>
        <w:rPr>
          <w:rFonts w:ascii="方正仿宋简体" w:eastAsia="方正仿宋简体" w:cs="方正仿宋简体" w:hAnsi="方正仿宋简体" w:hint="eastAsia"/>
          <w:color w:val="auto"/>
          <w:sz w:val="32"/>
          <w:szCs w:val="32"/>
          <w:lang w:eastAsia="zh-CN"/>
        </w:rPr>
        <w:t>该</w:t>
      </w:r>
      <w:r>
        <w:rPr>
          <w:rFonts w:ascii="方正仿宋简体" w:eastAsia="方正仿宋简体" w:cs="方正仿宋简体" w:hAnsi="方正仿宋简体" w:hint="eastAsia"/>
          <w:color w:val="auto"/>
          <w:sz w:val="32"/>
          <w:szCs w:val="32"/>
        </w:rPr>
        <w:t>项目资金</w:t>
      </w:r>
      <w:r>
        <w:rPr>
          <w:rFonts w:ascii="方正仿宋简体" w:eastAsia="方正仿宋简体" w:cs="方正仿宋简体" w:hAnsi="方正仿宋简体" w:hint="eastAsia"/>
          <w:color w:val="auto"/>
          <w:sz w:val="32"/>
          <w:szCs w:val="32"/>
          <w:lang w:eastAsia="zh-CN"/>
        </w:rPr>
        <w:t>总投入</w:t>
      </w:r>
      <w:r>
        <w:rPr>
          <w:rFonts w:ascii="方正仿宋简体" w:eastAsia="方正仿宋简体" w:cs="方正仿宋简体" w:hAnsi="方正仿宋简体" w:hint="eastAsia"/>
          <w:color w:val="auto"/>
          <w:sz w:val="32"/>
          <w:szCs w:val="32"/>
          <w:lang w:val="en-US" w:eastAsia="zh-CN"/>
        </w:rPr>
        <w:t>70</w:t>
      </w:r>
      <w:r>
        <w:rPr>
          <w:rFonts w:ascii="方正仿宋简体" w:eastAsia="方正仿宋简体" w:cs="方正仿宋简体" w:hAnsi="方正仿宋简体" w:hint="eastAsia"/>
          <w:color w:val="auto"/>
          <w:sz w:val="32"/>
          <w:szCs w:val="32"/>
        </w:rPr>
        <w:t>万元</w:t>
      </w:r>
      <w:r>
        <w:rPr>
          <w:rFonts w:ascii="方正仿宋简体" w:eastAsia="方正仿宋简体" w:cs="方正仿宋简体" w:hAnsi="方正仿宋简体" w:hint="eastAsia"/>
          <w:color w:val="auto"/>
          <w:sz w:val="32"/>
          <w:szCs w:val="32"/>
          <w:lang w:eastAsia="zh-CN"/>
        </w:rPr>
        <w:t>。</w:t>
      </w:r>
      <w:r>
        <w:rPr>
          <w:rFonts w:ascii="方正仿宋简体" w:eastAsia="方正仿宋简体" w:cs="方正仿宋简体" w:hAnsi="方正仿宋简体" w:hint="eastAsia"/>
          <w:color w:val="000000"/>
          <w:sz w:val="32"/>
          <w:szCs w:val="32"/>
          <w:lang w:val="en-US" w:eastAsia="zh-CN"/>
        </w:rPr>
        <w:t>主要用于开展基本公共卫生服务项目技术指导、人员培训、绩效评价、信息收集报送等工作，提高群众满意度和知晓率。</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黑体简体" w:eastAsia="方正黑体简体" w:cs="方正黑体简体" w:hAnsi="方正黑体简体" w:hint="eastAsia"/>
          <w:color w:val="000000"/>
          <w:kern w:val="0"/>
          <w:sz w:val="32"/>
          <w:szCs w:val="32"/>
          <w:shd w:val="clear" w:color="auto" w:fill="FFFFFF"/>
        </w:rPr>
      </w:pPr>
      <w:r>
        <w:rPr>
          <w:rFonts w:ascii="方正黑体简体" w:eastAsia="方正黑体简体" w:cs="方正黑体简体" w:hAnsi="方正黑体简体" w:hint="eastAsia"/>
          <w:color w:val="000000"/>
          <w:kern w:val="0"/>
          <w:sz w:val="32"/>
          <w:szCs w:val="32"/>
          <w:shd w:val="clear" w:color="auto" w:fill="FFFFFF"/>
        </w:rPr>
        <w:t>二、评价结论及绩效分析</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rPr>
        <w:t>（一）评价结论</w:t>
      </w:r>
    </w:p>
    <w:p>
      <w:pPr>
        <w:keepNext w:val="0"/>
        <w:keepLines w:val="0"/>
        <w:pageBreakBefore w:val="0"/>
        <w:widowControl w:val="0"/>
        <w:kinsoku/>
        <w:wordWrap/>
        <w:overflowPunct/>
        <w:topLinePunct w:val="0"/>
        <w:autoSpaceDE/>
        <w:autoSpaceDN/>
        <w:bidi w:val="0"/>
        <w:adjustRightInd/>
        <w:snapToGrid w:val="0"/>
        <w:spacing w:line="576" w:lineRule="exact"/>
        <w:ind w:left="0" w:firstLineChars="200" w:firstLine="640"/>
        <w:jc w:val="both"/>
        <w:textAlignment w:val="auto"/>
        <w:rPr>
          <w:rFonts w:ascii="方正仿宋简体" w:eastAsia="方正仿宋简体" w:cs="方正仿宋简体" w:hAnsi="方正仿宋简体" w:hint="eastAsia"/>
          <w:color w:val="000000"/>
          <w:sz w:val="32"/>
          <w:szCs w:val="32"/>
          <w:lang w:val="en-US" w:eastAsia="zh-CN"/>
        </w:rPr>
      </w:pPr>
      <w:r>
        <w:rPr>
          <w:rFonts w:ascii="方正仿宋简体" w:eastAsia="方正仿宋简体" w:cs="方正仿宋简体" w:hAnsi="方正仿宋简体" w:hint="eastAsia"/>
          <w:color w:val="000000"/>
          <w:sz w:val="32"/>
          <w:szCs w:val="32"/>
          <w:lang w:val="en-US" w:eastAsia="zh-CN"/>
        </w:rPr>
        <w:t>该项目严格按照年初制定的工作计划，按时保质保量完成项目，通过项目实施，有力推进了基本公共卫生服务项目的全面开展，</w:t>
      </w:r>
      <w:r>
        <w:rPr>
          <w:rFonts w:ascii="方正仿宋简体" w:eastAsia="方正仿宋简体" w:cs="方正仿宋简体" w:hAnsi="方正仿宋简体" w:hint="eastAsia"/>
          <w:sz w:val="32"/>
          <w:szCs w:val="32"/>
          <w:lang w:eastAsia="zh-CN"/>
        </w:rPr>
        <w:t>项目工作质量、规范性均有了进一步提高</w:t>
      </w:r>
      <w:r>
        <w:rPr>
          <w:rFonts w:ascii="方正仿宋简体" w:eastAsia="方正仿宋简体" w:cs="方正仿宋简体" w:hAnsi="方正仿宋简体" w:hint="eastAsia"/>
          <w:color w:val="000000"/>
          <w:sz w:val="32"/>
          <w:szCs w:val="32"/>
          <w:lang w:val="en-US" w:eastAsia="zh-CN"/>
        </w:rPr>
        <w:t>。</w:t>
      </w:r>
      <w:r>
        <w:rPr>
          <w:rFonts w:ascii="方正仿宋简体" w:eastAsia="方正仿宋简体" w:cs="方正仿宋简体" w:hAnsi="方正仿宋简体" w:hint="eastAsia"/>
          <w:sz w:val="32"/>
          <w:szCs w:val="32"/>
        </w:rPr>
        <w:t>该经费资金到位及时，支出合理合规，设立依据充分，并且目标明确，符合我</w:t>
      </w:r>
      <w:r>
        <w:rPr>
          <w:rFonts w:ascii="方正仿宋简体" w:eastAsia="方正仿宋简体" w:cs="方正仿宋简体" w:hAnsi="方正仿宋简体" w:hint="eastAsia"/>
          <w:sz w:val="32"/>
          <w:szCs w:val="32"/>
          <w:lang w:eastAsia="zh-CN"/>
        </w:rPr>
        <w:t>中心</w:t>
      </w:r>
      <w:r>
        <w:rPr>
          <w:rFonts w:ascii="方正仿宋简体" w:eastAsia="方正仿宋简体" w:cs="方正仿宋简体" w:hAnsi="方正仿宋简体" w:hint="eastAsia"/>
          <w:sz w:val="32"/>
          <w:szCs w:val="32"/>
        </w:rPr>
        <w:t>要求。</w:t>
      </w: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（二）绩效分析</w:t>
      </w:r>
    </w:p>
    <w:p>
      <w:pPr>
        <w:keepNext w:val="0"/>
        <w:keepLines w:val="0"/>
        <w:pageBreakBefore w:val="0"/>
        <w:widowControl w:val="0"/>
        <w:kinsoku/>
        <w:wordWrap/>
        <w:overflowPunct/>
        <w:topLinePunct w:val="0"/>
        <w:autoSpaceDE/>
        <w:autoSpaceDN/>
        <w:bidi w:val="0"/>
        <w:adjustRightInd/>
        <w:snapToGrid w:val="0"/>
        <w:spacing w:line="576" w:lineRule="exact"/>
        <w:ind w:left="0" w:firstLineChars="200" w:firstLine="640"/>
        <w:jc w:val="both"/>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项目决策</w:t>
      </w:r>
    </w:p>
    <w:p>
      <w:pPr>
        <w:pStyle w:val="16"/>
        <w:keepNext w:val="0"/>
        <w:keepLines w:val="0"/>
        <w:pageBreakBefore w:val="0"/>
        <w:widowControl w:val="0"/>
        <w:kinsoku/>
        <w:wordWrap/>
        <w:overflowPunct/>
        <w:topLinePunct w:val="0"/>
        <w:autoSpaceDE/>
        <w:autoSpaceDN/>
        <w:bidi w:val="0"/>
        <w:adjustRightInd/>
        <w:snapToGrid w:val="0"/>
        <w:spacing w:line="576" w:lineRule="exact"/>
        <w:ind w:leftChars="0" w:left="0" w:firstLineChars="200" w:firstLine="640"/>
        <w:jc w:val="both"/>
        <w:textAlignment w:val="auto"/>
        <w:rPr>
          <w:rFonts w:ascii="方正仿宋简体" w:eastAsia="方正仿宋简体" w:cs="方正仿宋简体" w:hAnsi="方正仿宋简体" w:hint="eastAsia"/>
          <w:color w:val="000000"/>
          <w:sz w:val="32"/>
          <w:szCs w:val="32"/>
          <w14:textFill>
            <w14:solidFill>
              <w14:srgbClr w14:val="000000"/>
            </w14:solidFill>
          </w14:textFill>
          <w:lang w:val="en-US" w:eastAsia="zh-CN"/>
        </w:rPr>
      </w:pPr>
      <w:r>
        <w:rPr>
          <w:rFonts w:ascii="方正仿宋简体" w:eastAsia="方正仿宋简体" w:cs="方正仿宋简体" w:hAnsi="方正仿宋简体" w:hint="eastAsia"/>
          <w:color w:val="000000"/>
          <w:sz w:val="32"/>
          <w:szCs w:val="32"/>
          <w14:textFill>
            <w14:solidFill>
              <w14:srgbClr w14:val="000000"/>
            </w14:solidFill>
          </w14:textFill>
          <w:lang w:eastAsia="zh-CN"/>
        </w:rPr>
        <w:t>依据《国家基本公共卫生服务规范（</w:t>
      </w:r>
      <w:r>
        <w:rPr>
          <w:rFonts w:ascii="方正仿宋简体" w:eastAsia="方正仿宋简体" w:cs="方正仿宋简体" w:hAnsi="方正仿宋简体" w:hint="eastAsia"/>
          <w:color w:val="000000"/>
          <w:sz w:val="32"/>
          <w:szCs w:val="32"/>
          <w14:textFill>
            <w14:solidFill>
              <w14:srgbClr w14:val="000000"/>
            </w14:solidFill>
          </w14:textFill>
          <w:lang w:val="en-US" w:eastAsia="zh-CN"/>
        </w:rPr>
        <w:t>第三版</w:t>
      </w:r>
      <w:r>
        <w:rPr>
          <w:rFonts w:ascii="方正仿宋简体" w:eastAsia="方正仿宋简体" w:cs="方正仿宋简体" w:hAnsi="方正仿宋简体" w:hint="eastAsia"/>
          <w:color w:val="000000"/>
          <w:sz w:val="32"/>
          <w:szCs w:val="32"/>
          <w14:textFill>
            <w14:solidFill>
              <w14:srgbClr w14:val="000000"/>
            </w14:solidFill>
          </w14:textFill>
          <w:lang w:eastAsia="zh-CN"/>
        </w:rPr>
        <w:t>）》，充分发挥专业公共卫生机构的作用，加强项目技术指导、业务培训、绩效评价，进一步提高全区公共卫生服务水平，督促基层医疗机构全面实施</w:t>
      </w:r>
      <w:r>
        <w:rPr>
          <w:rFonts w:ascii="方正仿宋简体" w:eastAsia="方正仿宋简体" w:cs="方正仿宋简体" w:hAnsi="方正仿宋简体" w:hint="eastAsia"/>
          <w:color w:val="000000"/>
          <w:sz w:val="32"/>
          <w:szCs w:val="32"/>
          <w14:textFill>
            <w14:solidFill>
              <w14:srgbClr w14:val="000000"/>
            </w14:solidFill>
          </w14:textFill>
          <w:lang w:val="en-US" w:eastAsia="zh-CN"/>
        </w:rPr>
        <w:t>12项基本公共卫生服务项目，进一步促进基本公共卫生服务均等化水平。</w:t>
      </w:r>
    </w:p>
    <w:p>
      <w:pPr>
        <w:keepNext w:val="0"/>
        <w:keepLines w:val="0"/>
        <w:pageBreakBefore w:val="0"/>
        <w:widowControl w:val="0"/>
        <w:kinsoku/>
        <w:wordWrap/>
        <w:overflowPunct/>
        <w:topLinePunct w:val="0"/>
        <w:autoSpaceDE/>
        <w:autoSpaceDN/>
        <w:bidi w:val="0"/>
        <w:adjustRightInd/>
        <w:snapToGrid w:val="0"/>
        <w:spacing w:line="576" w:lineRule="exact"/>
        <w:ind w:left="0" w:firstLineChars="200" w:firstLine="640"/>
        <w:jc w:val="both"/>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项目管理</w:t>
      </w:r>
    </w:p>
    <w:p>
      <w:pPr>
        <w:keepNext w:val="0"/>
        <w:keepLines w:val="0"/>
        <w:pageBreakBefore w:val="0"/>
        <w:widowControl w:val="0"/>
        <w:kinsoku/>
        <w:wordWrap/>
        <w:overflowPunct/>
        <w:topLinePunct w:val="0"/>
        <w:autoSpaceDE/>
        <w:autoSpaceDN/>
        <w:bidi w:val="0"/>
        <w:adjustRightInd/>
        <w:snapToGrid w:val="0"/>
        <w:spacing w:line="576" w:lineRule="exact"/>
        <w:ind w:left="0" w:firstLineChars="200" w:firstLine="640"/>
        <w:jc w:val="both"/>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2020年基本公共卫生服务</w:t>
      </w:r>
      <w:r>
        <w:rPr>
          <w:rFonts w:ascii="方正仿宋简体" w:eastAsia="方正仿宋简体" w:cs="方正仿宋简体" w:hAnsi="方正仿宋简体" w:hint="eastAsia"/>
          <w:color w:val="000000"/>
          <w:sz w:val="32"/>
          <w:szCs w:val="32"/>
          <w:lang w:val="en-US" w:eastAsia="zh-CN"/>
        </w:rPr>
        <w:t>项目</w:t>
      </w:r>
      <w:r>
        <w:rPr>
          <w:rFonts w:ascii="方正仿宋简体" w:eastAsia="方正仿宋简体" w:cs="方正仿宋简体" w:hAnsi="方正仿宋简体" w:hint="eastAsia"/>
          <w:sz w:val="32"/>
          <w:szCs w:val="32"/>
        </w:rPr>
        <w:t>专项经费计划批复资金</w:t>
      </w:r>
      <w:r>
        <w:rPr>
          <w:rFonts w:ascii="方正仿宋简体" w:eastAsia="方正仿宋简体" w:cs="方正仿宋简体" w:hAnsi="方正仿宋简体" w:hint="eastAsia"/>
          <w:sz w:val="32"/>
          <w:szCs w:val="32"/>
          <w:lang w:val="en-US" w:eastAsia="zh-CN"/>
        </w:rPr>
        <w:t>70</w:t>
      </w:r>
      <w:r>
        <w:rPr>
          <w:rFonts w:ascii="方正仿宋简体" w:eastAsia="方正仿宋简体" w:cs="方正仿宋简体" w:hAnsi="方正仿宋简体" w:hint="eastAsia"/>
          <w:sz w:val="32"/>
          <w:szCs w:val="32"/>
        </w:rPr>
        <w:t>.00万元，实际到位资金</w:t>
      </w:r>
      <w:r>
        <w:rPr>
          <w:rFonts w:ascii="方正仿宋简体" w:eastAsia="方正仿宋简体" w:cs="方正仿宋简体" w:hAnsi="方正仿宋简体" w:hint="eastAsia"/>
          <w:sz w:val="32"/>
          <w:szCs w:val="32"/>
          <w:lang w:val="en-US" w:eastAsia="zh-CN"/>
        </w:rPr>
        <w:t>70</w:t>
      </w:r>
      <w:r>
        <w:rPr>
          <w:rFonts w:ascii="方正仿宋简体" w:eastAsia="方正仿宋简体" w:cs="方正仿宋简体" w:hAnsi="方正仿宋简体" w:hint="eastAsia"/>
          <w:sz w:val="32"/>
          <w:szCs w:val="32"/>
        </w:rPr>
        <w:t>.00万元，总共支出资金</w:t>
      </w:r>
      <w:r>
        <w:rPr>
          <w:rFonts w:ascii="方正仿宋简体" w:eastAsia="方正仿宋简体" w:cs="方正仿宋简体" w:hAnsi="方正仿宋简体" w:hint="eastAsia"/>
          <w:sz w:val="32"/>
          <w:szCs w:val="32"/>
          <w:lang w:val="en-US" w:eastAsia="zh-CN"/>
        </w:rPr>
        <w:t>70</w:t>
      </w:r>
      <w:r>
        <w:rPr>
          <w:rFonts w:ascii="方正仿宋简体" w:eastAsia="方正仿宋简体" w:cs="方正仿宋简体" w:hAnsi="方正仿宋简体" w:hint="eastAsia"/>
          <w:sz w:val="32"/>
          <w:szCs w:val="32"/>
        </w:rPr>
        <w:t>.00万元，完成预算的100%。</w:t>
      </w:r>
      <w:r>
        <w:rPr>
          <w:rFonts w:ascii="方正仿宋简体" w:eastAsia="方正仿宋简体" w:cs="方正仿宋简体" w:hAnsi="方正仿宋简体" w:hint="eastAsia"/>
          <w:color w:val="000000"/>
          <w:sz w:val="32"/>
          <w:szCs w:val="32"/>
          <w14:textFill>
            <w14:solidFill>
              <w14:srgbClr w14:val="000000"/>
            </w14:solidFill>
          </w14:textFill>
          <w:lang w:eastAsia="zh-CN"/>
        </w:rPr>
        <w:t>项目资金实行专账管理，专款专用。</w:t>
      </w:r>
    </w:p>
    <w:p>
      <w:pPr>
        <w:keepNext w:val="0"/>
        <w:keepLines w:val="0"/>
        <w:pageBreakBefore w:val="0"/>
        <w:widowControl w:val="0"/>
        <w:kinsoku/>
        <w:wordWrap/>
        <w:overflowPunct/>
        <w:topLinePunct w:val="0"/>
        <w:autoSpaceDE/>
        <w:autoSpaceDN/>
        <w:bidi w:val="0"/>
        <w:adjustRightInd/>
        <w:snapToGrid w:val="0"/>
        <w:spacing w:line="576" w:lineRule="exact"/>
        <w:ind w:left="0" w:firstLineChars="200" w:firstLine="640"/>
        <w:jc w:val="both"/>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项目绩效</w:t>
      </w:r>
    </w:p>
    <w:p>
      <w:pPr>
        <w:keepNext w:val="0"/>
        <w:keepLines w:val="0"/>
        <w:pageBreakBefore w:val="0"/>
        <w:widowControl w:val="0"/>
        <w:kinsoku/>
        <w:wordWrap/>
        <w:overflowPunct/>
        <w:topLinePunct w:val="0"/>
        <w:autoSpaceDE/>
        <w:autoSpaceDN/>
        <w:bidi w:val="0"/>
        <w:adjustRightInd/>
        <w:snapToGrid w:val="0"/>
        <w:spacing w:line="576" w:lineRule="exact"/>
        <w:ind w:lef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项目目标完成情况良好，数量指标、质量指标、时效指标、成本指标、社会效益指标、可持续影响指标、满意度指标，均已达标，项目取得了良好的社会效益</w:t>
      </w:r>
      <w:r>
        <w:rPr>
          <w:rFonts w:ascii="方正仿宋简体" w:eastAsia="方正仿宋简体" w:cs="方正仿宋简体" w:hAnsi="方正仿宋简体" w:hint="eastAsia"/>
          <w:sz w:val="32"/>
          <w:szCs w:val="32"/>
          <w:lang w:eastAsia="zh-CN"/>
        </w:rPr>
        <w:t>，增加了居民获得感。</w:t>
      </w:r>
    </w:p>
    <w:p>
      <w:pPr>
        <w:keepNext w:val="0"/>
        <w:keepLines w:val="0"/>
        <w:pageBreakBefore w:val="0"/>
        <w:widowControl w:val="0"/>
        <w:kinsoku/>
        <w:wordWrap/>
        <w:overflowPunct/>
        <w:topLinePunct w:val="0"/>
        <w:autoSpaceDE/>
        <w:autoSpaceDN/>
        <w:bidi w:val="0"/>
        <w:adjustRightInd/>
        <w:snapToGrid w:val="0"/>
        <w:spacing w:line="576" w:lineRule="exact"/>
        <w:ind w:left="0" w:firstLineChars="200" w:firstLine="640"/>
        <w:jc w:val="both"/>
        <w:textAlignment w:val="auto"/>
        <w:rPr>
          <w:rFonts w:ascii="方正仿宋简体" w:eastAsia="方正仿宋简体" w:cs="方正仿宋简体" w:hAnsi="方正仿宋简体" w:hint="eastAsia"/>
          <w:color w:val="000000"/>
          <w:sz w:val="32"/>
          <w:szCs w:val="32"/>
          <w:lang w:val="en-US" w:eastAsia="zh-CN"/>
        </w:rPr>
      </w:pPr>
      <w:r>
        <w:rPr>
          <w:rFonts w:ascii="方正仿宋简体" w:eastAsia="方正仿宋简体" w:cs="方正仿宋简体" w:hAnsi="方正仿宋简体" w:hint="eastAsia"/>
          <w:color w:val="000000"/>
          <w:sz w:val="32"/>
          <w:szCs w:val="32"/>
          <w:lang w:val="en-US" w:eastAsia="zh-CN"/>
        </w:rPr>
        <w:t>通过项目实施，提升了全区公共卫生服务能力，促进了全区基本公共卫生服务均等化水平，提高了群众知晓率和满意度。</w:t>
      </w:r>
    </w:p>
    <w:p>
      <w:pPr>
        <w:keepNext w:val="0"/>
        <w:keepLines w:val="0"/>
        <w:pageBreakBefore w:val="0"/>
        <w:widowControl w:val="0"/>
        <w:kinsoku/>
        <w:wordWrap/>
        <w:overflowPunct/>
        <w:topLinePunct w:val="0"/>
        <w:bidi w:val="0"/>
        <w:spacing w:line="576" w:lineRule="exact"/>
        <w:ind w:left="0" w:firstLineChars="200" w:firstLine="640"/>
        <w:textAlignment w:val="auto"/>
        <w:rPr>
          <w:rFonts w:ascii="方正仿宋简体" w:eastAsia="方正仿宋简体" w:cs="方正仿宋简体" w:hAnsi="方正仿宋简体" w:hint="eastAsia"/>
          <w:sz w:val="32"/>
          <w:szCs w:val="32"/>
        </w:rPr>
      </w:pPr>
    </w:p>
    <w:p>
      <w:pPr>
        <w:keepNext w:val="0"/>
        <w:keepLines w:val="0"/>
        <w:pageBreakBefore w:val="0"/>
        <w:widowControl w:val="0"/>
        <w:kinsoku/>
        <w:wordWrap/>
        <w:overflowPunct/>
        <w:topLinePunct w:val="0"/>
        <w:bidi w:val="0"/>
        <w:spacing w:line="576" w:lineRule="exact"/>
        <w:ind w:left="0"/>
        <w:jc w:val="center"/>
        <w:textAlignment w:val="auto"/>
        <w:outlineLvl w:val="0"/>
        <w:rPr>
          <w:rStyle w:val="1Char"/>
          <w:rFonts w:ascii="方正仿宋简体" w:eastAsia="方正仿宋简体" w:cs="方正仿宋简体" w:hAnsi="方正仿宋简体" w:hint="eastAsia"/>
          <w:b w:val="0"/>
          <w:sz w:val="32"/>
          <w:szCs w:val="32"/>
        </w:rPr>
      </w:pPr>
    </w:p>
    <w:p>
      <w:pPr>
        <w:pStyle w:val="16"/>
        <w:keepNext w:val="0"/>
        <w:keepLines w:val="0"/>
        <w:pageBreakBefore w:val="0"/>
        <w:widowControl w:val="0"/>
        <w:kinsoku/>
        <w:wordWrap/>
        <w:overflowPunct/>
        <w:topLinePunct w:val="0"/>
        <w:bidi w:val="0"/>
        <w:spacing w:line="576" w:lineRule="exact"/>
        <w:ind w:leftChars="0" w:left="0"/>
        <w:textAlignment w:val="auto"/>
        <w:rPr>
          <w:rStyle w:val="1Char"/>
          <w:rFonts w:ascii="方正仿宋简体" w:eastAsia="方正仿宋简体" w:cs="方正仿宋简体" w:hAnsi="方正仿宋简体" w:hint="eastAsia"/>
          <w:b w:val="0"/>
          <w:sz w:val="32"/>
          <w:szCs w:val="32"/>
        </w:rPr>
      </w:pPr>
    </w:p>
    <w:p>
      <w:pPr>
        <w:keepNext w:val="0"/>
        <w:keepLines w:val="0"/>
        <w:pageBreakBefore w:val="0"/>
        <w:widowControl w:val="0"/>
        <w:kinsoku/>
        <w:wordWrap/>
        <w:overflowPunct/>
        <w:topLinePunct w:val="0"/>
        <w:bidi w:val="0"/>
        <w:spacing w:line="576" w:lineRule="exact"/>
        <w:ind w:left="0"/>
        <w:textAlignment w:val="auto"/>
        <w:rPr>
          <w:rFonts w:ascii="方正仿宋简体" w:eastAsia="方正仿宋简体" w:cs="方正仿宋简体" w:hAnsi="方正仿宋简体" w:hint="eastAsia"/>
          <w:color w:val="000000"/>
          <w:sz w:val="32"/>
          <w:szCs w:val="32"/>
        </w:rPr>
      </w:pPr>
      <w:bookmarkStart w:id="58" w:name="_Toc15396618"/>
      <w:r>
        <w:rPr>
          <w:rFonts w:ascii="方正仿宋简体" w:eastAsia="方正仿宋简体" w:cs="方正仿宋简体" w:hAnsi="方正仿宋简体" w:hint="eastAsia"/>
          <w:color w:val="000000"/>
          <w:sz w:val="32"/>
          <w:szCs w:val="32"/>
        </w:rPr>
        <w:br w:type="page"/>
      </w:r>
    </w:p>
    <w:p>
      <w:pPr>
        <w:keepNext w:val="0"/>
        <w:keepLines w:val="0"/>
        <w:pageBreakBefore w:val="0"/>
        <w:widowControl w:val="0"/>
        <w:kinsoku/>
        <w:wordWrap/>
        <w:overflowPunct/>
        <w:topLinePunct w:val="0"/>
        <w:bidi w:val="0"/>
        <w:spacing w:line="576" w:lineRule="exact"/>
        <w:ind w:left="0"/>
        <w:jc w:val="center"/>
        <w:textAlignment w:val="auto"/>
        <w:outlineLvl w:val="0"/>
        <w:rPr>
          <w:rFonts w:ascii="方正小标宋简体" w:eastAsia="方正小标宋简体" w:cs="方正小标宋简体" w:hAnsi="方正小标宋简体" w:hint="eastAsia"/>
          <w:color w:val="000000"/>
          <w:sz w:val="44"/>
          <w:szCs w:val="44"/>
          <w:lang w:eastAsia="zh-CN"/>
        </w:rPr>
      </w:pPr>
      <w:r>
        <w:rPr>
          <w:rFonts w:ascii="方正小标宋简体" w:eastAsia="方正小标宋简体" w:cs="方正小标宋简体" w:hAnsi="方正小标宋简体" w:hint="eastAsia"/>
          <w:color w:val="000000"/>
          <w:sz w:val="44"/>
          <w:szCs w:val="44"/>
          <w:lang w:eastAsia="zh-CN"/>
        </w:rPr>
        <w:t>第五部分 附表</w:t>
      </w:r>
      <w:bookmarkEnd w:id="57"/>
      <w:bookmarkEnd w:id="58"/>
    </w:p>
    <w:p>
      <w:pPr>
        <w:keepNext w:val="0"/>
        <w:keepLines w:val="0"/>
        <w:pageBreakBefore w:val="0"/>
        <w:widowControl w:val="0"/>
        <w:kinsoku/>
        <w:wordWrap/>
        <w:overflowPunct/>
        <w:topLinePunct w:val="0"/>
        <w:bidi w:val="0"/>
        <w:spacing w:line="576" w:lineRule="exact"/>
        <w:ind w:left="0"/>
        <w:jc w:val="center"/>
        <w:textAlignment w:val="auto"/>
        <w:outlineLvl w:val="0"/>
        <w:rPr>
          <w:rFonts w:ascii="方正仿宋简体" w:eastAsia="方正仿宋简体" w:cs="方正仿宋简体" w:hAnsi="方正仿宋简体" w:hint="eastAsia"/>
          <w:b/>
          <w:color w:val="000000"/>
          <w:sz w:val="32"/>
          <w:szCs w:val="32"/>
        </w:rPr>
      </w:pP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b w:val="0"/>
          <w:color w:val="000000"/>
          <w:sz w:val="32"/>
          <w:szCs w:val="32"/>
        </w:rPr>
        <w:t>一、收</w:t>
      </w:r>
      <w:r>
        <w:rPr>
          <w:rStyle w:val="2Char"/>
          <w:rFonts w:ascii="方正仿宋简体" w:eastAsia="方正仿宋简体" w:cs="方正仿宋简体" w:hAnsi="方正仿宋简体" w:hint="eastAsia"/>
          <w:b w:val="0"/>
          <w:bCs w:val="0"/>
          <w:sz w:val="32"/>
          <w:szCs w:val="32"/>
        </w:rPr>
        <w:t>入支出决算总表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b w:val="0"/>
          <w:color w:val="000000"/>
          <w:sz w:val="32"/>
          <w:szCs w:val="32"/>
        </w:rPr>
        <w:t>二、收</w:t>
      </w:r>
      <w:r>
        <w:rPr>
          <w:rStyle w:val="2Char"/>
          <w:rFonts w:ascii="方正仿宋简体" w:eastAsia="方正仿宋简体" w:cs="方正仿宋简体" w:hAnsi="方正仿宋简体" w:hint="eastAsia"/>
          <w:b w:val="0"/>
          <w:bCs w:val="0"/>
          <w:sz w:val="32"/>
          <w:szCs w:val="32"/>
        </w:rPr>
        <w:t>入决算表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三、</w:t>
      </w:r>
      <w:r>
        <w:rPr>
          <w:rFonts w:ascii="方正仿宋简体" w:eastAsia="方正仿宋简体" w:cs="方正仿宋简体" w:hAnsi="方正仿宋简体" w:hint="eastAsia"/>
          <w:b w:val="0"/>
          <w:color w:val="000000"/>
          <w:sz w:val="32"/>
          <w:szCs w:val="32"/>
        </w:rPr>
        <w:t>支</w:t>
      </w:r>
      <w:r>
        <w:rPr>
          <w:rStyle w:val="2Char"/>
          <w:rFonts w:ascii="方正仿宋简体" w:eastAsia="方正仿宋简体" w:cs="方正仿宋简体" w:hAnsi="方正仿宋简体" w:hint="eastAsia"/>
          <w:b w:val="0"/>
          <w:bCs w:val="0"/>
          <w:sz w:val="32"/>
          <w:szCs w:val="32"/>
        </w:rPr>
        <w:t>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b w:val="0"/>
          <w:color w:val="000000"/>
          <w:sz w:val="32"/>
          <w:szCs w:val="32"/>
        </w:rPr>
      </w:pPr>
      <w:r>
        <w:rPr>
          <w:rStyle w:val="2Char"/>
          <w:rFonts w:ascii="方正仿宋简体" w:eastAsia="方正仿宋简体" w:cs="方正仿宋简体" w:hAnsi="方正仿宋简体" w:hint="eastAsia"/>
          <w:b w:val="0"/>
          <w:bCs w:val="0"/>
          <w:sz w:val="32"/>
          <w:szCs w:val="32"/>
        </w:rPr>
        <w:t>四、</w:t>
      </w:r>
      <w:r>
        <w:rPr>
          <w:rFonts w:ascii="方正仿宋简体" w:eastAsia="方正仿宋简体" w:cs="方正仿宋简体" w:hAnsi="方正仿宋简体" w:hint="eastAsia"/>
          <w:b w:val="0"/>
          <w:color w:val="000000"/>
          <w:sz w:val="32"/>
          <w:szCs w:val="32"/>
        </w:rPr>
        <w:t>财</w:t>
      </w:r>
      <w:r>
        <w:rPr>
          <w:rStyle w:val="2Char"/>
          <w:rFonts w:ascii="方正仿宋简体" w:eastAsia="方正仿宋简体" w:cs="方正仿宋简体" w:hAnsi="方正仿宋简体" w:hint="eastAsia"/>
          <w:b w:val="0"/>
          <w:bCs w:val="0"/>
          <w:sz w:val="32"/>
          <w:szCs w:val="32"/>
        </w:rPr>
        <w:t>政拨款收入支出决算总表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Style w:val="2Char"/>
          <w:rFonts w:ascii="方正仿宋简体" w:eastAsia="方正仿宋简体" w:cs="方正仿宋简体" w:hAnsi="方正仿宋简体" w:hint="eastAsia"/>
          <w:b w:val="0"/>
          <w:bCs w:val="0"/>
          <w:sz w:val="32"/>
          <w:szCs w:val="32"/>
        </w:rPr>
      </w:pPr>
      <w:r>
        <w:rPr>
          <w:rStyle w:val="2Char"/>
          <w:rFonts w:ascii="方正仿宋简体" w:eastAsia="方正仿宋简体" w:cs="方正仿宋简体" w:hAnsi="方正仿宋简体" w:hint="eastAsia"/>
          <w:b w:val="0"/>
          <w:bCs w:val="0"/>
          <w:sz w:val="32"/>
          <w:szCs w:val="32"/>
        </w:rPr>
        <w:t>五、</w:t>
      </w:r>
      <w:r>
        <w:rPr>
          <w:rFonts w:ascii="方正仿宋简体" w:eastAsia="方正仿宋简体" w:cs="方正仿宋简体" w:hAnsi="方正仿宋简体" w:hint="eastAsia"/>
          <w:b w:val="0"/>
          <w:color w:val="000000"/>
          <w:sz w:val="32"/>
          <w:szCs w:val="32"/>
        </w:rPr>
        <w:t>财</w:t>
      </w:r>
      <w:r>
        <w:rPr>
          <w:rStyle w:val="2Char"/>
          <w:rFonts w:ascii="方正仿宋简体" w:eastAsia="方正仿宋简体" w:cs="方正仿宋简体" w:hAnsi="方正仿宋简体" w:hint="eastAsia"/>
          <w:b w:val="0"/>
          <w:bCs w:val="0"/>
          <w:sz w:val="32"/>
          <w:szCs w:val="32"/>
        </w:rPr>
        <w:t>政拨款支出决算明细表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六、</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七、</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般公共预算财政拨款支出决算明细表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八、</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般公共预算财政拨款基本支出决算表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九、</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般公共预算财政拨款项目支出决算表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十、</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般公共预算财政拨款“三公”经费支出决算表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十一、</w:t>
      </w:r>
      <w:r>
        <w:rPr>
          <w:rFonts w:ascii="方正仿宋简体" w:eastAsia="方正仿宋简体" w:cs="方正仿宋简体" w:hAnsi="方正仿宋简体" w:hint="eastAsia"/>
          <w:b w:val="0"/>
          <w:color w:val="000000"/>
          <w:sz w:val="32"/>
          <w:szCs w:val="32"/>
        </w:rPr>
        <w:t>政</w:t>
      </w:r>
      <w:r>
        <w:rPr>
          <w:rStyle w:val="2Char"/>
          <w:rFonts w:ascii="方正仿宋简体" w:eastAsia="方正仿宋简体" w:cs="方正仿宋简体" w:hAnsi="方正仿宋简体" w:hint="eastAsia"/>
          <w:b w:val="0"/>
          <w:bCs w:val="0"/>
          <w:sz w:val="32"/>
          <w:szCs w:val="32"/>
        </w:rPr>
        <w:t>府性基金预算财政拨款收入支出决算表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十二、</w:t>
      </w:r>
      <w:r>
        <w:rPr>
          <w:rFonts w:ascii="方正仿宋简体" w:eastAsia="方正仿宋简体" w:cs="方正仿宋简体" w:hAnsi="方正仿宋简体" w:hint="eastAsia"/>
          <w:b w:val="0"/>
          <w:color w:val="000000"/>
          <w:sz w:val="32"/>
          <w:szCs w:val="32"/>
        </w:rPr>
        <w:t>政</w:t>
      </w:r>
      <w:r>
        <w:rPr>
          <w:rStyle w:val="2Char"/>
          <w:rFonts w:ascii="方正仿宋简体" w:eastAsia="方正仿宋简体" w:cs="方正仿宋简体" w:hAnsi="方正仿宋简体" w:hint="eastAsia"/>
          <w:b w:val="0"/>
          <w:bCs w:val="0"/>
          <w:sz w:val="32"/>
          <w:szCs w:val="32"/>
        </w:rPr>
        <w:t>府性基金预算财政拨款“三公”经费支出决算表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Style w:val="26"/>
          <w:rFonts w:ascii="方正仿宋简体" w:eastAsia="方正仿宋简体" w:cs="方正仿宋简体" w:hAnsi="方正仿宋简体" w:hint="eastAsia"/>
          <w:b w:val="0"/>
          <w:bCs w:val="0"/>
          <w:sz w:val="32"/>
          <w:szCs w:val="32"/>
        </w:rPr>
      </w:pPr>
      <w:r>
        <w:rPr>
          <w:rStyle w:val="26"/>
          <w:rFonts w:ascii="方正仿宋简体" w:eastAsia="方正仿宋简体" w:cs="方正仿宋简体" w:hAnsi="方正仿宋简体" w:hint="eastAsia"/>
          <w:b w:val="0"/>
          <w:bCs w:val="0"/>
          <w:sz w:val="32"/>
          <w:szCs w:val="32"/>
        </w:rPr>
        <w:t>十三、</w:t>
      </w:r>
      <w:r>
        <w:rPr>
          <w:rFonts w:ascii="方正仿宋简体" w:eastAsia="方正仿宋简体" w:cs="方正仿宋简体" w:hAnsi="方正仿宋简体" w:hint="eastAsia"/>
          <w:b w:val="0"/>
          <w:color w:val="000000"/>
          <w:sz w:val="32"/>
          <w:szCs w:val="32"/>
        </w:rPr>
        <w:t>国</w:t>
      </w:r>
      <w:r>
        <w:rPr>
          <w:rStyle w:val="26"/>
          <w:rFonts w:ascii="方正仿宋简体" w:eastAsia="方正仿宋简体" w:cs="方正仿宋简体" w:hAnsi="方正仿宋简体" w:hint="eastAsia"/>
          <w:b w:val="0"/>
          <w:bCs w:val="0"/>
          <w:sz w:val="32"/>
          <w:szCs w:val="32"/>
        </w:rPr>
        <w:t>有资本经营预算财政拨款</w:t>
      </w:r>
      <w:r>
        <w:rPr>
          <w:rStyle w:val="26"/>
          <w:rFonts w:ascii="方正仿宋简体" w:eastAsia="方正仿宋简体" w:cs="方正仿宋简体" w:hAnsi="方正仿宋简体" w:hint="eastAsia"/>
          <w:b w:val="0"/>
          <w:bCs w:val="0"/>
          <w:sz w:val="32"/>
          <w:szCs w:val="32"/>
          <w:lang w:eastAsia="zh-CN"/>
        </w:rPr>
        <w:t>收入</w:t>
      </w:r>
      <w:r>
        <w:rPr>
          <w:rStyle w:val="26"/>
          <w:rFonts w:ascii="方正仿宋简体" w:eastAsia="方正仿宋简体" w:cs="方正仿宋简体" w:hAnsi="方正仿宋简体" w:hint="eastAsia"/>
          <w:b w:val="0"/>
          <w:bCs w:val="0"/>
          <w:sz w:val="32"/>
          <w:szCs w:val="32"/>
        </w:rPr>
        <w:t>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Style w:val="26"/>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color w:val="000000"/>
          <w:sz w:val="32"/>
          <w:szCs w:val="32"/>
          <w:lang w:eastAsia="zh-CN"/>
        </w:rPr>
        <w:t>十四、</w:t>
      </w:r>
      <w:r>
        <w:rPr>
          <w:rFonts w:ascii="方正仿宋简体" w:eastAsia="方正仿宋简体" w:cs="方正仿宋简体" w:hAnsi="方正仿宋简体" w:hint="eastAsia"/>
          <w:b w:val="0"/>
          <w:color w:val="000000"/>
          <w:sz w:val="32"/>
          <w:szCs w:val="32"/>
        </w:rPr>
        <w:t>国</w:t>
      </w:r>
      <w:r>
        <w:rPr>
          <w:rStyle w:val="26"/>
          <w:rFonts w:ascii="方正仿宋简体" w:eastAsia="方正仿宋简体" w:cs="方正仿宋简体" w:hAnsi="方正仿宋简体" w:hint="eastAsia"/>
          <w:b w:val="0"/>
          <w:bCs w:val="0"/>
          <w:sz w:val="32"/>
          <w:szCs w:val="32"/>
        </w:rPr>
        <w:t>有资本经营预算财政拨款支出决算表</w:t>
      </w:r>
    </w:p>
    <w:p>
      <w:pPr>
        <w:pStyle w:val="1"/>
        <w:keepNext/>
        <w:keepLines/>
        <w:pageBreakBefore w:val="0"/>
        <w:widowControl w:val="0"/>
        <w:kinsoku/>
        <w:wordWrap/>
        <w:overflowPunct/>
        <w:topLinePunct w:val="0"/>
        <w:autoSpaceDE/>
        <w:autoSpaceDN/>
        <w:bidi w:val="0"/>
        <w:spacing w:before="0" w:after="0" w:line="576" w:lineRule="exact"/>
        <w:ind w:left="0" w:right="0"/>
        <w:jc w:val="center"/>
        <w:textAlignment w:val="auto"/>
        <w:rPr>
          <w:rFonts w:ascii="方正小标宋简体" w:eastAsia="方正小标宋简体" w:cs="方正小标宋简体" w:hAnsi="方正小标宋简体" w:hint="eastAsia"/>
          <w:b w:val="0"/>
        </w:rPr>
      </w:pPr>
    </w:p>
    <w:p>
      <w:pPr>
        <w:keepNext w:val="0"/>
        <w:keepLines w:val="0"/>
        <w:pageBreakBefore w:val="0"/>
        <w:widowControl w:val="0"/>
        <w:kinsoku/>
        <w:wordWrap/>
        <w:overflowPunct/>
        <w:topLinePunct w:val="0"/>
        <w:autoSpaceDE/>
        <w:autoSpaceDN/>
        <w:bidi w:val="0"/>
        <w:adjustRightInd/>
        <w:snapToGrid w:val="0"/>
        <w:spacing w:line="576" w:lineRule="exact"/>
        <w:ind w:left="0" w:firstLineChars="200" w:firstLine="640"/>
        <w:jc w:val="both"/>
        <w:textAlignment w:val="auto"/>
        <w:rPr>
          <w:rFonts w:ascii="方正仿宋简体" w:eastAsia="方正仿宋简体" w:cs="方正仿宋简体" w:hAnsi="方正仿宋简体" w:hint="eastAsia"/>
          <w:sz w:val="32"/>
          <w:szCs w:val="32"/>
        </w:rPr>
      </w:pPr>
    </w:p>
    <w:sectPr>
      <w:headerReference w:type="default" r:id="rId2"/>
      <w:footerReference w:type="default" r:id="rId3"/>
      <w:footerReference w:type="first" r:id="rId4"/>
      <w:pgSz w:w="11906" w:h="16838"/>
      <w:pgMar w:top="2098" w:right="1474" w:bottom="1984" w:left="1587" w:header="851" w:footer="1417" w:gutter="0"/>
      <w:pgNumType w:fmt="numberInDash" w:start="1"/>
      <w:cols w:num="1" w:space="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003" w:usb1="080E0000" w:usb2="00000000" w:usb3="00000000" w:csb0="00040001" w:csb1="00000000"/>
  </w:font>
  <w:font w:name="方正小标宋简体">
    <w:panose1 w:val="02010601030101010101"/>
    <w:charset w:val="86"/>
    <w:family w:val="script"/>
    <w:pitch w:val="variable"/>
    <w:sig w:usb0="00000001" w:usb1="080E0000" w:usb2="00000000" w:usb3="00000000" w:csb0="00040000" w:csb1="00000000"/>
  </w:font>
  <w:font w:name="方正楷体简体">
    <w:panose1 w:val="02010601030101010101"/>
    <w:charset w:val="86"/>
    <w:family w:val="auto"/>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仿宋">
    <w:altName w:val="仿宋_GB2312"/>
    <w:panose1 w:val="02010609060101010101"/>
    <w:charset w:val="86"/>
    <w:family w:val="auto"/>
    <w:pitch w:val="variable"/>
    <w:sig w:usb0="00000000" w:usb1="00000000" w:usb2="00000016" w:usb3="00000000" w:csb0="00040001" w:csb1="00000000"/>
  </w:font>
  <w:font w:name="方正仿宋简体">
    <w:panose1 w:val="02010601030101010101"/>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86"/>
    <w:family w:val="auto"/>
    <w:pitch w:val="variable"/>
    <w:sig w:usb0="00007A87" w:usb1="80000000" w:usb2="00000008" w:usb3="00000000" w:csb0="400001FF" w:csb1="FFFF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A00002EF" w:usb1="4000004B" w:usb2="00000000" w:usb3="00000000" w:csb0="2000009F" w:csb1="00000000"/>
  </w:font>
  <w:font w:name="Calibri">
    <w:altName w:val="Times New Roman"/>
    <w:panose1 w:val="020F0502020204030204"/>
    <w:charset w:val="00"/>
    <w:family w:val="swiss"/>
    <w:pitch w:val="variable"/>
    <w:sig w:usb0="A00002EF" w:usb1="4000207B" w:usb2="00000000" w:usb3="00000000" w:csb0="2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rPr>
        <w:rFonts w:ascii="宋体" w:eastAsia="宋体" w:cs="宋体" w:hAnsi="宋体" w:hint="eastAsia"/>
        <w:sz w:val="26"/>
        <w:szCs w:val="26"/>
      </w:rPr>
    </w:pPr>
    <w:r>
      <w:rPr>
        <w:sz w:val="26"/>
      </w:rPr>
      <mc:AlternateContent>
        <mc:Choice Requires="wps">
          <w:drawing>
            <wp:anchor distT="0" distB="0" distL="114298" distR="114298" simplePos="0" relativeHeight="29" behindDoc="0" locked="0" layoutInCell="1" hidden="0" allowOverlap="1">
              <wp:simplePos x="0" y="0"/>
              <wp:positionH relativeFrom="margin">
                <wp:align>outside</wp:align>
              </wp:positionH>
              <wp:positionV relativeFrom="paragraph">
                <wp:posOffset>0</wp:posOffset>
              </wp:positionV>
              <wp:extent cx="444499" cy="230251"/>
              <wp:effectExtent l="0" t="0" r="0" b="0"/>
              <wp:wrapNone/>
              <wp:docPr id="1" name="文本框 7"/>
              <wp:cNvGraphicFramePr>
                <a:graphicFrameLocks noChangeAspect="0"/>
              </wp:cNvGraphicFramePr>
              <a:graphic>
                <a:graphicData uri="http://schemas.microsoft.com/office/word/2010/wordprocessingShape">
                  <wps:wsp>
                    <wps:cNvSpPr/>
                    <wps:spPr>
                      <a:xfrm rot="0">
                        <a:off x="0" y="0"/>
                        <a:ext cx="444499" cy="230251"/>
                      </a:xfrm>
                      <a:prstGeom prst="rect"/>
                      <a:noFill/>
                      <a:ln w="6350" cmpd="sng" cap="flat">
                        <a:noFill/>
                        <a:prstDash val="solid"/>
                        <a:round/>
                      </a:ln>
                    </wps:spPr>
                    <wps:txbx id="2">
                      <w:txbxContent>
                        <w:p>
                          <w:pPr>
                            <w:pStyle w:val="18"/>
                            <w:tabs>
                              <w:tab w:val="center" w:pos="4153"/>
                              <w:tab w:val="right" w:pos="8306"/>
                            </w:tabs>
                            <w:rPr>
                              <w:rFonts w:ascii="宋体" w:eastAsia="宋体" w:cs="宋体" w:hAnsi="宋体" w:hint="eastAsia"/>
                              <w:sz w:val="28"/>
                              <w:szCs w:val="28"/>
                            </w:rPr>
                          </w:pP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2</w:t>
                          </w:r>
                          <w:r>
                            <w:rPr>
                              <w:rFonts w:ascii="宋体" w:eastAsia="宋体" w:cs="宋体" w:hAnsi="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7 3" o:spid="_x0000_s3" filled="f" stroked="f" strokeweight="0.5pt" style="position:absolute;margin-left:0.0pt;margin-top:0.0pt;width:34.999996pt;height:18.130003pt;z-index:29;mso-position-horizontal:outside;mso-position-horizontal-relative:margin;mso-position-vertical:absolute;mso-wrap-distance-left:8.999863pt;mso-wrap-distance-right:8.999863pt;mso-wrap-style:none;">
              <v:stroke color="#000000"/>
              <v:textbox id="854" inset="0mm,0mm,0mm,0mm" o:insetmode="custom" style="layout-flow:horizontal;v-text-anchor:top;mso-fit-shape-to-text:t;">
                <w:txbxContent>
                  <w:p>
                    <w:pPr>
                      <w:pStyle w:val="18"/>
                      <w:tabs>
                        <w:tab w:val="center" w:pos="4153"/>
                        <w:tab w:val="right" w:pos="8306"/>
                      </w:tabs>
                      <w:rPr>
                        <w:rFonts w:ascii="宋体" w:eastAsia="宋体" w:cs="宋体" w:hAnsi="宋体" w:hint="eastAsia"/>
                        <w:sz w:val="28"/>
                        <w:szCs w:val="28"/>
                      </w:rPr>
                    </w:pP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2</w:t>
                    </w:r>
                    <w:r>
                      <w:rPr>
                        <w:rFonts w:ascii="宋体" w:eastAsia="宋体" w:cs="宋体" w:hAnsi="宋体" w:hint="eastAsia"/>
                        <w:sz w:val="28"/>
                        <w:szCs w:val="28"/>
                      </w:rPr>
                      <w:fldChar w:fldCharType="end"/>
                    </w:r>
                  </w:p>
                </w:txbxContent>
              </v:textbox>
            </v:shape>
          </w:pict>
        </mc:Fallback>
      </mc:AlternateContent>
    </w:r>
  </w:p>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33" behindDoc="0" locked="0" layoutInCell="1" hidden="0" allowOverlap="1">
              <wp:simplePos x="0" y="0"/>
              <wp:positionH relativeFrom="margin">
                <wp:align>outside</wp:align>
              </wp:positionH>
              <wp:positionV relativeFrom="paragraph">
                <wp:posOffset>0</wp:posOffset>
              </wp:positionV>
              <wp:extent cx="314321" cy="129616"/>
              <wp:effectExtent l="0" t="0" r="0" b="0"/>
              <wp:wrapNone/>
              <wp:docPr id="4" name="文本框 8"/>
              <wp:cNvGraphicFramePr>
                <a:graphicFrameLocks noChangeAspect="0"/>
              </wp:cNvGraphicFramePr>
              <a:graphic>
                <a:graphicData uri="http://schemas.microsoft.com/office/word/2010/wordprocessingShape">
                  <wps:wsp>
                    <wps:cNvSpPr/>
                    <wps:spPr>
                      <a:xfrm rot="0">
                        <a:off x="0" y="0"/>
                        <a:ext cx="314321" cy="129616"/>
                      </a:xfrm>
                      <a:prstGeom prst="rect"/>
                      <a:noFill/>
                      <a:ln w="6350" cmpd="sng" cap="flat">
                        <a:noFill/>
                        <a:prstDash val="solid"/>
                        <a:round/>
                      </a:ln>
                    </wps:spPr>
                    <wps:txbx id="5">
                      <w:txbxContent>
                        <w:p>
                          <w:pPr>
                            <w:pStyle w:val="18"/>
                            <w:tabs>
                              <w:tab w:val="center" w:pos="4153"/>
                              <w:tab w:val="right" w:pos="8306"/>
                            </w:tabs>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type="#_x0000_t202" id="文本框 8 6" o:spid="_x0000_s6" filled="f" stroked="f" strokeweight="0.5pt" style="position:absolute;margin-left:0.0pt;margin-top:0.0pt;width:24.74976pt;height:10.206006pt;z-index:33;mso-position-horizontal:outside;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2E7AD3E"/>
    <w:multiLevelType w:val="singleLevel"/>
    <w:tmpl w:val="42E7AD3E"/>
    <w:lvl w:ilvl="0">
      <w:start w:val="2"/>
      <w:numFmt w:val="chineseCounting"/>
      <w:lvlRestart w:val="0"/>
      <w:suff w:val="space"/>
      <w:lvlText w:val="第%1部分"/>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9"/>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pPr>
      <w:ind w:leftChars="200" w:left="200"/>
    </w:pPr>
  </w:style>
  <w:style w:type="paragraph" w:styleId="16">
    <w:name w:val="Body Text First Indent 2"/>
    <w:basedOn w:val="15"/>
    <w:pPr>
      <w:ind w:firstLineChars="200" w:firstLine="200"/>
    </w:pPr>
  </w:style>
  <w:style w:type="paragraph" w:styleId="17">
    <w:name w:val="Body Text"/>
    <w:basedOn w:val="0"/>
    <w:pPr>
      <w:spacing w:beforeLines="30" w:before="30"/>
    </w:pPr>
    <w:rPr>
      <w:rFonts w:ascii="仿宋_GB2312" w:eastAsia="仿宋_GB2312"/>
      <w:kern w:val="0"/>
      <w:sz w:val="24"/>
      <w:szCs w:val="20"/>
    </w:rPr>
  </w:style>
  <w:style w:type="paragraph" w:styleId="18">
    <w:name w:val="footer"/>
    <w:basedOn w:val="0"/>
    <w:pPr>
      <w:tabs>
        <w:tab w:val="center" w:pos="4153"/>
        <w:tab w:val="right" w:pos="8306"/>
      </w:tabs>
      <w:snapToGrid w:val="0"/>
      <w:jc w:val="left"/>
    </w:pPr>
    <w:rPr>
      <w:rFonts w:ascii="Calibri" w:hAnsi="Calibri"/>
      <w:kern w:val="0"/>
      <w:sz w:val="18"/>
      <w:szCs w:val="20"/>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rFonts w:cs="Times New Roman"/>
      <w:b/>
    </w:rPr>
  </w:style>
  <w:style w:type="character" w:styleId="23">
    <w:name w:val="Hyperlink"/>
    <w:basedOn w:val="10"/>
    <w:rPr>
      <w:rFonts w:cs="Times New Roman"/>
      <w:color w:val="0000FF"/>
      <w:u w:val="single"/>
    </w:rPr>
  </w:style>
  <w:style w:type="paragraph" w:customStyle="1" w:styleId="24">
    <w:name w:val="List Paragraph"/>
    <w:basedOn w:val="0"/>
    <w:pPr>
      <w:ind w:firstLineChars="200" w:firstLine="200"/>
    </w:pPr>
  </w:style>
  <w:style w:type="paragraph" w:customStyle="1" w:styleId="25">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character" w:customStyle="1" w:styleId="26">
    <w:name w:val="15"/>
    <w:basedOn w:val="10"/>
    <w:rPr>
      <w:rFonts w:ascii="Cambria" w:eastAsia="宋体" w:cs="Times New Roman" w:hAnsi="Cambria"/>
      <w:b/>
      <w:bCs/>
      <w:kern w:val="2"/>
      <w:sz w:val="32"/>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收、支决算总计变动情况图</a:t>
            </a:r>
          </a:p>
        </c:rich>
      </c:tx>
      <c:layout>
        <c:manualLayout>
          <c:xMode val="edge"/>
          <c:yMode val="edge"/>
          <c:x val="0.228375"/>
          <c:y val="0.0325"/>
        </c:manualLayout>
      </c:layout>
      <c:overlay val="0"/>
      <c:spPr>
        <a:noFill/>
        <a:ln>
          <a:noFill/>
        </a:ln>
      </c:spPr>
    </c:title>
    <c:autoTitleDeleted val="1"/>
    <c:plotArea>
      <c:layout>
        <c:manualLayout>
          <c:layoutTarget val="inner"/>
          <c:xMode val="edge"/>
          <c:yMode val="edge"/>
          <c:x val="0.020825"/>
          <c:y val="0.13333334"/>
          <c:w val="0.927925"/>
          <c:h val="0.7165667"/>
        </c:manualLayout>
      </c:layout>
      <c:barChart>
        <c:barDir val="col"/>
        <c:grouping val="clustered"/>
        <c:varyColors val="0"/>
        <c:ser>
          <c:idx val="0"/>
          <c:order val="0"/>
          <c:tx>
            <c:strRef>
              <c:f>'Sheet1'!$B$1</c:f>
              <c:strCache>
                <c:ptCount val="1"/>
                <c:pt idx="0">
                  <c:v>收入</c:v>
                </c:pt>
              </c:strCache>
            </c:strRef>
          </c:tx>
          <c:spPr>
            <a:solidFill>
              <a:srgbClr val="5B9BD5"/>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numRef>
              <c:f>'Sheet1'!$A$2:$A$3</c:f>
              <c:numCache>
                <c:ptCount val="2"/>
                <c:pt idx="0">
                  <c:v>2019</c:v>
                </c:pt>
                <c:pt idx="1">
                  <c:v>2020</c:v>
                </c:pt>
              </c:numCache>
            </c:numRef>
          </c:cat>
          <c:val>
            <c:numRef>
              <c:f>'Sheet1'!$B$2:$B$3</c:f>
              <c:numCache>
                <c:formatCode>General</c:formatCode>
                <c:ptCount val="2"/>
                <c:pt idx="0">
                  <c:v>281.8</c:v>
                </c:pt>
                <c:pt idx="1">
                  <c:v>273.68</c:v>
                </c:pt>
              </c:numCache>
            </c:numRef>
          </c:val>
        </c:ser>
        <c:ser>
          <c:idx val="1"/>
          <c:order val="1"/>
          <c:tx>
            <c:strRef>
              <c:f>'Sheet1'!$C$1</c:f>
              <c:strCache>
                <c:ptCount val="1"/>
                <c:pt idx="0">
                  <c:v>支出</c:v>
                </c:pt>
              </c:strCache>
            </c:strRef>
          </c:tx>
          <c:spPr>
            <a:solidFill>
              <a:srgbClr val="ED7D31"/>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numRef>
              <c:f>'Sheet1'!$A$2:$A$3</c:f>
              <c:numCache>
                <c:ptCount val="2"/>
                <c:pt idx="0">
                  <c:v>2019</c:v>
                </c:pt>
                <c:pt idx="1">
                  <c:v>2020</c:v>
                </c:pt>
              </c:numCache>
            </c:numRef>
          </c:cat>
          <c:val>
            <c:numRef>
              <c:f>'Sheet1'!$C$2:$C$3</c:f>
              <c:numCache>
                <c:formatCode>General</c:formatCode>
                <c:ptCount val="2"/>
                <c:pt idx="0">
                  <c:v>282.15</c:v>
                </c:pt>
                <c:pt idx="1">
                  <c:v>277.34</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min val="240.0"/>
          <c:max val="285.0"/>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majorUnit val="5.0"/>
        <c:crossAx val="0"/>
      </c:valAx>
      <c:spPr>
        <a:noFill/>
        <a:ln>
          <a:noFill/>
        </a:ln>
      </c:spPr>
    </c:plotArea>
    <c:legend>
      <c:legendPos val="b"/>
      <c:layout>
        <c:manualLayout>
          <c:xMode val="edge"/>
          <c:yMode val="edge"/>
          <c:x val="0.208875"/>
          <c:y val="0.924"/>
          <c:w val="0.597625"/>
          <c:h val="0.056"/>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 (2)'!$B$1</c:f>
              <c:strCache>
                <c:ptCount val="1"/>
                <c:pt idx="0">
                  <c:v>收入决算结构图</c:v>
                </c:pt>
              </c:strCache>
            </c:strRef>
          </c:tx>
          <c:spPr>
            <a:solidFill>
              <a:srgbClr val="4F81BD"/>
            </a:solidFill>
          </c:spPr>
          <c:dPt>
            <c:idx val="0"/>
            <c:bubble3D val="0"/>
            <c:explosion val="0"/>
            <c:spPr>
              <a:solidFill>
                <a:srgbClr val="5B9BD5"/>
              </a:solidFill>
              <a:ln w="19050">
                <a:solidFill>
                  <a:srgbClr val="FFFFFF"/>
                </a:solidFill>
                <a:prstDash val="solid"/>
              </a:ln>
            </c:spPr>
          </c:dPt>
          <c:dPt>
            <c:idx val="1"/>
            <c:bubble3D val="0"/>
            <c:spPr>
              <a:solidFill>
                <a:srgbClr val="ED7D31"/>
              </a:solidFill>
              <a:ln w="19050">
                <a:solidFill>
                  <a:srgbClr val="FFFFFF"/>
                </a:solidFill>
                <a:prstDash val="solid"/>
              </a:ln>
            </c:spPr>
          </c:dPt>
          <c:dLbls>
            <c:dLbl>
              <c:idx val="0"/>
              <c:layout>
                <c:manualLayout>
                  <c:x val="0.0011579221"/>
                  <c:y val="-0.1731582"/>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tx>
                <c:rich>
                  <a:bodyPr vert="horz"/>
                  <a:lstStyle/>
                  <a:p>
                    <a:pPr>
                      <a:defRPr sz="900" b="0" i="0" u="none" strike="noStrike" baseline="0">
                        <a:solidFill>
                          <a:srgbClr val="404040"/>
                        </a:solidFill>
                        <a:latin typeface="Times New Roman"/>
                        <a:ea typeface="宋体"/>
                        <a:cs typeface="Lucida Sans"/>
                      </a:defRPr>
                    </a:pPr>
                    <a:r>
                      <a:rPr lang="zh-CN" sz="1600" b="1" i="0" u="none" strike="noStrike" baseline="0">
                        <a:solidFill>
                          <a:srgbClr val="404040"/>
                        </a:solidFill>
                        <a:latin typeface="Times New Roman"/>
                        <a:ea typeface="宋体"/>
                        <a:cs typeface="Lucida Sans"/>
                      </a:rPr>
                      <a:t>273.6</a:t>
                    </a:r>
                    <a:r>
                      <a:rPr lang="zh-CN" sz="1600" b="1" i="0" u="none" strike="noStrike" baseline="0">
                        <a:solidFill>
                          <a:srgbClr val="404040"/>
                        </a:solidFill>
                        <a:latin typeface="Times New Roman"/>
                        <a:ea typeface="宋体"/>
                        <a:cs typeface="Lucida Sans"/>
                      </a:rPr>
                      <a:t>0</a:t>
                    </a:r>
                  </a:p>
                </c:rich>
              </c:tx>
              <c:showLegendKey val="0"/>
              <c:showVal val="1"/>
              <c:showCatName val="0"/>
              <c:showSerName val="0"/>
              <c:showPercent val="0"/>
              <c:showBubbleSize val="0"/>
            </c:dLbl>
            <c:dLbl>
              <c:idx val="1"/>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elete val="1"/>
            </c:dLbl>
            <c:showLegendKey val="0"/>
            <c:showVal val="0"/>
            <c:showCatName val="0"/>
            <c:showSerName val="0"/>
            <c:showPercent val="0"/>
            <c:showBubbleSize val="0"/>
            <c:showLeaderLines val="1"/>
          </c:dLbls>
          <c:cat>
            <c:strRef>
              <c:f>'Sheet1 (2)'!$A$2:$A$3</c:f>
              <c:strCache>
                <c:ptCount val="2"/>
                <c:pt idx="0">
                  <c:v>一般公共预算财政拨款收入</c:v>
                </c:pt>
                <c:pt idx="1">
                  <c:v>其他收入</c:v>
                </c:pt>
              </c:strCache>
            </c:strRef>
          </c:cat>
          <c:val>
            <c:numRef>
              <c:f>'Sheet1 (2)'!$B$2:$B$3</c:f>
              <c:numCache>
                <c:formatCode>General</c:formatCode>
                <c:ptCount val="2"/>
                <c:pt idx="0">
                  <c:v>273.68</c:v>
                </c:pt>
                <c:pt idx="1">
                  <c:v>0.08</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 (3)'!$B$1</c:f>
              <c:strCache>
                <c:ptCount val="1"/>
                <c:pt idx="0">
                  <c:v>支出决算结构图</c:v>
                </c:pt>
              </c:strCache>
            </c:strRef>
          </c:tx>
          <c:spPr>
            <a:solidFill>
              <a:srgbClr val="4F81BD"/>
            </a:solidFill>
          </c:spPr>
          <c:dPt>
            <c:idx val="0"/>
            <c:bubble3D val="0"/>
            <c:spPr>
              <a:solidFill>
                <a:srgbClr val="5B9BD5"/>
              </a:solidFill>
              <a:ln w="19050">
                <a:solidFill>
                  <a:srgbClr val="FFFFFF"/>
                </a:solidFill>
                <a:prstDash val="solid"/>
              </a:ln>
            </c:spPr>
          </c:dPt>
          <c:dPt>
            <c:idx val="1"/>
            <c:bubble3D val="0"/>
            <c:spPr>
              <a:solidFill>
                <a:srgbClr val="ED7D31"/>
              </a:solidFill>
              <a:ln w="19050">
                <a:solidFill>
                  <a:srgbClr val="FFFFFF"/>
                </a:solidFill>
                <a:prstDash val="solid"/>
              </a:ln>
            </c:spPr>
          </c:dPt>
          <c:dLbls>
            <c:spPr>
              <a:noFill/>
              <a:ln>
                <a:noFill/>
              </a:ln>
            </c:spPr>
            <c:txPr>
              <a:bodyPr vert="horz"/>
              <a:lstStyle/>
              <a:p>
                <a:pPr>
                  <a:defRPr sz="1400" b="0" i="0" u="none" strike="noStrike" baseline="0">
                    <a:solidFill>
                      <a:srgbClr val="404040"/>
                    </a:solidFill>
                    <a:latin typeface="Times New Roman"/>
                    <a:ea typeface="宋体"/>
                    <a:cs typeface="Lucida Sans"/>
                  </a:defRPr>
                </a:pPr>
                <a:endParaRPr lang="zh-CN"/>
              </a:p>
            </c:txPr>
            <c:numFmt formatCode="General" sourceLinked="1"/>
            <c:dLbl>
              <c:idx val="0"/>
              <c:layout>
                <c:manualLayout>
                  <c:x val="-0.24968345"/>
                  <c:y val="-0.08637895"/>
                </c:manualLayout>
              </c:layout>
              <c:spPr>
                <a:noFill/>
                <a:ln>
                  <a:noFill/>
                </a:ln>
              </c:spPr>
              <c:txPr>
                <a:bodyPr vert="horz"/>
                <a:lstStyle/>
                <a:p>
                  <a:pPr>
                    <a:defRPr sz="1400" b="0" i="0" u="none" strike="noStrike" baseline="0">
                      <a:solidFill>
                        <a:srgbClr val="404040"/>
                      </a:solidFill>
                      <a:latin typeface="Times New Roman"/>
                      <a:ea typeface="宋体"/>
                      <a:cs typeface="Lucida Sans"/>
                    </a:defRPr>
                  </a:pPr>
                  <a:endParaRPr lang="zh-CN"/>
                </a:p>
              </c:txPr>
              <c:tx>
                <c:rich>
                  <a:bodyPr vert="horz"/>
                  <a:lstStyle/>
                  <a:p>
                    <a:pPr>
                      <a:defRPr sz="1400" b="0" i="0" u="none" strike="noStrike" baseline="0">
                        <a:solidFill>
                          <a:srgbClr val="404040"/>
                        </a:solidFill>
                        <a:latin typeface="Times New Roman"/>
                        <a:ea typeface="宋体"/>
                        <a:cs typeface="Lucida Sans"/>
                      </a:defRPr>
                    </a:pPr>
                    <a:r>
                      <a:rPr lang="zh-CN"/>
                      <a:t>73%</a:t>
                    </a:r>
                  </a:p>
                </c:rich>
              </c:tx>
              <c:showLegendKey val="0"/>
              <c:showVal val="1"/>
              <c:showCatName val="0"/>
              <c:showSerName val="0"/>
              <c:showPercent val="0"/>
              <c:showBubbleSize val="0"/>
            </c:dLbl>
            <c:dLbl>
              <c:idx val="1"/>
              <c:spPr>
                <a:noFill/>
                <a:ln>
                  <a:noFill/>
                </a:ln>
              </c:spPr>
              <c:txPr>
                <a:bodyPr vert="horz"/>
                <a:lstStyle/>
                <a:p>
                  <a:pPr>
                    <a:defRPr sz="1400" b="0" i="0" u="none" strike="noStrike" baseline="0">
                      <a:solidFill>
                        <a:srgbClr val="404040"/>
                      </a:solidFill>
                      <a:latin typeface="Times New Roman"/>
                      <a:ea typeface="宋体"/>
                      <a:cs typeface="Lucida Sans"/>
                    </a:defRPr>
                  </a:pPr>
                  <a:endParaRPr lang="zh-CN"/>
                </a:p>
              </c:txPr>
              <c:tx>
                <c:rich>
                  <a:bodyPr vert="horz"/>
                  <a:lstStyle/>
                  <a:p>
                    <a:pPr>
                      <a:defRPr sz="1400" b="0" i="0" u="none" strike="noStrike" baseline="0">
                        <a:solidFill>
                          <a:srgbClr val="404040"/>
                        </a:solidFill>
                        <a:latin typeface="Times New Roman"/>
                        <a:ea typeface="宋体"/>
                        <a:cs typeface="Lucida Sans"/>
                      </a:defRPr>
                    </a:pPr>
                    <a:r>
                      <a:rPr lang="zh-CN" sz="1400" b="0" i="0" u="none" strike="noStrike" baseline="0">
                        <a:solidFill>
                          <a:srgbClr val="404040"/>
                        </a:solidFill>
                        <a:latin typeface="Times New Roman"/>
                        <a:ea typeface="宋体"/>
                        <a:cs typeface="Lucida Sans"/>
                      </a:rPr>
                      <a:t>2</a:t>
                    </a:r>
                    <a:r>
                      <a:rPr lang="zh-CN" sz="1400" b="0" i="0" u="none" strike="noStrike" baseline="0">
                        <a:solidFill>
                          <a:srgbClr val="404040"/>
                        </a:solidFill>
                        <a:latin typeface="Times New Roman"/>
                        <a:ea typeface="宋体"/>
                        <a:cs typeface="Lucida Sans"/>
                      </a:rPr>
                      <a:t>7</a:t>
                    </a:r>
                    <a:r>
                      <a:rPr lang="zh-CN" sz="1400" b="0" i="0" u="none" strike="noStrike" baseline="0">
                        <a:solidFill>
                          <a:srgbClr val="404040"/>
                        </a:solidFill>
                        <a:latin typeface="Times New Roman"/>
                        <a:ea typeface="宋体"/>
                        <a:cs typeface="Lucida Sans"/>
                      </a:rPr>
                      <a:t>%</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202.34</c:v>
                </c:pt>
                <c:pt idx="1">
                  <c:v>75.0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财政拨款收、支决算总计变动情况</a:t>
            </a:r>
          </a:p>
        </c:rich>
      </c:tx>
      <c:layout/>
      <c:overlay val="0"/>
      <c:spPr>
        <a:noFill/>
        <a:ln>
          <a:noFill/>
        </a:ln>
      </c:spPr>
    </c:title>
    <c:autoTitleDeleted val="1"/>
    <c:plotArea>
      <c:layout/>
      <c:barChart>
        <c:barDir val="col"/>
        <c:grouping val="clustered"/>
        <c:varyColors val="0"/>
        <c:ser>
          <c:idx val="0"/>
          <c:order val="0"/>
          <c:tx>
            <c:strRef>
              <c:f>'Sheet1 (4)'!$B$1</c:f>
              <c:strCache>
                <c:ptCount val="1"/>
                <c:pt idx="0">
                  <c:v>2020年</c:v>
                </c:pt>
              </c:strCache>
            </c:strRef>
          </c:tx>
          <c:spPr>
            <a:solidFill>
              <a:srgbClr val="5B9BD5"/>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(4)'!$A$2:$A$3</c:f>
              <c:strCache>
                <c:ptCount val="2"/>
                <c:pt idx="0">
                  <c:v>收入</c:v>
                </c:pt>
                <c:pt idx="1">
                  <c:v>支出</c:v>
                </c:pt>
              </c:strCache>
            </c:strRef>
          </c:cat>
          <c:val>
            <c:numRef>
              <c:f>'Sheet1 (4)'!$B$2:$B$3</c:f>
              <c:numCache>
                <c:formatCode>General</c:formatCode>
                <c:ptCount val="2"/>
                <c:pt idx="0">
                  <c:v>273.68</c:v>
                </c:pt>
                <c:pt idx="1">
                  <c:v>277.34</c:v>
                </c:pt>
              </c:numCache>
            </c:numRef>
          </c:val>
        </c:ser>
        <c:ser>
          <c:idx val="1"/>
          <c:order val="1"/>
          <c:tx>
            <c:strRef>
              <c:f>'Sheet1 (4)'!$C$1</c:f>
              <c:strCache>
                <c:ptCount val="1"/>
                <c:pt idx="0">
                  <c:v>2019年</c:v>
                </c:pt>
              </c:strCache>
            </c:strRef>
          </c:tx>
          <c:spPr>
            <a:solidFill>
              <a:srgbClr val="ED7D31"/>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(4)'!$A$2:$A$3</c:f>
              <c:strCache>
                <c:ptCount val="2"/>
                <c:pt idx="0">
                  <c:v>收入</c:v>
                </c:pt>
                <c:pt idx="1">
                  <c:v>支出</c:v>
                </c:pt>
              </c:strCache>
            </c:strRef>
          </c:cat>
          <c:val>
            <c:numRef>
              <c:f>'Sheet1 (4)'!$C$2:$C$3</c:f>
              <c:numCache>
                <c:formatCode>General</c:formatCode>
                <c:ptCount val="2"/>
                <c:pt idx="0">
                  <c:v>281.8</c:v>
                </c:pt>
                <c:pt idx="1">
                  <c:v>282.15</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min val="250.0"/>
          <c:max val="285.0"/>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一般公共预算财政拨款支出决算变动情况</a:t>
            </a:r>
          </a:p>
        </c:rich>
      </c:tx>
      <c:layout/>
      <c:overlay val="0"/>
      <c:spPr>
        <a:noFill/>
        <a:ln>
          <a:noFill/>
        </a:ln>
      </c:spPr>
    </c:title>
    <c:autoTitleDeleted val="1"/>
    <c:plotArea>
      <c:layout/>
      <c:barChart>
        <c:barDir val="col"/>
        <c:grouping val="clustered"/>
        <c:varyColors val="0"/>
        <c:ser>
          <c:idx val="0"/>
          <c:order val="0"/>
          <c:tx>
            <c:strRef>
              <c:f>'Sheet1 (5)'!$B$1</c:f>
              <c:strCache>
                <c:ptCount val="1"/>
                <c:pt idx="0">
                  <c:v>2020年</c:v>
                </c:pt>
              </c:strCache>
            </c:strRef>
          </c:tx>
          <c:spPr>
            <a:solidFill>
              <a:srgbClr val="5B9BD5"/>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(5)'!$A$2</c:f>
              <c:strCache>
                <c:ptCount val="1"/>
                <c:pt idx="0">
                  <c:v>支出</c:v>
                </c:pt>
              </c:strCache>
            </c:strRef>
          </c:cat>
          <c:val>
            <c:numRef>
              <c:f>Sheet1 (5)!$B$2</c:f>
              <c:numCache>
                <c:formatCode>General</c:formatCode>
                <c:ptCount val="1"/>
                <c:pt idx="0">
                  <c:v>277.34</c:v>
                </c:pt>
              </c:numCache>
            </c:numRef>
          </c:val>
        </c:ser>
        <c:ser>
          <c:idx val="1"/>
          <c:order val="1"/>
          <c:tx>
            <c:strRef>
              <c:f>'Sheet1 (5)'!$C$1</c:f>
              <c:strCache>
                <c:ptCount val="1"/>
                <c:pt idx="0">
                  <c:v>2019年</c:v>
                </c:pt>
              </c:strCache>
            </c:strRef>
          </c:tx>
          <c:spPr>
            <a:solidFill>
              <a:srgbClr val="ED7D31"/>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(5)'!$A$2</c:f>
              <c:strCache>
                <c:ptCount val="1"/>
                <c:pt idx="0">
                  <c:v>支出</c:v>
                </c:pt>
              </c:strCache>
            </c:strRef>
          </c:cat>
          <c:val>
            <c:numRef>
              <c:f>Sheet1 (5)!$C$2</c:f>
              <c:numCache>
                <c:formatCode>General</c:formatCode>
                <c:ptCount val="1"/>
                <c:pt idx="0">
                  <c:v>281.8</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min val="250.0"/>
          <c:max val="285.0"/>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 (6)'!$B$1</c:f>
              <c:strCache>
                <c:ptCount val="1"/>
                <c:pt idx="0">
                  <c:v>一般公共预算财政拨款支出决算结构图</c:v>
                </c:pt>
              </c:strCache>
            </c:strRef>
          </c:tx>
          <c:spPr>
            <a:solidFill>
              <a:srgbClr val="4F81BD"/>
            </a:solidFill>
          </c:spPr>
          <c:dPt>
            <c:idx val="0"/>
            <c:bubble3D val="0"/>
            <c:spPr>
              <a:solidFill>
                <a:srgbClr val="5B9BD5"/>
              </a:solidFill>
              <a:ln>
                <a:noFill/>
              </a:ln>
              <a:effectLst>
                <a:outerShdw dist="35921" dir="2700000" algn="br">
                  <a:srgbClr val="000000"/>
                </a:outerShdw>
              </a:effectLst>
            </c:spPr>
          </c:dPt>
          <c:dPt>
            <c:idx val="1"/>
            <c:bubble3D val="0"/>
            <c:spPr>
              <a:solidFill>
                <a:srgbClr val="ED7D31"/>
              </a:solidFill>
              <a:ln>
                <a:noFill/>
              </a:ln>
              <a:effectLst>
                <a:outerShdw dist="35921" dir="2700000" algn="br">
                  <a:srgbClr val="000000"/>
                </a:outerShdw>
              </a:effectLst>
            </c:spPr>
          </c:dPt>
          <c:dPt>
            <c:idx val="2"/>
            <c:bubble3D val="0"/>
            <c:spPr>
              <a:solidFill>
                <a:srgbClr val="A5A5A5"/>
              </a:solidFill>
              <a:ln>
                <a:noFill/>
              </a:ln>
              <a:effectLst>
                <a:outerShdw dist="35921" dir="2700000" algn="br">
                  <a:srgbClr val="000000"/>
                </a:outerShdw>
              </a:effectLst>
            </c:spPr>
          </c:dPt>
          <c:dLbls>
            <c:spPr>
              <a:pattFill prst="pct75">
                <a:fgClr>
                  <a:srgbClr val="404040"/>
                </a:fgClr>
                <a:bgClr>
                  <a:srgbClr val="595959"/>
                </a:bgClr>
              </a:pattFill>
              <a:ln>
                <a:noFill/>
              </a:ln>
            </c:spPr>
            <c:txPr>
              <a:bodyPr vert="horz"/>
              <a:lstStyle/>
              <a:p>
                <a:pPr>
                  <a:defRPr sz="1000" b="1" i="0" u="none" strike="noStrike" baseline="0">
                    <a:solidFill>
                      <a:srgbClr val="FFFFFF"/>
                    </a:solidFill>
                    <a:latin typeface="Times New Roman"/>
                    <a:ea typeface="宋体"/>
                    <a:cs typeface="Lucida Sans"/>
                  </a:defRPr>
                </a:pPr>
                <a:endParaRPr lang="zh-CN"/>
              </a:p>
            </c:txPr>
            <c:numFmt formatCode="0%" sourceLinked="0"/>
            <c:dLbl>
              <c:idx val="0"/>
              <c:layout>
                <c:manualLayout>
                  <c:x val="-0.031877384"/>
                  <c:y val="0.20507604"/>
                </c:manualLayout>
              </c:layout>
              <c:spPr>
                <a:pattFill prst="pct75">
                  <a:fgClr>
                    <a:srgbClr val="404040"/>
                  </a:fgClr>
                  <a:bgClr>
                    <a:srgbClr val="595959"/>
                  </a:bgClr>
                </a:pattFill>
                <a:ln>
                  <a:noFill/>
                </a:ln>
              </c:spPr>
              <c:txPr>
                <a:bodyPr vert="horz"/>
                <a:lstStyle/>
                <a:p>
                  <a:pPr>
                    <a:defRPr sz="1200" b="1" i="0" u="none" strike="noStrike" baseline="0">
                      <a:solidFill>
                        <a:srgbClr val="FFFFFF"/>
                      </a:solidFill>
                      <a:latin typeface="Times New Roman"/>
                      <a:ea typeface="宋体"/>
                      <a:cs typeface="Lucida Sans"/>
                    </a:defRPr>
                  </a:pPr>
                  <a:endParaRPr lang="zh-CN"/>
                </a:p>
              </c:txPr>
              <c:dLblPos val="bestFit"/>
              <c:tx>
                <c:rich>
                  <a:bodyPr vert="horz"/>
                  <a:lstStyle/>
                  <a:p>
                    <a:pPr>
                      <a:defRPr sz="1200" b="1" i="0" u="none" strike="noStrike" baseline="0">
                        <a:solidFill>
                          <a:srgbClr val="FFFFFF"/>
                        </a:solidFill>
                        <a:latin typeface="Times New Roman"/>
                        <a:ea typeface="宋体"/>
                        <a:cs typeface="Lucida Sans"/>
                      </a:defRPr>
                    </a:pPr>
                    <a:r>
                      <a:rPr lang="zh-CN"/>
                      <a:t>6%</a:t>
                    </a:r>
                  </a:p>
                </c:rich>
              </c:tx>
              <c:showLegendKey val="0"/>
              <c:showVal val="0"/>
              <c:showCatName val="0"/>
              <c:showSerName val="0"/>
              <c:showPercent val="1"/>
              <c:showBubbleSize val="0"/>
            </c:dLbl>
            <c:dLbl>
              <c:idx val="1"/>
              <c:spPr>
                <a:pattFill prst="pct75">
                  <a:fgClr>
                    <a:srgbClr val="404040"/>
                  </a:fgClr>
                  <a:bgClr>
                    <a:srgbClr val="595959"/>
                  </a:bgClr>
                </a:pattFill>
                <a:ln>
                  <a:noFill/>
                </a:ln>
              </c:spPr>
              <c:txPr>
                <a:bodyPr vert="horz"/>
                <a:lstStyle/>
                <a:p>
                  <a:pPr>
                    <a:defRPr sz="900" b="1" i="0" u="none" strike="noStrike" baseline="0">
                      <a:solidFill>
                        <a:srgbClr val="FFFFFF"/>
                      </a:solidFill>
                      <a:latin typeface="Times New Roman"/>
                      <a:ea typeface="宋体"/>
                      <a:cs typeface="Lucida Sans"/>
                    </a:defRPr>
                  </a:pPr>
                  <a:endParaRPr lang="zh-CN"/>
                </a:p>
              </c:txPr>
              <c:dLblPos val="ctr"/>
              <c:tx>
                <c:rich>
                  <a:bodyPr vert="horz"/>
                  <a:lstStyle/>
                  <a:p>
                    <a:pPr>
                      <a:defRPr sz="900" b="1" i="0" u="none" strike="noStrike" baseline="0">
                        <a:solidFill>
                          <a:srgbClr val="FFFFFF"/>
                        </a:solidFill>
                        <a:latin typeface="Times New Roman"/>
                        <a:ea typeface="宋体"/>
                        <a:cs typeface="Lucida Sans"/>
                      </a:defRPr>
                    </a:pPr>
                    <a:r>
                      <a:rPr lang="zh-CN"/>
                      <a:t>90%</a:t>
                    </a:r>
                  </a:p>
                </c:rich>
              </c:tx>
              <c:showLegendKey val="0"/>
              <c:showVal val="0"/>
              <c:showCatName val="0"/>
              <c:showSerName val="0"/>
              <c:showPercent val="1"/>
              <c:showBubbleSize val="0"/>
            </c:dLbl>
            <c:dLbl>
              <c:idx val="2"/>
              <c:layout>
                <c:manualLayout>
                  <c:x val="0.015118719"/>
                  <c:y val="0.10558756"/>
                </c:manualLayout>
              </c:layout>
              <c:spPr>
                <a:pattFill prst="pct75">
                  <a:fgClr>
                    <a:srgbClr val="404040"/>
                  </a:fgClr>
                  <a:bgClr>
                    <a:srgbClr val="595959"/>
                  </a:bgClr>
                </a:pattFill>
                <a:ln>
                  <a:noFill/>
                </a:ln>
              </c:spPr>
              <c:txPr>
                <a:bodyPr vert="horz"/>
                <a:lstStyle/>
                <a:p>
                  <a:pPr>
                    <a:defRPr sz="1200" b="1" i="0" u="none" strike="noStrike" baseline="0">
                      <a:solidFill>
                        <a:srgbClr val="FFFFFF"/>
                      </a:solidFill>
                      <a:latin typeface="Times New Roman"/>
                      <a:ea typeface="宋体"/>
                      <a:cs typeface="Lucida Sans"/>
                    </a:defRPr>
                  </a:pPr>
                  <a:endParaRPr lang="zh-CN"/>
                </a:p>
              </c:txPr>
              <c:dLblPos val="bestFit"/>
              <c:tx>
                <c:rich>
                  <a:bodyPr vert="horz"/>
                  <a:lstStyle/>
                  <a:p>
                    <a:pPr>
                      <a:defRPr sz="1200" b="1" i="0" u="none" strike="noStrike" baseline="0">
                        <a:solidFill>
                          <a:srgbClr val="FFFFFF"/>
                        </a:solidFill>
                        <a:latin typeface="Times New Roman"/>
                        <a:ea typeface="宋体"/>
                        <a:cs typeface="Lucida Sans"/>
                      </a:defRPr>
                    </a:pPr>
                    <a:r>
                      <a:rPr lang="zh-CN"/>
                      <a:t>4%</a:t>
                    </a:r>
                  </a:p>
                </c:rich>
              </c:tx>
              <c:showLegendKey val="0"/>
              <c:showVal val="0"/>
              <c:showCatName val="0"/>
              <c:showSerName val="0"/>
              <c:showPercent val="1"/>
              <c:showBubbleSize val="0"/>
            </c:dLbl>
            <c:dLblPos val="ctr"/>
            <c:showLegendKey val="0"/>
            <c:showVal val="0"/>
            <c:showCatName val="0"/>
            <c:showSerName val="0"/>
            <c:showPercent val="1"/>
            <c:showBubbleSize val="0"/>
            <c:showLeaderLines val="1"/>
          </c:dLbls>
          <c:cat>
            <c:strRef>
              <c:f>'Sheet1 (6)'!$A$2:$A$4</c:f>
              <c:strCache>
                <c:ptCount val="3"/>
                <c:pt idx="0">
                  <c:v>社会保障和就业类</c:v>
                </c:pt>
                <c:pt idx="1">
                  <c:v>卫生健康支出</c:v>
                </c:pt>
                <c:pt idx="2">
                  <c:v>住房保障支出</c:v>
                </c:pt>
              </c:strCache>
            </c:strRef>
          </c:cat>
          <c:val>
            <c:numRef>
              <c:f>'Sheet1 (6)'!$B$2:$B$4</c:f>
              <c:numCache>
                <c:formatCode>General</c:formatCode>
                <c:ptCount val="3"/>
                <c:pt idx="0">
                  <c:v>15.96</c:v>
                </c:pt>
                <c:pt idx="1">
                  <c:v>250.45</c:v>
                </c:pt>
                <c:pt idx="2">
                  <c:v>10.93</c:v>
                </c:pt>
              </c:numCache>
            </c:numRef>
          </c:val>
        </c:ser>
        <c:firstSliceAng val="0"/>
      </c:pieChart>
      <c:spPr>
        <a:noFill/>
        <a:ln>
          <a:noFill/>
        </a:ln>
      </c:spPr>
    </c:plotArea>
    <c:legend>
      <c:legendPos val="r"/>
      <c:layout>
        <c:manualLayout>
          <c:xMode val="edge"/>
          <c:yMode val="edge"/>
          <c:x val="0.710625"/>
          <c:y val="0.46883333"/>
          <c:w val="0.274375"/>
          <c:h val="0.34166667"/>
        </c:manualLayout>
      </c:layout>
      <c:overlay val="0"/>
      <c:spPr>
        <a:solidFill>
          <a:srgbClr val="F2F2F2">
            <a:alpha val="39000"/>
          </a:srgbClr>
        </a:solidFill>
        <a:ln>
          <a:noFill/>
        </a:ln>
      </c:spPr>
      <c:txPr>
        <a:bodyPr/>
        <a:lstStyle/>
        <a:p>
          <a:pPr>
            <a:defRPr sz="900" b="0" i="0" u="none" strike="noStrike" baseline="0">
              <a:solidFill>
                <a:srgbClr val="404040"/>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FFFFFF"/>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84CC464-AF06-4AF0-96A3-B6F834BD854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TotalTime>
  <Application>Yozo_Office27021597764231179</Application>
  <Pages>33</Pages>
  <Words>0</Words>
  <Characters>9160</Characters>
  <Lines>0</Lines>
  <Paragraphs>282</Paragraphs>
  <CharactersWithSpaces>12214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李琼华</dc:creator>
  <cp:lastModifiedBy>user</cp:lastModifiedBy>
  <cp:revision>1</cp:revision>
  <cp:lastPrinted>2021-09-27T01:28:00Z</cp:lastPrinted>
  <dcterms:created xsi:type="dcterms:W3CDTF">2021-09-22T09:02:00Z</dcterms:created>
  <dcterms:modified xsi:type="dcterms:W3CDTF">2024-05-24T08:58:49Z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y fmtid="{D5CDD505-2E9C-101B-9397-08002B2CF9AE}" pid="3" name="ICV">
    <vt:lpwstr>F1F96D3D1B2440689E31EA69900BB8F6</vt:lpwstr>
  </property>
  <property fmtid="{D5CDD505-2E9C-101B-9397-08002B2CF9AE}" pid="4" name="KSOSaveFontToCloudKey">
    <vt:lpwstr>659783407_cloud</vt:lpwstr>
  </property>
</Properties>
</file>