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600" w:lineRule="exact"/>
        <w:jc w:val="center"/>
        <w:outlineLvl w:val="0"/>
        <w:rPr>
          <w:rFonts w:ascii="方正小标宋简体" w:eastAsia="方正小标宋简体" w:hAnsi="宋体"/>
          <w:color w:val="000000"/>
          <w:sz w:val="72"/>
          <w:szCs w:val="72"/>
        </w:rPr>
      </w:pPr>
      <w:bookmarkStart w:id="0" w:name="_Toc15306267"/>
      <w:bookmarkStart w:id="1" w:name="_GoBack"/>
      <w:bookmarkEnd w:id="1"/>
    </w:p>
    <w:p>
      <w:pPr>
        <w:spacing w:line="600" w:lineRule="exact"/>
        <w:jc w:val="center"/>
        <w:outlineLvl w:val="0"/>
        <w:rPr>
          <w:rFonts w:ascii="方正小标宋简体" w:eastAsia="方正小标宋简体" w:hAnsi="宋体"/>
          <w:color w:val="000000"/>
          <w:sz w:val="72"/>
          <w:szCs w:val="72"/>
        </w:rPr>
      </w:pPr>
    </w:p>
    <w:p>
      <w:pPr>
        <w:spacing w:line="600" w:lineRule="exact"/>
        <w:jc w:val="center"/>
        <w:outlineLvl w:val="0"/>
        <w:rPr>
          <w:rFonts w:ascii="方正小标宋简体" w:eastAsia="方正小标宋简体" w:hAnsi="宋体"/>
          <w:color w:val="000000"/>
          <w:sz w:val="72"/>
          <w:szCs w:val="72"/>
        </w:rPr>
      </w:pPr>
    </w:p>
    <w:p>
      <w:pPr>
        <w:spacing w:line="600" w:lineRule="exact"/>
        <w:jc w:val="center"/>
        <w:outlineLvl w:val="0"/>
        <w:rPr>
          <w:rFonts w:ascii="方正小标宋简体" w:eastAsia="方正小标宋简体" w:hAnsi="宋体"/>
          <w:color w:val="000000"/>
          <w:sz w:val="72"/>
          <w:szCs w:val="72"/>
        </w:rPr>
      </w:pPr>
    </w:p>
    <w:p>
      <w:pPr>
        <w:keepNext w:val="0"/>
        <w:keepLines w:val="0"/>
        <w:pageBreakBefore w:val="0"/>
        <w:widowControl w:val="0"/>
        <w:kinsoku/>
        <w:wordWrap/>
        <w:overflowPunct/>
        <w:topLinePunct w:val="0"/>
        <w:autoSpaceDE/>
        <w:autoSpaceDN/>
        <w:bidi w:val="0"/>
        <w:adjustRightInd w:val="0"/>
        <w:snapToGrid w:val="0"/>
        <w:spacing w:line="1200" w:lineRule="exact"/>
        <w:jc w:val="center"/>
        <w:textAlignment w:val="auto"/>
        <w:outlineLvl w:val="0"/>
        <w:rPr>
          <w:rFonts w:ascii="方正小标宋简体" w:eastAsia="方正小标宋简体" w:cs="方正小标宋简体" w:hAnsi="方正小标宋简体" w:hint="eastAsia"/>
          <w:color w:val="000000"/>
          <w:sz w:val="56"/>
          <w:szCs w:val="56"/>
        </w:rPr>
      </w:pPr>
      <w:bookmarkStart w:id="2" w:name="_Toc15377426"/>
      <w:bookmarkStart w:id="3" w:name="_Toc15396476"/>
      <w:bookmarkStart w:id="4" w:name="_Toc15377194"/>
      <w:bookmarkStart w:id="5" w:name="_Toc15396598"/>
      <w:bookmarkStart w:id="6" w:name="_Toc15378442"/>
      <w:r>
        <w:rPr>
          <w:rFonts w:ascii="方正小标宋简体" w:eastAsia="方正小标宋简体" w:cs="方正小标宋简体" w:hAnsi="方正小标宋简体" w:hint="eastAsia"/>
          <w:color w:val="000000"/>
          <w:sz w:val="56"/>
          <w:szCs w:val="56"/>
          <w:lang w:eastAsia="zh-CN"/>
        </w:rPr>
        <w:t>广元市</w:t>
      </w:r>
      <w:bookmarkStart w:id="7" w:name="_Toc15306268"/>
      <w:bookmarkEnd w:id="0"/>
      <w:r>
        <w:rPr>
          <w:rFonts w:ascii="方正小标宋简体" w:eastAsia="方正小标宋简体" w:cs="方正小标宋简体" w:hAnsi="方正小标宋简体" w:hint="eastAsia"/>
          <w:color w:val="000000"/>
          <w:sz w:val="56"/>
          <w:szCs w:val="56"/>
          <w:lang w:eastAsia="zh-CN"/>
        </w:rPr>
        <w:t>土地房屋征收拆迁事务中心</w:t>
      </w:r>
      <w:r>
        <w:rPr>
          <w:rFonts w:ascii="方正小标宋简体" w:eastAsia="方正小标宋简体" w:cs="方正小标宋简体" w:hAnsi="方正小标宋简体" w:hint="eastAsia"/>
          <w:color w:val="000000"/>
          <w:sz w:val="56"/>
          <w:szCs w:val="56"/>
        </w:rPr>
        <w:t>2019年度部门决算</w:t>
      </w:r>
      <w:bookmarkEnd w:id="2"/>
      <w:bookmarkEnd w:id="3"/>
      <w:bookmarkEnd w:id="4"/>
      <w:bookmarkEnd w:id="5"/>
      <w:bookmarkEnd w:id="6"/>
      <w:bookmarkEnd w:id="7"/>
    </w:p>
    <w:p>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outlineLvl w:val="0"/>
        <w:rPr>
          <w:rFonts w:ascii="方正小标宋简体" w:eastAsia="方正小标宋简体" w:cs="方正小标宋简体" w:hAnsi="方正小标宋简体" w:hint="eastAsia"/>
          <w:color w:val="000000"/>
          <w:sz w:val="56"/>
          <w:szCs w:val="56"/>
        </w:rPr>
      </w:pPr>
      <w:bookmarkStart w:id="8" w:name="_Toc15396597"/>
      <w:bookmarkStart w:id="9" w:name="_Toc15377425"/>
      <w:bookmarkStart w:id="10" w:name="_Toc15378441"/>
      <w:bookmarkStart w:id="11" w:name="_Toc15396475"/>
      <w:bookmarkStart w:id="12" w:name="_Toc15377193"/>
    </w:p>
    <w:p>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outlineLvl w:val="0"/>
        <w:rPr>
          <w:rFonts w:ascii="方正小标宋简体" w:eastAsia="方正小标宋简体" w:cs="方正小标宋简体" w:hAnsi="方正小标宋简体" w:hint="eastAsia"/>
          <w:color w:val="000000"/>
          <w:sz w:val="56"/>
          <w:szCs w:val="56"/>
        </w:rPr>
      </w:pPr>
    </w:p>
    <w:p>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outlineLvl w:val="0"/>
        <w:rPr>
          <w:rFonts w:ascii="方正小标宋简体" w:eastAsia="方正小标宋简体" w:cs="方正小标宋简体" w:hAnsi="方正小标宋简体" w:hint="eastAsia"/>
          <w:color w:val="000000"/>
          <w:sz w:val="56"/>
          <w:szCs w:val="56"/>
        </w:rPr>
      </w:pPr>
    </w:p>
    <w:p>
      <w:pPr>
        <w:widowControl/>
        <w:jc w:val="center"/>
        <w:rPr>
          <w:rFonts w:ascii="方正小标宋简体" w:eastAsia="方正小标宋简体" w:cs="方正小标宋简体" w:hAnsi="方正小标宋简体" w:hint="eastAsia"/>
          <w:color w:val="000000"/>
          <w:sz w:val="48"/>
          <w:szCs w:val="48"/>
        </w:rPr>
      </w:pPr>
      <w:bookmarkEnd w:id="8"/>
      <w:bookmarkEnd w:id="9"/>
      <w:bookmarkEnd w:id="10"/>
      <w:bookmarkEnd w:id="11"/>
      <w:bookmarkEnd w:id="12"/>
      <w:r>
        <w:rPr>
          <w:sz w:val="36"/>
        </w:rPr>
        <mc:AlternateContent>
          <mc:Choice Requires="wps">
            <w:drawing>
              <wp:anchor distT="0" distB="0" distL="114298" distR="114298" simplePos="0" relativeHeight="41" behindDoc="0" locked="0" layoutInCell="1" hidden="0" allowOverlap="1">
                <wp:simplePos x="0" y="0"/>
                <wp:positionH relativeFrom="column">
                  <wp:posOffset>4007484</wp:posOffset>
                </wp:positionH>
                <wp:positionV relativeFrom="paragraph">
                  <wp:posOffset>3961765</wp:posOffset>
                </wp:positionV>
                <wp:extent cx="2019299" cy="685800"/>
                <wp:effectExtent l="0" t="0" r="0" b="0"/>
                <wp:wrapNone/>
                <wp:docPr id="7" name="_x0000_s1026"/>
                <wp:cNvGraphicFramePr>
                  <a:graphicFrameLocks noChangeAspect="0"/>
                </wp:cNvGraphicFramePr>
                <a:graphic>
                  <a:graphicData uri="http://schemas.microsoft.com/office/word/2010/wordprocessingShape">
                    <wps:wsp>
                      <wps:cNvSpPr/>
                      <wps:spPr>
                        <a:xfrm rot="0">
                          <a:off x="0" y="0"/>
                          <a:ext cx="2019299" cy="685800"/>
                        </a:xfrm>
                        <a:prstGeom prst="rect"/>
                        <a:solidFill>
                          <a:srgbClr val="FFFFFF"/>
                        </a:solidFill>
                        <a:ln w="9525" cmpd="sng" cap="flat">
                          <a:solidFill>
                            <a:srgbClr val="FFFFFF"/>
                          </a:solidFill>
                          <a:prstDash val="solid"/>
                          <a:miter/>
                        </a:ln>
                      </wps:spPr>
                      <wps:bodyPr vert="horz" wrap="square" lIns="91440" tIns="45720" rIns="91440" bIns="45720" anchor="t" anchorCtr="0" upright="1">
                        <a:noAutofit/>
                      </wps:bodyPr>
                    </wps:wsp>
                  </a:graphicData>
                </a:graphic>
              </wp:anchor>
            </w:drawing>
          </mc:Choice>
          <mc:Fallback>
            <w:pict>
              <v:rect type="#_x0000_t1" id="_x0000_s1026 8" o:spid="_x0000_s8" fillcolor="#FFFFFF" stroked="t" style="position:absolute;margin-left:315.55pt;margin-top:311.95pt;width:158.99998pt;height:54.0pt;z-index:41;mso-position-horizontal:absolute;mso-position-vertical:absolute;mso-wrap-distance-left:8.999863pt;mso-wrap-distance-right:8.999863pt;">
                <v:stroke color="#FFFFFF"/>
              </v:rect>
            </w:pict>
          </mc:Fallback>
        </mc:AlternateContent>
      </w:r>
      <w:r>
        <w:rPr>
          <w:rFonts w:ascii="方正小标宋简体" w:eastAsia="方正小标宋简体" w:hAnsi="宋体"/>
          <w:color w:val="000000"/>
          <w:sz w:val="36"/>
          <w:szCs w:val="36"/>
        </w:rPr>
        <w:br w:type="page"/>
      </w:r>
      <w:r>
        <w:rPr>
          <w:rFonts w:ascii="方正小标宋简体" w:eastAsia="方正小标宋简体" w:cs="方正小标宋简体" w:hAnsi="方正小标宋简体" w:hint="eastAsia"/>
          <w:color w:val="000000"/>
          <w:sz w:val="48"/>
          <w:szCs w:val="48"/>
        </w:rPr>
        <w:t>目</w:t>
      </w:r>
      <w:r>
        <w:rPr>
          <w:rFonts w:ascii="方正小标宋简体" w:eastAsia="方正小标宋简体" w:cs="方正小标宋简体" w:hAnsi="方正小标宋简体" w:hint="eastAsia"/>
          <w:color w:val="000000"/>
          <w:sz w:val="48"/>
          <w:szCs w:val="48"/>
          <w:lang w:val="en-US" w:eastAsia="zh-CN"/>
        </w:rPr>
        <w:t xml:space="preserve">  </w:t>
      </w:r>
      <w:r>
        <w:rPr>
          <w:rFonts w:ascii="方正小标宋简体" w:eastAsia="方正小标宋简体" w:cs="方正小标宋简体" w:hAnsi="方正小标宋简体" w:hint="eastAsia"/>
          <w:color w:val="000000"/>
          <w:sz w:val="48"/>
          <w:szCs w:val="48"/>
        </w:rPr>
        <w:t>录</w:t>
      </w:r>
    </w:p>
    <w:p>
      <w:pPr>
        <w:widowControl/>
        <w:jc w:val="center"/>
        <w:rPr>
          <w:rFonts w:ascii="黑体" w:eastAsia="黑体" w:cs="Arial" w:hAnsi="黑体"/>
          <w:sz w:val="28"/>
          <w:szCs w:val="28"/>
        </w:rPr>
      </w:pPr>
    </w:p>
    <w:p>
      <w:pPr>
        <w:pStyle w:val="20"/>
        <w:keepNext w:val="0"/>
        <w:keepLines w:val="0"/>
        <w:pageBreakBefore w:val="0"/>
        <w:widowControl w:val="0"/>
        <w:tabs>
          <w:tab w:val="right" w:leader="dot" w:pos="8296"/>
        </w:tabs>
        <w:kinsoku/>
        <w:wordWrap/>
        <w:overflowPunct/>
        <w:topLinePunct w:val="0"/>
        <w:autoSpaceDE/>
        <w:autoSpaceDN/>
        <w:bidi w:val="0"/>
        <w:spacing w:before="0" w:line="580" w:lineRule="exact"/>
        <w:ind w:left="0"/>
        <w:textAlignment w:val="auto"/>
        <w:rPr>
          <w:rFonts w:ascii="仿宋_GB2312" w:eastAsia="仿宋_GB2312" w:cs="仿宋_GB2312" w:hAnsi="仿宋_GB2312" w:hint="eastAsia"/>
          <w:sz w:val="32"/>
          <w:szCs w:val="32"/>
        </w:rPr>
      </w:pPr>
      <w:r>
        <w:rPr>
          <w:rFonts w:ascii="仿宋_GB2312" w:eastAsia="仿宋_GB2312" w:cs="仿宋_GB2312" w:hAnsi="仿宋_GB2312" w:hint="eastAsia"/>
          <w:sz w:val="32"/>
          <w:szCs w:val="32"/>
        </w:rPr>
        <w:t>公开时间：2020年9月3日</w:t>
      </w:r>
    </w:p>
    <w:p>
      <w:pPr>
        <w:keepNext w:val="0"/>
        <w:keepLines w:val="0"/>
        <w:pageBreakBefore w:val="0"/>
        <w:widowControl w:val="0"/>
        <w:kinsoku/>
        <w:wordWrap/>
        <w:overflowPunct/>
        <w:topLinePunct w:val="0"/>
        <w:autoSpaceDE/>
        <w:autoSpaceDN/>
        <w:bidi w:val="0"/>
        <w:spacing w:line="580" w:lineRule="exact"/>
        <w:ind w:left="0"/>
        <w:textAlignment w:val="auto"/>
        <w:rPr>
          <w:rFonts w:ascii="仿宋_GB2312" w:eastAsia="仿宋_GB2312" w:cs="仿宋_GB2312" w:hAnsi="仿宋_GB2312" w:hint="eastAsia"/>
          <w:sz w:val="32"/>
          <w:szCs w:val="32"/>
        </w:rPr>
      </w:pPr>
    </w:p>
    <w:p>
      <w:pPr>
        <w:pStyle w:val="20"/>
        <w:keepNext w:val="0"/>
        <w:keepLines w:val="0"/>
        <w:pageBreakBefore w:val="0"/>
        <w:widowControl w:val="0"/>
        <w:tabs>
          <w:tab w:val="right" w:leader="dot" w:pos="8296"/>
        </w:tabs>
        <w:kinsoku/>
        <w:wordWrap/>
        <w:overflowPunct/>
        <w:topLinePunct w:val="0"/>
        <w:autoSpaceDE/>
        <w:autoSpaceDN/>
        <w:bidi w:val="0"/>
        <w:adjustRightInd w:val="0"/>
        <w:snapToGrid w:val="0"/>
        <w:spacing w:before="0" w:line="580" w:lineRule="exact"/>
        <w:ind w:left="0"/>
        <w:jc w:val="distribute"/>
        <w:textAlignment w:val="auto"/>
        <w:rPr>
          <w:rFonts w:ascii="黑体" w:eastAsia="黑体" w:cs="黑体" w:hAnsi="黑体"/>
          <w:sz w:val="32"/>
          <w:szCs w:val="32"/>
          <w:lang w:val="en-US"/>
        </w:rPr>
      </w:pPr>
      <w:r>
        <w:rPr>
          <w:rFonts w:ascii="黑体" w:eastAsia="黑体" w:cs="黑体" w:hAnsi="黑体" w:hint="eastAsia"/>
          <w:sz w:val="32"/>
          <w:szCs w:val="32"/>
        </w:rPr>
        <w:t>第一部分 部门概况</w:t>
      </w:r>
      <w:r>
        <w:rPr>
          <w:rFonts w:ascii="仿宋_GB2312" w:eastAsia="仿宋_GB2312" w:cs="仿宋_GB2312" w:hAnsi="仿宋_GB2312" w:hint="eastAsia"/>
          <w:sz w:val="32"/>
          <w:szCs w:val="32"/>
          <w:lang w:eastAsia="zh-CN"/>
        </w:rPr>
        <w:t>………………………………………………</w:t>
      </w:r>
      <w:r>
        <w:rPr>
          <w:rFonts w:ascii="仿宋_GB2312" w:eastAsia="仿宋_GB2312" w:cs="仿宋_GB2312" w:hAnsi="仿宋_GB2312" w:hint="eastAsia"/>
          <w:sz w:val="32"/>
          <w:szCs w:val="32"/>
          <w:lang w:val="en-US" w:eastAsia="zh-CN"/>
        </w:rPr>
        <w:t>1</w:t>
      </w:r>
    </w:p>
    <w:p>
      <w:pPr>
        <w:pStyle w:val="21"/>
        <w:keepNext w:val="0"/>
        <w:keepLines w:val="0"/>
        <w:pageBreakBefore w:val="0"/>
        <w:widowControl w:val="0"/>
        <w:tabs>
          <w:tab w:val="right" w:leader="dot" w:pos="8296"/>
        </w:tabs>
        <w:kinsoku/>
        <w:wordWrap/>
        <w:overflowPunct/>
        <w:topLinePunct w:val="0"/>
        <w:autoSpaceDE/>
        <w:autoSpaceDN/>
        <w:bidi w:val="0"/>
        <w:adjustRightInd w:val="0"/>
        <w:snapToGrid w:val="0"/>
        <w:spacing w:line="580" w:lineRule="exact"/>
        <w:ind w:leftChars="0" w:left="0" w:firstLineChars="100" w:firstLine="320"/>
        <w:jc w:val="distribute"/>
        <w:textAlignment w:val="auto"/>
        <w:rPr>
          <w:rFonts w:ascii="仿宋_GB2312" w:eastAsia="仿宋_GB2312" w:cs="仿宋_GB2312" w:hAnsi="仿宋_GB2312"/>
          <w:sz w:val="32"/>
          <w:szCs w:val="32"/>
          <w:lang w:val="en-US" w:eastAsia="zh-CN"/>
        </w:rPr>
      </w:pPr>
      <w:r>
        <w:rPr>
          <w:rFonts w:ascii="仿宋_GB2312" w:eastAsia="仿宋_GB2312" w:cs="仿宋_GB2312" w:hAnsi="仿宋_GB2312" w:hint="eastAsia"/>
          <w:sz w:val="32"/>
          <w:szCs w:val="32"/>
        </w:rPr>
        <w:t>一、基本职能及主要工作</w:t>
      </w:r>
      <w:r>
        <w:rPr>
          <w:rFonts w:ascii="仿宋_GB2312" w:eastAsia="仿宋_GB2312" w:cs="仿宋_GB2312" w:hAnsi="仿宋_GB2312" w:hint="eastAsia"/>
          <w:sz w:val="32"/>
          <w:szCs w:val="32"/>
          <w:lang w:eastAsia="zh-CN"/>
        </w:rPr>
        <w:t>………………………………………</w:t>
      </w:r>
      <w:r>
        <w:rPr>
          <w:rFonts w:ascii="仿宋_GB2312" w:eastAsia="仿宋_GB2312" w:cs="仿宋_GB2312" w:hAnsi="仿宋_GB2312" w:hint="eastAsia"/>
          <w:sz w:val="32"/>
          <w:szCs w:val="32"/>
          <w:lang w:val="en-US" w:eastAsia="zh-CN"/>
        </w:rPr>
        <w:t>1</w:t>
      </w:r>
    </w:p>
    <w:p>
      <w:pPr>
        <w:pStyle w:val="21"/>
        <w:keepNext w:val="0"/>
        <w:keepLines w:val="0"/>
        <w:pageBreakBefore w:val="0"/>
        <w:widowControl w:val="0"/>
        <w:tabs>
          <w:tab w:val="right" w:leader="dot" w:pos="8296"/>
        </w:tabs>
        <w:kinsoku/>
        <w:wordWrap/>
        <w:overflowPunct/>
        <w:topLinePunct w:val="0"/>
        <w:autoSpaceDE/>
        <w:autoSpaceDN/>
        <w:bidi w:val="0"/>
        <w:adjustRightInd w:val="0"/>
        <w:snapToGrid w:val="0"/>
        <w:spacing w:line="580" w:lineRule="exact"/>
        <w:ind w:leftChars="0" w:left="0" w:firstLineChars="100" w:firstLine="320"/>
        <w:jc w:val="distribute"/>
        <w:textAlignment w:val="auto"/>
        <w:rPr>
          <w:rFonts w:ascii="仿宋_GB2312" w:eastAsia="仿宋_GB2312" w:cs="仿宋_GB2312" w:hAnsi="仿宋_GB2312"/>
          <w:sz w:val="32"/>
          <w:szCs w:val="32"/>
          <w:lang w:val="en-US"/>
        </w:rPr>
      </w:pPr>
      <w:r>
        <w:rPr>
          <w:rFonts w:ascii="仿宋_GB2312" w:eastAsia="仿宋_GB2312" w:cs="仿宋_GB2312" w:hAnsi="仿宋_GB2312" w:hint="eastAsia"/>
          <w:sz w:val="32"/>
          <w:szCs w:val="32"/>
        </w:rPr>
        <w:t>二、机构设置</w:t>
      </w:r>
      <w:r>
        <w:rPr>
          <w:rFonts w:ascii="仿宋_GB2312" w:eastAsia="仿宋_GB2312" w:cs="仿宋_GB2312" w:hAnsi="仿宋_GB2312" w:hint="eastAsia"/>
          <w:sz w:val="32"/>
          <w:szCs w:val="32"/>
          <w:lang w:eastAsia="zh-CN"/>
        </w:rPr>
        <w:t>……………………………………………………</w:t>
      </w:r>
      <w:r>
        <w:rPr>
          <w:rFonts w:ascii="仿宋_GB2312" w:eastAsia="仿宋_GB2312" w:cs="仿宋_GB2312" w:hAnsi="仿宋_GB2312" w:hint="eastAsia"/>
          <w:sz w:val="32"/>
          <w:szCs w:val="32"/>
          <w:lang w:val="en-US" w:eastAsia="zh-CN"/>
        </w:rPr>
        <w:t>5</w:t>
      </w:r>
    </w:p>
    <w:p>
      <w:pPr>
        <w:pStyle w:val="20"/>
        <w:keepNext w:val="0"/>
        <w:keepLines w:val="0"/>
        <w:pageBreakBefore w:val="0"/>
        <w:widowControl w:val="0"/>
        <w:tabs>
          <w:tab w:val="right" w:leader="dot" w:pos="8296"/>
        </w:tabs>
        <w:kinsoku/>
        <w:wordWrap/>
        <w:overflowPunct/>
        <w:topLinePunct w:val="0"/>
        <w:autoSpaceDE/>
        <w:autoSpaceDN/>
        <w:bidi w:val="0"/>
        <w:adjustRightInd w:val="0"/>
        <w:snapToGrid w:val="0"/>
        <w:spacing w:before="0" w:line="580" w:lineRule="exact"/>
        <w:ind w:left="0"/>
        <w:jc w:val="distribute"/>
        <w:textAlignment w:val="auto"/>
        <w:rPr>
          <w:rFonts w:ascii="黑体" w:eastAsia="黑体" w:cs="黑体" w:hAnsi="黑体"/>
          <w:sz w:val="32"/>
          <w:szCs w:val="32"/>
          <w:lang w:val="en-US"/>
        </w:rPr>
      </w:pPr>
      <w:r>
        <w:rPr>
          <w:rFonts w:ascii="黑体" w:eastAsia="黑体" w:cs="黑体" w:hAnsi="黑体" w:hint="eastAsia"/>
          <w:sz w:val="32"/>
          <w:szCs w:val="32"/>
        </w:rPr>
        <w:t>第二部分度部门决算情况说明</w:t>
      </w:r>
      <w:r>
        <w:rPr>
          <w:rFonts w:ascii="仿宋_GB2312" w:eastAsia="仿宋_GB2312" w:cs="仿宋_GB2312" w:hAnsi="仿宋_GB2312" w:hint="eastAsia"/>
          <w:sz w:val="32"/>
          <w:szCs w:val="32"/>
          <w:lang w:eastAsia="zh-CN"/>
        </w:rPr>
        <w:t>……………………………………</w:t>
      </w:r>
      <w:r>
        <w:rPr>
          <w:rFonts w:ascii="仿宋_GB2312" w:eastAsia="仿宋_GB2312" w:cs="仿宋_GB2312" w:hAnsi="仿宋_GB2312" w:hint="eastAsia"/>
          <w:sz w:val="32"/>
          <w:szCs w:val="32"/>
          <w:lang w:val="en-US" w:eastAsia="zh-CN"/>
        </w:rPr>
        <w:t>6</w:t>
      </w:r>
    </w:p>
    <w:p>
      <w:pPr>
        <w:pStyle w:val="21"/>
        <w:keepNext w:val="0"/>
        <w:keepLines w:val="0"/>
        <w:pageBreakBefore w:val="0"/>
        <w:widowControl w:val="0"/>
        <w:tabs>
          <w:tab w:val="right" w:leader="dot" w:pos="8296"/>
        </w:tabs>
        <w:kinsoku/>
        <w:wordWrap/>
        <w:overflowPunct/>
        <w:topLinePunct w:val="0"/>
        <w:autoSpaceDE/>
        <w:autoSpaceDN/>
        <w:bidi w:val="0"/>
        <w:adjustRightInd w:val="0"/>
        <w:snapToGrid w:val="0"/>
        <w:spacing w:line="580" w:lineRule="exact"/>
        <w:ind w:leftChars="0" w:left="0" w:firstLineChars="100" w:firstLine="320"/>
        <w:jc w:val="distribute"/>
        <w:textAlignment w:val="auto"/>
        <w:rPr>
          <w:rFonts w:ascii="仿宋_GB2312" w:eastAsia="仿宋_GB2312" w:cs="仿宋_GB2312" w:hAnsi="仿宋_GB2312"/>
          <w:sz w:val="32"/>
          <w:szCs w:val="32"/>
          <w:lang w:val="en-US"/>
        </w:rPr>
      </w:pPr>
      <w:r>
        <w:rPr>
          <w:rFonts w:ascii="仿宋_GB2312" w:eastAsia="仿宋_GB2312" w:cs="仿宋_GB2312" w:hAnsi="仿宋_GB2312" w:hint="eastAsia"/>
          <w:sz w:val="32"/>
          <w:szCs w:val="32"/>
        </w:rPr>
        <w:t>一、收入支出决算总体情况说明</w:t>
      </w:r>
      <w:r>
        <w:rPr>
          <w:rFonts w:ascii="仿宋_GB2312" w:eastAsia="仿宋_GB2312" w:cs="仿宋_GB2312" w:hAnsi="仿宋_GB2312" w:hint="eastAsia"/>
          <w:sz w:val="32"/>
          <w:szCs w:val="32"/>
          <w:lang w:eastAsia="zh-CN"/>
        </w:rPr>
        <w:t>………………………………</w:t>
      </w:r>
      <w:r>
        <w:rPr>
          <w:rFonts w:ascii="仿宋_GB2312" w:eastAsia="仿宋_GB2312" w:cs="仿宋_GB2312" w:hAnsi="仿宋_GB2312" w:hint="eastAsia"/>
          <w:sz w:val="32"/>
          <w:szCs w:val="32"/>
          <w:lang w:val="en-US" w:eastAsia="zh-CN"/>
        </w:rPr>
        <w:t>6</w:t>
      </w:r>
    </w:p>
    <w:p>
      <w:pPr>
        <w:pStyle w:val="21"/>
        <w:keepNext w:val="0"/>
        <w:keepLines w:val="0"/>
        <w:pageBreakBefore w:val="0"/>
        <w:widowControl w:val="0"/>
        <w:tabs>
          <w:tab w:val="right" w:leader="dot" w:pos="8296"/>
        </w:tabs>
        <w:kinsoku/>
        <w:wordWrap/>
        <w:overflowPunct/>
        <w:topLinePunct w:val="0"/>
        <w:autoSpaceDE/>
        <w:autoSpaceDN/>
        <w:bidi w:val="0"/>
        <w:adjustRightInd w:val="0"/>
        <w:snapToGrid w:val="0"/>
        <w:spacing w:line="580" w:lineRule="exact"/>
        <w:ind w:leftChars="0" w:left="0" w:firstLineChars="100" w:firstLine="320"/>
        <w:jc w:val="distribute"/>
        <w:textAlignment w:val="auto"/>
        <w:rPr>
          <w:rFonts w:ascii="仿宋_GB2312" w:eastAsia="仿宋_GB2312" w:cs="仿宋_GB2312" w:hAnsi="仿宋_GB2312"/>
          <w:sz w:val="32"/>
          <w:szCs w:val="32"/>
          <w:lang w:val="en-US"/>
        </w:rPr>
      </w:pPr>
      <w:r>
        <w:rPr>
          <w:rFonts w:ascii="仿宋_GB2312" w:eastAsia="仿宋_GB2312" w:cs="仿宋_GB2312" w:hAnsi="仿宋_GB2312" w:hint="eastAsia"/>
          <w:sz w:val="32"/>
          <w:szCs w:val="32"/>
        </w:rPr>
        <w:t>二、收入决算情况说明</w:t>
      </w:r>
      <w:r>
        <w:rPr>
          <w:rFonts w:ascii="仿宋_GB2312" w:eastAsia="仿宋_GB2312" w:cs="仿宋_GB2312" w:hAnsi="仿宋_GB2312" w:hint="eastAsia"/>
          <w:sz w:val="32"/>
          <w:szCs w:val="32"/>
          <w:lang w:eastAsia="zh-CN"/>
        </w:rPr>
        <w:t>…………………………………………</w:t>
      </w:r>
      <w:r>
        <w:rPr>
          <w:rFonts w:ascii="仿宋_GB2312" w:eastAsia="仿宋_GB2312" w:cs="仿宋_GB2312" w:hAnsi="仿宋_GB2312" w:hint="eastAsia"/>
          <w:sz w:val="32"/>
          <w:szCs w:val="32"/>
          <w:lang w:val="en-US" w:eastAsia="zh-CN"/>
        </w:rPr>
        <w:t>6</w:t>
      </w:r>
    </w:p>
    <w:p>
      <w:pPr>
        <w:pStyle w:val="21"/>
        <w:keepNext w:val="0"/>
        <w:keepLines w:val="0"/>
        <w:pageBreakBefore w:val="0"/>
        <w:widowControl w:val="0"/>
        <w:tabs>
          <w:tab w:val="right" w:leader="dot" w:pos="8296"/>
        </w:tabs>
        <w:kinsoku/>
        <w:wordWrap/>
        <w:overflowPunct/>
        <w:topLinePunct w:val="0"/>
        <w:autoSpaceDE/>
        <w:autoSpaceDN/>
        <w:bidi w:val="0"/>
        <w:adjustRightInd w:val="0"/>
        <w:snapToGrid w:val="0"/>
        <w:spacing w:line="580" w:lineRule="exact"/>
        <w:ind w:leftChars="0" w:left="0" w:firstLineChars="100" w:firstLine="320"/>
        <w:jc w:val="distribute"/>
        <w:textAlignment w:val="auto"/>
        <w:rPr>
          <w:rFonts w:ascii="仿宋_GB2312" w:eastAsia="仿宋_GB2312" w:cs="仿宋_GB2312" w:hAnsi="仿宋_GB2312"/>
          <w:sz w:val="32"/>
          <w:szCs w:val="32"/>
          <w:lang w:val="en-US"/>
        </w:rPr>
      </w:pPr>
      <w:r>
        <w:rPr>
          <w:rFonts w:ascii="仿宋_GB2312" w:eastAsia="仿宋_GB2312" w:cs="仿宋_GB2312" w:hAnsi="仿宋_GB2312" w:hint="eastAsia"/>
          <w:sz w:val="32"/>
          <w:szCs w:val="32"/>
        </w:rPr>
        <w:t>三、支出决算情况说明</w:t>
      </w:r>
      <w:r>
        <w:rPr>
          <w:rFonts w:ascii="仿宋_GB2312" w:eastAsia="仿宋_GB2312" w:cs="仿宋_GB2312" w:hAnsi="仿宋_GB2312" w:hint="eastAsia"/>
          <w:sz w:val="32"/>
          <w:szCs w:val="32"/>
          <w:lang w:eastAsia="zh-CN"/>
        </w:rPr>
        <w:t>…………………………………………</w:t>
      </w:r>
      <w:r>
        <w:rPr>
          <w:rFonts w:ascii="仿宋_GB2312" w:eastAsia="仿宋_GB2312" w:cs="仿宋_GB2312" w:hAnsi="仿宋_GB2312" w:hint="eastAsia"/>
          <w:sz w:val="32"/>
          <w:szCs w:val="32"/>
          <w:lang w:val="en-US" w:eastAsia="zh-CN"/>
        </w:rPr>
        <w:t>7</w:t>
      </w:r>
    </w:p>
    <w:p>
      <w:pPr>
        <w:pStyle w:val="21"/>
        <w:keepNext w:val="0"/>
        <w:keepLines w:val="0"/>
        <w:pageBreakBefore w:val="0"/>
        <w:widowControl w:val="0"/>
        <w:tabs>
          <w:tab w:val="right" w:leader="dot" w:pos="8296"/>
        </w:tabs>
        <w:kinsoku/>
        <w:wordWrap/>
        <w:overflowPunct/>
        <w:topLinePunct w:val="0"/>
        <w:autoSpaceDE/>
        <w:autoSpaceDN/>
        <w:bidi w:val="0"/>
        <w:adjustRightInd w:val="0"/>
        <w:snapToGrid w:val="0"/>
        <w:spacing w:line="580" w:lineRule="exact"/>
        <w:ind w:leftChars="0" w:left="0" w:firstLineChars="100" w:firstLine="320"/>
        <w:jc w:val="distribute"/>
        <w:textAlignment w:val="auto"/>
        <w:rPr>
          <w:rFonts w:ascii="仿宋_GB2312" w:eastAsia="仿宋_GB2312" w:cs="仿宋_GB2312" w:hAnsi="仿宋_GB2312"/>
          <w:sz w:val="32"/>
          <w:szCs w:val="32"/>
          <w:lang w:val="en-US"/>
        </w:rPr>
      </w:pPr>
      <w:r>
        <w:rPr>
          <w:rFonts w:ascii="仿宋_GB2312" w:eastAsia="仿宋_GB2312" w:cs="仿宋_GB2312" w:hAnsi="仿宋_GB2312" w:hint="eastAsia"/>
          <w:sz w:val="32"/>
          <w:szCs w:val="32"/>
        </w:rPr>
        <w:t>四、财政拨款收入支出决算总体情况说明</w:t>
      </w:r>
      <w:r>
        <w:rPr>
          <w:rFonts w:ascii="仿宋_GB2312" w:eastAsia="仿宋_GB2312" w:cs="仿宋_GB2312" w:hAnsi="仿宋_GB2312" w:hint="eastAsia"/>
          <w:sz w:val="32"/>
          <w:szCs w:val="32"/>
          <w:lang w:eastAsia="zh-CN"/>
        </w:rPr>
        <w:t>……………………</w:t>
      </w:r>
      <w:r>
        <w:rPr>
          <w:rFonts w:ascii="仿宋_GB2312" w:eastAsia="仿宋_GB2312" w:cs="仿宋_GB2312" w:hAnsi="仿宋_GB2312" w:hint="eastAsia"/>
          <w:sz w:val="32"/>
          <w:szCs w:val="32"/>
          <w:lang w:val="en-US" w:eastAsia="zh-CN"/>
        </w:rPr>
        <w:t>8</w:t>
      </w:r>
    </w:p>
    <w:p>
      <w:pPr>
        <w:pStyle w:val="21"/>
        <w:keepNext w:val="0"/>
        <w:keepLines w:val="0"/>
        <w:pageBreakBefore w:val="0"/>
        <w:widowControl w:val="0"/>
        <w:tabs>
          <w:tab w:val="right" w:leader="dot" w:pos="8296"/>
        </w:tabs>
        <w:kinsoku/>
        <w:wordWrap/>
        <w:overflowPunct/>
        <w:topLinePunct w:val="0"/>
        <w:autoSpaceDE/>
        <w:autoSpaceDN/>
        <w:bidi w:val="0"/>
        <w:adjustRightInd w:val="0"/>
        <w:snapToGrid w:val="0"/>
        <w:spacing w:line="580" w:lineRule="exact"/>
        <w:ind w:leftChars="0" w:left="0" w:firstLineChars="100" w:firstLine="320"/>
        <w:jc w:val="distribute"/>
        <w:textAlignment w:val="auto"/>
        <w:rPr>
          <w:rFonts w:ascii="仿宋_GB2312" w:eastAsia="仿宋_GB2312" w:cs="仿宋_GB2312" w:hAnsi="仿宋_GB2312"/>
          <w:sz w:val="32"/>
          <w:szCs w:val="32"/>
          <w:lang w:val="en-US"/>
        </w:rPr>
      </w:pPr>
      <w:r>
        <w:rPr>
          <w:rFonts w:ascii="仿宋_GB2312" w:eastAsia="仿宋_GB2312" w:cs="仿宋_GB2312" w:hAnsi="仿宋_GB2312" w:hint="eastAsia"/>
          <w:sz w:val="32"/>
          <w:szCs w:val="32"/>
        </w:rPr>
        <w:t>五、一般公共预算财政拨款支出决算情况说明</w:t>
      </w:r>
      <w:r>
        <w:rPr>
          <w:rFonts w:ascii="仿宋_GB2312" w:eastAsia="仿宋_GB2312" w:cs="仿宋_GB2312" w:hAnsi="仿宋_GB2312" w:hint="eastAsia"/>
          <w:sz w:val="32"/>
          <w:szCs w:val="32"/>
          <w:lang w:eastAsia="zh-CN"/>
        </w:rPr>
        <w:t>………………</w:t>
      </w:r>
      <w:r>
        <w:rPr>
          <w:rFonts w:ascii="仿宋_GB2312" w:eastAsia="仿宋_GB2312" w:cs="仿宋_GB2312" w:hAnsi="仿宋_GB2312" w:hint="eastAsia"/>
          <w:sz w:val="32"/>
          <w:szCs w:val="32"/>
          <w:lang w:val="en-US" w:eastAsia="zh-CN"/>
        </w:rPr>
        <w:t>9</w:t>
      </w:r>
    </w:p>
    <w:p>
      <w:pPr>
        <w:pStyle w:val="21"/>
        <w:keepNext w:val="0"/>
        <w:keepLines w:val="0"/>
        <w:pageBreakBefore w:val="0"/>
        <w:widowControl w:val="0"/>
        <w:tabs>
          <w:tab w:val="right" w:leader="dot" w:pos="8296"/>
        </w:tabs>
        <w:kinsoku/>
        <w:wordWrap/>
        <w:overflowPunct/>
        <w:topLinePunct w:val="0"/>
        <w:autoSpaceDE/>
        <w:autoSpaceDN/>
        <w:bidi w:val="0"/>
        <w:adjustRightInd w:val="0"/>
        <w:snapToGrid w:val="0"/>
        <w:spacing w:line="580" w:lineRule="exact"/>
        <w:ind w:leftChars="0" w:left="0" w:firstLineChars="100" w:firstLine="320"/>
        <w:jc w:val="distribute"/>
        <w:textAlignment w:val="auto"/>
        <w:rPr>
          <w:rFonts w:ascii="仿宋_GB2312" w:eastAsia="仿宋_GB2312" w:cs="仿宋_GB2312" w:hAnsi="仿宋_GB2312"/>
          <w:sz w:val="32"/>
          <w:szCs w:val="32"/>
          <w:lang w:val="en-US"/>
        </w:rPr>
      </w:pPr>
      <w:r>
        <w:rPr>
          <w:rFonts w:ascii="仿宋_GB2312" w:eastAsia="仿宋_GB2312" w:cs="仿宋_GB2312" w:hAnsi="仿宋_GB2312" w:hint="eastAsia"/>
          <w:sz w:val="32"/>
          <w:szCs w:val="32"/>
        </w:rPr>
        <w:t>六、一般公共预算财政拨款基本支出决算情况说明</w:t>
      </w:r>
      <w:r>
        <w:rPr>
          <w:rFonts w:ascii="仿宋_GB2312" w:eastAsia="仿宋_GB2312" w:cs="仿宋_GB2312" w:hAnsi="仿宋_GB2312" w:hint="eastAsia"/>
          <w:sz w:val="32"/>
          <w:szCs w:val="32"/>
          <w:lang w:eastAsia="zh-CN"/>
        </w:rPr>
        <w:t>…………</w:t>
      </w:r>
      <w:r>
        <w:rPr>
          <w:rFonts w:ascii="仿宋_GB2312" w:eastAsia="仿宋_GB2312" w:cs="仿宋_GB2312" w:hAnsi="仿宋_GB2312" w:hint="eastAsia"/>
          <w:sz w:val="32"/>
          <w:szCs w:val="32"/>
          <w:lang w:val="en-US" w:eastAsia="zh-CN"/>
        </w:rPr>
        <w:t>10</w:t>
      </w:r>
    </w:p>
    <w:p>
      <w:pPr>
        <w:pStyle w:val="21"/>
        <w:keepNext w:val="0"/>
        <w:keepLines w:val="0"/>
        <w:pageBreakBefore w:val="0"/>
        <w:widowControl w:val="0"/>
        <w:tabs>
          <w:tab w:val="right" w:leader="dot" w:pos="8296"/>
        </w:tabs>
        <w:kinsoku/>
        <w:wordWrap/>
        <w:overflowPunct/>
        <w:topLinePunct w:val="0"/>
        <w:autoSpaceDE/>
        <w:autoSpaceDN/>
        <w:bidi w:val="0"/>
        <w:adjustRightInd w:val="0"/>
        <w:snapToGrid w:val="0"/>
        <w:spacing w:line="580" w:lineRule="exact"/>
        <w:ind w:leftChars="0" w:left="0" w:firstLineChars="100" w:firstLine="320"/>
        <w:jc w:val="distribute"/>
        <w:textAlignment w:val="auto"/>
        <w:rPr>
          <w:rFonts w:ascii="仿宋_GB2312" w:eastAsia="仿宋_GB2312" w:cs="仿宋_GB2312" w:hAnsi="仿宋_GB2312"/>
          <w:sz w:val="32"/>
          <w:szCs w:val="32"/>
          <w:lang w:val="en-US"/>
        </w:rPr>
      </w:pPr>
      <w:r>
        <w:rPr>
          <w:rFonts w:ascii="仿宋_GB2312" w:eastAsia="仿宋_GB2312" w:cs="仿宋_GB2312" w:hAnsi="仿宋_GB2312" w:hint="eastAsia"/>
          <w:sz w:val="32"/>
          <w:szCs w:val="32"/>
        </w:rPr>
        <w:t>七、“三公”经费财政拨款支出决算情况说明</w:t>
      </w:r>
      <w:r>
        <w:rPr>
          <w:rFonts w:ascii="仿宋_GB2312" w:eastAsia="仿宋_GB2312" w:cs="仿宋_GB2312" w:hAnsi="仿宋_GB2312" w:hint="eastAsia"/>
          <w:sz w:val="32"/>
          <w:szCs w:val="32"/>
          <w:lang w:eastAsia="zh-CN"/>
        </w:rPr>
        <w:t>………………</w:t>
      </w:r>
      <w:r>
        <w:rPr>
          <w:rFonts w:ascii="仿宋_GB2312" w:eastAsia="仿宋_GB2312" w:cs="仿宋_GB2312" w:hAnsi="仿宋_GB2312" w:hint="eastAsia"/>
          <w:sz w:val="32"/>
          <w:szCs w:val="32"/>
          <w:lang w:val="en-US" w:eastAsia="zh-CN"/>
        </w:rPr>
        <w:t>11</w:t>
      </w:r>
    </w:p>
    <w:p>
      <w:pPr>
        <w:pStyle w:val="21"/>
        <w:keepNext w:val="0"/>
        <w:keepLines w:val="0"/>
        <w:pageBreakBefore w:val="0"/>
        <w:widowControl w:val="0"/>
        <w:tabs>
          <w:tab w:val="right" w:leader="dot" w:pos="8296"/>
        </w:tabs>
        <w:kinsoku/>
        <w:wordWrap/>
        <w:overflowPunct/>
        <w:topLinePunct w:val="0"/>
        <w:autoSpaceDE/>
        <w:autoSpaceDN/>
        <w:bidi w:val="0"/>
        <w:adjustRightInd w:val="0"/>
        <w:snapToGrid w:val="0"/>
        <w:spacing w:line="580" w:lineRule="exact"/>
        <w:ind w:leftChars="0" w:left="0" w:firstLineChars="100" w:firstLine="320"/>
        <w:jc w:val="distribute"/>
        <w:textAlignment w:val="auto"/>
        <w:rPr>
          <w:rFonts w:ascii="仿宋_GB2312" w:eastAsia="仿宋_GB2312" w:cs="仿宋_GB2312" w:hAnsi="仿宋_GB2312"/>
          <w:sz w:val="32"/>
          <w:szCs w:val="32"/>
          <w:lang w:val="en-US"/>
        </w:rPr>
      </w:pPr>
      <w:r>
        <w:rPr>
          <w:rFonts w:ascii="仿宋_GB2312" w:eastAsia="仿宋_GB2312" w:cs="仿宋_GB2312" w:hAnsi="仿宋_GB2312" w:hint="eastAsia"/>
          <w:sz w:val="32"/>
          <w:szCs w:val="32"/>
        </w:rPr>
        <w:t>八、政府性基金预算支出决算情况说明</w:t>
      </w:r>
      <w:r>
        <w:rPr>
          <w:rFonts w:ascii="仿宋_GB2312" w:eastAsia="仿宋_GB2312" w:cs="仿宋_GB2312" w:hAnsi="仿宋_GB2312" w:hint="eastAsia"/>
          <w:sz w:val="32"/>
          <w:szCs w:val="32"/>
          <w:lang w:eastAsia="zh-CN"/>
        </w:rPr>
        <w:t>………………………</w:t>
      </w:r>
      <w:r>
        <w:rPr>
          <w:rFonts w:ascii="仿宋_GB2312" w:eastAsia="仿宋_GB2312" w:cs="仿宋_GB2312" w:hAnsi="仿宋_GB2312" w:hint="eastAsia"/>
          <w:sz w:val="32"/>
          <w:szCs w:val="32"/>
          <w:lang w:val="en-US" w:eastAsia="zh-CN"/>
        </w:rPr>
        <w:t>13</w:t>
      </w:r>
    </w:p>
    <w:p>
      <w:pPr>
        <w:pStyle w:val="21"/>
        <w:keepNext w:val="0"/>
        <w:keepLines w:val="0"/>
        <w:pageBreakBefore w:val="0"/>
        <w:widowControl w:val="0"/>
        <w:tabs>
          <w:tab w:val="right" w:leader="dot" w:pos="8296"/>
        </w:tabs>
        <w:kinsoku/>
        <w:wordWrap/>
        <w:overflowPunct/>
        <w:topLinePunct w:val="0"/>
        <w:autoSpaceDE/>
        <w:autoSpaceDN/>
        <w:bidi w:val="0"/>
        <w:adjustRightInd w:val="0"/>
        <w:snapToGrid w:val="0"/>
        <w:spacing w:line="580" w:lineRule="exact"/>
        <w:ind w:leftChars="0" w:left="0" w:firstLineChars="100" w:firstLine="320"/>
        <w:jc w:val="distribute"/>
        <w:textAlignment w:val="auto"/>
        <w:rPr>
          <w:rFonts w:ascii="仿宋_GB2312" w:eastAsia="仿宋_GB2312" w:cs="仿宋_GB2312" w:hAnsi="仿宋_GB2312"/>
          <w:sz w:val="32"/>
          <w:szCs w:val="32"/>
          <w:lang w:val="en-US"/>
        </w:rPr>
      </w:pPr>
      <w:r>
        <w:rPr>
          <w:rFonts w:ascii="仿宋_GB2312" w:eastAsia="仿宋_GB2312" w:cs="仿宋_GB2312" w:hAnsi="仿宋_GB2312" w:hint="eastAsia"/>
          <w:sz w:val="32"/>
          <w:szCs w:val="32"/>
        </w:rPr>
        <w:t>九、国有资本经营预算支出决算情况说明</w:t>
      </w:r>
      <w:r>
        <w:rPr>
          <w:rFonts w:ascii="仿宋_GB2312" w:eastAsia="仿宋_GB2312" w:cs="仿宋_GB2312" w:hAnsi="仿宋_GB2312" w:hint="eastAsia"/>
          <w:sz w:val="32"/>
          <w:szCs w:val="32"/>
          <w:lang w:eastAsia="zh-CN"/>
        </w:rPr>
        <w:t>……………………</w:t>
      </w:r>
      <w:r>
        <w:rPr>
          <w:rFonts w:ascii="仿宋_GB2312" w:eastAsia="仿宋_GB2312" w:cs="仿宋_GB2312" w:hAnsi="仿宋_GB2312" w:hint="eastAsia"/>
          <w:sz w:val="32"/>
          <w:szCs w:val="32"/>
          <w:lang w:val="en-US" w:eastAsia="zh-CN"/>
        </w:rPr>
        <w:t>13</w:t>
      </w:r>
    </w:p>
    <w:p>
      <w:pPr>
        <w:keepNext w:val="0"/>
        <w:keepLines w:val="0"/>
        <w:pageBreakBefore w:val="0"/>
        <w:widowControl w:val="0"/>
        <w:kinsoku/>
        <w:wordWrap/>
        <w:overflowPunct/>
        <w:topLinePunct w:val="0"/>
        <w:autoSpaceDE/>
        <w:autoSpaceDN/>
        <w:bidi w:val="0"/>
        <w:adjustRightInd w:val="0"/>
        <w:snapToGrid w:val="0"/>
        <w:spacing w:line="580" w:lineRule="exact"/>
        <w:ind w:firstLineChars="100" w:firstLine="320"/>
        <w:jc w:val="distribute"/>
        <w:textAlignment w:val="auto"/>
        <w:rPr>
          <w:rFonts w:ascii="仿宋_GB2312" w:eastAsia="仿宋_GB2312" w:cs="仿宋_GB2312" w:hAnsi="仿宋_GB2312"/>
          <w:sz w:val="32"/>
          <w:szCs w:val="32"/>
          <w:lang w:val="en-US"/>
        </w:rPr>
      </w:pPr>
      <w:r>
        <w:rPr>
          <w:rStyle w:val="23"/>
          <w:rFonts w:ascii="仿宋_GB2312" w:eastAsia="仿宋_GB2312" w:cs="仿宋_GB2312" w:hAnsi="仿宋_GB2312" w:hint="eastAsia"/>
          <w:color w:val="000000"/>
          <w:sz w:val="32"/>
          <w:szCs w:val="32"/>
          <w:u w:val="none"/>
        </w:rPr>
        <w:t>十、</w:t>
      </w:r>
      <w:r>
        <w:rPr>
          <w:rFonts w:ascii="仿宋_GB2312" w:eastAsia="仿宋_GB2312" w:cs="仿宋_GB2312" w:hAnsi="仿宋_GB2312" w:hint="eastAsia"/>
          <w:sz w:val="32"/>
          <w:szCs w:val="32"/>
        </w:rPr>
        <w:t>其他重要事项的情况说明</w:t>
      </w:r>
      <w:r>
        <w:rPr>
          <w:rFonts w:ascii="仿宋_GB2312" w:eastAsia="仿宋_GB2312" w:cs="仿宋_GB2312" w:hAnsi="仿宋_GB2312" w:hint="eastAsia"/>
          <w:sz w:val="32"/>
          <w:szCs w:val="32"/>
          <w:lang w:eastAsia="zh-CN"/>
        </w:rPr>
        <w:t>…………………………………</w:t>
      </w:r>
      <w:r>
        <w:rPr>
          <w:rFonts w:ascii="仿宋_GB2312" w:eastAsia="仿宋_GB2312" w:cs="仿宋_GB2312" w:hAnsi="仿宋_GB2312" w:hint="eastAsia"/>
          <w:sz w:val="32"/>
          <w:szCs w:val="32"/>
          <w:lang w:val="en-US" w:eastAsia="zh-CN"/>
        </w:rPr>
        <w:t>13</w:t>
      </w:r>
    </w:p>
    <w:p>
      <w:pPr>
        <w:pStyle w:val="20"/>
        <w:keepNext w:val="0"/>
        <w:keepLines w:val="0"/>
        <w:pageBreakBefore w:val="0"/>
        <w:widowControl w:val="0"/>
        <w:tabs>
          <w:tab w:val="right" w:leader="dot" w:pos="8296"/>
        </w:tabs>
        <w:kinsoku/>
        <w:wordWrap/>
        <w:overflowPunct/>
        <w:topLinePunct w:val="0"/>
        <w:autoSpaceDE/>
        <w:autoSpaceDN/>
        <w:bidi w:val="0"/>
        <w:adjustRightInd w:val="0"/>
        <w:snapToGrid w:val="0"/>
        <w:spacing w:before="0" w:line="580" w:lineRule="exact"/>
        <w:ind w:left="0"/>
        <w:jc w:val="distribute"/>
        <w:textAlignment w:val="auto"/>
        <w:rPr>
          <w:rFonts w:ascii="黑体" w:eastAsia="黑体" w:cs="黑体" w:hAnsi="黑体"/>
          <w:sz w:val="32"/>
          <w:szCs w:val="32"/>
          <w:lang w:val="en-US"/>
        </w:rPr>
      </w:pPr>
      <w:r>
        <w:rPr>
          <w:rFonts w:ascii="黑体" w:eastAsia="黑体" w:cs="黑体" w:hAnsi="黑体" w:hint="eastAsia"/>
          <w:sz w:val="32"/>
          <w:szCs w:val="32"/>
        </w:rPr>
        <w:t>第三部分 名词解释</w:t>
      </w:r>
      <w:r>
        <w:rPr>
          <w:rFonts w:ascii="仿宋_GB2312" w:eastAsia="仿宋_GB2312" w:cs="仿宋_GB2312" w:hAnsi="仿宋_GB2312" w:hint="eastAsia"/>
          <w:sz w:val="32"/>
          <w:szCs w:val="32"/>
          <w:lang w:eastAsia="zh-CN"/>
        </w:rPr>
        <w:t>………………………………………………</w:t>
      </w:r>
      <w:r>
        <w:rPr>
          <w:rFonts w:ascii="仿宋_GB2312" w:eastAsia="仿宋_GB2312" w:cs="仿宋_GB2312" w:hAnsi="仿宋_GB2312" w:hint="eastAsia"/>
          <w:sz w:val="32"/>
          <w:szCs w:val="32"/>
          <w:lang w:val="en-US" w:eastAsia="zh-CN"/>
        </w:rPr>
        <w:t>20</w:t>
      </w:r>
    </w:p>
    <w:p>
      <w:pPr>
        <w:pStyle w:val="20"/>
        <w:keepNext w:val="0"/>
        <w:keepLines w:val="0"/>
        <w:pageBreakBefore w:val="0"/>
        <w:widowControl w:val="0"/>
        <w:tabs>
          <w:tab w:val="right" w:leader="dot" w:pos="8296"/>
        </w:tabs>
        <w:kinsoku/>
        <w:wordWrap/>
        <w:overflowPunct/>
        <w:topLinePunct w:val="0"/>
        <w:autoSpaceDE/>
        <w:autoSpaceDN/>
        <w:bidi w:val="0"/>
        <w:adjustRightInd w:val="0"/>
        <w:snapToGrid w:val="0"/>
        <w:spacing w:before="0" w:line="580" w:lineRule="exact"/>
        <w:ind w:left="0"/>
        <w:jc w:val="distribute"/>
        <w:textAlignment w:val="auto"/>
        <w:rPr>
          <w:rFonts w:ascii="黑体" w:eastAsia="黑体" w:cs="黑体" w:hAnsi="黑体"/>
          <w:sz w:val="32"/>
          <w:szCs w:val="32"/>
          <w:lang w:val="en-US"/>
        </w:rPr>
      </w:pPr>
      <w:r>
        <w:rPr>
          <w:rFonts w:ascii="黑体" w:eastAsia="黑体" w:cs="黑体" w:hAnsi="黑体" w:hint="eastAsia"/>
          <w:sz w:val="32"/>
          <w:szCs w:val="32"/>
        </w:rPr>
        <w:t>第四部分 附件</w:t>
      </w:r>
      <w:r>
        <w:rPr>
          <w:rFonts w:ascii="仿宋_GB2312" w:eastAsia="仿宋_GB2312" w:cs="仿宋_GB2312" w:hAnsi="仿宋_GB2312" w:hint="eastAsia"/>
          <w:sz w:val="32"/>
          <w:szCs w:val="32"/>
          <w:lang w:eastAsia="zh-CN"/>
        </w:rPr>
        <w:t>……………………………………………………</w:t>
      </w:r>
      <w:r>
        <w:rPr>
          <w:rFonts w:ascii="仿宋_GB2312" w:eastAsia="仿宋_GB2312" w:cs="仿宋_GB2312" w:hAnsi="仿宋_GB2312" w:hint="eastAsia"/>
          <w:sz w:val="32"/>
          <w:szCs w:val="32"/>
          <w:lang w:val="en-US" w:eastAsia="zh-CN"/>
        </w:rPr>
        <w:t>22</w:t>
      </w:r>
    </w:p>
    <w:p>
      <w:pPr>
        <w:pStyle w:val="21"/>
        <w:keepNext w:val="0"/>
        <w:keepLines w:val="0"/>
        <w:pageBreakBefore w:val="0"/>
        <w:widowControl w:val="0"/>
        <w:tabs>
          <w:tab w:val="right" w:leader="dot" w:pos="8296"/>
        </w:tabs>
        <w:kinsoku/>
        <w:wordWrap/>
        <w:overflowPunct/>
        <w:topLinePunct w:val="0"/>
        <w:autoSpaceDE/>
        <w:autoSpaceDN/>
        <w:bidi w:val="0"/>
        <w:adjustRightInd w:val="0"/>
        <w:snapToGrid w:val="0"/>
        <w:spacing w:line="580" w:lineRule="exact"/>
        <w:ind w:leftChars="0" w:left="0" w:firstLineChars="100" w:firstLine="360"/>
        <w:jc w:val="distribute"/>
        <w:textAlignment w:val="auto"/>
        <w:rPr>
          <w:rFonts w:ascii="仿宋_GB2312" w:eastAsia="仿宋_GB2312" w:cs="仿宋_GB2312" w:hAnsi="仿宋_GB2312"/>
          <w:sz w:val="32"/>
          <w:szCs w:val="32"/>
          <w:lang w:val="en-US"/>
        </w:rPr>
      </w:pPr>
      <w:r>
        <w:rPr>
          <w:sz w:val="36"/>
        </w:rPr>
        <mc:AlternateContent>
          <mc:Choice Requires="wps">
            <w:drawing>
              <wp:anchor distT="0" distB="0" distL="114298" distR="114298" simplePos="0" relativeHeight="43" behindDoc="0" locked="0" layoutInCell="1" hidden="0" allowOverlap="1">
                <wp:simplePos x="0" y="0"/>
                <wp:positionH relativeFrom="column">
                  <wp:posOffset>-303530</wp:posOffset>
                </wp:positionH>
                <wp:positionV relativeFrom="paragraph">
                  <wp:posOffset>697865</wp:posOffset>
                </wp:positionV>
                <wp:extent cx="2019300" cy="685800"/>
                <wp:effectExtent l="0" t="0" r="0" b="0"/>
                <wp:wrapNone/>
                <wp:docPr id="9" name="_x0000_s1027"/>
                <wp:cNvGraphicFramePr>
                  <a:graphicFrameLocks noChangeAspect="0"/>
                </wp:cNvGraphicFramePr>
                <a:graphic>
                  <a:graphicData uri="http://schemas.microsoft.com/office/word/2010/wordprocessingShape">
                    <wps:wsp>
                      <wps:cNvSpPr/>
                      <wps:spPr>
                        <a:xfrm rot="0">
                          <a:off x="0" y="0"/>
                          <a:ext cx="2019300" cy="685800"/>
                        </a:xfrm>
                        <a:prstGeom prst="rect"/>
                        <a:solidFill>
                          <a:srgbClr val="FFFFFF"/>
                        </a:solidFill>
                        <a:ln w="9525" cmpd="sng" cap="flat">
                          <a:solidFill>
                            <a:srgbClr val="FFFFFF"/>
                          </a:solidFill>
                          <a:prstDash val="solid"/>
                          <a:miter/>
                        </a:ln>
                      </wps:spPr>
                      <wps:bodyPr vert="horz" wrap="square" lIns="91440" tIns="45720" rIns="91440" bIns="45720" anchor="t" anchorCtr="0" upright="1">
                        <a:noAutofit/>
                      </wps:bodyPr>
                    </wps:wsp>
                  </a:graphicData>
                </a:graphic>
              </wp:anchor>
            </w:drawing>
          </mc:Choice>
          <mc:Fallback>
            <w:pict>
              <v:rect type="#_x0000_t1" id="_x0000_s1027 10" o:spid="_x0000_s10" fillcolor="#FFFFFF" stroked="t" style="position:absolute;margin-left:-23.9pt;margin-top:54.95pt;width:159.0pt;height:54.000008pt;z-index:43;mso-position-horizontal:absolute;mso-position-vertical:absolute;mso-wrap-distance-left:8.999863pt;mso-wrap-distance-right:8.999863pt;">
                <v:stroke color="#FFFFFF"/>
              </v:rect>
            </w:pict>
          </mc:Fallback>
        </mc:AlternateContent>
      </w:r>
      <w:r>
        <w:rPr>
          <w:rFonts w:ascii="仿宋_GB2312" w:eastAsia="仿宋_GB2312" w:cs="仿宋_GB2312" w:hAnsi="仿宋_GB2312" w:hint="eastAsia"/>
          <w:sz w:val="32"/>
          <w:szCs w:val="32"/>
        </w:rPr>
        <w:t>附件1</w:t>
      </w:r>
      <w:r>
        <w:rPr>
          <w:rFonts w:ascii="仿宋_GB2312" w:eastAsia="仿宋_GB2312" w:cs="仿宋_GB2312" w:hAnsi="仿宋_GB2312" w:hint="eastAsia"/>
          <w:sz w:val="32"/>
          <w:szCs w:val="32"/>
          <w:lang w:eastAsia="zh-CN"/>
        </w:rPr>
        <w:t>…………………………………………………………</w:t>
      </w:r>
      <w:r>
        <w:rPr>
          <w:rFonts w:ascii="仿宋_GB2312" w:eastAsia="仿宋_GB2312" w:cs="仿宋_GB2312" w:hAnsi="仿宋_GB2312" w:hint="eastAsia"/>
          <w:sz w:val="32"/>
          <w:szCs w:val="32"/>
          <w:lang w:val="en-US" w:eastAsia="zh-CN"/>
        </w:rPr>
        <w:t>22</w:t>
      </w:r>
    </w:p>
    <w:p>
      <w:pPr>
        <w:pStyle w:val="21"/>
        <w:keepNext w:val="0"/>
        <w:keepLines w:val="0"/>
        <w:pageBreakBefore w:val="0"/>
        <w:widowControl w:val="0"/>
        <w:tabs>
          <w:tab w:val="right" w:leader="dot" w:pos="8296"/>
        </w:tabs>
        <w:kinsoku/>
        <w:wordWrap/>
        <w:overflowPunct/>
        <w:topLinePunct w:val="0"/>
        <w:autoSpaceDE/>
        <w:autoSpaceDN/>
        <w:bidi w:val="0"/>
        <w:adjustRightInd w:val="0"/>
        <w:snapToGrid w:val="0"/>
        <w:spacing w:line="580" w:lineRule="exact"/>
        <w:ind w:leftChars="0" w:left="0" w:firstLineChars="100" w:firstLine="320"/>
        <w:jc w:val="distribute"/>
        <w:textAlignment w:val="auto"/>
        <w:rPr>
          <w:rFonts w:ascii="仿宋_GB2312" w:eastAsia="仿宋_GB2312" w:cs="仿宋_GB2312" w:hAnsi="仿宋_GB2312"/>
          <w:sz w:val="32"/>
          <w:szCs w:val="32"/>
          <w:lang w:val="en-US"/>
        </w:rPr>
      </w:pPr>
      <w:r>
        <w:rPr>
          <w:rFonts w:ascii="仿宋_GB2312" w:eastAsia="仿宋_GB2312" w:cs="仿宋_GB2312" w:hAnsi="仿宋_GB2312" w:hint="eastAsia"/>
          <w:sz w:val="32"/>
          <w:szCs w:val="32"/>
        </w:rPr>
        <w:t>附件2</w:t>
      </w:r>
      <w:r>
        <w:rPr>
          <w:rFonts w:ascii="仿宋_GB2312" w:eastAsia="仿宋_GB2312" w:cs="仿宋_GB2312" w:hAnsi="仿宋_GB2312" w:hint="eastAsia"/>
          <w:sz w:val="32"/>
          <w:szCs w:val="32"/>
          <w:lang w:eastAsia="zh-CN"/>
        </w:rPr>
        <w:t>……………………………………………………………</w:t>
      </w:r>
      <w:r>
        <w:rPr>
          <w:rFonts w:ascii="仿宋_GB2312" w:eastAsia="仿宋_GB2312" w:cs="仿宋_GB2312" w:hAnsi="仿宋_GB2312" w:hint="eastAsia"/>
          <w:sz w:val="32"/>
          <w:szCs w:val="32"/>
          <w:lang w:val="en-US" w:eastAsia="zh-CN"/>
        </w:rPr>
        <w:t>26</w:t>
      </w:r>
    </w:p>
    <w:p>
      <w:pPr>
        <w:pStyle w:val="20"/>
        <w:keepNext w:val="0"/>
        <w:keepLines w:val="0"/>
        <w:pageBreakBefore w:val="0"/>
        <w:widowControl w:val="0"/>
        <w:tabs>
          <w:tab w:val="right" w:leader="dot" w:pos="8296"/>
        </w:tabs>
        <w:kinsoku/>
        <w:wordWrap/>
        <w:overflowPunct/>
        <w:topLinePunct w:val="0"/>
        <w:autoSpaceDE/>
        <w:autoSpaceDN/>
        <w:bidi w:val="0"/>
        <w:adjustRightInd w:val="0"/>
        <w:snapToGrid w:val="0"/>
        <w:spacing w:before="0" w:line="580" w:lineRule="exact"/>
        <w:ind w:left="0"/>
        <w:jc w:val="distribute"/>
        <w:textAlignment w:val="auto"/>
        <w:rPr>
          <w:rFonts w:ascii="黑体" w:eastAsia="黑体" w:cs="黑体" w:hAnsi="黑体"/>
          <w:sz w:val="32"/>
          <w:szCs w:val="32"/>
          <w:lang w:val="en-US"/>
        </w:rPr>
      </w:pPr>
      <w:r>
        <w:rPr>
          <w:rFonts w:ascii="黑体" w:eastAsia="黑体" w:cs="黑体" w:hAnsi="黑体" w:hint="eastAsia"/>
          <w:sz w:val="32"/>
          <w:szCs w:val="32"/>
        </w:rPr>
        <w:t>第五部分 附表</w:t>
      </w:r>
      <w:r>
        <w:rPr>
          <w:rFonts w:ascii="仿宋_GB2312" w:eastAsia="仿宋_GB2312" w:cs="仿宋_GB2312" w:hAnsi="仿宋_GB2312" w:hint="eastAsia"/>
          <w:sz w:val="32"/>
          <w:szCs w:val="32"/>
          <w:lang w:eastAsia="zh-CN"/>
        </w:rPr>
        <w:t>……………………………………………………</w:t>
      </w:r>
      <w:r>
        <w:rPr>
          <w:rFonts w:ascii="仿宋_GB2312" w:eastAsia="仿宋_GB2312" w:cs="仿宋_GB2312" w:hAnsi="仿宋_GB2312" w:hint="eastAsia"/>
          <w:sz w:val="32"/>
          <w:szCs w:val="32"/>
          <w:lang w:val="en-US" w:eastAsia="zh-CN"/>
        </w:rPr>
        <w:t>35</w:t>
      </w:r>
    </w:p>
    <w:p>
      <w:pPr>
        <w:pStyle w:val="21"/>
        <w:keepNext w:val="0"/>
        <w:keepLines w:val="0"/>
        <w:pageBreakBefore w:val="0"/>
        <w:widowControl w:val="0"/>
        <w:tabs>
          <w:tab w:val="right" w:leader="dot" w:pos="8296"/>
        </w:tabs>
        <w:kinsoku/>
        <w:wordWrap/>
        <w:overflowPunct/>
        <w:topLinePunct w:val="0"/>
        <w:autoSpaceDE/>
        <w:autoSpaceDN/>
        <w:bidi w:val="0"/>
        <w:adjustRightInd w:val="0"/>
        <w:snapToGrid w:val="0"/>
        <w:spacing w:line="580" w:lineRule="exact"/>
        <w:ind w:leftChars="0" w:left="0" w:firstLineChars="100" w:firstLine="320"/>
        <w:jc w:val="distribute"/>
        <w:textAlignment w:val="auto"/>
        <w:rPr>
          <w:rFonts w:ascii="仿宋_GB2312" w:eastAsia="仿宋_GB2312" w:cs="仿宋_GB2312" w:hAnsi="仿宋_GB2312"/>
          <w:sz w:val="32"/>
          <w:szCs w:val="32"/>
          <w:lang w:val="en-US"/>
        </w:rPr>
      </w:pPr>
      <w:r>
        <w:rPr>
          <w:rFonts w:ascii="仿宋_GB2312" w:eastAsia="仿宋_GB2312" w:cs="仿宋_GB2312" w:hAnsi="仿宋_GB2312" w:hint="eastAsia"/>
          <w:sz w:val="32"/>
          <w:szCs w:val="32"/>
        </w:rPr>
        <w:t>一、收入支出决算总表</w:t>
      </w:r>
      <w:r>
        <w:rPr>
          <w:rFonts w:ascii="仿宋_GB2312" w:eastAsia="仿宋_GB2312" w:cs="仿宋_GB2312" w:hAnsi="仿宋_GB2312" w:hint="eastAsia"/>
          <w:sz w:val="32"/>
          <w:szCs w:val="32"/>
          <w:lang w:eastAsia="zh-CN"/>
        </w:rPr>
        <w:t>…………………………………………</w:t>
      </w:r>
      <w:r>
        <w:rPr>
          <w:rFonts w:ascii="仿宋_GB2312" w:eastAsia="仿宋_GB2312" w:cs="仿宋_GB2312" w:hAnsi="仿宋_GB2312" w:hint="eastAsia"/>
          <w:sz w:val="32"/>
          <w:szCs w:val="32"/>
          <w:lang w:val="en-US" w:eastAsia="zh-CN"/>
        </w:rPr>
        <w:t>36</w:t>
      </w:r>
    </w:p>
    <w:p>
      <w:pPr>
        <w:pStyle w:val="21"/>
        <w:keepNext w:val="0"/>
        <w:keepLines w:val="0"/>
        <w:pageBreakBefore w:val="0"/>
        <w:widowControl w:val="0"/>
        <w:tabs>
          <w:tab w:val="right" w:leader="dot" w:pos="8296"/>
        </w:tabs>
        <w:kinsoku/>
        <w:wordWrap/>
        <w:overflowPunct/>
        <w:topLinePunct w:val="0"/>
        <w:autoSpaceDE/>
        <w:autoSpaceDN/>
        <w:bidi w:val="0"/>
        <w:adjustRightInd w:val="0"/>
        <w:snapToGrid w:val="0"/>
        <w:spacing w:line="580" w:lineRule="exact"/>
        <w:ind w:leftChars="0" w:left="0" w:firstLineChars="100" w:firstLine="320"/>
        <w:jc w:val="distribute"/>
        <w:textAlignment w:val="auto"/>
        <w:rPr>
          <w:rFonts w:ascii="仿宋_GB2312" w:eastAsia="仿宋_GB2312" w:cs="仿宋_GB2312" w:hAnsi="仿宋_GB2312"/>
          <w:sz w:val="32"/>
          <w:szCs w:val="32"/>
          <w:lang w:val="en-US"/>
        </w:rPr>
      </w:pPr>
      <w:r>
        <w:rPr>
          <w:rFonts w:ascii="仿宋_GB2312" w:eastAsia="仿宋_GB2312" w:cs="仿宋_GB2312" w:hAnsi="仿宋_GB2312" w:hint="eastAsia"/>
          <w:sz w:val="32"/>
          <w:szCs w:val="32"/>
        </w:rPr>
        <w:t>二、收入决算表</w:t>
      </w:r>
      <w:r>
        <w:rPr>
          <w:rFonts w:ascii="仿宋_GB2312" w:eastAsia="仿宋_GB2312" w:cs="仿宋_GB2312" w:hAnsi="仿宋_GB2312" w:hint="eastAsia"/>
          <w:sz w:val="32"/>
          <w:szCs w:val="32"/>
          <w:lang w:eastAsia="zh-CN"/>
        </w:rPr>
        <w:t>…………………………………………………</w:t>
      </w:r>
      <w:r>
        <w:rPr>
          <w:rFonts w:ascii="仿宋_GB2312" w:eastAsia="仿宋_GB2312" w:cs="仿宋_GB2312" w:hAnsi="仿宋_GB2312" w:hint="eastAsia"/>
          <w:sz w:val="32"/>
          <w:szCs w:val="32"/>
          <w:lang w:val="en-US" w:eastAsia="zh-CN"/>
        </w:rPr>
        <w:t>37</w:t>
      </w:r>
    </w:p>
    <w:p>
      <w:pPr>
        <w:pStyle w:val="21"/>
        <w:keepNext w:val="0"/>
        <w:keepLines w:val="0"/>
        <w:pageBreakBefore w:val="0"/>
        <w:widowControl w:val="0"/>
        <w:tabs>
          <w:tab w:val="right" w:leader="dot" w:pos="8296"/>
        </w:tabs>
        <w:kinsoku/>
        <w:wordWrap/>
        <w:overflowPunct/>
        <w:topLinePunct w:val="0"/>
        <w:autoSpaceDE/>
        <w:autoSpaceDN/>
        <w:bidi w:val="0"/>
        <w:adjustRightInd w:val="0"/>
        <w:snapToGrid w:val="0"/>
        <w:spacing w:line="580" w:lineRule="exact"/>
        <w:ind w:leftChars="0" w:left="0" w:firstLineChars="100" w:firstLine="320"/>
        <w:jc w:val="distribute"/>
        <w:textAlignment w:val="auto"/>
        <w:rPr>
          <w:rFonts w:ascii="仿宋_GB2312" w:eastAsia="仿宋_GB2312" w:cs="仿宋_GB2312" w:hAnsi="仿宋_GB2312"/>
          <w:sz w:val="32"/>
          <w:szCs w:val="32"/>
          <w:lang w:val="en-US"/>
        </w:rPr>
      </w:pPr>
      <w:r>
        <w:rPr>
          <w:rFonts w:ascii="仿宋_GB2312" w:eastAsia="仿宋_GB2312" w:cs="仿宋_GB2312" w:hAnsi="仿宋_GB2312" w:hint="eastAsia"/>
          <w:sz w:val="32"/>
          <w:szCs w:val="32"/>
        </w:rPr>
        <w:t>三、支出决算表</w:t>
      </w:r>
      <w:r>
        <w:rPr>
          <w:rFonts w:ascii="仿宋_GB2312" w:eastAsia="仿宋_GB2312" w:cs="仿宋_GB2312" w:hAnsi="仿宋_GB2312" w:hint="eastAsia"/>
          <w:sz w:val="32"/>
          <w:szCs w:val="32"/>
          <w:lang w:eastAsia="zh-CN"/>
        </w:rPr>
        <w:t>…………………………………………………</w:t>
      </w:r>
      <w:r>
        <w:rPr>
          <w:rFonts w:ascii="仿宋_GB2312" w:eastAsia="仿宋_GB2312" w:cs="仿宋_GB2312" w:hAnsi="仿宋_GB2312" w:hint="eastAsia"/>
          <w:sz w:val="32"/>
          <w:szCs w:val="32"/>
          <w:lang w:val="en-US" w:eastAsia="zh-CN"/>
        </w:rPr>
        <w:t>38</w:t>
      </w:r>
    </w:p>
    <w:p>
      <w:pPr>
        <w:pStyle w:val="21"/>
        <w:keepNext w:val="0"/>
        <w:keepLines w:val="0"/>
        <w:pageBreakBefore w:val="0"/>
        <w:widowControl w:val="0"/>
        <w:tabs>
          <w:tab w:val="right" w:leader="dot" w:pos="8296"/>
        </w:tabs>
        <w:kinsoku/>
        <w:wordWrap/>
        <w:overflowPunct/>
        <w:topLinePunct w:val="0"/>
        <w:autoSpaceDE/>
        <w:autoSpaceDN/>
        <w:bidi w:val="0"/>
        <w:adjustRightInd w:val="0"/>
        <w:snapToGrid w:val="0"/>
        <w:spacing w:line="580" w:lineRule="exact"/>
        <w:ind w:leftChars="0" w:left="0" w:firstLineChars="100" w:firstLine="320"/>
        <w:jc w:val="distribute"/>
        <w:textAlignment w:val="auto"/>
        <w:rPr>
          <w:rFonts w:ascii="仿宋_GB2312" w:eastAsia="仿宋_GB2312" w:cs="仿宋_GB2312" w:hAnsi="仿宋_GB2312"/>
          <w:sz w:val="32"/>
          <w:szCs w:val="32"/>
          <w:lang w:val="en-US"/>
        </w:rPr>
      </w:pPr>
      <w:r>
        <w:rPr>
          <w:rFonts w:ascii="仿宋_GB2312" w:eastAsia="仿宋_GB2312" w:cs="仿宋_GB2312" w:hAnsi="仿宋_GB2312" w:hint="eastAsia"/>
          <w:sz w:val="32"/>
          <w:szCs w:val="32"/>
        </w:rPr>
        <w:t>四、财政拨款收入支出决算总表</w:t>
      </w:r>
      <w:r>
        <w:rPr>
          <w:rFonts w:ascii="仿宋_GB2312" w:eastAsia="仿宋_GB2312" w:cs="仿宋_GB2312" w:hAnsi="仿宋_GB2312" w:hint="eastAsia"/>
          <w:sz w:val="32"/>
          <w:szCs w:val="32"/>
          <w:lang w:eastAsia="zh-CN"/>
        </w:rPr>
        <w:t>………………………………</w:t>
      </w:r>
      <w:r>
        <w:rPr>
          <w:rFonts w:ascii="仿宋_GB2312" w:eastAsia="仿宋_GB2312" w:cs="仿宋_GB2312" w:hAnsi="仿宋_GB2312" w:hint="eastAsia"/>
          <w:sz w:val="32"/>
          <w:szCs w:val="32"/>
          <w:lang w:val="en-US" w:eastAsia="zh-CN"/>
        </w:rPr>
        <w:t>40</w:t>
      </w:r>
    </w:p>
    <w:p>
      <w:pPr>
        <w:pStyle w:val="21"/>
        <w:keepNext w:val="0"/>
        <w:keepLines w:val="0"/>
        <w:pageBreakBefore w:val="0"/>
        <w:widowControl w:val="0"/>
        <w:tabs>
          <w:tab w:val="right" w:leader="dot" w:pos="8296"/>
        </w:tabs>
        <w:kinsoku/>
        <w:wordWrap/>
        <w:overflowPunct/>
        <w:topLinePunct w:val="0"/>
        <w:autoSpaceDE/>
        <w:autoSpaceDN/>
        <w:bidi w:val="0"/>
        <w:adjustRightInd w:val="0"/>
        <w:snapToGrid w:val="0"/>
        <w:spacing w:line="580" w:lineRule="exact"/>
        <w:ind w:leftChars="0" w:left="0" w:firstLineChars="100" w:firstLine="320"/>
        <w:jc w:val="distribute"/>
        <w:textAlignment w:val="auto"/>
        <w:rPr>
          <w:rFonts w:ascii="仿宋_GB2312" w:eastAsia="仿宋_GB2312" w:cs="仿宋_GB2312" w:hAnsi="仿宋_GB2312"/>
          <w:sz w:val="32"/>
          <w:szCs w:val="32"/>
          <w:lang w:val="en-US"/>
        </w:rPr>
      </w:pPr>
      <w:r>
        <w:rPr>
          <w:rFonts w:ascii="仿宋_GB2312" w:eastAsia="仿宋_GB2312" w:cs="仿宋_GB2312" w:hAnsi="仿宋_GB2312" w:hint="eastAsia"/>
          <w:sz w:val="32"/>
          <w:szCs w:val="32"/>
        </w:rPr>
        <w:t>五、财政拨款支出决算明细表</w:t>
      </w:r>
      <w:r>
        <w:rPr>
          <w:rFonts w:ascii="仿宋_GB2312" w:eastAsia="仿宋_GB2312" w:cs="仿宋_GB2312" w:hAnsi="仿宋_GB2312" w:hint="eastAsia"/>
          <w:sz w:val="32"/>
          <w:szCs w:val="32"/>
          <w:lang w:eastAsia="zh-CN"/>
        </w:rPr>
        <w:t>…………………………………</w:t>
      </w:r>
      <w:r>
        <w:rPr>
          <w:rFonts w:ascii="仿宋_GB2312" w:eastAsia="仿宋_GB2312" w:cs="仿宋_GB2312" w:hAnsi="仿宋_GB2312" w:hint="eastAsia"/>
          <w:sz w:val="32"/>
          <w:szCs w:val="32"/>
          <w:lang w:val="en-US" w:eastAsia="zh-CN"/>
        </w:rPr>
        <w:t>41</w:t>
      </w:r>
    </w:p>
    <w:p>
      <w:pPr>
        <w:pStyle w:val="21"/>
        <w:keepNext w:val="0"/>
        <w:keepLines w:val="0"/>
        <w:pageBreakBefore w:val="0"/>
        <w:widowControl w:val="0"/>
        <w:tabs>
          <w:tab w:val="right" w:leader="dot" w:pos="8296"/>
        </w:tabs>
        <w:kinsoku/>
        <w:wordWrap/>
        <w:overflowPunct/>
        <w:topLinePunct w:val="0"/>
        <w:autoSpaceDE/>
        <w:autoSpaceDN/>
        <w:bidi w:val="0"/>
        <w:adjustRightInd w:val="0"/>
        <w:snapToGrid w:val="0"/>
        <w:spacing w:line="580" w:lineRule="exact"/>
        <w:ind w:leftChars="0" w:left="0" w:firstLineChars="100" w:firstLine="320"/>
        <w:jc w:val="distribute"/>
        <w:textAlignment w:val="auto"/>
        <w:rPr>
          <w:rFonts w:ascii="仿宋_GB2312" w:eastAsia="仿宋_GB2312" w:cs="仿宋_GB2312" w:hAnsi="仿宋_GB2312"/>
          <w:sz w:val="32"/>
          <w:szCs w:val="32"/>
          <w:lang w:val="en-US"/>
        </w:rPr>
      </w:pPr>
      <w:r>
        <w:rPr>
          <w:rFonts w:ascii="仿宋_GB2312" w:eastAsia="仿宋_GB2312" w:cs="仿宋_GB2312" w:hAnsi="仿宋_GB2312" w:hint="eastAsia"/>
          <w:sz w:val="32"/>
          <w:szCs w:val="32"/>
        </w:rPr>
        <w:t>六、一般公共预算财政拨款支出决算表</w:t>
      </w:r>
      <w:r>
        <w:rPr>
          <w:rFonts w:ascii="仿宋_GB2312" w:eastAsia="仿宋_GB2312" w:cs="仿宋_GB2312" w:hAnsi="仿宋_GB2312" w:hint="eastAsia"/>
          <w:sz w:val="32"/>
          <w:szCs w:val="32"/>
          <w:lang w:eastAsia="zh-CN"/>
        </w:rPr>
        <w:t>………………………</w:t>
      </w:r>
      <w:r>
        <w:rPr>
          <w:rFonts w:ascii="仿宋_GB2312" w:eastAsia="仿宋_GB2312" w:cs="仿宋_GB2312" w:hAnsi="仿宋_GB2312" w:hint="eastAsia"/>
          <w:sz w:val="32"/>
          <w:szCs w:val="32"/>
          <w:lang w:val="en-US" w:eastAsia="zh-CN"/>
        </w:rPr>
        <w:t>45</w:t>
      </w:r>
    </w:p>
    <w:p>
      <w:pPr>
        <w:pStyle w:val="21"/>
        <w:keepNext w:val="0"/>
        <w:keepLines w:val="0"/>
        <w:pageBreakBefore w:val="0"/>
        <w:widowControl w:val="0"/>
        <w:tabs>
          <w:tab w:val="right" w:leader="dot" w:pos="8296"/>
        </w:tabs>
        <w:kinsoku/>
        <w:wordWrap/>
        <w:overflowPunct/>
        <w:topLinePunct w:val="0"/>
        <w:autoSpaceDE/>
        <w:autoSpaceDN/>
        <w:bidi w:val="0"/>
        <w:adjustRightInd w:val="0"/>
        <w:snapToGrid w:val="0"/>
        <w:spacing w:line="580" w:lineRule="exact"/>
        <w:ind w:leftChars="0" w:left="0" w:firstLineChars="100" w:firstLine="320"/>
        <w:jc w:val="distribute"/>
        <w:textAlignment w:val="auto"/>
        <w:rPr>
          <w:rFonts w:ascii="仿宋_GB2312" w:eastAsia="仿宋_GB2312" w:cs="仿宋_GB2312" w:hAnsi="仿宋_GB2312"/>
          <w:sz w:val="32"/>
          <w:szCs w:val="32"/>
          <w:lang w:val="en-US"/>
        </w:rPr>
      </w:pPr>
      <w:r>
        <w:rPr>
          <w:rFonts w:ascii="仿宋_GB2312" w:eastAsia="仿宋_GB2312" w:cs="仿宋_GB2312" w:hAnsi="仿宋_GB2312" w:hint="eastAsia"/>
          <w:sz w:val="32"/>
          <w:szCs w:val="32"/>
        </w:rPr>
        <w:t>七、一般公共预算财政拨款支出决算明细表</w:t>
      </w:r>
      <w:r>
        <w:rPr>
          <w:rFonts w:ascii="仿宋_GB2312" w:eastAsia="仿宋_GB2312" w:cs="仿宋_GB2312" w:hAnsi="仿宋_GB2312" w:hint="eastAsia"/>
          <w:sz w:val="32"/>
          <w:szCs w:val="32"/>
          <w:lang w:eastAsia="zh-CN"/>
        </w:rPr>
        <w:t>…………………</w:t>
      </w:r>
      <w:r>
        <w:rPr>
          <w:rFonts w:ascii="仿宋_GB2312" w:eastAsia="仿宋_GB2312" w:cs="仿宋_GB2312" w:hAnsi="仿宋_GB2312" w:hint="eastAsia"/>
          <w:sz w:val="32"/>
          <w:szCs w:val="32"/>
          <w:lang w:val="en-US" w:eastAsia="zh-CN"/>
        </w:rPr>
        <w:t>58</w:t>
      </w:r>
    </w:p>
    <w:p>
      <w:pPr>
        <w:pStyle w:val="21"/>
        <w:keepNext w:val="0"/>
        <w:keepLines w:val="0"/>
        <w:pageBreakBefore w:val="0"/>
        <w:widowControl w:val="0"/>
        <w:tabs>
          <w:tab w:val="right" w:leader="dot" w:pos="8296"/>
        </w:tabs>
        <w:kinsoku/>
        <w:wordWrap/>
        <w:overflowPunct/>
        <w:topLinePunct w:val="0"/>
        <w:autoSpaceDE/>
        <w:autoSpaceDN/>
        <w:bidi w:val="0"/>
        <w:adjustRightInd w:val="0"/>
        <w:snapToGrid w:val="0"/>
        <w:spacing w:line="580" w:lineRule="exact"/>
        <w:ind w:leftChars="0" w:left="0" w:firstLineChars="100" w:firstLine="320"/>
        <w:jc w:val="distribute"/>
        <w:textAlignment w:val="auto"/>
        <w:rPr>
          <w:rFonts w:ascii="仿宋_GB2312" w:eastAsia="仿宋_GB2312" w:cs="仿宋_GB2312" w:hAnsi="仿宋_GB2312"/>
          <w:sz w:val="32"/>
          <w:szCs w:val="32"/>
          <w:lang w:val="en-US"/>
        </w:rPr>
      </w:pPr>
      <w:r>
        <w:rPr>
          <w:rFonts w:ascii="仿宋_GB2312" w:eastAsia="仿宋_GB2312" w:cs="仿宋_GB2312" w:hAnsi="仿宋_GB2312" w:hint="eastAsia"/>
          <w:sz w:val="32"/>
          <w:szCs w:val="32"/>
        </w:rPr>
        <w:t>八、一般公共预算财政拨款基本支出决算表</w:t>
      </w:r>
      <w:r>
        <w:rPr>
          <w:rFonts w:ascii="仿宋_GB2312" w:eastAsia="仿宋_GB2312" w:cs="仿宋_GB2312" w:hAnsi="仿宋_GB2312" w:hint="eastAsia"/>
          <w:sz w:val="32"/>
          <w:szCs w:val="32"/>
          <w:lang w:eastAsia="zh-CN"/>
        </w:rPr>
        <w:t>…………………</w:t>
      </w:r>
      <w:r>
        <w:rPr>
          <w:rFonts w:ascii="仿宋_GB2312" w:eastAsia="仿宋_GB2312" w:cs="仿宋_GB2312" w:hAnsi="仿宋_GB2312" w:hint="eastAsia"/>
          <w:sz w:val="32"/>
          <w:szCs w:val="32"/>
          <w:lang w:val="en-US" w:eastAsia="zh-CN"/>
        </w:rPr>
        <w:t>59</w:t>
      </w:r>
    </w:p>
    <w:p>
      <w:pPr>
        <w:pStyle w:val="21"/>
        <w:keepNext w:val="0"/>
        <w:keepLines w:val="0"/>
        <w:pageBreakBefore w:val="0"/>
        <w:widowControl w:val="0"/>
        <w:tabs>
          <w:tab w:val="right" w:leader="dot" w:pos="8296"/>
        </w:tabs>
        <w:kinsoku/>
        <w:wordWrap/>
        <w:overflowPunct/>
        <w:topLinePunct w:val="0"/>
        <w:autoSpaceDE/>
        <w:autoSpaceDN/>
        <w:bidi w:val="0"/>
        <w:adjustRightInd w:val="0"/>
        <w:snapToGrid w:val="0"/>
        <w:spacing w:line="580" w:lineRule="exact"/>
        <w:ind w:leftChars="0" w:left="0" w:firstLineChars="100" w:firstLine="320"/>
        <w:jc w:val="distribute"/>
        <w:textAlignment w:val="auto"/>
        <w:rPr>
          <w:rFonts w:ascii="仿宋_GB2312" w:eastAsia="仿宋_GB2312" w:cs="仿宋_GB2312" w:hAnsi="仿宋_GB2312"/>
          <w:sz w:val="32"/>
          <w:szCs w:val="32"/>
          <w:lang w:val="en-US"/>
        </w:rPr>
      </w:pPr>
      <w:r>
        <w:rPr>
          <w:rFonts w:ascii="仿宋_GB2312" w:eastAsia="仿宋_GB2312" w:cs="仿宋_GB2312" w:hAnsi="仿宋_GB2312" w:hint="eastAsia"/>
          <w:sz w:val="32"/>
          <w:szCs w:val="32"/>
        </w:rPr>
        <w:t>九、一般公共预算财政拨款项目支出决算表</w:t>
      </w:r>
      <w:r>
        <w:rPr>
          <w:rFonts w:ascii="仿宋_GB2312" w:eastAsia="仿宋_GB2312" w:cs="仿宋_GB2312" w:hAnsi="仿宋_GB2312" w:hint="eastAsia"/>
          <w:sz w:val="32"/>
          <w:szCs w:val="32"/>
          <w:lang w:eastAsia="zh-CN"/>
        </w:rPr>
        <w:t>…………………</w:t>
      </w:r>
      <w:r>
        <w:rPr>
          <w:rFonts w:ascii="仿宋_GB2312" w:eastAsia="仿宋_GB2312" w:cs="仿宋_GB2312" w:hAnsi="仿宋_GB2312" w:hint="eastAsia"/>
          <w:sz w:val="32"/>
          <w:szCs w:val="32"/>
          <w:lang w:val="en-US" w:eastAsia="zh-CN"/>
        </w:rPr>
        <w:t>60</w:t>
      </w:r>
    </w:p>
    <w:p>
      <w:pPr>
        <w:pStyle w:val="21"/>
        <w:keepNext w:val="0"/>
        <w:keepLines w:val="0"/>
        <w:pageBreakBefore w:val="0"/>
        <w:widowControl w:val="0"/>
        <w:tabs>
          <w:tab w:val="right" w:leader="dot" w:pos="8296"/>
        </w:tabs>
        <w:kinsoku/>
        <w:wordWrap/>
        <w:overflowPunct/>
        <w:topLinePunct w:val="0"/>
        <w:autoSpaceDE/>
        <w:autoSpaceDN/>
        <w:bidi w:val="0"/>
        <w:adjustRightInd w:val="0"/>
        <w:snapToGrid w:val="0"/>
        <w:spacing w:line="580" w:lineRule="exact"/>
        <w:ind w:leftChars="0" w:left="0" w:firstLineChars="100" w:firstLine="320"/>
        <w:jc w:val="distribute"/>
        <w:textAlignment w:val="auto"/>
        <w:rPr>
          <w:rFonts w:ascii="仿宋_GB2312" w:eastAsia="仿宋_GB2312" w:cs="仿宋_GB2312" w:hAnsi="仿宋_GB2312"/>
          <w:sz w:val="32"/>
          <w:szCs w:val="32"/>
          <w:lang w:val="en-US"/>
        </w:rPr>
      </w:pPr>
      <w:r>
        <w:rPr>
          <w:rFonts w:ascii="仿宋_GB2312" w:eastAsia="仿宋_GB2312" w:cs="仿宋_GB2312" w:hAnsi="仿宋_GB2312" w:hint="eastAsia"/>
          <w:sz w:val="32"/>
          <w:szCs w:val="32"/>
        </w:rPr>
        <w:t>十、一般公共预算财政拨款“三公”经费支出决算表</w:t>
      </w:r>
      <w:r>
        <w:rPr>
          <w:rFonts w:ascii="仿宋_GB2312" w:eastAsia="仿宋_GB2312" w:cs="仿宋_GB2312" w:hAnsi="仿宋_GB2312" w:hint="eastAsia"/>
          <w:sz w:val="32"/>
          <w:szCs w:val="32"/>
          <w:lang w:eastAsia="zh-CN"/>
        </w:rPr>
        <w:t>………</w:t>
      </w:r>
      <w:r>
        <w:rPr>
          <w:rFonts w:ascii="仿宋_GB2312" w:eastAsia="仿宋_GB2312" w:cs="仿宋_GB2312" w:hAnsi="仿宋_GB2312" w:hint="eastAsia"/>
          <w:sz w:val="32"/>
          <w:szCs w:val="32"/>
          <w:lang w:val="en-US" w:eastAsia="zh-CN"/>
        </w:rPr>
        <w:t>61</w:t>
      </w:r>
    </w:p>
    <w:p>
      <w:pPr>
        <w:pStyle w:val="21"/>
        <w:keepNext w:val="0"/>
        <w:keepLines w:val="0"/>
        <w:pageBreakBefore w:val="0"/>
        <w:widowControl w:val="0"/>
        <w:tabs>
          <w:tab w:val="right" w:leader="dot" w:pos="8296"/>
        </w:tabs>
        <w:kinsoku/>
        <w:wordWrap/>
        <w:overflowPunct/>
        <w:topLinePunct w:val="0"/>
        <w:autoSpaceDE/>
        <w:autoSpaceDN/>
        <w:bidi w:val="0"/>
        <w:adjustRightInd w:val="0"/>
        <w:snapToGrid w:val="0"/>
        <w:spacing w:line="580" w:lineRule="exact"/>
        <w:ind w:leftChars="0" w:left="0" w:firstLineChars="100" w:firstLine="320"/>
        <w:jc w:val="distribute"/>
        <w:textAlignment w:val="auto"/>
        <w:rPr>
          <w:rFonts w:ascii="仿宋_GB2312" w:eastAsia="仿宋_GB2312" w:cs="仿宋_GB2312" w:hAnsi="仿宋_GB2312"/>
          <w:sz w:val="32"/>
          <w:szCs w:val="32"/>
          <w:lang w:val="en-US"/>
        </w:rPr>
      </w:pPr>
      <w:r>
        <w:rPr>
          <w:rFonts w:ascii="仿宋_GB2312" w:eastAsia="仿宋_GB2312" w:cs="仿宋_GB2312" w:hAnsi="仿宋_GB2312" w:hint="eastAsia"/>
          <w:sz w:val="32"/>
          <w:szCs w:val="32"/>
        </w:rPr>
        <w:t>十一、政府性基金预算财政拨款收入支出决算表</w:t>
      </w:r>
      <w:r>
        <w:rPr>
          <w:rFonts w:ascii="仿宋_GB2312" w:eastAsia="仿宋_GB2312" w:cs="仿宋_GB2312" w:hAnsi="仿宋_GB2312" w:hint="eastAsia"/>
          <w:sz w:val="32"/>
          <w:szCs w:val="32"/>
          <w:lang w:eastAsia="zh-CN"/>
        </w:rPr>
        <w:t>……………</w:t>
      </w:r>
      <w:r>
        <w:rPr>
          <w:rFonts w:ascii="仿宋_GB2312" w:eastAsia="仿宋_GB2312" w:cs="仿宋_GB2312" w:hAnsi="仿宋_GB2312" w:hint="eastAsia"/>
          <w:sz w:val="32"/>
          <w:szCs w:val="32"/>
          <w:lang w:val="en-US" w:eastAsia="zh-CN"/>
        </w:rPr>
        <w:t>62</w:t>
      </w:r>
    </w:p>
    <w:p>
      <w:pPr>
        <w:pStyle w:val="21"/>
        <w:keepNext w:val="0"/>
        <w:keepLines w:val="0"/>
        <w:pageBreakBefore w:val="0"/>
        <w:widowControl w:val="0"/>
        <w:tabs>
          <w:tab w:val="right" w:leader="dot" w:pos="8296"/>
        </w:tabs>
        <w:kinsoku/>
        <w:wordWrap/>
        <w:overflowPunct/>
        <w:topLinePunct w:val="0"/>
        <w:autoSpaceDE/>
        <w:autoSpaceDN/>
        <w:bidi w:val="0"/>
        <w:adjustRightInd w:val="0"/>
        <w:snapToGrid w:val="0"/>
        <w:spacing w:line="580" w:lineRule="exact"/>
        <w:ind w:leftChars="0" w:left="0" w:firstLineChars="100" w:firstLine="320"/>
        <w:jc w:val="distribute"/>
        <w:textAlignment w:val="auto"/>
        <w:rPr>
          <w:rFonts w:ascii="仿宋_GB2312" w:eastAsia="仿宋_GB2312" w:cs="仿宋_GB2312" w:hAnsi="仿宋_GB2312"/>
          <w:sz w:val="32"/>
          <w:szCs w:val="32"/>
          <w:lang w:val="en-US"/>
        </w:rPr>
      </w:pPr>
      <w:r>
        <w:rPr>
          <w:rFonts w:ascii="仿宋_GB2312" w:eastAsia="仿宋_GB2312" w:cs="仿宋_GB2312" w:hAnsi="仿宋_GB2312" w:hint="eastAsia"/>
          <w:sz w:val="32"/>
          <w:szCs w:val="32"/>
        </w:rPr>
        <w:t>十二、政府性基金预算财政拨款“三公”经费支出决算表</w:t>
      </w:r>
      <w:r>
        <w:rPr>
          <w:rFonts w:ascii="仿宋_GB2312" w:eastAsia="仿宋_GB2312" w:cs="仿宋_GB2312" w:hAnsi="仿宋_GB2312" w:hint="eastAsia"/>
          <w:sz w:val="32"/>
          <w:szCs w:val="32"/>
          <w:lang w:eastAsia="zh-CN"/>
        </w:rPr>
        <w:t>…</w:t>
      </w:r>
      <w:r>
        <w:rPr>
          <w:rFonts w:ascii="仿宋_GB2312" w:eastAsia="仿宋_GB2312" w:cs="仿宋_GB2312" w:hAnsi="仿宋_GB2312" w:hint="eastAsia"/>
          <w:sz w:val="32"/>
          <w:szCs w:val="32"/>
          <w:lang w:val="en-US" w:eastAsia="zh-CN"/>
        </w:rPr>
        <w:t>63</w:t>
      </w:r>
    </w:p>
    <w:p>
      <w:pPr>
        <w:pStyle w:val="21"/>
        <w:keepNext w:val="0"/>
        <w:keepLines w:val="0"/>
        <w:pageBreakBefore w:val="0"/>
        <w:widowControl w:val="0"/>
        <w:tabs>
          <w:tab w:val="right" w:leader="dot" w:pos="8296"/>
        </w:tabs>
        <w:kinsoku/>
        <w:wordWrap/>
        <w:overflowPunct/>
        <w:topLinePunct w:val="0"/>
        <w:autoSpaceDE/>
        <w:autoSpaceDN/>
        <w:bidi w:val="0"/>
        <w:adjustRightInd w:val="0"/>
        <w:snapToGrid w:val="0"/>
        <w:spacing w:line="580" w:lineRule="exact"/>
        <w:ind w:leftChars="0" w:left="0" w:firstLineChars="100" w:firstLine="320"/>
        <w:jc w:val="distribute"/>
        <w:textAlignment w:val="auto"/>
        <w:rPr>
          <w:rFonts w:ascii="仿宋_GB2312" w:eastAsia="仿宋_GB2312" w:cs="仿宋_GB2312" w:hAnsi="仿宋_GB2312"/>
          <w:sz w:val="32"/>
          <w:szCs w:val="32"/>
          <w:lang w:val="en-US"/>
        </w:rPr>
      </w:pPr>
      <w:r>
        <w:rPr>
          <w:rFonts w:ascii="仿宋_GB2312" w:eastAsia="仿宋_GB2312" w:cs="仿宋_GB2312" w:hAnsi="仿宋_GB2312" w:hint="eastAsia"/>
          <w:sz w:val="32"/>
          <w:szCs w:val="32"/>
        </w:rPr>
        <w:t>十三、国有资本经营预算支出决算表</w:t>
      </w:r>
      <w:r>
        <w:rPr>
          <w:rFonts w:ascii="仿宋_GB2312" w:eastAsia="仿宋_GB2312" w:cs="仿宋_GB2312" w:hAnsi="仿宋_GB2312" w:hint="eastAsia"/>
          <w:sz w:val="32"/>
          <w:szCs w:val="32"/>
          <w:lang w:eastAsia="zh-CN"/>
        </w:rPr>
        <w:t>…………………………</w:t>
      </w:r>
      <w:r>
        <w:rPr>
          <w:rFonts w:ascii="仿宋_GB2312" w:eastAsia="仿宋_GB2312" w:cs="仿宋_GB2312" w:hAnsi="仿宋_GB2312" w:hint="eastAsia"/>
          <w:sz w:val="32"/>
          <w:szCs w:val="32"/>
          <w:lang w:val="en-US" w:eastAsia="zh-CN"/>
        </w:rPr>
        <w:t>64</w:t>
      </w:r>
    </w:p>
    <w:p>
      <w:pPr>
        <w:keepNext w:val="0"/>
        <w:keepLines w:val="0"/>
        <w:pageBreakBefore w:val="0"/>
        <w:widowControl/>
        <w:kinsoku/>
        <w:wordWrap/>
        <w:overflowPunct/>
        <w:topLinePunct w:val="0"/>
        <w:autoSpaceDE/>
        <w:autoSpaceDN/>
        <w:bidi w:val="0"/>
        <w:spacing w:line="580" w:lineRule="exact"/>
        <w:ind w:left="0"/>
        <w:jc w:val="left"/>
        <w:textAlignment w:val="auto"/>
        <w:rPr>
          <w:rFonts w:ascii="仿宋_GB2312" w:eastAsia="仿宋_GB2312" w:cs="仿宋_GB2312" w:hAnsi="仿宋_GB2312" w:hint="eastAsia"/>
          <w:b/>
          <w:sz w:val="32"/>
          <w:szCs w:val="32"/>
        </w:rPr>
        <w:sectPr>
          <w:headerReference w:type="default" r:id="rId2"/>
          <w:footerReference w:type="default" r:id="rId3"/>
          <w:footerReference w:type="first" r:id="rId4"/>
          <w:pgSz w:w="11906" w:h="16838"/>
          <w:pgMar w:top="2098" w:right="1474" w:bottom="1984" w:left="1587" w:header="851" w:footer="992" w:gutter="0"/>
          <w:pgNumType w:start="1"/>
          <w:cols w:num="1" w:space="425"/>
          <w:titlePg/>
          <w:docGrid w:type="lines" w:linePitch="312" w:charSpace="0"/>
        </w:sectPr>
      </w:pPr>
      <w:bookmarkStart w:id="13" w:name="_Toc15377196"/>
      <w:bookmarkStart w:id="14" w:name="_Toc15396599"/>
      <w:r>
        <w:rPr>
          <w:sz w:val="36"/>
        </w:rPr>
        <mc:AlternateContent>
          <mc:Choice Requires="wps">
            <w:drawing>
              <wp:anchor distT="0" distB="0" distL="114298" distR="114298" simplePos="0" relativeHeight="45" behindDoc="0" locked="0" layoutInCell="1" hidden="0" allowOverlap="1">
                <wp:simplePos x="0" y="0"/>
                <wp:positionH relativeFrom="column">
                  <wp:posOffset>3811270</wp:posOffset>
                </wp:positionH>
                <wp:positionV relativeFrom="paragraph">
                  <wp:posOffset>2564764</wp:posOffset>
                </wp:positionV>
                <wp:extent cx="2019300" cy="685800"/>
                <wp:effectExtent l="0" t="0" r="0" b="0"/>
                <wp:wrapNone/>
                <wp:docPr id="11" name="_x0000_s1028"/>
                <wp:cNvGraphicFramePr>
                  <a:graphicFrameLocks noChangeAspect="0"/>
                </wp:cNvGraphicFramePr>
                <a:graphic>
                  <a:graphicData uri="http://schemas.microsoft.com/office/word/2010/wordprocessingShape">
                    <wps:wsp>
                      <wps:cNvSpPr/>
                      <wps:spPr>
                        <a:xfrm rot="0">
                          <a:off x="0" y="0"/>
                          <a:ext cx="2019300" cy="685800"/>
                        </a:xfrm>
                        <a:prstGeom prst="rect"/>
                        <a:solidFill>
                          <a:srgbClr val="FFFFFF"/>
                        </a:solidFill>
                        <a:ln w="9525" cmpd="sng" cap="flat">
                          <a:solidFill>
                            <a:srgbClr val="FFFFFF"/>
                          </a:solidFill>
                          <a:prstDash val="solid"/>
                          <a:miter/>
                        </a:ln>
                      </wps:spPr>
                      <wps:bodyPr vert="horz" wrap="square" lIns="91440" tIns="45720" rIns="91440" bIns="45720" anchor="t" anchorCtr="0" upright="1">
                        <a:noAutofit/>
                      </wps:bodyPr>
                    </wps:wsp>
                  </a:graphicData>
                </a:graphic>
              </wp:anchor>
            </w:drawing>
          </mc:Choice>
          <mc:Fallback>
            <w:pict>
              <v:rect type="#_x0000_t1" id="_x0000_s1028 12" o:spid="_x0000_s12" fillcolor="#FFFFFF" stroked="t" style="position:absolute;margin-left:300.1pt;margin-top:201.94998pt;width:159.00003pt;height:54.0pt;z-index:45;mso-position-horizontal:absolute;mso-position-vertical:absolute;mso-wrap-distance-left:8.999863pt;mso-wrap-distance-right:8.999863pt;">
                <v:stroke color="#FFFFFF"/>
              </v:rect>
            </w:pict>
          </mc:Fallback>
        </mc:AlternateContent>
      </w:r>
    </w:p>
    <w:p>
      <w:pPr>
        <w:pStyle w:val="1"/>
        <w:jc w:val="center"/>
        <w:rPr>
          <w:rStyle w:val="1Char"/>
          <w:rFonts w:ascii="黑体" w:eastAsia="黑体" w:hAnsi="黑体"/>
          <w:b/>
          <w:bCs w:val="0"/>
        </w:rPr>
      </w:pPr>
      <w:r>
        <w:rPr>
          <w:rFonts w:ascii="黑体" w:eastAsia="黑体" w:hAnsi="黑体" w:hint="eastAsia"/>
          <w:b w:val="0"/>
        </w:rPr>
        <w:t xml:space="preserve">第一部分 </w:t>
      </w:r>
      <w:r>
        <w:rPr>
          <w:rStyle w:val="1Char"/>
          <w:rFonts w:ascii="黑体" w:eastAsia="黑体" w:hAnsi="黑体" w:hint="eastAsia"/>
          <w:b w:val="0"/>
          <w:bCs w:val="0"/>
        </w:rPr>
        <w:t>部门概况</w:t>
      </w:r>
      <w:bookmarkEnd w:id="13"/>
      <w:bookmarkEnd w:id="14"/>
    </w:p>
    <w:p>
      <w:pPr>
        <w:widowControl/>
        <w:jc w:val="left"/>
        <w:rPr>
          <w:rFonts w:ascii="黑体" w:eastAsia="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Chars="200" w:firstLine="640"/>
        <w:textAlignment w:val="auto"/>
        <w:rPr>
          <w:rFonts w:ascii="黑体" w:eastAsia="黑体" w:cs="黑体" w:hAnsi="黑体" w:hint="eastAsia"/>
          <w:sz w:val="32"/>
          <w:szCs w:val="32"/>
        </w:rPr>
      </w:pPr>
      <w:bookmarkStart w:id="15" w:name="_Toc15396600"/>
      <w:bookmarkStart w:id="16" w:name="_Toc15377197"/>
      <w:r>
        <w:rPr>
          <w:rFonts w:ascii="黑体" w:eastAsia="黑体" w:cs="黑体" w:hAnsi="黑体" w:hint="eastAsia"/>
          <w:sz w:val="32"/>
          <w:szCs w:val="32"/>
        </w:rPr>
        <w:t>一、基本职能及主要工作</w:t>
      </w:r>
      <w:bookmarkEnd w:id="15"/>
      <w:bookmarkEnd w:id="16"/>
    </w:p>
    <w:p>
      <w:pPr>
        <w:keepNext w:val="0"/>
        <w:keepLines w:val="0"/>
        <w:pageBreakBefore w:val="0"/>
        <w:widowControl w:val="0"/>
        <w:kinsoku/>
        <w:wordWrap/>
        <w:overflowPunct/>
        <w:topLinePunct w:val="0"/>
        <w:autoSpaceDE/>
        <w:autoSpaceDN/>
        <w:bidi w:val="0"/>
        <w:adjustRightInd/>
        <w:snapToGrid/>
        <w:spacing w:line="576" w:lineRule="exact"/>
        <w:ind w:firstLineChars="200" w:firstLine="640"/>
        <w:textAlignment w:val="auto"/>
        <w:rPr>
          <w:rFonts w:ascii="华文楷体" w:eastAsia="华文楷体" w:cs="华文楷体" w:hAnsi="华文楷体" w:hint="eastAsia"/>
          <w:sz w:val="32"/>
          <w:szCs w:val="32"/>
        </w:rPr>
      </w:pPr>
      <w:bookmarkStart w:id="17" w:name="_Toc15378445"/>
      <w:bookmarkStart w:id="18" w:name="_Toc15377198"/>
      <w:r>
        <w:rPr>
          <w:rFonts w:ascii="华文楷体" w:eastAsia="华文楷体" w:cs="华文楷体" w:hAnsi="华文楷体" w:hint="eastAsia"/>
          <w:sz w:val="32"/>
          <w:szCs w:val="32"/>
        </w:rPr>
        <w:t>（一）主要职能</w:t>
      </w:r>
      <w:bookmarkStart w:id="19" w:name="_Toc15377199"/>
      <w:bookmarkStart w:id="20" w:name="_Toc15378446"/>
      <w:bookmarkEnd w:id="17"/>
      <w:bookmarkEnd w:id="18"/>
    </w:p>
    <w:p>
      <w:pPr>
        <w:keepNext w:val="0"/>
        <w:keepLines w:val="0"/>
        <w:pageBreakBefore w:val="0"/>
        <w:widowControl w:val="0"/>
        <w:kinsoku/>
        <w:wordWrap/>
        <w:overflowPunct/>
        <w:topLinePunct w:val="0"/>
        <w:autoSpaceDE/>
        <w:autoSpaceDN/>
        <w:bidi w:val="0"/>
        <w:adjustRightInd/>
        <w:snapToGrid/>
        <w:spacing w:line="576" w:lineRule="exact"/>
        <w:ind w:firstLineChars="200" w:firstLine="640"/>
        <w:textAlignment w:val="auto"/>
        <w:rPr>
          <w:rFonts w:ascii="仿宋" w:eastAsia="仿宋" w:cs="仿宋" w:hAnsi="仿宋" w:hint="eastAsia"/>
          <w:sz w:val="32"/>
          <w:szCs w:val="32"/>
        </w:rPr>
      </w:pPr>
      <w:r>
        <w:rPr>
          <w:rFonts w:ascii="仿宋" w:eastAsia="仿宋" w:cs="仿宋" w:hAnsi="仿宋" w:hint="eastAsia"/>
          <w:sz w:val="32"/>
          <w:szCs w:val="32"/>
          <w:lang w:val="en-US" w:eastAsia="zh-CN"/>
        </w:rPr>
        <w:t>1、</w:t>
      </w:r>
      <w:r>
        <w:rPr>
          <w:rFonts w:ascii="仿宋" w:eastAsia="仿宋" w:cs="仿宋" w:hAnsi="仿宋" w:hint="eastAsia"/>
          <w:sz w:val="32"/>
          <w:szCs w:val="32"/>
        </w:rPr>
        <w:t>广元市土地房屋征收拆迁</w:t>
      </w:r>
      <w:r>
        <w:rPr>
          <w:rFonts w:ascii="仿宋" w:eastAsia="仿宋" w:cs="仿宋" w:hAnsi="仿宋" w:hint="eastAsia"/>
          <w:sz w:val="32"/>
          <w:szCs w:val="32"/>
          <w:lang w:eastAsia="zh-CN"/>
        </w:rPr>
        <w:t>事务中心</w:t>
      </w:r>
      <w:r>
        <w:rPr>
          <w:rFonts w:ascii="仿宋" w:eastAsia="仿宋" w:cs="仿宋" w:hAnsi="仿宋" w:hint="eastAsia"/>
          <w:sz w:val="32"/>
          <w:szCs w:val="32"/>
        </w:rPr>
        <w:t>贯彻执行《中华人民共和国土地管理法》及省、市有关建设用地征地拆迁的法律、法规及政策措施；2.组织实施市城市规划区内集体土地征收及拆迁安置工作;3.组织实施市城市规划区内的国有土地上的房屋征收及拆迁补偿安置工作;4.指导和组织协调全市跨行政区域重点项目的土地征收及拆迁工作；5.承担市政府交办的其他征地拆迁事项。</w:t>
      </w:r>
    </w:p>
    <w:p>
      <w:pPr>
        <w:keepNext w:val="0"/>
        <w:keepLines w:val="0"/>
        <w:pageBreakBefore w:val="0"/>
        <w:widowControl w:val="0"/>
        <w:kinsoku/>
        <w:wordWrap/>
        <w:overflowPunct/>
        <w:topLinePunct w:val="0"/>
        <w:autoSpaceDE/>
        <w:autoSpaceDN/>
        <w:bidi w:val="0"/>
        <w:adjustRightInd/>
        <w:snapToGrid/>
        <w:spacing w:line="576" w:lineRule="exact"/>
        <w:ind w:firstLineChars="200" w:firstLine="640"/>
        <w:textAlignment w:val="auto"/>
        <w:rPr>
          <w:rFonts w:ascii="华文楷体" w:eastAsia="华文楷体" w:cs="华文楷体" w:hAnsi="华文楷体" w:hint="eastAsia"/>
          <w:sz w:val="32"/>
          <w:szCs w:val="32"/>
        </w:rPr>
      </w:pPr>
      <w:r>
        <w:rPr>
          <w:rFonts w:ascii="华文楷体" w:eastAsia="华文楷体" w:cs="华文楷体" w:hAnsi="华文楷体" w:hint="eastAsia"/>
          <w:sz w:val="32"/>
          <w:szCs w:val="32"/>
        </w:rPr>
        <w:t>（二）2019年重点工作完成情况</w:t>
      </w:r>
      <w:bookmarkEnd w:id="19"/>
      <w:bookmarkEnd w:id="20"/>
    </w:p>
    <w:p>
      <w:pPr>
        <w:spacing w:line="570" w:lineRule="exact"/>
        <w:ind w:firstLineChars="200" w:firstLine="640"/>
        <w:rPr>
          <w:rFonts w:ascii="华文楷体" w:eastAsia="华文楷体" w:cs="华文楷体" w:hAnsi="华文楷体" w:hint="eastAsia"/>
          <w:sz w:val="32"/>
          <w:szCs w:val="32"/>
        </w:rPr>
      </w:pPr>
      <w:r>
        <w:rPr>
          <w:rFonts w:ascii="仿宋" w:eastAsia="仿宋" w:hAnsi="仿宋"/>
          <w:color w:val="000000"/>
          <w:sz w:val="32"/>
          <w:szCs w:val="32"/>
        </w:rPr>
        <w:t>201</w:t>
      </w:r>
      <w:r>
        <w:rPr>
          <w:rFonts w:ascii="仿宋" w:eastAsia="仿宋" w:hAnsi="仿宋" w:hint="eastAsia"/>
          <w:color w:val="000000"/>
          <w:sz w:val="32"/>
          <w:szCs w:val="32"/>
        </w:rPr>
        <w:t>9年，在区委区政府的坚强领导下，市征拆中心</w:t>
      </w:r>
      <w:r>
        <w:rPr>
          <w:rFonts w:ascii="仿宋" w:eastAsia="仿宋" w:cs="仿宋" w:hAnsi="仿宋" w:hint="eastAsia"/>
          <w:snapToGrid w:val="0"/>
          <w:color w:val="000000"/>
          <w:kern w:val="0"/>
          <w:sz w:val="32"/>
          <w:szCs w:val="32"/>
        </w:rPr>
        <w:t>始终坚持以项目建设为重要抓手，以服务发展为首要任务，组织和带领全体征拆干部不等不靠、主动作为，奋力做好征地拆迁安置工作，</w:t>
      </w:r>
      <w:r>
        <w:rPr>
          <w:rFonts w:ascii="仿宋" w:eastAsia="仿宋" w:hAnsi="仿宋" w:hint="eastAsia"/>
          <w:color w:val="000000"/>
          <w:sz w:val="32"/>
          <w:szCs w:val="32"/>
        </w:rPr>
        <w:t>圆满完成年度各项工作目标任务，</w:t>
      </w:r>
      <w:r>
        <w:rPr>
          <w:rFonts w:ascii="仿宋" w:eastAsia="仿宋" w:cs="仿宋" w:hAnsi="仿宋" w:hint="eastAsia"/>
          <w:snapToGrid w:val="0"/>
          <w:color w:val="000000"/>
          <w:kern w:val="0"/>
          <w:sz w:val="32"/>
          <w:szCs w:val="32"/>
        </w:rPr>
        <w:t>为重点项目建设提供了坚强保障。</w:t>
      </w:r>
    </w:p>
    <w:p>
      <w:pPr>
        <w:pStyle w:val="28"/>
        <w:spacing w:line="570" w:lineRule="exact"/>
        <w:rPr>
          <w:rFonts w:ascii="仿宋" w:eastAsia="仿宋" w:cs="仿宋" w:hAnsi="仿宋" w:hint="eastAsia"/>
          <w:snapToGrid w:val="0"/>
          <w:color w:val="000000"/>
          <w:kern w:val="0"/>
          <w:sz w:val="32"/>
          <w:szCs w:val="32"/>
        </w:rPr>
      </w:pPr>
      <w:bookmarkStart w:id="21" w:name="_Toc15396601"/>
      <w:bookmarkStart w:id="22" w:name="_Toc15377200"/>
      <w:r>
        <w:rPr>
          <w:rFonts w:ascii="仿宋" w:eastAsia="仿宋" w:cs="仿宋" w:hAnsi="仿宋" w:hint="eastAsia"/>
          <w:snapToGrid w:val="0"/>
          <w:color w:val="000000"/>
          <w:kern w:val="0"/>
          <w:sz w:val="32"/>
          <w:szCs w:val="32"/>
          <w:lang w:val="en-US" w:eastAsia="zh-CN"/>
        </w:rPr>
        <w:t>1、</w:t>
      </w:r>
      <w:r>
        <w:rPr>
          <w:rFonts w:ascii="仿宋" w:eastAsia="仿宋" w:cs="仿宋" w:hAnsi="仿宋" w:hint="eastAsia"/>
          <w:snapToGrid w:val="0"/>
          <w:color w:val="000000"/>
          <w:kern w:val="0"/>
          <w:sz w:val="32"/>
          <w:szCs w:val="32"/>
        </w:rPr>
        <w:t>紧抓思想政治建设，政治引领作用不断增强</w:t>
      </w:r>
    </w:p>
    <w:p>
      <w:pPr>
        <w:pStyle w:val="28"/>
        <w:spacing w:line="570" w:lineRule="exact"/>
        <w:rPr>
          <w:rFonts w:ascii="仿宋" w:eastAsia="仿宋" w:cs="仿宋" w:hAnsi="仿宋" w:hint="eastAsia"/>
          <w:snapToGrid w:val="0"/>
          <w:color w:val="000000"/>
          <w:kern w:val="0"/>
          <w:sz w:val="32"/>
          <w:szCs w:val="32"/>
        </w:rPr>
      </w:pPr>
      <w:r>
        <w:rPr>
          <w:rFonts w:ascii="仿宋" w:eastAsia="仿宋" w:cs="仿宋" w:hAnsi="仿宋" w:hint="eastAsia"/>
          <w:snapToGrid w:val="0"/>
          <w:color w:val="000000"/>
          <w:kern w:val="0"/>
          <w:sz w:val="32"/>
          <w:szCs w:val="32"/>
        </w:rPr>
        <w:t>2019年，我中心始终坚持“围绕中心抓党建，抓好党建促发展”的工作思路，扎实抓好党员干部思想政治建设，不断提升党组织的领导核心力，不断增强党员干部的工作活力，有力推动和保障了征拆工作和谐发展。</w:t>
      </w:r>
      <w:r>
        <w:rPr>
          <w:rFonts w:ascii="仿宋" w:eastAsia="仿宋" w:cs="仿宋" w:hAnsi="仿宋" w:hint="eastAsia"/>
          <w:snapToGrid w:val="0"/>
          <w:color w:val="000000"/>
          <w:kern w:val="0"/>
          <w:sz w:val="32"/>
          <w:szCs w:val="32"/>
          <w:lang w:eastAsia="zh-CN"/>
        </w:rPr>
        <w:t>一是</w:t>
      </w:r>
      <w:r>
        <w:rPr>
          <w:rFonts w:ascii="仿宋" w:eastAsia="仿宋" w:cs="仿宋" w:hAnsi="仿宋" w:hint="eastAsia"/>
          <w:snapToGrid w:val="0"/>
          <w:color w:val="000000"/>
          <w:kern w:val="0"/>
          <w:sz w:val="32"/>
          <w:szCs w:val="32"/>
        </w:rPr>
        <w:t>深化党的政治理论学习。坚持把学习宣传贯彻习近平新时代中国特色社会主义思想和党的十九大、十九届二中、三中、四中全会精神和习近平总书记来川视察重要指示精神作为首要政治任务，切实在学懂弄通做实上下功夫，开展多形式、多层次、全覆盖的学习培训和宣传宣讲活动，班子领导成员主动参加区委中心组学习，中心党组、党总支、党支部组织开展专题学习活动20余次，受训党员干部200余人次。</w:t>
      </w:r>
      <w:r>
        <w:rPr>
          <w:rFonts w:ascii="仿宋" w:eastAsia="仿宋" w:cs="仿宋" w:hAnsi="仿宋" w:hint="eastAsia"/>
          <w:snapToGrid w:val="0"/>
          <w:color w:val="000000"/>
          <w:kern w:val="0"/>
          <w:sz w:val="32"/>
          <w:szCs w:val="32"/>
          <w:lang w:eastAsia="zh-CN"/>
        </w:rPr>
        <w:t>二是</w:t>
      </w:r>
      <w:r>
        <w:rPr>
          <w:rFonts w:ascii="仿宋" w:eastAsia="仿宋" w:cs="仿宋" w:hAnsi="仿宋" w:hint="eastAsia"/>
          <w:snapToGrid w:val="0"/>
          <w:color w:val="000000"/>
          <w:kern w:val="0"/>
          <w:sz w:val="32"/>
          <w:szCs w:val="32"/>
        </w:rPr>
        <w:t>狠抓干部意识形态教育。意识形态工作是党的一项极其重要的工作，征地拆迁作为最基层、最复杂、最前沿的群众工作，全体职工始终以对党负责的态度，旗帜鲜明的站在意识形态工作第一线。</w:t>
      </w:r>
    </w:p>
    <w:p>
      <w:pPr>
        <w:pStyle w:val="28"/>
        <w:spacing w:line="570" w:lineRule="exact"/>
        <w:rPr>
          <w:rFonts w:ascii="仿宋" w:eastAsia="仿宋" w:cs="仿宋" w:hAnsi="仿宋" w:hint="eastAsia"/>
          <w:snapToGrid w:val="0"/>
          <w:color w:val="000000"/>
          <w:kern w:val="0"/>
          <w:sz w:val="32"/>
          <w:szCs w:val="32"/>
        </w:rPr>
      </w:pPr>
      <w:r>
        <w:rPr>
          <w:rFonts w:ascii="仿宋" w:eastAsia="仿宋" w:cs="仿宋" w:hAnsi="仿宋" w:hint="eastAsia"/>
          <w:snapToGrid w:val="0"/>
          <w:color w:val="000000"/>
          <w:kern w:val="0"/>
          <w:sz w:val="32"/>
          <w:szCs w:val="32"/>
          <w:lang w:val="en-US" w:eastAsia="zh-CN"/>
        </w:rPr>
        <w:t>2、</w:t>
      </w:r>
      <w:r>
        <w:rPr>
          <w:rFonts w:ascii="仿宋" w:eastAsia="仿宋" w:cs="仿宋" w:hAnsi="仿宋" w:hint="eastAsia"/>
          <w:snapToGrid w:val="0"/>
          <w:color w:val="000000"/>
          <w:kern w:val="0"/>
          <w:sz w:val="32"/>
          <w:szCs w:val="32"/>
        </w:rPr>
        <w:t>凝心聚力乘势奋进，职能工作目标圆满完成</w:t>
      </w:r>
    </w:p>
    <w:p>
      <w:pPr>
        <w:pStyle w:val="28"/>
        <w:spacing w:line="570" w:lineRule="exact"/>
        <w:rPr>
          <w:rFonts w:ascii="仿宋" w:eastAsia="仿宋" w:cs="仿宋" w:hAnsi="仿宋" w:hint="eastAsia"/>
          <w:snapToGrid w:val="0"/>
          <w:color w:val="000000"/>
          <w:kern w:val="0"/>
          <w:sz w:val="32"/>
          <w:szCs w:val="32"/>
        </w:rPr>
      </w:pPr>
      <w:r>
        <w:rPr>
          <w:rFonts w:ascii="仿宋" w:eastAsia="仿宋" w:cs="仿宋" w:hAnsi="仿宋" w:hint="eastAsia"/>
          <w:snapToGrid w:val="0"/>
          <w:color w:val="000000"/>
          <w:kern w:val="0"/>
          <w:sz w:val="32"/>
          <w:szCs w:val="32"/>
        </w:rPr>
        <w:t>2019年，我中心共征收房屋约2300户23万余平方米，征收土地约3500亩，安置群众约8500人，兑付补偿资金18亿余元，超目标完成任务230%，全面保障项目建设用地。</w:t>
      </w:r>
      <w:r>
        <w:rPr>
          <w:rFonts w:ascii="仿宋" w:eastAsia="仿宋" w:cs="仿宋" w:hAnsi="仿宋" w:hint="eastAsia"/>
          <w:snapToGrid w:val="0"/>
          <w:color w:val="000000"/>
          <w:kern w:val="0"/>
          <w:sz w:val="32"/>
          <w:szCs w:val="32"/>
          <w:lang w:eastAsia="zh-CN"/>
        </w:rPr>
        <w:t>一是</w:t>
      </w:r>
      <w:r>
        <w:rPr>
          <w:rFonts w:ascii="仿宋" w:eastAsia="仿宋" w:cs="仿宋" w:hAnsi="仿宋" w:hint="eastAsia"/>
          <w:snapToGrid w:val="0"/>
          <w:color w:val="000000"/>
          <w:kern w:val="0"/>
          <w:sz w:val="32"/>
          <w:szCs w:val="32"/>
        </w:rPr>
        <w:t>征地拆迁成效显著。全体干部职工紧紧围绕“项目投资大比武”各项工作部署，发扬苦干实干精神，全力推进项目征拆工作，共征收房屋2300户23万余平方米，搬迁企业和经营户150余家，迁坟2000余座，完成土地征收3500余亩。</w:t>
      </w:r>
      <w:r>
        <w:rPr>
          <w:rFonts w:ascii="仿宋" w:eastAsia="仿宋" w:cs="仿宋" w:hAnsi="仿宋" w:hint="eastAsia"/>
          <w:snapToGrid w:val="0"/>
          <w:color w:val="000000"/>
          <w:kern w:val="0"/>
          <w:sz w:val="32"/>
          <w:szCs w:val="32"/>
          <w:lang w:eastAsia="zh-CN"/>
        </w:rPr>
        <w:t>二是</w:t>
      </w:r>
      <w:r>
        <w:rPr>
          <w:rFonts w:ascii="仿宋" w:eastAsia="仿宋" w:cs="仿宋" w:hAnsi="仿宋" w:hint="eastAsia"/>
          <w:snapToGrid w:val="0"/>
          <w:color w:val="000000"/>
          <w:kern w:val="0"/>
          <w:sz w:val="32"/>
          <w:szCs w:val="32"/>
        </w:rPr>
        <w:t>拆迁群众安置有序。始终坚持把群众安置作为服务民生、维护稳定、保障发展的头等大事，严格执行国家、省、市征地拆迁安置政策，分片区分项目编制《安置还房方案》、《还房选房办法》和《风险评估报告》，成立由征拆、公安、纪检（监委）以及乡（镇）、街道组建安置资格审查工作组，深入农村逐户筛选审查，多次奔赴成都、重庆等地开展资格调查工作，力求审查结果准确无误，同时采取“一问一答”问卷调查形式梳理并解读凤凰山、新民等项目还房群众的问题和诉求35个，基本消除群众顾虑，保障了安置工作有序推进。</w:t>
      </w:r>
      <w:r>
        <w:rPr>
          <w:rFonts w:ascii="仿宋" w:eastAsia="仿宋" w:cs="仿宋" w:hAnsi="仿宋" w:hint="eastAsia"/>
          <w:snapToGrid w:val="0"/>
          <w:color w:val="000000"/>
          <w:kern w:val="0"/>
          <w:sz w:val="32"/>
          <w:szCs w:val="32"/>
          <w:lang w:eastAsia="zh-CN"/>
        </w:rPr>
        <w:t>三是</w:t>
      </w:r>
      <w:r>
        <w:rPr>
          <w:rFonts w:ascii="仿宋" w:eastAsia="仿宋" w:cs="仿宋" w:hAnsi="仿宋" w:hint="eastAsia"/>
          <w:snapToGrid w:val="0"/>
          <w:color w:val="000000"/>
          <w:kern w:val="0"/>
          <w:sz w:val="32"/>
          <w:szCs w:val="32"/>
        </w:rPr>
        <w:t>法制征收程序健全。严格执行国家和省、市征地拆迁政策法规和《征地拆迁阳光操作制度》，结合征拆工作实际，进一步完善《土地房屋征收中介机构选定和管理制度》、《进一步明确土地房屋征收中介服务机构付费标准》等制度，促进实物调查登记、中介机构选择、测绘评估、补偿安置、资金兑付等各个环节进一步规范化、流程化。</w:t>
      </w:r>
      <w:r>
        <w:rPr>
          <w:rFonts w:ascii="仿宋" w:eastAsia="仿宋" w:cs="仿宋" w:hAnsi="仿宋" w:hint="eastAsia"/>
          <w:snapToGrid w:val="0"/>
          <w:color w:val="000000"/>
          <w:kern w:val="0"/>
          <w:sz w:val="32"/>
          <w:szCs w:val="32"/>
          <w:lang w:eastAsia="zh-CN"/>
        </w:rPr>
        <w:t>四是</w:t>
      </w:r>
      <w:r>
        <w:rPr>
          <w:rFonts w:ascii="仿宋" w:eastAsia="仿宋" w:cs="仿宋" w:hAnsi="仿宋" w:hint="eastAsia"/>
          <w:snapToGrid w:val="0"/>
          <w:color w:val="000000"/>
          <w:kern w:val="0"/>
          <w:sz w:val="32"/>
          <w:szCs w:val="32"/>
        </w:rPr>
        <w:t>扶贫帮扶成果稳定。结合大石镇红岩、石笋、青岩3个村近年来扶贫工作成效以及当前工作实际，党组慎重研究后，及时调整第一书记2人，增派驻村工作队员3名，切实加强帮扶力量，确保脱贫攻坚组织有力、任务到人、帮扶有实效。主动对接村支两委制定了各村《2019年度帮扶规划》，定期专题研究脱贫攻坚工作，落实帮扶资金，帮助红岩、青岩，石笋完善健身广场花园、路灯等配套设施，购置农技图书、报刊、杂志等2000余册，丰富群众文化生活。持续开展“三同”活动，帮扶干部定期入户走访，开展环境卫生整治，抓好“非洲猪瘟”疫情防控督导，帮助发展药材、蔬菜、林木种植和家禽养殖以及集体经济组织，保障群众收入不降低。结合“不忘初心、牢记使命”的主题教育活动，深入学习宣传习近平新时代中国特色社会主义思想和党的十九大、十九届二中、三中、四中全会精神，同步推进“思想扶贫”工作，增强帮扶群众致富创业的勇气和决心，保障各村产业持续发展，为红岩、石笋、青岩3个村顺利通过脱贫验收奠定坚实基础。</w:t>
      </w:r>
    </w:p>
    <w:p>
      <w:pPr>
        <w:pStyle w:val="28"/>
        <w:spacing w:line="570" w:lineRule="exact"/>
        <w:rPr>
          <w:rFonts w:ascii="仿宋" w:eastAsia="仿宋" w:cs="仿宋" w:hAnsi="仿宋" w:hint="eastAsia"/>
          <w:snapToGrid w:val="0"/>
          <w:color w:val="000000"/>
          <w:kern w:val="0"/>
          <w:sz w:val="32"/>
          <w:szCs w:val="32"/>
        </w:rPr>
      </w:pPr>
      <w:r>
        <w:rPr>
          <w:rFonts w:ascii="仿宋" w:eastAsia="仿宋" w:cs="仿宋" w:hAnsi="仿宋" w:hint="eastAsia"/>
          <w:snapToGrid w:val="0"/>
          <w:color w:val="000000"/>
          <w:kern w:val="0"/>
          <w:sz w:val="32"/>
          <w:szCs w:val="32"/>
          <w:lang w:val="en-US" w:eastAsia="zh-CN"/>
        </w:rPr>
        <w:t>3、</w:t>
      </w:r>
      <w:r>
        <w:rPr>
          <w:rFonts w:ascii="仿宋" w:eastAsia="仿宋" w:cs="仿宋" w:hAnsi="仿宋" w:hint="eastAsia"/>
          <w:snapToGrid w:val="0"/>
          <w:color w:val="000000"/>
          <w:kern w:val="0"/>
          <w:sz w:val="32"/>
          <w:szCs w:val="32"/>
        </w:rPr>
        <w:t>狠抓作风纪律建设，发展保障工作成效良好</w:t>
      </w:r>
    </w:p>
    <w:p>
      <w:pPr>
        <w:pStyle w:val="28"/>
        <w:spacing w:line="570" w:lineRule="exact"/>
        <w:rPr>
          <w:rFonts w:ascii="仿宋" w:eastAsia="仿宋" w:cs="仿宋" w:hAnsi="仿宋" w:hint="eastAsia"/>
          <w:snapToGrid w:val="0"/>
          <w:color w:val="000000"/>
          <w:kern w:val="0"/>
          <w:sz w:val="32"/>
          <w:szCs w:val="32"/>
        </w:rPr>
      </w:pPr>
      <w:r>
        <w:rPr>
          <w:rFonts w:ascii="仿宋" w:eastAsia="仿宋" w:cs="仿宋" w:hAnsi="仿宋" w:hint="eastAsia"/>
          <w:snapToGrid w:val="0"/>
          <w:color w:val="000000"/>
          <w:kern w:val="0"/>
          <w:sz w:val="32"/>
          <w:szCs w:val="32"/>
          <w:lang w:eastAsia="zh-CN"/>
        </w:rPr>
        <w:t>一是</w:t>
      </w:r>
      <w:r>
        <w:rPr>
          <w:rFonts w:ascii="仿宋" w:eastAsia="仿宋" w:cs="仿宋" w:hAnsi="仿宋" w:hint="eastAsia"/>
          <w:snapToGrid w:val="0"/>
          <w:color w:val="000000"/>
          <w:kern w:val="0"/>
          <w:sz w:val="32"/>
          <w:szCs w:val="32"/>
        </w:rPr>
        <w:t>狠抓作风纪律，增强拒腐防变免疫力。全面贯彻落实全市“作风纪律深化年”各项工作部署，全覆盖、零容忍，重遏制、强高压、长震慑，精准有序的开展征拆领域作风纪律和腐败问题整治。</w:t>
      </w:r>
      <w:r>
        <w:rPr>
          <w:rFonts w:ascii="仿宋" w:eastAsia="仿宋" w:cs="仿宋" w:hAnsi="仿宋" w:hint="eastAsia"/>
          <w:snapToGrid w:val="0"/>
          <w:color w:val="000000"/>
          <w:kern w:val="0"/>
          <w:sz w:val="32"/>
          <w:szCs w:val="32"/>
          <w:lang w:eastAsia="zh-CN"/>
        </w:rPr>
        <w:t>二是</w:t>
      </w:r>
      <w:r>
        <w:rPr>
          <w:rFonts w:ascii="仿宋" w:eastAsia="仿宋" w:cs="仿宋" w:hAnsi="仿宋" w:hint="eastAsia"/>
          <w:snapToGrid w:val="0"/>
          <w:color w:val="000000"/>
          <w:kern w:val="0"/>
          <w:sz w:val="32"/>
          <w:szCs w:val="32"/>
        </w:rPr>
        <w:t>加强队伍建设，增进工作落实力。深入贯彻新时期“好干部”标准，强化面向一线用人导向，切实加大年轻干部培养，有针对性推送2名优秀年轻干部到乡镇、街道挂职锻炼，选派3名年轻干部到扶贫一线加大锻炼，推荐后备干部3名，全面加大干部队伍建设，增强队伍的工作活力和干事创业激情。</w:t>
      </w:r>
      <w:r>
        <w:rPr>
          <w:rFonts w:ascii="仿宋" w:eastAsia="仿宋" w:cs="仿宋" w:hAnsi="仿宋" w:hint="eastAsia"/>
          <w:snapToGrid w:val="0"/>
          <w:color w:val="000000"/>
          <w:kern w:val="0"/>
          <w:sz w:val="32"/>
          <w:szCs w:val="32"/>
          <w:lang w:eastAsia="zh-CN"/>
        </w:rPr>
        <w:t>三是</w:t>
      </w:r>
      <w:r>
        <w:rPr>
          <w:rFonts w:ascii="仿宋" w:eastAsia="仿宋" w:cs="仿宋" w:hAnsi="仿宋" w:hint="eastAsia"/>
          <w:snapToGrid w:val="0"/>
          <w:color w:val="000000"/>
          <w:kern w:val="0"/>
          <w:sz w:val="32"/>
          <w:szCs w:val="32"/>
        </w:rPr>
        <w:t>加强新闻宣传，增强舆论影响力。我中心始终以科学宣传为指导，以围绕中心、服务大局为职责，与各科室签订了新闻宣传《目标责任书》，进一步完善机制、加大力度，从制度上提供了有力的保障，同时协同广元日报社、广元电视台和政府网站等多家媒体，拓宽报道覆盖面，增强报道力度，多角度、高密度地对征拆安置工作进行宣传报道，截至11月底，共编发工作简报6期，发布征地拆迁信息120余条，开发新闻稿件11篇，电视台开展专题报道6期，有力的加强了征地拆迁政策、正反典型的宣传报道，进一步增强舆论影响力，营造良好的征拆工作环境。</w:t>
      </w:r>
    </w:p>
    <w:p>
      <w:pPr>
        <w:pStyle w:val="28"/>
        <w:spacing w:line="570" w:lineRule="exact"/>
        <w:rPr>
          <w:rFonts w:ascii="黑体" w:eastAsia="黑体" w:cs="黑体" w:hAnsi="黑体" w:hint="eastAsia"/>
          <w:snapToGrid w:val="0"/>
          <w:color w:val="000000"/>
          <w:kern w:val="0"/>
          <w:sz w:val="32"/>
          <w:szCs w:val="32"/>
        </w:rPr>
      </w:pPr>
      <w:r>
        <w:rPr>
          <w:rFonts w:ascii="黑体" w:eastAsia="黑体" w:cs="黑体" w:hAnsi="黑体" w:hint="eastAsia"/>
          <w:snapToGrid w:val="0"/>
          <w:color w:val="000000"/>
          <w:kern w:val="0"/>
          <w:sz w:val="32"/>
          <w:szCs w:val="32"/>
          <w:lang w:eastAsia="zh-CN"/>
        </w:rPr>
        <w:t>二、</w:t>
      </w:r>
      <w:r>
        <w:rPr>
          <w:rFonts w:ascii="黑体" w:eastAsia="黑体" w:cs="黑体" w:hAnsi="黑体" w:hint="eastAsia"/>
          <w:snapToGrid w:val="0"/>
          <w:color w:val="000000"/>
          <w:kern w:val="0"/>
          <w:sz w:val="32"/>
          <w:szCs w:val="32"/>
        </w:rPr>
        <w:t>机构设置</w:t>
      </w:r>
      <w:bookmarkEnd w:id="21"/>
      <w:bookmarkEnd w:id="22"/>
    </w:p>
    <w:p>
      <w:pPr>
        <w:pStyle w:val="28"/>
        <w:spacing w:line="570" w:lineRule="exact"/>
        <w:rPr>
          <w:rFonts w:ascii="黑体" w:eastAsia="仿宋" w:hAnsi="黑体" w:hint="eastAsia"/>
          <w:b w:val="0"/>
          <w:color w:val="000000"/>
          <w:lang w:eastAsia="zh-CN"/>
        </w:rPr>
      </w:pPr>
      <w:r>
        <w:rPr>
          <w:rFonts w:ascii="仿宋" w:eastAsia="仿宋" w:cs="仿宋" w:hAnsi="仿宋" w:hint="eastAsia"/>
          <w:snapToGrid w:val="0"/>
          <w:color w:val="000000"/>
          <w:kern w:val="0"/>
          <w:sz w:val="32"/>
          <w:szCs w:val="32"/>
        </w:rPr>
        <w:t>根据广元市委机构编制委员会《关于调整市城市规划区土地房屋征收拆迁管理体制的通知》（广编发〔2015〕53号）文件精神，利州区房屋征收中心、利州区建设用地征地拆迁</w:t>
      </w:r>
      <w:r>
        <w:rPr>
          <w:rFonts w:ascii="仿宋" w:eastAsia="仿宋" w:cs="仿宋" w:hAnsi="仿宋" w:hint="eastAsia"/>
          <w:sz w:val="32"/>
          <w:szCs w:val="32"/>
        </w:rPr>
        <w:t>办公室建制并入广元市土地房屋征收拆迁办公室，属市政府直属公益一类事业单位，整体划转利州区代管，核定事业编制72名，其中设主任1名（副县级）、副主任4名（正科级），科长11名（副科级），下设内部科室11个。现有在职</w:t>
      </w:r>
      <w:r>
        <w:rPr>
          <w:rFonts w:ascii="仿宋" w:eastAsia="仿宋" w:cs="仿宋" w:hAnsi="仿宋" w:hint="eastAsia"/>
          <w:sz w:val="32"/>
          <w:szCs w:val="32"/>
          <w:lang w:eastAsia="zh-CN"/>
        </w:rPr>
        <w:t>职</w:t>
      </w:r>
      <w:r>
        <w:rPr>
          <w:rFonts w:ascii="仿宋" w:eastAsia="仿宋" w:cs="仿宋" w:hAnsi="仿宋" w:hint="eastAsia"/>
          <w:sz w:val="32"/>
          <w:szCs w:val="32"/>
        </w:rPr>
        <w:t>工</w:t>
      </w:r>
      <w:r>
        <w:rPr>
          <w:rFonts w:ascii="仿宋" w:eastAsia="仿宋" w:cs="仿宋" w:hAnsi="仿宋" w:hint="eastAsia"/>
          <w:sz w:val="32"/>
          <w:szCs w:val="32"/>
          <w:lang w:val="en-US" w:eastAsia="zh-CN"/>
        </w:rPr>
        <w:t>63</w:t>
      </w:r>
      <w:r>
        <w:rPr>
          <w:rFonts w:ascii="仿宋" w:eastAsia="仿宋" w:cs="仿宋" w:hAnsi="仿宋" w:hint="eastAsia"/>
          <w:sz w:val="32"/>
          <w:szCs w:val="32"/>
        </w:rPr>
        <w:t>人，临聘人员</w:t>
      </w:r>
      <w:r>
        <w:rPr>
          <w:rFonts w:ascii="仿宋" w:eastAsia="仿宋" w:cs="仿宋" w:hAnsi="仿宋" w:hint="eastAsia"/>
          <w:sz w:val="32"/>
          <w:szCs w:val="32"/>
          <w:lang w:val="en-US" w:eastAsia="zh-CN"/>
        </w:rPr>
        <w:t>19</w:t>
      </w:r>
      <w:r>
        <w:rPr>
          <w:rFonts w:ascii="仿宋" w:eastAsia="仿宋" w:cs="仿宋" w:hAnsi="仿宋" w:hint="eastAsia"/>
          <w:sz w:val="32"/>
          <w:szCs w:val="32"/>
        </w:rPr>
        <w:t>人,中共党员42人，民主党派人士2人</w:t>
      </w:r>
      <w:bookmarkStart w:id="23" w:name="_Toc15396602"/>
      <w:bookmarkStart w:id="24" w:name="_Toc15377204"/>
      <w:r>
        <w:rPr>
          <w:rFonts w:ascii="仿宋" w:eastAsia="仿宋" w:cs="仿宋" w:hAnsi="仿宋" w:hint="eastAsia"/>
          <w:sz w:val="32"/>
          <w:szCs w:val="32"/>
          <w:lang w:eastAsia="zh-CN"/>
        </w:rPr>
        <w:t>。</w:t>
      </w:r>
    </w:p>
    <w:p>
      <w:pPr>
        <w:rPr>
          <w:rFonts w:ascii="黑体" w:eastAsia="黑体" w:hAnsi="黑体" w:hint="eastAsia"/>
          <w:b w:val="0"/>
          <w:color w:val="000000"/>
        </w:rPr>
      </w:pPr>
      <w:r>
        <w:rPr>
          <w:rFonts w:ascii="黑体" w:eastAsia="黑体" w:hAnsi="黑体" w:hint="eastAsia"/>
          <w:b w:val="0"/>
          <w:color w:val="000000"/>
        </w:rPr>
        <w:br w:type="page"/>
      </w:r>
    </w:p>
    <w:p>
      <w:pPr>
        <w:pStyle w:val="1"/>
        <w:ind w:right="440"/>
        <w:jc w:val="right"/>
        <w:rPr>
          <w:rStyle w:val="1Char"/>
          <w:rFonts w:ascii="黑体" w:eastAsia="黑体" w:hAnsi="黑体"/>
          <w:b w:val="0"/>
          <w:bCs w:val="0"/>
        </w:rPr>
      </w:pPr>
      <w:r>
        <w:rPr>
          <w:rFonts w:ascii="黑体" w:eastAsia="黑体" w:hAnsi="黑体" w:hint="eastAsia"/>
          <w:b w:val="0"/>
          <w:color w:val="000000"/>
        </w:rPr>
        <w:t>第二部分</w:t>
      </w:r>
      <w:r>
        <w:rPr>
          <w:rFonts w:ascii="黑体" w:eastAsia="黑体" w:hAnsi="黑体" w:hint="eastAsia"/>
          <w:color w:val="000000"/>
        </w:rPr>
        <w:t xml:space="preserve"> </w:t>
      </w:r>
      <w:r>
        <w:rPr>
          <w:rStyle w:val="1Char"/>
          <w:rFonts w:ascii="黑体" w:eastAsia="黑体" w:hAnsi="黑体" w:hint="eastAsia"/>
          <w:b w:val="0"/>
          <w:bCs w:val="0"/>
        </w:rPr>
        <w:t>2019年度部门决算情况说明</w:t>
      </w:r>
      <w:bookmarkEnd w:id="23"/>
      <w:bookmarkEnd w:id="24"/>
    </w:p>
    <w:p/>
    <w:p>
      <w:pPr>
        <w:pStyle w:val="28"/>
        <w:numPr>
          <w:ilvl w:val="0"/>
          <w:numId w:val="1"/>
        </w:numPr>
        <w:spacing w:line="600" w:lineRule="exact"/>
        <w:ind w:firstLineChars="0"/>
        <w:outlineLvl w:val="1"/>
        <w:rPr>
          <w:rStyle w:val="2Char"/>
          <w:rFonts w:ascii="黑体" w:eastAsia="黑体" w:hAnsi="黑体"/>
          <w:b w:val="0"/>
        </w:rPr>
      </w:pPr>
      <w:bookmarkStart w:id="25" w:name="_Toc15396603"/>
      <w:bookmarkStart w:id="26" w:name="_Toc15377205"/>
      <w:r>
        <w:rPr>
          <w:rFonts w:ascii="黑体" w:eastAsia="黑体" w:hAnsi="黑体" w:hint="eastAsia"/>
          <w:color w:val="000000"/>
          <w:sz w:val="32"/>
          <w:szCs w:val="32"/>
        </w:rPr>
        <w:t>收</w:t>
      </w:r>
      <w:r>
        <w:rPr>
          <w:rStyle w:val="2Char"/>
          <w:rFonts w:ascii="黑体" w:eastAsia="黑体" w:hAnsi="黑体" w:hint="eastAsia"/>
          <w:b w:val="0"/>
        </w:rPr>
        <w:t>入支出决算总体情况说明</w:t>
      </w:r>
      <w:bookmarkEnd w:id="25"/>
      <w:bookmarkEnd w:id="26"/>
    </w:p>
    <w:p>
      <w:pPr>
        <w:keepNext w:val="0"/>
        <w:keepLines w:val="0"/>
        <w:pageBreakBefore w:val="0"/>
        <w:widowControl w:val="0"/>
        <w:kinsoku/>
        <w:wordWrap/>
        <w:overflowPunct/>
        <w:topLinePunct w:val="0"/>
        <w:autoSpaceDE/>
        <w:autoSpaceDN/>
        <w:bidi w:val="0"/>
        <w:adjustRightInd/>
        <w:snapToGrid/>
        <w:spacing w:line="240" w:lineRule="auto"/>
        <w:ind w:firstLineChars="200" w:firstLine="640"/>
        <w:textAlignment w:val="auto"/>
        <w:rPr>
          <w:rFonts w:ascii="仿宋" w:eastAsia="仿宋" w:hAnsi="仿宋" w:hint="eastAsia"/>
          <w:color w:val="000000"/>
          <w:sz w:val="32"/>
          <w:szCs w:val="32"/>
          <w:lang w:eastAsia="zh-CN"/>
        </w:rPr>
      </w:pPr>
      <w:r>
        <w:rPr>
          <w:rFonts w:ascii="仿宋" w:eastAsia="仿宋" w:hAnsi="仿宋" w:hint="eastAsia"/>
          <w:color w:val="000000"/>
          <w:sz w:val="32"/>
          <w:szCs w:val="32"/>
        </w:rPr>
        <w:t>2019年度</w:t>
      </w:r>
      <w:r>
        <w:rPr>
          <w:rFonts w:ascii="仿宋" w:eastAsia="仿宋" w:hAnsi="仿宋" w:hint="eastAsia"/>
          <w:color w:val="000000"/>
          <w:sz w:val="32"/>
          <w:szCs w:val="32"/>
          <w:lang w:eastAsia="zh-CN"/>
        </w:rPr>
        <w:t>收入</w:t>
      </w:r>
      <w:r>
        <w:rPr>
          <w:rFonts w:ascii="仿宋" w:eastAsia="仿宋" w:hAnsi="仿宋" w:hint="eastAsia"/>
          <w:color w:val="000000"/>
          <w:sz w:val="32"/>
          <w:szCs w:val="32"/>
          <w:lang w:val="en-US" w:eastAsia="zh-CN"/>
        </w:rPr>
        <w:t>27681.74</w:t>
      </w:r>
      <w:r>
        <w:rPr>
          <w:rFonts w:ascii="仿宋" w:eastAsia="仿宋" w:hAnsi="仿宋" w:hint="eastAsia"/>
          <w:color w:val="000000"/>
          <w:sz w:val="32"/>
          <w:szCs w:val="32"/>
        </w:rPr>
        <w:t>万元</w:t>
      </w:r>
      <w:r>
        <w:rPr>
          <w:rFonts w:ascii="仿宋" w:eastAsia="仿宋" w:hAnsi="仿宋" w:hint="eastAsia"/>
          <w:color w:val="000000"/>
          <w:sz w:val="32"/>
          <w:szCs w:val="32"/>
          <w:lang w:eastAsia="zh-CN"/>
        </w:rPr>
        <w:t>、支出</w:t>
      </w:r>
      <w:r>
        <w:rPr>
          <w:rFonts w:ascii="仿宋" w:eastAsia="仿宋" w:hAnsi="仿宋" w:hint="eastAsia"/>
          <w:color w:val="000000"/>
          <w:sz w:val="32"/>
          <w:szCs w:val="32"/>
          <w:lang w:val="en-US" w:eastAsia="zh-CN"/>
        </w:rPr>
        <w:t>27691.76万元</w:t>
      </w:r>
      <w:r>
        <w:rPr>
          <w:rFonts w:ascii="仿宋" w:eastAsia="仿宋" w:hAnsi="仿宋" w:hint="eastAsia"/>
          <w:color w:val="000000"/>
          <w:sz w:val="32"/>
          <w:szCs w:val="32"/>
        </w:rPr>
        <w:t>。与2018年相比，</w:t>
      </w:r>
      <w:r>
        <w:rPr>
          <w:rFonts w:ascii="仿宋" w:eastAsia="仿宋" w:hAnsi="仿宋" w:hint="eastAsia"/>
          <w:color w:val="000000"/>
          <w:sz w:val="32"/>
          <w:szCs w:val="32"/>
          <w:lang w:eastAsia="zh-CN"/>
        </w:rPr>
        <w:t>收入增长</w:t>
      </w:r>
      <w:r>
        <w:rPr>
          <w:rFonts w:ascii="仿宋" w:eastAsia="仿宋" w:hAnsi="仿宋" w:hint="eastAsia"/>
          <w:color w:val="000000"/>
          <w:sz w:val="32"/>
          <w:szCs w:val="32"/>
          <w:lang w:val="en-US" w:eastAsia="zh-CN"/>
        </w:rPr>
        <w:t>21380.6</w:t>
      </w:r>
      <w:r>
        <w:rPr>
          <w:rFonts w:ascii="仿宋" w:eastAsia="仿宋" w:hAnsi="仿宋" w:hint="eastAsia"/>
          <w:color w:val="000000"/>
          <w:sz w:val="32"/>
          <w:szCs w:val="32"/>
        </w:rPr>
        <w:t>万元，增长</w:t>
      </w:r>
      <w:r>
        <w:rPr>
          <w:rFonts w:ascii="仿宋" w:eastAsia="仿宋" w:hAnsi="仿宋" w:hint="eastAsia"/>
          <w:color w:val="000000"/>
          <w:sz w:val="32"/>
          <w:szCs w:val="32"/>
          <w:lang w:val="en-US" w:eastAsia="zh-CN"/>
        </w:rPr>
        <w:t>339.31</w:t>
      </w:r>
      <w:r>
        <w:rPr>
          <w:rFonts w:ascii="仿宋" w:eastAsia="仿宋" w:hAnsi="仿宋"/>
          <w:color w:val="000000"/>
          <w:sz w:val="32"/>
          <w:szCs w:val="32"/>
        </w:rPr>
        <w:t>%</w:t>
      </w:r>
      <w:r>
        <w:rPr>
          <w:rFonts w:ascii="仿宋" w:eastAsia="仿宋" w:hAnsi="仿宋" w:hint="eastAsia"/>
          <w:color w:val="000000"/>
          <w:sz w:val="32"/>
          <w:szCs w:val="32"/>
          <w:lang w:eastAsia="zh-CN"/>
        </w:rPr>
        <w:t>，支出增长</w:t>
      </w:r>
      <w:r>
        <w:rPr>
          <w:rFonts w:ascii="仿宋" w:eastAsia="仿宋" w:hAnsi="仿宋" w:hint="eastAsia"/>
          <w:color w:val="000000"/>
          <w:sz w:val="32"/>
          <w:szCs w:val="32"/>
          <w:lang w:val="en-US" w:eastAsia="zh-CN"/>
        </w:rPr>
        <w:t>21392.42，增长339.59%</w:t>
      </w:r>
      <w:r>
        <w:rPr>
          <w:rFonts w:ascii="仿宋" w:eastAsia="仿宋" w:hAnsi="仿宋" w:hint="eastAsia"/>
          <w:color w:val="000000"/>
          <w:sz w:val="32"/>
          <w:szCs w:val="32"/>
        </w:rPr>
        <w:t>。主要变动原因是</w:t>
      </w:r>
      <w:r>
        <w:rPr>
          <w:rFonts w:ascii="仿宋" w:eastAsia="仿宋" w:hAnsi="仿宋" w:hint="eastAsia"/>
          <w:color w:val="000000"/>
          <w:sz w:val="32"/>
          <w:szCs w:val="32"/>
          <w:lang w:eastAsia="zh-CN"/>
        </w:rPr>
        <w:t>征拆项目增加。</w:t>
      </w:r>
    </w:p>
    <w:p>
      <w:pPr>
        <w:keepNext w:val="0"/>
        <w:keepLines w:val="0"/>
        <w:pageBreakBefore w:val="0"/>
        <w:widowControl w:val="0"/>
        <w:kinsoku/>
        <w:wordWrap/>
        <w:overflowPunct/>
        <w:topLinePunct w:val="0"/>
        <w:autoSpaceDE/>
        <w:autoSpaceDN/>
        <w:bidi w:val="0"/>
        <w:adjustRightInd/>
        <w:snapToGrid/>
        <w:spacing w:line="240" w:lineRule="auto"/>
        <w:ind w:firstLineChars="200" w:firstLine="420"/>
        <w:textAlignment w:val="auto"/>
        <w:rPr>
          <w:rFonts w:ascii="仿宋" w:eastAsia="仿宋" w:hAnsi="仿宋" w:hint="eastAsia"/>
          <w:color w:val="000000"/>
          <w:sz w:val="32"/>
          <w:szCs w:val="32"/>
          <w:lang w:eastAsia="zh-CN"/>
        </w:rPr>
      </w:pPr>
      <w:r>
        <w:drawing>
          <wp:anchor distT="0" distB="0" distL="114300" distR="114300" simplePos="0" relativeHeight="2" behindDoc="1" locked="0" layoutInCell="1" hidden="0" allowOverlap="1">
            <wp:simplePos x="0" y="0"/>
            <wp:positionH relativeFrom="column">
              <wp:posOffset>109855</wp:posOffset>
            </wp:positionH>
            <wp:positionV relativeFrom="paragraph">
              <wp:posOffset>271145</wp:posOffset>
            </wp:positionV>
            <wp:extent cx="5329555" cy="2259964"/>
            <wp:effectExtent l="0" t="0" r="0" b="0"/>
            <wp:wrapNone/>
            <wp:docPr id="13" name="Chart 10"/>
            <wp:cNvGraphicFramePr>
              <a:graphicFrameLocks noChangeAspect="0"/>
            </wp:cNvGraphicFramePr>
            <a:graphic>
              <a:graphicData uri="http://schemas.openxmlformats.org/drawingml/2006/chart">
                <c:chart xmlns:c="http://schemas.openxmlformats.org/drawingml/2006/chart" r:id="rId5"/>
              </a:graphicData>
            </a:graphic>
          </wp:anchor>
        </w:drawing>
      </w:r>
    </w:p>
    <w:p>
      <w:pPr>
        <w:spacing w:line="600" w:lineRule="exact"/>
        <w:ind w:firstLineChars="200" w:firstLine="640"/>
        <w:jc w:val="left"/>
        <w:rPr>
          <w:rFonts w:ascii="仿宋_GB2312" w:eastAsia="仿宋_GB2312"/>
          <w:color w:val="000000"/>
          <w:sz w:val="32"/>
          <w:szCs w:val="32"/>
        </w:rPr>
      </w:pPr>
    </w:p>
    <w:p>
      <w:pPr>
        <w:spacing w:line="600" w:lineRule="exact"/>
        <w:ind w:firstLineChars="200" w:firstLine="640"/>
        <w:jc w:val="left"/>
        <w:rPr>
          <w:rFonts w:ascii="仿宋_GB2312" w:eastAsia="仿宋_GB2312"/>
          <w:color w:val="000000"/>
          <w:sz w:val="32"/>
          <w:szCs w:val="32"/>
        </w:rPr>
      </w:pPr>
    </w:p>
    <w:p>
      <w:pPr>
        <w:spacing w:line="600" w:lineRule="exact"/>
        <w:ind w:firstLineChars="200" w:firstLine="640"/>
        <w:jc w:val="left"/>
        <w:rPr>
          <w:rFonts w:ascii="仿宋_GB2312" w:eastAsia="仿宋_GB2312"/>
          <w:color w:val="000000"/>
          <w:sz w:val="32"/>
          <w:szCs w:val="32"/>
        </w:rPr>
      </w:pPr>
    </w:p>
    <w:p>
      <w:pPr>
        <w:spacing w:line="600" w:lineRule="exact"/>
        <w:ind w:firstLineChars="200" w:firstLine="640"/>
        <w:jc w:val="left"/>
        <w:rPr>
          <w:rFonts w:ascii="仿宋_GB2312" w:eastAsia="仿宋_GB2312"/>
          <w:color w:val="000000"/>
          <w:sz w:val="32"/>
          <w:szCs w:val="32"/>
        </w:rPr>
      </w:pPr>
    </w:p>
    <w:p>
      <w:pPr>
        <w:spacing w:line="600" w:lineRule="exact"/>
        <w:ind w:firstLineChars="200" w:firstLine="640"/>
        <w:jc w:val="left"/>
        <w:rPr>
          <w:rFonts w:ascii="仿宋_GB2312" w:eastAsia="仿宋_GB2312"/>
          <w:color w:val="000000"/>
          <w:sz w:val="32"/>
          <w:szCs w:val="32"/>
        </w:rPr>
      </w:pPr>
    </w:p>
    <w:p>
      <w:pPr>
        <w:spacing w:line="600" w:lineRule="exact"/>
        <w:ind w:firstLineChars="200" w:firstLine="640"/>
        <w:jc w:val="left"/>
        <w:rPr>
          <w:rFonts w:ascii="仿宋_GB2312" w:eastAsia="仿宋_GB2312"/>
          <w:color w:val="000000"/>
          <w:sz w:val="32"/>
          <w:szCs w:val="32"/>
        </w:rPr>
      </w:pPr>
    </w:p>
    <w:p>
      <w:pPr>
        <w:spacing w:line="600" w:lineRule="exact"/>
        <w:ind w:firstLineChars="200" w:firstLine="640"/>
        <w:jc w:val="left"/>
        <w:rPr>
          <w:rFonts w:ascii="仿宋_GB2312" w:eastAsia="仿宋_GB2312"/>
          <w:color w:val="000000"/>
          <w:sz w:val="32"/>
          <w:szCs w:val="32"/>
        </w:rPr>
      </w:pPr>
    </w:p>
    <w:p>
      <w:pPr>
        <w:pStyle w:val="28"/>
        <w:numPr>
          <w:ilvl w:val="0"/>
          <w:numId w:val="1"/>
        </w:numPr>
        <w:spacing w:line="600" w:lineRule="exact"/>
        <w:ind w:firstLineChars="0"/>
        <w:outlineLvl w:val="1"/>
        <w:rPr>
          <w:rStyle w:val="2Char"/>
          <w:rFonts w:ascii="黑体" w:eastAsia="黑体" w:hAnsi="黑体"/>
          <w:b w:val="0"/>
        </w:rPr>
      </w:pPr>
      <w:bookmarkStart w:id="27" w:name="_Toc15396604"/>
      <w:bookmarkStart w:id="28" w:name="_Toc15377206"/>
      <w:r>
        <w:rPr>
          <w:rFonts w:ascii="黑体" w:eastAsia="黑体" w:hAnsi="黑体" w:hint="eastAsia"/>
          <w:color w:val="000000"/>
          <w:sz w:val="32"/>
          <w:szCs w:val="32"/>
        </w:rPr>
        <w:t>收</w:t>
      </w:r>
      <w:r>
        <w:rPr>
          <w:rStyle w:val="2Char"/>
          <w:rFonts w:ascii="黑体" w:eastAsia="黑体" w:hAnsi="黑体" w:hint="eastAsia"/>
          <w:b w:val="0"/>
        </w:rPr>
        <w:t>入决算情况说明</w:t>
      </w:r>
      <w:bookmarkEnd w:id="27"/>
      <w:bookmarkEnd w:id="28"/>
    </w:p>
    <w:p>
      <w:pPr>
        <w:spacing w:line="600" w:lineRule="exact"/>
        <w:ind w:firstLineChars="200" w:firstLine="640"/>
        <w:outlineLvl w:val="1"/>
        <w:rPr>
          <w:rFonts w:ascii="仿宋" w:eastAsia="仿宋" w:hAnsi="仿宋" w:hint="eastAsia"/>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9年本年收入合计</w:t>
      </w:r>
      <w:r>
        <w:rPr>
          <w:rFonts w:ascii="仿宋" w:eastAsia="仿宋" w:hAnsi="仿宋" w:hint="eastAsia"/>
          <w:color w:val="000000"/>
          <w:sz w:val="32"/>
          <w:szCs w:val="32"/>
          <w:lang w:val="en-US" w:eastAsia="zh-CN"/>
        </w:rPr>
        <w:t>27681.74</w:t>
      </w:r>
      <w:r>
        <w:rPr>
          <w:rFonts w:ascii="仿宋" w:eastAsia="仿宋" w:hAnsi="仿宋" w:hint="eastAsia"/>
          <w:color w:val="000000"/>
          <w:sz w:val="32"/>
          <w:szCs w:val="32"/>
        </w:rPr>
        <w:t>万元，其中：一般公共预算财政拨款收入</w:t>
      </w:r>
      <w:r>
        <w:rPr>
          <w:rFonts w:ascii="仿宋" w:eastAsia="仿宋" w:hAnsi="仿宋" w:hint="eastAsia"/>
          <w:color w:val="000000"/>
          <w:sz w:val="32"/>
          <w:szCs w:val="32"/>
          <w:lang w:val="en-US" w:eastAsia="zh-CN"/>
        </w:rPr>
        <w:t>865.75</w:t>
      </w:r>
      <w:r>
        <w:rPr>
          <w:rFonts w:ascii="仿宋" w:eastAsia="仿宋" w:hAnsi="仿宋" w:hint="eastAsia"/>
          <w:color w:val="000000"/>
          <w:sz w:val="32"/>
          <w:szCs w:val="32"/>
        </w:rPr>
        <w:t>万元，占</w:t>
      </w:r>
      <w:r>
        <w:rPr>
          <w:rFonts w:ascii="仿宋" w:eastAsia="仿宋" w:hAnsi="仿宋" w:hint="eastAsia"/>
          <w:color w:val="000000"/>
          <w:sz w:val="32"/>
          <w:szCs w:val="32"/>
          <w:lang w:val="en-US" w:eastAsia="zh-CN"/>
        </w:rPr>
        <w:t>3.13</w:t>
      </w:r>
      <w:r>
        <w:rPr>
          <w:rFonts w:ascii="仿宋" w:eastAsia="仿宋" w:hAnsi="仿宋"/>
          <w:color w:val="000000"/>
          <w:sz w:val="32"/>
          <w:szCs w:val="32"/>
        </w:rPr>
        <w:t>%</w:t>
      </w:r>
      <w:r>
        <w:rPr>
          <w:rFonts w:ascii="仿宋" w:eastAsia="仿宋" w:hAnsi="仿宋" w:hint="eastAsia"/>
          <w:color w:val="000000"/>
          <w:sz w:val="32"/>
          <w:szCs w:val="32"/>
        </w:rPr>
        <w:t>；政府性基金预算财政拨款收入</w:t>
      </w:r>
      <w:r>
        <w:rPr>
          <w:rFonts w:ascii="仿宋" w:eastAsia="仿宋" w:hAnsi="仿宋" w:hint="eastAsia"/>
          <w:color w:val="000000"/>
          <w:sz w:val="32"/>
          <w:szCs w:val="32"/>
          <w:lang w:val="en-US" w:eastAsia="zh-CN"/>
        </w:rPr>
        <w:t>26815.99</w:t>
      </w:r>
      <w:r>
        <w:rPr>
          <w:rFonts w:ascii="仿宋" w:eastAsia="仿宋" w:hAnsi="仿宋" w:hint="eastAsia"/>
          <w:color w:val="000000"/>
          <w:sz w:val="32"/>
          <w:szCs w:val="32"/>
        </w:rPr>
        <w:t>万元，占</w:t>
      </w:r>
      <w:r>
        <w:rPr>
          <w:rFonts w:ascii="仿宋" w:eastAsia="仿宋" w:hAnsi="仿宋" w:hint="eastAsia"/>
          <w:color w:val="000000"/>
          <w:sz w:val="32"/>
          <w:szCs w:val="32"/>
          <w:lang w:val="en-US" w:eastAsia="zh-CN"/>
        </w:rPr>
        <w:t>96.87</w:t>
      </w:r>
      <w:r>
        <w:rPr>
          <w:rFonts w:ascii="仿宋" w:eastAsia="仿宋" w:hAnsi="仿宋"/>
          <w:color w:val="000000"/>
          <w:sz w:val="32"/>
          <w:szCs w:val="32"/>
        </w:rPr>
        <w:t>%</w:t>
      </w:r>
      <w:r>
        <w:rPr>
          <w:rFonts w:ascii="仿宋" w:eastAsia="仿宋" w:hAnsi="仿宋" w:hint="eastAsia"/>
          <w:color w:val="000000"/>
          <w:sz w:val="32"/>
          <w:szCs w:val="32"/>
        </w:rPr>
        <w:t>；上级补助收入</w:t>
      </w:r>
      <w:r>
        <w:rPr>
          <w:rFonts w:ascii="仿宋" w:eastAsia="仿宋" w:hAnsi="仿宋" w:hint="eastAsia"/>
          <w:color w:val="000000"/>
          <w:sz w:val="32"/>
          <w:szCs w:val="32"/>
          <w:lang w:val="en-US" w:eastAsia="zh-CN"/>
        </w:rPr>
        <w:t>0</w:t>
      </w:r>
      <w:r>
        <w:rPr>
          <w:rFonts w:ascii="仿宋" w:eastAsia="仿宋" w:hAnsi="仿宋" w:hint="eastAsia"/>
          <w:color w:val="000000"/>
          <w:sz w:val="32"/>
          <w:szCs w:val="32"/>
        </w:rPr>
        <w:t>万元，占</w:t>
      </w:r>
      <w:r>
        <w:rPr>
          <w:rFonts w:ascii="仿宋" w:eastAsia="仿宋" w:hAnsi="仿宋" w:hint="eastAsia"/>
          <w:color w:val="000000"/>
          <w:sz w:val="32"/>
          <w:szCs w:val="32"/>
          <w:lang w:val="en-US" w:eastAsia="zh-CN"/>
        </w:rPr>
        <w:t>0</w:t>
      </w:r>
      <w:r>
        <w:rPr>
          <w:rFonts w:ascii="仿宋" w:eastAsia="仿宋" w:hAnsi="仿宋"/>
          <w:color w:val="000000"/>
          <w:sz w:val="32"/>
          <w:szCs w:val="32"/>
        </w:rPr>
        <w:t>%</w:t>
      </w:r>
      <w:r>
        <w:rPr>
          <w:rFonts w:ascii="仿宋" w:eastAsia="仿宋" w:hAnsi="仿宋" w:hint="eastAsia"/>
          <w:color w:val="000000"/>
          <w:sz w:val="32"/>
          <w:szCs w:val="32"/>
        </w:rPr>
        <w:t>；事业收入</w:t>
      </w:r>
      <w:r>
        <w:rPr>
          <w:rFonts w:ascii="仿宋" w:eastAsia="仿宋" w:hAnsi="仿宋" w:hint="eastAsia"/>
          <w:color w:val="000000"/>
          <w:sz w:val="32"/>
          <w:szCs w:val="32"/>
          <w:lang w:val="en-US" w:eastAsia="zh-CN"/>
        </w:rPr>
        <w:t>0</w:t>
      </w:r>
      <w:r>
        <w:rPr>
          <w:rFonts w:ascii="仿宋" w:eastAsia="仿宋" w:hAnsi="仿宋" w:hint="eastAsia"/>
          <w:color w:val="000000"/>
          <w:sz w:val="32"/>
          <w:szCs w:val="32"/>
        </w:rPr>
        <w:t>万元，占</w:t>
      </w:r>
      <w:r>
        <w:rPr>
          <w:rFonts w:ascii="仿宋" w:eastAsia="仿宋" w:hAnsi="仿宋" w:hint="eastAsia"/>
          <w:color w:val="000000"/>
          <w:sz w:val="32"/>
          <w:szCs w:val="32"/>
          <w:lang w:val="en-US" w:eastAsia="zh-CN"/>
        </w:rPr>
        <w:t>0</w:t>
      </w:r>
      <w:r>
        <w:rPr>
          <w:rFonts w:ascii="仿宋" w:eastAsia="仿宋" w:hAnsi="仿宋"/>
          <w:color w:val="000000"/>
          <w:sz w:val="32"/>
          <w:szCs w:val="32"/>
        </w:rPr>
        <w:t>%</w:t>
      </w:r>
      <w:r>
        <w:rPr>
          <w:rFonts w:ascii="仿宋" w:eastAsia="仿宋" w:hAnsi="仿宋" w:hint="eastAsia"/>
          <w:color w:val="000000"/>
          <w:sz w:val="32"/>
          <w:szCs w:val="32"/>
        </w:rPr>
        <w:t>；经营收入</w:t>
      </w:r>
      <w:r>
        <w:rPr>
          <w:rFonts w:ascii="仿宋" w:eastAsia="仿宋" w:hAnsi="仿宋" w:hint="eastAsia"/>
          <w:color w:val="000000"/>
          <w:sz w:val="32"/>
          <w:szCs w:val="32"/>
          <w:lang w:val="en-US" w:eastAsia="zh-CN"/>
        </w:rPr>
        <w:t>0</w:t>
      </w:r>
      <w:r>
        <w:rPr>
          <w:rFonts w:ascii="仿宋" w:eastAsia="仿宋" w:hAnsi="仿宋" w:hint="eastAsia"/>
          <w:color w:val="000000"/>
          <w:sz w:val="32"/>
          <w:szCs w:val="32"/>
        </w:rPr>
        <w:t>万元，占</w:t>
      </w:r>
      <w:r>
        <w:rPr>
          <w:rFonts w:ascii="仿宋" w:eastAsia="仿宋" w:hAnsi="仿宋" w:hint="eastAsia"/>
          <w:color w:val="000000"/>
          <w:sz w:val="32"/>
          <w:szCs w:val="32"/>
          <w:lang w:val="en-US" w:eastAsia="zh-CN"/>
        </w:rPr>
        <w:t>0</w:t>
      </w:r>
      <w:r>
        <w:rPr>
          <w:rFonts w:ascii="仿宋" w:eastAsia="仿宋" w:hAnsi="仿宋"/>
          <w:color w:val="000000"/>
          <w:sz w:val="32"/>
          <w:szCs w:val="32"/>
        </w:rPr>
        <w:t>%</w:t>
      </w:r>
      <w:r>
        <w:rPr>
          <w:rFonts w:ascii="仿宋" w:eastAsia="仿宋" w:hAnsi="仿宋" w:hint="eastAsia"/>
          <w:color w:val="000000"/>
          <w:sz w:val="32"/>
          <w:szCs w:val="32"/>
        </w:rPr>
        <w:t>；附属单位上缴收入</w:t>
      </w:r>
      <w:r>
        <w:rPr>
          <w:rFonts w:ascii="仿宋" w:eastAsia="仿宋" w:hAnsi="仿宋" w:hint="eastAsia"/>
          <w:color w:val="000000"/>
          <w:sz w:val="32"/>
          <w:szCs w:val="32"/>
          <w:lang w:val="en-US" w:eastAsia="zh-CN"/>
        </w:rPr>
        <w:t>0</w:t>
      </w:r>
      <w:r>
        <w:rPr>
          <w:rFonts w:ascii="仿宋" w:eastAsia="仿宋" w:hAnsi="仿宋" w:hint="eastAsia"/>
          <w:color w:val="000000"/>
          <w:sz w:val="32"/>
          <w:szCs w:val="32"/>
        </w:rPr>
        <w:t>万元，占</w:t>
      </w:r>
      <w:r>
        <w:rPr>
          <w:rFonts w:ascii="仿宋" w:eastAsia="仿宋" w:hAnsi="仿宋" w:hint="eastAsia"/>
          <w:color w:val="000000"/>
          <w:sz w:val="32"/>
          <w:szCs w:val="32"/>
          <w:lang w:val="en-US" w:eastAsia="zh-CN"/>
        </w:rPr>
        <w:t>0</w:t>
      </w:r>
      <w:r>
        <w:rPr>
          <w:rFonts w:ascii="仿宋" w:eastAsia="仿宋" w:hAnsi="仿宋"/>
          <w:color w:val="000000"/>
          <w:sz w:val="32"/>
          <w:szCs w:val="32"/>
        </w:rPr>
        <w:t>%</w:t>
      </w:r>
      <w:r>
        <w:rPr>
          <w:rFonts w:ascii="仿宋" w:eastAsia="仿宋" w:hAnsi="仿宋" w:hint="eastAsia"/>
          <w:color w:val="000000"/>
          <w:sz w:val="32"/>
          <w:szCs w:val="32"/>
        </w:rPr>
        <w:t>；其他收入</w:t>
      </w:r>
      <w:r>
        <w:rPr>
          <w:rFonts w:ascii="仿宋" w:eastAsia="仿宋" w:hAnsi="仿宋" w:hint="eastAsia"/>
          <w:color w:val="000000"/>
          <w:sz w:val="32"/>
          <w:szCs w:val="32"/>
          <w:lang w:val="en-US" w:eastAsia="zh-CN"/>
        </w:rPr>
        <w:t>0</w:t>
      </w:r>
      <w:r>
        <w:rPr>
          <w:rFonts w:ascii="仿宋" w:eastAsia="仿宋" w:hAnsi="仿宋" w:hint="eastAsia"/>
          <w:color w:val="000000"/>
          <w:sz w:val="32"/>
          <w:szCs w:val="32"/>
        </w:rPr>
        <w:t>万元，占</w:t>
      </w:r>
      <w:r>
        <w:rPr>
          <w:rFonts w:ascii="仿宋" w:eastAsia="仿宋" w:hAnsi="仿宋" w:hint="eastAsia"/>
          <w:color w:val="000000"/>
          <w:sz w:val="32"/>
          <w:szCs w:val="32"/>
          <w:lang w:val="en-US" w:eastAsia="zh-CN"/>
        </w:rPr>
        <w:t>0</w:t>
      </w:r>
      <w:r>
        <w:rPr>
          <w:rFonts w:ascii="仿宋" w:eastAsia="仿宋" w:hAnsi="仿宋"/>
          <w:color w:val="000000"/>
          <w:sz w:val="32"/>
          <w:szCs w:val="32"/>
        </w:rPr>
        <w:t>%</w:t>
      </w:r>
      <w:r>
        <w:rPr>
          <w:rFonts w:ascii="仿宋" w:eastAsia="仿宋" w:hAnsi="仿宋" w:hint="eastAsia"/>
          <w:color w:val="000000"/>
          <w:sz w:val="32"/>
          <w:szCs w:val="32"/>
        </w:rPr>
        <w:t>。</w:t>
      </w:r>
    </w:p>
    <w:p>
      <w:pPr>
        <w:spacing w:line="600" w:lineRule="exact"/>
        <w:ind w:firstLineChars="200" w:firstLine="420"/>
        <w:outlineLvl w:val="1"/>
        <w:rPr>
          <w:rFonts w:ascii="仿宋" w:eastAsia="仿宋" w:hAnsi="仿宋" w:hint="eastAsia"/>
          <w:color w:val="000000"/>
          <w:sz w:val="32"/>
          <w:szCs w:val="32"/>
        </w:rPr>
      </w:pPr>
      <w:r>
        <w:drawing>
          <wp:anchor distT="0" distB="0" distL="114300" distR="114300" simplePos="0" relativeHeight="4" behindDoc="1" locked="0" layoutInCell="1" hidden="0" allowOverlap="1">
            <wp:simplePos x="0" y="0"/>
            <wp:positionH relativeFrom="column">
              <wp:posOffset>153670</wp:posOffset>
            </wp:positionH>
            <wp:positionV relativeFrom="paragraph">
              <wp:posOffset>57150</wp:posOffset>
            </wp:positionV>
            <wp:extent cx="5305425" cy="2873375"/>
            <wp:effectExtent l="0" t="0" r="0" b="0"/>
            <wp:wrapNone/>
            <wp:docPr id="14" name="图表 3"/>
            <wp:cNvGraphicFramePr>
              <a:graphicFrameLocks noChangeAspect="0"/>
            </wp:cNvGraphicFramePr>
            <a:graphic>
              <a:graphicData uri="http://schemas.openxmlformats.org/drawingml/2006/chart">
                <c:chart xmlns:c="http://schemas.openxmlformats.org/drawingml/2006/chart" r:id="rId6"/>
              </a:graphicData>
            </a:graphic>
          </wp:anchor>
        </w:drawing>
      </w:r>
    </w:p>
    <w:p>
      <w:pPr>
        <w:spacing w:line="600" w:lineRule="exact"/>
        <w:ind w:firstLineChars="200" w:firstLine="640"/>
        <w:outlineLvl w:val="1"/>
        <w:rPr>
          <w:rFonts w:ascii="仿宋" w:eastAsia="仿宋" w:hAnsi="仿宋" w:hint="eastAsia"/>
          <w:color w:val="000000"/>
          <w:sz w:val="32"/>
          <w:szCs w:val="32"/>
        </w:rPr>
      </w:pPr>
    </w:p>
    <w:p>
      <w:pPr>
        <w:spacing w:line="600" w:lineRule="exact"/>
        <w:ind w:firstLineChars="200" w:firstLine="640"/>
        <w:outlineLvl w:val="1"/>
        <w:rPr>
          <w:rFonts w:ascii="仿宋" w:eastAsia="仿宋" w:hAnsi="仿宋" w:hint="eastAsia"/>
          <w:color w:val="000000"/>
          <w:sz w:val="32"/>
          <w:szCs w:val="32"/>
        </w:rPr>
      </w:pPr>
    </w:p>
    <w:p>
      <w:pPr>
        <w:spacing w:line="600" w:lineRule="exact"/>
        <w:ind w:firstLineChars="200" w:firstLine="640"/>
        <w:outlineLvl w:val="1"/>
        <w:rPr>
          <w:rFonts w:ascii="仿宋" w:eastAsia="仿宋" w:hAnsi="仿宋" w:hint="eastAsia"/>
          <w:color w:val="000000"/>
          <w:sz w:val="32"/>
          <w:szCs w:val="32"/>
        </w:rPr>
      </w:pPr>
    </w:p>
    <w:p>
      <w:pPr>
        <w:spacing w:line="600" w:lineRule="exact"/>
        <w:ind w:firstLineChars="200" w:firstLine="640"/>
        <w:outlineLvl w:val="1"/>
        <w:rPr>
          <w:rFonts w:ascii="仿宋" w:eastAsia="仿宋" w:hAnsi="仿宋" w:hint="eastAsia"/>
          <w:color w:val="000000"/>
          <w:sz w:val="32"/>
          <w:szCs w:val="32"/>
        </w:rPr>
      </w:pPr>
    </w:p>
    <w:p>
      <w:pPr>
        <w:spacing w:line="600" w:lineRule="exact"/>
        <w:ind w:firstLineChars="200" w:firstLine="640"/>
        <w:outlineLvl w:val="1"/>
        <w:rPr>
          <w:rFonts w:ascii="仿宋" w:eastAsia="仿宋" w:hAnsi="仿宋" w:hint="eastAsia"/>
          <w:color w:val="000000"/>
          <w:sz w:val="32"/>
          <w:szCs w:val="32"/>
        </w:rPr>
      </w:pPr>
    </w:p>
    <w:p>
      <w:pPr>
        <w:spacing w:line="600" w:lineRule="exact"/>
        <w:ind w:firstLineChars="200" w:firstLine="640"/>
        <w:outlineLvl w:val="1"/>
        <w:rPr>
          <w:rFonts w:ascii="仿宋" w:eastAsia="仿宋" w:hAnsi="仿宋"/>
          <w:color w:val="000000"/>
          <w:sz w:val="32"/>
          <w:szCs w:val="32"/>
        </w:rPr>
      </w:pPr>
    </w:p>
    <w:p>
      <w:pPr>
        <w:spacing w:line="600" w:lineRule="exact"/>
        <w:ind w:firstLineChars="200" w:firstLine="640"/>
        <w:rPr>
          <w:rFonts w:ascii="仿宋_GB2312" w:eastAsia="仿宋_GB2312"/>
          <w:color w:val="FF0000"/>
          <w:sz w:val="32"/>
          <w:szCs w:val="32"/>
        </w:rPr>
      </w:pPr>
    </w:p>
    <w:p>
      <w:pPr>
        <w:pStyle w:val="28"/>
        <w:numPr>
          <w:ilvl w:val="0"/>
          <w:numId w:val="1"/>
        </w:numPr>
        <w:spacing w:line="600" w:lineRule="exact"/>
        <w:ind w:firstLineChars="0"/>
        <w:outlineLvl w:val="1"/>
        <w:rPr>
          <w:rStyle w:val="2Char"/>
          <w:rFonts w:ascii="黑体" w:eastAsia="黑体" w:hAnsi="黑体"/>
          <w:b w:val="0"/>
        </w:rPr>
      </w:pPr>
      <w:bookmarkStart w:id="29" w:name="_Toc15377207"/>
      <w:bookmarkStart w:id="30" w:name="_Toc15396605"/>
      <w:r>
        <w:rPr>
          <w:rFonts w:ascii="黑体" w:eastAsia="黑体" w:hAnsi="黑体" w:hint="eastAsia"/>
          <w:color w:val="000000"/>
          <w:sz w:val="32"/>
          <w:szCs w:val="32"/>
        </w:rPr>
        <w:t>支</w:t>
      </w:r>
      <w:r>
        <w:rPr>
          <w:rStyle w:val="2Char"/>
          <w:rFonts w:ascii="黑体" w:eastAsia="黑体" w:hAnsi="黑体" w:hint="eastAsia"/>
          <w:b w:val="0"/>
        </w:rPr>
        <w:t>出决算情况说明</w:t>
      </w:r>
      <w:bookmarkEnd w:id="29"/>
      <w:bookmarkEnd w:id="30"/>
    </w:p>
    <w:p>
      <w:pPr>
        <w:spacing w:line="600" w:lineRule="exact"/>
        <w:ind w:firstLineChars="200" w:firstLine="640"/>
        <w:outlineLvl w:val="1"/>
        <w:rPr>
          <w:rFonts w:ascii="仿宋" w:eastAsia="仿宋" w:hAnsi="仿宋" w:hint="eastAsia"/>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9年本年支出合计</w:t>
      </w:r>
      <w:r>
        <w:rPr>
          <w:rFonts w:ascii="仿宋" w:eastAsia="仿宋" w:hAnsi="仿宋" w:hint="eastAsia"/>
          <w:color w:val="000000"/>
          <w:sz w:val="32"/>
          <w:szCs w:val="32"/>
          <w:lang w:val="en-US" w:eastAsia="zh-CN"/>
        </w:rPr>
        <w:t>27691.76</w:t>
      </w:r>
      <w:r>
        <w:rPr>
          <w:rFonts w:ascii="仿宋" w:eastAsia="仿宋" w:hAnsi="仿宋" w:hint="eastAsia"/>
          <w:color w:val="000000"/>
          <w:sz w:val="32"/>
          <w:szCs w:val="32"/>
        </w:rPr>
        <w:t>万元，其中：基本支出</w:t>
      </w:r>
      <w:r>
        <w:rPr>
          <w:rFonts w:ascii="仿宋" w:eastAsia="仿宋" w:hAnsi="仿宋" w:hint="eastAsia"/>
          <w:color w:val="000000"/>
          <w:sz w:val="32"/>
          <w:szCs w:val="32"/>
          <w:lang w:val="en-US" w:eastAsia="zh-CN"/>
        </w:rPr>
        <w:t>807.07</w:t>
      </w:r>
      <w:r>
        <w:rPr>
          <w:rFonts w:ascii="仿宋" w:eastAsia="仿宋" w:hAnsi="仿宋" w:hint="eastAsia"/>
          <w:color w:val="000000"/>
          <w:sz w:val="32"/>
          <w:szCs w:val="32"/>
        </w:rPr>
        <w:t>万元，占</w:t>
      </w:r>
      <w:r>
        <w:rPr>
          <w:rFonts w:ascii="仿宋" w:eastAsia="仿宋" w:hAnsi="仿宋" w:hint="eastAsia"/>
          <w:color w:val="000000"/>
          <w:sz w:val="32"/>
          <w:szCs w:val="32"/>
          <w:lang w:val="en-US" w:eastAsia="zh-CN"/>
        </w:rPr>
        <w:t>2.91</w:t>
      </w:r>
      <w:r>
        <w:rPr>
          <w:rFonts w:ascii="仿宋" w:eastAsia="仿宋" w:hAnsi="仿宋"/>
          <w:color w:val="000000"/>
          <w:sz w:val="32"/>
          <w:szCs w:val="32"/>
        </w:rPr>
        <w:t>%</w:t>
      </w:r>
      <w:r>
        <w:rPr>
          <w:rFonts w:ascii="仿宋" w:eastAsia="仿宋" w:hAnsi="仿宋" w:hint="eastAsia"/>
          <w:color w:val="000000"/>
          <w:sz w:val="32"/>
          <w:szCs w:val="32"/>
        </w:rPr>
        <w:t>；项目支出</w:t>
      </w:r>
      <w:r>
        <w:rPr>
          <w:rFonts w:ascii="仿宋" w:eastAsia="仿宋" w:hAnsi="仿宋" w:hint="eastAsia"/>
          <w:color w:val="000000"/>
          <w:sz w:val="32"/>
          <w:szCs w:val="32"/>
          <w:lang w:val="en-US" w:eastAsia="zh-CN"/>
        </w:rPr>
        <w:t>26884.69</w:t>
      </w:r>
      <w:r>
        <w:rPr>
          <w:rFonts w:ascii="仿宋" w:eastAsia="仿宋" w:hAnsi="仿宋" w:hint="eastAsia"/>
          <w:color w:val="000000"/>
          <w:sz w:val="32"/>
          <w:szCs w:val="32"/>
        </w:rPr>
        <w:t>万元，占</w:t>
      </w:r>
      <w:r>
        <w:rPr>
          <w:rFonts w:ascii="仿宋" w:eastAsia="仿宋" w:hAnsi="仿宋" w:hint="eastAsia"/>
          <w:color w:val="000000"/>
          <w:sz w:val="32"/>
          <w:szCs w:val="32"/>
          <w:lang w:val="en-US" w:eastAsia="zh-CN"/>
        </w:rPr>
        <w:t>97.09</w:t>
      </w:r>
      <w:r>
        <w:rPr>
          <w:rFonts w:ascii="仿宋" w:eastAsia="仿宋" w:hAnsi="仿宋"/>
          <w:color w:val="000000"/>
          <w:sz w:val="32"/>
          <w:szCs w:val="32"/>
        </w:rPr>
        <w:t>%</w:t>
      </w:r>
      <w:r>
        <w:rPr>
          <w:rFonts w:ascii="仿宋" w:eastAsia="仿宋" w:hAnsi="仿宋" w:hint="eastAsia"/>
          <w:color w:val="000000"/>
          <w:sz w:val="32"/>
          <w:szCs w:val="32"/>
        </w:rPr>
        <w:t>；上缴上级支出</w:t>
      </w:r>
      <w:r>
        <w:rPr>
          <w:rFonts w:ascii="仿宋" w:eastAsia="仿宋" w:hAnsi="仿宋" w:hint="eastAsia"/>
          <w:color w:val="000000"/>
          <w:sz w:val="32"/>
          <w:szCs w:val="32"/>
          <w:lang w:val="en-US" w:eastAsia="zh-CN"/>
        </w:rPr>
        <w:t>0</w:t>
      </w:r>
      <w:r>
        <w:rPr>
          <w:rFonts w:ascii="仿宋" w:eastAsia="仿宋" w:hAnsi="仿宋" w:hint="eastAsia"/>
          <w:color w:val="000000"/>
          <w:sz w:val="32"/>
          <w:szCs w:val="32"/>
        </w:rPr>
        <w:t>万元，占</w:t>
      </w:r>
      <w:r>
        <w:rPr>
          <w:rFonts w:ascii="仿宋" w:eastAsia="仿宋" w:hAnsi="仿宋" w:hint="eastAsia"/>
          <w:color w:val="000000"/>
          <w:sz w:val="32"/>
          <w:szCs w:val="32"/>
          <w:lang w:val="en-US" w:eastAsia="zh-CN"/>
        </w:rPr>
        <w:t>0</w:t>
      </w:r>
      <w:r>
        <w:rPr>
          <w:rFonts w:ascii="仿宋" w:eastAsia="仿宋" w:hAnsi="仿宋"/>
          <w:color w:val="000000"/>
          <w:sz w:val="32"/>
          <w:szCs w:val="32"/>
        </w:rPr>
        <w:t>%</w:t>
      </w:r>
      <w:r>
        <w:rPr>
          <w:rFonts w:ascii="仿宋" w:eastAsia="仿宋" w:hAnsi="仿宋" w:hint="eastAsia"/>
          <w:color w:val="000000"/>
          <w:sz w:val="32"/>
          <w:szCs w:val="32"/>
        </w:rPr>
        <w:t>；经营支出</w:t>
      </w:r>
      <w:r>
        <w:rPr>
          <w:rFonts w:ascii="仿宋" w:eastAsia="仿宋" w:hAnsi="仿宋" w:hint="eastAsia"/>
          <w:color w:val="000000"/>
          <w:sz w:val="32"/>
          <w:szCs w:val="32"/>
          <w:lang w:val="en-US" w:eastAsia="zh-CN"/>
        </w:rPr>
        <w:t>0</w:t>
      </w:r>
      <w:r>
        <w:rPr>
          <w:rFonts w:ascii="仿宋" w:eastAsia="仿宋" w:hAnsi="仿宋" w:hint="eastAsia"/>
          <w:color w:val="000000"/>
          <w:sz w:val="32"/>
          <w:szCs w:val="32"/>
        </w:rPr>
        <w:t>万元，占</w:t>
      </w:r>
      <w:r>
        <w:rPr>
          <w:rFonts w:ascii="仿宋" w:eastAsia="仿宋" w:hAnsi="仿宋" w:hint="eastAsia"/>
          <w:color w:val="000000"/>
          <w:sz w:val="32"/>
          <w:szCs w:val="32"/>
          <w:lang w:val="en-US" w:eastAsia="zh-CN"/>
        </w:rPr>
        <w:t>0</w:t>
      </w:r>
      <w:r>
        <w:rPr>
          <w:rFonts w:ascii="仿宋" w:eastAsia="仿宋" w:hAnsi="仿宋"/>
          <w:color w:val="000000"/>
          <w:sz w:val="32"/>
          <w:szCs w:val="32"/>
        </w:rPr>
        <w:t>%</w:t>
      </w:r>
      <w:r>
        <w:rPr>
          <w:rFonts w:ascii="仿宋" w:eastAsia="仿宋" w:hAnsi="仿宋" w:hint="eastAsia"/>
          <w:color w:val="000000"/>
          <w:sz w:val="32"/>
          <w:szCs w:val="32"/>
        </w:rPr>
        <w:t>；对附属单位补助支出</w:t>
      </w:r>
      <w:r>
        <w:rPr>
          <w:rFonts w:ascii="仿宋" w:eastAsia="仿宋" w:hAnsi="仿宋" w:hint="eastAsia"/>
          <w:color w:val="000000"/>
          <w:sz w:val="32"/>
          <w:szCs w:val="32"/>
          <w:lang w:val="en-US" w:eastAsia="zh-CN"/>
        </w:rPr>
        <w:t>0</w:t>
      </w:r>
      <w:r>
        <w:rPr>
          <w:rFonts w:ascii="仿宋" w:eastAsia="仿宋" w:hAnsi="仿宋" w:hint="eastAsia"/>
          <w:color w:val="000000"/>
          <w:sz w:val="32"/>
          <w:szCs w:val="32"/>
        </w:rPr>
        <w:t>万元，占</w:t>
      </w:r>
      <w:r>
        <w:rPr>
          <w:rFonts w:ascii="仿宋" w:eastAsia="仿宋" w:hAnsi="仿宋" w:hint="eastAsia"/>
          <w:color w:val="000000"/>
          <w:sz w:val="32"/>
          <w:szCs w:val="32"/>
          <w:lang w:val="en-US" w:eastAsia="zh-CN"/>
        </w:rPr>
        <w:t>0</w:t>
      </w:r>
      <w:r>
        <w:rPr>
          <w:rFonts w:ascii="仿宋" w:eastAsia="仿宋" w:hAnsi="仿宋"/>
          <w:color w:val="000000"/>
          <w:sz w:val="32"/>
          <w:szCs w:val="32"/>
        </w:rPr>
        <w:t>%</w:t>
      </w:r>
      <w:r>
        <w:rPr>
          <w:rFonts w:ascii="仿宋" w:eastAsia="仿宋" w:hAnsi="仿宋" w:hint="eastAsia"/>
          <w:color w:val="000000"/>
          <w:sz w:val="32"/>
          <w:szCs w:val="32"/>
        </w:rPr>
        <w:t>。</w:t>
      </w:r>
    </w:p>
    <w:p>
      <w:pPr>
        <w:spacing w:line="600" w:lineRule="exact"/>
        <w:ind w:firstLineChars="200" w:firstLine="420"/>
        <w:outlineLvl w:val="1"/>
        <w:rPr>
          <w:rFonts w:ascii="仿宋" w:eastAsia="仿宋" w:hAnsi="仿宋" w:hint="eastAsia"/>
          <w:color w:val="000000"/>
          <w:sz w:val="32"/>
          <w:szCs w:val="32"/>
        </w:rPr>
      </w:pPr>
      <w:r>
        <w:drawing>
          <wp:anchor distT="0" distB="0" distL="114300" distR="114300" simplePos="0" relativeHeight="6" behindDoc="1" locked="0" layoutInCell="1" hidden="0" allowOverlap="1">
            <wp:simplePos x="0" y="0"/>
            <wp:positionH relativeFrom="column">
              <wp:posOffset>77470</wp:posOffset>
            </wp:positionH>
            <wp:positionV relativeFrom="paragraph">
              <wp:posOffset>7620</wp:posOffset>
            </wp:positionV>
            <wp:extent cx="5429250" cy="2799715"/>
            <wp:effectExtent l="0" t="0" r="0" b="0"/>
            <wp:wrapNone/>
            <wp:docPr id="15" name="图表 4"/>
            <wp:cNvGraphicFramePr>
              <a:graphicFrameLocks noChangeAspect="0"/>
            </wp:cNvGraphicFramePr>
            <a:graphic>
              <a:graphicData uri="http://schemas.openxmlformats.org/drawingml/2006/chart">
                <c:chart xmlns:c="http://schemas.openxmlformats.org/drawingml/2006/chart" r:id="rId7"/>
              </a:graphicData>
            </a:graphic>
          </wp:anchor>
        </w:drawing>
      </w:r>
    </w:p>
    <w:p>
      <w:pPr>
        <w:spacing w:line="600" w:lineRule="exact"/>
        <w:ind w:firstLineChars="200" w:firstLine="640"/>
        <w:outlineLvl w:val="1"/>
        <w:rPr>
          <w:rFonts w:ascii="仿宋" w:eastAsia="仿宋" w:hAnsi="仿宋" w:hint="eastAsia"/>
          <w:color w:val="000000"/>
          <w:sz w:val="32"/>
          <w:szCs w:val="32"/>
        </w:rPr>
      </w:pPr>
    </w:p>
    <w:p>
      <w:pPr>
        <w:spacing w:line="600" w:lineRule="exact"/>
        <w:ind w:firstLineChars="200" w:firstLine="640"/>
        <w:outlineLvl w:val="1"/>
        <w:rPr>
          <w:rFonts w:ascii="仿宋" w:eastAsia="仿宋" w:hAnsi="仿宋" w:hint="eastAsia"/>
          <w:color w:val="000000"/>
          <w:sz w:val="32"/>
          <w:szCs w:val="32"/>
        </w:rPr>
      </w:pPr>
    </w:p>
    <w:p>
      <w:pPr>
        <w:spacing w:line="600" w:lineRule="exact"/>
        <w:ind w:firstLineChars="200" w:firstLine="640"/>
        <w:outlineLvl w:val="1"/>
        <w:rPr>
          <w:rFonts w:ascii="仿宋" w:eastAsia="仿宋" w:hAnsi="仿宋" w:hint="eastAsia"/>
          <w:color w:val="000000"/>
          <w:sz w:val="32"/>
          <w:szCs w:val="32"/>
        </w:rPr>
      </w:pPr>
    </w:p>
    <w:p>
      <w:pPr>
        <w:spacing w:line="600" w:lineRule="exact"/>
        <w:ind w:firstLineChars="200" w:firstLine="640"/>
        <w:outlineLvl w:val="1"/>
        <w:rPr>
          <w:rFonts w:ascii="仿宋" w:eastAsia="仿宋" w:hAnsi="仿宋" w:hint="eastAsia"/>
          <w:color w:val="000000"/>
          <w:sz w:val="32"/>
          <w:szCs w:val="32"/>
        </w:rPr>
      </w:pPr>
    </w:p>
    <w:p>
      <w:pPr>
        <w:spacing w:line="600" w:lineRule="exact"/>
        <w:ind w:firstLineChars="200" w:firstLine="640"/>
        <w:outlineLvl w:val="1"/>
        <w:rPr>
          <w:rFonts w:ascii="仿宋" w:eastAsia="仿宋" w:hAnsi="仿宋" w:hint="eastAsia"/>
          <w:color w:val="000000"/>
          <w:sz w:val="32"/>
          <w:szCs w:val="32"/>
        </w:rPr>
      </w:pPr>
    </w:p>
    <w:p>
      <w:pPr>
        <w:spacing w:line="600" w:lineRule="exact"/>
        <w:ind w:firstLineChars="200" w:firstLine="640"/>
        <w:rPr>
          <w:rFonts w:ascii="仿宋_GB2312" w:eastAsia="仿宋_GB2312"/>
          <w:color w:val="FF0000"/>
          <w:sz w:val="32"/>
          <w:szCs w:val="32"/>
        </w:rPr>
      </w:pPr>
    </w:p>
    <w:p>
      <w:pPr>
        <w:rPr>
          <w:rFonts w:ascii="黑体" w:eastAsia="黑体" w:hAnsi="黑体" w:hint="eastAsia"/>
          <w:color w:val="000000"/>
          <w:sz w:val="32"/>
          <w:szCs w:val="32"/>
        </w:rPr>
      </w:pPr>
      <w:bookmarkStart w:id="31" w:name="_Toc15377208"/>
      <w:bookmarkStart w:id="32" w:name="_Toc15396606"/>
      <w:r>
        <w:rPr>
          <w:rFonts w:ascii="黑体" w:eastAsia="黑体" w:hAnsi="黑体" w:hint="eastAsia"/>
          <w:color w:val="000000"/>
          <w:sz w:val="32"/>
          <w:szCs w:val="32"/>
        </w:rPr>
        <w:br w:type="page"/>
      </w:r>
    </w:p>
    <w:p>
      <w:pPr>
        <w:spacing w:line="600" w:lineRule="exact"/>
        <w:ind w:firstLineChars="200" w:firstLine="640"/>
        <w:outlineLvl w:val="1"/>
        <w:rPr>
          <w:rStyle w:val="2Char"/>
          <w:rFonts w:ascii="黑体" w:eastAsia="黑体" w:hAnsi="黑体"/>
          <w:b w:val="0"/>
        </w:rPr>
      </w:pPr>
      <w:r>
        <w:rPr>
          <w:rFonts w:ascii="黑体" w:eastAsia="黑体" w:hAnsi="黑体" w:hint="eastAsia"/>
          <w:color w:val="000000"/>
          <w:sz w:val="32"/>
          <w:szCs w:val="32"/>
        </w:rPr>
        <w:t>四、财</w:t>
      </w:r>
      <w:r>
        <w:rPr>
          <w:rStyle w:val="2Char"/>
          <w:rFonts w:ascii="黑体" w:eastAsia="黑体" w:hAnsi="黑体" w:hint="eastAsia"/>
          <w:b w:val="0"/>
        </w:rPr>
        <w:t>政拨款收入支出决算总体情况说明</w:t>
      </w:r>
      <w:bookmarkEnd w:id="31"/>
      <w:bookmarkEnd w:id="32"/>
    </w:p>
    <w:p>
      <w:pPr>
        <w:spacing w:line="600" w:lineRule="exact"/>
        <w:ind w:firstLine="640"/>
        <w:rPr>
          <w:rFonts w:ascii="仿宋" w:eastAsia="仿宋" w:hAnsi="仿宋" w:hint="eastAsia"/>
          <w:color w:val="000000"/>
          <w:sz w:val="32"/>
          <w:szCs w:val="32"/>
          <w:lang w:eastAsia="zh-CN"/>
        </w:rPr>
      </w:pPr>
      <w:r>
        <w:rPr>
          <w:rFonts w:ascii="仿宋" w:eastAsia="仿宋" w:hAnsi="仿宋"/>
          <w:color w:val="000000"/>
          <w:sz w:val="32"/>
          <w:szCs w:val="32"/>
        </w:rPr>
        <w:t>201</w:t>
      </w:r>
      <w:r>
        <w:rPr>
          <w:rFonts w:ascii="仿宋" w:eastAsia="仿宋" w:hAnsi="仿宋" w:hint="eastAsia"/>
          <w:color w:val="000000"/>
          <w:sz w:val="32"/>
          <w:szCs w:val="32"/>
        </w:rPr>
        <w:t>9年财政拨款收</w:t>
      </w:r>
      <w:r>
        <w:rPr>
          <w:rFonts w:ascii="仿宋" w:eastAsia="仿宋" w:hAnsi="仿宋" w:hint="eastAsia"/>
          <w:color w:val="000000"/>
          <w:sz w:val="32"/>
          <w:szCs w:val="32"/>
          <w:lang w:eastAsia="zh-CN"/>
        </w:rPr>
        <w:t>入</w:t>
      </w:r>
      <w:r>
        <w:rPr>
          <w:rFonts w:ascii="仿宋" w:eastAsia="仿宋" w:hAnsi="仿宋" w:hint="eastAsia"/>
          <w:color w:val="000000"/>
          <w:sz w:val="32"/>
          <w:szCs w:val="32"/>
        </w:rPr>
        <w:t>总计</w:t>
      </w:r>
      <w:r>
        <w:rPr>
          <w:rFonts w:ascii="仿宋" w:eastAsia="仿宋" w:hAnsi="仿宋" w:hint="eastAsia"/>
          <w:color w:val="000000"/>
          <w:sz w:val="32"/>
          <w:szCs w:val="32"/>
          <w:lang w:val="en-US" w:eastAsia="zh-CN"/>
        </w:rPr>
        <w:t>27681.74</w:t>
      </w:r>
      <w:r>
        <w:rPr>
          <w:rFonts w:ascii="仿宋" w:eastAsia="仿宋" w:hAnsi="仿宋" w:hint="eastAsia"/>
          <w:color w:val="000000"/>
          <w:sz w:val="32"/>
          <w:szCs w:val="32"/>
        </w:rPr>
        <w:t>万元</w:t>
      </w:r>
      <w:r>
        <w:rPr>
          <w:rFonts w:ascii="仿宋" w:eastAsia="仿宋" w:hAnsi="仿宋" w:hint="eastAsia"/>
          <w:color w:val="000000"/>
          <w:sz w:val="32"/>
          <w:szCs w:val="32"/>
          <w:lang w:eastAsia="zh-CN"/>
        </w:rPr>
        <w:t>、支出</w:t>
      </w:r>
      <w:r>
        <w:rPr>
          <w:rFonts w:ascii="仿宋" w:eastAsia="仿宋" w:hAnsi="仿宋" w:hint="eastAsia"/>
          <w:color w:val="000000"/>
          <w:sz w:val="32"/>
          <w:szCs w:val="32"/>
          <w:lang w:val="en-US" w:eastAsia="zh-CN"/>
        </w:rPr>
        <w:t>27691.76万元</w:t>
      </w:r>
      <w:r>
        <w:rPr>
          <w:rFonts w:ascii="仿宋" w:eastAsia="仿宋" w:hAnsi="仿宋" w:hint="eastAsia"/>
          <w:color w:val="000000"/>
          <w:sz w:val="32"/>
          <w:szCs w:val="32"/>
        </w:rPr>
        <w:t>。与</w:t>
      </w:r>
      <w:r>
        <w:rPr>
          <w:rFonts w:ascii="仿宋" w:eastAsia="仿宋" w:hAnsi="仿宋"/>
          <w:color w:val="000000"/>
          <w:sz w:val="32"/>
          <w:szCs w:val="32"/>
        </w:rPr>
        <w:t>201</w:t>
      </w:r>
      <w:r>
        <w:rPr>
          <w:rFonts w:ascii="仿宋" w:eastAsia="仿宋" w:hAnsi="仿宋" w:hint="eastAsia"/>
          <w:color w:val="000000"/>
          <w:sz w:val="32"/>
          <w:szCs w:val="32"/>
        </w:rPr>
        <w:t>8年相比，财政拨款收</w:t>
      </w:r>
      <w:r>
        <w:rPr>
          <w:rFonts w:ascii="仿宋" w:eastAsia="仿宋" w:hAnsi="仿宋" w:hint="eastAsia"/>
          <w:color w:val="000000"/>
          <w:sz w:val="32"/>
          <w:szCs w:val="32"/>
          <w:lang w:eastAsia="zh-CN"/>
        </w:rPr>
        <w:t>入</w:t>
      </w:r>
      <w:r>
        <w:rPr>
          <w:rFonts w:ascii="仿宋" w:eastAsia="仿宋" w:hAnsi="仿宋" w:hint="eastAsia"/>
          <w:color w:val="000000"/>
          <w:sz w:val="32"/>
          <w:szCs w:val="32"/>
        </w:rPr>
        <w:t>增加</w:t>
      </w:r>
      <w:r>
        <w:rPr>
          <w:rFonts w:ascii="仿宋" w:eastAsia="仿宋" w:hAnsi="仿宋" w:hint="eastAsia"/>
          <w:color w:val="000000"/>
          <w:sz w:val="32"/>
          <w:szCs w:val="32"/>
          <w:lang w:val="en-US" w:eastAsia="zh-CN"/>
        </w:rPr>
        <w:t>21380.6</w:t>
      </w:r>
      <w:r>
        <w:rPr>
          <w:rFonts w:ascii="仿宋" w:eastAsia="仿宋" w:hAnsi="仿宋" w:hint="eastAsia"/>
          <w:color w:val="000000"/>
          <w:sz w:val="32"/>
          <w:szCs w:val="32"/>
        </w:rPr>
        <w:t>万元，增长</w:t>
      </w:r>
      <w:r>
        <w:rPr>
          <w:rFonts w:ascii="仿宋" w:eastAsia="仿宋" w:hAnsi="仿宋" w:hint="eastAsia"/>
          <w:color w:val="000000"/>
          <w:sz w:val="32"/>
          <w:szCs w:val="32"/>
          <w:lang w:val="en-US" w:eastAsia="zh-CN"/>
        </w:rPr>
        <w:t>339.31</w:t>
      </w:r>
      <w:r>
        <w:rPr>
          <w:rFonts w:ascii="仿宋" w:eastAsia="仿宋" w:hAnsi="仿宋"/>
          <w:color w:val="000000"/>
          <w:sz w:val="32"/>
          <w:szCs w:val="32"/>
        </w:rPr>
        <w:t>%</w:t>
      </w:r>
      <w:r>
        <w:rPr>
          <w:rFonts w:ascii="仿宋" w:eastAsia="仿宋" w:hAnsi="仿宋" w:hint="eastAsia"/>
          <w:color w:val="000000"/>
          <w:sz w:val="32"/>
          <w:szCs w:val="32"/>
          <w:lang w:eastAsia="zh-CN"/>
        </w:rPr>
        <w:t>；支出增加</w:t>
      </w:r>
      <w:r>
        <w:rPr>
          <w:rFonts w:ascii="仿宋" w:eastAsia="仿宋" w:hAnsi="仿宋" w:hint="eastAsia"/>
          <w:color w:val="000000"/>
          <w:sz w:val="32"/>
          <w:szCs w:val="32"/>
          <w:lang w:val="en-US" w:eastAsia="zh-CN"/>
        </w:rPr>
        <w:t>21392.42万元，增长339.59%</w:t>
      </w:r>
      <w:r>
        <w:rPr>
          <w:rFonts w:ascii="仿宋" w:eastAsia="仿宋" w:hAnsi="仿宋" w:hint="eastAsia"/>
          <w:color w:val="000000"/>
          <w:sz w:val="32"/>
          <w:szCs w:val="32"/>
        </w:rPr>
        <w:t>。主要变动原因是</w:t>
      </w:r>
      <w:r>
        <w:rPr>
          <w:rFonts w:ascii="仿宋" w:eastAsia="仿宋" w:hAnsi="仿宋" w:hint="eastAsia"/>
          <w:color w:val="000000"/>
          <w:sz w:val="32"/>
          <w:szCs w:val="32"/>
          <w:lang w:eastAsia="zh-CN"/>
        </w:rPr>
        <w:t>征拆项目增加。</w:t>
      </w:r>
    </w:p>
    <w:p>
      <w:pPr>
        <w:spacing w:line="600" w:lineRule="exact"/>
        <w:ind w:firstLine="640"/>
        <w:rPr>
          <w:rFonts w:ascii="仿宋" w:eastAsia="仿宋" w:hAnsi="仿宋" w:hint="eastAsia"/>
          <w:color w:val="000000"/>
          <w:sz w:val="32"/>
          <w:szCs w:val="32"/>
          <w:lang w:eastAsia="zh-CN"/>
        </w:rPr>
      </w:pPr>
      <w:r>
        <w:drawing>
          <wp:anchor distT="0" distB="0" distL="114300" distR="114300" simplePos="0" relativeHeight="8" behindDoc="1" locked="0" layoutInCell="1" hidden="0" allowOverlap="1">
            <wp:simplePos x="0" y="0"/>
            <wp:positionH relativeFrom="column">
              <wp:posOffset>55245</wp:posOffset>
            </wp:positionH>
            <wp:positionV relativeFrom="paragraph">
              <wp:posOffset>299720</wp:posOffset>
            </wp:positionV>
            <wp:extent cx="5574030" cy="2432685"/>
            <wp:effectExtent l="0" t="0" r="0" b="0"/>
            <wp:wrapNone/>
            <wp:docPr id="16" name="Chart 10"/>
            <wp:cNvGraphicFramePr>
              <a:graphicFrameLocks noChangeAspect="0"/>
            </wp:cNvGraphicFramePr>
            <a:graphic>
              <a:graphicData uri="http://schemas.openxmlformats.org/drawingml/2006/chart">
                <c:chart xmlns:c="http://schemas.openxmlformats.org/drawingml/2006/chart" r:id="rId8"/>
              </a:graphicData>
            </a:graphic>
          </wp:anchor>
        </w:drawing>
      </w:r>
    </w:p>
    <w:p>
      <w:pPr>
        <w:spacing w:line="600" w:lineRule="exact"/>
        <w:rPr>
          <w:rFonts w:ascii="仿宋" w:eastAsia="仿宋" w:hAnsi="仿宋"/>
          <w:color w:val="000000"/>
          <w:sz w:val="32"/>
          <w:szCs w:val="32"/>
        </w:rPr>
      </w:pPr>
    </w:p>
    <w:p>
      <w:pPr>
        <w:spacing w:line="600" w:lineRule="exact"/>
        <w:ind w:firstLine="640"/>
        <w:rPr>
          <w:rFonts w:ascii="仿宋" w:eastAsia="仿宋" w:hAnsi="仿宋"/>
          <w:b/>
          <w:color w:val="00B050"/>
          <w:sz w:val="32"/>
          <w:szCs w:val="32"/>
        </w:rPr>
      </w:pPr>
    </w:p>
    <w:p>
      <w:pPr>
        <w:spacing w:line="600" w:lineRule="exact"/>
        <w:ind w:firstLine="640"/>
        <w:rPr>
          <w:rFonts w:ascii="仿宋" w:eastAsia="仿宋" w:hAnsi="仿宋"/>
          <w:b/>
          <w:color w:val="00B050"/>
          <w:sz w:val="32"/>
          <w:szCs w:val="32"/>
        </w:rPr>
      </w:pPr>
    </w:p>
    <w:p>
      <w:pPr>
        <w:spacing w:line="600" w:lineRule="exact"/>
        <w:ind w:firstLine="640"/>
        <w:rPr>
          <w:rFonts w:ascii="仿宋" w:eastAsia="仿宋" w:hAnsi="仿宋"/>
          <w:b/>
          <w:color w:val="00B050"/>
          <w:sz w:val="32"/>
          <w:szCs w:val="32"/>
        </w:rPr>
      </w:pPr>
    </w:p>
    <w:p>
      <w:pPr>
        <w:spacing w:line="600" w:lineRule="exact"/>
        <w:ind w:firstLine="640"/>
        <w:rPr>
          <w:rFonts w:ascii="仿宋" w:eastAsia="仿宋" w:hAnsi="仿宋"/>
          <w:b/>
          <w:color w:val="00B050"/>
          <w:sz w:val="32"/>
          <w:szCs w:val="32"/>
        </w:rPr>
      </w:pPr>
    </w:p>
    <w:p>
      <w:pPr>
        <w:spacing w:line="600" w:lineRule="exact"/>
        <w:ind w:firstLineChars="200" w:firstLine="640"/>
        <w:outlineLvl w:val="1"/>
        <w:rPr>
          <w:rFonts w:ascii="黑体" w:eastAsia="黑体" w:hAnsi="黑体" w:hint="eastAsia"/>
          <w:color w:val="000000"/>
          <w:sz w:val="32"/>
          <w:szCs w:val="32"/>
        </w:rPr>
      </w:pPr>
      <w:bookmarkStart w:id="33" w:name="_Toc15377209"/>
      <w:bookmarkStart w:id="34" w:name="_Toc15396607"/>
    </w:p>
    <w:p>
      <w:pPr>
        <w:spacing w:line="600" w:lineRule="exact"/>
        <w:ind w:firstLineChars="200" w:firstLine="640"/>
        <w:outlineLvl w:val="1"/>
        <w:rPr>
          <w:rFonts w:ascii="黑体" w:eastAsia="黑体" w:hAnsi="黑体" w:hint="eastAsia"/>
          <w:color w:val="000000"/>
          <w:sz w:val="32"/>
          <w:szCs w:val="32"/>
        </w:rPr>
      </w:pPr>
    </w:p>
    <w:p>
      <w:pPr>
        <w:spacing w:line="600" w:lineRule="exact"/>
        <w:ind w:firstLineChars="200" w:firstLine="640"/>
        <w:outlineLvl w:val="1"/>
        <w:rPr>
          <w:rFonts w:ascii="黑体" w:eastAsia="黑体" w:hAnsi="黑体" w:hint="eastAsia"/>
          <w:color w:val="000000"/>
          <w:sz w:val="32"/>
          <w:szCs w:val="32"/>
        </w:rPr>
      </w:pPr>
    </w:p>
    <w:p>
      <w:pPr>
        <w:spacing w:line="600" w:lineRule="exact"/>
        <w:ind w:firstLineChars="200" w:firstLine="640"/>
        <w:outlineLvl w:val="1"/>
        <w:rPr>
          <w:rStyle w:val="2Char"/>
          <w:rFonts w:ascii="黑体" w:eastAsia="黑体" w:hAnsi="黑体"/>
          <w:b w:val="0"/>
        </w:rPr>
      </w:pPr>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2Char"/>
          <w:rFonts w:ascii="黑体" w:eastAsia="黑体" w:hAnsi="黑体" w:hint="eastAsia"/>
          <w:b w:val="0"/>
        </w:rPr>
        <w:t>般公共预算财政拨款支出决算情况说明</w:t>
      </w:r>
      <w:bookmarkEnd w:id="33"/>
      <w:bookmarkEnd w:id="34"/>
    </w:p>
    <w:p>
      <w:pPr>
        <w:spacing w:line="600" w:lineRule="exact"/>
        <w:ind w:firstLineChars="200" w:firstLine="640"/>
        <w:outlineLvl w:val="2"/>
        <w:rPr>
          <w:rFonts w:ascii="华文楷体" w:eastAsia="华文楷体" w:cs="华文楷体" w:hAnsi="华文楷体" w:hint="eastAsia"/>
          <w:b w:val="0"/>
          <w:bCs/>
          <w:color w:val="000000"/>
          <w:sz w:val="32"/>
          <w:szCs w:val="32"/>
        </w:rPr>
      </w:pPr>
      <w:bookmarkStart w:id="35" w:name="_Toc15377210"/>
      <w:r>
        <w:rPr>
          <w:rFonts w:ascii="华文楷体" w:eastAsia="华文楷体" w:cs="华文楷体" w:hAnsi="华文楷体" w:hint="eastAsia"/>
          <w:b w:val="0"/>
          <w:bCs/>
          <w:color w:val="000000"/>
          <w:sz w:val="32"/>
          <w:szCs w:val="32"/>
        </w:rPr>
        <w:t>（一）一般公共预算财政拨款支出决算总体情况</w:t>
      </w:r>
      <w:bookmarkEnd w:id="35"/>
    </w:p>
    <w:p>
      <w:pPr>
        <w:spacing w:line="600" w:lineRule="exact"/>
        <w:ind w:firstLineChars="200" w:firstLine="640"/>
        <w:rPr>
          <w:rFonts w:ascii="仿宋" w:eastAsia="仿宋" w:hAnsi="仿宋" w:hint="eastAsia"/>
          <w:color w:val="000000"/>
          <w:sz w:val="32"/>
          <w:szCs w:val="32"/>
          <w:lang w:eastAsia="zh-CN"/>
        </w:rPr>
      </w:pPr>
      <w:r>
        <w:rPr>
          <w:rFonts w:ascii="仿宋" w:eastAsia="仿宋" w:hAnsi="仿宋"/>
          <w:color w:val="000000"/>
          <w:sz w:val="32"/>
          <w:szCs w:val="32"/>
        </w:rPr>
        <w:t>201</w:t>
      </w:r>
      <w:r>
        <w:rPr>
          <w:rFonts w:ascii="仿宋" w:eastAsia="仿宋" w:hAnsi="仿宋" w:hint="eastAsia"/>
          <w:color w:val="000000"/>
          <w:sz w:val="32"/>
          <w:szCs w:val="32"/>
        </w:rPr>
        <w:t>9年一般公共预算财政拨款支出</w:t>
      </w:r>
      <w:r>
        <w:rPr>
          <w:rFonts w:ascii="仿宋" w:eastAsia="仿宋" w:hAnsi="仿宋" w:hint="eastAsia"/>
          <w:color w:val="000000"/>
          <w:sz w:val="32"/>
          <w:szCs w:val="32"/>
          <w:lang w:val="en-US" w:eastAsia="zh-CN"/>
        </w:rPr>
        <w:t>875.77</w:t>
      </w:r>
      <w:r>
        <w:rPr>
          <w:rFonts w:ascii="仿宋" w:eastAsia="仿宋" w:hAnsi="仿宋" w:hint="eastAsia"/>
          <w:color w:val="000000"/>
          <w:sz w:val="32"/>
          <w:szCs w:val="32"/>
        </w:rPr>
        <w:t>万元，占本年支出合计的</w:t>
      </w:r>
      <w:r>
        <w:rPr>
          <w:rFonts w:ascii="仿宋" w:eastAsia="仿宋" w:hAnsi="仿宋" w:hint="eastAsia"/>
          <w:color w:val="000000"/>
          <w:sz w:val="32"/>
          <w:szCs w:val="32"/>
          <w:lang w:val="en-US" w:eastAsia="zh-CN"/>
        </w:rPr>
        <w:t>3.16</w:t>
      </w:r>
      <w:r>
        <w:rPr>
          <w:rFonts w:ascii="仿宋" w:eastAsia="仿宋" w:hAnsi="仿宋"/>
          <w:color w:val="000000"/>
          <w:sz w:val="32"/>
          <w:szCs w:val="32"/>
        </w:rPr>
        <w:t>%</w:t>
      </w:r>
      <w:r>
        <w:rPr>
          <w:rFonts w:ascii="仿宋" w:eastAsia="仿宋" w:hAnsi="仿宋" w:hint="eastAsia"/>
          <w:color w:val="000000"/>
          <w:sz w:val="32"/>
          <w:szCs w:val="32"/>
        </w:rPr>
        <w:t>。与</w:t>
      </w:r>
      <w:r>
        <w:rPr>
          <w:rFonts w:ascii="仿宋" w:eastAsia="仿宋" w:hAnsi="仿宋"/>
          <w:color w:val="000000"/>
          <w:sz w:val="32"/>
          <w:szCs w:val="32"/>
        </w:rPr>
        <w:t>201</w:t>
      </w:r>
      <w:r>
        <w:rPr>
          <w:rFonts w:ascii="仿宋" w:eastAsia="仿宋" w:hAnsi="仿宋" w:hint="eastAsia"/>
          <w:color w:val="000000"/>
          <w:sz w:val="32"/>
          <w:szCs w:val="32"/>
        </w:rPr>
        <w:t>8年相比，一般公共预算财政拨款增加</w:t>
      </w:r>
      <w:r>
        <w:rPr>
          <w:rFonts w:ascii="仿宋" w:eastAsia="仿宋" w:hAnsi="仿宋" w:hint="eastAsia"/>
          <w:color w:val="000000"/>
          <w:sz w:val="32"/>
          <w:szCs w:val="32"/>
          <w:lang w:val="en-US" w:eastAsia="zh-CN"/>
        </w:rPr>
        <w:t>130.33</w:t>
      </w:r>
      <w:r>
        <w:rPr>
          <w:rFonts w:ascii="仿宋" w:eastAsia="仿宋" w:hAnsi="仿宋" w:hint="eastAsia"/>
          <w:color w:val="000000"/>
          <w:sz w:val="32"/>
          <w:szCs w:val="32"/>
        </w:rPr>
        <w:t>万元，增长</w:t>
      </w:r>
      <w:r>
        <w:rPr>
          <w:rFonts w:ascii="仿宋" w:eastAsia="仿宋" w:hAnsi="仿宋" w:hint="eastAsia"/>
          <w:color w:val="000000"/>
          <w:sz w:val="32"/>
          <w:szCs w:val="32"/>
          <w:lang w:val="en-US" w:eastAsia="zh-CN"/>
        </w:rPr>
        <w:t>17.48</w:t>
      </w:r>
      <w:r>
        <w:rPr>
          <w:rFonts w:ascii="仿宋" w:eastAsia="仿宋" w:hAnsi="仿宋"/>
          <w:color w:val="000000"/>
          <w:sz w:val="32"/>
          <w:szCs w:val="32"/>
        </w:rPr>
        <w:t>%</w:t>
      </w:r>
      <w:r>
        <w:rPr>
          <w:rFonts w:ascii="仿宋" w:eastAsia="仿宋" w:hAnsi="仿宋" w:hint="eastAsia"/>
          <w:color w:val="000000"/>
          <w:sz w:val="32"/>
          <w:szCs w:val="32"/>
        </w:rPr>
        <w:t>。主要变动原因是</w:t>
      </w:r>
      <w:r>
        <w:rPr>
          <w:rFonts w:ascii="仿宋" w:eastAsia="仿宋" w:hAnsi="仿宋" w:hint="eastAsia"/>
          <w:color w:val="000000"/>
          <w:sz w:val="32"/>
          <w:szCs w:val="32"/>
          <w:lang w:eastAsia="zh-CN"/>
        </w:rPr>
        <w:t>医疗保险、扶贫及事业运行费用的增加。</w:t>
      </w:r>
    </w:p>
    <w:p>
      <w:pPr>
        <w:spacing w:line="600" w:lineRule="exact"/>
        <w:ind w:firstLineChars="200" w:firstLine="640"/>
        <w:rPr>
          <w:rFonts w:ascii="仿宋" w:eastAsia="仿宋" w:hAnsi="仿宋" w:hint="eastAsia"/>
          <w:color w:val="000000"/>
          <w:sz w:val="32"/>
          <w:szCs w:val="32"/>
          <w:lang w:eastAsia="zh-CN"/>
        </w:rPr>
      </w:pPr>
    </w:p>
    <w:p>
      <w:pPr>
        <w:spacing w:line="600" w:lineRule="exact"/>
        <w:ind w:firstLineChars="200" w:firstLine="420"/>
        <w:rPr>
          <w:rFonts w:ascii="仿宋" w:eastAsia="仿宋" w:hAnsi="仿宋" w:hint="eastAsia"/>
          <w:color w:val="000000"/>
          <w:sz w:val="32"/>
          <w:szCs w:val="32"/>
          <w:lang w:eastAsia="zh-CN"/>
        </w:rPr>
      </w:pPr>
      <w:r>
        <w:drawing>
          <wp:anchor distT="0" distB="0" distL="114300" distR="114300" simplePos="0" relativeHeight="10" behindDoc="1" locked="0" layoutInCell="1" hidden="0" allowOverlap="1">
            <wp:simplePos x="0" y="0"/>
            <wp:positionH relativeFrom="column">
              <wp:posOffset>346075</wp:posOffset>
            </wp:positionH>
            <wp:positionV relativeFrom="paragraph">
              <wp:posOffset>-22224</wp:posOffset>
            </wp:positionV>
            <wp:extent cx="4938395" cy="2496820"/>
            <wp:effectExtent l="0" t="0" r="0" b="0"/>
            <wp:wrapNone/>
            <wp:docPr id="17" name="Chart 9"/>
            <wp:cNvGraphicFramePr>
              <a:graphicFrameLocks noChangeAspect="0"/>
            </wp:cNvGraphicFramePr>
            <a:graphic>
              <a:graphicData uri="http://schemas.openxmlformats.org/drawingml/2006/chart">
                <c:chart xmlns:c="http://schemas.openxmlformats.org/drawingml/2006/chart" r:id="rId9"/>
              </a:graphicData>
            </a:graphic>
          </wp:anchor>
        </w:drawing>
      </w:r>
    </w:p>
    <w:p>
      <w:pPr>
        <w:spacing w:line="600" w:lineRule="exact"/>
        <w:ind w:firstLineChars="200" w:firstLine="640"/>
        <w:rPr>
          <w:rFonts w:ascii="仿宋" w:eastAsia="仿宋" w:hAnsi="仿宋"/>
          <w:color w:val="000000"/>
          <w:sz w:val="32"/>
          <w:szCs w:val="32"/>
        </w:rPr>
      </w:pPr>
    </w:p>
    <w:p>
      <w:pPr>
        <w:spacing w:line="600" w:lineRule="exact"/>
        <w:ind w:firstLineChars="200" w:firstLine="640"/>
        <w:rPr>
          <w:rFonts w:ascii="仿宋" w:eastAsia="仿宋" w:hAnsi="仿宋"/>
          <w:color w:val="000000"/>
          <w:sz w:val="32"/>
          <w:szCs w:val="32"/>
        </w:rPr>
      </w:pPr>
    </w:p>
    <w:p>
      <w:pPr>
        <w:spacing w:line="600" w:lineRule="exact"/>
        <w:ind w:firstLineChars="200" w:firstLine="640"/>
        <w:rPr>
          <w:rFonts w:ascii="仿宋" w:eastAsia="仿宋" w:hAnsi="仿宋"/>
          <w:color w:val="000000"/>
          <w:sz w:val="32"/>
          <w:szCs w:val="32"/>
        </w:rPr>
      </w:pPr>
    </w:p>
    <w:p>
      <w:pPr>
        <w:spacing w:line="600" w:lineRule="exact"/>
        <w:ind w:firstLineChars="200" w:firstLine="640"/>
        <w:rPr>
          <w:rFonts w:ascii="仿宋" w:eastAsia="仿宋" w:hAnsi="仿宋"/>
          <w:color w:val="000000"/>
          <w:sz w:val="32"/>
          <w:szCs w:val="32"/>
        </w:rPr>
      </w:pPr>
    </w:p>
    <w:p>
      <w:pPr>
        <w:spacing w:line="600" w:lineRule="exact"/>
        <w:ind w:firstLineChars="200" w:firstLine="640"/>
        <w:rPr>
          <w:rFonts w:ascii="仿宋" w:eastAsia="仿宋" w:hAnsi="仿宋"/>
          <w:color w:val="000000"/>
          <w:sz w:val="32"/>
          <w:szCs w:val="32"/>
        </w:rPr>
      </w:pPr>
    </w:p>
    <w:p>
      <w:pPr>
        <w:spacing w:line="600" w:lineRule="exact"/>
        <w:ind w:firstLineChars="200" w:firstLine="640"/>
        <w:rPr>
          <w:rFonts w:ascii="仿宋" w:eastAsia="仿宋" w:hAnsi="仿宋"/>
          <w:color w:val="000000"/>
          <w:sz w:val="32"/>
          <w:szCs w:val="32"/>
        </w:rPr>
      </w:pPr>
    </w:p>
    <w:p>
      <w:pPr>
        <w:spacing w:line="600" w:lineRule="exact"/>
        <w:ind w:firstLineChars="200" w:firstLine="640"/>
        <w:outlineLvl w:val="2"/>
        <w:rPr>
          <w:rFonts w:ascii="华文楷体" w:eastAsia="华文楷体" w:cs="华文楷体" w:hAnsi="华文楷体" w:hint="eastAsia"/>
          <w:b w:val="0"/>
          <w:bCs/>
          <w:color w:val="000000"/>
          <w:sz w:val="32"/>
          <w:szCs w:val="32"/>
        </w:rPr>
      </w:pPr>
      <w:bookmarkStart w:id="36" w:name="_Toc15377211"/>
      <w:r>
        <w:rPr>
          <w:rFonts w:ascii="华文楷体" w:eastAsia="华文楷体" w:cs="华文楷体" w:hAnsi="华文楷体" w:hint="eastAsia"/>
          <w:b w:val="0"/>
          <w:bCs/>
          <w:color w:val="000000"/>
          <w:sz w:val="32"/>
          <w:szCs w:val="32"/>
        </w:rPr>
        <w:t>（二）一般公共预算财政拨款支出决算结构情况</w:t>
      </w:r>
      <w:bookmarkEnd w:id="36"/>
    </w:p>
    <w:p>
      <w:pPr>
        <w:spacing w:line="600" w:lineRule="exact"/>
        <w:ind w:firstLine="640"/>
        <w:rPr>
          <w:rFonts w:ascii="仿宋" w:eastAsia="仿宋" w:hAnsi="仿宋" w:hint="eastAsia"/>
          <w:color w:val="000000"/>
          <w:sz w:val="32"/>
          <w:szCs w:val="32"/>
          <w:lang w:val="en-US" w:eastAsia="zh-CN"/>
        </w:rPr>
      </w:pPr>
      <w:r>
        <w:rPr>
          <w:rFonts w:ascii="仿宋" w:eastAsia="仿宋" w:hAnsi="仿宋"/>
          <w:color w:val="000000"/>
          <w:sz w:val="32"/>
          <w:szCs w:val="32"/>
        </w:rPr>
        <w:t>201</w:t>
      </w:r>
      <w:r>
        <w:rPr>
          <w:rFonts w:ascii="仿宋" w:eastAsia="仿宋" w:hAnsi="仿宋" w:hint="eastAsia"/>
          <w:color w:val="000000"/>
          <w:sz w:val="32"/>
          <w:szCs w:val="32"/>
        </w:rPr>
        <w:t>9年一般公共预算财政拨款支出</w:t>
      </w:r>
      <w:r>
        <w:rPr>
          <w:rFonts w:ascii="仿宋" w:eastAsia="仿宋" w:hAnsi="仿宋" w:hint="eastAsia"/>
          <w:color w:val="000000"/>
          <w:sz w:val="32"/>
          <w:szCs w:val="32"/>
          <w:lang w:val="en-US" w:eastAsia="zh-CN"/>
        </w:rPr>
        <w:t>875.77</w:t>
      </w:r>
      <w:r>
        <w:rPr>
          <w:rFonts w:ascii="仿宋" w:eastAsia="仿宋" w:hAnsi="仿宋" w:hint="eastAsia"/>
          <w:color w:val="000000"/>
          <w:sz w:val="32"/>
          <w:szCs w:val="32"/>
        </w:rPr>
        <w:t>万元，主要用于以下方面:社会保障和就业（类）支出</w:t>
      </w:r>
      <w:r>
        <w:rPr>
          <w:rFonts w:ascii="仿宋" w:eastAsia="仿宋" w:hAnsi="仿宋" w:hint="eastAsia"/>
          <w:color w:val="000000"/>
          <w:sz w:val="32"/>
          <w:szCs w:val="32"/>
          <w:lang w:val="en-US" w:eastAsia="zh-CN"/>
        </w:rPr>
        <w:t>75.52</w:t>
      </w:r>
      <w:r>
        <w:rPr>
          <w:rFonts w:ascii="仿宋" w:eastAsia="仿宋" w:hAnsi="仿宋" w:hint="eastAsia"/>
          <w:color w:val="000000"/>
          <w:sz w:val="32"/>
          <w:szCs w:val="32"/>
        </w:rPr>
        <w:t>万元，占</w:t>
      </w:r>
      <w:r>
        <w:rPr>
          <w:rFonts w:ascii="仿宋" w:eastAsia="仿宋" w:hAnsi="仿宋" w:hint="eastAsia"/>
          <w:color w:val="000000"/>
          <w:sz w:val="32"/>
          <w:szCs w:val="32"/>
          <w:lang w:val="en-US" w:eastAsia="zh-CN"/>
        </w:rPr>
        <w:t>8.62</w:t>
      </w:r>
      <w:r>
        <w:rPr>
          <w:rFonts w:ascii="仿宋" w:eastAsia="仿宋" w:hAnsi="仿宋" w:hint="eastAsia"/>
          <w:color w:val="000000"/>
          <w:sz w:val="32"/>
          <w:szCs w:val="32"/>
        </w:rPr>
        <w:t>%；卫生健康支出（类）</w:t>
      </w:r>
      <w:r>
        <w:rPr>
          <w:rFonts w:ascii="仿宋" w:eastAsia="仿宋" w:hAnsi="仿宋" w:hint="eastAsia"/>
          <w:color w:val="000000"/>
          <w:sz w:val="32"/>
          <w:szCs w:val="32"/>
          <w:lang w:val="en-US" w:eastAsia="zh-CN"/>
        </w:rPr>
        <w:t>29.83</w:t>
      </w:r>
      <w:r>
        <w:rPr>
          <w:rFonts w:ascii="仿宋" w:eastAsia="仿宋" w:hAnsi="仿宋" w:hint="eastAsia"/>
          <w:color w:val="000000"/>
          <w:sz w:val="32"/>
          <w:szCs w:val="32"/>
        </w:rPr>
        <w:t>万元，占</w:t>
      </w:r>
      <w:r>
        <w:rPr>
          <w:rFonts w:ascii="仿宋" w:eastAsia="仿宋" w:hAnsi="仿宋" w:hint="eastAsia"/>
          <w:color w:val="000000"/>
          <w:sz w:val="32"/>
          <w:szCs w:val="32"/>
          <w:lang w:val="en-US" w:eastAsia="zh-CN"/>
        </w:rPr>
        <w:t>3.41</w:t>
      </w:r>
      <w:r>
        <w:rPr>
          <w:rFonts w:ascii="仿宋" w:eastAsia="仿宋" w:hAnsi="仿宋" w:hint="eastAsia"/>
          <w:color w:val="000000"/>
          <w:sz w:val="32"/>
          <w:szCs w:val="32"/>
        </w:rPr>
        <w:t>%；住房保障支出（类）</w:t>
      </w:r>
      <w:r>
        <w:rPr>
          <w:rFonts w:ascii="仿宋" w:eastAsia="仿宋" w:hAnsi="仿宋" w:hint="eastAsia"/>
          <w:color w:val="000000"/>
          <w:sz w:val="32"/>
          <w:szCs w:val="32"/>
          <w:lang w:val="en-US" w:eastAsia="zh-CN"/>
        </w:rPr>
        <w:t>49.52</w:t>
      </w:r>
      <w:r>
        <w:rPr>
          <w:rFonts w:ascii="仿宋" w:eastAsia="仿宋" w:hAnsi="仿宋" w:hint="eastAsia"/>
          <w:color w:val="000000"/>
          <w:sz w:val="32"/>
          <w:szCs w:val="32"/>
        </w:rPr>
        <w:t>万元，占</w:t>
      </w:r>
      <w:r>
        <w:rPr>
          <w:rFonts w:ascii="仿宋" w:eastAsia="仿宋" w:hAnsi="仿宋" w:hint="eastAsia"/>
          <w:color w:val="000000"/>
          <w:sz w:val="32"/>
          <w:szCs w:val="32"/>
          <w:lang w:val="en-US" w:eastAsia="zh-CN"/>
        </w:rPr>
        <w:t>5.65</w:t>
      </w:r>
      <w:r>
        <w:rPr>
          <w:rFonts w:ascii="仿宋" w:eastAsia="仿宋" w:hAnsi="仿宋" w:hint="eastAsia"/>
          <w:color w:val="000000"/>
          <w:sz w:val="32"/>
          <w:szCs w:val="32"/>
        </w:rPr>
        <w:t>%</w:t>
      </w:r>
      <w:r>
        <w:rPr>
          <w:rFonts w:ascii="仿宋" w:eastAsia="仿宋" w:hAnsi="仿宋" w:hint="eastAsia"/>
          <w:color w:val="000000"/>
          <w:sz w:val="32"/>
          <w:szCs w:val="32"/>
          <w:lang w:eastAsia="zh-CN"/>
        </w:rPr>
        <w:t>；城乡社区支出</w:t>
      </w:r>
      <w:r>
        <w:rPr>
          <w:rFonts w:ascii="仿宋" w:eastAsia="仿宋" w:hAnsi="仿宋" w:hint="eastAsia"/>
          <w:color w:val="000000"/>
          <w:sz w:val="32"/>
          <w:szCs w:val="32"/>
        </w:rPr>
        <w:t>（类）</w:t>
      </w:r>
      <w:r>
        <w:rPr>
          <w:rFonts w:ascii="仿宋" w:eastAsia="仿宋" w:hAnsi="仿宋" w:hint="eastAsia"/>
          <w:color w:val="000000"/>
          <w:sz w:val="32"/>
          <w:szCs w:val="32"/>
          <w:lang w:val="en-US" w:eastAsia="zh-CN"/>
        </w:rPr>
        <w:t>65.6万元，占7.49%；农林水支出</w:t>
      </w:r>
      <w:r>
        <w:rPr>
          <w:rFonts w:ascii="仿宋" w:eastAsia="仿宋" w:hAnsi="仿宋" w:hint="eastAsia"/>
          <w:color w:val="000000"/>
          <w:sz w:val="32"/>
          <w:szCs w:val="32"/>
        </w:rPr>
        <w:t>（类）</w:t>
      </w:r>
      <w:r>
        <w:rPr>
          <w:rFonts w:ascii="仿宋" w:eastAsia="仿宋" w:hAnsi="仿宋" w:hint="eastAsia"/>
          <w:color w:val="000000"/>
          <w:sz w:val="32"/>
          <w:szCs w:val="32"/>
          <w:lang w:val="en-US" w:eastAsia="zh-CN"/>
        </w:rPr>
        <w:t>3.1万元，占0.35%；自然资源海洋气象支出</w:t>
      </w:r>
      <w:r>
        <w:rPr>
          <w:rFonts w:ascii="仿宋" w:eastAsia="仿宋" w:hAnsi="仿宋" w:hint="eastAsia"/>
          <w:color w:val="000000"/>
          <w:sz w:val="32"/>
          <w:szCs w:val="32"/>
        </w:rPr>
        <w:t>（类）</w:t>
      </w:r>
      <w:r>
        <w:rPr>
          <w:rFonts w:ascii="仿宋" w:eastAsia="仿宋" w:hAnsi="仿宋" w:hint="eastAsia"/>
          <w:color w:val="000000"/>
          <w:sz w:val="32"/>
          <w:szCs w:val="32"/>
          <w:lang w:val="en-US" w:eastAsia="zh-CN"/>
        </w:rPr>
        <w:t>652.20万元，占74.48%。</w:t>
      </w:r>
    </w:p>
    <w:p>
      <w:pPr>
        <w:spacing w:line="600" w:lineRule="exact"/>
        <w:ind w:firstLine="640"/>
        <w:rPr>
          <w:rFonts w:ascii="仿宋" w:eastAsia="仿宋" w:hAnsi="仿宋" w:hint="eastAsia"/>
          <w:color w:val="000000"/>
          <w:sz w:val="32"/>
          <w:szCs w:val="32"/>
          <w:lang w:val="en-US" w:eastAsia="zh-CN"/>
        </w:rPr>
      </w:pPr>
      <w:r>
        <w:drawing>
          <wp:anchor distT="0" distB="0" distL="114300" distR="114300" simplePos="0" relativeHeight="12" behindDoc="1" locked="0" layoutInCell="1" hidden="0" allowOverlap="1">
            <wp:simplePos x="0" y="0"/>
            <wp:positionH relativeFrom="column">
              <wp:posOffset>338455</wp:posOffset>
            </wp:positionH>
            <wp:positionV relativeFrom="paragraph">
              <wp:posOffset>52705</wp:posOffset>
            </wp:positionV>
            <wp:extent cx="5063490" cy="2743200"/>
            <wp:effectExtent l="0" t="0" r="0" b="0"/>
            <wp:wrapNone/>
            <wp:docPr id="18" name="图表 5"/>
            <wp:cNvGraphicFramePr>
              <a:graphicFrameLocks noChangeAspect="0"/>
            </wp:cNvGraphicFramePr>
            <a:graphic>
              <a:graphicData uri="http://schemas.openxmlformats.org/drawingml/2006/chart">
                <c:chart xmlns:c="http://schemas.openxmlformats.org/drawingml/2006/chart" r:id="rId10"/>
              </a:graphicData>
            </a:graphic>
          </wp:anchor>
        </w:drawing>
      </w:r>
    </w:p>
    <w:p>
      <w:pPr>
        <w:spacing w:line="600" w:lineRule="exact"/>
        <w:ind w:firstLine="640"/>
        <w:rPr>
          <w:rFonts w:ascii="仿宋" w:eastAsia="仿宋" w:hAnsi="仿宋" w:hint="eastAsia"/>
          <w:color w:val="000000"/>
          <w:sz w:val="32"/>
          <w:szCs w:val="32"/>
          <w:lang w:val="en-US" w:eastAsia="zh-CN"/>
        </w:rPr>
      </w:pPr>
    </w:p>
    <w:p>
      <w:pPr>
        <w:spacing w:line="600" w:lineRule="exact"/>
        <w:ind w:firstLine="640"/>
        <w:rPr>
          <w:rFonts w:ascii="仿宋" w:eastAsia="仿宋" w:hAnsi="仿宋" w:hint="eastAsia"/>
          <w:color w:val="000000"/>
          <w:sz w:val="32"/>
          <w:szCs w:val="32"/>
          <w:lang w:val="en-US" w:eastAsia="zh-CN"/>
        </w:rPr>
      </w:pPr>
    </w:p>
    <w:p>
      <w:pPr>
        <w:spacing w:line="600" w:lineRule="exact"/>
        <w:ind w:firstLine="640"/>
        <w:rPr>
          <w:rFonts w:ascii="仿宋" w:eastAsia="仿宋" w:hAnsi="仿宋" w:hint="eastAsia"/>
          <w:color w:val="000000"/>
          <w:sz w:val="32"/>
          <w:szCs w:val="32"/>
          <w:lang w:val="en-US" w:eastAsia="zh-CN"/>
        </w:rPr>
      </w:pPr>
    </w:p>
    <w:p>
      <w:pPr>
        <w:spacing w:line="600" w:lineRule="exact"/>
        <w:ind w:firstLine="640"/>
        <w:rPr>
          <w:rFonts w:ascii="仿宋" w:eastAsia="仿宋" w:hAnsi="仿宋" w:hint="eastAsia"/>
          <w:color w:val="000000"/>
          <w:sz w:val="32"/>
          <w:szCs w:val="32"/>
          <w:lang w:val="en-US" w:eastAsia="zh-CN"/>
        </w:rPr>
      </w:pPr>
    </w:p>
    <w:p>
      <w:pPr>
        <w:spacing w:line="600" w:lineRule="exact"/>
        <w:ind w:firstLine="640"/>
        <w:rPr>
          <w:rFonts w:ascii="仿宋" w:eastAsia="仿宋" w:hAnsi="仿宋" w:hint="eastAsia"/>
          <w:color w:val="000000"/>
          <w:sz w:val="32"/>
          <w:szCs w:val="32"/>
          <w:lang w:val="en-US" w:eastAsia="zh-CN"/>
        </w:rPr>
      </w:pPr>
    </w:p>
    <w:p>
      <w:pPr>
        <w:spacing w:line="600" w:lineRule="exact"/>
        <w:ind w:firstLine="640"/>
        <w:rPr>
          <w:rFonts w:ascii="仿宋" w:eastAsia="仿宋" w:hAnsi="仿宋"/>
          <w:color w:val="000000"/>
          <w:sz w:val="32"/>
          <w:szCs w:val="32"/>
          <w:lang w:val="en-US" w:eastAsia="zh-CN"/>
        </w:rPr>
      </w:pPr>
    </w:p>
    <w:p>
      <w:pPr>
        <w:spacing w:line="600" w:lineRule="exact"/>
        <w:ind w:firstLineChars="200" w:firstLine="640"/>
        <w:outlineLvl w:val="2"/>
        <w:rPr>
          <w:rFonts w:ascii="华文楷体" w:eastAsia="华文楷体" w:cs="华文楷体" w:hAnsi="华文楷体" w:hint="eastAsia"/>
          <w:b w:val="0"/>
          <w:bCs/>
          <w:color w:val="000000"/>
          <w:sz w:val="32"/>
          <w:szCs w:val="32"/>
        </w:rPr>
      </w:pPr>
      <w:bookmarkStart w:id="37" w:name="_Toc15377212"/>
      <w:r>
        <w:rPr>
          <w:rFonts w:ascii="华文楷体" w:eastAsia="华文楷体" w:cs="华文楷体" w:hAnsi="华文楷体" w:hint="eastAsia"/>
          <w:b w:val="0"/>
          <w:bCs/>
          <w:color w:val="000000"/>
          <w:sz w:val="32"/>
          <w:szCs w:val="32"/>
        </w:rPr>
        <w:t>（三）一般公共预算财政拨款支出决算具体情况</w:t>
      </w:r>
      <w:bookmarkEnd w:id="37"/>
    </w:p>
    <w:p>
      <w:pPr>
        <w:spacing w:line="600" w:lineRule="exact"/>
        <w:ind w:firstLineChars="200" w:firstLine="640"/>
        <w:outlineLvl w:val="2"/>
        <w:rPr>
          <w:rFonts w:ascii="仿宋" w:eastAsia="仿宋" w:cs="仿宋" w:hAnsi="仿宋" w:hint="eastAsia"/>
          <w:b/>
          <w:color w:val="000000"/>
          <w:sz w:val="32"/>
          <w:szCs w:val="32"/>
          <w:lang w:eastAsia="zh-CN"/>
        </w:rPr>
      </w:pPr>
      <w:bookmarkStart w:id="38" w:name="_Toc15378460"/>
      <w:bookmarkStart w:id="39" w:name="_Toc15377444"/>
      <w:bookmarkStart w:id="40" w:name="_Toc15377213"/>
      <w:r>
        <w:rPr>
          <w:rFonts w:ascii="仿宋" w:eastAsia="仿宋" w:cs="仿宋" w:hAnsi="仿宋" w:hint="eastAsia"/>
          <w:b w:val="0"/>
          <w:bCs/>
          <w:color w:val="000000"/>
          <w:sz w:val="32"/>
          <w:szCs w:val="32"/>
        </w:rPr>
        <w:t>2019年</w:t>
      </w:r>
      <w:r>
        <w:rPr>
          <w:rFonts w:ascii="仿宋" w:eastAsia="仿宋" w:cs="仿宋" w:hAnsi="仿宋" w:hint="eastAsia"/>
          <w:b w:val="0"/>
          <w:bCs/>
          <w:color w:val="000000"/>
          <w:sz w:val="32"/>
          <w:szCs w:val="32"/>
          <w:lang w:eastAsia="zh-CN"/>
        </w:rPr>
        <w:t>一</w:t>
      </w:r>
      <w:r>
        <w:rPr>
          <w:rFonts w:ascii="仿宋" w:eastAsia="仿宋" w:cs="仿宋" w:hAnsi="仿宋" w:hint="eastAsia"/>
          <w:b w:val="0"/>
          <w:bCs/>
          <w:color w:val="000000"/>
          <w:sz w:val="32"/>
          <w:szCs w:val="32"/>
        </w:rPr>
        <w:t>般公共预算支</w:t>
      </w:r>
      <w:r>
        <w:rPr>
          <w:rFonts w:ascii="仿宋" w:eastAsia="仿宋" w:cs="仿宋" w:hAnsi="仿宋" w:hint="eastAsia"/>
          <w:b w:val="0"/>
          <w:bCs/>
          <w:color w:val="000000"/>
          <w:sz w:val="32"/>
          <w:szCs w:val="32"/>
          <w:lang w:eastAsia="zh-CN"/>
        </w:rPr>
        <w:t>出决算数为</w:t>
      </w:r>
      <w:r>
        <w:rPr>
          <w:rFonts w:ascii="仿宋" w:eastAsia="仿宋" w:cs="仿宋" w:hAnsi="仿宋" w:hint="eastAsia"/>
          <w:b w:val="0"/>
          <w:bCs/>
          <w:color w:val="000000"/>
          <w:sz w:val="32"/>
          <w:szCs w:val="32"/>
          <w:lang w:val="en-US" w:eastAsia="zh-CN"/>
        </w:rPr>
        <w:t>875.77</w:t>
      </w:r>
      <w:r>
        <w:rPr>
          <w:rFonts w:ascii="仿宋" w:eastAsia="仿宋" w:cs="仿宋" w:hAnsi="仿宋" w:hint="eastAsia"/>
          <w:b w:val="0"/>
          <w:bCs/>
          <w:color w:val="000000"/>
          <w:sz w:val="32"/>
          <w:szCs w:val="32"/>
          <w:lang w:eastAsia="zh-CN"/>
        </w:rPr>
        <w:t>万元，完成预算</w:t>
      </w:r>
      <w:r>
        <w:rPr>
          <w:rFonts w:ascii="仿宋" w:eastAsia="仿宋" w:cs="仿宋" w:hAnsi="仿宋" w:hint="eastAsia"/>
          <w:b w:val="0"/>
          <w:bCs/>
          <w:color w:val="000000"/>
          <w:sz w:val="32"/>
          <w:szCs w:val="32"/>
          <w:lang w:val="en-US" w:eastAsia="zh-CN"/>
        </w:rPr>
        <w:t>完成预算99.33%</w:t>
      </w:r>
      <w:bookmarkEnd w:id="38"/>
      <w:bookmarkEnd w:id="39"/>
      <w:bookmarkEnd w:id="40"/>
      <w:r>
        <w:rPr>
          <w:rFonts w:ascii="仿宋" w:eastAsia="仿宋" w:cs="仿宋" w:hAnsi="仿宋" w:hint="eastAsia"/>
          <w:b w:val="0"/>
          <w:bCs/>
          <w:color w:val="000000"/>
          <w:sz w:val="32"/>
          <w:szCs w:val="32"/>
          <w:lang w:eastAsia="zh-CN"/>
        </w:rPr>
        <w:t>。</w:t>
      </w:r>
    </w:p>
    <w:p>
      <w:pPr>
        <w:numPr>
          <w:ilvl w:val="0"/>
          <w:numId w:val="2"/>
        </w:numPr>
        <w:spacing w:line="600" w:lineRule="exact"/>
        <w:ind w:left="0" w:firstLineChars="200" w:firstLine="640"/>
        <w:rPr>
          <w:rStyle w:val="22"/>
          <w:rFonts w:ascii="仿宋" w:eastAsia="仿宋" w:cs="仿宋" w:hAnsi="仿宋" w:hint="eastAsia"/>
          <w:b w:val="0"/>
          <w:bCs/>
          <w:color w:val="000000"/>
          <w:sz w:val="32"/>
          <w:szCs w:val="32"/>
        </w:rPr>
      </w:pPr>
      <w:r>
        <w:rPr>
          <w:rStyle w:val="22"/>
          <w:rFonts w:ascii="仿宋" w:eastAsia="仿宋" w:cs="仿宋" w:hAnsi="仿宋" w:hint="eastAsia"/>
          <w:b w:val="0"/>
          <w:bCs w:val="0"/>
          <w:color w:val="000000"/>
          <w:sz w:val="32"/>
          <w:szCs w:val="32"/>
        </w:rPr>
        <w:t>社会保障和就业（类）</w:t>
      </w:r>
      <w:r>
        <w:rPr>
          <w:rStyle w:val="22"/>
          <w:rFonts w:ascii="仿宋" w:eastAsia="仿宋" w:cs="仿宋" w:hAnsi="仿宋" w:hint="eastAsia"/>
          <w:b w:val="0"/>
          <w:bCs w:val="0"/>
          <w:color w:val="000000"/>
          <w:sz w:val="32"/>
          <w:szCs w:val="32"/>
          <w:lang w:eastAsia="zh-CN"/>
        </w:rPr>
        <w:t>行政事业单位离退休</w:t>
      </w:r>
      <w:r>
        <w:rPr>
          <w:rStyle w:val="22"/>
          <w:rFonts w:ascii="仿宋" w:eastAsia="仿宋" w:cs="仿宋" w:hAnsi="仿宋" w:hint="eastAsia"/>
          <w:b w:val="0"/>
          <w:bCs w:val="0"/>
          <w:color w:val="000000"/>
          <w:sz w:val="32"/>
          <w:szCs w:val="32"/>
        </w:rPr>
        <w:t>（款）</w:t>
      </w:r>
      <w:r>
        <w:rPr>
          <w:rStyle w:val="22"/>
          <w:rFonts w:ascii="仿宋" w:eastAsia="仿宋" w:cs="仿宋" w:hAnsi="仿宋" w:hint="eastAsia"/>
          <w:b w:val="0"/>
          <w:bCs w:val="0"/>
          <w:color w:val="000000"/>
          <w:sz w:val="32"/>
          <w:szCs w:val="32"/>
          <w:lang w:eastAsia="zh-CN"/>
        </w:rPr>
        <w:t>机关事业单位基本养老保险</w:t>
      </w:r>
      <w:r>
        <w:rPr>
          <w:rStyle w:val="22"/>
          <w:rFonts w:ascii="仿宋" w:eastAsia="仿宋" w:cs="仿宋" w:hAnsi="仿宋" w:hint="eastAsia"/>
          <w:b w:val="0"/>
          <w:bCs w:val="0"/>
          <w:color w:val="000000"/>
          <w:sz w:val="32"/>
          <w:szCs w:val="32"/>
        </w:rPr>
        <w:t xml:space="preserve">（项）: </w:t>
      </w:r>
      <w:r>
        <w:rPr>
          <w:rStyle w:val="22"/>
          <w:rFonts w:ascii="仿宋" w:eastAsia="仿宋" w:cs="仿宋" w:hAnsi="仿宋" w:hint="eastAsia"/>
          <w:b w:val="0"/>
          <w:bCs/>
          <w:color w:val="000000"/>
          <w:sz w:val="32"/>
          <w:szCs w:val="32"/>
        </w:rPr>
        <w:t>支出决算为</w:t>
      </w:r>
      <w:r>
        <w:rPr>
          <w:rStyle w:val="22"/>
          <w:rFonts w:ascii="仿宋" w:eastAsia="仿宋" w:cs="仿宋" w:hAnsi="仿宋" w:hint="eastAsia"/>
          <w:b w:val="0"/>
          <w:bCs/>
          <w:color w:val="000000"/>
          <w:sz w:val="32"/>
          <w:szCs w:val="32"/>
          <w:lang w:val="en-US" w:eastAsia="zh-CN"/>
        </w:rPr>
        <w:t>69.49</w:t>
      </w:r>
      <w:r>
        <w:rPr>
          <w:rStyle w:val="22"/>
          <w:rFonts w:ascii="仿宋" w:eastAsia="仿宋" w:cs="仿宋" w:hAnsi="仿宋" w:hint="eastAsia"/>
          <w:b w:val="0"/>
          <w:bCs/>
          <w:color w:val="000000"/>
          <w:sz w:val="32"/>
          <w:szCs w:val="32"/>
        </w:rPr>
        <w:t>万元，完成预算</w:t>
      </w:r>
      <w:r>
        <w:rPr>
          <w:rStyle w:val="22"/>
          <w:rFonts w:ascii="仿宋" w:eastAsia="仿宋" w:cs="仿宋" w:hAnsi="仿宋" w:hint="eastAsia"/>
          <w:b w:val="0"/>
          <w:bCs/>
          <w:color w:val="000000"/>
          <w:sz w:val="32"/>
          <w:szCs w:val="32"/>
          <w:lang w:val="en-US" w:eastAsia="zh-CN"/>
        </w:rPr>
        <w:t>100</w:t>
      </w:r>
      <w:r>
        <w:rPr>
          <w:rStyle w:val="22"/>
          <w:rFonts w:ascii="仿宋" w:eastAsia="仿宋" w:cs="仿宋" w:hAnsi="仿宋" w:hint="eastAsia"/>
          <w:b w:val="0"/>
          <w:bCs/>
          <w:color w:val="000000"/>
          <w:sz w:val="32"/>
          <w:szCs w:val="32"/>
        </w:rPr>
        <w:t>%。</w:t>
      </w:r>
    </w:p>
    <w:p>
      <w:pPr>
        <w:numPr>
          <w:ilvl w:val="0"/>
          <w:numId w:val="2"/>
        </w:numPr>
        <w:spacing w:line="600" w:lineRule="exact"/>
        <w:ind w:left="0" w:firstLineChars="200" w:firstLine="640"/>
        <w:rPr>
          <w:rStyle w:val="22"/>
          <w:rFonts w:ascii="仿宋" w:eastAsia="仿宋" w:cs="仿宋" w:hAnsi="仿宋" w:hint="eastAsia"/>
          <w:b w:val="0"/>
          <w:bCs/>
          <w:color w:val="000000"/>
          <w:sz w:val="32"/>
          <w:szCs w:val="32"/>
        </w:rPr>
      </w:pPr>
      <w:r>
        <w:rPr>
          <w:rStyle w:val="22"/>
          <w:rFonts w:ascii="仿宋" w:eastAsia="仿宋" w:cs="仿宋" w:hAnsi="仿宋" w:hint="eastAsia"/>
          <w:b w:val="0"/>
          <w:bCs w:val="0"/>
          <w:color w:val="000000"/>
          <w:sz w:val="32"/>
          <w:szCs w:val="32"/>
        </w:rPr>
        <w:t>社会保障和就业（类）</w:t>
      </w:r>
      <w:r>
        <w:rPr>
          <w:rStyle w:val="22"/>
          <w:rFonts w:ascii="仿宋" w:eastAsia="仿宋" w:cs="仿宋" w:hAnsi="仿宋" w:hint="eastAsia"/>
          <w:b w:val="0"/>
          <w:bCs w:val="0"/>
          <w:color w:val="000000"/>
          <w:sz w:val="32"/>
          <w:szCs w:val="32"/>
          <w:lang w:eastAsia="zh-CN"/>
        </w:rPr>
        <w:t>其他社会保障和就业</w:t>
      </w:r>
      <w:r>
        <w:rPr>
          <w:rStyle w:val="22"/>
          <w:rFonts w:ascii="仿宋" w:eastAsia="仿宋" w:cs="仿宋" w:hAnsi="仿宋" w:hint="eastAsia"/>
          <w:b w:val="0"/>
          <w:bCs w:val="0"/>
          <w:color w:val="000000"/>
          <w:sz w:val="32"/>
          <w:szCs w:val="32"/>
        </w:rPr>
        <w:t>（款）</w:t>
      </w:r>
      <w:r>
        <w:rPr>
          <w:rStyle w:val="22"/>
          <w:rFonts w:ascii="仿宋" w:eastAsia="仿宋" w:cs="仿宋" w:hAnsi="仿宋" w:hint="eastAsia"/>
          <w:b w:val="0"/>
          <w:bCs w:val="0"/>
          <w:color w:val="000000"/>
          <w:sz w:val="32"/>
          <w:szCs w:val="32"/>
          <w:lang w:eastAsia="zh-CN"/>
        </w:rPr>
        <w:t>其他社会保障和就业</w:t>
      </w:r>
      <w:r>
        <w:rPr>
          <w:rStyle w:val="22"/>
          <w:rFonts w:ascii="仿宋" w:eastAsia="仿宋" w:cs="仿宋" w:hAnsi="仿宋" w:hint="eastAsia"/>
          <w:b w:val="0"/>
          <w:bCs w:val="0"/>
          <w:color w:val="000000"/>
          <w:sz w:val="32"/>
          <w:szCs w:val="32"/>
        </w:rPr>
        <w:t>（项）:</w:t>
      </w:r>
      <w:r>
        <w:rPr>
          <w:rStyle w:val="22"/>
          <w:rFonts w:ascii="仿宋" w:eastAsia="仿宋" w:cs="仿宋" w:hAnsi="仿宋" w:hint="eastAsia"/>
          <w:b w:val="0"/>
          <w:bCs/>
          <w:color w:val="000000"/>
          <w:sz w:val="32"/>
          <w:szCs w:val="32"/>
        </w:rPr>
        <w:t xml:space="preserve"> 支出决算为</w:t>
      </w:r>
      <w:r>
        <w:rPr>
          <w:rStyle w:val="22"/>
          <w:rFonts w:ascii="仿宋" w:eastAsia="仿宋" w:cs="仿宋" w:hAnsi="仿宋" w:hint="eastAsia"/>
          <w:b w:val="0"/>
          <w:bCs/>
          <w:color w:val="000000"/>
          <w:sz w:val="32"/>
          <w:szCs w:val="32"/>
          <w:lang w:val="en-US" w:eastAsia="zh-CN"/>
        </w:rPr>
        <w:t>6.03</w:t>
      </w:r>
      <w:r>
        <w:rPr>
          <w:rStyle w:val="22"/>
          <w:rFonts w:ascii="仿宋" w:eastAsia="仿宋" w:cs="仿宋" w:hAnsi="仿宋" w:hint="eastAsia"/>
          <w:b w:val="0"/>
          <w:bCs/>
          <w:color w:val="000000"/>
          <w:sz w:val="32"/>
          <w:szCs w:val="32"/>
        </w:rPr>
        <w:t>万元，完成预算</w:t>
      </w:r>
      <w:r>
        <w:rPr>
          <w:rStyle w:val="22"/>
          <w:rFonts w:ascii="仿宋" w:eastAsia="仿宋" w:cs="仿宋" w:hAnsi="仿宋" w:hint="eastAsia"/>
          <w:b w:val="0"/>
          <w:bCs/>
          <w:color w:val="000000"/>
          <w:sz w:val="32"/>
          <w:szCs w:val="32"/>
          <w:lang w:val="en-US" w:eastAsia="zh-CN"/>
        </w:rPr>
        <w:t>100</w:t>
      </w:r>
      <w:r>
        <w:rPr>
          <w:rStyle w:val="22"/>
          <w:rFonts w:ascii="仿宋" w:eastAsia="仿宋" w:cs="仿宋" w:hAnsi="仿宋" w:hint="eastAsia"/>
          <w:b w:val="0"/>
          <w:bCs/>
          <w:color w:val="000000"/>
          <w:sz w:val="32"/>
          <w:szCs w:val="32"/>
        </w:rPr>
        <w:t>%。</w:t>
      </w:r>
    </w:p>
    <w:p>
      <w:pPr>
        <w:numPr>
          <w:ilvl w:val="0"/>
          <w:numId w:val="2"/>
        </w:numPr>
        <w:spacing w:line="600" w:lineRule="exact"/>
        <w:ind w:left="0" w:firstLineChars="200" w:firstLine="640"/>
        <w:rPr>
          <w:rStyle w:val="22"/>
          <w:rFonts w:ascii="仿宋" w:eastAsia="仿宋" w:cs="仿宋" w:hAnsi="仿宋" w:hint="eastAsia"/>
          <w:b w:val="0"/>
          <w:bCs w:val="0"/>
          <w:color w:val="000000"/>
          <w:sz w:val="32"/>
          <w:szCs w:val="32"/>
          <w:lang w:eastAsia="zh-CN"/>
        </w:rPr>
      </w:pPr>
      <w:r>
        <w:rPr>
          <w:rFonts w:ascii="仿宋" w:eastAsia="仿宋" w:cs="仿宋" w:hAnsi="仿宋" w:hint="eastAsia"/>
          <w:b w:val="0"/>
          <w:bCs w:val="0"/>
          <w:color w:val="000000"/>
          <w:sz w:val="32"/>
          <w:szCs w:val="32"/>
        </w:rPr>
        <w:t>卫生健康</w:t>
      </w:r>
      <w:r>
        <w:rPr>
          <w:rStyle w:val="22"/>
          <w:rFonts w:ascii="仿宋" w:eastAsia="仿宋" w:cs="仿宋" w:hAnsi="仿宋" w:hint="eastAsia"/>
          <w:b w:val="0"/>
          <w:bCs w:val="0"/>
          <w:color w:val="000000"/>
          <w:sz w:val="32"/>
          <w:szCs w:val="32"/>
        </w:rPr>
        <w:t>（类）</w:t>
      </w:r>
      <w:r>
        <w:rPr>
          <w:rStyle w:val="22"/>
          <w:rFonts w:ascii="仿宋" w:eastAsia="仿宋" w:cs="仿宋" w:hAnsi="仿宋" w:hint="eastAsia"/>
          <w:b w:val="0"/>
          <w:bCs w:val="0"/>
          <w:color w:val="000000"/>
          <w:sz w:val="32"/>
          <w:szCs w:val="32"/>
          <w:lang w:eastAsia="zh-CN"/>
        </w:rPr>
        <w:t>行政事业单位医疗</w:t>
      </w:r>
      <w:r>
        <w:rPr>
          <w:rStyle w:val="22"/>
          <w:rFonts w:ascii="仿宋" w:eastAsia="仿宋" w:cs="仿宋" w:hAnsi="仿宋" w:hint="eastAsia"/>
          <w:b w:val="0"/>
          <w:bCs w:val="0"/>
          <w:color w:val="000000"/>
          <w:sz w:val="32"/>
          <w:szCs w:val="32"/>
        </w:rPr>
        <w:t>（款）</w:t>
      </w:r>
      <w:r>
        <w:rPr>
          <w:rStyle w:val="22"/>
          <w:rFonts w:ascii="仿宋" w:eastAsia="仿宋" w:cs="仿宋" w:hAnsi="仿宋" w:hint="eastAsia"/>
          <w:b w:val="0"/>
          <w:bCs w:val="0"/>
          <w:color w:val="000000"/>
          <w:sz w:val="32"/>
          <w:szCs w:val="32"/>
          <w:lang w:eastAsia="zh-CN"/>
        </w:rPr>
        <w:t>事业单位医疗</w:t>
      </w:r>
      <w:r>
        <w:rPr>
          <w:rStyle w:val="22"/>
          <w:rFonts w:ascii="仿宋" w:eastAsia="仿宋" w:cs="仿宋" w:hAnsi="仿宋" w:hint="eastAsia"/>
          <w:b w:val="0"/>
          <w:bCs w:val="0"/>
          <w:color w:val="000000"/>
          <w:sz w:val="32"/>
          <w:szCs w:val="32"/>
        </w:rPr>
        <w:t>（项）:支出决算为</w:t>
      </w:r>
      <w:r>
        <w:rPr>
          <w:rStyle w:val="22"/>
          <w:rFonts w:ascii="仿宋" w:eastAsia="仿宋" w:cs="仿宋" w:hAnsi="仿宋" w:hint="eastAsia"/>
          <w:b w:val="0"/>
          <w:bCs w:val="0"/>
          <w:color w:val="000000"/>
          <w:sz w:val="32"/>
          <w:szCs w:val="32"/>
          <w:lang w:val="en-US" w:eastAsia="zh-CN"/>
        </w:rPr>
        <w:t>29.83</w:t>
      </w:r>
      <w:r>
        <w:rPr>
          <w:rStyle w:val="22"/>
          <w:rFonts w:ascii="仿宋" w:eastAsia="仿宋" w:cs="仿宋" w:hAnsi="仿宋" w:hint="eastAsia"/>
          <w:b w:val="0"/>
          <w:bCs w:val="0"/>
          <w:color w:val="000000"/>
          <w:sz w:val="32"/>
          <w:szCs w:val="32"/>
        </w:rPr>
        <w:t>万元，完成预算</w:t>
      </w:r>
      <w:r>
        <w:rPr>
          <w:rStyle w:val="22"/>
          <w:rFonts w:ascii="仿宋" w:eastAsia="仿宋" w:cs="仿宋" w:hAnsi="仿宋" w:hint="eastAsia"/>
          <w:b w:val="0"/>
          <w:bCs w:val="0"/>
          <w:color w:val="000000"/>
          <w:sz w:val="32"/>
          <w:szCs w:val="32"/>
          <w:lang w:val="en-US" w:eastAsia="zh-CN"/>
        </w:rPr>
        <w:t>100</w:t>
      </w:r>
      <w:r>
        <w:rPr>
          <w:rStyle w:val="22"/>
          <w:rFonts w:ascii="仿宋" w:eastAsia="仿宋" w:cs="仿宋" w:hAnsi="仿宋" w:hint="eastAsia"/>
          <w:b w:val="0"/>
          <w:bCs w:val="0"/>
          <w:color w:val="000000"/>
          <w:sz w:val="32"/>
          <w:szCs w:val="32"/>
        </w:rPr>
        <w:t>%</w:t>
      </w:r>
      <w:r>
        <w:rPr>
          <w:rStyle w:val="22"/>
          <w:rFonts w:ascii="仿宋" w:eastAsia="仿宋" w:cs="仿宋" w:hAnsi="仿宋" w:hint="eastAsia"/>
          <w:b w:val="0"/>
          <w:bCs w:val="0"/>
          <w:color w:val="000000"/>
          <w:sz w:val="32"/>
          <w:szCs w:val="32"/>
          <w:lang w:eastAsia="zh-CN"/>
        </w:rPr>
        <w:t>。</w:t>
      </w:r>
    </w:p>
    <w:p>
      <w:pPr>
        <w:numPr>
          <w:ilvl w:val="0"/>
          <w:numId w:val="2"/>
        </w:numPr>
        <w:spacing w:line="600" w:lineRule="exact"/>
        <w:ind w:left="0" w:firstLineChars="200" w:firstLine="640"/>
        <w:rPr>
          <w:rStyle w:val="22"/>
          <w:rFonts w:ascii="仿宋" w:eastAsia="仿宋" w:cs="仿宋" w:hAnsi="仿宋" w:hint="eastAsia"/>
          <w:b w:val="0"/>
          <w:bCs/>
          <w:color w:val="000000"/>
          <w:sz w:val="32"/>
          <w:szCs w:val="32"/>
          <w:lang w:eastAsia="zh-CN"/>
        </w:rPr>
      </w:pPr>
      <w:r>
        <w:rPr>
          <w:rFonts w:ascii="仿宋" w:eastAsia="仿宋" w:cs="仿宋" w:hAnsi="仿宋" w:hint="eastAsia"/>
          <w:b w:val="0"/>
          <w:bCs/>
          <w:color w:val="000000"/>
          <w:sz w:val="32"/>
          <w:szCs w:val="32"/>
          <w:lang w:eastAsia="zh-CN"/>
        </w:rPr>
        <w:t>城乡社区支出（类）城乡社区环境卫生（款）城乡社区环境卫生（项）：</w:t>
      </w:r>
      <w:r>
        <w:rPr>
          <w:rStyle w:val="22"/>
          <w:rFonts w:ascii="仿宋" w:eastAsia="仿宋" w:cs="仿宋" w:hAnsi="仿宋" w:hint="eastAsia"/>
          <w:b w:val="0"/>
          <w:bCs/>
          <w:color w:val="000000"/>
          <w:sz w:val="32"/>
          <w:szCs w:val="32"/>
          <w:lang w:eastAsia="zh-CN"/>
        </w:rPr>
        <w:t>支出决算数为</w:t>
      </w:r>
      <w:r>
        <w:rPr>
          <w:rStyle w:val="22"/>
          <w:rFonts w:ascii="仿宋" w:eastAsia="仿宋" w:cs="仿宋" w:hAnsi="仿宋" w:hint="eastAsia"/>
          <w:b w:val="0"/>
          <w:bCs/>
          <w:color w:val="000000"/>
          <w:sz w:val="32"/>
          <w:szCs w:val="32"/>
          <w:lang w:val="en-US" w:eastAsia="zh-CN"/>
        </w:rPr>
        <w:t>65.60万元，</w:t>
      </w:r>
      <w:r>
        <w:rPr>
          <w:rStyle w:val="22"/>
          <w:rFonts w:ascii="仿宋" w:eastAsia="仿宋" w:cs="仿宋" w:hAnsi="仿宋" w:hint="eastAsia"/>
          <w:b w:val="0"/>
          <w:bCs/>
          <w:color w:val="000000"/>
          <w:sz w:val="32"/>
          <w:szCs w:val="32"/>
        </w:rPr>
        <w:t>完成预算</w:t>
      </w:r>
      <w:r>
        <w:rPr>
          <w:rStyle w:val="22"/>
          <w:rFonts w:ascii="仿宋" w:eastAsia="仿宋" w:cs="仿宋" w:hAnsi="仿宋" w:hint="eastAsia"/>
          <w:b w:val="0"/>
          <w:bCs/>
          <w:color w:val="000000"/>
          <w:sz w:val="32"/>
          <w:szCs w:val="32"/>
          <w:lang w:val="en-US" w:eastAsia="zh-CN"/>
        </w:rPr>
        <w:t>100</w:t>
      </w:r>
      <w:r>
        <w:rPr>
          <w:rStyle w:val="22"/>
          <w:rFonts w:ascii="仿宋" w:eastAsia="仿宋" w:cs="仿宋" w:hAnsi="仿宋" w:hint="eastAsia"/>
          <w:b w:val="0"/>
          <w:bCs/>
          <w:color w:val="000000"/>
          <w:sz w:val="32"/>
          <w:szCs w:val="32"/>
        </w:rPr>
        <w:t>%</w:t>
      </w:r>
      <w:r>
        <w:rPr>
          <w:rStyle w:val="22"/>
          <w:rFonts w:ascii="仿宋" w:eastAsia="仿宋" w:cs="仿宋" w:hAnsi="仿宋" w:hint="eastAsia"/>
          <w:b w:val="0"/>
          <w:bCs/>
          <w:color w:val="000000"/>
          <w:sz w:val="32"/>
          <w:szCs w:val="32"/>
          <w:lang w:eastAsia="zh-CN"/>
        </w:rPr>
        <w:t>。</w:t>
      </w:r>
    </w:p>
    <w:p>
      <w:pPr>
        <w:numPr>
          <w:ilvl w:val="0"/>
          <w:numId w:val="2"/>
        </w:numPr>
        <w:spacing w:line="600" w:lineRule="exact"/>
        <w:ind w:left="0" w:firstLineChars="200" w:firstLine="640"/>
        <w:rPr>
          <w:rStyle w:val="22"/>
          <w:rFonts w:ascii="仿宋" w:eastAsia="仿宋" w:cs="仿宋" w:hAnsi="仿宋" w:hint="eastAsia"/>
          <w:b w:val="0"/>
          <w:bCs/>
          <w:color w:val="000000"/>
          <w:sz w:val="32"/>
          <w:szCs w:val="32"/>
          <w:lang w:eastAsia="zh-CN"/>
        </w:rPr>
      </w:pPr>
      <w:r>
        <w:rPr>
          <w:rFonts w:ascii="仿宋" w:eastAsia="仿宋" w:cs="仿宋" w:hAnsi="仿宋" w:hint="eastAsia"/>
          <w:b w:val="0"/>
          <w:bCs/>
          <w:color w:val="000000"/>
          <w:sz w:val="32"/>
          <w:szCs w:val="32"/>
          <w:lang w:eastAsia="zh-CN"/>
        </w:rPr>
        <w:t>农林水支出（类）扶贫（款）其他扶贫（项）支出：</w:t>
      </w:r>
      <w:r>
        <w:rPr>
          <w:rStyle w:val="22"/>
          <w:rFonts w:ascii="仿宋" w:eastAsia="仿宋" w:cs="仿宋" w:hAnsi="仿宋" w:hint="eastAsia"/>
          <w:b w:val="0"/>
          <w:bCs/>
          <w:color w:val="000000"/>
          <w:sz w:val="32"/>
          <w:szCs w:val="32"/>
          <w:lang w:eastAsia="zh-CN"/>
        </w:rPr>
        <w:t>决算数为</w:t>
      </w:r>
      <w:r>
        <w:rPr>
          <w:rStyle w:val="22"/>
          <w:rFonts w:ascii="仿宋" w:eastAsia="仿宋" w:cs="仿宋" w:hAnsi="仿宋" w:hint="eastAsia"/>
          <w:b w:val="0"/>
          <w:bCs/>
          <w:color w:val="000000"/>
          <w:sz w:val="32"/>
          <w:szCs w:val="32"/>
          <w:lang w:val="en-US" w:eastAsia="zh-CN"/>
        </w:rPr>
        <w:t>3.10万元，</w:t>
      </w:r>
      <w:r>
        <w:rPr>
          <w:rStyle w:val="22"/>
          <w:rFonts w:ascii="仿宋" w:eastAsia="仿宋" w:cs="仿宋" w:hAnsi="仿宋" w:hint="eastAsia"/>
          <w:b w:val="0"/>
          <w:bCs/>
          <w:color w:val="000000"/>
          <w:sz w:val="32"/>
          <w:szCs w:val="32"/>
        </w:rPr>
        <w:t>完成预算</w:t>
      </w:r>
      <w:r>
        <w:rPr>
          <w:rStyle w:val="22"/>
          <w:rFonts w:ascii="仿宋" w:eastAsia="仿宋" w:cs="仿宋" w:hAnsi="仿宋" w:hint="eastAsia"/>
          <w:b w:val="0"/>
          <w:bCs/>
          <w:color w:val="000000"/>
          <w:sz w:val="32"/>
          <w:szCs w:val="32"/>
          <w:lang w:val="en-US" w:eastAsia="zh-CN"/>
        </w:rPr>
        <w:t>100</w:t>
      </w:r>
      <w:r>
        <w:rPr>
          <w:rStyle w:val="22"/>
          <w:rFonts w:ascii="仿宋" w:eastAsia="仿宋" w:cs="仿宋" w:hAnsi="仿宋" w:hint="eastAsia"/>
          <w:b w:val="0"/>
          <w:bCs/>
          <w:color w:val="000000"/>
          <w:sz w:val="32"/>
          <w:szCs w:val="32"/>
        </w:rPr>
        <w:t>%</w:t>
      </w:r>
      <w:r>
        <w:rPr>
          <w:rStyle w:val="22"/>
          <w:rFonts w:ascii="仿宋" w:eastAsia="仿宋" w:cs="仿宋" w:hAnsi="仿宋" w:hint="eastAsia"/>
          <w:b w:val="0"/>
          <w:bCs/>
          <w:color w:val="000000"/>
          <w:sz w:val="32"/>
          <w:szCs w:val="32"/>
          <w:lang w:eastAsia="zh-CN"/>
        </w:rPr>
        <w:t>。</w:t>
      </w:r>
    </w:p>
    <w:p>
      <w:pPr>
        <w:numPr>
          <w:ilvl w:val="0"/>
          <w:numId w:val="2"/>
        </w:numPr>
        <w:spacing w:line="600" w:lineRule="exact"/>
        <w:ind w:left="0" w:firstLineChars="200" w:firstLine="640"/>
        <w:rPr>
          <w:rStyle w:val="22"/>
          <w:rFonts w:ascii="仿宋" w:eastAsia="仿宋" w:cs="仿宋" w:hAnsi="仿宋" w:hint="eastAsia"/>
          <w:b w:val="0"/>
          <w:bCs/>
          <w:color w:val="000000"/>
          <w:sz w:val="32"/>
          <w:szCs w:val="32"/>
          <w:lang w:eastAsia="zh-CN"/>
        </w:rPr>
      </w:pPr>
      <w:r>
        <w:rPr>
          <w:rFonts w:ascii="仿宋" w:eastAsia="仿宋" w:cs="仿宋" w:hAnsi="仿宋" w:hint="eastAsia"/>
          <w:b w:val="0"/>
          <w:bCs/>
          <w:color w:val="000000"/>
          <w:sz w:val="32"/>
          <w:szCs w:val="32"/>
          <w:lang w:eastAsia="zh-CN"/>
        </w:rPr>
        <w:t>自然资源海洋气象等支出（类）自然资源事务（款）事业运行（项）：</w:t>
      </w:r>
      <w:r>
        <w:rPr>
          <w:rStyle w:val="22"/>
          <w:rFonts w:ascii="仿宋" w:eastAsia="仿宋" w:cs="仿宋" w:hAnsi="仿宋" w:hint="eastAsia"/>
          <w:b w:val="0"/>
          <w:bCs/>
          <w:color w:val="000000"/>
          <w:sz w:val="32"/>
          <w:szCs w:val="32"/>
          <w:lang w:eastAsia="zh-CN"/>
        </w:rPr>
        <w:t>支出决算数为</w:t>
      </w:r>
      <w:r>
        <w:rPr>
          <w:rStyle w:val="22"/>
          <w:rFonts w:ascii="仿宋" w:eastAsia="仿宋" w:cs="仿宋" w:hAnsi="仿宋" w:hint="eastAsia"/>
          <w:b w:val="0"/>
          <w:bCs/>
          <w:color w:val="000000"/>
          <w:sz w:val="32"/>
          <w:szCs w:val="32"/>
          <w:lang w:val="en-US" w:eastAsia="zh-CN"/>
        </w:rPr>
        <w:t>652.20万元，完成预算99.33%，决算数小于预算数的主要原因是办公费用结转。</w:t>
      </w:r>
    </w:p>
    <w:p>
      <w:pPr>
        <w:numPr>
          <w:ilvl w:val="0"/>
          <w:numId w:val="2"/>
        </w:numPr>
        <w:spacing w:line="600" w:lineRule="exact"/>
        <w:ind w:left="0" w:firstLineChars="200" w:firstLine="640"/>
        <w:rPr>
          <w:rFonts w:ascii="仿宋" w:eastAsia="仿宋" w:cs="仿宋" w:hAnsi="仿宋" w:hint="eastAsia"/>
          <w:b/>
          <w:color w:val="000000"/>
          <w:sz w:val="32"/>
          <w:szCs w:val="32"/>
        </w:rPr>
      </w:pPr>
      <w:r>
        <w:rPr>
          <w:rFonts w:ascii="仿宋" w:eastAsia="仿宋" w:cs="仿宋" w:hAnsi="仿宋" w:hint="eastAsia"/>
          <w:b w:val="0"/>
          <w:bCs/>
          <w:color w:val="000000"/>
          <w:sz w:val="32"/>
          <w:szCs w:val="32"/>
          <w:lang w:val="en-US" w:eastAsia="zh-CN"/>
        </w:rPr>
        <w:t>住房保障支出（类）住房改革支出（款）住房公积金（项）：</w:t>
      </w:r>
      <w:r>
        <w:rPr>
          <w:rStyle w:val="22"/>
          <w:rFonts w:ascii="仿宋" w:eastAsia="仿宋" w:cs="仿宋" w:hAnsi="仿宋" w:hint="eastAsia"/>
          <w:b w:val="0"/>
          <w:bCs/>
          <w:color w:val="000000"/>
          <w:sz w:val="32"/>
          <w:szCs w:val="32"/>
          <w:lang w:val="en-US" w:eastAsia="zh-CN"/>
        </w:rPr>
        <w:t>支出决算数为49.52万元，完成预算100%。</w:t>
      </w:r>
    </w:p>
    <w:p>
      <w:pPr>
        <w:tabs>
          <w:tab w:val="right" w:pos="8306"/>
        </w:tabs>
        <w:spacing w:line="600" w:lineRule="exact"/>
        <w:ind w:firstLine="640"/>
        <w:outlineLvl w:val="1"/>
        <w:rPr>
          <w:rStyle w:val="2Char"/>
        </w:rPr>
      </w:pPr>
      <w:bookmarkStart w:id="41" w:name="_Toc15377214"/>
      <w:bookmarkStart w:id="42" w:name="_Toc15396608"/>
      <w:r>
        <w:rPr>
          <w:rFonts w:ascii="黑体" w:eastAsia="黑体" w:hint="eastAsia"/>
          <w:color w:val="000000"/>
          <w:sz w:val="32"/>
          <w:szCs w:val="32"/>
        </w:rPr>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2Char"/>
          <w:rFonts w:ascii="黑体" w:eastAsia="黑体" w:hAnsi="黑体" w:hint="eastAsia"/>
          <w:b w:val="0"/>
        </w:rPr>
        <w:t>般公共预算财政拨款基本支出决算情况说明</w:t>
      </w:r>
      <w:bookmarkEnd w:id="41"/>
      <w:bookmarkEnd w:id="42"/>
      <w:r>
        <w:rPr>
          <w:rStyle w:val="2Char"/>
          <w:rFonts w:ascii="黑体" w:eastAsia="黑体" w:hAnsi="黑体"/>
          <w:b w:val="0"/>
        </w:rPr>
        <w:tab/>
      </w:r>
    </w:p>
    <w:p>
      <w:pPr>
        <w:spacing w:line="600" w:lineRule="exact"/>
        <w:ind w:firstLine="645"/>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9年一般公共预算财政拨款基本支出</w:t>
      </w:r>
      <w:r>
        <w:rPr>
          <w:rFonts w:ascii="仿宋" w:eastAsia="仿宋" w:hAnsi="仿宋" w:hint="eastAsia"/>
          <w:color w:val="000000"/>
          <w:sz w:val="32"/>
          <w:szCs w:val="32"/>
          <w:lang w:val="en-US" w:eastAsia="zh-CN"/>
        </w:rPr>
        <w:t>807.08</w:t>
      </w:r>
      <w:r>
        <w:rPr>
          <w:rFonts w:ascii="仿宋" w:eastAsia="仿宋" w:hAnsi="仿宋" w:hint="eastAsia"/>
          <w:color w:val="000000"/>
          <w:sz w:val="32"/>
          <w:szCs w:val="32"/>
        </w:rPr>
        <w:t>万元，其中：</w:t>
      </w:r>
    </w:p>
    <w:p>
      <w:pPr>
        <w:spacing w:line="600" w:lineRule="exact"/>
        <w:ind w:firstLine="645"/>
        <w:rPr>
          <w:rFonts w:ascii="仿宋" w:eastAsia="仿宋" w:hAnsi="仿宋"/>
          <w:color w:val="000000"/>
          <w:sz w:val="32"/>
          <w:szCs w:val="32"/>
        </w:rPr>
      </w:pPr>
      <w:r>
        <w:rPr>
          <w:rFonts w:ascii="仿宋" w:eastAsia="仿宋" w:hAnsi="仿宋" w:hint="eastAsia"/>
          <w:color w:val="000000"/>
          <w:sz w:val="32"/>
          <w:szCs w:val="32"/>
        </w:rPr>
        <w:t>人员经费</w:t>
      </w:r>
      <w:r>
        <w:rPr>
          <w:rFonts w:ascii="仿宋" w:eastAsia="仿宋" w:hAnsi="仿宋" w:hint="eastAsia"/>
          <w:color w:val="000000"/>
          <w:sz w:val="32"/>
          <w:szCs w:val="32"/>
          <w:lang w:val="en-US" w:eastAsia="zh-CN"/>
        </w:rPr>
        <w:t>757.28</w:t>
      </w:r>
      <w:r>
        <w:rPr>
          <w:rFonts w:ascii="仿宋" w:eastAsia="仿宋" w:hAnsi="仿宋" w:hint="eastAsia"/>
          <w:color w:val="000000"/>
          <w:sz w:val="32"/>
          <w:szCs w:val="32"/>
        </w:rPr>
        <w:t>万元，主要包括：基本工资、津贴补贴、奖金、伙食补助费、绩效工资、机关事业单位基本养老保险缴费、职业年金缴费、其他社会保障缴费、其他工资福利支出、离休费、退休费、生活补助、医疗费补助、奖励金、住房公积金、其他对个人和家庭的补助支出等。</w:t>
      </w:r>
      <w:r>
        <w:rPr>
          <w:rFonts w:ascii="仿宋" w:eastAsia="仿宋" w:hAnsi="仿宋"/>
          <w:color w:val="000000"/>
          <w:sz w:val="32"/>
          <w:szCs w:val="32"/>
        </w:rPr>
        <w:br/>
      </w:r>
      <w:r>
        <w:rPr>
          <w:rFonts w:ascii="仿宋" w:eastAsia="仿宋" w:hAnsi="仿宋" w:hint="eastAsia"/>
          <w:color w:val="000000"/>
          <w:sz w:val="32"/>
          <w:szCs w:val="32"/>
        </w:rPr>
        <w:t>　　日常公用经费</w:t>
      </w:r>
      <w:r>
        <w:rPr>
          <w:rFonts w:ascii="仿宋" w:eastAsia="仿宋" w:hAnsi="仿宋" w:hint="eastAsia"/>
          <w:color w:val="000000"/>
          <w:sz w:val="32"/>
          <w:szCs w:val="32"/>
          <w:lang w:val="en-US" w:eastAsia="zh-CN"/>
        </w:rPr>
        <w:t>49.80</w:t>
      </w:r>
      <w:r>
        <w:rPr>
          <w:rFonts w:ascii="仿宋" w:eastAsia="仿宋" w:hAnsi="仿宋" w:hint="eastAsia"/>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Char"/>
          <w:rFonts w:ascii="黑体" w:eastAsia="黑体" w:hAnsi="黑体"/>
          <w:b w:val="0"/>
        </w:rPr>
      </w:pPr>
      <w:bookmarkStart w:id="43" w:name="_Toc15396609"/>
      <w:bookmarkStart w:id="44" w:name="_Toc15377215"/>
      <w:r>
        <w:rPr>
          <w:rFonts w:ascii="黑体" w:eastAsia="黑体" w:hint="eastAsia"/>
          <w:color w:val="000000"/>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43"/>
      <w:bookmarkEnd w:id="44"/>
    </w:p>
    <w:p>
      <w:pPr>
        <w:spacing w:line="600" w:lineRule="exact"/>
        <w:ind w:firstLine="640"/>
        <w:outlineLvl w:val="2"/>
        <w:rPr>
          <w:rFonts w:ascii="华文楷体" w:eastAsia="华文楷体" w:cs="华文楷体" w:hAnsi="华文楷体" w:hint="eastAsia"/>
          <w:b w:val="0"/>
          <w:bCs/>
          <w:color w:val="000000"/>
          <w:sz w:val="32"/>
          <w:szCs w:val="32"/>
        </w:rPr>
      </w:pPr>
      <w:bookmarkStart w:id="45" w:name="_Toc15377216"/>
      <w:r>
        <w:rPr>
          <w:rFonts w:ascii="华文楷体" w:eastAsia="华文楷体" w:cs="华文楷体" w:hAnsi="华文楷体" w:hint="eastAsia"/>
          <w:b w:val="0"/>
          <w:bCs/>
          <w:color w:val="000000"/>
          <w:sz w:val="32"/>
          <w:szCs w:val="32"/>
        </w:rPr>
        <w:t>（一）“三公”经费财政拨款支出决算总体情况说明</w:t>
      </w:r>
      <w:bookmarkEnd w:id="45"/>
    </w:p>
    <w:p>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9年“三公”经费财政拨款支出决算为</w:t>
      </w:r>
      <w:r>
        <w:rPr>
          <w:rFonts w:ascii="仿宋" w:eastAsia="仿宋" w:hAnsi="仿宋" w:hint="eastAsia"/>
          <w:color w:val="000000"/>
          <w:sz w:val="32"/>
          <w:szCs w:val="32"/>
          <w:lang w:val="en-US" w:eastAsia="zh-CN"/>
        </w:rPr>
        <w:t>3.35</w:t>
      </w:r>
      <w:r>
        <w:rPr>
          <w:rFonts w:ascii="仿宋" w:eastAsia="仿宋" w:hAnsi="仿宋" w:hint="eastAsia"/>
          <w:color w:val="000000"/>
          <w:sz w:val="32"/>
          <w:szCs w:val="32"/>
        </w:rPr>
        <w:t>万元，完成预算</w:t>
      </w:r>
      <w:r>
        <w:rPr>
          <w:rFonts w:ascii="仿宋" w:eastAsia="仿宋" w:hAnsi="仿宋" w:hint="eastAsia"/>
          <w:color w:val="000000"/>
          <w:sz w:val="32"/>
          <w:szCs w:val="32"/>
          <w:lang w:val="en-US" w:eastAsia="zh-CN"/>
        </w:rPr>
        <w:t>50.38</w:t>
      </w:r>
      <w:r>
        <w:rPr>
          <w:rFonts w:ascii="仿宋" w:eastAsia="仿宋" w:hAnsi="仿宋"/>
          <w:color w:val="000000"/>
          <w:sz w:val="32"/>
          <w:szCs w:val="32"/>
        </w:rPr>
        <w:t>%</w:t>
      </w:r>
      <w:r>
        <w:rPr>
          <w:rFonts w:ascii="仿宋" w:eastAsia="仿宋" w:hAnsi="仿宋" w:hint="eastAsia"/>
          <w:color w:val="000000"/>
          <w:sz w:val="32"/>
          <w:szCs w:val="32"/>
        </w:rPr>
        <w:t>，决算数小于预算数的主要原因是</w:t>
      </w:r>
      <w:r>
        <w:rPr>
          <w:rFonts w:ascii="仿宋" w:eastAsia="仿宋" w:hAnsi="仿宋" w:hint="eastAsia"/>
          <w:color w:val="000000"/>
          <w:sz w:val="32"/>
          <w:szCs w:val="32"/>
          <w:lang w:eastAsia="zh-CN"/>
        </w:rPr>
        <w:t>公务用车运行维护费及公务接待减少</w:t>
      </w:r>
      <w:r>
        <w:rPr>
          <w:rFonts w:ascii="仿宋" w:eastAsia="仿宋" w:hAnsi="仿宋" w:hint="eastAsia"/>
          <w:color w:val="000000"/>
          <w:sz w:val="32"/>
          <w:szCs w:val="32"/>
        </w:rPr>
        <w:t>。</w:t>
      </w:r>
    </w:p>
    <w:p>
      <w:pPr>
        <w:spacing w:line="600" w:lineRule="exact"/>
        <w:ind w:firstLine="640"/>
        <w:outlineLvl w:val="2"/>
        <w:rPr>
          <w:rFonts w:ascii="华文楷体" w:eastAsia="华文楷体" w:cs="华文楷体" w:hAnsi="华文楷体" w:hint="eastAsia"/>
          <w:b w:val="0"/>
          <w:bCs/>
          <w:color w:val="000000"/>
          <w:sz w:val="32"/>
          <w:szCs w:val="32"/>
        </w:rPr>
      </w:pPr>
      <w:bookmarkStart w:id="46" w:name="_Toc15377217"/>
      <w:r>
        <w:rPr>
          <w:rFonts w:ascii="华文楷体" w:eastAsia="华文楷体" w:cs="华文楷体" w:hAnsi="华文楷体" w:hint="eastAsia"/>
          <w:b w:val="0"/>
          <w:bCs/>
          <w:color w:val="000000"/>
          <w:sz w:val="32"/>
          <w:szCs w:val="32"/>
        </w:rPr>
        <w:t>（二）“三公”经费财政拨款支出决算具体情况说明</w:t>
      </w:r>
      <w:bookmarkEnd w:id="46"/>
    </w:p>
    <w:p>
      <w:pPr>
        <w:spacing w:line="600" w:lineRule="exact"/>
        <w:ind w:firstLine="640"/>
        <w:rPr>
          <w:rFonts w:ascii="仿宋" w:eastAsia="仿宋" w:hAnsi="仿宋" w:hint="eastAsia"/>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9年“三公”经费财政拨款支出决算中，因公出国（境）费支出决算</w:t>
      </w:r>
      <w:r>
        <w:rPr>
          <w:rFonts w:ascii="仿宋" w:eastAsia="仿宋" w:hAnsi="仿宋" w:hint="eastAsia"/>
          <w:color w:val="000000"/>
          <w:sz w:val="32"/>
          <w:szCs w:val="32"/>
          <w:lang w:val="en-US" w:eastAsia="zh-CN"/>
        </w:rPr>
        <w:t>0</w:t>
      </w:r>
      <w:r>
        <w:rPr>
          <w:rFonts w:ascii="仿宋" w:eastAsia="仿宋" w:hAnsi="仿宋" w:hint="eastAsia"/>
          <w:color w:val="000000"/>
          <w:sz w:val="32"/>
          <w:szCs w:val="32"/>
        </w:rPr>
        <w:t>万元，占</w:t>
      </w:r>
      <w:r>
        <w:rPr>
          <w:rFonts w:ascii="仿宋" w:eastAsia="仿宋" w:hAnsi="仿宋" w:hint="eastAsia"/>
          <w:color w:val="000000"/>
          <w:sz w:val="32"/>
          <w:szCs w:val="32"/>
          <w:lang w:val="en-US" w:eastAsia="zh-CN"/>
        </w:rPr>
        <w:t>0</w:t>
      </w:r>
      <w:r>
        <w:rPr>
          <w:rFonts w:ascii="仿宋" w:eastAsia="仿宋" w:hAnsi="仿宋"/>
          <w:color w:val="000000"/>
          <w:sz w:val="32"/>
          <w:szCs w:val="32"/>
        </w:rPr>
        <w:t>%</w:t>
      </w:r>
      <w:r>
        <w:rPr>
          <w:rFonts w:ascii="仿宋" w:eastAsia="仿宋" w:hAnsi="仿宋" w:hint="eastAsia"/>
          <w:color w:val="000000"/>
          <w:sz w:val="32"/>
          <w:szCs w:val="32"/>
        </w:rPr>
        <w:t>；公务用车购置及运行维护费支出决算</w:t>
      </w:r>
      <w:r>
        <w:rPr>
          <w:rFonts w:ascii="仿宋" w:eastAsia="仿宋" w:hAnsi="仿宋" w:hint="eastAsia"/>
          <w:color w:val="000000"/>
          <w:sz w:val="32"/>
          <w:szCs w:val="32"/>
          <w:lang w:val="en-US" w:eastAsia="zh-CN"/>
        </w:rPr>
        <w:t>3.35</w:t>
      </w:r>
      <w:r>
        <w:rPr>
          <w:rFonts w:ascii="仿宋" w:eastAsia="仿宋" w:hAnsi="仿宋" w:hint="eastAsia"/>
          <w:color w:val="000000"/>
          <w:sz w:val="32"/>
          <w:szCs w:val="32"/>
        </w:rPr>
        <w:t>万元，占</w:t>
      </w:r>
      <w:r>
        <w:rPr>
          <w:rFonts w:ascii="仿宋" w:eastAsia="仿宋" w:hAnsi="仿宋" w:hint="eastAsia"/>
          <w:color w:val="000000"/>
          <w:sz w:val="32"/>
          <w:szCs w:val="32"/>
          <w:lang w:val="en-US" w:eastAsia="zh-CN"/>
        </w:rPr>
        <w:t>100</w:t>
      </w:r>
      <w:r>
        <w:rPr>
          <w:rFonts w:ascii="仿宋" w:eastAsia="仿宋" w:hAnsi="仿宋"/>
          <w:color w:val="000000"/>
          <w:sz w:val="32"/>
          <w:szCs w:val="32"/>
        </w:rPr>
        <w:t>%</w:t>
      </w:r>
      <w:r>
        <w:rPr>
          <w:rFonts w:ascii="仿宋" w:eastAsia="仿宋" w:hAnsi="仿宋" w:hint="eastAsia"/>
          <w:color w:val="000000"/>
          <w:sz w:val="32"/>
          <w:szCs w:val="32"/>
        </w:rPr>
        <w:t>；公务接待费支出决算</w:t>
      </w:r>
      <w:r>
        <w:rPr>
          <w:rFonts w:ascii="仿宋" w:eastAsia="仿宋" w:hAnsi="仿宋" w:hint="eastAsia"/>
          <w:color w:val="000000"/>
          <w:sz w:val="32"/>
          <w:szCs w:val="32"/>
          <w:lang w:val="en-US" w:eastAsia="zh-CN"/>
        </w:rPr>
        <w:t>0</w:t>
      </w:r>
      <w:r>
        <w:rPr>
          <w:rFonts w:ascii="仿宋" w:eastAsia="仿宋" w:hAnsi="仿宋" w:hint="eastAsia"/>
          <w:color w:val="000000"/>
          <w:sz w:val="32"/>
          <w:szCs w:val="32"/>
        </w:rPr>
        <w:t>万元，占</w:t>
      </w:r>
      <w:r>
        <w:rPr>
          <w:rFonts w:ascii="仿宋" w:eastAsia="仿宋" w:hAnsi="仿宋" w:hint="eastAsia"/>
          <w:color w:val="000000"/>
          <w:sz w:val="32"/>
          <w:szCs w:val="32"/>
          <w:lang w:val="en-US" w:eastAsia="zh-CN"/>
        </w:rPr>
        <w:t>0</w:t>
      </w:r>
      <w:r>
        <w:rPr>
          <w:rFonts w:ascii="仿宋" w:eastAsia="仿宋" w:hAnsi="仿宋"/>
          <w:color w:val="000000"/>
          <w:sz w:val="32"/>
          <w:szCs w:val="32"/>
        </w:rPr>
        <w:t>%</w:t>
      </w:r>
      <w:r>
        <w:rPr>
          <w:rFonts w:ascii="仿宋" w:eastAsia="仿宋" w:hAnsi="仿宋" w:hint="eastAsia"/>
          <w:color w:val="000000"/>
          <w:sz w:val="32"/>
          <w:szCs w:val="32"/>
        </w:rPr>
        <w:t>。具体情况如下：</w:t>
      </w:r>
    </w:p>
    <w:p>
      <w:pPr>
        <w:spacing w:line="600" w:lineRule="exact"/>
        <w:ind w:firstLine="640"/>
        <w:rPr>
          <w:rFonts w:ascii="仿宋" w:eastAsia="仿宋" w:hAnsi="仿宋" w:hint="eastAsia"/>
          <w:color w:val="000000"/>
          <w:sz w:val="32"/>
          <w:szCs w:val="32"/>
        </w:rPr>
      </w:pPr>
      <w:r>
        <w:drawing>
          <wp:anchor distT="0" distB="0" distL="114300" distR="114300" simplePos="0" relativeHeight="14" behindDoc="1" locked="0" layoutInCell="1" hidden="0" allowOverlap="1">
            <wp:simplePos x="0" y="0"/>
            <wp:positionH relativeFrom="column">
              <wp:posOffset>585470</wp:posOffset>
            </wp:positionH>
            <wp:positionV relativeFrom="paragraph">
              <wp:posOffset>118110</wp:posOffset>
            </wp:positionV>
            <wp:extent cx="4295775" cy="2067560"/>
            <wp:effectExtent l="0" t="0" r="0" b="0"/>
            <wp:wrapNone/>
            <wp:docPr id="19" name="图表 7"/>
            <wp:cNvGraphicFramePr>
              <a:graphicFrameLocks noChangeAspect="0"/>
            </wp:cNvGraphicFramePr>
            <a:graphic>
              <a:graphicData uri="http://schemas.openxmlformats.org/drawingml/2006/chart">
                <c:chart xmlns:c="http://schemas.openxmlformats.org/drawingml/2006/chart" r:id="rId11"/>
              </a:graphicData>
            </a:graphic>
          </wp:anchor>
        </w:drawing>
      </w:r>
    </w:p>
    <w:p>
      <w:pPr>
        <w:spacing w:line="600" w:lineRule="exact"/>
        <w:ind w:firstLine="640"/>
        <w:rPr>
          <w:rFonts w:ascii="仿宋" w:eastAsia="仿宋" w:hAnsi="仿宋" w:hint="eastAsia"/>
          <w:color w:val="000000"/>
          <w:sz w:val="32"/>
          <w:szCs w:val="32"/>
        </w:rPr>
      </w:pPr>
    </w:p>
    <w:p>
      <w:pPr>
        <w:spacing w:line="600" w:lineRule="exact"/>
        <w:ind w:firstLine="640"/>
        <w:rPr>
          <w:rFonts w:ascii="仿宋" w:eastAsia="仿宋" w:hAnsi="仿宋" w:hint="eastAsia"/>
          <w:color w:val="000000"/>
          <w:sz w:val="32"/>
          <w:szCs w:val="32"/>
        </w:rPr>
      </w:pPr>
    </w:p>
    <w:p>
      <w:pPr>
        <w:spacing w:line="600" w:lineRule="exact"/>
        <w:ind w:firstLine="640"/>
        <w:rPr>
          <w:rFonts w:ascii="仿宋" w:eastAsia="仿宋" w:hAnsi="仿宋" w:hint="eastAsia"/>
          <w:color w:val="000000"/>
          <w:sz w:val="32"/>
          <w:szCs w:val="32"/>
        </w:rPr>
      </w:pPr>
    </w:p>
    <w:p>
      <w:pPr>
        <w:spacing w:line="600" w:lineRule="exact"/>
        <w:ind w:firstLine="640"/>
        <w:rPr>
          <w:rFonts w:ascii="仿宋" w:eastAsia="仿宋" w:hAnsi="仿宋" w:hint="eastAsia"/>
          <w:color w:val="000000"/>
          <w:sz w:val="32"/>
          <w:szCs w:val="32"/>
        </w:rPr>
      </w:pPr>
    </w:p>
    <w:p>
      <w:pPr>
        <w:spacing w:line="600" w:lineRule="exact"/>
        <w:rPr>
          <w:rFonts w:ascii="仿宋_GB2312" w:eastAsia="仿宋_GB2312"/>
          <w:b/>
          <w:color w:val="000000"/>
          <w:sz w:val="32"/>
          <w:szCs w:val="32"/>
        </w:rPr>
      </w:pPr>
    </w:p>
    <w:p>
      <w:pPr>
        <w:spacing w:line="600" w:lineRule="exact"/>
        <w:ind w:firstLine="640"/>
        <w:rPr>
          <w:rFonts w:ascii="仿宋_GB2312" w:eastAsia="仿宋_GB2312"/>
          <w:color w:val="000000"/>
          <w:sz w:val="32"/>
          <w:szCs w:val="32"/>
        </w:rPr>
      </w:pPr>
      <w:r>
        <w:rPr>
          <w:rFonts w:ascii="仿宋_GB2312" w:eastAsia="仿宋_GB2312"/>
          <w:b w:val="0"/>
          <w:bCs/>
          <w:color w:val="000000"/>
          <w:sz w:val="32"/>
          <w:szCs w:val="32"/>
        </w:rPr>
        <w:t>1.</w:t>
      </w:r>
      <w:r>
        <w:rPr>
          <w:rFonts w:ascii="仿宋_GB2312" w:eastAsia="仿宋_GB2312" w:hint="eastAsia"/>
          <w:b w:val="0"/>
          <w:bCs/>
          <w:color w:val="000000"/>
          <w:sz w:val="32"/>
          <w:szCs w:val="32"/>
        </w:rPr>
        <w:t>因公出国（境）经费支出</w:t>
      </w:r>
      <w:r>
        <w:rPr>
          <w:rFonts w:ascii="仿宋_GB2312" w:eastAsia="仿宋_GB2312" w:hint="eastAsia"/>
          <w:b w:val="0"/>
          <w:bCs/>
          <w:color w:val="000000"/>
          <w:sz w:val="32"/>
          <w:szCs w:val="32"/>
          <w:lang w:val="en-US" w:eastAsia="zh-CN"/>
        </w:rPr>
        <w:t>0</w:t>
      </w:r>
      <w:r>
        <w:rPr>
          <w:rFonts w:ascii="仿宋_GB2312" w:eastAsia="仿宋_GB2312" w:hint="eastAsia"/>
          <w:color w:val="000000"/>
          <w:sz w:val="32"/>
          <w:szCs w:val="32"/>
        </w:rPr>
        <w:t>万元，</w:t>
      </w:r>
      <w:r>
        <w:rPr>
          <w:rStyle w:val="22"/>
          <w:rFonts w:ascii="仿宋" w:eastAsia="仿宋" w:hAnsi="仿宋" w:hint="eastAsia"/>
          <w:b w:val="0"/>
          <w:bCs/>
          <w:color w:val="000000"/>
          <w:sz w:val="32"/>
          <w:szCs w:val="32"/>
        </w:rPr>
        <w:t>完成预算</w:t>
      </w:r>
      <w:r>
        <w:rPr>
          <w:rStyle w:val="22"/>
          <w:rFonts w:ascii="仿宋" w:eastAsia="仿宋" w:hAnsi="仿宋" w:hint="eastAsia"/>
          <w:b w:val="0"/>
          <w:bCs/>
          <w:color w:val="000000"/>
          <w:sz w:val="32"/>
          <w:szCs w:val="32"/>
          <w:lang w:val="en-US" w:eastAsia="zh-CN"/>
        </w:rPr>
        <w:t>0</w:t>
      </w:r>
      <w:r>
        <w:rPr>
          <w:rStyle w:val="22"/>
          <w:rFonts w:ascii="仿宋" w:eastAsia="仿宋" w:hAnsi="仿宋"/>
          <w:b w:val="0"/>
          <w:bCs/>
          <w:color w:val="000000"/>
          <w:sz w:val="32"/>
          <w:szCs w:val="32"/>
        </w:rPr>
        <w:t>%</w:t>
      </w:r>
      <w:r>
        <w:rPr>
          <w:rStyle w:val="22"/>
          <w:rFonts w:ascii="仿宋" w:eastAsia="仿宋" w:hAnsi="仿宋" w:hint="eastAsia"/>
          <w:b w:val="0"/>
          <w:bCs/>
          <w:color w:val="000000"/>
          <w:sz w:val="32"/>
          <w:szCs w:val="32"/>
        </w:rPr>
        <w:t>。</w:t>
      </w:r>
      <w:r>
        <w:rPr>
          <w:rFonts w:ascii="仿宋_GB2312" w:eastAsia="仿宋_GB2312" w:hint="eastAsia"/>
          <w:color w:val="000000"/>
          <w:sz w:val="32"/>
          <w:szCs w:val="32"/>
        </w:rPr>
        <w:t>全年安排因公出国（境）团组</w:t>
      </w:r>
      <w:r>
        <w:rPr>
          <w:rFonts w:ascii="仿宋_GB2312" w:eastAsia="仿宋_GB2312" w:hint="eastAsia"/>
          <w:color w:val="000000"/>
          <w:sz w:val="32"/>
          <w:szCs w:val="32"/>
          <w:lang w:val="en-US" w:eastAsia="zh-CN"/>
        </w:rPr>
        <w:t>0</w:t>
      </w:r>
      <w:r>
        <w:rPr>
          <w:rFonts w:ascii="仿宋_GB2312" w:eastAsia="仿宋_GB2312" w:hint="eastAsia"/>
          <w:color w:val="000000"/>
          <w:sz w:val="32"/>
          <w:szCs w:val="32"/>
        </w:rPr>
        <w:t>次，出国（境）</w:t>
      </w:r>
      <w:r>
        <w:rPr>
          <w:rFonts w:ascii="仿宋_GB2312" w:eastAsia="仿宋_GB2312" w:hint="eastAsia"/>
          <w:color w:val="000000"/>
          <w:sz w:val="32"/>
          <w:szCs w:val="32"/>
          <w:lang w:val="en-US" w:eastAsia="zh-CN"/>
        </w:rPr>
        <w:t>0</w:t>
      </w:r>
      <w:r>
        <w:rPr>
          <w:rFonts w:ascii="仿宋_GB2312" w:eastAsia="仿宋_GB2312" w:hint="eastAsia"/>
          <w:color w:val="000000"/>
          <w:sz w:val="32"/>
          <w:szCs w:val="32"/>
        </w:rPr>
        <w:t>人。因公出国（境）支出决算比</w:t>
      </w:r>
      <w:r>
        <w:rPr>
          <w:rFonts w:ascii="仿宋_GB2312" w:eastAsia="仿宋_GB2312"/>
          <w:color w:val="000000"/>
          <w:sz w:val="32"/>
          <w:szCs w:val="32"/>
        </w:rPr>
        <w:t>201</w:t>
      </w:r>
      <w:r>
        <w:rPr>
          <w:rFonts w:ascii="仿宋_GB2312" w:eastAsia="仿宋_GB2312" w:hint="eastAsia"/>
          <w:color w:val="000000"/>
          <w:sz w:val="32"/>
          <w:szCs w:val="32"/>
        </w:rPr>
        <w:t>8年增加</w:t>
      </w:r>
      <w:r>
        <w:rPr>
          <w:rFonts w:ascii="仿宋_GB2312" w:eastAsia="仿宋_GB2312"/>
          <w:color w:val="000000"/>
          <w:sz w:val="32"/>
          <w:szCs w:val="32"/>
        </w:rPr>
        <w:t>/</w:t>
      </w:r>
      <w:r>
        <w:rPr>
          <w:rFonts w:ascii="仿宋_GB2312" w:eastAsia="仿宋_GB2312" w:hint="eastAsia"/>
          <w:color w:val="000000"/>
          <w:sz w:val="32"/>
          <w:szCs w:val="32"/>
        </w:rPr>
        <w:t>减少</w:t>
      </w:r>
      <w:r>
        <w:rPr>
          <w:rFonts w:ascii="仿宋_GB2312" w:eastAsia="仿宋_GB2312" w:hint="eastAsia"/>
          <w:color w:val="000000"/>
          <w:sz w:val="32"/>
          <w:szCs w:val="32"/>
          <w:lang w:val="en-US" w:eastAsia="zh-CN"/>
        </w:rPr>
        <w:t>0</w:t>
      </w:r>
      <w:r>
        <w:rPr>
          <w:rFonts w:ascii="仿宋_GB2312" w:eastAsia="仿宋_GB2312" w:hint="eastAsia"/>
          <w:color w:val="000000"/>
          <w:sz w:val="32"/>
          <w:szCs w:val="32"/>
        </w:rPr>
        <w:t>万元，增长</w:t>
      </w:r>
      <w:r>
        <w:rPr>
          <w:rFonts w:ascii="仿宋_GB2312" w:eastAsia="仿宋_GB2312"/>
          <w:color w:val="000000"/>
          <w:sz w:val="32"/>
          <w:szCs w:val="32"/>
        </w:rPr>
        <w:t>/</w:t>
      </w:r>
      <w:r>
        <w:rPr>
          <w:rFonts w:ascii="仿宋_GB2312" w:eastAsia="仿宋_GB2312" w:hint="eastAsia"/>
          <w:color w:val="000000"/>
          <w:sz w:val="32"/>
          <w:szCs w:val="32"/>
        </w:rPr>
        <w:t>下降</w:t>
      </w:r>
      <w:r>
        <w:rPr>
          <w:rFonts w:ascii="仿宋_GB2312" w:eastAsia="仿宋_GB2312" w:hint="eastAsia"/>
          <w:color w:val="000000"/>
          <w:sz w:val="32"/>
          <w:szCs w:val="32"/>
          <w:lang w:val="en-US" w:eastAsia="zh-CN"/>
        </w:rPr>
        <w:t>0</w:t>
      </w:r>
      <w:r>
        <w:rPr>
          <w:rFonts w:ascii="仿宋_GB2312" w:eastAsia="仿宋_GB2312"/>
          <w:color w:val="000000"/>
          <w:sz w:val="32"/>
          <w:szCs w:val="32"/>
        </w:rPr>
        <w:t>%</w:t>
      </w:r>
      <w:r>
        <w:rPr>
          <w:rFonts w:ascii="仿宋_GB2312" w:eastAsia="仿宋_GB2312" w:hint="eastAsia"/>
          <w:color w:val="000000"/>
          <w:sz w:val="32"/>
          <w:szCs w:val="32"/>
        </w:rPr>
        <w:t>。</w:t>
      </w:r>
    </w:p>
    <w:p>
      <w:pPr>
        <w:spacing w:line="600" w:lineRule="exact"/>
        <w:ind w:firstLine="640"/>
        <w:rPr>
          <w:rFonts w:ascii="仿宋_GB2312" w:eastAsia="仿宋_GB2312" w:hint="eastAsia"/>
          <w:b/>
          <w:color w:val="000000"/>
          <w:sz w:val="32"/>
          <w:szCs w:val="32"/>
          <w:lang w:eastAsia="zh-CN"/>
        </w:rPr>
      </w:pPr>
      <w:r>
        <w:rPr>
          <w:rFonts w:ascii="仿宋_GB2312" w:eastAsia="仿宋_GB2312"/>
          <w:b w:val="0"/>
          <w:bCs/>
          <w:color w:val="000000"/>
          <w:sz w:val="32"/>
          <w:szCs w:val="32"/>
        </w:rPr>
        <w:t>2.</w:t>
      </w:r>
      <w:r>
        <w:rPr>
          <w:rFonts w:ascii="仿宋_GB2312" w:eastAsia="仿宋_GB2312" w:hint="eastAsia"/>
          <w:b w:val="0"/>
          <w:bCs/>
          <w:color w:val="000000"/>
          <w:sz w:val="32"/>
          <w:szCs w:val="32"/>
        </w:rPr>
        <w:t>公务用车购置及运行维护费支出</w:t>
      </w:r>
      <w:r>
        <w:rPr>
          <w:rFonts w:ascii="仿宋_GB2312" w:eastAsia="仿宋_GB2312" w:hint="eastAsia"/>
          <w:b w:val="0"/>
          <w:bCs/>
          <w:color w:val="000000"/>
          <w:sz w:val="32"/>
          <w:szCs w:val="32"/>
          <w:lang w:val="en-US" w:eastAsia="zh-CN"/>
        </w:rPr>
        <w:t>3.35</w:t>
      </w:r>
      <w:r>
        <w:rPr>
          <w:rFonts w:ascii="仿宋_GB2312" w:eastAsia="仿宋_GB2312" w:hint="eastAsia"/>
          <w:color w:val="000000"/>
          <w:sz w:val="32"/>
          <w:szCs w:val="32"/>
        </w:rPr>
        <w:t>万元,</w:t>
      </w:r>
      <w:r>
        <w:rPr>
          <w:rStyle w:val="22"/>
          <w:rFonts w:ascii="仿宋" w:eastAsia="仿宋" w:hAnsi="仿宋" w:hint="eastAsia"/>
          <w:b w:val="0"/>
          <w:bCs/>
          <w:color w:val="000000"/>
          <w:sz w:val="32"/>
          <w:szCs w:val="32"/>
        </w:rPr>
        <w:t>完成预算</w:t>
      </w:r>
      <w:r>
        <w:rPr>
          <w:rStyle w:val="22"/>
          <w:rFonts w:ascii="仿宋" w:eastAsia="仿宋" w:hAnsi="仿宋" w:hint="eastAsia"/>
          <w:b w:val="0"/>
          <w:bCs/>
          <w:color w:val="000000"/>
          <w:sz w:val="32"/>
          <w:szCs w:val="32"/>
          <w:lang w:val="en-US" w:eastAsia="zh-CN"/>
        </w:rPr>
        <w:t>59.82</w:t>
      </w:r>
      <w:r>
        <w:rPr>
          <w:rStyle w:val="22"/>
          <w:rFonts w:ascii="仿宋" w:eastAsia="仿宋" w:hAnsi="仿宋"/>
          <w:b w:val="0"/>
          <w:bCs/>
          <w:color w:val="000000"/>
          <w:sz w:val="32"/>
          <w:szCs w:val="32"/>
        </w:rPr>
        <w:t>%</w:t>
      </w:r>
      <w:r>
        <w:rPr>
          <w:rStyle w:val="22"/>
          <w:rFonts w:ascii="仿宋" w:eastAsia="仿宋" w:hAnsi="仿宋" w:hint="eastAsia"/>
          <w:b w:val="0"/>
          <w:bCs/>
          <w:color w:val="000000"/>
          <w:sz w:val="32"/>
          <w:szCs w:val="32"/>
        </w:rPr>
        <w:t>。</w:t>
      </w:r>
      <w:r>
        <w:rPr>
          <w:rFonts w:ascii="仿宋_GB2312" w:eastAsia="仿宋_GB2312" w:hint="eastAsia"/>
          <w:color w:val="000000"/>
          <w:sz w:val="32"/>
          <w:szCs w:val="32"/>
        </w:rPr>
        <w:t>公务用车购置及运行维护费支出决算比</w:t>
      </w:r>
      <w:r>
        <w:rPr>
          <w:rFonts w:ascii="仿宋_GB2312" w:eastAsia="仿宋_GB2312"/>
          <w:color w:val="000000"/>
          <w:sz w:val="32"/>
          <w:szCs w:val="32"/>
        </w:rPr>
        <w:t>201</w:t>
      </w:r>
      <w:r>
        <w:rPr>
          <w:rFonts w:ascii="仿宋_GB2312" w:eastAsia="仿宋_GB2312" w:hint="eastAsia"/>
          <w:color w:val="000000"/>
          <w:sz w:val="32"/>
          <w:szCs w:val="32"/>
        </w:rPr>
        <w:t>8年减少</w:t>
      </w:r>
      <w:r>
        <w:rPr>
          <w:rFonts w:ascii="仿宋_GB2312" w:eastAsia="仿宋_GB2312" w:hint="eastAsia"/>
          <w:color w:val="000000"/>
          <w:sz w:val="32"/>
          <w:szCs w:val="32"/>
          <w:lang w:val="en-US" w:eastAsia="zh-CN"/>
        </w:rPr>
        <w:t>2.33</w:t>
      </w:r>
      <w:r>
        <w:rPr>
          <w:rFonts w:ascii="仿宋_GB2312" w:eastAsia="仿宋_GB2312" w:hint="eastAsia"/>
          <w:color w:val="000000"/>
          <w:sz w:val="32"/>
          <w:szCs w:val="32"/>
        </w:rPr>
        <w:t>万元，下降</w:t>
      </w:r>
      <w:r>
        <w:rPr>
          <w:rFonts w:ascii="仿宋_GB2312" w:eastAsia="仿宋_GB2312" w:hint="eastAsia"/>
          <w:color w:val="000000"/>
          <w:sz w:val="32"/>
          <w:szCs w:val="32"/>
          <w:lang w:val="en-US" w:eastAsia="zh-CN"/>
        </w:rPr>
        <w:t>41.02</w:t>
      </w:r>
      <w:r>
        <w:rPr>
          <w:rFonts w:ascii="仿宋_GB2312" w:eastAsia="仿宋_GB2312"/>
          <w:color w:val="000000"/>
          <w:sz w:val="32"/>
          <w:szCs w:val="32"/>
        </w:rPr>
        <w:t>%</w:t>
      </w:r>
      <w:r>
        <w:rPr>
          <w:rFonts w:ascii="仿宋_GB2312" w:eastAsia="仿宋_GB2312" w:hint="eastAsia"/>
          <w:color w:val="000000"/>
          <w:sz w:val="32"/>
          <w:szCs w:val="32"/>
        </w:rPr>
        <w:t>。主要原因是</w:t>
      </w:r>
      <w:r>
        <w:rPr>
          <w:rFonts w:ascii="仿宋_GB2312" w:eastAsia="仿宋_GB2312" w:hint="eastAsia"/>
          <w:color w:val="000000"/>
          <w:sz w:val="32"/>
          <w:szCs w:val="32"/>
          <w:lang w:eastAsia="zh-CN"/>
        </w:rPr>
        <w:t>维护费减少。</w:t>
      </w:r>
    </w:p>
    <w:p>
      <w:pPr>
        <w:spacing w:line="600" w:lineRule="exact"/>
        <w:ind w:firstLineChars="200" w:firstLine="640"/>
        <w:rPr>
          <w:rFonts w:ascii="仿宋_GB2312" w:eastAsia="仿宋_GB2312" w:hint="eastAsia"/>
          <w:color w:val="000000"/>
          <w:sz w:val="32"/>
          <w:szCs w:val="32"/>
          <w:lang w:eastAsia="zh-CN"/>
        </w:rPr>
      </w:pPr>
      <w:r>
        <w:rPr>
          <w:rFonts w:ascii="仿宋_GB2312" w:eastAsia="仿宋_GB2312" w:hint="eastAsia"/>
          <w:color w:val="000000"/>
          <w:sz w:val="32"/>
          <w:szCs w:val="32"/>
        </w:rPr>
        <w:t>其中</w:t>
      </w:r>
      <w:r>
        <w:rPr>
          <w:rFonts w:ascii="仿宋_GB2312" w:eastAsia="仿宋_GB2312" w:hint="eastAsia"/>
          <w:b w:val="0"/>
          <w:bCs w:val="0"/>
          <w:color w:val="000000"/>
          <w:sz w:val="32"/>
          <w:szCs w:val="32"/>
        </w:rPr>
        <w:t>：公务用车购置支出</w:t>
      </w:r>
      <w:r>
        <w:rPr>
          <w:rFonts w:ascii="仿宋_GB2312" w:eastAsia="仿宋_GB2312" w:hint="eastAsia"/>
          <w:color w:val="000000"/>
          <w:sz w:val="32"/>
          <w:szCs w:val="32"/>
          <w:lang w:val="en-US" w:eastAsia="zh-CN"/>
        </w:rPr>
        <w:t>0</w:t>
      </w:r>
      <w:r>
        <w:rPr>
          <w:rFonts w:ascii="仿宋_GB2312" w:eastAsia="仿宋_GB2312" w:hint="eastAsia"/>
          <w:color w:val="000000"/>
          <w:sz w:val="32"/>
          <w:szCs w:val="32"/>
        </w:rPr>
        <w:t>万元。全年按规定更新购置公务用车</w:t>
      </w:r>
      <w:r>
        <w:rPr>
          <w:rFonts w:ascii="仿宋_GB2312" w:eastAsia="仿宋_GB2312" w:hint="eastAsia"/>
          <w:color w:val="000000"/>
          <w:sz w:val="32"/>
          <w:szCs w:val="32"/>
          <w:lang w:val="en-US" w:eastAsia="zh-CN"/>
        </w:rPr>
        <w:t>0</w:t>
      </w:r>
      <w:r>
        <w:rPr>
          <w:rFonts w:ascii="仿宋_GB2312" w:eastAsia="仿宋_GB2312" w:hint="eastAsia"/>
          <w:color w:val="000000"/>
          <w:sz w:val="32"/>
          <w:szCs w:val="32"/>
        </w:rPr>
        <w:t>辆，金额</w:t>
      </w:r>
      <w:r>
        <w:rPr>
          <w:rFonts w:ascii="仿宋_GB2312" w:eastAsia="仿宋_GB2312" w:hint="eastAsia"/>
          <w:color w:val="000000"/>
          <w:sz w:val="32"/>
          <w:szCs w:val="32"/>
          <w:lang w:val="en-US" w:eastAsia="zh-CN"/>
        </w:rPr>
        <w:t>0</w:t>
      </w:r>
      <w:r>
        <w:rPr>
          <w:rFonts w:ascii="仿宋_GB2312" w:eastAsia="仿宋_GB2312"/>
          <w:color w:val="000000"/>
          <w:sz w:val="32"/>
          <w:szCs w:val="32"/>
        </w:rPr>
        <w:t>元。</w:t>
      </w:r>
      <w:r>
        <w:rPr>
          <w:rFonts w:ascii="仿宋_GB2312" w:eastAsia="仿宋_GB2312" w:hint="eastAsia"/>
          <w:color w:val="000000"/>
          <w:sz w:val="32"/>
          <w:szCs w:val="32"/>
        </w:rPr>
        <w:t>截至</w:t>
      </w:r>
      <w:r>
        <w:rPr>
          <w:rFonts w:ascii="仿宋_GB2312" w:eastAsia="仿宋_GB2312"/>
          <w:color w:val="000000"/>
          <w:sz w:val="32"/>
          <w:szCs w:val="32"/>
        </w:rPr>
        <w:t>201</w:t>
      </w:r>
      <w:r>
        <w:rPr>
          <w:rFonts w:ascii="仿宋_GB2312" w:eastAsia="仿宋_GB2312" w:hint="eastAsia"/>
          <w:color w:val="000000"/>
          <w:sz w:val="32"/>
          <w:szCs w:val="32"/>
        </w:rPr>
        <w:t>9年</w:t>
      </w:r>
      <w:r>
        <w:rPr>
          <w:rFonts w:ascii="仿宋_GB2312" w:eastAsia="仿宋_GB2312"/>
          <w:color w:val="000000"/>
          <w:sz w:val="32"/>
          <w:szCs w:val="32"/>
        </w:rPr>
        <w:t>12</w:t>
      </w:r>
      <w:r>
        <w:rPr>
          <w:rFonts w:ascii="仿宋_GB2312" w:eastAsia="仿宋_GB2312" w:hint="eastAsia"/>
          <w:color w:val="000000"/>
          <w:sz w:val="32"/>
          <w:szCs w:val="32"/>
        </w:rPr>
        <w:t>月底，单位共有公务用车</w:t>
      </w:r>
      <w:r>
        <w:rPr>
          <w:rFonts w:ascii="仿宋_GB2312" w:eastAsia="仿宋_GB2312" w:hint="eastAsia"/>
          <w:color w:val="000000"/>
          <w:sz w:val="32"/>
          <w:szCs w:val="32"/>
          <w:lang w:val="en-US" w:eastAsia="zh-CN"/>
        </w:rPr>
        <w:t>2</w:t>
      </w:r>
      <w:r>
        <w:rPr>
          <w:rFonts w:ascii="仿宋_GB2312" w:eastAsia="仿宋_GB2312" w:hint="eastAsia"/>
          <w:color w:val="000000"/>
          <w:sz w:val="32"/>
          <w:szCs w:val="32"/>
        </w:rPr>
        <w:t>辆，其中：主要领导干部用车</w:t>
      </w:r>
      <w:r>
        <w:rPr>
          <w:rFonts w:ascii="仿宋_GB2312" w:eastAsia="仿宋_GB2312" w:hint="eastAsia"/>
          <w:color w:val="000000"/>
          <w:sz w:val="32"/>
          <w:szCs w:val="32"/>
          <w:lang w:val="en-US" w:eastAsia="zh-CN"/>
        </w:rPr>
        <w:t>0</w:t>
      </w:r>
      <w:r>
        <w:rPr>
          <w:rFonts w:ascii="仿宋_GB2312" w:eastAsia="仿宋_GB2312" w:hint="eastAsia"/>
          <w:color w:val="000000"/>
          <w:sz w:val="32"/>
          <w:szCs w:val="32"/>
        </w:rPr>
        <w:t>辆、机要通信用车</w:t>
      </w:r>
      <w:r>
        <w:rPr>
          <w:rFonts w:ascii="仿宋_GB2312" w:eastAsia="仿宋_GB2312" w:hint="eastAsia"/>
          <w:color w:val="000000"/>
          <w:sz w:val="32"/>
          <w:szCs w:val="32"/>
          <w:lang w:val="en-US" w:eastAsia="zh-CN"/>
        </w:rPr>
        <w:t>0</w:t>
      </w:r>
      <w:r>
        <w:rPr>
          <w:rFonts w:ascii="仿宋_GB2312" w:eastAsia="仿宋_GB2312" w:hint="eastAsia"/>
          <w:color w:val="000000"/>
          <w:sz w:val="32"/>
          <w:szCs w:val="32"/>
        </w:rPr>
        <w:t>辆、应急保障用车</w:t>
      </w:r>
      <w:r>
        <w:rPr>
          <w:rFonts w:ascii="仿宋_GB2312" w:eastAsia="仿宋_GB2312" w:hint="eastAsia"/>
          <w:color w:val="000000"/>
          <w:sz w:val="32"/>
          <w:szCs w:val="32"/>
          <w:lang w:val="en-US" w:eastAsia="zh-CN"/>
        </w:rPr>
        <w:t>0</w:t>
      </w:r>
      <w:r>
        <w:rPr>
          <w:rFonts w:ascii="仿宋_GB2312" w:eastAsia="仿宋_GB2312" w:hint="eastAsia"/>
          <w:color w:val="000000"/>
          <w:sz w:val="32"/>
          <w:szCs w:val="32"/>
        </w:rPr>
        <w:t>辆、 执法执勤用车</w:t>
      </w:r>
      <w:r>
        <w:rPr>
          <w:rFonts w:ascii="仿宋_GB2312" w:eastAsia="仿宋_GB2312" w:hint="eastAsia"/>
          <w:color w:val="000000"/>
          <w:sz w:val="32"/>
          <w:szCs w:val="32"/>
          <w:lang w:val="en-US" w:eastAsia="zh-CN"/>
        </w:rPr>
        <w:t>0</w:t>
      </w:r>
      <w:r>
        <w:rPr>
          <w:rFonts w:ascii="仿宋_GB2312" w:eastAsia="仿宋_GB2312" w:hint="eastAsia"/>
          <w:color w:val="000000"/>
          <w:sz w:val="32"/>
          <w:szCs w:val="32"/>
        </w:rPr>
        <w:t>辆</w:t>
      </w:r>
      <w:r>
        <w:rPr>
          <w:rFonts w:ascii="仿宋_GB2312" w:eastAsia="仿宋_GB2312" w:hint="eastAsia"/>
          <w:color w:val="000000"/>
          <w:sz w:val="32"/>
          <w:szCs w:val="32"/>
          <w:lang w:eastAsia="zh-CN"/>
        </w:rPr>
        <w:t>。</w:t>
      </w:r>
    </w:p>
    <w:p>
      <w:pPr>
        <w:spacing w:line="600" w:lineRule="exact"/>
        <w:ind w:firstLine="640"/>
        <w:rPr>
          <w:rFonts w:ascii="仿宋_GB2312" w:eastAsia="仿宋_GB2312"/>
          <w:color w:val="000000"/>
          <w:sz w:val="32"/>
          <w:szCs w:val="32"/>
        </w:rPr>
      </w:pPr>
      <w:r>
        <w:rPr>
          <w:rFonts w:ascii="仿宋_GB2312" w:eastAsia="仿宋_GB2312" w:hint="eastAsia"/>
          <w:b w:val="0"/>
          <w:bCs/>
          <w:color w:val="000000"/>
          <w:sz w:val="32"/>
          <w:szCs w:val="32"/>
        </w:rPr>
        <w:t>公务用车运行维护费支出</w:t>
      </w:r>
      <w:r>
        <w:rPr>
          <w:rFonts w:ascii="仿宋_GB2312" w:eastAsia="仿宋_GB2312" w:hint="eastAsia"/>
          <w:color w:val="000000"/>
          <w:sz w:val="32"/>
          <w:szCs w:val="32"/>
          <w:lang w:val="en-US" w:eastAsia="zh-CN"/>
        </w:rPr>
        <w:t>3.35</w:t>
      </w:r>
      <w:r>
        <w:rPr>
          <w:rFonts w:ascii="仿宋_GB2312" w:eastAsia="仿宋_GB2312" w:hint="eastAsia"/>
          <w:color w:val="000000"/>
          <w:sz w:val="32"/>
          <w:szCs w:val="32"/>
        </w:rPr>
        <w:t>万元。主要用于</w:t>
      </w:r>
      <w:r>
        <w:rPr>
          <w:rFonts w:ascii="仿宋_GB2312" w:eastAsia="仿宋_GB2312" w:hint="eastAsia"/>
          <w:color w:val="000000"/>
          <w:sz w:val="32"/>
          <w:szCs w:val="32"/>
          <w:lang w:eastAsia="zh-CN"/>
        </w:rPr>
        <w:t>征拆项目及日常公务用车</w:t>
      </w:r>
      <w:r>
        <w:rPr>
          <w:rFonts w:ascii="仿宋_GB2312" w:eastAsia="仿宋_GB2312" w:hint="eastAsia"/>
          <w:color w:val="000000"/>
          <w:sz w:val="32"/>
          <w:szCs w:val="32"/>
        </w:rPr>
        <w:t>等所需的公务用车燃料费、维修费、过路过桥费、保险费等支出。</w:t>
      </w:r>
    </w:p>
    <w:p>
      <w:pPr>
        <w:spacing w:line="600" w:lineRule="exact"/>
        <w:ind w:firstLine="640"/>
        <w:rPr>
          <w:rFonts w:ascii="仿宋_GB2312" w:eastAsia="仿宋_GB2312"/>
          <w:color w:val="000000"/>
          <w:sz w:val="32"/>
          <w:szCs w:val="32"/>
        </w:rPr>
      </w:pPr>
      <w:r>
        <w:rPr>
          <w:rFonts w:ascii="仿宋_GB2312" w:eastAsia="仿宋_GB2312"/>
          <w:b w:val="0"/>
          <w:bCs/>
          <w:color w:val="000000"/>
          <w:sz w:val="32"/>
          <w:szCs w:val="32"/>
        </w:rPr>
        <w:t>3.</w:t>
      </w:r>
      <w:r>
        <w:rPr>
          <w:rFonts w:ascii="仿宋_GB2312" w:eastAsia="仿宋_GB2312" w:hint="eastAsia"/>
          <w:b w:val="0"/>
          <w:bCs/>
          <w:color w:val="000000"/>
          <w:sz w:val="32"/>
          <w:szCs w:val="32"/>
        </w:rPr>
        <w:t>公务接待费支出</w:t>
      </w:r>
      <w:r>
        <w:rPr>
          <w:rFonts w:ascii="仿宋_GB2312" w:eastAsia="仿宋_GB2312" w:hint="eastAsia"/>
          <w:b w:val="0"/>
          <w:bCs/>
          <w:color w:val="000000"/>
          <w:sz w:val="32"/>
          <w:szCs w:val="32"/>
          <w:lang w:val="en-US" w:eastAsia="zh-CN"/>
        </w:rPr>
        <w:t>0</w:t>
      </w:r>
      <w:r>
        <w:rPr>
          <w:rFonts w:ascii="仿宋_GB2312" w:eastAsia="仿宋_GB2312" w:hint="eastAsia"/>
          <w:color w:val="000000"/>
          <w:sz w:val="32"/>
          <w:szCs w:val="32"/>
        </w:rPr>
        <w:t>万元，</w:t>
      </w:r>
      <w:r>
        <w:rPr>
          <w:rStyle w:val="22"/>
          <w:rFonts w:ascii="仿宋" w:eastAsia="仿宋" w:hAnsi="仿宋" w:hint="eastAsia"/>
          <w:b w:val="0"/>
          <w:bCs/>
          <w:color w:val="000000"/>
          <w:sz w:val="32"/>
          <w:szCs w:val="32"/>
        </w:rPr>
        <w:t>完成预算</w:t>
      </w:r>
      <w:r>
        <w:rPr>
          <w:rStyle w:val="22"/>
          <w:rFonts w:ascii="仿宋" w:eastAsia="仿宋" w:hAnsi="仿宋" w:hint="eastAsia"/>
          <w:b w:val="0"/>
          <w:bCs/>
          <w:color w:val="000000"/>
          <w:sz w:val="32"/>
          <w:szCs w:val="32"/>
          <w:lang w:val="en-US" w:eastAsia="zh-CN"/>
        </w:rPr>
        <w:t>0</w:t>
      </w:r>
      <w:r>
        <w:rPr>
          <w:rStyle w:val="22"/>
          <w:rFonts w:ascii="仿宋" w:eastAsia="仿宋" w:hAnsi="仿宋"/>
          <w:b w:val="0"/>
          <w:bCs/>
          <w:color w:val="000000"/>
          <w:sz w:val="32"/>
          <w:szCs w:val="32"/>
        </w:rPr>
        <w:t>%</w:t>
      </w:r>
      <w:r>
        <w:rPr>
          <w:rStyle w:val="22"/>
          <w:rFonts w:ascii="仿宋" w:eastAsia="仿宋" w:hAnsi="仿宋" w:hint="eastAsia"/>
          <w:b w:val="0"/>
          <w:bCs/>
          <w:color w:val="000000"/>
          <w:sz w:val="32"/>
          <w:szCs w:val="32"/>
        </w:rPr>
        <w:t>。</w:t>
      </w:r>
      <w:r>
        <w:rPr>
          <w:rFonts w:ascii="仿宋_GB2312" w:eastAsia="仿宋_GB2312" w:hint="eastAsia"/>
          <w:color w:val="000000"/>
          <w:sz w:val="32"/>
          <w:szCs w:val="32"/>
        </w:rPr>
        <w:t>公务接待费支出决算比</w:t>
      </w:r>
      <w:r>
        <w:rPr>
          <w:rFonts w:ascii="仿宋_GB2312" w:eastAsia="仿宋_GB2312"/>
          <w:color w:val="000000"/>
          <w:sz w:val="32"/>
          <w:szCs w:val="32"/>
        </w:rPr>
        <w:t>201</w:t>
      </w:r>
      <w:r>
        <w:rPr>
          <w:rFonts w:ascii="仿宋_GB2312" w:eastAsia="仿宋_GB2312" w:hint="eastAsia"/>
          <w:color w:val="000000"/>
          <w:sz w:val="32"/>
          <w:szCs w:val="32"/>
        </w:rPr>
        <w:t>8年减少</w:t>
      </w:r>
      <w:r>
        <w:rPr>
          <w:rFonts w:ascii="仿宋_GB2312" w:eastAsia="仿宋_GB2312" w:hint="eastAsia"/>
          <w:color w:val="000000"/>
          <w:sz w:val="32"/>
          <w:szCs w:val="32"/>
          <w:lang w:val="en-US" w:eastAsia="zh-CN"/>
        </w:rPr>
        <w:t>1.07</w:t>
      </w:r>
      <w:r>
        <w:rPr>
          <w:rFonts w:ascii="仿宋_GB2312" w:eastAsia="仿宋_GB2312" w:hint="eastAsia"/>
          <w:color w:val="000000"/>
          <w:sz w:val="32"/>
          <w:szCs w:val="32"/>
        </w:rPr>
        <w:t>万元，下降</w:t>
      </w:r>
      <w:r>
        <w:rPr>
          <w:rFonts w:ascii="仿宋_GB2312" w:eastAsia="仿宋_GB2312" w:hint="eastAsia"/>
          <w:color w:val="000000"/>
          <w:sz w:val="32"/>
          <w:szCs w:val="32"/>
          <w:lang w:val="en-US" w:eastAsia="zh-CN"/>
        </w:rPr>
        <w:t>100</w:t>
      </w:r>
      <w:r>
        <w:rPr>
          <w:rFonts w:ascii="仿宋_GB2312" w:eastAsia="仿宋_GB2312"/>
          <w:color w:val="000000"/>
          <w:sz w:val="32"/>
          <w:szCs w:val="32"/>
        </w:rPr>
        <w:t>%</w:t>
      </w:r>
      <w:r>
        <w:rPr>
          <w:rFonts w:ascii="仿宋_GB2312" w:eastAsia="仿宋_GB2312" w:hint="eastAsia"/>
          <w:color w:val="000000"/>
          <w:sz w:val="32"/>
          <w:szCs w:val="32"/>
        </w:rPr>
        <w:t>。主要原因是</w:t>
      </w:r>
      <w:r>
        <w:rPr>
          <w:rFonts w:ascii="仿宋_GB2312" w:eastAsia="仿宋_GB2312" w:hint="eastAsia"/>
          <w:color w:val="000000"/>
          <w:sz w:val="32"/>
          <w:szCs w:val="32"/>
          <w:lang w:val="en-US" w:eastAsia="zh-CN"/>
        </w:rPr>
        <w:t>2019年未发生相关政策文件规定的公务接待。</w:t>
      </w:r>
      <w:r>
        <w:rPr>
          <w:rFonts w:ascii="仿宋_GB2312" w:eastAsia="仿宋_GB2312" w:hint="eastAsia"/>
          <w:color w:val="000000"/>
          <w:sz w:val="32"/>
          <w:szCs w:val="32"/>
        </w:rPr>
        <w:t>其中：</w:t>
      </w:r>
    </w:p>
    <w:p>
      <w:pPr>
        <w:spacing w:line="600" w:lineRule="exact"/>
        <w:ind w:firstLine="640"/>
        <w:outlineLvl w:val="1"/>
        <w:rPr>
          <w:rStyle w:val="2Char"/>
          <w:rFonts w:ascii="黑体" w:eastAsia="黑体" w:hAnsi="黑体"/>
        </w:rPr>
      </w:pPr>
      <w:bookmarkStart w:id="47" w:name="_Toc15377218"/>
      <w:bookmarkStart w:id="48" w:name="_Toc15396610"/>
      <w:r>
        <w:rPr>
          <w:rFonts w:ascii="黑体" w:eastAsia="黑体" w:hint="eastAsia"/>
          <w:color w:val="000000"/>
          <w:sz w:val="32"/>
          <w:szCs w:val="32"/>
        </w:rPr>
        <w:t>八、</w:t>
      </w:r>
      <w:r>
        <w:rPr>
          <w:rStyle w:val="2Char"/>
          <w:rFonts w:ascii="黑体" w:eastAsia="黑体" w:hAnsi="黑体" w:hint="eastAsia"/>
          <w:b w:val="0"/>
        </w:rPr>
        <w:t>政府性基金预算支出决算情况说明</w:t>
      </w:r>
      <w:bookmarkEnd w:id="47"/>
      <w:bookmarkEnd w:id="48"/>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9年政府性基金预算拨款支出</w:t>
      </w:r>
      <w:r>
        <w:rPr>
          <w:rFonts w:ascii="仿宋_GB2312" w:eastAsia="仿宋_GB2312" w:hint="eastAsia"/>
          <w:color w:val="000000"/>
          <w:sz w:val="32"/>
          <w:szCs w:val="32"/>
          <w:lang w:val="en-US" w:eastAsia="zh-CN"/>
        </w:rPr>
        <w:t>26815.99</w:t>
      </w:r>
      <w:r>
        <w:rPr>
          <w:rFonts w:ascii="仿宋_GB2312" w:eastAsia="仿宋_GB2312" w:hint="eastAsia"/>
          <w:color w:val="000000"/>
          <w:sz w:val="32"/>
          <w:szCs w:val="32"/>
        </w:rPr>
        <w:t>万元。</w:t>
      </w:r>
    </w:p>
    <w:p>
      <w:pPr>
        <w:spacing w:line="600" w:lineRule="exact"/>
        <w:ind w:firstLine="640"/>
        <w:rPr>
          <w:rFonts w:ascii="仿宋_GB2312" w:eastAsia="仿宋_GB2312"/>
          <w:color w:val="000000"/>
          <w:sz w:val="32"/>
          <w:szCs w:val="32"/>
        </w:rPr>
      </w:pPr>
    </w:p>
    <w:p>
      <w:pPr>
        <w:numPr>
          <w:ilvl w:val="0"/>
          <w:numId w:val="3"/>
        </w:numPr>
        <w:spacing w:line="600" w:lineRule="exact"/>
        <w:ind w:left="0" w:firstLine="640"/>
        <w:outlineLvl w:val="1"/>
        <w:rPr>
          <w:rStyle w:val="2Char"/>
          <w:rFonts w:ascii="黑体" w:eastAsia="黑体" w:hAnsi="黑体"/>
          <w:b w:val="0"/>
        </w:rPr>
      </w:pPr>
      <w:bookmarkStart w:id="49" w:name="_Toc15377219"/>
      <w:bookmarkStart w:id="50" w:name="_Toc15396611"/>
      <w:r>
        <w:rPr>
          <w:rStyle w:val="2Char"/>
          <w:rFonts w:ascii="黑体" w:eastAsia="黑体" w:hAnsi="黑体" w:hint="eastAsia"/>
          <w:b w:val="0"/>
        </w:rPr>
        <w:t>国有资本经营预算支出决算情况说明</w:t>
      </w:r>
      <w:bookmarkEnd w:id="49"/>
      <w:bookmarkEnd w:id="50"/>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9年国有资本经营预算拨款支出</w:t>
      </w:r>
      <w:r>
        <w:rPr>
          <w:rFonts w:ascii="仿宋_GB2312" w:eastAsia="仿宋_GB2312" w:hint="eastAsia"/>
          <w:color w:val="000000"/>
          <w:sz w:val="32"/>
          <w:szCs w:val="32"/>
          <w:lang w:val="en-US" w:eastAsia="zh-CN"/>
        </w:rPr>
        <w:t>0</w:t>
      </w:r>
      <w:r>
        <w:rPr>
          <w:rFonts w:ascii="仿宋_GB2312" w:eastAsia="仿宋_GB2312" w:hint="eastAsia"/>
          <w:color w:val="000000"/>
          <w:sz w:val="32"/>
          <w:szCs w:val="32"/>
        </w:rPr>
        <w:t>万元。</w:t>
      </w:r>
    </w:p>
    <w:p>
      <w:pPr>
        <w:spacing w:line="580" w:lineRule="exact"/>
        <w:jc w:val="center"/>
        <w:rPr>
          <w:rFonts w:ascii="方正小标宋简体" w:eastAsia="方正小标宋简体" w:cs="方正小标宋简体" w:hAnsi="方正小标宋简体"/>
          <w:sz w:val="44"/>
          <w:szCs w:val="44"/>
        </w:rPr>
      </w:pPr>
    </w:p>
    <w:p>
      <w:pPr>
        <w:spacing w:line="600" w:lineRule="exact"/>
        <w:ind w:firstLineChars="250" w:firstLine="800"/>
        <w:outlineLvl w:val="1"/>
        <w:rPr>
          <w:rStyle w:val="2Char"/>
          <w:rFonts w:ascii="黑体" w:eastAsia="黑体" w:hAnsi="黑体"/>
        </w:rPr>
      </w:pPr>
      <w:bookmarkStart w:id="51" w:name="_Toc15396612"/>
      <w:bookmarkStart w:id="52" w:name="_Toc15377221"/>
      <w:r>
        <w:rPr>
          <w:rFonts w:ascii="黑体" w:eastAsia="黑体" w:hAnsi="黑体" w:hint="eastAsia"/>
          <w:color w:val="000000"/>
          <w:sz w:val="32"/>
          <w:szCs w:val="32"/>
        </w:rPr>
        <w:t>十</w:t>
      </w:r>
      <w:r>
        <w:rPr>
          <w:rStyle w:val="2Char"/>
          <w:rFonts w:ascii="黑体" w:eastAsia="黑体" w:hAnsi="黑体" w:hint="eastAsia"/>
        </w:rPr>
        <w:t>、</w:t>
      </w:r>
      <w:r>
        <w:rPr>
          <w:rStyle w:val="2Char"/>
          <w:rFonts w:ascii="黑体" w:eastAsia="黑体" w:hAnsi="黑体" w:hint="eastAsia"/>
          <w:b w:val="0"/>
        </w:rPr>
        <w:t>其他重要事项的情况说明</w:t>
      </w:r>
      <w:bookmarkEnd w:id="51"/>
      <w:bookmarkEnd w:id="52"/>
    </w:p>
    <w:p>
      <w:pPr>
        <w:spacing w:line="600" w:lineRule="exact"/>
        <w:ind w:firstLineChars="200" w:firstLine="640"/>
        <w:outlineLvl w:val="2"/>
        <w:rPr>
          <w:rFonts w:ascii="华文楷体" w:eastAsia="华文楷体" w:cs="华文楷体" w:hAnsi="华文楷体" w:hint="eastAsia"/>
          <w:b w:val="0"/>
          <w:bCs/>
          <w:color w:val="000000"/>
          <w:sz w:val="32"/>
          <w:szCs w:val="32"/>
        </w:rPr>
      </w:pPr>
      <w:bookmarkStart w:id="53" w:name="_Toc15377222"/>
      <w:r>
        <w:rPr>
          <w:rFonts w:ascii="华文楷体" w:eastAsia="华文楷体" w:cs="华文楷体" w:hAnsi="华文楷体" w:hint="eastAsia"/>
          <w:b w:val="0"/>
          <w:bCs/>
          <w:color w:val="000000"/>
          <w:sz w:val="32"/>
          <w:szCs w:val="32"/>
        </w:rPr>
        <w:t>（一）机关运行经费支出情况</w:t>
      </w:r>
      <w:bookmarkEnd w:id="53"/>
    </w:p>
    <w:p>
      <w:pPr>
        <w:spacing w:line="600" w:lineRule="exact"/>
        <w:ind w:firstLineChars="200"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9年，机关运行经费支出</w:t>
      </w:r>
      <w:r>
        <w:rPr>
          <w:rFonts w:ascii="仿宋_GB2312" w:eastAsia="仿宋_GB2312" w:hint="eastAsia"/>
          <w:color w:val="000000"/>
          <w:sz w:val="32"/>
          <w:szCs w:val="32"/>
          <w:lang w:val="en-US" w:eastAsia="zh-CN"/>
        </w:rPr>
        <w:t>0</w:t>
      </w:r>
      <w:r>
        <w:rPr>
          <w:rFonts w:ascii="仿宋_GB2312" w:eastAsia="仿宋_GB2312" w:hint="eastAsia"/>
          <w:color w:val="000000"/>
          <w:sz w:val="32"/>
          <w:szCs w:val="32"/>
        </w:rPr>
        <w:t>万元，比</w:t>
      </w:r>
      <w:r>
        <w:rPr>
          <w:rFonts w:ascii="仿宋_GB2312" w:eastAsia="仿宋_GB2312"/>
          <w:color w:val="000000"/>
          <w:sz w:val="32"/>
          <w:szCs w:val="32"/>
        </w:rPr>
        <w:t>201</w:t>
      </w:r>
      <w:r>
        <w:rPr>
          <w:rFonts w:ascii="仿宋_GB2312" w:eastAsia="仿宋_GB2312" w:hint="eastAsia"/>
          <w:color w:val="000000"/>
          <w:sz w:val="32"/>
          <w:szCs w:val="32"/>
        </w:rPr>
        <w:t>8年增加</w:t>
      </w:r>
      <w:r>
        <w:rPr>
          <w:rFonts w:ascii="仿宋_GB2312" w:eastAsia="仿宋_GB2312"/>
          <w:color w:val="000000"/>
          <w:sz w:val="32"/>
          <w:szCs w:val="32"/>
        </w:rPr>
        <w:t>/</w:t>
      </w:r>
      <w:r>
        <w:rPr>
          <w:rFonts w:ascii="仿宋_GB2312" w:eastAsia="仿宋_GB2312" w:hint="eastAsia"/>
          <w:color w:val="000000"/>
          <w:sz w:val="32"/>
          <w:szCs w:val="32"/>
        </w:rPr>
        <w:t>减少</w:t>
      </w:r>
      <w:r>
        <w:rPr>
          <w:rFonts w:ascii="仿宋_GB2312" w:eastAsia="仿宋_GB2312" w:hint="eastAsia"/>
          <w:color w:val="000000"/>
          <w:sz w:val="32"/>
          <w:szCs w:val="32"/>
          <w:lang w:val="en-US" w:eastAsia="zh-CN"/>
        </w:rPr>
        <w:t>0</w:t>
      </w:r>
      <w:r>
        <w:rPr>
          <w:rFonts w:ascii="仿宋_GB2312" w:eastAsia="仿宋_GB2312" w:hint="eastAsia"/>
          <w:color w:val="000000"/>
          <w:sz w:val="32"/>
          <w:szCs w:val="32"/>
        </w:rPr>
        <w:t>万元，增长</w:t>
      </w:r>
      <w:r>
        <w:rPr>
          <w:rFonts w:ascii="仿宋_GB2312" w:eastAsia="仿宋_GB2312"/>
          <w:color w:val="000000"/>
          <w:sz w:val="32"/>
          <w:szCs w:val="32"/>
        </w:rPr>
        <w:t>/</w:t>
      </w:r>
      <w:r>
        <w:rPr>
          <w:rFonts w:ascii="仿宋_GB2312" w:eastAsia="仿宋_GB2312" w:hint="eastAsia"/>
          <w:color w:val="000000"/>
          <w:sz w:val="32"/>
          <w:szCs w:val="32"/>
        </w:rPr>
        <w:t>下降</w:t>
      </w:r>
      <w:r>
        <w:rPr>
          <w:rFonts w:ascii="仿宋_GB2312" w:eastAsia="仿宋_GB2312" w:hint="eastAsia"/>
          <w:color w:val="000000"/>
          <w:sz w:val="32"/>
          <w:szCs w:val="32"/>
          <w:lang w:val="en-US" w:eastAsia="zh-CN"/>
        </w:rPr>
        <w:t>0</w:t>
      </w:r>
      <w:r>
        <w:rPr>
          <w:rFonts w:ascii="仿宋_GB2312" w:eastAsia="仿宋_GB2312"/>
          <w:color w:val="000000"/>
          <w:sz w:val="32"/>
          <w:szCs w:val="32"/>
        </w:rPr>
        <w:t>%</w:t>
      </w:r>
      <w:r>
        <w:rPr>
          <w:rFonts w:ascii="仿宋_GB2312" w:eastAsia="仿宋_GB2312" w:hint="eastAsia"/>
          <w:color w:val="000000"/>
          <w:sz w:val="32"/>
          <w:szCs w:val="32"/>
        </w:rPr>
        <w:t>（或与</w:t>
      </w:r>
      <w:r>
        <w:rPr>
          <w:rFonts w:ascii="仿宋_GB2312" w:eastAsia="仿宋_GB2312"/>
          <w:color w:val="000000"/>
          <w:sz w:val="32"/>
          <w:szCs w:val="32"/>
        </w:rPr>
        <w:t>201</w:t>
      </w:r>
      <w:r>
        <w:rPr>
          <w:rFonts w:ascii="仿宋_GB2312" w:eastAsia="仿宋_GB2312" w:hint="eastAsia"/>
          <w:color w:val="000000"/>
          <w:sz w:val="32"/>
          <w:szCs w:val="32"/>
        </w:rPr>
        <w:t>8年决算数持平）。</w:t>
      </w:r>
    </w:p>
    <w:p>
      <w:pPr>
        <w:spacing w:line="600" w:lineRule="exact"/>
        <w:ind w:firstLineChars="200" w:firstLine="640"/>
        <w:outlineLvl w:val="2"/>
        <w:rPr>
          <w:rFonts w:ascii="华文楷体" w:eastAsia="华文楷体" w:cs="华文楷体" w:hAnsi="华文楷体" w:hint="eastAsia"/>
          <w:b w:val="0"/>
          <w:bCs/>
          <w:color w:val="000000"/>
          <w:sz w:val="32"/>
          <w:szCs w:val="32"/>
        </w:rPr>
      </w:pPr>
      <w:bookmarkStart w:id="54" w:name="_Toc15377223"/>
      <w:r>
        <w:rPr>
          <w:rFonts w:ascii="华文楷体" w:eastAsia="华文楷体" w:cs="华文楷体" w:hAnsi="华文楷体" w:hint="eastAsia"/>
          <w:b w:val="0"/>
          <w:bCs/>
          <w:color w:val="000000"/>
          <w:sz w:val="32"/>
          <w:szCs w:val="32"/>
        </w:rPr>
        <w:t>（二）政府采购支出情况</w:t>
      </w:r>
      <w:bookmarkEnd w:id="54"/>
    </w:p>
    <w:p>
      <w:pPr>
        <w:spacing w:line="600" w:lineRule="exact"/>
        <w:ind w:firstLineChars="200"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9年，政府采购支出总额</w:t>
      </w:r>
      <w:r>
        <w:rPr>
          <w:rFonts w:ascii="仿宋_GB2312" w:eastAsia="仿宋_GB2312" w:hint="eastAsia"/>
          <w:color w:val="000000"/>
          <w:sz w:val="32"/>
          <w:szCs w:val="32"/>
          <w:lang w:val="en-US" w:eastAsia="zh-CN"/>
        </w:rPr>
        <w:t>0</w:t>
      </w:r>
      <w:r>
        <w:rPr>
          <w:rFonts w:ascii="仿宋_GB2312" w:eastAsia="仿宋_GB2312" w:hint="eastAsia"/>
          <w:color w:val="000000"/>
          <w:sz w:val="32"/>
          <w:szCs w:val="32"/>
        </w:rPr>
        <w:t>万元，其中：政府采购货物支出</w:t>
      </w:r>
      <w:r>
        <w:rPr>
          <w:rFonts w:ascii="仿宋_GB2312" w:eastAsia="仿宋_GB2312" w:hint="eastAsia"/>
          <w:color w:val="000000"/>
          <w:sz w:val="32"/>
          <w:szCs w:val="32"/>
          <w:lang w:val="en-US" w:eastAsia="zh-CN"/>
        </w:rPr>
        <w:t>0</w:t>
      </w:r>
      <w:r>
        <w:rPr>
          <w:rFonts w:ascii="仿宋_GB2312" w:eastAsia="仿宋_GB2312" w:hint="eastAsia"/>
          <w:color w:val="000000"/>
          <w:sz w:val="32"/>
          <w:szCs w:val="32"/>
        </w:rPr>
        <w:t>万元、政府采购工程支出</w:t>
      </w:r>
      <w:r>
        <w:rPr>
          <w:rFonts w:ascii="仿宋_GB2312" w:eastAsia="仿宋_GB2312" w:hint="eastAsia"/>
          <w:color w:val="000000"/>
          <w:sz w:val="32"/>
          <w:szCs w:val="32"/>
          <w:lang w:val="en-US" w:eastAsia="zh-CN"/>
        </w:rPr>
        <w:t>0</w:t>
      </w:r>
      <w:r>
        <w:rPr>
          <w:rFonts w:ascii="仿宋_GB2312" w:eastAsia="仿宋_GB2312" w:hint="eastAsia"/>
          <w:color w:val="000000"/>
          <w:sz w:val="32"/>
          <w:szCs w:val="32"/>
        </w:rPr>
        <w:t>万元、政府采购服务支出</w:t>
      </w:r>
      <w:r>
        <w:rPr>
          <w:rFonts w:ascii="仿宋_GB2312" w:eastAsia="仿宋_GB2312" w:hint="eastAsia"/>
          <w:color w:val="000000"/>
          <w:sz w:val="32"/>
          <w:szCs w:val="32"/>
          <w:lang w:val="en-US" w:eastAsia="zh-CN"/>
        </w:rPr>
        <w:t>0</w:t>
      </w:r>
      <w:r>
        <w:rPr>
          <w:rFonts w:ascii="仿宋_GB2312" w:eastAsia="仿宋_GB2312" w:hint="eastAsia"/>
          <w:color w:val="000000"/>
          <w:sz w:val="32"/>
          <w:szCs w:val="32"/>
        </w:rPr>
        <w:t>万元。</w:t>
      </w:r>
    </w:p>
    <w:p>
      <w:pPr>
        <w:spacing w:line="600" w:lineRule="exact"/>
        <w:ind w:firstLineChars="200" w:firstLine="640"/>
        <w:outlineLvl w:val="2"/>
        <w:rPr>
          <w:rFonts w:ascii="华文楷体" w:eastAsia="华文楷体" w:cs="华文楷体" w:hAnsi="华文楷体" w:hint="eastAsia"/>
          <w:b w:val="0"/>
          <w:bCs/>
          <w:color w:val="000000"/>
          <w:sz w:val="32"/>
          <w:szCs w:val="32"/>
        </w:rPr>
      </w:pPr>
      <w:bookmarkStart w:id="55" w:name="_Toc15377224"/>
      <w:r>
        <w:rPr>
          <w:rFonts w:ascii="华文楷体" w:eastAsia="华文楷体" w:cs="华文楷体" w:hAnsi="华文楷体" w:hint="eastAsia"/>
          <w:b w:val="0"/>
          <w:bCs/>
          <w:color w:val="000000"/>
          <w:sz w:val="32"/>
          <w:szCs w:val="32"/>
        </w:rPr>
        <w:t>（三）国有资产占有使用情况</w:t>
      </w:r>
      <w:bookmarkEnd w:id="55"/>
    </w:p>
    <w:p>
      <w:pPr>
        <w:autoSpaceDE w:val="0"/>
        <w:autoSpaceDN w:val="0"/>
        <w:adjustRightInd w:val="0"/>
        <w:spacing w:line="600" w:lineRule="exact"/>
        <w:ind w:firstLineChars="200" w:firstLine="640"/>
        <w:jc w:val="left"/>
        <w:rPr>
          <w:rFonts w:ascii="仿宋" w:eastAsia="仿宋" w:hAnsi="仿宋"/>
          <w:b/>
          <w:color w:val="FF0000"/>
          <w:sz w:val="32"/>
          <w:szCs w:val="32"/>
        </w:rPr>
      </w:pPr>
      <w:r>
        <w:rPr>
          <w:rFonts w:ascii="仿宋_GB2312" w:eastAsia="仿宋_GB2312" w:hint="eastAsia"/>
          <w:color w:val="000000"/>
          <w:sz w:val="32"/>
          <w:szCs w:val="32"/>
        </w:rPr>
        <w:t>截至</w:t>
      </w:r>
      <w:r>
        <w:rPr>
          <w:rFonts w:ascii="仿宋_GB2312" w:eastAsia="仿宋_GB2312"/>
          <w:color w:val="000000"/>
          <w:sz w:val="32"/>
          <w:szCs w:val="32"/>
        </w:rPr>
        <w:t>201</w:t>
      </w:r>
      <w:r>
        <w:rPr>
          <w:rFonts w:ascii="仿宋_GB2312" w:eastAsia="仿宋_GB2312" w:hint="eastAsia"/>
          <w:color w:val="000000"/>
          <w:sz w:val="32"/>
          <w:szCs w:val="32"/>
        </w:rPr>
        <w:t>9年</w:t>
      </w:r>
      <w:r>
        <w:rPr>
          <w:rFonts w:ascii="仿宋_GB2312" w:eastAsia="仿宋_GB2312"/>
          <w:color w:val="000000"/>
          <w:sz w:val="32"/>
          <w:szCs w:val="32"/>
        </w:rPr>
        <w:t>12</w:t>
      </w:r>
      <w:r>
        <w:rPr>
          <w:rFonts w:ascii="仿宋_GB2312" w:eastAsia="仿宋_GB2312" w:hint="eastAsia"/>
          <w:color w:val="000000"/>
          <w:sz w:val="32"/>
          <w:szCs w:val="32"/>
        </w:rPr>
        <w:t>月</w:t>
      </w:r>
      <w:r>
        <w:rPr>
          <w:rFonts w:ascii="仿宋_GB2312" w:eastAsia="仿宋_GB2312"/>
          <w:color w:val="000000"/>
          <w:sz w:val="32"/>
          <w:szCs w:val="32"/>
        </w:rPr>
        <w:t>31</w:t>
      </w:r>
      <w:r>
        <w:rPr>
          <w:rFonts w:ascii="仿宋_GB2312" w:eastAsia="仿宋_GB2312" w:hint="eastAsia"/>
          <w:color w:val="000000"/>
          <w:sz w:val="32"/>
          <w:szCs w:val="32"/>
        </w:rPr>
        <w:t>日，共有车辆</w:t>
      </w:r>
      <w:r>
        <w:rPr>
          <w:rFonts w:ascii="仿宋_GB2312" w:eastAsia="仿宋_GB2312" w:hint="eastAsia"/>
          <w:color w:val="000000"/>
          <w:sz w:val="32"/>
          <w:szCs w:val="32"/>
          <w:lang w:val="en-US" w:eastAsia="zh-CN"/>
        </w:rPr>
        <w:t>2</w:t>
      </w:r>
      <w:r>
        <w:rPr>
          <w:rFonts w:ascii="仿宋_GB2312" w:eastAsia="仿宋_GB2312" w:hint="eastAsia"/>
          <w:color w:val="000000"/>
          <w:sz w:val="32"/>
          <w:szCs w:val="32"/>
        </w:rPr>
        <w:t>辆，其中：主要领导干部用车</w:t>
      </w:r>
      <w:r>
        <w:rPr>
          <w:rFonts w:ascii="仿宋_GB2312" w:eastAsia="仿宋_GB2312" w:hint="eastAsia"/>
          <w:color w:val="000000"/>
          <w:sz w:val="32"/>
          <w:szCs w:val="32"/>
          <w:lang w:val="en-US" w:eastAsia="zh-CN"/>
        </w:rPr>
        <w:t>0</w:t>
      </w:r>
      <w:r>
        <w:rPr>
          <w:rFonts w:ascii="仿宋_GB2312" w:eastAsia="仿宋_GB2312" w:hint="eastAsia"/>
          <w:color w:val="000000"/>
          <w:sz w:val="32"/>
          <w:szCs w:val="32"/>
        </w:rPr>
        <w:t>辆、机要通信用车</w:t>
      </w:r>
      <w:r>
        <w:rPr>
          <w:rFonts w:ascii="仿宋_GB2312" w:eastAsia="仿宋_GB2312" w:hint="eastAsia"/>
          <w:color w:val="000000"/>
          <w:sz w:val="32"/>
          <w:szCs w:val="32"/>
          <w:lang w:val="en-US" w:eastAsia="zh-CN"/>
        </w:rPr>
        <w:t>0</w:t>
      </w:r>
      <w:r>
        <w:rPr>
          <w:rFonts w:ascii="仿宋_GB2312" w:eastAsia="仿宋_GB2312" w:hint="eastAsia"/>
          <w:color w:val="000000"/>
          <w:sz w:val="32"/>
          <w:szCs w:val="32"/>
        </w:rPr>
        <w:t>辆、应急保障用车</w:t>
      </w:r>
      <w:r>
        <w:rPr>
          <w:rFonts w:ascii="仿宋_GB2312" w:eastAsia="仿宋_GB2312" w:hint="eastAsia"/>
          <w:color w:val="000000"/>
          <w:sz w:val="32"/>
          <w:szCs w:val="32"/>
          <w:lang w:val="en-US" w:eastAsia="zh-CN"/>
        </w:rPr>
        <w:t>0</w:t>
      </w:r>
      <w:r>
        <w:rPr>
          <w:rFonts w:ascii="仿宋_GB2312" w:eastAsia="仿宋_GB2312" w:hint="eastAsia"/>
          <w:color w:val="000000"/>
          <w:sz w:val="32"/>
          <w:szCs w:val="32"/>
        </w:rPr>
        <w:t>辆、其他用车</w:t>
      </w:r>
      <w:r>
        <w:rPr>
          <w:rFonts w:ascii="仿宋_GB2312" w:eastAsia="仿宋_GB2312" w:hint="eastAsia"/>
          <w:color w:val="000000"/>
          <w:sz w:val="32"/>
          <w:szCs w:val="32"/>
          <w:lang w:val="en-US" w:eastAsia="zh-CN"/>
        </w:rPr>
        <w:t>2</w:t>
      </w:r>
      <w:r>
        <w:rPr>
          <w:rFonts w:ascii="仿宋_GB2312" w:eastAsia="仿宋_GB2312" w:hint="eastAsia"/>
          <w:color w:val="000000"/>
          <w:sz w:val="32"/>
          <w:szCs w:val="32"/>
        </w:rPr>
        <w:t>辆</w:t>
      </w:r>
      <w:r>
        <w:rPr>
          <w:rFonts w:ascii="仿宋_GB2312" w:eastAsia="仿宋_GB2312" w:hint="eastAsia"/>
          <w:color w:val="000000"/>
          <w:sz w:val="32"/>
          <w:szCs w:val="32"/>
          <w:lang w:eastAsia="zh-CN"/>
        </w:rPr>
        <w:t>，</w:t>
      </w:r>
      <w:r>
        <w:rPr>
          <w:rFonts w:ascii="仿宋_GB2312" w:eastAsia="仿宋_GB2312" w:hint="eastAsia"/>
          <w:color w:val="000000"/>
          <w:sz w:val="32"/>
          <w:szCs w:val="32"/>
        </w:rPr>
        <w:t>其他用车主要是用于</w:t>
      </w:r>
      <w:r>
        <w:rPr>
          <w:rFonts w:ascii="仿宋_GB2312" w:eastAsia="仿宋_GB2312" w:hint="eastAsia"/>
          <w:color w:val="000000"/>
          <w:sz w:val="32"/>
          <w:szCs w:val="32"/>
          <w:lang w:eastAsia="zh-CN"/>
        </w:rPr>
        <w:t>征拆项目用车。</w:t>
      </w:r>
      <w:r>
        <w:rPr>
          <w:rFonts w:ascii="仿宋_GB2312" w:eastAsia="仿宋_GB2312" w:hint="eastAsia"/>
          <w:color w:val="000000"/>
          <w:sz w:val="32"/>
          <w:szCs w:val="32"/>
        </w:rPr>
        <w:t>单价</w:t>
      </w:r>
      <w:r>
        <w:rPr>
          <w:rFonts w:ascii="仿宋_GB2312" w:eastAsia="仿宋_GB2312"/>
          <w:color w:val="000000"/>
          <w:sz w:val="32"/>
          <w:szCs w:val="32"/>
        </w:rPr>
        <w:t>50</w:t>
      </w:r>
      <w:r>
        <w:rPr>
          <w:rFonts w:ascii="仿宋_GB2312" w:eastAsia="仿宋_GB2312" w:hint="eastAsia"/>
          <w:color w:val="000000"/>
          <w:sz w:val="32"/>
          <w:szCs w:val="32"/>
        </w:rPr>
        <w:t>万元以上通用设备</w:t>
      </w:r>
      <w:r>
        <w:rPr>
          <w:rFonts w:ascii="仿宋_GB2312" w:eastAsia="仿宋_GB2312" w:hint="eastAsia"/>
          <w:color w:val="000000"/>
          <w:sz w:val="32"/>
          <w:szCs w:val="32"/>
          <w:lang w:val="en-US" w:eastAsia="zh-CN"/>
        </w:rPr>
        <w:t>0</w:t>
      </w:r>
      <w:r>
        <w:rPr>
          <w:rFonts w:ascii="仿宋_GB2312" w:eastAsia="仿宋_GB2312" w:hint="eastAsia"/>
          <w:color w:val="000000"/>
          <w:sz w:val="32"/>
          <w:szCs w:val="32"/>
        </w:rPr>
        <w:t>台（套），单价</w:t>
      </w:r>
      <w:r>
        <w:rPr>
          <w:rFonts w:ascii="仿宋_GB2312" w:eastAsia="仿宋_GB2312"/>
          <w:color w:val="000000"/>
          <w:sz w:val="32"/>
          <w:szCs w:val="32"/>
        </w:rPr>
        <w:t>100</w:t>
      </w:r>
      <w:r>
        <w:rPr>
          <w:rFonts w:ascii="仿宋_GB2312" w:eastAsia="仿宋_GB2312" w:hint="eastAsia"/>
          <w:color w:val="000000"/>
          <w:sz w:val="32"/>
          <w:szCs w:val="32"/>
        </w:rPr>
        <w:t>万元以上专用设备</w:t>
      </w:r>
      <w:r>
        <w:rPr>
          <w:rFonts w:ascii="仿宋_GB2312" w:eastAsia="仿宋_GB2312" w:hint="eastAsia"/>
          <w:color w:val="000000"/>
          <w:sz w:val="32"/>
          <w:szCs w:val="32"/>
          <w:lang w:val="en-US" w:eastAsia="zh-CN"/>
        </w:rPr>
        <w:t>0</w:t>
      </w:r>
      <w:r>
        <w:rPr>
          <w:rFonts w:ascii="仿宋_GB2312" w:eastAsia="仿宋_GB2312" w:hint="eastAsia"/>
          <w:color w:val="000000"/>
          <w:sz w:val="32"/>
          <w:szCs w:val="32"/>
        </w:rPr>
        <w:t>台（套）。</w:t>
      </w:r>
    </w:p>
    <w:p>
      <w:pPr>
        <w:spacing w:line="600" w:lineRule="exact"/>
        <w:ind w:firstLineChars="200" w:firstLine="640"/>
        <w:outlineLvl w:val="2"/>
        <w:rPr>
          <w:rFonts w:ascii="华文楷体" w:eastAsia="华文楷体" w:cs="华文楷体" w:hAnsi="华文楷体" w:hint="eastAsia"/>
          <w:b w:val="0"/>
          <w:bCs/>
          <w:color w:val="000000"/>
          <w:sz w:val="32"/>
          <w:szCs w:val="32"/>
        </w:rPr>
      </w:pPr>
      <w:r>
        <w:rPr>
          <w:rFonts w:ascii="华文楷体" w:eastAsia="华文楷体" w:cs="华文楷体" w:hAnsi="华文楷体" w:hint="eastAsia"/>
          <w:b w:val="0"/>
          <w:bCs/>
          <w:color w:val="000000"/>
          <w:sz w:val="32"/>
          <w:szCs w:val="32"/>
        </w:rPr>
        <w:t>（四）预算绩效管理情况</w:t>
      </w:r>
    </w:p>
    <w:p>
      <w:pPr>
        <w:spacing w:line="570" w:lineRule="exact"/>
        <w:ind w:firstLineChars="200" w:firstLine="640"/>
        <w:rPr>
          <w:rFonts w:ascii="仿宋_GB2312" w:eastAsia="仿宋_GB2312" w:cs="仿宋_GB2312" w:hAnsi="仿宋_GB2312" w:hint="eastAsia"/>
          <w:sz w:val="32"/>
          <w:szCs w:val="32"/>
        </w:rPr>
      </w:pPr>
      <w:r>
        <w:rPr>
          <w:rFonts w:ascii="仿宋_GB2312" w:eastAsia="仿宋_GB2312" w:cs="仿宋_GB2312" w:hAnsi="仿宋_GB2312" w:hint="eastAsia"/>
          <w:sz w:val="32"/>
          <w:szCs w:val="32"/>
        </w:rPr>
        <w:t>本部门按要求对2019年部门整体支出开展绩效自评，从评价情况来看</w:t>
      </w:r>
      <w:r>
        <w:rPr>
          <w:rFonts w:ascii="仿宋" w:eastAsia="仿宋" w:hAnsi="仿宋" w:hint="eastAsia"/>
          <w:color w:val="000000"/>
          <w:sz w:val="32"/>
          <w:szCs w:val="32"/>
        </w:rPr>
        <w:t>，</w:t>
      </w:r>
      <w:r>
        <w:rPr>
          <w:rFonts w:ascii="仿宋" w:eastAsia="仿宋" w:hAnsi="仿宋" w:hint="eastAsia"/>
          <w:color w:val="000000"/>
          <w:sz w:val="32"/>
          <w:szCs w:val="32"/>
          <w:lang w:eastAsia="zh-CN"/>
        </w:rPr>
        <w:t>一方面</w:t>
      </w:r>
      <w:r>
        <w:rPr>
          <w:rFonts w:ascii="仿宋" w:eastAsia="仿宋" w:hAnsi="仿宋" w:hint="eastAsia"/>
          <w:color w:val="000000"/>
          <w:sz w:val="32"/>
          <w:szCs w:val="32"/>
        </w:rPr>
        <w:t>市征拆中心</w:t>
      </w:r>
      <w:r>
        <w:rPr>
          <w:rFonts w:ascii="仿宋" w:eastAsia="仿宋" w:cs="仿宋" w:hAnsi="仿宋" w:hint="eastAsia"/>
          <w:snapToGrid w:val="0"/>
          <w:color w:val="000000"/>
          <w:kern w:val="0"/>
          <w:sz w:val="32"/>
          <w:szCs w:val="32"/>
        </w:rPr>
        <w:t>始终坚持以项目建设为重要抓手，以服务发展为首要任务，组织和带领全体征拆干部不等不靠、主动作为，奋力做好征地拆迁安置工作，</w:t>
      </w:r>
      <w:r>
        <w:rPr>
          <w:rFonts w:ascii="仿宋" w:eastAsia="仿宋" w:hAnsi="仿宋" w:hint="eastAsia"/>
          <w:color w:val="000000"/>
          <w:sz w:val="32"/>
          <w:szCs w:val="32"/>
        </w:rPr>
        <w:t>圆满完成年度各项工作目标任务，</w:t>
      </w:r>
      <w:r>
        <w:rPr>
          <w:rFonts w:ascii="仿宋" w:eastAsia="仿宋" w:cs="仿宋" w:hAnsi="仿宋" w:hint="eastAsia"/>
          <w:snapToGrid w:val="0"/>
          <w:color w:val="000000"/>
          <w:kern w:val="0"/>
          <w:sz w:val="32"/>
          <w:szCs w:val="32"/>
        </w:rPr>
        <w:t>为重点项目建设提供了坚强保障。</w:t>
      </w:r>
      <w:r>
        <w:rPr>
          <w:rFonts w:ascii="仿宋" w:eastAsia="仿宋" w:cs="仿宋" w:hAnsi="仿宋" w:hint="eastAsia"/>
          <w:snapToGrid w:val="0"/>
          <w:color w:val="000000"/>
          <w:kern w:val="0"/>
          <w:sz w:val="32"/>
          <w:szCs w:val="32"/>
          <w:lang w:eastAsia="zh-CN"/>
        </w:rPr>
        <w:t>另一方面，</w:t>
      </w:r>
      <w:r>
        <w:rPr>
          <w:rFonts w:ascii="仿宋" w:eastAsia="仿宋" w:cs="仿宋" w:hAnsi="仿宋" w:hint="eastAsia"/>
          <w:snapToGrid w:val="0"/>
          <w:color w:val="000000"/>
          <w:kern w:val="0"/>
          <w:sz w:val="32"/>
          <w:szCs w:val="32"/>
        </w:rPr>
        <w:t>通过加强预算收支管理，部门整体支出管理水平得到提升</w:t>
      </w:r>
      <w:r>
        <w:rPr>
          <w:rFonts w:ascii="仿宋" w:eastAsia="仿宋" w:cs="仿宋" w:hAnsi="仿宋" w:hint="eastAsia"/>
          <w:snapToGrid w:val="0"/>
          <w:color w:val="000000"/>
          <w:kern w:val="0"/>
          <w:sz w:val="32"/>
          <w:szCs w:val="32"/>
          <w:lang w:eastAsia="zh-CN"/>
        </w:rPr>
        <w:t>，财政资金的使用效益得到提升</w:t>
      </w:r>
      <w:r>
        <w:rPr>
          <w:rFonts w:ascii="仿宋_GB2312" w:eastAsia="仿宋_GB2312" w:cs="仿宋_GB2312" w:hAnsi="仿宋_GB2312" w:hint="eastAsia"/>
          <w:sz w:val="32"/>
          <w:szCs w:val="32"/>
        </w:rPr>
        <w:t>。本部门还自行组织了</w:t>
      </w:r>
      <w:r>
        <w:rPr>
          <w:rFonts w:ascii="仿宋_GB2312" w:eastAsia="仿宋_GB2312" w:cs="仿宋_GB2312" w:hAnsi="仿宋_GB2312" w:hint="eastAsia"/>
          <w:sz w:val="32"/>
          <w:szCs w:val="32"/>
          <w:lang w:val="en-US" w:eastAsia="zh-CN"/>
        </w:rPr>
        <w:t>3</w:t>
      </w:r>
      <w:r>
        <w:rPr>
          <w:rFonts w:ascii="仿宋_GB2312" w:eastAsia="仿宋_GB2312" w:cs="仿宋_GB2312" w:hAnsi="仿宋_GB2312" w:hint="eastAsia"/>
          <w:sz w:val="32"/>
          <w:szCs w:val="32"/>
        </w:rPr>
        <w:t>个项目支出绩效评价，从评价情况来看</w:t>
      </w:r>
      <w:r>
        <w:rPr>
          <w:rFonts w:ascii="仿宋" w:eastAsia="仿宋" w:cs="仿宋_GB2312" w:hAnsi="仿宋" w:hint="eastAsia"/>
          <w:sz w:val="32"/>
          <w:szCs w:val="32"/>
          <w:lang w:val="en-US" w:eastAsia="zh-CN"/>
        </w:rPr>
        <w:t>项目经费足额到位，征拆工作顺利开展，促进了当地经济发展，群众满意度较高。</w:t>
      </w:r>
    </w:p>
    <w:p>
      <w:pPr>
        <w:numPr>
          <w:ilvl w:val="0"/>
          <w:numId w:val="4"/>
        </w:numPr>
        <w:spacing w:line="580" w:lineRule="exact"/>
        <w:ind w:left="0" w:firstLineChars="200" w:firstLine="640"/>
        <w:rPr>
          <w:rFonts w:ascii="仿宋_GB2312" w:eastAsia="仿宋_GB2312" w:cs="仿宋_GB2312" w:hAnsi="仿宋_GB2312" w:hint="eastAsia"/>
          <w:sz w:val="32"/>
          <w:szCs w:val="32"/>
        </w:rPr>
      </w:pPr>
      <w:r>
        <w:rPr>
          <w:rFonts w:ascii="楷体_GB2312" w:eastAsia="楷体_GB2312" w:cs="楷体_GB2312" w:hAnsi="楷体_GB2312" w:hint="eastAsia"/>
          <w:sz w:val="32"/>
          <w:szCs w:val="32"/>
        </w:rPr>
        <w:t>项目绩效目标完成情况</w:t>
      </w:r>
      <w:r>
        <w:rPr>
          <w:rFonts w:ascii="仿宋_GB2312" w:eastAsia="仿宋_GB2312" w:cs="仿宋_GB2312" w:hAnsi="仿宋_GB2312" w:hint="eastAsia"/>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firstLineChars="200" w:firstLine="640"/>
        <w:textAlignment w:val="auto"/>
        <w:rPr>
          <w:rFonts w:ascii="仿宋_GB2312" w:eastAsia="仿宋_GB2312" w:cs="仿宋_GB2312" w:hAnsi="仿宋_GB2312" w:hint="eastAsia"/>
          <w:sz w:val="32"/>
          <w:szCs w:val="32"/>
        </w:rPr>
      </w:pPr>
      <w:r>
        <w:rPr>
          <w:rFonts w:ascii="仿宋_GB2312" w:eastAsia="仿宋_GB2312" w:cs="仿宋_GB2312" w:hAnsi="仿宋_GB2312" w:hint="eastAsia"/>
          <w:sz w:val="32"/>
          <w:szCs w:val="32"/>
        </w:rPr>
        <w:t>本部门在</w:t>
      </w:r>
      <w:r>
        <w:rPr>
          <w:rFonts w:ascii="仿宋" w:eastAsia="仿宋" w:cs="仿宋_GB2312" w:hAnsi="仿宋" w:hint="eastAsia"/>
          <w:sz w:val="32"/>
          <w:szCs w:val="32"/>
          <w:lang w:val="en-US" w:eastAsia="zh-CN"/>
        </w:rPr>
        <w:t>2019年度部门决算中反映“白龙江、嘉陵江流域水环境黑臭水体综合治理””鲲鹏小镇项目”“莲花三金土地项目”等3个项目绩效目标实际完成情况。</w:t>
      </w:r>
    </w:p>
    <w:p>
      <w:pPr>
        <w:keepNext w:val="0"/>
        <w:keepLines w:val="0"/>
        <w:pageBreakBefore w:val="0"/>
        <w:widowControl w:val="0"/>
        <w:kinsoku/>
        <w:wordWrap/>
        <w:overflowPunct/>
        <w:topLinePunct w:val="0"/>
        <w:autoSpaceDE/>
        <w:autoSpaceDN/>
        <w:bidi w:val="0"/>
        <w:adjustRightInd/>
        <w:snapToGrid/>
        <w:spacing w:line="480" w:lineRule="exact"/>
        <w:ind w:left="0" w:right="0" w:firstLineChars="200" w:firstLine="640"/>
        <w:jc w:val="both"/>
        <w:textAlignment w:val="auto"/>
        <w:outlineLvl w:val="9"/>
        <w:rPr>
          <w:rFonts w:ascii="仿宋" w:eastAsia="仿宋" w:cs="仿宋" w:hAnsi="仿宋" w:hint="eastAsia"/>
          <w:sz w:val="32"/>
          <w:szCs w:val="32"/>
        </w:rPr>
      </w:pPr>
      <w:r>
        <w:rPr>
          <w:rFonts w:ascii="仿宋" w:eastAsia="仿宋" w:cs="仿宋" w:hAnsi="仿宋" w:hint="eastAsia"/>
          <w:sz w:val="32"/>
          <w:szCs w:val="32"/>
        </w:rPr>
        <w:t>（1）</w:t>
      </w:r>
      <w:r>
        <w:rPr>
          <w:rFonts w:ascii="仿宋" w:eastAsia="仿宋" w:cs="仿宋" w:hAnsi="仿宋" w:hint="eastAsia"/>
          <w:sz w:val="32"/>
          <w:szCs w:val="32"/>
          <w:lang w:val="en-US" w:eastAsia="zh-CN"/>
        </w:rPr>
        <w:t>白龙江、嘉陵江流域水环境黑臭水体综合治理（宝轮片区道路及河堤）建设项目绩效目标完成情况综述。项目全年预算数65.60万元，执行数为65.60万元，完成预算的100%。通过项目实施，有效改善了白龙江、嘉陵江流域水环境污染问题，提高了宝轮镇城市面貌，提升群众生活水平，促进当地经济发展，社会评价高，群众满意度高。发现的主要问题：项目开展时，因失地农民社保暂缓办理，新的社保政策尚未出台，面对拟征地群众比较关心的征地安置问题，宣讲内容有限，群众对项目征地支持度不高。下一步改进措施：一是进一步加大政策宣传解释，会同当地政府深入细致开展征收工作，保障群众合法权益。二是加强部门协调沟通，工作高效衔接，确保完成征收工作。</w:t>
      </w:r>
    </w:p>
    <w:p>
      <w:pPr>
        <w:spacing w:line="580" w:lineRule="exact"/>
        <w:ind w:firstLineChars="200" w:firstLine="640"/>
        <w:rPr>
          <w:rFonts w:ascii="仿宋" w:eastAsia="仿宋" w:cs="仿宋" w:hAnsi="仿宋" w:hint="eastAsia"/>
          <w:sz w:val="32"/>
          <w:szCs w:val="32"/>
          <w:lang w:val="en-US" w:eastAsia="zh-CN"/>
        </w:rPr>
      </w:pPr>
      <w:r>
        <w:rPr>
          <w:rFonts w:ascii="仿宋" w:eastAsia="仿宋" w:cs="仿宋" w:hAnsi="仿宋" w:hint="eastAsia"/>
          <w:sz w:val="32"/>
          <w:szCs w:val="32"/>
        </w:rPr>
        <w:t>（2）</w:t>
      </w:r>
      <w:r>
        <w:rPr>
          <w:rFonts w:ascii="仿宋" w:eastAsia="仿宋" w:cs="仿宋" w:hAnsi="仿宋" w:hint="eastAsia"/>
          <w:sz w:val="32"/>
          <w:szCs w:val="32"/>
          <w:lang w:eastAsia="zh-CN"/>
        </w:rPr>
        <w:t>奥维（</w:t>
      </w:r>
      <w:r>
        <w:rPr>
          <w:rFonts w:ascii="仿宋" w:eastAsia="仿宋" w:cs="仿宋" w:hAnsi="仿宋" w:hint="eastAsia"/>
          <w:sz w:val="32"/>
          <w:szCs w:val="32"/>
          <w:lang w:val="en-US" w:eastAsia="zh-CN"/>
        </w:rPr>
        <w:t>鲲鹏小镇</w:t>
      </w:r>
      <w:r>
        <w:rPr>
          <w:rFonts w:ascii="仿宋" w:eastAsia="仿宋" w:cs="仿宋" w:hAnsi="仿宋" w:hint="eastAsia"/>
          <w:sz w:val="32"/>
          <w:szCs w:val="32"/>
          <w:lang w:eastAsia="zh-CN"/>
        </w:rPr>
        <w:t>）</w:t>
      </w:r>
      <w:r>
        <w:rPr>
          <w:rFonts w:ascii="仿宋" w:eastAsia="仿宋" w:cs="仿宋" w:hAnsi="仿宋" w:hint="eastAsia"/>
          <w:sz w:val="32"/>
          <w:szCs w:val="32"/>
          <w:lang w:val="en-US" w:eastAsia="zh-CN"/>
        </w:rPr>
        <w:t>项目绩效目标完成情况综述。项目全年预算数700万元，执行数为700万元，完成预算的100%。通过项目实施，保障了业主单位用地需求，确保项目施工建设，促进了当地经济发展，群众满意度较高。发现的主要问题：部分群众对征地拆迁政策不理解支持，对补偿要价高，拆迁谈判难度大。改进措施：一是加大力度进行政策宣传，做细做详基层工作，保障群众合法权益。二是坚持公开透明执行征拆政策，创新机制、规范程序，推进依法拆迁。</w:t>
      </w:r>
    </w:p>
    <w:p>
      <w:pPr>
        <w:spacing w:line="580" w:lineRule="exact"/>
        <w:ind w:firstLineChars="200" w:firstLine="640"/>
        <w:rPr>
          <w:rFonts w:ascii="仿宋" w:eastAsia="仿宋" w:cs="仿宋" w:hAnsi="仿宋" w:hint="eastAsia"/>
          <w:sz w:val="32"/>
          <w:szCs w:val="32"/>
          <w:lang w:val="en-US" w:eastAsia="zh-CN"/>
        </w:rPr>
      </w:pPr>
      <w:r>
        <w:rPr>
          <w:rFonts w:ascii="仿宋" w:eastAsia="仿宋" w:cs="仿宋" w:hAnsi="仿宋" w:hint="eastAsia"/>
          <w:sz w:val="32"/>
          <w:szCs w:val="32"/>
        </w:rPr>
        <w:t>（3）</w:t>
      </w:r>
      <w:r>
        <w:rPr>
          <w:rFonts w:ascii="仿宋" w:eastAsia="仿宋" w:cs="仿宋" w:hAnsi="仿宋" w:hint="eastAsia"/>
          <w:sz w:val="32"/>
          <w:szCs w:val="32"/>
          <w:lang w:val="en-US" w:eastAsia="zh-CN"/>
        </w:rPr>
        <w:t>莲花三金土地项目绩效目标完成情况综述。项目全年预算数4000万元，执行数为4000万元，完成预算的100%。通过项目实施，保障了项目建设施工，确保施工建设全面完成，促进了当地经济发展</w:t>
      </w:r>
      <w:r>
        <w:rPr>
          <w:rFonts w:ascii="仿宋" w:eastAsia="仿宋" w:cs="仿宋" w:hAnsi="仿宋" w:hint="eastAsia"/>
          <w:sz w:val="32"/>
          <w:szCs w:val="32"/>
        </w:rPr>
        <w:t>，群众满意度较高。发现的主要问题：该项目工作时间跨度长，遗留问题较多。在处理遗留问题上较为困难，导致项目实施过程较为缓慢。改进措施：一是加大力度进行政策宣传，讲清程序，讲清意义。实行“一把尺子”量到底，做细做详基层工作，保障群众合法权益。二是加强各部门协调沟通，增加工作信息交流</w:t>
      </w:r>
      <w:r>
        <w:rPr>
          <w:rFonts w:ascii="仿宋" w:eastAsia="仿宋" w:cs="仿宋" w:hAnsi="仿宋" w:hint="eastAsia"/>
          <w:sz w:val="32"/>
          <w:szCs w:val="32"/>
          <w:lang w:val="en-US" w:eastAsia="zh-CN"/>
        </w:rPr>
        <w:t>.</w:t>
      </w:r>
    </w:p>
    <w:p>
      <w:pPr>
        <w:rPr>
          <w:rFonts w:ascii="方正小标宋_GBK" w:hAnsi="方正小标宋_GBK"/>
          <w:kern w:val="0"/>
          <w:sz w:val="44"/>
          <w:szCs w:val="44"/>
        </w:rPr>
      </w:pPr>
      <w:r>
        <w:rPr>
          <w:rFonts w:ascii="方正小标宋_GBK" w:hAnsi="方正小标宋_GBK"/>
          <w:kern w:val="0"/>
          <w:sz w:val="44"/>
          <w:szCs w:val="44"/>
        </w:rPr>
        <w:br w:type="page"/>
      </w:r>
    </w:p>
    <w:p>
      <w:pPr>
        <w:spacing w:line="540" w:lineRule="exact"/>
        <w:jc w:val="center"/>
        <w:rPr>
          <w:rFonts w:ascii="方正小标宋简体" w:eastAsia="方正小标宋简体" w:cs="方正小标宋简体" w:hAnsi="方正小标宋简体" w:hint="eastAsia"/>
          <w:kern w:val="0"/>
          <w:sz w:val="44"/>
          <w:szCs w:val="44"/>
        </w:rPr>
      </w:pPr>
      <w:r>
        <w:rPr>
          <w:rFonts w:ascii="方正小标宋简体" w:eastAsia="方正小标宋简体" w:cs="方正小标宋简体" w:hAnsi="方正小标宋简体" w:hint="eastAsia"/>
          <w:kern w:val="0"/>
          <w:sz w:val="44"/>
          <w:szCs w:val="44"/>
        </w:rPr>
        <w:t>项目支出绩效目标完成情况表</w:t>
      </w:r>
    </w:p>
    <w:p>
      <w:pPr>
        <w:spacing w:line="540" w:lineRule="exact"/>
        <w:jc w:val="center"/>
        <w:rPr>
          <w:rFonts w:ascii="黑体" w:eastAsia="黑体" w:hAnsi="黑体"/>
          <w:kern w:val="0"/>
          <w:sz w:val="32"/>
          <w:szCs w:val="32"/>
        </w:rPr>
      </w:pPr>
      <w:r>
        <w:rPr>
          <w:rFonts w:ascii="黑体" w:eastAsia="黑体" w:hAnsi="黑体" w:hint="eastAsia"/>
          <w:kern w:val="0"/>
          <w:sz w:val="32"/>
          <w:szCs w:val="32"/>
        </w:rPr>
        <w:t>(2019年度)</w:t>
      </w:r>
    </w:p>
    <w:tbl>
      <w:tblPr>
        <w:jc w:val="left"/>
        <w:tblInd w:w="-106" w:type="dxa"/>
        <w:tblW w:w="9072"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1512"/>
        <w:gridCol w:w="1180"/>
        <w:gridCol w:w="1181"/>
        <w:gridCol w:w="26"/>
        <w:gridCol w:w="1155"/>
        <w:gridCol w:w="2100"/>
        <w:gridCol w:w="66"/>
        <w:gridCol w:w="1852"/>
      </w:tblGrid>
      <w:tr>
        <w:trPr>
          <w:trHeight w:val="447"/>
        </w:trPr>
        <w:tc>
          <w:tcPr>
            <w:tcW w:w="3899" w:type="dxa"/>
            <w:gridSpan w:val="4"/>
            <w:tcBorders>
              <w:top w:val="single" w:sz="8" w:space="0" w:color="000000"/>
              <w:left w:val="single" w:sz="8" w:space="0" w:color="000000"/>
              <w:bottom w:val="single" w:sz="8" w:space="0" w:color="000000"/>
              <w:right w:val="single" w:sz="8" w:space="0" w:color="000000"/>
            </w:tcBorders>
            <w:vAlign w:val="center"/>
          </w:tcPr>
          <w:p>
            <w:pPr>
              <w:widowControl/>
              <w:jc w:val="center"/>
              <w:rPr>
                <w:rFonts w:ascii="仿宋_GB2312" w:hAnsi="宋体"/>
                <w:kern w:val="0"/>
                <w:sz w:val="24"/>
                <w:szCs w:val="24"/>
              </w:rPr>
            </w:pPr>
            <w:r>
              <w:rPr>
                <w:rFonts w:ascii="仿宋_GB2312" w:hAnsi="宋体"/>
                <w:kern w:val="0"/>
                <w:sz w:val="24"/>
                <w:szCs w:val="24"/>
              </w:rPr>
              <w:t>项目名称</w:t>
            </w:r>
          </w:p>
        </w:tc>
        <w:tc>
          <w:tcPr>
            <w:tcW w:w="5173" w:type="dxa"/>
            <w:gridSpan w:val="4"/>
            <w:tcBorders>
              <w:top w:val="single" w:sz="8" w:space="0" w:color="000000"/>
              <w:left w:val="nil"/>
              <w:bottom w:val="single" w:sz="8" w:space="0" w:color="000000"/>
              <w:right w:val="single" w:sz="8" w:space="0" w:color="000000"/>
            </w:tcBorders>
            <w:vAlign w:val="center"/>
          </w:tcPr>
          <w:p>
            <w:pPr>
              <w:widowControl/>
              <w:jc w:val="center"/>
              <w:rPr>
                <w:rFonts w:ascii="仿宋_GB2312" w:eastAsia="宋体" w:hAnsi="宋体" w:hint="eastAsia"/>
                <w:kern w:val="0"/>
                <w:sz w:val="24"/>
                <w:szCs w:val="24"/>
                <w:lang w:eastAsia="zh-CN"/>
              </w:rPr>
            </w:pPr>
            <w:r>
              <w:rPr>
                <w:rFonts w:ascii="仿宋_GB2312" w:hAnsi="宋体" w:hint="eastAsia"/>
                <w:kern w:val="0"/>
                <w:sz w:val="24"/>
                <w:szCs w:val="24"/>
                <w:lang w:eastAsia="zh-CN"/>
              </w:rPr>
              <w:t>白龙江、嘉陵江流域水环境黑臭水体综合治理（宝轮片区道路及河堤）建设项目</w:t>
            </w:r>
          </w:p>
        </w:tc>
      </w:tr>
      <w:tr>
        <w:trPr>
          <w:trHeight w:val="447"/>
        </w:trPr>
        <w:tc>
          <w:tcPr>
            <w:tcW w:w="3899" w:type="dxa"/>
            <w:gridSpan w:val="4"/>
            <w:tcBorders>
              <w:top w:val="single" w:sz="8" w:space="0" w:color="000000"/>
              <w:left w:val="single" w:sz="8" w:space="0" w:color="000000"/>
              <w:bottom w:val="single" w:sz="8" w:space="0" w:color="000000"/>
              <w:right w:val="single" w:sz="8" w:space="0" w:color="000000"/>
            </w:tcBorders>
            <w:vAlign w:val="center"/>
          </w:tcPr>
          <w:p>
            <w:pPr>
              <w:widowControl/>
              <w:jc w:val="center"/>
              <w:rPr>
                <w:rFonts w:ascii="仿宋_GB2312" w:hAnsi="宋体"/>
                <w:kern w:val="0"/>
                <w:sz w:val="24"/>
                <w:szCs w:val="24"/>
              </w:rPr>
            </w:pPr>
            <w:r>
              <w:rPr>
                <w:rFonts w:ascii="仿宋_GB2312" w:hAnsi="宋体"/>
                <w:kern w:val="0"/>
                <w:sz w:val="24"/>
                <w:szCs w:val="24"/>
              </w:rPr>
              <w:t>预算单位</w:t>
            </w:r>
          </w:p>
        </w:tc>
        <w:tc>
          <w:tcPr>
            <w:tcW w:w="5173" w:type="dxa"/>
            <w:gridSpan w:val="4"/>
            <w:tcBorders>
              <w:top w:val="single" w:sz="8" w:space="0" w:color="000000"/>
              <w:left w:val="nil"/>
              <w:bottom w:val="single" w:sz="8" w:space="0" w:color="000000"/>
              <w:right w:val="single" w:sz="8" w:space="0" w:color="000000"/>
            </w:tcBorders>
            <w:vAlign w:val="center"/>
          </w:tcPr>
          <w:p>
            <w:pPr>
              <w:widowControl/>
              <w:jc w:val="center"/>
              <w:rPr>
                <w:rFonts w:ascii="仿宋_GB2312" w:eastAsia="宋体" w:hAnsi="宋体" w:hint="eastAsia"/>
                <w:kern w:val="0"/>
                <w:sz w:val="24"/>
                <w:szCs w:val="24"/>
                <w:lang w:eastAsia="zh-CN"/>
              </w:rPr>
            </w:pPr>
            <w:r>
              <w:rPr>
                <w:rFonts w:ascii="仿宋_GB2312" w:hAnsi="宋体" w:hint="eastAsia"/>
                <w:kern w:val="0"/>
                <w:sz w:val="24"/>
                <w:szCs w:val="24"/>
                <w:lang w:eastAsia="zh-CN"/>
              </w:rPr>
              <w:t>广元市土地房屋征收拆迁事务中心</w:t>
            </w:r>
          </w:p>
        </w:tc>
      </w:tr>
      <w:tr>
        <w:trPr>
          <w:trHeight w:val="496"/>
        </w:trPr>
        <w:tc>
          <w:tcPr>
            <w:tcW w:w="1512" w:type="dxa"/>
            <w:vMerge w:val="restart"/>
            <w:tcBorders>
              <w:top w:val="nil"/>
              <w:left w:val="single" w:sz="8" w:space="0" w:color="000000"/>
              <w:bottom w:val="single" w:sz="8" w:space="0" w:color="000000"/>
              <w:right w:val="single" w:sz="8" w:space="0" w:color="000000"/>
            </w:tcBorders>
            <w:vAlign w:val="center"/>
          </w:tcPr>
          <w:p>
            <w:pPr>
              <w:widowControl/>
              <w:jc w:val="center"/>
              <w:rPr>
                <w:rFonts w:ascii="仿宋_GB2312" w:hAnsi="宋体"/>
                <w:kern w:val="0"/>
                <w:sz w:val="24"/>
                <w:szCs w:val="24"/>
              </w:rPr>
            </w:pPr>
            <w:r>
              <w:rPr>
                <w:rFonts w:ascii="仿宋_GB2312" w:hAnsi="宋体"/>
                <w:kern w:val="0"/>
                <w:sz w:val="24"/>
                <w:szCs w:val="24"/>
              </w:rPr>
              <w:t>预算执行情况(万元)</w:t>
            </w:r>
          </w:p>
        </w:tc>
        <w:tc>
          <w:tcPr>
            <w:tcW w:w="2387" w:type="dxa"/>
            <w:gridSpan w:val="3"/>
            <w:tcBorders>
              <w:top w:val="single" w:sz="8" w:space="0" w:color="000000"/>
              <w:left w:val="nil"/>
              <w:bottom w:val="single" w:sz="8" w:space="0" w:color="000000"/>
              <w:right w:val="single" w:sz="8" w:space="0" w:color="000000"/>
            </w:tcBorders>
            <w:vAlign w:val="center"/>
          </w:tcPr>
          <w:p>
            <w:pPr>
              <w:widowControl/>
              <w:jc w:val="center"/>
              <w:rPr>
                <w:rFonts w:ascii="仿宋_GB2312" w:hAnsi="宋体"/>
                <w:kern w:val="0"/>
                <w:sz w:val="24"/>
                <w:szCs w:val="24"/>
              </w:rPr>
            </w:pPr>
            <w:r>
              <w:rPr>
                <w:rFonts w:ascii="仿宋_GB2312" w:hAnsi="宋体"/>
                <w:kern w:val="0"/>
                <w:sz w:val="24"/>
                <w:szCs w:val="24"/>
              </w:rPr>
              <w:t>预算数:</w:t>
            </w:r>
          </w:p>
        </w:tc>
        <w:tc>
          <w:tcPr>
            <w:tcW w:w="1155" w:type="dxa"/>
            <w:tcBorders>
              <w:top w:val="nil"/>
              <w:left w:val="nil"/>
              <w:bottom w:val="single" w:sz="8" w:space="0" w:color="000000"/>
              <w:right w:val="single" w:sz="8" w:space="0" w:color="000000"/>
            </w:tcBorders>
            <w:vAlign w:val="center"/>
          </w:tcPr>
          <w:p>
            <w:pPr>
              <w:widowControl/>
              <w:jc w:val="center"/>
              <w:rPr>
                <w:rFonts w:ascii="仿宋_GB2312" w:hAnsi="宋体"/>
                <w:kern w:val="0"/>
                <w:sz w:val="24"/>
                <w:szCs w:val="24"/>
              </w:rPr>
            </w:pPr>
            <w:r>
              <w:rPr>
                <w:rFonts w:ascii="仿宋_GB2312" w:hAnsi="宋体" w:hint="eastAsia"/>
                <w:kern w:val="0"/>
                <w:sz w:val="24"/>
                <w:szCs w:val="24"/>
                <w:lang w:val="en-US" w:eastAsia="zh-CN"/>
              </w:rPr>
              <w:t>65.60万元</w:t>
            </w:r>
          </w:p>
        </w:tc>
        <w:tc>
          <w:tcPr>
            <w:tcW w:w="2100" w:type="dxa"/>
            <w:tcBorders>
              <w:top w:val="nil"/>
              <w:left w:val="nil"/>
              <w:bottom w:val="single" w:sz="8" w:space="0" w:color="000000"/>
              <w:right w:val="single" w:sz="8" w:space="0" w:color="000000"/>
            </w:tcBorders>
            <w:vAlign w:val="center"/>
          </w:tcPr>
          <w:p>
            <w:pPr>
              <w:widowControl/>
              <w:jc w:val="center"/>
              <w:rPr>
                <w:rFonts w:ascii="仿宋_GB2312" w:hAnsi="宋体"/>
                <w:kern w:val="0"/>
                <w:sz w:val="24"/>
                <w:szCs w:val="24"/>
              </w:rPr>
            </w:pPr>
            <w:r>
              <w:rPr>
                <w:rFonts w:ascii="仿宋_GB2312" w:hAnsi="宋体"/>
                <w:kern w:val="0"/>
                <w:sz w:val="24"/>
                <w:szCs w:val="24"/>
              </w:rPr>
              <w:t>执行数:</w:t>
            </w:r>
          </w:p>
        </w:tc>
        <w:tc>
          <w:tcPr>
            <w:tcW w:w="1918" w:type="dxa"/>
            <w:gridSpan w:val="2"/>
            <w:tcBorders>
              <w:top w:val="nil"/>
              <w:left w:val="nil"/>
              <w:bottom w:val="single" w:sz="8" w:space="0" w:color="000000"/>
              <w:right w:val="single" w:sz="8" w:space="0" w:color="000000"/>
            </w:tcBorders>
            <w:vAlign w:val="center"/>
          </w:tcPr>
          <w:p>
            <w:pPr>
              <w:widowControl/>
              <w:jc w:val="center"/>
              <w:rPr>
                <w:rFonts w:ascii="仿宋_GB2312" w:hAnsi="宋体"/>
                <w:kern w:val="0"/>
                <w:sz w:val="24"/>
                <w:szCs w:val="24"/>
              </w:rPr>
            </w:pPr>
            <w:r>
              <w:rPr>
                <w:rFonts w:ascii="仿宋_GB2312" w:hAnsi="宋体" w:hint="eastAsia"/>
                <w:kern w:val="0"/>
                <w:sz w:val="24"/>
                <w:szCs w:val="24"/>
                <w:lang w:val="en-US" w:eastAsia="zh-CN"/>
              </w:rPr>
              <w:t>65.60万元</w:t>
            </w:r>
          </w:p>
        </w:tc>
      </w:tr>
      <w:tr>
        <w:trPr>
          <w:trHeight w:val="497"/>
        </w:trPr>
        <w:tc>
          <w:tcPr>
            <w:tcW w:w="1512" w:type="dxa"/>
            <w:vMerge/>
            <w:tcBorders>
              <w:top w:val="nil"/>
              <w:left w:val="single" w:sz="8" w:space="0" w:color="000000"/>
              <w:bottom w:val="single" w:sz="8" w:space="0" w:color="000000"/>
              <w:right w:val="single" w:sz="8" w:space="0" w:color="000000"/>
            </w:tcBorders>
            <w:vAlign w:val="center"/>
          </w:tcPr>
          <w:p/>
        </w:tc>
        <w:tc>
          <w:tcPr>
            <w:tcW w:w="2387" w:type="dxa"/>
            <w:gridSpan w:val="3"/>
            <w:tcBorders>
              <w:top w:val="single" w:sz="8" w:space="0" w:color="000000"/>
              <w:left w:val="nil"/>
              <w:bottom w:val="single" w:sz="8" w:space="0" w:color="000000"/>
              <w:right w:val="single" w:sz="8" w:space="0" w:color="000000"/>
            </w:tcBorders>
            <w:vAlign w:val="center"/>
          </w:tcPr>
          <w:p>
            <w:pPr>
              <w:widowControl/>
              <w:jc w:val="center"/>
              <w:rPr>
                <w:rFonts w:ascii="仿宋_GB2312" w:hAnsi="宋体"/>
                <w:kern w:val="0"/>
                <w:sz w:val="24"/>
                <w:szCs w:val="24"/>
              </w:rPr>
            </w:pPr>
            <w:r>
              <w:rPr>
                <w:rFonts w:ascii="仿宋_GB2312" w:hAnsi="宋体"/>
                <w:kern w:val="0"/>
                <w:sz w:val="24"/>
                <w:szCs w:val="24"/>
              </w:rPr>
              <w:t>其中-财政拨款:</w:t>
            </w:r>
          </w:p>
        </w:tc>
        <w:tc>
          <w:tcPr>
            <w:tcW w:w="1155" w:type="dxa"/>
            <w:tcBorders>
              <w:top w:val="nil"/>
              <w:left w:val="nil"/>
              <w:bottom w:val="single" w:sz="8" w:space="0" w:color="000000"/>
              <w:right w:val="single" w:sz="8" w:space="0" w:color="000000"/>
            </w:tcBorders>
            <w:vAlign w:val="center"/>
          </w:tcPr>
          <w:p>
            <w:pPr>
              <w:widowControl/>
              <w:jc w:val="center"/>
              <w:rPr>
                <w:rFonts w:ascii="仿宋_GB2312" w:hAnsi="宋体"/>
                <w:kern w:val="0"/>
                <w:sz w:val="24"/>
                <w:szCs w:val="24"/>
              </w:rPr>
            </w:pPr>
            <w:r>
              <w:rPr>
                <w:rFonts w:ascii="仿宋_GB2312" w:hAnsi="宋体" w:hint="eastAsia"/>
                <w:kern w:val="0"/>
                <w:sz w:val="24"/>
                <w:szCs w:val="24"/>
                <w:lang w:val="en-US" w:eastAsia="zh-CN"/>
              </w:rPr>
              <w:t>65.60万元</w:t>
            </w:r>
          </w:p>
        </w:tc>
        <w:tc>
          <w:tcPr>
            <w:tcW w:w="2100" w:type="dxa"/>
            <w:tcBorders>
              <w:top w:val="nil"/>
              <w:left w:val="nil"/>
              <w:bottom w:val="single" w:sz="8" w:space="0" w:color="000000"/>
              <w:right w:val="single" w:sz="8" w:space="0" w:color="000000"/>
            </w:tcBorders>
            <w:vAlign w:val="center"/>
          </w:tcPr>
          <w:p>
            <w:pPr>
              <w:widowControl/>
              <w:jc w:val="center"/>
              <w:rPr>
                <w:rFonts w:ascii="仿宋_GB2312" w:hAnsi="宋体"/>
                <w:kern w:val="0"/>
                <w:sz w:val="24"/>
                <w:szCs w:val="24"/>
              </w:rPr>
            </w:pPr>
            <w:r>
              <w:rPr>
                <w:rFonts w:ascii="仿宋_GB2312" w:hAnsi="宋体"/>
                <w:kern w:val="0"/>
                <w:sz w:val="24"/>
                <w:szCs w:val="24"/>
              </w:rPr>
              <w:t>其中-财政拨款:</w:t>
            </w:r>
          </w:p>
        </w:tc>
        <w:tc>
          <w:tcPr>
            <w:tcW w:w="1918" w:type="dxa"/>
            <w:gridSpan w:val="2"/>
            <w:tcBorders>
              <w:top w:val="nil"/>
              <w:left w:val="nil"/>
              <w:bottom w:val="single" w:sz="8" w:space="0" w:color="000000"/>
              <w:right w:val="single" w:sz="8" w:space="0" w:color="000000"/>
            </w:tcBorders>
            <w:vAlign w:val="center"/>
          </w:tcPr>
          <w:p>
            <w:pPr>
              <w:widowControl/>
              <w:jc w:val="center"/>
              <w:rPr>
                <w:rFonts w:ascii="仿宋_GB2312" w:hAnsi="宋体"/>
                <w:kern w:val="0"/>
                <w:sz w:val="24"/>
                <w:szCs w:val="24"/>
              </w:rPr>
            </w:pPr>
            <w:r>
              <w:rPr>
                <w:rFonts w:ascii="仿宋_GB2312" w:hAnsi="宋体" w:hint="eastAsia"/>
                <w:kern w:val="0"/>
                <w:sz w:val="24"/>
                <w:szCs w:val="24"/>
                <w:lang w:val="en-US" w:eastAsia="zh-CN"/>
              </w:rPr>
              <w:t>65.60万元</w:t>
            </w:r>
          </w:p>
        </w:tc>
      </w:tr>
      <w:tr>
        <w:trPr>
          <w:trHeight w:val="497"/>
        </w:trPr>
        <w:tc>
          <w:tcPr>
            <w:tcW w:w="1512" w:type="dxa"/>
            <w:vMerge/>
            <w:tcBorders>
              <w:top w:val="nil"/>
              <w:left w:val="single" w:sz="8" w:space="0" w:color="000000"/>
              <w:bottom w:val="single" w:sz="8" w:space="0" w:color="000000"/>
              <w:right w:val="single" w:sz="8" w:space="0" w:color="000000"/>
            </w:tcBorders>
            <w:vAlign w:val="center"/>
          </w:tcPr>
          <w:p/>
        </w:tc>
        <w:tc>
          <w:tcPr>
            <w:tcW w:w="2387" w:type="dxa"/>
            <w:gridSpan w:val="3"/>
            <w:tcBorders>
              <w:top w:val="single" w:sz="8" w:space="0" w:color="000000"/>
              <w:left w:val="nil"/>
              <w:bottom w:val="single" w:sz="8" w:space="0" w:color="000000"/>
              <w:right w:val="single" w:sz="8" w:space="0" w:color="000000"/>
            </w:tcBorders>
            <w:vAlign w:val="center"/>
          </w:tcPr>
          <w:p>
            <w:pPr>
              <w:widowControl/>
              <w:jc w:val="center"/>
              <w:rPr>
                <w:rFonts w:ascii="仿宋_GB2312" w:hAnsi="宋体"/>
                <w:kern w:val="0"/>
                <w:sz w:val="24"/>
                <w:szCs w:val="24"/>
              </w:rPr>
            </w:pPr>
            <w:r>
              <w:rPr>
                <w:rFonts w:ascii="仿宋_GB2312" w:hAnsi="宋体"/>
                <w:kern w:val="0"/>
                <w:sz w:val="24"/>
                <w:szCs w:val="24"/>
              </w:rPr>
              <w:t>其它资金:</w:t>
            </w:r>
          </w:p>
        </w:tc>
        <w:tc>
          <w:tcPr>
            <w:tcW w:w="1155" w:type="dxa"/>
            <w:tcBorders>
              <w:top w:val="nil"/>
              <w:left w:val="nil"/>
              <w:bottom w:val="single" w:sz="8" w:space="0" w:color="000000"/>
              <w:right w:val="single" w:sz="8" w:space="0" w:color="000000"/>
            </w:tcBorders>
            <w:vAlign w:val="center"/>
          </w:tcPr>
          <w:p>
            <w:pPr>
              <w:widowControl/>
              <w:jc w:val="center"/>
              <w:rPr>
                <w:rFonts w:ascii="仿宋_GB2312" w:eastAsia="宋体" w:hAnsi="宋体" w:hint="eastAsia"/>
                <w:kern w:val="0"/>
                <w:sz w:val="24"/>
                <w:szCs w:val="24"/>
                <w:lang w:val="en-US" w:eastAsia="zh-CN"/>
              </w:rPr>
            </w:pPr>
            <w:r>
              <w:rPr>
                <w:rFonts w:ascii="仿宋_GB2312" w:hAnsi="宋体" w:hint="eastAsia"/>
                <w:kern w:val="0"/>
                <w:sz w:val="24"/>
                <w:szCs w:val="24"/>
                <w:lang w:val="en-US" w:eastAsia="zh-CN"/>
              </w:rPr>
              <w:t>0</w:t>
            </w:r>
          </w:p>
        </w:tc>
        <w:tc>
          <w:tcPr>
            <w:tcW w:w="2100" w:type="dxa"/>
            <w:tcBorders>
              <w:top w:val="nil"/>
              <w:left w:val="nil"/>
              <w:bottom w:val="single" w:sz="8" w:space="0" w:color="000000"/>
              <w:right w:val="single" w:sz="8" w:space="0" w:color="000000"/>
            </w:tcBorders>
            <w:vAlign w:val="center"/>
          </w:tcPr>
          <w:p>
            <w:pPr>
              <w:widowControl/>
              <w:jc w:val="center"/>
              <w:rPr>
                <w:rFonts w:ascii="仿宋_GB2312" w:hAnsi="宋体"/>
                <w:kern w:val="0"/>
                <w:sz w:val="24"/>
                <w:szCs w:val="24"/>
              </w:rPr>
            </w:pPr>
            <w:r>
              <w:rPr>
                <w:rFonts w:ascii="仿宋_GB2312" w:hAnsi="宋体"/>
                <w:kern w:val="0"/>
                <w:sz w:val="24"/>
                <w:szCs w:val="24"/>
              </w:rPr>
              <w:t>其它资金:</w:t>
            </w:r>
          </w:p>
        </w:tc>
        <w:tc>
          <w:tcPr>
            <w:tcW w:w="1918" w:type="dxa"/>
            <w:gridSpan w:val="2"/>
            <w:tcBorders>
              <w:top w:val="nil"/>
              <w:left w:val="nil"/>
              <w:bottom w:val="single" w:sz="8" w:space="0" w:color="000000"/>
              <w:right w:val="single" w:sz="8" w:space="0" w:color="000000"/>
            </w:tcBorders>
            <w:vAlign w:val="center"/>
          </w:tcPr>
          <w:p>
            <w:pPr>
              <w:widowControl/>
              <w:jc w:val="center"/>
              <w:rPr>
                <w:rFonts w:ascii="仿宋_GB2312" w:eastAsia="宋体" w:hAnsi="宋体" w:hint="eastAsia"/>
                <w:kern w:val="0"/>
                <w:sz w:val="24"/>
                <w:szCs w:val="24"/>
                <w:lang w:val="en-US" w:eastAsia="zh-CN"/>
              </w:rPr>
            </w:pPr>
            <w:r>
              <w:rPr>
                <w:rFonts w:ascii="仿宋_GB2312" w:hAnsi="宋体" w:hint="eastAsia"/>
                <w:kern w:val="0"/>
                <w:sz w:val="24"/>
                <w:szCs w:val="24"/>
                <w:lang w:val="en-US" w:eastAsia="zh-CN"/>
              </w:rPr>
              <w:t>0</w:t>
            </w:r>
          </w:p>
        </w:tc>
      </w:tr>
      <w:tr>
        <w:trPr>
          <w:trHeight w:val="620"/>
        </w:trPr>
        <w:tc>
          <w:tcPr>
            <w:tcW w:w="1512" w:type="dxa"/>
            <w:vMerge w:val="restart"/>
            <w:tcBorders>
              <w:top w:val="nil"/>
              <w:left w:val="single" w:sz="8" w:space="0" w:color="000000"/>
              <w:bottom w:val="single" w:sz="8" w:space="0" w:color="000000"/>
              <w:right w:val="single" w:sz="8" w:space="0" w:color="000000"/>
            </w:tcBorders>
            <w:vAlign w:val="center"/>
          </w:tcPr>
          <w:p>
            <w:pPr>
              <w:widowControl/>
              <w:jc w:val="center"/>
              <w:rPr>
                <w:rFonts w:ascii="仿宋_GB2312" w:hAnsi="宋体"/>
                <w:kern w:val="0"/>
                <w:sz w:val="24"/>
                <w:szCs w:val="24"/>
              </w:rPr>
            </w:pPr>
            <w:r>
              <w:rPr>
                <w:rFonts w:ascii="仿宋_GB2312" w:hAnsi="宋体"/>
                <w:kern w:val="0"/>
                <w:sz w:val="24"/>
                <w:szCs w:val="24"/>
              </w:rPr>
              <w:t>年度目标完成情况</w:t>
            </w:r>
          </w:p>
        </w:tc>
        <w:tc>
          <w:tcPr>
            <w:tcW w:w="3542" w:type="dxa"/>
            <w:gridSpan w:val="4"/>
            <w:tcBorders>
              <w:top w:val="single" w:sz="8" w:space="0" w:color="000000"/>
              <w:left w:val="nil"/>
              <w:bottom w:val="single" w:sz="8" w:space="0" w:color="000000"/>
              <w:right w:val="single" w:sz="8" w:space="0" w:color="000000"/>
            </w:tcBorders>
            <w:vAlign w:val="center"/>
          </w:tcPr>
          <w:p>
            <w:pPr>
              <w:widowControl/>
              <w:jc w:val="center"/>
              <w:rPr>
                <w:rFonts w:ascii="仿宋_GB2312" w:hAnsi="宋体"/>
                <w:kern w:val="0"/>
                <w:sz w:val="24"/>
                <w:szCs w:val="24"/>
              </w:rPr>
            </w:pPr>
            <w:r>
              <w:rPr>
                <w:rFonts w:ascii="仿宋_GB2312" w:hAnsi="宋体"/>
                <w:kern w:val="0"/>
                <w:sz w:val="24"/>
                <w:szCs w:val="24"/>
              </w:rPr>
              <w:t>预期目标</w:t>
            </w:r>
          </w:p>
        </w:tc>
        <w:tc>
          <w:tcPr>
            <w:tcW w:w="4018" w:type="dxa"/>
            <w:gridSpan w:val="3"/>
            <w:tcBorders>
              <w:top w:val="single" w:sz="8" w:space="0" w:color="000000"/>
              <w:left w:val="nil"/>
              <w:bottom w:val="single" w:sz="8" w:space="0" w:color="000000"/>
              <w:right w:val="single" w:sz="8" w:space="0" w:color="000000"/>
            </w:tcBorders>
            <w:vAlign w:val="center"/>
          </w:tcPr>
          <w:p>
            <w:pPr>
              <w:widowControl/>
              <w:jc w:val="center"/>
              <w:rPr>
                <w:rFonts w:ascii="仿宋_GB2312" w:hAnsi="宋体"/>
                <w:kern w:val="0"/>
                <w:sz w:val="24"/>
                <w:szCs w:val="24"/>
              </w:rPr>
            </w:pPr>
            <w:r>
              <w:rPr>
                <w:rFonts w:ascii="仿宋_GB2312" w:hAnsi="宋体"/>
                <w:kern w:val="0"/>
                <w:sz w:val="24"/>
                <w:szCs w:val="24"/>
              </w:rPr>
              <w:t>实际完成目标</w:t>
            </w:r>
          </w:p>
        </w:tc>
      </w:tr>
      <w:tr>
        <w:trPr>
          <w:trHeight w:val="621"/>
        </w:trPr>
        <w:tc>
          <w:tcPr>
            <w:tcW w:w="1512" w:type="dxa"/>
            <w:vMerge/>
            <w:tcBorders>
              <w:top w:val="nil"/>
              <w:left w:val="single" w:sz="8" w:space="0" w:color="000000"/>
              <w:bottom w:val="single" w:sz="8" w:space="0" w:color="000000"/>
              <w:right w:val="single" w:sz="8" w:space="0" w:color="000000"/>
            </w:tcBorders>
            <w:vAlign w:val="center"/>
          </w:tcPr>
          <w:p/>
        </w:tc>
        <w:tc>
          <w:tcPr>
            <w:tcW w:w="3542" w:type="dxa"/>
            <w:gridSpan w:val="4"/>
            <w:tcBorders>
              <w:top w:val="single" w:sz="8" w:space="0" w:color="000000"/>
              <w:left w:val="nil"/>
              <w:bottom w:val="single" w:sz="8" w:space="0" w:color="000000"/>
              <w:right w:val="single" w:sz="8" w:space="0" w:color="000000"/>
            </w:tcBorders>
            <w:vAlign w:val="center"/>
          </w:tcPr>
          <w:p>
            <w:pPr>
              <w:widowControl/>
              <w:jc w:val="left"/>
              <w:rPr>
                <w:rFonts w:ascii="仿宋_GB2312" w:eastAsia="宋体" w:hAnsi="宋体" w:hint="eastAsia"/>
                <w:kern w:val="0"/>
                <w:sz w:val="24"/>
                <w:szCs w:val="24"/>
                <w:lang w:eastAsia="zh-CN"/>
              </w:rPr>
            </w:pPr>
            <w:r>
              <w:rPr>
                <w:rFonts w:ascii="仿宋_GB2312" w:hAnsi="宋体" w:hint="eastAsia"/>
                <w:kern w:val="0"/>
                <w:sz w:val="24"/>
                <w:szCs w:val="24"/>
                <w:lang w:val="en-US" w:eastAsia="zh-CN"/>
              </w:rPr>
              <w:t>完成</w:t>
            </w:r>
            <w:r>
              <w:rPr>
                <w:rFonts w:ascii="仿宋_GB2312" w:hAnsi="宋体" w:hint="eastAsia"/>
                <w:kern w:val="0"/>
                <w:sz w:val="24"/>
                <w:szCs w:val="24"/>
                <w:lang w:eastAsia="zh-CN"/>
              </w:rPr>
              <w:t>白龙江、嘉陵江流域水环境黑臭水体综合治理（宝轮片区道路及河堤）建设项目范围内</w:t>
            </w:r>
            <w:r>
              <w:rPr>
                <w:rFonts w:ascii="仿宋_GB2312" w:hAnsi="宋体" w:hint="eastAsia"/>
                <w:kern w:val="0"/>
                <w:sz w:val="24"/>
                <w:szCs w:val="24"/>
                <w:lang w:val="en-US" w:eastAsia="zh-CN"/>
              </w:rPr>
              <w:t>集体土地63.61亩及地上附着物征收补偿安置工作。</w:t>
            </w:r>
          </w:p>
        </w:tc>
        <w:tc>
          <w:tcPr>
            <w:tcW w:w="4018" w:type="dxa"/>
            <w:gridSpan w:val="3"/>
            <w:tcBorders>
              <w:top w:val="single" w:sz="8" w:space="0" w:color="000000"/>
              <w:left w:val="nil"/>
              <w:bottom w:val="single" w:sz="8" w:space="0" w:color="000000"/>
              <w:right w:val="single" w:sz="8" w:space="0" w:color="000000"/>
            </w:tcBorders>
            <w:vAlign w:val="center"/>
          </w:tcPr>
          <w:p>
            <w:pPr>
              <w:widowControl/>
              <w:jc w:val="left"/>
              <w:rPr>
                <w:rFonts w:ascii="仿宋_GB2312" w:hAnsi="宋体"/>
                <w:kern w:val="0"/>
                <w:sz w:val="24"/>
                <w:szCs w:val="24"/>
              </w:rPr>
            </w:pPr>
            <w:r>
              <w:rPr>
                <w:rFonts w:ascii="仿宋_GB2312" w:hAnsi="宋体" w:hint="eastAsia"/>
                <w:kern w:val="0"/>
                <w:sz w:val="24"/>
                <w:szCs w:val="24"/>
                <w:lang w:eastAsia="zh-CN"/>
              </w:rPr>
              <w:t>截至</w:t>
            </w:r>
            <w:r>
              <w:rPr>
                <w:rFonts w:ascii="仿宋_GB2312" w:hAnsi="宋体" w:hint="eastAsia"/>
                <w:kern w:val="0"/>
                <w:sz w:val="24"/>
                <w:szCs w:val="24"/>
                <w:lang w:val="en-US" w:eastAsia="zh-CN"/>
              </w:rPr>
              <w:t>2019年底，已完成集体土地63.61亩及地上附着物征收补偿协议签订工作。</w:t>
            </w:r>
          </w:p>
        </w:tc>
      </w:tr>
      <w:tr>
        <w:trPr>
          <w:trHeight w:val="423"/>
        </w:trPr>
        <w:tc>
          <w:tcPr>
            <w:tcW w:w="1512" w:type="dxa"/>
            <w:vMerge w:val="restart"/>
            <w:tcBorders>
              <w:top w:val="nil"/>
              <w:left w:val="single" w:sz="8" w:space="0" w:color="000000"/>
              <w:bottom w:val="single" w:sz="8" w:space="0" w:color="000000"/>
              <w:right w:val="single" w:sz="8" w:space="0" w:color="000000"/>
            </w:tcBorders>
            <w:vAlign w:val="center"/>
          </w:tcPr>
          <w:p>
            <w:pPr>
              <w:widowControl/>
              <w:jc w:val="center"/>
              <w:rPr>
                <w:rFonts w:ascii="仿宋_GB2312" w:hAnsi="宋体"/>
                <w:kern w:val="0"/>
                <w:sz w:val="24"/>
                <w:szCs w:val="24"/>
              </w:rPr>
            </w:pPr>
            <w:r>
              <w:rPr>
                <w:rFonts w:ascii="仿宋_GB2312" w:hAnsi="宋体"/>
                <w:kern w:val="0"/>
                <w:sz w:val="24"/>
                <w:szCs w:val="24"/>
              </w:rPr>
              <w:t>绩效指标完成情况</w:t>
            </w:r>
          </w:p>
        </w:tc>
        <w:tc>
          <w:tcPr>
            <w:tcW w:w="1180" w:type="dxa"/>
            <w:tcBorders>
              <w:top w:val="nil"/>
              <w:left w:val="nil"/>
              <w:bottom w:val="single" w:sz="8" w:space="0" w:color="000000"/>
              <w:right w:val="single" w:sz="8" w:space="0" w:color="000000"/>
            </w:tcBorders>
            <w:vAlign w:val="center"/>
          </w:tcPr>
          <w:p>
            <w:pPr>
              <w:widowControl/>
              <w:jc w:val="center"/>
              <w:rPr>
                <w:rFonts w:ascii="仿宋_GB2312" w:hAnsi="宋体"/>
                <w:kern w:val="0"/>
                <w:sz w:val="24"/>
                <w:szCs w:val="24"/>
              </w:rPr>
            </w:pPr>
            <w:r>
              <w:rPr>
                <w:rFonts w:ascii="仿宋_GB2312" w:hAnsi="宋体"/>
                <w:kern w:val="0"/>
                <w:sz w:val="24"/>
                <w:szCs w:val="24"/>
              </w:rPr>
              <w:t>一级指标</w:t>
            </w:r>
          </w:p>
        </w:tc>
        <w:tc>
          <w:tcPr>
            <w:tcW w:w="1181" w:type="dxa"/>
            <w:tcBorders>
              <w:top w:val="nil"/>
              <w:left w:val="nil"/>
              <w:bottom w:val="single" w:sz="8" w:space="0" w:color="000000"/>
              <w:right w:val="single" w:sz="8" w:space="0" w:color="000000"/>
            </w:tcBorders>
            <w:vAlign w:val="center"/>
          </w:tcPr>
          <w:p>
            <w:pPr>
              <w:widowControl/>
              <w:jc w:val="center"/>
              <w:rPr>
                <w:rFonts w:ascii="仿宋_GB2312" w:hAnsi="宋体"/>
                <w:kern w:val="0"/>
                <w:sz w:val="24"/>
                <w:szCs w:val="24"/>
              </w:rPr>
            </w:pPr>
            <w:r>
              <w:rPr>
                <w:rFonts w:ascii="仿宋_GB2312" w:hAnsi="宋体"/>
                <w:kern w:val="0"/>
                <w:sz w:val="24"/>
                <w:szCs w:val="24"/>
              </w:rPr>
              <w:t>二级指标</w:t>
            </w:r>
          </w:p>
        </w:tc>
        <w:tc>
          <w:tcPr>
            <w:tcW w:w="1181" w:type="dxa"/>
            <w:gridSpan w:val="2"/>
            <w:tcBorders>
              <w:top w:val="nil"/>
              <w:left w:val="nil"/>
              <w:bottom w:val="single" w:sz="8" w:space="0" w:color="000000"/>
              <w:right w:val="single" w:sz="8" w:space="0" w:color="000000"/>
            </w:tcBorders>
            <w:vAlign w:val="center"/>
          </w:tcPr>
          <w:p>
            <w:pPr>
              <w:widowControl/>
              <w:jc w:val="center"/>
              <w:rPr>
                <w:rFonts w:ascii="仿宋_GB2312" w:hAnsi="宋体"/>
                <w:kern w:val="0"/>
                <w:sz w:val="24"/>
                <w:szCs w:val="24"/>
              </w:rPr>
            </w:pPr>
            <w:r>
              <w:rPr>
                <w:rFonts w:ascii="仿宋_GB2312" w:hAnsi="宋体"/>
                <w:kern w:val="0"/>
                <w:sz w:val="24"/>
                <w:szCs w:val="24"/>
              </w:rPr>
              <w:t>三级指标</w:t>
            </w:r>
          </w:p>
        </w:tc>
        <w:tc>
          <w:tcPr>
            <w:tcW w:w="2166" w:type="dxa"/>
            <w:gridSpan w:val="2"/>
            <w:tcBorders>
              <w:top w:val="nil"/>
              <w:left w:val="nil"/>
              <w:bottom w:val="single" w:sz="8" w:space="0" w:color="000000"/>
              <w:right w:val="single" w:sz="8" w:space="0" w:color="000000"/>
            </w:tcBorders>
            <w:vAlign w:val="center"/>
          </w:tcPr>
          <w:p>
            <w:pPr>
              <w:widowControl/>
              <w:jc w:val="center"/>
              <w:rPr>
                <w:rFonts w:ascii="仿宋_GB2312" w:hAnsi="宋体"/>
                <w:kern w:val="0"/>
                <w:sz w:val="24"/>
                <w:szCs w:val="24"/>
              </w:rPr>
            </w:pPr>
            <w:r>
              <w:rPr>
                <w:rFonts w:ascii="仿宋_GB2312" w:hAnsi="宋体"/>
                <w:kern w:val="0"/>
                <w:sz w:val="24"/>
                <w:szCs w:val="24"/>
              </w:rPr>
              <w:t>预期指标值(包含数字及</w:t>
            </w:r>
            <w:r>
              <w:rPr>
                <w:rFonts w:ascii="仿宋_GB2312" w:hAnsi="宋体"/>
                <w:kern w:val="0"/>
                <w:sz w:val="24"/>
                <w:szCs w:val="24"/>
                <w:u w:val="single"/>
              </w:rPr>
              <w:t>文字描述</w:t>
            </w:r>
            <w:r>
              <w:rPr>
                <w:rFonts w:ascii="仿宋_GB2312" w:hAnsi="宋体"/>
                <w:kern w:val="0"/>
                <w:sz w:val="24"/>
                <w:szCs w:val="24"/>
              </w:rPr>
              <w:t>)</w:t>
            </w:r>
          </w:p>
        </w:tc>
        <w:tc>
          <w:tcPr>
            <w:tcW w:w="1852" w:type="dxa"/>
            <w:tcBorders>
              <w:top w:val="nil"/>
              <w:left w:val="nil"/>
              <w:bottom w:val="single" w:sz="8" w:space="0" w:color="000000"/>
              <w:right w:val="single" w:sz="8" w:space="0" w:color="000000"/>
            </w:tcBorders>
            <w:vAlign w:val="center"/>
          </w:tcPr>
          <w:p>
            <w:pPr>
              <w:widowControl/>
              <w:jc w:val="center"/>
              <w:rPr>
                <w:rFonts w:ascii="仿宋_GB2312" w:hAnsi="宋体"/>
                <w:kern w:val="0"/>
                <w:sz w:val="24"/>
                <w:szCs w:val="24"/>
              </w:rPr>
            </w:pPr>
            <w:r>
              <w:rPr>
                <w:rFonts w:ascii="仿宋_GB2312" w:hAnsi="宋体"/>
                <w:kern w:val="0"/>
                <w:sz w:val="24"/>
                <w:szCs w:val="24"/>
              </w:rPr>
              <w:t>实际完成指标值(包含数字及</w:t>
            </w:r>
            <w:r>
              <w:rPr>
                <w:rFonts w:ascii="仿宋_GB2312" w:hAnsi="宋体"/>
                <w:kern w:val="0"/>
                <w:sz w:val="24"/>
                <w:szCs w:val="24"/>
                <w:u w:val="single"/>
              </w:rPr>
              <w:t>文字描述</w:t>
            </w:r>
            <w:r>
              <w:rPr>
                <w:rFonts w:ascii="仿宋_GB2312" w:hAnsi="宋体"/>
                <w:kern w:val="0"/>
                <w:sz w:val="24"/>
                <w:szCs w:val="24"/>
              </w:rPr>
              <w:t>)</w:t>
            </w:r>
          </w:p>
        </w:tc>
      </w:tr>
      <w:tr>
        <w:trPr>
          <w:trHeight w:val="906"/>
        </w:trPr>
        <w:tc>
          <w:tcPr>
            <w:tcW w:w="1512" w:type="dxa"/>
            <w:vMerge/>
            <w:tcBorders>
              <w:top w:val="nil"/>
              <w:left w:val="single" w:sz="8" w:space="0" w:color="000000"/>
              <w:bottom w:val="single" w:sz="8" w:space="0" w:color="000000"/>
              <w:right w:val="single" w:sz="8" w:space="0" w:color="000000"/>
            </w:tcBorders>
            <w:vAlign w:val="center"/>
          </w:tcPr>
          <w:p/>
        </w:tc>
        <w:tc>
          <w:tcPr>
            <w:tcW w:w="1180" w:type="dxa"/>
            <w:tcBorders>
              <w:top w:val="nil"/>
              <w:left w:val="nil"/>
              <w:bottom w:val="single" w:sz="8" w:space="0" w:color="000000"/>
              <w:right w:val="single" w:sz="8" w:space="0" w:color="000000"/>
            </w:tcBorders>
            <w:vAlign w:val="center"/>
          </w:tcPr>
          <w:p>
            <w:pPr>
              <w:widowControl/>
              <w:jc w:val="center"/>
              <w:rPr>
                <w:rFonts w:ascii="仿宋_GB2312" w:hAnsi="宋体"/>
                <w:kern w:val="0"/>
                <w:sz w:val="24"/>
                <w:szCs w:val="24"/>
              </w:rPr>
            </w:pPr>
            <w:r>
              <w:rPr>
                <w:rFonts w:ascii="仿宋_GB2312" w:hAnsi="宋体"/>
                <w:kern w:val="0"/>
                <w:sz w:val="24"/>
                <w:szCs w:val="24"/>
              </w:rPr>
              <w:t>项目完成指标</w:t>
            </w:r>
          </w:p>
        </w:tc>
        <w:tc>
          <w:tcPr>
            <w:tcW w:w="1181" w:type="dxa"/>
            <w:tcBorders>
              <w:top w:val="nil"/>
              <w:left w:val="nil"/>
              <w:bottom w:val="single" w:sz="8" w:space="0" w:color="000000"/>
              <w:right w:val="single" w:sz="8" w:space="0" w:color="000000"/>
            </w:tcBorders>
            <w:vAlign w:val="center"/>
          </w:tcPr>
          <w:p>
            <w:pPr>
              <w:widowControl/>
              <w:jc w:val="center"/>
              <w:rPr>
                <w:rFonts w:ascii="仿宋_GB2312" w:hAnsi="宋体"/>
                <w:kern w:val="0"/>
                <w:sz w:val="24"/>
                <w:szCs w:val="24"/>
              </w:rPr>
            </w:pPr>
            <w:r>
              <w:rPr>
                <w:rFonts w:ascii="仿宋_GB2312" w:hAnsi="宋体" w:hint="eastAsia"/>
                <w:kern w:val="0"/>
                <w:sz w:val="24"/>
                <w:szCs w:val="24"/>
                <w:lang w:eastAsia="zh-CN"/>
              </w:rPr>
              <w:t>数量指标</w:t>
            </w:r>
            <w:r>
              <w:rPr>
                <w:rFonts w:ascii="仿宋_GB2312" w:hAnsi="宋体"/>
                <w:kern w:val="0"/>
                <w:sz w:val="24"/>
                <w:szCs w:val="24"/>
              </w:rPr>
              <w:t>　</w:t>
            </w:r>
          </w:p>
        </w:tc>
        <w:tc>
          <w:tcPr>
            <w:tcW w:w="1181" w:type="dxa"/>
            <w:gridSpan w:val="2"/>
            <w:tcBorders>
              <w:top w:val="nil"/>
              <w:left w:val="nil"/>
              <w:bottom w:val="single" w:sz="8" w:space="0" w:color="000000"/>
              <w:right w:val="single" w:sz="8" w:space="0" w:color="000000"/>
            </w:tcBorders>
            <w:vAlign w:val="center"/>
          </w:tcPr>
          <w:p>
            <w:pPr>
              <w:widowControl/>
              <w:jc w:val="center"/>
              <w:rPr>
                <w:rFonts w:ascii="仿宋_GB2312" w:hAnsi="宋体"/>
                <w:kern w:val="0"/>
                <w:sz w:val="24"/>
                <w:szCs w:val="24"/>
              </w:rPr>
            </w:pPr>
            <w:r>
              <w:rPr>
                <w:rFonts w:ascii="仿宋_GB2312" w:hAnsi="宋体" w:hint="eastAsia"/>
                <w:kern w:val="0"/>
                <w:sz w:val="24"/>
                <w:szCs w:val="24"/>
                <w:lang w:val="en-US" w:eastAsia="zh-CN"/>
              </w:rPr>
              <w:t>集体土地63.61亩及地上附着物征收补偿安置工作</w:t>
            </w:r>
            <w:r>
              <w:rPr>
                <w:rFonts w:ascii="仿宋_GB2312" w:hAnsi="宋体"/>
                <w:kern w:val="0"/>
                <w:sz w:val="24"/>
                <w:szCs w:val="24"/>
              </w:rPr>
              <w:t>　</w:t>
            </w:r>
          </w:p>
        </w:tc>
        <w:tc>
          <w:tcPr>
            <w:tcW w:w="2166" w:type="dxa"/>
            <w:gridSpan w:val="2"/>
            <w:tcBorders>
              <w:top w:val="nil"/>
              <w:left w:val="nil"/>
              <w:bottom w:val="single" w:sz="8" w:space="0" w:color="000000"/>
              <w:right w:val="single" w:sz="8" w:space="0" w:color="000000"/>
            </w:tcBorders>
            <w:vAlign w:val="center"/>
          </w:tcPr>
          <w:p>
            <w:pPr>
              <w:widowControl/>
              <w:jc w:val="left"/>
              <w:rPr>
                <w:rFonts w:ascii="仿宋_GB2312" w:hAnsi="宋体"/>
                <w:kern w:val="0"/>
                <w:sz w:val="24"/>
                <w:szCs w:val="24"/>
              </w:rPr>
            </w:pPr>
            <w:r>
              <w:rPr>
                <w:rFonts w:ascii="仿宋_GB2312" w:hAnsi="宋体" w:hint="eastAsia"/>
                <w:kern w:val="0"/>
                <w:sz w:val="24"/>
                <w:szCs w:val="24"/>
                <w:lang w:val="en-US" w:eastAsia="zh-CN"/>
              </w:rPr>
              <w:t>完成</w:t>
            </w:r>
            <w:r>
              <w:rPr>
                <w:rFonts w:ascii="仿宋_GB2312" w:hAnsi="宋体" w:hint="eastAsia"/>
                <w:kern w:val="0"/>
                <w:sz w:val="24"/>
                <w:szCs w:val="24"/>
                <w:lang w:eastAsia="zh-CN"/>
              </w:rPr>
              <w:t>项目范围内</w:t>
            </w:r>
            <w:r>
              <w:rPr>
                <w:rFonts w:ascii="仿宋_GB2312" w:hAnsi="宋体" w:hint="eastAsia"/>
                <w:kern w:val="0"/>
                <w:sz w:val="24"/>
                <w:szCs w:val="24"/>
                <w:lang w:val="en-US" w:eastAsia="zh-CN"/>
              </w:rPr>
              <w:t>集体土地63.61亩及地上附着物征收补偿安置工作。</w:t>
            </w:r>
          </w:p>
        </w:tc>
        <w:tc>
          <w:tcPr>
            <w:tcW w:w="1852" w:type="dxa"/>
            <w:tcBorders>
              <w:top w:val="nil"/>
              <w:left w:val="nil"/>
              <w:bottom w:val="single" w:sz="8" w:space="0" w:color="000000"/>
              <w:right w:val="single" w:sz="8" w:space="0" w:color="000000"/>
            </w:tcBorders>
            <w:vAlign w:val="center"/>
          </w:tcPr>
          <w:p>
            <w:pPr>
              <w:widowControl/>
              <w:jc w:val="left"/>
              <w:rPr>
                <w:rFonts w:ascii="仿宋_GB2312" w:eastAsia="宋体" w:hAnsi="宋体"/>
                <w:kern w:val="0"/>
                <w:sz w:val="24"/>
                <w:szCs w:val="24"/>
                <w:lang w:val="en-US" w:eastAsia="zh-CN"/>
              </w:rPr>
            </w:pPr>
            <w:r>
              <w:rPr>
                <w:rFonts w:ascii="仿宋_GB2312" w:hAnsi="宋体" w:hint="eastAsia"/>
                <w:kern w:val="0"/>
                <w:sz w:val="24"/>
                <w:szCs w:val="24"/>
                <w:lang w:val="en-US" w:eastAsia="zh-CN"/>
              </w:rPr>
              <w:t>已完成集体土地63.61亩及地上附着物征收补偿协议签订工作。</w:t>
            </w:r>
          </w:p>
        </w:tc>
      </w:tr>
      <w:tr>
        <w:trPr>
          <w:trHeight w:val="1197"/>
        </w:trPr>
        <w:tc>
          <w:tcPr>
            <w:tcW w:w="1512" w:type="dxa"/>
            <w:vMerge/>
            <w:tcBorders>
              <w:top w:val="nil"/>
              <w:left w:val="single" w:sz="8" w:space="0" w:color="000000"/>
              <w:bottom w:val="single" w:sz="8" w:space="0" w:color="000000"/>
              <w:right w:val="single" w:sz="8" w:space="0" w:color="000000"/>
            </w:tcBorders>
            <w:vAlign w:val="center"/>
          </w:tcPr>
          <w:p/>
        </w:tc>
        <w:tc>
          <w:tcPr>
            <w:tcW w:w="1180" w:type="dxa"/>
            <w:tcBorders>
              <w:top w:val="nil"/>
              <w:left w:val="nil"/>
              <w:bottom w:val="single" w:sz="8" w:space="0" w:color="000000"/>
              <w:right w:val="single" w:sz="8" w:space="0" w:color="000000"/>
            </w:tcBorders>
            <w:vAlign w:val="center"/>
          </w:tcPr>
          <w:p>
            <w:pPr>
              <w:widowControl/>
              <w:jc w:val="center"/>
              <w:rPr>
                <w:rFonts w:ascii="仿宋_GB2312" w:hAnsi="宋体"/>
                <w:kern w:val="0"/>
                <w:sz w:val="24"/>
                <w:szCs w:val="24"/>
              </w:rPr>
            </w:pPr>
            <w:r>
              <w:rPr>
                <w:rFonts w:ascii="仿宋_GB2312" w:hAnsi="宋体"/>
                <w:kern w:val="0"/>
                <w:sz w:val="24"/>
                <w:szCs w:val="24"/>
              </w:rPr>
              <w:t>效益指标</w:t>
            </w:r>
          </w:p>
        </w:tc>
        <w:tc>
          <w:tcPr>
            <w:tcW w:w="1181" w:type="dxa"/>
            <w:tcBorders>
              <w:top w:val="nil"/>
              <w:left w:val="nil"/>
              <w:bottom w:val="single" w:sz="8" w:space="0" w:color="000000"/>
              <w:right w:val="single" w:sz="8" w:space="0" w:color="000000"/>
            </w:tcBorders>
            <w:vAlign w:val="center"/>
          </w:tcPr>
          <w:p>
            <w:pPr>
              <w:widowControl/>
              <w:jc w:val="center"/>
              <w:rPr>
                <w:rFonts w:ascii="仿宋_GB2312" w:hAnsi="宋体"/>
                <w:kern w:val="0"/>
                <w:sz w:val="24"/>
                <w:szCs w:val="24"/>
              </w:rPr>
            </w:pPr>
            <w:r>
              <w:rPr>
                <w:rFonts w:ascii="仿宋_GB2312" w:hAnsi="宋体" w:hint="eastAsia"/>
                <w:kern w:val="0"/>
                <w:sz w:val="24"/>
                <w:szCs w:val="24"/>
                <w:lang w:eastAsia="zh-CN"/>
              </w:rPr>
              <w:t>社会效益指标</w:t>
            </w:r>
            <w:r>
              <w:rPr>
                <w:rFonts w:ascii="仿宋_GB2312" w:hAnsi="宋体"/>
                <w:kern w:val="0"/>
                <w:sz w:val="24"/>
                <w:szCs w:val="24"/>
              </w:rPr>
              <w:t>　</w:t>
            </w:r>
          </w:p>
        </w:tc>
        <w:tc>
          <w:tcPr>
            <w:tcW w:w="1181" w:type="dxa"/>
            <w:gridSpan w:val="2"/>
            <w:tcBorders>
              <w:top w:val="nil"/>
              <w:left w:val="nil"/>
              <w:bottom w:val="single" w:sz="8" w:space="0" w:color="000000"/>
              <w:right w:val="single" w:sz="8" w:space="0" w:color="000000"/>
            </w:tcBorders>
            <w:vAlign w:val="center"/>
          </w:tcPr>
          <w:p>
            <w:pPr>
              <w:widowControl/>
              <w:jc w:val="center"/>
              <w:rPr>
                <w:rFonts w:ascii="仿宋_GB2312" w:hAnsi="宋体"/>
                <w:kern w:val="0"/>
                <w:sz w:val="24"/>
                <w:szCs w:val="24"/>
              </w:rPr>
            </w:pPr>
            <w:r>
              <w:rPr>
                <w:rFonts w:ascii="仿宋_GB2312" w:hAnsi="宋体" w:hint="eastAsia"/>
                <w:kern w:val="0"/>
                <w:sz w:val="24"/>
                <w:szCs w:val="24"/>
                <w:lang w:eastAsia="zh-CN"/>
              </w:rPr>
              <w:t>改善水流域环境</w:t>
            </w:r>
            <w:r>
              <w:rPr>
                <w:rFonts w:ascii="仿宋_GB2312" w:hAnsi="宋体"/>
                <w:kern w:val="0"/>
                <w:sz w:val="24"/>
                <w:szCs w:val="24"/>
              </w:rPr>
              <w:t>　</w:t>
            </w:r>
          </w:p>
        </w:tc>
        <w:tc>
          <w:tcPr>
            <w:tcW w:w="2166" w:type="dxa"/>
            <w:gridSpan w:val="2"/>
            <w:tcBorders>
              <w:top w:val="nil"/>
              <w:left w:val="nil"/>
              <w:bottom w:val="single" w:sz="8" w:space="0" w:color="000000"/>
              <w:right w:val="single" w:sz="8" w:space="0" w:color="000000"/>
            </w:tcBorders>
            <w:vAlign w:val="center"/>
          </w:tcPr>
          <w:p>
            <w:pPr>
              <w:widowControl/>
              <w:jc w:val="left"/>
              <w:rPr>
                <w:rFonts w:ascii="仿宋_GB2312" w:hAnsi="宋体"/>
                <w:kern w:val="0"/>
                <w:sz w:val="24"/>
                <w:szCs w:val="24"/>
              </w:rPr>
            </w:pPr>
            <w:r>
              <w:rPr>
                <w:rFonts w:ascii="宋体" w:cs="宋体" w:hint="eastAsia"/>
                <w:sz w:val="24"/>
              </w:rPr>
              <w:t>加快项目建设，促进</w:t>
            </w:r>
            <w:r>
              <w:rPr>
                <w:rFonts w:ascii="仿宋_GB2312" w:hAnsi="宋体" w:hint="eastAsia"/>
                <w:kern w:val="0"/>
                <w:sz w:val="24"/>
                <w:szCs w:val="24"/>
                <w:lang w:eastAsia="zh-CN"/>
              </w:rPr>
              <w:t>白龙江、嘉陵江流域水环境恢复优化。</w:t>
            </w:r>
          </w:p>
        </w:tc>
        <w:tc>
          <w:tcPr>
            <w:tcW w:w="1852" w:type="dxa"/>
            <w:tcBorders>
              <w:top w:val="nil"/>
              <w:left w:val="nil"/>
              <w:bottom w:val="single" w:sz="8" w:space="0" w:color="000000"/>
              <w:right w:val="single" w:sz="8" w:space="0" w:color="000000"/>
            </w:tcBorders>
            <w:vAlign w:val="center"/>
          </w:tcPr>
          <w:p>
            <w:pPr>
              <w:widowControl/>
              <w:jc w:val="left"/>
              <w:rPr>
                <w:rFonts w:ascii="仿宋_GB2312" w:hAnsi="宋体"/>
                <w:kern w:val="0"/>
                <w:sz w:val="24"/>
                <w:szCs w:val="24"/>
              </w:rPr>
            </w:pPr>
            <w:r>
              <w:rPr>
                <w:rFonts w:ascii="宋体" w:cs="宋体" w:hint="eastAsia"/>
                <w:sz w:val="24"/>
                <w:lang w:eastAsia="zh-CN"/>
              </w:rPr>
              <w:t>通过雨污分流、河道清淤、护岸工程等措施，</w:t>
            </w:r>
            <w:r>
              <w:rPr>
                <w:rFonts w:ascii="宋体" w:cs="宋体" w:hint="eastAsia"/>
                <w:sz w:val="24"/>
              </w:rPr>
              <w:t>有效</w:t>
            </w:r>
            <w:r>
              <w:rPr>
                <w:rFonts w:ascii="宋体" w:cs="宋体" w:hint="eastAsia"/>
                <w:sz w:val="24"/>
                <w:lang w:eastAsia="zh-CN"/>
              </w:rPr>
              <w:t>对</w:t>
            </w:r>
            <w:r>
              <w:rPr>
                <w:rFonts w:ascii="仿宋_GB2312" w:hAnsi="宋体" w:hint="eastAsia"/>
                <w:kern w:val="0"/>
                <w:sz w:val="24"/>
                <w:szCs w:val="24"/>
                <w:lang w:eastAsia="zh-CN"/>
              </w:rPr>
              <w:t>流域水环境进行了综合治理。</w:t>
            </w:r>
          </w:p>
        </w:tc>
      </w:tr>
      <w:tr>
        <w:trPr>
          <w:trHeight w:val="1677"/>
        </w:trPr>
        <w:tc>
          <w:tcPr>
            <w:tcW w:w="1512" w:type="dxa"/>
            <w:vMerge/>
            <w:tcBorders>
              <w:top w:val="nil"/>
              <w:left w:val="single" w:sz="8" w:space="0" w:color="000000"/>
              <w:bottom w:val="single" w:sz="8" w:space="0" w:color="000000"/>
              <w:right w:val="single" w:sz="8" w:space="0" w:color="000000"/>
            </w:tcBorders>
            <w:vAlign w:val="center"/>
          </w:tcPr>
          <w:p/>
        </w:tc>
        <w:tc>
          <w:tcPr>
            <w:tcW w:w="1180" w:type="dxa"/>
            <w:tcBorders>
              <w:top w:val="nil"/>
              <w:left w:val="nil"/>
              <w:bottom w:val="single" w:sz="8" w:space="0" w:color="000000"/>
              <w:right w:val="single" w:sz="8" w:space="0" w:color="000000"/>
            </w:tcBorders>
            <w:vAlign w:val="center"/>
          </w:tcPr>
          <w:p>
            <w:pPr>
              <w:widowControl/>
              <w:jc w:val="center"/>
              <w:rPr>
                <w:rFonts w:ascii="仿宋_GB2312" w:hAnsi="宋体"/>
                <w:kern w:val="0"/>
                <w:sz w:val="24"/>
                <w:szCs w:val="24"/>
              </w:rPr>
            </w:pPr>
            <w:r>
              <w:rPr>
                <w:rFonts w:ascii="仿宋_GB2312" w:hAnsi="宋体"/>
                <w:kern w:val="0"/>
                <w:sz w:val="24"/>
                <w:szCs w:val="24"/>
              </w:rPr>
              <w:t>满意度指标</w:t>
            </w:r>
          </w:p>
        </w:tc>
        <w:tc>
          <w:tcPr>
            <w:tcW w:w="1181" w:type="dxa"/>
            <w:tcBorders>
              <w:top w:val="nil"/>
              <w:left w:val="nil"/>
              <w:bottom w:val="single" w:sz="8" w:space="0" w:color="000000"/>
              <w:right w:val="single" w:sz="8" w:space="0" w:color="000000"/>
            </w:tcBorders>
            <w:vAlign w:val="center"/>
          </w:tcPr>
          <w:p>
            <w:pPr>
              <w:widowControl/>
              <w:jc w:val="center"/>
              <w:rPr>
                <w:rFonts w:ascii="仿宋_GB2312" w:hAnsi="宋体"/>
                <w:kern w:val="0"/>
                <w:sz w:val="24"/>
                <w:szCs w:val="24"/>
              </w:rPr>
            </w:pPr>
            <w:r>
              <w:rPr>
                <w:rFonts w:ascii="仿宋_GB2312" w:hAnsi="宋体" w:hint="eastAsia"/>
                <w:kern w:val="0"/>
                <w:sz w:val="24"/>
                <w:szCs w:val="24"/>
                <w:lang w:eastAsia="zh-CN"/>
              </w:rPr>
              <w:t>满意度指标</w:t>
            </w:r>
            <w:r>
              <w:rPr>
                <w:rFonts w:ascii="仿宋_GB2312" w:hAnsi="宋体"/>
                <w:kern w:val="0"/>
                <w:sz w:val="24"/>
                <w:szCs w:val="24"/>
              </w:rPr>
              <w:t>　</w:t>
            </w:r>
          </w:p>
        </w:tc>
        <w:tc>
          <w:tcPr>
            <w:tcW w:w="1181" w:type="dxa"/>
            <w:gridSpan w:val="2"/>
            <w:tcBorders>
              <w:top w:val="nil"/>
              <w:left w:val="nil"/>
              <w:bottom w:val="single" w:sz="8" w:space="0" w:color="000000"/>
              <w:right w:val="single" w:sz="8" w:space="0" w:color="000000"/>
            </w:tcBorders>
            <w:vAlign w:val="center"/>
          </w:tcPr>
          <w:p>
            <w:pPr>
              <w:widowControl/>
              <w:jc w:val="center"/>
              <w:rPr>
                <w:rFonts w:ascii="仿宋_GB2312" w:eastAsia="宋体" w:hAnsi="宋体" w:hint="eastAsia"/>
                <w:kern w:val="0"/>
                <w:sz w:val="24"/>
                <w:szCs w:val="24"/>
                <w:lang w:eastAsia="zh-CN"/>
              </w:rPr>
            </w:pPr>
            <w:r>
              <w:rPr>
                <w:rFonts w:ascii="仿宋_GB2312" w:hAnsi="宋体"/>
                <w:kern w:val="0"/>
                <w:sz w:val="24"/>
                <w:szCs w:val="24"/>
              </w:rPr>
              <w:t>　</w:t>
            </w:r>
            <w:r>
              <w:rPr>
                <w:rFonts w:ascii="仿宋_GB2312" w:hAnsi="宋体" w:hint="eastAsia"/>
                <w:kern w:val="0"/>
                <w:sz w:val="24"/>
                <w:szCs w:val="24"/>
                <w:lang w:eastAsia="zh-CN"/>
              </w:rPr>
              <w:t>人民群众满意</w:t>
            </w:r>
          </w:p>
        </w:tc>
        <w:tc>
          <w:tcPr>
            <w:tcW w:w="2166" w:type="dxa"/>
            <w:gridSpan w:val="2"/>
            <w:tcBorders>
              <w:top w:val="nil"/>
              <w:left w:val="nil"/>
              <w:bottom w:val="single" w:sz="8" w:space="0" w:color="000000"/>
              <w:right w:val="single" w:sz="8" w:space="0" w:color="000000"/>
            </w:tcBorders>
            <w:vAlign w:val="center"/>
          </w:tcPr>
          <w:p>
            <w:pPr>
              <w:widowControl/>
              <w:jc w:val="center"/>
              <w:rPr>
                <w:rFonts w:ascii="仿宋_GB2312" w:hAnsi="宋体"/>
                <w:kern w:val="0"/>
                <w:sz w:val="24"/>
                <w:szCs w:val="24"/>
              </w:rPr>
            </w:pPr>
            <w:r>
              <w:rPr>
                <w:rFonts w:ascii="宋体" w:cs="宋体" w:hint="eastAsia"/>
                <w:sz w:val="24"/>
              </w:rPr>
              <w:t>改善居住环境，     提升幸福指数。</w:t>
            </w:r>
          </w:p>
        </w:tc>
        <w:tc>
          <w:tcPr>
            <w:tcW w:w="1852" w:type="dxa"/>
            <w:tcBorders>
              <w:top w:val="nil"/>
              <w:left w:val="nil"/>
              <w:bottom w:val="single" w:sz="8" w:space="0" w:color="000000"/>
              <w:right w:val="single" w:sz="8" w:space="0" w:color="000000"/>
            </w:tcBorders>
            <w:vAlign w:val="center"/>
          </w:tcPr>
          <w:p>
            <w:pPr>
              <w:widowControl/>
              <w:jc w:val="center"/>
              <w:rPr>
                <w:rFonts w:ascii="仿宋_GB2312" w:eastAsia="宋体" w:hAnsi="宋体" w:hint="eastAsia"/>
                <w:kern w:val="0"/>
                <w:sz w:val="24"/>
                <w:szCs w:val="24"/>
                <w:lang w:eastAsia="zh-CN"/>
              </w:rPr>
            </w:pPr>
            <w:r>
              <w:rPr>
                <w:rFonts w:ascii="宋体" w:cs="宋体" w:hint="eastAsia"/>
                <w:sz w:val="24"/>
              </w:rPr>
              <w:t>人民群众满意</w:t>
            </w:r>
            <w:r>
              <w:rPr>
                <w:rFonts w:ascii="宋体" w:cs="宋体" w:hint="eastAsia"/>
                <w:sz w:val="24"/>
                <w:lang w:eastAsia="zh-CN"/>
              </w:rPr>
              <w:t>。</w:t>
            </w:r>
          </w:p>
        </w:tc>
      </w:tr>
    </w:tbl>
    <w:p>
      <w:pPr>
        <w:spacing w:line="540" w:lineRule="exact"/>
        <w:jc w:val="center"/>
        <w:rPr>
          <w:rFonts w:ascii="方正小标宋简体" w:eastAsia="方正小标宋简体" w:cs="方正小标宋简体" w:hAnsi="方正小标宋简体" w:hint="eastAsia"/>
          <w:kern w:val="0"/>
          <w:sz w:val="44"/>
          <w:szCs w:val="44"/>
        </w:rPr>
      </w:pPr>
      <w:r>
        <w:rPr>
          <w:rFonts w:ascii="方正小标宋简体" w:eastAsia="方正小标宋简体" w:cs="方正小标宋简体" w:hAnsi="方正小标宋简体" w:hint="eastAsia"/>
          <w:kern w:val="0"/>
          <w:sz w:val="44"/>
          <w:szCs w:val="44"/>
        </w:rPr>
        <w:t>项目支出绩效目标完成情况表</w:t>
      </w:r>
    </w:p>
    <w:p>
      <w:pPr>
        <w:spacing w:line="540" w:lineRule="exact"/>
        <w:jc w:val="center"/>
        <w:rPr>
          <w:rFonts w:ascii="黑体" w:eastAsia="黑体" w:hAnsi="黑体"/>
          <w:kern w:val="0"/>
          <w:sz w:val="32"/>
          <w:szCs w:val="32"/>
        </w:rPr>
      </w:pPr>
      <w:r>
        <w:rPr>
          <w:rFonts w:ascii="黑体" w:eastAsia="黑体" w:hAnsi="黑体" w:hint="eastAsia"/>
          <w:kern w:val="0"/>
          <w:sz w:val="32"/>
          <w:szCs w:val="32"/>
        </w:rPr>
        <w:t>(2019年度)</w:t>
      </w:r>
    </w:p>
    <w:tbl>
      <w:tblPr>
        <w:jc w:val="left"/>
        <w:tblInd w:w="-106" w:type="dxa"/>
        <w:tblW w:w="9072"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1512"/>
        <w:gridCol w:w="1180"/>
        <w:gridCol w:w="1181"/>
        <w:gridCol w:w="26"/>
        <w:gridCol w:w="1155"/>
        <w:gridCol w:w="2100"/>
        <w:gridCol w:w="66"/>
        <w:gridCol w:w="1852"/>
      </w:tblGrid>
      <w:tr>
        <w:trPr>
          <w:trHeight w:val="447"/>
        </w:trPr>
        <w:tc>
          <w:tcPr>
            <w:tcW w:w="3899" w:type="dxa"/>
            <w:gridSpan w:val="4"/>
            <w:tcBorders>
              <w:top w:val="single" w:sz="8" w:space="0" w:color="000000"/>
              <w:left w:val="single" w:sz="8" w:space="0" w:color="000000"/>
              <w:bottom w:val="single" w:sz="8" w:space="0" w:color="000000"/>
              <w:right w:val="single" w:sz="8" w:space="0" w:color="000000"/>
            </w:tcBorders>
            <w:vAlign w:val="center"/>
          </w:tcPr>
          <w:p>
            <w:pPr>
              <w:widowControl/>
              <w:jc w:val="center"/>
              <w:rPr>
                <w:rFonts w:ascii="仿宋_GB2312" w:hAnsi="宋体"/>
                <w:kern w:val="0"/>
                <w:sz w:val="24"/>
                <w:szCs w:val="24"/>
              </w:rPr>
            </w:pPr>
            <w:r>
              <w:rPr>
                <w:rFonts w:ascii="仿宋_GB2312" w:hAnsi="宋体"/>
                <w:kern w:val="0"/>
                <w:sz w:val="24"/>
                <w:szCs w:val="24"/>
              </w:rPr>
              <w:t>项目名称</w:t>
            </w:r>
          </w:p>
        </w:tc>
        <w:tc>
          <w:tcPr>
            <w:tcW w:w="5173" w:type="dxa"/>
            <w:gridSpan w:val="4"/>
            <w:tcBorders>
              <w:top w:val="single" w:sz="8" w:space="0" w:color="000000"/>
              <w:left w:val="nil"/>
              <w:bottom w:val="single" w:sz="8" w:space="0" w:color="000000"/>
              <w:right w:val="single" w:sz="8" w:space="0" w:color="000000"/>
            </w:tcBorders>
            <w:vAlign w:val="center"/>
          </w:tcPr>
          <w:p>
            <w:pPr>
              <w:widowControl/>
              <w:ind w:firstLineChars="500" w:firstLine="1200"/>
              <w:jc w:val="both"/>
              <w:rPr>
                <w:rFonts w:ascii="仿宋_GB2312" w:eastAsia="宋体" w:hAnsi="宋体" w:hint="eastAsia"/>
                <w:kern w:val="0"/>
                <w:sz w:val="24"/>
                <w:szCs w:val="24"/>
                <w:lang w:val="en-US" w:eastAsia="zh-CN"/>
              </w:rPr>
            </w:pPr>
            <w:r>
              <w:rPr>
                <w:rFonts w:ascii="仿宋_GB2312" w:hAnsi="宋体" w:hint="eastAsia"/>
                <w:kern w:val="0"/>
                <w:sz w:val="24"/>
                <w:szCs w:val="24"/>
                <w:lang w:val="en-US" w:eastAsia="zh-CN"/>
              </w:rPr>
              <w:t>鲲鹏小镇</w:t>
            </w:r>
          </w:p>
        </w:tc>
      </w:tr>
      <w:tr>
        <w:trPr>
          <w:trHeight w:val="447"/>
        </w:trPr>
        <w:tc>
          <w:tcPr>
            <w:tcW w:w="3899" w:type="dxa"/>
            <w:gridSpan w:val="4"/>
            <w:tcBorders>
              <w:top w:val="single" w:sz="8" w:space="0" w:color="000000"/>
              <w:left w:val="single" w:sz="8" w:space="0" w:color="000000"/>
              <w:bottom w:val="single" w:sz="8" w:space="0" w:color="000000"/>
              <w:right w:val="single" w:sz="8" w:space="0" w:color="000000"/>
            </w:tcBorders>
            <w:vAlign w:val="center"/>
          </w:tcPr>
          <w:p>
            <w:pPr>
              <w:widowControl/>
              <w:jc w:val="center"/>
              <w:rPr>
                <w:rFonts w:ascii="仿宋_GB2312" w:hAnsi="宋体"/>
                <w:kern w:val="0"/>
                <w:sz w:val="24"/>
                <w:szCs w:val="24"/>
              </w:rPr>
            </w:pPr>
            <w:r>
              <w:rPr>
                <w:rFonts w:ascii="仿宋_GB2312" w:hAnsi="宋体"/>
                <w:kern w:val="0"/>
                <w:sz w:val="24"/>
                <w:szCs w:val="24"/>
              </w:rPr>
              <w:t>预算单位</w:t>
            </w:r>
          </w:p>
        </w:tc>
        <w:tc>
          <w:tcPr>
            <w:tcW w:w="5173" w:type="dxa"/>
            <w:gridSpan w:val="4"/>
            <w:tcBorders>
              <w:top w:val="single" w:sz="8" w:space="0" w:color="000000"/>
              <w:left w:val="nil"/>
              <w:bottom w:val="single" w:sz="8" w:space="0" w:color="000000"/>
              <w:right w:val="single" w:sz="8" w:space="0" w:color="000000"/>
            </w:tcBorders>
            <w:vAlign w:val="center"/>
          </w:tcPr>
          <w:p>
            <w:pPr>
              <w:widowControl/>
              <w:jc w:val="center"/>
              <w:rPr>
                <w:rFonts w:ascii="仿宋_GB2312" w:eastAsia="宋体" w:hAnsi="宋体" w:hint="eastAsia"/>
                <w:kern w:val="0"/>
                <w:sz w:val="24"/>
                <w:szCs w:val="24"/>
                <w:lang w:eastAsia="zh-CN"/>
              </w:rPr>
            </w:pPr>
            <w:r>
              <w:rPr>
                <w:rFonts w:ascii="仿宋_GB2312" w:hAnsi="宋体" w:hint="eastAsia"/>
                <w:kern w:val="0"/>
                <w:sz w:val="24"/>
                <w:szCs w:val="24"/>
                <w:lang w:eastAsia="zh-CN"/>
              </w:rPr>
              <w:t>广元市土地房屋征收拆迁事务中心</w:t>
            </w:r>
          </w:p>
        </w:tc>
      </w:tr>
      <w:tr>
        <w:trPr>
          <w:trHeight w:val="496"/>
        </w:trPr>
        <w:tc>
          <w:tcPr>
            <w:tcW w:w="1512" w:type="dxa"/>
            <w:vMerge w:val="restart"/>
            <w:tcBorders>
              <w:top w:val="nil"/>
              <w:left w:val="single" w:sz="8" w:space="0" w:color="000000"/>
              <w:bottom w:val="single" w:sz="8" w:space="0" w:color="000000"/>
              <w:right w:val="single" w:sz="8" w:space="0" w:color="000000"/>
            </w:tcBorders>
            <w:vAlign w:val="center"/>
          </w:tcPr>
          <w:p>
            <w:pPr>
              <w:widowControl/>
              <w:jc w:val="center"/>
              <w:rPr>
                <w:rFonts w:ascii="仿宋_GB2312" w:hAnsi="宋体"/>
                <w:kern w:val="0"/>
                <w:sz w:val="24"/>
                <w:szCs w:val="24"/>
              </w:rPr>
            </w:pPr>
            <w:r>
              <w:rPr>
                <w:rFonts w:ascii="仿宋_GB2312" w:hAnsi="宋体"/>
                <w:kern w:val="0"/>
                <w:sz w:val="24"/>
                <w:szCs w:val="24"/>
              </w:rPr>
              <w:t>预算执行情况(万元)</w:t>
            </w:r>
          </w:p>
        </w:tc>
        <w:tc>
          <w:tcPr>
            <w:tcW w:w="2387" w:type="dxa"/>
            <w:gridSpan w:val="3"/>
            <w:tcBorders>
              <w:top w:val="single" w:sz="8" w:space="0" w:color="000000"/>
              <w:left w:val="nil"/>
              <w:bottom w:val="single" w:sz="8" w:space="0" w:color="000000"/>
              <w:right w:val="single" w:sz="8" w:space="0" w:color="000000"/>
            </w:tcBorders>
            <w:vAlign w:val="center"/>
          </w:tcPr>
          <w:p>
            <w:pPr>
              <w:widowControl/>
              <w:jc w:val="center"/>
              <w:rPr>
                <w:rFonts w:ascii="仿宋_GB2312" w:hAnsi="宋体"/>
                <w:kern w:val="0"/>
                <w:sz w:val="24"/>
                <w:szCs w:val="24"/>
              </w:rPr>
            </w:pPr>
            <w:r>
              <w:rPr>
                <w:rFonts w:ascii="仿宋_GB2312" w:hAnsi="宋体"/>
                <w:kern w:val="0"/>
                <w:sz w:val="24"/>
                <w:szCs w:val="24"/>
              </w:rPr>
              <w:t>预算数:</w:t>
            </w:r>
          </w:p>
        </w:tc>
        <w:tc>
          <w:tcPr>
            <w:tcW w:w="1155" w:type="dxa"/>
            <w:tcBorders>
              <w:top w:val="nil"/>
              <w:left w:val="nil"/>
              <w:bottom w:val="single" w:sz="8" w:space="0" w:color="000000"/>
              <w:right w:val="single" w:sz="8" w:space="0" w:color="000000"/>
            </w:tcBorders>
            <w:vAlign w:val="center"/>
          </w:tcPr>
          <w:p>
            <w:pPr>
              <w:widowControl/>
              <w:jc w:val="center"/>
              <w:rPr>
                <w:rFonts w:ascii="仿宋_GB2312" w:eastAsia="宋体" w:hAnsi="宋体"/>
                <w:kern w:val="0"/>
                <w:sz w:val="24"/>
                <w:szCs w:val="24"/>
                <w:lang w:val="en-US" w:eastAsia="zh-CN"/>
              </w:rPr>
            </w:pPr>
            <w:r>
              <w:rPr>
                <w:rFonts w:ascii="仿宋_GB2312" w:hAnsi="宋体" w:hint="eastAsia"/>
                <w:kern w:val="0"/>
                <w:sz w:val="24"/>
                <w:szCs w:val="24"/>
                <w:lang w:val="en-US" w:eastAsia="zh-CN"/>
              </w:rPr>
              <w:t>700万元</w:t>
            </w:r>
          </w:p>
        </w:tc>
        <w:tc>
          <w:tcPr>
            <w:tcW w:w="2100" w:type="dxa"/>
            <w:tcBorders>
              <w:top w:val="nil"/>
              <w:left w:val="nil"/>
              <w:bottom w:val="single" w:sz="8" w:space="0" w:color="000000"/>
              <w:right w:val="single" w:sz="8" w:space="0" w:color="000000"/>
            </w:tcBorders>
            <w:vAlign w:val="center"/>
          </w:tcPr>
          <w:p>
            <w:pPr>
              <w:widowControl/>
              <w:jc w:val="center"/>
              <w:rPr>
                <w:rFonts w:ascii="仿宋_GB2312" w:hAnsi="宋体"/>
                <w:kern w:val="0"/>
                <w:sz w:val="24"/>
                <w:szCs w:val="24"/>
              </w:rPr>
            </w:pPr>
            <w:r>
              <w:rPr>
                <w:rFonts w:ascii="仿宋_GB2312" w:hAnsi="宋体"/>
                <w:kern w:val="0"/>
                <w:sz w:val="24"/>
                <w:szCs w:val="24"/>
              </w:rPr>
              <w:t>执行数:</w:t>
            </w:r>
          </w:p>
        </w:tc>
        <w:tc>
          <w:tcPr>
            <w:tcW w:w="1918" w:type="dxa"/>
            <w:gridSpan w:val="2"/>
            <w:tcBorders>
              <w:top w:val="nil"/>
              <w:left w:val="nil"/>
              <w:bottom w:val="single" w:sz="8" w:space="0" w:color="000000"/>
              <w:right w:val="single" w:sz="8" w:space="0" w:color="000000"/>
            </w:tcBorders>
            <w:vAlign w:val="center"/>
          </w:tcPr>
          <w:p>
            <w:pPr>
              <w:widowControl/>
              <w:jc w:val="center"/>
              <w:rPr>
                <w:rFonts w:ascii="仿宋_GB2312" w:eastAsia="宋体" w:hAnsi="宋体"/>
                <w:kern w:val="0"/>
                <w:sz w:val="24"/>
                <w:szCs w:val="24"/>
                <w:lang w:val="en-US" w:eastAsia="zh-CN"/>
              </w:rPr>
            </w:pPr>
            <w:r>
              <w:rPr>
                <w:rFonts w:ascii="仿宋_GB2312" w:hAnsi="宋体" w:hint="eastAsia"/>
                <w:kern w:val="0"/>
                <w:sz w:val="24"/>
                <w:szCs w:val="24"/>
                <w:lang w:val="en-US" w:eastAsia="zh-CN"/>
              </w:rPr>
              <w:t>700万元</w:t>
            </w:r>
          </w:p>
        </w:tc>
      </w:tr>
      <w:tr>
        <w:trPr>
          <w:trHeight w:val="497"/>
        </w:trPr>
        <w:tc>
          <w:tcPr>
            <w:tcW w:w="1512" w:type="dxa"/>
            <w:vMerge/>
            <w:tcBorders>
              <w:top w:val="nil"/>
              <w:left w:val="single" w:sz="8" w:space="0" w:color="000000"/>
              <w:bottom w:val="single" w:sz="8" w:space="0" w:color="000000"/>
              <w:right w:val="single" w:sz="8" w:space="0" w:color="000000"/>
            </w:tcBorders>
            <w:vAlign w:val="center"/>
          </w:tcPr>
          <w:p/>
        </w:tc>
        <w:tc>
          <w:tcPr>
            <w:tcW w:w="2387" w:type="dxa"/>
            <w:gridSpan w:val="3"/>
            <w:tcBorders>
              <w:top w:val="single" w:sz="8" w:space="0" w:color="000000"/>
              <w:left w:val="nil"/>
              <w:bottom w:val="single" w:sz="8" w:space="0" w:color="000000"/>
              <w:right w:val="single" w:sz="8" w:space="0" w:color="000000"/>
            </w:tcBorders>
            <w:vAlign w:val="center"/>
          </w:tcPr>
          <w:p>
            <w:pPr>
              <w:widowControl/>
              <w:jc w:val="center"/>
              <w:rPr>
                <w:rFonts w:ascii="仿宋_GB2312" w:hAnsi="宋体"/>
                <w:kern w:val="0"/>
                <w:sz w:val="24"/>
                <w:szCs w:val="24"/>
              </w:rPr>
            </w:pPr>
            <w:r>
              <w:rPr>
                <w:rFonts w:ascii="仿宋_GB2312" w:hAnsi="宋体"/>
                <w:kern w:val="0"/>
                <w:sz w:val="24"/>
                <w:szCs w:val="24"/>
              </w:rPr>
              <w:t>其中-财政拨款:</w:t>
            </w:r>
          </w:p>
        </w:tc>
        <w:tc>
          <w:tcPr>
            <w:tcW w:w="1155" w:type="dxa"/>
            <w:tcBorders>
              <w:top w:val="nil"/>
              <w:left w:val="nil"/>
              <w:bottom w:val="single" w:sz="8" w:space="0" w:color="000000"/>
              <w:right w:val="single" w:sz="8" w:space="0" w:color="000000"/>
            </w:tcBorders>
            <w:vAlign w:val="center"/>
          </w:tcPr>
          <w:p>
            <w:pPr>
              <w:widowControl/>
              <w:jc w:val="center"/>
              <w:rPr>
                <w:rFonts w:ascii="仿宋_GB2312" w:hAnsi="宋体"/>
                <w:kern w:val="0"/>
                <w:sz w:val="24"/>
                <w:szCs w:val="24"/>
              </w:rPr>
            </w:pPr>
            <w:r>
              <w:rPr>
                <w:rFonts w:ascii="仿宋_GB2312" w:hAnsi="宋体" w:hint="eastAsia"/>
                <w:kern w:val="0"/>
                <w:sz w:val="24"/>
                <w:szCs w:val="24"/>
                <w:lang w:val="en-US" w:eastAsia="zh-CN"/>
              </w:rPr>
              <w:t>700万元</w:t>
            </w:r>
          </w:p>
        </w:tc>
        <w:tc>
          <w:tcPr>
            <w:tcW w:w="2100" w:type="dxa"/>
            <w:tcBorders>
              <w:top w:val="nil"/>
              <w:left w:val="nil"/>
              <w:bottom w:val="single" w:sz="8" w:space="0" w:color="000000"/>
              <w:right w:val="single" w:sz="8" w:space="0" w:color="000000"/>
            </w:tcBorders>
            <w:vAlign w:val="center"/>
          </w:tcPr>
          <w:p>
            <w:pPr>
              <w:widowControl/>
              <w:jc w:val="center"/>
              <w:rPr>
                <w:rFonts w:ascii="仿宋_GB2312" w:hAnsi="宋体"/>
                <w:kern w:val="0"/>
                <w:sz w:val="24"/>
                <w:szCs w:val="24"/>
              </w:rPr>
            </w:pPr>
            <w:r>
              <w:rPr>
                <w:rFonts w:ascii="仿宋_GB2312" w:hAnsi="宋体"/>
                <w:kern w:val="0"/>
                <w:sz w:val="24"/>
                <w:szCs w:val="24"/>
              </w:rPr>
              <w:t>其中-财政拨款:</w:t>
            </w:r>
          </w:p>
        </w:tc>
        <w:tc>
          <w:tcPr>
            <w:tcW w:w="1918" w:type="dxa"/>
            <w:gridSpan w:val="2"/>
            <w:tcBorders>
              <w:top w:val="nil"/>
              <w:left w:val="nil"/>
              <w:bottom w:val="single" w:sz="8" w:space="0" w:color="000000"/>
              <w:right w:val="single" w:sz="8" w:space="0" w:color="000000"/>
            </w:tcBorders>
            <w:vAlign w:val="center"/>
          </w:tcPr>
          <w:p>
            <w:pPr>
              <w:widowControl/>
              <w:jc w:val="center"/>
              <w:rPr>
                <w:rFonts w:ascii="仿宋_GB2312" w:hAnsi="宋体"/>
                <w:kern w:val="0"/>
                <w:sz w:val="24"/>
                <w:szCs w:val="24"/>
              </w:rPr>
            </w:pPr>
            <w:r>
              <w:rPr>
                <w:rFonts w:ascii="仿宋_GB2312" w:hAnsi="宋体" w:hint="eastAsia"/>
                <w:kern w:val="0"/>
                <w:sz w:val="24"/>
                <w:szCs w:val="24"/>
                <w:lang w:val="en-US" w:eastAsia="zh-CN"/>
              </w:rPr>
              <w:t>700万元</w:t>
            </w:r>
          </w:p>
        </w:tc>
      </w:tr>
      <w:tr>
        <w:trPr>
          <w:trHeight w:val="497"/>
        </w:trPr>
        <w:tc>
          <w:tcPr>
            <w:tcW w:w="1512" w:type="dxa"/>
            <w:vMerge/>
            <w:tcBorders>
              <w:top w:val="nil"/>
              <w:left w:val="single" w:sz="8" w:space="0" w:color="000000"/>
              <w:bottom w:val="single" w:sz="8" w:space="0" w:color="000000"/>
              <w:right w:val="single" w:sz="8" w:space="0" w:color="000000"/>
            </w:tcBorders>
            <w:vAlign w:val="center"/>
          </w:tcPr>
          <w:p/>
        </w:tc>
        <w:tc>
          <w:tcPr>
            <w:tcW w:w="2387" w:type="dxa"/>
            <w:gridSpan w:val="3"/>
            <w:tcBorders>
              <w:top w:val="single" w:sz="8" w:space="0" w:color="000000"/>
              <w:left w:val="nil"/>
              <w:bottom w:val="single" w:sz="8" w:space="0" w:color="000000"/>
              <w:right w:val="single" w:sz="8" w:space="0" w:color="000000"/>
            </w:tcBorders>
            <w:vAlign w:val="center"/>
          </w:tcPr>
          <w:p>
            <w:pPr>
              <w:widowControl/>
              <w:jc w:val="center"/>
              <w:rPr>
                <w:rFonts w:ascii="仿宋_GB2312" w:hAnsi="宋体"/>
                <w:kern w:val="0"/>
                <w:sz w:val="24"/>
                <w:szCs w:val="24"/>
              </w:rPr>
            </w:pPr>
            <w:r>
              <w:rPr>
                <w:rFonts w:ascii="仿宋_GB2312" w:hAnsi="宋体"/>
                <w:kern w:val="0"/>
                <w:sz w:val="24"/>
                <w:szCs w:val="24"/>
              </w:rPr>
              <w:t>其它资金:</w:t>
            </w:r>
          </w:p>
        </w:tc>
        <w:tc>
          <w:tcPr>
            <w:tcW w:w="1155" w:type="dxa"/>
            <w:tcBorders>
              <w:top w:val="nil"/>
              <w:left w:val="nil"/>
              <w:bottom w:val="single" w:sz="8" w:space="0" w:color="000000"/>
              <w:right w:val="single" w:sz="8" w:space="0" w:color="000000"/>
            </w:tcBorders>
            <w:vAlign w:val="center"/>
          </w:tcPr>
          <w:p>
            <w:pPr>
              <w:widowControl/>
              <w:jc w:val="center"/>
              <w:rPr>
                <w:rFonts w:ascii="仿宋_GB2312" w:eastAsia="宋体" w:hAnsi="宋体" w:hint="eastAsia"/>
                <w:kern w:val="0"/>
                <w:sz w:val="24"/>
                <w:szCs w:val="24"/>
                <w:lang w:val="en-US" w:eastAsia="zh-CN"/>
              </w:rPr>
            </w:pPr>
            <w:r>
              <w:rPr>
                <w:rFonts w:ascii="仿宋_GB2312" w:hAnsi="宋体" w:hint="eastAsia"/>
                <w:kern w:val="0"/>
                <w:sz w:val="24"/>
                <w:szCs w:val="24"/>
                <w:lang w:val="en-US" w:eastAsia="zh-CN"/>
              </w:rPr>
              <w:t>0</w:t>
            </w:r>
          </w:p>
        </w:tc>
        <w:tc>
          <w:tcPr>
            <w:tcW w:w="2100" w:type="dxa"/>
            <w:tcBorders>
              <w:top w:val="nil"/>
              <w:left w:val="nil"/>
              <w:bottom w:val="single" w:sz="8" w:space="0" w:color="000000"/>
              <w:right w:val="single" w:sz="8" w:space="0" w:color="000000"/>
            </w:tcBorders>
            <w:vAlign w:val="center"/>
          </w:tcPr>
          <w:p>
            <w:pPr>
              <w:widowControl/>
              <w:jc w:val="center"/>
              <w:rPr>
                <w:rFonts w:ascii="仿宋_GB2312" w:hAnsi="宋体"/>
                <w:kern w:val="0"/>
                <w:sz w:val="24"/>
                <w:szCs w:val="24"/>
              </w:rPr>
            </w:pPr>
            <w:r>
              <w:rPr>
                <w:rFonts w:ascii="仿宋_GB2312" w:hAnsi="宋体"/>
                <w:kern w:val="0"/>
                <w:sz w:val="24"/>
                <w:szCs w:val="24"/>
              </w:rPr>
              <w:t>其它资金:</w:t>
            </w:r>
          </w:p>
        </w:tc>
        <w:tc>
          <w:tcPr>
            <w:tcW w:w="1918" w:type="dxa"/>
            <w:gridSpan w:val="2"/>
            <w:tcBorders>
              <w:top w:val="nil"/>
              <w:left w:val="nil"/>
              <w:bottom w:val="single" w:sz="8" w:space="0" w:color="000000"/>
              <w:right w:val="single" w:sz="8" w:space="0" w:color="000000"/>
            </w:tcBorders>
            <w:vAlign w:val="center"/>
          </w:tcPr>
          <w:p>
            <w:pPr>
              <w:widowControl/>
              <w:jc w:val="center"/>
              <w:rPr>
                <w:rFonts w:ascii="仿宋_GB2312" w:eastAsia="宋体" w:hAnsi="宋体" w:hint="eastAsia"/>
                <w:kern w:val="0"/>
                <w:sz w:val="24"/>
                <w:szCs w:val="24"/>
                <w:lang w:val="en-US" w:eastAsia="zh-CN"/>
              </w:rPr>
            </w:pPr>
            <w:r>
              <w:rPr>
                <w:rFonts w:ascii="仿宋_GB2312" w:hAnsi="宋体" w:hint="eastAsia"/>
                <w:kern w:val="0"/>
                <w:sz w:val="24"/>
                <w:szCs w:val="24"/>
                <w:lang w:val="en-US" w:eastAsia="zh-CN"/>
              </w:rPr>
              <w:t>0</w:t>
            </w:r>
          </w:p>
        </w:tc>
      </w:tr>
      <w:tr>
        <w:trPr>
          <w:trHeight w:val="620"/>
        </w:trPr>
        <w:tc>
          <w:tcPr>
            <w:tcW w:w="1512" w:type="dxa"/>
            <w:vMerge w:val="restart"/>
            <w:tcBorders>
              <w:top w:val="nil"/>
              <w:left w:val="single" w:sz="8" w:space="0" w:color="000000"/>
              <w:bottom w:val="single" w:sz="8" w:space="0" w:color="000000"/>
              <w:right w:val="single" w:sz="8" w:space="0" w:color="000000"/>
            </w:tcBorders>
            <w:vAlign w:val="center"/>
          </w:tcPr>
          <w:p>
            <w:pPr>
              <w:widowControl/>
              <w:jc w:val="center"/>
              <w:rPr>
                <w:rFonts w:ascii="仿宋_GB2312" w:hAnsi="宋体"/>
                <w:kern w:val="0"/>
                <w:sz w:val="24"/>
                <w:szCs w:val="24"/>
              </w:rPr>
            </w:pPr>
            <w:r>
              <w:rPr>
                <w:rFonts w:ascii="仿宋_GB2312" w:hAnsi="宋体"/>
                <w:kern w:val="0"/>
                <w:sz w:val="24"/>
                <w:szCs w:val="24"/>
              </w:rPr>
              <w:t>年度目标完成情况</w:t>
            </w:r>
          </w:p>
        </w:tc>
        <w:tc>
          <w:tcPr>
            <w:tcW w:w="3542" w:type="dxa"/>
            <w:gridSpan w:val="4"/>
            <w:tcBorders>
              <w:top w:val="single" w:sz="8" w:space="0" w:color="000000"/>
              <w:left w:val="nil"/>
              <w:bottom w:val="single" w:sz="8" w:space="0" w:color="000000"/>
              <w:right w:val="single" w:sz="8" w:space="0" w:color="000000"/>
            </w:tcBorders>
            <w:vAlign w:val="center"/>
          </w:tcPr>
          <w:p>
            <w:pPr>
              <w:widowControl/>
              <w:jc w:val="center"/>
              <w:rPr>
                <w:rFonts w:ascii="仿宋_GB2312" w:hAnsi="宋体"/>
                <w:kern w:val="0"/>
                <w:sz w:val="24"/>
                <w:szCs w:val="24"/>
              </w:rPr>
            </w:pPr>
            <w:r>
              <w:rPr>
                <w:rFonts w:ascii="仿宋_GB2312" w:hAnsi="宋体"/>
                <w:kern w:val="0"/>
                <w:sz w:val="24"/>
                <w:szCs w:val="24"/>
              </w:rPr>
              <w:t>预期目标</w:t>
            </w:r>
          </w:p>
        </w:tc>
        <w:tc>
          <w:tcPr>
            <w:tcW w:w="4018" w:type="dxa"/>
            <w:gridSpan w:val="3"/>
            <w:tcBorders>
              <w:top w:val="single" w:sz="8" w:space="0" w:color="000000"/>
              <w:left w:val="nil"/>
              <w:bottom w:val="single" w:sz="8" w:space="0" w:color="000000"/>
              <w:right w:val="single" w:sz="8" w:space="0" w:color="000000"/>
            </w:tcBorders>
            <w:vAlign w:val="center"/>
          </w:tcPr>
          <w:p>
            <w:pPr>
              <w:widowControl/>
              <w:jc w:val="center"/>
              <w:rPr>
                <w:rFonts w:ascii="仿宋_GB2312" w:hAnsi="宋体"/>
                <w:kern w:val="0"/>
                <w:sz w:val="24"/>
                <w:szCs w:val="24"/>
              </w:rPr>
            </w:pPr>
            <w:r>
              <w:rPr>
                <w:rFonts w:ascii="仿宋_GB2312" w:hAnsi="宋体"/>
                <w:kern w:val="0"/>
                <w:sz w:val="24"/>
                <w:szCs w:val="24"/>
              </w:rPr>
              <w:t>实际完成目标</w:t>
            </w:r>
          </w:p>
        </w:tc>
      </w:tr>
      <w:tr>
        <w:trPr>
          <w:trHeight w:val="621"/>
        </w:trPr>
        <w:tc>
          <w:tcPr>
            <w:tcW w:w="1512" w:type="dxa"/>
            <w:vMerge/>
            <w:tcBorders>
              <w:top w:val="nil"/>
              <w:left w:val="single" w:sz="8" w:space="0" w:color="000000"/>
              <w:bottom w:val="single" w:sz="8" w:space="0" w:color="000000"/>
              <w:right w:val="single" w:sz="8" w:space="0" w:color="000000"/>
            </w:tcBorders>
            <w:vAlign w:val="center"/>
          </w:tcPr>
          <w:p/>
        </w:tc>
        <w:tc>
          <w:tcPr>
            <w:tcW w:w="3542" w:type="dxa"/>
            <w:gridSpan w:val="4"/>
            <w:tcBorders>
              <w:top w:val="single" w:sz="8" w:space="0" w:color="000000"/>
              <w:left w:val="nil"/>
              <w:bottom w:val="single" w:sz="8" w:space="0" w:color="000000"/>
              <w:right w:val="single" w:sz="8" w:space="0" w:color="000000"/>
            </w:tcBorders>
            <w:vAlign w:val="center"/>
          </w:tcPr>
          <w:p>
            <w:pPr>
              <w:widowControl/>
              <w:jc w:val="center"/>
              <w:rPr>
                <w:rFonts w:ascii="仿宋_GB2312" w:eastAsia="宋体" w:hAnsi="宋体"/>
                <w:kern w:val="0"/>
                <w:sz w:val="24"/>
                <w:szCs w:val="24"/>
                <w:lang w:val="en-US" w:eastAsia="zh-CN"/>
              </w:rPr>
            </w:pPr>
            <w:r>
              <w:rPr>
                <w:rFonts w:ascii="仿宋_GB2312" w:hAnsi="宋体" w:hint="eastAsia"/>
                <w:kern w:val="0"/>
                <w:sz w:val="24"/>
                <w:szCs w:val="24"/>
                <w:lang w:eastAsia="zh-CN"/>
              </w:rPr>
              <w:t>完成鲲鹏小镇游客中心项目、中央公园、安置点、</w:t>
            </w:r>
            <w:r>
              <w:rPr>
                <w:rFonts w:ascii="仿宋_GB2312" w:hAnsi="宋体" w:hint="eastAsia"/>
                <w:kern w:val="0"/>
                <w:sz w:val="24"/>
                <w:szCs w:val="24"/>
                <w:lang w:val="en-US" w:eastAsia="zh-CN"/>
              </w:rPr>
              <w:t>1号、3号地块征收补偿工作。</w:t>
            </w:r>
          </w:p>
        </w:tc>
        <w:tc>
          <w:tcPr>
            <w:tcW w:w="4018" w:type="dxa"/>
            <w:gridSpan w:val="3"/>
            <w:tcBorders>
              <w:top w:val="single" w:sz="8" w:space="0" w:color="000000"/>
              <w:left w:val="nil"/>
              <w:bottom w:val="single" w:sz="8" w:space="0" w:color="000000"/>
              <w:right w:val="single" w:sz="8" w:space="0" w:color="000000"/>
            </w:tcBorders>
            <w:vAlign w:val="center"/>
          </w:tcPr>
          <w:p>
            <w:pPr>
              <w:widowControl/>
              <w:jc w:val="center"/>
              <w:rPr>
                <w:rFonts w:ascii="仿宋_GB2312" w:eastAsia="宋体" w:hAnsi="宋体" w:hint="eastAsia"/>
                <w:kern w:val="0"/>
                <w:sz w:val="24"/>
                <w:szCs w:val="24"/>
                <w:lang w:eastAsia="zh-CN"/>
              </w:rPr>
            </w:pPr>
            <w:r>
              <w:rPr>
                <w:rFonts w:ascii="仿宋_GB2312" w:hAnsi="宋体" w:hint="eastAsia"/>
                <w:kern w:val="0"/>
                <w:sz w:val="24"/>
                <w:szCs w:val="24"/>
                <w:lang w:eastAsia="zh-CN"/>
              </w:rPr>
              <w:t>全面完成</w:t>
            </w:r>
          </w:p>
        </w:tc>
      </w:tr>
      <w:tr>
        <w:trPr>
          <w:trHeight w:val="423"/>
        </w:trPr>
        <w:tc>
          <w:tcPr>
            <w:tcW w:w="1512" w:type="dxa"/>
            <w:vMerge w:val="restart"/>
            <w:tcBorders>
              <w:top w:val="nil"/>
              <w:left w:val="single" w:sz="8" w:space="0" w:color="000000"/>
              <w:bottom w:val="single" w:sz="8" w:space="0" w:color="000000"/>
              <w:right w:val="single" w:sz="8" w:space="0" w:color="000000"/>
            </w:tcBorders>
            <w:vAlign w:val="center"/>
          </w:tcPr>
          <w:p>
            <w:pPr>
              <w:widowControl/>
              <w:jc w:val="center"/>
              <w:rPr>
                <w:rFonts w:ascii="仿宋_GB2312" w:hAnsi="宋体"/>
                <w:kern w:val="0"/>
                <w:sz w:val="24"/>
                <w:szCs w:val="24"/>
              </w:rPr>
            </w:pPr>
            <w:r>
              <w:rPr>
                <w:rFonts w:ascii="仿宋_GB2312" w:hAnsi="宋体"/>
                <w:kern w:val="0"/>
                <w:sz w:val="24"/>
                <w:szCs w:val="24"/>
              </w:rPr>
              <w:t>绩效指标完成情况</w:t>
            </w:r>
          </w:p>
        </w:tc>
        <w:tc>
          <w:tcPr>
            <w:tcW w:w="1180" w:type="dxa"/>
            <w:tcBorders>
              <w:top w:val="nil"/>
              <w:left w:val="nil"/>
              <w:bottom w:val="single" w:sz="8" w:space="0" w:color="000000"/>
              <w:right w:val="single" w:sz="8" w:space="0" w:color="000000"/>
            </w:tcBorders>
            <w:vAlign w:val="center"/>
          </w:tcPr>
          <w:p>
            <w:pPr>
              <w:widowControl/>
              <w:jc w:val="center"/>
              <w:rPr>
                <w:rFonts w:ascii="仿宋_GB2312" w:hAnsi="宋体"/>
                <w:kern w:val="0"/>
                <w:sz w:val="24"/>
                <w:szCs w:val="24"/>
              </w:rPr>
            </w:pPr>
            <w:r>
              <w:rPr>
                <w:rFonts w:ascii="仿宋_GB2312" w:hAnsi="宋体"/>
                <w:kern w:val="0"/>
                <w:sz w:val="24"/>
                <w:szCs w:val="24"/>
              </w:rPr>
              <w:t>一级指标</w:t>
            </w:r>
          </w:p>
        </w:tc>
        <w:tc>
          <w:tcPr>
            <w:tcW w:w="1181" w:type="dxa"/>
            <w:tcBorders>
              <w:top w:val="nil"/>
              <w:left w:val="nil"/>
              <w:bottom w:val="single" w:sz="8" w:space="0" w:color="000000"/>
              <w:right w:val="single" w:sz="8" w:space="0" w:color="000000"/>
            </w:tcBorders>
            <w:vAlign w:val="center"/>
          </w:tcPr>
          <w:p>
            <w:pPr>
              <w:widowControl/>
              <w:jc w:val="center"/>
              <w:rPr>
                <w:rFonts w:ascii="仿宋_GB2312" w:hAnsi="宋体"/>
                <w:kern w:val="0"/>
                <w:sz w:val="24"/>
                <w:szCs w:val="24"/>
              </w:rPr>
            </w:pPr>
            <w:r>
              <w:rPr>
                <w:rFonts w:ascii="仿宋_GB2312" w:hAnsi="宋体"/>
                <w:kern w:val="0"/>
                <w:sz w:val="24"/>
                <w:szCs w:val="24"/>
              </w:rPr>
              <w:t>二级指标</w:t>
            </w:r>
          </w:p>
        </w:tc>
        <w:tc>
          <w:tcPr>
            <w:tcW w:w="1181" w:type="dxa"/>
            <w:gridSpan w:val="2"/>
            <w:tcBorders>
              <w:top w:val="nil"/>
              <w:left w:val="nil"/>
              <w:bottom w:val="single" w:sz="8" w:space="0" w:color="000000"/>
              <w:right w:val="single" w:sz="8" w:space="0" w:color="000000"/>
            </w:tcBorders>
            <w:vAlign w:val="center"/>
          </w:tcPr>
          <w:p>
            <w:pPr>
              <w:widowControl/>
              <w:jc w:val="center"/>
              <w:rPr>
                <w:rFonts w:ascii="仿宋_GB2312" w:hAnsi="宋体"/>
                <w:kern w:val="0"/>
                <w:sz w:val="24"/>
                <w:szCs w:val="24"/>
              </w:rPr>
            </w:pPr>
            <w:r>
              <w:rPr>
                <w:rFonts w:ascii="仿宋_GB2312" w:hAnsi="宋体"/>
                <w:kern w:val="0"/>
                <w:sz w:val="24"/>
                <w:szCs w:val="24"/>
              </w:rPr>
              <w:t>三级指标</w:t>
            </w:r>
          </w:p>
        </w:tc>
        <w:tc>
          <w:tcPr>
            <w:tcW w:w="2166" w:type="dxa"/>
            <w:gridSpan w:val="2"/>
            <w:tcBorders>
              <w:top w:val="nil"/>
              <w:left w:val="nil"/>
              <w:bottom w:val="single" w:sz="8" w:space="0" w:color="000000"/>
              <w:right w:val="single" w:sz="8" w:space="0" w:color="000000"/>
            </w:tcBorders>
            <w:vAlign w:val="center"/>
          </w:tcPr>
          <w:p>
            <w:pPr>
              <w:widowControl/>
              <w:jc w:val="center"/>
              <w:rPr>
                <w:rFonts w:ascii="仿宋_GB2312" w:hAnsi="宋体"/>
                <w:kern w:val="0"/>
                <w:sz w:val="24"/>
                <w:szCs w:val="24"/>
              </w:rPr>
            </w:pPr>
            <w:r>
              <w:rPr>
                <w:rFonts w:ascii="仿宋_GB2312" w:hAnsi="宋体"/>
                <w:kern w:val="0"/>
                <w:sz w:val="24"/>
                <w:szCs w:val="24"/>
              </w:rPr>
              <w:t>预期指标值(包含数字及</w:t>
            </w:r>
            <w:r>
              <w:rPr>
                <w:rFonts w:ascii="仿宋_GB2312" w:hAnsi="宋体"/>
                <w:kern w:val="0"/>
                <w:sz w:val="24"/>
                <w:szCs w:val="24"/>
                <w:u w:val="single"/>
              </w:rPr>
              <w:t>文字描述</w:t>
            </w:r>
            <w:r>
              <w:rPr>
                <w:rFonts w:ascii="仿宋_GB2312" w:hAnsi="宋体"/>
                <w:kern w:val="0"/>
                <w:sz w:val="24"/>
                <w:szCs w:val="24"/>
              </w:rPr>
              <w:t>)</w:t>
            </w:r>
          </w:p>
        </w:tc>
        <w:tc>
          <w:tcPr>
            <w:tcW w:w="1852" w:type="dxa"/>
            <w:tcBorders>
              <w:top w:val="nil"/>
              <w:left w:val="nil"/>
              <w:bottom w:val="single" w:sz="8" w:space="0" w:color="000000"/>
              <w:right w:val="single" w:sz="8" w:space="0" w:color="000000"/>
            </w:tcBorders>
            <w:vAlign w:val="center"/>
          </w:tcPr>
          <w:p>
            <w:pPr>
              <w:widowControl/>
              <w:jc w:val="center"/>
              <w:rPr>
                <w:rFonts w:ascii="仿宋_GB2312" w:hAnsi="宋体"/>
                <w:kern w:val="0"/>
                <w:sz w:val="24"/>
                <w:szCs w:val="24"/>
              </w:rPr>
            </w:pPr>
            <w:r>
              <w:rPr>
                <w:rFonts w:ascii="仿宋_GB2312" w:hAnsi="宋体"/>
                <w:kern w:val="0"/>
                <w:sz w:val="24"/>
                <w:szCs w:val="24"/>
              </w:rPr>
              <w:t>实际完成指标值(包含数字及</w:t>
            </w:r>
            <w:r>
              <w:rPr>
                <w:rFonts w:ascii="仿宋_GB2312" w:hAnsi="宋体"/>
                <w:kern w:val="0"/>
                <w:sz w:val="24"/>
                <w:szCs w:val="24"/>
                <w:u w:val="single"/>
              </w:rPr>
              <w:t>文字描述</w:t>
            </w:r>
            <w:r>
              <w:rPr>
                <w:rFonts w:ascii="仿宋_GB2312" w:hAnsi="宋体"/>
                <w:kern w:val="0"/>
                <w:sz w:val="24"/>
                <w:szCs w:val="24"/>
              </w:rPr>
              <w:t>)</w:t>
            </w:r>
          </w:p>
        </w:tc>
      </w:tr>
      <w:tr>
        <w:trPr>
          <w:trHeight w:val="906"/>
        </w:trPr>
        <w:tc>
          <w:tcPr>
            <w:tcW w:w="1512" w:type="dxa"/>
            <w:vMerge/>
            <w:tcBorders>
              <w:top w:val="nil"/>
              <w:left w:val="single" w:sz="8" w:space="0" w:color="000000"/>
              <w:bottom w:val="single" w:sz="8" w:space="0" w:color="000000"/>
              <w:right w:val="single" w:sz="8" w:space="0" w:color="000000"/>
            </w:tcBorders>
            <w:vAlign w:val="center"/>
          </w:tcPr>
          <w:p/>
        </w:tc>
        <w:tc>
          <w:tcPr>
            <w:tcW w:w="1180" w:type="dxa"/>
            <w:tcBorders>
              <w:top w:val="nil"/>
              <w:left w:val="nil"/>
              <w:bottom w:val="single" w:sz="8" w:space="0" w:color="000000"/>
              <w:right w:val="single" w:sz="8" w:space="0" w:color="000000"/>
            </w:tcBorders>
            <w:vAlign w:val="center"/>
          </w:tcPr>
          <w:p>
            <w:pPr>
              <w:widowControl/>
              <w:jc w:val="center"/>
              <w:rPr>
                <w:rFonts w:ascii="仿宋_GB2312" w:hAnsi="宋体"/>
                <w:kern w:val="0"/>
                <w:sz w:val="24"/>
                <w:szCs w:val="24"/>
              </w:rPr>
            </w:pPr>
            <w:r>
              <w:rPr>
                <w:rFonts w:ascii="仿宋_GB2312" w:hAnsi="宋体"/>
                <w:kern w:val="0"/>
                <w:sz w:val="24"/>
                <w:szCs w:val="24"/>
              </w:rPr>
              <w:t>项目完成指标</w:t>
            </w:r>
          </w:p>
        </w:tc>
        <w:tc>
          <w:tcPr>
            <w:tcW w:w="1181" w:type="dxa"/>
            <w:tcBorders>
              <w:top w:val="nil"/>
              <w:left w:val="nil"/>
              <w:bottom w:val="single" w:sz="8" w:space="0" w:color="000000"/>
              <w:right w:val="single" w:sz="8" w:space="0" w:color="000000"/>
            </w:tcBorders>
            <w:vAlign w:val="center"/>
          </w:tcPr>
          <w:p>
            <w:pPr>
              <w:widowControl/>
              <w:jc w:val="center"/>
              <w:rPr>
                <w:rFonts w:ascii="仿宋_GB2312" w:hAnsi="宋体"/>
                <w:kern w:val="0"/>
                <w:sz w:val="24"/>
                <w:szCs w:val="24"/>
              </w:rPr>
            </w:pPr>
            <w:r>
              <w:rPr>
                <w:rFonts w:ascii="仿宋_GB2312" w:hAnsi="宋体" w:hint="eastAsia"/>
                <w:kern w:val="0"/>
                <w:sz w:val="24"/>
                <w:szCs w:val="24"/>
                <w:lang w:eastAsia="zh-CN"/>
              </w:rPr>
              <w:t>数量指标</w:t>
            </w:r>
            <w:r>
              <w:rPr>
                <w:rFonts w:ascii="仿宋_GB2312" w:hAnsi="宋体"/>
                <w:kern w:val="0"/>
                <w:sz w:val="24"/>
                <w:szCs w:val="24"/>
              </w:rPr>
              <w:t>　</w:t>
            </w:r>
          </w:p>
        </w:tc>
        <w:tc>
          <w:tcPr>
            <w:tcW w:w="1181" w:type="dxa"/>
            <w:gridSpan w:val="2"/>
            <w:tcBorders>
              <w:top w:val="nil"/>
              <w:left w:val="nil"/>
              <w:bottom w:val="single" w:sz="8" w:space="0" w:color="000000"/>
              <w:right w:val="single" w:sz="8" w:space="0" w:color="000000"/>
            </w:tcBorders>
            <w:vAlign w:val="center"/>
          </w:tcPr>
          <w:p>
            <w:pPr>
              <w:widowControl/>
              <w:jc w:val="center"/>
              <w:rPr>
                <w:rFonts w:ascii="仿宋_GB2312" w:hAnsi="宋体"/>
                <w:kern w:val="0"/>
                <w:sz w:val="24"/>
                <w:szCs w:val="24"/>
              </w:rPr>
            </w:pPr>
            <w:r>
              <w:rPr>
                <w:rFonts w:ascii="仿宋_GB2312" w:hAnsi="宋体" w:hint="eastAsia"/>
                <w:kern w:val="0"/>
                <w:sz w:val="24"/>
                <w:szCs w:val="24"/>
                <w:lang w:eastAsia="zh-CN"/>
              </w:rPr>
              <w:t>完成</w:t>
            </w:r>
            <w:r>
              <w:rPr>
                <w:rFonts w:ascii="仿宋_GB2312" w:hAnsi="宋体" w:hint="eastAsia"/>
                <w:kern w:val="0"/>
                <w:sz w:val="24"/>
                <w:szCs w:val="24"/>
                <w:lang w:val="en-US" w:eastAsia="zh-CN"/>
              </w:rPr>
              <w:t>5个点的征拆补偿</w:t>
            </w:r>
            <w:r>
              <w:rPr>
                <w:rFonts w:ascii="仿宋_GB2312" w:hAnsi="宋体"/>
                <w:kern w:val="0"/>
                <w:sz w:val="24"/>
                <w:szCs w:val="24"/>
              </w:rPr>
              <w:t>　</w:t>
            </w:r>
          </w:p>
        </w:tc>
        <w:tc>
          <w:tcPr>
            <w:tcW w:w="2166" w:type="dxa"/>
            <w:gridSpan w:val="2"/>
            <w:tcBorders>
              <w:top w:val="nil"/>
              <w:left w:val="nil"/>
              <w:bottom w:val="single" w:sz="8" w:space="0" w:color="000000"/>
              <w:right w:val="single" w:sz="8" w:space="0" w:color="000000"/>
            </w:tcBorders>
            <w:vAlign w:val="center"/>
          </w:tcPr>
          <w:p>
            <w:pPr>
              <w:widowControl/>
              <w:jc w:val="center"/>
              <w:textAlignment w:val="center"/>
              <w:rPr>
                <w:rFonts w:ascii="仿宋_GB2312" w:hAnsi="宋体"/>
                <w:kern w:val="0"/>
                <w:sz w:val="24"/>
                <w:szCs w:val="24"/>
              </w:rPr>
            </w:pPr>
            <w:r>
              <w:rPr>
                <w:rFonts w:ascii="宋体" w:cs="宋体" w:hint="eastAsia"/>
                <w:sz w:val="24"/>
                <w:lang w:eastAsia="zh-CN"/>
              </w:rPr>
              <w:t>完成游客中心、中央公园、建设新凼地安置点、和平猫狗洞安置点、</w:t>
            </w:r>
            <w:r>
              <w:rPr>
                <w:rFonts w:ascii="宋体" w:cs="宋体" w:hint="eastAsia"/>
                <w:sz w:val="24"/>
                <w:lang w:val="en-US" w:eastAsia="zh-CN"/>
              </w:rPr>
              <w:t>1号、3号地块征收补偿工作，确保项目用地需求，保障被拆迁群众补偿资金兑付到位。</w:t>
            </w:r>
          </w:p>
        </w:tc>
        <w:tc>
          <w:tcPr>
            <w:tcW w:w="1852" w:type="dxa"/>
            <w:tcBorders>
              <w:top w:val="nil"/>
              <w:left w:val="nil"/>
              <w:bottom w:val="single" w:sz="8" w:space="0" w:color="000000"/>
              <w:right w:val="single" w:sz="8" w:space="0" w:color="000000"/>
            </w:tcBorders>
            <w:vAlign w:val="center"/>
          </w:tcPr>
          <w:p>
            <w:pPr>
              <w:widowControl/>
              <w:jc w:val="center"/>
              <w:textAlignment w:val="center"/>
              <w:rPr>
                <w:rFonts w:ascii="仿宋_GB2312" w:hAnsi="宋体"/>
                <w:kern w:val="0"/>
                <w:sz w:val="24"/>
                <w:szCs w:val="24"/>
              </w:rPr>
            </w:pPr>
            <w:r>
              <w:rPr>
                <w:rFonts w:ascii="宋体" w:cs="宋体" w:hint="eastAsia"/>
                <w:sz w:val="24"/>
                <w:lang w:eastAsia="zh-CN"/>
              </w:rPr>
              <w:t>完成游客中心、中央公园、建设新凼地安置点、和平猫狗洞安置点、</w:t>
            </w:r>
            <w:r>
              <w:rPr>
                <w:rFonts w:ascii="宋体" w:cs="宋体" w:hint="eastAsia"/>
                <w:sz w:val="24"/>
                <w:lang w:val="en-US" w:eastAsia="zh-CN"/>
              </w:rPr>
              <w:t>1号、3号地块征收补偿工作，确保项目用地需求，保障被拆迁群众补偿资金兑付到位。</w:t>
            </w:r>
          </w:p>
        </w:tc>
      </w:tr>
      <w:tr>
        <w:trPr>
          <w:trHeight w:val="1197"/>
        </w:trPr>
        <w:tc>
          <w:tcPr>
            <w:tcW w:w="1512" w:type="dxa"/>
            <w:vMerge/>
            <w:tcBorders>
              <w:top w:val="nil"/>
              <w:left w:val="single" w:sz="8" w:space="0" w:color="000000"/>
              <w:bottom w:val="single" w:sz="8" w:space="0" w:color="000000"/>
              <w:right w:val="single" w:sz="8" w:space="0" w:color="000000"/>
            </w:tcBorders>
            <w:vAlign w:val="center"/>
          </w:tcPr>
          <w:p/>
        </w:tc>
        <w:tc>
          <w:tcPr>
            <w:tcW w:w="1180" w:type="dxa"/>
            <w:tcBorders>
              <w:top w:val="nil"/>
              <w:left w:val="nil"/>
              <w:bottom w:val="single" w:sz="8" w:space="0" w:color="000000"/>
              <w:right w:val="single" w:sz="8" w:space="0" w:color="000000"/>
            </w:tcBorders>
            <w:vAlign w:val="center"/>
          </w:tcPr>
          <w:p>
            <w:pPr>
              <w:widowControl/>
              <w:jc w:val="center"/>
              <w:rPr>
                <w:rFonts w:ascii="仿宋_GB2312" w:hAnsi="宋体"/>
                <w:kern w:val="0"/>
                <w:sz w:val="24"/>
                <w:szCs w:val="24"/>
              </w:rPr>
            </w:pPr>
            <w:r>
              <w:rPr>
                <w:rFonts w:ascii="仿宋_GB2312" w:hAnsi="宋体"/>
                <w:kern w:val="0"/>
                <w:sz w:val="24"/>
                <w:szCs w:val="24"/>
              </w:rPr>
              <w:t>效益指标</w:t>
            </w:r>
          </w:p>
        </w:tc>
        <w:tc>
          <w:tcPr>
            <w:tcW w:w="1181" w:type="dxa"/>
            <w:tcBorders>
              <w:top w:val="nil"/>
              <w:left w:val="nil"/>
              <w:bottom w:val="single" w:sz="8" w:space="0" w:color="000000"/>
              <w:right w:val="single" w:sz="8" w:space="0" w:color="000000"/>
            </w:tcBorders>
            <w:vAlign w:val="center"/>
          </w:tcPr>
          <w:p>
            <w:pPr>
              <w:widowControl/>
              <w:jc w:val="center"/>
              <w:rPr>
                <w:rFonts w:ascii="仿宋_GB2312" w:hAnsi="宋体"/>
                <w:kern w:val="0"/>
                <w:sz w:val="24"/>
                <w:szCs w:val="24"/>
              </w:rPr>
            </w:pPr>
            <w:r>
              <w:rPr>
                <w:rFonts w:ascii="仿宋_GB2312" w:hAnsi="宋体" w:hint="eastAsia"/>
                <w:kern w:val="0"/>
                <w:sz w:val="24"/>
                <w:szCs w:val="24"/>
                <w:lang w:eastAsia="zh-CN"/>
              </w:rPr>
              <w:t>经济效益指标</w:t>
            </w:r>
            <w:r>
              <w:rPr>
                <w:rFonts w:ascii="仿宋_GB2312" w:hAnsi="宋体"/>
                <w:kern w:val="0"/>
                <w:sz w:val="24"/>
                <w:szCs w:val="24"/>
              </w:rPr>
              <w:t>　</w:t>
            </w:r>
          </w:p>
        </w:tc>
        <w:tc>
          <w:tcPr>
            <w:tcW w:w="1181" w:type="dxa"/>
            <w:gridSpan w:val="2"/>
            <w:tcBorders>
              <w:top w:val="nil"/>
              <w:left w:val="nil"/>
              <w:bottom w:val="single" w:sz="8" w:space="0" w:color="000000"/>
              <w:right w:val="single" w:sz="8" w:space="0" w:color="000000"/>
            </w:tcBorders>
            <w:vAlign w:val="center"/>
          </w:tcPr>
          <w:p>
            <w:pPr>
              <w:widowControl/>
              <w:jc w:val="center"/>
              <w:rPr>
                <w:rFonts w:ascii="仿宋_GB2312" w:hAnsi="宋体"/>
                <w:kern w:val="0"/>
                <w:sz w:val="24"/>
                <w:szCs w:val="24"/>
              </w:rPr>
            </w:pPr>
            <w:r>
              <w:rPr>
                <w:rFonts w:ascii="仿宋_GB2312" w:hAnsi="宋体" w:hint="eastAsia"/>
                <w:kern w:val="0"/>
                <w:sz w:val="24"/>
                <w:szCs w:val="24"/>
                <w:lang w:eastAsia="zh-CN"/>
              </w:rPr>
              <w:t>促进经济发展</w:t>
            </w:r>
            <w:r>
              <w:rPr>
                <w:rFonts w:ascii="仿宋_GB2312" w:hAnsi="宋体"/>
                <w:kern w:val="0"/>
                <w:sz w:val="24"/>
                <w:szCs w:val="24"/>
              </w:rPr>
              <w:t>　</w:t>
            </w:r>
          </w:p>
        </w:tc>
        <w:tc>
          <w:tcPr>
            <w:tcW w:w="2166" w:type="dxa"/>
            <w:gridSpan w:val="2"/>
            <w:tcBorders>
              <w:top w:val="nil"/>
              <w:left w:val="nil"/>
              <w:bottom w:val="single" w:sz="8" w:space="0" w:color="000000"/>
              <w:right w:val="single" w:sz="8" w:space="0" w:color="000000"/>
            </w:tcBorders>
            <w:vAlign w:val="center"/>
          </w:tcPr>
          <w:p>
            <w:pPr>
              <w:widowControl/>
              <w:jc w:val="center"/>
              <w:textAlignment w:val="center"/>
              <w:rPr>
                <w:rFonts w:ascii="仿宋_GB2312" w:hAnsi="宋体"/>
                <w:kern w:val="0"/>
                <w:sz w:val="24"/>
                <w:szCs w:val="24"/>
              </w:rPr>
            </w:pPr>
            <w:r>
              <w:rPr>
                <w:rFonts w:ascii="宋体" w:cs="宋体" w:hint="eastAsia"/>
                <w:sz w:val="24"/>
              </w:rPr>
              <w:t>加快建设施工，保障群众合法权益，促进社会经济发展</w:t>
            </w:r>
          </w:p>
        </w:tc>
        <w:tc>
          <w:tcPr>
            <w:tcW w:w="1852" w:type="dxa"/>
            <w:tcBorders>
              <w:top w:val="nil"/>
              <w:left w:val="nil"/>
              <w:bottom w:val="single" w:sz="8" w:space="0" w:color="000000"/>
              <w:right w:val="single" w:sz="8" w:space="0" w:color="000000"/>
            </w:tcBorders>
            <w:vAlign w:val="center"/>
          </w:tcPr>
          <w:p>
            <w:pPr>
              <w:widowControl/>
              <w:jc w:val="center"/>
              <w:textAlignment w:val="center"/>
              <w:rPr>
                <w:rFonts w:ascii="仿宋_GB2312" w:hAnsi="宋体"/>
                <w:kern w:val="0"/>
                <w:sz w:val="24"/>
                <w:szCs w:val="24"/>
              </w:rPr>
            </w:pPr>
            <w:r>
              <w:rPr>
                <w:rFonts w:ascii="宋体" w:cs="宋体" w:hint="eastAsia"/>
                <w:sz w:val="24"/>
                <w:lang w:eastAsia="zh-CN"/>
              </w:rPr>
              <w:t>有效</w:t>
            </w:r>
            <w:r>
              <w:rPr>
                <w:rFonts w:ascii="宋体" w:cs="宋体" w:hint="eastAsia"/>
                <w:sz w:val="24"/>
              </w:rPr>
              <w:t>促进社会经济发展</w:t>
            </w:r>
          </w:p>
        </w:tc>
      </w:tr>
      <w:tr>
        <w:trPr>
          <w:trHeight w:val="1677"/>
        </w:trPr>
        <w:tc>
          <w:tcPr>
            <w:tcW w:w="1512" w:type="dxa"/>
            <w:vMerge/>
            <w:tcBorders>
              <w:top w:val="nil"/>
              <w:left w:val="single" w:sz="8" w:space="0" w:color="000000"/>
              <w:bottom w:val="single" w:sz="8" w:space="0" w:color="000000"/>
              <w:right w:val="single" w:sz="8" w:space="0" w:color="000000"/>
            </w:tcBorders>
            <w:vAlign w:val="center"/>
          </w:tcPr>
          <w:p/>
        </w:tc>
        <w:tc>
          <w:tcPr>
            <w:tcW w:w="1180" w:type="dxa"/>
            <w:tcBorders>
              <w:top w:val="nil"/>
              <w:left w:val="nil"/>
              <w:bottom w:val="single" w:sz="8" w:space="0" w:color="000000"/>
              <w:right w:val="single" w:sz="8" w:space="0" w:color="000000"/>
            </w:tcBorders>
            <w:vAlign w:val="center"/>
          </w:tcPr>
          <w:p>
            <w:pPr>
              <w:widowControl/>
              <w:jc w:val="center"/>
              <w:rPr>
                <w:rFonts w:ascii="仿宋_GB2312" w:hAnsi="宋体"/>
                <w:kern w:val="0"/>
                <w:sz w:val="24"/>
                <w:szCs w:val="24"/>
              </w:rPr>
            </w:pPr>
            <w:r>
              <w:rPr>
                <w:rFonts w:ascii="仿宋_GB2312" w:hAnsi="宋体"/>
                <w:kern w:val="0"/>
                <w:sz w:val="24"/>
                <w:szCs w:val="24"/>
              </w:rPr>
              <w:t>满意度指标</w:t>
            </w:r>
          </w:p>
        </w:tc>
        <w:tc>
          <w:tcPr>
            <w:tcW w:w="1181" w:type="dxa"/>
            <w:tcBorders>
              <w:top w:val="nil"/>
              <w:left w:val="nil"/>
              <w:bottom w:val="single" w:sz="8" w:space="0" w:color="000000"/>
              <w:right w:val="single" w:sz="8" w:space="0" w:color="000000"/>
            </w:tcBorders>
            <w:vAlign w:val="center"/>
          </w:tcPr>
          <w:p>
            <w:pPr>
              <w:widowControl/>
              <w:jc w:val="center"/>
              <w:rPr>
                <w:rFonts w:ascii="仿宋_GB2312" w:hAnsi="宋体"/>
                <w:kern w:val="0"/>
                <w:sz w:val="24"/>
                <w:szCs w:val="24"/>
              </w:rPr>
            </w:pPr>
            <w:r>
              <w:rPr>
                <w:rFonts w:ascii="仿宋_GB2312" w:hAnsi="宋体" w:hint="eastAsia"/>
                <w:kern w:val="0"/>
                <w:sz w:val="24"/>
                <w:szCs w:val="24"/>
                <w:lang w:eastAsia="zh-CN"/>
              </w:rPr>
              <w:t>满意度指标</w:t>
            </w:r>
            <w:r>
              <w:rPr>
                <w:rFonts w:ascii="仿宋_GB2312" w:hAnsi="宋体"/>
                <w:kern w:val="0"/>
                <w:sz w:val="24"/>
                <w:szCs w:val="24"/>
              </w:rPr>
              <w:t>　</w:t>
            </w:r>
          </w:p>
        </w:tc>
        <w:tc>
          <w:tcPr>
            <w:tcW w:w="1181" w:type="dxa"/>
            <w:gridSpan w:val="2"/>
            <w:tcBorders>
              <w:top w:val="nil"/>
              <w:left w:val="nil"/>
              <w:bottom w:val="single" w:sz="8" w:space="0" w:color="000000"/>
              <w:right w:val="single" w:sz="8" w:space="0" w:color="000000"/>
            </w:tcBorders>
            <w:vAlign w:val="center"/>
          </w:tcPr>
          <w:p>
            <w:pPr>
              <w:widowControl/>
              <w:jc w:val="center"/>
              <w:rPr>
                <w:rFonts w:ascii="仿宋_GB2312" w:hAnsi="宋体"/>
                <w:kern w:val="0"/>
                <w:sz w:val="24"/>
                <w:szCs w:val="24"/>
              </w:rPr>
            </w:pPr>
            <w:r>
              <w:rPr>
                <w:rFonts w:ascii="仿宋_GB2312" w:hAnsi="宋体" w:hint="eastAsia"/>
                <w:kern w:val="0"/>
                <w:sz w:val="24"/>
                <w:szCs w:val="24"/>
                <w:lang w:eastAsia="zh-CN"/>
              </w:rPr>
              <w:t>项目区人民群众满意</w:t>
            </w:r>
            <w:r>
              <w:rPr>
                <w:rFonts w:ascii="仿宋_GB2312" w:hAnsi="宋体"/>
                <w:kern w:val="0"/>
                <w:sz w:val="24"/>
                <w:szCs w:val="24"/>
              </w:rPr>
              <w:t>　</w:t>
            </w:r>
          </w:p>
        </w:tc>
        <w:tc>
          <w:tcPr>
            <w:tcW w:w="2166" w:type="dxa"/>
            <w:gridSpan w:val="2"/>
            <w:tcBorders>
              <w:top w:val="nil"/>
              <w:left w:val="nil"/>
              <w:bottom w:val="single" w:sz="8" w:space="0" w:color="000000"/>
              <w:right w:val="single" w:sz="8" w:space="0" w:color="000000"/>
            </w:tcBorders>
            <w:vAlign w:val="center"/>
          </w:tcPr>
          <w:p>
            <w:pPr>
              <w:widowControl/>
              <w:jc w:val="center"/>
              <w:textAlignment w:val="center"/>
              <w:rPr>
                <w:rFonts w:ascii="仿宋_GB2312" w:eastAsia="宋体" w:hAnsi="宋体" w:hint="eastAsia"/>
                <w:kern w:val="0"/>
                <w:sz w:val="24"/>
                <w:szCs w:val="24"/>
                <w:lang w:eastAsia="zh-CN"/>
              </w:rPr>
            </w:pPr>
            <w:r>
              <w:rPr>
                <w:rFonts w:ascii="宋体" w:cs="宋体" w:hint="eastAsia"/>
                <w:sz w:val="24"/>
              </w:rPr>
              <w:t>满足人民群众的生活需求，改善居住环境，</w:t>
            </w:r>
            <w:r>
              <w:rPr>
                <w:rFonts w:ascii="宋体" w:cs="宋体" w:hint="eastAsia"/>
                <w:sz w:val="24"/>
                <w:lang w:eastAsia="zh-CN"/>
              </w:rPr>
              <w:t>提升幸福指数。</w:t>
            </w:r>
          </w:p>
        </w:tc>
        <w:tc>
          <w:tcPr>
            <w:tcW w:w="1852" w:type="dxa"/>
            <w:tcBorders>
              <w:top w:val="nil"/>
              <w:left w:val="nil"/>
              <w:bottom w:val="single" w:sz="8" w:space="0" w:color="000000"/>
              <w:right w:val="single" w:sz="8" w:space="0" w:color="000000"/>
            </w:tcBorders>
            <w:vAlign w:val="center"/>
          </w:tcPr>
          <w:p>
            <w:pPr>
              <w:widowControl/>
              <w:jc w:val="center"/>
              <w:textAlignment w:val="center"/>
              <w:rPr>
                <w:rFonts w:ascii="仿宋_GB2312" w:hAnsi="宋体"/>
                <w:kern w:val="0"/>
                <w:sz w:val="24"/>
                <w:szCs w:val="24"/>
              </w:rPr>
            </w:pPr>
            <w:r>
              <w:rPr>
                <w:rFonts w:ascii="宋体" w:cs="宋体" w:hint="eastAsia"/>
                <w:sz w:val="24"/>
              </w:rPr>
              <w:t>人民群众满意</w:t>
            </w:r>
          </w:p>
        </w:tc>
      </w:tr>
    </w:tbl>
    <w:p>
      <w:pPr>
        <w:spacing w:line="540" w:lineRule="exact"/>
        <w:jc w:val="center"/>
        <w:rPr>
          <w:rFonts w:ascii="方正小标宋简体" w:eastAsia="方正小标宋简体" w:cs="方正小标宋简体" w:hAnsi="方正小标宋简体" w:hint="eastAsia"/>
          <w:kern w:val="0"/>
          <w:sz w:val="44"/>
          <w:szCs w:val="44"/>
        </w:rPr>
      </w:pPr>
      <w:r>
        <w:rPr>
          <w:rFonts w:ascii="方正小标宋简体" w:eastAsia="方正小标宋简体" w:cs="方正小标宋简体" w:hAnsi="方正小标宋简体" w:hint="eastAsia"/>
          <w:kern w:val="0"/>
          <w:sz w:val="44"/>
          <w:szCs w:val="44"/>
        </w:rPr>
        <w:t>项目支出绩效目标完成情况表</w:t>
      </w:r>
    </w:p>
    <w:p>
      <w:pPr>
        <w:spacing w:line="540" w:lineRule="exact"/>
        <w:jc w:val="center"/>
        <w:rPr>
          <w:rFonts w:ascii="黑体" w:eastAsia="黑体" w:hAnsi="黑体"/>
          <w:kern w:val="0"/>
          <w:sz w:val="32"/>
          <w:szCs w:val="32"/>
        </w:rPr>
      </w:pPr>
      <w:r>
        <w:rPr>
          <w:rFonts w:ascii="黑体" w:eastAsia="黑体" w:hAnsi="黑体" w:hint="eastAsia"/>
          <w:kern w:val="0"/>
          <w:sz w:val="32"/>
          <w:szCs w:val="32"/>
        </w:rPr>
        <w:t>(2019年度)</w:t>
      </w:r>
    </w:p>
    <w:tbl>
      <w:tblPr>
        <w:jc w:val="left"/>
        <w:tblInd w:w="-106" w:type="dxa"/>
        <w:tblW w:w="9072"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1512"/>
        <w:gridCol w:w="1180"/>
        <w:gridCol w:w="1181"/>
        <w:gridCol w:w="26"/>
        <w:gridCol w:w="1155"/>
        <w:gridCol w:w="2100"/>
        <w:gridCol w:w="66"/>
        <w:gridCol w:w="1852"/>
      </w:tblGrid>
      <w:tr>
        <w:trPr>
          <w:trHeight w:val="447"/>
        </w:trPr>
        <w:tc>
          <w:tcPr>
            <w:tcW w:w="3899" w:type="dxa"/>
            <w:gridSpan w:val="4"/>
            <w:tcBorders>
              <w:top w:val="single" w:sz="8" w:space="0" w:color="000000"/>
              <w:left w:val="single" w:sz="8" w:space="0" w:color="000000"/>
              <w:bottom w:val="single" w:sz="8" w:space="0" w:color="000000"/>
              <w:right w:val="single" w:sz="8" w:space="0" w:color="000000"/>
            </w:tcBorders>
            <w:vAlign w:val="center"/>
          </w:tcPr>
          <w:p>
            <w:pPr>
              <w:widowControl/>
              <w:jc w:val="center"/>
              <w:rPr>
                <w:rFonts w:ascii="仿宋_GB2312" w:hAnsi="宋体"/>
                <w:kern w:val="0"/>
                <w:sz w:val="24"/>
                <w:szCs w:val="24"/>
              </w:rPr>
            </w:pPr>
            <w:r>
              <w:rPr>
                <w:rFonts w:ascii="仿宋_GB2312" w:hAnsi="宋体"/>
                <w:kern w:val="0"/>
                <w:sz w:val="24"/>
                <w:szCs w:val="24"/>
              </w:rPr>
              <w:t>项目名称</w:t>
            </w:r>
          </w:p>
        </w:tc>
        <w:tc>
          <w:tcPr>
            <w:tcW w:w="5173" w:type="dxa"/>
            <w:gridSpan w:val="4"/>
            <w:tcBorders>
              <w:top w:val="single" w:sz="8" w:space="0" w:color="000000"/>
              <w:left w:val="nil"/>
              <w:bottom w:val="single" w:sz="8" w:space="0" w:color="000000"/>
              <w:right w:val="single" w:sz="8" w:space="0" w:color="000000"/>
            </w:tcBorders>
            <w:vAlign w:val="center"/>
          </w:tcPr>
          <w:p>
            <w:pPr>
              <w:widowControl/>
              <w:jc w:val="center"/>
              <w:rPr>
                <w:rFonts w:ascii="仿宋_GB2312" w:eastAsia="宋体" w:hAnsi="宋体" w:hint="eastAsia"/>
                <w:kern w:val="0"/>
                <w:sz w:val="24"/>
                <w:szCs w:val="24"/>
                <w:lang w:eastAsia="zh-CN"/>
              </w:rPr>
            </w:pPr>
            <w:r>
              <w:rPr>
                <w:rFonts w:ascii="仿宋_GB2312" w:hAnsi="宋体" w:hint="eastAsia"/>
                <w:kern w:val="0"/>
                <w:sz w:val="24"/>
                <w:szCs w:val="24"/>
                <w:lang w:eastAsia="zh-CN"/>
              </w:rPr>
              <w:t>莲花三金土地项目</w:t>
            </w:r>
          </w:p>
        </w:tc>
      </w:tr>
      <w:tr>
        <w:trPr>
          <w:trHeight w:val="447"/>
        </w:trPr>
        <w:tc>
          <w:tcPr>
            <w:tcW w:w="3899" w:type="dxa"/>
            <w:gridSpan w:val="4"/>
            <w:tcBorders>
              <w:top w:val="single" w:sz="8" w:space="0" w:color="000000"/>
              <w:left w:val="single" w:sz="8" w:space="0" w:color="000000"/>
              <w:bottom w:val="single" w:sz="8" w:space="0" w:color="000000"/>
              <w:right w:val="single" w:sz="8" w:space="0" w:color="000000"/>
            </w:tcBorders>
            <w:vAlign w:val="center"/>
          </w:tcPr>
          <w:p>
            <w:pPr>
              <w:widowControl/>
              <w:jc w:val="center"/>
              <w:rPr>
                <w:rFonts w:ascii="仿宋_GB2312" w:hAnsi="宋体"/>
                <w:kern w:val="0"/>
                <w:sz w:val="24"/>
                <w:szCs w:val="24"/>
              </w:rPr>
            </w:pPr>
            <w:r>
              <w:rPr>
                <w:rFonts w:ascii="仿宋_GB2312" w:hAnsi="宋体"/>
                <w:kern w:val="0"/>
                <w:sz w:val="24"/>
                <w:szCs w:val="24"/>
              </w:rPr>
              <w:t>预算单位</w:t>
            </w:r>
          </w:p>
        </w:tc>
        <w:tc>
          <w:tcPr>
            <w:tcW w:w="5173" w:type="dxa"/>
            <w:gridSpan w:val="4"/>
            <w:tcBorders>
              <w:top w:val="single" w:sz="8" w:space="0" w:color="000000"/>
              <w:left w:val="nil"/>
              <w:bottom w:val="single" w:sz="8" w:space="0" w:color="000000"/>
              <w:right w:val="single" w:sz="8" w:space="0" w:color="000000"/>
            </w:tcBorders>
            <w:vAlign w:val="center"/>
          </w:tcPr>
          <w:p>
            <w:pPr>
              <w:widowControl/>
              <w:jc w:val="center"/>
              <w:rPr>
                <w:rFonts w:ascii="仿宋_GB2312" w:eastAsia="宋体" w:hAnsi="宋体" w:hint="eastAsia"/>
                <w:kern w:val="0"/>
                <w:sz w:val="24"/>
                <w:szCs w:val="24"/>
                <w:lang w:eastAsia="zh-CN"/>
              </w:rPr>
            </w:pPr>
            <w:r>
              <w:rPr>
                <w:rFonts w:ascii="仿宋_GB2312" w:hAnsi="宋体" w:hint="eastAsia"/>
                <w:kern w:val="0"/>
                <w:sz w:val="24"/>
                <w:szCs w:val="24"/>
                <w:lang w:eastAsia="zh-CN"/>
              </w:rPr>
              <w:t>广元市土地房屋征收拆迁事务中心</w:t>
            </w:r>
          </w:p>
        </w:tc>
      </w:tr>
      <w:tr>
        <w:trPr>
          <w:trHeight w:val="496"/>
        </w:trPr>
        <w:tc>
          <w:tcPr>
            <w:tcW w:w="1512" w:type="dxa"/>
            <w:vMerge w:val="restart"/>
            <w:tcBorders>
              <w:top w:val="nil"/>
              <w:left w:val="single" w:sz="8" w:space="0" w:color="000000"/>
              <w:bottom w:val="single" w:sz="8" w:space="0" w:color="000000"/>
              <w:right w:val="single" w:sz="8" w:space="0" w:color="000000"/>
            </w:tcBorders>
            <w:vAlign w:val="center"/>
          </w:tcPr>
          <w:p>
            <w:pPr>
              <w:widowControl/>
              <w:jc w:val="center"/>
              <w:rPr>
                <w:rFonts w:ascii="仿宋_GB2312" w:hAnsi="宋体"/>
                <w:kern w:val="0"/>
                <w:sz w:val="24"/>
                <w:szCs w:val="24"/>
              </w:rPr>
            </w:pPr>
            <w:r>
              <w:rPr>
                <w:rFonts w:ascii="仿宋_GB2312" w:hAnsi="宋体"/>
                <w:kern w:val="0"/>
                <w:sz w:val="24"/>
                <w:szCs w:val="24"/>
              </w:rPr>
              <w:t>预算执行情况(万元)</w:t>
            </w:r>
          </w:p>
        </w:tc>
        <w:tc>
          <w:tcPr>
            <w:tcW w:w="2387" w:type="dxa"/>
            <w:gridSpan w:val="3"/>
            <w:tcBorders>
              <w:top w:val="single" w:sz="8" w:space="0" w:color="000000"/>
              <w:left w:val="nil"/>
              <w:bottom w:val="single" w:sz="8" w:space="0" w:color="000000"/>
              <w:right w:val="single" w:sz="8" w:space="0" w:color="000000"/>
            </w:tcBorders>
            <w:vAlign w:val="center"/>
          </w:tcPr>
          <w:p>
            <w:pPr>
              <w:widowControl/>
              <w:jc w:val="center"/>
              <w:rPr>
                <w:rFonts w:ascii="仿宋_GB2312" w:hAnsi="宋体"/>
                <w:kern w:val="0"/>
                <w:sz w:val="24"/>
                <w:szCs w:val="24"/>
              </w:rPr>
            </w:pPr>
            <w:r>
              <w:rPr>
                <w:rFonts w:ascii="仿宋_GB2312" w:hAnsi="宋体"/>
                <w:kern w:val="0"/>
                <w:sz w:val="24"/>
                <w:szCs w:val="24"/>
              </w:rPr>
              <w:t>预算数:</w:t>
            </w:r>
          </w:p>
        </w:tc>
        <w:tc>
          <w:tcPr>
            <w:tcW w:w="1155" w:type="dxa"/>
            <w:tcBorders>
              <w:top w:val="nil"/>
              <w:left w:val="nil"/>
              <w:bottom w:val="single" w:sz="8" w:space="0" w:color="000000"/>
              <w:right w:val="single" w:sz="8" w:space="0" w:color="000000"/>
            </w:tcBorders>
            <w:vAlign w:val="center"/>
          </w:tcPr>
          <w:p>
            <w:pPr>
              <w:widowControl/>
              <w:jc w:val="center"/>
              <w:rPr>
                <w:rFonts w:ascii="仿宋_GB2312" w:eastAsia="宋体" w:hAnsi="宋体"/>
                <w:kern w:val="0"/>
                <w:sz w:val="24"/>
                <w:szCs w:val="24"/>
                <w:lang w:val="en-US" w:eastAsia="zh-CN"/>
              </w:rPr>
            </w:pPr>
            <w:r>
              <w:rPr>
                <w:rFonts w:ascii="仿宋_GB2312" w:hAnsi="宋体" w:hint="eastAsia"/>
                <w:kern w:val="0"/>
                <w:sz w:val="24"/>
                <w:szCs w:val="24"/>
                <w:lang w:val="en-US" w:eastAsia="zh-CN"/>
              </w:rPr>
              <w:t>4000万元</w:t>
            </w:r>
          </w:p>
        </w:tc>
        <w:tc>
          <w:tcPr>
            <w:tcW w:w="2100" w:type="dxa"/>
            <w:tcBorders>
              <w:top w:val="nil"/>
              <w:left w:val="nil"/>
              <w:bottom w:val="single" w:sz="8" w:space="0" w:color="000000"/>
              <w:right w:val="single" w:sz="8" w:space="0" w:color="000000"/>
            </w:tcBorders>
            <w:vAlign w:val="center"/>
          </w:tcPr>
          <w:p>
            <w:pPr>
              <w:widowControl/>
              <w:jc w:val="center"/>
              <w:rPr>
                <w:rFonts w:ascii="仿宋_GB2312" w:hAnsi="宋体"/>
                <w:kern w:val="0"/>
                <w:sz w:val="24"/>
                <w:szCs w:val="24"/>
              </w:rPr>
            </w:pPr>
            <w:r>
              <w:rPr>
                <w:rFonts w:ascii="仿宋_GB2312" w:hAnsi="宋体"/>
                <w:kern w:val="0"/>
                <w:sz w:val="24"/>
                <w:szCs w:val="24"/>
              </w:rPr>
              <w:t>执行数:</w:t>
            </w:r>
          </w:p>
        </w:tc>
        <w:tc>
          <w:tcPr>
            <w:tcW w:w="1918" w:type="dxa"/>
            <w:gridSpan w:val="2"/>
            <w:tcBorders>
              <w:top w:val="nil"/>
              <w:left w:val="nil"/>
              <w:bottom w:val="single" w:sz="8" w:space="0" w:color="000000"/>
              <w:right w:val="single" w:sz="8" w:space="0" w:color="000000"/>
            </w:tcBorders>
            <w:vAlign w:val="center"/>
          </w:tcPr>
          <w:p>
            <w:pPr>
              <w:widowControl/>
              <w:jc w:val="center"/>
              <w:rPr>
                <w:rFonts w:ascii="仿宋_GB2312" w:eastAsia="宋体" w:hAnsi="宋体"/>
                <w:kern w:val="0"/>
                <w:sz w:val="24"/>
                <w:szCs w:val="24"/>
                <w:lang w:val="en-US" w:eastAsia="zh-CN"/>
              </w:rPr>
            </w:pPr>
            <w:r>
              <w:rPr>
                <w:rFonts w:ascii="仿宋_GB2312" w:hAnsi="宋体" w:hint="eastAsia"/>
                <w:kern w:val="0"/>
                <w:sz w:val="24"/>
                <w:szCs w:val="24"/>
                <w:lang w:val="en-US" w:eastAsia="zh-CN"/>
              </w:rPr>
              <w:t>4000万元</w:t>
            </w:r>
          </w:p>
        </w:tc>
      </w:tr>
      <w:tr>
        <w:trPr>
          <w:trHeight w:val="497"/>
        </w:trPr>
        <w:tc>
          <w:tcPr>
            <w:tcW w:w="1512" w:type="dxa"/>
            <w:vMerge/>
            <w:tcBorders>
              <w:top w:val="nil"/>
              <w:left w:val="single" w:sz="8" w:space="0" w:color="000000"/>
              <w:bottom w:val="single" w:sz="8" w:space="0" w:color="000000"/>
              <w:right w:val="single" w:sz="8" w:space="0" w:color="000000"/>
            </w:tcBorders>
            <w:vAlign w:val="center"/>
          </w:tcPr>
          <w:p/>
        </w:tc>
        <w:tc>
          <w:tcPr>
            <w:tcW w:w="2387" w:type="dxa"/>
            <w:gridSpan w:val="3"/>
            <w:tcBorders>
              <w:top w:val="single" w:sz="8" w:space="0" w:color="000000"/>
              <w:left w:val="nil"/>
              <w:bottom w:val="single" w:sz="8" w:space="0" w:color="000000"/>
              <w:right w:val="single" w:sz="8" w:space="0" w:color="000000"/>
            </w:tcBorders>
            <w:vAlign w:val="center"/>
          </w:tcPr>
          <w:p>
            <w:pPr>
              <w:widowControl/>
              <w:jc w:val="center"/>
              <w:rPr>
                <w:rFonts w:ascii="仿宋_GB2312" w:hAnsi="宋体"/>
                <w:kern w:val="0"/>
                <w:sz w:val="24"/>
                <w:szCs w:val="24"/>
              </w:rPr>
            </w:pPr>
            <w:r>
              <w:rPr>
                <w:rFonts w:ascii="仿宋_GB2312" w:hAnsi="宋体"/>
                <w:kern w:val="0"/>
                <w:sz w:val="24"/>
                <w:szCs w:val="24"/>
              </w:rPr>
              <w:t>其中-财政拨款:</w:t>
            </w:r>
          </w:p>
        </w:tc>
        <w:tc>
          <w:tcPr>
            <w:tcW w:w="1155" w:type="dxa"/>
            <w:tcBorders>
              <w:top w:val="nil"/>
              <w:left w:val="nil"/>
              <w:bottom w:val="single" w:sz="8" w:space="0" w:color="000000"/>
              <w:right w:val="single" w:sz="8" w:space="0" w:color="000000"/>
            </w:tcBorders>
            <w:vAlign w:val="center"/>
          </w:tcPr>
          <w:p>
            <w:pPr>
              <w:widowControl/>
              <w:jc w:val="center"/>
              <w:rPr>
                <w:rFonts w:ascii="仿宋_GB2312" w:eastAsia="宋体" w:hAnsi="宋体"/>
                <w:kern w:val="0"/>
                <w:sz w:val="24"/>
                <w:szCs w:val="24"/>
                <w:lang w:val="en-US" w:eastAsia="zh-CN"/>
              </w:rPr>
            </w:pPr>
            <w:r>
              <w:rPr>
                <w:rFonts w:ascii="仿宋_GB2312" w:hAnsi="宋体" w:hint="eastAsia"/>
                <w:kern w:val="0"/>
                <w:sz w:val="24"/>
                <w:szCs w:val="24"/>
                <w:lang w:val="en-US" w:eastAsia="zh-CN"/>
              </w:rPr>
              <w:t>4000万元</w:t>
            </w:r>
          </w:p>
        </w:tc>
        <w:tc>
          <w:tcPr>
            <w:tcW w:w="2100" w:type="dxa"/>
            <w:tcBorders>
              <w:top w:val="nil"/>
              <w:left w:val="nil"/>
              <w:bottom w:val="single" w:sz="8" w:space="0" w:color="000000"/>
              <w:right w:val="single" w:sz="8" w:space="0" w:color="000000"/>
            </w:tcBorders>
            <w:vAlign w:val="center"/>
          </w:tcPr>
          <w:p>
            <w:pPr>
              <w:widowControl/>
              <w:jc w:val="center"/>
              <w:rPr>
                <w:rFonts w:ascii="仿宋_GB2312" w:hAnsi="宋体"/>
                <w:kern w:val="0"/>
                <w:sz w:val="24"/>
                <w:szCs w:val="24"/>
              </w:rPr>
            </w:pPr>
            <w:r>
              <w:rPr>
                <w:rFonts w:ascii="仿宋_GB2312" w:hAnsi="宋体"/>
                <w:kern w:val="0"/>
                <w:sz w:val="24"/>
                <w:szCs w:val="24"/>
              </w:rPr>
              <w:t>其中-财政拨款:</w:t>
            </w:r>
          </w:p>
        </w:tc>
        <w:tc>
          <w:tcPr>
            <w:tcW w:w="1918" w:type="dxa"/>
            <w:gridSpan w:val="2"/>
            <w:tcBorders>
              <w:top w:val="nil"/>
              <w:left w:val="nil"/>
              <w:bottom w:val="single" w:sz="8" w:space="0" w:color="000000"/>
              <w:right w:val="single" w:sz="8" w:space="0" w:color="000000"/>
            </w:tcBorders>
            <w:vAlign w:val="center"/>
          </w:tcPr>
          <w:p>
            <w:pPr>
              <w:widowControl/>
              <w:jc w:val="center"/>
              <w:rPr>
                <w:rFonts w:ascii="仿宋_GB2312" w:eastAsia="宋体" w:hAnsi="宋体"/>
                <w:kern w:val="0"/>
                <w:sz w:val="24"/>
                <w:szCs w:val="24"/>
                <w:lang w:val="en-US" w:eastAsia="zh-CN"/>
              </w:rPr>
            </w:pPr>
            <w:r>
              <w:rPr>
                <w:rFonts w:ascii="仿宋_GB2312" w:hAnsi="宋体" w:hint="eastAsia"/>
                <w:kern w:val="0"/>
                <w:sz w:val="24"/>
                <w:szCs w:val="24"/>
                <w:lang w:val="en-US" w:eastAsia="zh-CN"/>
              </w:rPr>
              <w:t>4000万元</w:t>
            </w:r>
          </w:p>
        </w:tc>
      </w:tr>
      <w:tr>
        <w:trPr>
          <w:trHeight w:val="497"/>
        </w:trPr>
        <w:tc>
          <w:tcPr>
            <w:tcW w:w="1512" w:type="dxa"/>
            <w:vMerge/>
            <w:tcBorders>
              <w:top w:val="nil"/>
              <w:left w:val="single" w:sz="8" w:space="0" w:color="000000"/>
              <w:bottom w:val="single" w:sz="8" w:space="0" w:color="000000"/>
              <w:right w:val="single" w:sz="8" w:space="0" w:color="000000"/>
            </w:tcBorders>
            <w:vAlign w:val="center"/>
          </w:tcPr>
          <w:p/>
        </w:tc>
        <w:tc>
          <w:tcPr>
            <w:tcW w:w="2387" w:type="dxa"/>
            <w:gridSpan w:val="3"/>
            <w:tcBorders>
              <w:top w:val="single" w:sz="8" w:space="0" w:color="000000"/>
              <w:left w:val="nil"/>
              <w:bottom w:val="single" w:sz="8" w:space="0" w:color="000000"/>
              <w:right w:val="single" w:sz="8" w:space="0" w:color="000000"/>
            </w:tcBorders>
            <w:vAlign w:val="center"/>
          </w:tcPr>
          <w:p>
            <w:pPr>
              <w:widowControl/>
              <w:jc w:val="center"/>
              <w:rPr>
                <w:rFonts w:ascii="仿宋_GB2312" w:hAnsi="宋体"/>
                <w:kern w:val="0"/>
                <w:sz w:val="24"/>
                <w:szCs w:val="24"/>
              </w:rPr>
            </w:pPr>
            <w:r>
              <w:rPr>
                <w:rFonts w:ascii="仿宋_GB2312" w:hAnsi="宋体"/>
                <w:kern w:val="0"/>
                <w:sz w:val="24"/>
                <w:szCs w:val="24"/>
              </w:rPr>
              <w:t>其它资金:</w:t>
            </w:r>
          </w:p>
        </w:tc>
        <w:tc>
          <w:tcPr>
            <w:tcW w:w="1155" w:type="dxa"/>
            <w:tcBorders>
              <w:top w:val="nil"/>
              <w:left w:val="nil"/>
              <w:bottom w:val="single" w:sz="8" w:space="0" w:color="000000"/>
              <w:right w:val="single" w:sz="8" w:space="0" w:color="000000"/>
            </w:tcBorders>
            <w:vAlign w:val="center"/>
          </w:tcPr>
          <w:p>
            <w:pPr>
              <w:widowControl/>
              <w:jc w:val="center"/>
              <w:rPr>
                <w:rFonts w:ascii="仿宋_GB2312" w:eastAsia="宋体" w:hAnsi="宋体" w:hint="eastAsia"/>
                <w:kern w:val="0"/>
                <w:sz w:val="24"/>
                <w:szCs w:val="24"/>
                <w:lang w:val="en-US" w:eastAsia="zh-CN"/>
              </w:rPr>
            </w:pPr>
            <w:r>
              <w:rPr>
                <w:rFonts w:ascii="仿宋_GB2312" w:hAnsi="宋体" w:hint="eastAsia"/>
                <w:kern w:val="0"/>
                <w:sz w:val="24"/>
                <w:szCs w:val="24"/>
                <w:lang w:val="en-US" w:eastAsia="zh-CN"/>
              </w:rPr>
              <w:t>0</w:t>
            </w:r>
          </w:p>
        </w:tc>
        <w:tc>
          <w:tcPr>
            <w:tcW w:w="2100" w:type="dxa"/>
            <w:tcBorders>
              <w:top w:val="nil"/>
              <w:left w:val="nil"/>
              <w:bottom w:val="single" w:sz="8" w:space="0" w:color="000000"/>
              <w:right w:val="single" w:sz="8" w:space="0" w:color="000000"/>
            </w:tcBorders>
            <w:vAlign w:val="center"/>
          </w:tcPr>
          <w:p>
            <w:pPr>
              <w:widowControl/>
              <w:jc w:val="center"/>
              <w:rPr>
                <w:rFonts w:ascii="仿宋_GB2312" w:hAnsi="宋体"/>
                <w:kern w:val="0"/>
                <w:sz w:val="24"/>
                <w:szCs w:val="24"/>
              </w:rPr>
            </w:pPr>
            <w:r>
              <w:rPr>
                <w:rFonts w:ascii="仿宋_GB2312" w:hAnsi="宋体"/>
                <w:kern w:val="0"/>
                <w:sz w:val="24"/>
                <w:szCs w:val="24"/>
              </w:rPr>
              <w:t>其它资金:</w:t>
            </w:r>
          </w:p>
        </w:tc>
        <w:tc>
          <w:tcPr>
            <w:tcW w:w="1918" w:type="dxa"/>
            <w:gridSpan w:val="2"/>
            <w:tcBorders>
              <w:top w:val="nil"/>
              <w:left w:val="nil"/>
              <w:bottom w:val="single" w:sz="8" w:space="0" w:color="000000"/>
              <w:right w:val="single" w:sz="8" w:space="0" w:color="000000"/>
            </w:tcBorders>
            <w:vAlign w:val="center"/>
          </w:tcPr>
          <w:p>
            <w:pPr>
              <w:widowControl/>
              <w:jc w:val="center"/>
              <w:rPr>
                <w:rFonts w:ascii="仿宋_GB2312" w:eastAsia="宋体" w:hAnsi="宋体" w:hint="eastAsia"/>
                <w:kern w:val="0"/>
                <w:sz w:val="24"/>
                <w:szCs w:val="24"/>
                <w:lang w:val="en-US" w:eastAsia="zh-CN"/>
              </w:rPr>
            </w:pPr>
            <w:r>
              <w:rPr>
                <w:rFonts w:ascii="仿宋_GB2312" w:hAnsi="宋体" w:hint="eastAsia"/>
                <w:kern w:val="0"/>
                <w:sz w:val="24"/>
                <w:szCs w:val="24"/>
                <w:lang w:val="en-US" w:eastAsia="zh-CN"/>
              </w:rPr>
              <w:t>0</w:t>
            </w:r>
          </w:p>
        </w:tc>
      </w:tr>
      <w:tr>
        <w:trPr>
          <w:trHeight w:val="620"/>
        </w:trPr>
        <w:tc>
          <w:tcPr>
            <w:tcW w:w="1512" w:type="dxa"/>
            <w:vMerge w:val="restart"/>
            <w:tcBorders>
              <w:top w:val="nil"/>
              <w:left w:val="single" w:sz="8" w:space="0" w:color="000000"/>
              <w:bottom w:val="single" w:sz="8" w:space="0" w:color="000000"/>
              <w:right w:val="single" w:sz="8" w:space="0" w:color="000000"/>
            </w:tcBorders>
            <w:vAlign w:val="center"/>
          </w:tcPr>
          <w:p>
            <w:pPr>
              <w:widowControl/>
              <w:jc w:val="center"/>
              <w:rPr>
                <w:rFonts w:ascii="仿宋_GB2312" w:hAnsi="宋体"/>
                <w:kern w:val="0"/>
                <w:sz w:val="24"/>
                <w:szCs w:val="24"/>
              </w:rPr>
            </w:pPr>
            <w:r>
              <w:rPr>
                <w:rFonts w:ascii="仿宋_GB2312" w:hAnsi="宋体"/>
                <w:kern w:val="0"/>
                <w:sz w:val="24"/>
                <w:szCs w:val="24"/>
              </w:rPr>
              <w:t>年度目标完成情况</w:t>
            </w:r>
          </w:p>
        </w:tc>
        <w:tc>
          <w:tcPr>
            <w:tcW w:w="3542" w:type="dxa"/>
            <w:gridSpan w:val="4"/>
            <w:tcBorders>
              <w:top w:val="single" w:sz="8" w:space="0" w:color="000000"/>
              <w:left w:val="nil"/>
              <w:bottom w:val="single" w:sz="8" w:space="0" w:color="000000"/>
              <w:right w:val="single" w:sz="8" w:space="0" w:color="000000"/>
            </w:tcBorders>
            <w:vAlign w:val="center"/>
          </w:tcPr>
          <w:p>
            <w:pPr>
              <w:widowControl/>
              <w:jc w:val="center"/>
              <w:rPr>
                <w:rFonts w:ascii="仿宋_GB2312" w:hAnsi="宋体"/>
                <w:kern w:val="0"/>
                <w:sz w:val="24"/>
                <w:szCs w:val="24"/>
              </w:rPr>
            </w:pPr>
            <w:r>
              <w:rPr>
                <w:rFonts w:ascii="仿宋_GB2312" w:hAnsi="宋体"/>
                <w:kern w:val="0"/>
                <w:sz w:val="24"/>
                <w:szCs w:val="24"/>
              </w:rPr>
              <w:t>预期目标</w:t>
            </w:r>
          </w:p>
        </w:tc>
        <w:tc>
          <w:tcPr>
            <w:tcW w:w="4018" w:type="dxa"/>
            <w:gridSpan w:val="3"/>
            <w:tcBorders>
              <w:top w:val="single" w:sz="8" w:space="0" w:color="000000"/>
              <w:left w:val="nil"/>
              <w:bottom w:val="single" w:sz="8" w:space="0" w:color="000000"/>
              <w:right w:val="single" w:sz="8" w:space="0" w:color="000000"/>
            </w:tcBorders>
            <w:vAlign w:val="center"/>
          </w:tcPr>
          <w:p>
            <w:pPr>
              <w:widowControl/>
              <w:jc w:val="center"/>
              <w:rPr>
                <w:rFonts w:ascii="仿宋_GB2312" w:hAnsi="宋体"/>
                <w:kern w:val="0"/>
                <w:sz w:val="24"/>
                <w:szCs w:val="24"/>
              </w:rPr>
            </w:pPr>
            <w:r>
              <w:rPr>
                <w:rFonts w:ascii="仿宋_GB2312" w:hAnsi="宋体"/>
                <w:kern w:val="0"/>
                <w:sz w:val="24"/>
                <w:szCs w:val="24"/>
              </w:rPr>
              <w:t>实际完成目标</w:t>
            </w:r>
          </w:p>
        </w:tc>
      </w:tr>
      <w:tr>
        <w:trPr>
          <w:trHeight w:val="621"/>
        </w:trPr>
        <w:tc>
          <w:tcPr>
            <w:tcW w:w="1512" w:type="dxa"/>
            <w:vMerge/>
            <w:tcBorders>
              <w:top w:val="nil"/>
              <w:left w:val="single" w:sz="8" w:space="0" w:color="000000"/>
              <w:bottom w:val="single" w:sz="8" w:space="0" w:color="000000"/>
              <w:right w:val="single" w:sz="8" w:space="0" w:color="000000"/>
            </w:tcBorders>
            <w:vAlign w:val="center"/>
          </w:tcPr>
          <w:p/>
        </w:tc>
        <w:tc>
          <w:tcPr>
            <w:tcW w:w="3542" w:type="dxa"/>
            <w:gridSpan w:val="4"/>
            <w:tcBorders>
              <w:top w:val="single" w:sz="8" w:space="0" w:color="000000"/>
              <w:left w:val="nil"/>
              <w:bottom w:val="single" w:sz="8" w:space="0" w:color="000000"/>
              <w:right w:val="single" w:sz="8" w:space="0" w:color="000000"/>
            </w:tcBorders>
            <w:vAlign w:val="center"/>
          </w:tcPr>
          <w:p>
            <w:pPr>
              <w:widowControl/>
              <w:jc w:val="center"/>
              <w:rPr>
                <w:rFonts w:ascii="仿宋_GB2312" w:eastAsia="宋体" w:hAnsi="宋体" w:hint="eastAsia"/>
                <w:kern w:val="0"/>
                <w:sz w:val="24"/>
                <w:szCs w:val="24"/>
                <w:lang w:eastAsia="zh-CN"/>
              </w:rPr>
            </w:pPr>
            <w:r>
              <w:rPr>
                <w:rFonts w:ascii="仿宋_GB2312" w:hAnsi="宋体" w:hint="eastAsia"/>
                <w:kern w:val="0"/>
                <w:sz w:val="24"/>
                <w:szCs w:val="24"/>
                <w:lang w:eastAsia="zh-CN"/>
              </w:rPr>
              <w:t>根据用地计划，全面完成项目内农房拆迁、企业搬迁、坟墓搬迁及附着物补偿等工作。</w:t>
            </w:r>
          </w:p>
        </w:tc>
        <w:tc>
          <w:tcPr>
            <w:tcW w:w="4018" w:type="dxa"/>
            <w:gridSpan w:val="3"/>
            <w:tcBorders>
              <w:top w:val="single" w:sz="8" w:space="0" w:color="000000"/>
              <w:left w:val="nil"/>
              <w:bottom w:val="single" w:sz="8" w:space="0" w:color="000000"/>
              <w:right w:val="single" w:sz="8" w:space="0" w:color="000000"/>
            </w:tcBorders>
            <w:vAlign w:val="center"/>
          </w:tcPr>
          <w:p>
            <w:pPr>
              <w:widowControl/>
              <w:jc w:val="center"/>
              <w:rPr>
                <w:rFonts w:ascii="仿宋_GB2312" w:eastAsia="宋体" w:hAnsi="宋体" w:hint="eastAsia"/>
                <w:kern w:val="0"/>
                <w:sz w:val="24"/>
                <w:szCs w:val="24"/>
                <w:lang w:eastAsia="zh-CN"/>
              </w:rPr>
            </w:pPr>
            <w:r>
              <w:rPr>
                <w:rFonts w:ascii="仿宋_GB2312" w:hAnsi="宋体" w:hint="eastAsia"/>
                <w:kern w:val="0"/>
                <w:sz w:val="24"/>
                <w:szCs w:val="24"/>
                <w:lang w:eastAsia="zh-CN"/>
              </w:rPr>
              <w:t>已全面完成</w:t>
            </w:r>
          </w:p>
        </w:tc>
      </w:tr>
      <w:tr>
        <w:trPr>
          <w:trHeight w:val="423"/>
        </w:trPr>
        <w:tc>
          <w:tcPr>
            <w:tcW w:w="1512" w:type="dxa"/>
            <w:vMerge w:val="restart"/>
            <w:tcBorders>
              <w:top w:val="nil"/>
              <w:left w:val="single" w:sz="8" w:space="0" w:color="000000"/>
              <w:bottom w:val="single" w:sz="8" w:space="0" w:color="000000"/>
              <w:right w:val="single" w:sz="8" w:space="0" w:color="000000"/>
            </w:tcBorders>
            <w:vAlign w:val="center"/>
          </w:tcPr>
          <w:p>
            <w:pPr>
              <w:widowControl/>
              <w:jc w:val="center"/>
              <w:rPr>
                <w:rFonts w:ascii="仿宋_GB2312" w:hAnsi="宋体"/>
                <w:kern w:val="0"/>
                <w:sz w:val="24"/>
                <w:szCs w:val="24"/>
              </w:rPr>
            </w:pPr>
            <w:r>
              <w:rPr>
                <w:rFonts w:ascii="仿宋_GB2312" w:hAnsi="宋体"/>
                <w:kern w:val="0"/>
                <w:sz w:val="24"/>
                <w:szCs w:val="24"/>
              </w:rPr>
              <w:t>绩效指标完成情况</w:t>
            </w:r>
          </w:p>
        </w:tc>
        <w:tc>
          <w:tcPr>
            <w:tcW w:w="1180" w:type="dxa"/>
            <w:tcBorders>
              <w:top w:val="nil"/>
              <w:left w:val="nil"/>
              <w:bottom w:val="single" w:sz="8" w:space="0" w:color="000000"/>
              <w:right w:val="single" w:sz="8" w:space="0" w:color="000000"/>
            </w:tcBorders>
            <w:vAlign w:val="center"/>
          </w:tcPr>
          <w:p>
            <w:pPr>
              <w:widowControl/>
              <w:jc w:val="center"/>
              <w:rPr>
                <w:rFonts w:ascii="仿宋_GB2312" w:hAnsi="宋体"/>
                <w:kern w:val="0"/>
                <w:sz w:val="24"/>
                <w:szCs w:val="24"/>
              </w:rPr>
            </w:pPr>
            <w:r>
              <w:rPr>
                <w:rFonts w:ascii="仿宋_GB2312" w:hAnsi="宋体"/>
                <w:kern w:val="0"/>
                <w:sz w:val="24"/>
                <w:szCs w:val="24"/>
              </w:rPr>
              <w:t>一级指标</w:t>
            </w:r>
          </w:p>
        </w:tc>
        <w:tc>
          <w:tcPr>
            <w:tcW w:w="1181" w:type="dxa"/>
            <w:tcBorders>
              <w:top w:val="nil"/>
              <w:left w:val="nil"/>
              <w:bottom w:val="single" w:sz="8" w:space="0" w:color="000000"/>
              <w:right w:val="single" w:sz="8" w:space="0" w:color="000000"/>
            </w:tcBorders>
            <w:vAlign w:val="center"/>
          </w:tcPr>
          <w:p>
            <w:pPr>
              <w:widowControl/>
              <w:jc w:val="center"/>
              <w:rPr>
                <w:rFonts w:ascii="仿宋_GB2312" w:hAnsi="宋体"/>
                <w:kern w:val="0"/>
                <w:sz w:val="24"/>
                <w:szCs w:val="24"/>
              </w:rPr>
            </w:pPr>
            <w:r>
              <w:rPr>
                <w:rFonts w:ascii="仿宋_GB2312" w:hAnsi="宋体"/>
                <w:kern w:val="0"/>
                <w:sz w:val="24"/>
                <w:szCs w:val="24"/>
              </w:rPr>
              <w:t>二级指标</w:t>
            </w:r>
          </w:p>
        </w:tc>
        <w:tc>
          <w:tcPr>
            <w:tcW w:w="1181" w:type="dxa"/>
            <w:gridSpan w:val="2"/>
            <w:tcBorders>
              <w:top w:val="nil"/>
              <w:left w:val="nil"/>
              <w:bottom w:val="single" w:sz="8" w:space="0" w:color="000000"/>
              <w:right w:val="single" w:sz="8" w:space="0" w:color="000000"/>
            </w:tcBorders>
            <w:vAlign w:val="center"/>
          </w:tcPr>
          <w:p>
            <w:pPr>
              <w:widowControl/>
              <w:jc w:val="center"/>
              <w:rPr>
                <w:rFonts w:ascii="仿宋_GB2312" w:hAnsi="宋体"/>
                <w:kern w:val="0"/>
                <w:sz w:val="24"/>
                <w:szCs w:val="24"/>
              </w:rPr>
            </w:pPr>
            <w:r>
              <w:rPr>
                <w:rFonts w:ascii="仿宋_GB2312" w:hAnsi="宋体"/>
                <w:kern w:val="0"/>
                <w:sz w:val="24"/>
                <w:szCs w:val="24"/>
              </w:rPr>
              <w:t>三级指标</w:t>
            </w:r>
          </w:p>
        </w:tc>
        <w:tc>
          <w:tcPr>
            <w:tcW w:w="2166" w:type="dxa"/>
            <w:gridSpan w:val="2"/>
            <w:tcBorders>
              <w:top w:val="nil"/>
              <w:left w:val="nil"/>
              <w:bottom w:val="single" w:sz="8" w:space="0" w:color="000000"/>
              <w:right w:val="single" w:sz="8" w:space="0" w:color="000000"/>
            </w:tcBorders>
            <w:vAlign w:val="center"/>
          </w:tcPr>
          <w:p>
            <w:pPr>
              <w:widowControl/>
              <w:jc w:val="center"/>
              <w:rPr>
                <w:rFonts w:ascii="仿宋_GB2312" w:hAnsi="宋体"/>
                <w:kern w:val="0"/>
                <w:sz w:val="24"/>
                <w:szCs w:val="24"/>
              </w:rPr>
            </w:pPr>
            <w:r>
              <w:rPr>
                <w:rFonts w:ascii="仿宋_GB2312" w:hAnsi="宋体"/>
                <w:kern w:val="0"/>
                <w:sz w:val="24"/>
                <w:szCs w:val="24"/>
              </w:rPr>
              <w:t>预期指标值(包含数字及</w:t>
            </w:r>
            <w:r>
              <w:rPr>
                <w:rFonts w:ascii="仿宋_GB2312" w:hAnsi="宋体"/>
                <w:kern w:val="0"/>
                <w:sz w:val="24"/>
                <w:szCs w:val="24"/>
                <w:u w:val="single"/>
              </w:rPr>
              <w:t>文字描述</w:t>
            </w:r>
            <w:r>
              <w:rPr>
                <w:rFonts w:ascii="仿宋_GB2312" w:hAnsi="宋体"/>
                <w:kern w:val="0"/>
                <w:sz w:val="24"/>
                <w:szCs w:val="24"/>
              </w:rPr>
              <w:t>)</w:t>
            </w:r>
          </w:p>
        </w:tc>
        <w:tc>
          <w:tcPr>
            <w:tcW w:w="1852" w:type="dxa"/>
            <w:tcBorders>
              <w:top w:val="nil"/>
              <w:left w:val="nil"/>
              <w:bottom w:val="single" w:sz="8" w:space="0" w:color="000000"/>
              <w:right w:val="single" w:sz="8" w:space="0" w:color="000000"/>
            </w:tcBorders>
            <w:vAlign w:val="center"/>
          </w:tcPr>
          <w:p>
            <w:pPr>
              <w:widowControl/>
              <w:jc w:val="center"/>
              <w:rPr>
                <w:rFonts w:ascii="仿宋_GB2312" w:hAnsi="宋体"/>
                <w:kern w:val="0"/>
                <w:sz w:val="24"/>
                <w:szCs w:val="24"/>
              </w:rPr>
            </w:pPr>
            <w:r>
              <w:rPr>
                <w:rFonts w:ascii="仿宋_GB2312" w:hAnsi="宋体"/>
                <w:kern w:val="0"/>
                <w:sz w:val="24"/>
                <w:szCs w:val="24"/>
              </w:rPr>
              <w:t>实际完成指标值(包含数字及</w:t>
            </w:r>
            <w:r>
              <w:rPr>
                <w:rFonts w:ascii="仿宋_GB2312" w:hAnsi="宋体"/>
                <w:kern w:val="0"/>
                <w:sz w:val="24"/>
                <w:szCs w:val="24"/>
                <w:u w:val="single"/>
              </w:rPr>
              <w:t>文字描述</w:t>
            </w:r>
            <w:r>
              <w:rPr>
                <w:rFonts w:ascii="仿宋_GB2312" w:hAnsi="宋体"/>
                <w:kern w:val="0"/>
                <w:sz w:val="24"/>
                <w:szCs w:val="24"/>
              </w:rPr>
              <w:t>)</w:t>
            </w:r>
          </w:p>
        </w:tc>
      </w:tr>
      <w:tr>
        <w:trPr>
          <w:trHeight w:val="906"/>
        </w:trPr>
        <w:tc>
          <w:tcPr>
            <w:tcW w:w="1512" w:type="dxa"/>
            <w:vMerge/>
            <w:tcBorders>
              <w:top w:val="nil"/>
              <w:left w:val="single" w:sz="8" w:space="0" w:color="000000"/>
              <w:bottom w:val="single" w:sz="8" w:space="0" w:color="000000"/>
              <w:right w:val="single" w:sz="8" w:space="0" w:color="000000"/>
            </w:tcBorders>
            <w:vAlign w:val="center"/>
          </w:tcPr>
          <w:p/>
        </w:tc>
        <w:tc>
          <w:tcPr>
            <w:tcW w:w="1180" w:type="dxa"/>
            <w:tcBorders>
              <w:top w:val="nil"/>
              <w:left w:val="nil"/>
              <w:bottom w:val="single" w:sz="8" w:space="0" w:color="000000"/>
              <w:right w:val="single" w:sz="8" w:space="0" w:color="000000"/>
            </w:tcBorders>
            <w:vAlign w:val="center"/>
          </w:tcPr>
          <w:p>
            <w:pPr>
              <w:widowControl/>
              <w:jc w:val="center"/>
              <w:rPr>
                <w:rFonts w:ascii="仿宋_GB2312" w:hAnsi="宋体"/>
                <w:kern w:val="0"/>
                <w:sz w:val="24"/>
                <w:szCs w:val="24"/>
              </w:rPr>
            </w:pPr>
            <w:r>
              <w:rPr>
                <w:rFonts w:ascii="仿宋_GB2312" w:hAnsi="宋体"/>
                <w:kern w:val="0"/>
                <w:sz w:val="24"/>
                <w:szCs w:val="24"/>
              </w:rPr>
              <w:t>项目完成指标</w:t>
            </w:r>
          </w:p>
        </w:tc>
        <w:tc>
          <w:tcPr>
            <w:tcW w:w="1181" w:type="dxa"/>
            <w:tcBorders>
              <w:top w:val="nil"/>
              <w:left w:val="nil"/>
              <w:bottom w:val="single" w:sz="8" w:space="0" w:color="000000"/>
              <w:right w:val="single" w:sz="8" w:space="0" w:color="000000"/>
            </w:tcBorders>
            <w:vAlign w:val="center"/>
          </w:tcPr>
          <w:p>
            <w:pPr>
              <w:widowControl/>
              <w:jc w:val="center"/>
              <w:rPr>
                <w:rFonts w:ascii="仿宋_GB2312" w:hAnsi="宋体"/>
                <w:kern w:val="0"/>
                <w:sz w:val="24"/>
                <w:szCs w:val="24"/>
              </w:rPr>
            </w:pPr>
            <w:r>
              <w:rPr>
                <w:rFonts w:ascii="仿宋_GB2312" w:hAnsi="宋体" w:hint="eastAsia"/>
                <w:kern w:val="0"/>
                <w:sz w:val="24"/>
                <w:szCs w:val="24"/>
                <w:lang w:eastAsia="zh-CN"/>
              </w:rPr>
              <w:t>时效指标</w:t>
            </w:r>
            <w:r>
              <w:rPr>
                <w:rFonts w:ascii="仿宋_GB2312" w:hAnsi="宋体"/>
                <w:kern w:val="0"/>
                <w:sz w:val="24"/>
                <w:szCs w:val="24"/>
              </w:rPr>
              <w:t>　</w:t>
            </w:r>
          </w:p>
        </w:tc>
        <w:tc>
          <w:tcPr>
            <w:tcW w:w="1181" w:type="dxa"/>
            <w:gridSpan w:val="2"/>
            <w:tcBorders>
              <w:top w:val="nil"/>
              <w:left w:val="nil"/>
              <w:bottom w:val="single" w:sz="8" w:space="0" w:color="000000"/>
              <w:right w:val="single" w:sz="8" w:space="0" w:color="000000"/>
            </w:tcBorders>
            <w:vAlign w:val="center"/>
          </w:tcPr>
          <w:p>
            <w:pPr>
              <w:widowControl/>
              <w:jc w:val="center"/>
              <w:rPr>
                <w:rFonts w:ascii="仿宋_GB2312" w:hAnsi="宋体"/>
                <w:kern w:val="0"/>
                <w:sz w:val="24"/>
                <w:szCs w:val="24"/>
              </w:rPr>
            </w:pPr>
            <w:r>
              <w:rPr>
                <w:rFonts w:ascii="仿宋_GB2312" w:hAnsi="宋体" w:hint="eastAsia"/>
                <w:kern w:val="0"/>
                <w:sz w:val="24"/>
                <w:szCs w:val="24"/>
                <w:lang w:val="en-US" w:eastAsia="zh-CN"/>
              </w:rPr>
              <w:t>2019年10月完成</w:t>
            </w:r>
            <w:r>
              <w:rPr>
                <w:rFonts w:ascii="仿宋_GB2312" w:hAnsi="宋体"/>
                <w:kern w:val="0"/>
                <w:sz w:val="24"/>
                <w:szCs w:val="24"/>
              </w:rPr>
              <w:t>　</w:t>
            </w:r>
          </w:p>
        </w:tc>
        <w:tc>
          <w:tcPr>
            <w:tcW w:w="2166" w:type="dxa"/>
            <w:gridSpan w:val="2"/>
            <w:tcBorders>
              <w:top w:val="nil"/>
              <w:left w:val="nil"/>
              <w:bottom w:val="single" w:sz="8" w:space="0" w:color="000000"/>
              <w:right w:val="single" w:sz="8" w:space="0" w:color="000000"/>
            </w:tcBorders>
            <w:vAlign w:val="center"/>
          </w:tcPr>
          <w:p>
            <w:pPr>
              <w:widowControl/>
              <w:jc w:val="center"/>
              <w:textAlignment w:val="center"/>
              <w:rPr>
                <w:rFonts w:ascii="仿宋_GB2312" w:eastAsia="宋体" w:hAnsi="宋体" w:hint="eastAsia"/>
                <w:kern w:val="0"/>
                <w:sz w:val="24"/>
                <w:szCs w:val="24"/>
                <w:lang w:eastAsia="zh-CN"/>
              </w:rPr>
            </w:pPr>
            <w:r>
              <w:rPr>
                <w:rFonts w:ascii="宋体" w:cs="宋体" w:hint="eastAsia"/>
                <w:sz w:val="24"/>
              </w:rPr>
              <w:t>完成项目上涉及地</w:t>
            </w:r>
            <w:r>
              <w:rPr>
                <w:rFonts w:ascii="宋体" w:cs="宋体" w:hint="eastAsia"/>
                <w:sz w:val="24"/>
                <w:lang w:eastAsia="zh-CN"/>
              </w:rPr>
              <w:t>内</w:t>
            </w:r>
            <w:r>
              <w:rPr>
                <w:rFonts w:ascii="宋体" w:cs="宋体" w:hint="eastAsia"/>
                <w:sz w:val="24"/>
              </w:rPr>
              <w:t>房屋</w:t>
            </w:r>
            <w:r>
              <w:rPr>
                <w:rFonts w:ascii="宋体" w:cs="宋体" w:hint="eastAsia"/>
                <w:sz w:val="24"/>
                <w:lang w:eastAsia="zh-CN"/>
              </w:rPr>
              <w:t>、企业、坟墓</w:t>
            </w:r>
            <w:r>
              <w:rPr>
                <w:rFonts w:ascii="宋体" w:cs="宋体" w:hint="eastAsia"/>
                <w:sz w:val="24"/>
              </w:rPr>
              <w:t>及附着物征拆补偿工作，并及时兑付补偿资金</w:t>
            </w:r>
            <w:r>
              <w:rPr>
                <w:rFonts w:ascii="宋体" w:cs="宋体" w:hint="eastAsia"/>
                <w:sz w:val="24"/>
                <w:lang w:eastAsia="zh-CN"/>
              </w:rPr>
              <w:t>。</w:t>
            </w:r>
          </w:p>
        </w:tc>
        <w:tc>
          <w:tcPr>
            <w:tcW w:w="1852" w:type="dxa"/>
            <w:tcBorders>
              <w:top w:val="nil"/>
              <w:left w:val="nil"/>
              <w:bottom w:val="single" w:sz="8" w:space="0" w:color="000000"/>
              <w:right w:val="single" w:sz="8" w:space="0" w:color="000000"/>
            </w:tcBorders>
            <w:vAlign w:val="center"/>
          </w:tcPr>
          <w:p>
            <w:pPr>
              <w:widowControl/>
              <w:jc w:val="center"/>
              <w:rPr>
                <w:rFonts w:ascii="仿宋_GB2312" w:eastAsia="宋体" w:hAnsi="宋体" w:hint="eastAsia"/>
                <w:kern w:val="0"/>
                <w:sz w:val="24"/>
                <w:szCs w:val="24"/>
                <w:lang w:eastAsia="zh-CN"/>
              </w:rPr>
            </w:pPr>
            <w:r>
              <w:rPr>
                <w:rFonts w:ascii="宋体" w:cs="宋体" w:hint="eastAsia"/>
                <w:sz w:val="24"/>
              </w:rPr>
              <w:t>项目于2019年10月完成项目</w:t>
            </w:r>
            <w:r>
              <w:rPr>
                <w:rFonts w:ascii="宋体" w:cs="宋体" w:hint="eastAsia"/>
                <w:sz w:val="24"/>
                <w:lang w:eastAsia="zh-CN"/>
              </w:rPr>
              <w:t>内</w:t>
            </w:r>
            <w:r>
              <w:rPr>
                <w:rFonts w:ascii="宋体" w:cs="宋体" w:hint="eastAsia"/>
                <w:sz w:val="24"/>
              </w:rPr>
              <w:t>涉及地上房屋</w:t>
            </w:r>
            <w:r>
              <w:rPr>
                <w:rFonts w:ascii="宋体" w:cs="宋体" w:hint="eastAsia"/>
                <w:sz w:val="24"/>
                <w:lang w:eastAsia="zh-CN"/>
              </w:rPr>
              <w:t>、企业、坟墓</w:t>
            </w:r>
            <w:r>
              <w:rPr>
                <w:rFonts w:ascii="宋体" w:cs="宋体" w:hint="eastAsia"/>
                <w:sz w:val="24"/>
              </w:rPr>
              <w:t>及附着物征拆补偿工作，并及时兑付补偿资金</w:t>
            </w:r>
            <w:r>
              <w:rPr>
                <w:rFonts w:ascii="宋体" w:cs="宋体" w:hint="eastAsia"/>
                <w:sz w:val="24"/>
                <w:lang w:eastAsia="zh-CN"/>
              </w:rPr>
              <w:t>。</w:t>
            </w:r>
          </w:p>
        </w:tc>
      </w:tr>
      <w:tr>
        <w:trPr>
          <w:trHeight w:val="1197"/>
        </w:trPr>
        <w:tc>
          <w:tcPr>
            <w:tcW w:w="1512" w:type="dxa"/>
            <w:vMerge/>
            <w:tcBorders>
              <w:top w:val="nil"/>
              <w:left w:val="single" w:sz="8" w:space="0" w:color="000000"/>
              <w:bottom w:val="single" w:sz="8" w:space="0" w:color="000000"/>
              <w:right w:val="single" w:sz="8" w:space="0" w:color="000000"/>
            </w:tcBorders>
            <w:vAlign w:val="center"/>
          </w:tcPr>
          <w:p/>
        </w:tc>
        <w:tc>
          <w:tcPr>
            <w:tcW w:w="1180" w:type="dxa"/>
            <w:tcBorders>
              <w:top w:val="nil"/>
              <w:left w:val="nil"/>
              <w:bottom w:val="single" w:sz="8" w:space="0" w:color="000000"/>
              <w:right w:val="single" w:sz="8" w:space="0" w:color="000000"/>
            </w:tcBorders>
            <w:vAlign w:val="center"/>
          </w:tcPr>
          <w:p>
            <w:pPr>
              <w:widowControl/>
              <w:jc w:val="center"/>
              <w:rPr>
                <w:rFonts w:ascii="仿宋_GB2312" w:hAnsi="宋体"/>
                <w:kern w:val="0"/>
                <w:sz w:val="24"/>
                <w:szCs w:val="24"/>
              </w:rPr>
            </w:pPr>
            <w:r>
              <w:rPr>
                <w:rFonts w:ascii="仿宋_GB2312" w:hAnsi="宋体"/>
                <w:kern w:val="0"/>
                <w:sz w:val="24"/>
                <w:szCs w:val="24"/>
              </w:rPr>
              <w:t>效益指标</w:t>
            </w:r>
          </w:p>
        </w:tc>
        <w:tc>
          <w:tcPr>
            <w:tcW w:w="1181" w:type="dxa"/>
            <w:tcBorders>
              <w:top w:val="nil"/>
              <w:left w:val="nil"/>
              <w:bottom w:val="single" w:sz="8" w:space="0" w:color="000000"/>
              <w:right w:val="single" w:sz="8" w:space="0" w:color="000000"/>
            </w:tcBorders>
            <w:vAlign w:val="center"/>
          </w:tcPr>
          <w:p>
            <w:pPr>
              <w:widowControl/>
              <w:jc w:val="center"/>
              <w:rPr>
                <w:rFonts w:ascii="仿宋_GB2312" w:hAnsi="宋体"/>
                <w:kern w:val="0"/>
                <w:sz w:val="24"/>
                <w:szCs w:val="24"/>
              </w:rPr>
            </w:pPr>
            <w:r>
              <w:rPr>
                <w:rFonts w:ascii="仿宋_GB2312" w:hAnsi="宋体" w:hint="eastAsia"/>
                <w:kern w:val="0"/>
                <w:sz w:val="24"/>
                <w:szCs w:val="24"/>
                <w:lang w:eastAsia="zh-CN"/>
              </w:rPr>
              <w:t>经济效益指标</w:t>
            </w:r>
            <w:r>
              <w:rPr>
                <w:rFonts w:ascii="仿宋_GB2312" w:hAnsi="宋体"/>
                <w:kern w:val="0"/>
                <w:sz w:val="24"/>
                <w:szCs w:val="24"/>
              </w:rPr>
              <w:t>　</w:t>
            </w:r>
          </w:p>
        </w:tc>
        <w:tc>
          <w:tcPr>
            <w:tcW w:w="1181" w:type="dxa"/>
            <w:gridSpan w:val="2"/>
            <w:tcBorders>
              <w:top w:val="nil"/>
              <w:left w:val="nil"/>
              <w:bottom w:val="single" w:sz="8" w:space="0" w:color="000000"/>
              <w:right w:val="single" w:sz="8" w:space="0" w:color="000000"/>
            </w:tcBorders>
            <w:vAlign w:val="center"/>
          </w:tcPr>
          <w:p>
            <w:pPr>
              <w:widowControl/>
              <w:jc w:val="center"/>
              <w:rPr>
                <w:rFonts w:ascii="仿宋_GB2312" w:eastAsia="宋体" w:hAnsi="宋体" w:hint="eastAsia"/>
                <w:kern w:val="0"/>
                <w:sz w:val="24"/>
                <w:szCs w:val="24"/>
                <w:lang w:eastAsia="zh-CN"/>
              </w:rPr>
            </w:pPr>
            <w:r>
              <w:rPr>
                <w:rFonts w:ascii="仿宋_GB2312" w:hAnsi="宋体"/>
                <w:kern w:val="0"/>
                <w:sz w:val="24"/>
                <w:szCs w:val="24"/>
              </w:rPr>
              <w:t>　</w:t>
            </w:r>
            <w:r>
              <w:rPr>
                <w:rFonts w:ascii="仿宋_GB2312" w:hAnsi="宋体" w:hint="eastAsia"/>
                <w:kern w:val="0"/>
                <w:sz w:val="24"/>
                <w:szCs w:val="24"/>
                <w:lang w:eastAsia="zh-CN"/>
              </w:rPr>
              <w:t>促进社会经济发展</w:t>
            </w:r>
          </w:p>
        </w:tc>
        <w:tc>
          <w:tcPr>
            <w:tcW w:w="2166" w:type="dxa"/>
            <w:gridSpan w:val="2"/>
            <w:tcBorders>
              <w:top w:val="nil"/>
              <w:left w:val="nil"/>
              <w:bottom w:val="single" w:sz="8" w:space="0" w:color="000000"/>
              <w:right w:val="single" w:sz="8" w:space="0" w:color="000000"/>
            </w:tcBorders>
            <w:vAlign w:val="center"/>
          </w:tcPr>
          <w:p>
            <w:pPr>
              <w:widowControl/>
              <w:jc w:val="center"/>
              <w:textAlignment w:val="center"/>
              <w:rPr>
                <w:rFonts w:ascii="仿宋_GB2312" w:hAnsi="宋体"/>
                <w:kern w:val="0"/>
                <w:sz w:val="24"/>
                <w:szCs w:val="24"/>
              </w:rPr>
            </w:pPr>
            <w:r>
              <w:rPr>
                <w:rFonts w:ascii="宋体" w:cs="宋体" w:hint="eastAsia"/>
                <w:sz w:val="24"/>
              </w:rPr>
              <w:t>加快建设施工，保障群众合法权益，促进社会经济发展</w:t>
            </w:r>
          </w:p>
        </w:tc>
        <w:tc>
          <w:tcPr>
            <w:tcW w:w="1852" w:type="dxa"/>
            <w:tcBorders>
              <w:top w:val="nil"/>
              <w:left w:val="nil"/>
              <w:bottom w:val="single" w:sz="8" w:space="0" w:color="000000"/>
              <w:right w:val="single" w:sz="8" w:space="0" w:color="000000"/>
            </w:tcBorders>
            <w:vAlign w:val="center"/>
          </w:tcPr>
          <w:p>
            <w:pPr>
              <w:widowControl/>
              <w:jc w:val="center"/>
              <w:textAlignment w:val="center"/>
              <w:rPr>
                <w:rFonts w:ascii="仿宋_GB2312" w:hAnsi="宋体"/>
                <w:kern w:val="0"/>
                <w:sz w:val="24"/>
                <w:szCs w:val="24"/>
              </w:rPr>
            </w:pPr>
            <w:r>
              <w:rPr>
                <w:rFonts w:ascii="宋体" w:cs="宋体" w:hint="eastAsia"/>
                <w:sz w:val="24"/>
              </w:rPr>
              <w:t>加快建设施工，保障群众合法权益，促进社会经济发展</w:t>
            </w:r>
          </w:p>
        </w:tc>
      </w:tr>
      <w:tr>
        <w:trPr>
          <w:trHeight w:val="1677"/>
        </w:trPr>
        <w:tc>
          <w:tcPr>
            <w:tcW w:w="1512" w:type="dxa"/>
            <w:vMerge/>
            <w:tcBorders>
              <w:top w:val="nil"/>
              <w:left w:val="single" w:sz="8" w:space="0" w:color="000000"/>
              <w:bottom w:val="single" w:sz="8" w:space="0" w:color="000000"/>
              <w:right w:val="single" w:sz="8" w:space="0" w:color="000000"/>
            </w:tcBorders>
            <w:vAlign w:val="center"/>
          </w:tcPr>
          <w:p/>
        </w:tc>
        <w:tc>
          <w:tcPr>
            <w:tcW w:w="1180" w:type="dxa"/>
            <w:tcBorders>
              <w:top w:val="nil"/>
              <w:left w:val="nil"/>
              <w:bottom w:val="single" w:sz="8" w:space="0" w:color="000000"/>
              <w:right w:val="single" w:sz="8" w:space="0" w:color="000000"/>
            </w:tcBorders>
            <w:vAlign w:val="center"/>
          </w:tcPr>
          <w:p>
            <w:pPr>
              <w:widowControl/>
              <w:jc w:val="center"/>
              <w:rPr>
                <w:rFonts w:ascii="仿宋_GB2312" w:hAnsi="宋体"/>
                <w:kern w:val="0"/>
                <w:sz w:val="24"/>
                <w:szCs w:val="24"/>
              </w:rPr>
            </w:pPr>
            <w:r>
              <w:rPr>
                <w:rFonts w:ascii="仿宋_GB2312" w:hAnsi="宋体"/>
                <w:kern w:val="0"/>
                <w:sz w:val="24"/>
                <w:szCs w:val="24"/>
              </w:rPr>
              <w:t>满意度指标</w:t>
            </w:r>
          </w:p>
        </w:tc>
        <w:tc>
          <w:tcPr>
            <w:tcW w:w="1181" w:type="dxa"/>
            <w:tcBorders>
              <w:top w:val="nil"/>
              <w:left w:val="nil"/>
              <w:bottom w:val="single" w:sz="8" w:space="0" w:color="000000"/>
              <w:right w:val="single" w:sz="8" w:space="0" w:color="000000"/>
            </w:tcBorders>
            <w:vAlign w:val="center"/>
          </w:tcPr>
          <w:p>
            <w:pPr>
              <w:widowControl/>
              <w:jc w:val="center"/>
              <w:rPr>
                <w:rFonts w:ascii="仿宋_GB2312" w:hAnsi="宋体"/>
                <w:kern w:val="0"/>
                <w:sz w:val="24"/>
                <w:szCs w:val="24"/>
              </w:rPr>
            </w:pPr>
            <w:r>
              <w:rPr>
                <w:rFonts w:ascii="仿宋_GB2312" w:hAnsi="宋体" w:hint="eastAsia"/>
                <w:kern w:val="0"/>
                <w:sz w:val="24"/>
                <w:szCs w:val="24"/>
                <w:lang w:eastAsia="zh-CN"/>
              </w:rPr>
              <w:t>满意度指标</w:t>
            </w:r>
            <w:r>
              <w:rPr>
                <w:rFonts w:ascii="仿宋_GB2312" w:hAnsi="宋体"/>
                <w:kern w:val="0"/>
                <w:sz w:val="24"/>
                <w:szCs w:val="24"/>
              </w:rPr>
              <w:t>　</w:t>
            </w:r>
          </w:p>
        </w:tc>
        <w:tc>
          <w:tcPr>
            <w:tcW w:w="1181" w:type="dxa"/>
            <w:gridSpan w:val="2"/>
            <w:tcBorders>
              <w:top w:val="nil"/>
              <w:left w:val="nil"/>
              <w:bottom w:val="single" w:sz="8" w:space="0" w:color="000000"/>
              <w:right w:val="single" w:sz="8" w:space="0" w:color="000000"/>
            </w:tcBorders>
            <w:vAlign w:val="center"/>
          </w:tcPr>
          <w:p>
            <w:pPr>
              <w:widowControl/>
              <w:jc w:val="center"/>
              <w:rPr>
                <w:rFonts w:ascii="仿宋_GB2312" w:hAnsi="宋体"/>
                <w:kern w:val="0"/>
                <w:sz w:val="24"/>
                <w:szCs w:val="24"/>
              </w:rPr>
            </w:pPr>
            <w:r>
              <w:rPr>
                <w:rFonts w:ascii="仿宋_GB2312" w:hAnsi="宋体" w:hint="eastAsia"/>
                <w:kern w:val="0"/>
                <w:sz w:val="24"/>
                <w:szCs w:val="24"/>
                <w:lang w:eastAsia="zh-CN"/>
              </w:rPr>
              <w:t>被征收群众满意</w:t>
            </w:r>
            <w:r>
              <w:rPr>
                <w:rFonts w:ascii="仿宋_GB2312" w:hAnsi="宋体"/>
                <w:kern w:val="0"/>
                <w:sz w:val="24"/>
                <w:szCs w:val="24"/>
              </w:rPr>
              <w:t>　</w:t>
            </w:r>
          </w:p>
        </w:tc>
        <w:tc>
          <w:tcPr>
            <w:tcW w:w="2166" w:type="dxa"/>
            <w:gridSpan w:val="2"/>
            <w:tcBorders>
              <w:top w:val="nil"/>
              <w:left w:val="nil"/>
              <w:bottom w:val="single" w:sz="8" w:space="0" w:color="000000"/>
              <w:right w:val="single" w:sz="8" w:space="0" w:color="000000"/>
            </w:tcBorders>
            <w:vAlign w:val="center"/>
          </w:tcPr>
          <w:p>
            <w:pPr>
              <w:widowControl/>
              <w:jc w:val="center"/>
              <w:textAlignment w:val="center"/>
              <w:rPr>
                <w:rFonts w:ascii="仿宋_GB2312" w:hAnsi="宋体"/>
                <w:kern w:val="0"/>
                <w:sz w:val="24"/>
                <w:szCs w:val="24"/>
              </w:rPr>
            </w:pPr>
            <w:r>
              <w:rPr>
                <w:rFonts w:ascii="宋体" w:cs="宋体" w:hint="eastAsia"/>
                <w:sz w:val="24"/>
              </w:rPr>
              <w:t>满足人民群众的生活需求，人民群众满意</w:t>
            </w:r>
          </w:p>
        </w:tc>
        <w:tc>
          <w:tcPr>
            <w:tcW w:w="1852" w:type="dxa"/>
            <w:tcBorders>
              <w:top w:val="nil"/>
              <w:left w:val="nil"/>
              <w:bottom w:val="single" w:sz="8" w:space="0" w:color="000000"/>
              <w:right w:val="single" w:sz="8" w:space="0" w:color="000000"/>
            </w:tcBorders>
            <w:vAlign w:val="center"/>
          </w:tcPr>
          <w:p>
            <w:pPr>
              <w:widowControl/>
              <w:jc w:val="center"/>
              <w:textAlignment w:val="center"/>
              <w:rPr>
                <w:rFonts w:ascii="仿宋_GB2312" w:hAnsi="宋体"/>
                <w:kern w:val="0"/>
                <w:sz w:val="24"/>
                <w:szCs w:val="24"/>
              </w:rPr>
            </w:pPr>
            <w:r>
              <w:rPr>
                <w:rFonts w:ascii="宋体" w:cs="宋体" w:hint="eastAsia"/>
                <w:sz w:val="24"/>
              </w:rPr>
              <w:t>人民群众满意</w:t>
            </w:r>
          </w:p>
        </w:tc>
      </w:tr>
    </w:tbl>
    <w:p>
      <w:pPr>
        <w:spacing w:line="580" w:lineRule="exact"/>
        <w:rPr>
          <w:rFonts w:ascii="仿宋_GB2312" w:eastAsia="仿宋_GB2312" w:cs="仿宋_GB2312" w:hAnsi="仿宋_GB2312"/>
          <w:sz w:val="32"/>
          <w:szCs w:val="32"/>
        </w:rPr>
      </w:pPr>
    </w:p>
    <w:p>
      <w:pPr>
        <w:spacing w:line="580" w:lineRule="exact"/>
        <w:ind w:left="630"/>
        <w:rPr>
          <w:rFonts w:ascii="仿宋_GB2312" w:eastAsia="仿宋_GB2312" w:cs="仿宋_GB2312" w:hAnsi="仿宋_GB2312"/>
          <w:sz w:val="32"/>
          <w:szCs w:val="32"/>
        </w:rPr>
      </w:pPr>
      <w:r>
        <w:rPr>
          <w:rFonts w:ascii="楷体_GB2312" w:eastAsia="楷体_GB2312" w:cs="楷体_GB2312" w:hAnsi="楷体_GB2312" w:hint="eastAsia"/>
          <w:sz w:val="32"/>
          <w:szCs w:val="32"/>
        </w:rPr>
        <w:t>2.部门绩效评价结果。</w:t>
      </w:r>
    </w:p>
    <w:p>
      <w:pPr>
        <w:spacing w:line="580" w:lineRule="exact"/>
        <w:ind w:firstLineChars="200" w:firstLine="640"/>
        <w:rPr>
          <w:rFonts w:ascii="仿宋_GB2312" w:eastAsia="仿宋_GB2312" w:cs="仿宋_GB2312" w:hAnsi="仿宋_GB2312"/>
          <w:sz w:val="32"/>
          <w:szCs w:val="32"/>
        </w:rPr>
      </w:pPr>
      <w:r>
        <w:rPr>
          <w:rFonts w:ascii="仿宋_GB2312" w:eastAsia="仿宋_GB2312" w:cs="仿宋_GB2312" w:hAnsi="仿宋_GB2312" w:hint="eastAsia"/>
          <w:sz w:val="32"/>
          <w:szCs w:val="32"/>
        </w:rPr>
        <w:t>本部门按要求对2019年部门整体支出绩效评价情况开展自评，《</w:t>
      </w:r>
      <w:r>
        <w:rPr>
          <w:rFonts w:ascii="仿宋_GB2312" w:eastAsia="仿宋_GB2312" w:cs="仿宋_GB2312" w:hAnsi="仿宋_GB2312" w:hint="eastAsia"/>
          <w:sz w:val="32"/>
          <w:szCs w:val="32"/>
          <w:lang w:eastAsia="zh-CN"/>
        </w:rPr>
        <w:t>广元市土地房屋征收拆迁事务中心</w:t>
      </w:r>
      <w:r>
        <w:rPr>
          <w:rFonts w:ascii="仿宋_GB2312" w:eastAsia="仿宋_GB2312" w:cs="仿宋_GB2312" w:hAnsi="仿宋_GB2312" w:hint="eastAsia"/>
          <w:sz w:val="32"/>
          <w:szCs w:val="32"/>
        </w:rPr>
        <w:t>2019年部门整体支出绩效评价报告》见附件（附件1）。</w:t>
      </w:r>
    </w:p>
    <w:p>
      <w:pPr>
        <w:spacing w:line="580" w:lineRule="exact"/>
        <w:ind w:firstLineChars="200" w:firstLine="640"/>
        <w:rPr>
          <w:rFonts w:ascii="仿宋_GB2312" w:eastAsia="仿宋_GB2312"/>
          <w:b/>
          <w:color w:val="000000"/>
          <w:sz w:val="32"/>
          <w:szCs w:val="32"/>
        </w:rPr>
      </w:pPr>
      <w:r>
        <w:rPr>
          <w:rFonts w:ascii="仿宋_GB2312" w:eastAsia="仿宋_GB2312" w:cs="仿宋_GB2312" w:hAnsi="仿宋_GB2312" w:hint="eastAsia"/>
          <w:sz w:val="32"/>
          <w:szCs w:val="32"/>
        </w:rPr>
        <w:t>本部门自行组织对</w:t>
      </w:r>
      <w:r>
        <w:rPr>
          <w:rFonts w:ascii="仿宋" w:eastAsia="仿宋" w:cs="仿宋_GB2312" w:hAnsi="仿宋" w:hint="eastAsia"/>
          <w:sz w:val="32"/>
          <w:szCs w:val="32"/>
          <w:lang w:val="en-US" w:eastAsia="zh-CN"/>
        </w:rPr>
        <w:t>白龙江、嘉陵江流域水环境黑臭水体综</w:t>
      </w:r>
      <w:r>
        <w:rPr>
          <w:rFonts w:ascii="仿宋_GB2312" w:eastAsia="仿宋_GB2312" w:cs="仿宋_GB2312" w:hAnsi="仿宋_GB2312" w:hint="eastAsia"/>
          <w:sz w:val="32"/>
          <w:szCs w:val="32"/>
          <w:lang w:val="en-US" w:eastAsia="zh-CN"/>
        </w:rPr>
        <w:t>合治理</w:t>
      </w:r>
      <w:r>
        <w:rPr>
          <w:rFonts w:ascii="仿宋_GB2312" w:eastAsia="仿宋_GB2312" w:cs="仿宋_GB2312" w:hAnsi="仿宋_GB2312" w:hint="eastAsia"/>
          <w:sz w:val="32"/>
          <w:szCs w:val="32"/>
        </w:rPr>
        <w:t>项目、</w:t>
      </w:r>
      <w:r>
        <w:rPr>
          <w:rFonts w:ascii="仿宋_GB2312" w:eastAsia="仿宋_GB2312" w:cs="仿宋_GB2312" w:hAnsi="仿宋_GB2312" w:hint="eastAsia"/>
          <w:sz w:val="32"/>
          <w:szCs w:val="32"/>
          <w:lang w:val="en-US" w:eastAsia="zh-CN"/>
        </w:rPr>
        <w:t>鲲鹏小镇</w:t>
      </w:r>
      <w:r>
        <w:rPr>
          <w:rFonts w:ascii="仿宋_GB2312" w:eastAsia="仿宋_GB2312" w:cs="仿宋_GB2312" w:hAnsi="仿宋_GB2312" w:hint="eastAsia"/>
          <w:sz w:val="32"/>
          <w:szCs w:val="32"/>
        </w:rPr>
        <w:t>项目</w:t>
      </w:r>
      <w:r>
        <w:rPr>
          <w:rFonts w:ascii="仿宋_GB2312" w:eastAsia="仿宋_GB2312" w:cs="仿宋_GB2312" w:hAnsi="仿宋_GB2312" w:hint="eastAsia"/>
          <w:sz w:val="32"/>
          <w:szCs w:val="32"/>
          <w:lang w:eastAsia="zh-CN"/>
        </w:rPr>
        <w:t>、莲花三金土地项目</w:t>
      </w:r>
      <w:r>
        <w:rPr>
          <w:rFonts w:ascii="仿宋_GB2312" w:eastAsia="仿宋_GB2312" w:cs="仿宋_GB2312" w:hAnsi="仿宋_GB2312" w:hint="eastAsia"/>
          <w:sz w:val="32"/>
          <w:szCs w:val="32"/>
        </w:rPr>
        <w:t>开展了绩效评价，《项目2019年绩效评价报告》见附件（附件2）。</w:t>
      </w:r>
    </w:p>
    <w:p>
      <w:pPr>
        <w:rPr>
          <w:rStyle w:val="1Char"/>
          <w:rFonts w:ascii="黑体" w:eastAsia="黑体" w:hAnsi="黑体"/>
          <w:b w:val="0"/>
        </w:rPr>
      </w:pPr>
      <w:bookmarkStart w:id="56" w:name="_Toc15396613"/>
      <w:bookmarkStart w:id="57" w:name="_Toc15377225"/>
      <w:r>
        <w:rPr>
          <w:rFonts w:ascii="黑体" w:eastAsia="黑体" w:hAnsi="黑体" w:hint="eastAsia"/>
          <w:color w:val="000000"/>
          <w:sz w:val="44"/>
          <w:szCs w:val="44"/>
        </w:rPr>
        <w:br w:type="page"/>
      </w:r>
    </w:p>
    <w:p>
      <w:pPr>
        <w:keepNext w:val="0"/>
        <w:keepLines w:val="0"/>
        <w:pageBreakBefore w:val="0"/>
        <w:widowControl w:val="0"/>
        <w:numPr>
          <w:ilvl w:val="0"/>
          <w:numId w:val="5"/>
        </w:numPr>
        <w:kinsoku/>
        <w:wordWrap/>
        <w:overflowPunct/>
        <w:topLinePunct w:val="0"/>
        <w:bidi w:val="0"/>
        <w:snapToGrid/>
        <w:spacing w:line="540" w:lineRule="exact"/>
        <w:ind w:left="0" w:firstLineChars="150" w:firstLine="660"/>
        <w:jc w:val="center"/>
        <w:textAlignment w:val="auto"/>
        <w:outlineLvl w:val="0"/>
        <w:rPr>
          <w:rStyle w:val="1Char"/>
          <w:rFonts w:ascii="黑体" w:eastAsia="黑体" w:hAnsi="黑体"/>
          <w:b w:val="0"/>
        </w:rPr>
      </w:pPr>
      <w:r>
        <w:rPr>
          <w:rFonts w:ascii="黑体" w:eastAsia="黑体" w:hAnsi="黑体" w:hint="eastAsia"/>
          <w:color w:val="000000"/>
          <w:sz w:val="44"/>
          <w:szCs w:val="44"/>
        </w:rPr>
        <w:t>名</w:t>
      </w:r>
      <w:r>
        <w:rPr>
          <w:rStyle w:val="1Char"/>
          <w:rFonts w:ascii="黑体" w:eastAsia="黑体" w:hAnsi="黑体" w:hint="eastAsia"/>
          <w:b w:val="0"/>
        </w:rPr>
        <w:t>词解释</w:t>
      </w:r>
      <w:bookmarkEnd w:id="56"/>
      <w:bookmarkEnd w:id="57"/>
    </w:p>
    <w:p>
      <w:pPr>
        <w:keepNext w:val="0"/>
        <w:keepLines w:val="0"/>
        <w:pageBreakBefore w:val="0"/>
        <w:widowControl w:val="0"/>
        <w:kinsoku/>
        <w:wordWrap/>
        <w:overflowPunct/>
        <w:topLinePunct w:val="0"/>
        <w:bidi w:val="0"/>
        <w:snapToGrid/>
        <w:spacing w:line="540" w:lineRule="exact"/>
        <w:jc w:val="left"/>
        <w:textAlignment w:val="auto"/>
        <w:rPr>
          <w:rFonts w:ascii="宋体"/>
          <w:b/>
          <w:color w:val="000000"/>
          <w:sz w:val="44"/>
          <w:szCs w:val="44"/>
        </w:rPr>
      </w:pPr>
    </w:p>
    <w:p>
      <w:pPr>
        <w:pStyle w:val="27"/>
        <w:keepNext w:val="0"/>
        <w:keepLines w:val="0"/>
        <w:pageBreakBefore w:val="0"/>
        <w:widowControl w:val="0"/>
        <w:kinsoku/>
        <w:wordWrap/>
        <w:overflowPunct/>
        <w:topLinePunct w:val="0"/>
        <w:autoSpaceDE w:val="0"/>
        <w:autoSpaceDN w:val="0"/>
        <w:bidi w:val="0"/>
        <w:adjustRightInd w:val="0"/>
        <w:snapToGrid/>
        <w:spacing w:line="540" w:lineRule="exact"/>
        <w:ind w:firstLineChars="200" w:firstLine="640"/>
        <w:textAlignment w:val="auto"/>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p>
    <w:p>
      <w:pPr>
        <w:pStyle w:val="27"/>
        <w:keepNext w:val="0"/>
        <w:keepLines w:val="0"/>
        <w:pageBreakBefore w:val="0"/>
        <w:widowControl w:val="0"/>
        <w:kinsoku/>
        <w:wordWrap/>
        <w:overflowPunct/>
        <w:topLinePunct w:val="0"/>
        <w:autoSpaceDE w:val="0"/>
        <w:autoSpaceDN w:val="0"/>
        <w:bidi w:val="0"/>
        <w:adjustRightInd w:val="0"/>
        <w:snapToGrid/>
        <w:spacing w:line="540" w:lineRule="exact"/>
        <w:ind w:firstLineChars="200" w:firstLine="640"/>
        <w:textAlignment w:val="auto"/>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事业收入：指事业单位开展专业业务活动及辅助活动取得的收入。</w:t>
      </w:r>
    </w:p>
    <w:p>
      <w:pPr>
        <w:pStyle w:val="27"/>
        <w:keepNext w:val="0"/>
        <w:keepLines w:val="0"/>
        <w:pageBreakBefore w:val="0"/>
        <w:widowControl w:val="0"/>
        <w:kinsoku/>
        <w:wordWrap/>
        <w:overflowPunct/>
        <w:topLinePunct w:val="0"/>
        <w:autoSpaceDE w:val="0"/>
        <w:autoSpaceDN w:val="0"/>
        <w:bidi w:val="0"/>
        <w:adjustRightInd w:val="0"/>
        <w:snapToGrid/>
        <w:spacing w:line="540" w:lineRule="exact"/>
        <w:ind w:firstLineChars="200" w:firstLine="640"/>
        <w:textAlignment w:val="auto"/>
        <w:rPr>
          <w:rFonts w:ascii="仿宋_GB2312" w:eastAsia="仿宋_GB2312"/>
          <w:sz w:val="32"/>
          <w:szCs w:val="32"/>
        </w:rPr>
      </w:pPr>
      <w:r>
        <w:rPr>
          <w:rFonts w:ascii="仿宋_GB2312" w:eastAsia="仿宋_GB2312" w:hint="eastAsia"/>
          <w:sz w:val="32"/>
          <w:szCs w:val="32"/>
          <w:lang w:val="en-US" w:eastAsia="zh-CN"/>
        </w:rPr>
        <w:t>3</w:t>
      </w:r>
      <w:r>
        <w:rPr>
          <w:rFonts w:ascii="仿宋_GB2312" w:eastAsia="仿宋_GB2312"/>
          <w:sz w:val="32"/>
          <w:szCs w:val="32"/>
        </w:rPr>
        <w:t>.</w:t>
      </w:r>
      <w:r>
        <w:rPr>
          <w:rFonts w:ascii="仿宋_GB2312" w:eastAsia="仿宋_GB2312" w:hint="eastAsia"/>
          <w:sz w:val="32"/>
          <w:szCs w:val="32"/>
        </w:rPr>
        <w:t>年初结转和结余：指以前年度尚未完成、结转到本年按有关规定继续使用的资金。</w:t>
      </w:r>
      <w:r>
        <w:rPr>
          <w:rFonts w:ascii="仿宋_GB2312" w:eastAsia="仿宋_GB2312"/>
          <w:sz w:val="32"/>
          <w:szCs w:val="32"/>
        </w:rPr>
        <w:t xml:space="preserve"> </w:t>
      </w:r>
    </w:p>
    <w:p>
      <w:pPr>
        <w:pStyle w:val="27"/>
        <w:keepNext w:val="0"/>
        <w:keepLines w:val="0"/>
        <w:pageBreakBefore w:val="0"/>
        <w:widowControl w:val="0"/>
        <w:kinsoku/>
        <w:wordWrap/>
        <w:overflowPunct/>
        <w:topLinePunct w:val="0"/>
        <w:autoSpaceDE w:val="0"/>
        <w:autoSpaceDN w:val="0"/>
        <w:bidi w:val="0"/>
        <w:adjustRightInd w:val="0"/>
        <w:snapToGrid/>
        <w:spacing w:line="540" w:lineRule="exact"/>
        <w:ind w:firstLineChars="200" w:firstLine="640"/>
        <w:textAlignment w:val="auto"/>
        <w:rPr>
          <w:rFonts w:ascii="仿宋_GB2312" w:eastAsia="仿宋_GB2312" w:hint="eastAsia"/>
          <w:sz w:val="32"/>
          <w:szCs w:val="32"/>
        </w:rPr>
      </w:pPr>
      <w:r>
        <w:rPr>
          <w:rFonts w:ascii="仿宋_GB2312" w:eastAsia="仿宋_GB2312" w:hint="eastAsia"/>
          <w:sz w:val="32"/>
          <w:szCs w:val="32"/>
          <w:lang w:val="en-US" w:eastAsia="zh-CN"/>
        </w:rPr>
        <w:t>4</w:t>
      </w:r>
      <w:r>
        <w:rPr>
          <w:rFonts w:ascii="仿宋_GB2312" w:eastAsia="仿宋_GB2312" w:hint="eastAsia"/>
          <w:sz w:val="32"/>
          <w:szCs w:val="32"/>
        </w:rPr>
        <w:t>、年末结转和结余：指单位按有关规定结转到下年或以后年度继续使用的资金。</w:t>
      </w:r>
    </w:p>
    <w:p>
      <w:pPr>
        <w:pStyle w:val="27"/>
        <w:keepNext w:val="0"/>
        <w:keepLines w:val="0"/>
        <w:pageBreakBefore w:val="0"/>
        <w:widowControl w:val="0"/>
        <w:kinsoku/>
        <w:wordWrap/>
        <w:overflowPunct/>
        <w:topLinePunct w:val="0"/>
        <w:autoSpaceDE w:val="0"/>
        <w:autoSpaceDN w:val="0"/>
        <w:bidi w:val="0"/>
        <w:adjustRightInd w:val="0"/>
        <w:snapToGrid/>
        <w:spacing w:line="540" w:lineRule="exact"/>
        <w:ind w:firstLineChars="200" w:firstLine="640"/>
        <w:textAlignment w:val="auto"/>
        <w:rPr>
          <w:rFonts w:ascii="仿宋_GB2312" w:eastAsia="仿宋_GB2312" w:hint="eastAsia"/>
          <w:sz w:val="32"/>
          <w:szCs w:val="32"/>
          <w:lang w:eastAsia="zh-CN"/>
        </w:rPr>
      </w:pPr>
      <w:r>
        <w:rPr>
          <w:rFonts w:ascii="仿宋_GB2312" w:eastAsia="仿宋_GB2312" w:hint="eastAsia"/>
          <w:sz w:val="32"/>
          <w:szCs w:val="32"/>
          <w:lang w:val="en-US" w:eastAsia="zh-CN"/>
        </w:rPr>
        <w:t>5</w:t>
      </w:r>
      <w:r>
        <w:rPr>
          <w:rFonts w:ascii="仿宋_GB2312" w:eastAsia="仿宋_GB2312" w:hint="eastAsia"/>
          <w:sz w:val="32"/>
          <w:szCs w:val="32"/>
          <w:lang w:eastAsia="zh-CN"/>
        </w:rPr>
        <w:t>.社会保障和就业（类）行政事业单位离退休（款）机关事业单位基本养老保险（项）：指机关事业单位实施养老保险制度由单位缴纳的基本养老保险费支出。</w:t>
      </w:r>
    </w:p>
    <w:p>
      <w:pPr>
        <w:pStyle w:val="27"/>
        <w:keepNext w:val="0"/>
        <w:keepLines w:val="0"/>
        <w:pageBreakBefore w:val="0"/>
        <w:widowControl w:val="0"/>
        <w:kinsoku/>
        <w:wordWrap/>
        <w:overflowPunct/>
        <w:topLinePunct w:val="0"/>
        <w:autoSpaceDE w:val="0"/>
        <w:autoSpaceDN w:val="0"/>
        <w:bidi w:val="0"/>
        <w:adjustRightInd w:val="0"/>
        <w:snapToGrid/>
        <w:spacing w:line="540" w:lineRule="exact"/>
        <w:ind w:firstLineChars="200" w:firstLine="640"/>
        <w:textAlignment w:val="auto"/>
        <w:rPr>
          <w:rFonts w:ascii="仿宋_GB2312" w:eastAsia="仿宋_GB2312" w:hint="eastAsia"/>
          <w:sz w:val="32"/>
          <w:szCs w:val="32"/>
        </w:rPr>
      </w:pPr>
      <w:r>
        <w:rPr>
          <w:rFonts w:ascii="仿宋_GB2312" w:eastAsia="仿宋_GB2312" w:hint="eastAsia"/>
          <w:sz w:val="32"/>
          <w:szCs w:val="32"/>
          <w:lang w:val="en-US" w:eastAsia="zh-CN"/>
        </w:rPr>
        <w:t>6</w:t>
      </w:r>
      <w:r>
        <w:rPr>
          <w:rFonts w:ascii="仿宋_GB2312" w:eastAsia="仿宋_GB2312" w:hint="eastAsia"/>
          <w:sz w:val="32"/>
          <w:szCs w:val="32"/>
        </w:rPr>
        <w:t>.社会保障和就业（类）</w:t>
      </w:r>
      <w:r>
        <w:rPr>
          <w:rFonts w:ascii="仿宋_GB2312" w:eastAsia="仿宋_GB2312" w:hint="eastAsia"/>
          <w:sz w:val="32"/>
          <w:szCs w:val="32"/>
          <w:lang w:eastAsia="zh-CN"/>
        </w:rPr>
        <w:t>其他社会保障和就业</w:t>
      </w:r>
      <w:r>
        <w:rPr>
          <w:rFonts w:ascii="仿宋_GB2312" w:eastAsia="仿宋_GB2312" w:hint="eastAsia"/>
          <w:sz w:val="32"/>
          <w:szCs w:val="32"/>
        </w:rPr>
        <w:t>（款）</w:t>
      </w:r>
      <w:r>
        <w:rPr>
          <w:rFonts w:ascii="仿宋_GB2312" w:eastAsia="仿宋_GB2312" w:hint="eastAsia"/>
          <w:sz w:val="32"/>
          <w:szCs w:val="32"/>
          <w:lang w:eastAsia="zh-CN"/>
        </w:rPr>
        <w:t>其他社会保障和就业</w:t>
      </w:r>
      <w:r>
        <w:rPr>
          <w:rFonts w:ascii="仿宋_GB2312" w:eastAsia="仿宋_GB2312" w:hint="eastAsia"/>
          <w:sz w:val="32"/>
          <w:szCs w:val="32"/>
        </w:rPr>
        <w:t>（项）：</w:t>
      </w:r>
      <w:r>
        <w:rPr>
          <w:rFonts w:ascii="仿宋_GB2312" w:eastAsia="仿宋_GB2312" w:hint="eastAsia"/>
          <w:sz w:val="32"/>
          <w:szCs w:val="32"/>
          <w:lang w:eastAsia="zh-CN"/>
        </w:rPr>
        <w:t>指其他用于社会保障和就业方面的支出</w:t>
      </w:r>
      <w:r>
        <w:rPr>
          <w:rFonts w:ascii="仿宋_GB2312" w:eastAsia="仿宋_GB2312" w:hint="eastAsia"/>
          <w:sz w:val="32"/>
          <w:szCs w:val="32"/>
        </w:rPr>
        <w:t>。</w:t>
      </w:r>
    </w:p>
    <w:p>
      <w:pPr>
        <w:pStyle w:val="27"/>
        <w:keepNext w:val="0"/>
        <w:keepLines w:val="0"/>
        <w:pageBreakBefore w:val="0"/>
        <w:widowControl w:val="0"/>
        <w:kinsoku/>
        <w:wordWrap/>
        <w:overflowPunct/>
        <w:topLinePunct w:val="0"/>
        <w:autoSpaceDE w:val="0"/>
        <w:autoSpaceDN w:val="0"/>
        <w:bidi w:val="0"/>
        <w:adjustRightInd w:val="0"/>
        <w:snapToGrid/>
        <w:spacing w:line="540" w:lineRule="exact"/>
        <w:ind w:firstLineChars="200" w:firstLine="640"/>
        <w:textAlignment w:val="auto"/>
        <w:rPr>
          <w:rFonts w:ascii="仿宋_GB2312" w:eastAsia="仿宋_GB2312" w:hint="eastAsia"/>
          <w:sz w:val="32"/>
          <w:szCs w:val="32"/>
        </w:rPr>
      </w:pPr>
      <w:r>
        <w:rPr>
          <w:rFonts w:ascii="仿宋_GB2312" w:eastAsia="仿宋_GB2312" w:hint="eastAsia"/>
          <w:sz w:val="32"/>
          <w:szCs w:val="32"/>
          <w:lang w:val="en-US" w:eastAsia="zh-CN"/>
        </w:rPr>
        <w:t>7</w:t>
      </w:r>
      <w:r>
        <w:rPr>
          <w:rFonts w:ascii="仿宋_GB2312" w:eastAsia="仿宋_GB2312" w:hint="eastAsia"/>
          <w:sz w:val="32"/>
          <w:szCs w:val="32"/>
        </w:rPr>
        <w:t>.卫生健康（类）</w:t>
      </w:r>
      <w:r>
        <w:rPr>
          <w:rFonts w:ascii="仿宋_GB2312" w:eastAsia="仿宋_GB2312" w:hint="eastAsia"/>
          <w:sz w:val="32"/>
          <w:szCs w:val="32"/>
          <w:lang w:eastAsia="zh-CN"/>
        </w:rPr>
        <w:t>行政事业单位医疗</w:t>
      </w:r>
      <w:r>
        <w:rPr>
          <w:rFonts w:ascii="仿宋_GB2312" w:eastAsia="仿宋_GB2312" w:hint="eastAsia"/>
          <w:sz w:val="32"/>
          <w:szCs w:val="32"/>
        </w:rPr>
        <w:t>（款）</w:t>
      </w:r>
      <w:r>
        <w:rPr>
          <w:rFonts w:ascii="仿宋_GB2312" w:eastAsia="仿宋_GB2312" w:hint="eastAsia"/>
          <w:sz w:val="32"/>
          <w:szCs w:val="32"/>
          <w:lang w:eastAsia="zh-CN"/>
        </w:rPr>
        <w:t>事业单位医疗</w:t>
      </w:r>
      <w:r>
        <w:rPr>
          <w:rFonts w:ascii="仿宋_GB2312" w:eastAsia="仿宋_GB2312" w:hint="eastAsia"/>
          <w:sz w:val="32"/>
          <w:szCs w:val="32"/>
        </w:rPr>
        <w:t>（项）：指</w:t>
      </w:r>
      <w:r>
        <w:rPr>
          <w:rFonts w:ascii="仿宋_GB2312" w:eastAsia="仿宋_GB2312" w:hint="eastAsia"/>
          <w:sz w:val="32"/>
          <w:szCs w:val="32"/>
          <w:lang w:eastAsia="zh-CN"/>
        </w:rPr>
        <w:t>财政部门阿耨的事业单位基本医疗保险缴费经费</w:t>
      </w:r>
      <w:r>
        <w:rPr>
          <w:rFonts w:ascii="仿宋_GB2312" w:eastAsia="仿宋_GB2312" w:hint="eastAsia"/>
          <w:sz w:val="32"/>
          <w:szCs w:val="32"/>
        </w:rPr>
        <w:t>。</w:t>
      </w:r>
    </w:p>
    <w:p>
      <w:pPr>
        <w:pStyle w:val="27"/>
        <w:keepNext w:val="0"/>
        <w:keepLines w:val="0"/>
        <w:pageBreakBefore w:val="0"/>
        <w:widowControl w:val="0"/>
        <w:kinsoku/>
        <w:wordWrap/>
        <w:overflowPunct/>
        <w:topLinePunct w:val="0"/>
        <w:autoSpaceDE w:val="0"/>
        <w:autoSpaceDN w:val="0"/>
        <w:bidi w:val="0"/>
        <w:adjustRightInd w:val="0"/>
        <w:snapToGrid/>
        <w:spacing w:line="540" w:lineRule="exact"/>
        <w:ind w:firstLineChars="200" w:firstLine="640"/>
        <w:textAlignment w:val="auto"/>
        <w:rPr>
          <w:rFonts w:ascii="仿宋_GB2312" w:eastAsia="仿宋_GB2312" w:hint="eastAsia"/>
          <w:sz w:val="32"/>
          <w:szCs w:val="32"/>
        </w:rPr>
      </w:pPr>
      <w:r>
        <w:rPr>
          <w:rFonts w:ascii="仿宋_GB2312" w:eastAsia="仿宋_GB2312" w:hint="eastAsia"/>
          <w:sz w:val="32"/>
          <w:szCs w:val="32"/>
        </w:rPr>
        <w:t>8.</w:t>
      </w:r>
      <w:r>
        <w:rPr>
          <w:rFonts w:ascii="仿宋_GB2312" w:eastAsia="仿宋_GB2312" w:hint="eastAsia"/>
          <w:sz w:val="32"/>
          <w:szCs w:val="32"/>
          <w:lang w:eastAsia="zh-CN"/>
        </w:rPr>
        <w:t>城乡社区支出（类）城乡社区环境卫生（款）城乡社区环境卫生（项）</w:t>
      </w:r>
      <w:r>
        <w:rPr>
          <w:rFonts w:ascii="仿宋_GB2312" w:eastAsia="仿宋_GB2312" w:hint="eastAsia"/>
          <w:sz w:val="32"/>
          <w:szCs w:val="32"/>
        </w:rPr>
        <w:t>：</w:t>
      </w:r>
      <w:r>
        <w:rPr>
          <w:rFonts w:ascii="仿宋_GB2312" w:eastAsia="仿宋_GB2312" w:hint="eastAsia"/>
          <w:sz w:val="32"/>
          <w:szCs w:val="32"/>
          <w:lang w:eastAsia="zh-CN"/>
        </w:rPr>
        <w:t>指反映城乡社区道路清扫、来及清运与处理、公厕建设与维护、园林绿化等方面的支出</w:t>
      </w:r>
      <w:r>
        <w:rPr>
          <w:rFonts w:ascii="仿宋_GB2312" w:eastAsia="仿宋_GB2312" w:hint="eastAsia"/>
          <w:sz w:val="32"/>
          <w:szCs w:val="32"/>
        </w:rPr>
        <w:t>。</w:t>
      </w:r>
    </w:p>
    <w:p>
      <w:pPr>
        <w:pStyle w:val="27"/>
        <w:keepNext w:val="0"/>
        <w:keepLines w:val="0"/>
        <w:pageBreakBefore w:val="0"/>
        <w:widowControl w:val="0"/>
        <w:kinsoku/>
        <w:wordWrap/>
        <w:overflowPunct/>
        <w:topLinePunct w:val="0"/>
        <w:autoSpaceDE w:val="0"/>
        <w:autoSpaceDN w:val="0"/>
        <w:bidi w:val="0"/>
        <w:adjustRightInd w:val="0"/>
        <w:snapToGrid/>
        <w:spacing w:line="540" w:lineRule="exact"/>
        <w:ind w:firstLineChars="200" w:firstLine="640"/>
        <w:textAlignment w:val="auto"/>
        <w:rPr>
          <w:rFonts w:ascii="仿宋_GB2312" w:eastAsia="仿宋_GB2312" w:hint="eastAsia"/>
          <w:sz w:val="32"/>
          <w:szCs w:val="32"/>
        </w:rPr>
      </w:pPr>
      <w:r>
        <w:rPr>
          <w:rFonts w:ascii="仿宋_GB2312" w:eastAsia="仿宋_GB2312" w:hint="eastAsia"/>
          <w:sz w:val="32"/>
          <w:szCs w:val="32"/>
        </w:rPr>
        <w:t>9.</w:t>
      </w:r>
      <w:r>
        <w:rPr>
          <w:rFonts w:ascii="仿宋_GB2312" w:eastAsia="仿宋_GB2312" w:hint="eastAsia"/>
          <w:sz w:val="32"/>
          <w:szCs w:val="32"/>
          <w:lang w:eastAsia="zh-CN"/>
        </w:rPr>
        <w:t>农林水支出（类）扶贫（款）其他扶贫（项）支出</w:t>
      </w:r>
      <w:r>
        <w:rPr>
          <w:rFonts w:ascii="仿宋_GB2312" w:eastAsia="仿宋_GB2312" w:hint="eastAsia"/>
          <w:sz w:val="32"/>
          <w:szCs w:val="32"/>
        </w:rPr>
        <w:t>：指</w:t>
      </w:r>
      <w:r>
        <w:rPr>
          <w:rFonts w:ascii="仿宋_GB2312" w:eastAsia="仿宋_GB2312" w:hint="eastAsia"/>
          <w:sz w:val="32"/>
          <w:szCs w:val="32"/>
          <w:lang w:eastAsia="zh-CN"/>
        </w:rPr>
        <w:t>其他用于扶贫方面的支出</w:t>
      </w:r>
      <w:r>
        <w:rPr>
          <w:rFonts w:ascii="仿宋_GB2312" w:eastAsia="仿宋_GB2312" w:hint="eastAsia"/>
          <w:sz w:val="32"/>
          <w:szCs w:val="32"/>
        </w:rPr>
        <w:t>。</w:t>
      </w:r>
    </w:p>
    <w:p>
      <w:pPr>
        <w:pStyle w:val="27"/>
        <w:keepNext w:val="0"/>
        <w:keepLines w:val="0"/>
        <w:pageBreakBefore w:val="0"/>
        <w:widowControl w:val="0"/>
        <w:kinsoku/>
        <w:wordWrap/>
        <w:overflowPunct/>
        <w:topLinePunct w:val="0"/>
        <w:autoSpaceDE w:val="0"/>
        <w:autoSpaceDN w:val="0"/>
        <w:bidi w:val="0"/>
        <w:adjustRightInd w:val="0"/>
        <w:snapToGrid/>
        <w:spacing w:line="540" w:lineRule="exact"/>
        <w:ind w:firstLineChars="200" w:firstLine="640"/>
        <w:textAlignment w:val="auto"/>
        <w:rPr>
          <w:rFonts w:ascii="仿宋_GB2312" w:eastAsia="仿宋_GB2312" w:hint="eastAsia"/>
          <w:sz w:val="32"/>
          <w:szCs w:val="32"/>
        </w:rPr>
      </w:pPr>
      <w:r>
        <w:rPr>
          <w:rFonts w:ascii="仿宋_GB2312" w:eastAsia="仿宋_GB2312" w:hint="eastAsia"/>
          <w:sz w:val="32"/>
          <w:szCs w:val="32"/>
          <w:lang w:val="en-US" w:eastAsia="zh-CN"/>
        </w:rPr>
        <w:t>10</w:t>
      </w:r>
      <w:r>
        <w:rPr>
          <w:rFonts w:ascii="仿宋_GB2312" w:eastAsia="仿宋_GB2312" w:hint="eastAsia"/>
          <w:sz w:val="32"/>
          <w:szCs w:val="32"/>
        </w:rPr>
        <w:t>.</w:t>
      </w:r>
      <w:r>
        <w:rPr>
          <w:rFonts w:ascii="仿宋_GB2312" w:eastAsia="仿宋_GB2312" w:hint="eastAsia"/>
          <w:sz w:val="32"/>
          <w:szCs w:val="32"/>
          <w:lang w:eastAsia="zh-CN"/>
        </w:rPr>
        <w:t>自然资源海洋气象等支出（类）自然资源事务（款）事业运行（项）：</w:t>
      </w:r>
      <w:r>
        <w:rPr>
          <w:rFonts w:ascii="仿宋_GB2312" w:eastAsia="仿宋_GB2312" w:hint="eastAsia"/>
          <w:sz w:val="32"/>
          <w:szCs w:val="32"/>
        </w:rPr>
        <w:t>指</w:t>
      </w:r>
      <w:r>
        <w:rPr>
          <w:rFonts w:ascii="仿宋_GB2312" w:eastAsia="仿宋_GB2312" w:hint="eastAsia"/>
          <w:sz w:val="32"/>
          <w:szCs w:val="32"/>
          <w:lang w:eastAsia="zh-CN"/>
        </w:rPr>
        <w:t>事业单位的基本支出，不包括行政单位（包括实行公务员管理的事业单位）后勤服务中心、医务室等附属事业单位</w:t>
      </w:r>
      <w:r>
        <w:rPr>
          <w:rFonts w:ascii="仿宋_GB2312" w:eastAsia="仿宋_GB2312" w:hint="eastAsia"/>
          <w:sz w:val="32"/>
          <w:szCs w:val="32"/>
        </w:rPr>
        <w:t>。</w:t>
      </w:r>
    </w:p>
    <w:p>
      <w:pPr>
        <w:pStyle w:val="27"/>
        <w:keepNext w:val="0"/>
        <w:keepLines w:val="0"/>
        <w:pageBreakBefore w:val="0"/>
        <w:widowControl w:val="0"/>
        <w:kinsoku/>
        <w:wordWrap/>
        <w:overflowPunct/>
        <w:topLinePunct w:val="0"/>
        <w:autoSpaceDE w:val="0"/>
        <w:autoSpaceDN w:val="0"/>
        <w:bidi w:val="0"/>
        <w:adjustRightInd w:val="0"/>
        <w:snapToGrid/>
        <w:spacing w:line="540" w:lineRule="exact"/>
        <w:ind w:firstLineChars="200" w:firstLine="640"/>
        <w:textAlignment w:val="auto"/>
        <w:rPr>
          <w:rFonts w:ascii="仿宋_GB2312" w:eastAsia="仿宋_GB2312" w:hint="eastAsia"/>
          <w:sz w:val="32"/>
          <w:szCs w:val="32"/>
        </w:rPr>
      </w:pPr>
      <w:r>
        <w:rPr>
          <w:rFonts w:ascii="仿宋_GB2312" w:eastAsia="仿宋_GB2312" w:hint="eastAsia"/>
          <w:sz w:val="32"/>
          <w:szCs w:val="32"/>
          <w:lang w:val="en-US" w:eastAsia="zh-CN"/>
        </w:rPr>
        <w:t>11</w:t>
      </w:r>
      <w:r>
        <w:rPr>
          <w:rFonts w:ascii="仿宋_GB2312" w:eastAsia="仿宋_GB2312" w:hint="eastAsia"/>
          <w:sz w:val="32"/>
          <w:szCs w:val="32"/>
        </w:rPr>
        <w:t>.</w:t>
      </w:r>
      <w:r>
        <w:rPr>
          <w:rFonts w:ascii="仿宋_GB2312" w:eastAsia="仿宋_GB2312" w:hint="eastAsia"/>
          <w:sz w:val="32"/>
          <w:szCs w:val="32"/>
          <w:lang w:val="en-US" w:eastAsia="zh-CN"/>
        </w:rPr>
        <w:t>住房保障支出（类）住房改革支出（款）住房公积金（项）</w:t>
      </w:r>
      <w:r>
        <w:rPr>
          <w:rFonts w:ascii="仿宋_GB2312" w:eastAsia="仿宋_GB2312" w:hint="eastAsia"/>
          <w:sz w:val="32"/>
          <w:szCs w:val="32"/>
        </w:rPr>
        <w:t>：指</w:t>
      </w:r>
      <w:r>
        <w:rPr>
          <w:rFonts w:ascii="仿宋_GB2312" w:eastAsia="仿宋_GB2312" w:hint="eastAsia"/>
          <w:sz w:val="32"/>
          <w:szCs w:val="32"/>
          <w:lang w:eastAsia="zh-CN"/>
        </w:rPr>
        <w:t>行政事业单位按人力资源和社会保障部、财政部规定的基本工资和津贴补贴以及规定比例为职工缴纳的住房公积金</w:t>
      </w:r>
      <w:r>
        <w:rPr>
          <w:rFonts w:ascii="仿宋_GB2312" w:eastAsia="仿宋_GB2312" w:hint="eastAsia"/>
          <w:sz w:val="32"/>
          <w:szCs w:val="32"/>
        </w:rPr>
        <w:t>。</w:t>
      </w:r>
    </w:p>
    <w:p>
      <w:pPr>
        <w:keepNext w:val="0"/>
        <w:keepLines w:val="0"/>
        <w:pageBreakBefore w:val="0"/>
        <w:widowControl w:val="0"/>
        <w:kinsoku/>
        <w:wordWrap/>
        <w:overflowPunct/>
        <w:topLinePunct w:val="0"/>
        <w:bidi w:val="0"/>
        <w:snapToGrid/>
        <w:spacing w:line="540" w:lineRule="exact"/>
        <w:ind w:firstLineChars="200" w:firstLine="640"/>
        <w:textAlignment w:val="auto"/>
        <w:rPr>
          <w:rFonts w:ascii="仿宋_GB2312" w:eastAsia="仿宋_GB2312"/>
          <w:color w:val="000000"/>
          <w:sz w:val="32"/>
          <w:szCs w:val="32"/>
        </w:rPr>
      </w:pPr>
      <w:r>
        <w:rPr>
          <w:rFonts w:ascii="仿宋_GB2312" w:eastAsia="仿宋_GB2312" w:hint="eastAsia"/>
          <w:color w:val="000000"/>
          <w:sz w:val="32"/>
          <w:szCs w:val="32"/>
          <w:lang w:val="en-US" w:eastAsia="zh-CN"/>
        </w:rPr>
        <w:t>12</w:t>
      </w:r>
      <w:r>
        <w:rPr>
          <w:rFonts w:ascii="仿宋_GB2312" w:eastAsia="仿宋_GB2312"/>
          <w:color w:val="000000"/>
          <w:sz w:val="32"/>
          <w:szCs w:val="32"/>
        </w:rPr>
        <w:t>.</w:t>
      </w:r>
      <w:r>
        <w:rPr>
          <w:rFonts w:ascii="仿宋_GB2312" w:eastAsia="仿宋_GB2312" w:hint="eastAsia"/>
          <w:color w:val="000000"/>
          <w:sz w:val="32"/>
          <w:szCs w:val="32"/>
        </w:rPr>
        <w:t>基本支出：指为保障机构正常运转、完成日常工作任务而发生的人员支出和公用支出。</w:t>
      </w:r>
    </w:p>
    <w:p>
      <w:pPr>
        <w:keepNext w:val="0"/>
        <w:keepLines w:val="0"/>
        <w:pageBreakBefore w:val="0"/>
        <w:widowControl w:val="0"/>
        <w:kinsoku/>
        <w:wordWrap/>
        <w:overflowPunct/>
        <w:topLinePunct w:val="0"/>
        <w:bidi w:val="0"/>
        <w:snapToGrid/>
        <w:spacing w:line="540" w:lineRule="exact"/>
        <w:ind w:firstLineChars="200" w:firstLine="640"/>
        <w:textAlignment w:val="auto"/>
        <w:rPr>
          <w:rFonts w:ascii="仿宋_GB2312" w:eastAsia="仿宋_GB2312"/>
          <w:color w:val="000000"/>
          <w:sz w:val="32"/>
          <w:szCs w:val="32"/>
        </w:rPr>
      </w:pPr>
      <w:r>
        <w:rPr>
          <w:rFonts w:ascii="仿宋_GB2312" w:eastAsia="仿宋_GB2312" w:hint="eastAsia"/>
          <w:color w:val="000000"/>
          <w:sz w:val="32"/>
          <w:szCs w:val="32"/>
          <w:lang w:val="en-US" w:eastAsia="zh-CN"/>
        </w:rPr>
        <w:t>13</w:t>
      </w:r>
      <w:r>
        <w:rPr>
          <w:rFonts w:ascii="仿宋_GB2312" w:eastAsia="仿宋_GB2312"/>
          <w:color w:val="000000"/>
          <w:sz w:val="32"/>
          <w:szCs w:val="32"/>
        </w:rPr>
        <w:t>.</w:t>
      </w:r>
      <w:r>
        <w:rPr>
          <w:rFonts w:ascii="仿宋_GB2312" w:eastAsia="仿宋_GB2312" w:hint="eastAsia"/>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pStyle w:val="27"/>
        <w:keepNext w:val="0"/>
        <w:keepLines w:val="0"/>
        <w:pageBreakBefore w:val="0"/>
        <w:widowControl w:val="0"/>
        <w:kinsoku/>
        <w:wordWrap/>
        <w:overflowPunct/>
        <w:topLinePunct w:val="0"/>
        <w:autoSpaceDE w:val="0"/>
        <w:autoSpaceDN w:val="0"/>
        <w:bidi w:val="0"/>
        <w:adjustRightInd w:val="0"/>
        <w:snapToGrid/>
        <w:spacing w:line="540" w:lineRule="exact"/>
        <w:ind w:firstLineChars="200" w:firstLine="640"/>
        <w:textAlignment w:val="auto"/>
        <w:rPr>
          <w:rFonts w:ascii="仿宋_GB2312" w:eastAsia="仿宋_GB2312"/>
          <w:sz w:val="32"/>
          <w:szCs w:val="32"/>
        </w:rPr>
      </w:pPr>
      <w:r>
        <w:rPr>
          <w:rFonts w:ascii="仿宋_GB2312" w:eastAsia="仿宋_GB2312" w:hint="eastAsia"/>
          <w:sz w:val="32"/>
          <w:szCs w:val="32"/>
          <w:lang w:val="en-US" w:eastAsia="zh-CN"/>
        </w:rPr>
        <w:t>14</w:t>
      </w:r>
      <w:r>
        <w:rPr>
          <w:rFonts w:ascii="仿宋_GB2312" w:eastAsia="仿宋_GB2312"/>
          <w:sz w:val="32"/>
          <w:szCs w:val="32"/>
        </w:rPr>
        <w:t>.</w:t>
      </w:r>
      <w:r>
        <w:rPr>
          <w:rFonts w:ascii="仿宋_GB2312" w:eastAsia="仿宋_GB2312"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7"/>
        <w:keepNext w:val="0"/>
        <w:keepLines w:val="0"/>
        <w:pageBreakBefore w:val="0"/>
        <w:widowControl w:val="0"/>
        <w:kinsoku/>
        <w:wordWrap/>
        <w:overflowPunct/>
        <w:topLinePunct w:val="0"/>
        <w:autoSpaceDE w:val="0"/>
        <w:autoSpaceDN w:val="0"/>
        <w:bidi w:val="0"/>
        <w:adjustRightInd w:val="0"/>
        <w:snapToGrid/>
        <w:spacing w:line="540" w:lineRule="exact"/>
        <w:ind w:firstLineChars="200" w:firstLine="640"/>
        <w:textAlignment w:val="auto"/>
        <w:rPr>
          <w:rFonts w:ascii="仿宋_GB2312" w:eastAsia="仿宋_GB2312"/>
          <w:sz w:val="32"/>
          <w:szCs w:val="32"/>
        </w:rPr>
      </w:pPr>
      <w:r>
        <w:rPr>
          <w:rFonts w:ascii="仿宋_GB2312" w:eastAsia="仿宋_GB2312" w:hint="eastAsia"/>
          <w:sz w:val="32"/>
          <w:szCs w:val="32"/>
          <w:lang w:val="en-US" w:eastAsia="zh-CN"/>
        </w:rPr>
        <w:t>15</w:t>
      </w:r>
      <w:r>
        <w:rPr>
          <w:rFonts w:ascii="仿宋_GB2312" w:eastAsia="仿宋_GB2312"/>
          <w:sz w:val="32"/>
          <w:szCs w:val="32"/>
        </w:rPr>
        <w:t>.</w:t>
      </w:r>
      <w:r>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bidi w:val="0"/>
        <w:spacing w:line="576" w:lineRule="exact"/>
        <w:jc w:val="center"/>
        <w:textAlignment w:val="auto"/>
        <w:outlineLvl w:val="0"/>
        <w:rPr>
          <w:rFonts w:ascii="黑体" w:eastAsia="黑体" w:hAnsi="黑体" w:hint="eastAsia"/>
          <w:color w:val="000000"/>
          <w:sz w:val="44"/>
          <w:szCs w:val="44"/>
        </w:rPr>
      </w:pPr>
      <w:bookmarkStart w:id="58" w:name="_Toc15396614"/>
      <w:bookmarkStart w:id="59" w:name="_Toc15377226"/>
    </w:p>
    <w:p>
      <w:pPr>
        <w:keepNext w:val="0"/>
        <w:keepLines w:val="0"/>
        <w:pageBreakBefore w:val="0"/>
        <w:widowControl w:val="0"/>
        <w:kinsoku/>
        <w:wordWrap/>
        <w:overflowPunct/>
        <w:topLinePunct w:val="0"/>
        <w:bidi w:val="0"/>
        <w:spacing w:line="576" w:lineRule="exact"/>
        <w:jc w:val="center"/>
        <w:textAlignment w:val="auto"/>
        <w:outlineLvl w:val="0"/>
        <w:rPr>
          <w:rStyle w:val="1Char"/>
          <w:rFonts w:ascii="黑体" w:eastAsia="黑体" w:hAnsi="黑体"/>
          <w:b w:val="0"/>
        </w:rPr>
      </w:pPr>
      <w:r>
        <w:rPr>
          <w:rFonts w:ascii="黑体" w:eastAsia="黑体" w:hAnsi="黑体" w:hint="eastAsia"/>
          <w:color w:val="000000"/>
          <w:sz w:val="44"/>
          <w:szCs w:val="44"/>
        </w:rPr>
        <w:t>第</w:t>
      </w:r>
      <w:r>
        <w:rPr>
          <w:rStyle w:val="1Char"/>
          <w:rFonts w:ascii="黑体" w:eastAsia="黑体" w:hAnsi="黑体" w:hint="eastAsia"/>
          <w:b w:val="0"/>
        </w:rPr>
        <w:t>四部分 附件</w:t>
      </w:r>
      <w:bookmarkEnd w:id="58"/>
    </w:p>
    <w:p>
      <w:pPr>
        <w:keepNext w:val="0"/>
        <w:keepLines w:val="0"/>
        <w:pageBreakBefore w:val="0"/>
        <w:widowControl w:val="0"/>
        <w:kinsoku/>
        <w:wordWrap/>
        <w:overflowPunct/>
        <w:topLinePunct w:val="0"/>
        <w:bidi w:val="0"/>
        <w:spacing w:line="576" w:lineRule="exact"/>
        <w:jc w:val="left"/>
        <w:textAlignment w:val="auto"/>
        <w:outlineLvl w:val="0"/>
        <w:rPr>
          <w:rFonts w:ascii="方正小标宋简体" w:eastAsia="方正小标宋简体" w:cs="方正小标宋简体" w:hAnsi="方正小标宋简体"/>
          <w:sz w:val="32"/>
          <w:szCs w:val="32"/>
        </w:rPr>
      </w:pPr>
      <w:r>
        <w:rPr>
          <w:rFonts w:ascii="黑体" w:eastAsia="黑体" w:cs="黑体" w:hAnsi="黑体" w:hint="eastAsia"/>
          <w:sz w:val="32"/>
          <w:szCs w:val="32"/>
        </w:rPr>
        <w:t>附件1</w:t>
      </w:r>
    </w:p>
    <w:p>
      <w:pPr>
        <w:keepNext w:val="0"/>
        <w:keepLines w:val="0"/>
        <w:pageBreakBefore w:val="0"/>
        <w:widowControl w:val="0"/>
        <w:kinsoku/>
        <w:wordWrap/>
        <w:overflowPunct/>
        <w:topLinePunct w:val="0"/>
        <w:bidi w:val="0"/>
        <w:spacing w:line="576" w:lineRule="exact"/>
        <w:jc w:val="center"/>
        <w:textAlignment w:val="auto"/>
        <w:rPr>
          <w:rFonts w:ascii="方正小标宋简体" w:eastAsia="方正小标宋简体" w:cs="方正小标宋简体" w:hAnsi="方正小标宋简体"/>
          <w:sz w:val="44"/>
          <w:szCs w:val="44"/>
        </w:rPr>
      </w:pPr>
    </w:p>
    <w:p>
      <w:pPr>
        <w:keepNext w:val="0"/>
        <w:keepLines w:val="0"/>
        <w:pageBreakBefore w:val="0"/>
        <w:widowControl w:val="0"/>
        <w:kinsoku/>
        <w:wordWrap/>
        <w:overflowPunct/>
        <w:topLinePunct w:val="0"/>
        <w:bidi w:val="0"/>
        <w:spacing w:line="576" w:lineRule="exact"/>
        <w:jc w:val="center"/>
        <w:textAlignment w:val="auto"/>
        <w:rPr>
          <w:rFonts w:ascii="方正小标宋简体" w:eastAsia="方正小标宋简体" w:hAnsi="宋体" w:hint="eastAsia"/>
          <w:color w:val="000000"/>
          <w:kern w:val="0"/>
          <w:sz w:val="44"/>
          <w:szCs w:val="44"/>
          <w:lang w:val="en-US" w:eastAsia="zh-CN"/>
        </w:rPr>
      </w:pPr>
      <w:r>
        <w:rPr>
          <w:rFonts w:ascii="方正小标宋简体" w:eastAsia="方正小标宋简体" w:hAnsi="宋体" w:hint="eastAsia"/>
          <w:color w:val="000000"/>
          <w:kern w:val="0"/>
          <w:sz w:val="44"/>
          <w:szCs w:val="44"/>
          <w:lang w:val="en-US" w:eastAsia="zh-CN"/>
        </w:rPr>
        <w:t>广元市土地房屋征收拆迁事务中心</w:t>
      </w:r>
    </w:p>
    <w:p>
      <w:pPr>
        <w:keepNext w:val="0"/>
        <w:keepLines w:val="0"/>
        <w:pageBreakBefore w:val="0"/>
        <w:widowControl w:val="0"/>
        <w:kinsoku/>
        <w:wordWrap/>
        <w:overflowPunct/>
        <w:topLinePunct w:val="0"/>
        <w:bidi w:val="0"/>
        <w:spacing w:line="576" w:lineRule="exact"/>
        <w:jc w:val="center"/>
        <w:textAlignment w:val="auto"/>
        <w:rPr>
          <w:rFonts w:ascii="方正小标宋简体" w:eastAsia="方正小标宋简体" w:hAnsi="宋体"/>
          <w:color w:val="000000"/>
          <w:kern w:val="0"/>
          <w:sz w:val="44"/>
          <w:szCs w:val="44"/>
          <w:lang w:val="zh-CN"/>
        </w:rPr>
      </w:pPr>
      <w:r>
        <w:rPr>
          <w:rFonts w:ascii="方正小标宋简体" w:eastAsia="方正小标宋简体" w:hAnsi="宋体" w:hint="eastAsia"/>
          <w:color w:val="000000"/>
          <w:kern w:val="0"/>
          <w:sz w:val="44"/>
          <w:szCs w:val="44"/>
          <w:lang w:val="en-US" w:eastAsia="zh-CN"/>
        </w:rPr>
        <w:t>2</w:t>
      </w:r>
      <w:r>
        <w:rPr>
          <w:rFonts w:ascii="方正小标宋简体" w:eastAsia="方正小标宋简体" w:hAnsi="宋体"/>
          <w:color w:val="000000"/>
          <w:kern w:val="0"/>
          <w:sz w:val="44"/>
          <w:szCs w:val="44"/>
        </w:rPr>
        <w:t>019年部门</w:t>
      </w:r>
      <w:r>
        <w:rPr>
          <w:rFonts w:ascii="方正小标宋简体" w:eastAsia="方正小标宋简体" w:hAnsi="宋体" w:hint="eastAsia"/>
          <w:color w:val="000000"/>
          <w:kern w:val="0"/>
          <w:sz w:val="44"/>
          <w:szCs w:val="44"/>
          <w:lang w:val="zh-CN"/>
        </w:rPr>
        <w:t>整体支出绩效评价报告</w:t>
      </w:r>
    </w:p>
    <w:p>
      <w:pPr>
        <w:keepNext w:val="0"/>
        <w:keepLines w:val="0"/>
        <w:pageBreakBefore w:val="0"/>
        <w:widowControl/>
        <w:kinsoku/>
        <w:wordWrap/>
        <w:overflowPunct/>
        <w:topLinePunct w:val="0"/>
        <w:bidi w:val="0"/>
        <w:adjustRightInd w:val="0"/>
        <w:snapToGrid w:val="0"/>
        <w:spacing w:line="576" w:lineRule="exact"/>
        <w:ind w:firstLineChars="200" w:firstLine="640"/>
        <w:contextualSpacing/>
        <w:jc w:val="left"/>
        <w:textAlignment w:val="auto"/>
        <w:rPr>
          <w:rFonts w:ascii="黑体" w:eastAsia="黑体" w:cs="宋体" w:hAnsi="宋体" w:hint="eastAsia"/>
          <w:color w:val="000000"/>
          <w:kern w:val="0"/>
          <w:sz w:val="32"/>
          <w:szCs w:val="32"/>
          <w:shd w:val="clear" w:color="auto" w:fill="FFFFFF"/>
        </w:rPr>
      </w:pPr>
    </w:p>
    <w:p>
      <w:pPr>
        <w:keepNext w:val="0"/>
        <w:keepLines w:val="0"/>
        <w:pageBreakBefore w:val="0"/>
        <w:widowControl/>
        <w:kinsoku/>
        <w:wordWrap/>
        <w:overflowPunct/>
        <w:topLinePunct w:val="0"/>
        <w:bidi w:val="0"/>
        <w:adjustRightInd w:val="0"/>
        <w:snapToGrid w:val="0"/>
        <w:spacing w:line="576" w:lineRule="exact"/>
        <w:ind w:firstLineChars="200" w:firstLine="640"/>
        <w:contextualSpacing/>
        <w:jc w:val="left"/>
        <w:textAlignment w:val="auto"/>
        <w:rPr>
          <w:rFonts w:ascii="黑体" w:eastAsia="黑体" w:cs="宋体" w:hAnsi="宋体"/>
          <w:color w:val="000000"/>
          <w:kern w:val="0"/>
          <w:sz w:val="32"/>
          <w:szCs w:val="32"/>
          <w:shd w:val="clear" w:color="auto" w:fill="FFFFFF"/>
          <w:lang w:val="zh-CN"/>
        </w:rPr>
      </w:pPr>
      <w:r>
        <w:rPr>
          <w:rFonts w:ascii="黑体" w:eastAsia="黑体" w:cs="宋体" w:hAnsi="宋体" w:hint="eastAsia"/>
          <w:color w:val="000000"/>
          <w:kern w:val="0"/>
          <w:sz w:val="32"/>
          <w:szCs w:val="32"/>
          <w:shd w:val="clear" w:color="auto" w:fill="FFFFFF"/>
        </w:rPr>
        <w:t>一、</w:t>
      </w:r>
      <w:r>
        <w:rPr>
          <w:rFonts w:ascii="黑体" w:eastAsia="黑体" w:cs="宋体" w:hAnsi="宋体" w:hint="eastAsia"/>
          <w:color w:val="000000"/>
          <w:kern w:val="0"/>
          <w:sz w:val="32"/>
          <w:szCs w:val="32"/>
          <w:shd w:val="clear" w:color="auto" w:fill="FFFFFF"/>
          <w:lang w:val="zh-CN"/>
        </w:rPr>
        <w:t>部门概况</w:t>
      </w:r>
    </w:p>
    <w:p>
      <w:pPr>
        <w:keepNext w:val="0"/>
        <w:keepLines w:val="0"/>
        <w:pageBreakBefore w:val="0"/>
        <w:widowControl w:val="0"/>
        <w:kinsoku/>
        <w:wordWrap/>
        <w:overflowPunct/>
        <w:topLinePunct w:val="0"/>
        <w:bidi w:val="0"/>
        <w:spacing w:line="576" w:lineRule="exact"/>
        <w:ind w:firstLineChars="200" w:firstLine="640"/>
        <w:textAlignment w:val="auto"/>
        <w:rPr>
          <w:rFonts w:ascii="楷体_GB2312" w:eastAsia="楷体_GB2312" w:hAnsi="仿宋"/>
          <w:sz w:val="32"/>
          <w:szCs w:val="32"/>
        </w:rPr>
      </w:pPr>
      <w:r>
        <w:rPr>
          <w:rFonts w:ascii="楷体_GB2312" w:eastAsia="楷体_GB2312" w:cs="楷体_GB2312" w:hAnsi="仿宋" w:hint="eastAsia"/>
          <w:sz w:val="32"/>
          <w:szCs w:val="32"/>
        </w:rPr>
        <w:t>（一）机构组成</w:t>
      </w:r>
    </w:p>
    <w:p>
      <w:pPr>
        <w:keepNext w:val="0"/>
        <w:keepLines w:val="0"/>
        <w:pageBreakBefore w:val="0"/>
        <w:widowControl w:val="0"/>
        <w:kinsoku/>
        <w:wordWrap/>
        <w:overflowPunct/>
        <w:topLinePunct w:val="0"/>
        <w:bidi w:val="0"/>
        <w:spacing w:line="576" w:lineRule="exact"/>
        <w:ind w:firstLineChars="200" w:firstLine="640"/>
        <w:textAlignment w:val="auto"/>
        <w:rPr>
          <w:rFonts w:ascii="仿宋_GB2312" w:eastAsia="仿宋_GB2312" w:hAnsi="仿宋"/>
          <w:sz w:val="32"/>
          <w:szCs w:val="32"/>
          <w:lang w:val="en-US" w:eastAsia="zh-CN"/>
        </w:rPr>
      </w:pPr>
      <w:r>
        <w:rPr>
          <w:rFonts w:ascii="仿宋_GB2312" w:eastAsia="仿宋_GB2312" w:cs="仿宋_GB2312" w:hAnsi="仿宋" w:hint="eastAsia"/>
          <w:sz w:val="32"/>
          <w:szCs w:val="32"/>
        </w:rPr>
        <w:t>根据市委编委《关于调整市城市规划区土地房屋征收拆迁管理体制的通知》（广编发〔</w:t>
      </w:r>
      <w:r>
        <w:rPr>
          <w:rFonts w:ascii="仿宋_GB2312" w:eastAsia="仿宋_GB2312" w:cs="仿宋_GB2312" w:hAnsi="仿宋"/>
          <w:sz w:val="32"/>
          <w:szCs w:val="32"/>
        </w:rPr>
        <w:t>2015</w:t>
      </w:r>
      <w:r>
        <w:rPr>
          <w:rFonts w:ascii="仿宋_GB2312" w:eastAsia="仿宋_GB2312" w:cs="仿宋_GB2312" w:hAnsi="仿宋" w:hint="eastAsia"/>
          <w:sz w:val="32"/>
          <w:szCs w:val="32"/>
        </w:rPr>
        <w:t>〕</w:t>
      </w:r>
      <w:r>
        <w:rPr>
          <w:rFonts w:ascii="仿宋_GB2312" w:eastAsia="仿宋_GB2312" w:cs="仿宋_GB2312" w:hAnsi="仿宋"/>
          <w:sz w:val="32"/>
          <w:szCs w:val="32"/>
        </w:rPr>
        <w:t>53</w:t>
      </w:r>
      <w:r>
        <w:rPr>
          <w:rFonts w:ascii="仿宋_GB2312" w:eastAsia="仿宋_GB2312" w:cs="仿宋_GB2312" w:hAnsi="仿宋" w:hint="eastAsia"/>
          <w:sz w:val="32"/>
          <w:szCs w:val="32"/>
        </w:rPr>
        <w:t>号）和市政府《研究广元市土地房屋征收拆迁办公室管理体制调整有关问题的会议纪要》（广府阅〔</w:t>
      </w:r>
      <w:r>
        <w:rPr>
          <w:rFonts w:ascii="仿宋_GB2312" w:eastAsia="仿宋_GB2312" w:cs="仿宋_GB2312" w:hAnsi="仿宋"/>
          <w:sz w:val="32"/>
          <w:szCs w:val="32"/>
        </w:rPr>
        <w:t>2015</w:t>
      </w:r>
      <w:r>
        <w:rPr>
          <w:rFonts w:ascii="仿宋_GB2312" w:eastAsia="仿宋_GB2312" w:cs="仿宋_GB2312" w:hAnsi="仿宋" w:hint="eastAsia"/>
          <w:sz w:val="32"/>
          <w:szCs w:val="32"/>
        </w:rPr>
        <w:t>〕</w:t>
      </w:r>
      <w:r>
        <w:rPr>
          <w:rFonts w:ascii="仿宋_GB2312" w:eastAsia="仿宋_GB2312" w:cs="仿宋_GB2312" w:hAnsi="仿宋"/>
          <w:sz w:val="32"/>
          <w:szCs w:val="32"/>
        </w:rPr>
        <w:t>66</w:t>
      </w:r>
      <w:r>
        <w:rPr>
          <w:rFonts w:ascii="仿宋_GB2312" w:eastAsia="仿宋_GB2312" w:cs="仿宋_GB2312" w:hAnsi="仿宋" w:hint="eastAsia"/>
          <w:sz w:val="32"/>
          <w:szCs w:val="32"/>
        </w:rPr>
        <w:t>号）等文件规定于</w:t>
      </w:r>
      <w:r>
        <w:rPr>
          <w:rFonts w:ascii="仿宋_GB2312" w:eastAsia="仿宋_GB2312" w:cs="仿宋_GB2312" w:hAnsi="仿宋"/>
          <w:sz w:val="32"/>
          <w:szCs w:val="32"/>
        </w:rPr>
        <w:t>2016</w:t>
      </w:r>
      <w:r>
        <w:rPr>
          <w:rFonts w:ascii="仿宋_GB2312" w:eastAsia="仿宋_GB2312" w:cs="仿宋_GB2312" w:hAnsi="仿宋" w:hint="eastAsia"/>
          <w:sz w:val="32"/>
          <w:szCs w:val="32"/>
        </w:rPr>
        <w:t>年</w:t>
      </w:r>
      <w:r>
        <w:rPr>
          <w:rFonts w:ascii="仿宋_GB2312" w:eastAsia="仿宋_GB2312" w:cs="仿宋_GB2312" w:hAnsi="仿宋"/>
          <w:sz w:val="32"/>
          <w:szCs w:val="32"/>
        </w:rPr>
        <w:t>1</w:t>
      </w:r>
      <w:r>
        <w:rPr>
          <w:rFonts w:ascii="仿宋_GB2312" w:eastAsia="仿宋_GB2312" w:cs="仿宋_GB2312" w:hAnsi="仿宋" w:hint="eastAsia"/>
          <w:sz w:val="32"/>
          <w:szCs w:val="32"/>
        </w:rPr>
        <w:t>月</w:t>
      </w:r>
      <w:r>
        <w:rPr>
          <w:rFonts w:ascii="仿宋_GB2312" w:eastAsia="仿宋_GB2312" w:cs="仿宋_GB2312" w:hAnsi="仿宋"/>
          <w:sz w:val="32"/>
          <w:szCs w:val="32"/>
        </w:rPr>
        <w:t>1</w:t>
      </w:r>
      <w:r>
        <w:rPr>
          <w:rFonts w:ascii="仿宋_GB2312" w:eastAsia="仿宋_GB2312" w:cs="仿宋_GB2312" w:hAnsi="仿宋" w:hint="eastAsia"/>
          <w:sz w:val="32"/>
          <w:szCs w:val="32"/>
        </w:rPr>
        <w:t>日由原广元市利州区房屋征收中心、广元市利州区国土资源局建设用地征地拆迁办公室整建制并入广元市土地房屋征收拆迁办公室，确定为公益一类事业单位</w:t>
      </w:r>
      <w:r>
        <w:rPr>
          <w:rFonts w:ascii="仿宋_GB2312" w:eastAsia="仿宋_GB2312" w:cs="仿宋_GB2312" w:hAnsi="仿宋" w:hint="eastAsia"/>
          <w:sz w:val="32"/>
          <w:szCs w:val="32"/>
          <w:lang w:eastAsia="zh-CN"/>
        </w:rPr>
        <w:t>，</w:t>
      </w:r>
      <w:r>
        <w:rPr>
          <w:rFonts w:ascii="仿宋_GB2312" w:eastAsia="仿宋_GB2312" w:cs="仿宋_GB2312" w:hAnsi="仿宋" w:hint="eastAsia"/>
          <w:sz w:val="32"/>
          <w:szCs w:val="32"/>
          <w:lang w:val="en-US" w:eastAsia="zh-CN"/>
        </w:rPr>
        <w:t>2019年10月，更名为广元市土地房屋征收拆迁事务中心。</w:t>
      </w:r>
    </w:p>
    <w:p>
      <w:pPr>
        <w:keepNext w:val="0"/>
        <w:keepLines w:val="0"/>
        <w:pageBreakBefore w:val="0"/>
        <w:widowControl w:val="0"/>
        <w:kinsoku/>
        <w:wordWrap/>
        <w:overflowPunct/>
        <w:topLinePunct w:val="0"/>
        <w:bidi w:val="0"/>
        <w:spacing w:line="576" w:lineRule="exact"/>
        <w:ind w:firstLineChars="200" w:firstLine="640"/>
        <w:textAlignment w:val="auto"/>
        <w:rPr>
          <w:rFonts w:ascii="楷体_GB2312" w:eastAsia="楷体_GB2312" w:hAnsi="仿宋"/>
          <w:sz w:val="32"/>
          <w:szCs w:val="32"/>
        </w:rPr>
      </w:pPr>
      <w:r>
        <w:rPr>
          <w:rFonts w:ascii="楷体_GB2312" w:eastAsia="楷体_GB2312" w:cs="楷体_GB2312" w:hAnsi="仿宋" w:hint="eastAsia"/>
          <w:sz w:val="32"/>
          <w:szCs w:val="32"/>
        </w:rPr>
        <w:t>（二）机构职能</w:t>
      </w:r>
    </w:p>
    <w:p>
      <w:pPr>
        <w:keepNext w:val="0"/>
        <w:keepLines w:val="0"/>
        <w:pageBreakBefore w:val="0"/>
        <w:widowControl w:val="0"/>
        <w:kinsoku/>
        <w:wordWrap/>
        <w:overflowPunct/>
        <w:topLinePunct w:val="0"/>
        <w:bidi w:val="0"/>
        <w:spacing w:line="576" w:lineRule="exact"/>
        <w:ind w:firstLineChars="200" w:firstLine="640"/>
        <w:textAlignment w:val="auto"/>
        <w:rPr>
          <w:rFonts w:ascii="仿宋_GB2312" w:eastAsia="仿宋_GB2312" w:hAnsi="仿宋"/>
          <w:sz w:val="32"/>
          <w:szCs w:val="32"/>
        </w:rPr>
      </w:pPr>
      <w:r>
        <w:rPr>
          <w:rFonts w:ascii="仿宋_GB2312" w:eastAsia="仿宋_GB2312" w:cs="仿宋_GB2312" w:hAnsi="仿宋" w:hint="eastAsia"/>
          <w:sz w:val="32"/>
          <w:szCs w:val="32"/>
        </w:rPr>
        <w:t>广元市土地房屋征收拆迁</w:t>
      </w:r>
      <w:r>
        <w:rPr>
          <w:rFonts w:ascii="仿宋_GB2312" w:eastAsia="仿宋_GB2312" w:cs="仿宋_GB2312" w:hAnsi="仿宋" w:hint="eastAsia"/>
          <w:sz w:val="32"/>
          <w:szCs w:val="32"/>
          <w:lang w:eastAsia="zh-CN"/>
        </w:rPr>
        <w:t>事务中心</w:t>
      </w:r>
      <w:r>
        <w:rPr>
          <w:rFonts w:ascii="仿宋_GB2312" w:eastAsia="仿宋_GB2312" w:cs="仿宋_GB2312" w:hAnsi="仿宋" w:hint="eastAsia"/>
          <w:sz w:val="32"/>
          <w:szCs w:val="32"/>
        </w:rPr>
        <w:t>贯彻执行《中华人民共和国土地管理法》及省、市有关建设用地征地拆迁的法律、法规及政策措施；</w:t>
      </w:r>
      <w:r>
        <w:rPr>
          <w:rFonts w:ascii="仿宋_GB2312" w:eastAsia="仿宋_GB2312" w:cs="仿宋_GB2312" w:hAnsi="仿宋"/>
          <w:sz w:val="32"/>
          <w:szCs w:val="32"/>
        </w:rPr>
        <w:t>2.</w:t>
      </w:r>
      <w:r>
        <w:rPr>
          <w:rFonts w:ascii="仿宋_GB2312" w:eastAsia="仿宋_GB2312" w:cs="仿宋_GB2312" w:hAnsi="仿宋" w:hint="eastAsia"/>
          <w:sz w:val="32"/>
          <w:szCs w:val="32"/>
        </w:rPr>
        <w:t>组织实施市城市规划区内集体土地</w:t>
      </w:r>
      <w:r>
        <w:rPr>
          <w:rFonts w:ascii="仿宋_GB2312" w:eastAsia="仿宋_GB2312" w:cs="仿宋_GB2312" w:hAnsi="仿宋" w:hint="eastAsia"/>
          <w:sz w:val="32"/>
          <w:szCs w:val="32"/>
          <w:lang w:eastAsia="zh-CN"/>
        </w:rPr>
        <w:t>上房屋</w:t>
      </w:r>
      <w:r>
        <w:rPr>
          <w:rFonts w:ascii="仿宋_GB2312" w:eastAsia="仿宋_GB2312" w:cs="仿宋_GB2312" w:hAnsi="仿宋" w:hint="eastAsia"/>
          <w:sz w:val="32"/>
          <w:szCs w:val="32"/>
        </w:rPr>
        <w:t>征收及拆迁安置工作</w:t>
      </w:r>
      <w:r>
        <w:rPr>
          <w:rFonts w:ascii="仿宋_GB2312" w:eastAsia="仿宋_GB2312" w:cs="仿宋_GB2312" w:hAnsi="仿宋"/>
          <w:sz w:val="32"/>
          <w:szCs w:val="32"/>
        </w:rPr>
        <w:t>;3.</w:t>
      </w:r>
      <w:r>
        <w:rPr>
          <w:rFonts w:ascii="仿宋_GB2312" w:eastAsia="仿宋_GB2312" w:cs="仿宋_GB2312" w:hAnsi="仿宋" w:hint="eastAsia"/>
          <w:sz w:val="32"/>
          <w:szCs w:val="32"/>
        </w:rPr>
        <w:t>组织实施市城市规划区内的国有土地上的房屋征收及拆迁补偿安置工作</w:t>
      </w:r>
      <w:r>
        <w:rPr>
          <w:rFonts w:ascii="仿宋_GB2312" w:eastAsia="仿宋_GB2312" w:cs="仿宋_GB2312" w:hAnsi="仿宋"/>
          <w:sz w:val="32"/>
          <w:szCs w:val="32"/>
        </w:rPr>
        <w:t>;4.</w:t>
      </w:r>
      <w:r>
        <w:rPr>
          <w:rFonts w:ascii="仿宋_GB2312" w:eastAsia="仿宋_GB2312" w:cs="仿宋_GB2312" w:hAnsi="仿宋" w:hint="eastAsia"/>
          <w:sz w:val="32"/>
          <w:szCs w:val="32"/>
        </w:rPr>
        <w:t>指导和组织协调全市跨行政区域重点项目的土地征收及拆迁工作；</w:t>
      </w:r>
      <w:r>
        <w:rPr>
          <w:rFonts w:ascii="仿宋_GB2312" w:eastAsia="仿宋_GB2312" w:cs="仿宋_GB2312" w:hAnsi="仿宋"/>
          <w:sz w:val="32"/>
          <w:szCs w:val="32"/>
        </w:rPr>
        <w:t>5.</w:t>
      </w:r>
      <w:r>
        <w:rPr>
          <w:rFonts w:ascii="仿宋_GB2312" w:eastAsia="仿宋_GB2312" w:cs="仿宋_GB2312" w:hAnsi="仿宋" w:hint="eastAsia"/>
          <w:sz w:val="32"/>
          <w:szCs w:val="32"/>
        </w:rPr>
        <w:t>承担市政府交办的其他征地拆迁事项。</w:t>
      </w:r>
    </w:p>
    <w:p>
      <w:pPr>
        <w:keepNext w:val="0"/>
        <w:keepLines w:val="0"/>
        <w:pageBreakBefore w:val="0"/>
        <w:widowControl w:val="0"/>
        <w:kinsoku/>
        <w:wordWrap/>
        <w:overflowPunct/>
        <w:topLinePunct w:val="0"/>
        <w:bidi w:val="0"/>
        <w:spacing w:line="576" w:lineRule="exact"/>
        <w:ind w:firstLineChars="200" w:firstLine="640"/>
        <w:textAlignment w:val="auto"/>
        <w:rPr>
          <w:rFonts w:ascii="楷体_GB2312" w:eastAsia="楷体_GB2312" w:cs="楷体_GB2312" w:hAnsi="仿宋" w:hint="eastAsia"/>
          <w:sz w:val="32"/>
          <w:szCs w:val="32"/>
        </w:rPr>
      </w:pPr>
      <w:r>
        <w:rPr>
          <w:rFonts w:ascii="楷体_GB2312" w:eastAsia="楷体_GB2312" w:cs="楷体_GB2312" w:hAnsi="仿宋" w:hint="eastAsia"/>
          <w:sz w:val="32"/>
          <w:szCs w:val="32"/>
        </w:rPr>
        <w:t>（三）人员概况</w:t>
      </w:r>
    </w:p>
    <w:p>
      <w:pPr>
        <w:keepNext w:val="0"/>
        <w:keepLines w:val="0"/>
        <w:pageBreakBefore w:val="0"/>
        <w:widowControl w:val="0"/>
        <w:kinsoku/>
        <w:wordWrap/>
        <w:overflowPunct/>
        <w:topLinePunct w:val="0"/>
        <w:bidi w:val="0"/>
        <w:spacing w:line="576" w:lineRule="exact"/>
        <w:ind w:firstLineChars="200" w:firstLine="640"/>
        <w:textAlignment w:val="auto"/>
        <w:rPr>
          <w:rFonts w:ascii="仿宋_GB2312" w:eastAsia="仿宋_GB2312" w:hAnsi="仿宋"/>
          <w:sz w:val="32"/>
          <w:szCs w:val="32"/>
        </w:rPr>
      </w:pPr>
      <w:r>
        <w:rPr>
          <w:rFonts w:ascii="仿宋_GB2312" w:eastAsia="仿宋_GB2312" w:cs="仿宋_GB2312" w:hAnsi="仿宋" w:hint="eastAsia"/>
          <w:sz w:val="32"/>
          <w:szCs w:val="32"/>
        </w:rPr>
        <w:t>核定编制</w:t>
      </w:r>
      <w:r>
        <w:rPr>
          <w:rFonts w:ascii="仿宋_GB2312" w:eastAsia="仿宋_GB2312" w:cs="仿宋_GB2312" w:hAnsi="仿宋"/>
          <w:sz w:val="32"/>
          <w:szCs w:val="32"/>
        </w:rPr>
        <w:t>72</w:t>
      </w:r>
      <w:r>
        <w:rPr>
          <w:rFonts w:ascii="仿宋_GB2312" w:eastAsia="仿宋_GB2312" w:cs="仿宋_GB2312" w:hAnsi="仿宋" w:hint="eastAsia"/>
          <w:sz w:val="32"/>
          <w:szCs w:val="32"/>
        </w:rPr>
        <w:t>名，其中行政编制</w:t>
      </w:r>
      <w:r>
        <w:rPr>
          <w:rFonts w:ascii="仿宋_GB2312" w:eastAsia="仿宋_GB2312" w:cs="仿宋_GB2312" w:hAnsi="仿宋"/>
          <w:sz w:val="32"/>
          <w:szCs w:val="32"/>
        </w:rPr>
        <w:t>0</w:t>
      </w:r>
      <w:r>
        <w:rPr>
          <w:rFonts w:ascii="仿宋_GB2312" w:eastAsia="仿宋_GB2312" w:cs="仿宋_GB2312" w:hAnsi="仿宋" w:hint="eastAsia"/>
          <w:sz w:val="32"/>
          <w:szCs w:val="32"/>
        </w:rPr>
        <w:t>名，参照公务员法管理的事业编</w:t>
      </w:r>
      <w:r>
        <w:rPr>
          <w:rFonts w:ascii="仿宋_GB2312" w:eastAsia="仿宋_GB2312" w:cs="仿宋_GB2312" w:hAnsi="仿宋"/>
          <w:sz w:val="32"/>
          <w:szCs w:val="32"/>
        </w:rPr>
        <w:t>0</w:t>
      </w:r>
      <w:r>
        <w:rPr>
          <w:rFonts w:ascii="仿宋_GB2312" w:eastAsia="仿宋_GB2312" w:cs="仿宋_GB2312" w:hAnsi="仿宋" w:hint="eastAsia"/>
          <w:sz w:val="32"/>
          <w:szCs w:val="32"/>
        </w:rPr>
        <w:t>名，其他事业编制</w:t>
      </w:r>
      <w:r>
        <w:rPr>
          <w:rFonts w:ascii="仿宋_GB2312" w:eastAsia="仿宋_GB2312" w:cs="仿宋_GB2312" w:hAnsi="仿宋"/>
          <w:sz w:val="32"/>
          <w:szCs w:val="32"/>
        </w:rPr>
        <w:t>72</w:t>
      </w:r>
      <w:r>
        <w:rPr>
          <w:rFonts w:ascii="仿宋_GB2312" w:eastAsia="仿宋_GB2312" w:cs="仿宋_GB2312" w:hAnsi="仿宋" w:hint="eastAsia"/>
          <w:sz w:val="32"/>
          <w:szCs w:val="32"/>
        </w:rPr>
        <w:t>名。在职人员总数</w:t>
      </w:r>
      <w:r>
        <w:rPr>
          <w:rFonts w:ascii="仿宋_GB2312" w:eastAsia="仿宋_GB2312" w:cs="仿宋_GB2312" w:hAnsi="仿宋"/>
          <w:sz w:val="32"/>
          <w:szCs w:val="32"/>
        </w:rPr>
        <w:t>63</w:t>
      </w:r>
      <w:r>
        <w:rPr>
          <w:rFonts w:ascii="仿宋_GB2312" w:eastAsia="仿宋_GB2312" w:cs="仿宋_GB2312" w:hAnsi="仿宋" w:hint="eastAsia"/>
          <w:sz w:val="32"/>
          <w:szCs w:val="32"/>
        </w:rPr>
        <w:t>人，其中行政人员</w:t>
      </w:r>
      <w:r>
        <w:rPr>
          <w:rFonts w:ascii="仿宋_GB2312" w:eastAsia="仿宋_GB2312" w:cs="仿宋_GB2312" w:hAnsi="仿宋"/>
          <w:sz w:val="32"/>
          <w:szCs w:val="32"/>
        </w:rPr>
        <w:t>0</w:t>
      </w:r>
      <w:r>
        <w:rPr>
          <w:rFonts w:ascii="仿宋_GB2312" w:eastAsia="仿宋_GB2312" w:cs="仿宋_GB2312" w:hAnsi="仿宋" w:hint="eastAsia"/>
          <w:sz w:val="32"/>
          <w:szCs w:val="32"/>
        </w:rPr>
        <w:t>人，参照公务员法管理的事业人员</w:t>
      </w:r>
      <w:r>
        <w:rPr>
          <w:rFonts w:ascii="仿宋_GB2312" w:eastAsia="仿宋_GB2312" w:cs="仿宋_GB2312" w:hAnsi="仿宋"/>
          <w:sz w:val="32"/>
          <w:szCs w:val="32"/>
        </w:rPr>
        <w:t>0</w:t>
      </w:r>
      <w:r>
        <w:rPr>
          <w:rFonts w:ascii="仿宋_GB2312" w:eastAsia="仿宋_GB2312" w:cs="仿宋_GB2312" w:hAnsi="仿宋" w:hint="eastAsia"/>
          <w:sz w:val="32"/>
          <w:szCs w:val="32"/>
        </w:rPr>
        <w:t>人，其他事业人员</w:t>
      </w:r>
      <w:r>
        <w:rPr>
          <w:rFonts w:ascii="仿宋_GB2312" w:eastAsia="仿宋_GB2312" w:cs="仿宋_GB2312" w:hAnsi="仿宋"/>
          <w:sz w:val="32"/>
          <w:szCs w:val="32"/>
        </w:rPr>
        <w:t>63</w:t>
      </w:r>
      <w:r>
        <w:rPr>
          <w:rFonts w:ascii="仿宋_GB2312" w:eastAsia="仿宋_GB2312" w:cs="仿宋_GB2312" w:hAnsi="仿宋" w:hint="eastAsia"/>
          <w:sz w:val="32"/>
          <w:szCs w:val="32"/>
        </w:rPr>
        <w:t>人；退休人员</w:t>
      </w:r>
      <w:r>
        <w:rPr>
          <w:rFonts w:ascii="仿宋_GB2312" w:eastAsia="仿宋_GB2312" w:cs="仿宋_GB2312" w:hAnsi="仿宋"/>
          <w:sz w:val="32"/>
          <w:szCs w:val="32"/>
        </w:rPr>
        <w:t>2</w:t>
      </w:r>
      <w:r>
        <w:rPr>
          <w:rFonts w:ascii="仿宋_GB2312" w:eastAsia="仿宋_GB2312" w:cs="仿宋_GB2312" w:hAnsi="仿宋" w:hint="eastAsia"/>
          <w:sz w:val="32"/>
          <w:szCs w:val="32"/>
        </w:rPr>
        <w:t>名。</w:t>
      </w:r>
    </w:p>
    <w:p>
      <w:pPr>
        <w:keepNext w:val="0"/>
        <w:keepLines w:val="0"/>
        <w:pageBreakBefore w:val="0"/>
        <w:widowControl/>
        <w:kinsoku/>
        <w:wordWrap/>
        <w:overflowPunct/>
        <w:topLinePunct w:val="0"/>
        <w:bidi w:val="0"/>
        <w:adjustRightInd w:val="0"/>
        <w:snapToGrid w:val="0"/>
        <w:spacing w:line="576" w:lineRule="exact"/>
        <w:ind w:firstLineChars="200" w:firstLine="640"/>
        <w:contextualSpacing/>
        <w:jc w:val="left"/>
        <w:textAlignment w:val="auto"/>
        <w:rPr>
          <w:rFonts w:ascii="黑体" w:eastAsia="黑体" w:cs="宋体" w:hAnsi="宋体"/>
          <w:color w:val="000000"/>
          <w:kern w:val="0"/>
          <w:sz w:val="32"/>
          <w:szCs w:val="32"/>
          <w:shd w:val="clear" w:color="auto" w:fill="FFFFFF"/>
        </w:rPr>
      </w:pPr>
      <w:r>
        <w:rPr>
          <w:rFonts w:ascii="黑体" w:eastAsia="黑体" w:cs="宋体" w:hAnsi="宋体" w:hint="eastAsia"/>
          <w:color w:val="000000"/>
          <w:kern w:val="0"/>
          <w:sz w:val="32"/>
          <w:szCs w:val="32"/>
          <w:shd w:val="clear" w:color="auto" w:fill="FFFFFF"/>
        </w:rPr>
        <w:t>二、部门财政资金收支情况</w:t>
      </w:r>
    </w:p>
    <w:p>
      <w:pPr>
        <w:keepNext w:val="0"/>
        <w:keepLines w:val="0"/>
        <w:pageBreakBefore w:val="0"/>
        <w:widowControl/>
        <w:kinsoku/>
        <w:wordWrap/>
        <w:overflowPunct/>
        <w:topLinePunct w:val="0"/>
        <w:bidi w:val="0"/>
        <w:adjustRightInd w:val="0"/>
        <w:snapToGrid w:val="0"/>
        <w:spacing w:line="576" w:lineRule="exact"/>
        <w:ind w:firstLineChars="200" w:firstLine="640"/>
        <w:contextualSpacing/>
        <w:jc w:val="left"/>
        <w:textAlignment w:val="auto"/>
        <w:rPr>
          <w:rFonts w:ascii="仿宋_GB2312" w:eastAsia="仿宋_GB2312" w:cs="宋体" w:hAnsi="宋体" w:hint="eastAsia"/>
          <w:color w:val="000000"/>
          <w:kern w:val="0"/>
          <w:sz w:val="32"/>
          <w:szCs w:val="32"/>
          <w:shd w:val="clear" w:color="auto" w:fill="FFFFFF"/>
          <w:lang w:val="zh-CN"/>
        </w:rPr>
      </w:pPr>
      <w:r>
        <w:rPr>
          <w:rFonts w:ascii="仿宋_GB2312" w:eastAsia="仿宋_GB2312" w:cs="宋体" w:hAnsi="宋体" w:hint="eastAsia"/>
          <w:color w:val="000000"/>
          <w:kern w:val="0"/>
          <w:sz w:val="32"/>
          <w:szCs w:val="32"/>
          <w:shd w:val="clear" w:color="auto" w:fill="FFFFFF"/>
          <w:lang w:val="zh-CN"/>
        </w:rPr>
        <w:t>（一）部门财政资金收入情况</w:t>
      </w:r>
    </w:p>
    <w:p>
      <w:pPr>
        <w:keepNext w:val="0"/>
        <w:keepLines w:val="0"/>
        <w:pageBreakBefore w:val="0"/>
        <w:widowControl w:val="0"/>
        <w:kinsoku/>
        <w:wordWrap/>
        <w:overflowPunct/>
        <w:topLinePunct w:val="0"/>
        <w:bidi w:val="0"/>
        <w:spacing w:line="576" w:lineRule="exact"/>
        <w:ind w:firstLineChars="200" w:firstLine="640"/>
        <w:textAlignment w:val="auto"/>
        <w:outlineLvl w:val="1"/>
        <w:rPr>
          <w:rFonts w:ascii="仿宋" w:eastAsia="仿宋" w:hAnsi="仿宋" w:hint="eastAsia"/>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9年本年收入合计</w:t>
      </w:r>
      <w:r>
        <w:rPr>
          <w:rFonts w:ascii="仿宋" w:eastAsia="仿宋" w:hAnsi="仿宋" w:hint="eastAsia"/>
          <w:color w:val="000000"/>
          <w:sz w:val="32"/>
          <w:szCs w:val="32"/>
          <w:lang w:val="en-US" w:eastAsia="zh-CN"/>
        </w:rPr>
        <w:t>27681.74</w:t>
      </w:r>
      <w:r>
        <w:rPr>
          <w:rFonts w:ascii="仿宋" w:eastAsia="仿宋" w:hAnsi="仿宋" w:hint="eastAsia"/>
          <w:color w:val="000000"/>
          <w:sz w:val="32"/>
          <w:szCs w:val="32"/>
        </w:rPr>
        <w:t>万元，其中：一般公共预算财政拨款收入</w:t>
      </w:r>
      <w:r>
        <w:rPr>
          <w:rFonts w:ascii="仿宋" w:eastAsia="仿宋" w:hAnsi="仿宋" w:hint="eastAsia"/>
          <w:color w:val="000000"/>
          <w:sz w:val="32"/>
          <w:szCs w:val="32"/>
          <w:lang w:val="en-US" w:eastAsia="zh-CN"/>
        </w:rPr>
        <w:t>865.75</w:t>
      </w:r>
      <w:r>
        <w:rPr>
          <w:rFonts w:ascii="仿宋" w:eastAsia="仿宋" w:hAnsi="仿宋" w:hint="eastAsia"/>
          <w:color w:val="000000"/>
          <w:sz w:val="32"/>
          <w:szCs w:val="32"/>
        </w:rPr>
        <w:t>万元，占</w:t>
      </w:r>
      <w:r>
        <w:rPr>
          <w:rFonts w:ascii="仿宋" w:eastAsia="仿宋" w:hAnsi="仿宋" w:hint="eastAsia"/>
          <w:color w:val="000000"/>
          <w:sz w:val="32"/>
          <w:szCs w:val="32"/>
          <w:lang w:val="en-US" w:eastAsia="zh-CN"/>
        </w:rPr>
        <w:t>3.13</w:t>
      </w:r>
      <w:r>
        <w:rPr>
          <w:rFonts w:ascii="仿宋" w:eastAsia="仿宋" w:hAnsi="仿宋"/>
          <w:color w:val="000000"/>
          <w:sz w:val="32"/>
          <w:szCs w:val="32"/>
        </w:rPr>
        <w:t>%</w:t>
      </w:r>
      <w:r>
        <w:rPr>
          <w:rFonts w:ascii="仿宋" w:eastAsia="仿宋" w:hAnsi="仿宋" w:hint="eastAsia"/>
          <w:color w:val="000000"/>
          <w:sz w:val="32"/>
          <w:szCs w:val="32"/>
        </w:rPr>
        <w:t>；政府性基金预算财政拨款收入</w:t>
      </w:r>
      <w:r>
        <w:rPr>
          <w:rFonts w:ascii="仿宋" w:eastAsia="仿宋" w:hAnsi="仿宋" w:hint="eastAsia"/>
          <w:color w:val="000000"/>
          <w:sz w:val="32"/>
          <w:szCs w:val="32"/>
          <w:lang w:val="en-US" w:eastAsia="zh-CN"/>
        </w:rPr>
        <w:t>26815.99</w:t>
      </w:r>
      <w:r>
        <w:rPr>
          <w:rFonts w:ascii="仿宋" w:eastAsia="仿宋" w:hAnsi="仿宋" w:hint="eastAsia"/>
          <w:color w:val="000000"/>
          <w:sz w:val="32"/>
          <w:szCs w:val="32"/>
        </w:rPr>
        <w:t>万元，占</w:t>
      </w:r>
      <w:r>
        <w:rPr>
          <w:rFonts w:ascii="仿宋" w:eastAsia="仿宋" w:hAnsi="仿宋" w:hint="eastAsia"/>
          <w:color w:val="000000"/>
          <w:sz w:val="32"/>
          <w:szCs w:val="32"/>
          <w:lang w:val="en-US" w:eastAsia="zh-CN"/>
        </w:rPr>
        <w:t>96.87</w:t>
      </w:r>
      <w:r>
        <w:rPr>
          <w:rFonts w:ascii="仿宋" w:eastAsia="仿宋" w:hAnsi="仿宋"/>
          <w:color w:val="000000"/>
          <w:sz w:val="32"/>
          <w:szCs w:val="32"/>
        </w:rPr>
        <w:t>%</w:t>
      </w:r>
      <w:r>
        <w:rPr>
          <w:rFonts w:ascii="仿宋" w:eastAsia="仿宋" w:hAnsi="仿宋" w:hint="eastAsia"/>
          <w:color w:val="000000"/>
          <w:sz w:val="32"/>
          <w:szCs w:val="32"/>
        </w:rPr>
        <w:t>。</w:t>
      </w:r>
    </w:p>
    <w:p>
      <w:pPr>
        <w:keepNext w:val="0"/>
        <w:keepLines w:val="0"/>
        <w:pageBreakBefore w:val="0"/>
        <w:widowControl/>
        <w:numPr>
          <w:ilvl w:val="0"/>
          <w:numId w:val="6"/>
        </w:numPr>
        <w:kinsoku/>
        <w:wordWrap/>
        <w:overflowPunct/>
        <w:topLinePunct w:val="0"/>
        <w:bidi w:val="0"/>
        <w:adjustRightInd w:val="0"/>
        <w:snapToGrid w:val="0"/>
        <w:spacing w:line="576" w:lineRule="exact"/>
        <w:ind w:left="0" w:firstLineChars="200" w:firstLine="640"/>
        <w:contextualSpacing/>
        <w:jc w:val="left"/>
        <w:textAlignment w:val="auto"/>
        <w:rPr>
          <w:rFonts w:ascii="仿宋_GB2312" w:eastAsia="仿宋_GB2312" w:cs="宋体" w:hAnsi="宋体" w:hint="eastAsia"/>
          <w:color w:val="000000"/>
          <w:kern w:val="0"/>
          <w:sz w:val="32"/>
          <w:szCs w:val="32"/>
          <w:shd w:val="clear" w:color="auto" w:fill="FFFFFF"/>
          <w:lang w:val="zh-CN"/>
        </w:rPr>
      </w:pPr>
      <w:r>
        <w:rPr>
          <w:rFonts w:ascii="仿宋_GB2312" w:eastAsia="仿宋_GB2312" w:cs="宋体" w:hAnsi="宋体" w:hint="eastAsia"/>
          <w:color w:val="000000"/>
          <w:kern w:val="0"/>
          <w:sz w:val="32"/>
          <w:szCs w:val="32"/>
          <w:shd w:val="clear" w:color="auto" w:fill="FFFFFF"/>
          <w:lang w:val="zh-CN"/>
        </w:rPr>
        <w:t>部门财政资金支出情况</w:t>
      </w:r>
    </w:p>
    <w:p>
      <w:pPr>
        <w:keepNext w:val="0"/>
        <w:keepLines w:val="0"/>
        <w:pageBreakBefore w:val="0"/>
        <w:widowControl w:val="0"/>
        <w:kinsoku/>
        <w:wordWrap/>
        <w:overflowPunct/>
        <w:topLinePunct w:val="0"/>
        <w:bidi w:val="0"/>
        <w:spacing w:line="576" w:lineRule="exact"/>
        <w:ind w:firstLineChars="200" w:firstLine="640"/>
        <w:textAlignment w:val="auto"/>
        <w:outlineLvl w:val="1"/>
        <w:rPr>
          <w:rFonts w:ascii="仿宋" w:eastAsia="仿宋" w:hAnsi="仿宋" w:hint="eastAsia"/>
          <w:color w:val="000000"/>
          <w:sz w:val="32"/>
          <w:szCs w:val="32"/>
          <w:lang w:val="zh-CN"/>
        </w:rPr>
      </w:pPr>
      <w:r>
        <w:rPr>
          <w:rFonts w:ascii="仿宋" w:eastAsia="仿宋" w:hAnsi="仿宋"/>
          <w:color w:val="000000"/>
          <w:sz w:val="32"/>
          <w:szCs w:val="32"/>
        </w:rPr>
        <w:t>201</w:t>
      </w:r>
      <w:r>
        <w:rPr>
          <w:rFonts w:ascii="仿宋" w:eastAsia="仿宋" w:hAnsi="仿宋" w:hint="eastAsia"/>
          <w:color w:val="000000"/>
          <w:sz w:val="32"/>
          <w:szCs w:val="32"/>
        </w:rPr>
        <w:t>9年本年支出合计</w:t>
      </w:r>
      <w:r>
        <w:rPr>
          <w:rFonts w:ascii="仿宋" w:eastAsia="仿宋" w:hAnsi="仿宋" w:hint="eastAsia"/>
          <w:color w:val="000000"/>
          <w:sz w:val="32"/>
          <w:szCs w:val="32"/>
          <w:lang w:val="en-US" w:eastAsia="zh-CN"/>
        </w:rPr>
        <w:t>27691.76</w:t>
      </w:r>
      <w:r>
        <w:rPr>
          <w:rFonts w:ascii="仿宋" w:eastAsia="仿宋" w:hAnsi="仿宋" w:hint="eastAsia"/>
          <w:color w:val="000000"/>
          <w:sz w:val="32"/>
          <w:szCs w:val="32"/>
        </w:rPr>
        <w:t>万元，其中：基本支出</w:t>
      </w:r>
      <w:r>
        <w:rPr>
          <w:rFonts w:ascii="仿宋" w:eastAsia="仿宋" w:hAnsi="仿宋" w:hint="eastAsia"/>
          <w:color w:val="000000"/>
          <w:sz w:val="32"/>
          <w:szCs w:val="32"/>
          <w:lang w:val="en-US" w:eastAsia="zh-CN"/>
        </w:rPr>
        <w:t>807.07</w:t>
      </w:r>
      <w:r>
        <w:rPr>
          <w:rFonts w:ascii="仿宋" w:eastAsia="仿宋" w:hAnsi="仿宋" w:hint="eastAsia"/>
          <w:color w:val="000000"/>
          <w:sz w:val="32"/>
          <w:szCs w:val="32"/>
        </w:rPr>
        <w:t>万元，占</w:t>
      </w:r>
      <w:r>
        <w:rPr>
          <w:rFonts w:ascii="仿宋" w:eastAsia="仿宋" w:hAnsi="仿宋" w:hint="eastAsia"/>
          <w:color w:val="000000"/>
          <w:sz w:val="32"/>
          <w:szCs w:val="32"/>
          <w:lang w:val="en-US" w:eastAsia="zh-CN"/>
        </w:rPr>
        <w:t>2.91</w:t>
      </w:r>
      <w:r>
        <w:rPr>
          <w:rFonts w:ascii="仿宋" w:eastAsia="仿宋" w:hAnsi="仿宋"/>
          <w:color w:val="000000"/>
          <w:sz w:val="32"/>
          <w:szCs w:val="32"/>
        </w:rPr>
        <w:t>%</w:t>
      </w:r>
      <w:r>
        <w:rPr>
          <w:rFonts w:ascii="仿宋" w:eastAsia="仿宋" w:hAnsi="仿宋" w:hint="eastAsia"/>
          <w:color w:val="000000"/>
          <w:sz w:val="32"/>
          <w:szCs w:val="32"/>
        </w:rPr>
        <w:t>；项目支出</w:t>
      </w:r>
      <w:r>
        <w:rPr>
          <w:rFonts w:ascii="仿宋" w:eastAsia="仿宋" w:hAnsi="仿宋" w:hint="eastAsia"/>
          <w:color w:val="000000"/>
          <w:sz w:val="32"/>
          <w:szCs w:val="32"/>
          <w:lang w:val="en-US" w:eastAsia="zh-CN"/>
        </w:rPr>
        <w:t>26884.69</w:t>
      </w:r>
      <w:r>
        <w:rPr>
          <w:rFonts w:ascii="仿宋" w:eastAsia="仿宋" w:hAnsi="仿宋" w:hint="eastAsia"/>
          <w:color w:val="000000"/>
          <w:sz w:val="32"/>
          <w:szCs w:val="32"/>
        </w:rPr>
        <w:t>万元，占</w:t>
      </w:r>
      <w:r>
        <w:rPr>
          <w:rFonts w:ascii="仿宋" w:eastAsia="仿宋" w:hAnsi="仿宋" w:hint="eastAsia"/>
          <w:color w:val="000000"/>
          <w:sz w:val="32"/>
          <w:szCs w:val="32"/>
          <w:lang w:val="en-US" w:eastAsia="zh-CN"/>
        </w:rPr>
        <w:t>97.09</w:t>
      </w:r>
      <w:r>
        <w:rPr>
          <w:rFonts w:ascii="仿宋" w:eastAsia="仿宋" w:hAnsi="仿宋"/>
          <w:color w:val="000000"/>
          <w:sz w:val="32"/>
          <w:szCs w:val="32"/>
        </w:rPr>
        <w:t>%</w:t>
      </w:r>
      <w:r>
        <w:rPr>
          <w:rFonts w:ascii="仿宋" w:eastAsia="仿宋" w:hAnsi="仿宋" w:hint="eastAsia"/>
          <w:color w:val="000000"/>
          <w:sz w:val="32"/>
          <w:szCs w:val="32"/>
        </w:rPr>
        <w:t>；</w:t>
      </w:r>
    </w:p>
    <w:p>
      <w:pPr>
        <w:keepNext w:val="0"/>
        <w:keepLines w:val="0"/>
        <w:pageBreakBefore w:val="0"/>
        <w:widowControl/>
        <w:kinsoku/>
        <w:wordWrap/>
        <w:overflowPunct/>
        <w:topLinePunct w:val="0"/>
        <w:bidi w:val="0"/>
        <w:adjustRightInd w:val="0"/>
        <w:snapToGrid w:val="0"/>
        <w:spacing w:line="576" w:lineRule="exact"/>
        <w:ind w:firstLineChars="200" w:firstLine="640"/>
        <w:contextualSpacing/>
        <w:jc w:val="left"/>
        <w:textAlignment w:val="auto"/>
        <w:rPr>
          <w:rFonts w:ascii="黑体" w:eastAsia="黑体" w:cs="宋体" w:hAnsi="宋体"/>
          <w:color w:val="000000"/>
          <w:kern w:val="0"/>
          <w:sz w:val="32"/>
          <w:szCs w:val="32"/>
          <w:shd w:val="clear" w:color="auto" w:fill="FFFFFF"/>
        </w:rPr>
      </w:pPr>
      <w:r>
        <w:rPr>
          <w:rFonts w:ascii="黑体" w:eastAsia="黑体" w:cs="宋体" w:hAnsi="宋体" w:hint="eastAsia"/>
          <w:color w:val="000000"/>
          <w:kern w:val="0"/>
          <w:sz w:val="32"/>
          <w:szCs w:val="32"/>
          <w:shd w:val="clear" w:color="auto" w:fill="FFFFFF"/>
        </w:rPr>
        <w:t>三、部门整体预算绩效管理情况</w:t>
      </w:r>
    </w:p>
    <w:p>
      <w:pPr>
        <w:keepNext w:val="0"/>
        <w:keepLines w:val="0"/>
        <w:pageBreakBefore w:val="0"/>
        <w:widowControl/>
        <w:kinsoku/>
        <w:wordWrap/>
        <w:overflowPunct/>
        <w:topLinePunct w:val="0"/>
        <w:bidi w:val="0"/>
        <w:adjustRightInd w:val="0"/>
        <w:snapToGrid w:val="0"/>
        <w:spacing w:line="576" w:lineRule="exact"/>
        <w:ind w:firstLineChars="200" w:firstLine="640"/>
        <w:contextualSpacing/>
        <w:jc w:val="left"/>
        <w:textAlignment w:val="auto"/>
        <w:rPr>
          <w:rFonts w:ascii="华文楷体" w:eastAsia="华文楷体" w:cs="华文楷体" w:hAnsi="华文楷体" w:hint="eastAsia"/>
          <w:color w:val="000000"/>
          <w:kern w:val="0"/>
          <w:sz w:val="32"/>
          <w:szCs w:val="32"/>
          <w:shd w:val="clear" w:color="auto" w:fill="FFFFFF"/>
          <w:lang w:val="zh-CN"/>
        </w:rPr>
      </w:pPr>
      <w:r>
        <w:rPr>
          <w:rFonts w:ascii="华文楷体" w:eastAsia="华文楷体" w:cs="华文楷体" w:hAnsi="华文楷体" w:hint="eastAsia"/>
          <w:color w:val="000000"/>
          <w:kern w:val="0"/>
          <w:sz w:val="32"/>
          <w:szCs w:val="32"/>
          <w:shd w:val="clear" w:color="auto" w:fill="FFFFFF"/>
          <w:lang w:val="zh-CN"/>
        </w:rPr>
        <w:t>（一）部门预算管理</w:t>
      </w:r>
    </w:p>
    <w:p>
      <w:pPr>
        <w:keepNext w:val="0"/>
        <w:keepLines w:val="0"/>
        <w:pageBreakBefore w:val="0"/>
        <w:widowControl w:val="0"/>
        <w:kinsoku/>
        <w:wordWrap/>
        <w:overflowPunct/>
        <w:topLinePunct w:val="0"/>
        <w:bidi w:val="0"/>
        <w:spacing w:line="576" w:lineRule="exact"/>
        <w:ind w:firstLineChars="200" w:firstLine="640"/>
        <w:textAlignment w:val="auto"/>
        <w:rPr>
          <w:rFonts w:ascii="仿宋_GB2312" w:eastAsia="仿宋_GB2312" w:cs="宋体" w:hAnsi="宋体"/>
          <w:color w:val="000000"/>
          <w:kern w:val="0"/>
          <w:sz w:val="32"/>
          <w:szCs w:val="21"/>
        </w:rPr>
      </w:pPr>
      <w:r>
        <w:rPr>
          <w:rFonts w:ascii="仿宋_GB2312" w:eastAsia="仿宋_GB2312" w:cs="仿宋_GB2312" w:hAnsi="仿宋" w:hint="eastAsia"/>
          <w:sz w:val="32"/>
          <w:szCs w:val="32"/>
          <w:lang w:eastAsia="zh-CN"/>
        </w:rPr>
        <w:t>市征拆中心</w:t>
      </w:r>
      <w:r>
        <w:rPr>
          <w:rFonts w:ascii="仿宋_GB2312" w:eastAsia="仿宋_GB2312" w:cs="仿宋_GB2312" w:hAnsi="仿宋" w:hint="eastAsia"/>
          <w:color w:val="000000"/>
          <w:sz w:val="32"/>
          <w:szCs w:val="32"/>
        </w:rPr>
        <w:t>严格按区财政部门预算要求，按时按质编制部门预算</w:t>
      </w:r>
      <w:r>
        <w:rPr>
          <w:rFonts w:ascii="仿宋_GB2312" w:eastAsia="仿宋_GB2312" w:cs="仿宋_GB2312" w:hAnsi="仿宋" w:hint="eastAsia"/>
          <w:color w:val="000000"/>
          <w:sz w:val="32"/>
          <w:szCs w:val="32"/>
          <w:lang w:eastAsia="zh-CN"/>
        </w:rPr>
        <w:t>及整体绩效目标，合理安排支出。</w:t>
      </w:r>
      <w:r>
        <w:rPr>
          <w:rFonts w:ascii="仿宋_GB2312" w:eastAsia="仿宋_GB2312" w:cs="仿宋_GB2312" w:hAnsi="仿宋" w:hint="eastAsia"/>
          <w:sz w:val="32"/>
          <w:szCs w:val="32"/>
        </w:rPr>
        <w:t>在制定绩效目标制定的原则主要有以下四点</w:t>
      </w:r>
      <w:r>
        <w:rPr>
          <w:rFonts w:ascii="仿宋_GB2312" w:eastAsia="仿宋_GB2312" w:cs="仿宋_GB2312" w:hAnsi="仿宋" w:hint="eastAsia"/>
          <w:sz w:val="32"/>
          <w:szCs w:val="32"/>
          <w:lang w:eastAsia="zh-CN"/>
        </w:rPr>
        <w:t>：</w:t>
      </w:r>
      <w:r>
        <w:rPr>
          <w:rFonts w:ascii="仿宋_GB2312" w:eastAsia="仿宋_GB2312" w:cs="仿宋_GB2312" w:hAnsi="仿宋" w:hint="eastAsia"/>
          <w:sz w:val="32"/>
          <w:szCs w:val="32"/>
        </w:rPr>
        <w:t>一是保障职工工资福利和单位日常工作，二是按照财政资金到位情况完成项目征收任务；三是按计划开展征收政策宣传培训；四是做好群众信访维稳以及征收事务协调工作</w:t>
      </w:r>
      <w:r>
        <w:rPr>
          <w:rFonts w:ascii="仿宋_GB2312" w:eastAsia="仿宋_GB2312" w:cs="仿宋_GB2312" w:hAnsi="仿宋" w:hint="eastAsia"/>
          <w:sz w:val="32"/>
          <w:szCs w:val="32"/>
          <w:lang w:eastAsia="zh-CN"/>
        </w:rPr>
        <w:t>；五是做好扶贫工作</w:t>
      </w:r>
      <w:r>
        <w:rPr>
          <w:rFonts w:ascii="仿宋_GB2312" w:eastAsia="仿宋_GB2312" w:cs="仿宋_GB2312" w:hAnsi="仿宋" w:hint="eastAsia"/>
          <w:sz w:val="32"/>
          <w:szCs w:val="32"/>
        </w:rPr>
        <w:t>。</w:t>
      </w:r>
      <w:r>
        <w:rPr>
          <w:rFonts w:ascii="仿宋_GB2312" w:eastAsia="仿宋_GB2312" w:cs="仿宋_GB2312" w:hAnsi="仿宋" w:hint="eastAsia"/>
          <w:sz w:val="32"/>
          <w:szCs w:val="32"/>
          <w:lang w:eastAsia="zh-CN"/>
        </w:rPr>
        <w:t>在执行过程中，</w:t>
      </w:r>
      <w:r>
        <w:rPr>
          <w:rFonts w:ascii="仿宋_GB2312" w:eastAsia="仿宋_GB2312" w:cs="宋体" w:hAnsi="宋体" w:hint="eastAsia"/>
          <w:color w:val="000000"/>
          <w:kern w:val="0"/>
          <w:sz w:val="32"/>
          <w:szCs w:val="21"/>
          <w:lang w:eastAsia="zh-CN"/>
        </w:rPr>
        <w:t>按照相关政策文件规定</w:t>
      </w:r>
      <w:r>
        <w:rPr>
          <w:rFonts w:ascii="仿宋_GB2312" w:eastAsia="仿宋_GB2312" w:cs="宋体" w:hAnsi="宋体" w:hint="eastAsia"/>
          <w:color w:val="000000"/>
          <w:kern w:val="0"/>
          <w:sz w:val="32"/>
          <w:szCs w:val="21"/>
        </w:rPr>
        <w:t>，压缩公务费开支，严格控制“三公”经费，按照预算科目和项目资金的规定使用财政资金，保证部门整体支出的规范化、制度化。</w:t>
      </w:r>
    </w:p>
    <w:p>
      <w:pPr>
        <w:keepNext w:val="0"/>
        <w:keepLines w:val="0"/>
        <w:pageBreakBefore w:val="0"/>
        <w:widowControl/>
        <w:kinsoku/>
        <w:wordWrap/>
        <w:overflowPunct/>
        <w:topLinePunct w:val="0"/>
        <w:bidi w:val="0"/>
        <w:adjustRightInd w:val="0"/>
        <w:snapToGrid w:val="0"/>
        <w:spacing w:line="576" w:lineRule="exact"/>
        <w:ind w:firstLineChars="200" w:firstLine="640"/>
        <w:contextualSpacing/>
        <w:jc w:val="left"/>
        <w:textAlignment w:val="auto"/>
        <w:rPr>
          <w:rFonts w:ascii="华文楷体" w:eastAsia="华文楷体" w:cs="华文楷体" w:hAnsi="华文楷体" w:hint="eastAsia"/>
          <w:color w:val="000000"/>
          <w:kern w:val="0"/>
          <w:sz w:val="32"/>
          <w:szCs w:val="32"/>
          <w:shd w:val="clear" w:color="auto" w:fill="FFFFFF"/>
          <w:lang w:val="zh-CN"/>
        </w:rPr>
      </w:pPr>
      <w:r>
        <w:rPr>
          <w:rFonts w:ascii="华文楷体" w:eastAsia="华文楷体" w:cs="华文楷体" w:hAnsi="华文楷体" w:hint="eastAsia"/>
          <w:color w:val="000000"/>
          <w:kern w:val="0"/>
          <w:sz w:val="32"/>
          <w:szCs w:val="32"/>
          <w:shd w:val="clear" w:color="auto" w:fill="FFFFFF"/>
          <w:lang w:val="zh-CN"/>
        </w:rPr>
        <w:t>（二）结果应用情况</w:t>
      </w:r>
    </w:p>
    <w:p>
      <w:pPr>
        <w:keepNext w:val="0"/>
        <w:keepLines w:val="0"/>
        <w:pageBreakBefore w:val="0"/>
        <w:widowControl w:val="0"/>
        <w:kinsoku/>
        <w:wordWrap/>
        <w:overflowPunct/>
        <w:topLinePunct w:val="0"/>
        <w:bidi w:val="0"/>
        <w:spacing w:line="576" w:lineRule="exact"/>
        <w:ind w:firstLineChars="200" w:firstLine="640"/>
        <w:textAlignment w:val="auto"/>
        <w:rPr>
          <w:rFonts w:ascii="仿宋" w:eastAsia="仿宋" w:hAnsi="仿宋" w:hint="eastAsia"/>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9年，在区委区政府的坚强领导下，市征拆中心</w:t>
      </w:r>
      <w:r>
        <w:rPr>
          <w:rFonts w:ascii="仿宋" w:eastAsia="仿宋" w:cs="仿宋" w:hAnsi="仿宋" w:hint="eastAsia"/>
          <w:snapToGrid w:val="0"/>
          <w:color w:val="000000"/>
          <w:kern w:val="0"/>
          <w:sz w:val="32"/>
          <w:szCs w:val="32"/>
        </w:rPr>
        <w:t>始终坚持以项目建设为重要抓手，以服务发展为首要任务，组织和带领全体征拆干部不等不靠、主动作为，奋力做好征地拆迁安置工作，</w:t>
      </w:r>
      <w:r>
        <w:rPr>
          <w:rFonts w:ascii="仿宋" w:eastAsia="仿宋" w:hAnsi="仿宋" w:hint="eastAsia"/>
          <w:color w:val="000000"/>
          <w:sz w:val="32"/>
          <w:szCs w:val="32"/>
        </w:rPr>
        <w:t>圆满完成年度各项工作目标任务，</w:t>
      </w:r>
      <w:r>
        <w:rPr>
          <w:rFonts w:ascii="仿宋" w:eastAsia="仿宋" w:cs="仿宋" w:hAnsi="仿宋" w:hint="eastAsia"/>
          <w:snapToGrid w:val="0"/>
          <w:color w:val="000000"/>
          <w:kern w:val="0"/>
          <w:sz w:val="32"/>
          <w:szCs w:val="32"/>
        </w:rPr>
        <w:t>为重点项目建设提供了坚强保障。</w:t>
      </w:r>
    </w:p>
    <w:p>
      <w:pPr>
        <w:keepNext w:val="0"/>
        <w:keepLines w:val="0"/>
        <w:pageBreakBefore w:val="0"/>
        <w:widowControl w:val="0"/>
        <w:kinsoku/>
        <w:wordWrap/>
        <w:overflowPunct/>
        <w:topLinePunct w:val="0"/>
        <w:bidi w:val="0"/>
        <w:spacing w:line="576" w:lineRule="exact"/>
        <w:ind w:firstLineChars="200" w:firstLine="640"/>
        <w:textAlignment w:val="auto"/>
        <w:rPr>
          <w:rFonts w:ascii="仿宋_GB2312" w:eastAsia="仿宋_GB2312" w:hAnsi="仿宋_GB2312"/>
          <w:sz w:val="32"/>
          <w:szCs w:val="32"/>
        </w:rPr>
      </w:pPr>
      <w:r>
        <w:rPr>
          <w:rFonts w:ascii="仿宋_GB2312" w:eastAsia="仿宋_GB2312" w:cs="仿宋_GB2312" w:hAnsi="仿宋_GB2312" w:hint="eastAsia"/>
          <w:sz w:val="32"/>
          <w:szCs w:val="32"/>
        </w:rPr>
        <w:t>在项目开展中，根据预算绩效管理要求，本部门在年初预算编制阶段，组织对</w:t>
      </w:r>
      <w:r>
        <w:rPr>
          <w:rFonts w:ascii="仿宋" w:eastAsia="仿宋" w:cs="仿宋_GB2312" w:hAnsi="仿宋" w:hint="eastAsia"/>
          <w:sz w:val="32"/>
          <w:szCs w:val="32"/>
          <w:lang w:val="en-US" w:eastAsia="zh-CN"/>
        </w:rPr>
        <w:t>白龙江、嘉陵江流域水环境黑臭水体综</w:t>
      </w:r>
      <w:r>
        <w:rPr>
          <w:rFonts w:ascii="仿宋_GB2312" w:eastAsia="仿宋_GB2312" w:cs="仿宋_GB2312" w:hAnsi="仿宋_GB2312" w:hint="eastAsia"/>
          <w:sz w:val="32"/>
          <w:szCs w:val="32"/>
          <w:lang w:val="en-US" w:eastAsia="zh-CN"/>
        </w:rPr>
        <w:t>合治理</w:t>
      </w:r>
      <w:r>
        <w:rPr>
          <w:rFonts w:ascii="仿宋_GB2312" w:eastAsia="仿宋_GB2312" w:cs="仿宋_GB2312" w:hAnsi="仿宋_GB2312" w:hint="eastAsia"/>
          <w:sz w:val="32"/>
          <w:szCs w:val="32"/>
        </w:rPr>
        <w:t>项目、</w:t>
      </w:r>
      <w:r>
        <w:rPr>
          <w:rFonts w:ascii="仿宋_GB2312" w:eastAsia="仿宋_GB2312" w:cs="仿宋_GB2312" w:hAnsi="仿宋_GB2312" w:hint="eastAsia"/>
          <w:sz w:val="32"/>
          <w:szCs w:val="32"/>
          <w:lang w:val="en-US" w:eastAsia="zh-CN"/>
        </w:rPr>
        <w:t>鲲鹏小镇</w:t>
      </w:r>
      <w:r>
        <w:rPr>
          <w:rFonts w:ascii="仿宋_GB2312" w:eastAsia="仿宋_GB2312" w:cs="仿宋_GB2312" w:hAnsi="仿宋_GB2312" w:hint="eastAsia"/>
          <w:sz w:val="32"/>
          <w:szCs w:val="32"/>
        </w:rPr>
        <w:t>项目</w:t>
      </w:r>
      <w:r>
        <w:rPr>
          <w:rFonts w:ascii="仿宋_GB2312" w:eastAsia="仿宋_GB2312" w:cs="仿宋_GB2312" w:hAnsi="仿宋_GB2312" w:hint="eastAsia"/>
          <w:sz w:val="32"/>
          <w:szCs w:val="32"/>
          <w:lang w:eastAsia="zh-CN"/>
        </w:rPr>
        <w:t>、莲花三金土地项目</w:t>
      </w:r>
      <w:r>
        <w:rPr>
          <w:rFonts w:ascii="仿宋_GB2312" w:eastAsia="仿宋_GB2312" w:cs="仿宋_GB2312" w:hAnsi="仿宋_GB2312" w:hint="eastAsia"/>
          <w:sz w:val="32"/>
          <w:szCs w:val="32"/>
        </w:rPr>
        <w:t>开展绩效自评，从评价情况来看，</w:t>
      </w:r>
      <w:r>
        <w:rPr>
          <w:rFonts w:ascii="仿宋_GB2312" w:eastAsia="仿宋_GB2312" w:cs="仿宋_GB2312" w:hAnsi="仿宋_GB2312" w:hint="eastAsia"/>
          <w:sz w:val="32"/>
          <w:szCs w:val="32"/>
          <w:lang w:eastAsia="zh-CN"/>
        </w:rPr>
        <w:t>一方面</w:t>
      </w:r>
      <w:r>
        <w:rPr>
          <w:rFonts w:ascii="仿宋_GB2312" w:eastAsia="仿宋_GB2312" w:cs="仿宋_GB2312" w:hAnsi="仿宋_GB2312" w:hint="eastAsia"/>
          <w:sz w:val="32"/>
          <w:szCs w:val="32"/>
        </w:rPr>
        <w:t>项目已于</w:t>
      </w:r>
      <w:r>
        <w:rPr>
          <w:rFonts w:ascii="仿宋_GB2312" w:eastAsia="仿宋_GB2312" w:cs="仿宋_GB2312" w:hAnsi="仿宋_GB2312" w:hint="eastAsia"/>
          <w:sz w:val="32"/>
          <w:szCs w:val="32"/>
          <w:lang w:val="en-US" w:eastAsia="zh-CN"/>
        </w:rPr>
        <w:t>2019</w:t>
      </w:r>
      <w:r>
        <w:rPr>
          <w:rFonts w:ascii="仿宋_GB2312" w:eastAsia="仿宋_GB2312" w:cs="仿宋_GB2312" w:hAnsi="仿宋_GB2312" w:hint="eastAsia"/>
          <w:sz w:val="32"/>
          <w:szCs w:val="32"/>
        </w:rPr>
        <w:t>年底基本完成，对项目涉及</w:t>
      </w:r>
      <w:r>
        <w:rPr>
          <w:rFonts w:ascii="仿宋_GB2312" w:eastAsia="仿宋_GB2312" w:cs="仿宋_GB2312" w:hAnsi="仿宋_GB2312" w:hint="eastAsia"/>
          <w:sz w:val="32"/>
          <w:szCs w:val="32"/>
          <w:lang w:val="en-US" w:eastAsia="zh-CN"/>
        </w:rPr>
        <w:t>2019</w:t>
      </w:r>
      <w:r>
        <w:rPr>
          <w:rFonts w:ascii="仿宋_GB2312" w:eastAsia="仿宋_GB2312" w:cs="仿宋_GB2312" w:hAnsi="仿宋_GB2312" w:hint="eastAsia"/>
          <w:sz w:val="32"/>
          <w:szCs w:val="32"/>
        </w:rPr>
        <w:t>年度征拆补偿资金兑付工作全面完成，项目的实施，保障群众合法权益，促进社会经济发展，人民群众满意度较高</w:t>
      </w:r>
      <w:r>
        <w:rPr>
          <w:rFonts w:ascii="仿宋_GB2312" w:eastAsia="仿宋_GB2312" w:cs="仿宋_GB2312" w:hAnsi="仿宋_GB2312" w:hint="eastAsia"/>
          <w:sz w:val="32"/>
          <w:szCs w:val="32"/>
          <w:lang w:eastAsia="zh-CN"/>
        </w:rPr>
        <w:t>；另一方面也总结了各个项目存在的问题，并针对问题提出了整改措施</w:t>
      </w:r>
      <w:r>
        <w:rPr>
          <w:rFonts w:ascii="仿宋_GB2312" w:eastAsia="仿宋_GB2312" w:cs="仿宋_GB2312" w:hAnsi="仿宋_GB2312" w:hint="eastAsia"/>
          <w:sz w:val="32"/>
          <w:szCs w:val="32"/>
        </w:rPr>
        <w:t>。</w:t>
      </w:r>
    </w:p>
    <w:p>
      <w:pPr>
        <w:keepNext w:val="0"/>
        <w:keepLines w:val="0"/>
        <w:pageBreakBefore w:val="0"/>
        <w:widowControl/>
        <w:kinsoku/>
        <w:wordWrap/>
        <w:overflowPunct/>
        <w:topLinePunct w:val="0"/>
        <w:bidi w:val="0"/>
        <w:adjustRightInd w:val="0"/>
        <w:snapToGrid w:val="0"/>
        <w:spacing w:line="576" w:lineRule="exact"/>
        <w:ind w:firstLineChars="200" w:firstLine="640"/>
        <w:contextualSpacing/>
        <w:jc w:val="left"/>
        <w:textAlignment w:val="auto"/>
        <w:rPr>
          <w:rFonts w:ascii="黑体" w:eastAsia="黑体" w:cs="宋体" w:hAnsi="宋体"/>
          <w:color w:val="000000"/>
          <w:kern w:val="0"/>
          <w:sz w:val="32"/>
          <w:szCs w:val="32"/>
          <w:shd w:val="clear" w:color="auto" w:fill="FFFFFF"/>
        </w:rPr>
      </w:pPr>
      <w:r>
        <w:rPr>
          <w:rFonts w:ascii="黑体" w:eastAsia="黑体" w:cs="宋体" w:hAnsi="宋体" w:hint="eastAsia"/>
          <w:color w:val="000000"/>
          <w:kern w:val="0"/>
          <w:sz w:val="32"/>
          <w:szCs w:val="32"/>
          <w:shd w:val="clear" w:color="auto" w:fill="FFFFFF"/>
        </w:rPr>
        <w:t>四、评价结论及建议</w:t>
      </w:r>
    </w:p>
    <w:p>
      <w:pPr>
        <w:keepNext w:val="0"/>
        <w:keepLines w:val="0"/>
        <w:pageBreakBefore w:val="0"/>
        <w:widowControl/>
        <w:kinsoku/>
        <w:wordWrap/>
        <w:overflowPunct/>
        <w:topLinePunct w:val="0"/>
        <w:bidi w:val="0"/>
        <w:adjustRightInd w:val="0"/>
        <w:snapToGrid w:val="0"/>
        <w:spacing w:line="576" w:lineRule="exact"/>
        <w:ind w:firstLineChars="200" w:firstLine="640"/>
        <w:contextualSpacing/>
        <w:jc w:val="left"/>
        <w:textAlignment w:val="auto"/>
        <w:rPr>
          <w:rFonts w:ascii="华文楷体" w:eastAsia="华文楷体" w:cs="华文楷体" w:hAnsi="华文楷体" w:hint="eastAsia"/>
          <w:color w:val="000000"/>
          <w:kern w:val="0"/>
          <w:sz w:val="32"/>
          <w:szCs w:val="32"/>
          <w:shd w:val="clear" w:color="auto" w:fill="FFFFFF"/>
          <w:lang w:val="zh-CN"/>
        </w:rPr>
      </w:pPr>
      <w:r>
        <w:rPr>
          <w:rFonts w:ascii="华文楷体" w:eastAsia="华文楷体" w:cs="华文楷体" w:hAnsi="华文楷体" w:hint="eastAsia"/>
          <w:color w:val="000000"/>
          <w:kern w:val="0"/>
          <w:sz w:val="32"/>
          <w:szCs w:val="32"/>
          <w:shd w:val="clear" w:color="auto" w:fill="FFFFFF"/>
          <w:lang w:val="zh-CN"/>
        </w:rPr>
        <w:t>（一）评价结论</w:t>
      </w:r>
    </w:p>
    <w:p>
      <w:pPr>
        <w:keepNext w:val="0"/>
        <w:keepLines w:val="0"/>
        <w:pageBreakBefore w:val="0"/>
        <w:widowControl/>
        <w:kinsoku/>
        <w:wordWrap/>
        <w:overflowPunct/>
        <w:topLinePunct w:val="0"/>
        <w:bidi w:val="0"/>
        <w:adjustRightInd w:val="0"/>
        <w:snapToGrid w:val="0"/>
        <w:spacing w:line="576" w:lineRule="exact"/>
        <w:ind w:firstLineChars="200" w:firstLine="640"/>
        <w:contextualSpacing/>
        <w:jc w:val="left"/>
        <w:textAlignment w:val="auto"/>
        <w:rPr>
          <w:rFonts w:ascii="仿宋_GB2312" w:eastAsia="仿宋" w:cs="宋体" w:hAnsi="宋体"/>
          <w:color w:val="000000"/>
          <w:kern w:val="0"/>
          <w:sz w:val="32"/>
          <w:szCs w:val="32"/>
          <w:shd w:val="clear" w:color="auto" w:fill="FFFFFF"/>
          <w:lang w:val="en-US" w:eastAsia="zh-CN"/>
        </w:rPr>
      </w:pPr>
      <w:r>
        <w:rPr>
          <w:rFonts w:ascii="仿宋" w:eastAsia="仿宋" w:hAnsi="仿宋"/>
          <w:color w:val="000000"/>
          <w:sz w:val="32"/>
          <w:szCs w:val="32"/>
        </w:rPr>
        <w:t>201</w:t>
      </w:r>
      <w:r>
        <w:rPr>
          <w:rFonts w:ascii="仿宋" w:eastAsia="仿宋" w:hAnsi="仿宋" w:hint="eastAsia"/>
          <w:color w:val="000000"/>
          <w:sz w:val="32"/>
          <w:szCs w:val="32"/>
        </w:rPr>
        <w:t>9年本年支出合计</w:t>
      </w:r>
      <w:r>
        <w:rPr>
          <w:rFonts w:ascii="仿宋" w:eastAsia="仿宋" w:hAnsi="仿宋" w:hint="eastAsia"/>
          <w:color w:val="000000"/>
          <w:sz w:val="32"/>
          <w:szCs w:val="32"/>
          <w:lang w:val="en-US" w:eastAsia="zh-CN"/>
        </w:rPr>
        <w:t>27691.76</w:t>
      </w:r>
      <w:r>
        <w:rPr>
          <w:rFonts w:ascii="仿宋" w:eastAsia="仿宋" w:hAnsi="仿宋" w:hint="eastAsia"/>
          <w:color w:val="000000"/>
          <w:sz w:val="32"/>
          <w:szCs w:val="32"/>
        </w:rPr>
        <w:t>万元，其中：基本支出</w:t>
      </w:r>
      <w:r>
        <w:rPr>
          <w:rFonts w:ascii="仿宋" w:eastAsia="仿宋" w:hAnsi="仿宋" w:hint="eastAsia"/>
          <w:color w:val="000000"/>
          <w:sz w:val="32"/>
          <w:szCs w:val="32"/>
          <w:lang w:val="en-US" w:eastAsia="zh-CN"/>
        </w:rPr>
        <w:t>807.07</w:t>
      </w:r>
      <w:r>
        <w:rPr>
          <w:rFonts w:ascii="仿宋" w:eastAsia="仿宋" w:hAnsi="仿宋" w:hint="eastAsia"/>
          <w:color w:val="000000"/>
          <w:sz w:val="32"/>
          <w:szCs w:val="32"/>
        </w:rPr>
        <w:t>万元，占</w:t>
      </w:r>
      <w:r>
        <w:rPr>
          <w:rFonts w:ascii="仿宋" w:eastAsia="仿宋" w:hAnsi="仿宋" w:hint="eastAsia"/>
          <w:color w:val="000000"/>
          <w:sz w:val="32"/>
          <w:szCs w:val="32"/>
          <w:lang w:val="en-US" w:eastAsia="zh-CN"/>
        </w:rPr>
        <w:t>2.91</w:t>
      </w:r>
      <w:r>
        <w:rPr>
          <w:rFonts w:ascii="仿宋" w:eastAsia="仿宋" w:hAnsi="仿宋"/>
          <w:color w:val="000000"/>
          <w:sz w:val="32"/>
          <w:szCs w:val="32"/>
        </w:rPr>
        <w:t>%</w:t>
      </w:r>
      <w:r>
        <w:rPr>
          <w:rFonts w:ascii="仿宋" w:eastAsia="仿宋" w:hAnsi="仿宋" w:hint="eastAsia"/>
          <w:color w:val="000000"/>
          <w:sz w:val="32"/>
          <w:szCs w:val="32"/>
        </w:rPr>
        <w:t>；项目支出</w:t>
      </w:r>
      <w:r>
        <w:rPr>
          <w:rFonts w:ascii="仿宋" w:eastAsia="仿宋" w:hAnsi="仿宋" w:hint="eastAsia"/>
          <w:color w:val="000000"/>
          <w:sz w:val="32"/>
          <w:szCs w:val="32"/>
          <w:lang w:val="en-US" w:eastAsia="zh-CN"/>
        </w:rPr>
        <w:t>26884.69</w:t>
      </w:r>
      <w:r>
        <w:rPr>
          <w:rFonts w:ascii="仿宋" w:eastAsia="仿宋" w:hAnsi="仿宋" w:hint="eastAsia"/>
          <w:color w:val="000000"/>
          <w:sz w:val="32"/>
          <w:szCs w:val="32"/>
        </w:rPr>
        <w:t>万元，占</w:t>
      </w:r>
      <w:r>
        <w:rPr>
          <w:rFonts w:ascii="仿宋" w:eastAsia="仿宋" w:hAnsi="仿宋" w:hint="eastAsia"/>
          <w:color w:val="000000"/>
          <w:sz w:val="32"/>
          <w:szCs w:val="32"/>
          <w:lang w:val="en-US" w:eastAsia="zh-CN"/>
        </w:rPr>
        <w:t>97.09</w:t>
      </w:r>
      <w:r>
        <w:rPr>
          <w:rFonts w:ascii="仿宋" w:eastAsia="仿宋" w:hAnsi="仿宋"/>
          <w:color w:val="000000"/>
          <w:sz w:val="32"/>
          <w:szCs w:val="32"/>
        </w:rPr>
        <w:t>%</w:t>
      </w:r>
      <w:r>
        <w:rPr>
          <w:rFonts w:ascii="仿宋" w:eastAsia="仿宋" w:hAnsi="仿宋" w:hint="eastAsia"/>
          <w:color w:val="000000"/>
          <w:sz w:val="32"/>
          <w:szCs w:val="32"/>
          <w:lang w:eastAsia="zh-CN"/>
        </w:rPr>
        <w:t>。</w:t>
      </w:r>
    </w:p>
    <w:p>
      <w:pPr>
        <w:keepNext w:val="0"/>
        <w:keepLines w:val="0"/>
        <w:pageBreakBefore w:val="0"/>
        <w:widowControl/>
        <w:kinsoku/>
        <w:wordWrap/>
        <w:overflowPunct/>
        <w:topLinePunct w:val="0"/>
        <w:bidi w:val="0"/>
        <w:adjustRightInd w:val="0"/>
        <w:snapToGrid w:val="0"/>
        <w:spacing w:line="576" w:lineRule="exact"/>
        <w:ind w:firstLineChars="200" w:firstLine="640"/>
        <w:contextualSpacing/>
        <w:jc w:val="left"/>
        <w:textAlignment w:val="auto"/>
        <w:rPr>
          <w:rFonts w:ascii="华文楷体" w:eastAsia="华文楷体" w:cs="华文楷体" w:hAnsi="华文楷体" w:hint="eastAsia"/>
          <w:color w:val="000000"/>
          <w:kern w:val="0"/>
          <w:sz w:val="32"/>
          <w:szCs w:val="32"/>
          <w:shd w:val="clear" w:color="auto" w:fill="FFFFFF"/>
          <w:lang w:val="zh-CN"/>
        </w:rPr>
      </w:pPr>
      <w:r>
        <w:rPr>
          <w:rFonts w:ascii="华文楷体" w:eastAsia="华文楷体" w:cs="华文楷体" w:hAnsi="华文楷体" w:hint="eastAsia"/>
          <w:color w:val="000000"/>
          <w:kern w:val="0"/>
          <w:sz w:val="32"/>
          <w:szCs w:val="32"/>
          <w:shd w:val="clear" w:color="auto" w:fill="FFFFFF"/>
          <w:lang w:val="zh-CN"/>
        </w:rPr>
        <w:t>（二）存在问题</w:t>
      </w:r>
    </w:p>
    <w:p>
      <w:pPr>
        <w:keepNext w:val="0"/>
        <w:keepLines w:val="0"/>
        <w:pageBreakBefore w:val="0"/>
        <w:widowControl w:val="0"/>
        <w:tabs>
          <w:tab w:val="left" w:pos="312"/>
        </w:tabs>
        <w:kinsoku/>
        <w:wordWrap/>
        <w:overflowPunct/>
        <w:topLinePunct w:val="0"/>
        <w:bidi w:val="0"/>
        <w:spacing w:line="576" w:lineRule="exact"/>
        <w:ind w:firstLineChars="150" w:firstLine="480"/>
        <w:textAlignment w:val="auto"/>
        <w:rPr>
          <w:rFonts w:ascii="仿宋_GB2312" w:eastAsia="仿宋_GB2312" w:cs="宋体" w:hAnsi="宋体" w:hint="eastAsia"/>
          <w:color w:val="000000"/>
          <w:kern w:val="0"/>
          <w:sz w:val="32"/>
          <w:szCs w:val="32"/>
          <w:shd w:val="clear" w:color="auto" w:fill="FFFFFF"/>
          <w:lang w:val="zh-CN"/>
        </w:rPr>
      </w:pPr>
      <w:r>
        <w:rPr>
          <w:rFonts w:ascii="仿宋" w:eastAsia="仿宋" w:cs="仿宋" w:hAnsi="仿宋" w:hint="eastAsia"/>
          <w:snapToGrid w:val="0"/>
          <w:color w:val="000000"/>
          <w:kern w:val="0"/>
          <w:sz w:val="32"/>
          <w:szCs w:val="32"/>
          <w:lang w:eastAsia="zh-CN"/>
        </w:rPr>
        <w:t>一是在征拆项目实施过程中，</w:t>
      </w:r>
      <w:r>
        <w:rPr>
          <w:rFonts w:ascii="仿宋" w:eastAsia="仿宋" w:cs="仿宋" w:hAnsi="仿宋" w:hint="eastAsia"/>
          <w:snapToGrid w:val="0"/>
          <w:color w:val="000000"/>
          <w:kern w:val="0"/>
          <w:sz w:val="32"/>
          <w:szCs w:val="32"/>
        </w:rPr>
        <w:t>新政策群众认可度低，征拆工作难度大。</w:t>
      </w:r>
      <w:r>
        <w:rPr>
          <w:rFonts w:ascii="仿宋" w:eastAsia="仿宋" w:cs="仿宋" w:hAnsi="仿宋" w:hint="eastAsia"/>
          <w:snapToGrid w:val="0"/>
          <w:color w:val="000000"/>
          <w:kern w:val="0"/>
          <w:sz w:val="32"/>
          <w:szCs w:val="32"/>
          <w:lang w:eastAsia="zh-CN"/>
        </w:rPr>
        <w:t>二是</w:t>
      </w:r>
      <w:r>
        <w:rPr>
          <w:rFonts w:ascii="仿宋" w:eastAsia="仿宋" w:cs="仿宋" w:hAnsi="仿宋" w:hint="eastAsia"/>
          <w:sz w:val="32"/>
          <w:szCs w:val="32"/>
          <w:lang w:val="zh-CN"/>
        </w:rPr>
        <w:t>财务工作人员对预算绩效管理的相关政策还不够熟悉，绩效目标设立还不够细化。三是项目工作与预算绩效衔接度不够。</w:t>
      </w:r>
    </w:p>
    <w:p>
      <w:pPr>
        <w:keepNext w:val="0"/>
        <w:keepLines w:val="0"/>
        <w:pageBreakBefore w:val="0"/>
        <w:widowControl/>
        <w:kinsoku/>
        <w:wordWrap/>
        <w:overflowPunct/>
        <w:topLinePunct w:val="0"/>
        <w:bidi w:val="0"/>
        <w:adjustRightInd w:val="0"/>
        <w:snapToGrid w:val="0"/>
        <w:spacing w:line="576" w:lineRule="exact"/>
        <w:ind w:firstLineChars="200" w:firstLine="640"/>
        <w:contextualSpacing/>
        <w:jc w:val="left"/>
        <w:textAlignment w:val="auto"/>
        <w:rPr>
          <w:rFonts w:ascii="华文楷体" w:eastAsia="华文楷体" w:cs="华文楷体" w:hAnsi="华文楷体" w:hint="eastAsia"/>
          <w:color w:val="000000"/>
          <w:kern w:val="0"/>
          <w:sz w:val="32"/>
          <w:szCs w:val="32"/>
          <w:shd w:val="clear" w:color="auto" w:fill="FFFFFF"/>
          <w:lang w:val="zh-CN"/>
        </w:rPr>
      </w:pPr>
      <w:r>
        <w:rPr>
          <w:rFonts w:ascii="华文楷体" w:eastAsia="华文楷体" w:cs="华文楷体" w:hAnsi="华文楷体" w:hint="eastAsia"/>
          <w:color w:val="000000"/>
          <w:kern w:val="0"/>
          <w:sz w:val="32"/>
          <w:szCs w:val="32"/>
          <w:shd w:val="clear" w:color="auto" w:fill="FFFFFF"/>
          <w:lang w:val="zh-CN"/>
        </w:rPr>
        <w:t>（三）改进建议</w:t>
      </w:r>
    </w:p>
    <w:p>
      <w:pPr>
        <w:keepNext w:val="0"/>
        <w:keepLines w:val="0"/>
        <w:pageBreakBefore w:val="0"/>
        <w:widowControl w:val="0"/>
        <w:kinsoku/>
        <w:wordWrap/>
        <w:overflowPunct/>
        <w:topLinePunct w:val="0"/>
        <w:bidi w:val="0"/>
        <w:spacing w:line="576" w:lineRule="exact"/>
        <w:ind w:firstLineChars="200" w:firstLine="640"/>
        <w:textAlignment w:val="auto"/>
        <w:rPr>
          <w:rFonts w:ascii="仿宋_GB2312" w:eastAsia="仿宋_GB2312" w:cs="仿宋_GB2312" w:hAnsi="仿宋_GB2312"/>
          <w:sz w:val="32"/>
          <w:szCs w:val="32"/>
        </w:rPr>
      </w:pPr>
      <w:r>
        <w:rPr>
          <w:rFonts w:ascii="仿宋" w:eastAsia="仿宋" w:cs="仿宋" w:hAnsi="仿宋" w:hint="eastAsia"/>
          <w:sz w:val="32"/>
          <w:szCs w:val="32"/>
          <w:lang w:val="zh-CN"/>
        </w:rPr>
        <w:t>一是加强政策宣传力度，做好新旧政策交替的解释宣传工作，二是加强预算绩效管理方面的培训，严格落实市、区绩效管理工作的有关规定，进一步规范项目资金的管理，强化支出绩效理念，提升部门责任意识，提高自己使用效益。三是财务与项目业务科室及时对接，及时沟通，确保绩效管理落到实处，对预算资金的投入、使用过程、产出和效果有系统客观的评价。</w:t>
      </w:r>
    </w:p>
    <w:p>
      <w:pPr>
        <w:rPr>
          <w:rFonts w:ascii="黑体" w:eastAsia="黑体" w:cs="黑体" w:hAnsi="黑体" w:hint="eastAsia"/>
          <w:sz w:val="32"/>
          <w:szCs w:val="32"/>
        </w:rPr>
      </w:pPr>
      <w:r>
        <w:rPr>
          <w:rFonts w:ascii="黑体" w:eastAsia="黑体" w:cs="黑体" w:hAnsi="黑体" w:hint="eastAsia"/>
          <w:sz w:val="32"/>
          <w:szCs w:val="32"/>
        </w:rPr>
        <w:br w:type="page"/>
      </w:r>
    </w:p>
    <w:p>
      <w:pPr>
        <w:keepNext w:val="0"/>
        <w:keepLines w:val="0"/>
        <w:pageBreakBefore w:val="0"/>
        <w:widowControl w:val="0"/>
        <w:kinsoku/>
        <w:wordWrap/>
        <w:overflowPunct/>
        <w:topLinePunct w:val="0"/>
        <w:bidi w:val="0"/>
        <w:spacing w:line="576" w:lineRule="exact"/>
        <w:textAlignment w:val="auto"/>
        <w:rPr>
          <w:rFonts w:ascii="仿宋_GB2312" w:eastAsia="仿宋_GB2312" w:cs="仿宋_GB2312" w:hAnsi="仿宋_GB2312"/>
          <w:sz w:val="32"/>
          <w:szCs w:val="32"/>
        </w:rPr>
      </w:pPr>
      <w:r>
        <w:rPr>
          <w:rFonts w:ascii="黑体" w:eastAsia="黑体" w:cs="黑体" w:hAnsi="黑体" w:hint="eastAsia"/>
          <w:sz w:val="32"/>
          <w:szCs w:val="32"/>
        </w:rPr>
        <w:t>附件2</w:t>
      </w:r>
    </w:p>
    <w:p>
      <w:pPr>
        <w:keepNext w:val="0"/>
        <w:keepLines w:val="0"/>
        <w:pageBreakBefore w:val="0"/>
        <w:widowControl w:val="0"/>
        <w:kinsoku/>
        <w:wordWrap/>
        <w:overflowPunct/>
        <w:topLinePunct w:val="0"/>
        <w:bidi w:val="0"/>
        <w:spacing w:line="576" w:lineRule="exact"/>
        <w:ind w:firstLineChars="200" w:firstLine="640"/>
        <w:textAlignment w:val="auto"/>
        <w:rPr>
          <w:rFonts w:ascii="仿宋_GB2312" w:eastAsia="仿宋_GB2312" w:cs="仿宋_GB2312" w:hAnsi="仿宋_GB2312"/>
          <w:sz w:val="32"/>
          <w:szCs w:val="32"/>
        </w:rPr>
      </w:pPr>
    </w:p>
    <w:p>
      <w:pPr>
        <w:keepNext w:val="0"/>
        <w:keepLines w:val="0"/>
        <w:pageBreakBefore w:val="0"/>
        <w:widowControl w:val="0"/>
        <w:kinsoku/>
        <w:wordWrap/>
        <w:overflowPunct/>
        <w:topLinePunct w:val="0"/>
        <w:bidi w:val="0"/>
        <w:spacing w:line="576" w:lineRule="exact"/>
        <w:jc w:val="center"/>
        <w:textAlignment w:val="auto"/>
        <w:rPr>
          <w:rFonts w:ascii="方正小标宋简体" w:eastAsia="方正小标宋简体" w:cs="方正小标宋简体" w:hAnsi="方正小标宋简体" w:hint="eastAsia"/>
          <w:color w:val="000000"/>
          <w:kern w:val="0"/>
          <w:sz w:val="44"/>
          <w:szCs w:val="44"/>
          <w:lang w:eastAsia="zh-CN"/>
        </w:rPr>
      </w:pPr>
      <w:r>
        <w:rPr>
          <w:rFonts w:ascii="方正小标宋简体" w:eastAsia="方正小标宋简体" w:cs="方正小标宋简体" w:hAnsi="方正小标宋简体" w:hint="eastAsia"/>
          <w:color w:val="000000"/>
          <w:kern w:val="0"/>
          <w:sz w:val="44"/>
          <w:szCs w:val="44"/>
          <w:lang w:eastAsia="zh-CN"/>
        </w:rPr>
        <w:t>白龙江、嘉陵江流域水环境黑臭水体综合</w:t>
      </w:r>
    </w:p>
    <w:p>
      <w:pPr>
        <w:keepNext w:val="0"/>
        <w:keepLines w:val="0"/>
        <w:pageBreakBefore w:val="0"/>
        <w:widowControl w:val="0"/>
        <w:kinsoku/>
        <w:wordWrap/>
        <w:overflowPunct/>
        <w:topLinePunct w:val="0"/>
        <w:bidi w:val="0"/>
        <w:spacing w:line="576" w:lineRule="exact"/>
        <w:jc w:val="center"/>
        <w:textAlignment w:val="auto"/>
        <w:rPr>
          <w:rFonts w:ascii="方正小标宋简体" w:eastAsia="方正小标宋简体" w:cs="方正小标宋简体" w:hAnsi="方正小标宋简体" w:hint="eastAsia"/>
          <w:color w:val="000000"/>
          <w:kern w:val="0"/>
          <w:sz w:val="44"/>
          <w:szCs w:val="44"/>
        </w:rPr>
      </w:pPr>
      <w:r>
        <w:rPr>
          <w:rFonts w:ascii="方正小标宋简体" w:eastAsia="方正小标宋简体" w:cs="方正小标宋简体" w:hAnsi="方正小标宋简体" w:hint="eastAsia"/>
          <w:color w:val="000000"/>
          <w:kern w:val="0"/>
          <w:sz w:val="44"/>
          <w:szCs w:val="44"/>
          <w:lang w:eastAsia="zh-CN"/>
        </w:rPr>
        <w:t>治理（宝轮片区道路及河堤）建设</w:t>
      </w:r>
      <w:r>
        <w:rPr>
          <w:rFonts w:ascii="方正小标宋简体" w:eastAsia="方正小标宋简体" w:cs="方正小标宋简体" w:hAnsi="方正小标宋简体" w:hint="eastAsia"/>
          <w:color w:val="000000"/>
          <w:kern w:val="0"/>
          <w:sz w:val="44"/>
          <w:szCs w:val="44"/>
        </w:rPr>
        <w:t>项目</w:t>
      </w:r>
    </w:p>
    <w:p>
      <w:pPr>
        <w:keepNext w:val="0"/>
        <w:keepLines w:val="0"/>
        <w:pageBreakBefore w:val="0"/>
        <w:widowControl w:val="0"/>
        <w:kinsoku/>
        <w:wordWrap/>
        <w:overflowPunct/>
        <w:topLinePunct w:val="0"/>
        <w:bidi w:val="0"/>
        <w:spacing w:line="576" w:lineRule="exact"/>
        <w:jc w:val="center"/>
        <w:textAlignment w:val="auto"/>
        <w:rPr>
          <w:rFonts w:ascii="方正小标宋简体" w:eastAsia="方正小标宋简体" w:cs="方正小标宋简体" w:hAnsi="方正小标宋简体" w:hint="eastAsia"/>
          <w:color w:val="000000"/>
          <w:kern w:val="0"/>
          <w:sz w:val="44"/>
          <w:szCs w:val="44"/>
        </w:rPr>
      </w:pPr>
      <w:r>
        <w:rPr>
          <w:rFonts w:ascii="方正小标宋简体" w:eastAsia="方正小标宋简体" w:cs="方正小标宋简体" w:hAnsi="方正小标宋简体" w:hint="eastAsia"/>
          <w:color w:val="000000"/>
          <w:kern w:val="0"/>
          <w:sz w:val="44"/>
          <w:szCs w:val="44"/>
        </w:rPr>
        <w:t>2019年绩效评价报告</w:t>
      </w:r>
    </w:p>
    <w:p>
      <w:pPr>
        <w:keepNext w:val="0"/>
        <w:keepLines w:val="0"/>
        <w:pageBreakBefore w:val="0"/>
        <w:widowControl w:val="0"/>
        <w:kinsoku/>
        <w:wordWrap/>
        <w:overflowPunct/>
        <w:topLinePunct w:val="0"/>
        <w:bidi w:val="0"/>
        <w:spacing w:line="576" w:lineRule="exact"/>
        <w:textAlignment w:val="auto"/>
        <w:rPr>
          <w:rFonts w:ascii="宋体" w:hAnsi="宋体"/>
          <w:sz w:val="32"/>
          <w:szCs w:val="32"/>
        </w:rPr>
      </w:pPr>
      <w:r>
        <w:rPr>
          <w:rFonts w:ascii="宋体" w:hAnsi="宋体" w:hint="eastAsia"/>
          <w:sz w:val="32"/>
          <w:szCs w:val="32"/>
        </w:rPr>
        <w:t xml:space="preserve"> </w:t>
      </w:r>
    </w:p>
    <w:p>
      <w:pPr>
        <w:keepNext w:val="0"/>
        <w:keepLines w:val="0"/>
        <w:pageBreakBefore w:val="0"/>
        <w:widowControl w:val="0"/>
        <w:kinsoku/>
        <w:wordWrap/>
        <w:overflowPunct/>
        <w:topLinePunct w:val="0"/>
        <w:bidi w:val="0"/>
        <w:adjustRightInd w:val="0"/>
        <w:snapToGrid w:val="0"/>
        <w:spacing w:line="576" w:lineRule="exact"/>
        <w:ind w:firstLine="720"/>
        <w:textAlignment w:val="auto"/>
        <w:rPr>
          <w:rFonts w:ascii="黑体" w:eastAsia="黑体" w:hAnsi="宋体" w:hint="eastAsia"/>
          <w:sz w:val="32"/>
          <w:szCs w:val="32"/>
        </w:rPr>
      </w:pPr>
      <w:r>
        <w:rPr>
          <w:rFonts w:ascii="黑体" w:eastAsia="黑体" w:hAnsi="黑体" w:hint="eastAsia"/>
          <w:sz w:val="32"/>
          <w:szCs w:val="32"/>
        </w:rPr>
        <w:t>一、项目概况</w:t>
      </w:r>
    </w:p>
    <w:p>
      <w:pPr>
        <w:keepNext w:val="0"/>
        <w:keepLines w:val="0"/>
        <w:pageBreakBefore w:val="0"/>
        <w:widowControl w:val="0"/>
        <w:kinsoku/>
        <w:wordWrap/>
        <w:overflowPunct/>
        <w:topLinePunct w:val="0"/>
        <w:autoSpaceDE/>
        <w:autoSpaceDN/>
        <w:bidi w:val="0"/>
        <w:adjustRightInd/>
        <w:snapToGrid/>
        <w:spacing w:line="576" w:lineRule="exact"/>
        <w:ind w:left="0" w:right="0" w:firstLineChars="200" w:firstLine="640"/>
        <w:jc w:val="both"/>
        <w:textAlignment w:val="auto"/>
        <w:outlineLvl w:val="9"/>
        <w:rPr>
          <w:rFonts w:ascii="华文楷体" w:eastAsia="华文楷体" w:cs="华文楷体" w:hAnsi="华文楷体" w:hint="eastAsia"/>
          <w:sz w:val="32"/>
          <w:szCs w:val="32"/>
          <w:lang w:val="en-US" w:eastAsia="zh-CN"/>
        </w:rPr>
      </w:pPr>
      <w:r>
        <w:rPr>
          <w:rFonts w:ascii="华文楷体" w:eastAsia="华文楷体" w:cs="华文楷体" w:hAnsi="华文楷体" w:hint="eastAsia"/>
          <w:sz w:val="32"/>
          <w:szCs w:val="32"/>
          <w:lang w:val="en-US" w:eastAsia="zh-CN"/>
        </w:rPr>
        <w:t>（一）项目基本情况</w:t>
      </w:r>
    </w:p>
    <w:p>
      <w:pPr>
        <w:keepNext w:val="0"/>
        <w:keepLines w:val="0"/>
        <w:pageBreakBefore w:val="0"/>
        <w:widowControl w:val="0"/>
        <w:kinsoku/>
        <w:wordWrap/>
        <w:overflowPunct/>
        <w:topLinePunct w:val="0"/>
        <w:autoSpaceDE/>
        <w:autoSpaceDN/>
        <w:bidi w:val="0"/>
        <w:adjustRightInd/>
        <w:snapToGrid/>
        <w:spacing w:line="576" w:lineRule="exact"/>
        <w:ind w:left="0" w:right="0" w:firstLineChars="200" w:firstLine="640"/>
        <w:jc w:val="both"/>
        <w:textAlignment w:val="auto"/>
        <w:outlineLvl w:val="9"/>
        <w:rPr>
          <w:rFonts w:ascii="仿宋" w:eastAsia="仿宋" w:cs="仿宋" w:hAnsi="仿宋" w:hint="eastAsia"/>
          <w:color w:val="auto"/>
          <w:sz w:val="32"/>
          <w:szCs w:val="32"/>
          <w:lang w:eastAsia="zh-CN"/>
        </w:rPr>
      </w:pPr>
      <w:r>
        <w:rPr>
          <w:rFonts w:ascii="仿宋" w:eastAsia="仿宋" w:cs="仿宋" w:hAnsi="仿宋" w:hint="eastAsia"/>
          <w:sz w:val="32"/>
          <w:szCs w:val="32"/>
          <w:lang w:val="en-US" w:eastAsia="zh-CN"/>
        </w:rPr>
        <w:t>白龙江、嘉陵江流域水环境黑臭水体综合整治（宝轮片区道路及河堤）建设项目总用地149.38亩，涉及征收宝轮镇爱国社区一、三、四组，花园社区一组集体土地63.61亩，使用国有土地85.77亩。</w:t>
      </w:r>
      <w:r>
        <w:rPr>
          <w:rFonts w:ascii="仿宋" w:eastAsia="仿宋" w:cs="仿宋" w:hAnsi="仿宋" w:hint="eastAsia"/>
          <w:color w:val="auto"/>
          <w:sz w:val="32"/>
          <w:szCs w:val="32"/>
          <w:lang w:eastAsia="zh-CN"/>
        </w:rPr>
        <w:t>按照《广元市集体土地征收补偿安置管理办法》</w:t>
      </w:r>
      <w:r>
        <w:rPr>
          <w:rFonts w:ascii="仿宋" w:eastAsia="仿宋" w:cs="仿宋" w:hAnsi="仿宋" w:hint="eastAsia"/>
          <w:sz w:val="32"/>
          <w:szCs w:val="32"/>
          <w:lang w:val="en-US" w:eastAsia="zh-CN"/>
        </w:rPr>
        <w:t>（广府发〔2017〕36号）文件第五条规定，我中心主要职能为负责组织实施本行政区域内集体土地征收的补偿安置工作。</w:t>
      </w:r>
    </w:p>
    <w:p>
      <w:pPr>
        <w:keepNext w:val="0"/>
        <w:keepLines w:val="0"/>
        <w:pageBreakBefore w:val="0"/>
        <w:widowControl w:val="0"/>
        <w:kinsoku/>
        <w:wordWrap/>
        <w:overflowPunct/>
        <w:topLinePunct w:val="0"/>
        <w:bidi w:val="0"/>
        <w:adjustRightInd w:val="0"/>
        <w:snapToGrid w:val="0"/>
        <w:spacing w:line="576" w:lineRule="exact"/>
        <w:ind w:firstLine="720"/>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该项目实施主要政策依据：</w:t>
      </w:r>
    </w:p>
    <w:p>
      <w:pPr>
        <w:keepNext w:val="0"/>
        <w:keepLines w:val="0"/>
        <w:pageBreakBefore w:val="0"/>
        <w:widowControl w:val="0"/>
        <w:kinsoku/>
        <w:wordWrap/>
        <w:overflowPunct/>
        <w:topLinePunct w:val="0"/>
        <w:bidi w:val="0"/>
        <w:adjustRightInd w:val="0"/>
        <w:snapToGrid w:val="0"/>
        <w:spacing w:line="576" w:lineRule="exact"/>
        <w:ind w:left="0" w:firstLineChars="200" w:firstLine="640"/>
        <w:textAlignment w:val="auto"/>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1.关于嘉陵江流域水环境黑臭水体综合治理（荣山、三堆片区地下管网）建设项目可行性研究报告的批复（广利发改发〔2017〕61号）。</w:t>
      </w:r>
    </w:p>
    <w:p>
      <w:pPr>
        <w:keepNext w:val="0"/>
        <w:keepLines w:val="0"/>
        <w:pageBreakBefore w:val="0"/>
        <w:widowControl w:val="0"/>
        <w:kinsoku/>
        <w:wordWrap/>
        <w:overflowPunct/>
        <w:topLinePunct w:val="0"/>
        <w:bidi w:val="0"/>
        <w:adjustRightInd w:val="0"/>
        <w:snapToGrid w:val="0"/>
        <w:spacing w:line="576" w:lineRule="exact"/>
        <w:ind w:left="0" w:firstLineChars="200" w:firstLine="640"/>
        <w:textAlignment w:val="auto"/>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2.关于嘉陵江流域水环境黑臭水体综合治理（荣山、三堆片区地下管网）建设项目环境影响报告表的批复（广环审〔2018〕9号）。</w:t>
      </w:r>
    </w:p>
    <w:p>
      <w:pPr>
        <w:keepNext w:val="0"/>
        <w:keepLines w:val="0"/>
        <w:pageBreakBefore w:val="0"/>
        <w:widowControl w:val="0"/>
        <w:kinsoku/>
        <w:wordWrap/>
        <w:overflowPunct/>
        <w:topLinePunct w:val="0"/>
        <w:bidi w:val="0"/>
        <w:adjustRightInd w:val="0"/>
        <w:snapToGrid w:val="0"/>
        <w:spacing w:line="576" w:lineRule="exact"/>
        <w:ind w:left="0" w:firstLineChars="200" w:firstLine="640"/>
        <w:textAlignment w:val="auto"/>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3.关于《嘉陵江流域水环境黑臭水体综合治理（荣山、三堆片区地下管网）建设项目初步设计方案》的批复（广利规建住发〔2018〕基字3号）。</w:t>
      </w:r>
    </w:p>
    <w:p>
      <w:pPr>
        <w:keepNext w:val="0"/>
        <w:keepLines w:val="0"/>
        <w:pageBreakBefore w:val="0"/>
        <w:widowControl w:val="0"/>
        <w:kinsoku/>
        <w:wordWrap/>
        <w:overflowPunct/>
        <w:topLinePunct w:val="0"/>
        <w:bidi w:val="0"/>
        <w:adjustRightInd w:val="0"/>
        <w:snapToGrid w:val="0"/>
        <w:spacing w:line="576" w:lineRule="exact"/>
        <w:ind w:left="0" w:firstLineChars="200" w:firstLine="640"/>
        <w:textAlignment w:val="auto"/>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4.关于嘉陵江流域水环境黑臭水体综合治理（荣山、三堆片区地下管网）建设项目行洪论证与河势稳定评价报告的批复（广利水函〔2018〕115号）。</w:t>
      </w:r>
    </w:p>
    <w:p>
      <w:pPr>
        <w:keepNext w:val="0"/>
        <w:keepLines w:val="0"/>
        <w:pageBreakBefore w:val="0"/>
        <w:widowControl w:val="0"/>
        <w:kinsoku/>
        <w:wordWrap/>
        <w:overflowPunct/>
        <w:topLinePunct w:val="0"/>
        <w:bidi w:val="0"/>
        <w:adjustRightInd w:val="0"/>
        <w:snapToGrid w:val="0"/>
        <w:spacing w:line="576" w:lineRule="exact"/>
        <w:ind w:left="0" w:firstLineChars="200" w:firstLine="640"/>
        <w:textAlignment w:val="auto"/>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5.关于开展白龙江、嘉陵江流域水环境黑臭水体综合治理（荣山、三堆片区地下管网）建设项目集体土地和国有土地征收补偿工作的请示（广利城发〔2018〕47号）。</w:t>
      </w:r>
    </w:p>
    <w:p>
      <w:pPr>
        <w:keepNext w:val="0"/>
        <w:keepLines w:val="0"/>
        <w:pageBreakBefore w:val="0"/>
        <w:widowControl w:val="0"/>
        <w:kinsoku/>
        <w:wordWrap/>
        <w:overflowPunct/>
        <w:topLinePunct w:val="0"/>
        <w:bidi w:val="0"/>
        <w:adjustRightInd w:val="0"/>
        <w:snapToGrid w:val="0"/>
        <w:spacing w:line="576" w:lineRule="exact"/>
        <w:ind w:left="0" w:firstLineChars="200" w:firstLine="640"/>
        <w:textAlignment w:val="auto"/>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6.广元市国土资源局利州区分局拟征收集体土地告知书（广国土资利区集征〔2018〕07号）。</w:t>
      </w:r>
    </w:p>
    <w:p>
      <w:pPr>
        <w:keepNext w:val="0"/>
        <w:keepLines w:val="0"/>
        <w:pageBreakBefore w:val="0"/>
        <w:widowControl w:val="0"/>
        <w:kinsoku/>
        <w:wordWrap/>
        <w:overflowPunct/>
        <w:topLinePunct w:val="0"/>
        <w:bidi w:val="0"/>
        <w:adjustRightInd w:val="0"/>
        <w:snapToGrid w:val="0"/>
        <w:spacing w:line="576" w:lineRule="exact"/>
        <w:ind w:firstLineChars="200" w:firstLine="640"/>
        <w:textAlignment w:val="auto"/>
        <w:rPr>
          <w:rFonts w:ascii="仿宋" w:eastAsia="仿宋" w:cs="仿宋" w:hAnsi="仿宋" w:hint="eastAsia"/>
          <w:color w:val="FF0000"/>
          <w:sz w:val="32"/>
          <w:szCs w:val="32"/>
        </w:rPr>
      </w:pPr>
      <w:r>
        <w:rPr>
          <w:rFonts w:ascii="仿宋" w:eastAsia="仿宋" w:cs="仿宋" w:hAnsi="仿宋" w:hint="eastAsia"/>
          <w:color w:val="auto"/>
          <w:sz w:val="32"/>
          <w:szCs w:val="32"/>
          <w:lang w:eastAsia="zh-CN"/>
        </w:rPr>
        <w:t>按照广元市利州区城乡规划领导小组会议纪要第（</w:t>
      </w:r>
      <w:r>
        <w:rPr>
          <w:rFonts w:ascii="仿宋" w:eastAsia="仿宋" w:cs="仿宋" w:hAnsi="仿宋" w:hint="eastAsia"/>
          <w:color w:val="auto"/>
          <w:sz w:val="32"/>
          <w:szCs w:val="32"/>
          <w:lang w:val="en-US" w:eastAsia="zh-CN"/>
        </w:rPr>
        <w:t>2018</w:t>
      </w:r>
      <w:r>
        <w:rPr>
          <w:rFonts w:ascii="仿宋" w:eastAsia="仿宋" w:cs="仿宋" w:hAnsi="仿宋" w:hint="eastAsia"/>
          <w:color w:val="auto"/>
          <w:sz w:val="32"/>
          <w:szCs w:val="32"/>
          <w:lang w:eastAsia="zh-CN"/>
        </w:rPr>
        <w:t>）二期会议精神，该项目由区城乡建设发展集团有限公司测算项目总投资。</w:t>
      </w:r>
    </w:p>
    <w:p>
      <w:pPr>
        <w:keepNext w:val="0"/>
        <w:keepLines w:val="0"/>
        <w:pageBreakBefore w:val="0"/>
        <w:widowControl w:val="0"/>
        <w:numPr>
          <w:ilvl w:val="0"/>
          <w:numId w:val="6"/>
        </w:numPr>
        <w:kinsoku/>
        <w:wordWrap/>
        <w:overflowPunct/>
        <w:topLinePunct w:val="0"/>
        <w:bidi w:val="0"/>
        <w:adjustRightInd w:val="0"/>
        <w:snapToGrid w:val="0"/>
        <w:spacing w:line="576" w:lineRule="exact"/>
        <w:ind w:left="0" w:firstLineChars="200" w:firstLine="640"/>
        <w:textAlignment w:val="auto"/>
        <w:rPr>
          <w:rFonts w:ascii="楷体" w:eastAsia="楷体" w:cs="楷体" w:hAnsi="楷体" w:hint="eastAsia"/>
          <w:b w:val="0"/>
          <w:bCs w:val="0"/>
          <w:sz w:val="32"/>
          <w:szCs w:val="32"/>
        </w:rPr>
      </w:pPr>
      <w:r>
        <w:rPr>
          <w:rFonts w:ascii="楷体" w:eastAsia="楷体" w:cs="楷体" w:hAnsi="楷体" w:hint="eastAsia"/>
          <w:b w:val="0"/>
          <w:bCs w:val="0"/>
          <w:sz w:val="32"/>
          <w:szCs w:val="32"/>
        </w:rPr>
        <w:t>项目绩效目标</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_GB2312" w:eastAsia="仿宋_GB2312" w:cs="仿宋_GB2312" w:hAnsi="仿宋_GB2312" w:hint="eastAsia"/>
          <w:sz w:val="32"/>
          <w:szCs w:val="32"/>
          <w:lang w:val="en-US" w:eastAsia="zh-CN"/>
        </w:rPr>
      </w:pPr>
      <w:r>
        <w:rPr>
          <w:rFonts w:ascii="仿宋_GB2312" w:eastAsia="仿宋_GB2312" w:cs="仿宋_GB2312" w:hAnsi="仿宋_GB2312" w:hint="eastAsia"/>
          <w:sz w:val="32"/>
          <w:szCs w:val="32"/>
          <w:lang w:val="en-US" w:eastAsia="zh-CN"/>
        </w:rPr>
        <w:t>该项目需征收宝轮镇爱国社区一、三、四组，花园社区一组集体土地63.61亩，使用国有土地85.77亩。按照预期目标，我中心会同宝轮镇人民政府及时完成征收工作，保障了项目施工。为保障项目建设施工进度，我中心会同宝轮镇人民政府制定征收工作制度，项目进度时间表，实行了挂图作战。</w:t>
      </w:r>
      <w:r>
        <w:rPr>
          <w:rFonts w:ascii="仿宋" w:eastAsia="仿宋" w:cs="仿宋_GB2312" w:hAnsi="仿宋" w:hint="eastAsia"/>
          <w:sz w:val="32"/>
          <w:szCs w:val="32"/>
        </w:rPr>
        <w:t>市征拆</w:t>
      </w:r>
      <w:r>
        <w:rPr>
          <w:rFonts w:ascii="仿宋" w:eastAsia="仿宋" w:cs="仿宋_GB2312" w:hAnsi="仿宋" w:hint="eastAsia"/>
          <w:sz w:val="32"/>
          <w:szCs w:val="32"/>
          <w:lang w:eastAsia="zh-CN"/>
        </w:rPr>
        <w:t>中心</w:t>
      </w:r>
      <w:r>
        <w:rPr>
          <w:rFonts w:ascii="仿宋" w:eastAsia="仿宋" w:cs="仿宋_GB2312" w:hAnsi="仿宋" w:hint="eastAsia"/>
          <w:sz w:val="32"/>
          <w:szCs w:val="32"/>
        </w:rPr>
        <w:t>与乡镇高效衔接，紧密配合，依法依规，严格征收补偿政策，征收工作有序推进。</w:t>
      </w:r>
    </w:p>
    <w:p>
      <w:pPr>
        <w:keepNext w:val="0"/>
        <w:keepLines w:val="0"/>
        <w:pageBreakBefore w:val="0"/>
        <w:widowControl w:val="0"/>
        <w:kinsoku/>
        <w:wordWrap/>
        <w:overflowPunct/>
        <w:topLinePunct w:val="0"/>
        <w:bidi w:val="0"/>
        <w:adjustRightInd w:val="0"/>
        <w:snapToGrid w:val="0"/>
        <w:spacing w:line="576" w:lineRule="exact"/>
        <w:ind w:firstLine="720"/>
        <w:textAlignment w:val="auto"/>
        <w:rPr>
          <w:rFonts w:ascii="黑体" w:eastAsia="黑体" w:hAnsi="黑体" w:hint="eastAsia"/>
          <w:sz w:val="32"/>
          <w:szCs w:val="32"/>
        </w:rPr>
      </w:pPr>
      <w:r>
        <w:rPr>
          <w:rFonts w:ascii="黑体" w:eastAsia="黑体" w:hAnsi="黑体" w:hint="eastAsia"/>
          <w:sz w:val="32"/>
          <w:szCs w:val="32"/>
        </w:rPr>
        <w:t>二、项目资金申报及使用情况</w:t>
      </w:r>
    </w:p>
    <w:p>
      <w:pPr>
        <w:keepNext w:val="0"/>
        <w:keepLines w:val="0"/>
        <w:pageBreakBefore w:val="0"/>
        <w:widowControl w:val="0"/>
        <w:kinsoku/>
        <w:wordWrap/>
        <w:overflowPunct/>
        <w:topLinePunct w:val="0"/>
        <w:bidi w:val="0"/>
        <w:adjustRightInd w:val="0"/>
        <w:snapToGrid w:val="0"/>
        <w:spacing w:line="576" w:lineRule="exact"/>
        <w:ind w:firstLine="720"/>
        <w:textAlignment w:val="auto"/>
        <w:rPr>
          <w:rFonts w:ascii="黑体" w:eastAsia="黑体" w:hAnsi="黑体" w:hint="eastAsia"/>
          <w:sz w:val="32"/>
          <w:szCs w:val="32"/>
        </w:rPr>
      </w:pPr>
      <w:r>
        <w:rPr>
          <w:rFonts w:ascii="仿宋" w:eastAsia="仿宋" w:cs="仿宋" w:hAnsi="仿宋" w:hint="eastAsia"/>
          <w:sz w:val="32"/>
          <w:szCs w:val="32"/>
          <w:lang w:eastAsia="zh-CN"/>
        </w:rPr>
        <w:t>市征拆中心主要负责</w:t>
      </w:r>
      <w:r>
        <w:rPr>
          <w:rFonts w:ascii="仿宋" w:eastAsia="仿宋" w:cs="仿宋" w:hAnsi="仿宋" w:hint="eastAsia"/>
          <w:sz w:val="32"/>
          <w:szCs w:val="32"/>
        </w:rPr>
        <w:t>市城市规划区内集体</w:t>
      </w:r>
      <w:r>
        <w:rPr>
          <w:rFonts w:ascii="仿宋" w:eastAsia="仿宋" w:cs="仿宋" w:hAnsi="仿宋" w:hint="eastAsia"/>
          <w:sz w:val="32"/>
          <w:szCs w:val="32"/>
          <w:lang w:eastAsia="zh-CN"/>
        </w:rPr>
        <w:t>土地及国有土地上房屋征收及安置工作，征拆资金均专户存储、专款专用，资金使用时均严格按照相关政策文件规定的流程逐一申报使用。</w:t>
      </w:r>
      <w:r>
        <w:rPr>
          <w:rFonts w:ascii="仿宋" w:eastAsia="仿宋" w:cs="仿宋" w:hAnsi="仿宋" w:hint="eastAsia"/>
          <w:sz w:val="32"/>
          <w:szCs w:val="32"/>
          <w:lang w:val="en-US" w:eastAsia="zh-CN"/>
        </w:rPr>
        <w:t>白龙江、嘉陵江流域水环境黑臭水体综合整治（宝轮片区道路及河堤）建设项目2019年度预算资金</w:t>
      </w:r>
      <w:r>
        <w:rPr>
          <w:rFonts w:ascii="仿宋" w:eastAsia="仿宋" w:cs="仿宋_GB2312" w:hAnsi="仿宋" w:hint="eastAsia"/>
          <w:sz w:val="32"/>
          <w:szCs w:val="32"/>
          <w:lang w:val="en-US" w:eastAsia="zh-CN"/>
        </w:rPr>
        <w:t>65.60万，资金足额到位，已完成支付，完成预算100%。</w:t>
      </w:r>
    </w:p>
    <w:p>
      <w:pPr>
        <w:keepNext w:val="0"/>
        <w:keepLines w:val="0"/>
        <w:pageBreakBefore w:val="0"/>
        <w:widowControl w:val="0"/>
        <w:numPr>
          <w:ilvl w:val="0"/>
          <w:numId w:val="7"/>
        </w:numPr>
        <w:kinsoku/>
        <w:wordWrap/>
        <w:overflowPunct/>
        <w:topLinePunct w:val="0"/>
        <w:bidi w:val="0"/>
        <w:adjustRightInd w:val="0"/>
        <w:snapToGrid w:val="0"/>
        <w:spacing w:line="576" w:lineRule="exact"/>
        <w:ind w:left="0" w:firstLine="720"/>
        <w:textAlignment w:val="auto"/>
        <w:rPr>
          <w:rFonts w:ascii="黑体" w:eastAsia="黑体" w:hAnsi="黑体" w:hint="eastAsia"/>
          <w:sz w:val="32"/>
          <w:szCs w:val="32"/>
        </w:rPr>
      </w:pPr>
      <w:r>
        <w:rPr>
          <w:rFonts w:ascii="黑体" w:eastAsia="黑体" w:hAnsi="黑体" w:hint="eastAsia"/>
          <w:sz w:val="32"/>
          <w:szCs w:val="32"/>
        </w:rPr>
        <w:t>项目实施及管理情况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方正楷体简体" w:hAnsi="仿宋" w:hint="eastAsia"/>
          <w:snapToGrid w:val="0"/>
          <w:color w:val="000000"/>
          <w:kern w:val="0"/>
          <w:sz w:val="32"/>
          <w:szCs w:val="32"/>
          <w:lang w:eastAsia="zh-CN"/>
        </w:rPr>
      </w:pPr>
      <w:r>
        <w:rPr>
          <w:rFonts w:ascii="仿宋" w:eastAsia="仿宋" w:cs="方正楷体简体" w:hAnsi="仿宋" w:hint="eastAsia"/>
          <w:snapToGrid w:val="0"/>
          <w:color w:val="000000"/>
          <w:kern w:val="0"/>
          <w:sz w:val="32"/>
          <w:szCs w:val="32"/>
        </w:rPr>
        <w:t>严格执行国家和省、市相关法律法规和征地拆迁补偿政策法规，坚持“阳光操作”机制，全面公示公开征拆政策、流程、标准以及实物量等信息，主动接受群众监督，全面规范征拆补偿行为</w:t>
      </w:r>
      <w:r>
        <w:rPr>
          <w:rFonts w:ascii="仿宋" w:eastAsia="仿宋" w:cs="方正楷体简体" w:hAnsi="仿宋" w:hint="eastAsia"/>
          <w:snapToGrid w:val="0"/>
          <w:color w:val="000000"/>
          <w:kern w:val="0"/>
          <w:sz w:val="32"/>
          <w:szCs w:val="32"/>
          <w:lang w:eastAsia="zh-CN"/>
        </w:rPr>
        <w:t>。</w:t>
      </w:r>
    </w:p>
    <w:p>
      <w:pPr>
        <w:keepNext w:val="0"/>
        <w:keepLines w:val="0"/>
        <w:pageBreakBefore w:val="0"/>
        <w:widowControl w:val="0"/>
        <w:kinsoku/>
        <w:wordWrap/>
        <w:overflowPunct/>
        <w:topLinePunct w:val="0"/>
        <w:bidi w:val="0"/>
        <w:adjustRightInd w:val="0"/>
        <w:snapToGrid w:val="0"/>
        <w:spacing w:line="576" w:lineRule="exact"/>
        <w:ind w:firstLine="720"/>
        <w:textAlignment w:val="auto"/>
        <w:rPr>
          <w:rFonts w:ascii="仿宋_GB2312" w:hAnsi="宋体"/>
          <w:sz w:val="32"/>
          <w:szCs w:val="32"/>
        </w:rPr>
      </w:pPr>
      <w:r>
        <w:rPr>
          <w:rFonts w:ascii="黑体" w:eastAsia="黑体" w:hAnsi="黑体" w:hint="eastAsia"/>
          <w:sz w:val="32"/>
          <w:szCs w:val="32"/>
        </w:rPr>
        <w:t>四、项目绩效情况</w:t>
      </w:r>
      <w:r>
        <w:rPr>
          <w:rFonts w:ascii="仿宋_GB2312" w:hAnsi="宋体"/>
          <w:sz w:val="32"/>
          <w:szCs w:val="32"/>
        </w:rPr>
        <w:tab/>
      </w:r>
    </w:p>
    <w:p>
      <w:pPr>
        <w:keepNext w:val="0"/>
        <w:keepLines w:val="0"/>
        <w:pageBreakBefore w:val="0"/>
        <w:widowControl w:val="0"/>
        <w:kinsoku/>
        <w:wordWrap/>
        <w:overflowPunct/>
        <w:topLinePunct w:val="0"/>
        <w:bidi w:val="0"/>
        <w:adjustRightInd w:val="0"/>
        <w:snapToGrid w:val="0"/>
        <w:spacing w:line="576" w:lineRule="exact"/>
        <w:ind w:firstLine="720"/>
        <w:textAlignment w:val="auto"/>
        <w:rPr>
          <w:rFonts w:ascii="仿宋" w:eastAsia="仿宋" w:cs="仿宋" w:hAnsi="仿宋" w:hint="eastAsia"/>
          <w:color w:val="auto"/>
          <w:sz w:val="32"/>
          <w:szCs w:val="32"/>
          <w:lang w:eastAsia="zh-CN"/>
        </w:rPr>
      </w:pPr>
      <w:r>
        <w:rPr>
          <w:rFonts w:ascii="仿宋" w:eastAsia="仿宋" w:cs="仿宋" w:hAnsi="仿宋" w:hint="eastAsia"/>
          <w:color w:val="auto"/>
          <w:sz w:val="32"/>
          <w:szCs w:val="32"/>
          <w:lang w:eastAsia="zh-CN"/>
        </w:rPr>
        <w:t>经济效益方面，该项目作为纯公共利益项目，近期经济效益不显现，但对沿线及周边地块今后整体开发具备潜在经济效益。</w:t>
      </w:r>
    </w:p>
    <w:p>
      <w:pPr>
        <w:keepNext w:val="0"/>
        <w:keepLines w:val="0"/>
        <w:pageBreakBefore w:val="0"/>
        <w:widowControl w:val="0"/>
        <w:kinsoku/>
        <w:wordWrap/>
        <w:overflowPunct/>
        <w:topLinePunct w:val="0"/>
        <w:bidi w:val="0"/>
        <w:adjustRightInd w:val="0"/>
        <w:snapToGrid w:val="0"/>
        <w:spacing w:line="576" w:lineRule="exact"/>
        <w:ind w:firstLine="720"/>
        <w:textAlignment w:val="auto"/>
        <w:rPr>
          <w:rFonts w:ascii="仿宋" w:eastAsia="仿宋" w:cs="仿宋" w:hAnsi="仿宋" w:hint="eastAsia"/>
          <w:color w:val="auto"/>
          <w:sz w:val="32"/>
          <w:szCs w:val="32"/>
          <w:lang w:eastAsia="zh-CN"/>
        </w:rPr>
      </w:pPr>
      <w:r>
        <w:rPr>
          <w:rFonts w:ascii="仿宋" w:eastAsia="仿宋" w:cs="仿宋" w:hAnsi="仿宋" w:hint="eastAsia"/>
          <w:color w:val="auto"/>
          <w:sz w:val="32"/>
          <w:szCs w:val="32"/>
          <w:lang w:eastAsia="zh-CN"/>
        </w:rPr>
        <w:t>社会效益方面，该项目河堤路的修建打通了泗河子</w:t>
      </w:r>
      <w:r>
        <w:rPr>
          <w:rFonts w:ascii="仿宋" w:eastAsia="仿宋" w:cs="仿宋" w:hAnsi="仿宋" w:hint="eastAsia"/>
          <w:color w:val="auto"/>
          <w:sz w:val="32"/>
          <w:szCs w:val="32"/>
          <w:lang w:val="en-US" w:eastAsia="zh-CN"/>
        </w:rPr>
        <w:t>-</w:t>
      </w:r>
      <w:r>
        <w:rPr>
          <w:rFonts w:ascii="仿宋" w:eastAsia="仿宋" w:cs="仿宋" w:hAnsi="仿宋" w:hint="eastAsia"/>
          <w:color w:val="auto"/>
          <w:sz w:val="32"/>
          <w:szCs w:val="32"/>
          <w:lang w:eastAsia="zh-CN"/>
        </w:rPr>
        <w:t>晏家河南岸“最后一公里”，与纺织园区路网联通。晏家河北岸步行道为沿线群众日常活动提供了畅通空间。项目征地批文尚未下达，被征地群众的征地安置不能及时办理，存在信访维稳压力，影响社会效益。</w:t>
      </w:r>
    </w:p>
    <w:p>
      <w:pPr>
        <w:keepNext w:val="0"/>
        <w:keepLines w:val="0"/>
        <w:pageBreakBefore w:val="0"/>
        <w:widowControl w:val="0"/>
        <w:kinsoku/>
        <w:wordWrap/>
        <w:overflowPunct/>
        <w:topLinePunct w:val="0"/>
        <w:bidi w:val="0"/>
        <w:adjustRightInd w:val="0"/>
        <w:snapToGrid w:val="0"/>
        <w:spacing w:line="576" w:lineRule="exact"/>
        <w:ind w:firstLine="720"/>
        <w:textAlignment w:val="auto"/>
        <w:rPr>
          <w:rFonts w:ascii="仿宋" w:eastAsia="仿宋" w:cs="仿宋" w:hAnsi="仿宋" w:hint="eastAsia"/>
          <w:color w:val="auto"/>
          <w:sz w:val="32"/>
          <w:szCs w:val="32"/>
          <w:lang w:eastAsia="zh-CN"/>
        </w:rPr>
      </w:pPr>
      <w:r>
        <w:rPr>
          <w:rFonts w:ascii="仿宋" w:eastAsia="仿宋" w:cs="仿宋" w:hAnsi="仿宋" w:hint="eastAsia"/>
          <w:color w:val="auto"/>
          <w:sz w:val="32"/>
          <w:szCs w:val="32"/>
          <w:lang w:eastAsia="zh-CN"/>
        </w:rPr>
        <w:t>生态效益方面，将沿线居民点生产生活污水集中收集并入排污管网，河道得以清淤，往河道随意倾倒丢弃垃圾现象消失了，人人爱护</w:t>
      </w:r>
    </w:p>
    <w:p>
      <w:pPr>
        <w:keepNext w:val="0"/>
        <w:keepLines w:val="0"/>
        <w:pageBreakBefore w:val="0"/>
        <w:widowControl w:val="0"/>
        <w:kinsoku/>
        <w:wordWrap/>
        <w:overflowPunct/>
        <w:topLinePunct w:val="0"/>
        <w:bidi w:val="0"/>
        <w:adjustRightInd w:val="0"/>
        <w:snapToGrid w:val="0"/>
        <w:spacing w:line="576" w:lineRule="exact"/>
        <w:ind w:firstLine="720"/>
        <w:textAlignment w:val="auto"/>
        <w:rPr>
          <w:rFonts w:ascii="仿宋" w:eastAsia="仿宋" w:cs="仿宋" w:hAnsi="仿宋" w:hint="eastAsia"/>
          <w:color w:val="auto"/>
          <w:sz w:val="32"/>
          <w:szCs w:val="32"/>
          <w:lang w:eastAsia="zh-CN"/>
        </w:rPr>
      </w:pPr>
      <w:r>
        <w:rPr>
          <w:rFonts w:ascii="仿宋" w:eastAsia="仿宋" w:cs="仿宋" w:hAnsi="仿宋" w:hint="eastAsia"/>
          <w:color w:val="auto"/>
          <w:sz w:val="32"/>
          <w:szCs w:val="32"/>
          <w:lang w:eastAsia="zh-CN"/>
        </w:rPr>
        <w:t>可持续效益方面，通过修筑河堤，拓宽河道，提高了防洪能力，河安澜、人安全，消除了汛期沿线群众生产生活隐患，使当地经济、社会、生态效益更加可持续。</w:t>
      </w:r>
    </w:p>
    <w:p>
      <w:pPr>
        <w:keepNext w:val="0"/>
        <w:keepLines w:val="0"/>
        <w:pageBreakBefore w:val="0"/>
        <w:widowControl w:val="0"/>
        <w:kinsoku/>
        <w:wordWrap/>
        <w:overflowPunct/>
        <w:topLinePunct w:val="0"/>
        <w:bidi w:val="0"/>
        <w:adjustRightInd w:val="0"/>
        <w:snapToGrid w:val="0"/>
        <w:spacing w:line="576" w:lineRule="exact"/>
        <w:ind w:firstLine="720"/>
        <w:textAlignment w:val="auto"/>
        <w:rPr>
          <w:rFonts w:ascii="仿宋_GB2312" w:hAnsi="仿宋_GB2312" w:hint="eastAsia"/>
          <w:color w:val="FF0000"/>
          <w:sz w:val="32"/>
          <w:szCs w:val="32"/>
          <w:lang w:eastAsia="zh-CN"/>
        </w:rPr>
      </w:pPr>
      <w:r>
        <w:rPr>
          <w:rFonts w:ascii="仿宋" w:eastAsia="仿宋" w:cs="仿宋" w:hAnsi="仿宋" w:hint="eastAsia"/>
          <w:color w:val="auto"/>
          <w:sz w:val="32"/>
          <w:szCs w:val="32"/>
          <w:lang w:eastAsia="zh-CN"/>
        </w:rPr>
        <w:t>服务对象满意度方面，河水变清澈了、空气变清新了、出行变通畅了、环卫大变样了，项目的实施给群众带来的受益是显而易见的，群众满意度较高。</w:t>
      </w:r>
    </w:p>
    <w:p>
      <w:pPr>
        <w:keepNext w:val="0"/>
        <w:keepLines w:val="0"/>
        <w:pageBreakBefore w:val="0"/>
        <w:widowControl w:val="0"/>
        <w:kinsoku/>
        <w:wordWrap/>
        <w:overflowPunct/>
        <w:topLinePunct w:val="0"/>
        <w:bidi w:val="0"/>
        <w:adjustRightInd w:val="0"/>
        <w:snapToGrid w:val="0"/>
        <w:spacing w:line="576" w:lineRule="exact"/>
        <w:ind w:firstLine="720"/>
        <w:textAlignment w:val="auto"/>
        <w:rPr>
          <w:rFonts w:ascii="黑体" w:eastAsia="黑体" w:hAnsi="宋体"/>
          <w:sz w:val="32"/>
          <w:szCs w:val="32"/>
        </w:rPr>
      </w:pPr>
      <w:r>
        <w:rPr>
          <w:rFonts w:ascii="黑体" w:eastAsia="黑体" w:hAnsi="黑体" w:hint="eastAsia"/>
          <w:sz w:val="32"/>
          <w:szCs w:val="32"/>
        </w:rPr>
        <w:t>五、评价结论及建议</w:t>
      </w:r>
    </w:p>
    <w:p>
      <w:pPr>
        <w:keepNext w:val="0"/>
        <w:keepLines w:val="0"/>
        <w:pageBreakBefore w:val="0"/>
        <w:widowControl w:val="0"/>
        <w:kinsoku/>
        <w:wordWrap/>
        <w:overflowPunct/>
        <w:topLinePunct w:val="0"/>
        <w:bidi w:val="0"/>
        <w:adjustRightInd w:val="0"/>
        <w:snapToGrid w:val="0"/>
        <w:spacing w:line="576" w:lineRule="exact"/>
        <w:ind w:firstLine="720"/>
        <w:textAlignment w:val="auto"/>
        <w:rPr>
          <w:rFonts w:ascii="华文楷体" w:eastAsia="华文楷体" w:cs="华文楷体" w:hAnsi="华文楷体" w:hint="eastAsia"/>
          <w:b w:val="0"/>
          <w:bCs w:val="0"/>
          <w:sz w:val="32"/>
          <w:szCs w:val="32"/>
        </w:rPr>
      </w:pPr>
      <w:r>
        <w:rPr>
          <w:rFonts w:ascii="华文楷体" w:eastAsia="华文楷体" w:cs="华文楷体" w:hAnsi="华文楷体" w:hint="eastAsia"/>
          <w:b w:val="0"/>
          <w:bCs w:val="0"/>
          <w:sz w:val="32"/>
          <w:szCs w:val="32"/>
        </w:rPr>
        <w:t>（一）评价结论</w:t>
      </w:r>
    </w:p>
    <w:p>
      <w:pPr>
        <w:keepNext w:val="0"/>
        <w:keepLines w:val="0"/>
        <w:pageBreakBefore w:val="0"/>
        <w:widowControl w:val="0"/>
        <w:kinsoku/>
        <w:wordWrap/>
        <w:overflowPunct/>
        <w:topLinePunct w:val="0"/>
        <w:bidi w:val="0"/>
        <w:adjustRightInd w:val="0"/>
        <w:snapToGrid w:val="0"/>
        <w:spacing w:line="576" w:lineRule="exact"/>
        <w:ind w:firstLineChars="200" w:firstLine="640"/>
        <w:textAlignment w:val="auto"/>
        <w:rPr>
          <w:rFonts w:ascii="仿宋" w:eastAsia="仿宋" w:cs="仿宋" w:hAnsi="仿宋"/>
          <w:sz w:val="32"/>
          <w:szCs w:val="32"/>
          <w:lang w:val="en-US" w:eastAsia="zh-CN"/>
        </w:rPr>
      </w:pPr>
      <w:r>
        <w:rPr>
          <w:rFonts w:ascii="仿宋" w:eastAsia="仿宋" w:cs="仿宋" w:hAnsi="仿宋" w:hint="eastAsia"/>
          <w:sz w:val="32"/>
          <w:szCs w:val="32"/>
          <w:lang w:eastAsia="zh-CN"/>
        </w:rPr>
        <w:t>项目协议签订后，补偿资金迟迟不能及时落实到位。项目区的当地干部及被征地单位和群众能以大局为重，支持项目建设，施工环境相对较好。项目建设临近收尾，征地安置工作尚未完成，存在信访维稳和社会舆论压力。</w:t>
      </w:r>
    </w:p>
    <w:p>
      <w:pPr>
        <w:keepNext w:val="0"/>
        <w:keepLines w:val="0"/>
        <w:pageBreakBefore w:val="0"/>
        <w:widowControl w:val="0"/>
        <w:kinsoku/>
        <w:wordWrap/>
        <w:overflowPunct/>
        <w:topLinePunct w:val="0"/>
        <w:bidi w:val="0"/>
        <w:adjustRightInd w:val="0"/>
        <w:snapToGrid w:val="0"/>
        <w:spacing w:line="576" w:lineRule="exact"/>
        <w:ind w:firstLine="720"/>
        <w:textAlignment w:val="auto"/>
        <w:rPr>
          <w:rFonts w:ascii="华文楷体" w:eastAsia="华文楷体" w:cs="华文楷体" w:hAnsi="华文楷体" w:hint="eastAsia"/>
          <w:b w:val="0"/>
          <w:bCs w:val="0"/>
          <w:sz w:val="32"/>
          <w:szCs w:val="32"/>
        </w:rPr>
      </w:pPr>
      <w:r>
        <w:rPr>
          <w:rFonts w:ascii="华文楷体" w:eastAsia="华文楷体" w:cs="华文楷体" w:hAnsi="华文楷体" w:hint="eastAsia"/>
          <w:b w:val="0"/>
          <w:bCs w:val="0"/>
          <w:sz w:val="32"/>
          <w:szCs w:val="32"/>
        </w:rPr>
        <w:t>（二）存在的问题</w:t>
      </w:r>
    </w:p>
    <w:p>
      <w:pPr>
        <w:keepNext w:val="0"/>
        <w:keepLines w:val="0"/>
        <w:pageBreakBefore w:val="0"/>
        <w:widowControl w:val="0"/>
        <w:kinsoku/>
        <w:wordWrap/>
        <w:overflowPunct/>
        <w:topLinePunct w:val="0"/>
        <w:bidi w:val="0"/>
        <w:adjustRightInd w:val="0"/>
        <w:snapToGrid w:val="0"/>
        <w:spacing w:line="576" w:lineRule="exact"/>
        <w:ind w:firstLineChars="200" w:firstLine="640"/>
        <w:textAlignment w:val="auto"/>
        <w:rPr>
          <w:rFonts w:ascii="仿宋_GB2312" w:hAnsi="宋体"/>
          <w:sz w:val="32"/>
          <w:szCs w:val="32"/>
        </w:rPr>
      </w:pPr>
      <w:r>
        <w:rPr>
          <w:rFonts w:ascii="仿宋" w:eastAsia="仿宋" w:cs="仿宋" w:hAnsi="仿宋" w:hint="eastAsia"/>
          <w:sz w:val="32"/>
          <w:szCs w:val="32"/>
          <w:lang w:eastAsia="zh-CN"/>
        </w:rPr>
        <w:t>被征地单位和群众与征收部门对人均耕地数量有异议，与相关行政主管部门多次会商无果，征地安置协议未签订，不能有效确定征地安置人数，致使群众征地安置至今未予落实。</w:t>
      </w:r>
    </w:p>
    <w:p>
      <w:pPr>
        <w:keepNext w:val="0"/>
        <w:keepLines w:val="0"/>
        <w:pageBreakBefore w:val="0"/>
        <w:widowControl w:val="0"/>
        <w:kinsoku/>
        <w:wordWrap/>
        <w:overflowPunct/>
        <w:topLinePunct w:val="0"/>
        <w:bidi w:val="0"/>
        <w:adjustRightInd w:val="0"/>
        <w:snapToGrid w:val="0"/>
        <w:spacing w:line="576" w:lineRule="exact"/>
        <w:ind w:firstLine="720"/>
        <w:textAlignment w:val="auto"/>
        <w:rPr>
          <w:rFonts w:ascii="华文楷体" w:eastAsia="华文楷体" w:cs="华文楷体" w:hAnsi="华文楷体" w:hint="eastAsia"/>
          <w:b w:val="0"/>
          <w:bCs w:val="0"/>
          <w:sz w:val="32"/>
          <w:szCs w:val="32"/>
        </w:rPr>
      </w:pPr>
      <w:r>
        <w:rPr>
          <w:rFonts w:ascii="华文楷体" w:eastAsia="华文楷体" w:cs="华文楷体" w:hAnsi="华文楷体" w:hint="eastAsia"/>
          <w:b w:val="0"/>
          <w:bCs w:val="0"/>
          <w:sz w:val="32"/>
          <w:szCs w:val="32"/>
        </w:rPr>
        <w:t>（三）相关建议</w:t>
      </w:r>
    </w:p>
    <w:p>
      <w:pPr>
        <w:keepNext w:val="0"/>
        <w:keepLines w:val="0"/>
        <w:pageBreakBefore w:val="0"/>
        <w:widowControl w:val="0"/>
        <w:kinsoku/>
        <w:wordWrap/>
        <w:overflowPunct/>
        <w:topLinePunct w:val="0"/>
        <w:bidi w:val="0"/>
        <w:adjustRightInd w:val="0"/>
        <w:snapToGrid w:val="0"/>
        <w:spacing w:line="576" w:lineRule="exact"/>
        <w:ind w:firstLineChars="200" w:firstLine="640"/>
        <w:textAlignment w:val="auto"/>
        <w:rPr>
          <w:rFonts w:ascii="仿宋_GB2312" w:hAnsi="仿宋_GB2312"/>
          <w:sz w:val="32"/>
          <w:szCs w:val="32"/>
        </w:rPr>
      </w:pPr>
      <w:r>
        <w:rPr>
          <w:rFonts w:ascii="仿宋" w:eastAsia="仿宋" w:cs="仿宋" w:hAnsi="仿宋" w:hint="eastAsia"/>
          <w:sz w:val="32"/>
          <w:szCs w:val="32"/>
          <w:lang w:eastAsia="zh-CN"/>
        </w:rPr>
        <w:t>建议区政府组织自然资源、农业农村、公安、人社行政主管部门会同征收部门确定人均耕地数量所需的被征地单位有效核算人数和现有耕地数量后，征收部门会同人社部门核算征地养老、医疗、失业安置人数及参保费用。项目业主及时筹措落实社保费用。</w:t>
      </w:r>
    </w:p>
    <w:p>
      <w:pPr>
        <w:keepNext w:val="0"/>
        <w:keepLines w:val="0"/>
        <w:pageBreakBefore w:val="0"/>
        <w:widowControl w:val="0"/>
        <w:kinsoku/>
        <w:wordWrap/>
        <w:overflowPunct/>
        <w:topLinePunct w:val="0"/>
        <w:autoSpaceDE/>
        <w:bidi w:val="0"/>
        <w:spacing w:line="500" w:lineRule="exact"/>
        <w:jc w:val="center"/>
        <w:textAlignment w:val="auto"/>
        <w:rPr>
          <w:rFonts w:ascii="方正小标宋简体" w:eastAsia="方正小标宋简体" w:cs="方正小标宋简体" w:hAnsi="方正小标宋简体" w:hint="eastAsia"/>
          <w:color w:val="000000"/>
          <w:kern w:val="0"/>
          <w:sz w:val="44"/>
          <w:szCs w:val="44"/>
        </w:rPr>
      </w:pPr>
      <w:r>
        <w:rPr>
          <w:rFonts w:ascii="方正小标宋简体" w:eastAsia="方正小标宋简体" w:cs="方正小标宋简体" w:hAnsi="方正小标宋简体" w:hint="eastAsia"/>
          <w:color w:val="000000"/>
          <w:kern w:val="0"/>
          <w:sz w:val="44"/>
          <w:szCs w:val="44"/>
          <w:lang w:eastAsia="zh-CN"/>
        </w:rPr>
        <w:t>鲲鹏小镇</w:t>
      </w:r>
      <w:r>
        <w:rPr>
          <w:rFonts w:ascii="方正小标宋简体" w:eastAsia="方正小标宋简体" w:cs="方正小标宋简体" w:hAnsi="方正小标宋简体" w:hint="eastAsia"/>
          <w:color w:val="000000"/>
          <w:kern w:val="0"/>
          <w:sz w:val="44"/>
          <w:szCs w:val="44"/>
        </w:rPr>
        <w:t>项目2019年绩效评价报告</w:t>
      </w:r>
    </w:p>
    <w:p>
      <w:pPr>
        <w:keepNext w:val="0"/>
        <w:keepLines w:val="0"/>
        <w:pageBreakBefore w:val="0"/>
        <w:widowControl w:val="0"/>
        <w:kinsoku/>
        <w:wordWrap/>
        <w:overflowPunct/>
        <w:topLinePunct w:val="0"/>
        <w:autoSpaceDE/>
        <w:bidi w:val="0"/>
        <w:spacing w:line="500" w:lineRule="exact"/>
        <w:textAlignment w:val="auto"/>
        <w:rPr>
          <w:rFonts w:ascii="黑体" w:eastAsia="黑体" w:cs="黑体" w:hAnsi="黑体" w:hint="eastAsia"/>
          <w:sz w:val="32"/>
          <w:szCs w:val="32"/>
        </w:rPr>
      </w:pPr>
      <w:r>
        <w:rPr>
          <w:rFonts w:ascii="黑体" w:eastAsia="黑体" w:cs="黑体" w:hAnsi="黑体" w:hint="eastAsia"/>
          <w:sz w:val="32"/>
          <w:szCs w:val="32"/>
        </w:rPr>
        <w:t xml:space="preserve"> </w:t>
      </w:r>
    </w:p>
    <w:p>
      <w:pPr>
        <w:keepNext w:val="0"/>
        <w:keepLines w:val="0"/>
        <w:pageBreakBefore w:val="0"/>
        <w:widowControl w:val="0"/>
        <w:kinsoku/>
        <w:wordWrap/>
        <w:overflowPunct/>
        <w:topLinePunct w:val="0"/>
        <w:autoSpaceDE/>
        <w:bidi w:val="0"/>
        <w:adjustRightInd w:val="0"/>
        <w:snapToGrid w:val="0"/>
        <w:spacing w:line="500" w:lineRule="exact"/>
        <w:ind w:firstLine="720"/>
        <w:textAlignment w:val="auto"/>
        <w:rPr>
          <w:rFonts w:ascii="黑体" w:eastAsia="黑体" w:cs="黑体" w:hAnsi="黑体" w:hint="eastAsia"/>
          <w:sz w:val="32"/>
          <w:szCs w:val="32"/>
        </w:rPr>
      </w:pPr>
      <w:r>
        <w:rPr>
          <w:rFonts w:ascii="黑体" w:eastAsia="黑体" w:cs="黑体" w:hAnsi="黑体" w:hint="eastAsia"/>
          <w:sz w:val="32"/>
          <w:szCs w:val="32"/>
        </w:rPr>
        <w:t>一、项目概况</w:t>
      </w:r>
    </w:p>
    <w:p>
      <w:pPr>
        <w:keepNext w:val="0"/>
        <w:keepLines w:val="0"/>
        <w:pageBreakBefore w:val="0"/>
        <w:widowControl w:val="0"/>
        <w:kinsoku/>
        <w:wordWrap/>
        <w:overflowPunct/>
        <w:topLinePunct w:val="0"/>
        <w:autoSpaceDE/>
        <w:bidi w:val="0"/>
        <w:adjustRightInd w:val="0"/>
        <w:snapToGrid w:val="0"/>
        <w:spacing w:line="500" w:lineRule="exact"/>
        <w:ind w:firstLine="720"/>
        <w:textAlignment w:val="auto"/>
        <w:rPr>
          <w:rFonts w:ascii="华文楷体" w:eastAsia="华文楷体" w:cs="华文楷体" w:hAnsi="华文楷体" w:hint="eastAsia"/>
          <w:b w:val="0"/>
          <w:bCs w:val="0"/>
          <w:sz w:val="32"/>
          <w:szCs w:val="32"/>
        </w:rPr>
      </w:pPr>
      <w:r>
        <w:rPr>
          <w:rFonts w:ascii="华文楷体" w:eastAsia="华文楷体" w:cs="华文楷体" w:hAnsi="华文楷体" w:hint="eastAsia"/>
          <w:b w:val="0"/>
          <w:bCs w:val="0"/>
          <w:sz w:val="32"/>
          <w:szCs w:val="32"/>
        </w:rPr>
        <w:t>（一）项目基本情况</w:t>
      </w:r>
    </w:p>
    <w:p>
      <w:pPr>
        <w:keepNext w:val="0"/>
        <w:keepLines w:val="0"/>
        <w:pageBreakBefore w:val="0"/>
        <w:widowControl w:val="0"/>
        <w:kinsoku/>
        <w:wordWrap/>
        <w:overflowPunct/>
        <w:topLinePunct w:val="0"/>
        <w:autoSpaceDE/>
        <w:bidi w:val="0"/>
        <w:adjustRightInd w:val="0"/>
        <w:snapToGrid w:val="0"/>
        <w:spacing w:line="500" w:lineRule="exact"/>
        <w:ind w:firstLine="720"/>
        <w:textAlignment w:val="auto"/>
        <w:rPr>
          <w:rFonts w:ascii="仿宋" w:eastAsia="仿宋" w:cs="仿宋" w:hAnsi="仿宋" w:hint="eastAsia"/>
          <w:sz w:val="32"/>
          <w:szCs w:val="32"/>
          <w:lang w:val="en-US" w:eastAsia="zh-CN"/>
        </w:rPr>
      </w:pPr>
      <w:r>
        <w:rPr>
          <w:rFonts w:ascii="仿宋" w:eastAsia="仿宋" w:cs="仿宋" w:hAnsi="仿宋" w:hint="eastAsia"/>
          <w:sz w:val="32"/>
          <w:szCs w:val="32"/>
          <w:lang w:eastAsia="zh-CN"/>
        </w:rPr>
        <w:t>鲲鹏小镇项目是利州区重点招商引资项目，该项目位于利州区龙潭乡建设村、和平村，总用地面积约</w:t>
      </w:r>
      <w:r>
        <w:rPr>
          <w:rFonts w:ascii="仿宋" w:eastAsia="仿宋" w:cs="仿宋" w:hAnsi="仿宋" w:hint="eastAsia"/>
          <w:sz w:val="32"/>
          <w:szCs w:val="32"/>
          <w:lang w:val="en-US" w:eastAsia="zh-CN"/>
        </w:rPr>
        <w:t>3800亩，其中征收集体土地约950余亩，分游客中心、中央公园、安置点等10余个子项目，按照业主单位用地需求分步实施。</w:t>
      </w:r>
    </w:p>
    <w:p>
      <w:pPr>
        <w:keepNext w:val="0"/>
        <w:keepLines w:val="0"/>
        <w:pageBreakBefore w:val="0"/>
        <w:widowControl w:val="0"/>
        <w:kinsoku/>
        <w:wordWrap/>
        <w:overflowPunct/>
        <w:topLinePunct w:val="0"/>
        <w:autoSpaceDE/>
        <w:bidi w:val="0"/>
        <w:adjustRightInd w:val="0"/>
        <w:snapToGrid w:val="0"/>
        <w:spacing w:line="500" w:lineRule="exact"/>
        <w:ind w:firstLine="720"/>
        <w:textAlignment w:val="auto"/>
        <w:rPr>
          <w:rFonts w:ascii="华文楷体" w:eastAsia="华文楷体" w:cs="华文楷体" w:hAnsi="华文楷体" w:hint="eastAsia"/>
          <w:b w:val="0"/>
          <w:bCs w:val="0"/>
          <w:sz w:val="32"/>
          <w:szCs w:val="32"/>
        </w:rPr>
      </w:pPr>
      <w:r>
        <w:rPr>
          <w:rFonts w:ascii="华文楷体" w:eastAsia="华文楷体" w:cs="华文楷体" w:hAnsi="华文楷体" w:hint="eastAsia"/>
          <w:b w:val="0"/>
          <w:bCs w:val="0"/>
          <w:sz w:val="32"/>
          <w:szCs w:val="32"/>
        </w:rPr>
        <w:t>（二）项目绩效目标</w:t>
      </w:r>
    </w:p>
    <w:p>
      <w:pPr>
        <w:keepNext w:val="0"/>
        <w:keepLines w:val="0"/>
        <w:pageBreakBefore w:val="0"/>
        <w:widowControl w:val="0"/>
        <w:kinsoku/>
        <w:wordWrap/>
        <w:overflowPunct/>
        <w:topLinePunct w:val="0"/>
        <w:autoSpaceDE/>
        <w:bidi w:val="0"/>
        <w:adjustRightInd w:val="0"/>
        <w:snapToGrid w:val="0"/>
        <w:spacing w:line="500" w:lineRule="exact"/>
        <w:ind w:firstLine="720"/>
        <w:textAlignment w:val="auto"/>
        <w:rPr>
          <w:rFonts w:ascii="仿宋" w:eastAsia="仿宋" w:cs="仿宋" w:hAnsi="仿宋" w:hint="eastAsia"/>
          <w:color w:val="000000"/>
          <w:kern w:val="0"/>
          <w:sz w:val="32"/>
          <w:szCs w:val="32"/>
          <w:lang w:eastAsia="zh-CN"/>
        </w:rPr>
      </w:pPr>
      <w:r>
        <w:rPr>
          <w:rFonts w:ascii="仿宋" w:eastAsia="仿宋" w:cs="仿宋" w:hAnsi="仿宋" w:hint="eastAsia"/>
          <w:sz w:val="32"/>
          <w:szCs w:val="32"/>
          <w:lang w:eastAsia="zh-CN"/>
        </w:rPr>
        <w:t>根据业主单位用地计划，</w:t>
      </w:r>
      <w:r>
        <w:rPr>
          <w:rFonts w:ascii="仿宋" w:eastAsia="仿宋" w:cs="仿宋" w:hAnsi="仿宋" w:hint="eastAsia"/>
          <w:sz w:val="32"/>
          <w:szCs w:val="32"/>
          <w:lang w:val="en-US" w:eastAsia="zh-CN"/>
        </w:rPr>
        <w:t>19年主要实施游客中心、中央公园、建设新凼地安置点、和平猫狗洞安置点、1号和3号地块征拆工作。为加快推进项目征拆工作，确保项目用地需求，</w:t>
      </w:r>
      <w:r>
        <w:rPr>
          <w:rFonts w:ascii="仿宋" w:eastAsia="仿宋" w:cs="仿宋" w:hAnsi="仿宋" w:hint="eastAsia"/>
          <w:color w:val="000000"/>
          <w:kern w:val="0"/>
          <w:sz w:val="32"/>
          <w:szCs w:val="32"/>
        </w:rPr>
        <w:t>采取分组定岗责任到人，实行项目负责制，督办跟踪制，考勤考核制，廉洁</w:t>
      </w:r>
      <w:r>
        <w:rPr>
          <w:rFonts w:ascii="仿宋" w:eastAsia="仿宋" w:cs="仿宋" w:hAnsi="仿宋" w:hint="eastAsia"/>
          <w:color w:val="000000"/>
          <w:kern w:val="0"/>
          <w:sz w:val="32"/>
          <w:szCs w:val="32"/>
          <w:lang w:eastAsia="zh-CN"/>
        </w:rPr>
        <w:t>承诺</w:t>
      </w:r>
      <w:r>
        <w:rPr>
          <w:rFonts w:ascii="仿宋" w:eastAsia="仿宋" w:cs="仿宋" w:hAnsi="仿宋" w:hint="eastAsia"/>
          <w:color w:val="000000"/>
          <w:kern w:val="0"/>
          <w:sz w:val="32"/>
          <w:szCs w:val="32"/>
        </w:rPr>
        <w:t>制</w:t>
      </w:r>
      <w:r>
        <w:rPr>
          <w:rFonts w:ascii="仿宋" w:eastAsia="仿宋" w:cs="仿宋" w:hAnsi="仿宋" w:hint="eastAsia"/>
          <w:color w:val="000000"/>
          <w:kern w:val="0"/>
          <w:sz w:val="32"/>
          <w:szCs w:val="32"/>
          <w:lang w:eastAsia="zh-CN"/>
        </w:rPr>
        <w:t>等工作制度高效有序推动项目征拆工作。</w:t>
      </w:r>
    </w:p>
    <w:p>
      <w:pPr>
        <w:keepNext w:val="0"/>
        <w:keepLines w:val="0"/>
        <w:pageBreakBefore w:val="0"/>
        <w:widowControl w:val="0"/>
        <w:kinsoku/>
        <w:wordWrap/>
        <w:overflowPunct/>
        <w:topLinePunct w:val="0"/>
        <w:autoSpaceDE/>
        <w:bidi w:val="0"/>
        <w:adjustRightInd w:val="0"/>
        <w:snapToGrid w:val="0"/>
        <w:spacing w:line="500" w:lineRule="exact"/>
        <w:ind w:firstLine="720"/>
        <w:textAlignment w:val="auto"/>
        <w:rPr>
          <w:rFonts w:ascii="黑体" w:eastAsia="黑体" w:cs="黑体" w:hAnsi="黑体" w:hint="eastAsia"/>
          <w:sz w:val="32"/>
          <w:szCs w:val="32"/>
        </w:rPr>
      </w:pPr>
      <w:r>
        <w:rPr>
          <w:rFonts w:ascii="黑体" w:eastAsia="黑体" w:cs="黑体" w:hAnsi="黑体" w:hint="eastAsia"/>
          <w:sz w:val="32"/>
          <w:szCs w:val="32"/>
          <w:lang w:eastAsia="zh-CN"/>
        </w:rPr>
        <w:t>二、</w:t>
      </w:r>
      <w:r>
        <w:rPr>
          <w:rFonts w:ascii="黑体" w:eastAsia="黑体" w:cs="黑体" w:hAnsi="黑体" w:hint="eastAsia"/>
          <w:sz w:val="32"/>
          <w:szCs w:val="32"/>
        </w:rPr>
        <w:t>项目资金申报及使用情况</w:t>
      </w:r>
    </w:p>
    <w:p>
      <w:pPr>
        <w:keepNext w:val="0"/>
        <w:keepLines w:val="0"/>
        <w:pageBreakBefore w:val="0"/>
        <w:widowControl w:val="0"/>
        <w:kinsoku/>
        <w:wordWrap/>
        <w:overflowPunct/>
        <w:topLinePunct w:val="0"/>
        <w:autoSpaceDE/>
        <w:bidi w:val="0"/>
        <w:adjustRightInd w:val="0"/>
        <w:snapToGrid w:val="0"/>
        <w:spacing w:line="500" w:lineRule="exact"/>
        <w:ind w:firstLine="720"/>
        <w:textAlignment w:val="auto"/>
        <w:rPr>
          <w:rFonts w:ascii="仿宋" w:eastAsia="仿宋" w:cs="仿宋" w:hAnsi="仿宋" w:hint="eastAsia"/>
          <w:color w:val="FF0000"/>
          <w:sz w:val="32"/>
          <w:szCs w:val="32"/>
        </w:rPr>
      </w:pPr>
      <w:r>
        <w:rPr>
          <w:rFonts w:ascii="仿宋" w:eastAsia="仿宋" w:cs="仿宋" w:hAnsi="仿宋" w:hint="eastAsia"/>
          <w:sz w:val="32"/>
          <w:szCs w:val="32"/>
          <w:lang w:val="en-US" w:eastAsia="zh-CN"/>
        </w:rPr>
        <w:t>征拆资金均专户存储、专款专用，资金使用时均严格按照相关政策文件规定的流程逐一申报使用。鲲鹏小镇项目项目2019年度预算资金700万元，资金足额到位，已完成支付700万元，完成预算100%。</w:t>
      </w:r>
    </w:p>
    <w:p>
      <w:pPr>
        <w:keepNext w:val="0"/>
        <w:keepLines w:val="0"/>
        <w:pageBreakBefore w:val="0"/>
        <w:widowControl w:val="0"/>
        <w:kinsoku/>
        <w:wordWrap/>
        <w:overflowPunct/>
        <w:topLinePunct w:val="0"/>
        <w:autoSpaceDE/>
        <w:bidi w:val="0"/>
        <w:adjustRightInd w:val="0"/>
        <w:snapToGrid w:val="0"/>
        <w:spacing w:line="500" w:lineRule="exact"/>
        <w:ind w:firstLine="720"/>
        <w:textAlignment w:val="auto"/>
        <w:rPr>
          <w:rFonts w:ascii="黑体" w:eastAsia="黑体" w:cs="黑体" w:hAnsi="黑体" w:hint="eastAsia"/>
          <w:sz w:val="32"/>
          <w:szCs w:val="32"/>
          <w:lang w:eastAsia="zh-CN"/>
        </w:rPr>
      </w:pPr>
      <w:r>
        <w:rPr>
          <w:rFonts w:ascii="黑体" w:eastAsia="黑体" w:cs="黑体" w:hAnsi="黑体" w:hint="eastAsia"/>
          <w:sz w:val="32"/>
          <w:szCs w:val="32"/>
          <w:lang w:eastAsia="zh-CN"/>
        </w:rPr>
        <w:t>三、项目实施及管理情况</w:t>
      </w:r>
    </w:p>
    <w:p>
      <w:pPr>
        <w:keepNext w:val="0"/>
        <w:keepLines w:val="0"/>
        <w:pageBreakBefore w:val="0"/>
        <w:widowControl w:val="0"/>
        <w:kinsoku/>
        <w:wordWrap/>
        <w:overflowPunct/>
        <w:topLinePunct w:val="0"/>
        <w:autoSpaceDE/>
        <w:bidi w:val="0"/>
        <w:spacing w:line="500" w:lineRule="exact"/>
        <w:ind w:firstLineChars="200" w:firstLine="640"/>
        <w:jc w:val="left"/>
        <w:textAlignment w:val="auto"/>
        <w:rPr>
          <w:rFonts w:ascii="仿宋" w:eastAsia="仿宋" w:cs="仿宋" w:hAnsi="仿宋" w:hint="eastAsia"/>
          <w:sz w:val="30"/>
          <w:szCs w:val="30"/>
          <w:lang w:val="en-US" w:eastAsia="zh-CN"/>
        </w:rPr>
      </w:pPr>
      <w:r>
        <w:rPr>
          <w:rFonts w:ascii="仿宋" w:eastAsia="仿宋" w:cs="仿宋" w:hAnsi="仿宋" w:hint="eastAsia"/>
          <w:sz w:val="32"/>
          <w:szCs w:val="32"/>
        </w:rPr>
        <w:t>该项目补偿依据参照广府发（2009）10号</w:t>
      </w:r>
      <w:r>
        <w:rPr>
          <w:rFonts w:ascii="仿宋" w:eastAsia="仿宋" w:cs="仿宋" w:hAnsi="仿宋" w:hint="eastAsia"/>
          <w:sz w:val="32"/>
          <w:szCs w:val="32"/>
          <w:lang w:eastAsia="zh-CN"/>
        </w:rPr>
        <w:t>、</w:t>
      </w:r>
      <w:r>
        <w:rPr>
          <w:rFonts w:ascii="仿宋" w:eastAsia="仿宋" w:cs="仿宋" w:hAnsi="仿宋" w:hint="eastAsia"/>
          <w:sz w:val="32"/>
          <w:szCs w:val="32"/>
        </w:rPr>
        <w:t>广府函（2012）115号</w:t>
      </w:r>
      <w:r>
        <w:rPr>
          <w:rFonts w:ascii="仿宋" w:eastAsia="仿宋" w:cs="仿宋" w:hAnsi="仿宋" w:hint="eastAsia"/>
          <w:sz w:val="32"/>
          <w:szCs w:val="32"/>
          <w:lang w:eastAsia="zh-CN"/>
        </w:rPr>
        <w:t>及广府发</w:t>
      </w:r>
      <w:r>
        <w:rPr>
          <w:rFonts w:ascii="仿宋" w:eastAsia="仿宋" w:cs="仿宋" w:hAnsi="仿宋" w:hint="eastAsia"/>
          <w:sz w:val="32"/>
          <w:szCs w:val="32"/>
          <w:lang w:val="en-US" w:eastAsia="zh-CN"/>
        </w:rPr>
        <w:t>[2017]36号</w:t>
      </w:r>
      <w:r>
        <w:rPr>
          <w:rFonts w:ascii="仿宋" w:eastAsia="仿宋" w:cs="仿宋" w:hAnsi="仿宋" w:hint="eastAsia"/>
          <w:sz w:val="32"/>
          <w:szCs w:val="32"/>
        </w:rPr>
        <w:t>文件，</w:t>
      </w:r>
      <w:r>
        <w:rPr>
          <w:rFonts w:ascii="仿宋" w:eastAsia="仿宋" w:cs="仿宋" w:hAnsi="仿宋" w:hint="eastAsia"/>
          <w:sz w:val="32"/>
          <w:szCs w:val="32"/>
          <w:lang w:eastAsia="zh-CN"/>
        </w:rPr>
        <w:t>为</w:t>
      </w:r>
      <w:r>
        <w:rPr>
          <w:rFonts w:ascii="仿宋" w:eastAsia="仿宋" w:cs="仿宋" w:hAnsi="仿宋" w:hint="eastAsia"/>
          <w:sz w:val="32"/>
          <w:szCs w:val="32"/>
        </w:rPr>
        <w:t>保障被拆迁群众的合法利益</w:t>
      </w:r>
      <w:r>
        <w:rPr>
          <w:rFonts w:ascii="仿宋" w:eastAsia="仿宋" w:cs="仿宋" w:hAnsi="仿宋" w:hint="eastAsia"/>
          <w:sz w:val="32"/>
          <w:szCs w:val="32"/>
          <w:lang w:eastAsia="zh-CN"/>
        </w:rPr>
        <w:t>，</w:t>
      </w:r>
      <w:r>
        <w:rPr>
          <w:rFonts w:ascii="仿宋" w:eastAsia="仿宋" w:cs="仿宋" w:hAnsi="仿宋" w:hint="eastAsia"/>
          <w:sz w:val="32"/>
          <w:szCs w:val="32"/>
        </w:rPr>
        <w:t>按照就高不就低的原则进行补偿</w:t>
      </w:r>
      <w:r>
        <w:rPr>
          <w:rFonts w:ascii="仿宋" w:eastAsia="仿宋" w:cs="仿宋" w:hAnsi="仿宋" w:hint="eastAsia"/>
          <w:sz w:val="32"/>
          <w:szCs w:val="32"/>
          <w:lang w:eastAsia="zh-CN"/>
        </w:rPr>
        <w:t>；</w:t>
      </w:r>
      <w:r>
        <w:rPr>
          <w:rFonts w:ascii="仿宋" w:eastAsia="仿宋" w:cs="仿宋" w:hAnsi="仿宋" w:hint="eastAsia"/>
          <w:sz w:val="30"/>
          <w:szCs w:val="30"/>
          <w:lang w:val="en-US" w:eastAsia="zh-CN"/>
        </w:rPr>
        <w:t>为加快推进项目建设，市征拆中心会同龙潭乡党委政府，系统梳理、创新举措，建立重点工作推进“五个一”组织架构，采取统筹推进的方式攻坚克难，严格落实“一项重点工作、一名领导负责、一名中层主抓、一个专班落实、一个微群跟进”的原则，坚持“日通报、周例会、月总结”工作制度，为高效推进“鲲鹏小镇”征拆工作保驾护航。</w:t>
      </w:r>
    </w:p>
    <w:p>
      <w:pPr>
        <w:keepNext w:val="0"/>
        <w:keepLines w:val="0"/>
        <w:pageBreakBefore w:val="0"/>
        <w:widowControl w:val="0"/>
        <w:kinsoku/>
        <w:wordWrap/>
        <w:overflowPunct/>
        <w:topLinePunct w:val="0"/>
        <w:autoSpaceDE/>
        <w:bidi w:val="0"/>
        <w:adjustRightInd w:val="0"/>
        <w:snapToGrid w:val="0"/>
        <w:spacing w:line="500" w:lineRule="exact"/>
        <w:ind w:firstLine="720"/>
        <w:textAlignment w:val="auto"/>
        <w:rPr>
          <w:rFonts w:ascii="黑体" w:eastAsia="黑体" w:cs="黑体" w:hAnsi="黑体" w:hint="eastAsia"/>
          <w:sz w:val="32"/>
          <w:szCs w:val="32"/>
        </w:rPr>
      </w:pPr>
      <w:r>
        <w:rPr>
          <w:rFonts w:ascii="黑体" w:eastAsia="黑体" w:cs="黑体" w:hAnsi="黑体" w:hint="eastAsia"/>
          <w:sz w:val="32"/>
          <w:szCs w:val="32"/>
        </w:rPr>
        <w:t>四、项目绩效情况</w:t>
        <w:tab/>
      </w:r>
    </w:p>
    <w:p>
      <w:pPr>
        <w:keepNext w:val="0"/>
        <w:keepLines w:val="0"/>
        <w:pageBreakBefore w:val="0"/>
        <w:widowControl w:val="0"/>
        <w:kinsoku/>
        <w:wordWrap/>
        <w:overflowPunct/>
        <w:topLinePunct w:val="0"/>
        <w:autoSpaceDE/>
        <w:bidi w:val="0"/>
        <w:adjustRightInd w:val="0"/>
        <w:snapToGrid w:val="0"/>
        <w:spacing w:line="500" w:lineRule="exact"/>
        <w:ind w:firstLine="720"/>
        <w:textAlignment w:val="auto"/>
        <w:rPr>
          <w:rFonts w:ascii="华文楷体" w:eastAsia="华文楷体" w:cs="华文楷体" w:hAnsi="华文楷体" w:hint="eastAsia"/>
          <w:b w:val="0"/>
          <w:bCs w:val="0"/>
          <w:sz w:val="32"/>
          <w:szCs w:val="32"/>
        </w:rPr>
      </w:pPr>
      <w:r>
        <w:rPr>
          <w:rFonts w:ascii="华文楷体" w:eastAsia="华文楷体" w:cs="华文楷体" w:hAnsi="华文楷体" w:hint="eastAsia"/>
          <w:b w:val="0"/>
          <w:bCs w:val="0"/>
          <w:sz w:val="32"/>
          <w:szCs w:val="32"/>
        </w:rPr>
        <w:t>（一）项目完成情况</w:t>
      </w:r>
    </w:p>
    <w:p>
      <w:pPr>
        <w:keepNext w:val="0"/>
        <w:keepLines w:val="0"/>
        <w:pageBreakBefore w:val="0"/>
        <w:widowControl w:val="0"/>
        <w:kinsoku/>
        <w:wordWrap/>
        <w:overflowPunct/>
        <w:topLinePunct w:val="0"/>
        <w:autoSpaceDE/>
        <w:bidi w:val="0"/>
        <w:spacing w:line="500" w:lineRule="exact"/>
        <w:ind w:firstLineChars="200" w:firstLine="640"/>
        <w:textAlignment w:val="auto"/>
        <w:rPr>
          <w:rFonts w:ascii="仿宋" w:eastAsia="仿宋" w:cs="仿宋" w:hAnsi="仿宋" w:hint="eastAsia"/>
          <w:sz w:val="32"/>
          <w:szCs w:val="32"/>
        </w:rPr>
      </w:pPr>
      <w:r>
        <w:rPr>
          <w:rFonts w:ascii="仿宋" w:eastAsia="仿宋" w:cs="仿宋" w:hAnsi="仿宋" w:hint="eastAsia"/>
          <w:sz w:val="32"/>
          <w:szCs w:val="32"/>
        </w:rPr>
        <w:t>按照时间节点按时完成</w:t>
      </w:r>
      <w:r>
        <w:rPr>
          <w:rFonts w:ascii="仿宋" w:eastAsia="仿宋" w:cs="仿宋" w:hAnsi="仿宋" w:hint="eastAsia"/>
          <w:sz w:val="32"/>
          <w:szCs w:val="32"/>
          <w:lang w:eastAsia="zh-CN"/>
        </w:rPr>
        <w:t>项目用地范围内农房拆迁及地面附着物补偿、资金兑付等</w:t>
      </w:r>
      <w:r>
        <w:rPr>
          <w:rFonts w:ascii="仿宋" w:eastAsia="仿宋" w:cs="仿宋" w:hAnsi="仿宋" w:hint="eastAsia"/>
          <w:sz w:val="32"/>
          <w:szCs w:val="32"/>
        </w:rPr>
        <w:t>，保障了项目建设施工，促进了当地经济发展，群众满意度较高。</w:t>
      </w:r>
    </w:p>
    <w:p>
      <w:pPr>
        <w:keepNext w:val="0"/>
        <w:keepLines w:val="0"/>
        <w:pageBreakBefore w:val="0"/>
        <w:widowControl w:val="0"/>
        <w:kinsoku/>
        <w:wordWrap/>
        <w:overflowPunct/>
        <w:topLinePunct w:val="0"/>
        <w:autoSpaceDE/>
        <w:bidi w:val="0"/>
        <w:adjustRightInd w:val="0"/>
        <w:snapToGrid w:val="0"/>
        <w:spacing w:line="500" w:lineRule="exact"/>
        <w:ind w:firstLine="720"/>
        <w:textAlignment w:val="auto"/>
        <w:rPr>
          <w:rFonts w:ascii="黑体" w:eastAsia="黑体" w:cs="黑体" w:hAnsi="黑体" w:hint="eastAsia"/>
          <w:sz w:val="32"/>
          <w:szCs w:val="32"/>
        </w:rPr>
      </w:pPr>
      <w:r>
        <w:rPr>
          <w:rFonts w:ascii="黑体" w:eastAsia="黑体" w:cs="黑体" w:hAnsi="黑体" w:hint="eastAsia"/>
          <w:sz w:val="32"/>
          <w:szCs w:val="32"/>
        </w:rPr>
        <w:t>五、评价结论及建议</w:t>
      </w:r>
    </w:p>
    <w:p>
      <w:pPr>
        <w:keepNext w:val="0"/>
        <w:keepLines w:val="0"/>
        <w:pageBreakBefore w:val="0"/>
        <w:widowControl w:val="0"/>
        <w:kinsoku/>
        <w:wordWrap/>
        <w:overflowPunct/>
        <w:topLinePunct w:val="0"/>
        <w:autoSpaceDE/>
        <w:bidi w:val="0"/>
        <w:adjustRightInd w:val="0"/>
        <w:snapToGrid w:val="0"/>
        <w:spacing w:line="500" w:lineRule="exact"/>
        <w:ind w:firstLine="720"/>
        <w:textAlignment w:val="auto"/>
        <w:rPr>
          <w:rFonts w:ascii="华文楷体" w:eastAsia="华文楷体" w:cs="华文楷体" w:hAnsi="华文楷体" w:hint="eastAsia"/>
          <w:b w:val="0"/>
          <w:bCs w:val="0"/>
          <w:sz w:val="32"/>
          <w:szCs w:val="32"/>
        </w:rPr>
      </w:pPr>
      <w:r>
        <w:rPr>
          <w:rFonts w:ascii="华文楷体" w:eastAsia="华文楷体" w:cs="华文楷体" w:hAnsi="华文楷体" w:hint="eastAsia"/>
          <w:b w:val="0"/>
          <w:bCs w:val="0"/>
          <w:sz w:val="32"/>
          <w:szCs w:val="32"/>
        </w:rPr>
        <w:t>（一）评价结论</w:t>
      </w:r>
    </w:p>
    <w:p>
      <w:pPr>
        <w:keepNext w:val="0"/>
        <w:keepLines w:val="0"/>
        <w:pageBreakBefore w:val="0"/>
        <w:widowControl w:val="0"/>
        <w:kinsoku/>
        <w:wordWrap/>
        <w:overflowPunct/>
        <w:topLinePunct w:val="0"/>
        <w:autoSpaceDE/>
        <w:bidi w:val="0"/>
        <w:adjustRightInd w:val="0"/>
        <w:snapToGrid w:val="0"/>
        <w:spacing w:line="500" w:lineRule="exact"/>
        <w:ind w:firstLineChars="200" w:firstLine="640"/>
        <w:textAlignment w:val="auto"/>
        <w:rPr>
          <w:rFonts w:ascii="仿宋" w:eastAsia="仿宋" w:cs="仿宋" w:hAnsi="仿宋"/>
          <w:sz w:val="32"/>
          <w:szCs w:val="32"/>
          <w:lang w:val="en-US" w:eastAsia="zh-CN"/>
        </w:rPr>
      </w:pPr>
      <w:r>
        <w:rPr>
          <w:rFonts w:ascii="仿宋" w:eastAsia="仿宋" w:cs="仿宋" w:hAnsi="仿宋" w:hint="eastAsia"/>
          <w:sz w:val="32"/>
          <w:szCs w:val="32"/>
          <w:lang w:eastAsia="zh-CN"/>
        </w:rPr>
        <w:t>项目协议签订后，补偿资金及时落实到位。项目区的当地干部及被征地单位和群众能以大局为重，支持项目建设，施工环境相对较好。项目建设临近收尾，征地安置工作尚未完成，存在信访维稳和社会舆论压力。</w:t>
      </w:r>
    </w:p>
    <w:p>
      <w:pPr>
        <w:keepNext w:val="0"/>
        <w:keepLines w:val="0"/>
        <w:pageBreakBefore w:val="0"/>
        <w:widowControl w:val="0"/>
        <w:kinsoku/>
        <w:wordWrap/>
        <w:overflowPunct/>
        <w:topLinePunct w:val="0"/>
        <w:autoSpaceDE/>
        <w:bidi w:val="0"/>
        <w:adjustRightInd w:val="0"/>
        <w:snapToGrid w:val="0"/>
        <w:spacing w:line="500" w:lineRule="exact"/>
        <w:ind w:firstLine="720"/>
        <w:textAlignment w:val="auto"/>
        <w:rPr>
          <w:rFonts w:ascii="华文楷体" w:eastAsia="华文楷体" w:cs="华文楷体" w:hAnsi="华文楷体" w:hint="eastAsia"/>
          <w:b w:val="0"/>
          <w:bCs w:val="0"/>
          <w:sz w:val="32"/>
          <w:szCs w:val="32"/>
        </w:rPr>
      </w:pPr>
      <w:r>
        <w:rPr>
          <w:rFonts w:ascii="华文楷体" w:eastAsia="华文楷体" w:cs="华文楷体" w:hAnsi="华文楷体" w:hint="eastAsia"/>
          <w:b w:val="0"/>
          <w:bCs w:val="0"/>
          <w:sz w:val="32"/>
          <w:szCs w:val="32"/>
        </w:rPr>
        <w:t>（二）存在的问题</w:t>
      </w:r>
    </w:p>
    <w:p>
      <w:pPr>
        <w:keepNext w:val="0"/>
        <w:keepLines w:val="0"/>
        <w:pageBreakBefore w:val="0"/>
        <w:widowControl w:val="0"/>
        <w:shd w:val="solid" w:color="FFFFFF" w:fill="auto"/>
        <w:kinsoku/>
        <w:wordWrap/>
        <w:overflowPunct/>
        <w:topLinePunct w:val="0"/>
        <w:autoSpaceDE/>
        <w:autoSpaceDN w:val="0"/>
        <w:bidi w:val="0"/>
        <w:adjustRightInd/>
        <w:snapToGrid/>
        <w:spacing w:line="500" w:lineRule="exact"/>
        <w:ind w:firstLineChars="200" w:firstLine="600"/>
        <w:textAlignment w:val="auto"/>
        <w:rPr>
          <w:rFonts w:ascii="仿宋" w:eastAsia="仿宋" w:cs="仿宋" w:hAnsi="仿宋" w:hint="eastAsia"/>
          <w:sz w:val="30"/>
          <w:szCs w:val="30"/>
        </w:rPr>
      </w:pPr>
      <w:r>
        <w:rPr>
          <w:rFonts w:ascii="仿宋" w:eastAsia="仿宋" w:cs="仿宋" w:hAnsi="仿宋" w:hint="eastAsia"/>
          <w:sz w:val="30"/>
          <w:szCs w:val="30"/>
        </w:rPr>
        <w:t>个别被拆迁户漫天要价，不愿配合拆迁安置工作，拆迁谈判难度大。</w:t>
      </w:r>
    </w:p>
    <w:p>
      <w:pPr>
        <w:keepNext w:val="0"/>
        <w:keepLines w:val="0"/>
        <w:pageBreakBefore w:val="0"/>
        <w:widowControl w:val="0"/>
        <w:kinsoku/>
        <w:wordWrap/>
        <w:overflowPunct/>
        <w:topLinePunct w:val="0"/>
        <w:autoSpaceDE/>
        <w:bidi w:val="0"/>
        <w:adjustRightInd w:val="0"/>
        <w:snapToGrid w:val="0"/>
        <w:spacing w:line="500" w:lineRule="exact"/>
        <w:ind w:firstLine="720"/>
        <w:textAlignment w:val="auto"/>
        <w:rPr>
          <w:rFonts w:ascii="华文楷体" w:eastAsia="华文楷体" w:cs="华文楷体" w:hAnsi="华文楷体" w:hint="eastAsia"/>
          <w:b w:val="0"/>
          <w:bCs w:val="0"/>
          <w:sz w:val="32"/>
          <w:szCs w:val="32"/>
        </w:rPr>
      </w:pPr>
      <w:r>
        <w:rPr>
          <w:rFonts w:ascii="华文楷体" w:eastAsia="华文楷体" w:cs="华文楷体" w:hAnsi="华文楷体" w:hint="eastAsia"/>
          <w:b w:val="0"/>
          <w:bCs w:val="0"/>
          <w:sz w:val="32"/>
          <w:szCs w:val="32"/>
          <w:lang w:eastAsia="zh-CN"/>
        </w:rPr>
        <w:t>（三）</w:t>
      </w:r>
      <w:r>
        <w:rPr>
          <w:rFonts w:ascii="华文楷体" w:eastAsia="华文楷体" w:cs="华文楷体" w:hAnsi="华文楷体" w:hint="eastAsia"/>
          <w:b w:val="0"/>
          <w:bCs w:val="0"/>
          <w:sz w:val="32"/>
          <w:szCs w:val="32"/>
        </w:rPr>
        <w:t>相关措施建议</w:t>
      </w:r>
    </w:p>
    <w:p>
      <w:pPr>
        <w:keepNext w:val="0"/>
        <w:keepLines w:val="0"/>
        <w:pageBreakBefore w:val="0"/>
        <w:widowControl w:val="0"/>
        <w:kinsoku/>
        <w:wordWrap/>
        <w:overflowPunct/>
        <w:topLinePunct w:val="0"/>
        <w:autoSpaceDE/>
        <w:bidi w:val="0"/>
        <w:spacing w:line="500" w:lineRule="exact"/>
        <w:ind w:firstLineChars="200" w:firstLine="640"/>
        <w:textAlignment w:val="auto"/>
        <w:rPr>
          <w:rFonts w:ascii="仿宋" w:eastAsia="仿宋" w:cs="仿宋" w:hAnsi="仿宋" w:hint="eastAsia"/>
          <w:sz w:val="32"/>
          <w:szCs w:val="32"/>
        </w:rPr>
      </w:pPr>
      <w:r>
        <w:rPr>
          <w:rFonts w:ascii="仿宋" w:eastAsia="仿宋" w:cs="仿宋" w:hAnsi="仿宋" w:hint="eastAsia"/>
          <w:sz w:val="32"/>
          <w:szCs w:val="32"/>
        </w:rPr>
        <w:t>一是加大力度进行政策宣传，做细做详基层工作，保障群众合法权益。</w:t>
      </w:r>
    </w:p>
    <w:p>
      <w:pPr>
        <w:keepNext w:val="0"/>
        <w:keepLines w:val="0"/>
        <w:pageBreakBefore w:val="0"/>
        <w:widowControl w:val="0"/>
        <w:kinsoku/>
        <w:wordWrap/>
        <w:overflowPunct/>
        <w:topLinePunct w:val="0"/>
        <w:autoSpaceDE/>
        <w:bidi w:val="0"/>
        <w:spacing w:line="500" w:lineRule="exact"/>
        <w:ind w:firstLineChars="200" w:firstLine="640"/>
        <w:textAlignment w:val="auto"/>
        <w:rPr>
          <w:rFonts w:ascii="仿宋" w:eastAsia="仿宋" w:cs="仿宋" w:hAnsi="仿宋" w:hint="eastAsia"/>
          <w:color w:val="000000"/>
          <w:kern w:val="0"/>
          <w:sz w:val="32"/>
          <w:szCs w:val="32"/>
          <w:lang w:eastAsia="zh-CN"/>
        </w:rPr>
      </w:pPr>
      <w:r>
        <w:rPr>
          <w:rFonts w:ascii="仿宋" w:eastAsia="仿宋" w:cs="仿宋" w:hAnsi="仿宋" w:hint="eastAsia"/>
          <w:sz w:val="32"/>
          <w:szCs w:val="32"/>
        </w:rPr>
        <w:t>二是</w:t>
      </w:r>
      <w:r>
        <w:rPr>
          <w:rFonts w:ascii="仿宋" w:eastAsia="仿宋" w:cs="仿宋" w:hAnsi="仿宋" w:hint="eastAsia"/>
          <w:color w:val="000000"/>
          <w:kern w:val="0"/>
          <w:sz w:val="32"/>
          <w:szCs w:val="32"/>
        </w:rPr>
        <w:t>坚持公开透明执行征拆政策，创新机制、规范程序，推进依法拆迁</w:t>
      </w:r>
      <w:r>
        <w:rPr>
          <w:rFonts w:ascii="仿宋" w:eastAsia="仿宋" w:cs="仿宋" w:hAnsi="仿宋" w:hint="eastAsia"/>
          <w:color w:val="000000"/>
          <w:kern w:val="0"/>
          <w:sz w:val="32"/>
          <w:szCs w:val="32"/>
          <w:lang w:eastAsia="zh-CN"/>
        </w:rPr>
        <w:t>。</w:t>
      </w:r>
    </w:p>
    <w:p>
      <w:pPr>
        <w:keepNext w:val="0"/>
        <w:keepLines w:val="0"/>
        <w:pageBreakBefore w:val="0"/>
        <w:widowControl w:val="0"/>
        <w:kinsoku/>
        <w:wordWrap/>
        <w:overflowPunct/>
        <w:topLinePunct w:val="0"/>
        <w:autoSpaceDE/>
        <w:bidi w:val="0"/>
        <w:spacing w:line="500" w:lineRule="exact"/>
        <w:ind w:firstLineChars="200" w:firstLine="640"/>
        <w:textAlignment w:val="auto"/>
        <w:rPr>
          <w:rFonts w:ascii="仿宋" w:eastAsia="仿宋" w:cs="仿宋" w:hAnsi="仿宋" w:hint="eastAsia"/>
          <w:sz w:val="32"/>
          <w:szCs w:val="32"/>
        </w:rPr>
      </w:pPr>
      <w:r>
        <w:rPr>
          <w:rFonts w:ascii="仿宋" w:eastAsia="仿宋" w:cs="仿宋" w:hAnsi="仿宋" w:hint="eastAsia"/>
          <w:color w:val="auto"/>
          <w:sz w:val="32"/>
          <w:szCs w:val="32"/>
          <w:lang w:val="en-US" w:eastAsia="zh-CN"/>
        </w:rPr>
        <w:t>三是</w:t>
      </w:r>
      <w:r>
        <w:rPr>
          <w:rFonts w:ascii="仿宋" w:eastAsia="仿宋" w:cs="仿宋" w:hAnsi="仿宋" w:hint="eastAsia"/>
          <w:sz w:val="32"/>
          <w:szCs w:val="32"/>
        </w:rPr>
        <w:t>加强各部门协调沟通，</w:t>
      </w:r>
      <w:r>
        <w:rPr>
          <w:rFonts w:ascii="仿宋" w:eastAsia="仿宋" w:cs="仿宋" w:hAnsi="仿宋" w:hint="eastAsia"/>
          <w:kern w:val="0"/>
          <w:sz w:val="30"/>
          <w:szCs w:val="30"/>
          <w:lang w:eastAsia="zh-CN"/>
        </w:rPr>
        <w:t>结合工作职能，高效有序推进项目工作。</w:t>
      </w:r>
    </w:p>
    <w:p>
      <w:pPr>
        <w:rPr>
          <w:rFonts w:ascii="方正小标宋简体" w:eastAsia="方正小标宋简体" w:cs="方正小标宋简体" w:hAnsi="方正小标宋简体" w:hint="eastAsia"/>
          <w:color w:val="000000"/>
          <w:kern w:val="0"/>
          <w:sz w:val="44"/>
          <w:szCs w:val="44"/>
          <w:lang w:eastAsia="zh-CN"/>
        </w:rPr>
      </w:pPr>
      <w:r>
        <w:rPr>
          <w:rFonts w:ascii="方正小标宋简体" w:eastAsia="方正小标宋简体" w:cs="方正小标宋简体" w:hAnsi="方正小标宋简体" w:hint="eastAsia"/>
          <w:color w:val="000000"/>
          <w:kern w:val="0"/>
          <w:sz w:val="44"/>
          <w:szCs w:val="44"/>
          <w:lang w:eastAsia="zh-CN"/>
        </w:rPr>
        <w:br w:type="page"/>
      </w:r>
    </w:p>
    <w:p>
      <w:pPr>
        <w:keepNext w:val="0"/>
        <w:keepLines w:val="0"/>
        <w:pageBreakBefore w:val="0"/>
        <w:widowControl w:val="0"/>
        <w:kinsoku/>
        <w:wordWrap/>
        <w:overflowPunct/>
        <w:topLinePunct w:val="0"/>
        <w:bidi w:val="0"/>
        <w:spacing w:line="576" w:lineRule="exact"/>
        <w:jc w:val="center"/>
        <w:textAlignment w:val="auto"/>
        <w:rPr>
          <w:rFonts w:ascii="方正小标宋简体" w:eastAsia="方正小标宋简体" w:cs="方正小标宋简体" w:hAnsi="方正小标宋简体" w:hint="eastAsia"/>
          <w:color w:val="000000"/>
          <w:kern w:val="0"/>
          <w:sz w:val="44"/>
          <w:szCs w:val="44"/>
          <w:lang w:eastAsia="zh-CN"/>
        </w:rPr>
      </w:pPr>
      <w:r>
        <w:rPr>
          <w:rFonts w:ascii="方正小标宋简体" w:eastAsia="方正小标宋简体" w:cs="方正小标宋简体" w:hAnsi="方正小标宋简体" w:hint="eastAsia"/>
          <w:color w:val="000000"/>
          <w:kern w:val="0"/>
          <w:sz w:val="44"/>
          <w:szCs w:val="44"/>
          <w:lang w:eastAsia="zh-CN"/>
        </w:rPr>
        <w:t>三金土地项目2019年绩效评价报告</w:t>
      </w:r>
    </w:p>
    <w:p>
      <w:pPr>
        <w:keepNext w:val="0"/>
        <w:keepLines w:val="0"/>
        <w:pageBreakBefore w:val="0"/>
        <w:widowControl w:val="0"/>
        <w:kinsoku/>
        <w:wordWrap/>
        <w:overflowPunct/>
        <w:topLinePunct w:val="0"/>
        <w:bidi w:val="0"/>
        <w:spacing w:line="576" w:lineRule="exact"/>
        <w:textAlignment w:val="auto"/>
        <w:rPr>
          <w:rFonts w:ascii="宋体" w:hAnsi="宋体"/>
          <w:sz w:val="32"/>
          <w:szCs w:val="32"/>
        </w:rPr>
      </w:pPr>
      <w:r>
        <w:rPr>
          <w:rFonts w:ascii="宋体" w:hAnsi="宋体" w:hint="eastAsia"/>
          <w:sz w:val="32"/>
          <w:szCs w:val="32"/>
        </w:rPr>
        <w:t xml:space="preserve"> </w:t>
      </w:r>
    </w:p>
    <w:p>
      <w:pPr>
        <w:keepNext w:val="0"/>
        <w:keepLines w:val="0"/>
        <w:pageBreakBefore w:val="0"/>
        <w:widowControl w:val="0"/>
        <w:kinsoku/>
        <w:wordWrap/>
        <w:overflowPunct/>
        <w:topLinePunct w:val="0"/>
        <w:bidi w:val="0"/>
        <w:adjustRightInd w:val="0"/>
        <w:snapToGrid w:val="0"/>
        <w:spacing w:line="576" w:lineRule="exact"/>
        <w:ind w:firstLine="720"/>
        <w:textAlignment w:val="auto"/>
        <w:rPr>
          <w:rFonts w:ascii="黑体" w:eastAsia="黑体" w:hAnsi="宋体" w:hint="eastAsia"/>
          <w:sz w:val="32"/>
          <w:szCs w:val="32"/>
        </w:rPr>
      </w:pPr>
      <w:r>
        <w:rPr>
          <w:rFonts w:ascii="黑体" w:eastAsia="黑体" w:hAnsi="黑体" w:hint="eastAsia"/>
          <w:sz w:val="32"/>
          <w:szCs w:val="32"/>
        </w:rPr>
        <w:t>一、项目概况</w:t>
      </w:r>
    </w:p>
    <w:p>
      <w:pPr>
        <w:keepNext w:val="0"/>
        <w:keepLines w:val="0"/>
        <w:pageBreakBefore w:val="0"/>
        <w:widowControl w:val="0"/>
        <w:kinsoku/>
        <w:wordWrap/>
        <w:overflowPunct/>
        <w:topLinePunct w:val="0"/>
        <w:bidi w:val="0"/>
        <w:adjustRightInd w:val="0"/>
        <w:snapToGrid w:val="0"/>
        <w:spacing w:line="576" w:lineRule="exact"/>
        <w:ind w:firstLine="720"/>
        <w:textAlignment w:val="auto"/>
        <w:rPr>
          <w:rFonts w:ascii="华文楷体" w:eastAsia="华文楷体" w:cs="华文楷体" w:hAnsi="华文楷体" w:hint="eastAsia"/>
          <w:b w:val="0"/>
          <w:bCs w:val="0"/>
          <w:sz w:val="32"/>
          <w:szCs w:val="32"/>
        </w:rPr>
      </w:pPr>
      <w:r>
        <w:rPr>
          <w:rFonts w:ascii="华文楷体" w:eastAsia="华文楷体" w:cs="华文楷体" w:hAnsi="华文楷体" w:hint="eastAsia"/>
          <w:b w:val="0"/>
          <w:bCs w:val="0"/>
          <w:sz w:val="32"/>
          <w:szCs w:val="32"/>
        </w:rPr>
        <w:t>（一）项目基本情况</w:t>
      </w:r>
    </w:p>
    <w:p>
      <w:pPr>
        <w:keepNext w:val="0"/>
        <w:keepLines w:val="0"/>
        <w:pageBreakBefore w:val="0"/>
        <w:widowControl w:val="0"/>
        <w:kinsoku/>
        <w:wordWrap/>
        <w:overflowPunct/>
        <w:topLinePunct w:val="0"/>
        <w:bidi w:val="0"/>
        <w:adjustRightInd w:val="0"/>
        <w:snapToGrid w:val="0"/>
        <w:spacing w:line="576" w:lineRule="exact"/>
        <w:ind w:firstLine="720"/>
        <w:textAlignment w:val="auto"/>
        <w:rPr>
          <w:rFonts w:ascii="仿宋" w:eastAsia="仿宋" w:cs="仿宋_GB2312" w:hAnsi="仿宋" w:hint="eastAsia"/>
          <w:sz w:val="32"/>
          <w:szCs w:val="32"/>
        </w:rPr>
      </w:pPr>
      <w:r>
        <w:rPr>
          <w:rFonts w:ascii="仿宋" w:eastAsia="仿宋" w:cs="仿宋_GB2312" w:hAnsi="仿宋" w:hint="eastAsia"/>
          <w:sz w:val="32"/>
          <w:szCs w:val="32"/>
        </w:rPr>
        <w:t>该项目作为城市建设项目，地处交通便利、经济发展覆盖圈,地处利州区东坝办事处电子路北延线以东、081电子集团有限公司以北、四川信息职工技术学校以西。该项目于2012年启动，因资金未及时保障到位，导致项目拆迁工作暂停。根据区政府领导工作安排2019年3月重新启动该项目，项目于2019年10月完成了项目上涉及地上房屋及附着物征拆补偿工作，并及时兑付补偿资金，人员安置资格审核工作正在落实中。</w:t>
      </w:r>
    </w:p>
    <w:p>
      <w:pPr>
        <w:keepNext w:val="0"/>
        <w:keepLines w:val="0"/>
        <w:pageBreakBefore w:val="0"/>
        <w:widowControl w:val="0"/>
        <w:kinsoku/>
        <w:wordWrap/>
        <w:overflowPunct/>
        <w:topLinePunct w:val="0"/>
        <w:bidi w:val="0"/>
        <w:adjustRightInd w:val="0"/>
        <w:snapToGrid w:val="0"/>
        <w:spacing w:line="576" w:lineRule="exact"/>
        <w:ind w:firstLine="720"/>
        <w:textAlignment w:val="auto"/>
        <w:rPr>
          <w:rFonts w:ascii="华文楷体" w:eastAsia="华文楷体" w:cs="华文楷体" w:hAnsi="华文楷体" w:hint="eastAsia"/>
          <w:b w:val="0"/>
          <w:bCs w:val="0"/>
          <w:sz w:val="32"/>
          <w:szCs w:val="32"/>
        </w:rPr>
      </w:pPr>
      <w:r>
        <w:rPr>
          <w:rFonts w:ascii="华文楷体" w:eastAsia="华文楷体" w:cs="华文楷体" w:hAnsi="华文楷体" w:hint="eastAsia"/>
          <w:b w:val="0"/>
          <w:bCs w:val="0"/>
          <w:sz w:val="32"/>
          <w:szCs w:val="32"/>
        </w:rPr>
        <w:t>（二）项目绩效目标</w:t>
      </w:r>
    </w:p>
    <w:p>
      <w:pPr>
        <w:keepNext w:val="0"/>
        <w:keepLines w:val="0"/>
        <w:pageBreakBefore w:val="0"/>
        <w:widowControl w:val="0"/>
        <w:kinsoku/>
        <w:wordWrap/>
        <w:overflowPunct/>
        <w:topLinePunct w:val="0"/>
        <w:bidi w:val="0"/>
        <w:adjustRightInd w:val="0"/>
        <w:snapToGrid w:val="0"/>
        <w:spacing w:line="576" w:lineRule="exact"/>
        <w:ind w:firstLine="720"/>
        <w:textAlignment w:val="auto"/>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该项目涉及莲花池社区一组集体土地56.4亩，农房22栋68户，企业搬迁21家，坟茔搬迁18座，农转非45人</w:t>
      </w:r>
      <w:r>
        <w:rPr>
          <w:rFonts w:ascii="仿宋" w:eastAsia="仿宋" w:hAnsi="仿宋"/>
          <w:sz w:val="32"/>
          <w:szCs w:val="32"/>
        </w:rPr>
        <w:t>。</w:t>
      </w:r>
    </w:p>
    <w:p>
      <w:pPr>
        <w:keepNext w:val="0"/>
        <w:keepLines w:val="0"/>
        <w:pageBreakBefore w:val="0"/>
        <w:widowControl w:val="0"/>
        <w:kinsoku/>
        <w:wordWrap/>
        <w:overflowPunct/>
        <w:topLinePunct w:val="0"/>
        <w:bidi w:val="0"/>
        <w:spacing w:line="576" w:lineRule="exact"/>
        <w:ind w:firstLineChars="200" w:firstLine="640"/>
        <w:textAlignment w:val="auto"/>
        <w:rPr>
          <w:rFonts w:ascii="仿宋" w:eastAsia="仿宋" w:cs="仿宋_GB2312" w:hAnsi="仿宋"/>
          <w:sz w:val="32"/>
          <w:szCs w:val="32"/>
        </w:rPr>
      </w:pPr>
      <w:r>
        <w:rPr>
          <w:rFonts w:ascii="仿宋" w:eastAsia="仿宋" w:hAnsi="仿宋"/>
          <w:sz w:val="32"/>
          <w:szCs w:val="32"/>
        </w:rPr>
        <w:t>2．</w:t>
      </w:r>
      <w:r>
        <w:rPr>
          <w:rFonts w:ascii="仿宋" w:eastAsia="仿宋" w:cs="仿宋_GB2312" w:hAnsi="仿宋" w:hint="eastAsia"/>
          <w:sz w:val="32"/>
          <w:szCs w:val="32"/>
        </w:rPr>
        <w:t>项目按照时间节点按时完成，于2019年10月已全面完成，对项目涉及的房屋及附属物、地面附着物补偿工作逐步落实到位，保障了项目建设施工，确保施工建设全面完成，促进了当地经济发展，群众满意度较高。</w:t>
      </w:r>
    </w:p>
    <w:p>
      <w:pPr>
        <w:keepNext w:val="0"/>
        <w:keepLines w:val="0"/>
        <w:pageBreakBefore w:val="0"/>
        <w:widowControl w:val="0"/>
        <w:kinsoku/>
        <w:wordWrap/>
        <w:overflowPunct/>
        <w:topLinePunct w:val="0"/>
        <w:bidi w:val="0"/>
        <w:adjustRightInd w:val="0"/>
        <w:snapToGrid w:val="0"/>
        <w:spacing w:line="576" w:lineRule="exact"/>
        <w:ind w:firstLine="720"/>
        <w:textAlignment w:val="auto"/>
        <w:rPr>
          <w:rFonts w:ascii="黑体" w:eastAsia="黑体" w:hAnsi="黑体" w:hint="eastAsia"/>
          <w:sz w:val="32"/>
          <w:szCs w:val="32"/>
        </w:rPr>
      </w:pPr>
      <w:r>
        <w:rPr>
          <w:rFonts w:ascii="黑体" w:eastAsia="黑体" w:hAnsi="黑体" w:hint="eastAsia"/>
          <w:sz w:val="32"/>
          <w:szCs w:val="32"/>
        </w:rPr>
        <w:t>二、项目资金申报及使用情况</w:t>
      </w:r>
    </w:p>
    <w:p>
      <w:pPr>
        <w:keepNext w:val="0"/>
        <w:keepLines w:val="0"/>
        <w:pageBreakBefore w:val="0"/>
        <w:widowControl w:val="0"/>
        <w:kinsoku/>
        <w:wordWrap/>
        <w:overflowPunct/>
        <w:topLinePunct w:val="0"/>
        <w:bidi w:val="0"/>
        <w:adjustRightInd w:val="0"/>
        <w:snapToGrid w:val="0"/>
        <w:spacing w:line="576" w:lineRule="exact"/>
        <w:ind w:firstLine="720"/>
        <w:textAlignment w:val="auto"/>
        <w:rPr>
          <w:rFonts w:ascii="黑体" w:eastAsia="黑体" w:hAnsi="黑体" w:hint="eastAsia"/>
          <w:sz w:val="32"/>
          <w:szCs w:val="32"/>
        </w:rPr>
      </w:pPr>
      <w:r>
        <w:rPr>
          <w:rFonts w:ascii="仿宋" w:eastAsia="仿宋" w:cs="仿宋" w:hAnsi="仿宋" w:hint="eastAsia"/>
          <w:sz w:val="32"/>
          <w:szCs w:val="32"/>
          <w:lang w:val="en-US" w:eastAsia="zh-CN"/>
        </w:rPr>
        <w:t>征拆资金均专户存储、专款专用，资金使用时均严格按照相关政策文件规定的流程逐一申报使用。三金项目项目2019年度预算资金4000万元，资金足额到位，已完成支付4000万元，完成预算100%。</w:t>
      </w:r>
    </w:p>
    <w:p>
      <w:pPr>
        <w:keepNext w:val="0"/>
        <w:keepLines w:val="0"/>
        <w:pageBreakBefore w:val="0"/>
        <w:widowControl w:val="0"/>
        <w:kinsoku/>
        <w:wordWrap/>
        <w:overflowPunct/>
        <w:topLinePunct w:val="0"/>
        <w:bidi w:val="0"/>
        <w:adjustRightInd w:val="0"/>
        <w:snapToGrid w:val="0"/>
        <w:spacing w:line="576" w:lineRule="exact"/>
        <w:ind w:firstLine="720"/>
        <w:textAlignment w:val="auto"/>
        <w:rPr>
          <w:rFonts w:ascii="黑体" w:eastAsia="黑体" w:hAnsi="宋体"/>
          <w:sz w:val="32"/>
          <w:szCs w:val="32"/>
        </w:rPr>
      </w:pPr>
      <w:r>
        <w:rPr>
          <w:rFonts w:ascii="黑体" w:eastAsia="黑体" w:hAnsi="黑体" w:hint="eastAsia"/>
          <w:sz w:val="32"/>
          <w:szCs w:val="32"/>
        </w:rPr>
        <w:t>三、项目实施及管理情况</w:t>
      </w:r>
    </w:p>
    <w:p>
      <w:pPr>
        <w:keepNext w:val="0"/>
        <w:keepLines w:val="0"/>
        <w:pageBreakBefore w:val="0"/>
        <w:widowControl w:val="0"/>
        <w:kinsoku/>
        <w:wordWrap/>
        <w:overflowPunct/>
        <w:topLinePunct w:val="0"/>
        <w:bidi w:val="0"/>
        <w:adjustRightInd w:val="0"/>
        <w:snapToGrid w:val="0"/>
        <w:spacing w:line="576" w:lineRule="exact"/>
        <w:ind w:firstLine="720"/>
        <w:textAlignment w:val="auto"/>
        <w:rPr>
          <w:rFonts w:ascii="华文楷体" w:eastAsia="华文楷体" w:cs="华文楷体" w:hAnsi="华文楷体" w:hint="eastAsia"/>
          <w:b w:val="0"/>
          <w:bCs w:val="0"/>
          <w:sz w:val="32"/>
          <w:szCs w:val="32"/>
        </w:rPr>
      </w:pPr>
      <w:r>
        <w:rPr>
          <w:rFonts w:ascii="华文楷体" w:eastAsia="华文楷体" w:cs="华文楷体" w:hAnsi="华文楷体" w:hint="eastAsia"/>
          <w:b w:val="0"/>
          <w:bCs w:val="0"/>
          <w:sz w:val="32"/>
          <w:szCs w:val="32"/>
        </w:rPr>
        <w:t>（一）项目组织架构及实施流程</w:t>
      </w:r>
    </w:p>
    <w:p>
      <w:pPr>
        <w:keepNext w:val="0"/>
        <w:keepLines w:val="0"/>
        <w:pageBreakBefore w:val="0"/>
        <w:widowControl w:val="0"/>
        <w:kinsoku/>
        <w:wordWrap/>
        <w:overflowPunct/>
        <w:topLinePunct w:val="0"/>
        <w:bidi w:val="0"/>
        <w:spacing w:line="576" w:lineRule="exact"/>
        <w:ind w:firstLineChars="200" w:firstLine="640"/>
        <w:textAlignment w:val="auto"/>
        <w:rPr>
          <w:rFonts w:ascii="仿宋" w:eastAsia="仿宋" w:cs="仿宋_GB2312" w:hAnsi="仿宋" w:hint="eastAsia"/>
          <w:sz w:val="32"/>
          <w:szCs w:val="32"/>
        </w:rPr>
      </w:pPr>
      <w:r>
        <w:rPr>
          <w:rFonts w:ascii="仿宋" w:eastAsia="仿宋" w:cs="仿宋_GB2312" w:hAnsi="仿宋" w:hint="eastAsia"/>
          <w:sz w:val="32"/>
          <w:szCs w:val="32"/>
        </w:rPr>
        <w:t>该项目补偿依据参照广府发（2009）10号</w:t>
      </w:r>
      <w:r>
        <w:rPr>
          <w:rFonts w:ascii="仿宋" w:eastAsia="仿宋" w:cs="仿宋_GB2312" w:hAnsi="仿宋" w:hint="eastAsia"/>
          <w:sz w:val="32"/>
          <w:szCs w:val="32"/>
          <w:lang w:eastAsia="zh-CN"/>
        </w:rPr>
        <w:t>、</w:t>
      </w:r>
      <w:r>
        <w:rPr>
          <w:rFonts w:ascii="仿宋" w:eastAsia="仿宋" w:cs="仿宋_GB2312" w:hAnsi="仿宋" w:hint="eastAsia"/>
          <w:sz w:val="32"/>
          <w:szCs w:val="32"/>
        </w:rPr>
        <w:t>广府函（2012）115号</w:t>
      </w:r>
      <w:r>
        <w:rPr>
          <w:rFonts w:ascii="仿宋" w:eastAsia="仿宋" w:cs="仿宋_GB2312" w:hAnsi="仿宋" w:hint="eastAsia"/>
          <w:sz w:val="32"/>
          <w:szCs w:val="32"/>
          <w:lang w:eastAsia="zh-CN"/>
        </w:rPr>
        <w:t>、</w:t>
      </w:r>
      <w:r>
        <w:rPr>
          <w:rFonts w:ascii="仿宋" w:eastAsia="仿宋" w:cs="仿宋_GB2312" w:hAnsi="仿宋" w:hint="eastAsia"/>
          <w:sz w:val="32"/>
          <w:szCs w:val="32"/>
        </w:rPr>
        <w:t>广府发（2017）36号文件，结合当地市场行情，按照就高不就低的原则进行补偿，保障了被拆迁群众的合法利益。</w:t>
      </w:r>
    </w:p>
    <w:p>
      <w:pPr>
        <w:keepNext w:val="0"/>
        <w:keepLines w:val="0"/>
        <w:pageBreakBefore w:val="0"/>
        <w:widowControl w:val="0"/>
        <w:kinsoku/>
        <w:wordWrap/>
        <w:overflowPunct/>
        <w:topLinePunct w:val="0"/>
        <w:bidi w:val="0"/>
        <w:spacing w:line="576" w:lineRule="exact"/>
        <w:ind w:firstLineChars="200" w:firstLine="640"/>
        <w:textAlignment w:val="auto"/>
        <w:rPr>
          <w:rFonts w:ascii="仿宋" w:eastAsia="仿宋" w:cs="仿宋_GB2312" w:hAnsi="仿宋" w:hint="eastAsia"/>
          <w:sz w:val="32"/>
          <w:szCs w:val="32"/>
        </w:rPr>
      </w:pPr>
      <w:r>
        <w:rPr>
          <w:rFonts w:ascii="仿宋" w:eastAsia="仿宋" w:cs="仿宋_GB2312" w:hAnsi="仿宋" w:hint="eastAsia"/>
          <w:sz w:val="32"/>
          <w:szCs w:val="32"/>
        </w:rPr>
        <w:t>项目实施初期，为保障项目建设施工进度，按照倒排工期进行工作开展，对既定目标逐步落实完成，按照房屋-地面附着物-安置工作的模式，确保项目稳定高效推进。</w:t>
      </w:r>
    </w:p>
    <w:p>
      <w:pPr>
        <w:keepNext w:val="0"/>
        <w:keepLines w:val="0"/>
        <w:pageBreakBefore w:val="0"/>
        <w:widowControl w:val="0"/>
        <w:kinsoku/>
        <w:wordWrap/>
        <w:overflowPunct/>
        <w:topLinePunct w:val="0"/>
        <w:bidi w:val="0"/>
        <w:adjustRightInd w:val="0"/>
        <w:snapToGrid w:val="0"/>
        <w:spacing w:line="576" w:lineRule="exact"/>
        <w:ind w:firstLine="720"/>
        <w:textAlignment w:val="auto"/>
        <w:rPr>
          <w:rFonts w:ascii="华文楷体" w:eastAsia="华文楷体" w:cs="华文楷体" w:hAnsi="华文楷体" w:hint="eastAsia"/>
          <w:b w:val="0"/>
          <w:bCs w:val="0"/>
          <w:sz w:val="32"/>
          <w:szCs w:val="32"/>
        </w:rPr>
      </w:pPr>
      <w:r>
        <w:rPr>
          <w:rFonts w:ascii="华文楷体" w:eastAsia="华文楷体" w:cs="华文楷体" w:hAnsi="华文楷体" w:hint="eastAsia"/>
          <w:b w:val="0"/>
          <w:bCs w:val="0"/>
          <w:sz w:val="32"/>
          <w:szCs w:val="32"/>
        </w:rPr>
        <w:t>（二）项目管理情况</w:t>
      </w:r>
    </w:p>
    <w:p>
      <w:pPr>
        <w:keepNext w:val="0"/>
        <w:keepLines w:val="0"/>
        <w:pageBreakBefore w:val="0"/>
        <w:widowControl w:val="0"/>
        <w:kinsoku/>
        <w:wordWrap/>
        <w:overflowPunct/>
        <w:topLinePunct w:val="0"/>
        <w:bidi w:val="0"/>
        <w:spacing w:line="576" w:lineRule="exact"/>
        <w:ind w:firstLineChars="200" w:firstLine="640"/>
        <w:textAlignment w:val="auto"/>
        <w:rPr>
          <w:rFonts w:ascii="仿宋" w:eastAsia="仿宋" w:cs="仿宋_GB2312" w:hAnsi="仿宋" w:hint="eastAsia"/>
          <w:sz w:val="32"/>
          <w:szCs w:val="32"/>
        </w:rPr>
      </w:pPr>
      <w:r>
        <w:rPr>
          <w:rFonts w:ascii="仿宋" w:eastAsia="仿宋" w:cs="仿宋_GB2312" w:hAnsi="仿宋" w:hint="eastAsia"/>
          <w:sz w:val="32"/>
          <w:szCs w:val="32"/>
        </w:rPr>
        <w:t>资金重点保障直接成本（房屋及地面附着物补偿费、拆迁安置人员安置费、农转非及社保费），确保被拆迁群众有房住、有生活保障。</w:t>
      </w:r>
    </w:p>
    <w:p>
      <w:pPr>
        <w:keepNext w:val="0"/>
        <w:keepLines w:val="0"/>
        <w:pageBreakBefore w:val="0"/>
        <w:widowControl w:val="0"/>
        <w:kinsoku/>
        <w:wordWrap/>
        <w:overflowPunct/>
        <w:topLinePunct w:val="0"/>
        <w:bidi w:val="0"/>
        <w:spacing w:line="576" w:lineRule="exact"/>
        <w:ind w:firstLineChars="200" w:firstLine="640"/>
        <w:textAlignment w:val="auto"/>
        <w:rPr>
          <w:rFonts w:ascii="仿宋" w:eastAsia="仿宋" w:cs="仿宋_GB2312" w:hAnsi="仿宋"/>
          <w:sz w:val="32"/>
          <w:szCs w:val="32"/>
        </w:rPr>
      </w:pPr>
      <w:r>
        <w:rPr>
          <w:rFonts w:ascii="仿宋" w:eastAsia="仿宋" w:cs="仿宋_GB2312" w:hAnsi="仿宋" w:hint="eastAsia"/>
          <w:sz w:val="32"/>
          <w:szCs w:val="32"/>
        </w:rPr>
        <w:t>项目资金按照科学规范的原则使用资金，按照分类目录逐一兑付资金，做到专款专用。</w:t>
      </w:r>
    </w:p>
    <w:p>
      <w:pPr>
        <w:keepNext w:val="0"/>
        <w:keepLines w:val="0"/>
        <w:pageBreakBefore w:val="0"/>
        <w:widowControl w:val="0"/>
        <w:kinsoku/>
        <w:wordWrap/>
        <w:overflowPunct/>
        <w:topLinePunct w:val="0"/>
        <w:bidi w:val="0"/>
        <w:adjustRightInd w:val="0"/>
        <w:snapToGrid w:val="0"/>
        <w:spacing w:line="576" w:lineRule="exact"/>
        <w:ind w:firstLine="720"/>
        <w:textAlignment w:val="auto"/>
        <w:rPr>
          <w:rFonts w:ascii="仿宋_GB2312" w:hAnsi="宋体"/>
          <w:sz w:val="32"/>
          <w:szCs w:val="32"/>
        </w:rPr>
      </w:pPr>
      <w:r>
        <w:rPr>
          <w:rFonts w:ascii="黑体" w:eastAsia="黑体" w:hAnsi="黑体" w:hint="eastAsia"/>
          <w:sz w:val="32"/>
          <w:szCs w:val="32"/>
        </w:rPr>
        <w:t>四、项目绩效情况</w:t>
      </w:r>
      <w:r>
        <w:rPr>
          <w:rFonts w:ascii="仿宋_GB2312" w:hAnsi="宋体"/>
          <w:sz w:val="32"/>
          <w:szCs w:val="32"/>
        </w:rPr>
        <w:tab/>
      </w:r>
    </w:p>
    <w:p>
      <w:pPr>
        <w:keepNext w:val="0"/>
        <w:keepLines w:val="0"/>
        <w:pageBreakBefore w:val="0"/>
        <w:widowControl w:val="0"/>
        <w:kinsoku/>
        <w:wordWrap/>
        <w:overflowPunct/>
        <w:topLinePunct w:val="0"/>
        <w:bidi w:val="0"/>
        <w:spacing w:line="576" w:lineRule="exact"/>
        <w:ind w:firstLineChars="200" w:firstLine="640"/>
        <w:textAlignment w:val="auto"/>
        <w:rPr>
          <w:rFonts w:ascii="仿宋" w:eastAsia="仿宋" w:cs="仿宋_GB2312" w:hAnsi="仿宋" w:hint="eastAsia"/>
          <w:sz w:val="32"/>
          <w:szCs w:val="32"/>
        </w:rPr>
      </w:pPr>
      <w:r>
        <w:rPr>
          <w:rFonts w:ascii="仿宋" w:eastAsia="仿宋" w:cs="仿宋_GB2312" w:hAnsi="仿宋" w:hint="eastAsia"/>
          <w:sz w:val="32"/>
          <w:szCs w:val="32"/>
        </w:rPr>
        <w:t>项目按照时间节点按时完成，于2019年底已全面完成，对项目涉及的房屋及附属物、地面附着物补偿工作逐步落实到位，保障了项目建设施工，确保施工建设全面完成，促进了当地经济发展，群众满意度较高。</w:t>
      </w:r>
    </w:p>
    <w:p>
      <w:pPr>
        <w:keepNext w:val="0"/>
        <w:keepLines w:val="0"/>
        <w:pageBreakBefore w:val="0"/>
        <w:widowControl w:val="0"/>
        <w:kinsoku/>
        <w:wordWrap/>
        <w:overflowPunct/>
        <w:topLinePunct w:val="0"/>
        <w:bidi w:val="0"/>
        <w:adjustRightInd w:val="0"/>
        <w:snapToGrid w:val="0"/>
        <w:spacing w:line="576" w:lineRule="exact"/>
        <w:ind w:firstLine="720"/>
        <w:textAlignment w:val="auto"/>
        <w:rPr>
          <w:rFonts w:ascii="黑体" w:eastAsia="黑体" w:hAnsi="宋体"/>
          <w:sz w:val="32"/>
          <w:szCs w:val="32"/>
        </w:rPr>
      </w:pPr>
      <w:r>
        <w:rPr>
          <w:rFonts w:ascii="黑体" w:eastAsia="黑体" w:hAnsi="黑体" w:hint="eastAsia"/>
          <w:sz w:val="32"/>
          <w:szCs w:val="32"/>
        </w:rPr>
        <w:t>五、评价结论及建议</w:t>
      </w:r>
    </w:p>
    <w:p>
      <w:pPr>
        <w:keepNext w:val="0"/>
        <w:keepLines w:val="0"/>
        <w:pageBreakBefore w:val="0"/>
        <w:widowControl w:val="0"/>
        <w:kinsoku/>
        <w:wordWrap/>
        <w:overflowPunct/>
        <w:topLinePunct w:val="0"/>
        <w:bidi w:val="0"/>
        <w:adjustRightInd w:val="0"/>
        <w:snapToGrid w:val="0"/>
        <w:spacing w:line="576" w:lineRule="exact"/>
        <w:ind w:firstLine="720"/>
        <w:textAlignment w:val="auto"/>
        <w:rPr>
          <w:rFonts w:ascii="华文楷体" w:eastAsia="华文楷体" w:cs="华文楷体" w:hAnsi="华文楷体" w:hint="eastAsia"/>
          <w:b w:val="0"/>
          <w:bCs w:val="0"/>
          <w:sz w:val="32"/>
          <w:szCs w:val="32"/>
        </w:rPr>
      </w:pPr>
      <w:r>
        <w:rPr>
          <w:rFonts w:ascii="华文楷体" w:eastAsia="华文楷体" w:cs="华文楷体" w:hAnsi="华文楷体" w:hint="eastAsia"/>
          <w:b w:val="0"/>
          <w:bCs w:val="0"/>
          <w:sz w:val="32"/>
          <w:szCs w:val="32"/>
        </w:rPr>
        <w:t>（一）评价结论</w:t>
      </w:r>
    </w:p>
    <w:p>
      <w:pPr>
        <w:keepNext w:val="0"/>
        <w:keepLines w:val="0"/>
        <w:pageBreakBefore w:val="0"/>
        <w:widowControl w:val="0"/>
        <w:kinsoku/>
        <w:wordWrap/>
        <w:overflowPunct/>
        <w:topLinePunct w:val="0"/>
        <w:bidi w:val="0"/>
        <w:spacing w:line="576" w:lineRule="exact"/>
        <w:ind w:firstLineChars="200" w:firstLine="640"/>
        <w:textAlignment w:val="auto"/>
        <w:rPr>
          <w:rFonts w:ascii="仿宋" w:eastAsia="仿宋" w:cs="仿宋_GB2312" w:hAnsi="仿宋" w:hint="eastAsia"/>
          <w:sz w:val="32"/>
          <w:szCs w:val="32"/>
        </w:rPr>
      </w:pPr>
      <w:r>
        <w:rPr>
          <w:rFonts w:ascii="仿宋" w:eastAsia="仿宋" w:cs="仿宋_GB2312" w:hAnsi="仿宋" w:hint="eastAsia"/>
          <w:sz w:val="32"/>
          <w:szCs w:val="32"/>
        </w:rPr>
        <w:t>结合项目自身特点、评价重点及管理办法等要求，围绕专项项目支出绩效评价指标体系对项目进行总体评价。</w:t>
      </w:r>
    </w:p>
    <w:p>
      <w:pPr>
        <w:keepNext w:val="0"/>
        <w:keepLines w:val="0"/>
        <w:pageBreakBefore w:val="0"/>
        <w:widowControl w:val="0"/>
        <w:kinsoku/>
        <w:wordWrap/>
        <w:overflowPunct/>
        <w:topLinePunct w:val="0"/>
        <w:bidi w:val="0"/>
        <w:adjustRightInd w:val="0"/>
        <w:snapToGrid w:val="0"/>
        <w:spacing w:line="576" w:lineRule="exact"/>
        <w:ind w:firstLine="720"/>
        <w:textAlignment w:val="auto"/>
        <w:rPr>
          <w:rFonts w:ascii="华文楷体" w:eastAsia="华文楷体" w:cs="华文楷体" w:hAnsi="华文楷体" w:hint="eastAsia"/>
          <w:b w:val="0"/>
          <w:bCs w:val="0"/>
          <w:sz w:val="32"/>
          <w:szCs w:val="32"/>
        </w:rPr>
      </w:pPr>
      <w:r>
        <w:rPr>
          <w:rFonts w:ascii="华文楷体" w:eastAsia="华文楷体" w:cs="华文楷体" w:hAnsi="华文楷体" w:hint="eastAsia"/>
          <w:b w:val="0"/>
          <w:bCs w:val="0"/>
          <w:sz w:val="32"/>
          <w:szCs w:val="32"/>
        </w:rPr>
        <w:t>（二）存在的问题</w:t>
      </w:r>
    </w:p>
    <w:p>
      <w:pPr>
        <w:keepNext w:val="0"/>
        <w:keepLines w:val="0"/>
        <w:pageBreakBefore w:val="0"/>
        <w:widowControl w:val="0"/>
        <w:kinsoku/>
        <w:wordWrap/>
        <w:overflowPunct/>
        <w:topLinePunct w:val="0"/>
        <w:bidi w:val="0"/>
        <w:spacing w:line="576" w:lineRule="exact"/>
        <w:ind w:firstLineChars="200" w:firstLine="640"/>
        <w:textAlignment w:val="auto"/>
        <w:rPr>
          <w:rFonts w:ascii="仿宋" w:eastAsia="仿宋" w:cs="仿宋_GB2312" w:hAnsi="仿宋"/>
          <w:sz w:val="32"/>
          <w:szCs w:val="32"/>
        </w:rPr>
      </w:pPr>
      <w:r>
        <w:rPr>
          <w:rFonts w:ascii="仿宋" w:eastAsia="仿宋" w:cs="仿宋_GB2312" w:hAnsi="仿宋" w:hint="eastAsia"/>
          <w:sz w:val="32"/>
          <w:szCs w:val="32"/>
        </w:rPr>
        <w:t>项目实施前涉及遗留问题较多，在处理遗留问题上较为困难，导致项目实施过程较为缓慢。</w:t>
      </w:r>
    </w:p>
    <w:p>
      <w:pPr>
        <w:keepNext w:val="0"/>
        <w:keepLines w:val="0"/>
        <w:pageBreakBefore w:val="0"/>
        <w:widowControl w:val="0"/>
        <w:kinsoku/>
        <w:wordWrap/>
        <w:overflowPunct/>
        <w:topLinePunct w:val="0"/>
        <w:bidi w:val="0"/>
        <w:adjustRightInd w:val="0"/>
        <w:snapToGrid w:val="0"/>
        <w:spacing w:line="576" w:lineRule="exact"/>
        <w:ind w:firstLine="720"/>
        <w:textAlignment w:val="auto"/>
        <w:rPr>
          <w:rFonts w:ascii="华文楷体" w:eastAsia="华文楷体" w:cs="华文楷体" w:hAnsi="华文楷体" w:hint="eastAsia"/>
          <w:b w:val="0"/>
          <w:bCs w:val="0"/>
          <w:sz w:val="32"/>
          <w:szCs w:val="32"/>
        </w:rPr>
      </w:pPr>
      <w:r>
        <w:rPr>
          <w:rFonts w:ascii="华文楷体" w:eastAsia="华文楷体" w:cs="华文楷体" w:hAnsi="华文楷体" w:hint="eastAsia"/>
          <w:b w:val="0"/>
          <w:bCs w:val="0"/>
          <w:sz w:val="32"/>
          <w:szCs w:val="32"/>
        </w:rPr>
        <w:t>（三）相关建议</w:t>
      </w:r>
    </w:p>
    <w:p>
      <w:pPr>
        <w:keepNext w:val="0"/>
        <w:keepLines w:val="0"/>
        <w:pageBreakBefore w:val="0"/>
        <w:widowControl w:val="0"/>
        <w:kinsoku/>
        <w:wordWrap/>
        <w:overflowPunct/>
        <w:topLinePunct w:val="0"/>
        <w:bidi w:val="0"/>
        <w:spacing w:line="576" w:lineRule="exact"/>
        <w:ind w:firstLineChars="200" w:firstLine="640"/>
        <w:textAlignment w:val="auto"/>
        <w:rPr>
          <w:rFonts w:ascii="仿宋" w:eastAsia="仿宋" w:cs="仿宋_GB2312" w:hAnsi="仿宋" w:hint="eastAsia"/>
          <w:sz w:val="32"/>
          <w:szCs w:val="32"/>
        </w:rPr>
      </w:pPr>
      <w:r>
        <w:rPr>
          <w:rFonts w:ascii="仿宋_GB2312" w:eastAsia="仿宋_GB2312" w:cs="仿宋_GB2312" w:hAnsi="仿宋_GB2312" w:hint="eastAsia"/>
          <w:sz w:val="32"/>
          <w:szCs w:val="32"/>
        </w:rPr>
        <w:t>1．</w:t>
      </w:r>
      <w:r>
        <w:rPr>
          <w:rFonts w:ascii="仿宋" w:eastAsia="仿宋" w:cs="仿宋_GB2312" w:hAnsi="仿宋" w:hint="eastAsia"/>
          <w:sz w:val="32"/>
          <w:szCs w:val="32"/>
        </w:rPr>
        <w:t>一是加大力度进行政策宣传，讲清程序，讲清意义。实行“一把尺子”量到底，做细做详基层工作，保障群众合法权益。</w:t>
      </w:r>
    </w:p>
    <w:p>
      <w:pPr>
        <w:keepNext w:val="0"/>
        <w:keepLines w:val="0"/>
        <w:pageBreakBefore w:val="0"/>
        <w:widowControl w:val="0"/>
        <w:kinsoku/>
        <w:wordWrap/>
        <w:overflowPunct/>
        <w:topLinePunct w:val="0"/>
        <w:bidi w:val="0"/>
        <w:spacing w:line="576" w:lineRule="exact"/>
        <w:ind w:firstLineChars="200" w:firstLine="640"/>
        <w:textAlignment w:val="auto"/>
        <w:rPr>
          <w:rFonts w:ascii="仿宋" w:eastAsia="仿宋" w:cs="仿宋_GB2312" w:hAnsi="仿宋"/>
          <w:sz w:val="32"/>
          <w:szCs w:val="32"/>
        </w:rPr>
      </w:pPr>
      <w:r>
        <w:rPr>
          <w:rFonts w:ascii="仿宋" w:eastAsia="仿宋" w:cs="仿宋_GB2312" w:hAnsi="仿宋" w:hint="eastAsia"/>
          <w:sz w:val="32"/>
          <w:szCs w:val="32"/>
        </w:rPr>
        <w:t>2.加强各部门协调沟通，增加工作信息交流。</w:t>
      </w:r>
    </w:p>
    <w:p>
      <w:pPr>
        <w:widowControl/>
        <w:jc w:val="left"/>
        <w:rPr>
          <w:rStyle w:val="31"/>
          <w:rFonts w:ascii="黑体" w:eastAsia="黑体" w:hAnsi="黑体" w:hint="eastAsia"/>
          <w:b w:val="0"/>
          <w:bCs w:val="0"/>
        </w:rPr>
      </w:pPr>
    </w:p>
    <w:p>
      <w:pPr>
        <w:rPr>
          <w:rFonts w:hint="eastAsia"/>
        </w:rPr>
      </w:pPr>
    </w:p>
    <w:p>
      <w:pPr>
        <w:widowControl/>
        <w:jc w:val="left"/>
        <w:rPr>
          <w:rStyle w:val="1Char"/>
          <w:rFonts w:ascii="黑体" w:eastAsia="黑体" w:hAnsi="黑体"/>
          <w:b w:val="0"/>
        </w:rPr>
      </w:pPr>
      <w:r>
        <w:rPr>
          <w:rFonts w:ascii="仿宋" w:eastAsia="仿宋" w:cs="仿宋" w:hAnsi="仿宋" w:hint="eastAsia"/>
          <w:kern w:val="44"/>
          <w:sz w:val="44"/>
          <w:szCs w:val="44"/>
        </w:rPr>
        <w:br w:type="page"/>
      </w:r>
    </w:p>
    <w:p>
      <w:pPr>
        <w:spacing w:line="600" w:lineRule="exact"/>
        <w:jc w:val="center"/>
        <w:outlineLvl w:val="0"/>
        <w:rPr>
          <w:rStyle w:val="1Char"/>
          <w:rFonts w:ascii="黑体" w:eastAsia="黑体" w:hAnsi="黑体" w:hint="eastAsia"/>
          <w:b w:val="0"/>
        </w:rPr>
      </w:pPr>
      <w:bookmarkStart w:id="60" w:name="_Toc15396618"/>
      <w:r>
        <w:rPr>
          <w:rFonts w:ascii="黑体" w:eastAsia="黑体" w:hAnsi="黑体" w:hint="eastAsia"/>
          <w:color w:val="000000"/>
          <w:sz w:val="44"/>
          <w:szCs w:val="44"/>
        </w:rPr>
        <w:t>第</w:t>
      </w:r>
      <w:r>
        <w:rPr>
          <w:rStyle w:val="1Char"/>
          <w:rFonts w:ascii="黑体" w:eastAsia="黑体" w:hAnsi="黑体" w:hint="eastAsia"/>
          <w:b w:val="0"/>
        </w:rPr>
        <w:t>五部分 附表</w:t>
      </w:r>
      <w:bookmarkEnd w:id="59"/>
      <w:bookmarkEnd w:id="60"/>
    </w:p>
    <w:p>
      <w:pPr>
        <w:spacing w:line="600" w:lineRule="exact"/>
        <w:jc w:val="center"/>
        <w:outlineLvl w:val="0"/>
        <w:rPr>
          <w:rStyle w:val="1Char"/>
          <w:rFonts w:ascii="黑体" w:eastAsia="黑体" w:hAnsi="黑体" w:hint="eastAsia"/>
          <w:b w:val="0"/>
        </w:rPr>
      </w:pPr>
    </w:p>
    <w:p>
      <w:pPr>
        <w:pStyle w:val="2"/>
        <w:keepNext/>
        <w:keepLines/>
        <w:pageBreakBefore w:val="0"/>
        <w:widowControl w:val="0"/>
        <w:kinsoku/>
        <w:wordWrap/>
        <w:overflowPunct/>
        <w:topLinePunct w:val="0"/>
        <w:autoSpaceDE/>
        <w:autoSpaceDN/>
        <w:bidi w:val="0"/>
        <w:adjustRightInd/>
        <w:snapToGrid/>
        <w:spacing w:before="0" w:after="0" w:line="580" w:lineRule="exact"/>
        <w:textAlignment w:val="auto"/>
        <w:rPr>
          <w:rFonts w:ascii="仿宋" w:eastAsia="仿宋" w:hAnsi="仿宋"/>
          <w:color w:val="000000"/>
        </w:rPr>
      </w:pPr>
      <w:bookmarkStart w:id="61" w:name="_Toc15396619"/>
      <w:r>
        <w:rPr>
          <w:rFonts w:ascii="仿宋" w:eastAsia="仿宋" w:hAnsi="仿宋" w:hint="eastAsia"/>
          <w:b w:val="0"/>
          <w:color w:val="000000"/>
        </w:rPr>
        <w:t>一、收</w:t>
      </w:r>
      <w:r>
        <w:rPr>
          <w:rStyle w:val="2Char"/>
          <w:rFonts w:ascii="仿宋" w:eastAsia="仿宋" w:hAnsi="仿宋" w:hint="eastAsia"/>
          <w:b w:val="0"/>
          <w:bCs w:val="0"/>
        </w:rPr>
        <w:t>入支出决算总表</w:t>
      </w:r>
      <w:bookmarkEnd w:id="61"/>
    </w:p>
    <w:p>
      <w:pPr>
        <w:pStyle w:val="2"/>
        <w:keepNext/>
        <w:keepLines/>
        <w:pageBreakBefore w:val="0"/>
        <w:widowControl w:val="0"/>
        <w:kinsoku/>
        <w:wordWrap/>
        <w:overflowPunct/>
        <w:topLinePunct w:val="0"/>
        <w:autoSpaceDE/>
        <w:autoSpaceDN/>
        <w:bidi w:val="0"/>
        <w:adjustRightInd/>
        <w:snapToGrid/>
        <w:spacing w:before="0" w:after="0" w:line="580" w:lineRule="exact"/>
        <w:textAlignment w:val="auto"/>
        <w:rPr>
          <w:rFonts w:ascii="仿宋" w:eastAsia="仿宋" w:hAnsi="仿宋"/>
          <w:color w:val="000000"/>
        </w:rPr>
      </w:pPr>
      <w:bookmarkStart w:id="62" w:name="_Toc15396620"/>
      <w:r>
        <w:rPr>
          <w:rFonts w:ascii="仿宋" w:eastAsia="仿宋" w:hAnsi="仿宋" w:hint="eastAsia"/>
          <w:b w:val="0"/>
          <w:color w:val="000000"/>
        </w:rPr>
        <w:t>二、收</w:t>
      </w:r>
      <w:r>
        <w:rPr>
          <w:rStyle w:val="2Char"/>
          <w:rFonts w:ascii="仿宋" w:eastAsia="仿宋" w:hAnsi="仿宋" w:hint="eastAsia"/>
          <w:b w:val="0"/>
          <w:bCs w:val="0"/>
        </w:rPr>
        <w:t>入决算表</w:t>
      </w:r>
      <w:bookmarkEnd w:id="62"/>
    </w:p>
    <w:p>
      <w:pPr>
        <w:pStyle w:val="2"/>
        <w:keepNext/>
        <w:keepLines/>
        <w:pageBreakBefore w:val="0"/>
        <w:widowControl w:val="0"/>
        <w:kinsoku/>
        <w:wordWrap/>
        <w:overflowPunct/>
        <w:topLinePunct w:val="0"/>
        <w:autoSpaceDE/>
        <w:autoSpaceDN/>
        <w:bidi w:val="0"/>
        <w:adjustRightInd/>
        <w:snapToGrid/>
        <w:spacing w:before="0" w:after="0" w:line="580" w:lineRule="exact"/>
        <w:textAlignment w:val="auto"/>
        <w:rPr>
          <w:rFonts w:ascii="仿宋" w:eastAsia="仿宋" w:hAnsi="仿宋"/>
          <w:color w:val="000000"/>
        </w:rPr>
      </w:pPr>
      <w:bookmarkStart w:id="63" w:name="_Toc15396621"/>
      <w:r>
        <w:rPr>
          <w:rStyle w:val="2Char"/>
          <w:rFonts w:ascii="仿宋" w:eastAsia="仿宋" w:hAnsi="仿宋" w:hint="eastAsia"/>
          <w:b w:val="0"/>
          <w:bCs w:val="0"/>
        </w:rPr>
        <w:t>三、</w:t>
      </w:r>
      <w:r>
        <w:rPr>
          <w:rFonts w:ascii="仿宋" w:eastAsia="仿宋" w:hAnsi="仿宋" w:hint="eastAsia"/>
          <w:b w:val="0"/>
          <w:color w:val="000000"/>
        </w:rPr>
        <w:t>支</w:t>
      </w:r>
      <w:r>
        <w:rPr>
          <w:rStyle w:val="2Char"/>
          <w:rFonts w:ascii="仿宋" w:eastAsia="仿宋" w:hAnsi="仿宋" w:hint="eastAsia"/>
          <w:b w:val="0"/>
          <w:bCs w:val="0"/>
        </w:rPr>
        <w:t>出决算表</w:t>
      </w:r>
      <w:bookmarkEnd w:id="63"/>
    </w:p>
    <w:p>
      <w:pPr>
        <w:pStyle w:val="2"/>
        <w:keepNext/>
        <w:keepLines/>
        <w:pageBreakBefore w:val="0"/>
        <w:widowControl w:val="0"/>
        <w:kinsoku/>
        <w:wordWrap/>
        <w:overflowPunct/>
        <w:topLinePunct w:val="0"/>
        <w:autoSpaceDE/>
        <w:autoSpaceDN/>
        <w:bidi w:val="0"/>
        <w:adjustRightInd/>
        <w:snapToGrid/>
        <w:spacing w:before="0" w:after="0" w:line="580" w:lineRule="exact"/>
        <w:textAlignment w:val="auto"/>
        <w:rPr>
          <w:rFonts w:ascii="仿宋" w:eastAsia="仿宋" w:hAnsi="仿宋"/>
          <w:b w:val="0"/>
          <w:color w:val="000000"/>
        </w:rPr>
      </w:pPr>
      <w:bookmarkStart w:id="64" w:name="_Toc15396622"/>
      <w:r>
        <w:rPr>
          <w:rStyle w:val="2Char"/>
          <w:rFonts w:ascii="仿宋" w:eastAsia="仿宋" w:hAnsi="仿宋" w:hint="eastAsia"/>
          <w:b w:val="0"/>
          <w:bCs w:val="0"/>
        </w:rPr>
        <w:t>四、</w:t>
      </w:r>
      <w:r>
        <w:rPr>
          <w:rFonts w:ascii="仿宋" w:eastAsia="仿宋" w:hAnsi="仿宋" w:hint="eastAsia"/>
          <w:b w:val="0"/>
          <w:color w:val="000000"/>
        </w:rPr>
        <w:t>财</w:t>
      </w:r>
      <w:r>
        <w:rPr>
          <w:rStyle w:val="2Char"/>
          <w:rFonts w:ascii="仿宋" w:eastAsia="仿宋" w:hAnsi="仿宋" w:hint="eastAsia"/>
          <w:b w:val="0"/>
          <w:bCs w:val="0"/>
        </w:rPr>
        <w:t>政拨款收入支出决算总表</w:t>
      </w:r>
      <w:bookmarkEnd w:id="64"/>
    </w:p>
    <w:p>
      <w:pPr>
        <w:pStyle w:val="2"/>
        <w:keepNext/>
        <w:keepLines/>
        <w:pageBreakBefore w:val="0"/>
        <w:widowControl w:val="0"/>
        <w:kinsoku/>
        <w:wordWrap/>
        <w:overflowPunct/>
        <w:topLinePunct w:val="0"/>
        <w:autoSpaceDE/>
        <w:autoSpaceDN/>
        <w:bidi w:val="0"/>
        <w:adjustRightInd/>
        <w:snapToGrid/>
        <w:spacing w:before="0" w:after="0" w:line="580" w:lineRule="exact"/>
        <w:textAlignment w:val="auto"/>
        <w:rPr>
          <w:rStyle w:val="2Char"/>
          <w:rFonts w:ascii="仿宋" w:eastAsia="仿宋" w:hAnsi="仿宋"/>
          <w:b w:val="0"/>
          <w:bCs w:val="0"/>
        </w:rPr>
      </w:pPr>
      <w:bookmarkStart w:id="65" w:name="_Toc15396623"/>
      <w:r>
        <w:rPr>
          <w:rStyle w:val="2Char"/>
          <w:rFonts w:ascii="仿宋" w:eastAsia="仿宋" w:hAnsi="仿宋" w:hint="eastAsia"/>
          <w:b w:val="0"/>
          <w:bCs w:val="0"/>
        </w:rPr>
        <w:t>五、</w:t>
      </w:r>
      <w:r>
        <w:rPr>
          <w:rFonts w:ascii="仿宋" w:eastAsia="仿宋" w:hAnsi="仿宋" w:hint="eastAsia"/>
          <w:b w:val="0"/>
          <w:color w:val="000000"/>
        </w:rPr>
        <w:t>财</w:t>
      </w:r>
      <w:r>
        <w:rPr>
          <w:rStyle w:val="2Char"/>
          <w:rFonts w:ascii="仿宋" w:eastAsia="仿宋" w:hAnsi="仿宋" w:hint="eastAsia"/>
          <w:b w:val="0"/>
          <w:bCs w:val="0"/>
        </w:rPr>
        <w:t>政拨款支出决算明细表</w:t>
      </w:r>
      <w:bookmarkStart w:id="66" w:name="_Toc15396624"/>
      <w:bookmarkEnd w:id="65"/>
    </w:p>
    <w:p>
      <w:pPr>
        <w:pStyle w:val="2"/>
        <w:keepNext/>
        <w:keepLines/>
        <w:pageBreakBefore w:val="0"/>
        <w:widowControl w:val="0"/>
        <w:kinsoku/>
        <w:wordWrap/>
        <w:overflowPunct/>
        <w:topLinePunct w:val="0"/>
        <w:autoSpaceDE/>
        <w:autoSpaceDN/>
        <w:bidi w:val="0"/>
        <w:adjustRightInd/>
        <w:snapToGrid/>
        <w:spacing w:before="0" w:after="0" w:line="580" w:lineRule="exact"/>
        <w:textAlignment w:val="auto"/>
        <w:rPr>
          <w:rFonts w:ascii="仿宋" w:eastAsia="仿宋" w:hAnsi="仿宋"/>
          <w:color w:val="000000"/>
        </w:rPr>
      </w:pPr>
      <w:r>
        <w:rPr>
          <w:rStyle w:val="2Char"/>
          <w:rFonts w:ascii="仿宋" w:eastAsia="仿宋" w:hAnsi="仿宋" w:hint="eastAsia"/>
          <w:b w:val="0"/>
          <w:bCs w:val="0"/>
        </w:rPr>
        <w:t>六、</w:t>
      </w:r>
      <w:r>
        <w:rPr>
          <w:rFonts w:ascii="仿宋" w:eastAsia="仿宋" w:hAnsi="仿宋" w:hint="eastAsia"/>
          <w:b w:val="0"/>
          <w:color w:val="000000"/>
        </w:rPr>
        <w:t>一</w:t>
      </w:r>
      <w:r>
        <w:rPr>
          <w:rStyle w:val="2Char"/>
          <w:rFonts w:ascii="仿宋" w:eastAsia="仿宋" w:hAnsi="仿宋" w:hint="eastAsia"/>
          <w:b w:val="0"/>
          <w:bCs w:val="0"/>
        </w:rPr>
        <w:t>般公共预算财政拨款支出决算表</w:t>
      </w:r>
      <w:bookmarkEnd w:id="66"/>
    </w:p>
    <w:p>
      <w:pPr>
        <w:pStyle w:val="2"/>
        <w:keepNext/>
        <w:keepLines/>
        <w:pageBreakBefore w:val="0"/>
        <w:widowControl w:val="0"/>
        <w:kinsoku/>
        <w:wordWrap/>
        <w:overflowPunct/>
        <w:topLinePunct w:val="0"/>
        <w:autoSpaceDE/>
        <w:autoSpaceDN/>
        <w:bidi w:val="0"/>
        <w:adjustRightInd/>
        <w:snapToGrid/>
        <w:spacing w:before="0" w:after="0" w:line="580" w:lineRule="exact"/>
        <w:textAlignment w:val="auto"/>
        <w:rPr>
          <w:rFonts w:ascii="仿宋" w:eastAsia="仿宋" w:hAnsi="仿宋"/>
          <w:color w:val="000000"/>
        </w:rPr>
      </w:pPr>
      <w:bookmarkStart w:id="67" w:name="_Toc15396625"/>
      <w:r>
        <w:rPr>
          <w:rStyle w:val="2Char"/>
          <w:rFonts w:ascii="仿宋" w:eastAsia="仿宋" w:hAnsi="仿宋" w:hint="eastAsia"/>
          <w:b w:val="0"/>
          <w:bCs w:val="0"/>
        </w:rPr>
        <w:t>七、</w:t>
      </w:r>
      <w:r>
        <w:rPr>
          <w:rFonts w:ascii="仿宋" w:eastAsia="仿宋" w:hAnsi="仿宋" w:hint="eastAsia"/>
          <w:b w:val="0"/>
          <w:color w:val="000000"/>
        </w:rPr>
        <w:t>一</w:t>
      </w:r>
      <w:r>
        <w:rPr>
          <w:rStyle w:val="2Char"/>
          <w:rFonts w:ascii="仿宋" w:eastAsia="仿宋" w:hAnsi="仿宋" w:hint="eastAsia"/>
          <w:b w:val="0"/>
          <w:bCs w:val="0"/>
        </w:rPr>
        <w:t>般公共预算财政拨款支出决算明细表</w:t>
      </w:r>
      <w:bookmarkEnd w:id="67"/>
    </w:p>
    <w:p>
      <w:pPr>
        <w:pStyle w:val="2"/>
        <w:keepNext/>
        <w:keepLines/>
        <w:pageBreakBefore w:val="0"/>
        <w:widowControl w:val="0"/>
        <w:kinsoku/>
        <w:wordWrap/>
        <w:overflowPunct/>
        <w:topLinePunct w:val="0"/>
        <w:autoSpaceDE/>
        <w:autoSpaceDN/>
        <w:bidi w:val="0"/>
        <w:adjustRightInd/>
        <w:snapToGrid/>
        <w:spacing w:before="0" w:after="0" w:line="580" w:lineRule="exact"/>
        <w:textAlignment w:val="auto"/>
        <w:rPr>
          <w:rFonts w:ascii="仿宋" w:eastAsia="仿宋" w:hAnsi="仿宋"/>
          <w:color w:val="000000"/>
        </w:rPr>
      </w:pPr>
      <w:bookmarkStart w:id="68" w:name="_Toc15396626"/>
      <w:r>
        <w:rPr>
          <w:rStyle w:val="2Char"/>
          <w:rFonts w:ascii="仿宋" w:eastAsia="仿宋" w:hAnsi="仿宋" w:hint="eastAsia"/>
          <w:b w:val="0"/>
          <w:bCs w:val="0"/>
        </w:rPr>
        <w:t>八、</w:t>
      </w:r>
      <w:r>
        <w:rPr>
          <w:rFonts w:ascii="仿宋" w:eastAsia="仿宋" w:hAnsi="仿宋" w:hint="eastAsia"/>
          <w:b w:val="0"/>
          <w:color w:val="000000"/>
        </w:rPr>
        <w:t>一</w:t>
      </w:r>
      <w:r>
        <w:rPr>
          <w:rStyle w:val="2Char"/>
          <w:rFonts w:ascii="仿宋" w:eastAsia="仿宋" w:hAnsi="仿宋" w:hint="eastAsia"/>
          <w:b w:val="0"/>
          <w:bCs w:val="0"/>
        </w:rPr>
        <w:t>般公共预算财政拨款基本支出决算表</w:t>
      </w:r>
      <w:bookmarkEnd w:id="68"/>
    </w:p>
    <w:p>
      <w:pPr>
        <w:pStyle w:val="2"/>
        <w:keepNext/>
        <w:keepLines/>
        <w:pageBreakBefore w:val="0"/>
        <w:widowControl w:val="0"/>
        <w:kinsoku/>
        <w:wordWrap/>
        <w:overflowPunct/>
        <w:topLinePunct w:val="0"/>
        <w:autoSpaceDE/>
        <w:autoSpaceDN/>
        <w:bidi w:val="0"/>
        <w:adjustRightInd/>
        <w:snapToGrid/>
        <w:spacing w:before="0" w:after="0" w:line="580" w:lineRule="exact"/>
        <w:textAlignment w:val="auto"/>
        <w:rPr>
          <w:rFonts w:ascii="仿宋" w:eastAsia="仿宋" w:hAnsi="仿宋"/>
          <w:color w:val="000000"/>
        </w:rPr>
      </w:pPr>
      <w:bookmarkStart w:id="69" w:name="_Toc15396627"/>
      <w:r>
        <w:rPr>
          <w:rStyle w:val="2Char"/>
          <w:rFonts w:ascii="仿宋" w:eastAsia="仿宋" w:hAnsi="仿宋" w:hint="eastAsia"/>
          <w:b w:val="0"/>
          <w:bCs w:val="0"/>
        </w:rPr>
        <w:t>九、</w:t>
      </w:r>
      <w:r>
        <w:rPr>
          <w:rFonts w:ascii="仿宋" w:eastAsia="仿宋" w:hAnsi="仿宋" w:hint="eastAsia"/>
          <w:b w:val="0"/>
          <w:color w:val="000000"/>
        </w:rPr>
        <w:t>一</w:t>
      </w:r>
      <w:r>
        <w:rPr>
          <w:rStyle w:val="2Char"/>
          <w:rFonts w:ascii="仿宋" w:eastAsia="仿宋" w:hAnsi="仿宋" w:hint="eastAsia"/>
          <w:b w:val="0"/>
          <w:bCs w:val="0"/>
        </w:rPr>
        <w:t>般公共预算财政拨款项目支出决算表</w:t>
      </w:r>
      <w:bookmarkEnd w:id="69"/>
    </w:p>
    <w:p>
      <w:pPr>
        <w:pStyle w:val="2"/>
        <w:keepNext/>
        <w:keepLines/>
        <w:pageBreakBefore w:val="0"/>
        <w:widowControl w:val="0"/>
        <w:kinsoku/>
        <w:wordWrap/>
        <w:overflowPunct/>
        <w:topLinePunct w:val="0"/>
        <w:autoSpaceDE/>
        <w:autoSpaceDN/>
        <w:bidi w:val="0"/>
        <w:adjustRightInd/>
        <w:snapToGrid/>
        <w:spacing w:before="0" w:after="0" w:line="580" w:lineRule="exact"/>
        <w:textAlignment w:val="auto"/>
        <w:rPr>
          <w:rFonts w:ascii="仿宋" w:eastAsia="仿宋" w:hAnsi="仿宋"/>
          <w:color w:val="000000"/>
        </w:rPr>
      </w:pPr>
      <w:bookmarkStart w:id="70" w:name="_Toc15396628"/>
      <w:r>
        <w:rPr>
          <w:rStyle w:val="2Char"/>
          <w:rFonts w:ascii="仿宋" w:eastAsia="仿宋" w:hAnsi="仿宋" w:hint="eastAsia"/>
          <w:b w:val="0"/>
          <w:bCs w:val="0"/>
        </w:rPr>
        <w:t>十、</w:t>
      </w:r>
      <w:r>
        <w:rPr>
          <w:rFonts w:ascii="仿宋" w:eastAsia="仿宋" w:hAnsi="仿宋" w:hint="eastAsia"/>
          <w:b w:val="0"/>
          <w:color w:val="000000"/>
        </w:rPr>
        <w:t>一</w:t>
      </w:r>
      <w:r>
        <w:rPr>
          <w:rStyle w:val="2Char"/>
          <w:rFonts w:ascii="仿宋" w:eastAsia="仿宋" w:hAnsi="仿宋" w:hint="eastAsia"/>
          <w:b w:val="0"/>
          <w:bCs w:val="0"/>
        </w:rPr>
        <w:t>般公共预算财政拨款“三公”经费支出决算表</w:t>
      </w:r>
      <w:bookmarkEnd w:id="70"/>
    </w:p>
    <w:p>
      <w:pPr>
        <w:pStyle w:val="2"/>
        <w:keepNext/>
        <w:keepLines/>
        <w:pageBreakBefore w:val="0"/>
        <w:widowControl w:val="0"/>
        <w:kinsoku/>
        <w:wordWrap/>
        <w:overflowPunct/>
        <w:topLinePunct w:val="0"/>
        <w:autoSpaceDE/>
        <w:autoSpaceDN/>
        <w:bidi w:val="0"/>
        <w:adjustRightInd/>
        <w:snapToGrid/>
        <w:spacing w:before="0" w:after="0" w:line="580" w:lineRule="exact"/>
        <w:textAlignment w:val="auto"/>
        <w:rPr>
          <w:rFonts w:ascii="仿宋" w:eastAsia="仿宋" w:hAnsi="仿宋"/>
          <w:color w:val="000000"/>
        </w:rPr>
      </w:pPr>
      <w:bookmarkStart w:id="71" w:name="_Toc15396629"/>
      <w:r>
        <w:rPr>
          <w:rStyle w:val="2Char"/>
          <w:rFonts w:ascii="仿宋" w:eastAsia="仿宋" w:hAnsi="仿宋" w:hint="eastAsia"/>
          <w:b w:val="0"/>
          <w:bCs w:val="0"/>
        </w:rPr>
        <w:t>十一、</w:t>
      </w:r>
      <w:r>
        <w:rPr>
          <w:rFonts w:ascii="仿宋" w:eastAsia="仿宋" w:hAnsi="仿宋" w:hint="eastAsia"/>
          <w:b w:val="0"/>
          <w:color w:val="000000"/>
        </w:rPr>
        <w:t>政</w:t>
      </w:r>
      <w:r>
        <w:rPr>
          <w:rStyle w:val="2Char"/>
          <w:rFonts w:ascii="仿宋" w:eastAsia="仿宋" w:hAnsi="仿宋" w:hint="eastAsia"/>
          <w:b w:val="0"/>
          <w:bCs w:val="0"/>
        </w:rPr>
        <w:t>府性基金预算财政拨款收入支出决算表</w:t>
      </w:r>
      <w:bookmarkEnd w:id="71"/>
    </w:p>
    <w:p>
      <w:pPr>
        <w:pStyle w:val="2"/>
        <w:keepNext/>
        <w:keepLines/>
        <w:pageBreakBefore w:val="0"/>
        <w:widowControl w:val="0"/>
        <w:kinsoku/>
        <w:wordWrap/>
        <w:overflowPunct/>
        <w:topLinePunct w:val="0"/>
        <w:autoSpaceDE/>
        <w:autoSpaceDN/>
        <w:bidi w:val="0"/>
        <w:adjustRightInd/>
        <w:snapToGrid/>
        <w:spacing w:before="0" w:after="0" w:line="580" w:lineRule="exact"/>
        <w:textAlignment w:val="auto"/>
        <w:rPr>
          <w:rFonts w:ascii="仿宋" w:eastAsia="仿宋" w:hAnsi="仿宋"/>
          <w:color w:val="000000"/>
        </w:rPr>
      </w:pPr>
      <w:bookmarkStart w:id="72" w:name="_Toc15396630"/>
      <w:r>
        <w:rPr>
          <w:rStyle w:val="2Char"/>
          <w:rFonts w:ascii="仿宋" w:eastAsia="仿宋" w:hAnsi="仿宋" w:hint="eastAsia"/>
          <w:b w:val="0"/>
          <w:bCs w:val="0"/>
        </w:rPr>
        <w:t>十二、</w:t>
      </w:r>
      <w:r>
        <w:rPr>
          <w:rFonts w:ascii="仿宋" w:eastAsia="仿宋" w:hAnsi="仿宋" w:hint="eastAsia"/>
          <w:b w:val="0"/>
          <w:color w:val="000000"/>
        </w:rPr>
        <w:t>政</w:t>
      </w:r>
      <w:r>
        <w:rPr>
          <w:rStyle w:val="2Char"/>
          <w:rFonts w:ascii="仿宋" w:eastAsia="仿宋" w:hAnsi="仿宋" w:hint="eastAsia"/>
          <w:b w:val="0"/>
          <w:bCs w:val="0"/>
        </w:rPr>
        <w:t>府性基金预算财政拨款“三公”经费支出决算表</w:t>
      </w:r>
      <w:bookmarkEnd w:id="72"/>
    </w:p>
    <w:p>
      <w:pPr>
        <w:pStyle w:val="2"/>
        <w:keepNext/>
        <w:keepLines/>
        <w:pageBreakBefore w:val="0"/>
        <w:widowControl w:val="0"/>
        <w:kinsoku/>
        <w:wordWrap/>
        <w:overflowPunct/>
        <w:topLinePunct w:val="0"/>
        <w:autoSpaceDE/>
        <w:autoSpaceDN/>
        <w:bidi w:val="0"/>
        <w:adjustRightInd/>
        <w:snapToGrid/>
        <w:spacing w:before="0" w:after="0" w:line="580" w:lineRule="exact"/>
        <w:textAlignment w:val="auto"/>
        <w:rPr>
          <w:rFonts w:ascii="仿宋" w:eastAsia="仿宋" w:hAnsi="仿宋"/>
          <w:color w:val="000000"/>
        </w:rPr>
      </w:pPr>
      <w:bookmarkStart w:id="73" w:name="_Toc15396631"/>
      <w:r>
        <w:rPr>
          <w:rStyle w:val="2Char"/>
          <w:rFonts w:ascii="仿宋" w:eastAsia="仿宋" w:hAnsi="仿宋" w:hint="eastAsia"/>
          <w:b w:val="0"/>
          <w:bCs w:val="0"/>
        </w:rPr>
        <w:t>十三、</w:t>
      </w:r>
      <w:r>
        <w:rPr>
          <w:rFonts w:ascii="仿宋" w:eastAsia="仿宋" w:hAnsi="仿宋" w:hint="eastAsia"/>
          <w:b w:val="0"/>
          <w:color w:val="000000"/>
        </w:rPr>
        <w:t>国</w:t>
      </w:r>
      <w:r>
        <w:rPr>
          <w:rStyle w:val="2Char"/>
          <w:rFonts w:ascii="仿宋" w:eastAsia="仿宋" w:hAnsi="仿宋" w:hint="eastAsia"/>
          <w:b w:val="0"/>
          <w:bCs w:val="0"/>
        </w:rPr>
        <w:t>有资本经营预算支出决算表</w:t>
      </w:r>
      <w:bookmarkEnd w:id="73"/>
    </w:p>
    <w:sectPr>
      <w:pgSz w:w="11906" w:h="16838"/>
      <w:pgMar w:top="2098" w:right="1474" w:bottom="1984" w:left="1587" w:header="851" w:footer="1559" w:gutter="0"/>
      <w:pgNumType w:start="1"/>
      <w:cols w:num="1" w:space="0"/>
      <w:titlePg/>
      <w:rtlGutter/>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288F0000" w:usb2="00000006" w:usb3="00000000" w:csb0="00040001" w:csb1="00000000"/>
  </w:font>
  <w:font w:name="方正小标宋简体">
    <w:panose1 w:val="03000509000000000000"/>
    <w:charset w:val="86"/>
    <w:family w:val="script"/>
    <w:pitch w:val="variable"/>
    <w:sig w:usb0="00000001" w:usb1="080E0000" w:usb2="00000000" w:usb3="00000000" w:csb0="00040000" w:csb1="00000000"/>
  </w:font>
  <w:font w:name="黑体">
    <w:panose1 w:val="02010600030101010101"/>
    <w:charset w:val="86"/>
    <w:family w:val="auto"/>
    <w:pitch w:val="variable"/>
    <w:sig w:usb0="800002BF" w:usb1="38CF7CFA" w:usb2="00000016" w:usb3="00000000" w:csb0="00040001" w:csb1="00000000"/>
  </w:font>
  <w:font w:name="Arial">
    <w:panose1 w:val="020B0604020202020204"/>
    <w:charset w:val="01"/>
    <w:family w:val="swiss"/>
    <w:pitch w:val="variable"/>
    <w:sig w:usb0="E0002AFF" w:usb1="C0007843" w:usb2="00000009" w:usb3="00000000" w:csb0="400001FF" w:csb1="FFFF0000"/>
  </w:font>
  <w:font w:name="仿宋_GB2312">
    <w:panose1 w:val="02010609030101010101"/>
    <w:charset w:val="86"/>
    <w:family w:val="modern"/>
    <w:pitch w:val="variable"/>
    <w:sig w:usb0="00000001" w:usb1="080E0000" w:usb2="00000000" w:usb3="00000000" w:csb0="00040000" w:csb1="00000000"/>
  </w:font>
  <w:font w:name="华文楷体">
    <w:altName w:val="黑体"/>
    <w:panose1 w:val="02010600040101010101"/>
    <w:charset w:val="86"/>
    <w:family w:val="auto"/>
    <w:pitch w:val="variable"/>
    <w:sig w:usb0="00000287" w:usb1="080F0000" w:usb2="00000000" w:usb3="00000000" w:csb0="0004009F" w:csb1="DFD70000"/>
  </w:font>
  <w:font w:name="仿宋">
    <w:altName w:val="仿宋_GB2312"/>
    <w:panose1 w:val="02010609060101010101"/>
    <w:charset w:val="86"/>
    <w:family w:val="modern"/>
    <w:pitch w:val="variable"/>
    <w:sig w:usb0="800002BF" w:usb1="38CF7CFA" w:usb2="00000016" w:usb3="00000000" w:csb0="00040001" w:csb1="00000000"/>
  </w:font>
  <w:font w:name="楷体_GB2312">
    <w:panose1 w:val="02010609030101010101"/>
    <w:charset w:val="86"/>
    <w:family w:val="modern"/>
    <w:pitch w:val="variable"/>
    <w:sig w:usb0="00000001" w:usb1="080E0000" w:usb2="00000000" w:usb3="00000000" w:csb0="00040000" w:csb1="00000000"/>
  </w:font>
  <w:font w:name="方正小标宋_GBK">
    <w:panose1 w:val="03000509000000000000"/>
    <w:charset w:val="86"/>
    <w:family w:val="auto"/>
    <w:pitch w:val="variable"/>
    <w:sig w:usb0="00000001" w:usb1="080E0000" w:usb2="00000000" w:usb3="00000000" w:csb0="00040000" w:csb1="00000000"/>
  </w:font>
  <w:font w:name="楷体">
    <w:altName w:val="楷体_GB2312"/>
    <w:panose1 w:val="02010609060101010101"/>
    <w:charset w:val="86"/>
    <w:family w:val="auto"/>
    <w:pitch w:val="variable"/>
    <w:sig w:usb0="00000000" w:usb1="00000000" w:usb2="00000016" w:usb3="00000000" w:csb0="00040001" w:csb1="00000000"/>
  </w:font>
  <w:font w:name="方正楷体简体">
    <w:panose1 w:val="02010601030101010101"/>
    <w:charset w:val="86"/>
    <w:family w:val="auto"/>
    <w:pitch w:val="variable"/>
    <w:sig w:usb0="00000001" w:usb1="080E0000" w:usb2="00000000" w:usb3="00000000" w:csb0="00040000" w:csb1="00000000"/>
  </w:font>
  <w:font w:name="Times New Roman">
    <w:panose1 w:val="02020603050405020304"/>
    <w:charset w:val="00"/>
    <w:family w:val="roman"/>
    <w:pitch w:val="variable"/>
    <w:sig w:usb0="20007A87" w:usb1="80000000" w:usb2="00000008" w:usb3="00000000" w:csb0="000001FF" w:csb1="00000000"/>
  </w:font>
  <w:font w:name="Lucida Sans">
    <w:panose1 w:val="020B0602030504020204"/>
    <w:charset w:val="00"/>
    <w:family w:val="auto"/>
    <w:pitch w:val="variable"/>
    <w:sig w:usb0="00000003" w:usb1="00000000" w:usb2="00000000" w:usb3="00000000" w:csb0="20000001" w:csb1="00000000"/>
  </w:font>
  <w:font w:name="Cambria">
    <w:altName w:val="Arial"/>
    <w:panose1 w:val="02040503050406030204"/>
    <w:charset w:val="00"/>
    <w:family w:val="roman"/>
    <w:pitch w:val="variable"/>
    <w:sig w:usb0="E00002FF" w:usb1="400004FF" w:usb2="00000000" w:usb3="00000000" w:csb0="2000019F" w:csb1="00000000"/>
  </w:font>
  <w:font w:name="Calibri">
    <w:altName w:val="Times New Roman"/>
    <w:panose1 w:val="020F0502020204030204"/>
    <w:charset w:val="00"/>
    <w:family w:val="swiss"/>
    <w:pitch w:val="variable"/>
    <w:sig w:usb0="E00002FF" w:usb1="4000ACFF" w:usb2="00000001" w:usb3="00000000" w:csb0="2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enter" w:pos="4153"/>
        <w:tab w:val="right" w:pos="8306"/>
      </w:tabs>
      <w:jc w:val="center"/>
    </w:pPr>
    <w:r>
      <w:rPr>
        <w:sz w:val="18"/>
      </w:rPr>
      <mc:AlternateContent>
        <mc:Choice Requires="wps">
          <w:drawing>
            <wp:anchor distT="0" distB="0" distL="114298" distR="114298" simplePos="0" relativeHeight="37" behindDoc="0" locked="0" layoutInCell="1" hidden="0" allowOverlap="1">
              <wp:simplePos x="0" y="0"/>
              <wp:positionH relativeFrom="margin">
                <wp:align>outside</wp:align>
              </wp:positionH>
              <wp:positionV relativeFrom="paragraph">
                <wp:posOffset>0</wp:posOffset>
              </wp:positionV>
              <wp:extent cx="711199" cy="460502"/>
              <wp:effectExtent l="0" t="0" r="0" b="0"/>
              <wp:wrapNone/>
              <wp:docPr id="1" name="_x0000_s2049"/>
              <wp:cNvGraphicFramePr>
                <a:graphicFrameLocks noChangeAspect="0"/>
              </wp:cNvGraphicFramePr>
              <a:graphic>
                <a:graphicData uri="http://schemas.microsoft.com/office/word/2010/wordprocessingShape">
                  <wps:wsp>
                    <wps:cNvSpPr/>
                    <wps:spPr>
                      <a:xfrm rot="0">
                        <a:off x="0" y="0"/>
                        <a:ext cx="711199" cy="460502"/>
                      </a:xfrm>
                      <a:prstGeom prst="rect"/>
                      <a:noFill/>
                      <a:ln w="9525" cmpd="sng" cap="flat">
                        <a:noFill/>
                        <a:prstDash val="solid"/>
                        <a:miter/>
                      </a:ln>
                    </wps:spPr>
                    <wps:txbx id="2">
                      <w:txbxContent>
                        <w:sdt>
                          <w:sdtPr>
                            <w:rPr>
                              <w:rFonts w:ascii="宋体" w:eastAsia="宋体" w:cs="宋体" w:hint="eastAsia"/>
                              <w:sz w:val="28"/>
                              <w:szCs w:val="28"/>
                            </w:rPr>
                            <w:id w:val="942768357"/>
                          </w:sdtPr>
                          <w:sdtContent>
                            <w:p>
                              <w:pPr>
                                <w:pStyle w:val="18"/>
                                <w:tabs>
                                  <w:tab w:val="center" w:pos="4153"/>
                                  <w:tab w:val="right" w:pos="8306"/>
                                </w:tabs>
                                <w:jc w:val="center"/>
                                <w:rPr>
                                  <w:rFonts w:ascii="宋体" w:eastAsia="宋体" w:cs="宋体" w:hint="eastAsia"/>
                                  <w:sz w:val="28"/>
                                  <w:szCs w:val="28"/>
                                </w:rPr>
                              </w:pPr>
                              <w:r>
                                <w:rPr>
                                  <w:rFonts w:ascii="宋体" w:eastAsia="宋体" w:cs="宋体" w:hint="eastAsia"/>
                                  <w:sz w:val="28"/>
                                  <w:szCs w:val="28"/>
                                  <w:lang w:eastAsia="zh-CN"/>
                                </w:rPr>
                                <w:t>—</w:t>
                              </w:r>
                              <w:r>
                                <w:rPr>
                                  <w:rFonts w:ascii="宋体" w:eastAsia="宋体" w:cs="宋体" w:hint="eastAsia"/>
                                  <w:sz w:val="28"/>
                                  <w:szCs w:val="28"/>
                                  <w:lang w:val="en-US" w:eastAsia="zh-CN"/>
                                </w:rPr>
                                <w:t xml:space="preserve"> </w:t>
                              </w:r>
                              <w:r>
                                <w:rPr>
                                  <w:rFonts w:ascii="宋体" w:eastAsia="宋体" w:cs="宋体" w:hint="eastAsia"/>
                                  <w:sz w:val="28"/>
                                  <w:szCs w:val="28"/>
                                </w:rPr>
                                <w:fldChar w:fldCharType="begin"/>
                              </w:r>
                              <w:r>
                                <w:rPr>
                                  <w:rFonts w:ascii="宋体" w:eastAsia="宋体" w:cs="宋体" w:hint="eastAsia"/>
                                  <w:sz w:val="28"/>
                                  <w:szCs w:val="28"/>
                                </w:rPr>
                                <w:instrText>PAGE   \* MERGEFORMAT</w:instrText>
                              </w:r>
                              <w:r>
                                <w:rPr>
                                  <w:rFonts w:ascii="宋体" w:eastAsia="宋体" w:cs="宋体" w:hint="eastAsia"/>
                                  <w:sz w:val="28"/>
                                  <w:szCs w:val="28"/>
                                </w:rPr>
                                <w:fldChar w:fldCharType="separate"/>
                              </w:r>
                              <w:r>
                                <w:rPr>
                                  <w:rFonts w:ascii="宋体" w:eastAsia="宋体" w:cs="宋体" w:hint="eastAsia"/>
                                  <w:sz w:val="28"/>
                                  <w:szCs w:val="28"/>
                                  <w:lang w:val="zh-CN"/>
                                </w:rPr>
                                <w:t>24</w:t>
                              </w:r>
                              <w:r>
                                <w:rPr>
                                  <w:rFonts w:ascii="宋体" w:eastAsia="宋体" w:cs="宋体" w:hint="eastAsia"/>
                                  <w:sz w:val="28"/>
                                  <w:szCs w:val="28"/>
                                </w:rPr>
                                <w:fldChar w:fldCharType="end"/>
                              </w:r>
                              <w:r>
                                <w:rPr>
                                  <w:rFonts w:ascii="宋体" w:eastAsia="宋体" w:cs="宋体" w:hint="eastAsia"/>
                                  <w:sz w:val="28"/>
                                  <w:szCs w:val="28"/>
                                  <w:lang w:val="en-US" w:eastAsia="zh-CN"/>
                                </w:rPr>
                                <w:t xml:space="preserve"> </w:t>
                              </w:r>
                              <w:r>
                                <w:rPr>
                                  <w:rFonts w:ascii="宋体" w:eastAsia="宋体" w:cs="宋体" w:hint="eastAsia"/>
                                  <w:sz w:val="28"/>
                                  <w:szCs w:val="28"/>
                                  <w:lang w:eastAsia="zh-CN"/>
                                </w:rPr>
                                <w:t>—</w:t>
                              </w:r>
                            </w:p>
                          </w:sdtContent>
                        </w:sdt>
                        <w:p>
                          <w:pPr>
                            <w:rPr>
                              <w:rFonts w:ascii="宋体" w:eastAsia="宋体" w:cs="宋体" w:hint="eastAsia"/>
                              <w:sz w:val="28"/>
                              <w:szCs w:val="28"/>
                            </w:rPr>
                          </w:pPr>
                        </w:p>
                      </w:txbxContent>
                    </wps:txbx>
                    <wps:bodyPr vert="horz" wrap="none" lIns="0" tIns="0" rIns="0" bIns="0" anchor="t" anchorCtr="0" upright="1">
                      <a:spAutoFit/>
                    </wps:bodyPr>
                  </wps:wsp>
                </a:graphicData>
              </a:graphic>
            </wp:anchor>
          </w:drawing>
        </mc:Choice>
        <mc:Fallback>
          <w:pict>
            <v:shape type="#_x0000_t202" id="_x0000_s2049 3" o:spid="_x0000_s3" filled="f" stroked="f" style="position:absolute;margin-left:3.433175E-5pt;margin-top:0.0pt;width:55.99997pt;height:36.260006pt;z-index:37;mso-position-horizontal:outside;mso-position-horizontal-relative:margin;mso-position-vertical:absolute;mso-wrap-distance-left:8.999863pt;mso-wrap-distance-right:8.999863pt;mso-wrap-style:none;">
              <v:stroke color="#000000"/>
              <v:textbox id="855" inset="0mm,0mm,0mm,0mm" o:insetmode="custom" style="layout-flow:horizontal;v-text-anchor:top;mso-fit-shape-to-text:t;">
                <w:txbxContent>
                  <w:sdt>
                    <w:sdtPr>
                      <w:rPr>
                        <w:rFonts w:ascii="宋体" w:eastAsia="宋体" w:cs="宋体" w:hint="eastAsia"/>
                        <w:sz w:val="28"/>
                        <w:szCs w:val="28"/>
                      </w:rPr>
                      <w:id w:val="942768357"/>
                    </w:sdtPr>
                    <w:sdtContent>
                      <w:p>
                        <w:pPr>
                          <w:pStyle w:val="18"/>
                          <w:tabs>
                            <w:tab w:val="center" w:pos="4153"/>
                            <w:tab w:val="right" w:pos="8306"/>
                          </w:tabs>
                          <w:jc w:val="center"/>
                          <w:rPr>
                            <w:rFonts w:ascii="宋体" w:eastAsia="宋体" w:cs="宋体" w:hint="eastAsia"/>
                            <w:sz w:val="28"/>
                            <w:szCs w:val="28"/>
                          </w:rPr>
                        </w:pPr>
                        <w:r>
                          <w:rPr>
                            <w:rFonts w:ascii="宋体" w:eastAsia="宋体" w:cs="宋体" w:hint="eastAsia"/>
                            <w:sz w:val="28"/>
                            <w:szCs w:val="28"/>
                            <w:lang w:eastAsia="zh-CN"/>
                          </w:rPr>
                          <w:t>—</w:t>
                        </w:r>
                        <w:r>
                          <w:rPr>
                            <w:rFonts w:ascii="宋体" w:eastAsia="宋体" w:cs="宋体" w:hint="eastAsia"/>
                            <w:sz w:val="28"/>
                            <w:szCs w:val="28"/>
                            <w:lang w:val="en-US" w:eastAsia="zh-CN"/>
                          </w:rPr>
                          <w:t xml:space="preserve"> </w:t>
                        </w:r>
                        <w:r>
                          <w:rPr>
                            <w:rFonts w:ascii="宋体" w:eastAsia="宋体" w:cs="宋体" w:hint="eastAsia"/>
                            <w:sz w:val="28"/>
                            <w:szCs w:val="28"/>
                          </w:rPr>
                          <w:fldChar w:fldCharType="begin"/>
                        </w:r>
                        <w:r>
                          <w:rPr>
                            <w:rFonts w:ascii="宋体" w:eastAsia="宋体" w:cs="宋体" w:hint="eastAsia"/>
                            <w:sz w:val="28"/>
                            <w:szCs w:val="28"/>
                          </w:rPr>
                          <w:instrText>PAGE   \* MERGEFORMAT</w:instrText>
                        </w:r>
                        <w:r>
                          <w:rPr>
                            <w:rFonts w:ascii="宋体" w:eastAsia="宋体" w:cs="宋体" w:hint="eastAsia"/>
                            <w:sz w:val="28"/>
                            <w:szCs w:val="28"/>
                          </w:rPr>
                          <w:fldChar w:fldCharType="separate"/>
                        </w:r>
                        <w:r>
                          <w:rPr>
                            <w:rFonts w:ascii="宋体" w:eastAsia="宋体" w:cs="宋体" w:hint="eastAsia"/>
                            <w:sz w:val="28"/>
                            <w:szCs w:val="28"/>
                            <w:lang w:val="zh-CN"/>
                          </w:rPr>
                          <w:t>24</w:t>
                        </w:r>
                        <w:r>
                          <w:rPr>
                            <w:rFonts w:ascii="宋体" w:eastAsia="宋体" w:cs="宋体" w:hint="eastAsia"/>
                            <w:sz w:val="28"/>
                            <w:szCs w:val="28"/>
                          </w:rPr>
                          <w:fldChar w:fldCharType="end"/>
                        </w:r>
                        <w:r>
                          <w:rPr>
                            <w:rFonts w:ascii="宋体" w:eastAsia="宋体" w:cs="宋体" w:hint="eastAsia"/>
                            <w:sz w:val="28"/>
                            <w:szCs w:val="28"/>
                            <w:lang w:val="en-US" w:eastAsia="zh-CN"/>
                          </w:rPr>
                          <w:t xml:space="preserve"> </w:t>
                        </w:r>
                        <w:r>
                          <w:rPr>
                            <w:rFonts w:ascii="宋体" w:eastAsia="宋体" w:cs="宋体" w:hint="eastAsia"/>
                            <w:sz w:val="28"/>
                            <w:szCs w:val="28"/>
                            <w:lang w:eastAsia="zh-CN"/>
                          </w:rPr>
                          <w:t>—</w:t>
                        </w:r>
                      </w:p>
                    </w:sdtContent>
                  </w:sdt>
                  <w:p>
                    <w:pPr>
                      <w:rPr>
                        <w:rFonts w:ascii="宋体" w:eastAsia="宋体" w:cs="宋体" w:hint="eastAsia"/>
                        <w:sz w:val="28"/>
                        <w:szCs w:val="28"/>
                      </w:rPr>
                    </w:pPr>
                  </w:p>
                </w:txbxContent>
              </v:textbox>
            </v:shape>
          </w:pict>
        </mc:Fallback>
      </mc:AlternateContent>
    </w:r>
  </w:p>
  <w:p>
    <w:pPr>
      <w:pStyle w:val="18"/>
      <w:tabs>
        <w:tab w:val="center" w:pos="4153"/>
        <w:tab w:val="right" w:pos="8306"/>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enter" w:pos="4153"/>
        <w:tab w:val="right" w:pos="8306"/>
      </w:tabs>
    </w:pPr>
    <w:r>
      <w:rPr>
        <w:sz w:val="18"/>
      </w:rPr>
      <mc:AlternateContent>
        <mc:Choice Requires="wps">
          <w:drawing>
            <wp:anchor distT="0" distB="0" distL="114298" distR="114298" simplePos="0" relativeHeight="39" behindDoc="0" locked="0" layoutInCell="1" hidden="0" allowOverlap="1">
              <wp:simplePos x="0" y="0"/>
              <wp:positionH relativeFrom="margin">
                <wp:align>outside</wp:align>
              </wp:positionH>
              <wp:positionV relativeFrom="paragraph">
                <wp:posOffset>0</wp:posOffset>
              </wp:positionV>
              <wp:extent cx="622300" cy="230251"/>
              <wp:effectExtent l="0" t="0" r="0" b="0"/>
              <wp:wrapNone/>
              <wp:docPr id="4" name="_x0000_s2050"/>
              <wp:cNvGraphicFramePr>
                <a:graphicFrameLocks noChangeAspect="0"/>
              </wp:cNvGraphicFramePr>
              <a:graphic>
                <a:graphicData uri="http://schemas.microsoft.com/office/word/2010/wordprocessingShape">
                  <wps:wsp>
                    <wps:cNvSpPr/>
                    <wps:spPr>
                      <a:xfrm rot="0">
                        <a:off x="0" y="0"/>
                        <a:ext cx="622300" cy="230251"/>
                      </a:xfrm>
                      <a:prstGeom prst="rect"/>
                      <a:noFill/>
                      <a:ln w="9525" cmpd="sng" cap="flat">
                        <a:noFill/>
                        <a:prstDash val="solid"/>
                        <a:miter/>
                      </a:ln>
                    </wps:spPr>
                    <wps:txbx id="5">
                      <w:txbxContent>
                        <w:p>
                          <w:pPr>
                            <w:pStyle w:val="18"/>
                            <w:tabs>
                              <w:tab w:val="center" w:pos="4153"/>
                              <w:tab w:val="right" w:pos="8306"/>
                            </w:tabs>
                            <w:rPr>
                              <w:rFonts w:ascii="宋体" w:eastAsia="宋体" w:cs="宋体" w:hint="eastAsia"/>
                              <w:sz w:val="28"/>
                              <w:szCs w:val="28"/>
                              <w:lang w:eastAsia="zh-CN"/>
                            </w:rPr>
                          </w:pPr>
                          <w:r>
                            <w:rPr>
                              <w:rFonts w:ascii="宋体" w:eastAsia="宋体" w:cs="宋体" w:hint="eastAsia"/>
                              <w:sz w:val="28"/>
                              <w:szCs w:val="28"/>
                              <w:lang w:eastAsia="zh-CN"/>
                            </w:rPr>
                            <w:t>—</w:t>
                          </w:r>
                          <w:r>
                            <w:rPr>
                              <w:rFonts w:ascii="宋体" w:eastAsia="宋体" w:cs="宋体" w:hint="eastAsia"/>
                              <w:sz w:val="28"/>
                              <w:szCs w:val="28"/>
                              <w:lang w:val="en-US" w:eastAsia="zh-CN"/>
                            </w:rPr>
                            <w:t xml:space="preserve"> </w:t>
                          </w:r>
                          <w:r>
                            <w:rPr>
                              <w:rFonts w:ascii="宋体" w:eastAsia="宋体" w:cs="宋体" w:hint="eastAsia"/>
                              <w:sz w:val="28"/>
                              <w:szCs w:val="28"/>
                              <w:lang w:eastAsia="zh-CN"/>
                            </w:rPr>
                            <w:fldChar w:fldCharType="begin"/>
                          </w:r>
                          <w:r>
                            <w:rPr>
                              <w:rFonts w:ascii="宋体" w:eastAsia="宋体" w:cs="宋体" w:hint="eastAsia"/>
                              <w:sz w:val="28"/>
                              <w:szCs w:val="28"/>
                              <w:lang w:eastAsia="zh-CN"/>
                            </w:rPr>
                            <w:instrText xml:space="preserve"> PAGE  \* MERGEFORMAT </w:instrText>
                          </w:r>
                          <w:r>
                            <w:rPr>
                              <w:rFonts w:ascii="宋体" w:eastAsia="宋体" w:cs="宋体" w:hint="eastAsia"/>
                              <w:sz w:val="28"/>
                              <w:szCs w:val="28"/>
                              <w:lang w:eastAsia="zh-CN"/>
                            </w:rPr>
                            <w:fldChar w:fldCharType="separate"/>
                          </w:r>
                          <w:r>
                            <w:rPr>
                              <w:rFonts w:ascii="宋体" w:eastAsia="宋体" w:cs="宋体" w:hint="eastAsia"/>
                              <w:sz w:val="28"/>
                              <w:szCs w:val="28"/>
                              <w:lang w:eastAsia="zh-CN"/>
                            </w:rPr>
                            <w:t>1</w:t>
                          </w:r>
                          <w:r>
                            <w:rPr>
                              <w:rFonts w:ascii="宋体" w:eastAsia="宋体" w:cs="宋体" w:hint="eastAsia"/>
                              <w:sz w:val="28"/>
                              <w:szCs w:val="28"/>
                              <w:lang w:eastAsia="zh-CN"/>
                            </w:rPr>
                            <w:fldChar w:fldCharType="end"/>
                          </w:r>
                          <w:r>
                            <w:rPr>
                              <w:rFonts w:ascii="宋体" w:eastAsia="宋体" w:cs="宋体" w:hint="eastAsia"/>
                              <w:sz w:val="28"/>
                              <w:szCs w:val="28"/>
                              <w:lang w:val="en-US" w:eastAsia="zh-CN"/>
                            </w:rPr>
                            <w:t xml:space="preserve"> </w:t>
                          </w:r>
                          <w:r>
                            <w:rPr>
                              <w:rFonts w:ascii="宋体" w:eastAsia="宋体" w:cs="宋体" w:hint="eastAsia"/>
                              <w:sz w:val="28"/>
                              <w:szCs w:val="28"/>
                              <w:lang w:eastAsia="zh-CN"/>
                            </w:rPr>
                            <w:t>—</w:t>
                          </w:r>
                        </w:p>
                      </w:txbxContent>
                    </wps:txbx>
                    <wps:bodyPr vert="horz" wrap="none" lIns="0" tIns="0" rIns="0" bIns="0" anchor="t" anchorCtr="0" upright="1">
                      <a:spAutoFit/>
                    </wps:bodyPr>
                  </wps:wsp>
                </a:graphicData>
              </a:graphic>
            </wp:anchor>
          </w:drawing>
        </mc:Choice>
        <mc:Fallback>
          <w:pict>
            <v:shape type="#_x0000_t202" id="_x0000_s2050 6" o:spid="_x0000_s6" filled="f" stroked="f" style="position:absolute;margin-left:0.0pt;margin-top:0.0pt;width:49.0pt;height:18.130003pt;z-index:39;mso-position-horizontal:outside;mso-position-horizontal-relative:margin;mso-position-vertical:absolute;mso-wrap-distance-left:8.999863pt;mso-wrap-distance-right:8.999863pt;mso-wrap-style:none;">
              <v:stroke color="#000000"/>
              <v:textbox id="856" inset="0mm,0mm,0mm,0mm" o:insetmode="custom" style="layout-flow:horizontal;v-text-anchor:top;mso-fit-shape-to-text:t;">
                <w:txbxContent>
                  <w:p>
                    <w:pPr>
                      <w:pStyle w:val="18"/>
                      <w:tabs>
                        <w:tab w:val="center" w:pos="4153"/>
                        <w:tab w:val="right" w:pos="8306"/>
                      </w:tabs>
                      <w:rPr>
                        <w:rFonts w:ascii="宋体" w:eastAsia="宋体" w:cs="宋体" w:hint="eastAsia"/>
                        <w:sz w:val="28"/>
                        <w:szCs w:val="28"/>
                        <w:lang w:eastAsia="zh-CN"/>
                      </w:rPr>
                    </w:pPr>
                    <w:r>
                      <w:rPr>
                        <w:rFonts w:ascii="宋体" w:eastAsia="宋体" w:cs="宋体" w:hint="eastAsia"/>
                        <w:sz w:val="28"/>
                        <w:szCs w:val="28"/>
                        <w:lang w:eastAsia="zh-CN"/>
                      </w:rPr>
                      <w:t>—</w:t>
                    </w:r>
                    <w:r>
                      <w:rPr>
                        <w:rFonts w:ascii="宋体" w:eastAsia="宋体" w:cs="宋体" w:hint="eastAsia"/>
                        <w:sz w:val="28"/>
                        <w:szCs w:val="28"/>
                        <w:lang w:val="en-US" w:eastAsia="zh-CN"/>
                      </w:rPr>
                      <w:t xml:space="preserve"> </w:t>
                    </w:r>
                    <w:r>
                      <w:rPr>
                        <w:rFonts w:ascii="宋体" w:eastAsia="宋体" w:cs="宋体" w:hint="eastAsia"/>
                        <w:sz w:val="28"/>
                        <w:szCs w:val="28"/>
                        <w:lang w:eastAsia="zh-CN"/>
                      </w:rPr>
                      <w:fldChar w:fldCharType="begin"/>
                    </w:r>
                    <w:r>
                      <w:rPr>
                        <w:rFonts w:ascii="宋体" w:eastAsia="宋体" w:cs="宋体" w:hint="eastAsia"/>
                        <w:sz w:val="28"/>
                        <w:szCs w:val="28"/>
                        <w:lang w:eastAsia="zh-CN"/>
                      </w:rPr>
                      <w:instrText xml:space="preserve"> PAGE  \* MERGEFORMAT </w:instrText>
                    </w:r>
                    <w:r>
                      <w:rPr>
                        <w:rFonts w:ascii="宋体" w:eastAsia="宋体" w:cs="宋体" w:hint="eastAsia"/>
                        <w:sz w:val="28"/>
                        <w:szCs w:val="28"/>
                        <w:lang w:eastAsia="zh-CN"/>
                      </w:rPr>
                      <w:fldChar w:fldCharType="separate"/>
                    </w:r>
                    <w:r>
                      <w:rPr>
                        <w:rFonts w:ascii="宋体" w:eastAsia="宋体" w:cs="宋体" w:hint="eastAsia"/>
                        <w:sz w:val="28"/>
                        <w:szCs w:val="28"/>
                        <w:lang w:eastAsia="zh-CN"/>
                      </w:rPr>
                      <w:t>1</w:t>
                    </w:r>
                    <w:r>
                      <w:rPr>
                        <w:rFonts w:ascii="宋体" w:eastAsia="宋体" w:cs="宋体" w:hint="eastAsia"/>
                        <w:sz w:val="28"/>
                        <w:szCs w:val="28"/>
                        <w:lang w:eastAsia="zh-CN"/>
                      </w:rPr>
                      <w:fldChar w:fldCharType="end"/>
                    </w:r>
                    <w:r>
                      <w:rPr>
                        <w:rFonts w:ascii="宋体" w:eastAsia="宋体" w:cs="宋体" w:hint="eastAsia"/>
                        <w:sz w:val="28"/>
                        <w:szCs w:val="28"/>
                        <w:lang w:val="en-US" w:eastAsia="zh-CN"/>
                      </w:rPr>
                      <w:t xml:space="preserve"> </w:t>
                    </w:r>
                    <w:r>
                      <w:rPr>
                        <w:rFonts w:ascii="宋体" w:eastAsia="宋体" w:cs="宋体" w:hint="eastAsia"/>
                        <w:sz w:val="28"/>
                        <w:szCs w:val="28"/>
                        <w:lang w:eastAsia="zh-CN"/>
                      </w:rPr>
                      <w:t>—</w:t>
                    </w:r>
                  </w:p>
                </w:txbxContent>
              </v:textbox>
            </v:shape>
          </w:pict>
        </mc:Fallback>
      </mc:AlternateContent>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1272550B"/>
    <w:multiLevelType w:val="multilevel"/>
    <w:tmpl w:val="1272550B"/>
    <w:lvl w:ilvl="0">
      <w:start w:val="1"/>
      <w:numFmt w:val="japaneseCounting"/>
      <w:lvlRestart w:val="0"/>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4AE11D43"/>
    <w:multiLevelType w:val="singleLevel"/>
    <w:tmpl w:val="4AE11D43"/>
    <w:lvl w:ilvl="0">
      <w:start w:val="1"/>
      <w:numFmt w:val="decimal"/>
      <w:lvlRestart w:val="0"/>
      <w:lvlText w:val="%1."/>
      <w:lvlJc w:val="left"/>
      <w:pPr>
        <w:tabs>
          <w:tab w:val="num" w:pos="312"/>
        </w:tabs>
      </w:pPr>
    </w:lvl>
  </w:abstractNum>
  <w:abstractNum w:abstractNumId="2">
    <w:nsid w:val="CF652CEC"/>
    <w:multiLevelType w:val="singleLevel"/>
    <w:tmpl w:val="CF652CEC"/>
    <w:lvl w:ilvl="0">
      <w:start w:val="9"/>
      <w:numFmt w:val="chineseCounting"/>
      <w:lvlRestart w:val="0"/>
      <w:suff w:val="nothing"/>
      <w:lvlText w:val="%1、"/>
      <w:lvlJc w:val="left"/>
      <w:pPr/>
      <w:rPr>
        <w:rFonts w:hint="eastAsia"/>
      </w:rPr>
    </w:lvl>
  </w:abstractNum>
  <w:abstractNum w:abstractNumId="3">
    <w:nsid w:val="E8417CA5"/>
    <w:multiLevelType w:val="singleLevel"/>
    <w:tmpl w:val="E8417CA5"/>
    <w:lvl w:ilvl="0">
      <w:start w:val="1"/>
      <w:numFmt w:val="decimal"/>
      <w:lvlRestart w:val="0"/>
      <w:lvlText w:val="%1."/>
      <w:lvlJc w:val="left"/>
      <w:pPr>
        <w:tabs>
          <w:tab w:val="num" w:pos="312"/>
        </w:tabs>
      </w:pPr>
    </w:lvl>
  </w:abstractNum>
  <w:abstractNum w:abstractNumId="4">
    <w:nsid w:val="E2FA047D"/>
    <w:multiLevelType w:val="singleLevel"/>
    <w:tmpl w:val="E2FA047D"/>
    <w:lvl w:ilvl="0">
      <w:start w:val="3"/>
      <w:numFmt w:val="chineseCounting"/>
      <w:lvlRestart w:val="0"/>
      <w:suff w:val="space"/>
      <w:lvlText w:val="第%1部分"/>
      <w:lvlJc w:val="left"/>
      <w:pPr/>
      <w:rPr>
        <w:rFonts w:hint="eastAsia"/>
      </w:rPr>
    </w:lvl>
  </w:abstractNum>
  <w:abstractNum w:abstractNumId="5">
    <w:nsid w:val="08F8701B"/>
    <w:multiLevelType w:val="singleLevel"/>
    <w:tmpl w:val="08F8701B"/>
    <w:lvl w:ilvl="0">
      <w:start w:val="2"/>
      <w:numFmt w:val="chineseCounting"/>
      <w:lvlRestart w:val="0"/>
      <w:suff w:val="nothing"/>
      <w:lvlText w:val="（%1）"/>
      <w:lvlJc w:val="left"/>
      <w:pPr/>
      <w:rPr>
        <w:rFonts w:hint="eastAsia"/>
      </w:rPr>
    </w:lvl>
  </w:abstractNum>
  <w:abstractNum w:abstractNumId="6">
    <w:nsid w:val="42BF9313"/>
    <w:multiLevelType w:val="singleLevel"/>
    <w:tmpl w:val="42BF9313"/>
    <w:lvl w:ilvl="0">
      <w:start w:val="3"/>
      <w:numFmt w:val="chineseCounting"/>
      <w:lvlRestart w:val="0"/>
      <w:suff w:val="nothing"/>
      <w:lvlText w:val="%1、"/>
      <w:lvlJc w:val="left"/>
      <w:pPr/>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9"/>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link w:val="1Char"/>
    <w:pPr>
      <w:keepNext/>
      <w:keepLines/>
      <w:widowControl w:val="0"/>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basedOn w:val="0"/>
    <w:next w:val="0"/>
    <w:link w:val="2Char"/>
    <w:pPr>
      <w:keepNext/>
      <w:keepLines/>
      <w:widowControl w:val="0"/>
      <w:spacing w:before="260" w:after="260" w:line="415" w:lineRule="auto"/>
      <w:outlineLvl w:val="1"/>
    </w:pPr>
    <w:rPr>
      <w:rFonts w:ascii="Cambria" w:eastAsia="宋体" w:cs="Times New Roman" w:hAnsi="Cambria"/>
      <w:b/>
      <w:bCs/>
      <w:sz w:val="32"/>
      <w:szCs w:val="32"/>
    </w:rPr>
  </w:style>
  <w:style w:type="character" w:customStyle="1" w:styleId="2Char">
    <w:name w:val="heading 2 Char"/>
    <w:basedOn w:val="10"/>
    <w:link w:val="2"/>
    <w:rPr>
      <w:rFonts w:ascii="Cambria" w:eastAsia="宋体" w:cs="Times New Roman" w:hAnsi="Times New Roman"/>
      <w:b/>
      <w:bCs/>
      <w:kern w:val="2"/>
      <w:sz w:val="32"/>
      <w:szCs w:val="32"/>
      <w:lang w:val="en-US" w:eastAsia="zh-CN" w:bidi="ar-SA"/>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Body Text"/>
    <w:basedOn w:val="0"/>
    <w:pPr>
      <w:spacing w:beforeLines="30" w:before="30"/>
    </w:pPr>
    <w:rPr>
      <w:rFonts w:ascii="仿宋_GB2312" w:eastAsia="仿宋_GB2312"/>
      <w:kern w:val="0"/>
      <w:sz w:val="30"/>
    </w:rPr>
  </w:style>
  <w:style w:type="paragraph" w:styleId="16">
    <w:name w:val="toc 3"/>
    <w:basedOn w:val="0"/>
    <w:next w:val="0"/>
    <w:pPr>
      <w:tabs>
        <w:tab w:val="right" w:leader="dot" w:pos="8296"/>
      </w:tabs>
      <w:ind w:leftChars="400" w:left="400"/>
    </w:pPr>
  </w:style>
  <w:style w:type="paragraph" w:styleId="17">
    <w:name w:val="Balloon Text"/>
    <w:basedOn w:val="0"/>
    <w:rPr>
      <w:sz w:val="18"/>
      <w:szCs w:val="18"/>
    </w:rPr>
  </w:style>
  <w:style w:type="paragraph" w:styleId="18">
    <w:name w:val="footer"/>
    <w:basedOn w:val="0"/>
    <w:pPr>
      <w:tabs>
        <w:tab w:val="center" w:pos="4153"/>
        <w:tab w:val="right" w:pos="8306"/>
      </w:tabs>
      <w:snapToGrid w:val="0"/>
      <w:jc w:val="left"/>
    </w:pPr>
    <w:rPr>
      <w:rFonts w:ascii="Calibri" w:hAnsi="Calibri"/>
      <w:kern w:val="0"/>
      <w:sz w:val="18"/>
      <w:szCs w:val="18"/>
    </w:rPr>
  </w:style>
  <w:style w:type="paragraph" w:styleId="19">
    <w:name w:val="header"/>
    <w:basedOn w:val="0"/>
    <w:pPr>
      <w:pBdr>
        <w:bottom w:val="single" w:sz="6" w:space="1" w:color="auto"/>
      </w:pBdr>
      <w:tabs>
        <w:tab w:val="center" w:pos="4153"/>
        <w:tab w:val="right" w:pos="8306"/>
      </w:tabs>
      <w:snapToGrid w:val="0"/>
      <w:jc w:val="center"/>
    </w:pPr>
    <w:rPr>
      <w:rFonts w:ascii="Calibri" w:hAnsi="Calibri"/>
      <w:kern w:val="0"/>
      <w:sz w:val="18"/>
      <w:szCs w:val="18"/>
    </w:rPr>
  </w:style>
  <w:style w:type="paragraph" w:styleId="20">
    <w:name w:val="toc 1"/>
    <w:basedOn w:val="0"/>
    <w:next w:val="0"/>
    <w:pPr>
      <w:tabs>
        <w:tab w:val="right" w:leader="dot" w:pos="8296"/>
      </w:tabs>
      <w:spacing w:before="93"/>
      <w:jc w:val="center"/>
    </w:pPr>
    <w:rPr>
      <w:rFonts w:ascii="仿宋" w:eastAsia="仿宋" w:hAnsi="仿宋"/>
      <w:sz w:val="28"/>
      <w:szCs w:val="28"/>
    </w:rPr>
  </w:style>
  <w:style w:type="paragraph" w:styleId="21">
    <w:name w:val="toc 2"/>
    <w:basedOn w:val="0"/>
    <w:next w:val="0"/>
    <w:pPr>
      <w:tabs>
        <w:tab w:val="right" w:leader="dot" w:pos="8296"/>
      </w:tabs>
      <w:ind w:leftChars="200" w:left="200"/>
    </w:pPr>
  </w:style>
  <w:style w:type="character" w:styleId="22">
    <w:name w:val="Strong"/>
    <w:basedOn w:val="10"/>
    <w:rPr>
      <w:b/>
    </w:rPr>
  </w:style>
  <w:style w:type="character" w:styleId="23">
    <w:name w:val="Hyperlink"/>
    <w:basedOn w:val="10"/>
    <w:rPr>
      <w:color w:val="0000FF"/>
      <w:u w:val="single"/>
    </w:rPr>
  </w:style>
  <w:style w:type="character" w:customStyle="1" w:styleId="24">
    <w:name w:val="Header Char"/>
    <w:basedOn w:val="10"/>
    <w:rPr>
      <w:rFonts w:ascii="Times New Roman" w:hAnsi="Times New Roman"/>
      <w:sz w:val="18"/>
      <w:szCs w:val="18"/>
    </w:rPr>
  </w:style>
  <w:style w:type="character" w:customStyle="1" w:styleId="25">
    <w:name w:val="Footer Char"/>
    <w:basedOn w:val="10"/>
    <w:rPr>
      <w:rFonts w:ascii="Times New Roman" w:hAnsi="Times New Roman"/>
      <w:sz w:val="18"/>
      <w:szCs w:val="18"/>
    </w:rPr>
  </w:style>
  <w:style w:type="character" w:customStyle="1" w:styleId="26">
    <w:name w:val="Body Text Char"/>
    <w:basedOn w:val="10"/>
    <w:rPr>
      <w:rFonts w:ascii="Times New Roman" w:hAnsi="Times New Roman"/>
      <w:szCs w:val="24"/>
    </w:rPr>
  </w:style>
  <w:style w:type="paragraph" w:customStyle="1" w:styleId="27">
    <w:name w:val="Default"/>
    <w:pPr>
      <w:widowControl w:val="0"/>
      <w:autoSpaceDE w:val="0"/>
      <w:autoSpaceDN w:val="0"/>
      <w:adjustRightInd w:val="0"/>
    </w:pPr>
    <w:rPr>
      <w:rFonts w:ascii="仿宋" w:eastAsia="仿宋" w:cs="仿宋" w:hAnsi="Calibri"/>
      <w:color w:val="000000"/>
      <w:sz w:val="24"/>
      <w:szCs w:val="24"/>
      <w:lang w:val="en-US" w:eastAsia="zh-CN" w:bidi="ar-SA"/>
    </w:rPr>
  </w:style>
  <w:style w:type="paragraph" w:styleId="28">
    <w:name w:val="List Paragraph"/>
    <w:basedOn w:val="0"/>
    <w:pPr>
      <w:ind w:firstLineChars="200" w:firstLine="200"/>
    </w:pPr>
  </w:style>
  <w:style w:type="paragraph" w:customStyle="1" w:styleId="29">
    <w:name w:val="TOC 标题1"/>
    <w:basedOn w:val="1"/>
    <w:next w:val="0"/>
    <w:pPr>
      <w:keepNext/>
      <w:keepLines/>
      <w:widowControl/>
      <w:spacing w:before="480" w:after="0" w:line="276" w:lineRule="auto"/>
      <w:jc w:val="left"/>
      <w:outlineLvl w:val="9"/>
    </w:pPr>
    <w:rPr>
      <w:rFonts w:ascii="Cambria" w:eastAsia="宋体" w:cs="Times New Roman" w:hAnsi="Cambria"/>
      <w:color w:val="366091"/>
      <w:kern w:val="0"/>
      <w:sz w:val="28"/>
      <w:szCs w:val="28"/>
    </w:rPr>
  </w:style>
  <w:style w:type="paragraph" w:customStyle="1" w:styleId="30">
    <w:name w:val="TOC Heading"/>
    <w:basedOn w:val="1"/>
    <w:next w:val="0"/>
    <w:pPr>
      <w:keepNext/>
      <w:keepLines/>
      <w:widowControl/>
      <w:spacing w:before="480" w:after="0" w:line="276" w:lineRule="auto"/>
      <w:jc w:val="left"/>
      <w:outlineLvl w:val="9"/>
    </w:pPr>
    <w:rPr>
      <w:rFonts w:ascii="Cambria" w:eastAsia="宋体" w:cs="Times New Roman" w:hAnsi="Cambria"/>
      <w:color w:val="366091"/>
      <w:kern w:val="0"/>
      <w:sz w:val="28"/>
      <w:szCs w:val="28"/>
    </w:rPr>
  </w:style>
  <w:style w:type="character" w:customStyle="1" w:styleId="31">
    <w:name w:val="15"/>
    <w:basedOn w:val="10"/>
    <w:rPr>
      <w:rFonts w:ascii="Times New Roman" w:cs="Times New Roman" w:hAnsi="Times New Roman"/>
      <w:b/>
      <w:bCs/>
      <w:kern w:val="44"/>
      <w:sz w:val="44"/>
      <w:szCs w:val="44"/>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chart" Target="charts/chart1.xml"/><Relationship Id="rId6" Type="http://schemas.openxmlformats.org/officeDocument/2006/relationships/chart" Target="charts/chart2.xml"/><Relationship Id="rId7" Type="http://schemas.openxmlformats.org/officeDocument/2006/relationships/chart" Target="charts/chart3.xml"/><Relationship Id="rId8" Type="http://schemas.openxmlformats.org/officeDocument/2006/relationships/chart" Target="charts/chart4.xml"/><Relationship Id="rId9" Type="http://schemas.openxmlformats.org/officeDocument/2006/relationships/chart" Target="charts/chart5.xml"/><Relationship Id="rId10" Type="http://schemas.openxmlformats.org/officeDocument/2006/relationships/chart" Target="charts/chart6.xml"/><Relationship Id="rId11" Type="http://schemas.openxmlformats.org/officeDocument/2006/relationships/chart" Target="charts/chart7.xml"/><Relationship Id="rId12" Type="http://schemas.openxmlformats.org/officeDocument/2006/relationships/styles" Target="styles.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customXml" Target="../customXml/item1.xml"/></Relationships>
</file>

<file path=word/charts/_rels/chart1.xml.rels><?xml version="1.0" encoding="UTF-8" standalone="yes"?>
<Relationships xmlns="http://schemas.openxmlformats.org/package/2006/relationships"><Relationship Id="rId1" Type="http://schemas.openxmlformats.org/officeDocument/2006/relationships/package" Target="../embeddings/char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char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char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char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char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char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chart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i="0" u="none" strike="noStrike" baseline="0">
                <a:solidFill>
                  <a:srgbClr val="000000"/>
                </a:solidFill>
                <a:latin typeface="宋体"/>
                <a:ea typeface="宋体"/>
                <a:cs typeface="Lucida Sans"/>
              </a:defRPr>
            </a:pPr>
            <a:r>
              <a:rPr lang="zh-CN"/>
              <a:t>收、支决算总计变动情况表（单位：万元）</a:t>
            </a:r>
          </a:p>
        </c:rich>
      </c:tx>
      <c:layout>
        <c:manualLayout>
          <c:xMode val="edge"/>
          <c:yMode val="edge"/>
          <c:x val="0.06899468"/>
          <c:y val="0.042074364"/>
        </c:manualLayout>
      </c:layout>
      <c:overlay val="0"/>
      <c:spPr>
        <a:noFill/>
        <a:ln>
          <a:noFill/>
        </a:ln>
      </c:spPr>
    </c:title>
    <c:autoTitleDeleted val="1"/>
    <c:plotArea>
      <c:layout>
        <c:manualLayout>
          <c:layoutTarget val="inner"/>
          <c:xMode val="edge"/>
          <c:yMode val="edge"/>
          <c:x val="0.09963065"/>
          <c:y val="0.22460242"/>
          <c:w val="0.9175"/>
          <c:h val="0.48475"/>
        </c:manualLayout>
      </c:layout>
      <c:barChart>
        <c:barDir val="col"/>
        <c:grouping val="clustered"/>
        <c:varyColors val="0"/>
        <c:ser>
          <c:idx val="0"/>
          <c:order val="0"/>
          <c:tx>
            <c:v>收、支决算总计变动情况表</c:v>
          </c:tx>
          <c:spPr>
            <a:solidFill>
              <a:srgbClr val="E6B9B8"/>
            </a:solidFill>
            <a:ln w="6350">
              <a:solidFill>
                <a:srgbClr val="000000"/>
              </a:solidFill>
              <a:prstDash val="solid"/>
            </a:ln>
          </c:spPr>
          <c:invertIfNegative val="0"/>
          <c:dPt>
            <c:idx val="0"/>
            <c:invertIfNegative val="0"/>
            <c:bubble3D val="0"/>
            <c:spPr>
              <a:solidFill>
                <a:srgbClr val="E6B9B8"/>
              </a:solidFill>
              <a:ln w="6350">
                <a:solidFill>
                  <a:srgbClr val="000000"/>
                </a:solidFill>
                <a:prstDash val="solid"/>
              </a:ln>
            </c:spPr>
          </c:dPt>
          <c:dPt>
            <c:idx val="1"/>
            <c:invertIfNegative val="0"/>
            <c:bubble3D val="0"/>
            <c:spPr>
              <a:solidFill>
                <a:srgbClr val="B9CDE5"/>
              </a:solidFill>
              <a:ln w="6350">
                <a:solidFill>
                  <a:srgbClr val="000000"/>
                </a:solidFill>
                <a:prstDash val="solid"/>
              </a:ln>
            </c:spPr>
          </c:dPt>
          <c:dPt>
            <c:idx val="2"/>
            <c:invertIfNegative val="0"/>
            <c:bubble3D val="0"/>
            <c:spPr>
              <a:solidFill>
                <a:srgbClr val="E6B9B8"/>
              </a:solidFill>
              <a:ln w="6350">
                <a:solidFill>
                  <a:srgbClr val="000000"/>
                </a:solidFill>
                <a:prstDash val="solid"/>
              </a:ln>
            </c:spPr>
          </c:dPt>
          <c:dPt>
            <c:idx val="3"/>
            <c:invertIfNegative val="0"/>
            <c:bubble3D val="0"/>
            <c:spPr>
              <a:solidFill>
                <a:srgbClr val="B9CDE5"/>
              </a:solidFill>
              <a:ln w="6350">
                <a:solidFill>
                  <a:srgbClr val="000000"/>
                </a:solidFill>
                <a:prstDash val="solid"/>
              </a:ln>
            </c:spPr>
          </c:dPt>
          <c:dLbls>
            <c:spPr>
              <a:noFill/>
              <a:ln>
                <a:noFill/>
              </a:ln>
            </c:spPr>
            <c:txPr>
              <a:bodyPr vert="horz"/>
              <a:lstStyle/>
              <a:p>
                <a:pPr>
                  <a:defRPr sz="1200" b="0" i="0" u="none" strike="noStrike" baseline="0">
                    <a:solidFill>
                      <a:srgbClr val="000000"/>
                    </a:solidFill>
                    <a:latin typeface="宋体"/>
                    <a:ea typeface="宋体"/>
                    <a:cs typeface="Lucida Sans"/>
                  </a:defRPr>
                </a:pPr>
                <a:endParaRPr lang="zh-CN"/>
              </a:p>
            </c:txPr>
            <c:numFmt formatCode="General" sourceLinked="0"/>
            <c:dLblPos val="outEnd"/>
            <c:showLegendKey val="0"/>
            <c:showVal val="1"/>
            <c:showCatName val="0"/>
            <c:showSerName val="0"/>
            <c:showPercent val="0"/>
            <c:showBubbleSize val="0"/>
            <c:showLeaderLines val="0"/>
          </c:dLbls>
          <c:cat>
            <c:strLit>
              <c:ptCount val="10"/>
              <c:pt idx="0">
                <c:v>收入</c:v>
              </c:pt>
              <c:pt idx="1">
                <c:v>支出</c:v>
              </c:pt>
              <c:pt idx="2">
                <c:v>收入</c:v>
              </c:pt>
              <c:pt idx="3">
                <c:v>支出</c:v>
              </c:pt>
              <c:pt idx="4">
                <c:v>&amp;sxmk&amp;</c:v>
              </c:pt>
              <c:pt idx="5">
                <c:v>2018年</c:v>
              </c:pt>
              <c:pt idx="7">
                <c:v>2019年</c:v>
              </c:pt>
              <c:pt idx="9">
                <c:v>&amp;sxmk&amp;</c:v>
              </c:pt>
            </c:strLit>
          </c:cat>
          <c:val>
            <c:numRef>
              <c:f/>
              <c:numCache>
                <c:formatCode>General</c:formatCode>
                <c:ptCount val="4"/>
                <c:pt idx="0">
                  <c:v>6301.14</c:v>
                </c:pt>
                <c:pt idx="1">
                  <c:v>6299.34</c:v>
                </c:pt>
                <c:pt idx="2">
                  <c:v>27681.74</c:v>
                </c:pt>
                <c:pt idx="3">
                  <c:v>27691.76</c:v>
                </c:pt>
              </c:numCache>
            </c:numRef>
          </c:val>
        </c:ser>
        <c:gapWidth val="150"/>
        <c:axId val="0"/>
        <c:axId val="1"/>
      </c:barChart>
      <c:catAx>
        <c:axId val="0"/>
        <c:scaling>
          <c:orientation val="minMax"/>
        </c:scaling>
        <c:delete val="0"/>
        <c:axPos val="b"/>
        <c:numFmt formatCode="General" sourceLinked="1"/>
        <c:majorTickMark val="in"/>
        <c:minorTickMark val="none"/>
        <c:tickLblPos val="nextTo"/>
        <c:spPr>
          <a:ln w="6350">
            <a:solidFill>
              <a:srgbClr val="000000"/>
            </a:solidFill>
            <a:prstDash val="solid"/>
          </a:ln>
        </c:spPr>
        <c:txPr>
          <a:bodyPr/>
          <a:lstStyle/>
          <a:p>
            <a:pPr>
              <a:defRPr sz="1200" b="0" i="0" u="none" strike="noStrike" baseline="0">
                <a:solidFill>
                  <a:srgbClr val="000000"/>
                </a:solidFill>
                <a:latin typeface="宋体"/>
                <a:ea typeface="宋体"/>
                <a:cs typeface="Lucida Sans"/>
              </a:defRPr>
            </a:pPr>
            <a:endParaRPr lang="zh-CN"/>
          </a:p>
        </c:txPr>
        <c:crosses val="autoZero"/>
        <c:auto val="1"/>
        <c:lblOffset val="100"/>
        <c:lblAlgn val="ctr"/>
        <c:noMultiLvlLbl val="0"/>
        <c:crossAx val="1"/>
      </c:catAx>
      <c:valAx>
        <c:axId val="1"/>
        <c:scaling>
          <c:orientation val="minMax"/>
        </c:scaling>
        <c:delete val="0"/>
        <c:axPos val="l"/>
        <c:majorGridlines>
          <c:spPr>
            <a:ln w="6350">
              <a:solidFill>
                <a:srgbClr val="000000"/>
              </a:solidFill>
              <a:prstDash val="solid"/>
            </a:ln>
          </c:spPr>
        </c:majorGridlines>
        <c:numFmt formatCode="General" sourceLinked="1"/>
        <c:majorTickMark val="in"/>
        <c:minorTickMark val="none"/>
        <c:tickLblPos val="nextTo"/>
        <c:spPr>
          <a:ln w="6350">
            <a:solidFill>
              <a:srgbClr val="000000"/>
            </a:solidFill>
            <a:prstDash val="solid"/>
          </a:ln>
        </c:spPr>
        <c:txPr>
          <a:bodyPr/>
          <a:lstStyle/>
          <a:p>
            <a:pPr>
              <a:defRPr sz="1200" b="0" i="0" u="none" strike="noStrike" baseline="0">
                <a:solidFill>
                  <a:srgbClr val="000000"/>
                </a:solidFill>
                <a:latin typeface="宋体"/>
                <a:ea typeface="宋体"/>
                <a:cs typeface="Lucida Sans"/>
              </a:defRPr>
            </a:pPr>
            <a:endParaRPr lang="zh-CN"/>
          </a:p>
        </c:txPr>
        <c:crossesAt val="1.0"/>
        <c:crossBetween val="between"/>
        <c:crossAx val="0"/>
      </c:valAx>
      <c:spPr>
        <a:solidFill>
          <a:srgbClr val="C0C0C0"/>
        </a:solidFill>
        <a:ln w="6350">
          <a:solidFill>
            <a:srgbClr val="808080"/>
          </a:solidFill>
          <a:prstDash val="solid"/>
        </a:ln>
      </c:spPr>
    </c:plotArea>
    <c:plotVisOnly val="1"/>
    <c:dispBlanksAs val="gap"/>
    <c:showDLblsOverMax val="0"/>
  </c:chart>
  <c:spPr>
    <a:solidFill>
      <a:srgbClr val="FFFFFF"/>
    </a:solidFill>
    <a:ln w="6350">
      <a:solidFill>
        <a:srgbClr val="000000"/>
      </a:solidFill>
      <a:prstDash val="solid"/>
    </a:ln>
  </c:spPr>
  <c:txPr>
    <a:bodyPr/>
    <a:lstStyle/>
    <a:p>
      <a:pPr>
        <a:defRPr sz="1200" b="0" i="0" u="none" strike="noStrike" baseline="0">
          <a:solidFill>
            <a:srgbClr val="000000"/>
          </a:solidFill>
          <a:latin typeface="宋体"/>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u="none" strike="noStrike" baseline="0">
                <a:solidFill>
                  <a:srgbClr val="595959"/>
                </a:solidFill>
                <a:latin typeface="Times New Roman"/>
                <a:ea typeface="宋体"/>
                <a:cs typeface="Lucida Sans"/>
              </a:defRPr>
            </a:pPr>
            <a:r>
              <a:rPr lang="zh-CN"/>
              <a:t>收入决算结构图</a:t>
            </a:r>
          </a:p>
        </c:rich>
      </c:tx>
      <c:layout/>
      <c:overlay val="0"/>
      <c:spPr>
        <a:noFill/>
        <a:ln>
          <a:noFill/>
        </a:ln>
      </c:spPr>
    </c:title>
    <c:autoTitleDeleted val="1"/>
    <c:plotArea>
      <c:layout/>
      <c:pieChart>
        <c:varyColors val="1"/>
        <c:ser>
          <c:idx val="0"/>
          <c:order val="0"/>
          <c:spPr>
            <a:solidFill>
              <a:srgbClr val="4F81BD"/>
            </a:solidFill>
          </c:spPr>
          <c:dPt>
            <c:idx val="0"/>
            <c:bubble3D val="0"/>
            <c:spPr>
              <a:solidFill>
                <a:srgbClr val="C0504D"/>
              </a:solidFill>
              <a:ln w="19050">
                <a:solidFill>
                  <a:srgbClr val="FFFFFF"/>
                </a:solidFill>
                <a:prstDash val="solid"/>
              </a:ln>
            </c:spPr>
          </c:dPt>
          <c:dPt>
            <c:idx val="1"/>
            <c:bubble3D val="0"/>
            <c:spPr>
              <a:solidFill>
                <a:srgbClr val="95B3D7"/>
              </a:solidFill>
              <a:ln w="19050">
                <a:solidFill>
                  <a:srgbClr val="FFFFFF"/>
                </a:solidFill>
                <a:prstDash val="solid"/>
              </a:ln>
            </c:spPr>
          </c:dPt>
          <c:dLbls>
            <c:txPr>
              <a:bodyPr/>
              <a:lstStyle/>
              <a:p>
                <a:pPr>
                  <a:defRPr sz="1000" b="0" i="0" u="none" strike="noStrike" baseline="0">
                    <a:solidFill>
                      <a:srgbClr val="000000"/>
                    </a:solidFill>
                    <a:latin typeface="Times New Roman"/>
                    <a:ea typeface="宋体"/>
                    <a:cs typeface="Lucida Sans"/>
                  </a:defRPr>
                </a:pPr>
                <a:endParaRPr lang="zh-CN"/>
              </a:p>
            </c:txPr>
            <c:numFmt formatCode="0.00%" sourceLinked="0"/>
            <c:showLegendKey val="0"/>
            <c:showVal val="0"/>
            <c:showCatName val="0"/>
            <c:showSerName val="0"/>
            <c:showPercent val="0"/>
            <c:showBubbleSize val="0"/>
            <c:showLeaderLines val="0"/>
          </c:dLbls>
          <c:cat>
            <c:strLit>
              <c:ptCount val="6"/>
              <c:pt idx="0">
                <c:v>865.75万元</c:v>
              </c:pt>
              <c:pt idx="1">
                <c:v>26815.99万元</c:v>
              </c:pt>
              <c:pt idx="2">
                <c:v>&amp;sxmk&amp;</c:v>
              </c:pt>
              <c:pt idx="3">
                <c:v>一般公共预算财政拨款收入</c:v>
              </c:pt>
              <c:pt idx="4">
                <c:v>政府性基金预算财政拨款收入</c:v>
              </c:pt>
              <c:pt idx="5">
                <c:v>&amp;sxmk&amp;</c:v>
              </c:pt>
            </c:strLit>
          </c:cat>
          <c:val>
            <c:numRef>
              <c:f/>
              <c:numCache>
                <c:formatCode>General</c:formatCode>
                <c:ptCount val="2"/>
                <c:pt idx="0">
                  <c:v>0.0313</c:v>
                </c:pt>
                <c:pt idx="1">
                  <c:v>0.9687</c:v>
                </c:pt>
              </c:numCache>
            </c:numRef>
          </c:val>
        </c:ser>
        <c:firstSliceAng val="0"/>
      </c:pieChart>
      <c:spPr>
        <a:noFill/>
        <a:ln>
          <a:noFill/>
        </a:ln>
      </c:spPr>
    </c:plotArea>
    <c:legend>
      <c:legendPos val="b"/>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u="none" strike="noStrike" baseline="0">
                <a:solidFill>
                  <a:srgbClr val="595959"/>
                </a:solidFill>
                <a:latin typeface="Times New Roman"/>
                <a:ea typeface="宋体"/>
                <a:cs typeface="Lucida Sans"/>
              </a:defRPr>
            </a:pPr>
            <a:r>
              <a:rPr lang="zh-CN"/>
              <a:t>支出决算结构图</a:t>
            </a:r>
          </a:p>
        </c:rich>
      </c:tx>
      <c:layout/>
      <c:overlay val="0"/>
      <c:spPr>
        <a:noFill/>
        <a:ln>
          <a:noFill/>
        </a:ln>
      </c:spPr>
    </c:title>
    <c:autoTitleDeleted val="1"/>
    <c:plotArea>
      <c:layout/>
      <c:pieChart>
        <c:varyColors val="1"/>
        <c:ser>
          <c:idx val="0"/>
          <c:order val="0"/>
          <c:spPr>
            <a:solidFill>
              <a:srgbClr val="CCC1DA"/>
            </a:solidFill>
          </c:spPr>
          <c:dPt>
            <c:idx val="0"/>
            <c:bubble3D val="0"/>
            <c:spPr>
              <a:solidFill>
                <a:srgbClr val="CCC1DA"/>
              </a:solidFill>
              <a:ln w="19050">
                <a:solidFill>
                  <a:srgbClr val="FFFFFF"/>
                </a:solidFill>
                <a:prstDash val="solid"/>
              </a:ln>
            </c:spPr>
          </c:dPt>
          <c:dPt>
            <c:idx val="1"/>
            <c:bubble3D val="0"/>
            <c:explosion val="0"/>
            <c:spPr>
              <a:solidFill>
                <a:srgbClr val="FAC090"/>
              </a:solidFill>
              <a:ln w="19050">
                <a:solidFill>
                  <a:srgbClr val="FFFFFF"/>
                </a:solidFill>
                <a:prstDash val="solid"/>
              </a:ln>
            </c:spPr>
          </c:dPt>
          <c:dLbls>
            <c:txPr>
              <a:bodyPr/>
              <a:lstStyle/>
              <a:p>
                <a:pPr>
                  <a:defRPr sz="1000" b="0" i="0" u="none" strike="noStrike" baseline="0">
                    <a:solidFill>
                      <a:srgbClr val="000000"/>
                    </a:solidFill>
                    <a:latin typeface="Times New Roman"/>
                    <a:ea typeface="宋体"/>
                    <a:cs typeface="Lucida Sans"/>
                  </a:defRPr>
                </a:pPr>
                <a:endParaRPr lang="zh-CN"/>
              </a:p>
            </c:txPr>
            <c:numFmt formatCode="0.00%" sourceLinked="0"/>
            <c:showLegendKey val="0"/>
            <c:showVal val="0"/>
            <c:showCatName val="0"/>
            <c:showSerName val="0"/>
            <c:showPercent val="0"/>
            <c:showBubbleSize val="0"/>
            <c:showLeaderLines val="0"/>
          </c:dLbls>
          <c:cat>
            <c:strLit>
              <c:ptCount val="6"/>
              <c:pt idx="0">
                <c:v>807.07万元</c:v>
              </c:pt>
              <c:pt idx="1">
                <c:v>26884.69万元</c:v>
              </c:pt>
              <c:pt idx="2">
                <c:v>&amp;sxmk&amp;</c:v>
              </c:pt>
              <c:pt idx="3">
                <c:v>基本支出</c:v>
              </c:pt>
              <c:pt idx="4">
                <c:v>项目支出</c:v>
              </c:pt>
              <c:pt idx="5">
                <c:v>&amp;sxmk&amp;</c:v>
              </c:pt>
            </c:strLit>
          </c:cat>
          <c:val>
            <c:numRef>
              <c:f/>
              <c:numCache>
                <c:formatCode>General</c:formatCode>
                <c:ptCount val="2"/>
                <c:pt idx="0">
                  <c:v>0.0291</c:v>
                </c:pt>
                <c:pt idx="1">
                  <c:v>0.9709</c:v>
                </c:pt>
              </c:numCache>
            </c:numRef>
          </c:val>
        </c:ser>
        <c:firstSliceAng val="0"/>
      </c:pieChart>
      <c:spPr>
        <a:noFill/>
        <a:ln>
          <a:noFill/>
        </a:ln>
      </c:spPr>
    </c:plotArea>
    <c:legend>
      <c:legendPos val="b"/>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i="0" u="none" strike="noStrike" baseline="0">
                <a:solidFill>
                  <a:srgbClr val="000000"/>
                </a:solidFill>
                <a:latin typeface="宋体"/>
                <a:ea typeface="宋体"/>
                <a:cs typeface="Lucida Sans"/>
              </a:defRPr>
            </a:pPr>
            <a:r>
              <a:rPr lang="zh-CN"/>
              <a:t>财政拨款收、支决算总计变动情况表（单位：万元）</a:t>
            </a:r>
          </a:p>
        </c:rich>
      </c:tx>
      <c:layout>
        <c:manualLayout>
          <c:xMode val="edge"/>
          <c:yMode val="edge"/>
          <c:x val="0.10612725"/>
          <c:y val="0.008498584"/>
        </c:manualLayout>
      </c:layout>
      <c:overlay val="0"/>
      <c:spPr>
        <a:noFill/>
        <a:ln>
          <a:noFill/>
        </a:ln>
      </c:spPr>
    </c:title>
    <c:autoTitleDeleted val="1"/>
    <c:plotArea>
      <c:layout>
        <c:manualLayout>
          <c:layoutTarget val="inner"/>
          <c:xMode val="edge"/>
          <c:yMode val="edge"/>
          <c:x val="0.07258051"/>
          <c:y val="0.19092889"/>
          <c:w val="0.9175"/>
          <c:h val="0.48475"/>
        </c:manualLayout>
      </c:layout>
      <c:barChart>
        <c:barDir val="col"/>
        <c:grouping val="clustered"/>
        <c:varyColors val="0"/>
        <c:ser>
          <c:idx val="0"/>
          <c:order val="0"/>
          <c:tx>
            <c:v>收、支决算总计变动情况表</c:v>
          </c:tx>
          <c:spPr>
            <a:solidFill>
              <a:srgbClr val="E6B9B8"/>
            </a:solidFill>
            <a:ln w="6350">
              <a:solidFill>
                <a:srgbClr val="000000"/>
              </a:solidFill>
              <a:prstDash val="solid"/>
            </a:ln>
          </c:spPr>
          <c:invertIfNegative val="0"/>
          <c:dPt>
            <c:idx val="0"/>
            <c:invertIfNegative val="0"/>
            <c:bubble3D val="0"/>
            <c:spPr>
              <a:solidFill>
                <a:srgbClr val="E6B9B8"/>
              </a:solidFill>
              <a:ln w="6350">
                <a:solidFill>
                  <a:srgbClr val="000000"/>
                </a:solidFill>
                <a:prstDash val="solid"/>
              </a:ln>
            </c:spPr>
          </c:dPt>
          <c:dPt>
            <c:idx val="1"/>
            <c:invertIfNegative val="0"/>
            <c:bubble3D val="0"/>
            <c:spPr>
              <a:solidFill>
                <a:srgbClr val="B9CDE5"/>
              </a:solidFill>
              <a:ln w="6350">
                <a:solidFill>
                  <a:srgbClr val="000000"/>
                </a:solidFill>
                <a:prstDash val="solid"/>
              </a:ln>
            </c:spPr>
          </c:dPt>
          <c:dPt>
            <c:idx val="2"/>
            <c:invertIfNegative val="0"/>
            <c:bubble3D val="0"/>
            <c:spPr>
              <a:solidFill>
                <a:srgbClr val="E6B9B8"/>
              </a:solidFill>
              <a:ln w="6350">
                <a:solidFill>
                  <a:srgbClr val="000000"/>
                </a:solidFill>
                <a:prstDash val="solid"/>
              </a:ln>
            </c:spPr>
          </c:dPt>
          <c:dPt>
            <c:idx val="3"/>
            <c:invertIfNegative val="0"/>
            <c:bubble3D val="0"/>
            <c:spPr>
              <a:solidFill>
                <a:srgbClr val="B9CDE5"/>
              </a:solidFill>
              <a:ln w="6350">
                <a:solidFill>
                  <a:srgbClr val="000000"/>
                </a:solidFill>
                <a:prstDash val="solid"/>
              </a:ln>
            </c:spPr>
          </c:dPt>
          <c:dLbls>
            <c:spPr>
              <a:noFill/>
              <a:ln>
                <a:noFill/>
              </a:ln>
            </c:spPr>
            <c:txPr>
              <a:bodyPr vert="horz"/>
              <a:lstStyle/>
              <a:p>
                <a:pPr>
                  <a:defRPr sz="1200" b="0" i="0" u="none" strike="noStrike" baseline="0">
                    <a:solidFill>
                      <a:srgbClr val="000000"/>
                    </a:solidFill>
                    <a:latin typeface="宋体"/>
                    <a:ea typeface="宋体"/>
                    <a:cs typeface="Lucida Sans"/>
                  </a:defRPr>
                </a:pPr>
                <a:endParaRPr lang="zh-CN"/>
              </a:p>
            </c:txPr>
            <c:numFmt formatCode="General" sourceLinked="0"/>
            <c:dLblPos val="outEnd"/>
            <c:showLegendKey val="0"/>
            <c:showVal val="1"/>
            <c:showCatName val="0"/>
            <c:showSerName val="0"/>
            <c:showPercent val="0"/>
            <c:showBubbleSize val="0"/>
            <c:showLeaderLines val="0"/>
          </c:dLbls>
          <c:cat>
            <c:strLit>
              <c:ptCount val="10"/>
              <c:pt idx="0">
                <c:v>收入</c:v>
              </c:pt>
              <c:pt idx="1">
                <c:v>支出</c:v>
              </c:pt>
              <c:pt idx="2">
                <c:v>收入</c:v>
              </c:pt>
              <c:pt idx="3">
                <c:v>支出</c:v>
              </c:pt>
              <c:pt idx="4">
                <c:v>&amp;sxmk&amp;</c:v>
              </c:pt>
              <c:pt idx="5">
                <c:v>2018年</c:v>
              </c:pt>
              <c:pt idx="7">
                <c:v>2019年</c:v>
              </c:pt>
              <c:pt idx="9">
                <c:v>&amp;sxmk&amp;</c:v>
              </c:pt>
            </c:strLit>
          </c:cat>
          <c:val>
            <c:numRef>
              <c:f/>
              <c:numCache>
                <c:formatCode>General</c:formatCode>
                <c:ptCount val="4"/>
                <c:pt idx="0">
                  <c:v>6301.14</c:v>
                </c:pt>
                <c:pt idx="1">
                  <c:v>6299.34</c:v>
                </c:pt>
                <c:pt idx="2">
                  <c:v>27681.74</c:v>
                </c:pt>
                <c:pt idx="3">
                  <c:v>27691.76</c:v>
                </c:pt>
              </c:numCache>
            </c:numRef>
          </c:val>
        </c:ser>
        <c:gapWidth val="150"/>
        <c:axId val="0"/>
        <c:axId val="1"/>
      </c:barChart>
      <c:catAx>
        <c:axId val="0"/>
        <c:scaling>
          <c:orientation val="minMax"/>
        </c:scaling>
        <c:delete val="0"/>
        <c:axPos val="b"/>
        <c:numFmt formatCode="General" sourceLinked="1"/>
        <c:majorTickMark val="in"/>
        <c:minorTickMark val="none"/>
        <c:tickLblPos val="nextTo"/>
        <c:spPr>
          <a:ln w="6350">
            <a:solidFill>
              <a:srgbClr val="000000"/>
            </a:solidFill>
            <a:prstDash val="solid"/>
          </a:ln>
        </c:spPr>
        <c:txPr>
          <a:bodyPr/>
          <a:lstStyle/>
          <a:p>
            <a:pPr>
              <a:defRPr sz="1200" b="0" i="0" u="none" strike="noStrike" baseline="0">
                <a:solidFill>
                  <a:srgbClr val="000000"/>
                </a:solidFill>
                <a:latin typeface="宋体"/>
                <a:ea typeface="宋体"/>
                <a:cs typeface="Lucida Sans"/>
              </a:defRPr>
            </a:pPr>
            <a:endParaRPr lang="zh-CN"/>
          </a:p>
        </c:txPr>
        <c:crosses val="autoZero"/>
        <c:auto val="1"/>
        <c:lblOffset val="100"/>
        <c:lblAlgn val="ctr"/>
        <c:noMultiLvlLbl val="0"/>
        <c:crossAx val="1"/>
      </c:catAx>
      <c:valAx>
        <c:axId val="1"/>
        <c:scaling>
          <c:orientation val="minMax"/>
        </c:scaling>
        <c:delete val="0"/>
        <c:axPos val="l"/>
        <c:majorGridlines>
          <c:spPr>
            <a:ln w="6350">
              <a:solidFill>
                <a:srgbClr val="000000"/>
              </a:solidFill>
              <a:prstDash val="solid"/>
            </a:ln>
          </c:spPr>
        </c:majorGridlines>
        <c:numFmt formatCode="General" sourceLinked="1"/>
        <c:majorTickMark val="in"/>
        <c:minorTickMark val="none"/>
        <c:tickLblPos val="nextTo"/>
        <c:spPr>
          <a:ln w="6350">
            <a:solidFill>
              <a:srgbClr val="000000"/>
            </a:solidFill>
            <a:prstDash val="solid"/>
          </a:ln>
        </c:spPr>
        <c:txPr>
          <a:bodyPr/>
          <a:lstStyle/>
          <a:p>
            <a:pPr>
              <a:defRPr sz="1200" b="0" i="0" u="none" strike="noStrike" baseline="0">
                <a:solidFill>
                  <a:srgbClr val="000000"/>
                </a:solidFill>
                <a:latin typeface="宋体"/>
                <a:ea typeface="宋体"/>
                <a:cs typeface="Lucida Sans"/>
              </a:defRPr>
            </a:pPr>
            <a:endParaRPr lang="zh-CN"/>
          </a:p>
        </c:txPr>
        <c:crossesAt val="1.0"/>
        <c:crossBetween val="between"/>
        <c:crossAx val="0"/>
      </c:valAx>
      <c:spPr>
        <a:solidFill>
          <a:srgbClr val="C0C0C0"/>
        </a:solidFill>
        <a:ln w="6350">
          <a:solidFill>
            <a:srgbClr val="808080"/>
          </a:solidFill>
          <a:prstDash val="solid"/>
        </a:ln>
      </c:spPr>
    </c:plotArea>
    <c:legend>
      <c:legendPos val="b"/>
      <c:layout>
        <c:manualLayout>
          <c:xMode val="edge"/>
          <c:yMode val="edge"/>
          <c:x val="0.10235838"/>
          <c:y val="0.9177746"/>
          <c:w val="0.85739535"/>
          <c:h val="0.06288533"/>
        </c:manualLayout>
      </c:layout>
      <c:overlay val="0"/>
      <c:spPr>
        <a:solidFill>
          <a:srgbClr val="FFFFFF"/>
        </a:solidFill>
        <a:ln w="6350">
          <a:solidFill>
            <a:srgbClr val="000000"/>
          </a:solidFill>
          <a:prstDash val="solid"/>
        </a:ln>
      </c:spPr>
      <c:txPr>
        <a:bodyPr/>
        <a:lstStyle/>
        <a:p>
          <a:pPr>
            <a:defRPr sz="1200" b="0" i="0" u="none" strike="noStrike" baseline="0">
              <a:solidFill>
                <a:srgbClr val="000000"/>
              </a:solidFill>
              <a:latin typeface="宋体"/>
              <a:ea typeface="宋体"/>
              <a:cs typeface="Lucida Sans"/>
            </a:defRPr>
          </a:pPr>
          <a:endParaRPr lang="zh-CN"/>
        </a:p>
      </c:txPr>
    </c:legend>
    <c:plotVisOnly val="1"/>
    <c:dispBlanksAs val="gap"/>
    <c:showDLblsOverMax val="0"/>
  </c:chart>
  <c:spPr>
    <a:solidFill>
      <a:srgbClr val="FFFFFF"/>
    </a:solidFill>
    <a:ln w="6350">
      <a:solidFill>
        <a:srgbClr val="000000"/>
      </a:solidFill>
      <a:prstDash val="solid"/>
    </a:ln>
  </c:spPr>
  <c:txPr>
    <a:bodyPr/>
    <a:lstStyle/>
    <a:p>
      <a:pPr>
        <a:defRPr sz="1200" b="0" i="0" u="none" strike="noStrike" baseline="0">
          <a:solidFill>
            <a:srgbClr val="000000"/>
          </a:solidFill>
          <a:latin typeface="宋体"/>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500" b="0" i="0" u="none" strike="noStrike" baseline="0">
                <a:solidFill>
                  <a:srgbClr val="000000"/>
                </a:solidFill>
                <a:latin typeface="宋体"/>
                <a:ea typeface="宋体"/>
                <a:cs typeface="Lucida Sans"/>
              </a:defRPr>
            </a:pPr>
            <a:r>
              <a:rPr lang="zh-CN"/>
              <a:t>一般公共预算财政拨款支出决算变动情况（单位：万元）</a:t>
            </a:r>
          </a:p>
        </c:rich>
      </c:tx>
      <c:layout>
        <c:manualLayout>
          <c:xMode val="edge"/>
          <c:yMode val="edge"/>
          <c:x val="0.068589665"/>
          <c:y val="0.04584352"/>
        </c:manualLayout>
      </c:layout>
      <c:overlay val="0"/>
      <c:spPr>
        <a:noFill/>
        <a:ln>
          <a:noFill/>
        </a:ln>
      </c:spPr>
    </c:title>
    <c:autoTitleDeleted val="1"/>
    <c:plotArea>
      <c:layout/>
      <c:barChart>
        <c:barDir val="col"/>
        <c:grouping val="clustered"/>
        <c:varyColors val="0"/>
        <c:ser>
          <c:idx val="0"/>
          <c:order val="0"/>
          <c:tx>
            <c:v>一般公共预算财政拨款支出决算变动情况</c:v>
          </c:tx>
          <c:spPr>
            <a:gradFill rotWithShape="1">
              <a:gsLst>
                <a:gs pos="0">
                  <a:srgbClr val="FE4444">
                    <a:alpha val="100000"/>
                  </a:srgbClr>
                </a:gs>
                <a:gs pos="100000">
                  <a:srgbClr val="832B2B">
                    <a:alpha val="100000"/>
                  </a:srgbClr>
                </a:gs>
              </a:gsLst>
              <a:lin ang="5400000" scaled="1"/>
            </a:gradFill>
            <a:ln w="6350">
              <a:solidFill>
                <a:srgbClr val="000000"/>
              </a:solidFill>
              <a:prstDash val="solid"/>
            </a:ln>
          </c:spPr>
          <c:invertIfNegative val="0"/>
          <c:dPt>
            <c:idx val="0"/>
            <c:invertIfNegative val="0"/>
            <c:bubble3D val="0"/>
            <c:spPr>
              <a:solidFill>
                <a:srgbClr val="B9CDE5"/>
              </a:solidFill>
              <a:ln w="6350">
                <a:solidFill>
                  <a:srgbClr val="000000"/>
                </a:solidFill>
                <a:prstDash val="solid"/>
              </a:ln>
            </c:spPr>
          </c:dPt>
          <c:dPt>
            <c:idx val="1"/>
            <c:invertIfNegative val="0"/>
            <c:bubble3D val="0"/>
            <c:spPr>
              <a:solidFill>
                <a:srgbClr val="E6B9B8"/>
              </a:solidFill>
              <a:ln w="6350">
                <a:solidFill>
                  <a:srgbClr val="000000"/>
                </a:solidFill>
                <a:prstDash val="solid"/>
              </a:ln>
            </c:spPr>
          </c:dPt>
          <c:dLbls>
            <c:spPr>
              <a:noFill/>
              <a:ln>
                <a:noFill/>
              </a:ln>
            </c:spPr>
            <c:txPr>
              <a:bodyPr vert="horz"/>
              <a:lstStyle/>
              <a:p>
                <a:pPr>
                  <a:defRPr sz="1500" b="0" i="0" u="none" strike="noStrike" baseline="0">
                    <a:solidFill>
                      <a:srgbClr val="000000"/>
                    </a:solidFill>
                    <a:latin typeface="宋体"/>
                    <a:ea typeface="宋体"/>
                    <a:cs typeface="Lucida Sans"/>
                  </a:defRPr>
                </a:pPr>
                <a:endParaRPr lang="zh-CN"/>
              </a:p>
            </c:txPr>
            <c:numFmt formatCode="General" sourceLinked="0"/>
            <c:dLblPos val="outEnd"/>
            <c:showLegendKey val="0"/>
            <c:showVal val="1"/>
            <c:showCatName val="0"/>
            <c:showSerName val="0"/>
            <c:showPercent val="0"/>
            <c:showBubbleSize val="0"/>
            <c:showLeaderLines val="0"/>
          </c:dLbls>
          <c:cat>
            <c:strLit>
              <c:ptCount val="6"/>
              <c:pt idx="0">
                <c:v>支出</c:v>
              </c:pt>
              <c:pt idx="1">
                <c:v>支出</c:v>
              </c:pt>
              <c:pt idx="2">
                <c:v>&amp;sxmk&amp;</c:v>
              </c:pt>
              <c:pt idx="3">
                <c:v>2018年</c:v>
              </c:pt>
              <c:pt idx="4">
                <c:v>2019年</c:v>
              </c:pt>
              <c:pt idx="5">
                <c:v>&amp;sxmk&amp;</c:v>
              </c:pt>
            </c:strLit>
          </c:cat>
          <c:val>
            <c:numRef>
              <c:f/>
              <c:numCache>
                <c:formatCode>General</c:formatCode>
                <c:ptCount val="2"/>
                <c:pt idx="0">
                  <c:v>745.44</c:v>
                </c:pt>
                <c:pt idx="1">
                  <c:v>875.77</c:v>
                </c:pt>
              </c:numCache>
            </c:numRef>
          </c:val>
        </c:ser>
        <c:gapWidth val="150"/>
        <c:axId val="0"/>
        <c:axId val="1"/>
      </c:barChart>
      <c:catAx>
        <c:axId val="0"/>
        <c:scaling>
          <c:orientation val="minMax"/>
        </c:scaling>
        <c:delete val="0"/>
        <c:axPos val="b"/>
        <c:numFmt formatCode="General" sourceLinked="1"/>
        <c:majorTickMark val="in"/>
        <c:minorTickMark val="none"/>
        <c:tickLblPos val="nextTo"/>
        <c:spPr>
          <a:ln w="6350">
            <a:solidFill>
              <a:srgbClr val="000000"/>
            </a:solidFill>
            <a:prstDash val="solid"/>
          </a:ln>
        </c:spPr>
        <c:txPr>
          <a:bodyPr/>
          <a:lstStyle/>
          <a:p>
            <a:pPr>
              <a:defRPr sz="1500" b="0" i="0" u="none" strike="noStrike" baseline="0">
                <a:solidFill>
                  <a:srgbClr val="000000"/>
                </a:solidFill>
                <a:latin typeface="宋体"/>
                <a:ea typeface="宋体"/>
                <a:cs typeface="Lucida Sans"/>
              </a:defRPr>
            </a:pPr>
            <a:endParaRPr lang="zh-CN"/>
          </a:p>
        </c:txPr>
        <c:crosses val="autoZero"/>
        <c:auto val="1"/>
        <c:lblOffset val="100"/>
        <c:lblAlgn val="ctr"/>
        <c:noMultiLvlLbl val="0"/>
        <c:crossAx val="1"/>
      </c:catAx>
      <c:valAx>
        <c:axId val="1"/>
        <c:scaling>
          <c:orientation val="minMax"/>
        </c:scaling>
        <c:delete val="0"/>
        <c:axPos val="l"/>
        <c:majorGridlines>
          <c:spPr>
            <a:ln w="6350">
              <a:solidFill>
                <a:srgbClr val="000000"/>
              </a:solidFill>
              <a:prstDash val="solid"/>
            </a:ln>
          </c:spPr>
        </c:majorGridlines>
        <c:numFmt formatCode="General" sourceLinked="1"/>
        <c:majorTickMark val="in"/>
        <c:minorTickMark val="none"/>
        <c:tickLblPos val="nextTo"/>
        <c:spPr>
          <a:ln w="6350">
            <a:solidFill>
              <a:srgbClr val="000000"/>
            </a:solidFill>
            <a:prstDash val="solid"/>
          </a:ln>
        </c:spPr>
        <c:txPr>
          <a:bodyPr/>
          <a:lstStyle/>
          <a:p>
            <a:pPr>
              <a:defRPr sz="1500" b="0" i="0" u="none" strike="noStrike" baseline="0">
                <a:solidFill>
                  <a:srgbClr val="000000"/>
                </a:solidFill>
                <a:latin typeface="宋体"/>
                <a:ea typeface="宋体"/>
                <a:cs typeface="Lucida Sans"/>
              </a:defRPr>
            </a:pPr>
            <a:endParaRPr lang="zh-CN"/>
          </a:p>
        </c:txPr>
        <c:crossesAt val="1.0"/>
        <c:crossBetween val="between"/>
        <c:crossAx val="0"/>
      </c:valAx>
      <c:spPr>
        <a:solidFill>
          <a:srgbClr val="C0C0C0"/>
        </a:solidFill>
        <a:ln w="6350">
          <a:solidFill>
            <a:srgbClr val="808080"/>
          </a:solidFill>
          <a:prstDash val="solid"/>
        </a:ln>
      </c:spPr>
    </c:plotArea>
    <c:legend>
      <c:legendPos val="b"/>
      <c:layout>
        <c:manualLayout>
          <c:xMode val="edge"/>
          <c:yMode val="edge"/>
          <c:x val="0.42460462"/>
          <c:y val="0.8283707"/>
          <c:w val="0.57125"/>
          <c:h val="0.11725"/>
        </c:manualLayout>
      </c:layout>
      <c:overlay val="0"/>
      <c:spPr>
        <a:solidFill>
          <a:srgbClr val="FFFFFF"/>
        </a:solidFill>
        <a:ln w="6350">
          <a:solidFill>
            <a:srgbClr val="000000"/>
          </a:solidFill>
          <a:prstDash val="solid"/>
        </a:ln>
      </c:spPr>
      <c:txPr>
        <a:bodyPr/>
        <a:lstStyle/>
        <a:p>
          <a:pPr>
            <a:defRPr sz="1500" b="0" i="0" u="none" strike="noStrike" baseline="0">
              <a:solidFill>
                <a:srgbClr val="000000"/>
              </a:solidFill>
              <a:latin typeface="宋体"/>
              <a:ea typeface="宋体"/>
              <a:cs typeface="Lucida Sans"/>
            </a:defRPr>
          </a:pPr>
          <a:endParaRPr lang="zh-CN"/>
        </a:p>
      </c:txPr>
    </c:legend>
    <c:plotVisOnly val="1"/>
    <c:dispBlanksAs val="gap"/>
    <c:showDLblsOverMax val="0"/>
  </c:chart>
  <c:spPr>
    <a:solidFill>
      <a:srgbClr val="FFFFFF"/>
    </a:solidFill>
    <a:ln w="6350">
      <a:solidFill>
        <a:srgbClr val="000000"/>
      </a:solidFill>
      <a:prstDash val="solid"/>
    </a:ln>
  </c:spPr>
  <c:txPr>
    <a:bodyPr/>
    <a:lstStyle/>
    <a:p>
      <a:pPr>
        <a:defRPr sz="1500" b="0" i="0" u="none" strike="noStrike" baseline="0">
          <a:solidFill>
            <a:srgbClr val="000000"/>
          </a:solidFill>
          <a:latin typeface="宋体"/>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u="none" strike="noStrike" baseline="0">
                <a:solidFill>
                  <a:srgbClr val="595959"/>
                </a:solidFill>
                <a:latin typeface="Times New Roman"/>
                <a:ea typeface="宋体"/>
                <a:cs typeface="Lucida Sans"/>
              </a:defRPr>
            </a:pPr>
            <a:r>
              <a:rPr lang="zh-CN"/>
              <a:t>一般公共预算财政拨款支出决算结构图</a:t>
            </a:r>
          </a:p>
        </c:rich>
      </c:tx>
      <c:layout/>
      <c:overlay val="0"/>
      <c:spPr>
        <a:noFill/>
        <a:ln>
          <a:noFill/>
        </a:ln>
      </c:spPr>
    </c:title>
    <c:autoTitleDeleted val="1"/>
    <c:plotArea>
      <c:layout/>
      <c:pieChart>
        <c:varyColors val="1"/>
        <c:ser>
          <c:idx val="0"/>
          <c:order val="0"/>
          <c:spPr>
            <a:solidFill>
              <a:srgbClr val="4F81BD"/>
            </a:solidFill>
          </c:spPr>
          <c:dPt>
            <c:idx val="0"/>
            <c:bubble3D val="0"/>
            <c:spPr>
              <a:solidFill>
                <a:srgbClr val="4F81BD"/>
              </a:solidFill>
              <a:ln w="19050">
                <a:solidFill>
                  <a:srgbClr val="FFFFFF"/>
                </a:solidFill>
                <a:prstDash val="solid"/>
              </a:ln>
            </c:spPr>
          </c:dPt>
          <c:dPt>
            <c:idx val="1"/>
            <c:bubble3D val="0"/>
            <c:spPr>
              <a:solidFill>
                <a:srgbClr val="C0504D"/>
              </a:solidFill>
              <a:ln w="19050">
                <a:solidFill>
                  <a:srgbClr val="FFFFFF"/>
                </a:solidFill>
                <a:prstDash val="solid"/>
              </a:ln>
            </c:spPr>
          </c:dPt>
          <c:dPt>
            <c:idx val="2"/>
            <c:bubble3D val="0"/>
            <c:spPr>
              <a:solidFill>
                <a:srgbClr val="9BBB59"/>
              </a:solidFill>
              <a:ln w="19050">
                <a:solidFill>
                  <a:srgbClr val="FFFFFF"/>
                </a:solidFill>
                <a:prstDash val="solid"/>
              </a:ln>
            </c:spPr>
          </c:dPt>
          <c:dPt>
            <c:idx val="3"/>
            <c:bubble3D val="0"/>
            <c:spPr>
              <a:solidFill>
                <a:srgbClr val="8064A2"/>
              </a:solidFill>
              <a:ln w="19050">
                <a:solidFill>
                  <a:srgbClr val="FFFFFF"/>
                </a:solidFill>
                <a:prstDash val="solid"/>
              </a:ln>
            </c:spPr>
          </c:dPt>
          <c:dPt>
            <c:idx val="4"/>
            <c:bubble3D val="0"/>
            <c:spPr>
              <a:solidFill>
                <a:srgbClr val="FAC090"/>
              </a:solidFill>
              <a:ln w="19050">
                <a:solidFill>
                  <a:srgbClr val="FFFFFF"/>
                </a:solidFill>
                <a:prstDash val="solid"/>
              </a:ln>
            </c:spPr>
          </c:dPt>
          <c:dPt>
            <c:idx val="5"/>
            <c:bubble3D val="0"/>
            <c:spPr>
              <a:solidFill>
                <a:srgbClr val="F79646"/>
              </a:solidFill>
              <a:ln w="19050">
                <a:solidFill>
                  <a:srgbClr val="FFFFFF"/>
                </a:solidFill>
                <a:prstDash val="solid"/>
              </a:ln>
            </c:spPr>
          </c:dPt>
          <c:dLbls>
            <c:txPr>
              <a:bodyPr/>
              <a:lstStyle/>
              <a:p>
                <a:pPr>
                  <a:defRPr sz="1000" b="0" i="0" u="none" strike="noStrike" baseline="0">
                    <a:solidFill>
                      <a:srgbClr val="000000"/>
                    </a:solidFill>
                    <a:latin typeface="Times New Roman"/>
                    <a:ea typeface="宋体"/>
                    <a:cs typeface="Lucida Sans"/>
                  </a:defRPr>
                </a:pPr>
                <a:endParaRPr lang="zh-CN"/>
              </a:p>
            </c:txPr>
            <c:numFmt formatCode="0.00%" sourceLinked="0"/>
            <c:showLegendKey val="0"/>
            <c:showVal val="0"/>
            <c:showCatName val="0"/>
            <c:showSerName val="0"/>
            <c:showPercent val="0"/>
            <c:showBubbleSize val="0"/>
            <c:showLeaderLines val="0"/>
          </c:dLbls>
          <c:cat>
            <c:strLit>
              <c:ptCount val="14"/>
              <c:pt idx="0">
                <c:v>652.20万元</c:v>
              </c:pt>
              <c:pt idx="1">
                <c:v>75.52万元</c:v>
              </c:pt>
              <c:pt idx="2">
                <c:v>28.56万元</c:v>
              </c:pt>
              <c:pt idx="3">
                <c:v>49.52万元</c:v>
              </c:pt>
              <c:pt idx="4">
                <c:v>65.6万元</c:v>
              </c:pt>
              <c:pt idx="5">
                <c:v>3.1万元</c:v>
              </c:pt>
              <c:pt idx="6">
                <c:v>&amp;sxmk&amp;</c:v>
              </c:pt>
              <c:pt idx="7">
                <c:v>自然资源海洋气象等支出</c:v>
              </c:pt>
              <c:pt idx="8">
                <c:v>社会保障和就业支出</c:v>
              </c:pt>
              <c:pt idx="9">
                <c:v>卫生健康支出</c:v>
              </c:pt>
              <c:pt idx="10">
                <c:v>住房保障支出</c:v>
              </c:pt>
              <c:pt idx="11">
                <c:v>城乡社区支出</c:v>
              </c:pt>
              <c:pt idx="12">
                <c:v>农林水支出</c:v>
              </c:pt>
              <c:pt idx="13">
                <c:v>&amp;sxmk&amp;</c:v>
              </c:pt>
            </c:strLit>
          </c:cat>
          <c:val>
            <c:numRef>
              <c:f/>
              <c:numCache>
                <c:formatCode>General</c:formatCode>
                <c:ptCount val="6"/>
                <c:pt idx="0">
                  <c:v>0.7447</c:v>
                </c:pt>
                <c:pt idx="1">
                  <c:v>0.0862</c:v>
                </c:pt>
                <c:pt idx="2">
                  <c:v>0.0341</c:v>
                </c:pt>
                <c:pt idx="3">
                  <c:v>0.0565</c:v>
                </c:pt>
                <c:pt idx="4">
                  <c:v>0.0749</c:v>
                </c:pt>
                <c:pt idx="5">
                  <c:v>0.0035</c:v>
                </c:pt>
              </c:numCache>
            </c:numRef>
          </c:val>
        </c:ser>
        <c:firstSliceAng val="0"/>
      </c:pieChart>
      <c:spPr>
        <a:noFill/>
        <a:ln>
          <a:noFill/>
        </a:ln>
      </c:spPr>
    </c:plotArea>
    <c:legend>
      <c:legendPos val="b"/>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000000"/>
                </a:solidFill>
                <a:latin typeface="Times New Roman"/>
                <a:ea typeface="宋体"/>
                <a:cs typeface="Lucida Sans"/>
              </a:defRPr>
            </a:pPr>
            <a:r>
              <a:rPr lang="zh-CN" sz="1400" b="0" i="0" u="none" strike="noStrike" baseline="0">
                <a:solidFill>
                  <a:srgbClr val="595959"/>
                </a:solidFill>
                <a:latin typeface="Times New Roman"/>
                <a:ea typeface="宋体"/>
                <a:cs typeface="Lucida Sans"/>
              </a:rPr>
              <a:t>“</a:t>
            </a:r>
            <a:r>
              <a:rPr lang="zh-CN" sz="1400" b="0" i="0" u="none" strike="noStrike" baseline="0">
                <a:solidFill>
                  <a:srgbClr val="595959"/>
                </a:solidFill>
                <a:latin typeface="Times New Roman"/>
                <a:ea typeface="宋体"/>
                <a:cs typeface="Lucida Sans"/>
              </a:rPr>
              <a:t>三公</a:t>
            </a:r>
            <a:r>
              <a:rPr lang="zh-CN" sz="1400" b="0" i="0" u="none" strike="noStrike" baseline="0">
                <a:solidFill>
                  <a:srgbClr val="595959"/>
                </a:solidFill>
                <a:latin typeface="Times New Roman"/>
                <a:ea typeface="宋体"/>
                <a:cs typeface="Lucida Sans"/>
              </a:rPr>
              <a:t>”</a:t>
            </a:r>
            <a:r>
              <a:rPr lang="zh-CN" sz="1400" b="0" i="0" u="none" strike="noStrike" baseline="0">
                <a:solidFill>
                  <a:srgbClr val="595959"/>
                </a:solidFill>
                <a:latin typeface="Times New Roman"/>
                <a:ea typeface="宋体"/>
                <a:cs typeface="Lucida Sans"/>
              </a:rPr>
              <a:t>经费财政拨款支出结构</a:t>
            </a:r>
          </a:p>
        </c:rich>
      </c:tx>
      <c:layout/>
      <c:overlay val="0"/>
      <c:spPr>
        <a:noFill/>
        <a:ln>
          <a:noFill/>
        </a:ln>
      </c:spPr>
    </c:title>
    <c:autoTitleDeleted val="1"/>
    <c:plotArea>
      <c:layout/>
      <c:pieChart>
        <c:varyColors val="1"/>
        <c:ser>
          <c:idx val="0"/>
          <c:order val="0"/>
          <c:spPr>
            <a:solidFill>
              <a:srgbClr val="FCD5B5"/>
            </a:solidFill>
          </c:spPr>
          <c:dPt>
            <c:idx val="0"/>
            <c:bubble3D val="0"/>
            <c:spPr>
              <a:solidFill>
                <a:srgbClr val="FCD5B5"/>
              </a:solidFill>
              <a:ln w="19050">
                <a:solidFill>
                  <a:srgbClr val="FFFFFF"/>
                </a:solidFill>
                <a:prstDash val="solid"/>
              </a:ln>
            </c:spPr>
          </c:dPt>
          <c:dPt>
            <c:idx val="1"/>
            <c:bubble3D val="0"/>
            <c:spPr>
              <a:solidFill>
                <a:srgbClr val="FCD5B5"/>
              </a:solidFill>
              <a:ln w="19050">
                <a:solidFill>
                  <a:srgbClr val="FFFFFF"/>
                </a:solidFill>
                <a:prstDash val="solid"/>
              </a:ln>
            </c:spPr>
          </c:dPt>
          <c:dPt>
            <c:idx val="2"/>
            <c:bubble3D val="0"/>
            <c:spPr>
              <a:solidFill>
                <a:srgbClr val="FCD5B5"/>
              </a:solidFill>
              <a:ln w="19050">
                <a:solidFill>
                  <a:srgbClr val="FFFFFF"/>
                </a:solidFill>
                <a:prstDash val="solid"/>
              </a:ln>
            </c:spPr>
          </c:dPt>
          <c:dLbls>
            <c:txPr>
              <a:bodyPr/>
              <a:lstStyle/>
              <a:p>
                <a:pPr>
                  <a:defRPr sz="1000" b="0" i="0" u="none" strike="noStrike" baseline="0">
                    <a:solidFill>
                      <a:srgbClr val="000000"/>
                    </a:solidFill>
                    <a:latin typeface="Times New Roman"/>
                    <a:ea typeface="宋体"/>
                    <a:cs typeface="Lucida Sans"/>
                  </a:defRPr>
                </a:pPr>
                <a:endParaRPr lang="zh-CN"/>
              </a:p>
            </c:txPr>
            <c:numFmt formatCode="0%" sourceLinked="0"/>
            <c:showLegendKey val="0"/>
            <c:showVal val="0"/>
            <c:showCatName val="0"/>
            <c:showSerName val="0"/>
            <c:showPercent val="0"/>
            <c:showBubbleSize val="0"/>
            <c:showLeaderLines val="0"/>
          </c:dLbls>
          <c:cat>
            <c:strLit>
              <c:ptCount val="8"/>
              <c:pt idx="0">
                <c:v>0万元</c:v>
              </c:pt>
              <c:pt idx="1">
                <c:v>3.35万元</c:v>
              </c:pt>
              <c:pt idx="2">
                <c:v>0万元</c:v>
              </c:pt>
              <c:pt idx="3">
                <c:v>&amp;sxmk&amp;</c:v>
              </c:pt>
              <c:pt idx="4">
                <c:v>因公出国</c:v>
              </c:pt>
              <c:pt idx="5">
                <c:v>公务用车购置及运行维护费</c:v>
              </c:pt>
              <c:pt idx="6">
                <c:v>公务接待费</c:v>
              </c:pt>
              <c:pt idx="7">
                <c:v>&amp;sxmk&amp;</c:v>
              </c:pt>
            </c:strLit>
          </c:cat>
          <c:val>
            <c:numRef>
              <c:f/>
              <c:numCache>
                <c:formatCode>General</c:formatCode>
                <c:ptCount val="3"/>
                <c:pt idx="0">
                  <c:v>0.0</c:v>
                </c:pt>
                <c:pt idx="1">
                  <c:v>1.0</c:v>
                </c:pt>
                <c:pt idx="2">
                  <c:v>0.0</c:v>
                </c:pt>
              </c:numCache>
            </c:numRef>
          </c:val>
        </c:ser>
        <c:firstSliceAng val="0"/>
      </c:pieChart>
      <c:spPr>
        <a:noFill/>
        <a:ln>
          <a:noFill/>
        </a:ln>
      </c:spPr>
    </c:plotArea>
    <c:legend>
      <c:legendPos val="b"/>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customProps>
</customData>
</file>

<file path=customXml/itemProps1.xml><?xml version="1.0" encoding="utf-8"?>
<ds:datastoreItem xmlns:ds="http://schemas.openxmlformats.org/officeDocument/2006/customXml" ds:itemID="{45D468CD-2AFC-45AA-BEDB-AFBBC6449749}">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2</TotalTime>
  <Application>Yozo_Office27021597764231179</Application>
  <Pages>39</Pages>
  <Words>0</Words>
  <Characters>12086</Characters>
  <Lines>0</Lines>
  <Paragraphs>342</Paragraphs>
  <CharactersWithSpaces>16115</CharactersWithSpaces>
  <Company>四川省财政厅</Company>
</Properties>
</file>

<file path=docProps/core.xml><?xml version="1.0" encoding="utf-8"?>
<cp:coreProperties xmlns:cp="http://schemas.openxmlformats.org/package/2006/metadata/core-properties" xmlns:dc="http://purl.org/dc/elements/1.1/" xmlns:dcterms="http://purl.org/dc/terms/" xmlns:xsi="http://www.w3.org/2001/XMLSchema-instance">
  <dc:title>四川省***</dc:title>
  <dc:creator>曹颖</dc:creator>
  <cp:lastModifiedBy>user</cp:lastModifiedBy>
  <cp:revision>38</cp:revision>
  <cp:lastPrinted>2020-09-10T08:51:14Z</cp:lastPrinted>
  <dcterms:created xsi:type="dcterms:W3CDTF">2020-08-04T01:49:00Z</dcterms:created>
  <dcterms:modified xsi:type="dcterms:W3CDTF">2023-12-22T09:45:16Z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2052-11.1.0.9513</vt:lpwstr>
  </property>
</Properties>
</file>