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ageBreakBefore w:val="0"/>
        <w:widowControl w:val="0"/>
        <w:kinsoku/>
        <w:wordWrap/>
        <w:topLinePunct w:val="0"/>
        <w:bidi w:val="0"/>
        <w:spacing w:line="600" w:lineRule="exact"/>
        <w:jc w:val="center"/>
        <w:outlineLvl w:val="9"/>
        <w:rPr>
          <w:rFonts w:ascii="方正小标宋简体" w:eastAsia="方正小标宋简体" w:hAnsi="宋体"/>
          <w:color w:val="auto"/>
          <w:sz w:val="72"/>
          <w:szCs w:val="72"/>
          <w:highlight w:val="auto"/>
        </w:rPr>
      </w:pPr>
      <w:bookmarkStart w:id="0" w:name="_Toc15377193"/>
      <w:bookmarkStart w:id="1" w:name="_Toc15396475"/>
      <w:bookmarkStart w:id="2" w:name="_Toc15377425"/>
      <w:bookmarkStart w:id="3" w:name="_Toc15396597"/>
      <w:bookmarkStart w:id="4" w:name="_Toc15378441"/>
      <w:bookmarkStart w:id="5" w:name="_Toc15306267"/>
      <w:bookmarkStart w:id="6" w:name="_GoBack"/>
      <w:bookmarkEnd w:id="6"/>
    </w:p>
    <w:p>
      <w:pPr>
        <w:pageBreakBefore w:val="0"/>
        <w:widowControl w:val="0"/>
        <w:kinsoku/>
        <w:wordWrap/>
        <w:topLinePunct w:val="0"/>
        <w:bidi w:val="0"/>
        <w:spacing w:line="600" w:lineRule="exact"/>
        <w:jc w:val="center"/>
        <w:outlineLvl w:val="9"/>
        <w:rPr>
          <w:rFonts w:ascii="方正小标宋简体" w:eastAsia="方正小标宋简体" w:hAnsi="宋体"/>
          <w:color w:val="auto"/>
          <w:sz w:val="72"/>
          <w:szCs w:val="72"/>
          <w:highlight w:val="auto"/>
        </w:rPr>
      </w:pPr>
    </w:p>
    <w:p>
      <w:pPr>
        <w:pageBreakBefore w:val="0"/>
        <w:widowControl w:val="0"/>
        <w:kinsoku/>
        <w:wordWrap/>
        <w:topLinePunct w:val="0"/>
        <w:bidi w:val="0"/>
        <w:spacing w:line="600" w:lineRule="exact"/>
        <w:jc w:val="center"/>
        <w:outlineLvl w:val="9"/>
        <w:rPr>
          <w:rFonts w:ascii="方正小标宋简体" w:eastAsia="方正小标宋简体" w:hAnsi="宋体"/>
          <w:color w:val="auto"/>
          <w:sz w:val="72"/>
          <w:szCs w:val="72"/>
          <w:highlight w:val="auto"/>
        </w:rPr>
      </w:pPr>
    </w:p>
    <w:p>
      <w:pPr>
        <w:pageBreakBefore w:val="0"/>
        <w:widowControl w:val="0"/>
        <w:kinsoku/>
        <w:wordWrap/>
        <w:topLinePunct w:val="0"/>
        <w:bidi w:val="0"/>
        <w:adjustRightInd w:val="0"/>
        <w:snapToGrid w:val="0"/>
        <w:spacing w:line="360" w:lineRule="auto"/>
        <w:jc w:val="center"/>
        <w:outlineLvl w:val="0"/>
        <w:rPr>
          <w:rFonts w:ascii="方正小标宋简体" w:eastAsia="方正小标宋简体" w:cs="方正小标宋简体" w:hAnsi="方正小标宋简体" w:hint="eastAsia"/>
          <w:color w:val="auto"/>
          <w:sz w:val="72"/>
          <w:szCs w:val="72"/>
          <w:highlight w:val="auto"/>
        </w:rPr>
      </w:pPr>
      <w:bookmarkStart w:id="7" w:name="_Toc23332"/>
      <w:bookmarkStart w:id="8" w:name="_Toc24255"/>
      <w:r>
        <w:rPr>
          <w:rFonts w:ascii="方正小标宋简体" w:eastAsia="方正小标宋简体" w:cs="方正小标宋简体" w:hAnsi="方正小标宋简体" w:hint="eastAsia"/>
          <w:color w:val="auto"/>
          <w:sz w:val="72"/>
          <w:szCs w:val="72"/>
          <w:highlight w:val="auto"/>
        </w:rPr>
        <w:t>20</w:t>
      </w:r>
      <w:r>
        <w:rPr>
          <w:rFonts w:ascii="方正小标宋简体" w:eastAsia="方正小标宋简体" w:cs="方正小标宋简体" w:hAnsi="方正小标宋简体" w:hint="eastAsia"/>
          <w:color w:val="auto"/>
          <w:sz w:val="72"/>
          <w:szCs w:val="72"/>
          <w:lang w:val="en-US" w:eastAsia="zh-CN"/>
          <w:highlight w:val="auto"/>
        </w:rPr>
        <w:t>22</w:t>
      </w:r>
      <w:r>
        <w:rPr>
          <w:rFonts w:ascii="方正小标宋简体" w:eastAsia="方正小标宋简体" w:cs="方正小标宋简体" w:hAnsi="方正小标宋简体" w:hint="eastAsia"/>
          <w:color w:val="auto"/>
          <w:sz w:val="72"/>
          <w:szCs w:val="72"/>
          <w:highlight w:val="auto"/>
        </w:rPr>
        <w:t>年度</w:t>
      </w:r>
      <w:bookmarkEnd w:id="0"/>
      <w:bookmarkEnd w:id="1"/>
      <w:bookmarkEnd w:id="2"/>
      <w:bookmarkEnd w:id="3"/>
      <w:bookmarkEnd w:id="4"/>
      <w:bookmarkEnd w:id="7"/>
      <w:bookmarkEnd w:id="8"/>
    </w:p>
    <w:p>
      <w:pPr>
        <w:pageBreakBefore w:val="0"/>
        <w:widowControl w:val="0"/>
        <w:kinsoku/>
        <w:wordWrap/>
        <w:topLinePunct w:val="0"/>
        <w:bidi w:val="0"/>
        <w:adjustRightInd w:val="0"/>
        <w:snapToGrid w:val="0"/>
        <w:spacing w:line="360" w:lineRule="auto"/>
        <w:jc w:val="center"/>
        <w:outlineLvl w:val="0"/>
        <w:rPr>
          <w:rFonts w:ascii="方正小标宋简体" w:eastAsia="方正小标宋简体" w:cs="方正小标宋简体" w:hAnsi="方正小标宋简体" w:hint="eastAsia"/>
          <w:color w:val="auto"/>
          <w:sz w:val="72"/>
          <w:szCs w:val="72"/>
          <w:highlight w:val="auto"/>
        </w:rPr>
      </w:pPr>
      <w:bookmarkStart w:id="9" w:name="_Toc15396476"/>
      <w:bookmarkStart w:id="10" w:name="_Toc16214"/>
      <w:bookmarkStart w:id="11" w:name="_Toc15378442"/>
      <w:bookmarkStart w:id="12" w:name="_Toc15377194"/>
      <w:bookmarkStart w:id="13" w:name="_Toc15396598"/>
      <w:bookmarkStart w:id="14" w:name="_Toc15377426"/>
      <w:bookmarkStart w:id="15" w:name="_Toc14268"/>
      <w:r>
        <w:rPr>
          <w:rFonts w:ascii="方正小标宋简体" w:eastAsia="方正小标宋简体" w:cs="方正小标宋简体" w:hAnsi="方正小标宋简体" w:hint="eastAsia"/>
          <w:color w:val="auto"/>
          <w:sz w:val="72"/>
          <w:szCs w:val="72"/>
          <w:highlight w:val="auto"/>
        </w:rPr>
        <w:t>四川省</w:t>
      </w:r>
      <w:bookmarkStart w:id="16" w:name="_Toc5117"/>
      <w:bookmarkStart w:id="17" w:name="_Toc15306268"/>
      <w:bookmarkEnd w:id="5"/>
      <w:r>
        <w:rPr>
          <w:rFonts w:ascii="方正小标宋简体" w:eastAsia="方正小标宋简体" w:cs="方正小标宋简体" w:hAnsi="方正小标宋简体" w:hint="eastAsia"/>
          <w:color w:val="auto"/>
          <w:sz w:val="72"/>
          <w:szCs w:val="72"/>
          <w:lang w:eastAsia="zh-CN"/>
          <w:highlight w:val="auto"/>
        </w:rPr>
        <w:t>广元市利州区人民政府</w:t>
      </w:r>
      <w:bookmarkEnd w:id="16"/>
      <w:r>
        <w:rPr>
          <w:rFonts w:ascii="方正小标宋简体" w:eastAsia="方正小标宋简体" w:cs="方正小标宋简体" w:hAnsi="方正小标宋简体" w:hint="eastAsia"/>
          <w:color w:val="auto"/>
          <w:sz w:val="72"/>
          <w:szCs w:val="72"/>
          <w:lang w:eastAsia="zh-CN"/>
          <w:highlight w:val="auto"/>
        </w:rPr>
        <w:t>办公室</w:t>
      </w:r>
      <w:r>
        <w:rPr>
          <w:rFonts w:ascii="方正小标宋简体" w:eastAsia="方正小标宋简体" w:cs="方正小标宋简体" w:hAnsi="方正小标宋简体" w:hint="eastAsia"/>
          <w:color w:val="auto"/>
          <w:sz w:val="72"/>
          <w:szCs w:val="72"/>
          <w:highlight w:val="auto"/>
        </w:rPr>
        <w:t>部门决算</w:t>
      </w:r>
      <w:bookmarkEnd w:id="9"/>
      <w:bookmarkEnd w:id="10"/>
      <w:bookmarkEnd w:id="11"/>
      <w:bookmarkEnd w:id="12"/>
      <w:bookmarkEnd w:id="13"/>
      <w:bookmarkEnd w:id="14"/>
      <w:bookmarkEnd w:id="15"/>
      <w:bookmarkEnd w:id="17"/>
    </w:p>
    <w:p>
      <w:pPr>
        <w:pageBreakBefore w:val="0"/>
        <w:widowControl/>
        <w:kinsoku/>
        <w:wordWrap/>
        <w:topLinePunct w:val="0"/>
        <w:bidi w:val="0"/>
        <w:jc w:val="center"/>
        <w:rPr>
          <w:rFonts w:ascii="黑体" w:eastAsia="黑体" w:hAnsi="黑体" w:hint="eastAsia"/>
          <w:color w:val="auto"/>
          <w:sz w:val="48"/>
          <w:szCs w:val="48"/>
          <w:highlight w:val="auto"/>
        </w:rPr>
        <w:sectPr>
          <w:headerReference w:type="default" r:id="rId2"/>
          <w:footerReference w:type="default" r:id="rId3"/>
          <w:footerReference w:type="first" r:id="rId4"/>
          <w:pgSz w:w="11906" w:h="16838"/>
          <w:pgMar w:top="1440" w:right="1800" w:bottom="1440" w:left="1800" w:header="851" w:footer="992" w:gutter="0"/>
          <w:pgNumType w:start="1"/>
          <w:cols w:num="1" w:space="425"/>
          <w:titlePg/>
          <w:docGrid w:type="lines" w:linePitch="312" w:charSpace="0"/>
        </w:sectPr>
      </w:pPr>
    </w:p>
    <w:p>
      <w:pPr>
        <w:pageBreakBefore w:val="0"/>
        <w:widowControl/>
        <w:kinsoku/>
        <w:wordWrap/>
        <w:topLinePunct w:val="0"/>
        <w:bidi w:val="0"/>
        <w:jc w:val="center"/>
        <w:rPr>
          <w:rFonts w:ascii="黑体" w:eastAsia="黑体" w:hAnsi="黑体"/>
          <w:color w:val="auto"/>
          <w:sz w:val="48"/>
          <w:szCs w:val="48"/>
          <w:highlight w:val="auto"/>
        </w:rPr>
      </w:pPr>
      <w:r>
        <w:rPr>
          <w:rFonts w:ascii="黑体" w:eastAsia="黑体" w:hAnsi="黑体" w:hint="eastAsia"/>
          <w:color w:val="auto"/>
          <w:sz w:val="48"/>
          <w:szCs w:val="48"/>
          <w:highlight w:val="auto"/>
        </w:rPr>
        <w:t>目录</w:t>
      </w:r>
    </w:p>
    <w:p>
      <w:pPr>
        <w:pageBreakBefore w:val="0"/>
        <w:widowControl/>
        <w:kinsoku/>
        <w:wordWrap/>
        <w:topLinePunct w:val="0"/>
        <w:bidi w:val="0"/>
        <w:jc w:val="center"/>
        <w:rPr>
          <w:rFonts w:ascii="黑体" w:eastAsia="黑体" w:cs="Arial" w:hAnsi="黑体"/>
          <w:color w:val="auto"/>
          <w:sz w:val="28"/>
          <w:szCs w:val="28"/>
          <w:highlight w:val="auto"/>
        </w:rPr>
      </w:pPr>
    </w:p>
    <w:p>
      <w:pPr>
        <w:pStyle w:val="24"/>
        <w:pageBreakBefore w:val="0"/>
        <w:widowControl w:val="0"/>
        <w:tabs>
          <w:tab w:val="right" w:leader="dot" w:pos="8296"/>
        </w:tabs>
        <w:kinsoku/>
        <w:wordWrap/>
        <w:topLinePunct w:val="0"/>
        <w:bidi w:val="0"/>
        <w:spacing w:before="0"/>
        <w:rPr>
          <w:color w:val="auto"/>
          <w:highlight w:val="auto"/>
        </w:rPr>
      </w:pPr>
      <w:r>
        <w:rPr>
          <w:rFonts w:hint="eastAsia"/>
          <w:color w:val="auto"/>
          <w:highlight w:val="auto"/>
        </w:rPr>
        <w:t>公开时间：20</w:t>
      </w:r>
      <w:r>
        <w:rPr>
          <w:rFonts w:hint="eastAsia"/>
          <w:color w:val="auto"/>
          <w:lang w:val="en-US" w:eastAsia="zh-CN"/>
          <w:highlight w:val="auto"/>
        </w:rPr>
        <w:t>23</w:t>
      </w:r>
      <w:r>
        <w:rPr>
          <w:rFonts w:hint="eastAsia"/>
          <w:color w:val="auto"/>
          <w:highlight w:val="auto"/>
        </w:rPr>
        <w:t>年</w:t>
      </w:r>
      <w:r>
        <w:rPr>
          <w:rFonts w:hint="eastAsia"/>
          <w:color w:val="auto"/>
          <w:lang w:val="en-US" w:eastAsia="zh-CN"/>
          <w:highlight w:val="auto"/>
        </w:rPr>
        <w:t>10</w:t>
      </w:r>
      <w:r>
        <w:rPr>
          <w:rFonts w:hint="eastAsia"/>
          <w:color w:val="auto"/>
          <w:highlight w:val="auto"/>
        </w:rPr>
        <w:t>月</w:t>
      </w:r>
      <w:r>
        <w:rPr>
          <w:rFonts w:hint="eastAsia"/>
          <w:color w:val="auto"/>
          <w:lang w:val="en-US" w:eastAsia="zh-CN"/>
          <w:highlight w:val="auto"/>
        </w:rPr>
        <w:t>7</w:t>
      </w:r>
      <w:r>
        <w:rPr>
          <w:rFonts w:hint="eastAsia"/>
          <w:color w:val="auto"/>
          <w:highlight w:val="auto"/>
        </w:rPr>
        <w:t>日</w:t>
      </w:r>
    </w:p>
    <w:p>
      <w:pPr>
        <w:pageBreakBefore w:val="0"/>
        <w:widowControl w:val="0"/>
        <w:kinsoku/>
        <w:wordWrap/>
        <w:topLinePunct w:val="0"/>
        <w:bidi w:val="0"/>
        <w:rPr>
          <w:color w:val="auto"/>
          <w:highlight w:val="auto"/>
        </w:rPr>
      </w:pPr>
    </w:p>
    <w:sdt>
      <w:sdtPr>
        <w:rPr>
          <w:rFonts w:ascii="宋体" w:eastAsia="宋体" w:cs="Times New Roman" w:hAnsi="宋体"/>
          <w:kern w:val="2"/>
          <w:sz w:val="21"/>
          <w:szCs w:val="24"/>
          <w:lang w:val="en-US" w:eastAsia="zh-CN" w:bidi="ar-SA"/>
        </w:rPr>
        <w:id w:val="-1275506103"/>
        <w15:color w:val="DBDBDB"/>
        <w:docPartObj>
          <w:docPartGallery w:val="Table of Contents"/>
          <w:docPartUnique/>
        </w:docPartObj>
      </w:sdtPr>
      <w:sdtEndPr>
        <w:rPr>
          <w:b/>
        </w:rPr>
      </w:sdtEndPr>
      <w:sdtContent>
        <w:bookmarkStart w:id="18" w:name="_Toc15377196" w:displacedByCustomXml="prev"/>
        <w:bookmarkStart w:id="19" w:name="_Toc15396599" w:displacedByCustomXml="prev"/>
        <w:p>
          <w:pPr>
            <w:spacing w:before="0" w:after="0" w:line="240" w:lineRule="auto"/>
            <w:ind w:left="0" w:right="0" w:firstLine="0"/>
            <w:jc w:val="center"/>
          </w:pP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before="0" w:line="576" w:lineRule="exact"/>
            <w:jc w:val="both"/>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TOC \o "1-2" \h \u </w:instrText>
          </w:r>
          <w:r>
            <w:rPr>
              <w:rFonts w:ascii="仿宋" w:eastAsia="仿宋" w:cs="仿宋" w:hAnsi="仿宋" w:hint="eastAsia"/>
              <w:sz w:val="24"/>
              <w:szCs w:val="24"/>
            </w:rPr>
            <w:fldChar w:fldCharType="separate"/>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_Toc12088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 xml:space="preserve">第一部分 </w:t>
          </w:r>
          <w:r>
            <w:rPr>
              <w:rFonts w:ascii="仿宋" w:eastAsia="仿宋" w:cs="仿宋" w:hAnsi="仿宋" w:hint="eastAsia"/>
              <w:bCs w:val="0"/>
              <w:sz w:val="24"/>
              <w:szCs w:val="24"/>
              <w:highlight w:val="auto"/>
            </w:rPr>
            <w:t>部门概况</w:t>
          </w:r>
          <w:r>
            <w:rPr>
              <w:rFonts w:ascii="仿宋" w:eastAsia="仿宋" w:cs="仿宋" w:hAnsi="仿宋" w:hint="eastAsia"/>
              <w:sz w:val="24"/>
              <w:szCs w:val="24"/>
            </w:rPr>
            <w:tab/>
          </w:r>
          <w:r>
            <w:rPr>
              <w:rFonts w:cs="仿宋" w:hint="eastAsia"/>
              <w:sz w:val="24"/>
              <w:szCs w:val="24"/>
              <w:lang w:val="en-US" w:eastAsia="zh-CN"/>
            </w:rPr>
            <w:t>3</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_Toc7771 </w:instrText>
          </w:r>
          <w:r>
            <w:rPr>
              <w:rFonts w:ascii="仿宋" w:eastAsia="仿宋" w:cs="仿宋" w:hAnsi="仿宋" w:hint="eastAsia"/>
              <w:sz w:val="24"/>
              <w:szCs w:val="24"/>
            </w:rPr>
            <w:fldChar w:fldCharType="separate"/>
          </w:r>
          <w:r>
            <w:rPr>
              <w:rFonts w:ascii="仿宋" w:eastAsia="仿宋" w:cs="仿宋" w:hAnsi="仿宋" w:hint="eastAsia"/>
              <w:sz w:val="24"/>
              <w:szCs w:val="24"/>
              <w:lang w:eastAsia="zh-CN"/>
              <w:highlight w:val="auto"/>
            </w:rPr>
            <w:t>一、部门职责</w:t>
          </w:r>
          <w:r>
            <w:rPr>
              <w:rFonts w:ascii="仿宋" w:eastAsia="仿宋" w:cs="仿宋" w:hAnsi="仿宋" w:hint="eastAsia"/>
              <w:sz w:val="24"/>
              <w:szCs w:val="24"/>
            </w:rPr>
            <w:tab/>
          </w:r>
          <w:r>
            <w:rPr>
              <w:rFonts w:ascii="仿宋" w:eastAsia="仿宋" w:cs="仿宋" w:hAnsi="仿宋" w:hint="eastAsia"/>
              <w:sz w:val="24"/>
              <w:szCs w:val="24"/>
              <w:lang w:val="en-US" w:eastAsia="zh-CN"/>
            </w:rPr>
            <w:t>3</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_Toc31065 </w:instrText>
          </w:r>
          <w:r>
            <w:rPr>
              <w:rFonts w:ascii="仿宋" w:eastAsia="仿宋" w:cs="仿宋" w:hAnsi="仿宋" w:hint="eastAsia"/>
              <w:sz w:val="24"/>
              <w:szCs w:val="24"/>
            </w:rPr>
            <w:fldChar w:fldCharType="separate"/>
          </w:r>
          <w:r>
            <w:rPr>
              <w:rFonts w:ascii="仿宋" w:eastAsia="仿宋" w:cs="仿宋" w:hAnsi="仿宋" w:hint="eastAsia"/>
              <w:sz w:val="24"/>
              <w:szCs w:val="24"/>
              <w:lang w:eastAsia="zh-CN"/>
              <w:highlight w:val="auto"/>
            </w:rPr>
            <w:t>二、机构设置</w:t>
          </w:r>
          <w:r>
            <w:rPr>
              <w:rFonts w:ascii="仿宋" w:eastAsia="仿宋" w:cs="仿宋" w:hAnsi="仿宋" w:hint="eastAsia"/>
              <w:sz w:val="24"/>
              <w:szCs w:val="24"/>
            </w:rPr>
            <w:tab/>
          </w:r>
          <w:r>
            <w:rPr>
              <w:rFonts w:ascii="仿宋" w:eastAsia="仿宋" w:cs="仿宋" w:hAnsi="仿宋" w:hint="eastAsia"/>
              <w:sz w:val="24"/>
              <w:szCs w:val="24"/>
              <w:lang w:val="en-US" w:eastAsia="zh-CN"/>
            </w:rPr>
            <w:t>5</w:t>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before="0"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_Toc13212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 xml:space="preserve">第二部分 </w:t>
          </w:r>
          <w:r>
            <w:rPr>
              <w:rFonts w:ascii="仿宋" w:eastAsia="仿宋" w:cs="仿宋" w:hAnsi="仿宋" w:hint="eastAsia"/>
              <w:sz w:val="24"/>
              <w:szCs w:val="24"/>
              <w:lang w:val="en-US" w:eastAsia="zh-CN"/>
              <w:highlight w:val="auto"/>
            </w:rPr>
            <w:t>2022年度</w:t>
          </w:r>
          <w:r>
            <w:rPr>
              <w:rFonts w:ascii="仿宋" w:eastAsia="仿宋" w:cs="仿宋" w:hAnsi="仿宋" w:hint="eastAsia"/>
              <w:sz w:val="24"/>
              <w:szCs w:val="24"/>
              <w:highlight w:val="auto"/>
            </w:rPr>
            <w:t>部门决算情况说明</w:t>
          </w:r>
          <w:r>
            <w:rPr>
              <w:rFonts w:ascii="仿宋" w:eastAsia="仿宋" w:cs="仿宋" w:hAnsi="仿宋" w:hint="eastAsia"/>
              <w:sz w:val="24"/>
              <w:szCs w:val="24"/>
            </w:rPr>
            <w:tab/>
          </w:r>
          <w:r>
            <w:rPr>
              <w:rFonts w:cs="仿宋" w:hint="eastAsia"/>
              <w:sz w:val="24"/>
              <w:szCs w:val="24"/>
              <w:lang w:val="en-US" w:eastAsia="zh-CN"/>
            </w:rPr>
            <w:t>6</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_Toc5580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一、 </w:t>
          </w:r>
          <w:r>
            <w:rPr>
              <w:rFonts w:ascii="仿宋" w:eastAsia="仿宋" w:cs="仿宋" w:hAnsi="仿宋" w:hint="eastAsia"/>
              <w:sz w:val="24"/>
              <w:szCs w:val="24"/>
              <w:highlight w:val="auto"/>
            </w:rPr>
            <w:t>收入支出决算总体情况说明</w:t>
          </w:r>
          <w:r>
            <w:rPr>
              <w:rFonts w:ascii="仿宋" w:eastAsia="仿宋" w:cs="仿宋" w:hAnsi="仿宋" w:hint="eastAsia"/>
              <w:sz w:val="24"/>
              <w:szCs w:val="24"/>
            </w:rPr>
            <w:tab/>
          </w:r>
          <w:r>
            <w:rPr>
              <w:rFonts w:ascii="仿宋" w:eastAsia="仿宋" w:cs="仿宋" w:hAnsi="仿宋" w:hint="eastAsia"/>
              <w:sz w:val="24"/>
              <w:szCs w:val="24"/>
              <w:lang w:val="en-US" w:eastAsia="zh-CN"/>
            </w:rPr>
            <w:t>6</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_Toc9281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二、 </w:t>
          </w:r>
          <w:r>
            <w:rPr>
              <w:rFonts w:ascii="仿宋" w:eastAsia="仿宋" w:cs="仿宋" w:hAnsi="仿宋" w:hint="eastAsia"/>
              <w:sz w:val="24"/>
              <w:szCs w:val="24"/>
              <w:highlight w:val="auto"/>
            </w:rPr>
            <w:t>收入决算情况说明</w:t>
          </w:r>
          <w:r>
            <w:rPr>
              <w:rFonts w:ascii="仿宋" w:eastAsia="仿宋" w:cs="仿宋" w:hAnsi="仿宋" w:hint="eastAsia"/>
              <w:sz w:val="24"/>
              <w:szCs w:val="24"/>
            </w:rPr>
            <w:tab/>
          </w:r>
          <w:r>
            <w:rPr>
              <w:rFonts w:ascii="仿宋" w:eastAsia="仿宋" w:cs="仿宋" w:hAnsi="仿宋" w:hint="eastAsia"/>
              <w:sz w:val="24"/>
              <w:szCs w:val="24"/>
              <w:lang w:val="en-US" w:eastAsia="zh-CN"/>
            </w:rPr>
            <w:t>6</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_Toc5307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三、 </w:t>
          </w:r>
          <w:r>
            <w:rPr>
              <w:rFonts w:ascii="仿宋" w:eastAsia="仿宋" w:cs="仿宋" w:hAnsi="仿宋" w:hint="eastAsia"/>
              <w:sz w:val="24"/>
              <w:szCs w:val="24"/>
              <w:highlight w:val="auto"/>
            </w:rPr>
            <w:t>支出决算情况说明</w:t>
          </w:r>
          <w:r>
            <w:rPr>
              <w:rFonts w:ascii="仿宋" w:eastAsia="仿宋" w:cs="仿宋" w:hAnsi="仿宋" w:hint="eastAsia"/>
              <w:sz w:val="24"/>
              <w:szCs w:val="24"/>
            </w:rPr>
            <w:tab/>
          </w:r>
          <w:r>
            <w:rPr>
              <w:rFonts w:ascii="仿宋" w:eastAsia="仿宋" w:cs="仿宋" w:hAnsi="仿宋" w:hint="eastAsia"/>
              <w:sz w:val="24"/>
              <w:szCs w:val="24"/>
              <w:lang w:val="en-US" w:eastAsia="zh-CN"/>
            </w:rPr>
            <w:t>7</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_Toc3033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四、财政拨款收入支出决算总体情况说明</w:t>
          </w:r>
          <w:r>
            <w:rPr>
              <w:rFonts w:ascii="仿宋" w:eastAsia="仿宋" w:cs="仿宋" w:hAnsi="仿宋" w:hint="eastAsia"/>
              <w:sz w:val="24"/>
              <w:szCs w:val="24"/>
            </w:rPr>
            <w:tab/>
          </w:r>
          <w:r>
            <w:rPr>
              <w:rFonts w:ascii="仿宋" w:eastAsia="仿宋" w:cs="仿宋" w:hAnsi="仿宋" w:hint="eastAsia"/>
              <w:sz w:val="24"/>
              <w:szCs w:val="24"/>
              <w:lang w:val="en-US" w:eastAsia="zh-CN"/>
            </w:rPr>
            <w:t>7</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_Toc4055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五、一般公共预算财政拨款支出决算情况说明</w:t>
          </w:r>
          <w:r>
            <w:rPr>
              <w:rFonts w:ascii="仿宋" w:eastAsia="仿宋" w:cs="仿宋" w:hAnsi="仿宋" w:hint="eastAsia"/>
              <w:sz w:val="24"/>
              <w:szCs w:val="24"/>
            </w:rPr>
            <w:tab/>
          </w:r>
          <w:r>
            <w:rPr>
              <w:rFonts w:ascii="仿宋" w:eastAsia="仿宋" w:cs="仿宋" w:hAnsi="仿宋" w:hint="eastAsia"/>
              <w:sz w:val="24"/>
              <w:szCs w:val="24"/>
              <w:lang w:val="en-US" w:eastAsia="zh-CN"/>
            </w:rPr>
            <w:t>8</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_Toc298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六、一般公共预算财政拨款基本支出决算情况说明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_Toc298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_Toc891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七、财政拨款“三公”经费支出决算情况说明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_Toc891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2</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_Toc15065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八、政府性基金预算支出决算情况说明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_Toc15065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_Toc5949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九、 </w:t>
          </w:r>
          <w:r>
            <w:rPr>
              <w:rFonts w:ascii="仿宋" w:eastAsia="仿宋" w:cs="仿宋" w:hAnsi="仿宋" w:hint="eastAsia"/>
              <w:sz w:val="24"/>
              <w:szCs w:val="24"/>
              <w:highlight w:val="auto"/>
            </w:rPr>
            <w:t>国有资本经营预算支出决算情况说明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_Toc5949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3</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_Toc584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十、 </w:t>
          </w:r>
          <w:r>
            <w:rPr>
              <w:rFonts w:ascii="仿宋" w:eastAsia="仿宋" w:cs="仿宋" w:hAnsi="仿宋" w:hint="eastAsia"/>
              <w:sz w:val="24"/>
              <w:szCs w:val="24"/>
              <w:highlight w:val="auto"/>
            </w:rPr>
            <w:t>其他重要事项的情况说明</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_Toc584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4</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before="0"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_Toc26996 </w:instrText>
          </w:r>
          <w:r>
            <w:rPr>
              <w:rFonts w:ascii="仿宋" w:eastAsia="仿宋" w:cs="仿宋" w:hAnsi="仿宋" w:hint="eastAsia"/>
              <w:sz w:val="24"/>
              <w:szCs w:val="24"/>
            </w:rPr>
            <w:fldChar w:fldCharType="separate"/>
          </w:r>
          <w:r>
            <w:rPr>
              <w:rFonts w:ascii="仿宋" w:eastAsia="仿宋" w:cs="仿宋" w:hAnsi="仿宋" w:hint="eastAsia"/>
              <w:sz w:val="24"/>
              <w:szCs w:val="24"/>
            </w:rPr>
            <w:t xml:space="preserve">第三部分 </w:t>
          </w:r>
          <w:r>
            <w:rPr>
              <w:rFonts w:ascii="仿宋" w:eastAsia="仿宋" w:cs="仿宋" w:hAnsi="仿宋" w:hint="eastAsia"/>
              <w:sz w:val="24"/>
              <w:szCs w:val="24"/>
              <w:highlight w:val="auto"/>
            </w:rPr>
            <w:t>名词解释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_Toc26996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cs="仿宋" w:hint="eastAsia"/>
              <w:sz w:val="24"/>
              <w:szCs w:val="24"/>
              <w:lang w:val="en-US" w:eastAsia="zh-CN"/>
            </w:rPr>
            <w:t>6</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before="0"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_Toc28146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第四部分 附件</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_Toc28146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cs="仿宋" w:hint="eastAsia"/>
              <w:sz w:val="24"/>
              <w:szCs w:val="24"/>
              <w:lang w:val="en-US" w:eastAsia="zh-CN"/>
            </w:rPr>
            <w:t>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lang w:eastAsia="zh-CN"/>
            </w:rPr>
            <w:t>一、</w:t>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_Toc12323 </w:instrText>
          </w:r>
          <w:r>
            <w:rPr>
              <w:rFonts w:ascii="仿宋" w:eastAsia="仿宋" w:cs="仿宋" w:hAnsi="仿宋" w:hint="eastAsia"/>
              <w:sz w:val="24"/>
              <w:szCs w:val="24"/>
            </w:rPr>
            <w:fldChar w:fldCharType="separate"/>
          </w:r>
          <w:r>
            <w:rPr>
              <w:rFonts w:ascii="仿宋" w:eastAsia="仿宋" w:cs="仿宋" w:hAnsi="仿宋" w:hint="eastAsia"/>
              <w:sz w:val="24"/>
              <w:szCs w:val="24"/>
              <w:lang w:eastAsia="zh-CN"/>
              <w:highlight w:val="auto"/>
            </w:rPr>
            <w:t>广元市利州人民政府办公室</w:t>
          </w:r>
          <w:r>
            <w:rPr>
              <w:rFonts w:ascii="仿宋" w:eastAsia="仿宋" w:cs="仿宋" w:hAnsi="仿宋" w:hint="eastAsia"/>
              <w:sz w:val="24"/>
              <w:szCs w:val="24"/>
              <w:highlight w:val="auto"/>
            </w:rPr>
            <w:t>整体支出绩效</w:t>
          </w:r>
          <w:r>
            <w:rPr>
              <w:rFonts w:ascii="仿宋" w:eastAsia="仿宋" w:cs="仿宋" w:hAnsi="仿宋" w:hint="eastAsia"/>
              <w:sz w:val="24"/>
              <w:szCs w:val="24"/>
              <w:lang w:eastAsia="zh-CN"/>
              <w:highlight w:val="auto"/>
            </w:rPr>
            <w:t>自</w:t>
          </w:r>
          <w:r>
            <w:rPr>
              <w:rFonts w:ascii="仿宋" w:eastAsia="仿宋" w:cs="仿宋" w:hAnsi="仿宋" w:hint="eastAsia"/>
              <w:sz w:val="24"/>
              <w:szCs w:val="24"/>
              <w:highlight w:val="auto"/>
            </w:rPr>
            <w:t>评报告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_Toc12323 \h </w:instrText>
          </w:r>
          <w:r>
            <w:rPr>
              <w:rFonts w:ascii="仿宋" w:eastAsia="仿宋" w:cs="仿宋" w:hAnsi="仿宋" w:hint="eastAsia"/>
              <w:sz w:val="24"/>
              <w:szCs w:val="24"/>
            </w:rPr>
            <w:fldChar w:fldCharType="separate"/>
          </w:r>
          <w:r>
            <w:rPr>
              <w:rFonts w:ascii="仿宋" w:eastAsia="仿宋" w:cs="仿宋" w:hAnsi="仿宋" w:hint="eastAsia"/>
              <w:sz w:val="24"/>
              <w:szCs w:val="24"/>
            </w:rPr>
            <w:t>1</w:t>
          </w:r>
          <w:r>
            <w:rPr>
              <w:rFonts w:ascii="仿宋" w:eastAsia="仿宋" w:cs="仿宋" w:hAnsi="仿宋" w:hint="eastAsia"/>
              <w:sz w:val="24"/>
              <w:szCs w:val="24"/>
              <w:lang w:val="en-US" w:eastAsia="zh-CN"/>
            </w:rPr>
            <w:t>8</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lang w:eastAsia="zh-CN"/>
            </w:rPr>
            <w:t>二、</w:t>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_Toc30954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政府办</w:t>
          </w:r>
          <w:r>
            <w:rPr>
              <w:rFonts w:ascii="仿宋" w:eastAsia="仿宋" w:cs="仿宋" w:hAnsi="仿宋" w:hint="eastAsia"/>
              <w:sz w:val="24"/>
              <w:szCs w:val="24"/>
            </w:rPr>
            <w:fldChar w:fldCharType="end"/>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_Toc7434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区政府领导招商项目支出绩效自评报告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_Toc7434 \h </w:instrText>
          </w:r>
          <w:r>
            <w:rPr>
              <w:rFonts w:ascii="仿宋" w:eastAsia="仿宋" w:cs="仿宋" w:hAnsi="仿宋" w:hint="eastAsia"/>
              <w:sz w:val="24"/>
              <w:szCs w:val="24"/>
            </w:rPr>
            <w:fldChar w:fldCharType="separate"/>
          </w:r>
          <w:r>
            <w:rPr>
              <w:rFonts w:ascii="仿宋" w:eastAsia="仿宋" w:cs="仿宋" w:hAnsi="仿宋" w:hint="eastAsia"/>
              <w:sz w:val="24"/>
              <w:szCs w:val="24"/>
            </w:rPr>
            <w:t>3</w:t>
          </w:r>
          <w:r>
            <w:rPr>
              <w:rFonts w:ascii="仿宋" w:eastAsia="仿宋" w:cs="仿宋" w:hAnsi="仿宋" w:hint="eastAsia"/>
              <w:sz w:val="24"/>
              <w:szCs w:val="24"/>
              <w:lang w:val="en-US" w:eastAsia="zh-CN"/>
            </w:rPr>
            <w:t>1</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lang w:eastAsia="zh-CN"/>
            </w:rPr>
            <w:t>三、</w:t>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_Toc631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政府办</w:t>
          </w:r>
          <w:r>
            <w:rPr>
              <w:rFonts w:ascii="仿宋" w:eastAsia="仿宋" w:cs="仿宋" w:hAnsi="仿宋" w:hint="eastAsia"/>
              <w:sz w:val="24"/>
              <w:szCs w:val="24"/>
            </w:rPr>
            <w:fldChar w:fldCharType="end"/>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_Toc18115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2022年</w:t>
          </w:r>
          <w:r>
            <w:rPr>
              <w:rFonts w:ascii="仿宋" w:eastAsia="仿宋" w:cs="仿宋" w:hAnsi="仿宋" w:hint="eastAsia"/>
              <w:sz w:val="24"/>
              <w:szCs w:val="24"/>
              <w:lang w:eastAsia="zh-CN"/>
            </w:rPr>
            <w:t>工作经费项目支出绩效自评报告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_Toc18115 \h </w:instrText>
          </w:r>
          <w:r>
            <w:rPr>
              <w:rFonts w:ascii="仿宋" w:eastAsia="仿宋" w:cs="仿宋" w:hAnsi="仿宋" w:hint="eastAsia"/>
              <w:sz w:val="24"/>
              <w:szCs w:val="24"/>
            </w:rPr>
            <w:fldChar w:fldCharType="separate"/>
          </w:r>
          <w:r>
            <w:rPr>
              <w:rFonts w:ascii="仿宋" w:eastAsia="仿宋" w:cs="仿宋" w:hAnsi="仿宋" w:hint="eastAsia"/>
              <w:sz w:val="24"/>
              <w:szCs w:val="24"/>
            </w:rPr>
            <w:t>3</w:t>
          </w:r>
          <w:r>
            <w:rPr>
              <w:rFonts w:ascii="仿宋" w:eastAsia="仿宋" w:cs="仿宋" w:hAnsi="仿宋" w:hint="eastAsia"/>
              <w:sz w:val="24"/>
              <w:szCs w:val="24"/>
              <w:lang w:val="en-US" w:eastAsia="zh-CN"/>
            </w:rPr>
            <w:t>9</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lang w:eastAsia="zh-CN"/>
            </w:rPr>
            <w:t>四、</w:t>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_Toc28055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政府办</w:t>
          </w:r>
          <w:r>
            <w:rPr>
              <w:rFonts w:ascii="仿宋" w:eastAsia="仿宋" w:cs="仿宋" w:hAnsi="仿宋" w:hint="eastAsia"/>
              <w:sz w:val="24"/>
              <w:szCs w:val="24"/>
            </w:rPr>
            <w:fldChar w:fldCharType="end"/>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_Toc4834 </w:instrText>
          </w:r>
          <w:r>
            <w:rPr>
              <w:rFonts w:ascii="仿宋" w:eastAsia="仿宋" w:cs="仿宋" w:hAnsi="仿宋" w:hint="eastAsia"/>
              <w:sz w:val="24"/>
              <w:szCs w:val="24"/>
            </w:rPr>
            <w:fldChar w:fldCharType="separate"/>
          </w:r>
          <w:r>
            <w:rPr>
              <w:rFonts w:ascii="仿宋" w:eastAsia="仿宋" w:cs="仿宋" w:hAnsi="仿宋" w:hint="eastAsia"/>
              <w:sz w:val="24"/>
              <w:szCs w:val="24"/>
              <w:lang w:val="en-US" w:eastAsia="zh-CN"/>
            </w:rPr>
            <w:t>机房改造及文电会务资金缺口项目支出绩效自评报告</w:t>
          </w:r>
          <w:r>
            <w:rPr>
              <w:rFonts w:ascii="仿宋" w:eastAsia="仿宋" w:cs="仿宋" w:hAnsi="仿宋" w:hint="eastAsia"/>
              <w:sz w:val="24"/>
              <w:szCs w:val="24"/>
            </w:rPr>
            <w:tab/>
          </w: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PAGEREF _Toc4834 \h </w:instrText>
          </w:r>
          <w:r>
            <w:rPr>
              <w:rFonts w:ascii="仿宋" w:eastAsia="仿宋" w:cs="仿宋" w:hAnsi="仿宋" w:hint="eastAsia"/>
              <w:sz w:val="24"/>
              <w:szCs w:val="24"/>
            </w:rPr>
            <w:fldChar w:fldCharType="separate"/>
          </w:r>
          <w:r>
            <w:rPr>
              <w:rFonts w:ascii="仿宋" w:eastAsia="仿宋" w:cs="仿宋" w:hAnsi="仿宋" w:hint="eastAsia"/>
              <w:sz w:val="24"/>
              <w:szCs w:val="24"/>
            </w:rPr>
            <w:t>4</w:t>
          </w:r>
          <w:r>
            <w:rPr>
              <w:rFonts w:ascii="仿宋" w:eastAsia="仿宋" w:cs="仿宋" w:hAnsi="仿宋" w:hint="eastAsia"/>
              <w:sz w:val="24"/>
              <w:szCs w:val="24"/>
              <w:lang w:val="en-US" w:eastAsia="zh-CN"/>
            </w:rPr>
            <w:t>7</w:t>
          </w:r>
          <w:r>
            <w:rPr>
              <w:rFonts w:ascii="仿宋" w:eastAsia="仿宋" w:cs="仿宋" w:hAnsi="仿宋" w:hint="eastAsia"/>
              <w:sz w:val="24"/>
              <w:szCs w:val="24"/>
            </w:rPr>
            <w:fldChar w:fldCharType="end"/>
          </w:r>
          <w:r>
            <w:rPr>
              <w:rFonts w:ascii="仿宋" w:eastAsia="仿宋" w:cs="仿宋" w:hAnsi="仿宋" w:hint="eastAsia"/>
              <w:sz w:val="24"/>
              <w:szCs w:val="24"/>
            </w:rPr>
            <w:fldChar w:fldCharType="end"/>
          </w:r>
        </w:p>
        <w:p>
          <w:pPr>
            <w:pStyle w:val="24"/>
            <w:keepNext w:val="0"/>
            <w:keepLines w:val="0"/>
            <w:pageBreakBefore w:val="0"/>
            <w:widowControl w:val="0"/>
            <w:tabs>
              <w:tab w:val="clear" w:pos="8296"/>
              <w:tab w:val="right" w:leader="dot" w:pos="8306"/>
            </w:tabs>
            <w:kinsoku/>
            <w:wordWrap/>
            <w:overflowPunct/>
            <w:topLinePunct w:val="0"/>
            <w:autoSpaceDE/>
            <w:autoSpaceDN/>
            <w:bidi w:val="0"/>
            <w:adjustRightInd/>
            <w:snapToGrid/>
            <w:spacing w:before="0" w:line="576" w:lineRule="exact"/>
            <w:textAlignment w:val="auto"/>
            <w:rPr>
              <w:rFonts w:ascii="仿宋" w:eastAsia="仿宋" w:cs="仿宋" w:hAnsi="仿宋" w:hint="eastAsia"/>
              <w:sz w:val="24"/>
              <w:szCs w:val="24"/>
              <w:lang w:val="en-US" w:eastAsia="zh-CN"/>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_Toc14045 </w:instrText>
          </w:r>
          <w:r>
            <w:rPr>
              <w:rFonts w:ascii="仿宋" w:eastAsia="仿宋" w:cs="仿宋" w:hAnsi="仿宋" w:hint="eastAsia"/>
              <w:sz w:val="24"/>
              <w:szCs w:val="24"/>
            </w:rPr>
            <w:fldChar w:fldCharType="separate"/>
          </w:r>
          <w:r>
            <w:rPr>
              <w:rFonts w:ascii="仿宋" w:eastAsia="仿宋" w:cs="仿宋" w:hAnsi="仿宋" w:hint="eastAsia"/>
              <w:sz w:val="24"/>
              <w:szCs w:val="24"/>
            </w:rPr>
            <w:t>第</w:t>
          </w:r>
          <w:r>
            <w:rPr>
              <w:rFonts w:cs="仿宋" w:hint="eastAsia"/>
              <w:sz w:val="24"/>
              <w:szCs w:val="24"/>
              <w:lang w:eastAsia="zh-CN"/>
            </w:rPr>
            <w:t>五</w:t>
          </w:r>
          <w:r>
            <w:rPr>
              <w:rFonts w:ascii="仿宋" w:eastAsia="仿宋" w:cs="仿宋" w:hAnsi="仿宋" w:hint="eastAsia"/>
              <w:sz w:val="24"/>
              <w:szCs w:val="24"/>
            </w:rPr>
            <w:t xml:space="preserve">部分 </w:t>
          </w:r>
          <w:r>
            <w:rPr>
              <w:rFonts w:ascii="仿宋" w:eastAsia="仿宋" w:cs="仿宋" w:hAnsi="仿宋" w:hint="eastAsia"/>
              <w:sz w:val="24"/>
              <w:szCs w:val="24"/>
              <w:highlight w:val="auto"/>
            </w:rPr>
            <w:t>附表</w:t>
          </w:r>
          <w:r>
            <w:rPr>
              <w:rFonts w:ascii="仿宋" w:eastAsia="仿宋" w:cs="仿宋" w:hAnsi="仿宋" w:hint="eastAsia"/>
              <w:sz w:val="24"/>
              <w:szCs w:val="24"/>
            </w:rPr>
            <w:tab/>
          </w:r>
          <w:r>
            <w:rPr>
              <w:rFonts w:cs="仿宋" w:hint="eastAsia"/>
              <w:sz w:val="24"/>
              <w:szCs w:val="24"/>
              <w:lang w:val="en-US" w:eastAsia="zh-CN"/>
            </w:rPr>
            <w:t>5</w:t>
          </w:r>
          <w:r>
            <w:rPr>
              <w:rFonts w:ascii="仿宋" w:eastAsia="仿宋" w:cs="仿宋" w:hAnsi="仿宋" w:hint="eastAsia"/>
              <w:sz w:val="24"/>
              <w:szCs w:val="24"/>
            </w:rPr>
            <w:fldChar w:fldCharType="end"/>
          </w:r>
          <w:r>
            <w:rPr>
              <w:rFonts w:cs="仿宋" w:hint="eastAsia"/>
              <w:sz w:val="24"/>
              <w:szCs w:val="24"/>
              <w:lang w:val="en-US" w:eastAsia="zh-CN"/>
            </w:rPr>
            <w:t>5</w:t>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_Toc11207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一、收</w:t>
          </w:r>
          <w:r>
            <w:rPr>
              <w:rFonts w:ascii="仿宋" w:eastAsia="仿宋" w:cs="仿宋" w:hAnsi="仿宋" w:hint="eastAsia"/>
              <w:bCs w:val="0"/>
              <w:sz w:val="24"/>
              <w:szCs w:val="24"/>
              <w:highlight w:val="auto"/>
            </w:rPr>
            <w:t>入支出决算总表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_Toc5415 </w:instrText>
          </w:r>
          <w:r>
            <w:rPr>
              <w:rFonts w:ascii="仿宋" w:eastAsia="仿宋" w:cs="仿宋" w:hAnsi="仿宋" w:hint="eastAsia"/>
              <w:sz w:val="24"/>
              <w:szCs w:val="24"/>
            </w:rPr>
            <w:fldChar w:fldCharType="separate"/>
          </w:r>
          <w:r>
            <w:rPr>
              <w:rFonts w:ascii="仿宋" w:eastAsia="仿宋" w:cs="仿宋" w:hAnsi="仿宋" w:hint="eastAsia"/>
              <w:sz w:val="24"/>
              <w:szCs w:val="24"/>
              <w:highlight w:val="auto"/>
            </w:rPr>
            <w:t>二、收</w:t>
          </w:r>
          <w:r>
            <w:rPr>
              <w:rFonts w:ascii="仿宋" w:eastAsia="仿宋" w:cs="仿宋" w:hAnsi="仿宋" w:hint="eastAsia"/>
              <w:bCs w:val="0"/>
              <w:sz w:val="24"/>
              <w:szCs w:val="24"/>
              <w:highlight w:val="auto"/>
            </w:rPr>
            <w:t>入决算表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_Toc155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三、</w:t>
          </w:r>
          <w:r>
            <w:rPr>
              <w:rFonts w:ascii="仿宋" w:eastAsia="仿宋" w:cs="仿宋" w:hAnsi="仿宋" w:hint="eastAsia"/>
              <w:sz w:val="24"/>
              <w:szCs w:val="24"/>
              <w:highlight w:val="auto"/>
            </w:rPr>
            <w:t>支</w:t>
          </w:r>
          <w:r>
            <w:rPr>
              <w:rFonts w:ascii="仿宋" w:eastAsia="仿宋" w:cs="仿宋" w:hAnsi="仿宋" w:hint="eastAsia"/>
              <w:bCs w:val="0"/>
              <w:sz w:val="24"/>
              <w:szCs w:val="24"/>
              <w:highlight w:val="auto"/>
            </w:rPr>
            <w:t>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_Toc1975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四、</w:t>
          </w:r>
          <w:r>
            <w:rPr>
              <w:rFonts w:ascii="仿宋" w:eastAsia="仿宋" w:cs="仿宋" w:hAnsi="仿宋" w:hint="eastAsia"/>
              <w:sz w:val="24"/>
              <w:szCs w:val="24"/>
              <w:highlight w:val="auto"/>
            </w:rPr>
            <w:t>财</w:t>
          </w:r>
          <w:r>
            <w:rPr>
              <w:rFonts w:ascii="仿宋" w:eastAsia="仿宋" w:cs="仿宋" w:hAnsi="仿宋" w:hint="eastAsia"/>
              <w:bCs w:val="0"/>
              <w:sz w:val="24"/>
              <w:szCs w:val="24"/>
              <w:highlight w:val="auto"/>
            </w:rPr>
            <w:t>政拨款收入支出决算总表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_Toc5480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五、</w:t>
          </w:r>
          <w:r>
            <w:rPr>
              <w:rFonts w:ascii="仿宋" w:eastAsia="仿宋" w:cs="仿宋" w:hAnsi="仿宋" w:hint="eastAsia"/>
              <w:sz w:val="24"/>
              <w:szCs w:val="24"/>
              <w:highlight w:val="auto"/>
            </w:rPr>
            <w:t>财</w:t>
          </w:r>
          <w:r>
            <w:rPr>
              <w:rFonts w:ascii="仿宋" w:eastAsia="仿宋" w:cs="仿宋" w:hAnsi="仿宋" w:hint="eastAsia"/>
              <w:bCs w:val="0"/>
              <w:sz w:val="24"/>
              <w:szCs w:val="24"/>
              <w:highlight w:val="auto"/>
            </w:rPr>
            <w:t>政拨款支出决算明细表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_Toc17654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六、</w:t>
          </w:r>
          <w:r>
            <w:rPr>
              <w:rFonts w:ascii="仿宋" w:eastAsia="仿宋" w:cs="仿宋" w:hAnsi="仿宋" w:hint="eastAsia"/>
              <w:sz w:val="24"/>
              <w:szCs w:val="24"/>
              <w:highlight w:val="auto"/>
            </w:rPr>
            <w:t>一</w:t>
          </w:r>
          <w:r>
            <w:rPr>
              <w:rFonts w:ascii="仿宋" w:eastAsia="仿宋" w:cs="仿宋" w:hAnsi="仿宋" w:hint="eastAsia"/>
              <w:bCs w:val="0"/>
              <w:sz w:val="24"/>
              <w:szCs w:val="24"/>
              <w:highlight w:val="auto"/>
            </w:rPr>
            <w:t>般公共预算财政拨款支出决算表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_Toc10071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七、</w:t>
          </w:r>
          <w:r>
            <w:rPr>
              <w:rFonts w:ascii="仿宋" w:eastAsia="仿宋" w:cs="仿宋" w:hAnsi="仿宋" w:hint="eastAsia"/>
              <w:sz w:val="24"/>
              <w:szCs w:val="24"/>
              <w:highlight w:val="auto"/>
            </w:rPr>
            <w:t>一</w:t>
          </w:r>
          <w:r>
            <w:rPr>
              <w:rFonts w:ascii="仿宋" w:eastAsia="仿宋" w:cs="仿宋" w:hAnsi="仿宋" w:hint="eastAsia"/>
              <w:bCs w:val="0"/>
              <w:sz w:val="24"/>
              <w:szCs w:val="24"/>
              <w:highlight w:val="auto"/>
            </w:rPr>
            <w:t>般公共预算财政拨款支出决算明细表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_Toc31814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八、</w:t>
          </w:r>
          <w:r>
            <w:rPr>
              <w:rFonts w:ascii="仿宋" w:eastAsia="仿宋" w:cs="仿宋" w:hAnsi="仿宋" w:hint="eastAsia"/>
              <w:sz w:val="24"/>
              <w:szCs w:val="24"/>
              <w:highlight w:val="auto"/>
            </w:rPr>
            <w:t>一</w:t>
          </w:r>
          <w:r>
            <w:rPr>
              <w:rFonts w:ascii="仿宋" w:eastAsia="仿宋" w:cs="仿宋" w:hAnsi="仿宋" w:hint="eastAsia"/>
              <w:bCs w:val="0"/>
              <w:sz w:val="24"/>
              <w:szCs w:val="24"/>
              <w:highlight w:val="auto"/>
            </w:rPr>
            <w:t>般公共预算财政拨款基本支出决算表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_Toc23474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九、</w:t>
          </w:r>
          <w:r>
            <w:rPr>
              <w:rFonts w:ascii="仿宋" w:eastAsia="仿宋" w:cs="仿宋" w:hAnsi="仿宋" w:hint="eastAsia"/>
              <w:sz w:val="24"/>
              <w:szCs w:val="24"/>
              <w:highlight w:val="auto"/>
            </w:rPr>
            <w:t>一</w:t>
          </w:r>
          <w:r>
            <w:rPr>
              <w:rFonts w:ascii="仿宋" w:eastAsia="仿宋" w:cs="仿宋" w:hAnsi="仿宋" w:hint="eastAsia"/>
              <w:bCs w:val="0"/>
              <w:sz w:val="24"/>
              <w:szCs w:val="24"/>
              <w:highlight w:val="auto"/>
            </w:rPr>
            <w:t>般公共预算财政拨款项目支出决算表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_Toc27504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十、</w:t>
          </w:r>
          <w:r>
            <w:rPr>
              <w:rFonts w:ascii="仿宋" w:eastAsia="仿宋" w:cs="仿宋" w:hAnsi="仿宋" w:hint="eastAsia"/>
              <w:sz w:val="24"/>
              <w:szCs w:val="24"/>
              <w:highlight w:val="auto"/>
            </w:rPr>
            <w:t>政</w:t>
          </w:r>
          <w:r>
            <w:rPr>
              <w:rFonts w:ascii="仿宋" w:eastAsia="仿宋" w:cs="仿宋" w:hAnsi="仿宋" w:hint="eastAsia"/>
              <w:bCs w:val="0"/>
              <w:sz w:val="24"/>
              <w:szCs w:val="24"/>
              <w:highlight w:val="auto"/>
            </w:rPr>
            <w:t>府性基金预算财政拨款收入支出决算表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_Toc6181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十一、</w:t>
          </w:r>
          <w:r>
            <w:rPr>
              <w:rFonts w:ascii="仿宋" w:eastAsia="仿宋" w:cs="仿宋" w:hAnsi="仿宋" w:hint="eastAsia"/>
              <w:sz w:val="24"/>
              <w:szCs w:val="24"/>
              <w:highlight w:val="auto"/>
            </w:rPr>
            <w:t>国</w:t>
          </w:r>
          <w:r>
            <w:rPr>
              <w:rFonts w:ascii="仿宋" w:eastAsia="仿宋" w:cs="仿宋" w:hAnsi="仿宋" w:hint="eastAsia"/>
              <w:bCs w:val="0"/>
              <w:sz w:val="24"/>
              <w:szCs w:val="24"/>
              <w:highlight w:val="auto"/>
            </w:rPr>
            <w:t>有资本经营预算</w:t>
          </w:r>
          <w:r>
            <w:rPr>
              <w:rFonts w:ascii="仿宋" w:eastAsia="仿宋" w:cs="仿宋" w:hAnsi="仿宋" w:hint="eastAsia"/>
              <w:bCs w:val="0"/>
              <w:sz w:val="24"/>
              <w:szCs w:val="24"/>
              <w:lang w:eastAsia="zh-CN"/>
              <w:highlight w:val="auto"/>
            </w:rPr>
            <w:t>财政拨款收入</w:t>
          </w:r>
          <w:r>
            <w:rPr>
              <w:rFonts w:ascii="仿宋" w:eastAsia="仿宋" w:cs="仿宋" w:hAnsi="仿宋" w:hint="eastAsia"/>
              <w:bCs w:val="0"/>
              <w:sz w:val="24"/>
              <w:szCs w:val="24"/>
              <w:highlight w:val="auto"/>
            </w:rPr>
            <w:t>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_Toc3181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十二、</w:t>
          </w:r>
          <w:r>
            <w:rPr>
              <w:rFonts w:ascii="仿宋" w:eastAsia="仿宋" w:cs="仿宋" w:hAnsi="仿宋" w:hint="eastAsia"/>
              <w:bCs w:val="0"/>
              <w:sz w:val="24"/>
              <w:szCs w:val="24"/>
              <w:lang w:eastAsia="zh-CN"/>
              <w:highlight w:val="auto"/>
            </w:rPr>
            <w:t>国有资本经营预算财政拨款支出决算表</w:t>
          </w:r>
          <w:r>
            <w:rPr>
              <w:rFonts w:ascii="仿宋" w:eastAsia="仿宋" w:cs="仿宋" w:hAnsi="仿宋" w:hint="eastAsia"/>
              <w:sz w:val="24"/>
              <w:szCs w:val="24"/>
            </w:rPr>
            <w:fldChar w:fldCharType="end"/>
          </w:r>
        </w:p>
        <w:p>
          <w:pPr>
            <w:pStyle w:val="25"/>
            <w:keepNext w:val="0"/>
            <w:keepLines w:val="0"/>
            <w:pageBreakBefore w:val="0"/>
            <w:widowControl w:val="0"/>
            <w:tabs>
              <w:tab w:val="clear" w:pos="8296"/>
              <w:tab w:val="right" w:leader="dot" w:pos="8306"/>
            </w:tabs>
            <w:kinsoku/>
            <w:wordWrap/>
            <w:overflowPunct/>
            <w:topLinePunct w:val="0"/>
            <w:autoSpaceDE/>
            <w:autoSpaceDN/>
            <w:bidi w:val="0"/>
            <w:adjustRightInd/>
            <w:snapToGrid/>
            <w:spacing w:line="576" w:lineRule="exact"/>
            <w:textAlignment w:val="auto"/>
            <w:rPr>
              <w:rFonts w:ascii="仿宋" w:eastAsia="仿宋" w:cs="仿宋" w:hAnsi="仿宋" w:hint="eastAsia"/>
              <w:sz w:val="24"/>
              <w:szCs w:val="24"/>
            </w:rPr>
          </w:pPr>
          <w:r>
            <w:rPr>
              <w:rFonts w:ascii="仿宋" w:eastAsia="仿宋" w:cs="仿宋" w:hAnsi="仿宋" w:hint="eastAsia"/>
              <w:sz w:val="24"/>
              <w:szCs w:val="24"/>
            </w:rPr>
            <w:fldChar w:fldCharType="begin"/>
          </w:r>
          <w:r>
            <w:rPr>
              <w:rFonts w:ascii="仿宋" w:eastAsia="仿宋" w:cs="仿宋" w:hAnsi="仿宋" w:hint="eastAsia"/>
              <w:sz w:val="24"/>
              <w:szCs w:val="24"/>
            </w:rPr>
            <w:instrText xml:space="preserve"> HYPERLINK \l _Toc21969 </w:instrText>
          </w:r>
          <w:r>
            <w:rPr>
              <w:rFonts w:ascii="仿宋" w:eastAsia="仿宋" w:cs="仿宋" w:hAnsi="仿宋" w:hint="eastAsia"/>
              <w:sz w:val="24"/>
              <w:szCs w:val="24"/>
            </w:rPr>
            <w:fldChar w:fldCharType="separate"/>
          </w:r>
          <w:r>
            <w:rPr>
              <w:rFonts w:ascii="仿宋" w:eastAsia="仿宋" w:cs="仿宋" w:hAnsi="仿宋" w:hint="eastAsia"/>
              <w:bCs w:val="0"/>
              <w:sz w:val="24"/>
              <w:szCs w:val="24"/>
              <w:highlight w:val="auto"/>
            </w:rPr>
            <w:t>十三、</w:t>
          </w:r>
          <w:r>
            <w:rPr>
              <w:rFonts w:ascii="仿宋" w:eastAsia="仿宋" w:cs="仿宋" w:hAnsi="仿宋" w:hint="eastAsia"/>
              <w:bCs w:val="0"/>
              <w:sz w:val="24"/>
              <w:szCs w:val="24"/>
              <w:lang w:eastAsia="zh-CN"/>
              <w:highlight w:val="auto"/>
            </w:rPr>
            <w:t>财政拨款“三公”经费支出决算表</w:t>
          </w:r>
          <w:r>
            <w:rPr>
              <w:rFonts w:ascii="仿宋" w:eastAsia="仿宋" w:cs="仿宋" w:hAnsi="仿宋" w:hint="eastAsia"/>
              <w:sz w:val="24"/>
              <w:szCs w:val="24"/>
            </w:rPr>
            <w:fldChar w:fldCharType="end"/>
          </w:r>
        </w:p>
        <w:p>
          <w:r>
            <w:rPr>
              <w:rFonts w:ascii="仿宋" w:eastAsia="仿宋" w:cs="仿宋" w:hAnsi="仿宋" w:hint="eastAsia"/>
              <w:sz w:val="24"/>
              <w:szCs w:val="24"/>
            </w:rPr>
            <w:fldChar w:fldCharType="end"/>
          </w:r>
        </w:p>
      </w:sdtContent>
    </w:sdt>
    <w:p>
      <w:pPr>
        <w:pageBreakBefore w:val="0"/>
        <w:widowControl/>
        <w:kinsoku/>
        <w:wordWrap/>
        <w:topLinePunct w:val="0"/>
        <w:bidi w:val="0"/>
        <w:spacing w:line="440" w:lineRule="exact"/>
        <w:jc w:val="left"/>
        <w:rPr>
          <w:rFonts w:ascii="仿宋" w:eastAsia="仿宋" w:hAnsi="仿宋"/>
          <w:bCs/>
          <w:color w:val="auto"/>
          <w:kern w:val="44"/>
          <w:sz w:val="24"/>
          <w:highlight w:val="auto"/>
        </w:rPr>
      </w:pPr>
      <w:r>
        <w:rPr>
          <w:rFonts w:ascii="仿宋" w:eastAsia="仿宋" w:hAnsi="仿宋"/>
          <w:b/>
          <w:color w:val="auto"/>
          <w:sz w:val="24"/>
          <w:highlight w:val="auto"/>
        </w:rPr>
        <w:br w:type="page"/>
      </w:r>
    </w:p>
    <w:p>
      <w:pPr>
        <w:pStyle w:val="1"/>
        <w:keepNext/>
        <w:keepLines/>
        <w:pageBreakBefore w:val="0"/>
        <w:widowControl w:val="0"/>
        <w:kinsoku/>
        <w:wordWrap/>
        <w:topLinePunct w:val="0"/>
        <w:bidi w:val="0"/>
        <w:spacing w:before="0" w:after="0"/>
        <w:jc w:val="center"/>
        <w:rPr>
          <w:rStyle w:val="1Char"/>
          <w:rFonts w:ascii="黑体" w:eastAsia="黑体" w:hAnsi="黑体"/>
          <w:b/>
          <w:bCs w:val="0"/>
          <w:color w:val="auto"/>
          <w:highlight w:val="auto"/>
        </w:rPr>
      </w:pPr>
      <w:bookmarkStart w:id="20" w:name="_Toc12088"/>
      <w:bookmarkStart w:id="21" w:name="_Toc24661"/>
      <w:r>
        <w:rPr>
          <w:rFonts w:ascii="黑体" w:eastAsia="黑体" w:hAnsi="黑体" w:hint="eastAsia"/>
          <w:b w:val="0"/>
          <w:color w:val="auto"/>
          <w:highlight w:val="auto"/>
        </w:rPr>
        <w:t xml:space="preserve">第一部分 </w:t>
      </w:r>
      <w:r>
        <w:rPr>
          <w:rStyle w:val="1Char"/>
          <w:rFonts w:ascii="黑体" w:eastAsia="黑体" w:hAnsi="黑体" w:hint="eastAsia"/>
          <w:b w:val="0"/>
          <w:bCs w:val="0"/>
          <w:color w:val="auto"/>
          <w:highlight w:val="auto"/>
        </w:rPr>
        <w:t>部门概况</w:t>
      </w:r>
      <w:bookmarkEnd w:id="18"/>
      <w:bookmarkEnd w:id="19"/>
      <w:bookmarkEnd w:id="20"/>
      <w:bookmarkEnd w:id="21"/>
    </w:p>
    <w:p>
      <w:pPr>
        <w:pageBreakBefore w:val="0"/>
        <w:widowControl/>
        <w:kinsoku/>
        <w:wordWrap/>
        <w:topLinePunct w:val="0"/>
        <w:bidi w:val="0"/>
        <w:jc w:val="left"/>
        <w:rPr>
          <w:rFonts w:ascii="黑体" w:eastAsia="黑体"/>
          <w:color w:val="auto"/>
          <w:sz w:val="32"/>
          <w:szCs w:val="32"/>
          <w:highlight w:val="auto"/>
        </w:rPr>
      </w:pPr>
    </w:p>
    <w:p>
      <w:pPr>
        <w:pStyle w:val="2"/>
        <w:keepNext/>
        <w:keepLines/>
        <w:pageBreakBefore w:val="0"/>
        <w:widowControl w:val="0"/>
        <w:kinsoku/>
        <w:wordWrap/>
        <w:topLinePunct w:val="0"/>
        <w:bidi w:val="0"/>
        <w:spacing w:before="0" w:after="0"/>
        <w:ind w:left="0" w:firstLineChars="200" w:firstLine="640"/>
        <w:rPr>
          <w:rFonts w:ascii="黑体" w:eastAsia="黑体" w:hAnsi="黑体" w:hint="eastAsia"/>
          <w:b w:val="0"/>
          <w:color w:val="auto"/>
          <w:lang w:eastAsia="zh-CN"/>
          <w:highlight w:val="auto"/>
        </w:rPr>
      </w:pPr>
      <w:bookmarkStart w:id="22" w:name="_Toc7771"/>
      <w:r>
        <w:rPr>
          <w:rFonts w:ascii="黑体" w:eastAsia="黑体" w:hAnsi="黑体" w:hint="eastAsia"/>
          <w:b w:val="0"/>
          <w:color w:val="auto"/>
          <w:lang w:eastAsia="zh-CN"/>
          <w:highlight w:val="auto"/>
        </w:rPr>
        <w:t>一、部门职责</w:t>
      </w:r>
      <w:bookmarkEnd w:id="22"/>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１．</w:t>
      </w:r>
      <w:r>
        <w:rPr>
          <w:rFonts w:ascii="仿宋" w:eastAsia="仿宋" w:hAnsi="仿宋" w:hint="eastAsia"/>
          <w:color w:val="auto"/>
          <w:sz w:val="32"/>
          <w:szCs w:val="32"/>
          <w:highlight w:val="auto"/>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２．</w:t>
      </w:r>
      <w:r>
        <w:rPr>
          <w:rFonts w:ascii="仿宋" w:eastAsia="仿宋" w:hAnsi="仿宋" w:hint="eastAsia"/>
          <w:color w:val="auto"/>
          <w:sz w:val="32"/>
          <w:szCs w:val="32"/>
          <w:highlight w:val="auto"/>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３．</w:t>
      </w:r>
      <w:r>
        <w:rPr>
          <w:rFonts w:ascii="仿宋" w:eastAsia="仿宋" w:hAnsi="仿宋" w:hint="eastAsia"/>
          <w:color w:val="auto"/>
          <w:sz w:val="32"/>
          <w:szCs w:val="32"/>
          <w:highlight w:val="auto"/>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val="en-US" w:eastAsia="zh-CN"/>
          <w:highlight w:val="auto"/>
        </w:rPr>
      </w:pPr>
      <w:r>
        <w:rPr>
          <w:rFonts w:ascii="仿宋" w:eastAsia="仿宋" w:hAnsi="仿宋" w:hint="eastAsia"/>
          <w:color w:val="auto"/>
          <w:sz w:val="32"/>
          <w:szCs w:val="32"/>
          <w:highlight w:val="auto"/>
        </w:rPr>
        <w:t>拟订深化行政审批制度改革的政策、制度、办法和标准并组织实施；指导、协调、监督并推进全区行政审批制度改革工作，对区级部门（单位）取消、保留或调整的行政审批事项进行组织协调、监督，实施动态管理；组织开展对深化行政审批制度改革的调查研究、评估分析；承担区深化行政审批制度改革领导小组办公室具体工作。</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４．</w:t>
      </w:r>
      <w:r>
        <w:rPr>
          <w:rFonts w:ascii="仿宋" w:eastAsia="仿宋" w:hAnsi="仿宋" w:hint="eastAsia"/>
          <w:color w:val="auto"/>
          <w:sz w:val="32"/>
          <w:szCs w:val="32"/>
          <w:highlight w:val="auto"/>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贯彻执行国家有关民营经济发展方面的方针、政策和法律、法规，拟订全区促进民营经济发展的政策规定；制订全区民营经济发展工作目标，督促、检查民营经济发展工作落实情况；指导全区民营经济发展等工作。</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５．</w:t>
      </w:r>
      <w:r>
        <w:rPr>
          <w:rFonts w:ascii="仿宋" w:eastAsia="仿宋" w:hAnsi="仿宋" w:hint="eastAsia"/>
          <w:color w:val="auto"/>
          <w:sz w:val="32"/>
          <w:szCs w:val="32"/>
          <w:highlight w:val="auto"/>
        </w:rPr>
        <w:t>负责区政府值班日常事务，督促、指导乡镇（街道）和区政府部门值班工作，及时报告重要情况；负责突发事件信息接收上报、来文来电接转及上传下达工作；负责区政府办公室领导交办的其他工作。</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val="en-US" w:eastAsia="zh-CN"/>
          <w:highlight w:val="auto"/>
        </w:rPr>
        <w:t>６．</w:t>
      </w:r>
      <w:r>
        <w:rPr>
          <w:rFonts w:ascii="仿宋" w:eastAsia="仿宋" w:hAnsi="仿宋" w:hint="eastAsia"/>
          <w:color w:val="auto"/>
          <w:sz w:val="32"/>
          <w:szCs w:val="32"/>
          <w:highlight w:val="auto"/>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eastAsia="zh-CN"/>
          <w:highlight w:val="auto"/>
        </w:rPr>
      </w:pPr>
      <w:r>
        <w:rPr>
          <w:rFonts w:ascii="仿宋" w:eastAsia="仿宋" w:hAnsi="仿宋" w:hint="eastAsia"/>
          <w:color w:val="auto"/>
          <w:sz w:val="32"/>
          <w:szCs w:val="32"/>
          <w:lang w:val="en-US" w:eastAsia="zh-CN"/>
          <w:highlight w:val="auto"/>
        </w:rPr>
        <w:t>７．</w:t>
      </w:r>
      <w:r>
        <w:rPr>
          <w:rFonts w:ascii="仿宋" w:eastAsia="仿宋" w:hAnsi="仿宋" w:hint="eastAsia"/>
          <w:color w:val="auto"/>
          <w:sz w:val="32"/>
          <w:szCs w:val="32"/>
          <w:highlight w:val="auto"/>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w:t>
      </w:r>
    </w:p>
    <w:p>
      <w:pPr>
        <w:pStyle w:val="2"/>
        <w:keepNext/>
        <w:keepLines/>
        <w:pageBreakBefore w:val="0"/>
        <w:widowControl w:val="0"/>
        <w:kinsoku/>
        <w:wordWrap/>
        <w:topLinePunct w:val="0"/>
        <w:bidi w:val="0"/>
        <w:spacing w:before="0" w:after="0"/>
        <w:ind w:left="0" w:firstLineChars="200" w:firstLine="640"/>
        <w:rPr>
          <w:rFonts w:ascii="黑体" w:eastAsia="黑体" w:hAnsi="黑体" w:hint="eastAsia"/>
          <w:b w:val="0"/>
          <w:color w:val="auto"/>
          <w:lang w:eastAsia="zh-CN"/>
          <w:highlight w:val="auto"/>
        </w:rPr>
      </w:pPr>
      <w:bookmarkStart w:id="23" w:name="_Toc15396601"/>
      <w:bookmarkStart w:id="24" w:name="_Toc31065"/>
      <w:bookmarkStart w:id="25" w:name="_Toc15377200"/>
      <w:r>
        <w:rPr>
          <w:rFonts w:ascii="黑体" w:eastAsia="黑体" w:hAnsi="黑体" w:hint="eastAsia"/>
          <w:b w:val="0"/>
          <w:color w:val="auto"/>
          <w:lang w:eastAsia="zh-CN"/>
          <w:highlight w:val="auto"/>
        </w:rPr>
        <w:t>二、机构设置</w:t>
      </w:r>
      <w:bookmarkEnd w:id="23"/>
      <w:bookmarkEnd w:id="24"/>
      <w:bookmarkEnd w:id="25"/>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lang w:eastAsia="zh-CN"/>
          <w:highlight w:val="auto"/>
        </w:rPr>
        <w:t>区政府办</w:t>
      </w:r>
      <w:r>
        <w:rPr>
          <w:rFonts w:ascii="仿宋" w:eastAsia="仿宋" w:hAnsi="仿宋" w:hint="eastAsia"/>
          <w:color w:val="auto"/>
          <w:sz w:val="32"/>
          <w:szCs w:val="32"/>
          <w:highlight w:val="auto"/>
        </w:rPr>
        <w:t>下属二级单位</w:t>
      </w:r>
      <w:r>
        <w:rPr>
          <w:rFonts w:ascii="仿宋" w:eastAsia="仿宋" w:hAnsi="仿宋" w:hint="eastAsia"/>
          <w:color w:val="auto"/>
          <w:sz w:val="32"/>
          <w:szCs w:val="32"/>
          <w:lang w:val="en-US" w:eastAsia="zh-CN"/>
          <w:highlight w:val="auto"/>
        </w:rPr>
        <w:t>3</w:t>
      </w:r>
      <w:r>
        <w:rPr>
          <w:rFonts w:ascii="仿宋" w:eastAsia="仿宋" w:hAnsi="仿宋" w:hint="eastAsia"/>
          <w:color w:val="auto"/>
          <w:sz w:val="32"/>
          <w:szCs w:val="32"/>
          <w:highlight w:val="auto"/>
        </w:rPr>
        <w:t>个，其中行政单位</w:t>
      </w:r>
      <w:r>
        <w:rPr>
          <w:rFonts w:ascii="仿宋" w:eastAsia="仿宋" w:hAnsi="仿宋" w:hint="eastAsia"/>
          <w:color w:val="auto"/>
          <w:sz w:val="32"/>
          <w:szCs w:val="32"/>
          <w:lang w:val="en-US" w:eastAsia="zh-CN"/>
          <w:highlight w:val="auto"/>
        </w:rPr>
        <w:t>0</w:t>
      </w:r>
      <w:r>
        <w:rPr>
          <w:rFonts w:ascii="仿宋" w:eastAsia="仿宋" w:hAnsi="仿宋" w:hint="eastAsia"/>
          <w:color w:val="auto"/>
          <w:sz w:val="32"/>
          <w:szCs w:val="32"/>
          <w:highlight w:val="auto"/>
        </w:rPr>
        <w:t>个，参照公务员法管理的事业单位</w:t>
      </w:r>
      <w:r>
        <w:rPr>
          <w:rFonts w:ascii="仿宋" w:eastAsia="仿宋" w:hAnsi="仿宋" w:hint="eastAsia"/>
          <w:color w:val="auto"/>
          <w:sz w:val="32"/>
          <w:szCs w:val="32"/>
          <w:lang w:val="en-US" w:eastAsia="zh-CN"/>
          <w:highlight w:val="auto"/>
        </w:rPr>
        <w:t>1</w:t>
      </w:r>
      <w:r>
        <w:rPr>
          <w:rFonts w:ascii="仿宋" w:eastAsia="仿宋" w:hAnsi="仿宋" w:hint="eastAsia"/>
          <w:color w:val="auto"/>
          <w:sz w:val="32"/>
          <w:szCs w:val="32"/>
          <w:highlight w:val="auto"/>
        </w:rPr>
        <w:t>个，其他事业单位</w:t>
      </w:r>
      <w:r>
        <w:rPr>
          <w:rFonts w:ascii="仿宋" w:eastAsia="仿宋" w:hAnsi="仿宋" w:hint="eastAsia"/>
          <w:color w:val="auto"/>
          <w:sz w:val="32"/>
          <w:szCs w:val="32"/>
          <w:lang w:val="en-US" w:eastAsia="zh-CN"/>
          <w:highlight w:val="auto"/>
        </w:rPr>
        <w:t>2</w:t>
      </w:r>
      <w:r>
        <w:rPr>
          <w:rFonts w:ascii="仿宋" w:eastAsia="仿宋" w:hAnsi="仿宋" w:hint="eastAsia"/>
          <w:color w:val="auto"/>
          <w:sz w:val="32"/>
          <w:szCs w:val="32"/>
          <w:highlight w:val="auto"/>
        </w:rPr>
        <w:t>个。</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val="en-US" w:eastAsia="zh-CN"/>
          <w:highlight w:val="auto"/>
        </w:rPr>
      </w:pPr>
      <w:r>
        <w:rPr>
          <w:rFonts w:ascii="仿宋" w:eastAsia="仿宋" w:hAnsi="仿宋" w:hint="eastAsia"/>
          <w:color w:val="auto"/>
          <w:sz w:val="32"/>
          <w:szCs w:val="32"/>
          <w:highlight w:val="auto"/>
        </w:rPr>
        <w:t>纳入</w:t>
      </w:r>
      <w:r>
        <w:rPr>
          <w:rFonts w:ascii="仿宋" w:eastAsia="仿宋" w:hAnsi="仿宋" w:hint="eastAsia"/>
          <w:color w:val="auto"/>
          <w:sz w:val="32"/>
          <w:szCs w:val="32"/>
          <w:lang w:eastAsia="zh-CN"/>
          <w:highlight w:val="auto"/>
        </w:rPr>
        <w:t>区政府办</w:t>
      </w: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年度部门决算编制范围的二级预算单位包括：</w:t>
      </w:r>
      <w:bookmarkStart w:id="26" w:name="_Toc15377434"/>
      <w:bookmarkStart w:id="27" w:name="_Toc15377203"/>
      <w:bookmarkStart w:id="28" w:name="_Toc15378450"/>
      <w:bookmarkStart w:id="29" w:name="_Toc15306277"/>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eastAsia="zh-CN"/>
          <w:highlight w:val="auto"/>
        </w:rPr>
      </w:pPr>
      <w:r>
        <w:rPr>
          <w:rFonts w:ascii="仿宋" w:eastAsia="仿宋" w:hAnsi="仿宋" w:hint="eastAsia"/>
          <w:color w:val="auto"/>
          <w:sz w:val="32"/>
          <w:szCs w:val="32"/>
          <w:lang w:val="en-US" w:eastAsia="zh-CN"/>
          <w:highlight w:val="auto"/>
        </w:rPr>
        <w:t>1．</w:t>
      </w:r>
      <w:r>
        <w:rPr>
          <w:rFonts w:ascii="仿宋" w:eastAsia="仿宋" w:hAnsi="仿宋" w:hint="eastAsia"/>
          <w:color w:val="auto"/>
          <w:sz w:val="32"/>
          <w:szCs w:val="32"/>
          <w:lang w:eastAsia="zh-CN"/>
          <w:highlight w:val="auto"/>
        </w:rPr>
        <w:t>广元市利州区地方志</w:t>
      </w:r>
      <w:r>
        <w:rPr>
          <w:rFonts w:ascii="仿宋" w:eastAsia="仿宋" w:hAnsi="仿宋" w:hint="eastAsia"/>
          <w:color w:val="auto"/>
          <w:sz w:val="32"/>
          <w:szCs w:val="32"/>
          <w:lang w:eastAsia="zh-CN"/>
        </w:rPr>
        <w:t>编纂</w:t>
      </w:r>
      <w:r>
        <w:rPr>
          <w:rFonts w:ascii="仿宋" w:eastAsia="仿宋" w:hAnsi="仿宋" w:hint="eastAsia"/>
          <w:color w:val="auto"/>
          <w:sz w:val="32"/>
          <w:szCs w:val="32"/>
          <w:lang w:eastAsia="zh-CN"/>
          <w:highlight w:val="auto"/>
        </w:rPr>
        <w:t>中心</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eastAsia="zh-CN"/>
          <w:highlight w:val="auto"/>
        </w:rPr>
      </w:pPr>
      <w:r>
        <w:rPr>
          <w:rFonts w:ascii="仿宋" w:eastAsia="仿宋" w:hAnsi="仿宋" w:hint="eastAsia"/>
          <w:color w:val="auto"/>
          <w:sz w:val="32"/>
          <w:szCs w:val="32"/>
          <w:lang w:val="en-US" w:eastAsia="zh-CN"/>
          <w:highlight w:val="auto"/>
        </w:rPr>
        <w:t>2．广元市利州</w:t>
      </w:r>
      <w:r>
        <w:rPr>
          <w:rFonts w:ascii="仿宋" w:eastAsia="仿宋" w:hAnsi="仿宋" w:hint="eastAsia"/>
          <w:color w:val="auto"/>
          <w:sz w:val="32"/>
          <w:szCs w:val="32"/>
          <w:lang w:eastAsia="zh-CN"/>
          <w:highlight w:val="auto"/>
        </w:rPr>
        <w:t>区人民政府电子政务外网管理中心</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lang w:val="en-US" w:eastAsia="zh-CN"/>
          <w:highlight w:val="auto"/>
        </w:rPr>
      </w:pPr>
      <w:r>
        <w:rPr>
          <w:rFonts w:ascii="仿宋" w:eastAsia="仿宋" w:hAnsi="仿宋" w:hint="eastAsia"/>
          <w:color w:val="auto"/>
          <w:sz w:val="32"/>
          <w:szCs w:val="32"/>
          <w:lang w:val="en-US" w:eastAsia="zh-CN"/>
          <w:highlight w:val="auto"/>
        </w:rPr>
        <w:t>3．广元市利州区民营经济发展中心</w:t>
      </w:r>
    </w:p>
    <w:p>
      <w:pPr>
        <w:pStyle w:val="16"/>
        <w:rPr>
          <w:rFonts w:hint="eastAsia"/>
          <w:lang w:val="en-US" w:eastAsia="zh-CN"/>
        </w:rPr>
      </w:pPr>
    </w:p>
    <w:p>
      <w:pPr>
        <w:pStyle w:val="1"/>
        <w:keepNext/>
        <w:keepLines/>
        <w:pageBreakBefore w:val="0"/>
        <w:widowControl w:val="0"/>
        <w:kinsoku/>
        <w:wordWrap/>
        <w:topLinePunct w:val="0"/>
        <w:bidi w:val="0"/>
        <w:spacing w:before="0" w:after="0"/>
        <w:jc w:val="center"/>
        <w:rPr>
          <w:color w:val="auto"/>
          <w:highlight w:val="auto"/>
        </w:rPr>
      </w:pPr>
      <w:bookmarkStart w:id="30" w:name="_Toc15377204"/>
      <w:bookmarkStart w:id="31" w:name="_Toc15396602"/>
      <w:bookmarkStart w:id="32" w:name="_Toc13212"/>
      <w:bookmarkStart w:id="33" w:name="_Toc6882"/>
      <w:bookmarkEnd w:id="26"/>
      <w:bookmarkEnd w:id="27"/>
      <w:bookmarkEnd w:id="28"/>
      <w:bookmarkEnd w:id="29"/>
      <w:r>
        <w:rPr>
          <w:rFonts w:ascii="黑体" w:eastAsia="黑体" w:hAnsi="黑体" w:hint="eastAsia"/>
          <w:b w:val="0"/>
          <w:color w:val="auto"/>
          <w:highlight w:val="auto"/>
        </w:rPr>
        <w:t xml:space="preserve">第二部分 </w:t>
      </w:r>
      <w:r>
        <w:rPr>
          <w:rFonts w:ascii="黑体" w:eastAsia="黑体" w:hAnsi="黑体" w:hint="eastAsia"/>
          <w:b w:val="0"/>
          <w:color w:val="auto"/>
          <w:lang w:val="en-US" w:eastAsia="zh-CN"/>
          <w:highlight w:val="auto"/>
        </w:rPr>
        <w:t>2022年度</w:t>
      </w:r>
      <w:r>
        <w:rPr>
          <w:rFonts w:ascii="黑体" w:eastAsia="黑体" w:hAnsi="黑体" w:hint="eastAsia"/>
          <w:b w:val="0"/>
          <w:color w:val="auto"/>
          <w:highlight w:val="auto"/>
        </w:rPr>
        <w:t>部门决算情况说明</w:t>
      </w:r>
      <w:bookmarkEnd w:id="30"/>
      <w:bookmarkEnd w:id="31"/>
      <w:bookmarkEnd w:id="32"/>
      <w:bookmarkEnd w:id="33"/>
    </w:p>
    <w:p>
      <w:pPr>
        <w:pStyle w:val="34"/>
        <w:pageBreakBefore w:val="0"/>
        <w:widowControl w:val="0"/>
        <w:numPr>
          <w:ilvl w:val="0"/>
          <w:numId w:val="1"/>
        </w:numPr>
        <w:kinsoku/>
        <w:wordWrap/>
        <w:topLinePunct w:val="0"/>
        <w:bidi w:val="0"/>
        <w:spacing w:line="600" w:lineRule="exact"/>
        <w:ind w:firstLineChars="0"/>
        <w:outlineLvl w:val="1"/>
        <w:rPr>
          <w:rStyle w:val="2Char"/>
          <w:rFonts w:ascii="黑体" w:eastAsia="黑体" w:hAnsi="黑体"/>
          <w:b w:val="0"/>
          <w:color w:val="auto"/>
          <w:highlight w:val="auto"/>
        </w:rPr>
      </w:pPr>
      <w:bookmarkStart w:id="34" w:name="_Toc15377205"/>
      <w:bookmarkStart w:id="35" w:name="_Toc5580"/>
      <w:bookmarkStart w:id="36" w:name="_Toc15396603"/>
      <w:r>
        <w:rPr>
          <w:rFonts w:ascii="黑体" w:eastAsia="黑体" w:hAnsi="黑体" w:hint="eastAsia"/>
          <w:color w:val="auto"/>
          <w:sz w:val="32"/>
          <w:szCs w:val="32"/>
          <w:highlight w:val="auto"/>
        </w:rPr>
        <w:t>收</w:t>
      </w:r>
      <w:r>
        <w:rPr>
          <w:rStyle w:val="2Char"/>
          <w:rFonts w:ascii="黑体" w:eastAsia="黑体" w:hAnsi="黑体" w:hint="eastAsia"/>
          <w:b w:val="0"/>
          <w:color w:val="auto"/>
          <w:highlight w:val="auto"/>
        </w:rPr>
        <w:t>入支出决算总体情况说明</w:t>
      </w:r>
      <w:bookmarkEnd w:id="34"/>
      <w:bookmarkEnd w:id="35"/>
      <w:bookmarkEnd w:id="36"/>
    </w:p>
    <w:p>
      <w:pPr>
        <w:pageBreakBefore w:val="0"/>
        <w:widowControl w:val="0"/>
        <w:kinsoku/>
        <w:wordWrap/>
        <w:topLinePunct w:val="0"/>
        <w:bidi w:val="0"/>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年度收、支总计</w:t>
      </w:r>
      <w:r>
        <w:rPr>
          <w:rFonts w:ascii="仿宋" w:eastAsia="仿宋" w:hAnsi="仿宋" w:hint="eastAsia"/>
          <w:color w:val="auto"/>
          <w:sz w:val="32"/>
          <w:szCs w:val="32"/>
          <w:lang w:val="en-US" w:eastAsia="zh-CN"/>
          <w:highlight w:val="auto"/>
        </w:rPr>
        <w:t>1228.04</w:t>
      </w:r>
      <w:r>
        <w:rPr>
          <w:rFonts w:ascii="仿宋" w:eastAsia="仿宋" w:hAnsi="仿宋" w:hint="eastAsia"/>
          <w:color w:val="auto"/>
          <w:sz w:val="32"/>
          <w:szCs w:val="32"/>
          <w:highlight w:val="auto"/>
        </w:rPr>
        <w:t>万元。与20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年相比，收、支总计各减少</w:t>
      </w:r>
      <w:r>
        <w:rPr>
          <w:rFonts w:ascii="仿宋" w:eastAsia="仿宋" w:hAnsi="仿宋" w:hint="eastAsia"/>
          <w:color w:val="auto"/>
          <w:sz w:val="32"/>
          <w:szCs w:val="32"/>
          <w:lang w:val="en-US" w:eastAsia="zh-CN"/>
          <w:highlight w:val="auto"/>
        </w:rPr>
        <w:t>529.17</w:t>
      </w:r>
      <w:r>
        <w:rPr>
          <w:rFonts w:ascii="仿宋" w:eastAsia="仿宋" w:hAnsi="仿宋" w:hint="eastAsia"/>
          <w:color w:val="auto"/>
          <w:sz w:val="32"/>
          <w:szCs w:val="32"/>
          <w:highlight w:val="auto"/>
        </w:rPr>
        <w:t>万元，下降</w:t>
      </w:r>
      <w:r>
        <w:rPr>
          <w:rFonts w:ascii="仿宋" w:eastAsia="仿宋" w:hAnsi="仿宋" w:hint="eastAsia"/>
          <w:color w:val="auto"/>
          <w:sz w:val="32"/>
          <w:szCs w:val="32"/>
          <w:lang w:val="en-US" w:eastAsia="zh-CN"/>
          <w:highlight w:val="auto"/>
        </w:rPr>
        <w:t>30.11</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人员经费支出减少，基本支出缩减。</w:t>
      </w:r>
    </w:p>
    <w:p>
      <w:pPr>
        <w:pageBreakBefore w:val="0"/>
        <w:widowControl w:val="0"/>
        <w:kinsoku/>
        <w:wordWrap/>
        <w:topLinePunct w:val="0"/>
        <w:bidi w:val="0"/>
        <w:spacing w:line="600" w:lineRule="exact"/>
        <w:ind w:firstLineChars="200" w:firstLine="640"/>
        <w:rPr>
          <w:rFonts w:hint="eastAsia"/>
        </w:rPr>
      </w:pPr>
      <w:r>
        <w:rPr>
          <w:rFonts w:ascii="仿宋" w:eastAsia="仿宋" w:hAnsi="仿宋" w:hint="eastAsia"/>
          <w:color w:val="auto"/>
          <w:sz w:val="32"/>
          <w:szCs w:val="32"/>
          <w:highlight w:val="auto"/>
        </w:rPr>
        <w:t>（图</w:t>
      </w:r>
      <w:r>
        <w:rPr>
          <w:rFonts w:ascii="仿宋" w:eastAsia="仿宋" w:hAnsi="仿宋"/>
          <w:color w:val="auto"/>
          <w:sz w:val="32"/>
          <w:szCs w:val="32"/>
          <w:highlight w:val="auto"/>
        </w:rPr>
        <w:t>1</w:t>
      </w:r>
      <w:r>
        <w:rPr>
          <w:rFonts w:ascii="仿宋" w:eastAsia="仿宋" w:hAnsi="仿宋" w:hint="eastAsia"/>
          <w:color w:val="auto"/>
          <w:sz w:val="32"/>
          <w:szCs w:val="32"/>
          <w:highlight w:val="auto"/>
        </w:rPr>
        <w:t>：收、支决算总计变动情况图）</w:t>
      </w:r>
    </w:p>
    <w:p>
      <w:pPr>
        <w:pStyle w:val="18"/>
        <w:pageBreakBefore w:val="0"/>
        <w:widowControl w:val="0"/>
        <w:kinsoku/>
        <w:wordWrap/>
        <w:topLinePunct w:val="0"/>
        <w:bidi w:val="0"/>
        <w:spacing w:beforeLines="0" w:before="30"/>
        <w:rPr>
          <w:rFonts w:ascii="仿宋_GB2312" w:eastAsia="仿宋_GB2312"/>
          <w:color w:val="auto"/>
          <w:sz w:val="32"/>
          <w:szCs w:val="32"/>
          <w:highlight w:val="auto"/>
        </w:rPr>
      </w:pPr>
      <w:r>
        <w:drawing>
          <wp:inline distT="0" distB="0" distL="114300" distR="114300">
            <wp:extent cx="4305300" cy="2200910"/>
            <wp:effectExtent l="0" t="0" r="0" b="0"/>
            <wp:docPr id="13" name="图表 4"/>
            <wp:cNvGraphicFramePr>
              <a:graphicFrameLocks noChangeAspect="0"/>
            </wp:cNvGraphicFramePr>
            <a:graphic>
              <a:graphicData uri="http://schemas.openxmlformats.org/drawingml/2006/chart">
                <c:chart xmlns:c="http://schemas.openxmlformats.org/drawingml/2006/chart" r:id="rId7"/>
              </a:graphicData>
            </a:graphic>
          </wp:inline>
        </w:drawing>
      </w:r>
    </w:p>
    <w:p>
      <w:pPr>
        <w:pStyle w:val="34"/>
        <w:pageBreakBefore w:val="0"/>
        <w:widowControl w:val="0"/>
        <w:numPr>
          <w:ilvl w:val="0"/>
          <w:numId w:val="1"/>
        </w:numPr>
        <w:kinsoku/>
        <w:wordWrap/>
        <w:topLinePunct w:val="0"/>
        <w:bidi w:val="0"/>
        <w:spacing w:line="600" w:lineRule="exact"/>
        <w:ind w:firstLineChars="0"/>
        <w:outlineLvl w:val="1"/>
        <w:rPr>
          <w:rFonts w:ascii="黑体" w:eastAsia="黑体" w:hAnsi="黑体" w:hint="eastAsia"/>
          <w:color w:val="auto"/>
          <w:sz w:val="32"/>
          <w:szCs w:val="32"/>
          <w:highlight w:val="auto"/>
        </w:rPr>
      </w:pPr>
      <w:bookmarkStart w:id="37" w:name="_Toc15377206"/>
      <w:bookmarkStart w:id="38" w:name="_Toc15396604"/>
      <w:bookmarkStart w:id="39" w:name="_Toc9281"/>
      <w:bookmarkStart w:id="40" w:name="_Toc1010"/>
      <w:r>
        <w:rPr>
          <w:rFonts w:ascii="黑体" w:eastAsia="黑体" w:hAnsi="黑体" w:hint="eastAsia"/>
          <w:color w:val="auto"/>
          <w:sz w:val="32"/>
          <w:szCs w:val="32"/>
          <w:highlight w:val="auto"/>
        </w:rPr>
        <w:t>收入决算情况说明</w:t>
      </w:r>
      <w:bookmarkEnd w:id="37"/>
      <w:bookmarkEnd w:id="38"/>
      <w:bookmarkEnd w:id="39"/>
      <w:bookmarkEnd w:id="40"/>
    </w:p>
    <w:p>
      <w:pPr>
        <w:pageBreakBefore w:val="0"/>
        <w:widowControl w:val="0"/>
        <w:kinsoku/>
        <w:wordWrap/>
        <w:topLinePunct w:val="0"/>
        <w:bidi w:val="0"/>
        <w:spacing w:line="600" w:lineRule="exact"/>
        <w:ind w:firstLineChars="200" w:firstLine="640"/>
        <w:outlineLvl w:val="1"/>
        <w:rPr>
          <w:rFonts w:ascii="仿宋" w:eastAsia="仿宋" w:hAnsi="仿宋"/>
          <w:color w:val="auto"/>
          <w:sz w:val="32"/>
          <w:szCs w:val="32"/>
          <w:highlight w:val="auto"/>
        </w:rPr>
      </w:pPr>
      <w:bookmarkStart w:id="41" w:name="_Toc25095"/>
      <w:bookmarkStart w:id="42" w:name="_Toc31144"/>
      <w:bookmarkStart w:id="43" w:name="_Toc14784"/>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年本年收入合计</w:t>
      </w:r>
      <w:r>
        <w:rPr>
          <w:rFonts w:ascii="仿宋" w:eastAsia="仿宋" w:hAnsi="仿宋" w:hint="eastAsia"/>
          <w:color w:val="auto"/>
          <w:sz w:val="32"/>
          <w:szCs w:val="32"/>
          <w:lang w:val="en-US" w:eastAsia="zh-CN"/>
          <w:highlight w:val="auto"/>
        </w:rPr>
        <w:t>1228.04</w:t>
      </w:r>
      <w:r>
        <w:rPr>
          <w:rFonts w:ascii="仿宋" w:eastAsia="仿宋" w:hAnsi="仿宋" w:hint="eastAsia"/>
          <w:color w:val="auto"/>
          <w:sz w:val="32"/>
          <w:szCs w:val="32"/>
          <w:highlight w:val="auto"/>
        </w:rPr>
        <w:t>万元，其中：一般公共预算财政拨款收入</w:t>
      </w:r>
      <w:r>
        <w:rPr>
          <w:rFonts w:ascii="仿宋" w:eastAsia="仿宋" w:hAnsi="仿宋" w:hint="eastAsia"/>
          <w:color w:val="auto"/>
          <w:sz w:val="32"/>
          <w:szCs w:val="32"/>
          <w:lang w:val="en-US" w:eastAsia="zh-CN"/>
          <w:highlight w:val="auto"/>
        </w:rPr>
        <w:t>1228.01</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100</w:t>
      </w:r>
      <w:r>
        <w:rPr>
          <w:rFonts w:ascii="仿宋" w:eastAsia="仿宋" w:hAnsi="仿宋"/>
          <w:color w:val="auto"/>
          <w:sz w:val="32"/>
          <w:szCs w:val="32"/>
          <w:highlight w:val="auto"/>
        </w:rPr>
        <w:t>%</w:t>
      </w:r>
      <w:r>
        <w:rPr>
          <w:rFonts w:ascii="仿宋" w:eastAsia="仿宋" w:hAnsi="仿宋" w:hint="eastAsia"/>
          <w:color w:val="auto"/>
          <w:sz w:val="32"/>
          <w:szCs w:val="32"/>
          <w:lang w:val="en-US" w:eastAsia="zh-CN"/>
          <w:highlight w:val="auto"/>
        </w:rPr>
        <w:t>;</w:t>
      </w:r>
      <w:r>
        <w:rPr>
          <w:rFonts w:ascii="仿宋" w:eastAsia="仿宋" w:hAnsi="仿宋" w:hint="eastAsia"/>
          <w:color w:val="auto"/>
          <w:sz w:val="32"/>
          <w:szCs w:val="32"/>
          <w:highlight w:val="auto"/>
        </w:rPr>
        <w:t>其他收入</w:t>
      </w:r>
      <w:r>
        <w:rPr>
          <w:rFonts w:ascii="仿宋" w:eastAsia="仿宋" w:hAnsi="仿宋" w:hint="eastAsia"/>
          <w:color w:val="auto"/>
          <w:sz w:val="32"/>
          <w:szCs w:val="32"/>
          <w:lang w:val="en-US" w:eastAsia="zh-CN"/>
          <w:highlight w:val="auto"/>
        </w:rPr>
        <w:t>0.02</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bookmarkEnd w:id="41"/>
      <w:bookmarkEnd w:id="42"/>
      <w:bookmarkEnd w:id="43"/>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（图2：收入决算结构图）</w:t>
      </w:r>
    </w:p>
    <w:p>
      <w:pPr>
        <w:pStyle w:val="18"/>
        <w:pageBreakBefore w:val="0"/>
        <w:widowControl w:val="0"/>
        <w:kinsoku/>
        <w:wordWrap/>
        <w:topLinePunct w:val="0"/>
        <w:bidi w:val="0"/>
        <w:spacing w:beforeLines="0" w:before="30"/>
        <w:rPr>
          <w:rFonts w:ascii="仿宋_GB2312" w:eastAsia="仿宋_GB2312"/>
          <w:color w:val="auto"/>
          <w:sz w:val="32"/>
          <w:szCs w:val="32"/>
          <w:highlight w:val="auto"/>
        </w:rPr>
      </w:pPr>
      <w:r>
        <w:rPr>
          <w:rFonts w:ascii="仿宋_GB2312" w:eastAsia="仿宋_GB2312" w:hint="eastAsia"/>
          <w:b w:val="0"/>
          <w:bCs w:val="0"/>
          <w:color w:val="FF0000"/>
          <w:sz w:val="32"/>
          <w:szCs w:val="32"/>
          <w:lang w:eastAsia="zh-CN"/>
        </w:rPr>
        <w:drawing>
          <wp:inline distT="0" distB="0" distL="114300" distR="114300">
            <wp:extent cx="4374515" cy="1922780"/>
            <wp:effectExtent l="0" t="0" r="0" b="0"/>
            <wp:docPr id="14" name="图表 2"/>
            <wp:cNvGraphicFramePr>
              <a:graphicFrameLocks noChangeAspect="0"/>
            </wp:cNvGraphicFramePr>
            <a:graphic>
              <a:graphicData uri="http://schemas.openxmlformats.org/drawingml/2006/chart">
                <c:chart xmlns:c="http://schemas.openxmlformats.org/drawingml/2006/chart" r:id="rId8"/>
              </a:graphicData>
            </a:graphic>
          </wp:inline>
        </w:drawing>
      </w:r>
    </w:p>
    <w:p>
      <w:pPr>
        <w:pStyle w:val="34"/>
        <w:pageBreakBefore w:val="0"/>
        <w:widowControl w:val="0"/>
        <w:numPr>
          <w:ilvl w:val="0"/>
          <w:numId w:val="1"/>
        </w:numPr>
        <w:kinsoku/>
        <w:wordWrap/>
        <w:topLinePunct w:val="0"/>
        <w:bidi w:val="0"/>
        <w:spacing w:line="600" w:lineRule="exact"/>
        <w:ind w:firstLineChars="0"/>
        <w:outlineLvl w:val="1"/>
        <w:rPr>
          <w:rStyle w:val="2Char"/>
          <w:rFonts w:ascii="黑体" w:eastAsia="黑体" w:hAnsi="黑体"/>
          <w:b w:val="0"/>
          <w:color w:val="auto"/>
          <w:highlight w:val="auto"/>
        </w:rPr>
      </w:pPr>
      <w:bookmarkStart w:id="44" w:name="_Toc5307"/>
      <w:bookmarkStart w:id="45" w:name="_Toc15377207"/>
      <w:bookmarkStart w:id="46" w:name="_Toc15396605"/>
      <w:r>
        <w:rPr>
          <w:rFonts w:ascii="黑体" w:eastAsia="黑体" w:hAnsi="黑体" w:hint="eastAsia"/>
          <w:color w:val="auto"/>
          <w:sz w:val="32"/>
          <w:szCs w:val="32"/>
          <w:highlight w:val="auto"/>
        </w:rPr>
        <w:t>支</w:t>
      </w:r>
      <w:r>
        <w:rPr>
          <w:rStyle w:val="2Char"/>
          <w:rFonts w:ascii="黑体" w:eastAsia="黑体" w:hAnsi="黑体" w:hint="eastAsia"/>
          <w:b w:val="0"/>
          <w:color w:val="auto"/>
          <w:highlight w:val="auto"/>
        </w:rPr>
        <w:t>出决算情况说明</w:t>
      </w:r>
      <w:bookmarkEnd w:id="44"/>
      <w:bookmarkEnd w:id="45"/>
      <w:bookmarkEnd w:id="46"/>
    </w:p>
    <w:p>
      <w:pPr>
        <w:pageBreakBefore w:val="0"/>
        <w:widowControl w:val="0"/>
        <w:kinsoku/>
        <w:wordWrap/>
        <w:topLinePunct w:val="0"/>
        <w:bidi w:val="0"/>
        <w:spacing w:line="600" w:lineRule="exact"/>
        <w:ind w:firstLineChars="200" w:firstLine="640"/>
        <w:outlineLvl w:val="1"/>
        <w:rPr>
          <w:rFonts w:ascii="仿宋" w:eastAsia="仿宋" w:hAnsi="仿宋"/>
          <w:color w:val="auto"/>
          <w:sz w:val="32"/>
          <w:szCs w:val="32"/>
          <w:shd w:val="pct10" w:color="auto" w:fill="FFFFFF"/>
          <w:highlight w:val="auto"/>
        </w:rPr>
      </w:pPr>
      <w:bookmarkStart w:id="47" w:name="_Toc27164"/>
      <w:bookmarkStart w:id="48" w:name="_Toc24768"/>
      <w:bookmarkStart w:id="49" w:name="_Toc570"/>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年本年支出合计</w:t>
      </w:r>
      <w:r>
        <w:rPr>
          <w:rFonts w:ascii="仿宋" w:eastAsia="仿宋" w:hAnsi="仿宋" w:hint="eastAsia"/>
          <w:color w:val="auto"/>
          <w:sz w:val="32"/>
          <w:szCs w:val="32"/>
          <w:lang w:val="en-US" w:eastAsia="zh-CN"/>
          <w:highlight w:val="auto"/>
        </w:rPr>
        <w:t>1228.04</w:t>
      </w:r>
      <w:r>
        <w:rPr>
          <w:rFonts w:ascii="仿宋" w:eastAsia="仿宋" w:hAnsi="仿宋" w:hint="eastAsia"/>
          <w:color w:val="auto"/>
          <w:sz w:val="32"/>
          <w:szCs w:val="32"/>
          <w:highlight w:val="auto"/>
        </w:rPr>
        <w:t>万元，其中：基本支出</w:t>
      </w:r>
      <w:r>
        <w:rPr>
          <w:rFonts w:ascii="仿宋" w:eastAsia="仿宋" w:hAnsi="仿宋" w:hint="eastAsia"/>
          <w:color w:val="auto"/>
          <w:sz w:val="32"/>
          <w:szCs w:val="32"/>
          <w:lang w:val="en-US" w:eastAsia="zh-CN"/>
          <w:highlight w:val="auto"/>
        </w:rPr>
        <w:t>746.91</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60.82</w:t>
      </w:r>
      <w:r>
        <w:rPr>
          <w:rFonts w:ascii="仿宋" w:eastAsia="仿宋" w:hAnsi="仿宋"/>
          <w:color w:val="auto"/>
          <w:sz w:val="32"/>
          <w:szCs w:val="32"/>
          <w:highlight w:val="auto"/>
        </w:rPr>
        <w:t>%</w:t>
      </w:r>
      <w:r>
        <w:rPr>
          <w:rFonts w:ascii="仿宋" w:eastAsia="仿宋" w:hAnsi="仿宋" w:hint="eastAsia"/>
          <w:color w:val="auto"/>
          <w:sz w:val="32"/>
          <w:szCs w:val="32"/>
          <w:highlight w:val="auto"/>
        </w:rPr>
        <w:t>；项目支出</w:t>
      </w:r>
      <w:r>
        <w:rPr>
          <w:rFonts w:ascii="仿宋" w:eastAsia="仿宋" w:hAnsi="仿宋" w:hint="eastAsia"/>
          <w:color w:val="auto"/>
          <w:sz w:val="32"/>
          <w:szCs w:val="32"/>
          <w:lang w:val="en-US" w:eastAsia="zh-CN"/>
          <w:highlight w:val="auto"/>
        </w:rPr>
        <w:t>481.13</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39.18</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bookmarkEnd w:id="47"/>
      <w:bookmarkEnd w:id="48"/>
      <w:bookmarkEnd w:id="49"/>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（图3：支出决算结构图）</w:t>
      </w:r>
    </w:p>
    <w:p>
      <w:pPr>
        <w:pStyle w:val="18"/>
        <w:pageBreakBefore w:val="0"/>
        <w:widowControl w:val="0"/>
        <w:kinsoku/>
        <w:wordWrap/>
        <w:topLinePunct w:val="0"/>
        <w:bidi w:val="0"/>
        <w:spacing w:beforeLines="0" w:before="30"/>
        <w:rPr>
          <w:rFonts w:ascii="仿宋_GB2312" w:eastAsia="仿宋_GB2312"/>
          <w:color w:val="auto"/>
          <w:sz w:val="32"/>
          <w:szCs w:val="32"/>
          <w:highlight w:val="auto"/>
        </w:rPr>
      </w:pPr>
      <w:r>
        <w:drawing>
          <wp:inline distT="0" distB="0" distL="114300" distR="114300">
            <wp:extent cx="4826000" cy="2743200"/>
            <wp:effectExtent l="0" t="0" r="0" b="0"/>
            <wp:docPr id="15" name="图表 1"/>
            <wp:cNvGraphicFramePr>
              <a:graphicFrameLocks noChangeAspect="0"/>
            </wp:cNvGraphicFramePr>
            <a:graphic>
              <a:graphicData uri="http://schemas.openxmlformats.org/drawingml/2006/chart">
                <c:chart xmlns:c="http://schemas.openxmlformats.org/drawingml/2006/chart" r:id="rId9"/>
              </a:graphicData>
            </a:graphic>
          </wp:inline>
        </w:drawing>
      </w:r>
    </w:p>
    <w:p>
      <w:pPr>
        <w:pageBreakBefore w:val="0"/>
        <w:widowControl w:val="0"/>
        <w:kinsoku/>
        <w:wordWrap/>
        <w:topLinePunct w:val="0"/>
        <w:bidi w:val="0"/>
        <w:spacing w:line="600" w:lineRule="exact"/>
        <w:ind w:firstLineChars="200" w:firstLine="640"/>
        <w:outlineLvl w:val="1"/>
        <w:rPr>
          <w:rStyle w:val="2Char"/>
          <w:rFonts w:ascii="黑体" w:eastAsia="黑体" w:hAnsi="黑体"/>
          <w:b w:val="0"/>
          <w:color w:val="auto"/>
          <w:highlight w:val="auto"/>
        </w:rPr>
      </w:pPr>
      <w:bookmarkStart w:id="50" w:name="_Toc15377208"/>
      <w:bookmarkStart w:id="51" w:name="_Toc15396606"/>
      <w:bookmarkStart w:id="52" w:name="_Toc3033"/>
      <w:r>
        <w:rPr>
          <w:rFonts w:ascii="黑体" w:eastAsia="黑体" w:hAnsi="黑体" w:hint="eastAsia"/>
          <w:color w:val="auto"/>
          <w:sz w:val="32"/>
          <w:szCs w:val="32"/>
          <w:highlight w:val="auto"/>
        </w:rPr>
        <w:t>四、财</w:t>
      </w:r>
      <w:r>
        <w:rPr>
          <w:rStyle w:val="2Char"/>
          <w:rFonts w:ascii="黑体" w:eastAsia="黑体" w:hAnsi="黑体" w:hint="eastAsia"/>
          <w:b w:val="0"/>
          <w:color w:val="auto"/>
          <w:highlight w:val="auto"/>
        </w:rPr>
        <w:t>政拨款收入支出决算总体情况说明</w:t>
      </w:r>
      <w:bookmarkEnd w:id="50"/>
      <w:bookmarkEnd w:id="51"/>
      <w:bookmarkEnd w:id="52"/>
    </w:p>
    <w:p>
      <w:pPr>
        <w:pageBreakBefore w:val="0"/>
        <w:widowControl w:val="0"/>
        <w:kinsoku/>
        <w:wordWrap/>
        <w:topLinePunct w:val="0"/>
        <w:bidi w:val="0"/>
        <w:spacing w:line="600" w:lineRule="exact"/>
        <w:ind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年财政拨款收、支总计</w:t>
      </w:r>
      <w:r>
        <w:rPr>
          <w:rFonts w:ascii="仿宋" w:eastAsia="仿宋" w:hAnsi="仿宋" w:hint="eastAsia"/>
          <w:color w:val="auto"/>
          <w:sz w:val="32"/>
          <w:szCs w:val="32"/>
          <w:lang w:val="en-US" w:eastAsia="zh-CN"/>
          <w:highlight w:val="auto"/>
        </w:rPr>
        <w:t>1228.04</w:t>
      </w:r>
      <w:r>
        <w:rPr>
          <w:rFonts w:ascii="仿宋" w:eastAsia="仿宋" w:hAnsi="仿宋" w:hint="eastAsia"/>
          <w:color w:val="auto"/>
          <w:sz w:val="32"/>
          <w:szCs w:val="32"/>
          <w:highlight w:val="auto"/>
        </w:rPr>
        <w:t>万元。与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年相比，财政拨款收、支总计各减少</w:t>
      </w:r>
      <w:r>
        <w:rPr>
          <w:rFonts w:ascii="仿宋" w:eastAsia="仿宋" w:hAnsi="仿宋" w:hint="eastAsia"/>
          <w:color w:val="auto"/>
          <w:sz w:val="32"/>
          <w:szCs w:val="32"/>
          <w:lang w:val="en-US" w:eastAsia="zh-CN"/>
          <w:highlight w:val="auto"/>
        </w:rPr>
        <w:t>529.17</w:t>
      </w:r>
      <w:r>
        <w:rPr>
          <w:rFonts w:ascii="仿宋" w:eastAsia="仿宋" w:hAnsi="仿宋" w:hint="eastAsia"/>
          <w:color w:val="auto"/>
          <w:sz w:val="32"/>
          <w:szCs w:val="32"/>
          <w:highlight w:val="auto"/>
        </w:rPr>
        <w:t>万元，下降</w:t>
      </w:r>
      <w:r>
        <w:rPr>
          <w:rFonts w:ascii="仿宋" w:eastAsia="仿宋" w:hAnsi="仿宋" w:hint="eastAsia"/>
          <w:color w:val="auto"/>
          <w:sz w:val="32"/>
          <w:szCs w:val="32"/>
          <w:lang w:val="en-US" w:eastAsia="zh-CN"/>
          <w:highlight w:val="auto"/>
        </w:rPr>
        <w:t>30.11</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人员经费减少，基本支出缩减。</w:t>
      </w:r>
    </w:p>
    <w:p>
      <w:pPr>
        <w:pageBreakBefore w:val="0"/>
        <w:widowControl w:val="0"/>
        <w:kinsoku/>
        <w:wordWrap/>
        <w:topLinePunct w:val="0"/>
        <w:bidi w:val="0"/>
        <w:spacing w:line="600" w:lineRule="exact"/>
        <w:ind w:firstLineChars="200"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（图4：财政拨款收、支决算总计变动情况）</w:t>
      </w:r>
    </w:p>
    <w:p>
      <w:pPr>
        <w:pStyle w:val="18"/>
        <w:pageBreakBefore w:val="0"/>
        <w:widowControl w:val="0"/>
        <w:kinsoku/>
        <w:wordWrap/>
        <w:topLinePunct w:val="0"/>
        <w:bidi w:val="0"/>
        <w:spacing w:beforeLines="0" w:before="30"/>
        <w:rPr>
          <w:rFonts w:ascii="仿宋" w:eastAsia="仿宋" w:hAnsi="仿宋"/>
          <w:b/>
          <w:color w:val="auto"/>
          <w:sz w:val="32"/>
          <w:szCs w:val="32"/>
          <w:highlight w:val="auto"/>
        </w:rPr>
      </w:pPr>
      <w:r>
        <w:drawing>
          <wp:inline distT="0" distB="0" distL="114300" distR="114300">
            <wp:extent cx="4305300" cy="2410460"/>
            <wp:effectExtent l="0" t="0" r="0" b="0"/>
            <wp:docPr id="16" name="图表 4"/>
            <wp:cNvGraphicFramePr>
              <a:graphicFrameLocks noChangeAspect="0"/>
            </wp:cNvGraphicFramePr>
            <a:graphic>
              <a:graphicData uri="http://schemas.openxmlformats.org/drawingml/2006/chart">
                <c:chart xmlns:c="http://schemas.openxmlformats.org/drawingml/2006/chart" r:id="rId10"/>
              </a:graphicData>
            </a:graphic>
          </wp:inline>
        </w:drawing>
      </w:r>
    </w:p>
    <w:p>
      <w:pPr>
        <w:pageBreakBefore w:val="0"/>
        <w:widowControl w:val="0"/>
        <w:kinsoku/>
        <w:wordWrap/>
        <w:topLinePunct w:val="0"/>
        <w:bidi w:val="0"/>
        <w:spacing w:line="600" w:lineRule="exact"/>
        <w:ind w:firstLineChars="200" w:firstLine="640"/>
        <w:outlineLvl w:val="1"/>
        <w:rPr>
          <w:rStyle w:val="2Char"/>
          <w:rFonts w:ascii="黑体" w:eastAsia="黑体" w:hAnsi="黑体"/>
          <w:b w:val="0"/>
          <w:color w:val="auto"/>
          <w:highlight w:val="auto"/>
        </w:rPr>
      </w:pPr>
      <w:bookmarkStart w:id="53" w:name="_Toc15396607"/>
      <w:bookmarkStart w:id="54" w:name="_Toc4055"/>
      <w:bookmarkStart w:id="55" w:name="_Toc15377209"/>
      <w:r>
        <w:rPr>
          <w:rFonts w:ascii="黑体" w:eastAsia="黑体" w:hAnsi="黑体" w:hint="eastAsia"/>
          <w:color w:val="auto"/>
          <w:sz w:val="32"/>
          <w:szCs w:val="32"/>
          <w:highlight w:val="auto"/>
        </w:rPr>
        <w:t>五、</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般公共预算财政拨款支出决算情况说明</w:t>
      </w:r>
      <w:bookmarkEnd w:id="53"/>
      <w:bookmarkEnd w:id="54"/>
      <w:bookmarkEnd w:id="55"/>
    </w:p>
    <w:p>
      <w:pPr>
        <w:pageBreakBefore w:val="0"/>
        <w:widowControl w:val="0"/>
        <w:kinsoku/>
        <w:wordWrap/>
        <w:topLinePunct w:val="0"/>
        <w:bidi w:val="0"/>
        <w:spacing w:line="600" w:lineRule="exact"/>
        <w:ind w:firstLineChars="200" w:firstLine="640"/>
        <w:outlineLvl w:val="2"/>
        <w:rPr>
          <w:rFonts w:ascii="仿宋" w:eastAsia="仿宋" w:hAnsi="仿宋"/>
          <w:b/>
          <w:color w:val="auto"/>
          <w:sz w:val="32"/>
          <w:szCs w:val="32"/>
          <w:highlight w:val="auto"/>
        </w:rPr>
      </w:pPr>
      <w:bookmarkStart w:id="56" w:name="_Toc15377210"/>
      <w:r>
        <w:rPr>
          <w:rFonts w:ascii="仿宋" w:eastAsia="仿宋" w:hAnsi="仿宋" w:hint="eastAsia"/>
          <w:b/>
          <w:color w:val="auto"/>
          <w:sz w:val="32"/>
          <w:szCs w:val="32"/>
          <w:highlight w:val="auto"/>
        </w:rPr>
        <w:t>（一）一般公共预算财政拨款支出决算总体情况</w:t>
      </w:r>
      <w:bookmarkEnd w:id="56"/>
    </w:p>
    <w:p>
      <w:pPr>
        <w:pageBreakBefore w:val="0"/>
        <w:widowControl w:val="0"/>
        <w:kinsoku/>
        <w:wordWrap/>
        <w:topLinePunct w:val="0"/>
        <w:bidi w:val="0"/>
        <w:spacing w:line="600" w:lineRule="exact"/>
        <w:ind w:firstLineChars="200"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1228.01</w:t>
      </w:r>
      <w:r>
        <w:rPr>
          <w:rFonts w:ascii="仿宋" w:eastAsia="仿宋" w:hAnsi="仿宋" w:hint="eastAsia"/>
          <w:color w:val="auto"/>
          <w:sz w:val="32"/>
          <w:szCs w:val="32"/>
          <w:highlight w:val="auto"/>
        </w:rPr>
        <w:t>万元，占本年支出合计的</w:t>
      </w:r>
      <w:r>
        <w:rPr>
          <w:rFonts w:ascii="仿宋" w:eastAsia="仿宋" w:hAnsi="仿宋" w:hint="eastAsia"/>
          <w:color w:val="auto"/>
          <w:sz w:val="32"/>
          <w:szCs w:val="32"/>
          <w:lang w:val="en-US" w:eastAsia="zh-CN"/>
          <w:highlight w:val="auto"/>
        </w:rPr>
        <w:t>100.00</w:t>
      </w:r>
      <w:r>
        <w:rPr>
          <w:rFonts w:ascii="仿宋" w:eastAsia="仿宋" w:hAnsi="仿宋"/>
          <w:color w:val="auto"/>
          <w:sz w:val="32"/>
          <w:szCs w:val="32"/>
          <w:highlight w:val="auto"/>
        </w:rPr>
        <w:t>%</w:t>
      </w:r>
      <w:r>
        <w:rPr>
          <w:rFonts w:ascii="仿宋" w:eastAsia="仿宋" w:hAnsi="仿宋" w:hint="eastAsia"/>
          <w:color w:val="auto"/>
          <w:sz w:val="32"/>
          <w:szCs w:val="32"/>
          <w:highlight w:val="auto"/>
        </w:rPr>
        <w:t>。与</w:t>
      </w: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21</w:t>
      </w:r>
      <w:r>
        <w:rPr>
          <w:rFonts w:ascii="仿宋" w:eastAsia="仿宋" w:hAnsi="仿宋" w:hint="eastAsia"/>
          <w:color w:val="auto"/>
          <w:sz w:val="32"/>
          <w:szCs w:val="32"/>
          <w:highlight w:val="auto"/>
        </w:rPr>
        <w:t>年相比，一般公共预算财政拨款</w:t>
      </w:r>
      <w:r>
        <w:rPr>
          <w:rFonts w:ascii="仿宋" w:eastAsia="仿宋" w:hAnsi="仿宋" w:hint="eastAsia"/>
          <w:color w:val="auto"/>
          <w:sz w:val="32"/>
          <w:szCs w:val="32"/>
          <w:lang w:eastAsia="zh-CN"/>
          <w:highlight w:val="auto"/>
        </w:rPr>
        <w:t>支出</w:t>
      </w:r>
      <w:r>
        <w:rPr>
          <w:rFonts w:ascii="仿宋" w:eastAsia="仿宋" w:hAnsi="仿宋" w:hint="eastAsia"/>
          <w:color w:val="auto"/>
          <w:sz w:val="32"/>
          <w:szCs w:val="32"/>
          <w:highlight w:val="auto"/>
        </w:rPr>
        <w:t>减少</w:t>
      </w:r>
      <w:r>
        <w:rPr>
          <w:rFonts w:ascii="仿宋" w:eastAsia="仿宋" w:hAnsi="仿宋" w:hint="eastAsia"/>
          <w:color w:val="auto"/>
          <w:sz w:val="32"/>
          <w:szCs w:val="32"/>
          <w:lang w:val="en-US" w:eastAsia="zh-CN"/>
          <w:highlight w:val="auto"/>
        </w:rPr>
        <w:t>529.2</w:t>
      </w:r>
      <w:r>
        <w:rPr>
          <w:rFonts w:ascii="仿宋" w:eastAsia="仿宋" w:hAnsi="仿宋" w:hint="eastAsia"/>
          <w:color w:val="auto"/>
          <w:sz w:val="32"/>
          <w:szCs w:val="32"/>
          <w:highlight w:val="auto"/>
        </w:rPr>
        <w:t>万元，下降</w:t>
      </w:r>
      <w:r>
        <w:rPr>
          <w:rFonts w:ascii="仿宋" w:eastAsia="仿宋" w:hAnsi="仿宋" w:hint="eastAsia"/>
          <w:color w:val="auto"/>
          <w:sz w:val="32"/>
          <w:szCs w:val="32"/>
          <w:lang w:val="en-US" w:eastAsia="zh-CN"/>
          <w:highlight w:val="auto"/>
        </w:rPr>
        <w:t>30.11</w:t>
      </w:r>
      <w:r>
        <w:rPr>
          <w:rFonts w:ascii="仿宋" w:eastAsia="仿宋" w:hAnsi="仿宋"/>
          <w:color w:val="auto"/>
          <w:sz w:val="32"/>
          <w:szCs w:val="32"/>
          <w:highlight w:val="auto"/>
        </w:rPr>
        <w:t>%</w:t>
      </w:r>
      <w:r>
        <w:rPr>
          <w:rFonts w:ascii="仿宋" w:eastAsia="仿宋" w:hAnsi="仿宋" w:hint="eastAsia"/>
          <w:color w:val="auto"/>
          <w:sz w:val="32"/>
          <w:szCs w:val="32"/>
          <w:highlight w:val="auto"/>
        </w:rPr>
        <w:t>。主要变动原因是</w:t>
      </w:r>
      <w:r>
        <w:rPr>
          <w:rFonts w:ascii="仿宋" w:eastAsia="仿宋" w:hAnsi="仿宋" w:hint="eastAsia"/>
          <w:color w:val="auto"/>
          <w:sz w:val="32"/>
          <w:szCs w:val="32"/>
          <w:lang w:eastAsia="zh-CN"/>
          <w:highlight w:val="auto"/>
        </w:rPr>
        <w:t>人员经费支出减少，基本支出缩减。</w:t>
      </w:r>
    </w:p>
    <w:p>
      <w:pPr>
        <w:pageBreakBefore w:val="0"/>
        <w:widowControl w:val="0"/>
        <w:kinsoku/>
        <w:wordWrap/>
        <w:topLinePunct w:val="0"/>
        <w:bidi w:val="0"/>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（图5：一般公共预算财政拨款支出决算变动情况）</w:t>
      </w:r>
    </w:p>
    <w:p>
      <w:pPr>
        <w:pStyle w:val="18"/>
        <w:pageBreakBefore w:val="0"/>
        <w:widowControl w:val="0"/>
        <w:kinsoku/>
        <w:wordWrap/>
        <w:topLinePunct w:val="0"/>
        <w:bidi w:val="0"/>
        <w:spacing w:beforeLines="0" w:before="30"/>
      </w:pPr>
      <w:r>
        <w:drawing>
          <wp:inline distT="0" distB="0" distL="114300" distR="114300">
            <wp:extent cx="4181475" cy="2181860"/>
            <wp:effectExtent l="0" t="0" r="0" b="0"/>
            <wp:docPr id="17" name="图表 9"/>
            <wp:cNvGraphicFramePr>
              <a:graphicFrameLocks noChangeAspect="0"/>
            </wp:cNvGraphicFramePr>
            <a:graphic>
              <a:graphicData uri="http://schemas.openxmlformats.org/drawingml/2006/chart">
                <c:chart xmlns:c="http://schemas.openxmlformats.org/drawingml/2006/chart" r:id="rId11"/>
              </a:graphicData>
            </a:graphic>
          </wp:inline>
        </w:drawing>
      </w:r>
    </w:p>
    <w:p>
      <w:pPr>
        <w:pageBreakBefore w:val="0"/>
        <w:widowControl w:val="0"/>
        <w:kinsoku/>
        <w:wordWrap/>
        <w:topLinePunct w:val="0"/>
        <w:bidi w:val="0"/>
        <w:spacing w:line="600" w:lineRule="exact"/>
        <w:ind w:firstLineChars="200" w:firstLine="640"/>
        <w:outlineLvl w:val="2"/>
        <w:rPr>
          <w:rFonts w:ascii="仿宋" w:eastAsia="仿宋" w:hAnsi="仿宋"/>
          <w:b/>
          <w:color w:val="auto"/>
          <w:sz w:val="32"/>
          <w:szCs w:val="32"/>
          <w:highlight w:val="auto"/>
        </w:rPr>
      </w:pPr>
      <w:bookmarkStart w:id="57" w:name="_Toc15377211"/>
      <w:r>
        <w:rPr>
          <w:rFonts w:ascii="仿宋" w:eastAsia="仿宋" w:hAnsi="仿宋" w:hint="eastAsia"/>
          <w:b/>
          <w:color w:val="auto"/>
          <w:sz w:val="32"/>
          <w:szCs w:val="32"/>
          <w:highlight w:val="auto"/>
        </w:rPr>
        <w:t>（二）一般公共预算财政拨款支出决算结构情况</w:t>
      </w:r>
      <w:bookmarkEnd w:id="57"/>
    </w:p>
    <w:p>
      <w:pPr>
        <w:pageBreakBefore w:val="0"/>
        <w:widowControl w:val="0"/>
        <w:kinsoku/>
        <w:wordWrap/>
        <w:topLinePunct w:val="0"/>
        <w:bidi w:val="0"/>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年一般公共预算财政拨款支出</w:t>
      </w:r>
      <w:r>
        <w:rPr>
          <w:rFonts w:ascii="仿宋" w:eastAsia="仿宋" w:hAnsi="仿宋" w:hint="eastAsia"/>
          <w:color w:val="auto"/>
          <w:sz w:val="32"/>
          <w:szCs w:val="32"/>
          <w:lang w:val="en-US" w:eastAsia="zh-CN"/>
          <w:highlight w:val="auto"/>
        </w:rPr>
        <w:t>1228.01</w:t>
      </w:r>
      <w:r>
        <w:rPr>
          <w:rFonts w:ascii="仿宋" w:eastAsia="仿宋" w:hAnsi="仿宋" w:hint="eastAsia"/>
          <w:color w:val="auto"/>
          <w:sz w:val="32"/>
          <w:szCs w:val="32"/>
          <w:highlight w:val="auto"/>
        </w:rPr>
        <w:t>万元，主要用于以下方面:一般公共服务支出</w:t>
      </w:r>
      <w:r>
        <w:rPr>
          <w:rFonts w:ascii="仿宋" w:eastAsia="仿宋" w:hAnsi="仿宋" w:hint="eastAsia"/>
          <w:color w:val="auto"/>
          <w:sz w:val="32"/>
          <w:szCs w:val="32"/>
          <w:lang w:val="en-US" w:eastAsia="zh-CN"/>
          <w:highlight w:val="auto"/>
        </w:rPr>
        <w:t>754.76</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61.46</w:t>
      </w:r>
      <w:r>
        <w:rPr>
          <w:rFonts w:ascii="仿宋" w:eastAsia="仿宋" w:hAnsi="仿宋" w:hint="eastAsia"/>
          <w:color w:val="auto"/>
          <w:sz w:val="32"/>
          <w:szCs w:val="32"/>
          <w:highlight w:val="auto"/>
        </w:rPr>
        <w:t>%；社会保障和就业支出</w:t>
      </w:r>
      <w:r>
        <w:rPr>
          <w:rFonts w:ascii="仿宋" w:eastAsia="仿宋" w:hAnsi="仿宋" w:hint="eastAsia"/>
          <w:color w:val="auto"/>
          <w:sz w:val="32"/>
          <w:szCs w:val="32"/>
          <w:lang w:val="en-US" w:eastAsia="zh-CN"/>
          <w:highlight w:val="auto"/>
        </w:rPr>
        <w:t>77.29</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6.29</w:t>
      </w:r>
      <w:r>
        <w:rPr>
          <w:rFonts w:ascii="仿宋" w:eastAsia="仿宋" w:hAnsi="仿宋" w:hint="eastAsia"/>
          <w:color w:val="auto"/>
          <w:sz w:val="32"/>
          <w:szCs w:val="32"/>
          <w:highlight w:val="auto"/>
        </w:rPr>
        <w:t>%；卫生健康支出</w:t>
      </w:r>
      <w:r>
        <w:rPr>
          <w:rFonts w:ascii="仿宋" w:eastAsia="仿宋" w:hAnsi="仿宋" w:hint="eastAsia"/>
          <w:color w:val="auto"/>
          <w:sz w:val="32"/>
          <w:szCs w:val="32"/>
          <w:lang w:val="en-US" w:eastAsia="zh-CN"/>
          <w:highlight w:val="auto"/>
        </w:rPr>
        <w:t>25.45</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2.07</w:t>
      </w:r>
      <w:r>
        <w:rPr>
          <w:rFonts w:ascii="仿宋" w:eastAsia="仿宋" w:hAnsi="仿宋" w:hint="eastAsia"/>
          <w:color w:val="auto"/>
          <w:sz w:val="32"/>
          <w:szCs w:val="32"/>
          <w:highlight w:val="auto"/>
        </w:rPr>
        <w:t>%；住房保障支出</w:t>
      </w:r>
      <w:r>
        <w:rPr>
          <w:rFonts w:ascii="仿宋" w:eastAsia="仿宋" w:hAnsi="仿宋" w:hint="eastAsia"/>
          <w:color w:val="auto"/>
          <w:sz w:val="32"/>
          <w:szCs w:val="32"/>
          <w:lang w:val="en-US" w:eastAsia="zh-CN"/>
          <w:highlight w:val="auto"/>
        </w:rPr>
        <w:t>370.55</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30.18</w:t>
      </w:r>
      <w:r>
        <w:rPr>
          <w:rFonts w:ascii="仿宋" w:eastAsia="仿宋" w:hAnsi="仿宋" w:hint="eastAsia"/>
          <w:color w:val="auto"/>
          <w:sz w:val="32"/>
          <w:szCs w:val="32"/>
          <w:highlight w:val="auto"/>
        </w:rPr>
        <w:t>%。</w:t>
      </w:r>
    </w:p>
    <w:p>
      <w:pPr>
        <w:pageBreakBefore w:val="0"/>
        <w:widowControl w:val="0"/>
        <w:kinsoku/>
        <w:wordWrap/>
        <w:topLinePunct w:val="0"/>
        <w:bidi w:val="0"/>
        <w:spacing w:line="600" w:lineRule="exact"/>
        <w:ind w:firstLineChars="200" w:firstLine="640"/>
        <w:rPr>
          <w:rFonts w:ascii="仿宋" w:eastAsia="仿宋" w:hAnsi="仿宋"/>
          <w:color w:val="auto"/>
          <w:sz w:val="32"/>
          <w:szCs w:val="32"/>
          <w:highlight w:val="auto"/>
        </w:rPr>
      </w:pPr>
      <w:r>
        <w:rPr>
          <w:rFonts w:ascii="仿宋" w:eastAsia="仿宋" w:hAnsi="仿宋" w:hint="eastAsia"/>
          <w:color w:val="auto"/>
          <w:sz w:val="32"/>
          <w:szCs w:val="32"/>
          <w:highlight w:val="auto"/>
        </w:rPr>
        <w:t>（图6：一般公共预算财政拨款支出决算结构）</w:t>
      </w:r>
    </w:p>
    <w:p>
      <w:pPr>
        <w:pStyle w:val="18"/>
        <w:pageBreakBefore w:val="0"/>
        <w:widowControl w:val="0"/>
        <w:kinsoku/>
        <w:wordWrap/>
        <w:topLinePunct w:val="0"/>
        <w:bidi w:val="0"/>
        <w:spacing w:beforeLines="0" w:before="30"/>
        <w:rPr>
          <w:rFonts w:ascii="仿宋" w:eastAsia="仿宋" w:hAnsi="仿宋"/>
          <w:color w:val="auto"/>
          <w:sz w:val="32"/>
          <w:szCs w:val="32"/>
          <w:highlight w:val="auto"/>
        </w:rPr>
      </w:pPr>
      <w:r>
        <w:drawing>
          <wp:inline distT="0" distB="0" distL="114300" distR="114300">
            <wp:extent cx="4826000" cy="2743200"/>
            <wp:effectExtent l="0" t="0" r="0" b="0"/>
            <wp:docPr id="18" name="图表 2"/>
            <wp:cNvGraphicFramePr>
              <a:graphicFrameLocks noChangeAspect="0"/>
            </wp:cNvGraphicFramePr>
            <a:graphic>
              <a:graphicData uri="http://schemas.openxmlformats.org/drawingml/2006/chart">
                <c:chart xmlns:c="http://schemas.openxmlformats.org/drawingml/2006/chart" r:id="rId12"/>
              </a:graphicData>
            </a:graphic>
          </wp:inline>
        </w:drawing>
      </w:r>
    </w:p>
    <w:p>
      <w:pPr>
        <w:pageBreakBefore w:val="0"/>
        <w:widowControl w:val="0"/>
        <w:kinsoku/>
        <w:wordWrap/>
        <w:topLinePunct w:val="0"/>
        <w:bidi w:val="0"/>
        <w:spacing w:line="600" w:lineRule="exact"/>
        <w:ind w:firstLineChars="200" w:firstLine="640"/>
        <w:outlineLvl w:val="2"/>
        <w:rPr>
          <w:rFonts w:ascii="仿宋" w:eastAsia="仿宋" w:hAnsi="仿宋"/>
          <w:b/>
          <w:color w:val="auto"/>
          <w:sz w:val="32"/>
          <w:szCs w:val="32"/>
          <w:highlight w:val="auto"/>
        </w:rPr>
      </w:pPr>
      <w:bookmarkStart w:id="58" w:name="_Toc15377212"/>
      <w:r>
        <w:rPr>
          <w:rFonts w:ascii="仿宋" w:eastAsia="仿宋" w:hAnsi="仿宋" w:hint="eastAsia"/>
          <w:b/>
          <w:color w:val="auto"/>
          <w:sz w:val="32"/>
          <w:szCs w:val="32"/>
          <w:highlight w:val="auto"/>
        </w:rPr>
        <w:t>（三）一般公共预算财政拨款支出决算具体情况</w:t>
      </w:r>
      <w:bookmarkEnd w:id="58"/>
    </w:p>
    <w:p>
      <w:pPr>
        <w:pageBreakBefore w:val="0"/>
        <w:widowControl w:val="0"/>
        <w:kinsoku/>
        <w:wordWrap/>
        <w:topLinePunct w:val="0"/>
        <w:bidi w:val="0"/>
        <w:spacing w:line="600" w:lineRule="exact"/>
        <w:ind w:firstLineChars="200" w:firstLine="640"/>
        <w:outlineLvl w:val="1"/>
        <w:rPr>
          <w:rFonts w:ascii="仿宋" w:eastAsia="仿宋" w:hAnsi="仿宋"/>
          <w:color w:val="auto"/>
          <w:sz w:val="32"/>
          <w:szCs w:val="32"/>
          <w:highlight w:val="auto"/>
        </w:rPr>
      </w:pPr>
      <w:bookmarkStart w:id="59" w:name="_Toc12748"/>
      <w:bookmarkStart w:id="60" w:name="_Toc15378460"/>
      <w:bookmarkStart w:id="61" w:name="_Toc7099"/>
      <w:bookmarkStart w:id="62" w:name="_Toc15377444"/>
      <w:bookmarkStart w:id="63" w:name="_Toc15377213"/>
      <w:bookmarkStart w:id="64" w:name="_Toc30929"/>
      <w:r>
        <w:rPr>
          <w:rStyle w:val="27"/>
          <w:rFonts w:ascii="仿宋" w:eastAsia="仿宋" w:hAnsi="仿宋" w:hint="eastAsia"/>
          <w:b w:val="0"/>
          <w:bCs/>
          <w:color w:val="auto"/>
          <w:sz w:val="32"/>
          <w:szCs w:val="32"/>
          <w:highlight w:val="auto"/>
        </w:rPr>
        <w:t>20</w:t>
      </w:r>
      <w:r>
        <w:rPr>
          <w:rStyle w:val="27"/>
          <w:rFonts w:ascii="仿宋" w:eastAsia="仿宋" w:hAnsi="仿宋" w:hint="eastAsia"/>
          <w:b w:val="0"/>
          <w:bCs/>
          <w:color w:val="auto"/>
          <w:sz w:val="32"/>
          <w:szCs w:val="32"/>
          <w:lang w:val="en-US" w:eastAsia="zh-CN"/>
          <w:highlight w:val="auto"/>
        </w:rPr>
        <w:t>22</w:t>
      </w:r>
      <w:r>
        <w:rPr>
          <w:rStyle w:val="27"/>
          <w:rFonts w:ascii="仿宋" w:eastAsia="仿宋" w:hAnsi="仿宋" w:hint="eastAsia"/>
          <w:b w:val="0"/>
          <w:bCs/>
          <w:color w:val="auto"/>
          <w:sz w:val="32"/>
          <w:szCs w:val="32"/>
          <w:highlight w:val="auto"/>
        </w:rPr>
        <w:t>年</w:t>
      </w:r>
      <w:r>
        <w:rPr>
          <w:rStyle w:val="27"/>
          <w:rFonts w:ascii="仿宋" w:eastAsia="仿宋" w:hAnsi="仿宋" w:hint="eastAsia"/>
          <w:b w:val="0"/>
          <w:bCs/>
          <w:color w:val="auto"/>
          <w:sz w:val="32"/>
          <w:szCs w:val="32"/>
          <w:lang w:eastAsia="zh-CN"/>
          <w:highlight w:val="auto"/>
        </w:rPr>
        <w:t>一</w:t>
      </w:r>
      <w:r>
        <w:rPr>
          <w:rStyle w:val="27"/>
          <w:rFonts w:ascii="仿宋" w:eastAsia="仿宋" w:hAnsi="仿宋" w:hint="eastAsia"/>
          <w:b w:val="0"/>
          <w:bCs/>
          <w:color w:val="auto"/>
          <w:sz w:val="32"/>
          <w:szCs w:val="32"/>
          <w:highlight w:val="auto"/>
        </w:rPr>
        <w:t>般公共预算支出决算数为</w:t>
      </w:r>
      <w:r>
        <w:rPr>
          <w:rStyle w:val="27"/>
          <w:rFonts w:ascii="仿宋" w:eastAsia="仿宋" w:hAnsi="仿宋" w:hint="eastAsia"/>
          <w:b w:val="0"/>
          <w:bCs/>
          <w:color w:val="auto"/>
          <w:sz w:val="32"/>
          <w:szCs w:val="32"/>
          <w:lang w:val="en-US" w:eastAsia="zh-CN"/>
          <w:highlight w:val="auto"/>
        </w:rPr>
        <w:t>1228.04</w:t>
      </w:r>
      <w:r>
        <w:rPr>
          <w:rStyle w:val="27"/>
          <w:rFonts w:ascii="仿宋" w:eastAsia="仿宋" w:hAnsi="仿宋" w:hint="eastAsia"/>
          <w:b w:val="0"/>
          <w:bCs/>
          <w:color w:val="auto"/>
          <w:sz w:val="32"/>
          <w:szCs w:val="32"/>
          <w:highlight w:val="auto"/>
        </w:rPr>
        <w:t>，完成预算</w:t>
      </w:r>
      <w:r>
        <w:rPr>
          <w:rStyle w:val="27"/>
          <w:rFonts w:ascii="仿宋" w:eastAsia="仿宋" w:hAnsi="仿宋" w:hint="eastAsia"/>
          <w:b w:val="0"/>
          <w:bCs/>
          <w:color w:val="auto"/>
          <w:sz w:val="32"/>
          <w:szCs w:val="32"/>
          <w:lang w:val="en-US" w:eastAsia="zh-CN"/>
          <w:highlight w:val="auto"/>
        </w:rPr>
        <w:t>100.00</w:t>
      </w:r>
      <w:r>
        <w:rPr>
          <w:rStyle w:val="27"/>
          <w:rFonts w:ascii="仿宋" w:eastAsia="仿宋" w:hAnsi="仿宋" w:hint="eastAsia"/>
          <w:b w:val="0"/>
          <w:bCs/>
          <w:color w:val="auto"/>
          <w:sz w:val="32"/>
          <w:szCs w:val="32"/>
          <w:highlight w:val="auto"/>
        </w:rPr>
        <w:t>%。其中：</w:t>
      </w:r>
      <w:bookmarkEnd w:id="59"/>
      <w:bookmarkEnd w:id="60"/>
      <w:bookmarkEnd w:id="61"/>
      <w:bookmarkEnd w:id="62"/>
      <w:bookmarkEnd w:id="63"/>
      <w:bookmarkEnd w:id="64"/>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一般公共服务（类）</w:t>
      </w:r>
      <w:r>
        <w:rPr>
          <w:rStyle w:val="27"/>
          <w:rFonts w:ascii="仿宋" w:eastAsia="仿宋" w:hAnsi="仿宋" w:hint="eastAsia"/>
          <w:b w:val="0"/>
          <w:bCs/>
          <w:color w:val="auto"/>
          <w:sz w:val="32"/>
          <w:szCs w:val="32"/>
          <w:lang w:eastAsia="zh-CN"/>
          <w:highlight w:val="auto"/>
        </w:rPr>
        <w:t>政府办公厅（</w:t>
      </w:r>
      <w:r>
        <w:rPr>
          <w:rStyle w:val="27"/>
          <w:rFonts w:ascii="仿宋" w:eastAsia="仿宋" w:hAnsi="仿宋" w:hint="eastAsia"/>
          <w:b w:val="0"/>
          <w:bCs/>
          <w:color w:val="auto"/>
          <w:sz w:val="32"/>
          <w:szCs w:val="32"/>
          <w:highlight w:val="auto"/>
        </w:rPr>
        <w:t>款）</w:t>
      </w:r>
      <w:r>
        <w:rPr>
          <w:rStyle w:val="27"/>
          <w:rFonts w:ascii="仿宋" w:eastAsia="仿宋" w:hAnsi="仿宋" w:hint="eastAsia"/>
          <w:b w:val="0"/>
          <w:bCs/>
          <w:color w:val="auto"/>
          <w:sz w:val="32"/>
          <w:szCs w:val="32"/>
          <w:lang w:eastAsia="zh-CN"/>
          <w:highlight w:val="auto"/>
        </w:rPr>
        <w:t>行政运行</w:t>
      </w:r>
      <w:r>
        <w:rPr>
          <w:rStyle w:val="27"/>
          <w:rFonts w:ascii="仿宋" w:eastAsia="仿宋" w:hAnsi="仿宋" w:hint="eastAsia"/>
          <w:b w:val="0"/>
          <w:bCs/>
          <w:color w:val="auto"/>
          <w:sz w:val="32"/>
          <w:szCs w:val="32"/>
          <w:highlight w:val="auto"/>
        </w:rPr>
        <w:t>（项）: 支出决算为</w:t>
      </w:r>
      <w:r>
        <w:rPr>
          <w:rStyle w:val="27"/>
          <w:rFonts w:ascii="仿宋" w:eastAsia="仿宋" w:hAnsi="仿宋" w:hint="eastAsia"/>
          <w:b w:val="0"/>
          <w:bCs/>
          <w:color w:val="auto"/>
          <w:sz w:val="32"/>
          <w:szCs w:val="32"/>
          <w:lang w:val="en-US" w:eastAsia="zh-CN"/>
          <w:highlight w:val="auto"/>
        </w:rPr>
        <w:t>404.83</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一般公共服务（类）</w:t>
      </w:r>
      <w:r>
        <w:rPr>
          <w:rStyle w:val="27"/>
          <w:rFonts w:ascii="仿宋" w:eastAsia="仿宋" w:hAnsi="仿宋" w:hint="eastAsia"/>
          <w:b w:val="0"/>
          <w:bCs/>
          <w:color w:val="auto"/>
          <w:sz w:val="32"/>
          <w:szCs w:val="32"/>
          <w:lang w:eastAsia="zh-CN"/>
          <w:highlight w:val="auto"/>
        </w:rPr>
        <w:t>政府办公厅（</w:t>
      </w:r>
      <w:r>
        <w:rPr>
          <w:rStyle w:val="27"/>
          <w:rFonts w:ascii="仿宋" w:eastAsia="仿宋" w:hAnsi="仿宋" w:hint="eastAsia"/>
          <w:b w:val="0"/>
          <w:bCs/>
          <w:color w:val="auto"/>
          <w:sz w:val="32"/>
          <w:szCs w:val="32"/>
          <w:highlight w:val="auto"/>
        </w:rPr>
        <w:t>款）</w:t>
      </w:r>
      <w:r>
        <w:rPr>
          <w:rStyle w:val="27"/>
          <w:rFonts w:ascii="仿宋" w:eastAsia="仿宋" w:hAnsi="仿宋" w:hint="eastAsia"/>
          <w:b w:val="0"/>
          <w:bCs/>
          <w:color w:val="auto"/>
          <w:sz w:val="32"/>
          <w:szCs w:val="32"/>
          <w:lang w:eastAsia="zh-CN"/>
          <w:highlight w:val="auto"/>
        </w:rPr>
        <w:t>一般行政管理事务</w:t>
      </w:r>
      <w:r>
        <w:rPr>
          <w:rStyle w:val="27"/>
          <w:rFonts w:ascii="仿宋" w:eastAsia="仿宋" w:hAnsi="仿宋" w:hint="eastAsia"/>
          <w:b w:val="0"/>
          <w:bCs/>
          <w:color w:val="auto"/>
          <w:sz w:val="32"/>
          <w:szCs w:val="32"/>
          <w:highlight w:val="auto"/>
        </w:rPr>
        <w:t>（项）:支出决算为</w:t>
      </w:r>
      <w:r>
        <w:rPr>
          <w:rStyle w:val="27"/>
          <w:rFonts w:ascii="仿宋" w:eastAsia="仿宋" w:hAnsi="仿宋" w:hint="eastAsia"/>
          <w:b w:val="0"/>
          <w:bCs/>
          <w:color w:val="auto"/>
          <w:sz w:val="32"/>
          <w:szCs w:val="32"/>
          <w:lang w:val="en-US" w:eastAsia="zh-CN"/>
          <w:highlight w:val="auto"/>
        </w:rPr>
        <w:t>169.93</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一般公共服务（类）</w:t>
      </w:r>
      <w:r>
        <w:rPr>
          <w:rStyle w:val="27"/>
          <w:rFonts w:ascii="仿宋" w:eastAsia="仿宋" w:hAnsi="仿宋" w:hint="eastAsia"/>
          <w:b w:val="0"/>
          <w:bCs/>
          <w:color w:val="auto"/>
          <w:sz w:val="32"/>
          <w:szCs w:val="32"/>
          <w:lang w:eastAsia="zh-CN"/>
          <w:highlight w:val="auto"/>
        </w:rPr>
        <w:t>政府办公厅（</w:t>
      </w:r>
      <w:r>
        <w:rPr>
          <w:rStyle w:val="27"/>
          <w:rFonts w:ascii="仿宋" w:eastAsia="仿宋" w:hAnsi="仿宋" w:hint="eastAsia"/>
          <w:b w:val="0"/>
          <w:bCs/>
          <w:color w:val="auto"/>
          <w:sz w:val="32"/>
          <w:szCs w:val="32"/>
          <w:highlight w:val="auto"/>
        </w:rPr>
        <w:t>款）</w:t>
      </w:r>
      <w:r>
        <w:rPr>
          <w:rStyle w:val="27"/>
          <w:rFonts w:ascii="仿宋" w:eastAsia="仿宋" w:hAnsi="仿宋" w:hint="eastAsia"/>
          <w:b w:val="0"/>
          <w:bCs/>
          <w:color w:val="auto"/>
          <w:sz w:val="32"/>
          <w:szCs w:val="32"/>
          <w:lang w:eastAsia="zh-CN"/>
          <w:highlight w:val="auto"/>
        </w:rPr>
        <w:t>事业运行</w:t>
      </w:r>
      <w:r>
        <w:rPr>
          <w:rStyle w:val="27"/>
          <w:rFonts w:ascii="仿宋" w:eastAsia="仿宋" w:hAnsi="仿宋" w:hint="eastAsia"/>
          <w:b w:val="0"/>
          <w:bCs/>
          <w:color w:val="auto"/>
          <w:sz w:val="32"/>
          <w:szCs w:val="32"/>
          <w:highlight w:val="auto"/>
        </w:rPr>
        <w:t>（项）:支出决算为</w:t>
      </w:r>
      <w:r>
        <w:rPr>
          <w:rStyle w:val="27"/>
          <w:rFonts w:ascii="仿宋" w:eastAsia="仿宋" w:hAnsi="仿宋" w:hint="eastAsia"/>
          <w:b w:val="0"/>
          <w:bCs/>
          <w:color w:val="auto"/>
          <w:sz w:val="32"/>
          <w:szCs w:val="32"/>
          <w:lang w:val="en-US" w:eastAsia="zh-CN"/>
          <w:highlight w:val="auto"/>
        </w:rPr>
        <w:t>180.00</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社会保障和就业（类）行政事业单位养老支出（款）机关事业单位基本养老保险缴费支出（项）: 支出决算为</w:t>
      </w:r>
      <w:r>
        <w:rPr>
          <w:rStyle w:val="27"/>
          <w:rFonts w:ascii="仿宋" w:eastAsia="仿宋" w:hAnsi="仿宋" w:hint="eastAsia"/>
          <w:b w:val="0"/>
          <w:bCs/>
          <w:color w:val="auto"/>
          <w:sz w:val="32"/>
          <w:szCs w:val="32"/>
          <w:lang w:val="en-US" w:eastAsia="zh-CN"/>
          <w:highlight w:val="auto"/>
        </w:rPr>
        <w:t>52.15</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社会保障和就业（类）行政事业单位养老支出（款）机关事业单位职业年金缴费支出（项）: 支出决算为</w:t>
      </w:r>
      <w:r>
        <w:rPr>
          <w:rStyle w:val="27"/>
          <w:rFonts w:ascii="仿宋" w:eastAsia="仿宋" w:hAnsi="仿宋" w:hint="eastAsia"/>
          <w:b w:val="0"/>
          <w:bCs/>
          <w:color w:val="auto"/>
          <w:sz w:val="32"/>
          <w:szCs w:val="32"/>
          <w:lang w:val="en-US" w:eastAsia="zh-CN"/>
          <w:highlight w:val="auto"/>
        </w:rPr>
        <w:t>2.92</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社会保障和就业（类）抚恤（款）死亡抚恤</w:t>
      </w:r>
      <w:r>
        <w:rPr>
          <w:rStyle w:val="27"/>
          <w:rFonts w:ascii="仿宋" w:eastAsia="仿宋" w:hAnsi="仿宋" w:hint="eastAsia"/>
          <w:b w:val="0"/>
          <w:bCs/>
          <w:color w:val="auto"/>
          <w:sz w:val="32"/>
          <w:szCs w:val="32"/>
          <w:lang w:val="en-US" w:eastAsia="zh-CN"/>
          <w:highlight w:val="auto"/>
        </w:rPr>
        <w:t>(项）</w:t>
      </w:r>
      <w:r>
        <w:rPr>
          <w:rStyle w:val="27"/>
          <w:rFonts w:ascii="仿宋" w:eastAsia="仿宋" w:hAnsi="仿宋" w:hint="eastAsia"/>
          <w:b w:val="0"/>
          <w:bCs/>
          <w:color w:val="auto"/>
          <w:sz w:val="32"/>
          <w:szCs w:val="32"/>
          <w:highlight w:val="auto"/>
        </w:rPr>
        <w:t>: 支出决算为</w:t>
      </w:r>
      <w:r>
        <w:rPr>
          <w:rStyle w:val="27"/>
          <w:rFonts w:ascii="仿宋" w:eastAsia="仿宋" w:hAnsi="仿宋" w:hint="eastAsia"/>
          <w:b w:val="0"/>
          <w:bCs/>
          <w:color w:val="auto"/>
          <w:sz w:val="32"/>
          <w:szCs w:val="32"/>
          <w:lang w:val="en-US" w:eastAsia="zh-CN"/>
          <w:highlight w:val="auto"/>
        </w:rPr>
        <w:t>20.91</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numPr>
          <w:ilvl w:val="0"/>
          <w:numId w:val="2"/>
        </w:numPr>
        <w:kinsoku/>
        <w:wordWrap/>
        <w:topLinePunct w:val="0"/>
        <w:bidi w:val="0"/>
        <w:spacing w:line="600" w:lineRule="exact"/>
        <w:ind w:left="0"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highlight w:val="auto"/>
        </w:rPr>
        <w:t>社会保障和就业（类）其他社会保障和就业支出（款）其他社会保障和就业支出</w:t>
      </w:r>
      <w:r>
        <w:rPr>
          <w:rStyle w:val="27"/>
          <w:rFonts w:ascii="仿宋" w:eastAsia="仿宋" w:hAnsi="仿宋" w:hint="eastAsia"/>
          <w:b w:val="0"/>
          <w:bCs/>
          <w:color w:val="auto"/>
          <w:sz w:val="32"/>
          <w:szCs w:val="32"/>
          <w:lang w:eastAsia="zh-CN"/>
          <w:highlight w:val="auto"/>
        </w:rPr>
        <w:t>（</w:t>
      </w:r>
      <w:r>
        <w:rPr>
          <w:rStyle w:val="27"/>
          <w:rFonts w:ascii="仿宋" w:eastAsia="仿宋" w:hAnsi="仿宋" w:hint="eastAsia"/>
          <w:b w:val="0"/>
          <w:bCs/>
          <w:color w:val="auto"/>
          <w:sz w:val="32"/>
          <w:szCs w:val="32"/>
          <w:lang w:val="en-US" w:eastAsia="zh-CN"/>
          <w:highlight w:val="auto"/>
        </w:rPr>
        <w:t>项</w:t>
      </w:r>
      <w:r>
        <w:rPr>
          <w:rStyle w:val="27"/>
          <w:rFonts w:ascii="仿宋" w:eastAsia="仿宋" w:hAnsi="仿宋" w:hint="eastAsia"/>
          <w:b w:val="0"/>
          <w:bCs/>
          <w:color w:val="auto"/>
          <w:sz w:val="32"/>
          <w:szCs w:val="32"/>
          <w:lang w:eastAsia="zh-CN"/>
          <w:highlight w:val="auto"/>
        </w:rPr>
        <w:t>）</w:t>
      </w:r>
      <w:r>
        <w:rPr>
          <w:rStyle w:val="27"/>
          <w:rFonts w:ascii="仿宋" w:eastAsia="仿宋" w:hAnsi="仿宋" w:hint="eastAsia"/>
          <w:b w:val="0"/>
          <w:bCs/>
          <w:color w:val="auto"/>
          <w:sz w:val="32"/>
          <w:szCs w:val="32"/>
          <w:highlight w:val="auto"/>
        </w:rPr>
        <w:t>: 支出决算为</w:t>
      </w:r>
      <w:r>
        <w:rPr>
          <w:rStyle w:val="27"/>
          <w:rFonts w:ascii="仿宋" w:eastAsia="仿宋" w:hAnsi="仿宋" w:hint="eastAsia"/>
          <w:b w:val="0"/>
          <w:bCs/>
          <w:color w:val="auto"/>
          <w:sz w:val="32"/>
          <w:szCs w:val="32"/>
          <w:lang w:val="en-US" w:eastAsia="zh-CN"/>
          <w:highlight w:val="auto"/>
        </w:rPr>
        <w:t>1.31</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kinsoku/>
        <w:wordWrap/>
        <w:topLinePunct w:val="0"/>
        <w:bidi w:val="0"/>
        <w:spacing w:line="600" w:lineRule="exact"/>
        <w:ind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lang w:val="en-US" w:eastAsia="zh-CN"/>
          <w:highlight w:val="auto"/>
        </w:rPr>
        <w:t>8</w:t>
      </w:r>
      <w:r>
        <w:rPr>
          <w:rStyle w:val="27"/>
          <w:rFonts w:ascii="仿宋" w:eastAsia="仿宋" w:hAnsi="仿宋" w:hint="eastAsia"/>
          <w:b w:val="0"/>
          <w:bCs/>
          <w:color w:val="auto"/>
          <w:sz w:val="32"/>
          <w:szCs w:val="32"/>
          <w:highlight w:val="auto"/>
        </w:rPr>
        <w:t>.卫生健康（类）行政事业单位医疗（款）行政单位医疗（项）:支出决算为</w:t>
      </w:r>
      <w:r>
        <w:rPr>
          <w:rStyle w:val="27"/>
          <w:rFonts w:ascii="仿宋" w:eastAsia="仿宋" w:hAnsi="仿宋" w:hint="eastAsia"/>
          <w:b w:val="0"/>
          <w:bCs/>
          <w:color w:val="auto"/>
          <w:sz w:val="32"/>
          <w:szCs w:val="32"/>
          <w:lang w:val="en-US" w:eastAsia="zh-CN"/>
          <w:highlight w:val="auto"/>
        </w:rPr>
        <w:t>25.45</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kinsoku/>
        <w:wordWrap/>
        <w:topLinePunct w:val="0"/>
        <w:bidi w:val="0"/>
        <w:spacing w:line="600" w:lineRule="exact"/>
        <w:ind w:firstLineChars="200" w:firstLine="640"/>
        <w:rPr>
          <w:rStyle w:val="27"/>
          <w:rFonts w:ascii="仿宋" w:eastAsia="仿宋" w:hAnsi="仿宋" w:hint="eastAsia"/>
          <w:b w:val="0"/>
          <w:bCs/>
          <w:color w:val="auto"/>
          <w:sz w:val="32"/>
          <w:szCs w:val="32"/>
          <w:highlight w:val="auto"/>
        </w:rPr>
      </w:pPr>
      <w:r>
        <w:rPr>
          <w:rStyle w:val="27"/>
          <w:rFonts w:ascii="仿宋" w:eastAsia="仿宋" w:hAnsi="仿宋" w:hint="eastAsia"/>
          <w:b w:val="0"/>
          <w:bCs/>
          <w:color w:val="auto"/>
          <w:sz w:val="32"/>
          <w:szCs w:val="32"/>
          <w:lang w:val="en-US" w:eastAsia="zh-CN"/>
          <w:highlight w:val="auto"/>
        </w:rPr>
        <w:t>9</w:t>
      </w:r>
      <w:r>
        <w:rPr>
          <w:rStyle w:val="27"/>
          <w:rFonts w:ascii="仿宋" w:eastAsia="仿宋" w:hAnsi="仿宋" w:hint="eastAsia"/>
          <w:b w:val="0"/>
          <w:bCs/>
          <w:color w:val="auto"/>
          <w:sz w:val="32"/>
          <w:szCs w:val="32"/>
          <w:highlight w:val="auto"/>
        </w:rPr>
        <w:t>.</w:t>
      </w:r>
      <w:r>
        <w:rPr>
          <w:rStyle w:val="27"/>
          <w:rFonts w:ascii="仿宋" w:eastAsia="仿宋" w:hAnsi="仿宋" w:hint="eastAsia"/>
          <w:b w:val="0"/>
          <w:bCs/>
          <w:color w:val="auto"/>
          <w:sz w:val="32"/>
          <w:szCs w:val="32"/>
          <w:lang w:eastAsia="zh-CN"/>
          <w:highlight w:val="auto"/>
        </w:rPr>
        <w:t>住房保障</w:t>
      </w:r>
      <w:r>
        <w:rPr>
          <w:rStyle w:val="27"/>
          <w:rFonts w:ascii="仿宋" w:eastAsia="仿宋" w:hAnsi="仿宋" w:hint="eastAsia"/>
          <w:b w:val="0"/>
          <w:bCs/>
          <w:color w:val="auto"/>
          <w:sz w:val="32"/>
          <w:szCs w:val="32"/>
          <w:highlight w:val="auto"/>
        </w:rPr>
        <w:t>（类）住房改革支出（款）</w:t>
      </w:r>
      <w:r>
        <w:rPr>
          <w:rStyle w:val="27"/>
          <w:rFonts w:ascii="仿宋" w:eastAsia="仿宋" w:hAnsi="仿宋" w:hint="eastAsia"/>
          <w:b w:val="0"/>
          <w:bCs/>
          <w:color w:val="auto"/>
          <w:sz w:val="32"/>
          <w:szCs w:val="32"/>
          <w:lang w:eastAsia="zh-CN"/>
          <w:highlight w:val="auto"/>
        </w:rPr>
        <w:t>住房公积金</w:t>
      </w:r>
      <w:r>
        <w:rPr>
          <w:rStyle w:val="27"/>
          <w:rFonts w:ascii="仿宋" w:eastAsia="仿宋" w:hAnsi="仿宋" w:hint="eastAsia"/>
          <w:b w:val="0"/>
          <w:bCs/>
          <w:color w:val="auto"/>
          <w:sz w:val="32"/>
          <w:szCs w:val="32"/>
          <w:highlight w:val="auto"/>
        </w:rPr>
        <w:t>（项）</w:t>
      </w:r>
      <w:r>
        <w:rPr>
          <w:rStyle w:val="27"/>
          <w:rFonts w:ascii="仿宋" w:eastAsia="仿宋" w:hAnsi="仿宋" w:hint="eastAsia"/>
          <w:b w:val="0"/>
          <w:bCs/>
          <w:color w:val="auto"/>
          <w:sz w:val="32"/>
          <w:szCs w:val="32"/>
          <w:lang w:eastAsia="zh-CN"/>
          <w:highlight w:val="auto"/>
        </w:rPr>
        <w:t>（</w:t>
      </w:r>
      <w:r>
        <w:rPr>
          <w:rStyle w:val="27"/>
          <w:rFonts w:ascii="仿宋" w:eastAsia="仿宋" w:hAnsi="仿宋" w:hint="eastAsia"/>
          <w:b w:val="0"/>
          <w:bCs/>
          <w:color w:val="auto"/>
          <w:sz w:val="32"/>
          <w:szCs w:val="32"/>
          <w:lang w:val="en-US" w:eastAsia="zh-CN"/>
          <w:highlight w:val="auto"/>
        </w:rPr>
        <w:t>2210201</w:t>
      </w:r>
      <w:r>
        <w:rPr>
          <w:rStyle w:val="27"/>
          <w:rFonts w:ascii="仿宋" w:eastAsia="仿宋" w:hAnsi="仿宋" w:hint="eastAsia"/>
          <w:b w:val="0"/>
          <w:bCs/>
          <w:color w:val="auto"/>
          <w:sz w:val="32"/>
          <w:szCs w:val="32"/>
          <w:lang w:eastAsia="zh-CN"/>
          <w:highlight w:val="auto"/>
        </w:rPr>
        <w:t>）</w:t>
      </w:r>
      <w:r>
        <w:rPr>
          <w:rStyle w:val="27"/>
          <w:rFonts w:ascii="仿宋" w:eastAsia="仿宋" w:hAnsi="仿宋" w:hint="eastAsia"/>
          <w:b w:val="0"/>
          <w:bCs/>
          <w:color w:val="auto"/>
          <w:sz w:val="32"/>
          <w:szCs w:val="32"/>
          <w:highlight w:val="auto"/>
        </w:rPr>
        <w:t>:支出决算为</w:t>
      </w:r>
      <w:r>
        <w:rPr>
          <w:rStyle w:val="27"/>
          <w:rFonts w:ascii="仿宋" w:eastAsia="仿宋" w:hAnsi="仿宋" w:hint="eastAsia"/>
          <w:b w:val="0"/>
          <w:bCs/>
          <w:color w:val="auto"/>
          <w:sz w:val="32"/>
          <w:szCs w:val="32"/>
          <w:lang w:val="en-US" w:eastAsia="zh-CN"/>
          <w:highlight w:val="auto"/>
        </w:rPr>
        <w:t>59.35</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kinsoku/>
        <w:wordWrap/>
        <w:topLinePunct w:val="0"/>
        <w:bidi w:val="0"/>
        <w:spacing w:line="600" w:lineRule="exact"/>
        <w:ind w:firstLineChars="200" w:firstLine="640"/>
        <w:rPr>
          <w:rStyle w:val="27"/>
          <w:rFonts w:ascii="仿宋" w:eastAsia="仿宋" w:hAnsi="仿宋"/>
          <w:b w:val="0"/>
          <w:bCs/>
          <w:color w:val="auto"/>
          <w:sz w:val="32"/>
          <w:szCs w:val="32"/>
          <w:lang w:val="en-US" w:eastAsia="zh-CN"/>
          <w:highlight w:val="auto"/>
        </w:rPr>
      </w:pPr>
      <w:r>
        <w:rPr>
          <w:rStyle w:val="27"/>
          <w:rFonts w:ascii="仿宋" w:eastAsia="仿宋" w:hAnsi="仿宋" w:hint="eastAsia"/>
          <w:b w:val="0"/>
          <w:bCs/>
          <w:color w:val="auto"/>
          <w:sz w:val="32"/>
          <w:szCs w:val="32"/>
          <w:lang w:val="en-US" w:eastAsia="zh-CN"/>
          <w:highlight w:val="auto"/>
        </w:rPr>
        <w:t>10.</w:t>
      </w:r>
      <w:r>
        <w:rPr>
          <w:rStyle w:val="27"/>
          <w:rFonts w:ascii="仿宋" w:eastAsia="仿宋" w:hAnsi="仿宋" w:hint="eastAsia"/>
          <w:b w:val="0"/>
          <w:bCs/>
          <w:color w:val="auto"/>
          <w:sz w:val="32"/>
          <w:szCs w:val="32"/>
          <w:lang w:eastAsia="zh-CN"/>
          <w:highlight w:val="auto"/>
        </w:rPr>
        <w:t>住房保障</w:t>
      </w:r>
      <w:r>
        <w:rPr>
          <w:rStyle w:val="27"/>
          <w:rFonts w:ascii="仿宋" w:eastAsia="仿宋" w:hAnsi="仿宋" w:hint="eastAsia"/>
          <w:b w:val="0"/>
          <w:bCs/>
          <w:color w:val="auto"/>
          <w:sz w:val="32"/>
          <w:szCs w:val="32"/>
          <w:highlight w:val="auto"/>
        </w:rPr>
        <w:t>（类）保障性安居工程支出（款）</w:t>
      </w:r>
      <w:r>
        <w:rPr>
          <w:rStyle w:val="27"/>
          <w:rFonts w:ascii="仿宋" w:eastAsia="仿宋" w:hAnsi="仿宋" w:hint="eastAsia"/>
          <w:b w:val="0"/>
          <w:bCs/>
          <w:color w:val="auto"/>
          <w:sz w:val="32"/>
          <w:szCs w:val="32"/>
          <w:lang w:eastAsia="zh-CN"/>
          <w:highlight w:val="auto"/>
        </w:rPr>
        <w:t>老旧小区改造</w:t>
      </w:r>
      <w:r>
        <w:rPr>
          <w:rStyle w:val="27"/>
          <w:rFonts w:ascii="仿宋" w:eastAsia="仿宋" w:hAnsi="仿宋" w:hint="eastAsia"/>
          <w:b w:val="0"/>
          <w:bCs/>
          <w:color w:val="auto"/>
          <w:sz w:val="32"/>
          <w:szCs w:val="32"/>
          <w:highlight w:val="auto"/>
        </w:rPr>
        <w:t>（项）</w:t>
      </w:r>
      <w:r>
        <w:rPr>
          <w:rStyle w:val="27"/>
          <w:rFonts w:ascii="仿宋" w:eastAsia="仿宋" w:hAnsi="仿宋" w:hint="eastAsia"/>
          <w:b w:val="0"/>
          <w:bCs/>
          <w:color w:val="auto"/>
          <w:sz w:val="32"/>
          <w:szCs w:val="32"/>
          <w:lang w:eastAsia="zh-CN"/>
          <w:highlight w:val="auto"/>
        </w:rPr>
        <w:t>：</w:t>
      </w:r>
      <w:r>
        <w:rPr>
          <w:rStyle w:val="27"/>
          <w:rFonts w:ascii="仿宋" w:eastAsia="仿宋" w:hAnsi="仿宋" w:hint="eastAsia"/>
          <w:b w:val="0"/>
          <w:bCs/>
          <w:color w:val="auto"/>
          <w:sz w:val="32"/>
          <w:szCs w:val="32"/>
          <w:highlight w:val="auto"/>
        </w:rPr>
        <w:t>支出决算为</w:t>
      </w:r>
      <w:r>
        <w:rPr>
          <w:rStyle w:val="27"/>
          <w:rFonts w:ascii="仿宋" w:eastAsia="仿宋" w:hAnsi="仿宋" w:hint="eastAsia"/>
          <w:b w:val="0"/>
          <w:bCs/>
          <w:color w:val="auto"/>
          <w:sz w:val="32"/>
          <w:szCs w:val="32"/>
          <w:lang w:val="en-US" w:eastAsia="zh-CN"/>
          <w:highlight w:val="auto"/>
        </w:rPr>
        <w:t>311.20</w:t>
      </w:r>
      <w:r>
        <w:rPr>
          <w:rStyle w:val="27"/>
          <w:rFonts w:ascii="仿宋" w:eastAsia="仿宋" w:hAnsi="仿宋" w:hint="eastAsia"/>
          <w:b w:val="0"/>
          <w:bCs/>
          <w:color w:val="auto"/>
          <w:sz w:val="32"/>
          <w:szCs w:val="32"/>
          <w:highlight w:val="auto"/>
        </w:rPr>
        <w:t>万元，完成预算</w:t>
      </w:r>
      <w:r>
        <w:rPr>
          <w:rStyle w:val="27"/>
          <w:rFonts w:ascii="仿宋" w:eastAsia="仿宋" w:hAnsi="仿宋" w:hint="eastAsia"/>
          <w:b w:val="0"/>
          <w:bCs/>
          <w:color w:val="auto"/>
          <w:sz w:val="32"/>
          <w:szCs w:val="32"/>
          <w:lang w:val="en-US" w:eastAsia="zh-CN"/>
          <w:highlight w:val="auto"/>
        </w:rPr>
        <w:t>100</w:t>
      </w:r>
      <w:r>
        <w:rPr>
          <w:rStyle w:val="27"/>
          <w:rFonts w:ascii="仿宋" w:eastAsia="仿宋" w:hAnsi="仿宋" w:hint="eastAsia"/>
          <w:b w:val="0"/>
          <w:bCs/>
          <w:color w:val="auto"/>
          <w:sz w:val="32"/>
          <w:szCs w:val="32"/>
          <w:highlight w:val="auto"/>
        </w:rPr>
        <w:t>%，决算数等于预算数。</w:t>
      </w:r>
    </w:p>
    <w:p>
      <w:pPr>
        <w:pageBreakBefore w:val="0"/>
        <w:widowControl w:val="0"/>
        <w:tabs>
          <w:tab w:val="right" w:pos="8306"/>
        </w:tabs>
        <w:kinsoku/>
        <w:wordWrap/>
        <w:topLinePunct w:val="0"/>
        <w:bidi w:val="0"/>
        <w:spacing w:line="600" w:lineRule="exact"/>
        <w:ind w:firstLine="640"/>
        <w:outlineLvl w:val="1"/>
        <w:rPr>
          <w:rStyle w:val="2Char"/>
          <w:color w:val="auto"/>
          <w:highlight w:val="auto"/>
        </w:rPr>
      </w:pPr>
      <w:bookmarkStart w:id="65" w:name="_Toc15377214"/>
      <w:bookmarkStart w:id="66" w:name="_Toc298"/>
      <w:bookmarkStart w:id="67" w:name="_Toc15396608"/>
      <w:r>
        <w:rPr>
          <w:rFonts w:ascii="黑体" w:eastAsia="黑体" w:hint="eastAsia"/>
          <w:color w:val="auto"/>
          <w:sz w:val="32"/>
          <w:szCs w:val="32"/>
          <w:highlight w:val="auto"/>
        </w:rPr>
        <w:t>六</w:t>
      </w:r>
      <w:r>
        <w:rPr>
          <w:rFonts w:ascii="黑体" w:eastAsia="黑体" w:hint="eastAsia"/>
          <w:b/>
          <w:color w:val="auto"/>
          <w:sz w:val="32"/>
          <w:szCs w:val="32"/>
          <w:highlight w:val="auto"/>
        </w:rPr>
        <w:t>、</w:t>
      </w:r>
      <w:r>
        <w:rPr>
          <w:rFonts w:ascii="黑体" w:eastAsia="黑体" w:hAnsi="黑体" w:hint="eastAsia"/>
          <w:b/>
          <w:color w:val="auto"/>
          <w:sz w:val="32"/>
          <w:szCs w:val="32"/>
          <w:highlight w:val="auto"/>
        </w:rPr>
        <w:t>一</w:t>
      </w:r>
      <w:r>
        <w:rPr>
          <w:rStyle w:val="2Char"/>
          <w:rFonts w:ascii="黑体" w:eastAsia="黑体" w:hAnsi="黑体" w:hint="eastAsia"/>
          <w:b w:val="0"/>
          <w:color w:val="auto"/>
          <w:highlight w:val="auto"/>
        </w:rPr>
        <w:t>般公共预算财政拨款基本支出决算情况说明</w:t>
      </w:r>
      <w:bookmarkEnd w:id="65"/>
      <w:bookmarkEnd w:id="66"/>
      <w:bookmarkEnd w:id="67"/>
      <w:r>
        <w:rPr>
          <w:rStyle w:val="2Char"/>
          <w:rFonts w:ascii="黑体" w:eastAsia="黑体" w:hAnsi="黑体"/>
          <w:b w:val="0"/>
          <w:color w:val="auto"/>
          <w:highlight w:val="auto"/>
        </w:rPr>
        <w:tab/>
      </w:r>
    </w:p>
    <w:p>
      <w:pPr>
        <w:pageBreakBefore w:val="0"/>
        <w:widowControl w:val="0"/>
        <w:kinsoku/>
        <w:wordWrap/>
        <w:topLinePunct w:val="0"/>
        <w:bidi w:val="0"/>
        <w:spacing w:line="600" w:lineRule="exact"/>
        <w:ind w:firstLine="645"/>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年一般公共预算财政拨款基本支出</w:t>
      </w:r>
      <w:r>
        <w:rPr>
          <w:rFonts w:ascii="仿宋" w:eastAsia="仿宋" w:hAnsi="仿宋" w:hint="eastAsia"/>
          <w:color w:val="auto"/>
          <w:sz w:val="32"/>
          <w:szCs w:val="32"/>
          <w:lang w:val="en-US" w:eastAsia="zh-CN"/>
          <w:highlight w:val="auto"/>
        </w:rPr>
        <w:t>746.91</w:t>
      </w:r>
      <w:r>
        <w:rPr>
          <w:rFonts w:ascii="仿宋" w:eastAsia="仿宋" w:hAnsi="仿宋" w:hint="eastAsia"/>
          <w:color w:val="auto"/>
          <w:sz w:val="32"/>
          <w:szCs w:val="32"/>
          <w:highlight w:val="auto"/>
        </w:rPr>
        <w:t>万元，其中：</w:t>
      </w:r>
    </w:p>
    <w:p>
      <w:pPr>
        <w:pageBreakBefore w:val="0"/>
        <w:widowControl w:val="0"/>
        <w:kinsoku/>
        <w:wordWrap/>
        <w:topLinePunct w:val="0"/>
        <w:bidi w:val="0"/>
        <w:spacing w:line="600" w:lineRule="exact"/>
        <w:ind w:firstLine="645"/>
        <w:rPr>
          <w:rFonts w:ascii="仿宋" w:eastAsia="仿宋" w:hAnsi="仿宋"/>
          <w:b/>
          <w:color w:val="auto"/>
          <w:sz w:val="32"/>
          <w:szCs w:val="32"/>
          <w:highlight w:val="auto"/>
        </w:rPr>
      </w:pPr>
      <w:r>
        <w:rPr>
          <w:rFonts w:ascii="仿宋" w:eastAsia="仿宋" w:hAnsi="仿宋" w:hint="eastAsia"/>
          <w:color w:val="auto"/>
          <w:sz w:val="32"/>
          <w:szCs w:val="32"/>
          <w:highlight w:val="auto"/>
        </w:rPr>
        <w:t>人员经费</w:t>
      </w:r>
      <w:r>
        <w:rPr>
          <w:rFonts w:ascii="仿宋" w:eastAsia="仿宋" w:hAnsi="仿宋" w:hint="eastAsia"/>
          <w:color w:val="auto"/>
          <w:sz w:val="32"/>
          <w:szCs w:val="32"/>
          <w:lang w:val="en-US" w:eastAsia="zh-CN"/>
          <w:highlight w:val="auto"/>
        </w:rPr>
        <w:t>680.44</w:t>
      </w:r>
      <w:r>
        <w:rPr>
          <w:rFonts w:ascii="仿宋" w:eastAsia="仿宋" w:hAnsi="仿宋" w:hint="eastAsia"/>
          <w:color w:val="auto"/>
          <w:sz w:val="32"/>
          <w:szCs w:val="32"/>
          <w:highlight w:val="auto"/>
        </w:rPr>
        <w:t>万元，主要包括：基本工资、津贴补贴、奖金、绩效工资、机关事业单位基本养老保险缴费、职业年金缴费、</w:t>
      </w:r>
      <w:r>
        <w:rPr>
          <w:rFonts w:ascii="仿宋" w:eastAsia="仿宋" w:hAnsi="仿宋" w:hint="eastAsia"/>
          <w:color w:val="auto"/>
          <w:sz w:val="32"/>
          <w:szCs w:val="32"/>
          <w:lang w:eastAsia="zh-CN"/>
          <w:highlight w:val="auto"/>
        </w:rPr>
        <w:t>职工基本医疗缴费、</w:t>
      </w:r>
      <w:r>
        <w:rPr>
          <w:rFonts w:ascii="仿宋" w:eastAsia="仿宋" w:hAnsi="仿宋" w:hint="eastAsia"/>
          <w:color w:val="auto"/>
          <w:sz w:val="32"/>
          <w:szCs w:val="32"/>
          <w:highlight w:val="auto"/>
        </w:rPr>
        <w:t>其他社会保障缴费、其他工资福利支出、抚恤金、生活补助、奖励金、住房公积金等。</w:t>
      </w:r>
      <w:r>
        <w:rPr>
          <w:rFonts w:ascii="仿宋" w:eastAsia="仿宋" w:hAnsi="仿宋"/>
          <w:color w:val="auto"/>
          <w:sz w:val="32"/>
          <w:szCs w:val="32"/>
          <w:highlight w:val="auto"/>
        </w:rPr>
        <w:br/>
      </w:r>
      <w:r>
        <w:rPr>
          <w:rFonts w:ascii="仿宋" w:eastAsia="仿宋" w:hAnsi="仿宋" w:hint="eastAsia"/>
          <w:color w:val="auto"/>
          <w:sz w:val="32"/>
          <w:szCs w:val="32"/>
          <w:highlight w:val="auto"/>
        </w:rPr>
        <w:t>　　公用经费</w:t>
      </w:r>
      <w:r>
        <w:rPr>
          <w:rFonts w:ascii="仿宋" w:eastAsia="仿宋" w:hAnsi="仿宋" w:hint="eastAsia"/>
          <w:color w:val="auto"/>
          <w:sz w:val="32"/>
          <w:szCs w:val="32"/>
          <w:lang w:val="en-US" w:eastAsia="zh-CN"/>
          <w:highlight w:val="auto"/>
        </w:rPr>
        <w:t>66.47</w:t>
      </w:r>
      <w:r>
        <w:rPr>
          <w:rFonts w:ascii="仿宋" w:eastAsia="仿宋" w:hAnsi="仿宋" w:hint="eastAsia"/>
          <w:color w:val="auto"/>
          <w:sz w:val="32"/>
          <w:szCs w:val="32"/>
          <w:highlight w:val="auto"/>
        </w:rPr>
        <w:t>万元，主要包括：办公费、印刷费、咨询费、水费、电费、邮电费、差旅费、维修（护）费、租赁费、会议费、劳务费、委托业务费、工会经费、福利费、公务用车运行维护费、其他交通费、其他商品和服务支出、办公设备购置等。</w:t>
      </w:r>
    </w:p>
    <w:p>
      <w:pPr>
        <w:pageBreakBefore w:val="0"/>
        <w:widowControl w:val="0"/>
        <w:kinsoku/>
        <w:wordWrap/>
        <w:topLinePunct w:val="0"/>
        <w:bidi w:val="0"/>
        <w:spacing w:line="600" w:lineRule="exact"/>
        <w:ind w:firstLine="640"/>
        <w:outlineLvl w:val="1"/>
        <w:rPr>
          <w:rStyle w:val="2Char"/>
          <w:rFonts w:ascii="黑体" w:eastAsia="黑体" w:hAnsi="黑体"/>
          <w:b w:val="0"/>
          <w:color w:val="auto"/>
          <w:highlight w:val="auto"/>
        </w:rPr>
      </w:pPr>
      <w:bookmarkStart w:id="68" w:name="_Toc891"/>
      <w:bookmarkStart w:id="69" w:name="_Toc15377215"/>
      <w:bookmarkStart w:id="70" w:name="_Toc15396609"/>
      <w:r>
        <w:rPr>
          <w:rFonts w:ascii="黑体" w:eastAsia="黑体" w:hint="eastAsia"/>
          <w:color w:val="auto"/>
          <w:sz w:val="32"/>
          <w:szCs w:val="32"/>
          <w:highlight w:val="auto"/>
        </w:rPr>
        <w:t>七、</w:t>
      </w:r>
      <w:r>
        <w:rPr>
          <w:rStyle w:val="2Char"/>
          <w:rFonts w:ascii="黑体" w:eastAsia="黑体" w:hAnsi="黑体" w:hint="eastAsia"/>
          <w:b w:val="0"/>
          <w:color w:val="auto"/>
          <w:highlight w:val="auto"/>
        </w:rPr>
        <w:t>财政拨款</w:t>
      </w:r>
      <w:r>
        <w:rPr>
          <w:rStyle w:val="2Char"/>
          <w:rFonts w:ascii="黑体" w:eastAsia="黑体" w:hAnsi="黑体" w:hint="eastAsia"/>
          <w:color w:val="auto"/>
          <w:highlight w:val="auto"/>
        </w:rPr>
        <w:t>“</w:t>
      </w:r>
      <w:r>
        <w:rPr>
          <w:rStyle w:val="2Char"/>
          <w:rFonts w:ascii="黑体" w:eastAsia="黑体" w:hAnsi="黑体" w:hint="eastAsia"/>
          <w:b w:val="0"/>
          <w:color w:val="auto"/>
          <w:highlight w:val="auto"/>
        </w:rPr>
        <w:t>三公”经费支出决算情况说明</w:t>
      </w:r>
      <w:bookmarkEnd w:id="68"/>
      <w:bookmarkEnd w:id="69"/>
      <w:bookmarkEnd w:id="70"/>
    </w:p>
    <w:p>
      <w:pPr>
        <w:pageBreakBefore w:val="0"/>
        <w:widowControl w:val="0"/>
        <w:kinsoku/>
        <w:wordWrap/>
        <w:topLinePunct w:val="0"/>
        <w:bidi w:val="0"/>
        <w:spacing w:line="600" w:lineRule="exact"/>
        <w:ind w:firstLine="640"/>
        <w:outlineLvl w:val="2"/>
        <w:rPr>
          <w:rFonts w:ascii="仿宋" w:eastAsia="仿宋" w:hAnsi="仿宋"/>
          <w:b/>
          <w:color w:val="auto"/>
          <w:sz w:val="32"/>
          <w:szCs w:val="32"/>
          <w:highlight w:val="auto"/>
        </w:rPr>
      </w:pPr>
      <w:bookmarkStart w:id="71" w:name="_Toc15377216"/>
      <w:r>
        <w:rPr>
          <w:rFonts w:ascii="仿宋" w:eastAsia="仿宋" w:hAnsi="仿宋" w:hint="eastAsia"/>
          <w:b/>
          <w:color w:val="auto"/>
          <w:sz w:val="32"/>
          <w:szCs w:val="32"/>
          <w:highlight w:val="auto"/>
        </w:rPr>
        <w:t>（一）“三公”经费财政拨款支出决算总体情况说明</w:t>
      </w:r>
      <w:bookmarkEnd w:id="71"/>
    </w:p>
    <w:p>
      <w:pPr>
        <w:pageBreakBefore w:val="0"/>
        <w:widowControl w:val="0"/>
        <w:kinsoku/>
        <w:wordWrap/>
        <w:topLinePunct w:val="0"/>
        <w:bidi w:val="0"/>
        <w:spacing w:line="600" w:lineRule="exact"/>
        <w:ind w:firstLine="640"/>
        <w:rPr>
          <w:rFonts w:ascii="仿宋" w:eastAsia="仿宋" w:hAnsi="仿宋" w:hint="eastAsia"/>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年“三公”经费财政拨款支出决算为</w:t>
      </w:r>
      <w:r>
        <w:rPr>
          <w:rFonts w:ascii="仿宋" w:eastAsia="仿宋" w:hAnsi="仿宋" w:hint="eastAsia"/>
          <w:color w:val="auto"/>
          <w:sz w:val="32"/>
          <w:szCs w:val="32"/>
          <w:lang w:val="en-US" w:eastAsia="zh-CN"/>
          <w:highlight w:val="auto"/>
        </w:rPr>
        <w:t>11.00</w:t>
      </w:r>
      <w:r>
        <w:rPr>
          <w:rFonts w:ascii="仿宋" w:eastAsia="仿宋" w:hAnsi="仿宋" w:hint="eastAsia"/>
          <w:color w:val="auto"/>
          <w:sz w:val="32"/>
          <w:szCs w:val="32"/>
          <w:highlight w:val="auto"/>
        </w:rPr>
        <w:t>万元，完成预算</w:t>
      </w:r>
      <w:r>
        <w:rPr>
          <w:rFonts w:ascii="仿宋" w:eastAsia="仿宋" w:hAnsi="仿宋" w:hint="eastAsia"/>
          <w:color w:val="auto"/>
          <w:sz w:val="32"/>
          <w:szCs w:val="32"/>
          <w:lang w:val="en-US" w:eastAsia="zh-CN"/>
          <w:highlight w:val="auto"/>
        </w:rPr>
        <w:t>11.00</w:t>
      </w:r>
      <w:r>
        <w:rPr>
          <w:rFonts w:ascii="仿宋" w:eastAsia="仿宋" w:hAnsi="仿宋"/>
          <w:color w:val="auto"/>
          <w:sz w:val="32"/>
          <w:szCs w:val="32"/>
          <w:highlight w:val="auto"/>
        </w:rPr>
        <w:t>%</w:t>
      </w:r>
      <w:r>
        <w:rPr>
          <w:rFonts w:ascii="仿宋" w:eastAsia="仿宋" w:hAnsi="仿宋" w:hint="eastAsia"/>
          <w:color w:val="auto"/>
          <w:sz w:val="32"/>
          <w:szCs w:val="32"/>
          <w:highlight w:val="auto"/>
        </w:rPr>
        <w:t>，</w:t>
      </w:r>
      <w:r>
        <w:rPr>
          <w:rFonts w:ascii="仿宋" w:eastAsia="仿宋" w:hAnsi="仿宋" w:hint="eastAsia"/>
          <w:color w:val="auto"/>
          <w:sz w:val="32"/>
          <w:szCs w:val="32"/>
          <w:lang w:eastAsia="zh-CN"/>
          <w:highlight w:val="auto"/>
        </w:rPr>
        <w:t>较上年</w:t>
      </w:r>
      <w:r>
        <w:rPr>
          <w:rFonts w:ascii="仿宋" w:eastAsia="仿宋" w:hAnsi="仿宋" w:hint="eastAsia"/>
          <w:color w:val="auto"/>
          <w:sz w:val="32"/>
          <w:szCs w:val="32"/>
          <w:lang w:val="en-US" w:eastAsia="zh-CN"/>
          <w:highlight w:val="auto"/>
        </w:rPr>
        <w:t>减少4.5万元，下降29.03%。</w:t>
      </w:r>
      <w:r>
        <w:rPr>
          <w:rFonts w:ascii="仿宋" w:eastAsia="仿宋" w:hAnsi="仿宋" w:hint="eastAsia"/>
          <w:color w:val="auto"/>
          <w:sz w:val="32"/>
          <w:szCs w:val="32"/>
          <w:highlight w:val="auto"/>
        </w:rPr>
        <w:t>决算数与预算数持平。</w:t>
      </w:r>
      <w:bookmarkStart w:id="72" w:name="_Toc15377217"/>
    </w:p>
    <w:p>
      <w:pPr>
        <w:pageBreakBefore w:val="0"/>
        <w:widowControl w:val="0"/>
        <w:kinsoku/>
        <w:wordWrap/>
        <w:topLinePunct w:val="0"/>
        <w:bidi w:val="0"/>
        <w:spacing w:line="600" w:lineRule="exact"/>
        <w:ind w:firstLine="640"/>
        <w:rPr>
          <w:rFonts w:ascii="仿宋" w:eastAsia="仿宋" w:hAnsi="仿宋"/>
          <w:b/>
          <w:color w:val="auto"/>
          <w:sz w:val="32"/>
          <w:szCs w:val="32"/>
          <w:highlight w:val="auto"/>
        </w:rPr>
      </w:pPr>
      <w:r>
        <w:rPr>
          <w:rFonts w:ascii="仿宋" w:eastAsia="仿宋" w:hAnsi="仿宋" w:hint="eastAsia"/>
          <w:b/>
          <w:color w:val="auto"/>
          <w:sz w:val="32"/>
          <w:szCs w:val="32"/>
          <w:highlight w:val="auto"/>
        </w:rPr>
        <w:t>（二）“三公”经费财政拨款支出决算具体情况说明</w:t>
      </w:r>
      <w:bookmarkEnd w:id="72"/>
    </w:p>
    <w:p>
      <w:pPr>
        <w:pageBreakBefore w:val="0"/>
        <w:widowControl w:val="0"/>
        <w:kinsoku/>
        <w:wordWrap/>
        <w:topLinePunct w:val="0"/>
        <w:bidi w:val="0"/>
        <w:spacing w:line="600" w:lineRule="exact"/>
        <w:ind w:firstLine="640"/>
        <w:rPr>
          <w:rFonts w:ascii="仿宋" w:eastAsia="仿宋" w:hAnsi="仿宋"/>
          <w:color w:val="auto"/>
          <w:sz w:val="32"/>
          <w:szCs w:val="32"/>
          <w:highlight w:val="auto"/>
        </w:rPr>
      </w:pPr>
      <w:r>
        <w:rPr>
          <w:rFonts w:ascii="仿宋" w:eastAsia="仿宋" w:hAnsi="仿宋"/>
          <w:color w:val="auto"/>
          <w:sz w:val="32"/>
          <w:szCs w:val="32"/>
          <w:highlight w:val="auto"/>
        </w:rPr>
        <w:t>20</w:t>
      </w:r>
      <w:r>
        <w:rPr>
          <w:rFonts w:ascii="仿宋" w:eastAsia="仿宋" w:hAnsi="仿宋" w:hint="eastAsia"/>
          <w:color w:val="auto"/>
          <w:sz w:val="32"/>
          <w:szCs w:val="32"/>
          <w:lang w:val="en-US" w:eastAsia="zh-CN"/>
          <w:highlight w:val="auto"/>
        </w:rPr>
        <w:t>22</w:t>
      </w:r>
      <w:r>
        <w:rPr>
          <w:rFonts w:ascii="仿宋" w:eastAsia="仿宋" w:hAnsi="仿宋" w:hint="eastAsia"/>
          <w:color w:val="auto"/>
          <w:sz w:val="32"/>
          <w:szCs w:val="32"/>
          <w:highlight w:val="auto"/>
        </w:rPr>
        <w:t>年“三公”经费财政拨款支出决算中，因公出国（境）费支出决算</w:t>
      </w:r>
      <w:r>
        <w:rPr>
          <w:rFonts w:ascii="仿宋" w:eastAsia="仿宋" w:hAnsi="仿宋" w:hint="eastAsia"/>
          <w:color w:val="auto"/>
          <w:sz w:val="32"/>
          <w:szCs w:val="32"/>
          <w:lang w:val="en-US" w:eastAsia="zh-CN"/>
          <w:highlight w:val="auto"/>
        </w:rPr>
        <w:t>0.00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0.00</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；公务用车购置及运行维护费支出决算</w:t>
      </w:r>
      <w:r>
        <w:rPr>
          <w:rFonts w:ascii="仿宋" w:eastAsia="仿宋" w:hAnsi="仿宋" w:hint="eastAsia"/>
          <w:color w:val="auto"/>
          <w:sz w:val="32"/>
          <w:szCs w:val="32"/>
          <w:lang w:val="en-US" w:eastAsia="zh-CN"/>
          <w:highlight w:val="auto"/>
        </w:rPr>
        <w:t>6.00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54.55</w:t>
      </w:r>
      <w:r>
        <w:rPr>
          <w:rFonts w:ascii="仿宋" w:eastAsia="仿宋" w:hAnsi="仿宋"/>
          <w:color w:val="auto"/>
          <w:sz w:val="32"/>
          <w:szCs w:val="32"/>
          <w:highlight w:val="auto"/>
        </w:rPr>
        <w:t>%</w:t>
      </w:r>
      <w:r>
        <w:rPr>
          <w:rFonts w:ascii="仿宋" w:eastAsia="仿宋" w:hAnsi="仿宋" w:hint="eastAsia"/>
          <w:color w:val="auto"/>
          <w:sz w:val="32"/>
          <w:szCs w:val="32"/>
          <w:highlight w:val="auto"/>
        </w:rPr>
        <w:t>；公务接待费支出决算</w:t>
      </w:r>
      <w:r>
        <w:rPr>
          <w:rFonts w:ascii="仿宋" w:eastAsia="仿宋" w:hAnsi="仿宋" w:hint="eastAsia"/>
          <w:color w:val="auto"/>
          <w:sz w:val="32"/>
          <w:szCs w:val="32"/>
          <w:lang w:val="en-US" w:eastAsia="zh-CN"/>
          <w:highlight w:val="auto"/>
        </w:rPr>
        <w:t>5.00</w:t>
      </w:r>
      <w:r>
        <w:rPr>
          <w:rFonts w:ascii="仿宋" w:eastAsia="仿宋" w:hAnsi="仿宋" w:hint="eastAsia"/>
          <w:color w:val="auto"/>
          <w:sz w:val="32"/>
          <w:szCs w:val="32"/>
          <w:highlight w:val="auto"/>
        </w:rPr>
        <w:t>万元，占</w:t>
      </w:r>
      <w:r>
        <w:rPr>
          <w:rFonts w:ascii="仿宋" w:eastAsia="仿宋" w:hAnsi="仿宋" w:hint="eastAsia"/>
          <w:color w:val="auto"/>
          <w:sz w:val="32"/>
          <w:szCs w:val="32"/>
          <w:lang w:val="en-US" w:eastAsia="zh-CN"/>
          <w:highlight w:val="auto"/>
        </w:rPr>
        <w:t>45.45</w:t>
      </w:r>
      <w:r>
        <w:rPr>
          <w:rFonts w:ascii="仿宋" w:eastAsia="仿宋" w:hAnsi="仿宋"/>
          <w:color w:val="auto"/>
          <w:sz w:val="32"/>
          <w:szCs w:val="32"/>
          <w:highlight w:val="auto"/>
        </w:rPr>
        <w:t>%</w:t>
      </w:r>
      <w:r>
        <w:rPr>
          <w:rFonts w:ascii="仿宋" w:eastAsia="仿宋" w:hAnsi="仿宋" w:hint="eastAsia"/>
          <w:color w:val="auto"/>
          <w:sz w:val="32"/>
          <w:szCs w:val="32"/>
          <w:highlight w:val="auto"/>
        </w:rPr>
        <w:t>。具体情况如下：</w:t>
      </w:r>
    </w:p>
    <w:p>
      <w:pPr>
        <w:pageBreakBefore w:val="0"/>
        <w:widowControl w:val="0"/>
        <w:kinsoku/>
        <w:wordWrap/>
        <w:topLinePunct w:val="0"/>
        <w:bidi w:val="0"/>
        <w:spacing w:line="600" w:lineRule="exact"/>
        <w:ind w:firstLine="640"/>
        <w:rPr>
          <w:rFonts w:ascii="仿宋" w:eastAsia="仿宋" w:hAnsi="仿宋" w:hint="eastAsia"/>
          <w:color w:val="auto"/>
          <w:sz w:val="32"/>
          <w:szCs w:val="32"/>
          <w:highlight w:val="auto"/>
        </w:rPr>
      </w:pPr>
      <w:r>
        <w:rPr>
          <w:rFonts w:ascii="仿宋" w:eastAsia="仿宋" w:hAnsi="仿宋" w:hint="eastAsia"/>
          <w:color w:val="auto"/>
          <w:sz w:val="32"/>
          <w:szCs w:val="32"/>
          <w:highlight w:val="auto"/>
        </w:rPr>
        <w:t>（图7：“三公”经费财政拨款支出结构）</w:t>
      </w:r>
    </w:p>
    <w:p>
      <w:pPr>
        <w:pStyle w:val="18"/>
        <w:pageBreakBefore w:val="0"/>
        <w:widowControl w:val="0"/>
        <w:kinsoku/>
        <w:wordWrap/>
        <w:topLinePunct w:val="0"/>
        <w:bidi w:val="0"/>
        <w:spacing w:beforeLines="0" w:before="30"/>
      </w:pPr>
      <w:r>
        <w:drawing>
          <wp:inline distT="0" distB="0" distL="114300" distR="114300">
            <wp:extent cx="4324985" cy="2133600"/>
            <wp:effectExtent l="0" t="0" r="0" b="0"/>
            <wp:docPr id="19" name="图表 11"/>
            <wp:cNvGraphicFramePr>
              <a:graphicFrameLocks noChangeAspect="0"/>
            </wp:cNvGraphicFramePr>
            <a:graphic>
              <a:graphicData uri="http://schemas.openxmlformats.org/drawingml/2006/chart">
                <c:chart xmlns:c="http://schemas.openxmlformats.org/drawingml/2006/chart" r:id="rId13"/>
              </a:graphicData>
            </a:graphic>
          </wp:inline>
        </w:drawing>
      </w:r>
    </w:p>
    <w:p>
      <w:pPr>
        <w:pageBreakBefore w:val="0"/>
        <w:widowControl w:val="0"/>
        <w:numPr>
          <w:ilvl w:val="0"/>
          <w:numId w:val="3"/>
        </w:numPr>
        <w:kinsoku/>
        <w:wordWrap/>
        <w:topLinePunct w:val="0"/>
        <w:bidi w:val="0"/>
        <w:spacing w:line="600" w:lineRule="exact"/>
        <w:ind w:left="0" w:firstLine="640"/>
        <w:rPr>
          <w:rFonts w:ascii="仿宋_GB2312" w:eastAsia="仿宋_GB2312" w:hint="eastAsia"/>
          <w:color w:val="auto"/>
          <w:sz w:val="32"/>
          <w:szCs w:val="32"/>
          <w:lang w:eastAsia="zh-CN"/>
          <w:highlight w:val="auto"/>
        </w:rPr>
      </w:pPr>
      <w:r>
        <w:rPr>
          <w:rFonts w:ascii="仿宋_GB2312" w:eastAsia="仿宋_GB2312" w:hint="eastAsia"/>
          <w:b/>
          <w:color w:val="auto"/>
          <w:sz w:val="32"/>
          <w:szCs w:val="32"/>
          <w:highlight w:val="auto"/>
        </w:rPr>
        <w:t>因公出国（境）经费支出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r>
        <w:rPr>
          <w:rStyle w:val="27"/>
          <w:rFonts w:ascii="仿宋" w:eastAsia="仿宋" w:hAnsi="仿宋" w:hint="eastAsia"/>
          <w:b w:val="0"/>
          <w:bCs/>
          <w:color w:val="auto"/>
          <w:sz w:val="32"/>
          <w:szCs w:val="32"/>
          <w:highlight w:val="auto"/>
        </w:rPr>
        <w:t>完成预算</w:t>
      </w:r>
      <w:r>
        <w:rPr>
          <w:rStyle w:val="27"/>
          <w:rFonts w:ascii="仿宋" w:eastAsia="仿宋" w:hAnsi="仿宋" w:hint="eastAsia"/>
          <w:b w:val="0"/>
          <w:bCs/>
          <w:color w:val="auto"/>
          <w:sz w:val="32"/>
          <w:szCs w:val="32"/>
          <w:lang w:val="en-US" w:eastAsia="zh-CN"/>
          <w:highlight w:val="auto"/>
        </w:rPr>
        <w:t>0.00</w:t>
      </w:r>
      <w:r>
        <w:rPr>
          <w:rStyle w:val="27"/>
          <w:rFonts w:ascii="仿宋" w:eastAsia="仿宋" w:hAnsi="仿宋"/>
          <w:b w:val="0"/>
          <w:bCs/>
          <w:color w:val="auto"/>
          <w:sz w:val="32"/>
          <w:szCs w:val="32"/>
          <w:highlight w:val="auto"/>
        </w:rPr>
        <w:t>%</w:t>
      </w:r>
      <w:r>
        <w:rPr>
          <w:rStyle w:val="27"/>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全年安排因公出国（境）团组</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次，出国（境）</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人。因公出国（境）支出决算</w:t>
      </w:r>
      <w:r>
        <w:rPr>
          <w:rFonts w:ascii="仿宋_GB2312" w:eastAsia="仿宋_GB2312" w:hint="eastAsia"/>
          <w:color w:val="auto"/>
          <w:sz w:val="32"/>
          <w:szCs w:val="32"/>
          <w:lang w:eastAsia="zh-CN"/>
          <w:highlight w:val="auto"/>
        </w:rPr>
        <w:t>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持平。</w:t>
      </w:r>
    </w:p>
    <w:p>
      <w:pPr>
        <w:pageBreakBefore w:val="0"/>
        <w:widowControl w:val="0"/>
        <w:kinsoku/>
        <w:wordWrap/>
        <w:topLinePunct w:val="0"/>
        <w:bidi w:val="0"/>
        <w:spacing w:line="600" w:lineRule="exact"/>
        <w:ind w:left="0" w:firstLineChars="200" w:firstLine="640"/>
        <w:rPr>
          <w:rFonts w:ascii="仿宋_GB2312" w:eastAsia="仿宋_GB2312"/>
          <w:b/>
          <w:color w:val="auto"/>
          <w:sz w:val="32"/>
          <w:szCs w:val="32"/>
          <w:highlight w:val="auto"/>
        </w:rPr>
      </w:pPr>
      <w:r>
        <w:rPr>
          <w:rFonts w:ascii="仿宋_GB2312" w:eastAsia="仿宋_GB2312"/>
          <w:b/>
          <w:color w:val="auto"/>
          <w:sz w:val="32"/>
          <w:szCs w:val="32"/>
          <w:highlight w:val="auto"/>
        </w:rPr>
        <w:t>2.</w:t>
      </w:r>
      <w:r>
        <w:rPr>
          <w:rFonts w:ascii="仿宋_GB2312" w:eastAsia="仿宋_GB2312" w:hint="eastAsia"/>
          <w:b/>
          <w:color w:val="auto"/>
          <w:sz w:val="32"/>
          <w:szCs w:val="32"/>
          <w:highlight w:val="auto"/>
        </w:rPr>
        <w:t>公务用车购置及运行维护费支出</w:t>
      </w:r>
      <w:r>
        <w:rPr>
          <w:rFonts w:ascii="仿宋_GB2312" w:eastAsia="仿宋_GB2312" w:hint="eastAsia"/>
          <w:color w:val="auto"/>
          <w:sz w:val="32"/>
          <w:szCs w:val="32"/>
          <w:lang w:val="en-US" w:eastAsia="zh-CN"/>
          <w:highlight w:val="auto"/>
        </w:rPr>
        <w:t>6.00</w:t>
      </w:r>
      <w:r>
        <w:rPr>
          <w:rFonts w:ascii="仿宋_GB2312" w:eastAsia="仿宋_GB2312" w:hint="eastAsia"/>
          <w:color w:val="auto"/>
          <w:sz w:val="32"/>
          <w:szCs w:val="32"/>
          <w:highlight w:val="auto"/>
        </w:rPr>
        <w:t>万元,</w:t>
      </w:r>
      <w:r>
        <w:rPr>
          <w:rStyle w:val="27"/>
          <w:rFonts w:ascii="仿宋" w:eastAsia="仿宋" w:hAnsi="仿宋" w:hint="eastAsia"/>
          <w:b w:val="0"/>
          <w:bCs/>
          <w:color w:val="auto"/>
          <w:sz w:val="32"/>
          <w:szCs w:val="32"/>
          <w:highlight w:val="auto"/>
        </w:rPr>
        <w:t>完成预算</w:t>
      </w:r>
      <w:r>
        <w:rPr>
          <w:rStyle w:val="27"/>
          <w:rFonts w:ascii="仿宋" w:eastAsia="仿宋" w:hAnsi="仿宋" w:hint="eastAsia"/>
          <w:b w:val="0"/>
          <w:bCs/>
          <w:color w:val="auto"/>
          <w:sz w:val="32"/>
          <w:szCs w:val="32"/>
          <w:lang w:val="en-US" w:eastAsia="zh-CN"/>
          <w:highlight w:val="auto"/>
        </w:rPr>
        <w:t>100.00</w:t>
      </w:r>
      <w:r>
        <w:rPr>
          <w:rStyle w:val="27"/>
          <w:rFonts w:ascii="仿宋" w:eastAsia="仿宋" w:hAnsi="仿宋"/>
          <w:b w:val="0"/>
          <w:bCs/>
          <w:color w:val="auto"/>
          <w:sz w:val="32"/>
          <w:szCs w:val="32"/>
          <w:highlight w:val="auto"/>
        </w:rPr>
        <w:t>%</w:t>
      </w:r>
      <w:r>
        <w:rPr>
          <w:rStyle w:val="27"/>
          <w:rFonts w:ascii="仿宋" w:eastAsia="仿宋" w:hAnsi="仿宋" w:hint="eastAsia"/>
          <w:b w:val="0"/>
          <w:bCs/>
          <w:color w:val="auto"/>
          <w:sz w:val="32"/>
          <w:szCs w:val="32"/>
          <w:highlight w:val="auto"/>
        </w:rPr>
        <w:t>。</w:t>
      </w:r>
      <w:r>
        <w:rPr>
          <w:rFonts w:ascii="仿宋_GB2312" w:eastAsia="仿宋_GB2312" w:hint="eastAsia"/>
          <w:color w:val="auto"/>
          <w:sz w:val="32"/>
          <w:szCs w:val="32"/>
          <w:highlight w:val="auto"/>
        </w:rPr>
        <w:t>公务用车购置及运行维护费支出决算</w:t>
      </w:r>
      <w:r>
        <w:rPr>
          <w:rFonts w:ascii="仿宋_GB2312" w:eastAsia="仿宋_GB2312" w:hint="eastAsia"/>
          <w:color w:val="auto"/>
          <w:sz w:val="32"/>
          <w:szCs w:val="32"/>
          <w:lang w:eastAsia="zh-CN"/>
          <w:highlight w:val="auto"/>
        </w:rPr>
        <w:t>与</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持平</w:t>
      </w:r>
      <w:r>
        <w:rPr>
          <w:rFonts w:ascii="仿宋_GB2312" w:eastAsia="仿宋_GB2312" w:hint="eastAsia"/>
          <w:color w:val="auto"/>
          <w:sz w:val="32"/>
          <w:szCs w:val="32"/>
          <w:highlight w:val="auto"/>
        </w:rPr>
        <w:t>。</w:t>
      </w:r>
    </w:p>
    <w:p>
      <w:pPr>
        <w:pageBreakBefore w:val="0"/>
        <w:widowControl w:val="0"/>
        <w:kinsoku/>
        <w:wordWrap/>
        <w:topLinePunct w:val="0"/>
        <w:bidi w:val="0"/>
        <w:spacing w:line="600" w:lineRule="exact"/>
        <w:ind w:left="0"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其中：公务用车购置支出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万元。全年按规定更新购置公务用车</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辆。截至20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年12月底，单位共有公务用车</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w:t>
      </w:r>
    </w:p>
    <w:p>
      <w:pPr>
        <w:pageBreakBefore w:val="0"/>
        <w:widowControl w:val="0"/>
        <w:kinsoku/>
        <w:wordWrap/>
        <w:topLinePunct w:val="0"/>
        <w:bidi w:val="0"/>
        <w:spacing w:line="600" w:lineRule="exact"/>
        <w:ind w:left="0"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公务用车运行维护费支出</w:t>
      </w:r>
      <w:r>
        <w:rPr>
          <w:rFonts w:ascii="仿宋_GB2312" w:eastAsia="仿宋_GB2312" w:hint="eastAsia"/>
          <w:color w:val="auto"/>
          <w:sz w:val="32"/>
          <w:szCs w:val="32"/>
          <w:lang w:val="en-US" w:eastAsia="zh-CN"/>
          <w:highlight w:val="auto"/>
        </w:rPr>
        <w:t>6.00</w:t>
      </w:r>
      <w:r>
        <w:rPr>
          <w:rFonts w:ascii="仿宋_GB2312" w:eastAsia="仿宋_GB2312" w:hint="eastAsia"/>
          <w:color w:val="auto"/>
          <w:sz w:val="32"/>
          <w:szCs w:val="32"/>
          <w:highlight w:val="auto"/>
        </w:rPr>
        <w:t>万元。主要用于</w:t>
      </w:r>
      <w:r>
        <w:rPr>
          <w:rFonts w:ascii="仿宋_GB2312" w:eastAsia="仿宋_GB2312" w:hint="eastAsia"/>
          <w:color w:val="auto"/>
          <w:sz w:val="32"/>
          <w:szCs w:val="32"/>
          <w:lang w:eastAsia="zh-CN"/>
          <w:highlight w:val="auto"/>
        </w:rPr>
        <w:t>区政府主要领导公务活动出行保障用车</w:t>
      </w:r>
      <w:r>
        <w:rPr>
          <w:rFonts w:ascii="仿宋_GB2312" w:eastAsia="仿宋_GB2312" w:hint="eastAsia"/>
          <w:color w:val="auto"/>
          <w:sz w:val="32"/>
          <w:szCs w:val="32"/>
          <w:highlight w:val="auto"/>
        </w:rPr>
        <w:t>等所需的公务用车燃料费、维修费、过路过桥费、保险费等支出。</w:t>
      </w:r>
    </w:p>
    <w:p>
      <w:pPr>
        <w:pageBreakBefore w:val="0"/>
        <w:widowControl w:val="0"/>
        <w:kinsoku/>
        <w:wordWrap/>
        <w:topLinePunct w:val="0"/>
        <w:bidi w:val="0"/>
        <w:spacing w:line="600" w:lineRule="exact"/>
        <w:ind w:left="0"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3.公务接待费支出</w:t>
      </w:r>
      <w:r>
        <w:rPr>
          <w:rFonts w:ascii="仿宋_GB2312" w:eastAsia="仿宋_GB2312" w:hint="eastAsia"/>
          <w:color w:val="auto"/>
          <w:sz w:val="32"/>
          <w:szCs w:val="32"/>
          <w:lang w:val="en-US" w:eastAsia="zh-CN"/>
          <w:highlight w:val="auto"/>
        </w:rPr>
        <w:t>5.00</w:t>
      </w:r>
      <w:r>
        <w:rPr>
          <w:rFonts w:ascii="仿宋_GB2312" w:eastAsia="仿宋_GB2312" w:hint="eastAsia"/>
          <w:color w:val="auto"/>
          <w:sz w:val="32"/>
          <w:szCs w:val="32"/>
          <w:highlight w:val="auto"/>
        </w:rPr>
        <w:t>万元，完成预算</w:t>
      </w:r>
      <w:r>
        <w:rPr>
          <w:rFonts w:ascii="仿宋_GB2312" w:eastAsia="仿宋_GB2312" w:hint="eastAsia"/>
          <w:color w:val="auto"/>
          <w:sz w:val="32"/>
          <w:szCs w:val="32"/>
          <w:lang w:val="en-US" w:eastAsia="zh-CN"/>
          <w:highlight w:val="auto"/>
        </w:rPr>
        <w:t>100</w:t>
      </w:r>
      <w:r>
        <w:rPr>
          <w:rFonts w:ascii="仿宋_GB2312" w:eastAsia="仿宋_GB2312" w:hint="eastAsia"/>
          <w:color w:val="auto"/>
          <w:sz w:val="32"/>
          <w:szCs w:val="32"/>
          <w:highlight w:val="auto"/>
        </w:rPr>
        <w:t>%。公务接待费支出决算比20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年减少</w:t>
      </w:r>
      <w:r>
        <w:rPr>
          <w:rFonts w:ascii="仿宋_GB2312" w:eastAsia="仿宋_GB2312" w:hint="eastAsia"/>
          <w:color w:val="auto"/>
          <w:sz w:val="32"/>
          <w:szCs w:val="32"/>
          <w:lang w:val="en-US" w:eastAsia="zh-CN"/>
          <w:highlight w:val="auto"/>
        </w:rPr>
        <w:t>4.50</w:t>
      </w:r>
      <w:r>
        <w:rPr>
          <w:rFonts w:ascii="仿宋_GB2312" w:eastAsia="仿宋_GB2312" w:hint="eastAsia"/>
          <w:color w:val="auto"/>
          <w:sz w:val="32"/>
          <w:szCs w:val="32"/>
          <w:highlight w:val="auto"/>
        </w:rPr>
        <w:t>万元，下降</w:t>
      </w:r>
      <w:r>
        <w:rPr>
          <w:rFonts w:ascii="仿宋_GB2312" w:eastAsia="仿宋_GB2312" w:hint="eastAsia"/>
          <w:color w:val="auto"/>
          <w:sz w:val="32"/>
          <w:szCs w:val="32"/>
          <w:lang w:val="en-US" w:eastAsia="zh-CN"/>
          <w:highlight w:val="auto"/>
        </w:rPr>
        <w:t>47.37</w:t>
      </w:r>
      <w:r>
        <w:rPr>
          <w:rFonts w:ascii="仿宋_GB2312" w:eastAsia="仿宋_GB2312" w:hint="eastAsia"/>
          <w:color w:val="auto"/>
          <w:sz w:val="32"/>
          <w:szCs w:val="32"/>
          <w:highlight w:val="auto"/>
        </w:rPr>
        <w:t>%。主要原因是</w:t>
      </w:r>
      <w:r>
        <w:rPr>
          <w:rFonts w:ascii="仿宋_GB2312" w:eastAsia="仿宋_GB2312" w:hint="eastAsia"/>
          <w:color w:val="auto"/>
          <w:sz w:val="32"/>
          <w:szCs w:val="32"/>
          <w:lang w:eastAsia="zh-CN"/>
          <w:highlight w:val="auto"/>
        </w:rPr>
        <w:t>公务接待活动减少</w:t>
      </w:r>
      <w:r>
        <w:rPr>
          <w:rFonts w:ascii="仿宋_GB2312" w:eastAsia="仿宋_GB2312" w:hint="eastAsia"/>
          <w:color w:val="auto"/>
          <w:sz w:val="32"/>
          <w:szCs w:val="32"/>
          <w:highlight w:val="auto"/>
        </w:rPr>
        <w:t>。其中：</w:t>
      </w:r>
    </w:p>
    <w:p>
      <w:pPr>
        <w:pageBreakBefore w:val="0"/>
        <w:widowControl w:val="0"/>
        <w:kinsoku/>
        <w:wordWrap/>
        <w:topLinePunct w:val="0"/>
        <w:bidi w:val="0"/>
        <w:spacing w:line="600" w:lineRule="exact"/>
        <w:ind w:left="0" w:firstLineChars="200" w:firstLine="640"/>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国内公务接待支出</w:t>
      </w:r>
      <w:r>
        <w:rPr>
          <w:rFonts w:ascii="仿宋_GB2312" w:eastAsia="仿宋_GB2312" w:hint="eastAsia"/>
          <w:color w:val="auto"/>
          <w:sz w:val="32"/>
          <w:szCs w:val="32"/>
          <w:lang w:val="en-US" w:eastAsia="zh-CN"/>
          <w:highlight w:val="auto"/>
        </w:rPr>
        <w:t>5.00</w:t>
      </w:r>
      <w:r>
        <w:rPr>
          <w:rFonts w:ascii="仿宋_GB2312" w:eastAsia="仿宋_GB2312" w:hint="eastAsia"/>
          <w:color w:val="auto"/>
          <w:sz w:val="32"/>
          <w:szCs w:val="32"/>
          <w:highlight w:val="auto"/>
        </w:rPr>
        <w:t>万元，主要用于执行公务、开展业务活动开支的交通费、住宿费、用餐费等。国内公务接待</w:t>
      </w:r>
      <w:r>
        <w:rPr>
          <w:rFonts w:ascii="仿宋_GB2312" w:eastAsia="仿宋_GB2312" w:hint="eastAsia"/>
          <w:color w:val="auto"/>
          <w:sz w:val="32"/>
          <w:szCs w:val="32"/>
          <w:lang w:val="en-US" w:eastAsia="zh-CN"/>
          <w:highlight w:val="auto"/>
        </w:rPr>
        <w:t>45</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460</w:t>
      </w:r>
      <w:r>
        <w:rPr>
          <w:rFonts w:ascii="仿宋_GB2312" w:eastAsia="仿宋_GB2312" w:hint="eastAsia"/>
          <w:color w:val="auto"/>
          <w:sz w:val="32"/>
          <w:szCs w:val="32"/>
          <w:highlight w:val="auto"/>
        </w:rPr>
        <w:t>人次（不包括陪同人员），共计支出</w:t>
      </w:r>
      <w:r>
        <w:rPr>
          <w:rFonts w:ascii="仿宋_GB2312" w:eastAsia="仿宋_GB2312" w:hint="eastAsia"/>
          <w:color w:val="auto"/>
          <w:sz w:val="32"/>
          <w:szCs w:val="32"/>
          <w:lang w:val="en-US" w:eastAsia="zh-CN"/>
          <w:highlight w:val="auto"/>
        </w:rPr>
        <w:t>5.00</w:t>
      </w:r>
      <w:r>
        <w:rPr>
          <w:rFonts w:ascii="仿宋_GB2312" w:eastAsia="仿宋_GB2312" w:hint="eastAsia"/>
          <w:color w:val="auto"/>
          <w:sz w:val="32"/>
          <w:szCs w:val="32"/>
          <w:highlight w:val="auto"/>
        </w:rPr>
        <w:t>万元，具体内容包括：</w:t>
      </w:r>
      <w:r>
        <w:rPr>
          <w:rFonts w:ascii="仿宋_GB2312" w:eastAsia="仿宋_GB2312" w:hint="eastAsia"/>
          <w:color w:val="auto"/>
          <w:sz w:val="32"/>
          <w:szCs w:val="32"/>
          <w:lang w:eastAsia="zh-CN"/>
          <w:highlight w:val="auto"/>
        </w:rPr>
        <w:t>大型公务活动、招商引资、外地相关部门考察学习等公务接待</w:t>
      </w:r>
      <w:r>
        <w:rPr>
          <w:rFonts w:ascii="仿宋_GB2312" w:eastAsia="仿宋_GB2312" w:hint="eastAsia"/>
          <w:color w:val="auto"/>
          <w:sz w:val="32"/>
          <w:szCs w:val="32"/>
          <w:highlight w:val="auto"/>
        </w:rPr>
        <w:t>。</w:t>
      </w:r>
    </w:p>
    <w:p>
      <w:pPr>
        <w:pageBreakBefore w:val="0"/>
        <w:widowControl w:val="0"/>
        <w:kinsoku/>
        <w:wordWrap/>
        <w:topLinePunct w:val="0"/>
        <w:bidi w:val="0"/>
        <w:spacing w:line="600" w:lineRule="exact"/>
        <w:ind w:left="0" w:firstLineChars="200" w:firstLine="640"/>
        <w:rPr>
          <w:rFonts w:ascii="仿宋_GB2312" w:eastAsia="仿宋_GB2312" w:hint="eastAsia"/>
          <w:color w:val="auto"/>
          <w:sz w:val="32"/>
          <w:szCs w:val="32"/>
          <w:highlight w:val="auto"/>
        </w:rPr>
      </w:pPr>
      <w:bookmarkStart w:id="73" w:name="_Toc15377218"/>
      <w:bookmarkStart w:id="74" w:name="_Toc15396610"/>
      <w:r>
        <w:rPr>
          <w:rFonts w:ascii="仿宋_GB2312" w:eastAsia="仿宋_GB2312" w:hint="eastAsia"/>
          <w:color w:val="auto"/>
          <w:sz w:val="32"/>
          <w:szCs w:val="32"/>
          <w:highlight w:val="auto"/>
        </w:rPr>
        <w:t>外事接待支出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万元，外事接待</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批次，</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人，共计支出</w:t>
      </w:r>
      <w:r>
        <w:rPr>
          <w:rFonts w:ascii="仿宋_GB2312" w:eastAsia="仿宋_GB2312" w:hint="eastAsia"/>
          <w:color w:val="auto"/>
          <w:sz w:val="32"/>
          <w:szCs w:val="32"/>
          <w:lang w:val="en-US" w:eastAsia="zh-CN"/>
          <w:highlight w:val="auto"/>
        </w:rPr>
        <w:t>0</w:t>
      </w:r>
      <w:r>
        <w:rPr>
          <w:rFonts w:ascii="仿宋_GB2312" w:eastAsia="仿宋_GB2312" w:hint="eastAsia"/>
          <w:color w:val="auto"/>
          <w:sz w:val="32"/>
          <w:szCs w:val="32"/>
          <w:highlight w:val="auto"/>
        </w:rPr>
        <w:t>万元</w:t>
      </w:r>
      <w:r>
        <w:rPr>
          <w:rFonts w:ascii="仿宋_GB2312" w:eastAsia="仿宋_GB2312" w:hint="eastAsia"/>
          <w:color w:val="auto"/>
          <w:sz w:val="32"/>
          <w:szCs w:val="32"/>
          <w:lang w:eastAsia="zh-CN"/>
          <w:highlight w:val="auto"/>
        </w:rPr>
        <w:t>。</w:t>
      </w:r>
    </w:p>
    <w:p>
      <w:pPr>
        <w:pageBreakBefore w:val="0"/>
        <w:widowControl w:val="0"/>
        <w:kinsoku/>
        <w:wordWrap/>
        <w:topLinePunct w:val="0"/>
        <w:bidi w:val="0"/>
        <w:spacing w:line="600" w:lineRule="exact"/>
        <w:ind w:firstLine="640"/>
        <w:outlineLvl w:val="1"/>
        <w:rPr>
          <w:rStyle w:val="2Char"/>
          <w:rFonts w:ascii="黑体" w:eastAsia="黑体" w:hAnsi="黑体"/>
          <w:color w:val="auto"/>
          <w:highlight w:val="auto"/>
        </w:rPr>
      </w:pPr>
      <w:bookmarkStart w:id="75" w:name="_Toc15065"/>
      <w:r>
        <w:rPr>
          <w:rFonts w:ascii="黑体" w:eastAsia="黑体" w:hint="eastAsia"/>
          <w:color w:val="auto"/>
          <w:sz w:val="32"/>
          <w:szCs w:val="32"/>
          <w:highlight w:val="auto"/>
        </w:rPr>
        <w:t>八、</w:t>
      </w:r>
      <w:r>
        <w:rPr>
          <w:rStyle w:val="2Char"/>
          <w:rFonts w:ascii="黑体" w:eastAsia="黑体" w:hAnsi="黑体" w:hint="eastAsia"/>
          <w:b w:val="0"/>
          <w:color w:val="auto"/>
          <w:highlight w:val="auto"/>
        </w:rPr>
        <w:t>政府性基金预算支出决算情况说明</w:t>
      </w:r>
      <w:bookmarkEnd w:id="73"/>
      <w:bookmarkEnd w:id="74"/>
      <w:bookmarkEnd w:id="75"/>
    </w:p>
    <w:p>
      <w:pPr>
        <w:pageBreakBefore w:val="0"/>
        <w:widowControl w:val="0"/>
        <w:kinsoku/>
        <w:wordWrap/>
        <w:topLinePunct w:val="0"/>
        <w:bidi w:val="0"/>
        <w:spacing w:line="600" w:lineRule="exact"/>
        <w:ind w:firstLine="640"/>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年政府性基金预算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pageBreakBefore w:val="0"/>
        <w:widowControl w:val="0"/>
        <w:numPr>
          <w:ilvl w:val="0"/>
          <w:numId w:val="4"/>
        </w:numPr>
        <w:kinsoku/>
        <w:wordWrap/>
        <w:topLinePunct w:val="0"/>
        <w:bidi w:val="0"/>
        <w:spacing w:line="600" w:lineRule="exact"/>
        <w:ind w:left="0" w:firstLine="640"/>
        <w:outlineLvl w:val="1"/>
        <w:rPr>
          <w:rStyle w:val="2Char"/>
          <w:rFonts w:ascii="黑体" w:eastAsia="黑体" w:hAnsi="黑体"/>
          <w:b w:val="0"/>
          <w:color w:val="auto"/>
          <w:highlight w:val="auto"/>
        </w:rPr>
      </w:pPr>
      <w:bookmarkStart w:id="76" w:name="_Toc15396611"/>
      <w:bookmarkStart w:id="77" w:name="_Toc5949"/>
      <w:bookmarkStart w:id="78" w:name="_Toc15377219"/>
      <w:r>
        <w:rPr>
          <w:rStyle w:val="2Char"/>
          <w:rFonts w:ascii="黑体" w:eastAsia="黑体" w:hAnsi="黑体" w:hint="eastAsia"/>
          <w:b w:val="0"/>
          <w:color w:val="auto"/>
          <w:highlight w:val="auto"/>
        </w:rPr>
        <w:t>国有资本经营预算支出决算情况说明</w:t>
      </w:r>
      <w:bookmarkEnd w:id="76"/>
      <w:bookmarkEnd w:id="77"/>
      <w:bookmarkEnd w:id="78"/>
    </w:p>
    <w:p>
      <w:pPr>
        <w:pageBreakBefore w:val="0"/>
        <w:widowControl w:val="0"/>
        <w:kinsoku/>
        <w:wordWrap/>
        <w:topLinePunct w:val="0"/>
        <w:bidi w:val="0"/>
        <w:spacing w:line="600" w:lineRule="exact"/>
        <w:ind w:firstLine="640"/>
        <w:rPr>
          <w:rFonts w:ascii="方正小标宋简体" w:eastAsia="方正小标宋简体" w:cs="方正小标宋简体" w:hAnsi="方正小标宋简体"/>
          <w:color w:val="auto"/>
          <w:sz w:val="44"/>
          <w:szCs w:val="44"/>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年国有资本经营预算</w:t>
      </w:r>
      <w:r>
        <w:rPr>
          <w:rFonts w:ascii="仿宋_GB2312" w:eastAsia="仿宋_GB2312" w:hint="eastAsia"/>
          <w:color w:val="auto"/>
          <w:sz w:val="32"/>
          <w:szCs w:val="32"/>
          <w:lang w:eastAsia="zh-CN"/>
          <w:highlight w:val="auto"/>
        </w:rPr>
        <w:t>财政</w:t>
      </w:r>
      <w:r>
        <w:rPr>
          <w:rFonts w:ascii="仿宋_GB2312" w:eastAsia="仿宋_GB2312" w:hint="eastAsia"/>
          <w:color w:val="auto"/>
          <w:sz w:val="32"/>
          <w:szCs w:val="32"/>
          <w:highlight w:val="auto"/>
        </w:rPr>
        <w:t>拨款支出</w:t>
      </w:r>
      <w:r>
        <w:rPr>
          <w:rFonts w:ascii="仿宋_GB2312" w:eastAsia="仿宋_GB2312" w:hint="eastAsia"/>
          <w:color w:val="auto"/>
          <w:sz w:val="32"/>
          <w:szCs w:val="32"/>
          <w:lang w:val="en-US" w:eastAsia="zh-CN"/>
          <w:highlight w:val="auto"/>
        </w:rPr>
        <w:t>0.00</w:t>
      </w:r>
      <w:r>
        <w:rPr>
          <w:rFonts w:ascii="仿宋_GB2312" w:eastAsia="仿宋_GB2312" w:hint="eastAsia"/>
          <w:color w:val="auto"/>
          <w:sz w:val="32"/>
          <w:szCs w:val="32"/>
          <w:highlight w:val="auto"/>
        </w:rPr>
        <w:t>万元。</w:t>
      </w:r>
    </w:p>
    <w:p>
      <w:pPr>
        <w:pageBreakBefore w:val="0"/>
        <w:widowControl w:val="0"/>
        <w:numPr>
          <w:ilvl w:val="0"/>
          <w:numId w:val="4"/>
        </w:numPr>
        <w:kinsoku/>
        <w:wordWrap/>
        <w:topLinePunct w:val="0"/>
        <w:bidi w:val="0"/>
        <w:spacing w:line="600" w:lineRule="exact"/>
        <w:ind w:left="0" w:firstLine="640"/>
        <w:outlineLvl w:val="1"/>
        <w:rPr>
          <w:rStyle w:val="2Char"/>
          <w:rFonts w:ascii="黑体" w:eastAsia="黑体" w:hAnsi="黑体" w:hint="eastAsia"/>
          <w:b w:val="0"/>
          <w:color w:val="auto"/>
          <w:highlight w:val="auto"/>
        </w:rPr>
      </w:pPr>
      <w:bookmarkStart w:id="79" w:name="_Toc584"/>
      <w:bookmarkStart w:id="80" w:name="_Toc15377221"/>
      <w:bookmarkStart w:id="81" w:name="_Toc15396612"/>
      <w:r>
        <w:rPr>
          <w:rStyle w:val="2Char"/>
          <w:rFonts w:ascii="黑体" w:eastAsia="黑体" w:hAnsi="黑体" w:hint="eastAsia"/>
          <w:b w:val="0"/>
          <w:color w:val="auto"/>
          <w:highlight w:val="auto"/>
        </w:rPr>
        <w:t>其他重要事项的情况说明</w:t>
      </w:r>
      <w:bookmarkEnd w:id="79"/>
      <w:bookmarkEnd w:id="80"/>
      <w:bookmarkEnd w:id="81"/>
    </w:p>
    <w:p>
      <w:pPr>
        <w:pageBreakBefore w:val="0"/>
        <w:widowControl w:val="0"/>
        <w:kinsoku/>
        <w:wordWrap/>
        <w:topLinePunct w:val="0"/>
        <w:bidi w:val="0"/>
        <w:spacing w:line="600" w:lineRule="exact"/>
        <w:ind w:firstLineChars="200" w:firstLine="640"/>
        <w:outlineLvl w:val="2"/>
        <w:rPr>
          <w:rFonts w:ascii="仿宋" w:eastAsia="仿宋" w:hAnsi="仿宋"/>
          <w:color w:val="auto"/>
          <w:sz w:val="32"/>
          <w:szCs w:val="32"/>
          <w:highlight w:val="auto"/>
        </w:rPr>
      </w:pPr>
      <w:bookmarkStart w:id="82" w:name="_Toc15377222"/>
      <w:r>
        <w:rPr>
          <w:rFonts w:ascii="仿宋" w:eastAsia="仿宋" w:hAnsi="仿宋" w:hint="eastAsia"/>
          <w:b/>
          <w:color w:val="auto"/>
          <w:sz w:val="32"/>
          <w:szCs w:val="32"/>
          <w:highlight w:val="auto"/>
        </w:rPr>
        <w:t>（一）机关运行经费支出情况</w:t>
      </w:r>
      <w:bookmarkEnd w:id="82"/>
    </w:p>
    <w:p>
      <w:pPr>
        <w:pageBreakBefore w:val="0"/>
        <w:widowControl w:val="0"/>
        <w:kinsoku/>
        <w:wordWrap/>
        <w:topLinePunct w:val="0"/>
        <w:bidi w:val="0"/>
        <w:spacing w:line="600" w:lineRule="exact"/>
        <w:ind w:firstLineChars="200" w:firstLine="640"/>
        <w:rPr>
          <w:rFonts w:ascii="仿宋_GB2312" w:eastAsia="仿宋_GB2312" w:hint="eastAsia"/>
          <w:color w:val="auto"/>
          <w:sz w:val="32"/>
          <w:szCs w:val="32"/>
          <w:lang w:eastAsia="zh-CN"/>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hint="eastAsia"/>
          <w:color w:val="auto"/>
          <w:sz w:val="32"/>
          <w:szCs w:val="32"/>
          <w:lang w:eastAsia="zh-CN"/>
          <w:highlight w:val="auto"/>
        </w:rPr>
        <w:t>区政府办</w:t>
      </w:r>
      <w:r>
        <w:rPr>
          <w:rFonts w:ascii="仿宋_GB2312" w:eastAsia="仿宋_GB2312" w:hint="eastAsia"/>
          <w:color w:val="auto"/>
          <w:sz w:val="32"/>
          <w:szCs w:val="32"/>
          <w:highlight w:val="auto"/>
        </w:rPr>
        <w:t>机关运行经费支出</w:t>
      </w:r>
      <w:r>
        <w:rPr>
          <w:rFonts w:ascii="仿宋_GB2312" w:eastAsia="仿宋_GB2312" w:hint="eastAsia"/>
          <w:color w:val="auto"/>
          <w:sz w:val="32"/>
          <w:szCs w:val="32"/>
          <w:lang w:val="en-US" w:eastAsia="zh-CN"/>
          <w:highlight w:val="auto"/>
        </w:rPr>
        <w:t>66.47</w:t>
      </w:r>
      <w:r>
        <w:rPr>
          <w:rFonts w:ascii="仿宋_GB2312" w:eastAsia="仿宋_GB2312" w:hint="eastAsia"/>
          <w:color w:val="auto"/>
          <w:sz w:val="32"/>
          <w:szCs w:val="32"/>
          <w:highlight w:val="auto"/>
        </w:rPr>
        <w:t>万元，比</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21</w:t>
      </w:r>
      <w:r>
        <w:rPr>
          <w:rFonts w:ascii="仿宋_GB2312" w:eastAsia="仿宋_GB2312" w:hint="eastAsia"/>
          <w:color w:val="auto"/>
          <w:sz w:val="32"/>
          <w:szCs w:val="32"/>
          <w:highlight w:val="auto"/>
        </w:rPr>
        <w:t>年减少</w:t>
      </w:r>
      <w:r>
        <w:rPr>
          <w:rFonts w:ascii="仿宋_GB2312" w:eastAsia="仿宋_GB2312" w:hint="eastAsia"/>
          <w:color w:val="auto"/>
          <w:sz w:val="32"/>
          <w:szCs w:val="32"/>
          <w:lang w:val="en-US" w:eastAsia="zh-CN"/>
          <w:highlight w:val="auto"/>
        </w:rPr>
        <w:t>34.83</w:t>
      </w:r>
      <w:r>
        <w:rPr>
          <w:rFonts w:ascii="仿宋_GB2312" w:eastAsia="仿宋_GB2312" w:hint="eastAsia"/>
          <w:color w:val="auto"/>
          <w:sz w:val="32"/>
          <w:szCs w:val="32"/>
          <w:highlight w:val="auto"/>
        </w:rPr>
        <w:t>万元，下降</w:t>
      </w:r>
      <w:r>
        <w:rPr>
          <w:rFonts w:ascii="仿宋_GB2312" w:eastAsia="仿宋_GB2312" w:hint="eastAsia"/>
          <w:color w:val="auto"/>
          <w:sz w:val="32"/>
          <w:szCs w:val="32"/>
          <w:lang w:val="en-US" w:eastAsia="zh-CN"/>
          <w:highlight w:val="auto"/>
        </w:rPr>
        <w:t>34.38</w:t>
      </w:r>
      <w:r>
        <w:rPr>
          <w:rFonts w:ascii="仿宋_GB2312" w:eastAsia="仿宋_GB2312"/>
          <w:color w:val="auto"/>
          <w:sz w:val="32"/>
          <w:szCs w:val="32"/>
          <w:highlight w:val="auto"/>
        </w:rPr>
        <w:t>%</w:t>
      </w:r>
      <w:r>
        <w:rPr>
          <w:rFonts w:ascii="仿宋_GB2312" w:eastAsia="仿宋_GB2312" w:hint="eastAsia"/>
          <w:color w:val="auto"/>
          <w:sz w:val="32"/>
          <w:szCs w:val="32"/>
          <w:highlight w:val="auto"/>
        </w:rPr>
        <w:t>。主要原因是</w:t>
      </w:r>
      <w:r>
        <w:rPr>
          <w:rFonts w:ascii="仿宋_GB2312" w:eastAsia="仿宋_GB2312" w:hint="eastAsia"/>
          <w:color w:val="auto"/>
          <w:sz w:val="32"/>
          <w:szCs w:val="32"/>
          <w:lang w:eastAsia="zh-CN"/>
          <w:highlight w:val="auto"/>
        </w:rPr>
        <w:t>控制机关运行成本，减少非必要支出。</w:t>
      </w:r>
    </w:p>
    <w:p>
      <w:pPr>
        <w:pageBreakBefore w:val="0"/>
        <w:widowControl w:val="0"/>
        <w:kinsoku/>
        <w:wordWrap/>
        <w:topLinePunct w:val="0"/>
        <w:autoSpaceDE w:val="0"/>
        <w:autoSpaceDN w:val="0"/>
        <w:bidi w:val="0"/>
        <w:adjustRightInd w:val="0"/>
        <w:spacing w:line="600" w:lineRule="exact"/>
        <w:ind w:firstLineChars="200" w:firstLine="640"/>
        <w:jc w:val="left"/>
        <w:outlineLvl w:val="2"/>
        <w:rPr>
          <w:rFonts w:ascii="仿宋" w:eastAsia="仿宋" w:hAnsi="仿宋"/>
          <w:b/>
          <w:color w:val="auto"/>
          <w:sz w:val="32"/>
          <w:szCs w:val="32"/>
          <w:highlight w:val="auto"/>
        </w:rPr>
      </w:pPr>
      <w:bookmarkStart w:id="83" w:name="_Toc15377223"/>
      <w:r>
        <w:rPr>
          <w:rFonts w:ascii="仿宋" w:eastAsia="仿宋" w:hAnsi="仿宋" w:hint="eastAsia"/>
          <w:b/>
          <w:color w:val="auto"/>
          <w:sz w:val="32"/>
          <w:szCs w:val="32"/>
          <w:highlight w:val="auto"/>
        </w:rPr>
        <w:t>（二）政府采购支出情况</w:t>
      </w:r>
      <w:bookmarkEnd w:id="83"/>
    </w:p>
    <w:p>
      <w:pPr>
        <w:keepNext w:val="0"/>
        <w:keepLines w:val="0"/>
        <w:pageBreakBefore w:val="0"/>
        <w:widowControl w:val="0"/>
        <w:kinsoku/>
        <w:wordWrap/>
        <w:overflowPunct w:val="0"/>
        <w:topLinePunct w:val="0"/>
        <w:bidi w:val="0"/>
        <w:spacing w:line="576" w:lineRule="exact"/>
        <w:ind w:left="0" w:firstLineChars="200" w:firstLine="640"/>
        <w:textAlignment w:val="auto"/>
        <w:rPr>
          <w:rFonts w:ascii="仿宋_GB2312" w:eastAsia="仿宋_GB2312"/>
          <w:color w:val="auto"/>
          <w:sz w:val="32"/>
          <w:szCs w:val="32"/>
          <w:highlight w:val="auto"/>
        </w:rPr>
      </w:pP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方正仿宋简体" w:eastAsia="方正仿宋简体" w:cs="方正仿宋简体" w:hAnsi="方正仿宋简体" w:hint="eastAsia"/>
          <w:b w:val="0"/>
          <w:bCs w:val="0"/>
          <w:color w:val="auto"/>
          <w:sz w:val="32"/>
          <w:szCs w:val="32"/>
          <w:highlight w:val="auto"/>
        </w:rPr>
        <w:t>，</w:t>
      </w:r>
      <w:r>
        <w:rPr>
          <w:rFonts w:ascii="方正仿宋简体" w:eastAsia="方正仿宋简体" w:cs="方正仿宋简体" w:hAnsi="方正仿宋简体" w:hint="eastAsia"/>
          <w:b w:val="0"/>
          <w:bCs w:val="0"/>
          <w:color w:val="auto"/>
          <w:sz w:val="32"/>
          <w:szCs w:val="32"/>
          <w:lang w:eastAsia="zh-CN"/>
          <w:highlight w:val="auto"/>
        </w:rPr>
        <w:t>区政府办</w:t>
      </w:r>
      <w:r>
        <w:rPr>
          <w:rFonts w:ascii="方正仿宋简体" w:eastAsia="方正仿宋简体" w:cs="方正仿宋简体" w:hAnsi="方正仿宋简体" w:hint="eastAsia"/>
          <w:b w:val="0"/>
          <w:bCs w:val="0"/>
          <w:color w:val="auto"/>
          <w:sz w:val="32"/>
          <w:szCs w:val="32"/>
          <w:highlight w:val="auto"/>
        </w:rPr>
        <w:t>政府采购支出总额</w:t>
      </w:r>
      <w:r>
        <w:rPr>
          <w:rFonts w:ascii="方正仿宋简体" w:eastAsia="方正仿宋简体" w:cs="方正仿宋简体" w:hAnsi="方正仿宋简体" w:hint="eastAsia"/>
          <w:b w:val="0"/>
          <w:bCs w:val="0"/>
          <w:color w:val="auto"/>
          <w:sz w:val="32"/>
          <w:szCs w:val="32"/>
          <w:lang w:val="en-US" w:eastAsia="zh-CN"/>
          <w:highlight w:val="auto"/>
        </w:rPr>
        <w:t>0</w:t>
      </w:r>
      <w:r>
        <w:rPr>
          <w:rFonts w:ascii="方正仿宋简体" w:eastAsia="方正仿宋简体" w:cs="方正仿宋简体" w:hAnsi="方正仿宋简体" w:hint="eastAsia"/>
          <w:b w:val="0"/>
          <w:bCs w:val="0"/>
          <w:color w:val="auto"/>
          <w:sz w:val="32"/>
          <w:szCs w:val="32"/>
          <w:highlight w:val="auto"/>
        </w:rPr>
        <w:t>万元。</w:t>
      </w:r>
    </w:p>
    <w:p>
      <w:pPr>
        <w:pageBreakBefore w:val="0"/>
        <w:widowControl w:val="0"/>
        <w:kinsoku/>
        <w:wordWrap/>
        <w:topLinePunct w:val="0"/>
        <w:autoSpaceDE w:val="0"/>
        <w:autoSpaceDN w:val="0"/>
        <w:bidi w:val="0"/>
        <w:adjustRightInd w:val="0"/>
        <w:spacing w:line="600" w:lineRule="exact"/>
        <w:ind w:firstLineChars="200" w:firstLine="640"/>
        <w:jc w:val="left"/>
        <w:outlineLvl w:val="2"/>
        <w:rPr>
          <w:rFonts w:ascii="仿宋" w:eastAsia="仿宋" w:hAnsi="仿宋"/>
          <w:b/>
          <w:color w:val="auto"/>
          <w:sz w:val="32"/>
          <w:szCs w:val="32"/>
          <w:highlight w:val="auto"/>
        </w:rPr>
      </w:pPr>
      <w:bookmarkStart w:id="84" w:name="_Toc15377224"/>
      <w:r>
        <w:rPr>
          <w:rFonts w:ascii="仿宋" w:eastAsia="仿宋" w:hAnsi="仿宋" w:hint="eastAsia"/>
          <w:b/>
          <w:color w:val="auto"/>
          <w:sz w:val="32"/>
          <w:szCs w:val="32"/>
          <w:highlight w:val="auto"/>
        </w:rPr>
        <w:t>（三）国有资产占有使用情况</w:t>
      </w:r>
      <w:bookmarkEnd w:id="84"/>
    </w:p>
    <w:p>
      <w:pPr>
        <w:keepNext w:val="0"/>
        <w:keepLines w:val="0"/>
        <w:pageBreakBefore w:val="0"/>
        <w:widowControl w:val="0"/>
        <w:kinsoku/>
        <w:wordWrap/>
        <w:overflowPunct w:val="0"/>
        <w:topLinePunct w:val="0"/>
        <w:autoSpaceDE w:val="0"/>
        <w:autoSpaceDN w:val="0"/>
        <w:bidi w:val="0"/>
        <w:adjustRightInd w:val="0"/>
        <w:spacing w:line="576" w:lineRule="exact"/>
        <w:ind w:left="0" w:firstLineChars="200" w:firstLine="640"/>
        <w:jc w:val="left"/>
        <w:textAlignment w:val="auto"/>
        <w:rPr>
          <w:rFonts w:ascii="仿宋_GB2312" w:eastAsia="仿宋_GB2312" w:hint="eastAsia"/>
          <w:color w:val="auto"/>
          <w:sz w:val="32"/>
          <w:szCs w:val="32"/>
          <w:highlight w:val="auto"/>
        </w:rPr>
      </w:pPr>
      <w:r>
        <w:rPr>
          <w:rFonts w:ascii="仿宋_GB2312" w:eastAsia="仿宋_GB2312" w:hint="eastAsia"/>
          <w:color w:val="auto"/>
          <w:sz w:val="32"/>
          <w:szCs w:val="32"/>
          <w:highlight w:val="auto"/>
        </w:rPr>
        <w:t>截至</w:t>
      </w:r>
      <w:r>
        <w:rPr>
          <w:rFonts w:ascii="仿宋_GB2312" w:eastAsia="仿宋_GB2312"/>
          <w:color w:val="auto"/>
          <w:sz w:val="32"/>
          <w:szCs w:val="32"/>
          <w:highlight w:val="auto"/>
        </w:rPr>
        <w:t>20</w:t>
      </w:r>
      <w:r>
        <w:rPr>
          <w:rFonts w:ascii="仿宋_GB2312" w:eastAsia="仿宋_GB2312" w:hint="eastAsia"/>
          <w:color w:val="auto"/>
          <w:sz w:val="32"/>
          <w:szCs w:val="32"/>
          <w:lang w:val="en-US" w:eastAsia="zh-CN"/>
          <w:highlight w:val="auto"/>
        </w:rPr>
        <w:t>22</w:t>
      </w:r>
      <w:r>
        <w:rPr>
          <w:rFonts w:ascii="仿宋_GB2312" w:eastAsia="仿宋_GB2312" w:hint="eastAsia"/>
          <w:color w:val="auto"/>
          <w:sz w:val="32"/>
          <w:szCs w:val="32"/>
          <w:highlight w:val="auto"/>
        </w:rPr>
        <w:t>年</w:t>
      </w:r>
      <w:r>
        <w:rPr>
          <w:rFonts w:ascii="仿宋_GB2312" w:eastAsia="仿宋_GB2312"/>
          <w:color w:val="auto"/>
          <w:sz w:val="32"/>
          <w:szCs w:val="32"/>
          <w:highlight w:val="auto"/>
        </w:rPr>
        <w:t>12</w:t>
      </w:r>
      <w:r>
        <w:rPr>
          <w:rFonts w:ascii="仿宋_GB2312" w:eastAsia="仿宋_GB2312" w:hint="eastAsia"/>
          <w:color w:val="auto"/>
          <w:sz w:val="32"/>
          <w:szCs w:val="32"/>
          <w:highlight w:val="auto"/>
        </w:rPr>
        <w:t>月</w:t>
      </w:r>
      <w:r>
        <w:rPr>
          <w:rFonts w:ascii="仿宋_GB2312" w:eastAsia="仿宋_GB2312"/>
          <w:color w:val="auto"/>
          <w:sz w:val="32"/>
          <w:szCs w:val="32"/>
          <w:highlight w:val="auto"/>
        </w:rPr>
        <w:t>31</w:t>
      </w:r>
      <w:r>
        <w:rPr>
          <w:rFonts w:ascii="仿宋_GB2312" w:eastAsia="仿宋_GB2312" w:hint="eastAsia"/>
          <w:color w:val="auto"/>
          <w:sz w:val="32"/>
          <w:szCs w:val="32"/>
          <w:highlight w:val="auto"/>
        </w:rPr>
        <w:t>日，</w:t>
      </w:r>
      <w:r>
        <w:rPr>
          <w:rFonts w:ascii="仿宋_GB2312" w:eastAsia="仿宋_GB2312" w:hint="eastAsia"/>
          <w:color w:val="auto"/>
          <w:sz w:val="32"/>
          <w:szCs w:val="32"/>
          <w:lang w:eastAsia="zh-CN"/>
          <w:highlight w:val="auto"/>
        </w:rPr>
        <w:t>区政府</w:t>
      </w:r>
      <w:r>
        <w:rPr>
          <w:rFonts w:ascii="仿宋_GB2312" w:eastAsia="仿宋_GB2312" w:hint="eastAsia"/>
          <w:color w:val="auto"/>
          <w:sz w:val="32"/>
          <w:szCs w:val="32"/>
          <w:highlight w:val="auto"/>
        </w:rPr>
        <w:t>共有车辆</w:t>
      </w:r>
      <w:r>
        <w:rPr>
          <w:rFonts w:ascii="仿宋_GB2312" w:eastAsia="仿宋_GB2312" w:hint="eastAsia"/>
          <w:color w:val="auto"/>
          <w:sz w:val="32"/>
          <w:szCs w:val="32"/>
          <w:lang w:val="en-US" w:eastAsia="zh-CN"/>
          <w:highlight w:val="auto"/>
        </w:rPr>
        <w:t>1</w:t>
      </w:r>
      <w:r>
        <w:rPr>
          <w:rFonts w:ascii="仿宋_GB2312" w:eastAsia="仿宋_GB2312" w:hint="eastAsia"/>
          <w:color w:val="auto"/>
          <w:sz w:val="32"/>
          <w:szCs w:val="32"/>
          <w:highlight w:val="auto"/>
        </w:rPr>
        <w:t>辆，</w:t>
      </w:r>
      <w:r>
        <w:rPr>
          <w:rFonts w:ascii="方正仿宋简体" w:eastAsia="方正仿宋简体" w:cs="方正仿宋简体" w:hAnsi="方正仿宋简体" w:hint="eastAsia"/>
          <w:b w:val="0"/>
          <w:bCs w:val="0"/>
          <w:color w:val="auto"/>
          <w:sz w:val="32"/>
          <w:szCs w:val="32"/>
          <w:highlight w:val="auto"/>
        </w:rPr>
        <w:t>其中：应急保障用车</w:t>
      </w:r>
      <w:r>
        <w:rPr>
          <w:rFonts w:ascii="方正仿宋简体" w:eastAsia="方正仿宋简体" w:cs="方正仿宋简体" w:hAnsi="方正仿宋简体" w:hint="eastAsia"/>
          <w:b w:val="0"/>
          <w:bCs w:val="0"/>
          <w:color w:val="auto"/>
          <w:sz w:val="32"/>
          <w:szCs w:val="32"/>
          <w:lang w:val="en-US" w:eastAsia="zh-CN"/>
          <w:highlight w:val="auto"/>
        </w:rPr>
        <w:t>1</w:t>
      </w:r>
      <w:r>
        <w:rPr>
          <w:rFonts w:ascii="方正仿宋简体" w:eastAsia="方正仿宋简体" w:cs="方正仿宋简体" w:hAnsi="方正仿宋简体" w:hint="eastAsia"/>
          <w:b w:val="0"/>
          <w:bCs w:val="0"/>
          <w:color w:val="auto"/>
          <w:sz w:val="32"/>
          <w:szCs w:val="32"/>
          <w:highlight w:val="auto"/>
        </w:rPr>
        <w:t>辆</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单价100万元以上专用设备</w:t>
      </w:r>
      <w:r>
        <w:rPr>
          <w:rFonts w:ascii="方正仿宋简体" w:eastAsia="方正仿宋简体" w:cs="方正仿宋简体" w:hAnsi="方正仿宋简体" w:hint="eastAsia"/>
          <w:b w:val="0"/>
          <w:bCs w:val="0"/>
          <w:color w:val="auto"/>
          <w:sz w:val="32"/>
          <w:szCs w:val="32"/>
          <w:lang w:val="en-US" w:eastAsia="zh-CN"/>
          <w:highlight w:val="auto"/>
        </w:rPr>
        <w:t>0</w:t>
      </w:r>
      <w:r>
        <w:rPr>
          <w:rFonts w:ascii="方正仿宋简体" w:eastAsia="方正仿宋简体" w:cs="方正仿宋简体" w:hAnsi="方正仿宋简体" w:hint="eastAsia"/>
          <w:b w:val="0"/>
          <w:bCs w:val="0"/>
          <w:color w:val="auto"/>
          <w:sz w:val="32"/>
          <w:szCs w:val="32"/>
          <w:highlight w:val="auto"/>
        </w:rPr>
        <w:t>台（套）。</w:t>
      </w:r>
    </w:p>
    <w:p>
      <w:pPr>
        <w:pageBreakBefore w:val="0"/>
        <w:widowControl w:val="0"/>
        <w:kinsoku/>
        <w:wordWrap/>
        <w:topLinePunct w:val="0"/>
        <w:autoSpaceDE w:val="0"/>
        <w:autoSpaceDN w:val="0"/>
        <w:bidi w:val="0"/>
        <w:adjustRightInd w:val="0"/>
        <w:spacing w:line="600" w:lineRule="exact"/>
        <w:ind w:firstLineChars="200" w:firstLine="640"/>
        <w:jc w:val="left"/>
        <w:outlineLvl w:val="2"/>
        <w:rPr>
          <w:rFonts w:ascii="仿宋" w:eastAsia="仿宋" w:hAnsi="仿宋"/>
          <w:b/>
          <w:color w:val="auto"/>
          <w:sz w:val="32"/>
          <w:szCs w:val="32"/>
          <w:highlight w:val="auto"/>
        </w:rPr>
      </w:pPr>
      <w:r>
        <w:rPr>
          <w:rFonts w:ascii="仿宋" w:eastAsia="仿宋" w:hAnsi="仿宋" w:hint="eastAsia"/>
          <w:b/>
          <w:color w:val="auto"/>
          <w:sz w:val="32"/>
          <w:szCs w:val="32"/>
          <w:highlight w:val="auto"/>
        </w:rPr>
        <w:t>（四）预算绩效管理情况</w:t>
      </w:r>
    </w:p>
    <w:p>
      <w:pPr>
        <w:pageBreakBefore w:val="0"/>
        <w:widowControl/>
        <w:kinsoku/>
        <w:wordWrap/>
        <w:topLinePunct w:val="0"/>
        <w:bidi w:val="0"/>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根据预算绩效管理要求，本部门在202</w:t>
      </w:r>
      <w:r>
        <w:rPr>
          <w:rFonts w:ascii="仿宋_GB2312" w:eastAsia="仿宋_GB2312" w:cs="仿宋_GB2312" w:hAnsi="仿宋_GB2312" w:hint="eastAsia"/>
          <w:color w:val="auto"/>
          <w:sz w:val="32"/>
          <w:szCs w:val="32"/>
          <w:lang w:val="en-US" w:eastAsia="zh-CN"/>
          <w:highlight w:val="auto"/>
        </w:rPr>
        <w:t>2</w:t>
      </w:r>
      <w:r>
        <w:rPr>
          <w:rFonts w:ascii="仿宋_GB2312" w:eastAsia="仿宋_GB2312" w:cs="仿宋_GB2312" w:hAnsi="仿宋_GB2312" w:hint="eastAsia"/>
          <w:color w:val="auto"/>
          <w:sz w:val="32"/>
          <w:szCs w:val="32"/>
          <w:highlight w:val="auto"/>
        </w:rPr>
        <w:t>年度预算编制阶段，组织对</w:t>
      </w:r>
      <w:r>
        <w:rPr>
          <w:rFonts w:ascii="仿宋_GB2312" w:eastAsia="仿宋_GB2312" w:cs="仿宋_GB2312" w:hAnsi="仿宋_GB2312" w:hint="eastAsia"/>
          <w:color w:val="auto"/>
          <w:sz w:val="32"/>
          <w:szCs w:val="32"/>
          <w:lang w:val="en-US" w:eastAsia="zh-CN"/>
          <w:highlight w:val="auto"/>
        </w:rPr>
        <w:t>地方志修编</w:t>
      </w:r>
      <w:r>
        <w:rPr>
          <w:rFonts w:ascii="仿宋_GB2312" w:eastAsia="仿宋_GB2312" w:cs="仿宋_GB2312" w:hAnsi="仿宋_GB2312" w:hint="eastAsia"/>
          <w:color w:val="auto"/>
          <w:sz w:val="32"/>
          <w:szCs w:val="32"/>
          <w:highlight w:val="auto"/>
        </w:rPr>
        <w:t>项目等</w:t>
      </w:r>
      <w:r>
        <w:rPr>
          <w:rFonts w:ascii="仿宋_GB2312" w:eastAsia="仿宋_GB2312" w:cs="仿宋_GB2312" w:hAnsi="仿宋_GB2312" w:hint="eastAsia"/>
          <w:color w:val="auto"/>
          <w:sz w:val="32"/>
          <w:szCs w:val="32"/>
          <w:lang w:val="en-US" w:eastAsia="zh-CN"/>
          <w:highlight w:val="auto"/>
        </w:rPr>
        <w:t>17</w:t>
      </w:r>
      <w:r>
        <w:rPr>
          <w:rFonts w:ascii="仿宋_GB2312" w:eastAsia="仿宋_GB2312" w:cs="仿宋_GB2312" w:hAnsi="仿宋_GB2312" w:hint="eastAsia"/>
          <w:color w:val="auto"/>
          <w:sz w:val="32"/>
          <w:szCs w:val="32"/>
          <w:highlight w:val="auto"/>
        </w:rPr>
        <w:t>个项目开展了预算事前绩效评估，对</w:t>
      </w:r>
      <w:r>
        <w:rPr>
          <w:rFonts w:ascii="仿宋_GB2312" w:eastAsia="仿宋_GB2312" w:cs="仿宋_GB2312" w:hAnsi="仿宋_GB2312" w:hint="eastAsia"/>
          <w:color w:val="auto"/>
          <w:sz w:val="32"/>
          <w:szCs w:val="32"/>
          <w:lang w:val="en-US" w:eastAsia="zh-CN"/>
          <w:highlight w:val="auto"/>
        </w:rPr>
        <w:t>17</w:t>
      </w:r>
      <w:r>
        <w:rPr>
          <w:rFonts w:ascii="仿宋_GB2312" w:eastAsia="仿宋_GB2312" w:cs="仿宋_GB2312" w:hAnsi="仿宋_GB2312" w:hint="eastAsia"/>
          <w:color w:val="auto"/>
          <w:sz w:val="32"/>
          <w:szCs w:val="32"/>
          <w:highlight w:val="auto"/>
        </w:rPr>
        <w:t>个项目编制了绩效目标，预算执行过程中，选取</w:t>
      </w:r>
      <w:r>
        <w:rPr>
          <w:rFonts w:ascii="仿宋_GB2312" w:eastAsia="仿宋_GB2312" w:cs="仿宋_GB2312" w:hAnsi="仿宋_GB2312" w:hint="eastAsia"/>
          <w:color w:val="auto"/>
          <w:sz w:val="32"/>
          <w:szCs w:val="32"/>
          <w:lang w:val="en-US" w:eastAsia="zh-CN"/>
          <w:highlight w:val="auto"/>
        </w:rPr>
        <w:t>17</w:t>
      </w:r>
      <w:r>
        <w:rPr>
          <w:rFonts w:ascii="仿宋_GB2312" w:eastAsia="仿宋_GB2312" w:cs="仿宋_GB2312" w:hAnsi="仿宋_GB2312" w:hint="eastAsia"/>
          <w:color w:val="auto"/>
          <w:sz w:val="32"/>
          <w:szCs w:val="32"/>
          <w:highlight w:val="auto"/>
        </w:rPr>
        <w:t>个项目开展绩效监控。</w:t>
      </w:r>
    </w:p>
    <w:p>
      <w:pPr>
        <w:pageBreakBefore w:val="0"/>
        <w:widowControl/>
        <w:kinsoku/>
        <w:wordWrap/>
        <w:topLinePunct w:val="0"/>
        <w:bidi w:val="0"/>
        <w:ind w:firstLineChars="200" w:firstLine="640"/>
        <w:jc w:val="left"/>
        <w:rPr>
          <w:rFonts w:ascii="仿宋_GB2312" w:eastAsia="仿宋_GB2312" w:cs="仿宋_GB2312" w:hAnsi="仿宋_GB2312" w:hint="eastAsia"/>
          <w:color w:val="auto"/>
          <w:sz w:val="32"/>
          <w:szCs w:val="32"/>
          <w:highlight w:val="auto"/>
        </w:rPr>
      </w:pPr>
      <w:r>
        <w:rPr>
          <w:rFonts w:ascii="仿宋_GB2312" w:eastAsia="仿宋_GB2312" w:cs="仿宋_GB2312" w:hAnsi="仿宋_GB2312" w:hint="eastAsia"/>
          <w:color w:val="auto"/>
          <w:sz w:val="32"/>
          <w:szCs w:val="32"/>
          <w:highlight w:val="auto"/>
        </w:rPr>
        <w:t>组织对2022年度一般公共预算、政府性基金预算、国有资本经营预算、社会保险基金预算以及资本资产、债券资金等全面开展绩效自评，形成</w:t>
      </w:r>
      <w:r>
        <w:rPr>
          <w:rFonts w:ascii="方正仿宋简体" w:eastAsia="方正仿宋简体" w:cs="方正仿宋简体" w:hAnsi="方正仿宋简体" w:hint="eastAsia"/>
          <w:b w:val="0"/>
          <w:bCs w:val="0"/>
          <w:color w:val="auto"/>
          <w:sz w:val="32"/>
          <w:szCs w:val="32"/>
          <w:lang w:eastAsia="zh-CN"/>
          <w:highlight w:val="auto"/>
        </w:rPr>
        <w:t>区政府办</w:t>
      </w:r>
      <w:r>
        <w:rPr>
          <w:rFonts w:ascii="仿宋_GB2312" w:eastAsia="仿宋_GB2312" w:cs="仿宋_GB2312" w:hAnsi="仿宋_GB2312" w:hint="eastAsia"/>
          <w:color w:val="auto"/>
          <w:sz w:val="32"/>
          <w:szCs w:val="32"/>
          <w:highlight w:val="auto"/>
        </w:rPr>
        <w:t>部门整体（含部门预算项目）绩效自评报告、</w:t>
      </w:r>
      <w:r>
        <w:rPr>
          <w:rFonts w:ascii="仿宋_GB2312" w:eastAsia="仿宋_GB2312" w:cs="仿宋_GB2312" w:hAnsi="仿宋_GB2312" w:hint="eastAsia"/>
          <w:color w:val="auto"/>
          <w:sz w:val="32"/>
          <w:szCs w:val="32"/>
          <w:lang w:val="en-US" w:eastAsia="zh-CN"/>
          <w:highlight w:val="auto"/>
        </w:rPr>
        <w:t>地方志修编</w:t>
      </w:r>
      <w:r>
        <w:rPr>
          <w:rFonts w:ascii="仿宋_GB2312" w:eastAsia="仿宋_GB2312" w:cs="仿宋_GB2312" w:hAnsi="仿宋_GB2312" w:hint="eastAsia"/>
          <w:color w:val="auto"/>
          <w:sz w:val="32"/>
          <w:szCs w:val="32"/>
          <w:highlight w:val="auto"/>
        </w:rPr>
        <w:t>等专项预算项目绩效自评报告，其中，</w:t>
      </w:r>
      <w:r>
        <w:rPr>
          <w:rFonts w:ascii="方正仿宋简体" w:eastAsia="方正仿宋简体" w:cs="方正仿宋简体" w:hAnsi="方正仿宋简体" w:hint="eastAsia"/>
          <w:b w:val="0"/>
          <w:bCs w:val="0"/>
          <w:color w:val="auto"/>
          <w:sz w:val="32"/>
          <w:szCs w:val="32"/>
          <w:lang w:eastAsia="zh-CN"/>
          <w:highlight w:val="auto"/>
        </w:rPr>
        <w:t>区政府办</w:t>
      </w:r>
      <w:r>
        <w:rPr>
          <w:rFonts w:ascii="仿宋_GB2312" w:eastAsia="仿宋_GB2312" w:cs="仿宋_GB2312" w:hAnsi="仿宋_GB2312" w:hint="eastAsia"/>
          <w:color w:val="auto"/>
          <w:sz w:val="32"/>
          <w:szCs w:val="32"/>
          <w:highlight w:val="auto"/>
        </w:rPr>
        <w:t>部门部门整体（含部门预算项目）绩效自评得分为</w:t>
      </w:r>
      <w:r>
        <w:rPr>
          <w:rFonts w:ascii="仿宋_GB2312" w:eastAsia="仿宋_GB2312" w:cs="仿宋_GB2312" w:hAnsi="仿宋_GB2312" w:hint="eastAsia"/>
          <w:color w:val="auto"/>
          <w:sz w:val="32"/>
          <w:szCs w:val="32"/>
          <w:lang w:val="en-US" w:eastAsia="zh-CN"/>
          <w:highlight w:val="auto"/>
        </w:rPr>
        <w:t>95.5</w:t>
      </w:r>
      <w:r>
        <w:rPr>
          <w:rFonts w:ascii="仿宋_GB2312" w:eastAsia="仿宋_GB2312" w:cs="仿宋_GB2312" w:hAnsi="仿宋_GB2312" w:hint="eastAsia"/>
          <w:color w:val="auto"/>
          <w:sz w:val="32"/>
          <w:szCs w:val="32"/>
          <w:highlight w:val="auto"/>
        </w:rPr>
        <w:t>分，绩效自评综述：</w:t>
      </w:r>
      <w:r>
        <w:rPr>
          <w:rFonts w:ascii="仿宋_GB2312" w:eastAsia="仿宋_GB2312" w:cs="仿宋_GB2312" w:hAnsi="仿宋_GB2312" w:hint="eastAsia"/>
          <w:kern w:val="2"/>
          <w:sz w:val="32"/>
          <w:szCs w:val="32"/>
          <w:lang w:val="en-US" w:eastAsia="zh-CN" w:bidi="ar-SA"/>
        </w:rPr>
        <w:t>本部门按要求对2022年部门整体支出开展绩效自评，从评价情况来看项目完成、项目效益、满意度等方面绩效指标完成情况良好。本部门还进行了专项支出绩效评价，从评价情况来看项目完成、项目效益、满意度等方面绩效指标完成情况良好</w:t>
      </w:r>
      <w:r>
        <w:rPr>
          <w:rFonts w:ascii="仿宋_GB2312" w:eastAsia="仿宋_GB2312" w:cs="仿宋_GB2312" w:hAnsi="仿宋_GB2312" w:hint="eastAsia"/>
          <w:color w:val="auto"/>
          <w:sz w:val="32"/>
          <w:szCs w:val="32"/>
          <w:highlight w:val="auto"/>
        </w:rPr>
        <w:t>；</w:t>
      </w:r>
      <w:r>
        <w:rPr>
          <w:rFonts w:ascii="仿宋_GB2312" w:eastAsia="仿宋_GB2312" w:cs="仿宋_GB2312" w:hAnsi="仿宋_GB2312" w:hint="eastAsia"/>
          <w:color w:val="auto"/>
          <w:sz w:val="32"/>
          <w:szCs w:val="32"/>
          <w:lang w:val="en-US" w:eastAsia="zh-CN"/>
          <w:highlight w:val="auto"/>
        </w:rPr>
        <w:t>1、区政府领导招商经费</w:t>
      </w:r>
      <w:r>
        <w:rPr>
          <w:rFonts w:ascii="仿宋_GB2312" w:eastAsia="仿宋_GB2312" w:cs="仿宋_GB2312" w:hAnsi="仿宋_GB2312" w:hint="eastAsia"/>
          <w:color w:val="auto"/>
          <w:sz w:val="32"/>
          <w:szCs w:val="32"/>
          <w:highlight w:val="auto"/>
        </w:rPr>
        <w:t>专项预算项目绩效自评得分为</w:t>
      </w:r>
      <w:r>
        <w:rPr>
          <w:rFonts w:ascii="仿宋_GB2312" w:eastAsia="仿宋_GB2312" w:cs="仿宋_GB2312" w:hAnsi="仿宋_GB2312" w:hint="eastAsia"/>
          <w:color w:val="auto"/>
          <w:sz w:val="32"/>
          <w:szCs w:val="32"/>
          <w:lang w:val="en-US" w:eastAsia="zh-CN"/>
          <w:highlight w:val="auto"/>
        </w:rPr>
        <w:t>93.00</w:t>
      </w:r>
      <w:r>
        <w:rPr>
          <w:rFonts w:ascii="仿宋_GB2312" w:eastAsia="仿宋_GB2312" w:cs="仿宋_GB2312" w:hAnsi="仿宋_GB2312" w:hint="eastAsia"/>
          <w:color w:val="auto"/>
          <w:sz w:val="32"/>
          <w:szCs w:val="32"/>
          <w:highlight w:val="auto"/>
        </w:rPr>
        <w:t>分，绩效自评综述：</w:t>
      </w:r>
      <w:r>
        <w:rPr>
          <w:rFonts w:ascii="方正仿宋简体" w:eastAsia="方正仿宋简体" w:cs="方正仿宋简体" w:hAnsi="方正仿宋简体" w:hint="eastAsia"/>
          <w:color w:val="auto"/>
          <w:sz w:val="32"/>
          <w:szCs w:val="32"/>
          <w:lang w:val="zh-CN" w:eastAsia="zh-CN"/>
        </w:rPr>
        <w:t>项目支出</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rPr>
        <w:t>确保</w:t>
      </w:r>
      <w:r>
        <w:rPr>
          <w:rFonts w:ascii="方正仿宋简体" w:eastAsia="方正仿宋简体" w:cs="方正仿宋简体" w:hAnsi="方正仿宋简体" w:hint="eastAsia"/>
          <w:color w:val="auto"/>
          <w:sz w:val="32"/>
          <w:szCs w:val="32"/>
          <w:lang w:eastAsia="zh-CN"/>
        </w:rPr>
        <w:t>了</w:t>
      </w:r>
      <w:r>
        <w:rPr>
          <w:rFonts w:ascii="方正仿宋简体" w:eastAsia="方正仿宋简体" w:cs="方正仿宋简体" w:hAnsi="方正仿宋简体" w:hint="eastAsia"/>
          <w:color w:val="auto"/>
          <w:sz w:val="32"/>
          <w:szCs w:val="32"/>
        </w:rPr>
        <w:t>资金专款专用</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lang w:val="zh-CN" w:eastAsia="zh-CN"/>
        </w:rPr>
        <w:t>严格</w:t>
      </w:r>
      <w:r>
        <w:rPr>
          <w:rFonts w:ascii="方正仿宋简体" w:eastAsia="方正仿宋简体" w:cs="方正仿宋简体" w:hAnsi="方正仿宋简体" w:hint="eastAsia"/>
          <w:color w:val="auto"/>
          <w:sz w:val="32"/>
          <w:szCs w:val="32"/>
        </w:rPr>
        <w:t>按照项目申报绩效目标实施，</w:t>
      </w:r>
      <w:r>
        <w:rPr>
          <w:rFonts w:ascii="方正仿宋简体" w:eastAsia="方正仿宋简体" w:cs="方正仿宋简体" w:hAnsi="方正仿宋简体" w:hint="eastAsia"/>
          <w:color w:val="auto"/>
          <w:kern w:val="2"/>
          <w:sz w:val="32"/>
          <w:szCs w:val="32"/>
          <w:lang w:val="en-US" w:eastAsia="zh-CN" w:bidi="ar-SA"/>
        </w:rPr>
        <w:t>产出指标、效益指标、满意度指标值评价高，达到预设目标绩效；2、2022年工作经费项目</w:t>
      </w:r>
      <w:r>
        <w:rPr>
          <w:rFonts w:ascii="仿宋_GB2312" w:eastAsia="仿宋_GB2312" w:cs="仿宋_GB2312" w:hAnsi="仿宋_GB2312" w:hint="eastAsia"/>
          <w:color w:val="auto"/>
          <w:sz w:val="32"/>
          <w:szCs w:val="32"/>
          <w:highlight w:val="auto"/>
        </w:rPr>
        <w:t>绩效自评得分为</w:t>
      </w:r>
      <w:r>
        <w:rPr>
          <w:rFonts w:ascii="仿宋_GB2312" w:eastAsia="仿宋_GB2312" w:cs="仿宋_GB2312" w:hAnsi="仿宋_GB2312" w:hint="eastAsia"/>
          <w:color w:val="auto"/>
          <w:sz w:val="32"/>
          <w:szCs w:val="32"/>
          <w:lang w:val="en-US" w:eastAsia="zh-CN"/>
          <w:highlight w:val="auto"/>
        </w:rPr>
        <w:t>93.00</w:t>
      </w:r>
      <w:r>
        <w:rPr>
          <w:rFonts w:ascii="仿宋_GB2312" w:eastAsia="仿宋_GB2312" w:cs="仿宋_GB2312" w:hAnsi="仿宋_GB2312" w:hint="eastAsia"/>
          <w:color w:val="auto"/>
          <w:sz w:val="32"/>
          <w:szCs w:val="32"/>
          <w:highlight w:val="auto"/>
        </w:rPr>
        <w:t>分</w:t>
      </w:r>
      <w:r>
        <w:rPr>
          <w:rFonts w:ascii="仿宋_GB2312" w:eastAsia="仿宋_GB2312" w:cs="仿宋_GB2312" w:hAnsi="仿宋_GB2312" w:hint="eastAsia"/>
          <w:color w:val="auto"/>
          <w:sz w:val="32"/>
          <w:szCs w:val="32"/>
          <w:lang w:eastAsia="zh-CN"/>
          <w:highlight w:val="auto"/>
        </w:rPr>
        <w:t>，</w:t>
      </w:r>
      <w:r>
        <w:rPr>
          <w:rFonts w:ascii="仿宋_GB2312" w:eastAsia="仿宋_GB2312" w:cs="仿宋_GB2312" w:hAnsi="仿宋_GB2312" w:hint="eastAsia"/>
          <w:color w:val="auto"/>
          <w:sz w:val="32"/>
          <w:szCs w:val="32"/>
          <w:highlight w:val="auto"/>
        </w:rPr>
        <w:t>绩效自评综述：</w:t>
      </w:r>
      <w:r>
        <w:rPr>
          <w:rFonts w:ascii="方正仿宋简体" w:eastAsia="方正仿宋简体" w:cs="方正仿宋简体" w:hAnsi="方正仿宋简体" w:hint="eastAsia"/>
          <w:color w:val="auto"/>
          <w:sz w:val="32"/>
          <w:szCs w:val="32"/>
          <w:lang w:val="zh-CN" w:eastAsia="zh-CN"/>
        </w:rPr>
        <w:t>联系重点工作经费项目支出</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lang w:eastAsia="zh-CN"/>
        </w:rPr>
        <w:t>确保了资金专款专用，</w:t>
      </w:r>
      <w:r>
        <w:rPr>
          <w:rFonts w:ascii="方正仿宋简体" w:eastAsia="方正仿宋简体" w:cs="方正仿宋简体" w:hAnsi="方正仿宋简体" w:hint="eastAsia"/>
          <w:color w:val="auto"/>
          <w:sz w:val="32"/>
          <w:szCs w:val="32"/>
          <w:lang w:val="zh-CN" w:eastAsia="zh-CN"/>
        </w:rPr>
        <w:t>严格</w:t>
      </w:r>
      <w:r>
        <w:rPr>
          <w:rFonts w:ascii="方正仿宋简体" w:eastAsia="方正仿宋简体" w:cs="方正仿宋简体" w:hAnsi="方正仿宋简体" w:hint="eastAsia"/>
          <w:color w:val="auto"/>
          <w:sz w:val="32"/>
          <w:szCs w:val="32"/>
          <w:lang w:eastAsia="zh-CN"/>
        </w:rPr>
        <w:t>按照项目申报绩效目标实施，</w:t>
      </w:r>
      <w:r>
        <w:rPr>
          <w:rFonts w:ascii="方正仿宋简体" w:eastAsia="方正仿宋简体" w:cs="方正仿宋简体" w:hAnsi="方正仿宋简体" w:hint="eastAsia"/>
          <w:color w:val="auto"/>
          <w:sz w:val="32"/>
          <w:szCs w:val="32"/>
          <w:lang w:val="en-US" w:eastAsia="zh-CN"/>
        </w:rPr>
        <w:t>产出指标、效益指标、满意度指标值评价高，达到预设目标绩效；3、机房改造及文电会务资金缺口项目</w:t>
      </w:r>
      <w:r>
        <w:rPr>
          <w:rFonts w:ascii="仿宋_GB2312" w:eastAsia="仿宋_GB2312" w:cs="仿宋_GB2312" w:hAnsi="仿宋_GB2312" w:hint="eastAsia"/>
          <w:color w:val="auto"/>
          <w:sz w:val="32"/>
          <w:szCs w:val="32"/>
          <w:highlight w:val="auto"/>
        </w:rPr>
        <w:t>效自评得分为</w:t>
      </w:r>
      <w:r>
        <w:rPr>
          <w:rFonts w:ascii="仿宋_GB2312" w:eastAsia="仿宋_GB2312" w:cs="仿宋_GB2312" w:hAnsi="仿宋_GB2312" w:hint="eastAsia"/>
          <w:color w:val="auto"/>
          <w:sz w:val="32"/>
          <w:szCs w:val="32"/>
          <w:lang w:val="en-US" w:eastAsia="zh-CN"/>
          <w:highlight w:val="auto"/>
        </w:rPr>
        <w:t>92.00</w:t>
      </w:r>
      <w:r>
        <w:rPr>
          <w:rFonts w:ascii="仿宋_GB2312" w:eastAsia="仿宋_GB2312" w:cs="仿宋_GB2312" w:hAnsi="仿宋_GB2312" w:hint="eastAsia"/>
          <w:color w:val="auto"/>
          <w:sz w:val="32"/>
          <w:szCs w:val="32"/>
          <w:highlight w:val="auto"/>
        </w:rPr>
        <w:t>分</w:t>
      </w:r>
      <w:r>
        <w:rPr>
          <w:rFonts w:ascii="仿宋_GB2312" w:eastAsia="仿宋_GB2312" w:cs="仿宋_GB2312" w:hAnsi="仿宋_GB2312" w:hint="eastAsia"/>
          <w:color w:val="auto"/>
          <w:sz w:val="32"/>
          <w:szCs w:val="32"/>
          <w:lang w:eastAsia="zh-CN"/>
          <w:highlight w:val="auto"/>
        </w:rPr>
        <w:t>，</w:t>
      </w:r>
      <w:r>
        <w:rPr>
          <w:rFonts w:ascii="仿宋_GB2312" w:eastAsia="仿宋_GB2312" w:cs="仿宋_GB2312" w:hAnsi="仿宋_GB2312" w:hint="eastAsia"/>
          <w:color w:val="auto"/>
          <w:sz w:val="32"/>
          <w:szCs w:val="32"/>
          <w:highlight w:val="auto"/>
        </w:rPr>
        <w:t>绩效自评综述：</w:t>
      </w:r>
      <w:r>
        <w:rPr>
          <w:rFonts w:ascii="方正仿宋简体" w:eastAsia="方正仿宋简体" w:cs="方正仿宋简体" w:hAnsi="方正仿宋简体" w:hint="eastAsia"/>
          <w:color w:val="auto"/>
          <w:sz w:val="32"/>
          <w:szCs w:val="32"/>
          <w:lang w:eastAsia="zh-CN"/>
        </w:rPr>
        <w:t>机房改造及文电会务资金缺口</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lang w:eastAsia="zh-CN"/>
        </w:rPr>
        <w:t>确保了资金专款专用，严格按照项目申报绩效目标实施，</w:t>
      </w:r>
      <w:r>
        <w:rPr>
          <w:rFonts w:ascii="方正仿宋简体" w:eastAsia="方正仿宋简体" w:cs="方正仿宋简体" w:hAnsi="方正仿宋简体" w:hint="eastAsia"/>
          <w:color w:val="auto"/>
          <w:sz w:val="32"/>
          <w:szCs w:val="32"/>
          <w:lang w:val="en-US" w:eastAsia="zh-CN"/>
        </w:rPr>
        <w:t>产出指标、效益指标、满意度指标值评价高，达到预设目标绩效。</w:t>
      </w:r>
      <w:r>
        <w:rPr>
          <w:rFonts w:ascii="仿宋_GB2312" w:eastAsia="仿宋_GB2312" w:cs="仿宋_GB2312" w:hAnsi="仿宋_GB2312" w:hint="eastAsia"/>
          <w:color w:val="auto"/>
          <w:sz w:val="32"/>
          <w:szCs w:val="32"/>
          <w:highlight w:val="auto"/>
        </w:rPr>
        <w:t>绩效自评报告详见附件。</w:t>
      </w:r>
    </w:p>
    <w:p>
      <w:pPr>
        <w:pStyle w:val="16"/>
      </w:pPr>
    </w:p>
    <w:p>
      <w:pPr>
        <w:pageBreakBefore w:val="0"/>
        <w:widowControl w:val="0"/>
        <w:kinsoku/>
        <w:wordWrap/>
        <w:topLinePunct w:val="0"/>
        <w:bidi w:val="0"/>
        <w:spacing w:line="600" w:lineRule="exact"/>
        <w:ind w:left="0" w:firstLineChars="150" w:firstLine="660"/>
        <w:jc w:val="center"/>
        <w:outlineLvl w:val="0"/>
        <w:rPr>
          <w:rStyle w:val="1Char"/>
          <w:rFonts w:ascii="黑体" w:eastAsia="黑体" w:hAnsi="黑体"/>
          <w:b w:val="0"/>
          <w:color w:val="auto"/>
          <w:highlight w:val="auto"/>
        </w:rPr>
      </w:pPr>
      <w:bookmarkStart w:id="85" w:name="_Toc26996"/>
      <w:bookmarkStart w:id="86" w:name="_Toc4752"/>
      <w:bookmarkStart w:id="87" w:name="_Toc15377225"/>
      <w:bookmarkStart w:id="88" w:name="_Toc15396613"/>
      <w:r>
        <w:rPr>
          <w:rFonts w:ascii="黑体" w:eastAsia="黑体" w:cs="Times New Roman" w:hAnsi="黑体" w:hint="eastAsia"/>
          <w:b w:val="0"/>
          <w:bCs/>
          <w:color w:val="auto"/>
          <w:kern w:val="44"/>
          <w:sz w:val="44"/>
          <w:szCs w:val="44"/>
          <w:lang w:val="en-US" w:eastAsia="zh-CN" w:bidi="ar-SA"/>
        </w:rPr>
        <w:t>第三部分</w:t>
      </w:r>
      <w:r>
        <w:rPr>
          <w:rFonts w:ascii="黑体" w:eastAsia="黑体" w:hAnsi="黑体" w:hint="eastAsia"/>
          <w:color w:val="auto"/>
          <w:sz w:val="44"/>
          <w:szCs w:val="44"/>
          <w:highlight w:val="auto"/>
        </w:rPr>
        <w:t>名</w:t>
      </w:r>
      <w:r>
        <w:rPr>
          <w:rStyle w:val="1Char"/>
          <w:rFonts w:ascii="黑体" w:eastAsia="黑体" w:hAnsi="黑体" w:hint="eastAsia"/>
          <w:b w:val="0"/>
          <w:color w:val="auto"/>
          <w:highlight w:val="auto"/>
        </w:rPr>
        <w:t>词解释</w:t>
      </w:r>
      <w:bookmarkEnd w:id="85"/>
      <w:bookmarkEnd w:id="86"/>
      <w:bookmarkEnd w:id="87"/>
      <w:bookmarkEnd w:id="88"/>
    </w:p>
    <w:p>
      <w:pPr>
        <w:pageBreakBefore w:val="0"/>
        <w:widowControl w:val="0"/>
        <w:kinsoku/>
        <w:wordWrap/>
        <w:topLinePunct w:val="0"/>
        <w:bidi w:val="0"/>
        <w:spacing w:line="600" w:lineRule="exact"/>
        <w:jc w:val="left"/>
        <w:rPr>
          <w:rFonts w:ascii="宋体"/>
          <w:b/>
          <w:color w:val="auto"/>
          <w:sz w:val="44"/>
          <w:szCs w:val="44"/>
          <w:highlight w:val="auto"/>
        </w:rPr>
      </w:pPr>
    </w:p>
    <w:p>
      <w:pPr>
        <w:pStyle w:val="33"/>
        <w:keepNext w:val="0"/>
        <w:keepLines w:val="0"/>
        <w:pageBreakBefore w:val="0"/>
        <w:widowControl w:val="0"/>
        <w:kinsoku/>
        <w:wordWrap/>
        <w:overflowPunct w:val="0"/>
        <w:topLinePunct w:val="0"/>
        <w:autoSpaceDE w:val="0"/>
        <w:autoSpaceDN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highlight w:val="auto"/>
        </w:rPr>
      </w:pPr>
      <w:bookmarkStart w:id="89" w:name="_Toc16185"/>
      <w:bookmarkStart w:id="90" w:name="_Toc50"/>
      <w:bookmarkStart w:id="91" w:name="_Toc18749"/>
      <w:bookmarkStart w:id="92" w:name="_Toc19161"/>
      <w:bookmarkStart w:id="93" w:name="_Toc15377226"/>
      <w:r>
        <w:rPr>
          <w:rFonts w:ascii="方正仿宋简体" w:eastAsia="方正仿宋简体" w:cs="方正仿宋简体" w:hAnsi="方正仿宋简体" w:hint="eastAsia"/>
          <w:b w:val="0"/>
          <w:bCs w:val="0"/>
          <w:color w:val="auto"/>
          <w:sz w:val="32"/>
          <w:szCs w:val="32"/>
          <w:highlight w:val="auto"/>
        </w:rPr>
        <w:t>1</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财政拨款收入：指单位从同级财政部门取得的财政预算资金。</w:t>
      </w:r>
      <w:bookmarkEnd w:id="89"/>
      <w:bookmarkEnd w:id="90"/>
      <w:bookmarkEnd w:id="91"/>
      <w:bookmarkEnd w:id="92"/>
    </w:p>
    <w:p>
      <w:pPr>
        <w:pStyle w:val="33"/>
        <w:keepNext w:val="0"/>
        <w:keepLines w:val="0"/>
        <w:pageBreakBefore w:val="0"/>
        <w:widowControl w:val="0"/>
        <w:kinsoku/>
        <w:wordWrap/>
        <w:overflowPunct w:val="0"/>
        <w:topLinePunct w:val="0"/>
        <w:autoSpaceDE w:val="0"/>
        <w:autoSpaceDN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lang w:eastAsia="zh-CN"/>
          <w:highlight w:val="auto"/>
        </w:rPr>
      </w:pPr>
      <w:r>
        <w:rPr>
          <w:rFonts w:ascii="方正仿宋简体" w:eastAsia="方正仿宋简体" w:cs="方正仿宋简体" w:hAnsi="方正仿宋简体" w:hint="eastAsia"/>
          <w:b w:val="0"/>
          <w:bCs w:val="0"/>
          <w:color w:val="auto"/>
          <w:sz w:val="32"/>
          <w:szCs w:val="32"/>
          <w:highlight w:val="auto"/>
        </w:rPr>
        <w:t>2</w:t>
      </w:r>
      <w:r>
        <w:rPr>
          <w:rFonts w:ascii="方正仿宋简体" w:eastAsia="方正仿宋简体" w:cs="方正仿宋简体" w:hAnsi="方正仿宋简体" w:hint="eastAsia"/>
          <w:b w:val="0"/>
          <w:bCs w:val="0"/>
          <w:color w:val="auto"/>
          <w:sz w:val="32"/>
          <w:szCs w:val="32"/>
          <w:lang w:eastAsia="zh-CN"/>
          <w:highlight w:val="auto"/>
        </w:rPr>
        <w:t>．</w:t>
      </w:r>
      <w:bookmarkStart w:id="94" w:name="_Toc18342"/>
      <w:bookmarkStart w:id="95" w:name="_Toc23143"/>
      <w:bookmarkStart w:id="96" w:name="_Toc30357"/>
      <w:bookmarkStart w:id="97" w:name="_Toc8960"/>
      <w:r>
        <w:rPr>
          <w:rFonts w:ascii="方正仿宋简体" w:eastAsia="方正仿宋简体" w:cs="方正仿宋简体" w:hAnsi="方正仿宋简体" w:hint="eastAsia"/>
          <w:b w:val="0"/>
          <w:bCs w:val="0"/>
          <w:color w:val="auto"/>
          <w:sz w:val="32"/>
          <w:szCs w:val="32"/>
          <w:highlight w:val="auto"/>
        </w:rPr>
        <w:t>其他收入：指单位取得的除上述收入以外的各项收入。</w:t>
      </w:r>
      <w:bookmarkEnd w:id="94"/>
      <w:bookmarkEnd w:id="95"/>
      <w:bookmarkEnd w:id="96"/>
      <w:bookmarkEnd w:id="97"/>
    </w:p>
    <w:p>
      <w:pPr>
        <w:keepNext w:val="0"/>
        <w:keepLines w:val="0"/>
        <w:pageBreakBefore w:val="0"/>
        <w:widowControl w:val="0"/>
        <w:kinsoku/>
        <w:wordWrap/>
        <w:overflowPunct w:val="0"/>
        <w:topLinePunct w:val="0"/>
        <w:bidi w:val="0"/>
        <w:spacing w:line="576" w:lineRule="exact"/>
        <w:ind w:left="0" w:firstLineChars="200" w:firstLine="640"/>
        <w:textAlignment w:val="auto"/>
        <w:outlineLvl w:val="1"/>
        <w:rPr>
          <w:rFonts w:ascii="方正仿宋简体" w:eastAsia="方正仿宋简体" w:cs="方正仿宋简体" w:hAnsi="方正仿宋简体" w:hint="eastAsia"/>
          <w:b w:val="0"/>
          <w:bCs w:val="0"/>
          <w:color w:val="auto"/>
          <w:sz w:val="32"/>
          <w:szCs w:val="32"/>
        </w:rPr>
      </w:pPr>
      <w:bookmarkStart w:id="98" w:name="_Toc15606"/>
      <w:bookmarkStart w:id="99" w:name="_Toc21208"/>
      <w:bookmarkStart w:id="100" w:name="_Toc4390"/>
      <w:bookmarkStart w:id="101" w:name="_Toc29316"/>
      <w:r>
        <w:rPr>
          <w:rFonts w:ascii="方正仿宋简体" w:eastAsia="方正仿宋简体" w:cs="方正仿宋简体" w:hAnsi="方正仿宋简体" w:hint="eastAsia"/>
          <w:b w:val="0"/>
          <w:bCs w:val="0"/>
          <w:color w:val="auto"/>
          <w:sz w:val="32"/>
          <w:szCs w:val="32"/>
          <w:lang w:val="en-US" w:eastAsia="zh-CN"/>
        </w:rPr>
        <w:t>3</w:t>
      </w:r>
      <w:r>
        <w:rPr>
          <w:rFonts w:ascii="方正仿宋简体" w:eastAsia="方正仿宋简体" w:cs="方正仿宋简体" w:hAnsi="方正仿宋简体" w:hint="eastAsia"/>
          <w:b w:val="0"/>
          <w:bCs w:val="0"/>
          <w:color w:val="auto"/>
          <w:sz w:val="32"/>
          <w:szCs w:val="32"/>
          <w:lang w:eastAsia="zh-CN"/>
        </w:rPr>
        <w:t>．</w:t>
      </w:r>
      <w:r>
        <w:rPr>
          <w:rStyle w:val="27"/>
          <w:rFonts w:ascii="方正仿宋简体" w:eastAsia="方正仿宋简体" w:cs="方正仿宋简体" w:hAnsi="方正仿宋简体" w:hint="eastAsia"/>
          <w:b w:val="0"/>
          <w:bCs w:val="0"/>
          <w:color w:val="auto"/>
          <w:sz w:val="32"/>
          <w:szCs w:val="32"/>
        </w:rPr>
        <w:t>一般公共服务支出：反映政府提供一般公共服务的支出。</w:t>
      </w:r>
      <w:bookmarkEnd w:id="98"/>
      <w:bookmarkEnd w:id="99"/>
      <w:bookmarkEnd w:id="100"/>
      <w:bookmarkEnd w:id="101"/>
    </w:p>
    <w:p>
      <w:pPr>
        <w:keepNext w:val="0"/>
        <w:keepLines w:val="0"/>
        <w:pageBreakBefore w:val="0"/>
        <w:widowControl w:val="0"/>
        <w:tabs>
          <w:tab w:val="left" w:pos="0"/>
        </w:tabs>
        <w:kinsoku/>
        <w:wordWrap/>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lang w:val="en-US" w:eastAsia="zh-CN"/>
        </w:rPr>
        <w:t>4</w:t>
      </w:r>
      <w:r>
        <w:rPr>
          <w:rStyle w:val="27"/>
          <w:rFonts w:ascii="方正仿宋简体" w:eastAsia="方正仿宋简体" w:cs="方正仿宋简体" w:hAnsi="方正仿宋简体" w:hint="eastAsia"/>
          <w:b w:val="0"/>
          <w:bCs w:val="0"/>
          <w:color w:val="auto"/>
          <w:sz w:val="32"/>
          <w:szCs w:val="32"/>
        </w:rPr>
        <w:t>一般公共服务支出-</w:t>
      </w:r>
      <w:r>
        <w:rPr>
          <w:rFonts w:ascii="方正仿宋简体" w:eastAsia="方正仿宋简体" w:cs="方正仿宋简体" w:hAnsi="方正仿宋简体" w:hint="eastAsia"/>
          <w:b w:val="0"/>
          <w:bCs w:val="0"/>
          <w:color w:val="auto"/>
          <w:sz w:val="32"/>
          <w:szCs w:val="32"/>
        </w:rPr>
        <w:t>政府办公厅（室）--行政运行：反映行政单位的基本支出；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textAlignment w:val="auto"/>
        <w:rPr>
          <w:rFonts w:ascii="方正仿宋简体" w:eastAsia="方正仿宋简体" w:cs="方正仿宋简体" w:hAnsi="方正仿宋简体" w:hint="eastAsia"/>
          <w:b w:val="0"/>
          <w:bCs w:val="0"/>
          <w:color w:val="auto"/>
          <w:sz w:val="32"/>
          <w:szCs w:val="32"/>
          <w:highlight w:val="auto"/>
        </w:rPr>
      </w:pPr>
      <w:r>
        <w:rPr>
          <w:rStyle w:val="27"/>
          <w:rFonts w:ascii="方正仿宋简体" w:eastAsia="方正仿宋简体" w:cs="方正仿宋简体" w:hAnsi="方正仿宋简体" w:hint="eastAsia"/>
          <w:b w:val="0"/>
          <w:bCs w:val="0"/>
          <w:color w:val="auto"/>
          <w:sz w:val="32"/>
          <w:szCs w:val="32"/>
          <w:lang w:val="en-US" w:eastAsia="zh-CN"/>
        </w:rPr>
        <w:t>5</w:t>
      </w:r>
      <w:r>
        <w:rPr>
          <w:rStyle w:val="27"/>
          <w:rFonts w:ascii="方正仿宋简体" w:eastAsia="方正仿宋简体" w:cs="方正仿宋简体" w:hAnsi="方正仿宋简体" w:hint="eastAsia"/>
          <w:b w:val="0"/>
          <w:bCs w:val="0"/>
          <w:color w:val="auto"/>
          <w:sz w:val="32"/>
          <w:szCs w:val="32"/>
        </w:rPr>
        <w:t>一般公共服务支出-</w:t>
      </w:r>
      <w:r>
        <w:rPr>
          <w:rFonts w:ascii="方正仿宋简体" w:eastAsia="方正仿宋简体" w:cs="方正仿宋简体" w:hAnsi="方正仿宋简体" w:hint="eastAsia"/>
          <w:b w:val="0"/>
          <w:bCs w:val="0"/>
          <w:color w:val="auto"/>
          <w:sz w:val="32"/>
          <w:szCs w:val="32"/>
        </w:rPr>
        <w:t>政府办公厅（室）--一般行政管理事务：反映行政单位未单独设置项级科目的其他项目支出</w:t>
      </w:r>
      <w:r>
        <w:rPr>
          <w:rFonts w:ascii="方正仿宋简体" w:eastAsia="方正仿宋简体" w:cs="方正仿宋简体" w:hAnsi="方正仿宋简体" w:hint="eastAsia"/>
          <w:b w:val="0"/>
          <w:bCs w:val="0"/>
          <w:color w:val="auto"/>
          <w:sz w:val="32"/>
          <w:szCs w:val="32"/>
          <w:highlight w:val="auto"/>
        </w:rPr>
        <w:t>。</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6</w:t>
      </w:r>
      <w:r>
        <w:rPr>
          <w:rFonts w:ascii="方正仿宋简体" w:eastAsia="方正仿宋简体" w:cs="方正仿宋简体" w:hAnsi="方正仿宋简体" w:hint="eastAsia"/>
          <w:b w:val="0"/>
          <w:bCs w:val="0"/>
          <w:color w:val="auto"/>
          <w:sz w:val="32"/>
          <w:szCs w:val="32"/>
          <w:lang w:eastAsia="zh-CN"/>
        </w:rPr>
        <w:t>．</w:t>
      </w:r>
      <w:r>
        <w:rPr>
          <w:rStyle w:val="27"/>
          <w:rFonts w:ascii="方正仿宋简体" w:eastAsia="方正仿宋简体" w:cs="方正仿宋简体" w:hAnsi="方正仿宋简体" w:hint="eastAsia"/>
          <w:b w:val="0"/>
          <w:bCs w:val="0"/>
          <w:color w:val="auto"/>
          <w:sz w:val="32"/>
          <w:szCs w:val="32"/>
        </w:rPr>
        <w:t>社会保障和就业支出：反映政府在社会保障和就业方面的支出。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lang w:val="en-US" w:eastAsia="zh-CN"/>
        </w:rPr>
        <w:t>7.</w:t>
      </w:r>
      <w:r>
        <w:rPr>
          <w:rStyle w:val="27"/>
          <w:rFonts w:ascii="方正仿宋简体" w:eastAsia="方正仿宋简体" w:cs="方正仿宋简体" w:hAnsi="方正仿宋简体" w:hint="eastAsia"/>
          <w:b w:val="0"/>
          <w:bCs w:val="0"/>
          <w:color w:val="auto"/>
          <w:sz w:val="32"/>
          <w:szCs w:val="32"/>
        </w:rPr>
        <w:t>社会保障和就业支出-行政事业单位离退休-机关事业单位基本养老保险缴费支出：反映机关事业单位实施养老保险制度由单位缴纳的基本养老保险支出；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lang w:val="en-US" w:eastAsia="zh-CN"/>
        </w:rPr>
        <w:t>8.</w:t>
      </w:r>
      <w:r>
        <w:rPr>
          <w:rStyle w:val="27"/>
          <w:rFonts w:ascii="方正仿宋简体" w:eastAsia="方正仿宋简体" w:cs="方正仿宋简体" w:hAnsi="方正仿宋简体" w:hint="eastAsia"/>
          <w:b w:val="0"/>
          <w:bCs w:val="0"/>
          <w:color w:val="auto"/>
          <w:sz w:val="32"/>
          <w:szCs w:val="32"/>
        </w:rPr>
        <w:t>社会保障和就业支出-行政事业单位离退休-</w:t>
      </w:r>
      <w:r>
        <w:rPr>
          <w:rStyle w:val="27"/>
          <w:rFonts w:ascii="仿宋" w:eastAsia="仿宋" w:hAnsi="仿宋" w:hint="eastAsia"/>
          <w:b w:val="0"/>
          <w:bCs/>
          <w:color w:val="auto"/>
          <w:sz w:val="32"/>
          <w:szCs w:val="32"/>
          <w:highlight w:val="auto"/>
        </w:rPr>
        <w:t>机关事业单位职业年金缴费支出</w:t>
      </w:r>
      <w:r>
        <w:rPr>
          <w:rStyle w:val="27"/>
          <w:rFonts w:ascii="方正仿宋简体" w:eastAsia="方正仿宋简体" w:cs="方正仿宋简体" w:hAnsi="方正仿宋简体" w:hint="eastAsia"/>
          <w:b w:val="0"/>
          <w:bCs w:val="0"/>
          <w:color w:val="auto"/>
          <w:sz w:val="32"/>
          <w:szCs w:val="32"/>
        </w:rPr>
        <w:t>：反映机关事业单位实施养老保险制度由单位缴纳的</w:t>
      </w:r>
      <w:r>
        <w:rPr>
          <w:rStyle w:val="27"/>
          <w:rFonts w:ascii="方正仿宋简体" w:eastAsia="方正仿宋简体" w:cs="方正仿宋简体" w:hAnsi="方正仿宋简体" w:hint="eastAsia"/>
          <w:b w:val="0"/>
          <w:bCs w:val="0"/>
          <w:color w:val="auto"/>
          <w:sz w:val="32"/>
          <w:szCs w:val="32"/>
          <w:lang w:eastAsia="zh-CN"/>
        </w:rPr>
        <w:t>职业年金</w:t>
      </w:r>
      <w:r>
        <w:rPr>
          <w:rStyle w:val="27"/>
          <w:rFonts w:ascii="方正仿宋简体" w:eastAsia="方正仿宋简体" w:cs="方正仿宋简体" w:hAnsi="方正仿宋简体" w:hint="eastAsia"/>
          <w:b w:val="0"/>
          <w:bCs w:val="0"/>
          <w:color w:val="auto"/>
          <w:sz w:val="32"/>
          <w:szCs w:val="32"/>
        </w:rPr>
        <w:t>支出；</w:t>
      </w:r>
    </w:p>
    <w:p>
      <w:pPr>
        <w:pStyle w:val="16"/>
        <w:ind w:leftChars="0" w:left="0" w:firstLineChars="200" w:firstLine="640"/>
        <w:rPr>
          <w:rStyle w:val="27"/>
          <w:rFonts w:ascii="仿宋" w:eastAsia="仿宋" w:hAnsi="仿宋" w:hint="eastAsia"/>
          <w:b w:val="0"/>
          <w:bCs/>
          <w:color w:val="auto"/>
          <w:sz w:val="32"/>
          <w:szCs w:val="32"/>
          <w:lang w:eastAsia="zh-CN"/>
          <w:highlight w:val="auto"/>
        </w:rPr>
      </w:pPr>
      <w:r>
        <w:rPr>
          <w:rStyle w:val="27"/>
          <w:rFonts w:ascii="仿宋" w:eastAsia="仿宋" w:hAnsi="仿宋" w:hint="eastAsia"/>
          <w:b w:val="0"/>
          <w:bCs/>
          <w:color w:val="auto"/>
          <w:sz w:val="32"/>
          <w:szCs w:val="32"/>
          <w:lang w:val="en-US" w:eastAsia="zh-CN"/>
          <w:highlight w:val="auto"/>
        </w:rPr>
        <w:t>9.</w:t>
      </w:r>
      <w:r>
        <w:rPr>
          <w:rStyle w:val="27"/>
          <w:rFonts w:ascii="仿宋" w:eastAsia="仿宋" w:hAnsi="仿宋" w:hint="eastAsia"/>
          <w:b w:val="0"/>
          <w:bCs/>
          <w:color w:val="auto"/>
          <w:sz w:val="32"/>
          <w:szCs w:val="32"/>
          <w:highlight w:val="auto"/>
        </w:rPr>
        <w:t>社会保障和就业</w:t>
      </w:r>
      <w:r>
        <w:rPr>
          <w:rStyle w:val="27"/>
          <w:rFonts w:ascii="仿宋" w:eastAsia="仿宋" w:hAnsi="仿宋" w:hint="eastAsia"/>
          <w:b w:val="0"/>
          <w:bCs/>
          <w:color w:val="auto"/>
          <w:sz w:val="32"/>
          <w:szCs w:val="32"/>
          <w:lang w:val="en-US" w:eastAsia="zh-CN"/>
          <w:highlight w:val="auto"/>
        </w:rPr>
        <w:t>-</w:t>
      </w:r>
      <w:r>
        <w:rPr>
          <w:rStyle w:val="27"/>
          <w:rFonts w:ascii="仿宋" w:eastAsia="仿宋" w:hAnsi="仿宋" w:hint="eastAsia"/>
          <w:b w:val="0"/>
          <w:bCs/>
          <w:color w:val="auto"/>
          <w:sz w:val="32"/>
          <w:szCs w:val="32"/>
          <w:highlight w:val="auto"/>
        </w:rPr>
        <w:t>抚恤</w:t>
      </w:r>
      <w:r>
        <w:rPr>
          <w:rStyle w:val="27"/>
          <w:rFonts w:ascii="仿宋" w:eastAsia="仿宋" w:hAnsi="仿宋" w:hint="eastAsia"/>
          <w:b w:val="0"/>
          <w:bCs/>
          <w:color w:val="auto"/>
          <w:sz w:val="32"/>
          <w:szCs w:val="32"/>
          <w:lang w:val="en-US" w:eastAsia="zh-CN"/>
          <w:highlight w:val="auto"/>
        </w:rPr>
        <w:t>-</w:t>
      </w:r>
      <w:r>
        <w:rPr>
          <w:rStyle w:val="27"/>
          <w:rFonts w:ascii="仿宋" w:eastAsia="仿宋" w:hAnsi="仿宋" w:hint="eastAsia"/>
          <w:b w:val="0"/>
          <w:bCs/>
          <w:color w:val="auto"/>
          <w:sz w:val="32"/>
          <w:szCs w:val="32"/>
          <w:highlight w:val="auto"/>
        </w:rPr>
        <w:t>死亡抚恤</w:t>
      </w:r>
      <w:r>
        <w:rPr>
          <w:rStyle w:val="27"/>
          <w:rFonts w:ascii="仿宋" w:eastAsia="仿宋" w:hAnsi="仿宋" w:hint="eastAsia"/>
          <w:b w:val="0"/>
          <w:bCs/>
          <w:color w:val="auto"/>
          <w:sz w:val="32"/>
          <w:szCs w:val="32"/>
          <w:lang w:eastAsia="zh-CN"/>
          <w:highlight w:val="auto"/>
        </w:rPr>
        <w:t>支出：反映按规定用于烈士和牺牲、病故人员家属的一次性和定期抚恤金、丧葬补助费以及烈士褒扬金。</w:t>
      </w:r>
    </w:p>
    <w:p>
      <w:pPr>
        <w:ind w:firstLineChars="200" w:firstLine="640"/>
        <w:rPr>
          <w:rFonts w:hint="eastAsia"/>
        </w:rPr>
      </w:pPr>
      <w:r>
        <w:rPr>
          <w:rStyle w:val="27"/>
          <w:rFonts w:ascii="仿宋" w:eastAsia="仿宋" w:hAnsi="仿宋" w:hint="eastAsia"/>
          <w:b w:val="0"/>
          <w:bCs/>
          <w:color w:val="auto"/>
          <w:sz w:val="32"/>
          <w:szCs w:val="32"/>
          <w:lang w:val="en-US" w:eastAsia="zh-CN"/>
          <w:highlight w:val="auto"/>
        </w:rPr>
        <w:t>10.</w:t>
      </w:r>
      <w:r>
        <w:rPr>
          <w:rStyle w:val="27"/>
          <w:rFonts w:ascii="仿宋" w:eastAsia="仿宋" w:hAnsi="仿宋" w:hint="eastAsia"/>
          <w:b w:val="0"/>
          <w:bCs/>
          <w:color w:val="auto"/>
          <w:sz w:val="32"/>
          <w:szCs w:val="32"/>
          <w:highlight w:val="auto"/>
        </w:rPr>
        <w:t>社会保障和就业</w:t>
      </w:r>
      <w:r>
        <w:rPr>
          <w:rStyle w:val="27"/>
          <w:rFonts w:ascii="仿宋" w:eastAsia="仿宋" w:hAnsi="仿宋" w:hint="eastAsia"/>
          <w:b w:val="0"/>
          <w:bCs/>
          <w:color w:val="auto"/>
          <w:sz w:val="32"/>
          <w:szCs w:val="32"/>
          <w:lang w:val="en-US" w:eastAsia="zh-CN"/>
          <w:highlight w:val="auto"/>
        </w:rPr>
        <w:t>-</w:t>
      </w:r>
      <w:r>
        <w:rPr>
          <w:rStyle w:val="27"/>
          <w:rFonts w:ascii="仿宋" w:eastAsia="仿宋" w:hAnsi="仿宋" w:hint="eastAsia"/>
          <w:b w:val="0"/>
          <w:bCs/>
          <w:color w:val="auto"/>
          <w:sz w:val="32"/>
          <w:szCs w:val="32"/>
          <w:highlight w:val="auto"/>
        </w:rPr>
        <w:t>其他社会保障和就业支出</w:t>
      </w:r>
      <w:r>
        <w:rPr>
          <w:rStyle w:val="27"/>
          <w:rFonts w:ascii="仿宋" w:eastAsia="仿宋" w:hAnsi="仿宋" w:hint="eastAsia"/>
          <w:b w:val="0"/>
          <w:bCs/>
          <w:color w:val="auto"/>
          <w:sz w:val="32"/>
          <w:szCs w:val="32"/>
          <w:lang w:val="en-US" w:eastAsia="zh-CN"/>
          <w:highlight w:val="auto"/>
        </w:rPr>
        <w:t>-</w:t>
      </w:r>
      <w:r>
        <w:rPr>
          <w:rStyle w:val="27"/>
          <w:rFonts w:ascii="仿宋" w:eastAsia="仿宋" w:hAnsi="仿宋" w:hint="eastAsia"/>
          <w:b w:val="0"/>
          <w:bCs/>
          <w:color w:val="auto"/>
          <w:sz w:val="32"/>
          <w:szCs w:val="32"/>
          <w:highlight w:val="auto"/>
        </w:rPr>
        <w:t>其他社会保障和就业支出</w:t>
      </w:r>
      <w:r>
        <w:rPr>
          <w:rStyle w:val="27"/>
          <w:rFonts w:ascii="仿宋" w:eastAsia="仿宋" w:hAnsi="仿宋" w:hint="eastAsia"/>
          <w:b w:val="0"/>
          <w:bCs/>
          <w:color w:val="auto"/>
          <w:sz w:val="32"/>
          <w:szCs w:val="32"/>
          <w:lang w:eastAsia="zh-CN"/>
          <w:highlight w:val="auto"/>
        </w:rPr>
        <w:t>：反映除上述项目以外用于社会保障和就业方面的支出。</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rPr>
      </w:pPr>
      <w:r>
        <w:rPr>
          <w:rFonts w:ascii="方正仿宋简体" w:eastAsia="方正仿宋简体" w:cs="方正仿宋简体" w:hAnsi="方正仿宋简体" w:hint="eastAsia"/>
          <w:b w:val="0"/>
          <w:bCs w:val="0"/>
          <w:color w:val="auto"/>
          <w:sz w:val="32"/>
          <w:szCs w:val="32"/>
          <w:lang w:val="en-US" w:eastAsia="zh-CN"/>
        </w:rPr>
        <w:t>11．</w:t>
      </w:r>
      <w:r>
        <w:rPr>
          <w:rStyle w:val="27"/>
          <w:rFonts w:ascii="方正仿宋简体" w:eastAsia="方正仿宋简体" w:cs="方正仿宋简体" w:hAnsi="方正仿宋简体" w:hint="eastAsia"/>
          <w:b w:val="0"/>
          <w:bCs w:val="0"/>
          <w:color w:val="auto"/>
          <w:sz w:val="32"/>
          <w:szCs w:val="32"/>
        </w:rPr>
        <w:t>医疗卫生与计划生育支出:反映政府医疗卫生与计划生育管理方面的支出</w:t>
      </w:r>
      <w:r>
        <w:rPr>
          <w:rStyle w:val="27"/>
          <w:rFonts w:ascii="方正仿宋简体" w:eastAsia="方正仿宋简体" w:cs="方正仿宋简体" w:hAnsi="方正仿宋简体" w:hint="eastAsia"/>
          <w:b w:val="0"/>
          <w:bCs w:val="0"/>
          <w:color w:val="auto"/>
          <w:sz w:val="32"/>
          <w:szCs w:val="32"/>
          <w:lang w:eastAsia="zh-CN"/>
        </w:rPr>
        <w:t>。</w:t>
      </w:r>
    </w:p>
    <w:p>
      <w:pPr>
        <w:keepNext w:val="0"/>
        <w:keepLines w:val="0"/>
        <w:pageBreakBefore w:val="0"/>
        <w:widowControl w:val="0"/>
        <w:tabs>
          <w:tab w:val="left" w:pos="0"/>
        </w:tabs>
        <w:kinsoku/>
        <w:wordWrap/>
        <w:overflowPunct w:val="0"/>
        <w:topLinePunct w:val="0"/>
        <w:bidi w:val="0"/>
        <w:spacing w:line="576" w:lineRule="exact"/>
        <w:ind w:left="0" w:firstLineChars="200" w:firstLine="640"/>
        <w:jc w:val="both"/>
        <w:textAlignment w:val="auto"/>
        <w:rPr>
          <w:rStyle w:val="27"/>
          <w:rFonts w:ascii="方正仿宋简体" w:eastAsia="方正仿宋简体" w:cs="方正仿宋简体" w:hAnsi="方正仿宋简体" w:hint="eastAsia"/>
          <w:b w:val="0"/>
          <w:bCs w:val="0"/>
          <w:color w:val="auto"/>
          <w:sz w:val="32"/>
          <w:szCs w:val="32"/>
        </w:rPr>
      </w:pPr>
      <w:r>
        <w:rPr>
          <w:rStyle w:val="27"/>
          <w:rFonts w:ascii="方正仿宋简体" w:eastAsia="方正仿宋简体" w:cs="方正仿宋简体" w:hAnsi="方正仿宋简体" w:hint="eastAsia"/>
          <w:b w:val="0"/>
          <w:bCs w:val="0"/>
          <w:color w:val="auto"/>
          <w:sz w:val="32"/>
          <w:szCs w:val="32"/>
          <w:lang w:val="en-US" w:eastAsia="zh-CN"/>
        </w:rPr>
        <w:t>12.</w:t>
      </w:r>
      <w:r>
        <w:rPr>
          <w:rStyle w:val="27"/>
          <w:rFonts w:ascii="方正仿宋简体" w:eastAsia="方正仿宋简体" w:cs="方正仿宋简体" w:hAnsi="方正仿宋简体" w:hint="eastAsia"/>
          <w:b w:val="0"/>
          <w:bCs w:val="0"/>
          <w:color w:val="auto"/>
          <w:sz w:val="32"/>
          <w:szCs w:val="32"/>
        </w:rPr>
        <w:t>医疗卫生与计划生育支出-医疗保障-行政单位医疗费:反映财政部门集中安排的行政单位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rPr>
      </w:pPr>
      <w:r>
        <w:rPr>
          <w:rFonts w:ascii="方正仿宋简体" w:eastAsia="方正仿宋简体" w:cs="方正仿宋简体" w:hAnsi="方正仿宋简体" w:hint="eastAsia"/>
          <w:b w:val="0"/>
          <w:bCs w:val="0"/>
          <w:color w:val="auto"/>
          <w:sz w:val="32"/>
          <w:szCs w:val="32"/>
          <w:lang w:val="en-US" w:eastAsia="zh-CN"/>
        </w:rPr>
        <w:t>13</w:t>
      </w:r>
      <w:r>
        <w:rPr>
          <w:rFonts w:ascii="方正仿宋简体" w:eastAsia="方正仿宋简体" w:cs="方正仿宋简体" w:hAnsi="方正仿宋简体" w:hint="eastAsia"/>
          <w:b w:val="0"/>
          <w:bCs w:val="0"/>
          <w:color w:val="auto"/>
          <w:sz w:val="32"/>
          <w:szCs w:val="32"/>
          <w:lang w:eastAsia="zh-CN"/>
        </w:rPr>
        <w:t>．</w:t>
      </w:r>
      <w:r>
        <w:rPr>
          <w:rFonts w:ascii="方正仿宋简体" w:eastAsia="方正仿宋简体" w:cs="方正仿宋简体" w:hAnsi="方正仿宋简体" w:hint="eastAsia"/>
          <w:b w:val="0"/>
          <w:bCs w:val="0"/>
          <w:color w:val="auto"/>
          <w:sz w:val="32"/>
          <w:szCs w:val="32"/>
        </w:rPr>
        <w:t>住房保障支出：住房保障支出-住房改革支出-住房公积金：反映行政事业单位按人力资源和社会保障部、财政部规定的基本工资和津贴补贴以及规定比例为职工缴纳的住房公积金。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highlight w:val="auto"/>
        </w:rPr>
      </w:pPr>
      <w:r>
        <w:rPr>
          <w:rFonts w:ascii="方正仿宋简体" w:eastAsia="方正仿宋简体" w:cs="方正仿宋简体" w:hAnsi="方正仿宋简体" w:hint="eastAsia"/>
          <w:b w:val="0"/>
          <w:bCs w:val="0"/>
          <w:color w:val="auto"/>
          <w:sz w:val="32"/>
          <w:szCs w:val="32"/>
          <w:lang w:val="en-US" w:eastAsia="zh-CN"/>
          <w:highlight w:val="auto"/>
        </w:rPr>
        <w:t>14</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基本支出：指为保障机构正常运转、完成日常工作任务而发生的人员支出和公用支出。</w:t>
      </w:r>
    </w:p>
    <w:p>
      <w:pPr>
        <w:keepNext w:val="0"/>
        <w:keepLines w:val="0"/>
        <w:pageBreakBefore w:val="0"/>
        <w:widowControl w:val="0"/>
        <w:kinsoku/>
        <w:wordWrap/>
        <w:overflowPunct w:val="0"/>
        <w:topLinePunct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lang w:eastAsia="zh-CN"/>
          <w:highlight w:val="auto"/>
        </w:rPr>
      </w:pPr>
      <w:r>
        <w:rPr>
          <w:rFonts w:ascii="方正仿宋简体" w:eastAsia="方正仿宋简体" w:cs="方正仿宋简体" w:hAnsi="方正仿宋简体" w:hint="eastAsia"/>
          <w:b w:val="0"/>
          <w:bCs w:val="0"/>
          <w:color w:val="auto"/>
          <w:sz w:val="32"/>
          <w:szCs w:val="32"/>
          <w:lang w:val="en-US" w:eastAsia="zh-CN"/>
          <w:highlight w:val="auto"/>
        </w:rPr>
        <w:t>15</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项目支出：指在基本支出之外为完成特定行政任务和事业发展目标所发生的支出。</w:t>
      </w:r>
    </w:p>
    <w:p>
      <w:pPr>
        <w:pStyle w:val="33"/>
        <w:keepNext w:val="0"/>
        <w:keepLines w:val="0"/>
        <w:pageBreakBefore w:val="0"/>
        <w:widowControl w:val="0"/>
        <w:kinsoku/>
        <w:wordWrap/>
        <w:overflowPunct w:val="0"/>
        <w:topLinePunct w:val="0"/>
        <w:autoSpaceDE w:val="0"/>
        <w:autoSpaceDN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highlight w:val="auto"/>
        </w:rPr>
      </w:pPr>
      <w:r>
        <w:rPr>
          <w:rFonts w:ascii="方正仿宋简体" w:eastAsia="方正仿宋简体" w:cs="方正仿宋简体" w:hAnsi="方正仿宋简体" w:hint="eastAsia"/>
          <w:b w:val="0"/>
          <w:bCs w:val="0"/>
          <w:color w:val="auto"/>
          <w:sz w:val="32"/>
          <w:szCs w:val="32"/>
          <w:lang w:val="en-US" w:eastAsia="zh-CN"/>
          <w:highlight w:val="auto"/>
        </w:rPr>
        <w:t>16</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3"/>
        <w:keepNext w:val="0"/>
        <w:keepLines w:val="0"/>
        <w:pageBreakBefore w:val="0"/>
        <w:widowControl w:val="0"/>
        <w:kinsoku/>
        <w:wordWrap/>
        <w:overflowPunct w:val="0"/>
        <w:topLinePunct w:val="0"/>
        <w:autoSpaceDE w:val="0"/>
        <w:autoSpaceDN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highlight w:val="auto"/>
        </w:rPr>
      </w:pPr>
      <w:r>
        <w:rPr>
          <w:rFonts w:ascii="方正仿宋简体" w:eastAsia="方正仿宋简体" w:cs="方正仿宋简体" w:hAnsi="方正仿宋简体" w:hint="eastAsia"/>
          <w:b w:val="0"/>
          <w:bCs w:val="0"/>
          <w:color w:val="auto"/>
          <w:sz w:val="32"/>
          <w:szCs w:val="32"/>
          <w:lang w:val="en-US" w:eastAsia="zh-CN"/>
          <w:highlight w:val="auto"/>
        </w:rPr>
        <w:t>17</w:t>
      </w:r>
      <w:r>
        <w:rPr>
          <w:rFonts w:ascii="方正仿宋简体" w:eastAsia="方正仿宋简体" w:cs="方正仿宋简体" w:hAnsi="方正仿宋简体" w:hint="eastAsia"/>
          <w:b w:val="0"/>
          <w:bCs w:val="0"/>
          <w:color w:val="auto"/>
          <w:sz w:val="32"/>
          <w:szCs w:val="32"/>
          <w:lang w:eastAsia="zh-CN"/>
          <w:highlight w:val="auto"/>
        </w:rPr>
        <w:t>．</w:t>
      </w:r>
      <w:r>
        <w:rPr>
          <w:rFonts w:ascii="方正仿宋简体" w:eastAsia="方正仿宋简体" w:cs="方正仿宋简体" w:hAnsi="方正仿宋简体" w:hint="eastAsia"/>
          <w:b w:val="0"/>
          <w:bCs w:val="0"/>
          <w:color w:val="auto"/>
          <w:sz w:val="32"/>
          <w:szCs w:val="32"/>
          <w:highlight w:val="auto"/>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3"/>
        <w:keepNext w:val="0"/>
        <w:keepLines w:val="0"/>
        <w:pageBreakBefore w:val="0"/>
        <w:widowControl w:val="0"/>
        <w:kinsoku/>
        <w:wordWrap/>
        <w:overflowPunct w:val="0"/>
        <w:topLinePunct w:val="0"/>
        <w:autoSpaceDE w:val="0"/>
        <w:autoSpaceDN w:val="0"/>
        <w:bidi w:val="0"/>
        <w:spacing w:line="576" w:lineRule="exact"/>
        <w:ind w:left="0" w:firstLineChars="200" w:firstLine="640"/>
        <w:jc w:val="both"/>
        <w:textAlignment w:val="auto"/>
        <w:rPr>
          <w:rFonts w:ascii="方正仿宋简体" w:eastAsia="方正仿宋简体" w:cs="方正仿宋简体" w:hAnsi="方正仿宋简体" w:hint="eastAsia"/>
          <w:b w:val="0"/>
          <w:bCs w:val="0"/>
          <w:color w:val="auto"/>
          <w:sz w:val="32"/>
          <w:szCs w:val="32"/>
          <w:highlight w:val="auto"/>
        </w:rPr>
      </w:pPr>
    </w:p>
    <w:p>
      <w:pPr>
        <w:pageBreakBefore w:val="0"/>
        <w:widowControl w:val="0"/>
        <w:kinsoku/>
        <w:wordWrap/>
        <w:topLinePunct w:val="0"/>
        <w:bidi w:val="0"/>
        <w:spacing w:line="600" w:lineRule="exact"/>
        <w:ind w:firstLineChars="600" w:firstLine="2640"/>
        <w:jc w:val="both"/>
        <w:outlineLvl w:val="0"/>
        <w:rPr>
          <w:rStyle w:val="1Char"/>
          <w:rFonts w:ascii="黑体" w:eastAsia="黑体" w:hAnsi="黑体" w:hint="eastAsia"/>
          <w:b w:val="0"/>
          <w:color w:val="auto"/>
          <w:lang w:eastAsia="zh-CN"/>
          <w:highlight w:val="auto"/>
        </w:rPr>
      </w:pPr>
      <w:bookmarkStart w:id="102" w:name="_Toc28146"/>
      <w:bookmarkStart w:id="103" w:name="_Toc117"/>
      <w:bookmarkStart w:id="104" w:name="_Toc15396614"/>
      <w:r>
        <w:rPr>
          <w:rFonts w:ascii="黑体" w:eastAsia="黑体" w:hAnsi="黑体" w:hint="eastAsia"/>
          <w:color w:val="auto"/>
          <w:sz w:val="44"/>
          <w:szCs w:val="44"/>
          <w:highlight w:val="auto"/>
        </w:rPr>
        <w:t>第</w:t>
      </w:r>
      <w:r>
        <w:rPr>
          <w:rStyle w:val="1Char"/>
          <w:rFonts w:ascii="黑体" w:eastAsia="黑体" w:hAnsi="黑体" w:hint="eastAsia"/>
          <w:b w:val="0"/>
          <w:color w:val="auto"/>
          <w:highlight w:val="auto"/>
        </w:rPr>
        <w:t>四部分 附件</w:t>
      </w:r>
      <w:bookmarkEnd w:id="102"/>
      <w:bookmarkEnd w:id="103"/>
      <w:bookmarkEnd w:id="104"/>
    </w:p>
    <w:p>
      <w:pPr>
        <w:keepNext w:val="0"/>
        <w:keepLines w:val="0"/>
        <w:pageBreakBefore w:val="0"/>
        <w:widowControl w:val="0"/>
        <w:kinsoku/>
        <w:wordWrap/>
        <w:overflowPunct/>
        <w:topLinePunct w:val="0"/>
        <w:autoSpaceDE/>
        <w:autoSpaceDN/>
        <w:bidi w:val="0"/>
        <w:spacing w:line="572" w:lineRule="exact"/>
        <w:jc w:val="left"/>
        <w:textAlignment w:val="auto"/>
        <w:outlineLvl w:val="9"/>
        <w:rPr>
          <w:rFonts w:ascii="黑体" w:eastAsia="黑体" w:cs="黑体" w:hAnsi="黑体" w:hint="eastAsia"/>
          <w:color w:val="auto"/>
          <w:sz w:val="32"/>
          <w:szCs w:val="32"/>
          <w:highlight w:val="auto"/>
        </w:rPr>
      </w:pPr>
      <w:bookmarkStart w:id="105" w:name="_Toc5930"/>
    </w:p>
    <w:p>
      <w:pPr>
        <w:pageBreakBefore w:val="0"/>
        <w:widowControl w:val="0"/>
        <w:kinsoku/>
        <w:wordWrap/>
        <w:topLinePunct w:val="0"/>
        <w:bidi w:val="0"/>
        <w:spacing w:line="600" w:lineRule="exact"/>
        <w:outlineLvl w:val="1"/>
        <w:rPr>
          <w:rStyle w:val="2Char"/>
          <w:rFonts w:ascii="黑体" w:eastAsia="黑体" w:hAnsi="黑体" w:hint="eastAsia"/>
          <w:b w:val="0"/>
          <w:color w:val="auto"/>
          <w:highlight w:val="auto"/>
        </w:rPr>
      </w:pPr>
      <w:bookmarkStart w:id="106" w:name="_Toc3180"/>
      <w:r>
        <w:rPr>
          <w:rStyle w:val="2Char"/>
          <w:rFonts w:ascii="黑体" w:eastAsia="黑体" w:hAnsi="黑体" w:hint="eastAsia"/>
          <w:b w:val="0"/>
          <w:color w:val="auto"/>
          <w:highlight w:val="auto"/>
        </w:rPr>
        <w:t>附件</w:t>
      </w:r>
      <w:bookmarkEnd w:id="105"/>
      <w:bookmarkEnd w:id="106"/>
    </w:p>
    <w:p>
      <w:pPr>
        <w:pageBreakBefore w:val="0"/>
        <w:widowControl w:val="0"/>
        <w:kinsoku/>
        <w:wordWrap/>
        <w:topLinePunct w:val="0"/>
        <w:bidi w:val="0"/>
        <w:spacing w:line="600" w:lineRule="exact"/>
        <w:jc w:val="center"/>
        <w:outlineLvl w:val="1"/>
        <w:rPr>
          <w:rStyle w:val="2Char"/>
          <w:rFonts w:ascii="黑体" w:eastAsia="黑体" w:hAnsi="黑体" w:hint="eastAsia"/>
          <w:b w:val="0"/>
          <w:color w:val="auto"/>
          <w:highlight w:val="auto"/>
        </w:rPr>
      </w:pPr>
      <w:bookmarkStart w:id="107" w:name="_Toc12323"/>
      <w:r>
        <w:rPr>
          <w:rStyle w:val="2Char"/>
          <w:rFonts w:ascii="黑体" w:eastAsia="黑体" w:hAnsi="黑体" w:hint="eastAsia"/>
          <w:b w:val="0"/>
          <w:color w:val="auto"/>
          <w:lang w:eastAsia="zh-CN"/>
          <w:highlight w:val="auto"/>
        </w:rPr>
        <w:t>广元市利州人民政府办公室</w:t>
      </w:r>
      <w:r>
        <w:rPr>
          <w:rStyle w:val="2Char"/>
          <w:rFonts w:ascii="黑体" w:eastAsia="黑体" w:hAnsi="黑体" w:hint="eastAsia"/>
          <w:b w:val="0"/>
          <w:color w:val="auto"/>
          <w:highlight w:val="auto"/>
        </w:rPr>
        <w:t>整体支出绩效</w:t>
      </w:r>
      <w:r>
        <w:rPr>
          <w:rStyle w:val="2Char"/>
          <w:rFonts w:ascii="黑体" w:eastAsia="黑体" w:hAnsi="黑体" w:hint="eastAsia"/>
          <w:b w:val="0"/>
          <w:color w:val="auto"/>
          <w:lang w:eastAsia="zh-CN"/>
          <w:highlight w:val="auto"/>
        </w:rPr>
        <w:t>自</w:t>
      </w:r>
      <w:r>
        <w:rPr>
          <w:rStyle w:val="2Char"/>
          <w:rFonts w:ascii="黑体" w:eastAsia="黑体" w:hAnsi="黑体" w:hint="eastAsia"/>
          <w:b w:val="0"/>
          <w:color w:val="auto"/>
          <w:highlight w:val="auto"/>
        </w:rPr>
        <w:t>评报告</w:t>
      </w:r>
      <w:bookmarkEnd w:id="107"/>
    </w:p>
    <w:p>
      <w:pPr>
        <w:pStyle w:val="17"/>
        <w:keepNext w:val="0"/>
        <w:keepLines w:val="0"/>
        <w:pageBreakBefore w:val="0"/>
        <w:widowControl w:val="0"/>
        <w:kinsoku/>
        <w:wordWrap/>
        <w:topLinePunct w:val="0"/>
        <w:bidi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ascii="仿宋_GB2312" w:eastAsia="仿宋_GB2312" w:cs="仿宋_GB2312" w:hAnsi="仿宋_GB2312" w:hint="eastAsia"/>
          <w:kern w:val="0"/>
          <w:sz w:val="32"/>
          <w:szCs w:val="32"/>
          <w:lang w:val="en-US" w:eastAsia="zh-CN"/>
        </w:rPr>
      </w:pPr>
      <w:r>
        <w:rPr>
          <w:rFonts w:ascii="黑体" w:eastAsia="黑体" w:cs="黑体" w:hAnsi="黑体" w:hint="eastAsia"/>
          <w:b w:val="0"/>
          <w:bCs/>
          <w:kern w:val="0"/>
          <w:sz w:val="32"/>
          <w:szCs w:val="32"/>
          <w:lang w:eastAsia="zh-CN"/>
        </w:rPr>
        <w:t>　</w:t>
      </w:r>
      <w:r>
        <w:rPr>
          <w:rFonts w:ascii="仿宋_GB2312" w:eastAsia="仿宋_GB2312" w:cs="仿宋_GB2312" w:hAnsi="仿宋_GB2312" w:hint="eastAsia"/>
          <w:kern w:val="0"/>
          <w:sz w:val="32"/>
          <w:szCs w:val="32"/>
          <w:lang w:eastAsia="zh-CN"/>
        </w:rPr>
        <w:t>　</w:t>
      </w:r>
      <w:bookmarkStart w:id="108" w:name="_Toc30889"/>
      <w:bookmarkStart w:id="109" w:name="_Toc30374"/>
      <w:bookmarkStart w:id="110" w:name="_Toc19773"/>
      <w:r>
        <w:rPr>
          <w:rFonts w:ascii="仿宋_GB2312" w:eastAsia="仿宋_GB2312" w:cs="仿宋_GB2312" w:hAnsi="仿宋_GB2312" w:hint="eastAsia"/>
          <w:kern w:val="0"/>
          <w:sz w:val="32"/>
          <w:szCs w:val="32"/>
          <w:lang w:eastAsia="zh-CN"/>
        </w:rPr>
        <w:t>一、</w:t>
      </w:r>
      <w:r>
        <w:rPr>
          <w:rFonts w:ascii="仿宋_GB2312" w:eastAsia="仿宋_GB2312" w:cs="仿宋_GB2312" w:hAnsi="仿宋_GB2312" w:hint="eastAsia"/>
          <w:kern w:val="0"/>
          <w:sz w:val="32"/>
          <w:szCs w:val="32"/>
        </w:rPr>
        <w:t>部门基本情况</w:t>
      </w:r>
      <w:bookmarkEnd w:id="108"/>
      <w:bookmarkEnd w:id="109"/>
      <w:bookmarkEnd w:id="11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（一）</w:t>
      </w:r>
      <w:r>
        <w:rPr>
          <w:rFonts w:ascii="仿宋_GB2312" w:eastAsia="仿宋_GB2312" w:cs="仿宋_GB2312" w:hAnsi="仿宋_GB2312" w:hint="eastAsia"/>
          <w:kern w:val="0"/>
          <w:sz w:val="32"/>
          <w:szCs w:val="32"/>
          <w:lang w:eastAsia="zh-CN"/>
        </w:rPr>
        <w:t>机构组成</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_GB2312" w:eastAsia="仿宋_GB2312" w:cs="仿宋_GB2312" w:hAnsi="仿宋_GB2312" w:hint="eastAsia"/>
          <w:kern w:val="0"/>
          <w:sz w:val="32"/>
          <w:szCs w:val="32"/>
          <w:lang w:val="en-US" w:eastAsia="zh-CN"/>
        </w:rPr>
        <w:t>广元市利州区人民政府办公室属正科级行政机关，内设7个股室，</w:t>
      </w:r>
      <w:r>
        <w:rPr>
          <w:rFonts w:ascii="仿宋" w:eastAsia="仿宋" w:hAnsi="仿宋" w:hint="eastAsia"/>
          <w:sz w:val="32"/>
          <w:szCs w:val="32"/>
        </w:rPr>
        <w:t>下属</w:t>
      </w:r>
      <w:r>
        <w:rPr>
          <w:rFonts w:ascii="仿宋" w:eastAsia="仿宋" w:hAnsi="仿宋" w:hint="eastAsia"/>
          <w:sz w:val="32"/>
          <w:szCs w:val="32"/>
          <w:lang w:eastAsia="zh-CN"/>
        </w:rPr>
        <w:t>及内设</w:t>
      </w:r>
      <w:r>
        <w:rPr>
          <w:rFonts w:ascii="仿宋" w:eastAsia="仿宋" w:hAnsi="仿宋" w:hint="eastAsia"/>
          <w:sz w:val="32"/>
          <w:szCs w:val="32"/>
        </w:rPr>
        <w:t>单位</w:t>
      </w:r>
      <w:r>
        <w:rPr>
          <w:rFonts w:ascii="仿宋" w:eastAsia="仿宋" w:hAnsi="仿宋" w:hint="eastAsia"/>
          <w:sz w:val="32"/>
          <w:szCs w:val="32"/>
          <w:lang w:val="en-US" w:eastAsia="zh-CN"/>
        </w:rPr>
        <w:t>4</w:t>
      </w:r>
      <w:r>
        <w:rPr>
          <w:rFonts w:ascii="仿宋" w:eastAsia="仿宋" w:hAnsi="仿宋" w:hint="eastAsia"/>
          <w:sz w:val="32"/>
          <w:szCs w:val="32"/>
        </w:rPr>
        <w:t>个，其中参照公务员法管理的事业单</w:t>
      </w:r>
      <w:r>
        <w:rPr>
          <w:rFonts w:ascii="仿宋" w:eastAsia="仿宋" w:cs="Times New Roman" w:hAnsi="仿宋" w:hint="eastAsia"/>
          <w:sz w:val="32"/>
          <w:szCs w:val="32"/>
          <w:lang w:eastAsia="zh-CN"/>
        </w:rPr>
        <w:t>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个，其他事业单位</w:t>
      </w:r>
      <w:r>
        <w:rPr>
          <w:rFonts w:ascii="仿宋" w:eastAsia="仿宋" w:cs="Times New Roman" w:hAnsi="仿宋" w:hint="eastAsia"/>
          <w:sz w:val="32"/>
          <w:szCs w:val="32"/>
          <w:lang w:val="en-US" w:eastAsia="zh-CN"/>
        </w:rPr>
        <w:t>2</w:t>
      </w:r>
      <w:r>
        <w:rPr>
          <w:rFonts w:ascii="仿宋" w:eastAsia="仿宋" w:cs="Times New Roman" w:hAnsi="仿宋" w:hint="eastAsia"/>
          <w:sz w:val="32"/>
          <w:szCs w:val="32"/>
          <w:lang w:eastAsia="zh-CN"/>
        </w:rPr>
        <w:t>个。</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eastAsia="zh-CN"/>
        </w:rPr>
        <w:t>纳入区政府办20</w:t>
      </w:r>
      <w:r>
        <w:rPr>
          <w:rFonts w:ascii="仿宋" w:eastAsia="仿宋" w:cs="Times New Roman" w:hAnsi="仿宋" w:hint="eastAsia"/>
          <w:sz w:val="32"/>
          <w:szCs w:val="32"/>
          <w:lang w:val="en-US" w:eastAsia="zh-CN"/>
        </w:rPr>
        <w:t>22</w:t>
      </w:r>
      <w:r>
        <w:rPr>
          <w:rFonts w:ascii="仿宋" w:eastAsia="仿宋" w:cs="Times New Roman" w:hAnsi="仿宋" w:hint="eastAsia"/>
          <w:sz w:val="32"/>
          <w:szCs w:val="32"/>
          <w:lang w:eastAsia="zh-CN"/>
        </w:rPr>
        <w:t>年度部门决算编制范围的下级单位（含单独核算股室）包括：</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1.</w:t>
      </w:r>
      <w:r>
        <w:rPr>
          <w:rFonts w:ascii="仿宋" w:eastAsia="仿宋" w:cs="Times New Roman" w:hAnsi="仿宋" w:hint="eastAsia"/>
          <w:sz w:val="32"/>
          <w:szCs w:val="32"/>
          <w:lang w:eastAsia="zh-CN"/>
        </w:rPr>
        <w:t>广元市利州区地方志编纂中心</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eastAsia="zh-CN"/>
        </w:rPr>
      </w:pPr>
      <w:r>
        <w:rPr>
          <w:rFonts w:ascii="仿宋" w:eastAsia="仿宋" w:cs="Times New Roman" w:hAnsi="仿宋" w:hint="eastAsia"/>
          <w:sz w:val="32"/>
          <w:szCs w:val="32"/>
          <w:lang w:val="en-US" w:eastAsia="zh-CN"/>
        </w:rPr>
        <w:t>2.广元市利州</w:t>
      </w:r>
      <w:r>
        <w:rPr>
          <w:rFonts w:ascii="仿宋" w:eastAsia="仿宋" w:cs="Times New Roman" w:hAnsi="仿宋" w:hint="eastAsia"/>
          <w:sz w:val="32"/>
          <w:szCs w:val="32"/>
          <w:lang w:eastAsia="zh-CN"/>
        </w:rPr>
        <w:t>区人民政府电子政务外网管理中心</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cs="Times New Roman" w:hAnsi="仿宋" w:hint="eastAsia"/>
          <w:sz w:val="32"/>
          <w:szCs w:val="32"/>
          <w:lang w:val="en-US" w:eastAsia="zh-CN"/>
        </w:rPr>
      </w:pPr>
      <w:r>
        <w:rPr>
          <w:rFonts w:ascii="仿宋" w:eastAsia="仿宋" w:cs="Times New Roman" w:hAnsi="仿宋" w:hint="eastAsia"/>
          <w:sz w:val="32"/>
          <w:szCs w:val="32"/>
          <w:lang w:val="en-US" w:eastAsia="zh-CN"/>
        </w:rPr>
        <w:t>3.广元市利州区民营经济服务中心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w:t>
      </w:r>
      <w:r>
        <w:rPr>
          <w:rFonts w:ascii="仿宋_GB2312" w:eastAsia="仿宋_GB2312" w:cs="仿宋_GB2312" w:hAnsi="仿宋_GB2312" w:hint="eastAsia"/>
          <w:kern w:val="0"/>
          <w:sz w:val="32"/>
          <w:szCs w:val="32"/>
          <w:lang w:eastAsia="zh-CN"/>
        </w:rPr>
        <w:t>二</w:t>
      </w:r>
      <w:r>
        <w:rPr>
          <w:rFonts w:ascii="仿宋_GB2312" w:eastAsia="仿宋_GB2312" w:cs="仿宋_GB2312" w:hAnsi="仿宋_GB2312" w:hint="eastAsia"/>
          <w:kern w:val="0"/>
          <w:sz w:val="32"/>
          <w:szCs w:val="32"/>
        </w:rPr>
        <w:t>）</w:t>
      </w:r>
      <w:r>
        <w:rPr>
          <w:rFonts w:ascii="仿宋_GB2312" w:eastAsia="仿宋_GB2312" w:cs="仿宋_GB2312" w:hAnsi="仿宋_GB2312" w:hint="eastAsia"/>
          <w:kern w:val="0"/>
          <w:sz w:val="32"/>
          <w:szCs w:val="32"/>
          <w:lang w:eastAsia="zh-CN"/>
        </w:rPr>
        <w:t>机构</w:t>
      </w:r>
      <w:r>
        <w:rPr>
          <w:rFonts w:ascii="仿宋_GB2312" w:eastAsia="仿宋_GB2312" w:cs="仿宋_GB2312" w:hAnsi="仿宋_GB2312" w:hint="eastAsia"/>
          <w:kern w:val="0"/>
          <w:sz w:val="32"/>
          <w:szCs w:val="32"/>
        </w:rPr>
        <w:t>职能</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kern w:val="0"/>
          <w:sz w:val="32"/>
          <w:szCs w:val="32"/>
        </w:rPr>
      </w:pPr>
      <w:r>
        <w:rPr>
          <w:rFonts w:ascii="仿宋" w:eastAsia="仿宋" w:hAnsi="仿宋" w:hint="eastAsia"/>
          <w:color w:val="000000"/>
          <w:sz w:val="32"/>
          <w:szCs w:val="32"/>
          <w:lang w:val="en-US" w:eastAsia="zh-CN"/>
        </w:rPr>
        <w:t>１.</w:t>
      </w:r>
      <w:r>
        <w:rPr>
          <w:rFonts w:ascii="方正仿宋简体" w:eastAsia="方正仿宋简体" w:cs="方正仿宋简体" w:hint="eastAsia"/>
          <w:kern w:val="0"/>
          <w:sz w:val="32"/>
          <w:szCs w:val="32"/>
        </w:rPr>
        <w:t>指导全区公务车辆编制的申报工作；指导公共机构节约能源资源管理工作；负责区政府办公室机关行政效能建设工作；负责区政府办公室依法行政工作，办理区政府办公室涉法事务；牵头办理涉及区政府办公室的区人大代表建议、区政协委员提案；负责区长信箱的办理。</w:t>
      </w:r>
    </w:p>
    <w:p>
      <w:pPr>
        <w:pStyle w:val="26"/>
        <w:keepNext w:val="0"/>
        <w:keepLines w:val="0"/>
        <w:pageBreakBefore w:val="0"/>
        <w:widowControl w:val="0"/>
        <w:kinsoku/>
        <w:wordWrap/>
        <w:topLinePunct w:val="0"/>
        <w:bidi w:val="0"/>
        <w:spacing w:before="0" w:beforeAutospacing="0" w:after="0" w:afterAutospacing="0" w:line="560" w:lineRule="exact"/>
        <w:ind w:firstLineChars="200" w:firstLine="640"/>
        <w:jc w:val="both"/>
        <w:textAlignment w:val="auto"/>
        <w:rPr>
          <w:rFonts w:ascii="仿宋" w:eastAsia="仿宋" w:hAnsi="仿宋" w:hint="eastAsia"/>
          <w:color w:val="000000"/>
          <w:sz w:val="32"/>
          <w:szCs w:val="32"/>
          <w:lang w:val="en-US" w:eastAsia="zh-CN"/>
        </w:rPr>
      </w:pPr>
      <w:r>
        <w:rPr>
          <w:rFonts w:ascii="方正仿宋简体" w:eastAsia="方正仿宋简体" w:cs="方正仿宋简体" w:hint="eastAsia"/>
          <w:sz w:val="32"/>
          <w:szCs w:val="32"/>
        </w:rPr>
        <w:t>拟订深化行政审批制度改革的政策、制度、办法和标准并组织实施；指导、协调、监督并推进全区行政审批制度改革工作，</w:t>
      </w:r>
      <w:r>
        <w:rPr>
          <w:rFonts w:ascii="方正仿宋简体" w:eastAsia="方正仿宋简体" w:cs="方正仿宋简体" w:hint="eastAsia"/>
          <w:color w:val="000000"/>
          <w:sz w:val="32"/>
          <w:szCs w:val="32"/>
        </w:rPr>
        <w:t>对区级部门（单位）取消、保留或调整的行政审批事项进行组织协调、监督，实施动态管理；组织开展对深化行政审批制度改革的调查研究、评估分析；承担区深化行政审批制度改革领导小组办公室具体工作。</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color w:val="000000"/>
          <w:sz w:val="32"/>
          <w:szCs w:val="32"/>
        </w:rPr>
      </w:pPr>
      <w:r>
        <w:rPr>
          <w:rFonts w:ascii="仿宋" w:eastAsia="仿宋" w:hAnsi="仿宋" w:hint="eastAsia"/>
          <w:color w:val="000000"/>
          <w:sz w:val="32"/>
          <w:szCs w:val="32"/>
          <w:lang w:val="en-US" w:eastAsia="zh-CN"/>
        </w:rPr>
        <w:t>２.</w:t>
      </w:r>
      <w:r>
        <w:rPr>
          <w:rFonts w:ascii="方正仿宋简体" w:eastAsia="方正仿宋简体" w:cs="方正仿宋简体" w:hint="eastAsia"/>
          <w:color w:val="000000"/>
          <w:sz w:val="32"/>
          <w:szCs w:val="32"/>
        </w:rPr>
        <w:t>贯彻执行金融工作有关法律、法规、规章和方针、政策；制定全区金融业发展规划和政策措施；承担地方金融组织的行政管理工作，协助办理防范金融风险、维护地方金融秩序方面的行政事务；负责全区典当行、融资租赁公司、商业保理公司的受理、初审等工作。</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方正仿宋简体" w:eastAsia="方正仿宋简体" w:cs="方正仿宋简体" w:hint="eastAsia"/>
          <w:color w:val="000000"/>
          <w:sz w:val="32"/>
          <w:szCs w:val="32"/>
          <w:lang w:val="en-US" w:eastAsia="zh-CN"/>
        </w:rPr>
        <w:t>3.</w:t>
      </w:r>
      <w:r>
        <w:rPr>
          <w:rFonts w:ascii="方正仿宋简体" w:eastAsia="方正仿宋简体" w:cs="方正仿宋简体" w:hint="eastAsia"/>
          <w:color w:val="000000"/>
          <w:sz w:val="32"/>
          <w:szCs w:val="32"/>
        </w:rPr>
        <w:t>贯彻执行国家有关民营经济发展方面的方针、政策和法律、法规，拟订全区促进民营经济发展的政策规定；制订全区民营经济发展工作目标，督促、检查民营经济发展工作落实情况；指导全区民营经济发展等工作。</w:t>
      </w:r>
    </w:p>
    <w:p>
      <w:pPr>
        <w:pStyle w:val="26"/>
        <w:keepNext w:val="0"/>
        <w:keepLines w:val="0"/>
        <w:pageBreakBefore w:val="0"/>
        <w:widowControl w:val="0"/>
        <w:kinsoku/>
        <w:wordWrap/>
        <w:topLinePunct w:val="0"/>
        <w:bidi w:val="0"/>
        <w:spacing w:before="0" w:beforeAutospacing="0" w:after="0" w:afterAutospacing="0" w:line="560" w:lineRule="exact"/>
        <w:ind w:firstLineChars="200" w:firstLine="640"/>
        <w:jc w:val="both"/>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4.</w:t>
      </w:r>
      <w:r>
        <w:rPr>
          <w:rFonts w:ascii="方正仿宋简体" w:eastAsia="方正仿宋简体" w:cs="方正仿宋简体" w:hAnsi="仿宋_GB2312" w:hint="eastAsia"/>
          <w:kern w:val="2"/>
          <w:sz w:val="32"/>
          <w:szCs w:val="32"/>
        </w:rPr>
        <w:t>负责区政府值班日常事务，督促、指导乡镇（街道）和区政府部门值班工作，及时报告重要情况；负责突发事件信息接收上报、来文来电接转及上传下达工作；负责区政府办公室领导交办的其他工作。</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cs="方正仿宋简体" w:hint="eastAsia"/>
          <w:sz w:val="32"/>
          <w:szCs w:val="32"/>
        </w:rPr>
      </w:pPr>
      <w:r>
        <w:rPr>
          <w:rFonts w:ascii="仿宋" w:eastAsia="仿宋" w:hAnsi="仿宋" w:hint="eastAsia"/>
          <w:color w:val="000000"/>
          <w:sz w:val="32"/>
          <w:szCs w:val="32"/>
          <w:lang w:val="en-US" w:eastAsia="zh-CN"/>
        </w:rPr>
        <w:t>5.</w:t>
      </w:r>
      <w:r>
        <w:rPr>
          <w:rFonts w:ascii="方正仿宋简体" w:eastAsia="方正仿宋简体" w:cs="方正仿宋简体" w:hint="eastAsia"/>
          <w:sz w:val="32"/>
          <w:szCs w:val="32"/>
        </w:rPr>
        <w:t>负责区政府全体会议、常务会议、新闻发布会、综合性大型会议和区政府办公室会议的会务工作；负责区政府、区政府办公室文电收发、登记、分办工作；负责区政府、区政府办公室名义发出公文的核稿、运转工作；负责密码电报的分办、传阅、管理；负责区政府办公室的机要、保密、档案、印鉴管理工作；负责区政府大事记和区政府领导活动的收集、整理、印发、报送工作；负责区政府办公室年度计划、总结；负责区政府办公室主任会议办理和议定事项的跟踪落实；负责区政府办公室机关综合性文稿起草；负责会议室和会务人员管理。</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6.根据区政府领导的指示，对区政府部门间争议问题提出处理意见和建议，报区政府领导决定。</w:t>
      </w:r>
    </w:p>
    <w:p>
      <w:pPr>
        <w:keepNext w:val="0"/>
        <w:keepLines w:val="0"/>
        <w:pageBreakBefore w:val="0"/>
        <w:widowControl w:val="0"/>
        <w:kinsoku/>
        <w:wordWrap/>
        <w:topLinePunct w:val="0"/>
        <w:bidi w:val="0"/>
        <w:spacing w:line="560" w:lineRule="exact"/>
        <w:ind w:firstLineChars="200" w:firstLine="640"/>
        <w:textAlignment w:val="auto"/>
        <w:rPr>
          <w:rFonts w:ascii="方正仿宋简体" w:eastAsia="方正仿宋简体" w:hAnsi="微软雅黑"/>
          <w:sz w:val="32"/>
          <w:szCs w:val="32"/>
        </w:rPr>
      </w:pPr>
      <w:r>
        <w:rPr>
          <w:rFonts w:ascii="仿宋" w:eastAsia="仿宋" w:hAnsi="仿宋" w:hint="eastAsia"/>
          <w:color w:val="000000"/>
          <w:sz w:val="32"/>
          <w:szCs w:val="32"/>
          <w:lang w:val="en-US" w:eastAsia="zh-CN"/>
        </w:rPr>
        <w:t>7.</w:t>
      </w:r>
      <w:r>
        <w:rPr>
          <w:rFonts w:ascii="方正仿宋简体" w:eastAsia="方正仿宋简体" w:cs="方正仿宋简体" w:hAnsi="微软雅黑" w:hint="eastAsia"/>
          <w:sz w:val="32"/>
          <w:szCs w:val="32"/>
        </w:rPr>
        <w:t>负责起草《政府工作报告》和区政府主要领导的综合性讲话、文稿以及区政府向市委、市政府和区委的汇报材料；参与起草区政府的综合性文件和重要会议文件；负责开展重大问题的调查研究、决策咨询和区政府重大决策部署落实情况的跟踪调研；及时分析国内外经济形势并提出政策建议；整理报送经济发展方面的重要信息、动态；对全区政府系统调查研究和决策咨询工作进行业务指导。</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8.</w:t>
      </w:r>
      <w:r>
        <w:rPr>
          <w:rFonts w:ascii="方正仿宋简体" w:eastAsia="方正仿宋简体" w:cs="方正仿宋简体" w:hAnsi="楷体_GB2312" w:hint="eastAsia"/>
          <w:kern w:val="0"/>
          <w:sz w:val="32"/>
          <w:szCs w:val="32"/>
        </w:rPr>
        <w:t>承担全区政务信息工作的规划、指导、督办；负责全区政务信息的收集、整理、编辑，向国务院办公厅、省政府办公厅、市政府办公室报送政务信息。负责贯彻执行政府信息公开（政务公开）相关法规、规章和方针、政策；负责推进、指导、督促全区政务公开、政府信息公开具体工作；负责区政府、区政府办公室的信息公开工作；组织编制区政府信息公开指南、目录、年度报告和全区政府信息公开流程规范；指导区政府网站建设和绩效评估工作。承担区政务公开工作协调小组办公室的具体工作。负责指导、监督全区政府机关电子政务外网的规划、建设、技术与安全保障；负责区政府有关会议、活动的多媒体技术服务工作。负责区政府门户网站的建设和运行管理工作。</w:t>
      </w:r>
    </w:p>
    <w:p>
      <w:pPr>
        <w:keepNext w:val="0"/>
        <w:keepLines w:val="0"/>
        <w:pageBreakBefore w:val="0"/>
        <w:widowControl w:val="0"/>
        <w:kinsoku/>
        <w:wordWrap/>
        <w:overflowPunct w:val="0"/>
        <w:topLinePunct w:val="0"/>
        <w:autoSpaceDE w:val="0"/>
        <w:autoSpaceDN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9.</w:t>
      </w:r>
      <w:r>
        <w:rPr>
          <w:rFonts w:ascii="方正仿宋简体" w:eastAsia="方正仿宋简体" w:cs="方正仿宋简体" w:hAnsi="楷体_GB2312" w:hint="eastAsia"/>
          <w:kern w:val="0"/>
          <w:sz w:val="32"/>
          <w:szCs w:val="32"/>
        </w:rPr>
        <w:t>负责区政府办公室财务、固定资产、日常采购和车辆管理工作；负责区政府办公室公务接待工作和区政府办公室党组会议、职工会议的会务工作；负责区政府、区政府办公室机关安全保卫工作；负责报刊杂志征订与管理；负责区政府办公室的机构编制和人事管理、绩效目标管理和劳动工资等工作；负责创“四好”领导班子日常工作；负责离退休人员的服务管理工作。贯彻落实地方志工作的法律、法规、政策决定，制定落实措施；负责拟制地方志工作规划和编纂方案；指导、检查地方志业务工作。负责贯彻执行《机关事务管理条例》《公共机构节能条例》等机关事务法规、规章和方针、政策。</w:t>
      </w:r>
    </w:p>
    <w:p>
      <w:pPr>
        <w:keepNext w:val="0"/>
        <w:keepLines w:val="0"/>
        <w:pageBreakBefore w:val="0"/>
        <w:widowControl w:val="0"/>
        <w:kinsoku/>
        <w:wordWrap/>
        <w:overflowPunct w:val="0"/>
        <w:topLinePunct w:val="0"/>
        <w:autoSpaceDE w:val="0"/>
        <w:autoSpaceDN w:val="0"/>
        <w:bidi w:val="0"/>
        <w:spacing w:line="560" w:lineRule="exact"/>
        <w:ind w:firstLineChars="200" w:firstLine="640"/>
        <w:textAlignment w:val="auto"/>
        <w:rPr>
          <w:rFonts w:ascii="方正仿宋简体" w:eastAsia="方正仿宋简体" w:cs="方正仿宋简体" w:hAnsi="楷体_GB2312" w:hint="eastAsia"/>
          <w:kern w:val="0"/>
          <w:sz w:val="32"/>
          <w:szCs w:val="32"/>
          <w:lang w:val="en-US" w:eastAsia="zh-CN"/>
        </w:rPr>
      </w:pPr>
      <w:r>
        <w:rPr>
          <w:rFonts w:ascii="仿宋" w:eastAsia="仿宋" w:hAnsi="仿宋" w:hint="eastAsia"/>
          <w:color w:val="000000"/>
          <w:sz w:val="32"/>
          <w:szCs w:val="32"/>
          <w:lang w:val="en-US" w:eastAsia="zh-CN"/>
        </w:rPr>
        <w:t>10.</w:t>
      </w:r>
      <w:r>
        <w:rPr>
          <w:rFonts w:ascii="方正仿宋简体" w:eastAsia="方正仿宋简体" w:cs="方正仿宋简体" w:hAnsi="楷体_GB2312" w:hint="eastAsia"/>
          <w:kern w:val="0"/>
          <w:sz w:val="32"/>
          <w:szCs w:val="32"/>
        </w:rPr>
        <w:t>贯彻爱国卫生工作方针、政策、法律、法规，拟定全区爱国卫生管理办法；落实《四川省城乡环境综合治理条例》，拟定全区城乡环境综合治理工作总体规划和年度计划，开展城乡社会性公共卫生管理工作；负责组织协调和检查督促城乡环境综合治理工作；负责健康教育工作，制定全区健康教育规划并组织实施；负责城区除“四害”工作；组织开展创建国家卫生城市、卫生集镇等工作任务。</w:t>
      </w:r>
    </w:p>
    <w:p>
      <w:pPr>
        <w:pStyle w:val="33"/>
        <w:keepNext w:val="0"/>
        <w:keepLines w:val="0"/>
        <w:pageBreakBefore w:val="0"/>
        <w:widowControl w:val="0"/>
        <w:kinsoku/>
        <w:wordWrap/>
        <w:topLinePunct w:val="0"/>
        <w:autoSpaceDE w:val="0"/>
        <w:autoSpaceDN w:val="0"/>
        <w:bidi w:val="0"/>
        <w:spacing w:line="560" w:lineRule="exact"/>
        <w:textAlignment w:val="auto"/>
        <w:rPr>
          <w:rFonts w:eastAsia="仿宋" w:hint="eastAsia"/>
          <w:color w:val="auto"/>
          <w:lang w:val="en-US" w:eastAsia="zh-CN"/>
        </w:rPr>
      </w:pPr>
      <w:r>
        <w:rPr>
          <w:rFonts w:hAnsi="仿宋" w:hint="eastAsia"/>
          <w:color w:val="000000"/>
          <w:sz w:val="32"/>
          <w:szCs w:val="32"/>
          <w:lang w:val="en-US" w:eastAsia="zh-CN"/>
        </w:rPr>
        <w:t>　　</w:t>
      </w:r>
      <w:r>
        <w:rPr>
          <w:rFonts w:hAnsi="仿宋" w:hint="eastAsia"/>
          <w:color w:val="auto"/>
          <w:sz w:val="32"/>
          <w:szCs w:val="32"/>
          <w:lang w:val="en-US" w:eastAsia="zh-CN"/>
        </w:rPr>
        <w:t>11.</w:t>
      </w:r>
      <w:r>
        <w:rPr>
          <w:rFonts w:ascii="仿宋" w:eastAsia="仿宋" w:cs="黑体" w:hAnsi="仿宋"/>
          <w:color w:val="auto"/>
          <w:sz w:val="32"/>
          <w:szCs w:val="32"/>
        </w:rPr>
        <w:t>贯彻执行国家、省、市有关民营经济发展的方针、政策和法规，调研、分析、监测民营经济发展现状及特点，为相关部门提供决策咨询和建议，指导民营经济合理布局和产业、产品结构调整</w:t>
      </w:r>
      <w:r>
        <w:rPr>
          <w:rFonts w:cs="黑体" w:hAnsi="仿宋" w:hint="eastAsia"/>
          <w:color w:val="auto"/>
          <w:sz w:val="32"/>
          <w:szCs w:val="32"/>
          <w:lang w:eastAsia="zh-CN"/>
        </w:rPr>
        <w:t>，</w:t>
      </w:r>
      <w:r>
        <w:rPr>
          <w:rFonts w:ascii="仿宋" w:eastAsia="仿宋" w:cs="黑体" w:hAnsi="仿宋"/>
          <w:color w:val="auto"/>
          <w:sz w:val="32"/>
          <w:szCs w:val="32"/>
        </w:rPr>
        <w:t>牵头组织实施民营企业“双招双引”工作</w:t>
      </w:r>
      <w:r>
        <w:rPr>
          <w:rFonts w:cs="黑体" w:hAnsi="仿宋" w:hint="eastAsia"/>
          <w:color w:val="auto"/>
          <w:sz w:val="32"/>
          <w:szCs w:val="32"/>
          <w:lang w:eastAsia="zh-CN"/>
        </w:rPr>
        <w:t>，</w:t>
      </w:r>
      <w:r>
        <w:rPr>
          <w:rFonts w:ascii="仿宋" w:eastAsia="仿宋" w:cs="黑体" w:hAnsi="仿宋"/>
          <w:color w:val="auto"/>
          <w:sz w:val="32"/>
          <w:szCs w:val="32"/>
        </w:rPr>
        <w:t>健全完善服务民营企业机制，为民营企业提供政策、管理、技术咨询、融资信贷和信息交流、项目引进等服务，协调有关部门解决好民营经济发展过程中存在的相关问题</w:t>
      </w:r>
      <w:r>
        <w:rPr>
          <w:rFonts w:cs="黑体" w:hAnsi="仿宋" w:hint="eastAsia"/>
          <w:color w:val="auto"/>
          <w:sz w:val="32"/>
          <w:szCs w:val="32"/>
          <w:lang w:eastAsia="zh-CN"/>
        </w:rPr>
        <w:t>，</w:t>
      </w:r>
      <w:r>
        <w:rPr>
          <w:rFonts w:ascii="仿宋" w:eastAsia="仿宋" w:cs="黑体" w:hAnsi="仿宋"/>
          <w:color w:val="auto"/>
          <w:sz w:val="32"/>
          <w:szCs w:val="32"/>
        </w:rPr>
        <w:t>推动民营企业与其他所有制企业开展交流与合作，指导民营经济的科技进步、技术改造、企业管理、职工教育、专业技术人员培训、专业人才职称评定工作</w:t>
      </w:r>
      <w:r>
        <w:rPr>
          <w:rFonts w:cs="黑体" w:hAnsi="仿宋" w:hint="eastAsia"/>
          <w:color w:val="auto"/>
          <w:sz w:val="32"/>
          <w:szCs w:val="32"/>
          <w:lang w:eastAsia="zh-CN"/>
        </w:rPr>
        <w:t>，</w:t>
      </w:r>
      <w:r>
        <w:rPr>
          <w:rFonts w:ascii="仿宋" w:eastAsia="仿宋" w:cs="黑体" w:hAnsi="仿宋"/>
          <w:color w:val="auto"/>
          <w:sz w:val="32"/>
          <w:szCs w:val="32"/>
        </w:rPr>
        <w:t>承担政府部门组织的促进民营经济发展相关大型活动</w:t>
      </w:r>
      <w:r>
        <w:rPr>
          <w:rFonts w:cs="黑体" w:hAnsi="仿宋" w:hint="eastAsia"/>
          <w:color w:val="auto"/>
          <w:sz w:val="32"/>
          <w:szCs w:val="32"/>
          <w:lang w:eastAsia="zh-CN"/>
        </w:rPr>
        <w:t>，</w:t>
      </w:r>
      <w:r>
        <w:rPr>
          <w:rFonts w:ascii="仿宋" w:eastAsia="仿宋" w:cs="黑体" w:hAnsi="仿宋"/>
          <w:color w:val="auto"/>
          <w:sz w:val="32"/>
          <w:szCs w:val="32"/>
        </w:rPr>
        <w:t>建立民营企业投诉、反馈平台和渠道，配合落实促进民营经济发展的扶持政策</w:t>
      </w:r>
      <w:r>
        <w:rPr>
          <w:rFonts w:cs="黑体" w:hAnsi="仿宋" w:hint="eastAsia"/>
          <w:color w:val="auto"/>
          <w:sz w:val="32"/>
          <w:szCs w:val="32"/>
          <w:lang w:eastAsia="zh-CN"/>
        </w:rPr>
        <w:t>。</w:t>
      </w:r>
    </w:p>
    <w:p>
      <w:pPr>
        <w:keepNext w:val="0"/>
        <w:keepLines w:val="0"/>
        <w:pageBreakBefore w:val="0"/>
        <w:widowControl w:val="0"/>
        <w:kinsoku/>
        <w:wordWrap/>
        <w:topLinePunct w:val="0"/>
        <w:bidi w:val="0"/>
        <w:spacing w:line="560" w:lineRule="exact"/>
        <w:ind w:firstLineChars="200" w:firstLine="640"/>
        <w:textAlignment w:val="auto"/>
        <w:rPr>
          <w:rFonts w:ascii="仿宋" w:eastAsia="仿宋" w:hAnsi="仿宋" w:hint="eastAsia"/>
          <w:color w:val="000000"/>
          <w:sz w:val="32"/>
          <w:szCs w:val="32"/>
          <w:lang w:val="en-US" w:eastAsia="zh-CN"/>
        </w:rPr>
      </w:pPr>
      <w:r>
        <w:rPr>
          <w:rFonts w:ascii="仿宋" w:eastAsia="仿宋" w:hAnsi="仿宋" w:hint="eastAsia"/>
          <w:color w:val="000000"/>
          <w:sz w:val="32"/>
          <w:szCs w:val="32"/>
          <w:lang w:val="en-US" w:eastAsia="zh-CN"/>
        </w:rPr>
        <w:t>12.办理区政府和区政府领导交办的其他事项。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textAlignment w:val="auto"/>
        <w:rPr>
          <w:rFonts w:ascii="仿宋" w:eastAsia="仿宋" w:cs="Times New Roman" w:hAnsi="仿宋" w:hint="eastAsia"/>
          <w:color w:val="000000"/>
          <w:sz w:val="32"/>
          <w:szCs w:val="32"/>
          <w:lang w:val="en-US" w:eastAsia="zh-CN"/>
        </w:rPr>
      </w:pPr>
      <w:r>
        <w:rPr>
          <w:rFonts w:ascii="仿宋" w:eastAsia="仿宋" w:cs="Times New Roman" w:hAnsi="仿宋" w:hint="eastAsia"/>
          <w:color w:val="000000"/>
          <w:sz w:val="32"/>
          <w:szCs w:val="32"/>
          <w:lang w:val="en-US" w:eastAsia="zh-CN"/>
        </w:rPr>
        <w:t>（三）人员概况</w:t>
      </w:r>
    </w:p>
    <w:p>
      <w:pPr>
        <w:pStyle w:val="33"/>
        <w:keepNext w:val="0"/>
        <w:keepLines w:val="0"/>
        <w:pageBreakBefore w:val="0"/>
        <w:widowControl w:val="0"/>
        <w:kinsoku/>
        <w:wordWrap/>
        <w:topLinePunct w:val="0"/>
        <w:autoSpaceDE w:val="0"/>
        <w:autoSpaceDN w:val="0"/>
        <w:bidi w:val="0"/>
        <w:spacing w:line="560" w:lineRule="exact"/>
        <w:ind w:firstLineChars="200" w:firstLine="640"/>
        <w:textAlignment w:val="auto"/>
        <w:rPr>
          <w:rFonts w:ascii="仿宋" w:eastAsia="仿宋" w:cs="黑体" w:hAnsi="仿宋" w:hint="eastAsia"/>
          <w:color w:val="auto"/>
          <w:sz w:val="32"/>
          <w:szCs w:val="32"/>
          <w:lang w:val="en-US" w:eastAsia="zh-CN"/>
        </w:rPr>
      </w:pPr>
      <w:r>
        <w:rPr>
          <w:rFonts w:ascii="仿宋" w:eastAsia="仿宋" w:cs="黑体" w:hAnsi="仿宋" w:hint="eastAsia"/>
          <w:color w:val="auto"/>
          <w:sz w:val="32"/>
          <w:szCs w:val="32"/>
          <w:lang w:val="en-US" w:eastAsia="zh-CN"/>
        </w:rPr>
        <w:t xml:space="preserve">区政府办现有在职人员44人，其中公务员20人，参公人员2人，工勤人员6人，事业干部16人。退休干部7人，退休工人4人，临聘人员7人。我办总编制51名，其中行政和参公编制25名，其他事业编制18名，工勤编制8个。 </w:t>
      </w:r>
    </w:p>
    <w:p>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firstLineChars="200" w:firstLine="640"/>
        <w:textAlignment w:val="auto"/>
        <w:outlineLvl w:val="1"/>
        <w:rPr>
          <w:rFonts w:ascii="仿宋" w:eastAsia="仿宋" w:cs="仿宋" w:hAnsi="仿宋" w:hint="eastAsia"/>
          <w:b/>
          <w:bCs/>
          <w:kern w:val="0"/>
          <w:sz w:val="32"/>
          <w:szCs w:val="32"/>
          <w:lang w:val="en-US" w:eastAsia="zh-CN"/>
        </w:rPr>
      </w:pPr>
      <w:bookmarkStart w:id="111" w:name="_Toc3104"/>
      <w:bookmarkStart w:id="112" w:name="_Toc22503"/>
      <w:bookmarkStart w:id="113" w:name="_Toc6311"/>
      <w:r>
        <w:rPr>
          <w:rFonts w:ascii="仿宋" w:eastAsia="仿宋" w:cs="黑体" w:hAnsi="仿宋" w:hint="eastAsia"/>
          <w:color w:val="auto"/>
          <w:kern w:val="0"/>
          <w:sz w:val="32"/>
          <w:szCs w:val="32"/>
          <w:lang w:val="en-US" w:eastAsia="zh-CN" w:bidi="ar-SA"/>
        </w:rPr>
        <w:t>部门财政收支情况</w:t>
      </w:r>
      <w:bookmarkEnd w:id="111"/>
      <w:bookmarkEnd w:id="112"/>
      <w:bookmarkEnd w:id="113"/>
      <w:r>
        <w:rPr>
          <w:rFonts w:ascii="仿宋" w:eastAsia="仿宋" w:cs="仿宋" w:hAnsi="仿宋" w:hint="eastAsia"/>
          <w:b/>
          <w:bCs/>
          <w:kern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 w:eastAsia="仿宋" w:cs="黑体" w:hAnsi="仿宋" w:hint="eastAsia"/>
          <w:color w:val="auto"/>
          <w:kern w:val="0"/>
          <w:sz w:val="32"/>
          <w:szCs w:val="32"/>
          <w:lang w:val="en-US" w:eastAsia="zh-CN" w:bidi="ar-SA"/>
        </w:rPr>
      </w:pPr>
      <w:r>
        <w:rPr>
          <w:rFonts w:ascii="仿宋_GB2312" w:eastAsia="仿宋_GB2312" w:cs="仿宋_GB2312" w:hAnsi="仿宋_GB2312" w:hint="eastAsia"/>
          <w:kern w:val="0"/>
          <w:sz w:val="32"/>
          <w:szCs w:val="32"/>
          <w:lang w:eastAsia="zh-CN"/>
        </w:rPr>
        <w:t>　</w:t>
      </w:r>
      <w:r>
        <w:rPr>
          <w:rFonts w:ascii="仿宋" w:eastAsia="仿宋" w:cs="黑体" w:hAnsi="仿宋" w:hint="eastAsia"/>
          <w:color w:val="auto"/>
          <w:kern w:val="0"/>
          <w:sz w:val="32"/>
          <w:szCs w:val="32"/>
          <w:lang w:val="en-US" w:eastAsia="zh-CN" w:bidi="ar-SA"/>
        </w:rPr>
        <w:t>　2022年度整体收支情况。2022年度总收入1228.01万元，与2021年1757.21万元相比，收入总计减少529.20万元，下降30.12%；支出总计1228.01万元，与2021年1757.21相比，支出总计减少529.20万元，下降30.12%。主要变动原因是2021年纳入决算的城市垃圾分类购买服务、城市垃圾处理等工作经费，因机构改革爱卫办8月整体转隶划出，2022年以上两项大额支出本单位不再承担支付形成收入支出下降。</w:t>
      </w:r>
    </w:p>
    <w:p>
      <w:pPr>
        <w:pStyle w:val="17"/>
        <w:keepNext w:val="0"/>
        <w:keepLines w:val="0"/>
        <w:pageBreakBefore w:val="0"/>
        <w:widowControl w:val="0"/>
        <w:numPr>
          <w:ilvl w:val="0"/>
          <w:numId w:val="6"/>
        </w:numPr>
        <w:kinsoku/>
        <w:wordWrap/>
        <w:topLinePunct w:val="0"/>
        <w:bidi w:val="0"/>
        <w:spacing w:line="560" w:lineRule="exact"/>
        <w:ind w:left="0" w:firstLineChars="200" w:firstLine="640"/>
        <w:textAlignment w:val="auto"/>
        <w:rPr>
          <w:rFonts w:ascii="仿宋_GB2312" w:eastAsia="仿宋_GB2312" w:cs="仿宋_GB2312" w:hAnsi="仿宋_GB2312" w:hint="eastAsia"/>
          <w:kern w:val="0"/>
          <w:sz w:val="32"/>
          <w:szCs w:val="32"/>
          <w:lang w:eastAsia="zh-CN"/>
        </w:rPr>
      </w:pPr>
      <w:r>
        <w:rPr>
          <w:rFonts w:ascii="仿宋_GB2312" w:eastAsia="仿宋_GB2312" w:cs="仿宋_GB2312" w:hAnsi="仿宋_GB2312" w:hint="eastAsia"/>
          <w:kern w:val="0"/>
          <w:sz w:val="32"/>
          <w:szCs w:val="32"/>
        </w:rPr>
        <w:t>部门</w:t>
      </w:r>
      <w:r>
        <w:rPr>
          <w:rFonts w:ascii="仿宋_GB2312" w:eastAsia="仿宋_GB2312" w:cs="仿宋_GB2312" w:hAnsi="仿宋_GB2312" w:hint="eastAsia"/>
          <w:kern w:val="0"/>
          <w:sz w:val="32"/>
          <w:szCs w:val="32"/>
          <w:lang w:eastAsia="zh-CN"/>
        </w:rPr>
        <w:t>财政资金收入</w:t>
      </w:r>
      <w:r>
        <w:rPr>
          <w:rFonts w:ascii="仿宋_GB2312" w:eastAsia="仿宋_GB2312" w:cs="仿宋_GB2312" w:hAnsi="仿宋_GB2312" w:hint="eastAsia"/>
          <w:kern w:val="0"/>
          <w:sz w:val="32"/>
          <w:szCs w:val="32"/>
        </w:rPr>
        <w:t>情况</w:t>
      </w:r>
    </w:p>
    <w:p>
      <w:pPr>
        <w:pStyle w:val="17"/>
        <w:keepNext w:val="0"/>
        <w:keepLines w:val="0"/>
        <w:pageBreakBefore w:val="0"/>
        <w:widowControl w:val="0"/>
        <w:kinsoku/>
        <w:wordWrap/>
        <w:topLinePunct w:val="0"/>
        <w:bidi w:val="0"/>
        <w:spacing w:line="560" w:lineRule="exact"/>
        <w:ind w:left="0" w:firstLine="640"/>
        <w:textAlignment w:val="auto"/>
        <w:rPr>
          <w:rFonts w:ascii="仿宋" w:eastAsia="仿宋" w:hAnsi="仿宋" w:hint="eastAsia"/>
          <w:color w:val="000000"/>
          <w:sz w:val="32"/>
          <w:szCs w:val="32"/>
        </w:rPr>
      </w:pPr>
      <w:r>
        <w:rPr>
          <w:rFonts w:ascii="仿宋" w:eastAsia="仿宋" w:hAnsi="仿宋" w:hint="eastAsia"/>
          <w:color w:val="000000"/>
          <w:sz w:val="32"/>
          <w:szCs w:val="32"/>
          <w:lang w:val="en-US" w:eastAsia="zh-CN"/>
        </w:rPr>
        <w:t>2022年</w:t>
      </w:r>
      <w:r>
        <w:rPr>
          <w:rFonts w:ascii="仿宋_GB2312" w:eastAsia="仿宋_GB2312" w:cs="仿宋_GB2312" w:hAnsi="仿宋_GB2312" w:hint="eastAsia"/>
          <w:kern w:val="0"/>
          <w:sz w:val="32"/>
          <w:szCs w:val="32"/>
        </w:rPr>
        <w:t>度</w:t>
      </w:r>
      <w:r>
        <w:rPr>
          <w:rFonts w:ascii="仿宋_GB2312" w:eastAsia="仿宋_GB2312" w:cs="仿宋_GB2312" w:hAnsi="仿宋_GB2312" w:hint="eastAsia"/>
          <w:kern w:val="0"/>
          <w:sz w:val="32"/>
          <w:szCs w:val="32"/>
          <w:lang w:eastAsia="zh-CN"/>
        </w:rPr>
        <w:t>当年</w:t>
      </w:r>
      <w:r>
        <w:rPr>
          <w:rFonts w:ascii="仿宋_GB2312" w:eastAsia="仿宋_GB2312" w:cs="仿宋_GB2312" w:hAnsi="仿宋_GB2312" w:hint="eastAsia"/>
          <w:kern w:val="0"/>
          <w:sz w:val="32"/>
          <w:szCs w:val="32"/>
        </w:rPr>
        <w:t>收</w:t>
      </w:r>
      <w:r>
        <w:rPr>
          <w:rFonts w:ascii="仿宋_GB2312" w:eastAsia="仿宋_GB2312" w:cs="仿宋_GB2312" w:hAnsi="仿宋_GB2312" w:hint="eastAsia"/>
          <w:kern w:val="0"/>
          <w:sz w:val="32"/>
          <w:szCs w:val="32"/>
          <w:lang w:eastAsia="zh-CN"/>
        </w:rPr>
        <w:t>入</w:t>
      </w:r>
      <w:r>
        <w:rPr>
          <w:rFonts w:ascii="仿宋_GB2312" w:eastAsia="仿宋_GB2312" w:cs="仿宋_GB2312" w:hAnsi="仿宋_GB2312" w:hint="eastAsia"/>
          <w:kern w:val="0"/>
          <w:sz w:val="32"/>
          <w:szCs w:val="32"/>
        </w:rPr>
        <w:t>情况</w:t>
      </w:r>
      <w:r>
        <w:rPr>
          <w:rFonts w:ascii="仿宋_GB2312" w:eastAsia="仿宋_GB2312" w:cs="仿宋_GB2312" w:hAnsi="仿宋_GB2312" w:hint="eastAsia"/>
          <w:kern w:val="0"/>
          <w:sz w:val="32"/>
          <w:szCs w:val="32"/>
          <w:lang w:eastAsia="zh-CN"/>
        </w:rPr>
        <w:t>。</w:t>
      </w:r>
      <w:r>
        <w:rPr>
          <w:rFonts w:ascii="仿宋" w:eastAsia="仿宋" w:hAnsi="仿宋" w:hint="eastAsia"/>
          <w:color w:val="000000"/>
          <w:sz w:val="32"/>
          <w:szCs w:val="32"/>
          <w:lang w:eastAsia="zh-CN"/>
        </w:rPr>
        <w:t>2022年</w:t>
      </w:r>
      <w:r>
        <w:rPr>
          <w:rFonts w:ascii="仿宋" w:eastAsia="仿宋" w:hAnsi="仿宋" w:hint="eastAsia"/>
          <w:color w:val="000000"/>
          <w:sz w:val="32"/>
          <w:szCs w:val="32"/>
        </w:rPr>
        <w:t>本年收入合计</w:t>
      </w:r>
      <w:r>
        <w:rPr>
          <w:rFonts w:ascii="仿宋" w:eastAsia="仿宋" w:hAnsi="仿宋" w:hint="eastAsia"/>
          <w:color w:val="000000"/>
          <w:sz w:val="32"/>
          <w:szCs w:val="32"/>
          <w:lang w:val="en-US" w:eastAsia="zh-CN"/>
        </w:rPr>
        <w:t>1228.01</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lang w:val="en-US" w:eastAsia="zh-CN"/>
        </w:rPr>
        <w:t>1228.01</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100</w:t>
      </w:r>
      <w:r>
        <w:rPr>
          <w:rFonts w:ascii="仿宋" w:eastAsia="仿宋" w:hAnsi="仿宋"/>
          <w:color w:val="000000"/>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；上级补助收入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；其他收入</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pStyle w:val="17"/>
        <w:keepNext w:val="0"/>
        <w:keepLines w:val="0"/>
        <w:pageBreakBefore w:val="0"/>
        <w:widowControl w:val="0"/>
        <w:numPr>
          <w:ilvl w:val="0"/>
          <w:numId w:val="6"/>
        </w:numPr>
        <w:kinsoku/>
        <w:wordWrap/>
        <w:topLinePunct w:val="0"/>
        <w:bidi w:val="0"/>
        <w:spacing w:line="560" w:lineRule="exact"/>
        <w:ind w:left="0" w:firstLineChars="200" w:firstLine="640"/>
        <w:textAlignment w:val="auto"/>
        <w:rPr>
          <w:rFonts w:ascii="仿宋" w:eastAsia="仿宋" w:hAnsi="仿宋" w:hint="eastAsia"/>
          <w:color w:val="000000"/>
          <w:sz w:val="32"/>
          <w:szCs w:val="32"/>
          <w:lang w:eastAsia="zh-CN"/>
        </w:rPr>
      </w:pPr>
      <w:r>
        <w:rPr>
          <w:rFonts w:ascii="仿宋" w:eastAsia="仿宋" w:hAnsi="仿宋" w:hint="eastAsia"/>
          <w:color w:val="000000"/>
          <w:sz w:val="32"/>
          <w:szCs w:val="32"/>
          <w:lang w:eastAsia="zh-CN"/>
        </w:rPr>
        <w:t>部门财政资金支出情况</w:t>
      </w:r>
    </w:p>
    <w:p>
      <w:pPr>
        <w:pStyle w:val="17"/>
        <w:keepNext w:val="0"/>
        <w:keepLines w:val="0"/>
        <w:pageBreakBefore w:val="0"/>
        <w:widowControl w:val="0"/>
        <w:kinsoku/>
        <w:wordWrap/>
        <w:topLinePunct w:val="0"/>
        <w:bidi w:val="0"/>
        <w:spacing w:line="560" w:lineRule="exact"/>
        <w:textAlignment w:val="auto"/>
        <w:rPr>
          <w:rFonts w:ascii="仿宋" w:eastAsia="仿宋" w:hAnsi="仿宋"/>
          <w:color w:val="000000"/>
          <w:sz w:val="32"/>
          <w:szCs w:val="32"/>
        </w:rPr>
      </w:pPr>
      <w:r>
        <w:rPr>
          <w:rFonts w:ascii="仿宋" w:eastAsia="仿宋" w:hAnsi="仿宋" w:hint="eastAsia"/>
          <w:color w:val="000000"/>
          <w:sz w:val="32"/>
          <w:szCs w:val="32"/>
          <w:lang w:eastAsia="zh-CN"/>
        </w:rPr>
        <w:t>　　2022年</w:t>
      </w:r>
      <w:r>
        <w:rPr>
          <w:rFonts w:ascii="仿宋" w:eastAsia="仿宋" w:hAnsi="仿宋" w:hint="eastAsia"/>
          <w:color w:val="000000"/>
          <w:sz w:val="32"/>
          <w:szCs w:val="32"/>
        </w:rPr>
        <w:t>本年支出合计</w:t>
      </w:r>
      <w:r>
        <w:rPr>
          <w:rFonts w:ascii="仿宋" w:eastAsia="仿宋" w:hAnsi="仿宋" w:hint="eastAsia"/>
          <w:color w:val="000000"/>
          <w:sz w:val="32"/>
          <w:szCs w:val="32"/>
          <w:lang w:val="en-US" w:eastAsia="zh-CN"/>
        </w:rPr>
        <w:t>1228.01</w:t>
      </w:r>
      <w:r>
        <w:rPr>
          <w:rFonts w:ascii="仿宋" w:eastAsia="仿宋" w:hAnsi="仿宋" w:hint="eastAsia"/>
          <w:color w:val="000000"/>
          <w:sz w:val="32"/>
          <w:szCs w:val="32"/>
        </w:rPr>
        <w:t>万元，其中：基本支出万</w:t>
      </w:r>
      <w:r>
        <w:rPr>
          <w:rFonts w:ascii="仿宋" w:eastAsia="仿宋" w:hAnsi="仿宋" w:hint="eastAsia"/>
          <w:color w:val="000000"/>
          <w:sz w:val="32"/>
          <w:szCs w:val="32"/>
          <w:lang w:val="en-US" w:eastAsia="zh-CN"/>
        </w:rPr>
        <w:t>746.88</w:t>
      </w:r>
      <w:r>
        <w:rPr>
          <w:rFonts w:ascii="仿宋" w:eastAsia="仿宋" w:hAnsi="仿宋" w:hint="eastAsia"/>
          <w:color w:val="000000"/>
          <w:sz w:val="32"/>
          <w:szCs w:val="32"/>
        </w:rPr>
        <w:t>元，占</w:t>
      </w:r>
      <w:r>
        <w:rPr>
          <w:rFonts w:ascii="仿宋" w:eastAsia="仿宋" w:hAnsi="仿宋" w:hint="eastAsia"/>
          <w:color w:val="000000"/>
          <w:sz w:val="32"/>
          <w:szCs w:val="32"/>
          <w:lang w:val="en-US" w:eastAsia="zh-CN"/>
        </w:rPr>
        <w:t>60.82</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lang w:val="en-US" w:eastAsia="zh-CN"/>
        </w:rPr>
        <w:t>481.13</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39.18</w:t>
      </w:r>
      <w:r>
        <w:rPr>
          <w:rFonts w:ascii="仿宋" w:eastAsia="仿宋" w:hAnsi="仿宋"/>
          <w:color w:val="000000"/>
          <w:sz w:val="32"/>
          <w:szCs w:val="32"/>
        </w:rPr>
        <w:t>%</w:t>
      </w:r>
      <w:r>
        <w:rPr>
          <w:rFonts w:ascii="仿宋" w:eastAsia="仿宋" w:hAnsi="仿宋" w:hint="eastAsia"/>
          <w:color w:val="000000"/>
          <w:sz w:val="32"/>
          <w:szCs w:val="32"/>
        </w:rPr>
        <w:t>；上缴上级支出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lang w:val="en-US" w:eastAsia="zh-CN"/>
        </w:rPr>
        <w:t>0</w:t>
      </w:r>
      <w:r>
        <w:rPr>
          <w:rFonts w:ascii="仿宋" w:eastAsia="仿宋" w:hAnsi="仿宋" w:hint="eastAsia"/>
          <w:color w:val="000000"/>
          <w:sz w:val="32"/>
          <w:szCs w:val="32"/>
        </w:rPr>
        <w:t>万元，占</w:t>
      </w:r>
      <w:r>
        <w:rPr>
          <w:rFonts w:ascii="仿宋" w:eastAsia="仿宋" w:hAnsi="仿宋" w:hint="eastAsia"/>
          <w:color w:val="000000"/>
          <w:sz w:val="32"/>
          <w:szCs w:val="32"/>
          <w:lang w:val="en-US" w:eastAsia="zh-CN"/>
        </w:rPr>
        <w:t>0</w:t>
      </w:r>
      <w:r>
        <w:rPr>
          <w:rFonts w:ascii="仿宋" w:eastAsia="仿宋" w:hAnsi="仿宋"/>
          <w:color w:val="000000"/>
          <w:sz w:val="32"/>
          <w:szCs w:val="32"/>
        </w:rPr>
        <w:t>%</w:t>
      </w:r>
      <w:r>
        <w:rPr>
          <w:rFonts w:ascii="仿宋" w:eastAsia="仿宋" w:hAnsi="仿宋" w:hint="eastAsia"/>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1"/>
        <w:rPr>
          <w:rFonts w:ascii="仿宋" w:eastAsia="仿宋" w:cs="Times New Roman" w:hAnsi="仿宋" w:hint="eastAsia"/>
          <w:color w:val="000000"/>
          <w:kern w:val="2"/>
          <w:sz w:val="32"/>
          <w:szCs w:val="32"/>
          <w:lang w:val="en-US" w:eastAsia="zh-CN" w:bidi="ar-SA"/>
        </w:rPr>
      </w:pPr>
      <w:r>
        <w:rPr>
          <w:rFonts w:ascii="仿宋_GB2312" w:eastAsia="仿宋_GB2312" w:hint="eastAsia"/>
          <w:color w:val="000000"/>
          <w:sz w:val="32"/>
          <w:szCs w:val="32"/>
          <w:lang w:eastAsia="zh-CN"/>
        </w:rPr>
        <w:t>　</w:t>
      </w:r>
      <w:r>
        <w:rPr>
          <w:rFonts w:ascii="仿宋" w:eastAsia="仿宋" w:cs="Times New Roman" w:hAnsi="仿宋" w:hint="eastAsia"/>
          <w:color w:val="000000"/>
          <w:kern w:val="2"/>
          <w:sz w:val="32"/>
          <w:szCs w:val="32"/>
          <w:lang w:val="en-US" w:eastAsia="zh-CN" w:bidi="ar-SA"/>
        </w:rPr>
        <w:t>　</w:t>
      </w:r>
      <w:bookmarkStart w:id="114" w:name="_Toc16400"/>
      <w:bookmarkStart w:id="115" w:name="_Toc3910"/>
      <w:bookmarkStart w:id="116" w:name="_Toc15718"/>
      <w:r>
        <w:rPr>
          <w:rFonts w:ascii="仿宋" w:eastAsia="仿宋" w:cs="Times New Roman" w:hAnsi="仿宋" w:hint="eastAsia"/>
          <w:color w:val="000000"/>
          <w:kern w:val="2"/>
          <w:sz w:val="32"/>
          <w:szCs w:val="32"/>
          <w:lang w:val="en-US" w:eastAsia="zh-CN" w:bidi="ar-SA"/>
        </w:rPr>
        <w:t>三、部门整体预算绩效管理情况</w:t>
      </w:r>
      <w:bookmarkEnd w:id="114"/>
      <w:bookmarkEnd w:id="115"/>
      <w:bookmarkEnd w:id="116"/>
    </w:p>
    <w:p>
      <w:pPr>
        <w:pStyle w:val="17"/>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sz w:val="32"/>
          <w:szCs w:val="32"/>
          <w:lang w:val="en-US" w:eastAsia="zh-CN"/>
        </w:rPr>
      </w:pPr>
      <w:r>
        <w:rPr>
          <w:rFonts w:ascii="仿宋" w:eastAsia="仿宋" w:cs="Times New Roman" w:hAnsi="仿宋" w:hint="eastAsia"/>
          <w:color w:val="000000"/>
          <w:kern w:val="2"/>
          <w:sz w:val="32"/>
          <w:szCs w:val="32"/>
          <w:lang w:val="en-US" w:eastAsia="zh-CN" w:bidi="ar-SA"/>
        </w:rPr>
        <w:t>本部门按要求对2022年部门整体支</w:t>
      </w:r>
      <w:r>
        <w:rPr>
          <w:rFonts w:ascii="仿宋_GB2312" w:eastAsia="仿宋_GB2312" w:cs="仿宋_GB2312" w:hAnsi="仿宋_GB2312" w:hint="eastAsia"/>
          <w:sz w:val="32"/>
          <w:szCs w:val="32"/>
        </w:rPr>
        <w:t>出开展绩效自评，</w:t>
      </w:r>
      <w:r>
        <w:rPr>
          <w:rFonts w:ascii="仿宋_GB2312" w:eastAsia="仿宋_GB2312" w:cs="仿宋_GB2312" w:hAnsi="仿宋_GB2312" w:hint="eastAsia"/>
          <w:sz w:val="32"/>
          <w:szCs w:val="32"/>
          <w:lang w:eastAsia="zh-CN"/>
        </w:rPr>
        <w:t>从评价情况来看，绩效目标完成情况良好，通过项目绩效目标设定和监督实施，采用年初与涉及项目的</w:t>
      </w:r>
      <w:r>
        <w:rPr>
          <w:rFonts w:ascii="仿宋_GB2312" w:eastAsia="仿宋_GB2312" w:cs="仿宋_GB2312" w:hAnsi="仿宋_GB2312" w:hint="eastAsia"/>
          <w:sz w:val="32"/>
          <w:szCs w:val="32"/>
          <w:lang w:val="en-US" w:eastAsia="zh-CN"/>
        </w:rPr>
        <w:t>股室和下属部门签订目标责任书、实施过程中不定期督查、对做的好的表扬鼓励、对做的差的批评并限期整改、目标绩效工作纳入年终综合考评与目标奖挂钩等方式，促进我办在网络平台建设、信息调研、督查督办、民营经济、办文办会、爱国卫生、金融服务、地方志、值班室等工作中都取得了好成绩，圆满完成各项任务，受到市区表彰奖励。</w:t>
      </w:r>
    </w:p>
    <w:p>
      <w:pPr>
        <w:pStyle w:val="17"/>
        <w:keepNext w:val="0"/>
        <w:keepLines w:val="0"/>
        <w:pageBreakBefore w:val="0"/>
        <w:widowControl w:val="0"/>
        <w:numPr>
          <w:ilvl w:val="0"/>
          <w:numId w:val="7"/>
        </w:numPr>
        <w:kinsoku/>
        <w:wordWrap/>
        <w:topLinePunct w:val="0"/>
        <w:bidi w:val="0"/>
        <w:spacing w:line="560" w:lineRule="exact"/>
        <w:ind w:leftChars="304" w:left="638" w:firstLine="0"/>
        <w:textAlignment w:val="auto"/>
        <w:rPr>
          <w:rFonts w:ascii="仿宋_GB2312" w:eastAsia="仿宋_GB2312" w:cs="仿宋_GB2312" w:hAnsi="仿宋_GB2312" w:hint="eastAsia"/>
          <w:kern w:val="2"/>
          <w:sz w:val="32"/>
          <w:szCs w:val="32"/>
          <w:lang w:val="en-US" w:eastAsia="zh-CN" w:bidi="ar-SA"/>
        </w:rPr>
      </w:pPr>
      <w:r>
        <w:rPr>
          <w:rFonts w:ascii="仿宋_GB2312" w:eastAsia="仿宋_GB2312" w:cs="仿宋_GB2312" w:hAnsi="仿宋_GB2312" w:hint="eastAsia"/>
          <w:kern w:val="2"/>
          <w:sz w:val="32"/>
          <w:szCs w:val="32"/>
          <w:lang w:val="en-US" w:eastAsia="zh-CN" w:bidi="ar-SA"/>
        </w:rPr>
        <w:t>部门预算项目绩效管理</w:t>
      </w:r>
    </w:p>
    <w:p>
      <w:pPr>
        <w:pStyle w:val="17"/>
        <w:keepNext w:val="0"/>
        <w:keepLines w:val="0"/>
        <w:pageBreakBefore w:val="0"/>
        <w:widowControl w:val="0"/>
        <w:kinsoku/>
        <w:wordWrap/>
        <w:topLinePunct w:val="0"/>
        <w:bidi w:val="0"/>
        <w:spacing w:line="560" w:lineRule="exact"/>
        <w:ind w:left="0" w:firstLineChars="200" w:firstLine="640"/>
        <w:textAlignment w:val="auto"/>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根据预算绩效管理要求，本部门在年初预算编制阶段，按照“</w:t>
      </w:r>
      <w:r>
        <w:rPr>
          <w:rFonts w:ascii="仿宋_GB2312" w:eastAsia="仿宋_GB2312" w:cs="仿宋_GB2312" w:hAnsi="仿宋_GB2312" w:hint="eastAsia"/>
          <w:kern w:val="2"/>
          <w:sz w:val="32"/>
          <w:szCs w:val="32"/>
          <w:lang w:val="en-US" w:eastAsia="zh-CN" w:bidi="ar-SA"/>
        </w:rPr>
        <w:t>先预算、后使用”的原则，</w:t>
      </w:r>
      <w:r>
        <w:rPr>
          <w:rFonts w:ascii="仿宋_GB2312" w:eastAsia="仿宋_GB2312" w:cs="仿宋_GB2312" w:hAnsi="仿宋_GB2312" w:hint="eastAsia"/>
          <w:sz w:val="32"/>
          <w:szCs w:val="32"/>
          <w:lang w:val="en-US" w:eastAsia="zh-CN"/>
        </w:rPr>
        <w:t>组织对区政府重大决策等项目开展了预算事前绩效评估，对每个项目编制了绩效目标，预算执行过程中，选取区政府重大决策、公务用车运行、值班室运行经费等部分项目开展绩效监控，年终执行完毕后，对全部项目开展了绩效目标完成情况自评，项目执行情况良好，项目管理规范，资金管理制度较为完善，预算资金能基本保证各项目实施，使用依法合规、有效、财务信息真实完整。</w:t>
      </w:r>
    </w:p>
    <w:p>
      <w:pPr>
        <w:pStyle w:val="17"/>
        <w:keepNext w:val="0"/>
        <w:keepLines w:val="0"/>
        <w:pageBreakBefore w:val="0"/>
        <w:widowControl w:val="0"/>
        <w:kinsoku/>
        <w:wordWrap/>
        <w:topLinePunct w:val="0"/>
        <w:bidi w:val="0"/>
        <w:spacing w:line="560" w:lineRule="exact"/>
        <w:ind w:firstLineChars="200" w:firstLine="640"/>
        <w:textAlignment w:val="auto"/>
        <w:rPr>
          <w:rFonts w:ascii="仿宋_GB2312" w:eastAsia="仿宋_GB2312" w:cs="仿宋_GB2312" w:hAnsi="仿宋_GB2312" w:hint="eastAsia"/>
          <w:kern w:val="2"/>
          <w:sz w:val="32"/>
          <w:szCs w:val="32"/>
          <w:lang w:val="en-US" w:eastAsia="zh-CN" w:bidi="ar-SA"/>
        </w:rPr>
      </w:pPr>
      <w:r>
        <w:rPr>
          <w:rFonts w:ascii="仿宋_GB2312" w:eastAsia="仿宋_GB2312" w:cs="仿宋_GB2312" w:hAnsi="仿宋_GB2312" w:hint="eastAsia"/>
          <w:kern w:val="2"/>
          <w:sz w:val="32"/>
          <w:szCs w:val="32"/>
          <w:lang w:val="en-US" w:eastAsia="zh-CN" w:bidi="ar-SA"/>
        </w:rPr>
        <w:t>（二）结果应用情况</w:t>
        <w:br/>
        <w:t>　　各项专项资金保证了工作正常有序的推进，通过监测、调查对工作实施效果和存在的问题有效梳理和解决，举一反三为各项工作打好坚实的基础。</w:t>
        <w:br/>
        <w:t>　　（三）自评质量</w:t>
        <w:br/>
        <w:t>　　对照《2022年区级部门整体支出绩效评价指标体系》，严格按照计分标准对本部门2022年度整体支出情况开展自评，自评得分95.5分。</w:t>
      </w:r>
    </w:p>
    <w:p>
      <w:pPr>
        <w:pStyle w:val="16"/>
        <w:keepNext w:val="0"/>
        <w:keepLines w:val="0"/>
        <w:pageBreakBefore w:val="0"/>
        <w:widowControl w:val="0"/>
        <w:kinsoku/>
        <w:wordWrap/>
        <w:overflowPunct/>
        <w:topLinePunct w:val="0"/>
        <w:autoSpaceDE/>
        <w:autoSpaceDN/>
        <w:bidi w:val="0"/>
        <w:spacing w:after="0" w:line="560" w:lineRule="exact"/>
        <w:ind w:leftChars="0" w:left="0" w:firstLineChars="200" w:firstLine="640"/>
        <w:textAlignment w:val="auto"/>
        <w:rPr>
          <w:rFonts w:ascii="仿宋" w:eastAsia="仿宋" w:cs="仿宋" w:hAnsi="仿宋" w:hint="eastAsia"/>
          <w:sz w:val="32"/>
          <w:szCs w:val="32"/>
          <w:lang w:val="zh-CN"/>
        </w:rPr>
      </w:pPr>
      <w:r>
        <w:rPr>
          <w:rFonts w:ascii="仿宋_GB2312" w:eastAsia="仿宋_GB2312" w:cs="仿宋_GB2312" w:hAnsi="仿宋_GB2312" w:hint="eastAsia"/>
          <w:kern w:val="2"/>
          <w:sz w:val="32"/>
          <w:szCs w:val="32"/>
          <w:lang w:val="en-US" w:eastAsia="zh-CN" w:bidi="ar-SA"/>
        </w:rPr>
        <w:t>四、评价结论及建议</w:t>
        <w:br/>
        <w:t>　　（一）评价结论</w:t>
        <w:br/>
        <w:t>　　本部门按要求对2022年部门整体支出开展绩效自评，从评价情况来看项目完成、项目效益、满意度等方面绩效指标完成情况良好。本部门还进行了专项支出绩效评价，从评价情况来看项目完成、项目效益、满意度等方面绩效指标完成情况良好。</w:t>
        <w:br/>
        <w:t>　（二）存在问题</w:t>
        <w:br/>
        <w:t xml:space="preserve">    1、</w:t>
      </w:r>
      <w:r>
        <w:rPr>
          <w:rFonts w:ascii="仿宋" w:eastAsia="仿宋" w:cs="仿宋" w:hAnsi="仿宋" w:hint="eastAsia"/>
          <w:sz w:val="32"/>
          <w:szCs w:val="32"/>
          <w:lang w:val="zh-CN"/>
        </w:rPr>
        <w:t>财务管理方面，会计核算还不够细致，对于有些能够细分的工作，未能详细分类核算；</w:t>
      </w:r>
    </w:p>
    <w:p>
      <w:pPr>
        <w:pStyle w:val="16"/>
        <w:keepNext w:val="0"/>
        <w:keepLines w:val="0"/>
        <w:pageBreakBefore w:val="0"/>
        <w:widowControl w:val="0"/>
        <w:kinsoku/>
        <w:wordWrap/>
        <w:overflowPunct/>
        <w:topLinePunct w:val="0"/>
        <w:autoSpaceDE/>
        <w:autoSpaceDN/>
        <w:bidi w:val="0"/>
        <w:spacing w:after="0" w:line="560" w:lineRule="exact"/>
        <w:ind w:leftChars="0" w:left="0" w:firstLineChars="200" w:firstLine="640"/>
        <w:textAlignment w:val="auto"/>
        <w:rPr>
          <w:rFonts w:ascii="仿宋" w:eastAsia="仿宋" w:cs="仿宋" w:hAnsi="仿宋" w:hint="eastAsia"/>
          <w:sz w:val="32"/>
          <w:szCs w:val="32"/>
          <w:lang w:val="zh-CN"/>
        </w:rPr>
      </w:pPr>
      <w:r>
        <w:rPr>
          <w:rFonts w:ascii="仿宋" w:eastAsia="仿宋" w:cs="仿宋" w:hAnsi="仿宋" w:hint="eastAsia"/>
          <w:sz w:val="32"/>
          <w:szCs w:val="32"/>
          <w:lang w:val="en-US" w:eastAsia="zh-CN"/>
        </w:rPr>
        <w:t>2、</w:t>
      </w:r>
      <w:r>
        <w:rPr>
          <w:rFonts w:ascii="仿宋" w:eastAsia="仿宋" w:cs="仿宋" w:hAnsi="仿宋" w:hint="eastAsia"/>
          <w:sz w:val="32"/>
          <w:szCs w:val="32"/>
          <w:lang w:val="zh-CN"/>
        </w:rPr>
        <w:t>绩效评价基础数据不够精准。</w:t>
      </w:r>
    </w:p>
    <w:p>
      <w:pPr>
        <w:pStyle w:val="17"/>
        <w:keepNext w:val="0"/>
        <w:keepLines w:val="0"/>
        <w:pageBreakBefore w:val="0"/>
        <w:widowControl w:val="0"/>
        <w:kinsoku/>
        <w:wordWrap/>
        <w:topLinePunct w:val="0"/>
        <w:bidi w:val="0"/>
        <w:spacing w:line="560" w:lineRule="exact"/>
        <w:ind w:firstLineChars="100" w:firstLine="320"/>
        <w:textAlignment w:val="auto"/>
        <w:rPr>
          <w:rFonts w:ascii="仿宋_GB2312" w:eastAsia="仿宋_GB2312" w:cs="仿宋_GB2312" w:hAnsi="仿宋_GB2312" w:hint="eastAsia"/>
          <w:bCs/>
          <w:kern w:val="0"/>
          <w:sz w:val="32"/>
          <w:szCs w:val="32"/>
          <w:lang w:val="en-US" w:eastAsia="zh-CN"/>
        </w:rPr>
      </w:pPr>
      <w:r>
        <w:rPr>
          <w:rFonts w:ascii="仿宋_GB2312" w:eastAsia="仿宋_GB2312" w:cs="仿宋_GB2312" w:hAnsi="仿宋_GB2312" w:hint="eastAsia"/>
          <w:kern w:val="2"/>
          <w:sz w:val="32"/>
          <w:szCs w:val="32"/>
          <w:lang w:val="en-US" w:eastAsia="zh-CN" w:bidi="ar-SA"/>
        </w:rPr>
        <w:t>（三）改进建议</w:t>
        <w:br/>
        <w:t>　　1．进一步强化绩效管理意识，整体提高绩效实施和绩效目标编报质量，</w:t>
      </w:r>
      <w:r>
        <w:rPr>
          <w:rFonts w:ascii="仿宋_GB2312" w:eastAsia="仿宋_GB2312" w:cs="仿宋_GB2312" w:hAnsi="仿宋_GB2312" w:hint="eastAsia"/>
          <w:sz w:val="32"/>
          <w:szCs w:val="32"/>
        </w:rPr>
        <w:t>提高可持续发展力</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kern w:val="2"/>
          <w:sz w:val="32"/>
          <w:szCs w:val="32"/>
          <w:lang w:val="en-US" w:eastAsia="zh-CN" w:bidi="ar-SA"/>
        </w:rPr>
        <w:br/>
        <w:t>　　2．加强预算绩效管理制度及新预算法学习培训。</w:t>
      </w:r>
      <w:r>
        <w:rPr>
          <w:rFonts w:ascii="仿宋_GB2312" w:eastAsia="仿宋_GB2312" w:cs="仿宋_GB2312" w:hAnsi="仿宋_GB2312" w:hint="eastAsia"/>
          <w:bCs/>
          <w:kern w:val="0"/>
          <w:sz w:val="32"/>
          <w:szCs w:val="32"/>
          <w:lang w:val="en-US" w:eastAsia="zh-CN"/>
        </w:rPr>
        <w:t>在年度预算执行过程中，严格按照年初设定的工作目标任务支付资金。</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color w:val="000000"/>
          <w:kern w:val="0"/>
          <w:sz w:val="32"/>
          <w:szCs w:val="32"/>
          <w:shd w:val="clear" w:color="auto" w:fill="FFFFFF"/>
          <w:lang w:val="zh-CN"/>
        </w:rPr>
      </w:pPr>
      <w:r>
        <w:rPr>
          <w:rFonts w:ascii="仿宋" w:eastAsia="仿宋" w:cs="仿宋" w:hAnsi="仿宋" w:hint="eastAsia"/>
          <w:b w:val="0"/>
          <w:bCs/>
          <w:color w:val="000000"/>
          <w:kern w:val="0"/>
          <w:sz w:val="32"/>
          <w:szCs w:val="32"/>
          <w:shd w:val="clear" w:color="auto" w:fill="FFFFFF"/>
          <w:lang w:val="en-US" w:eastAsia="zh-CN"/>
        </w:rPr>
        <w:t>3</w:t>
      </w:r>
      <w:r>
        <w:rPr>
          <w:rFonts w:ascii="仿宋" w:eastAsia="仿宋" w:cs="仿宋" w:hAnsi="仿宋" w:hint="eastAsia"/>
          <w:b w:val="0"/>
          <w:bCs/>
          <w:color w:val="000000"/>
          <w:kern w:val="0"/>
          <w:sz w:val="32"/>
          <w:szCs w:val="32"/>
          <w:shd w:val="clear" w:color="auto" w:fill="FFFFFF"/>
          <w:lang w:val="zh-CN"/>
        </w:rPr>
        <w:t>.对于能细分、归总的业务工作，效仿专项支出进行管理，以便更好的进行绩效评价，发现不足，提出改进。</w:t>
      </w:r>
    </w:p>
    <w:p>
      <w:pPr>
        <w:keepNext w:val="0"/>
        <w:keepLines w:val="0"/>
        <w:pageBreakBefore w:val="0"/>
        <w:widowControl/>
        <w:kinsoku/>
        <w:wordWrap/>
        <w:overflowPunct/>
        <w:topLinePunct w:val="0"/>
        <w:autoSpaceDE/>
        <w:autoSpaceDN/>
        <w:bidi w:val="0"/>
        <w:adjustRightInd w:val="0"/>
        <w:snapToGrid w:val="0"/>
        <w:spacing w:line="560" w:lineRule="exact"/>
        <w:ind w:firstLineChars="200" w:firstLine="640"/>
        <w:contextualSpacing/>
        <w:jc w:val="left"/>
        <w:textAlignment w:val="auto"/>
        <w:rPr>
          <w:rFonts w:ascii="仿宋" w:eastAsia="仿宋" w:cs="仿宋" w:hAnsi="仿宋" w:hint="eastAsia"/>
          <w:b w:val="0"/>
          <w:bCs/>
          <w:color w:val="000000"/>
          <w:kern w:val="0"/>
          <w:sz w:val="32"/>
          <w:szCs w:val="32"/>
          <w:shd w:val="clear" w:color="auto" w:fill="FFFFFF"/>
          <w:lang w:val="zh-CN"/>
        </w:rPr>
      </w:pPr>
      <w:r>
        <w:rPr>
          <w:rFonts w:ascii="仿宋" w:eastAsia="仿宋" w:cs="仿宋" w:hAnsi="仿宋" w:hint="eastAsia"/>
          <w:b w:val="0"/>
          <w:bCs/>
          <w:color w:val="000000"/>
          <w:kern w:val="0"/>
          <w:sz w:val="32"/>
          <w:szCs w:val="32"/>
          <w:shd w:val="clear" w:color="auto" w:fill="FFFFFF"/>
          <w:lang w:val="en-US" w:eastAsia="zh-CN"/>
        </w:rPr>
        <w:t>4</w:t>
      </w:r>
      <w:r>
        <w:rPr>
          <w:rFonts w:ascii="仿宋" w:eastAsia="仿宋" w:cs="仿宋" w:hAnsi="仿宋" w:hint="eastAsia"/>
          <w:b w:val="0"/>
          <w:bCs/>
          <w:color w:val="000000"/>
          <w:kern w:val="0"/>
          <w:sz w:val="32"/>
          <w:szCs w:val="32"/>
          <w:shd w:val="clear" w:color="auto" w:fill="FFFFFF"/>
          <w:lang w:val="zh-CN"/>
        </w:rPr>
        <w:t>.财务上，会计核算要更加详细，为本单位各项工作的</w:t>
      </w:r>
    </w:p>
    <w:p>
      <w:pPr>
        <w:keepNext w:val="0"/>
        <w:keepLines w:val="0"/>
        <w:pageBreakBefore w:val="0"/>
        <w:widowControl/>
        <w:kinsoku/>
        <w:wordWrap/>
        <w:overflowPunct/>
        <w:topLinePunct w:val="0"/>
        <w:autoSpaceDE/>
        <w:autoSpaceDN/>
        <w:bidi w:val="0"/>
        <w:adjustRightInd w:val="0"/>
        <w:snapToGrid w:val="0"/>
        <w:spacing w:line="560" w:lineRule="exact"/>
        <w:contextualSpacing/>
        <w:jc w:val="left"/>
        <w:textAlignment w:val="auto"/>
        <w:rPr>
          <w:rFonts w:ascii="仿宋" w:eastAsia="仿宋" w:cs="仿宋" w:hAnsi="仿宋" w:hint="eastAsia"/>
          <w:b w:val="0"/>
          <w:bCs/>
          <w:color w:val="000000"/>
          <w:kern w:val="0"/>
          <w:sz w:val="32"/>
          <w:szCs w:val="32"/>
          <w:shd w:val="clear" w:color="auto" w:fill="FFFFFF"/>
          <w:lang w:val="zh-CN"/>
        </w:rPr>
      </w:pPr>
      <w:r>
        <w:rPr>
          <w:rFonts w:ascii="仿宋" w:eastAsia="仿宋" w:cs="仿宋" w:hAnsi="仿宋" w:hint="eastAsia"/>
          <w:b w:val="0"/>
          <w:bCs/>
          <w:color w:val="000000"/>
          <w:kern w:val="0"/>
          <w:sz w:val="32"/>
          <w:szCs w:val="32"/>
          <w:shd w:val="clear" w:color="auto" w:fill="FFFFFF"/>
          <w:lang w:val="zh-CN"/>
        </w:rPr>
        <w:t>开展、总结、评估提供有效数据资料支撑，为各项业务工作更好的开展提供帮助。</w:t>
      </w:r>
    </w:p>
    <w:p>
      <w:pPr>
        <w:rPr>
          <w:rFonts w:hint="eastAsia"/>
          <w:lang w:val="zh-CN"/>
        </w:rPr>
        <w:sectPr>
          <w:footerReference w:type="default" r:id="rId5"/>
          <w:footerReference w:type="first" r:id="rId6"/>
          <w:pgSz w:w="11906" w:h="16838"/>
          <w:pgMar w:top="1440" w:right="1800" w:bottom="1440" w:left="1800" w:header="851" w:footer="992" w:gutter="0"/>
          <w:pgNumType w:start="1"/>
          <w:cols w:num="1" w:space="425"/>
          <w:docGrid w:type="lines" w:linePitch="312" w:charSpace="0"/>
        </w:sectPr>
      </w:pPr>
    </w:p>
    <w:p>
      <w:pPr>
        <w:pStyle w:val="16"/>
        <w:ind w:leftChars="0" w:left="0" w:firstLineChars="0" w:firstLine="0"/>
        <w:rPr>
          <w:rFonts w:hint="eastAsia"/>
          <w:lang w:val="zh-CN"/>
        </w:rPr>
      </w:pPr>
    </w:p>
    <w:p>
      <w:pPr>
        <w:pStyle w:val="16"/>
        <w:keepNext w:val="0"/>
        <w:keepLines w:val="0"/>
        <w:pageBreakBefore w:val="0"/>
        <w:widowControl w:val="0"/>
        <w:kinsoku/>
        <w:wordWrap/>
        <w:overflowPunct/>
        <w:topLinePunct w:val="0"/>
        <w:autoSpaceDE/>
        <w:autoSpaceDN/>
        <w:bidi w:val="0"/>
        <w:spacing w:after="0" w:line="560" w:lineRule="exact"/>
        <w:ind w:leftChars="0" w:left="0" w:firstLineChars="200" w:firstLine="640"/>
        <w:textAlignment w:val="auto"/>
        <w:rPr>
          <w:rFonts w:ascii="仿宋_GB2312" w:eastAsia="仿宋_GB2312" w:cs="仿宋_GB2312" w:hAnsi="仿宋_GB2312" w:hint="eastAsia"/>
          <w:color w:val="auto"/>
          <w:sz w:val="32"/>
          <w:szCs w:val="32"/>
          <w:lang w:val="zh-CN" w:eastAsia="zh-CN"/>
          <w:highlight w:val="auto"/>
        </w:rPr>
      </w:pPr>
      <w:r>
        <w:rPr>
          <w:rFonts w:ascii="仿宋_GB2312" w:eastAsia="仿宋_GB2312" w:cs="仿宋_GB2312" w:hAnsi="仿宋_GB2312" w:hint="eastAsia"/>
          <w:color w:val="auto"/>
          <w:sz w:val="32"/>
          <w:szCs w:val="32"/>
          <w:lang w:val="zh-CN" w:eastAsia="zh-CN"/>
          <w:highlight w:val="auto"/>
        </w:rPr>
        <w:t>附表：</w:t>
      </w:r>
      <w:r>
        <w:rPr>
          <w:rFonts w:ascii="仿宋_GB2312" w:eastAsia="仿宋_GB2312" w:cs="仿宋_GB2312" w:hAnsi="仿宋_GB2312" w:hint="eastAsia"/>
          <w:color w:val="auto"/>
          <w:sz w:val="32"/>
          <w:szCs w:val="32"/>
          <w:lang w:val="en-US" w:eastAsia="zh-CN"/>
          <w:highlight w:val="auto"/>
        </w:rPr>
        <w:t>部门预算项目支出绩效自评表（2022年度）</w:t>
      </w:r>
    </w:p>
    <w:tbl>
      <w:tblPr>
        <w:jc w:val="left"/>
        <w:tblInd w:w="0" w:type="dxa"/>
        <w:tblW w:w="4997"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332"/>
        <w:gridCol w:w="1383"/>
        <w:gridCol w:w="1119"/>
        <w:gridCol w:w="3292"/>
        <w:gridCol w:w="414"/>
        <w:gridCol w:w="977"/>
        <w:gridCol w:w="411"/>
        <w:gridCol w:w="858"/>
        <w:gridCol w:w="612"/>
        <w:gridCol w:w="754"/>
        <w:gridCol w:w="3014"/>
      </w:tblGrid>
      <w:tr>
        <w:trPr>
          <w:trHeight w:val="405"/>
        </w:trPr>
        <w:tc>
          <w:tcPr>
            <w:tcW w:w="47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topLinePunct w:val="0"/>
              <w:bidi w:val="0"/>
              <w:jc w:val="left"/>
              <w:textAlignment w:val="center"/>
              <w:rPr>
                <w:rFonts w:ascii="黑体" w:eastAsia="黑体" w:cs="黑体" w:hAnsi="宋体" w:hint="eastAsia"/>
                <w:i w:val="0"/>
                <w:iCs w:val="0"/>
                <w:color w:val="000000"/>
                <w:sz w:val="32"/>
                <w:szCs w:val="32"/>
                <w:u w:val="none"/>
                <w:lang w:eastAsia="zh-CN"/>
              </w:rPr>
            </w:pPr>
            <w:r>
              <w:rPr>
                <w:rFonts w:ascii="黑体" w:eastAsia="黑体" w:cs="黑体" w:hAnsi="宋体" w:hint="eastAsia"/>
                <w:i w:val="0"/>
                <w:iCs w:val="0"/>
                <w:color w:val="000000"/>
                <w:sz w:val="32"/>
                <w:szCs w:val="32"/>
                <w:u w:val="none"/>
                <w:lang w:eastAsia="zh-CN"/>
              </w:rPr>
              <w:t>附表：</w:t>
            </w:r>
          </w:p>
        </w:tc>
        <w:tc>
          <w:tcPr>
            <w:tcW w:w="487"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395"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1162"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345"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144"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302"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216"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266"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c>
          <w:tcPr>
            <w:tcW w:w="1062" w:type="pct"/>
            <w:tcBorders>
              <w:top w:val="nil"/>
              <w:left w:val="nil"/>
              <w:bottom w:val="nil"/>
              <w:right w:val="nil"/>
            </w:tcBorders>
            <w:shd w:val="clear" w:color="auto" w:fill="auto"/>
            <w:noWrap/>
            <w:vAlign w:val="center"/>
          </w:tcPr>
          <w:p>
            <w:pPr>
              <w:pageBreakBefore w:val="0"/>
              <w:widowControl w:val="0"/>
              <w:kinsoku/>
              <w:wordWrap/>
              <w:topLinePunct w:val="0"/>
              <w:bidi w:val="0"/>
              <w:rPr>
                <w:rFonts w:ascii="宋体" w:eastAsia="宋体" w:cs="宋体" w:hAnsi="宋体" w:hint="eastAsia"/>
                <w:i w:val="0"/>
                <w:iCs w:val="0"/>
                <w:color w:val="000000"/>
                <w:sz w:val="22"/>
                <w:szCs w:val="22"/>
                <w:u w:val="none"/>
              </w:rPr>
            </w:pPr>
          </w:p>
        </w:tc>
      </w:tr>
      <w:tr>
        <w:trPr>
          <w:trHeight w:val="570"/>
        </w:trPr>
        <w:tc>
          <w:tcPr>
            <w:tcW w:w="5000" w:type="pct"/>
            <w:gridSpan w:val="11"/>
            <w:tcBorders>
              <w:top w:val="nil"/>
              <w:left w:val="nil"/>
              <w:bottom w:val="nil"/>
              <w:right w:val="nil"/>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部门预算项目支出绩效目标自评表（2022年度）</w:t>
            </w:r>
          </w:p>
        </w:tc>
      </w:tr>
      <w:tr>
        <w:trPr>
          <w:trHeight w:val="380"/>
        </w:trPr>
        <w:tc>
          <w:tcPr>
            <w:tcW w:w="9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40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部门预算</w:t>
            </w:r>
          </w:p>
        </w:tc>
      </w:tr>
      <w:tr>
        <w:trPr>
          <w:trHeight w:val="280"/>
        </w:trPr>
        <w:tc>
          <w:tcPr>
            <w:tcW w:w="95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rPr>
                <w:rFonts w:ascii="宋体" w:eastAsia="宋体" w:cs="宋体" w:hAnsi="宋体" w:hint="eastAsia"/>
                <w:i w:val="0"/>
                <w:iCs w:val="0"/>
                <w:color w:val="000000"/>
                <w:sz w:val="18"/>
                <w:szCs w:val="18"/>
                <w:u w:val="none"/>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184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288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19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深入全面开展调研工作，保障区政府领导层决策的落实落地；承办年度各项会议筹备工作；做好政府24小时值班值守工作，各级政令及时上传下达；保障开展专项督办活动，确保政府部门工作及时、高效；推进我区民营经济管理和服务工作，抓实优化营商环境工作；保障电子政务外网运行正常，依托电子政务外网构建我区相关应用系统；完成《广元市市中区志》《广元市利州区抗震救灾志》《利州年鉴》（2019年度内容）搜集、整理、编纂、评审及送审，《广元年鉴》利州篇编印；《利州年鉴》编纂出版工作；抗震救灾志出版印刷发行；政府档案规范化管理；优化营商环境、打造川内最优营商环境；基层政务公开标准体系全面建成，实现政务公开与政务决策、政务服务有机融合；</w:t>
            </w:r>
          </w:p>
        </w:tc>
        <w:tc>
          <w:tcPr>
            <w:tcW w:w="184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各项专项资金保证了工作正常有序的推进，通过监测、调查对工作实施效果和存在的问题有效梳理和解决，举一反三为各项工作打好坚实的基础。</w:t>
            </w:r>
          </w:p>
        </w:tc>
      </w:tr>
      <w:tr>
        <w:trPr>
          <w:trHeight w:val="98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4041" w:type="pct"/>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通过项目绩效目标设定和监督实施，采用年初与涉及项目的股室和下属部门签订目标责任书、实施过程中不定期督查、对做的好的表扬鼓励、对做的差的批评并限期整改、目标绩效工作纳入年终综合考评与目标奖挂钩等方式，促进我办在网络平台建设、信息调研、督查督办、民营经济、办文办会、爱国卫生、金融服务、地方志、值班室等工作中都取得了好成绩，圆满完成各项任务，受到市区表彰奖励。</w:t>
            </w:r>
          </w:p>
        </w:tc>
      </w:tr>
      <w:tr>
        <w:trPr>
          <w:trHeight w:val="540"/>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991.75</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991.75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rPr>
                <w:rFonts w:ascii="宋体" w:eastAsia="宋体" w:cs="宋体" w:hAnsi="宋体" w:hint="eastAsia"/>
                <w:i w:val="0"/>
                <w:iCs w:val="0"/>
                <w:color w:val="000000"/>
                <w:sz w:val="18"/>
                <w:szCs w:val="18"/>
                <w:u w:val="none"/>
              </w:rPr>
            </w:pPr>
          </w:p>
        </w:tc>
      </w:tr>
      <w:tr>
        <w:trPr>
          <w:trHeight w:val="30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991.75</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991.75</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6"/>
                <w:szCs w:val="16"/>
                <w:u w:val="none"/>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6"/>
                <w:szCs w:val="16"/>
                <w:u w:val="none"/>
              </w:rPr>
            </w:pPr>
          </w:p>
        </w:tc>
        <w:tc>
          <w:tcPr>
            <w:tcW w:w="63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6"/>
                <w:szCs w:val="16"/>
                <w:u w:val="none"/>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6"/>
                <w:szCs w:val="16"/>
                <w:u w:val="none"/>
              </w:rPr>
            </w:pP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06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保障用车</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辆</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政府文电会务保障</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次/月</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政务值班值守</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24</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小时</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推进全区民营经济工作会议</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次/月</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0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人员工资福利和公用经费支出</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政府档案规范化管理</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年</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全区电子政务外网覆盖率</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val="restart"/>
            <w:tcBorders>
              <w:top w:val="nil"/>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各项文稿、会议、资料合规严谨，政策决策执行不折不扣</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nil"/>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全面做好政府后勤保障，充分休现为决策层服务和实施决策协调、督办等管理职能</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nil"/>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民营经济、优化营商环境等工作高要求有序推进，政务值守工作零差错</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nil"/>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政务依法公开、平台体系完整、网络全面保障</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nil"/>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加强安全教育，全面保障公务车辆安全运行</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54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nil"/>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资料收集全面完整、记载真实、编写规范</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按全区重点工作安排，无差错做好服务和管理</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值班值守、政务外网管理等工作严格按上级要求落实</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各项志书资料收集、整理、印刷严格按上级时间节点要求落实</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省、市、区视频调度、会议，各种网络实时保障</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工作所需的人财物全面保障</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项目建设需要资金保障，促项目建设落实、做优、建好</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 益 指 标</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实现政令畅通，推进全区发展</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城乡人居环境干净整洁有序</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惠民、便民、利民政策落实落地</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社会事业、社会经济、信息化等全方位进步</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政务、营商环境提升利于引进资金、人才，加速全区发展</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45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城乡人居环境干净整洁有序，康养福地逐步建成，促进地方经济发展</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精神文明和物质文明同步发展</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r>
              <w:rPr>
                <w:rFonts w:ascii="宋体" w:cs="宋体" w:hAnsi="宋体" w:hint="eastAsia"/>
                <w:i w:val="0"/>
                <w:iCs w:val="0"/>
                <w:color w:val="000000"/>
                <w:kern w:val="0"/>
                <w:sz w:val="18"/>
                <w:szCs w:val="18"/>
                <w:u w:val="none"/>
                <w:lang w:val="en-US" w:eastAsia="zh-CN"/>
              </w:rPr>
              <w:t>4</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39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全面落实上级政策部署，满意度</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单位内部满意度</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管理和服务对象满意度</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90</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95</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人员工资福利和公用经费支出</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593.52</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w:t>
            </w: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项目建设经费支出</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正向</w:t>
            </w: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327.564</w:t>
            </w: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470" w:type="pct"/>
            <w:tcBorders>
              <w:top w:val="nil"/>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b/>
                <w:bCs/>
                <w:i w:val="0"/>
                <w:iCs w:val="0"/>
                <w:color w:val="000000"/>
                <w:sz w:val="18"/>
                <w:szCs w:val="18"/>
                <w:u w:val="none"/>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39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1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345"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144"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w:t>
            </w:r>
            <w:r>
              <w:rPr>
                <w:rFonts w:ascii="宋体" w:cs="宋体" w:hAnsi="宋体" w:hint="eastAsia"/>
                <w:i w:val="0"/>
                <w:iCs w:val="0"/>
                <w:color w:val="000000"/>
                <w:kern w:val="0"/>
                <w:sz w:val="18"/>
                <w:szCs w:val="18"/>
                <w:u w:val="none"/>
                <w:lang w:val="en-US" w:eastAsia="zh-CN"/>
              </w:rPr>
              <w:t>5</w:t>
            </w: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jc w:val="center"/>
              <w:rPr>
                <w:rFonts w:ascii="宋体" w:eastAsia="宋体" w:cs="宋体" w:hAnsi="宋体" w:hint="eastAsia"/>
                <w:i w:val="0"/>
                <w:iCs w:val="0"/>
                <w:color w:val="000000"/>
                <w:sz w:val="18"/>
                <w:szCs w:val="18"/>
                <w:u w:val="none"/>
              </w:rPr>
            </w:pPr>
          </w:p>
        </w:tc>
      </w:tr>
      <w:tr>
        <w:trPr>
          <w:trHeight w:val="270"/>
        </w:trPr>
        <w:tc>
          <w:tcPr>
            <w:tcW w:w="3454"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21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rPr>
                <w:rFonts w:ascii="宋体" w:eastAsia="宋体" w:cs="宋体" w:hAnsi="宋体" w:hint="eastAsia"/>
                <w:i w:val="0"/>
                <w:iCs w:val="0"/>
                <w:color w:val="000000"/>
                <w:sz w:val="18"/>
                <w:szCs w:val="18"/>
                <w:u w:val="none"/>
              </w:rPr>
            </w:pPr>
          </w:p>
        </w:tc>
        <w:tc>
          <w:tcPr>
            <w:tcW w:w="266"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rPr>
                <w:rFonts w:ascii="宋体" w:eastAsia="宋体" w:cs="宋体" w:hAnsi="宋体" w:hint="eastAsia"/>
                <w:i w:val="0"/>
                <w:iCs w:val="0"/>
                <w:color w:val="000000"/>
                <w:sz w:val="18"/>
                <w:szCs w:val="18"/>
                <w:u w:val="none"/>
              </w:rPr>
            </w:pPr>
          </w:p>
        </w:tc>
        <w:tc>
          <w:tcPr>
            <w:tcW w:w="1062" w:type="pct"/>
            <w:tcBorders>
              <w:top w:val="single" w:sz="4" w:space="0" w:color="000000"/>
              <w:left w:val="single" w:sz="4" w:space="0" w:color="000000"/>
              <w:bottom w:val="single" w:sz="4" w:space="0" w:color="000000"/>
              <w:right w:val="single" w:sz="4" w:space="0" w:color="000000"/>
            </w:tcBorders>
            <w:shd w:val="clear" w:color="auto" w:fill="auto"/>
            <w:vAlign w:val="center"/>
          </w:tcPr>
          <w:p>
            <w:pPr>
              <w:pageBreakBefore w:val="0"/>
              <w:widowControl w:val="0"/>
              <w:kinsoku/>
              <w:wordWrap/>
              <w:topLinePunct w:val="0"/>
              <w:bidi w:val="0"/>
              <w:rPr>
                <w:rFonts w:ascii="宋体" w:eastAsia="宋体" w:cs="宋体" w:hAnsi="宋体" w:hint="eastAsia"/>
                <w:i w:val="0"/>
                <w:iCs w:val="0"/>
                <w:color w:val="000000"/>
                <w:sz w:val="18"/>
                <w:szCs w:val="18"/>
                <w:u w:val="none"/>
              </w:rPr>
            </w:pPr>
          </w:p>
        </w:tc>
      </w:tr>
      <w:tr>
        <w:trPr>
          <w:trHeight w:val="540"/>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452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项目完成、项目效益、满意度等方面绩效指标完成情况良好</w:t>
            </w:r>
          </w:p>
        </w:tc>
      </w:tr>
      <w:tr>
        <w:trPr>
          <w:trHeight w:val="460"/>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452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在绩效目标三级指标“量化细化”的编制上还需进一步完善；绩效项目实施责任人群对绩效管理工作认识和重视不够，绩效监控有待提升。预算编制的全面性、科学性、合理性、严谨性和可控性还有待于加强。</w:t>
            </w:r>
          </w:p>
        </w:tc>
      </w:tr>
      <w:tr>
        <w:trPr>
          <w:trHeight w:val="1020"/>
        </w:trPr>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4529"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1．进一步强化绩效管理意识，整体提高绩效实施和绩效目标编报质量，提高可持续发展力。</w:t>
              <w:br/>
              <w:t>2．加强预算绩效管理制度及新预算法学习培训。在年度预算执行过程中，严格按照年初设定的工作目标任务支付资金。在年度中，新的工作任务下达且无预算、或者工作任务减少的情况下，及时按程序申报追加、追减调整预算。在项目执行过程中，对照项目目标绩效申报表督查完成情况，对做的好的给予表扬和肯定，完成情况不佳的通报批评的限期整改。</w:t>
            </w:r>
          </w:p>
        </w:tc>
      </w:tr>
      <w:tr>
        <w:trPr>
          <w:trHeight w:val="270"/>
        </w:trPr>
        <w:tc>
          <w:tcPr>
            <w:tcW w:w="266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233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topLinePunct w:val="0"/>
              <w:bidi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keepNext w:val="0"/>
        <w:keepLines w:val="0"/>
        <w:pageBreakBefore w:val="0"/>
        <w:widowControl w:val="0"/>
        <w:kinsoku/>
        <w:wordWrap/>
        <w:overflowPunct/>
        <w:topLinePunct w:val="0"/>
        <w:bidi w:val="0"/>
        <w:spacing w:line="560" w:lineRule="exact"/>
        <w:jc w:val="both"/>
        <w:textAlignment w:val="auto"/>
        <w:rPr>
          <w:rFonts w:ascii="黑体" w:eastAsia="黑体" w:cs="黑体" w:hAnsi="黑体" w:hint="eastAsia"/>
          <w:sz w:val="32"/>
          <w:szCs w:val="32"/>
          <w:lang w:eastAsia="zh-CN"/>
        </w:rPr>
        <w:sectPr>
          <w:footerReference w:type="default" r:id="rId14"/>
          <w:footerReference w:type="first" r:id="rId15"/>
          <w:pgSz w:w="16838" w:h="11906" w:orient="landscape"/>
          <w:pgMar w:top="1800" w:right="1440" w:bottom="1800" w:left="1440" w:header="851" w:footer="992" w:gutter="0"/>
          <w:pgNumType w:start="26"/>
          <w:cols w:num="1" w:space="425"/>
          <w:titlePg/>
          <w:docGrid w:type="lines" w:linePitch="312" w:charSpace="0"/>
        </w:sect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bidi w:val="0"/>
        <w:spacing w:line="560" w:lineRule="exact"/>
        <w:jc w:val="both"/>
        <w:textAlignment w:val="auto"/>
        <w:rPr>
          <w:rFonts w:ascii="黑体" w:eastAsia="黑体" w:cs="黑体" w:hAnsi="黑体" w:hint="eastAsia"/>
          <w:sz w:val="32"/>
          <w:szCs w:val="32"/>
          <w:lang w:eastAsia="zh-CN"/>
        </w:rPr>
      </w:pPr>
      <w:r>
        <w:rPr>
          <w:rFonts w:ascii="黑体" w:eastAsia="黑体" w:cs="黑体" w:hAnsi="黑体" w:hint="eastAsia"/>
          <w:sz w:val="32"/>
          <w:szCs w:val="32"/>
          <w:lang w:eastAsia="zh-CN"/>
        </w:rPr>
        <w:t>附件</w:t>
      </w:r>
    </w:p>
    <w:p>
      <w:pPr>
        <w:spacing w:line="576" w:lineRule="exact"/>
        <w:jc w:val="center"/>
        <w:outlineLvl w:val="1"/>
        <w:rPr>
          <w:rFonts w:ascii="黑体" w:eastAsia="黑体" w:cs="黑体" w:hAnsi="黑体" w:hint="eastAsia"/>
          <w:sz w:val="32"/>
          <w:szCs w:val="32"/>
          <w:lang w:val="en-US" w:eastAsia="zh-CN"/>
        </w:rPr>
      </w:pPr>
      <w:bookmarkStart w:id="117" w:name="_Toc30954"/>
      <w:r>
        <w:rPr>
          <w:rFonts w:ascii="黑体" w:eastAsia="黑体" w:cs="黑体" w:hAnsi="黑体" w:hint="eastAsia"/>
          <w:sz w:val="32"/>
          <w:szCs w:val="32"/>
          <w:lang w:val="en-US" w:eastAsia="zh-CN"/>
        </w:rPr>
        <w:t>广元市利州区人民政府办公室</w:t>
      </w:r>
      <w:bookmarkEnd w:id="117"/>
    </w:p>
    <w:p>
      <w:pPr>
        <w:spacing w:line="576" w:lineRule="exact"/>
        <w:jc w:val="center"/>
        <w:outlineLvl w:val="1"/>
        <w:rPr>
          <w:rFonts w:ascii="黑体" w:eastAsia="黑体" w:cs="黑体" w:hAnsi="黑体" w:hint="eastAsia"/>
          <w:sz w:val="32"/>
          <w:szCs w:val="32"/>
          <w:lang w:val="en-US" w:eastAsia="zh-CN"/>
        </w:rPr>
      </w:pPr>
      <w:bookmarkStart w:id="118" w:name="_Toc7434"/>
      <w:r>
        <w:rPr>
          <w:rFonts w:ascii="黑体" w:eastAsia="黑体" w:cs="黑体" w:hAnsi="黑体" w:hint="eastAsia"/>
          <w:sz w:val="32"/>
          <w:szCs w:val="32"/>
          <w:lang w:val="en-US" w:eastAsia="zh-CN"/>
        </w:rPr>
        <w:t>区政府领导招商项目支出绩效自评报告</w:t>
      </w:r>
      <w:bookmarkEnd w:id="118"/>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黑体简体" w:eastAsia="方正黑体简体" w:cs="方正黑体简体" w:hAnsi="方正黑体简体" w:hint="eastAsia"/>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19" w:name="_Toc4337"/>
      <w:bookmarkStart w:id="120" w:name="_Toc22320"/>
      <w:r>
        <w:rPr>
          <w:rFonts w:ascii="方正仿宋简体" w:eastAsia="方正仿宋简体" w:cs="方正仿宋简体" w:hAnsi="方正仿宋简体" w:hint="eastAsia"/>
          <w:color w:val="auto"/>
          <w:sz w:val="32"/>
          <w:szCs w:val="32"/>
          <w:lang w:eastAsia="zh-CN"/>
        </w:rPr>
        <w:t>一、</w:t>
      </w:r>
      <w:r>
        <w:rPr>
          <w:rFonts w:ascii="方正仿宋简体" w:eastAsia="方正仿宋简体" w:cs="方正仿宋简体" w:hAnsi="方正仿宋简体" w:hint="eastAsia"/>
          <w:color w:val="auto"/>
          <w:sz w:val="32"/>
          <w:szCs w:val="32"/>
          <w:lang w:val="zh-CN" w:eastAsia="zh-CN"/>
        </w:rPr>
        <w:t>项目概况</w:t>
      </w:r>
      <w:bookmarkEnd w:id="119"/>
      <w:bookmarkEnd w:id="120"/>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1.单位承担的职能职责</w:t>
      </w:r>
      <w:r>
        <w:rPr>
          <w:rFonts w:ascii="方正仿宋简体" w:eastAsia="方正仿宋简体" w:cs="方正仿宋简体" w:hAnsi="方正仿宋简体" w:hint="eastAsia"/>
          <w:color w:val="auto"/>
          <w:sz w:val="32"/>
          <w:szCs w:val="32"/>
          <w:lang w:val="zh-CN" w:eastAsia="zh-CN"/>
        </w:rPr>
        <w:t>。</w:t>
      </w:r>
      <w:r>
        <w:rPr>
          <w:rFonts w:ascii="方正仿宋简体" w:eastAsia="方正仿宋简体" w:cs="方正仿宋简体" w:hAnsi="方正仿宋简体" w:hint="eastAsia"/>
          <w:color w:val="auto"/>
          <w:sz w:val="32"/>
          <w:szCs w:val="32"/>
          <w:lang w:eastAsia="zh-CN"/>
        </w:rPr>
        <w:t xml:space="preserve">为切实加强招商引资工作，加大与长三角、珠三角、环渤海经济圈、成渝双城经济圈等国内经济发达地区的对接，加快我区经济高质量发展，保障区领导外出招商相关工作并规范财务管理。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lang w:val="zh-CN" w:eastAsia="zh-CN"/>
        </w:rPr>
        <w:t>项目立项、资金申报的依据。</w:t>
      </w:r>
      <w:r>
        <w:rPr>
          <w:rFonts w:ascii="方正仿宋简体" w:eastAsia="方正仿宋简体" w:cs="方正仿宋简体" w:hAnsi="方正仿宋简体" w:hint="eastAsia"/>
          <w:color w:val="auto"/>
          <w:sz w:val="32"/>
          <w:szCs w:val="32"/>
          <w:lang w:eastAsia="zh-CN"/>
        </w:rPr>
        <w:t>项目内容符合与区委区政府决策部署相关的要求，项目实施内容为区政府办公室职能职责中的承担日常事务性工作，与单位职能职责密切相关。项目属于公共财务支出范围，符合相关财政支出政策。</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eastAsia="zh-CN"/>
        </w:rPr>
        <w:t>坚持“走出去，请进来”的策略，一切围绕项目看、一切围绕项目转、一切围绕项目干，主动捕捉项目投资信息、开展项目对接洽谈、推进项目签约落地、做好项目跟踪服务。坚持“一把手”带头招、分管具体招、部门协同招、市区联动招、社会借力招的全区全员招商新局面，原则上，区政府主要领导、分管领导外出招商每月不少于一次。</w:t>
      </w:r>
      <w:r>
        <w:rPr>
          <w:rFonts w:ascii="方正仿宋简体" w:eastAsia="方正仿宋简体" w:cs="方正仿宋简体" w:hAnsi="方正仿宋简体" w:hint="eastAsia"/>
          <w:color w:val="auto"/>
          <w:sz w:val="32"/>
          <w:szCs w:val="32"/>
          <w:lang w:val="zh-CN" w:eastAsia="zh-CN"/>
        </w:rPr>
        <w:t>该项目申报内容与具体实施内容相符，申报目标合理可行，项目绩效明显。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项目自评步骤及方法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color w:val="auto"/>
          <w:sz w:val="32"/>
          <w:szCs w:val="32"/>
          <w:lang w:val="zh-CN" w:eastAsia="zh-CN"/>
        </w:rPr>
        <w:t>监管，项目实施后，由业务分管领导组织相关人员对照职责履行情况、项目</w:t>
      </w:r>
      <w:r>
        <w:rPr>
          <w:rFonts w:ascii="方正仿宋简体" w:eastAsia="方正仿宋简体" w:cs="方正仿宋简体" w:hAnsi="方正仿宋简体" w:hint="eastAsia"/>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21" w:name="_Toc5772"/>
      <w:bookmarkStart w:id="122" w:name="_Toc10440"/>
      <w:r>
        <w:rPr>
          <w:rFonts w:ascii="方正仿宋简体" w:eastAsia="方正仿宋简体" w:cs="方正仿宋简体" w:hAnsi="方正仿宋简体" w:hint="eastAsia"/>
          <w:color w:val="auto"/>
          <w:sz w:val="32"/>
          <w:szCs w:val="32"/>
          <w:lang w:eastAsia="zh-CN"/>
        </w:rPr>
        <w:t>二、项目资金申报及使用情况</w:t>
      </w:r>
      <w:bookmarkEnd w:id="121"/>
      <w:bookmarkEnd w:id="122"/>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en-US" w:eastAsia="zh-CN"/>
        </w:rPr>
        <w:t>（一）</w:t>
      </w:r>
      <w:r>
        <w:rPr>
          <w:rFonts w:ascii="方正仿宋简体" w:eastAsia="方正仿宋简体" w:cs="方正仿宋简体" w:hAnsi="方正仿宋简体" w:hint="eastAsia"/>
          <w:color w:val="auto"/>
          <w:sz w:val="32"/>
          <w:szCs w:val="32"/>
          <w:lang w:val="zh-CN" w:eastAsia="zh-CN"/>
        </w:rPr>
        <w:t>项目资金申报及批复情况。区政府领导招商专项资金共计</w:t>
      </w:r>
      <w:r>
        <w:rPr>
          <w:rFonts w:ascii="方正仿宋简体" w:eastAsia="方正仿宋简体" w:cs="方正仿宋简体" w:hAnsi="方正仿宋简体" w:hint="eastAsia"/>
          <w:color w:val="auto"/>
          <w:sz w:val="32"/>
          <w:szCs w:val="32"/>
          <w:lang w:val="en-US" w:eastAsia="zh-CN"/>
        </w:rPr>
        <w:t>40.00</w:t>
      </w:r>
      <w:r>
        <w:rPr>
          <w:rFonts w:ascii="方正仿宋简体" w:eastAsia="方正仿宋简体" w:cs="方正仿宋简体" w:hAnsi="方正仿宋简体" w:hint="eastAsia"/>
          <w:color w:val="auto"/>
          <w:sz w:val="32"/>
          <w:szCs w:val="32"/>
          <w:lang w:val="zh-CN" w:eastAsia="zh-CN"/>
        </w:rPr>
        <w:t>万元，属于年初预算项目。项目经财政局批复下达后，及时到位，并全部用于保障联系重点工作经费项目支出。经费采取授权和直接支付形式，由区政府办财务室，按项目需求进度，严格按照项目资金管理办法，对资金进行计划申请、划拨、使用，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（二）资金计划到位使用情况。</w:t>
      </w:r>
      <w:r>
        <w:rPr>
          <w:rFonts w:ascii="方正仿宋简体" w:eastAsia="方正仿宋简体" w:cs="方正仿宋简体" w:hAnsi="方正仿宋简体" w:hint="eastAsia"/>
          <w:color w:val="auto"/>
          <w:sz w:val="32"/>
          <w:szCs w:val="32"/>
          <w:lang w:val="en-US" w:eastAsia="zh-CN"/>
        </w:rPr>
        <w:t>该项目使用区本级财政资金，经区</w:t>
      </w:r>
      <w:r>
        <w:rPr>
          <w:rFonts w:ascii="方正仿宋简体" w:eastAsia="方正仿宋简体" w:cs="方正仿宋简体" w:hAnsi="方正仿宋简体" w:hint="eastAsia"/>
          <w:color w:val="auto"/>
          <w:sz w:val="32"/>
          <w:szCs w:val="32"/>
          <w:lang w:val="zh-CN" w:eastAsia="zh-CN"/>
        </w:rPr>
        <w:t>财政局预算批复下达后资金全部到位，</w:t>
      </w:r>
      <w:r>
        <w:rPr>
          <w:rFonts w:ascii="方正仿宋简体" w:eastAsia="方正仿宋简体" w:cs="方正仿宋简体" w:hAnsi="方正仿宋简体" w:hint="eastAsia"/>
          <w:color w:val="auto"/>
          <w:sz w:val="32"/>
          <w:szCs w:val="32"/>
          <w:lang w:val="en-US" w:eastAsia="zh-CN"/>
        </w:rPr>
        <w:t>截止2022年12月31日，该项目实际支付40.00万元，资金到位和正常使用率达100%，</w:t>
      </w:r>
      <w:r>
        <w:rPr>
          <w:rFonts w:ascii="方正仿宋简体" w:eastAsia="方正仿宋简体" w:cs="方正仿宋简体" w:hAnsi="方正仿宋简体" w:hint="eastAsia"/>
          <w:color w:val="auto"/>
          <w:sz w:val="32"/>
          <w:szCs w:val="32"/>
          <w:lang w:eastAsia="zh-CN"/>
        </w:rPr>
        <w:t>本项目具有能够保证正常实施的相关人、财、物保障，主要包括：招商引资差旅等费用，均按相关规定执行，无超标准现象。项目总体设计合理，本着厉行节约制定了实施方案，</w:t>
      </w:r>
      <w:r>
        <w:rPr>
          <w:rFonts w:ascii="方正仿宋简体" w:eastAsia="方正仿宋简体" w:cs="方正仿宋简体" w:hAnsi="方正仿宋简体" w:hint="eastAsia"/>
          <w:color w:val="auto"/>
          <w:sz w:val="32"/>
          <w:szCs w:val="32"/>
          <w:lang w:val="zh-CN" w:eastAsia="zh-CN"/>
        </w:rPr>
        <w:t>对资金进行计划申请、划拨、使用。资金开支范围、标准及支付进度正常，支付依据合规合法，资金支付与预算相符。</w:t>
      </w:r>
      <w:r>
        <w:rPr>
          <w:rFonts w:ascii="方正仿宋简体" w:eastAsia="方正仿宋简体" w:cs="方正仿宋简体" w:hAnsi="方正仿宋简体" w:hint="eastAsia"/>
          <w:color w:val="auto"/>
          <w:sz w:val="32"/>
          <w:szCs w:val="32"/>
          <w:lang w:eastAsia="zh-CN"/>
        </w:rPr>
        <w:t>资金使用进度对项目实施无任何不良影响。</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三）项目财务管理。项目资金采取授权和直接支付形式，由财务室按项目建设股室根据项目进度对资金进行计划申请、划拨、使用。项目支付严格执行财务管理制度，资金开支范围、标准及支付进度正常，支付依据合规合法，资金支付与预算相符，项目资金账务处理和会计核算及时、规范。本单位项目财务管理制度健全、资金由单位财务统一管理，会计核算及账务处理规范，严格执行财务管理制度，财务处理及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23" w:name="_Toc21029"/>
      <w:bookmarkStart w:id="124" w:name="_Toc30469"/>
      <w:r>
        <w:rPr>
          <w:rFonts w:ascii="方正仿宋简体" w:eastAsia="方正仿宋简体" w:cs="方正仿宋简体" w:hAnsi="方正仿宋简体" w:hint="eastAsia"/>
          <w:color w:val="auto"/>
          <w:sz w:val="32"/>
          <w:szCs w:val="32"/>
          <w:lang w:val="zh-CN" w:eastAsia="zh-CN"/>
        </w:rPr>
        <w:t>三、项目实施及管理情况</w:t>
      </w:r>
      <w:bookmarkEnd w:id="123"/>
      <w:bookmarkEnd w:id="124"/>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color w:val="auto"/>
          <w:sz w:val="32"/>
          <w:szCs w:val="32"/>
          <w:lang w:val="en-US" w:eastAsia="zh-CN"/>
        </w:rPr>
        <w:t>1.00万元以上按单位“三重一大”相关规定上党组会议议定后走资金审批支付流程实现支付。项目实施过程中，由实施股室自我监督、财务资金提醒监督、分管领导抽查、党组会述职等方式和措施实现项目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color w:val="auto"/>
          <w:sz w:val="32"/>
          <w:szCs w:val="32"/>
          <w:lang w:val="zh-CN" w:eastAsia="zh-CN"/>
        </w:rPr>
        <w:t>项目监管。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25" w:name="_Toc3311"/>
      <w:bookmarkStart w:id="126" w:name="_Toc977"/>
      <w:r>
        <w:rPr>
          <w:rFonts w:ascii="方正仿宋简体" w:eastAsia="方正仿宋简体" w:cs="方正仿宋简体" w:hAnsi="方正仿宋简体" w:hint="eastAsia"/>
          <w:color w:val="auto"/>
          <w:sz w:val="32"/>
          <w:szCs w:val="32"/>
          <w:lang w:eastAsia="zh-CN"/>
        </w:rPr>
        <w:t>四、项目绩效情况</w:t>
      </w:r>
      <w:bookmarkEnd w:id="125"/>
      <w:bookmarkEnd w:id="126"/>
      <w:r>
        <w:rPr>
          <w:rFonts w:ascii="方正仿宋简体" w:eastAsia="方正仿宋简体" w:cs="方正仿宋简体" w:hAnsi="方正仿宋简体" w:hint="eastAsia"/>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该项目严格按照重点工作进度需求、办公室财务管理相关规定执行，达到全面保障、全面实施。</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项目效益情况。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color w:val="auto"/>
          <w:sz w:val="32"/>
          <w:szCs w:val="32"/>
          <w:lang w:val="en-US" w:eastAsia="zh-CN"/>
        </w:rPr>
        <w:t>,40.00万元落实到招商工作</w:t>
      </w:r>
      <w:r>
        <w:rPr>
          <w:rFonts w:ascii="方正仿宋简体" w:eastAsia="方正仿宋简体" w:cs="方正仿宋简体" w:hAnsi="方正仿宋简体" w:hint="eastAsia"/>
          <w:color w:val="auto"/>
          <w:sz w:val="32"/>
          <w:szCs w:val="32"/>
          <w:lang w:eastAsia="zh-CN"/>
        </w:rPr>
        <w:t>；二是社会效益：招商引资工作成效提升显著，</w:t>
      </w:r>
      <w:r>
        <w:rPr>
          <w:rFonts w:ascii="方正仿宋简体" w:eastAsia="方正仿宋简体" w:cs="方正仿宋简体" w:hAnsi="方正仿宋简体" w:hint="eastAsia"/>
          <w:color w:val="auto"/>
          <w:sz w:val="32"/>
          <w:szCs w:val="32"/>
          <w:lang w:val="en-US" w:eastAsia="zh-CN"/>
        </w:rPr>
        <w:t>切实提高了</w:t>
      </w:r>
      <w:r>
        <w:rPr>
          <w:rFonts w:ascii="方正仿宋简体" w:eastAsia="方正仿宋简体" w:cs="方正仿宋简体" w:hAnsi="方正仿宋简体" w:hint="eastAsia"/>
          <w:color w:val="auto"/>
          <w:sz w:val="32"/>
          <w:szCs w:val="32"/>
          <w:lang w:eastAsia="zh-CN"/>
        </w:rPr>
        <w:t>全区新型工业、康养旅游、商贸物流及现代服务业三大主导产业</w:t>
      </w:r>
      <w:r>
        <w:rPr>
          <w:rFonts w:ascii="方正仿宋简体" w:eastAsia="方正仿宋简体" w:cs="方正仿宋简体" w:hAnsi="方正仿宋简体" w:hint="eastAsia"/>
          <w:color w:val="auto"/>
          <w:sz w:val="32"/>
          <w:szCs w:val="32"/>
          <w:lang w:val="en-US" w:eastAsia="zh-CN"/>
        </w:rPr>
        <w:t>的本地配套率，以及落地项目的稳定性和竞争力</w:t>
      </w:r>
      <w:r>
        <w:rPr>
          <w:rFonts w:ascii="方正仿宋简体" w:eastAsia="方正仿宋简体" w:cs="方正仿宋简体" w:hAnsi="方正仿宋简体" w:hint="eastAsia"/>
          <w:color w:val="auto"/>
          <w:sz w:val="32"/>
          <w:szCs w:val="32"/>
          <w:lang w:eastAsia="zh-CN"/>
        </w:rPr>
        <w:t>。</w:t>
      </w:r>
      <w:r>
        <w:rPr>
          <w:rFonts w:ascii="方正仿宋简体" w:eastAsia="方正仿宋简体" w:cs="方正仿宋简体" w:hAnsi="方正仿宋简体" w:hint="eastAsia"/>
          <w:color w:val="auto"/>
          <w:sz w:val="32"/>
          <w:szCs w:val="32"/>
          <w:lang w:val="en-US" w:eastAsia="zh-CN"/>
        </w:rPr>
        <w:t>形成了“大项目支撑带动、小项目扩量补充”的优秀格局，和上下游产业配套集聚效应；三</w:t>
      </w:r>
      <w:r>
        <w:rPr>
          <w:rFonts w:ascii="方正仿宋简体" w:eastAsia="方正仿宋简体" w:cs="方正仿宋简体" w:hAnsi="方正仿宋简体" w:hint="eastAsia"/>
          <w:color w:val="auto"/>
          <w:sz w:val="32"/>
          <w:szCs w:val="32"/>
          <w:lang w:eastAsia="zh-CN"/>
        </w:rPr>
        <w:t>是可持续效益：近年来，我区到位市外资金逐年按照20%递增，考核成绩均排全市前列，故需要长期或进一步支持</w:t>
      </w:r>
      <w:r>
        <w:rPr>
          <w:rFonts w:ascii="方正仿宋简体" w:eastAsia="方正仿宋简体" w:cs="方正仿宋简体" w:hAnsi="方正仿宋简体" w:hint="eastAsia"/>
          <w:color w:val="auto"/>
          <w:sz w:val="32"/>
          <w:szCs w:val="32"/>
          <w:lang w:val="en-US" w:eastAsia="zh-CN"/>
        </w:rPr>
        <w:t>；</w:t>
      </w:r>
      <w:r>
        <w:rPr>
          <w:rFonts w:ascii="方正仿宋简体" w:eastAsia="方正仿宋简体" w:cs="方正仿宋简体" w:hAnsi="方正仿宋简体" w:hint="eastAsia"/>
          <w:color w:val="auto"/>
          <w:sz w:val="32"/>
          <w:szCs w:val="32"/>
          <w:lang w:eastAsia="zh-CN"/>
        </w:rPr>
        <w:t>四是社会满意度：更好更精准的实施各项重大决策，让好的决策落地生根，水土相符，快速促进经济社会发展。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27" w:name="_Toc17313"/>
      <w:bookmarkStart w:id="128" w:name="_Toc3315"/>
      <w:r>
        <w:rPr>
          <w:rFonts w:ascii="方正仿宋简体" w:eastAsia="方正仿宋简体" w:cs="方正仿宋简体" w:hAnsi="方正仿宋简体" w:hint="eastAsia"/>
          <w:color w:val="auto"/>
          <w:sz w:val="32"/>
          <w:szCs w:val="32"/>
          <w:lang w:eastAsia="zh-CN"/>
        </w:rPr>
        <w:t>五、评价结论及建议</w:t>
      </w:r>
      <w:bookmarkEnd w:id="127"/>
      <w:bookmarkEnd w:id="128"/>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（一）目前工作评价。项目支出</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lang w:eastAsia="zh-CN"/>
        </w:rPr>
        <w:t>确保了资金专款专用，</w:t>
      </w:r>
      <w:r>
        <w:rPr>
          <w:rFonts w:ascii="方正仿宋简体" w:eastAsia="方正仿宋简体" w:cs="方正仿宋简体" w:hAnsi="方正仿宋简体" w:hint="eastAsia"/>
          <w:color w:val="auto"/>
          <w:sz w:val="32"/>
          <w:szCs w:val="32"/>
          <w:lang w:val="zh-CN" w:eastAsia="zh-CN"/>
        </w:rPr>
        <w:t>严格</w:t>
      </w:r>
      <w:r>
        <w:rPr>
          <w:rFonts w:ascii="方正仿宋简体" w:eastAsia="方正仿宋简体" w:cs="方正仿宋简体" w:hAnsi="方正仿宋简体" w:hint="eastAsia"/>
          <w:color w:val="auto"/>
          <w:sz w:val="32"/>
          <w:szCs w:val="32"/>
          <w:lang w:eastAsia="zh-CN"/>
        </w:rPr>
        <w:t>按照项目申报绩效目标实施，</w:t>
      </w:r>
      <w:r>
        <w:rPr>
          <w:rFonts w:ascii="方正仿宋简体" w:eastAsia="方正仿宋简体" w:cs="方正仿宋简体" w:hAnsi="方正仿宋简体" w:hint="eastAsia"/>
          <w:color w:val="auto"/>
          <w:sz w:val="32"/>
          <w:szCs w:val="32"/>
          <w:lang w:val="en-US" w:eastAsia="zh-CN"/>
        </w:rPr>
        <w:t>产出指标、效益指标、满意度指标值评价高，达到预设目标绩效。</w:t>
      </w:r>
      <w:r>
        <w:rPr>
          <w:rFonts w:ascii="方正仿宋简体" w:eastAsia="方正仿宋简体" w:cs="方正仿宋简体" w:hAnsi="方正仿宋简体" w:hint="eastAsia"/>
          <w:color w:val="auto"/>
          <w:sz w:val="32"/>
          <w:szCs w:val="32"/>
          <w:lang w:eastAsia="zh-CN"/>
        </w:rPr>
        <w:t>项目股室在项目实施完成后上报绩效评估报告，</w:t>
      </w:r>
      <w:r>
        <w:rPr>
          <w:rFonts w:ascii="方正仿宋简体" w:eastAsia="方正仿宋简体" w:cs="方正仿宋简体" w:hAnsi="方正仿宋简体" w:hint="eastAsia"/>
          <w:color w:val="auto"/>
          <w:sz w:val="32"/>
          <w:szCs w:val="32"/>
          <w:lang w:val="en-US" w:eastAsia="zh-CN"/>
        </w:rPr>
        <w:t>该项目按照2022年区级专项预算项目支出绩效评价指标体系单位自评得分93分，能</w:t>
      </w:r>
      <w:r>
        <w:rPr>
          <w:rFonts w:ascii="方正仿宋简体" w:eastAsia="方正仿宋简体" w:cs="方正仿宋简体" w:hAnsi="方正仿宋简体" w:hint="eastAsia"/>
          <w:color w:val="auto"/>
          <w:sz w:val="32"/>
          <w:szCs w:val="32"/>
          <w:lang w:eastAsia="zh-CN"/>
        </w:rPr>
        <w:t>接受财政审计监督部门检查验收。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（二）存在的问题。项目与其他项目有交叉和雷同之处。</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（三）相关建议。建议项目与相关项目有机整合，达到项目更优、投入更少、产出更合理。</w:t>
      </w:r>
    </w:p>
    <w:p>
      <w:pPr>
        <w:pStyle w:val="16"/>
        <w:rPr>
          <w:rFonts w:ascii="方正仿宋简体" w:eastAsia="方正仿宋简体" w:cs="方正仿宋简体" w:hAnsi="方正仿宋简体" w:hint="eastAsia"/>
          <w:color w:val="auto"/>
          <w:sz w:val="32"/>
          <w:szCs w:val="32"/>
          <w:lang w:val="zh-CN" w:eastAsia="zh-CN"/>
        </w:rPr>
        <w:sectPr>
          <w:footerReference w:type="default" r:id="rId16"/>
          <w:footerReference w:type="first" r:id="rId17"/>
          <w:pgSz w:w="11906" w:h="16838"/>
          <w:pgMar w:top="1440" w:right="1800" w:bottom="1440" w:left="1800" w:header="851" w:footer="992" w:gutter="0"/>
          <w:pgNumType w:start="31"/>
          <w:cols w:num="1" w:space="425"/>
          <w:titlePg/>
          <w:docGrid w:type="lines" w:linePitch="312" w:charSpace="0"/>
        </w:sectPr>
      </w:pPr>
    </w:p>
    <w:tbl>
      <w:tblPr>
        <w:jc w:val="left"/>
        <w:tblInd w:w="93" w:type="dxa"/>
        <w:tblW w:w="194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5"/>
        <w:gridCol w:w="1755"/>
        <w:gridCol w:w="2890"/>
        <w:gridCol w:w="4187"/>
        <w:gridCol w:w="576"/>
        <w:gridCol w:w="1245"/>
        <w:gridCol w:w="576"/>
        <w:gridCol w:w="1091"/>
        <w:gridCol w:w="780"/>
        <w:gridCol w:w="960"/>
        <w:gridCol w:w="3825"/>
      </w:tblGrid>
      <w:tr>
        <w:trPr>
          <w:trHeight w:val="405"/>
        </w:trPr>
        <w:tc>
          <w:tcPr>
            <w:tcW w:w="16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附件4</w:t>
            </w:r>
          </w:p>
        </w:tc>
        <w:tc>
          <w:tcPr>
            <w:tcW w:w="175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89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4187"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382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570"/>
        </w:trPr>
        <w:tc>
          <w:tcPr>
            <w:tcW w:w="1947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部门预算、专项资金预算项目支出绩效目标自评表（2022年度）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区政府领导招商经费</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 xml:space="preserve">为切实加强招商引资工作，加大与长三角、珠三角、环渤海经济圈、成渝双城经济圈等国内经济发达地区的对接，加快我区经济高质量发展，保障区领导外出招商相关工作并规范财务管理。 </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商引资工作成效提升显著，切实提高了全区新型工业、康养旅游、商贸物流及现代服务业三大主导产业的本地配套率，以及落地项目的稳定性和竞争力。形成了“大项目支撑带动、小项目扩量补充”的优秀格局，和上下游产业配套集聚效应。</w:t>
            </w:r>
          </w:p>
        </w:tc>
      </w:tr>
      <w:tr>
        <w:trPr>
          <w:trHeight w:val="98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坚持“走出去，请进来”的策略，一切围绕项目看、一切围绕项目转、一切围绕项目干，主动捕捉项目投资信息、开展项目对接洽谈、推进项目签约落地、做好项目跟踪服务。</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890"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市外到位资金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80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亿元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招引5-10亿元企业</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招引企业数量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省外到位资金</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亿元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招引1-5亿元企业</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12</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区领导每月出行次数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实现产值</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亿元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1-5亿元项目开工数量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5-10亿元企业开工数量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意向企业回访及深入交流频率</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高</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企业进规入库数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户</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技术创新取得科研成果数量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个</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成果转化产值</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亿元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吸纳人员就业增加就业率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引进企业带动社会经济发展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好</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地方财政贡献逐步提高</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中等</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生态效益指标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土壤、水源、大气等环境要素总体安全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项目落地和生产运营中企业满意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控制招商引资成本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项目完成、项目效益、满意度等方面绩效指标完成情况良好</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在绩效目标三级指标“量化细化”的编制上还需进一步完善；绩效项目实施责任人群对绩效管理工作认识和重视不够，绩效监控有待提升。预算编制的全面性、科学性、合理性、严谨性和可控性还有待于加强。</w:t>
            </w:r>
          </w:p>
        </w:tc>
      </w:tr>
      <w:tr>
        <w:trPr>
          <w:trHeight w:val="10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1．进一步强化绩效管理意识，整体提高绩效实施和绩效目标编报质量，提高可持续发展力。</w:t>
              <w:br/>
              <w:t>2．加强预算绩效管理制度及新预算法学习培训。在年度预算执行过程中，严格按照年初设定的工作目标任务支付资金。在年度中，新的工作任务下达且无预算、或者工作任务减少的情况下，及时按程序申报追加、追减调整预算。在项目执行过程中，对照项目目标绩效申报表督查完成情况，对做的好的给予表扬和肯定，完成情况不佳的通报批评的限期整改。</w:t>
            </w:r>
          </w:p>
        </w:tc>
      </w:tr>
      <w:tr>
        <w:trPr>
          <w:trHeight w:val="270"/>
        </w:trPr>
        <w:tc>
          <w:tcPr>
            <w:tcW w:w="11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rPr>
          <w:rFonts w:hint="eastAsia"/>
          <w:lang w:val="zh-CN" w:eastAsia="zh-CN"/>
        </w:rPr>
      </w:pPr>
    </w:p>
    <w:p>
      <w:pPr>
        <w:pageBreakBefore w:val="0"/>
        <w:widowControl w:val="0"/>
        <w:kinsoku/>
        <w:wordWrap/>
        <w:topLinePunct w:val="0"/>
        <w:bidi w:val="0"/>
        <w:spacing w:line="580" w:lineRule="exact"/>
        <w:rPr>
          <w:rStyle w:val="1Char"/>
          <w:rFonts w:ascii="黑体" w:eastAsia="黑体" w:hAnsi="黑体"/>
          <w:b w:val="0"/>
          <w:color w:val="auto"/>
          <w:highlight w:val="auto"/>
        </w:rPr>
      </w:pPr>
    </w:p>
    <w:p>
      <w:pPr>
        <w:rPr>
          <w:rFonts w:hint="eastAsia"/>
          <w:lang w:eastAsia="zh-CN"/>
        </w:rPr>
        <w:sectPr>
          <w:footerReference w:type="default" r:id="rId18"/>
          <w:footerReference w:type="first" r:id="rId19"/>
          <w:pgSz w:w="16838" w:h="11906" w:orient="landscape"/>
          <w:pgMar w:top="1800" w:right="1440" w:bottom="1800" w:left="1440" w:header="851" w:footer="992" w:gutter="0"/>
          <w:pgNumType w:start="36"/>
          <w:cols w:num="1" w:space="425"/>
          <w:titlePg/>
          <w:docGrid w:type="lines" w:linePitch="312" w:charSpace="0"/>
        </w:sectPr>
      </w:pPr>
    </w:p>
    <w:p>
      <w:pPr>
        <w:spacing w:line="576" w:lineRule="exact"/>
        <w:jc w:val="both"/>
        <w:outlineLvl w:val="1"/>
        <w:rPr>
          <w:rFonts w:ascii="黑体" w:eastAsia="黑体" w:cs="黑体" w:hAnsi="黑体" w:hint="eastAsia"/>
          <w:sz w:val="32"/>
          <w:szCs w:val="32"/>
          <w:lang w:val="en-US" w:eastAsia="zh-CN"/>
        </w:rPr>
      </w:pPr>
      <w:bookmarkStart w:id="129" w:name="_Toc7825"/>
      <w:r>
        <w:rPr>
          <w:rFonts w:ascii="黑体" w:eastAsia="黑体" w:cs="黑体" w:hAnsi="黑体" w:hint="eastAsia"/>
          <w:sz w:val="32"/>
          <w:szCs w:val="32"/>
          <w:lang w:eastAsia="zh-CN"/>
        </w:rPr>
        <w:t>附件</w:t>
      </w:r>
      <w:bookmarkEnd w:id="129"/>
    </w:p>
    <w:p>
      <w:pPr>
        <w:spacing w:line="576" w:lineRule="exact"/>
        <w:jc w:val="center"/>
        <w:outlineLvl w:val="1"/>
        <w:rPr>
          <w:rFonts w:ascii="黑体" w:eastAsia="黑体" w:cs="黑体" w:hAnsi="黑体" w:hint="eastAsia"/>
          <w:sz w:val="32"/>
          <w:szCs w:val="32"/>
          <w:lang w:val="en-US" w:eastAsia="zh-CN"/>
        </w:rPr>
      </w:pPr>
      <w:bookmarkStart w:id="130" w:name="_Toc631"/>
      <w:r>
        <w:rPr>
          <w:rFonts w:ascii="黑体" w:eastAsia="黑体" w:cs="黑体" w:hAnsi="黑体" w:hint="eastAsia"/>
          <w:sz w:val="32"/>
          <w:szCs w:val="32"/>
          <w:lang w:val="en-US" w:eastAsia="zh-CN"/>
        </w:rPr>
        <w:t>广元市利州区人民政府办公室</w:t>
      </w:r>
      <w:bookmarkEnd w:id="130"/>
    </w:p>
    <w:p>
      <w:pPr>
        <w:spacing w:line="576" w:lineRule="exact"/>
        <w:jc w:val="center"/>
        <w:outlineLvl w:val="1"/>
        <w:rPr>
          <w:rFonts w:ascii="黑体" w:eastAsia="黑体" w:cs="黑体" w:hAnsi="黑体" w:hint="eastAsia"/>
          <w:sz w:val="32"/>
          <w:szCs w:val="32"/>
          <w:lang w:eastAsia="zh-CN"/>
        </w:rPr>
      </w:pPr>
      <w:bookmarkStart w:id="131" w:name="_Toc18115"/>
      <w:r>
        <w:rPr>
          <w:rFonts w:ascii="黑体" w:eastAsia="黑体" w:cs="黑体" w:hAnsi="黑体" w:hint="eastAsia"/>
          <w:sz w:val="32"/>
          <w:szCs w:val="32"/>
          <w:lang w:val="en-US" w:eastAsia="zh-CN"/>
        </w:rPr>
        <w:t>2022年</w:t>
      </w:r>
      <w:r>
        <w:rPr>
          <w:rFonts w:ascii="黑体" w:eastAsia="黑体" w:cs="黑体" w:hAnsi="黑体" w:hint="eastAsia"/>
          <w:sz w:val="32"/>
          <w:szCs w:val="32"/>
          <w:lang w:eastAsia="zh-CN"/>
        </w:rPr>
        <w:t>工作经费项目支出绩效自评报告</w:t>
      </w:r>
      <w:bookmarkEnd w:id="131"/>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32" w:name="_Toc6889"/>
      <w:bookmarkStart w:id="133" w:name="_Toc24777"/>
      <w:r>
        <w:rPr>
          <w:rFonts w:ascii="方正仿宋简体" w:eastAsia="方正仿宋简体" w:cs="方正仿宋简体" w:hAnsi="方正仿宋简体" w:hint="eastAsia"/>
          <w:color w:val="auto"/>
          <w:sz w:val="32"/>
          <w:szCs w:val="32"/>
          <w:lang w:eastAsia="zh-CN"/>
        </w:rPr>
        <w:t>一、</w:t>
      </w:r>
      <w:r>
        <w:rPr>
          <w:rFonts w:ascii="方正仿宋简体" w:eastAsia="方正仿宋简体" w:cs="方正仿宋简体" w:hAnsi="方正仿宋简体" w:hint="eastAsia"/>
          <w:color w:val="auto"/>
          <w:sz w:val="32"/>
          <w:szCs w:val="32"/>
          <w:lang w:val="zh-CN" w:eastAsia="zh-CN"/>
        </w:rPr>
        <w:t>项目概况</w:t>
      </w:r>
      <w:bookmarkEnd w:id="132"/>
      <w:bookmarkEnd w:id="133"/>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1.单位承担的职能职责</w:t>
      </w:r>
      <w:r>
        <w:rPr>
          <w:rFonts w:ascii="方正仿宋简体" w:eastAsia="方正仿宋简体" w:cs="方正仿宋简体" w:hAnsi="方正仿宋简体" w:hint="eastAsia"/>
          <w:color w:val="auto"/>
          <w:sz w:val="32"/>
          <w:szCs w:val="32"/>
          <w:lang w:val="zh-CN" w:eastAsia="zh-CN"/>
        </w:rPr>
        <w:t>。</w:t>
      </w:r>
      <w:r>
        <w:rPr>
          <w:rFonts w:ascii="方正仿宋简体" w:eastAsia="方正仿宋简体" w:cs="方正仿宋简体" w:hAnsi="方正仿宋简体" w:hint="eastAsia"/>
          <w:color w:val="auto"/>
          <w:sz w:val="32"/>
          <w:szCs w:val="32"/>
          <w:lang w:eastAsia="zh-CN"/>
        </w:rPr>
        <w:t xml:space="preserve">对全区政府类建设、民生等重点工作进行调研，提出建设性参谋（考）意见，为区委区政府统筹安排推进工作提供依据。 </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lang w:val="zh-CN" w:eastAsia="zh-CN"/>
        </w:rPr>
        <w:t>项目立项、资金申报的依据。</w:t>
      </w:r>
      <w:r>
        <w:rPr>
          <w:rFonts w:ascii="方正仿宋简体" w:eastAsia="方正仿宋简体" w:cs="方正仿宋简体" w:hAnsi="方正仿宋简体" w:hint="eastAsia"/>
          <w:color w:val="auto"/>
          <w:sz w:val="32"/>
          <w:szCs w:val="32"/>
          <w:lang w:eastAsia="zh-CN"/>
        </w:rPr>
        <w:t>项目内容符合与区委区政府决策部署相关的要求，项目实施内容为区政府办公室职能职责中的承担日常事务性工作，与单位职能职责密切相关。项目属于公共财务支出范围，符合相关财政支出政策。</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eastAsia="zh-CN"/>
        </w:rPr>
        <w:t>对新政策落实落地基本情况调研，对重难点问题调研，对全区经济社会发展调研，对全区社会事业建设调研，深入调研、精准施策，调研成果结合实际现状运用，推进全区经济发展，推动全区社会建设事业，社会事业持续有序推进，从根本上解决问题和促进发展，引进经验和决策本土适应，社会经济持续发展，调研成果运用优化。调研成果促进重难点问题解决，为区委区政府重大决策提供有效帮助。</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该项目申报内容与具体实施内容相符，申报目标合理可行，项目绩效明显。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项目自评步骤及方法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color w:val="auto"/>
          <w:sz w:val="32"/>
          <w:szCs w:val="32"/>
          <w:lang w:val="zh-CN" w:eastAsia="zh-CN"/>
        </w:rPr>
        <w:t>监管，项目实施后，由业务分管领导组织相关人员对照职责履行情况、项目</w:t>
      </w:r>
      <w:r>
        <w:rPr>
          <w:rFonts w:ascii="方正仿宋简体" w:eastAsia="方正仿宋简体" w:cs="方正仿宋简体" w:hAnsi="方正仿宋简体" w:hint="eastAsia"/>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34" w:name="_Toc31365"/>
      <w:bookmarkStart w:id="135" w:name="_Toc13550"/>
      <w:r>
        <w:rPr>
          <w:rFonts w:ascii="方正仿宋简体" w:eastAsia="方正仿宋简体" w:cs="方正仿宋简体" w:hAnsi="方正仿宋简体" w:hint="eastAsia"/>
          <w:color w:val="auto"/>
          <w:sz w:val="32"/>
          <w:szCs w:val="32"/>
          <w:lang w:eastAsia="zh-CN"/>
        </w:rPr>
        <w:t>二、项目资金申报及使用情况</w:t>
      </w:r>
      <w:bookmarkEnd w:id="134"/>
      <w:bookmarkEnd w:id="135"/>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en-US" w:eastAsia="zh-CN"/>
        </w:rPr>
        <w:t>（一）</w:t>
      </w:r>
      <w:r>
        <w:rPr>
          <w:rFonts w:ascii="方正仿宋简体" w:eastAsia="方正仿宋简体" w:cs="方正仿宋简体" w:hAnsi="方正仿宋简体" w:hint="eastAsia"/>
          <w:color w:val="auto"/>
          <w:sz w:val="32"/>
          <w:szCs w:val="32"/>
          <w:lang w:val="zh-CN" w:eastAsia="zh-CN"/>
        </w:rPr>
        <w:t>项目资金申报及批复情况。联系重点工作经费专项资金共计</w:t>
      </w:r>
      <w:r>
        <w:rPr>
          <w:rFonts w:ascii="方正仿宋简体" w:eastAsia="方正仿宋简体" w:cs="方正仿宋简体" w:hAnsi="方正仿宋简体" w:hint="eastAsia"/>
          <w:color w:val="auto"/>
          <w:sz w:val="32"/>
          <w:szCs w:val="32"/>
          <w:lang w:val="en-US" w:eastAsia="zh-CN"/>
        </w:rPr>
        <w:t>15.00</w:t>
      </w:r>
      <w:r>
        <w:rPr>
          <w:rFonts w:ascii="方正仿宋简体" w:eastAsia="方正仿宋简体" w:cs="方正仿宋简体" w:hAnsi="方正仿宋简体" w:hint="eastAsia"/>
          <w:color w:val="auto"/>
          <w:sz w:val="32"/>
          <w:szCs w:val="32"/>
          <w:lang w:val="zh-CN" w:eastAsia="zh-CN"/>
        </w:rPr>
        <w:t>万元，属于年初预算项目。项目经财政局批复下达后，及时到位，并全部用于保障联系重点工作经费项目支出。经费采取授权和直接支付形式，由区政府办财务室，按项目需求进度，严格按照项目资金管理办法，对资金进行计划申请、划拨、使用，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（二）资金计划到位使用情况。</w:t>
      </w:r>
      <w:r>
        <w:rPr>
          <w:rFonts w:ascii="方正仿宋简体" w:eastAsia="方正仿宋简体" w:cs="方正仿宋简体" w:hAnsi="方正仿宋简体" w:hint="eastAsia"/>
          <w:color w:val="auto"/>
          <w:sz w:val="32"/>
          <w:szCs w:val="32"/>
          <w:lang w:val="en-US" w:eastAsia="zh-CN"/>
        </w:rPr>
        <w:t>该项目使用区本级财政资金，经区</w:t>
      </w:r>
      <w:r>
        <w:rPr>
          <w:rFonts w:ascii="方正仿宋简体" w:eastAsia="方正仿宋简体" w:cs="方正仿宋简体" w:hAnsi="方正仿宋简体" w:hint="eastAsia"/>
          <w:color w:val="auto"/>
          <w:sz w:val="32"/>
          <w:szCs w:val="32"/>
          <w:lang w:val="zh-CN" w:eastAsia="zh-CN"/>
        </w:rPr>
        <w:t>财政局预算批复下达后资金全部到位，</w:t>
      </w:r>
      <w:r>
        <w:rPr>
          <w:rFonts w:ascii="方正仿宋简体" w:eastAsia="方正仿宋简体" w:cs="方正仿宋简体" w:hAnsi="方正仿宋简体" w:hint="eastAsia"/>
          <w:color w:val="auto"/>
          <w:sz w:val="32"/>
          <w:szCs w:val="32"/>
          <w:lang w:val="en-US" w:eastAsia="zh-CN"/>
        </w:rPr>
        <w:t>截止2022年12月31日，该项目实际支付15.00万元，资金到位和正常使用率达100%，</w:t>
      </w:r>
      <w:r>
        <w:rPr>
          <w:rFonts w:ascii="方正仿宋简体" w:eastAsia="方正仿宋简体" w:cs="方正仿宋简体" w:hAnsi="方正仿宋简体" w:hint="eastAsia"/>
          <w:color w:val="auto"/>
          <w:sz w:val="32"/>
          <w:szCs w:val="32"/>
          <w:lang w:val="zh-CN" w:eastAsia="zh-CN"/>
        </w:rPr>
        <w:t>按区内扶贫、经济发展等重点工作调研、规划、实施的进度，对资金进行计划申请、划拨、使用。资金开支范围、标准及支付进度正常，支付依据合规合法，资金支付与预算相符。</w:t>
      </w:r>
      <w:r>
        <w:rPr>
          <w:rFonts w:ascii="方正仿宋简体" w:eastAsia="方正仿宋简体" w:cs="方正仿宋简体" w:hAnsi="方正仿宋简体" w:hint="eastAsia"/>
          <w:color w:val="auto"/>
          <w:sz w:val="32"/>
          <w:szCs w:val="32"/>
          <w:lang w:eastAsia="zh-CN"/>
        </w:rPr>
        <w:t>资金使用进度对项目实施无任何不良影响。</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三）项目财务管理。项目资金采取授权和直接支付形式，由财务室按项目建设股室根据项目进度对资金进行计划申请、划拨、使用。项目支付严格执行财务管理制度，资金开支范围、标准及支付进度正常，支付依据合规合法，资金支付与预算相符，项目资金账务处理和会计核算及时、规范。本单位项目财务管理制度健全、资金由单位财务统一管理，会计核算及账务处理规范，严格执行财务管理制度，财务处理及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36" w:name="_Toc1227"/>
      <w:bookmarkStart w:id="137" w:name="_Toc4472"/>
      <w:r>
        <w:rPr>
          <w:rFonts w:ascii="方正仿宋简体" w:eastAsia="方正仿宋简体" w:cs="方正仿宋简体" w:hAnsi="方正仿宋简体" w:hint="eastAsia"/>
          <w:color w:val="auto"/>
          <w:sz w:val="32"/>
          <w:szCs w:val="32"/>
          <w:lang w:val="zh-CN" w:eastAsia="zh-CN"/>
        </w:rPr>
        <w:t>三、项目实施及管理情况</w:t>
      </w:r>
      <w:bookmarkEnd w:id="136"/>
      <w:bookmarkEnd w:id="137"/>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该项目由行政事务股组织实施。小额正常支出按单位支出流程即经办人签字、财务人员票据规范性审核、分管领导业务真实合理性审核、分管财务领导审批、单位领导审批后，财务人员申请资金支付；大额资金即</w:t>
      </w:r>
      <w:r>
        <w:rPr>
          <w:rFonts w:ascii="方正仿宋简体" w:eastAsia="方正仿宋简体" w:cs="方正仿宋简体" w:hAnsi="方正仿宋简体" w:hint="eastAsia"/>
          <w:color w:val="auto"/>
          <w:sz w:val="32"/>
          <w:szCs w:val="32"/>
          <w:lang w:val="en-US" w:eastAsia="zh-CN"/>
        </w:rPr>
        <w:t>1万元以上按单位“三重一大”相关规定上党组会议议定后走资金审批支付流程实现支付。项目实施过程中，由实施股室自我监督、财务资金提醒监督、分管领导抽查、党组会述职等方式和措施实现项目</w:t>
      </w:r>
      <w:r>
        <w:rPr>
          <w:rFonts w:ascii="方正仿宋简体" w:eastAsia="方正仿宋简体" w:cs="方正仿宋简体" w:hAnsi="方正仿宋简体" w:hint="eastAsia"/>
          <w:color w:val="auto"/>
          <w:sz w:val="32"/>
          <w:szCs w:val="32"/>
          <w:lang w:val="zh-CN" w:eastAsia="zh-CN"/>
        </w:rPr>
        <w:t>项目监管。</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38" w:name="_Toc23029"/>
      <w:bookmarkStart w:id="139" w:name="_Toc7549"/>
      <w:r>
        <w:rPr>
          <w:rFonts w:ascii="方正仿宋简体" w:eastAsia="方正仿宋简体" w:cs="方正仿宋简体" w:hAnsi="方正仿宋简体" w:hint="eastAsia"/>
          <w:color w:val="auto"/>
          <w:sz w:val="32"/>
          <w:szCs w:val="32"/>
          <w:lang w:eastAsia="zh-CN"/>
        </w:rPr>
        <w:t>四、项目绩效情况</w:t>
      </w:r>
      <w:bookmarkEnd w:id="138"/>
      <w:bookmarkEnd w:id="139"/>
      <w:r>
        <w:rPr>
          <w:rFonts w:ascii="方正仿宋简体" w:eastAsia="方正仿宋简体" w:cs="方正仿宋简体" w:hAnsi="方正仿宋简体" w:hint="eastAsia"/>
          <w:color w:val="auto"/>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该项目严格按照重点工作进度需求、办公室财务管理相关规定执行，达到全面保障、全面实施。</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各项效益指标完成良好。一是数量指标：按时、足额、规范保障专项资金</w:t>
      </w:r>
      <w:r>
        <w:rPr>
          <w:rFonts w:ascii="方正仿宋简体" w:eastAsia="方正仿宋简体" w:cs="方正仿宋简体" w:hAnsi="方正仿宋简体" w:hint="eastAsia"/>
          <w:color w:val="auto"/>
          <w:sz w:val="32"/>
          <w:szCs w:val="32"/>
          <w:lang w:val="en-US" w:eastAsia="zh-CN"/>
        </w:rPr>
        <w:t>15.00万元落实到重点工作</w:t>
      </w:r>
      <w:r>
        <w:rPr>
          <w:rFonts w:ascii="方正仿宋简体" w:eastAsia="方正仿宋简体" w:cs="方正仿宋简体" w:hAnsi="方正仿宋简体" w:hint="eastAsia"/>
          <w:color w:val="auto"/>
          <w:sz w:val="32"/>
          <w:szCs w:val="32"/>
          <w:lang w:eastAsia="zh-CN"/>
        </w:rPr>
        <w:t>；二是社会效益：对全区社会事业建设调研，深入调研、精准施策，调研成果结合实际现状运用，推进全区经济发展，推动全区社会建设事业，社会事业持续有序推进，从根本上解决问题和促进发展，引进经验和决策本土适应，社会经济持续发展，调研成果运用优化</w:t>
      </w:r>
      <w:r>
        <w:rPr>
          <w:rFonts w:ascii="方正仿宋简体" w:eastAsia="方正仿宋简体" w:cs="方正仿宋简体" w:hAnsi="方正仿宋简体" w:hint="eastAsia"/>
          <w:color w:val="auto"/>
          <w:sz w:val="32"/>
          <w:szCs w:val="32"/>
          <w:lang w:val="en-US" w:eastAsia="zh-CN"/>
        </w:rPr>
        <w:t>；三</w:t>
      </w:r>
      <w:r>
        <w:rPr>
          <w:rFonts w:ascii="方正仿宋简体" w:eastAsia="方正仿宋简体" w:cs="方正仿宋简体" w:hAnsi="方正仿宋简体" w:hint="eastAsia"/>
          <w:color w:val="auto"/>
          <w:sz w:val="32"/>
          <w:szCs w:val="32"/>
          <w:lang w:eastAsia="zh-CN"/>
        </w:rPr>
        <w:t>是可持续效益：调研成果促进重难点问题解决，为区委区政府重大决策提供有效帮助</w:t>
      </w:r>
      <w:r>
        <w:rPr>
          <w:rFonts w:ascii="方正仿宋简体" w:eastAsia="方正仿宋简体" w:cs="方正仿宋简体" w:hAnsi="方正仿宋简体" w:hint="eastAsia"/>
          <w:color w:val="auto"/>
          <w:sz w:val="32"/>
          <w:szCs w:val="32"/>
          <w:lang w:val="en-US" w:eastAsia="zh-CN"/>
        </w:rPr>
        <w:t>；</w:t>
      </w:r>
      <w:r>
        <w:rPr>
          <w:rFonts w:ascii="方正仿宋简体" w:eastAsia="方正仿宋简体" w:cs="方正仿宋简体" w:hAnsi="方正仿宋简体" w:hint="eastAsia"/>
          <w:color w:val="auto"/>
          <w:sz w:val="32"/>
          <w:szCs w:val="32"/>
          <w:lang w:eastAsia="zh-CN"/>
        </w:rPr>
        <w:t>四是社会满意度：更好更精准的实施各项重大决策，让好的决策落地生根，水土相符，快速促进经济社会发展。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40" w:name="_Toc20274"/>
      <w:bookmarkStart w:id="141" w:name="_Toc28723"/>
      <w:r>
        <w:rPr>
          <w:rFonts w:ascii="方正仿宋简体" w:eastAsia="方正仿宋简体" w:cs="方正仿宋简体" w:hAnsi="方正仿宋简体" w:hint="eastAsia"/>
          <w:color w:val="auto"/>
          <w:sz w:val="32"/>
          <w:szCs w:val="32"/>
          <w:lang w:eastAsia="zh-CN"/>
        </w:rPr>
        <w:t>五、评价结论及建议</w:t>
      </w:r>
      <w:bookmarkEnd w:id="140"/>
      <w:bookmarkEnd w:id="141"/>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（一）目前工作评价。联系重点工作经费项目支出</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lang w:eastAsia="zh-CN"/>
        </w:rPr>
        <w:t>确保了资金专款专用，</w:t>
      </w:r>
      <w:r>
        <w:rPr>
          <w:rFonts w:ascii="方正仿宋简体" w:eastAsia="方正仿宋简体" w:cs="方正仿宋简体" w:hAnsi="方正仿宋简体" w:hint="eastAsia"/>
          <w:color w:val="auto"/>
          <w:sz w:val="32"/>
          <w:szCs w:val="32"/>
          <w:lang w:val="zh-CN" w:eastAsia="zh-CN"/>
        </w:rPr>
        <w:t>严格</w:t>
      </w:r>
      <w:r>
        <w:rPr>
          <w:rFonts w:ascii="方正仿宋简体" w:eastAsia="方正仿宋简体" w:cs="方正仿宋简体" w:hAnsi="方正仿宋简体" w:hint="eastAsia"/>
          <w:color w:val="auto"/>
          <w:sz w:val="32"/>
          <w:szCs w:val="32"/>
          <w:lang w:eastAsia="zh-CN"/>
        </w:rPr>
        <w:t>按照项目申报绩效目标实施，</w:t>
      </w:r>
      <w:r>
        <w:rPr>
          <w:rFonts w:ascii="方正仿宋简体" w:eastAsia="方正仿宋简体" w:cs="方正仿宋简体" w:hAnsi="方正仿宋简体" w:hint="eastAsia"/>
          <w:color w:val="auto"/>
          <w:sz w:val="32"/>
          <w:szCs w:val="32"/>
          <w:lang w:val="en-US" w:eastAsia="zh-CN"/>
        </w:rPr>
        <w:t>产出指标、效益指标、满意度指标值评价高，达到预设目标绩效。</w:t>
      </w:r>
      <w:r>
        <w:rPr>
          <w:rFonts w:ascii="方正仿宋简体" w:eastAsia="方正仿宋简体" w:cs="方正仿宋简体" w:hAnsi="方正仿宋简体" w:hint="eastAsia"/>
          <w:color w:val="auto"/>
          <w:sz w:val="32"/>
          <w:szCs w:val="32"/>
          <w:lang w:eastAsia="zh-CN"/>
        </w:rPr>
        <w:t>项目股室在项目实施完成后上报绩效评估报告，</w:t>
      </w:r>
      <w:r>
        <w:rPr>
          <w:rFonts w:ascii="方正仿宋简体" w:eastAsia="方正仿宋简体" w:cs="方正仿宋简体" w:hAnsi="方正仿宋简体" w:hint="eastAsia"/>
          <w:color w:val="auto"/>
          <w:sz w:val="32"/>
          <w:szCs w:val="32"/>
          <w:lang w:val="en-US" w:eastAsia="zh-CN"/>
        </w:rPr>
        <w:t>该项目按照2022年区级专项预算项目支出绩效评价指标体系单位自评得分93分，能</w:t>
      </w:r>
      <w:r>
        <w:rPr>
          <w:rFonts w:ascii="方正仿宋简体" w:eastAsia="方正仿宋简体" w:cs="方正仿宋简体" w:hAnsi="方正仿宋简体" w:hint="eastAsia"/>
          <w:color w:val="auto"/>
          <w:sz w:val="32"/>
          <w:szCs w:val="32"/>
          <w:lang w:eastAsia="zh-CN"/>
        </w:rPr>
        <w:t>接受财政审计监督部门检查验收。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（二）存在的问题。项目与其他项目有交叉和雷同之处。</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sectPr>
          <w:footerReference w:type="default" r:id="rId20"/>
          <w:footerReference w:type="first" r:id="rId21"/>
          <w:pgSz w:w="11906" w:h="16838"/>
          <w:pgMar w:top="1440" w:right="1800" w:bottom="1440" w:left="1800" w:header="851" w:footer="992" w:gutter="0"/>
          <w:pgNumType w:start="39"/>
          <w:cols w:num="1" w:space="425"/>
          <w:titlePg/>
          <w:docGrid w:type="lines" w:linePitch="312" w:charSpace="0"/>
        </w:sectPr>
      </w:pPr>
      <w:r>
        <w:rPr>
          <w:rFonts w:ascii="方正仿宋简体" w:eastAsia="方正仿宋简体" w:cs="方正仿宋简体" w:hAnsi="方正仿宋简体" w:hint="eastAsia"/>
          <w:color w:val="auto"/>
          <w:sz w:val="32"/>
          <w:szCs w:val="32"/>
          <w:lang w:val="zh-CN" w:eastAsia="zh-CN"/>
        </w:rPr>
        <w:t>（三）相关建议。建议项目与相关项目有机整合，达到项目更优、投入更少、产出更合理。</w:t>
      </w:r>
    </w:p>
    <w:p>
      <w:pPr>
        <w:pStyle w:val="16"/>
        <w:rPr>
          <w:rFonts w:hint="eastAsia"/>
          <w:lang w:val="zh-CN" w:eastAsia="zh-CN"/>
        </w:rPr>
      </w:pPr>
    </w:p>
    <w:p>
      <w:pPr>
        <w:pStyle w:val="16"/>
        <w:rPr>
          <w:rStyle w:val="1Char"/>
          <w:rFonts w:ascii="黑体" w:eastAsia="黑体" w:hAnsi="黑体"/>
          <w:b w:val="0"/>
          <w:color w:val="auto"/>
          <w:highlight w:val="auto"/>
        </w:rPr>
      </w:pPr>
    </w:p>
    <w:tbl>
      <w:tblPr>
        <w:jc w:val="left"/>
        <w:tblInd w:w="93" w:type="dxa"/>
        <w:tblW w:w="194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5"/>
        <w:gridCol w:w="1755"/>
        <w:gridCol w:w="2890"/>
        <w:gridCol w:w="4187"/>
        <w:gridCol w:w="521"/>
        <w:gridCol w:w="1245"/>
        <w:gridCol w:w="521"/>
        <w:gridCol w:w="1091"/>
        <w:gridCol w:w="780"/>
        <w:gridCol w:w="960"/>
        <w:gridCol w:w="3825"/>
      </w:tblGrid>
      <w:tr>
        <w:trPr>
          <w:trHeight w:val="405"/>
        </w:trPr>
        <w:tc>
          <w:tcPr>
            <w:tcW w:w="16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附件4</w:t>
            </w:r>
          </w:p>
        </w:tc>
        <w:tc>
          <w:tcPr>
            <w:tcW w:w="175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89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4187"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382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570"/>
        </w:trPr>
        <w:tc>
          <w:tcPr>
            <w:tcW w:w="1947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部门预算、专项资金预算项目支出绩效目标自评表（2022年度）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2022年工作经费</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为切实加强招商引资工作，主动融入京津冀、长三角、珠三角、成西渝等经济发达地区，加大与“一带一路”沿线国家和地区企业对接合作，深挖合作广度、厚植合作深度，加快我区经济高质量发展，保障区领导外出招商相关工作并规范财务管理。</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工作经费项目支出全面完成，确保了资金专款专用，严格按照项目申报绩效目标实施，产出指标、效益指标、满意度指标值评价高，达到预设目标绩效</w:t>
            </w:r>
          </w:p>
        </w:tc>
      </w:tr>
      <w:tr>
        <w:trPr>
          <w:trHeight w:val="98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瞄准世界500强、国内100强、行业领军企业、成长型企业，根据已梳理锁定的90家食品饮料企业、60家机械电子企业和20家国内知名文旅企业查漏补缺，逐一拜访考察，坚持“抓大不放小”，高度关注高精尖、成长性好的小项目，形成“大项目支撑带动、小项目扩量补充”格局，和上下游产业配套集聚效应，进一步建链、延链、补链、强链，切实完善产业本地配套率和产业集聚集群，提升落地项目的稳定性和竞争力，为我区经济高质量发展增添新动能</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15.00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对全区经济社会发展调研</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righ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50</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96</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调研成果结合实际现状运用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效果指标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推进全区经济发展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对新政策落实落地基本情况调研</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调研成果运用优化区委区政府重大决策</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调研成果促进问题解决</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社会事业持续有序推进</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社会经济持续发展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可持续影响指标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从根本上解决问题和促进发展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引进经验和决策本土适应</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nil"/>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上级业务主管部门满意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nil"/>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社会公众满意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调研差旅等费用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厉行节约、执行预算</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良好</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4187"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项目完成、项目效益、满意度等方面绩效指标完成情况良好</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在绩效目标三级指标“量化细化”的编制上还需进一步完善；绩效项目实施责任人群对绩效管理工作认识和重视不够，绩效监控有待提升。预算编制的全面性、科学性、合理性、严谨性和可控性还有待于加强。</w:t>
            </w:r>
          </w:p>
        </w:tc>
      </w:tr>
      <w:tr>
        <w:trPr>
          <w:trHeight w:val="10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1．进一步强化绩效管理意识，整体提高绩效实施和绩效目标编报质量，提高可持续发展力。</w:t>
              <w:br/>
              <w:t>2．加强预算绩效管理制度及新预算法学习培训。在年度预算执行过程中，严格按照年初设定的工作目标任务支付资金。在年度中，新的工作任务下达且无预算、或者工作任务减少的情况下，及时按程序申报追加、追减调整预算。在项目执行过程中，对照项目目标绩效申报表督查完成情况，对做的好的给予表扬和肯定，完成情况不佳的通报批评的限期整改。</w:t>
            </w:r>
          </w:p>
        </w:tc>
      </w:tr>
      <w:tr>
        <w:trPr>
          <w:trHeight w:val="270"/>
        </w:trPr>
        <w:tc>
          <w:tcPr>
            <w:tcW w:w="11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rPr>
          <w:rStyle w:val="1Char"/>
          <w:rFonts w:ascii="黑体" w:eastAsia="黑体" w:hAnsi="黑体"/>
          <w:b w:val="0"/>
          <w:color w:val="auto"/>
          <w:highlight w:val="auto"/>
        </w:rPr>
      </w:pPr>
    </w:p>
    <w:p>
      <w:pPr>
        <w:pStyle w:val="16"/>
        <w:rPr>
          <w:rStyle w:val="1Char"/>
          <w:rFonts w:ascii="黑体" w:eastAsia="黑体" w:hAnsi="黑体"/>
          <w:b w:val="0"/>
          <w:color w:val="auto"/>
          <w:highlight w:val="auto"/>
        </w:rPr>
        <w:sectPr>
          <w:footerReference w:type="default" r:id="rId22"/>
          <w:footerReference w:type="first" r:id="rId23"/>
          <w:pgSz w:w="16838" w:h="11906" w:orient="landscape"/>
          <w:pgMar w:top="1800" w:right="1440" w:bottom="1800" w:left="1440" w:header="851" w:footer="992" w:gutter="0"/>
          <w:pgNumType w:start="44"/>
          <w:cols w:num="1" w:space="425"/>
          <w:titlePg/>
          <w:docGrid w:type="lines" w:linePitch="312" w:charSpace="0"/>
        </w:sectPr>
      </w:pPr>
    </w:p>
    <w:p/>
    <w:p/>
    <w:p>
      <w:pPr>
        <w:spacing w:line="560" w:lineRule="exact"/>
        <w:jc w:val="both"/>
        <w:rPr>
          <w:rFonts w:ascii="黑体" w:eastAsia="黑体" w:cs="黑体" w:hAnsi="黑体" w:hint="eastAsia"/>
          <w:sz w:val="32"/>
          <w:szCs w:val="32"/>
          <w:lang w:val="en-US" w:eastAsia="zh-CN"/>
        </w:rPr>
      </w:pPr>
      <w:r>
        <w:rPr>
          <w:rFonts w:ascii="黑体" w:eastAsia="黑体" w:cs="黑体" w:hAnsi="黑体" w:hint="eastAsia"/>
          <w:sz w:val="32"/>
          <w:szCs w:val="32"/>
          <w:lang w:eastAsia="zh-CN"/>
        </w:rPr>
        <w:t>附件</w:t>
      </w:r>
      <w:r>
        <w:rPr>
          <w:rFonts w:ascii="黑体" w:eastAsia="黑体" w:cs="黑体" w:hAnsi="黑体" w:hint="eastAsia"/>
          <w:sz w:val="32"/>
          <w:szCs w:val="32"/>
          <w:lang w:val="en-US" w:eastAsia="zh-CN"/>
        </w:rPr>
        <w:t xml:space="preserve"> </w:t>
      </w:r>
    </w:p>
    <w:p>
      <w:pPr>
        <w:spacing w:line="576" w:lineRule="exact"/>
        <w:jc w:val="center"/>
        <w:outlineLvl w:val="1"/>
        <w:rPr>
          <w:rFonts w:ascii="黑体" w:eastAsia="黑体" w:cs="黑体" w:hAnsi="黑体" w:hint="eastAsia"/>
          <w:sz w:val="32"/>
          <w:szCs w:val="32"/>
          <w:lang w:val="en-US" w:eastAsia="zh-CN"/>
        </w:rPr>
      </w:pPr>
      <w:bookmarkStart w:id="142" w:name="_Toc28055"/>
      <w:r>
        <w:rPr>
          <w:rFonts w:ascii="黑体" w:eastAsia="黑体" w:cs="黑体" w:hAnsi="黑体" w:hint="eastAsia"/>
          <w:sz w:val="32"/>
          <w:szCs w:val="32"/>
          <w:lang w:val="en-US" w:eastAsia="zh-CN"/>
        </w:rPr>
        <w:t>广元市利州区人民政府办公室</w:t>
      </w:r>
      <w:bookmarkEnd w:id="142"/>
    </w:p>
    <w:p>
      <w:pPr>
        <w:spacing w:line="576" w:lineRule="exact"/>
        <w:jc w:val="center"/>
        <w:outlineLvl w:val="1"/>
        <w:rPr>
          <w:rFonts w:ascii="黑体" w:eastAsia="黑体" w:cs="黑体" w:hAnsi="黑体" w:hint="eastAsia"/>
          <w:sz w:val="32"/>
          <w:szCs w:val="32"/>
          <w:lang w:val="en-US" w:eastAsia="zh-CN"/>
        </w:rPr>
      </w:pPr>
      <w:bookmarkStart w:id="143" w:name="_Toc24380"/>
      <w:bookmarkStart w:id="144" w:name="_Toc4834"/>
      <w:r>
        <w:rPr>
          <w:rFonts w:ascii="黑体" w:eastAsia="黑体" w:cs="黑体" w:hAnsi="黑体" w:hint="eastAsia"/>
          <w:sz w:val="32"/>
          <w:szCs w:val="32"/>
          <w:lang w:val="en-US" w:eastAsia="zh-CN"/>
        </w:rPr>
        <w:t>机房改造及文电会务资金缺口项目支出绩效自评报告</w:t>
      </w:r>
      <w:bookmarkEnd w:id="143"/>
      <w:bookmarkEnd w:id="144"/>
    </w:p>
    <w:p>
      <w:pPr>
        <w:adjustRightInd w:val="0"/>
        <w:snapToGrid w:val="0"/>
        <w:spacing w:line="580" w:lineRule="exact"/>
        <w:ind w:firstLine="720"/>
        <w:rPr>
          <w:rFonts w:ascii="黑体" w:eastAsia="黑体" w:cs="黑体" w:hAnsi="黑体" w:hint="eastAsia"/>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45" w:name="_Toc11925"/>
      <w:r>
        <w:rPr>
          <w:rFonts w:ascii="方正仿宋简体" w:eastAsia="方正仿宋简体" w:cs="方正仿宋简体" w:hAnsi="方正仿宋简体" w:hint="eastAsia"/>
          <w:color w:val="auto"/>
          <w:sz w:val="32"/>
          <w:szCs w:val="32"/>
          <w:lang w:eastAsia="zh-CN"/>
        </w:rPr>
        <w:t>一、</w:t>
      </w:r>
      <w:r>
        <w:rPr>
          <w:rFonts w:ascii="方正仿宋简体" w:eastAsia="方正仿宋简体" w:cs="方正仿宋简体" w:hAnsi="方正仿宋简体" w:hint="eastAsia"/>
          <w:color w:val="auto"/>
          <w:sz w:val="32"/>
          <w:szCs w:val="32"/>
          <w:lang w:val="zh-CN" w:eastAsia="zh-CN"/>
        </w:rPr>
        <w:t>项目概况</w:t>
      </w:r>
      <w:bookmarkEnd w:id="145"/>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en-US" w:eastAsia="zh-CN"/>
        </w:rPr>
        <w:t>1.单位承担的职能职责</w:t>
      </w:r>
      <w:r>
        <w:rPr>
          <w:rFonts w:ascii="方正仿宋简体" w:eastAsia="方正仿宋简体" w:cs="方正仿宋简体" w:hAnsi="方正仿宋简体" w:hint="eastAsia"/>
          <w:color w:val="auto"/>
          <w:sz w:val="32"/>
          <w:szCs w:val="32"/>
          <w:lang w:val="zh-CN" w:eastAsia="zh-CN"/>
        </w:rPr>
        <w:t>。</w:t>
      </w:r>
      <w:r>
        <w:rPr>
          <w:rFonts w:ascii="方正仿宋简体" w:eastAsia="方正仿宋简体" w:cs="方正仿宋简体" w:hAnsi="方正仿宋简体" w:hint="eastAsia"/>
          <w:color w:val="auto"/>
          <w:sz w:val="32"/>
          <w:szCs w:val="32"/>
          <w:lang w:eastAsia="zh-CN"/>
        </w:rPr>
        <w:t>区政府办公室作为政府的中枢机构、作战部、参谋部、后勤部，发挥着参谋辅政、统筹协调、督查督办等职能，承担着文稿起草、信息报送、综合协调、督促检查、接待服务、后勤保障等各项工作。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2.</w:t>
      </w:r>
      <w:r>
        <w:rPr>
          <w:rFonts w:ascii="方正仿宋简体" w:eastAsia="方正仿宋简体" w:cs="方正仿宋简体" w:hAnsi="方正仿宋简体" w:hint="eastAsia"/>
          <w:color w:val="auto"/>
          <w:sz w:val="32"/>
          <w:szCs w:val="32"/>
          <w:lang w:val="zh-CN" w:eastAsia="zh-CN"/>
        </w:rPr>
        <w:t>项目立项、资金申报的依据。</w:t>
      </w:r>
      <w:r>
        <w:rPr>
          <w:rFonts w:ascii="方正仿宋简体" w:eastAsia="方正仿宋简体" w:cs="方正仿宋简体" w:hAnsi="方正仿宋简体" w:hint="eastAsia"/>
          <w:color w:val="auto"/>
          <w:sz w:val="32"/>
          <w:szCs w:val="32"/>
          <w:lang w:eastAsia="zh-CN"/>
        </w:rPr>
        <w:t>做好文电会务保障工作，是深入贯彻落实习近平总书记关于建设让党中央放心、让人民群众满意模范机关指示精神的具体体现，符合党中央国务院和省委省政府、市委市政府、区委区政府关于办公室工作要求，对于建设人民满意政府、推动经济社会发展具有重要推动作用。根据机房建设在技术、安全、运维、管理等各环节的要求，选用自建、托管的方案，由运营商及区政府电子政务外网管理中心共同建设政务外网机房，所需设备由区政府电子政务外网管理中心购买，产权属区人民政府。区政府电子政务外网管理中心负责接入单位的审核和备案并对网络运行状态和安全情况进行监控。</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3.资金管理办法制定情况。单位制定了完善的财务、资金管理制度和内控制度，制度随新的政策变动即时修正，适应本单位项目资金管理，满足项目资金保障支付条件。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4.资金分配的原则及考虑因素。本单位项目资金分配和使用主要考虑项目进度、利于绩效目标实现等因素，同时在使用过程中，通知、通报资金支付进度提示分管领导和业务部门推进项目进度。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机房改造及文电会务资金缺口专项资金共计</w:t>
      </w:r>
      <w:r>
        <w:rPr>
          <w:rFonts w:ascii="方正仿宋简体" w:eastAsia="方正仿宋简体" w:cs="方正仿宋简体" w:hAnsi="方正仿宋简体" w:hint="eastAsia"/>
          <w:color w:val="auto"/>
          <w:sz w:val="32"/>
          <w:szCs w:val="32"/>
          <w:lang w:val="en-US" w:eastAsia="zh-CN"/>
        </w:rPr>
        <w:t>30.00</w:t>
      </w:r>
      <w:r>
        <w:rPr>
          <w:rFonts w:ascii="方正仿宋简体" w:eastAsia="方正仿宋简体" w:cs="方正仿宋简体" w:hAnsi="方正仿宋简体" w:hint="eastAsia"/>
          <w:color w:val="auto"/>
          <w:sz w:val="32"/>
          <w:szCs w:val="32"/>
          <w:lang w:val="zh-CN" w:eastAsia="zh-CN"/>
        </w:rPr>
        <w:t>万元，属于年中追加预算项目。项目经财政局批复下达后，及时到位，并全部用于机房改造及文电会务资金缺口。经费采取授权和直接支付形式，由区政府办财务室，严格按照项目资金管理办法，对资金进行计划申请、划拨、使用，及时、规范对收支进行账务处理和会计核算。</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该项目主要内容是保障</w:t>
      </w:r>
      <w:r>
        <w:rPr>
          <w:rFonts w:ascii="方正仿宋简体" w:eastAsia="方正仿宋简体" w:cs="方正仿宋简体" w:hAnsi="方正仿宋简体" w:hint="eastAsia"/>
          <w:color w:val="auto"/>
          <w:sz w:val="32"/>
          <w:szCs w:val="32"/>
          <w:lang w:eastAsia="zh-CN"/>
        </w:rPr>
        <w:t>纸张、墨粉购置；文件文稿起草、印制；会议活动资料准备；机要保密系统、电子政务外网建设运行维护。</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该项目申报内容与具体实施内容相符，申报目标合理可行，项目绩效明显。</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项目自评步骤及方法</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en-US" w:eastAsia="zh-CN"/>
        </w:rPr>
        <w:t>项目实施前，承办股室根据承担的职能职责，从项目预期目标、经费需求、筹资措施、可持续性分析等多方面拟定事前绩效评价报告，实施过程中，由实施股室自我监督、财务资金提醒监督、分管领导抽查、党组会述职等方式和措施实现项目事中</w:t>
      </w:r>
      <w:r>
        <w:rPr>
          <w:rFonts w:ascii="方正仿宋简体" w:eastAsia="方正仿宋简体" w:cs="方正仿宋简体" w:hAnsi="方正仿宋简体" w:hint="eastAsia"/>
          <w:color w:val="auto"/>
          <w:sz w:val="32"/>
          <w:szCs w:val="32"/>
          <w:lang w:val="zh-CN" w:eastAsia="zh-CN"/>
        </w:rPr>
        <w:t>监管，项目实施后，由业务分管领导组织相关人员对照职责履行情况、项目</w:t>
      </w:r>
      <w:r>
        <w:rPr>
          <w:rFonts w:ascii="方正仿宋简体" w:eastAsia="方正仿宋简体" w:cs="方正仿宋简体" w:hAnsi="方正仿宋简体" w:hint="eastAsia"/>
          <w:color w:val="auto"/>
          <w:sz w:val="32"/>
          <w:szCs w:val="32"/>
          <w:lang w:val="en-US" w:eastAsia="zh-CN"/>
        </w:rPr>
        <w:t>事前绩效评价报告指标、项目实际完成情况开展自评，肯定成绩、指出问题，形成项目评价结论。</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46" w:name="_Toc23363"/>
      <w:r>
        <w:rPr>
          <w:rFonts w:ascii="方正仿宋简体" w:eastAsia="方正仿宋简体" w:cs="方正仿宋简体" w:hAnsi="方正仿宋简体" w:hint="eastAsia"/>
          <w:color w:val="auto"/>
          <w:sz w:val="32"/>
          <w:szCs w:val="32"/>
          <w:lang w:eastAsia="zh-CN"/>
        </w:rPr>
        <w:t>二、项目资金申报及使用情况</w:t>
      </w:r>
      <w:bookmarkEnd w:id="146"/>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en-US" w:eastAsia="zh-CN"/>
        </w:rPr>
        <w:t>（一）</w:t>
      </w:r>
      <w:r>
        <w:rPr>
          <w:rFonts w:ascii="方正仿宋简体" w:eastAsia="方正仿宋简体" w:cs="方正仿宋简体" w:hAnsi="方正仿宋简体" w:hint="eastAsia"/>
          <w:color w:val="auto"/>
          <w:sz w:val="32"/>
          <w:szCs w:val="32"/>
          <w:lang w:val="zh-CN" w:eastAsia="zh-CN"/>
        </w:rPr>
        <w:t>项目资金申报及批复情况。机房改造及文电会务资金缺口专项资金共计</w:t>
      </w:r>
      <w:r>
        <w:rPr>
          <w:rFonts w:ascii="方正仿宋简体" w:eastAsia="方正仿宋简体" w:cs="方正仿宋简体" w:hAnsi="方正仿宋简体" w:hint="eastAsia"/>
          <w:color w:val="auto"/>
          <w:sz w:val="32"/>
          <w:szCs w:val="32"/>
          <w:lang w:val="en-US" w:eastAsia="zh-CN"/>
        </w:rPr>
        <w:t>30.00</w:t>
      </w:r>
      <w:r>
        <w:rPr>
          <w:rFonts w:ascii="方正仿宋简体" w:eastAsia="方正仿宋简体" w:cs="方正仿宋简体" w:hAnsi="方正仿宋简体" w:hint="eastAsia"/>
          <w:color w:val="auto"/>
          <w:sz w:val="32"/>
          <w:szCs w:val="32"/>
          <w:lang w:val="zh-CN" w:eastAsia="zh-CN"/>
        </w:rPr>
        <w:t>万元，属于年初预算项目，项目按预算程序经“二上二下”批复下达后，指标及时通过政府财政管理信息系统配置给项目实施单位。</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（二）资金计划到位使用情况。</w:t>
      </w:r>
      <w:r>
        <w:rPr>
          <w:rFonts w:ascii="方正仿宋简体" w:eastAsia="方正仿宋简体" w:cs="方正仿宋简体" w:hAnsi="方正仿宋简体" w:hint="eastAsia"/>
          <w:color w:val="auto"/>
          <w:sz w:val="32"/>
          <w:szCs w:val="32"/>
          <w:lang w:val="en-US" w:eastAsia="zh-CN"/>
        </w:rPr>
        <w:t>截止2022年12月31日，该项目实际支付30.00万元，资金到位和正常使用率达100%，</w:t>
      </w:r>
      <w:r>
        <w:rPr>
          <w:rFonts w:ascii="方正仿宋简体" w:eastAsia="方正仿宋简体" w:cs="方正仿宋简体" w:hAnsi="方正仿宋简体" w:hint="eastAsia"/>
          <w:color w:val="auto"/>
          <w:sz w:val="32"/>
          <w:szCs w:val="32"/>
          <w:lang w:val="zh-CN" w:eastAsia="zh-CN"/>
        </w:rPr>
        <w:t>按月对资金进行计划申请、划拨、使用。资金开支范围、标准及支付进度正常，支付依据合规合法，资金支付与预算相符。</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三）项目财务管理。项目资金采取授权和直接支付形式，由财务室按项目运转需要对资金进行计划申请、划拨、使用。项目支付严格执行财务管理制度，资金开支范围、标准及支付进度正常，支付依据合规合法，资金支付与预算相符，项目资金账务处理和会计核算及时、规范。</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47" w:name="_Toc29895"/>
      <w:r>
        <w:rPr>
          <w:rFonts w:ascii="方正仿宋简体" w:eastAsia="方正仿宋简体" w:cs="方正仿宋简体" w:hAnsi="方正仿宋简体" w:hint="eastAsia"/>
          <w:color w:val="auto"/>
          <w:sz w:val="32"/>
          <w:szCs w:val="32"/>
          <w:lang w:val="zh-CN" w:eastAsia="zh-CN"/>
        </w:rPr>
        <w:t>三、项目实施及管理情况</w:t>
      </w:r>
      <w:bookmarkEnd w:id="147"/>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该项目由政府办组织实施，项目资金按单位支出流程即经办人签字、财务人员票据规范性审核、分管领导业务真实合理性审核、分管财务领导审批、单位领导审批后，财务人员申请资金支付。</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（三）项目组织实施情况。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该项目由政府办组织实施，</w:t>
      </w:r>
      <w:r>
        <w:rPr>
          <w:rFonts w:ascii="方正仿宋简体" w:eastAsia="方正仿宋简体" w:cs="方正仿宋简体" w:hAnsi="方正仿宋简体" w:hint="eastAsia"/>
          <w:color w:val="auto"/>
          <w:sz w:val="32"/>
          <w:szCs w:val="32"/>
          <w:lang w:eastAsia="zh-CN"/>
        </w:rPr>
        <w:t>主要包括：已基本制定年度公文、会议活动计划，每月也将印发重点工作安排，同时，结合本年度工作实际做好公文运转、会议活动筹备开展、机要保密、电子政务外网机房安全建设和管理工作，确保按计划有序推进。工作开展中，严格执行公文起草、审核、复核，会议活动会前对照检查、会后再次复查等措施，确保工作高标准严要求落实。项目内容符合区委区政府决策部署相关的要求，项目实施内容为区政府办公室职能职责中的承担日常事务性工作，与单位职能职责密切相关。</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bookmarkStart w:id="148" w:name="_Toc387"/>
      <w:r>
        <w:rPr>
          <w:rFonts w:ascii="方正仿宋简体" w:eastAsia="方正仿宋简体" w:cs="方正仿宋简体" w:hAnsi="方正仿宋简体" w:hint="eastAsia"/>
          <w:color w:val="auto"/>
          <w:sz w:val="32"/>
          <w:szCs w:val="32"/>
          <w:lang w:val="zh-CN" w:eastAsia="zh-CN"/>
        </w:rPr>
        <w:t>项目绩效情况</w:t>
      </w:r>
      <w:bookmarkEnd w:id="148"/>
      <w:r>
        <w:rPr>
          <w:rFonts w:ascii="方正仿宋简体" w:eastAsia="方正仿宋简体" w:cs="方正仿宋简体" w:hAnsi="方正仿宋简体" w:hint="eastAsia"/>
          <w:color w:val="auto"/>
          <w:sz w:val="32"/>
          <w:szCs w:val="32"/>
          <w:lang w:val="zh-CN"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（一）项目完成情况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该项目严格按照时间节点正常完成支付，</w:t>
      </w:r>
      <w:r>
        <w:rPr>
          <w:rFonts w:ascii="方正仿宋简体" w:eastAsia="方正仿宋简体" w:cs="方正仿宋简体" w:hAnsi="方正仿宋简体" w:hint="eastAsia"/>
          <w:color w:val="auto"/>
          <w:sz w:val="32"/>
          <w:szCs w:val="32"/>
          <w:lang w:eastAsia="zh-CN"/>
        </w:rPr>
        <w:t>明确了工作任务，具有一定的基础设施条件，资金有保证，进度安排及保障措施等较为完善，项目实施得到有效保障。</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（二）项目效益情况</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各项效益指标完成良好，一是经济指标：在现有的资源上，低投入高效率运行。二是社会效益：做好公文的及时高效运转能够区政府政令畅通、相关部署和要求及时上传下达三是管理对象及社会满意度：项目内容符合与区委区政府决策部署相关的要求。</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49" w:name="_Toc26535"/>
      <w:r>
        <w:rPr>
          <w:rFonts w:ascii="方正仿宋简体" w:eastAsia="方正仿宋简体" w:cs="方正仿宋简体" w:hAnsi="方正仿宋简体" w:hint="eastAsia"/>
          <w:color w:val="auto"/>
          <w:sz w:val="32"/>
          <w:szCs w:val="32"/>
          <w:lang w:eastAsia="zh-CN"/>
        </w:rPr>
        <w:t>五、评价结论及建议</w:t>
      </w:r>
      <w:bookmarkEnd w:id="149"/>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zh-CN" w:eastAsia="zh-CN"/>
        </w:rPr>
      </w:pPr>
      <w:r>
        <w:rPr>
          <w:rFonts w:ascii="方正仿宋简体" w:eastAsia="方正仿宋简体" w:cs="方正仿宋简体" w:hAnsi="方正仿宋简体" w:hint="eastAsia"/>
          <w:color w:val="auto"/>
          <w:sz w:val="32"/>
          <w:szCs w:val="32"/>
          <w:lang w:val="zh-CN" w:eastAsia="zh-CN"/>
        </w:rPr>
        <w:t>（一）目前工作评价。</w:t>
      </w:r>
      <w:r>
        <w:rPr>
          <w:rFonts w:ascii="方正仿宋简体" w:eastAsia="方正仿宋简体" w:cs="方正仿宋简体" w:hAnsi="方正仿宋简体" w:hint="eastAsia"/>
          <w:color w:val="auto"/>
          <w:sz w:val="32"/>
          <w:szCs w:val="32"/>
          <w:lang w:eastAsia="zh-CN"/>
        </w:rPr>
        <w:t>机房改造及文电会务资金缺口</w:t>
      </w:r>
      <w:r>
        <w:rPr>
          <w:rFonts w:ascii="方正仿宋简体" w:eastAsia="方正仿宋简体" w:cs="方正仿宋简体" w:hAnsi="方正仿宋简体" w:hint="eastAsia"/>
          <w:color w:val="auto"/>
          <w:sz w:val="32"/>
          <w:szCs w:val="32"/>
          <w:lang w:val="en-US" w:eastAsia="zh-CN"/>
        </w:rPr>
        <w:t>全面完成，</w:t>
      </w:r>
      <w:r>
        <w:rPr>
          <w:rFonts w:ascii="方正仿宋简体" w:eastAsia="方正仿宋简体" w:cs="方正仿宋简体" w:hAnsi="方正仿宋简体" w:hint="eastAsia"/>
          <w:color w:val="auto"/>
          <w:sz w:val="32"/>
          <w:szCs w:val="32"/>
          <w:lang w:eastAsia="zh-CN"/>
        </w:rPr>
        <w:t>确保了资金专款专用，严格按照项目申报绩效目标实施，</w:t>
      </w:r>
      <w:r>
        <w:rPr>
          <w:rFonts w:ascii="方正仿宋简体" w:eastAsia="方正仿宋简体" w:cs="方正仿宋简体" w:hAnsi="方正仿宋简体" w:hint="eastAsia"/>
          <w:color w:val="auto"/>
          <w:sz w:val="32"/>
          <w:szCs w:val="32"/>
          <w:lang w:val="en-US" w:eastAsia="zh-CN"/>
        </w:rPr>
        <w:t>产出指标、效益指标、满意度指标值评价高，达到预设目标绩效。</w:t>
      </w:r>
      <w:r>
        <w:rPr>
          <w:rFonts w:ascii="方正仿宋简体" w:eastAsia="方正仿宋简体" w:cs="方正仿宋简体" w:hAnsi="方正仿宋简体" w:hint="eastAsia"/>
          <w:color w:val="auto"/>
          <w:sz w:val="32"/>
          <w:szCs w:val="32"/>
          <w:lang w:eastAsia="zh-CN"/>
        </w:rPr>
        <w:t>项目单位在项目实施完成后上报绩效评估报告，项目股室在项目实施完成后上报绩效评估报告，该项目按照</w:t>
      </w:r>
      <w:r>
        <w:rPr>
          <w:rFonts w:ascii="方正仿宋简体" w:eastAsia="方正仿宋简体" w:cs="方正仿宋简体" w:hAnsi="方正仿宋简体" w:hint="eastAsia"/>
          <w:color w:val="auto"/>
          <w:sz w:val="32"/>
          <w:szCs w:val="32"/>
          <w:lang w:val="en-US" w:eastAsia="zh-CN"/>
        </w:rPr>
        <w:t>2022年区级专项预算项目支出绩效评价指标体系</w:t>
      </w:r>
      <w:r>
        <w:rPr>
          <w:rFonts w:ascii="方正仿宋简体" w:eastAsia="方正仿宋简体" w:cs="方正仿宋简体" w:hAnsi="方正仿宋简体" w:hint="eastAsia"/>
          <w:color w:val="auto"/>
          <w:sz w:val="32"/>
          <w:szCs w:val="32"/>
          <w:lang w:eastAsia="zh-CN"/>
        </w:rPr>
        <w:t>单位自评得分</w:t>
      </w:r>
      <w:r>
        <w:rPr>
          <w:rFonts w:ascii="方正仿宋简体" w:eastAsia="方正仿宋简体" w:cs="方正仿宋简体" w:hAnsi="方正仿宋简体" w:hint="eastAsia"/>
          <w:color w:val="auto"/>
          <w:sz w:val="32"/>
          <w:szCs w:val="32"/>
          <w:lang w:val="en-US" w:eastAsia="zh-CN"/>
        </w:rPr>
        <w:t>92</w:t>
      </w:r>
      <w:r>
        <w:rPr>
          <w:rFonts w:ascii="方正仿宋简体" w:eastAsia="方正仿宋简体" w:cs="方正仿宋简体" w:hAnsi="方正仿宋简体" w:hint="eastAsia"/>
          <w:color w:val="auto"/>
          <w:sz w:val="32"/>
          <w:szCs w:val="32"/>
          <w:lang w:eastAsia="zh-CN"/>
        </w:rPr>
        <w:t>分，能接受财政审计监督部门检查验收。</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zh-CN" w:eastAsia="zh-CN"/>
        </w:rPr>
        <w:t>（二）存在的问题。</w:t>
      </w:r>
      <w:r>
        <w:rPr>
          <w:rFonts w:ascii="方正仿宋简体" w:eastAsia="方正仿宋简体" w:cs="方正仿宋简体" w:hAnsi="方正仿宋简体" w:hint="eastAsia"/>
          <w:color w:val="auto"/>
          <w:sz w:val="32"/>
          <w:szCs w:val="32"/>
          <w:lang w:eastAsia="zh-CN"/>
        </w:rPr>
        <w:t>项目单一且规模小。</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val="en-US" w:eastAsia="zh-CN"/>
        </w:rPr>
      </w:pPr>
      <w:r>
        <w:rPr>
          <w:rFonts w:ascii="方正仿宋简体" w:eastAsia="方正仿宋简体" w:cs="方正仿宋简体" w:hAnsi="方正仿宋简体" w:hint="eastAsia"/>
          <w:color w:val="auto"/>
          <w:sz w:val="32"/>
          <w:szCs w:val="32"/>
          <w:lang w:val="zh-CN" w:eastAsia="zh-CN"/>
        </w:rPr>
        <w:t>（二）相关建议。</w:t>
      </w:r>
      <w:r>
        <w:rPr>
          <w:rFonts w:ascii="方正仿宋简体" w:eastAsia="方正仿宋简体" w:cs="方正仿宋简体" w:hAnsi="方正仿宋简体" w:hint="eastAsia"/>
          <w:color w:val="auto"/>
          <w:sz w:val="32"/>
          <w:szCs w:val="32"/>
          <w:lang w:val="en-US" w:eastAsia="zh-CN"/>
        </w:rPr>
        <w:t>与其他相关项目整合。</w:t>
      </w:r>
    </w:p>
    <w:p>
      <w:pPr>
        <w:pStyle w:val="16"/>
        <w:rPr>
          <w:rFonts w:ascii="方正仿宋简体" w:eastAsia="方正仿宋简体" w:cs="方正仿宋简体" w:hAnsi="方正仿宋简体" w:hint="eastAsia"/>
          <w:color w:val="auto"/>
          <w:sz w:val="32"/>
          <w:szCs w:val="32"/>
          <w:lang w:val="en-US" w:eastAsia="zh-CN"/>
        </w:rPr>
      </w:pPr>
    </w:p>
    <w:p>
      <w:pPr>
        <w:rPr>
          <w:rFonts w:ascii="方正仿宋简体" w:eastAsia="方正仿宋简体" w:cs="方正仿宋简体" w:hAnsi="方正仿宋简体" w:hint="eastAsia"/>
          <w:color w:val="auto"/>
          <w:sz w:val="32"/>
          <w:szCs w:val="32"/>
          <w:lang w:val="en-US" w:eastAsia="zh-CN"/>
        </w:rPr>
      </w:pPr>
    </w:p>
    <w:p>
      <w:pPr>
        <w:pStyle w:val="16"/>
        <w:rPr>
          <w:rFonts w:ascii="方正仿宋简体" w:eastAsia="方正仿宋简体" w:cs="方正仿宋简体" w:hAnsi="方正仿宋简体" w:hint="eastAsia"/>
          <w:color w:val="auto"/>
          <w:sz w:val="32"/>
          <w:szCs w:val="32"/>
          <w:lang w:val="en-US" w:eastAsia="zh-CN"/>
        </w:rPr>
        <w:sectPr>
          <w:footerReference w:type="default" r:id="rId24"/>
          <w:footerReference w:type="first" r:id="rId25"/>
          <w:pgSz w:w="11906" w:h="16838"/>
          <w:pgMar w:top="1440" w:right="1800" w:bottom="1440" w:left="1800" w:header="851" w:footer="992" w:gutter="0"/>
          <w:pgNumType w:start="47"/>
          <w:cols w:num="1" w:space="425"/>
          <w:titlePg/>
          <w:docGrid w:type="lines" w:linePitch="312" w:charSpace="0"/>
        </w:sectPr>
      </w:pPr>
    </w:p>
    <w:p>
      <w:pPr>
        <w:rPr>
          <w:rFonts w:hint="eastAsia"/>
          <w:lang w:val="en-US" w:eastAsia="zh-CN"/>
        </w:rPr>
      </w:pPr>
    </w:p>
    <w:tbl>
      <w:tblPr>
        <w:jc w:val="left"/>
        <w:tblInd w:w="93" w:type="dxa"/>
        <w:tblW w:w="19470" w:type="dxa"/>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1695"/>
        <w:gridCol w:w="1755"/>
        <w:gridCol w:w="2890"/>
        <w:gridCol w:w="4187"/>
        <w:gridCol w:w="576"/>
        <w:gridCol w:w="1245"/>
        <w:gridCol w:w="521"/>
        <w:gridCol w:w="1091"/>
        <w:gridCol w:w="780"/>
        <w:gridCol w:w="960"/>
        <w:gridCol w:w="3825"/>
      </w:tblGrid>
      <w:tr>
        <w:trPr>
          <w:trHeight w:val="405"/>
        </w:trPr>
        <w:tc>
          <w:tcPr>
            <w:tcW w:w="1695"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eastAsia="黑体" w:cs="黑体" w:hAnsi="宋体"/>
                <w:i w:val="0"/>
                <w:iCs w:val="0"/>
                <w:color w:val="000000"/>
                <w:sz w:val="32"/>
                <w:szCs w:val="32"/>
                <w:u w:val="none"/>
              </w:rPr>
            </w:pPr>
            <w:r>
              <w:rPr>
                <w:rFonts w:ascii="黑体" w:eastAsia="黑体" w:cs="黑体" w:hAnsi="宋体" w:hint="eastAsia"/>
                <w:i w:val="0"/>
                <w:iCs w:val="0"/>
                <w:color w:val="000000"/>
                <w:kern w:val="0"/>
                <w:sz w:val="32"/>
                <w:szCs w:val="32"/>
                <w:u w:val="none"/>
                <w:lang w:val="en-US" w:eastAsia="zh-CN"/>
              </w:rPr>
              <w:t>附件4</w:t>
            </w:r>
          </w:p>
        </w:tc>
        <w:tc>
          <w:tcPr>
            <w:tcW w:w="175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289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4187"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245" w:type="dxa"/>
            <w:tcBorders>
              <w:top w:val="nil"/>
              <w:left w:val="nil"/>
              <w:bottom w:val="nil"/>
              <w:right w:val="nil"/>
            </w:tcBorders>
            <w:shd w:val="clear" w:color="auto" w:fill="auto"/>
            <w:noWrap/>
            <w:vAlign w:val="center"/>
          </w:tcPr>
          <w:p>
            <w:pPr>
              <w:jc w:val="center"/>
              <w:rPr>
                <w:rFonts w:ascii="宋体" w:eastAsia="宋体" w:cs="宋体" w:hAnsi="宋体" w:hint="eastAsia"/>
                <w:i w:val="0"/>
                <w:iCs w:val="0"/>
                <w:color w:val="000000"/>
                <w:sz w:val="22"/>
                <w:szCs w:val="22"/>
                <w:u w:val="none"/>
              </w:rPr>
            </w:pPr>
          </w:p>
        </w:tc>
        <w:tc>
          <w:tcPr>
            <w:tcW w:w="52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78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960"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c>
          <w:tcPr>
            <w:tcW w:w="3825" w:type="dxa"/>
            <w:tcBorders>
              <w:top w:val="nil"/>
              <w:left w:val="nil"/>
              <w:bottom w:val="nil"/>
              <w:right w:val="nil"/>
            </w:tcBorders>
            <w:shd w:val="clear" w:color="auto" w:fill="auto"/>
            <w:noWrap/>
            <w:vAlign w:val="center"/>
          </w:tcPr>
          <w:p>
            <w:pPr>
              <w:rPr>
                <w:rFonts w:ascii="宋体" w:eastAsia="宋体" w:cs="宋体" w:hAnsi="宋体" w:hint="eastAsia"/>
                <w:i w:val="0"/>
                <w:iCs w:val="0"/>
                <w:color w:val="000000"/>
                <w:sz w:val="22"/>
                <w:szCs w:val="22"/>
                <w:u w:val="none"/>
              </w:rPr>
            </w:pPr>
          </w:p>
        </w:tc>
      </w:tr>
      <w:tr>
        <w:trPr>
          <w:trHeight w:val="570"/>
        </w:trPr>
        <w:tc>
          <w:tcPr>
            <w:tcW w:w="1947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eastAsia="方正小标宋简体" w:cs="方正小标宋简体" w:hAnsi="方正小标宋简体"/>
                <w:i w:val="0"/>
                <w:iCs w:val="0"/>
                <w:color w:val="000000"/>
                <w:sz w:val="44"/>
                <w:szCs w:val="44"/>
                <w:u w:val="none"/>
              </w:rPr>
            </w:pPr>
            <w:r>
              <w:rPr>
                <w:rFonts w:ascii="方正小标宋简体" w:eastAsia="方正小标宋简体" w:cs="方正小标宋简体" w:hAnsi="方正小标宋简体" w:hint="eastAsia"/>
                <w:i w:val="0"/>
                <w:iCs w:val="0"/>
                <w:color w:val="000000"/>
                <w:kern w:val="0"/>
                <w:sz w:val="44"/>
                <w:szCs w:val="44"/>
                <w:u w:val="none"/>
                <w:lang w:val="en-US" w:eastAsia="zh-CN"/>
              </w:rPr>
              <w:t>部门预算、专项资金预算项目支出绩效目标自评表（2022年度）</w:t>
            </w:r>
          </w:p>
        </w:tc>
      </w:tr>
      <w:tr>
        <w:trPr>
          <w:trHeight w:val="3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项目名称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机房改造及文电会务资金缺口</w:t>
            </w:r>
          </w:p>
        </w:tc>
      </w:tr>
      <w:tr>
        <w:trPr>
          <w:trHeight w:val="280"/>
        </w:trPr>
        <w:tc>
          <w:tcPr>
            <w:tcW w:w="34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主管部门</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 xml:space="preserve">实施单位 </w:t>
            </w:r>
          </w:p>
        </w:tc>
        <w:tc>
          <w:tcPr>
            <w:tcW w:w="55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广元市利州区人民政府办公室</w:t>
            </w:r>
          </w:p>
        </w:tc>
      </w:tr>
      <w:tr>
        <w:trPr>
          <w:trHeight w:val="38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项目基本情况</w:t>
            </w: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1.项目年度目标完成情况</w:t>
            </w: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项目年度目标</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年度目标完成情况</w:t>
            </w:r>
          </w:p>
        </w:tc>
      </w:tr>
      <w:tr>
        <w:trPr>
          <w:trHeight w:val="11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93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保障纸张、墨粉购置；文件文稿起草、印制；会议活动资料准备；机要保密系统、电子政务外网建设运行维护</w:t>
            </w:r>
          </w:p>
        </w:tc>
        <w:tc>
          <w:tcPr>
            <w:tcW w:w="665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机房改造及文电会务资金缺口全面完成，确保了资金专款专用，严格按照项目申报绩效目标实施，产出指标、效益指标、满意度指标值评价高，达到预设目标绩效</w:t>
            </w:r>
          </w:p>
        </w:tc>
      </w:tr>
      <w:tr>
        <w:trPr>
          <w:trHeight w:val="98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2.项目实施内容及过程概述</w:t>
            </w:r>
          </w:p>
        </w:tc>
        <w:tc>
          <w:tcPr>
            <w:tcW w:w="160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工作开展中，严格执行公文起草、审核、复核，会议活动会前对照检查、会后再次复查等措施，确保工作高标准严要求落实。</w:t>
            </w:r>
          </w:p>
        </w:tc>
      </w:tr>
      <w:tr>
        <w:trPr>
          <w:trHeight w:val="54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预算执行情况</w:t>
              <w:br/>
              <w:t>（10分）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年度预算数</w:t>
              <w:br/>
              <w:t>（万元）</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年初预算</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调整后预算数</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预算执行率</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原因</w:t>
            </w:r>
          </w:p>
        </w:tc>
      </w:tr>
      <w:tr>
        <w:trPr>
          <w:trHeight w:val="32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总额</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rPr>
                <w:rFonts w:ascii="宋体" w:eastAsia="宋体" w:cs="宋体" w:hAnsi="宋体" w:hint="eastAsia"/>
                <w:i w:val="0"/>
                <w:iCs w:val="0"/>
                <w:color w:val="000000"/>
                <w:sz w:val="18"/>
                <w:szCs w:val="18"/>
                <w:u w:val="none"/>
              </w:rPr>
            </w:p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其中：财政资金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财政专户管理资金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单位资金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3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其他资金</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22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6"/>
                <w:szCs w:val="16"/>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3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r>
      <w:tr>
        <w:trPr>
          <w:trHeight w:val="720"/>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绩效指标（90分）</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一级指标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二级指标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完成值</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权重</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自评得分</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未完成原因分析</w:t>
            </w: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产出指标</w:t>
            </w: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数量指标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电子政务外网管理机房维护提升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辆</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保障文印费欠款率下降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质量指标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降低资料制作印刷错误率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0.01</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达到二级等保标准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0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保证区级双链路外网</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时效指标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文电流转不过夜</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45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保障断电后畅通</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小时/天</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限定期限内全面写成建设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Arial" w:eastAsia="宋体" w:cs="Arial" w:hAnsi="Arial"/>
                <w:i w:val="0"/>
                <w:iCs w:val="0"/>
                <w:color w:val="000000"/>
                <w:sz w:val="18"/>
                <w:szCs w:val="18"/>
                <w:u w:val="none"/>
              </w:rPr>
            </w:pPr>
            <w:r>
              <w:rPr>
                <w:rFonts w:ascii="Arial" w:eastAsia="宋体" w:cs="Arial" w:hAnsi="Arial"/>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效益指标</w:t>
            </w:r>
          </w:p>
        </w:tc>
        <w:tc>
          <w:tcPr>
            <w:tcW w:w="2890"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以文辅政，促进发展</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tcBorders>
              <w:top w:val="single" w:sz="4" w:space="0" w:color="000000"/>
              <w:left w:val="single" w:sz="4" w:space="0" w:color="000000"/>
              <w:bottom w:val="nil"/>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降低维护成本</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合格</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社会效益指标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保证政府官网正常运转、及时发布便民信息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可持续发展指标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文电有序流转保障政府有序运行</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tcBorders>
              <w:top w:val="single" w:sz="4" w:space="0" w:color="000000"/>
              <w:left w:val="single" w:sz="4" w:space="0" w:color="000000"/>
              <w:bottom w:val="nil"/>
              <w:right w:val="single" w:sz="4" w:space="0" w:color="000000"/>
            </w:tcBorders>
            <w:shd w:val="clear" w:color="auto" w:fill="auto"/>
            <w:noWrap/>
            <w:vAlign w:val="center"/>
          </w:tcPr>
          <w:p/>
        </w:tc>
        <w:tc>
          <w:tcPr>
            <w:tcW w:w="28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提升提级达到上级标准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22"/>
                <w:szCs w:val="22"/>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使用机关单位满意</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4</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服务对象满意度指标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办事群众快捷获取政务信息和帮助</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满意度指标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领导职工及时处理文电文稿</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97</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7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成本指标</w:t>
            </w: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机房建设费用控制</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i w:val="0"/>
                <w:iCs w:val="0"/>
                <w:color w:val="000000"/>
                <w:sz w:val="18"/>
                <w:szCs w:val="18"/>
                <w:u w:val="none"/>
              </w:rPr>
            </w:pPr>
            <w:r>
              <w:rPr>
                <w:rFonts w:ascii="宋体" w:eastAsia="宋体" w:cs="宋体" w:hAnsi="宋体"/>
                <w:i w:val="0"/>
                <w:iCs w:val="0"/>
                <w:color w:val="000000"/>
                <w:kern w:val="0"/>
                <w:sz w:val="18"/>
                <w:szCs w:val="18"/>
                <w:u w:val="none"/>
                <w:lang w:val="en-US" w:eastAsia="zh-CN"/>
              </w:rPr>
              <w:t>≦</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7</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万元</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99</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b/>
                <w:bCs/>
                <w:i w:val="0"/>
                <w:iCs w:val="0"/>
                <w:color w:val="000000"/>
                <w:sz w:val="18"/>
                <w:szCs w:val="18"/>
                <w:u w:val="none"/>
              </w:rPr>
            </w:pPr>
          </w:p>
        </w:tc>
        <w:tc>
          <w:tcPr>
            <w:tcW w:w="17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经济成本指标</w:t>
            </w: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文电制作控制出错率、降低二次制作成本</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定性</w:t>
            </w: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优等</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5</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100</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270"/>
        </w:trPr>
        <w:tc>
          <w:tcPr>
            <w:tcW w:w="1695" w:type="dxa"/>
            <w:tcBorders>
              <w:top w:val="nil"/>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合计</w:t>
            </w:r>
          </w:p>
        </w:tc>
        <w:tc>
          <w:tcPr>
            <w:tcW w:w="1755" w:type="dxa"/>
            <w:tcBorders>
              <w:top w:val="nil"/>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418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rPr>
                <w:rFonts w:ascii="宋体" w:eastAsia="宋体" w:cs="宋体" w:hAnsi="宋体" w:hint="eastAsia"/>
                <w:i w:val="0"/>
                <w:iCs w:val="0"/>
                <w:color w:val="000000"/>
                <w:sz w:val="18"/>
                <w:szCs w:val="18"/>
                <w:u w:val="none"/>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jc w:val="center"/>
              <w:rPr>
                <w:rFonts w:ascii="宋体" w:eastAsia="宋体" w:cs="宋体" w:hAnsi="宋体" w:hint="eastAsia"/>
                <w:i w:val="0"/>
                <w:iCs w:val="0"/>
                <w:color w:val="000000"/>
                <w:sz w:val="18"/>
                <w:szCs w:val="18"/>
                <w:u w:val="none"/>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78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98.6</w:t>
            </w:r>
          </w:p>
        </w:tc>
        <w:tc>
          <w:tcPr>
            <w:tcW w:w="382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cs="宋体" w:hAnsi="宋体" w:hint="eastAsia"/>
                <w:i w:val="0"/>
                <w:iCs w:val="0"/>
                <w:color w:val="000000"/>
                <w:sz w:val="18"/>
                <w:szCs w:val="18"/>
                <w:u w:val="none"/>
              </w:rPr>
            </w:pPr>
          </w:p>
        </w:tc>
      </w:tr>
      <w:tr>
        <w:trPr>
          <w:trHeight w:val="54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自评结论</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项目完成、项目效益、满意度等方面绩效指标完成情况良好</w:t>
            </w:r>
          </w:p>
        </w:tc>
      </w:tr>
      <w:tr>
        <w:trPr>
          <w:trHeight w:val="46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自评存在问题</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在绩效目标三级指标“量化细化”的编制上还需进一步完善；绩效项目实施责任人群对绩效管理工作认识和重视不够，绩效监控有待提升。预算编制的全面性、科学性、合理性、严谨性和可控性还有待于加强。</w:t>
            </w:r>
          </w:p>
        </w:tc>
      </w:tr>
      <w:tr>
        <w:trPr>
          <w:trHeight w:val="1020"/>
        </w:trPr>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b/>
                <w:bCs/>
                <w:i w:val="0"/>
                <w:iCs w:val="0"/>
                <w:color w:val="000000"/>
                <w:sz w:val="18"/>
                <w:szCs w:val="18"/>
                <w:u w:val="none"/>
              </w:rPr>
            </w:pPr>
            <w:r>
              <w:rPr>
                <w:rFonts w:ascii="宋体" w:eastAsia="宋体" w:cs="宋体" w:hAnsi="宋体" w:hint="eastAsia"/>
                <w:b/>
                <w:bCs/>
                <w:i w:val="0"/>
                <w:iCs w:val="0"/>
                <w:color w:val="000000"/>
                <w:kern w:val="0"/>
                <w:sz w:val="18"/>
                <w:szCs w:val="18"/>
                <w:u w:val="none"/>
                <w:lang w:val="en-US" w:eastAsia="zh-CN"/>
              </w:rPr>
              <w:t>自评改进措施</w:t>
            </w:r>
          </w:p>
        </w:tc>
        <w:tc>
          <w:tcPr>
            <w:tcW w:w="177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6"/>
                <w:szCs w:val="16"/>
                <w:u w:val="none"/>
              </w:rPr>
            </w:pPr>
            <w:r>
              <w:rPr>
                <w:rFonts w:ascii="宋体" w:eastAsia="宋体" w:cs="宋体" w:hAnsi="宋体" w:hint="eastAsia"/>
                <w:i w:val="0"/>
                <w:iCs w:val="0"/>
                <w:color w:val="000000"/>
                <w:kern w:val="0"/>
                <w:sz w:val="16"/>
                <w:szCs w:val="16"/>
                <w:u w:val="none"/>
                <w:lang w:val="en-US" w:eastAsia="zh-CN"/>
              </w:rPr>
              <w:t>1．进一步强化绩效管理意识，整体提高绩效实施和绩效目标编报质量，提高可持续发展力。</w:t>
              <w:br/>
              <w:t>2．加强预算绩效管理制度及新预算法学习培训。在年度预算执行过程中，严格按照年初设定的工作目标任务支付资金。在年度中，新的工作任务下达且无预算、或者工作任务减少的情况下，及时按程序申报追加、追减调整预算。在项目执行过程中，对照项目目标绩效申报表督查完成情况，对做的好的给予表扬和肯定，完成情况不佳的通报批评的限期整改。</w:t>
            </w:r>
          </w:p>
        </w:tc>
      </w:tr>
      <w:tr>
        <w:trPr>
          <w:trHeight w:val="270"/>
        </w:trPr>
        <w:tc>
          <w:tcPr>
            <w:tcW w:w="110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项目负责人：</w:t>
            </w:r>
          </w:p>
        </w:tc>
        <w:tc>
          <w:tcPr>
            <w:tcW w:w="842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cs="宋体" w:hAnsi="宋体" w:hint="eastAsia"/>
                <w:i w:val="0"/>
                <w:iCs w:val="0"/>
                <w:color w:val="000000"/>
                <w:sz w:val="18"/>
                <w:szCs w:val="18"/>
                <w:u w:val="none"/>
              </w:rPr>
            </w:pPr>
            <w:r>
              <w:rPr>
                <w:rFonts w:ascii="宋体" w:eastAsia="宋体" w:cs="宋体" w:hAnsi="宋体" w:hint="eastAsia"/>
                <w:i w:val="0"/>
                <w:iCs w:val="0"/>
                <w:color w:val="000000"/>
                <w:kern w:val="0"/>
                <w:sz w:val="18"/>
                <w:szCs w:val="18"/>
                <w:u w:val="none"/>
                <w:lang w:val="en-US" w:eastAsia="zh-CN"/>
              </w:rPr>
              <w:t>财务负责人：</w:t>
            </w:r>
          </w:p>
        </w:tc>
      </w:tr>
    </w:tbl>
    <w:p>
      <w:pPr>
        <w:pStyle w:val="16"/>
        <w:rPr>
          <w:rFonts w:hint="eastAsia"/>
          <w:lang w:val="en-US" w:eastAsia="zh-CN"/>
        </w:rPr>
        <w:sectPr>
          <w:footerReference w:type="default" r:id="rId26"/>
          <w:footerReference w:type="first" r:id="rId27"/>
          <w:pgSz w:w="16838" w:h="11906" w:orient="landscape"/>
          <w:pgMar w:top="1800" w:right="1440" w:bottom="1800" w:left="1440" w:header="851" w:footer="992" w:gutter="0"/>
          <w:pgNumType w:start="52"/>
          <w:cols w:num="1" w:space="425"/>
          <w:titlePg/>
          <w:docGrid w:type="lines" w:linePitch="312" w:charSpace="0"/>
        </w:sectPr>
      </w:pPr>
    </w:p>
    <w:p>
      <w:pPr>
        <w:rPr>
          <w:rFonts w:hint="eastAsia"/>
          <w:lang w:val="en-US" w:eastAsia="zh-CN"/>
        </w:rPr>
      </w:pPr>
    </w:p>
    <w:p/>
    <w:p>
      <w:pPr>
        <w:pageBreakBefore w:val="0"/>
        <w:widowControl w:val="0"/>
        <w:kinsoku/>
        <w:wordWrap/>
        <w:topLinePunct w:val="0"/>
        <w:bidi w:val="0"/>
        <w:spacing w:line="600" w:lineRule="exact"/>
        <w:jc w:val="both"/>
        <w:outlineLvl w:val="0"/>
        <w:rPr>
          <w:rFonts w:ascii="仿宋" w:eastAsia="仿宋" w:hAnsi="仿宋" w:hint="eastAsia"/>
          <w:b w:val="0"/>
          <w:color w:val="auto"/>
          <w:lang w:val="en-US" w:eastAsia="zh-CN"/>
          <w:highlight w:val="auto"/>
        </w:rPr>
      </w:pPr>
      <w:bookmarkStart w:id="150" w:name="_Toc15396619"/>
      <w:bookmarkStart w:id="151" w:name="_Toc11207"/>
      <w:bookmarkEnd w:id="93"/>
    </w:p>
    <w:p>
      <w:pPr>
        <w:pageBreakBefore w:val="0"/>
        <w:widowControl w:val="0"/>
        <w:kinsoku/>
        <w:wordWrap/>
        <w:topLinePunct w:val="0"/>
        <w:bidi w:val="0"/>
        <w:spacing w:line="600" w:lineRule="exact"/>
        <w:ind w:left="0" w:firstLineChars="150" w:firstLine="660"/>
        <w:jc w:val="center"/>
        <w:outlineLvl w:val="0"/>
        <w:rPr>
          <w:rFonts w:ascii="黑体" w:eastAsia="黑体" w:hAnsi="黑体" w:hint="eastAsia"/>
          <w:color w:val="auto"/>
          <w:sz w:val="44"/>
          <w:szCs w:val="44"/>
          <w:lang w:val="en-US" w:eastAsia="zh-CN"/>
          <w:highlight w:val="auto"/>
        </w:rPr>
      </w:pPr>
      <w:r>
        <w:rPr>
          <w:rFonts w:ascii="黑体" w:eastAsia="黑体" w:hAnsi="黑体" w:hint="eastAsia"/>
          <w:color w:val="auto"/>
          <w:sz w:val="44"/>
          <w:szCs w:val="44"/>
          <w:lang w:val="en-US" w:eastAsia="zh-CN"/>
          <w:highlight w:val="auto"/>
        </w:rPr>
        <w:t>第五部分  附表</w:t>
      </w:r>
    </w:p>
    <w:p>
      <w:pPr>
        <w:pageBreakBefore w:val="0"/>
        <w:widowControl w:val="0"/>
        <w:kinsoku/>
        <w:wordWrap/>
        <w:topLinePunct w:val="0"/>
        <w:bidi w:val="0"/>
        <w:spacing w:line="240" w:lineRule="auto"/>
        <w:ind w:left="0"/>
        <w:jc w:val="both"/>
        <w:outlineLvl w:val="0"/>
        <w:rPr>
          <w:rFonts w:ascii="仿宋" w:eastAsia="仿宋" w:cs="Times New Roman" w:hAnsi="仿宋" w:hint="eastAsia"/>
          <w:b w:val="0"/>
          <w:bCs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一、</w:t>
      </w:r>
      <w:r>
        <w:rPr>
          <w:rFonts w:ascii="方正仿宋简体" w:eastAsia="方正仿宋简体" w:cs="方正仿宋简体" w:hAnsi="方正仿宋简体" w:hint="eastAsia"/>
          <w:color w:val="auto"/>
          <w:sz w:val="32"/>
          <w:szCs w:val="32"/>
          <w:lang w:eastAsia="zh-CN"/>
        </w:rPr>
        <w:t>收入支出决算总表</w:t>
      </w:r>
      <w:bookmarkStart w:id="152" w:name="_Toc5415"/>
      <w:bookmarkStart w:id="153" w:name="_Toc15396620"/>
      <w:bookmarkEnd w:id="150"/>
      <w:bookmarkEnd w:id="151"/>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val="en-US" w:eastAsia="zh-CN"/>
        </w:rPr>
        <w:t>二、</w:t>
      </w:r>
      <w:r>
        <w:rPr>
          <w:rFonts w:ascii="方正仿宋简体" w:eastAsia="方正仿宋简体" w:cs="方正仿宋简体" w:hAnsi="方正仿宋简体" w:hint="eastAsia"/>
          <w:color w:val="auto"/>
          <w:sz w:val="32"/>
          <w:szCs w:val="32"/>
          <w:lang w:eastAsia="zh-CN"/>
        </w:rPr>
        <w:t>收入决算表</w:t>
      </w:r>
      <w:bookmarkStart w:id="154" w:name="_Toc15396621"/>
      <w:bookmarkStart w:id="155" w:name="_Toc155"/>
      <w:bookmarkEnd w:id="152"/>
      <w:bookmarkEnd w:id="153"/>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三、支出决算表</w:t>
      </w:r>
      <w:bookmarkStart w:id="156" w:name="_Toc15396622"/>
      <w:bookmarkStart w:id="157" w:name="_Toc1975"/>
      <w:bookmarkEnd w:id="154"/>
      <w:bookmarkEnd w:id="155"/>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四、财政拨款收入支出决算总表</w:t>
      </w:r>
      <w:bookmarkStart w:id="158" w:name="_Toc15396623"/>
      <w:bookmarkStart w:id="159" w:name="_Toc5480"/>
      <w:bookmarkEnd w:id="156"/>
      <w:bookmarkEnd w:id="157"/>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五、财政拨款支出决算明细表</w:t>
      </w:r>
      <w:bookmarkStart w:id="160" w:name="_Toc15396624"/>
      <w:bookmarkStart w:id="161" w:name="_Toc17654"/>
      <w:bookmarkEnd w:id="158"/>
      <w:bookmarkEnd w:id="159"/>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六、一般公共预算财政拨款支出决算表</w:t>
      </w:r>
      <w:bookmarkStart w:id="162" w:name="_Toc10071"/>
      <w:bookmarkStart w:id="163" w:name="_Toc15396625"/>
      <w:bookmarkEnd w:id="160"/>
      <w:bookmarkEnd w:id="161"/>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r>
        <w:rPr>
          <w:rFonts w:ascii="方正仿宋简体" w:eastAsia="方正仿宋简体" w:cs="方正仿宋简体" w:hAnsi="方正仿宋简体" w:hint="eastAsia"/>
          <w:color w:val="auto"/>
          <w:sz w:val="32"/>
          <w:szCs w:val="32"/>
          <w:lang w:eastAsia="zh-CN"/>
        </w:rPr>
        <w:t>七、一般公共预算财政拨款支出决算明细表</w:t>
      </w:r>
      <w:bookmarkEnd w:id="162"/>
      <w:bookmarkEnd w:id="163"/>
    </w:p>
    <w:p>
      <w:pPr>
        <w:keepNext w:val="0"/>
        <w:keepLines w:val="0"/>
        <w:pageBreakBefore w:val="0"/>
        <w:widowControl w:val="0"/>
        <w:kinsoku/>
        <w:wordWrap/>
        <w:overflowPunct/>
        <w:topLinePunct w:val="0"/>
        <w:autoSpaceDE/>
        <w:autoSpaceDN/>
        <w:bidi w:val="0"/>
        <w:adjustRightInd/>
        <w:snapToGrid/>
        <w:spacing w:line="560" w:lineRule="exact"/>
        <w:ind w:firstLineChars="100" w:firstLine="320"/>
        <w:textAlignment w:val="auto"/>
        <w:rPr>
          <w:rFonts w:ascii="方正仿宋简体" w:eastAsia="方正仿宋简体" w:cs="方正仿宋简体" w:hAnsi="方正仿宋简体" w:hint="eastAsia"/>
          <w:color w:val="auto"/>
          <w:sz w:val="32"/>
          <w:szCs w:val="32"/>
          <w:lang w:eastAsia="zh-CN"/>
        </w:rPr>
      </w:pPr>
      <w:bookmarkStart w:id="164" w:name="_Toc31814"/>
      <w:bookmarkStart w:id="165" w:name="_Toc15396626"/>
      <w:r>
        <w:rPr>
          <w:rFonts w:ascii="方正仿宋简体" w:eastAsia="方正仿宋简体" w:cs="方正仿宋简体" w:hAnsi="方正仿宋简体" w:hint="eastAsia"/>
          <w:color w:val="auto"/>
          <w:sz w:val="32"/>
          <w:szCs w:val="32"/>
          <w:lang w:eastAsia="zh-CN"/>
        </w:rPr>
        <w:t>八、一般公共预算财政拨款基本支出决算表</w:t>
      </w:r>
      <w:bookmarkEnd w:id="164"/>
      <w:bookmarkEnd w:id="165"/>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66" w:name="_Toc15396627"/>
      <w:bookmarkStart w:id="167" w:name="_Toc23474"/>
      <w:r>
        <w:rPr>
          <w:rFonts w:ascii="方正仿宋简体" w:eastAsia="方正仿宋简体" w:cs="方正仿宋简体" w:hAnsi="方正仿宋简体" w:hint="eastAsia"/>
          <w:color w:val="auto"/>
          <w:sz w:val="32"/>
          <w:szCs w:val="32"/>
          <w:lang w:eastAsia="zh-CN"/>
        </w:rPr>
        <w:t>九、一般公共预算财政拨款项目支出决算表</w:t>
      </w:r>
      <w:bookmarkEnd w:id="166"/>
      <w:bookmarkEnd w:id="167"/>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68" w:name="_Toc15396628"/>
      <w:bookmarkStart w:id="169" w:name="_Toc27504"/>
      <w:r>
        <w:rPr>
          <w:rFonts w:ascii="方正仿宋简体" w:eastAsia="方正仿宋简体" w:cs="方正仿宋简体" w:hAnsi="方正仿宋简体" w:hint="eastAsia"/>
          <w:color w:val="auto"/>
          <w:sz w:val="32"/>
          <w:szCs w:val="32"/>
          <w:lang w:eastAsia="zh-CN"/>
        </w:rPr>
        <w:t>十、</w:t>
      </w:r>
      <w:bookmarkEnd w:id="168"/>
      <w:r>
        <w:rPr>
          <w:rFonts w:ascii="方正仿宋简体" w:eastAsia="方正仿宋简体" w:cs="方正仿宋简体" w:hAnsi="方正仿宋简体" w:hint="eastAsia"/>
          <w:color w:val="auto"/>
          <w:sz w:val="32"/>
          <w:szCs w:val="32"/>
          <w:lang w:eastAsia="zh-CN"/>
        </w:rPr>
        <w:t>政府性基金预算财政拨款收入支出决算表</w:t>
      </w:r>
      <w:bookmarkEnd w:id="169"/>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70" w:name="_Toc15396629"/>
      <w:bookmarkStart w:id="171" w:name="_Toc6181"/>
      <w:r>
        <w:rPr>
          <w:rFonts w:ascii="方正仿宋简体" w:eastAsia="方正仿宋简体" w:cs="方正仿宋简体" w:hAnsi="方正仿宋简体" w:hint="eastAsia"/>
          <w:color w:val="auto"/>
          <w:sz w:val="32"/>
          <w:szCs w:val="32"/>
          <w:lang w:eastAsia="zh-CN"/>
        </w:rPr>
        <w:t>十一、</w:t>
      </w:r>
      <w:bookmarkEnd w:id="170"/>
      <w:r>
        <w:rPr>
          <w:rFonts w:ascii="方正仿宋简体" w:eastAsia="方正仿宋简体" w:cs="方正仿宋简体" w:hAnsi="方正仿宋简体" w:hint="eastAsia"/>
          <w:color w:val="auto"/>
          <w:sz w:val="32"/>
          <w:szCs w:val="32"/>
          <w:lang w:eastAsia="zh-CN"/>
        </w:rPr>
        <w:t>国有资本经营预算财政拨款收入支出决算表</w:t>
      </w:r>
      <w:bookmarkEnd w:id="171"/>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72" w:name="_Toc15396630"/>
      <w:bookmarkStart w:id="173" w:name="_Toc3181"/>
      <w:r>
        <w:rPr>
          <w:rFonts w:ascii="方正仿宋简体" w:eastAsia="方正仿宋简体" w:cs="方正仿宋简体" w:hAnsi="方正仿宋简体" w:hint="eastAsia"/>
          <w:color w:val="auto"/>
          <w:sz w:val="32"/>
          <w:szCs w:val="32"/>
          <w:lang w:eastAsia="zh-CN"/>
        </w:rPr>
        <w:t>十二、</w:t>
      </w:r>
      <w:bookmarkEnd w:id="172"/>
      <w:r>
        <w:rPr>
          <w:rFonts w:ascii="方正仿宋简体" w:eastAsia="方正仿宋简体" w:cs="方正仿宋简体" w:hAnsi="方正仿宋简体" w:hint="eastAsia"/>
          <w:color w:val="auto"/>
          <w:sz w:val="32"/>
          <w:szCs w:val="32"/>
          <w:lang w:eastAsia="zh-CN"/>
        </w:rPr>
        <w:t>国有资本经营预算财政拨款支出决算表</w:t>
      </w:r>
      <w:bookmarkEnd w:id="173"/>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方正仿宋简体" w:eastAsia="方正仿宋简体" w:cs="方正仿宋简体" w:hAnsi="方正仿宋简体" w:hint="eastAsia"/>
          <w:color w:val="auto"/>
          <w:sz w:val="32"/>
          <w:szCs w:val="32"/>
          <w:lang w:eastAsia="zh-CN"/>
        </w:rPr>
      </w:pPr>
      <w:bookmarkStart w:id="174" w:name="_Toc15396631"/>
      <w:bookmarkStart w:id="175" w:name="_Toc21969"/>
      <w:r>
        <w:rPr>
          <w:rFonts w:ascii="方正仿宋简体" w:eastAsia="方正仿宋简体" w:cs="方正仿宋简体" w:hAnsi="方正仿宋简体" w:hint="eastAsia"/>
          <w:color w:val="auto"/>
          <w:sz w:val="32"/>
          <w:szCs w:val="32"/>
          <w:lang w:eastAsia="zh-CN"/>
        </w:rPr>
        <w:t>十三、</w:t>
      </w:r>
      <w:bookmarkEnd w:id="174"/>
      <w:r>
        <w:rPr>
          <w:rFonts w:ascii="方正仿宋简体" w:eastAsia="方正仿宋简体" w:cs="方正仿宋简体" w:hAnsi="方正仿宋简体" w:hint="eastAsia"/>
          <w:color w:val="auto"/>
          <w:sz w:val="32"/>
          <w:szCs w:val="32"/>
          <w:lang w:eastAsia="zh-CN"/>
        </w:rPr>
        <w:t>财政拨款“三公”经费支出决算表</w:t>
      </w:r>
      <w:bookmarkEnd w:id="175"/>
    </w:p>
    <w:sectPr>
      <w:footerReference w:type="default" r:id="rId28"/>
      <w:footerReference w:type="first" r:id="rId29"/>
      <w:pgSz w:w="11906" w:h="16838"/>
      <w:pgMar w:top="1440" w:right="1800" w:bottom="1440" w:left="1800" w:header="851" w:footer="992" w:gutter="0"/>
      <w:pgNumType w:start="55"/>
      <w:cols w:num="1" w:space="425"/>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Times New Roman">
    <w:panose1 w:val="02020603050405020304"/>
    <w:charset w:val="86"/>
    <w:family w:val="auto"/>
    <w:pitch w:val="variable"/>
    <w:sig w:usb0="E0002AFF" w:usb1="C0007841"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0" w:usb1="00000000" w:usb2="00000000" w:usb3="00000000" w:csb0="00040000" w:csb1="00000000"/>
  </w:font>
  <w:font w:name="方正仿宋简体">
    <w:panose1 w:val="03000509000000000000"/>
    <w:charset w:val="86"/>
    <w:family w:val="auto"/>
    <w:pitch w:val="variable"/>
    <w:sig w:usb0="00000001" w:usb1="080E0000" w:usb2="00000000" w:usb3="00000000" w:csb0="00040000" w:csb1="00000000"/>
  </w:font>
  <w:font w:name="微软雅黑">
    <w:altName w:val="黑体"/>
    <w:panose1 w:val="020B0503020204020204"/>
    <w:charset w:val="86"/>
    <w:family w:val="auto"/>
    <w:pitch w:val="variable"/>
    <w:sig w:usb0="80000287" w:usb1="280F3C52" w:usb2="00000016" w:usb3="00000000" w:csb0="0004001F" w:csb1="00000000"/>
  </w:font>
  <w:font w:name="楷体_GB2312">
    <w:panose1 w:val="02010609030101010101"/>
    <w:charset w:val="86"/>
    <w:family w:val="auto"/>
    <w:pitch w:val="variable"/>
    <w:sig w:usb0="00000001" w:usb1="080E0000" w:usb2="00000000" w:usb3="00000000" w:csb0="00040000" w:csb1="00000000"/>
  </w:font>
  <w:font w:name="方正黑体简体">
    <w:panose1 w:val="03000509000000000000"/>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 w:name="Courier New">
    <w:panose1 w:val="02070309020205020404"/>
    <w:charset w:val="01"/>
    <w:family w:val="modern"/>
    <w:pitch w:val="variable"/>
    <w:sig w:usb0="E0002AFF" w:usb1="C0007843" w:usb2="00000009" w:usb3="00000000" w:csb0="400001FF" w:csb1="FFFF0000"/>
  </w:font>
  <w:font w:name="??">
    <w:altName w:val="Times New Roman"/>
    <w:panose1 w:val="00000000000000000000"/>
    <w:charset w:val="00"/>
    <w:family w:val="roman"/>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54"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 name="文本框 1"/>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2">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5.9999084pt;height:10.359pt;z-index:54;mso-position-horizontal:center;mso-position-horizontal-relative:margin;mso-position-vertical:absolute;mso-wrap-distance-left:8.999863pt;mso-wrap-distance-right:8.999863pt;mso-wrap-style:none;">
              <v:stroke color="#000000"/>
              <v:textbox id="855"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sdt>
      <w:sdtPr>
        <w:id w:val="-2078757584"/>
      </w:sdtPr>
      <w:sdtContent/>
    </w:sdt>
  </w:p>
  <w:p>
    <w:pPr>
      <w:pStyle w:val="22"/>
      <w:tabs>
        <w:tab w:val="center" w:pos="4153"/>
        <w:tab w:val="right" w:pos="8306"/>
      </w:tabs>
    </w:pPr>
  </w:p>
</w:ftr>
</file>

<file path=word/footer1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7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35" name="文本框 17"/>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6">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17 37" o:spid="_x0000_s37" filled="f" stroked="f" strokeweight="0.5pt" style="position:absolute;margin-left:0.0pt;margin-top:0.0pt;width:9.0pt;height:10.359pt;z-index:70;mso-position-horizontal:center;mso-position-horizontal-relative:margin;mso-position-vertical:absolute;mso-wrap-distance-left:8.999863pt;mso-wrap-distance-right:8.999863pt;mso-wrap-style:none;">
              <v:stroke color="#000000"/>
              <v:textbox id="864"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7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38" name="文本框 18"/>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9">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18 40" o:spid="_x0000_s40" filled="f" stroked="f" strokeweight="0.5pt" style="position:absolute;margin-left:0.0pt;margin-top:0.0pt;width:9.0pt;height:10.359pt;z-index:72;mso-position-horizontal:center;mso-position-horizontal-relative:margin;mso-position-vertical:absolute;mso-wrap-distance-left:8.999863pt;mso-wrap-distance-right:8.999863pt;mso-wrap-style:none;">
              <v:stroke color="#000000"/>
              <v:textbox id="865"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631398865"/>
      </w:sdtPr>
      <w:sdtContent/>
    </w:sdt>
  </w:p>
  <w:p>
    <w:pPr>
      <w:pStyle w:val="22"/>
      <w:tabs>
        <w:tab w:val="center" w:pos="4153"/>
        <w:tab w:val="right" w:pos="8306"/>
      </w:tabs>
    </w:pPr>
  </w:p>
</w:ftr>
</file>

<file path=word/footer1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74"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1" name="文本框 19"/>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42">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19 43" o:spid="_x0000_s43" filled="f" stroked="f" strokeweight="0.5pt" style="position:absolute;margin-left:0.0pt;margin-top:0.0pt;width:9.0pt;height:10.359pt;z-index:74;mso-position-horizontal:center;mso-position-horizontal-relative:margin;mso-position-vertical:absolute;mso-wrap-distance-left:8.999863pt;mso-wrap-distance-right:8.999863pt;mso-wrap-style:none;">
              <v:stroke color="#000000"/>
              <v:textbox id="866"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76"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4" name="文本框 20"/>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45">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20 46" o:spid="_x0000_s46" filled="f" stroked="f" strokeweight="0.5pt" style="position:absolute;margin-left:0.0pt;margin-top:0.0pt;width:9.0pt;height:10.359pt;z-index:76;mso-position-horizontal:center;mso-position-horizontal-relative:margin;mso-position-vertical:absolute;mso-wrap-distance-left:8.999863pt;mso-wrap-distance-right:8.999863pt;mso-wrap-style:none;">
              <v:stroke color="#000000"/>
              <v:textbox id="867"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732789578"/>
      </w:sdtPr>
      <w:sdtContent/>
    </w:sdt>
  </w:p>
  <w:p>
    <w:pPr>
      <w:pStyle w:val="22"/>
      <w:tabs>
        <w:tab w:val="center" w:pos="4153"/>
        <w:tab w:val="right" w:pos="8306"/>
      </w:tabs>
    </w:pPr>
  </w:p>
</w:ftr>
</file>

<file path=word/footer1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78"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47" name="文本框 21"/>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48">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21 49" o:spid="_x0000_s49" filled="f" stroked="f" strokeweight="0.5pt" style="position:absolute;margin-left:0.0pt;margin-top:0.0pt;width:9.0pt;height:10.359pt;z-index:78;mso-position-horizontal:center;mso-position-horizontal-relative:margin;mso-position-vertical:absolute;mso-wrap-distance-left:8.999863pt;mso-wrap-distance-right:8.999863pt;mso-wrap-style:none;">
              <v:stroke color="#000000"/>
              <v:textbox id="868"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8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0" name="文本框 22"/>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1">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22 52" o:spid="_x0000_s52" filled="f" stroked="f" strokeweight="0.5pt" style="position:absolute;margin-left:0.0pt;margin-top:0.0pt;width:9.0pt;height:10.359pt;z-index:80;mso-position-horizontal:center;mso-position-horizontal-relative:margin;mso-position-vertical:absolute;mso-wrap-distance-left:8.999863pt;mso-wrap-distance-right:8.999863pt;mso-wrap-style:none;">
              <v:stroke color="#000000"/>
              <v:textbox id="869"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1316056501"/>
      </w:sdtPr>
      <w:sdtContent/>
    </w:sdt>
  </w:p>
  <w:p>
    <w:pPr>
      <w:pStyle w:val="22"/>
      <w:tabs>
        <w:tab w:val="center" w:pos="4153"/>
        <w:tab w:val="right" w:pos="8306"/>
      </w:tabs>
    </w:pPr>
  </w:p>
</w:ftr>
</file>

<file path=word/footer1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8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3" name="文本框 23"/>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4">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23 55" o:spid="_x0000_s55" filled="f" stroked="f" strokeweight="0.5pt" style="position:absolute;margin-left:0.0pt;margin-top:0.0pt;width:9.0pt;height:10.359pt;z-index:82;mso-position-horizontal:center;mso-position-horizontal-relative:margin;mso-position-vertical:absolute;mso-wrap-distance-left:8.999863pt;mso-wrap-distance-right:8.999863pt;mso-wrap-style:none;">
              <v:stroke color="#000000"/>
              <v:textbox id="870"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84"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6" name="文本框 24"/>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57">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24 58" o:spid="_x0000_s58" filled="f" stroked="f" strokeweight="0.5pt" style="position:absolute;margin-left:0.0pt;margin-top:0.0pt;width:9.0pt;height:10.359pt;z-index:84;mso-position-horizontal:center;mso-position-horizontal-relative:margin;mso-position-vertical:absolute;mso-wrap-distance-left:8.999863pt;mso-wrap-distance-right:8.999863pt;mso-wrap-style:none;">
              <v:stroke color="#000000"/>
              <v:textbox id="871"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1181997664"/>
      </w:sdtPr>
      <w:sdtContent/>
    </w:sdt>
  </w:p>
  <w:p>
    <w:pPr>
      <w:pStyle w:val="22"/>
      <w:tabs>
        <w:tab w:val="center" w:pos="4153"/>
        <w:tab w:val="right" w:pos="8306"/>
      </w:tabs>
    </w:pPr>
  </w:p>
</w:ftr>
</file>

<file path=word/footer1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86"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59" name="文本框 25"/>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60">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25 61" o:spid="_x0000_s61" filled="f" stroked="f" strokeweight="0.5pt" style="position:absolute;margin-left:0.0pt;margin-top:0.0pt;width:9.0pt;height:10.359pt;z-index:86;mso-position-horizontal:center;mso-position-horizontal-relative:margin;mso-position-vertical:absolute;mso-wrap-distance-left:8.999863pt;mso-wrap-distance-right:8.999863pt;mso-wrap-style:none;">
              <v:stroke color="#000000"/>
              <v:textbox id="872"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88"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62" name="文本框 26"/>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63">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26 64" o:spid="_x0000_s64" filled="f" stroked="f" strokeweight="0.5pt" style="position:absolute;margin-left:0.0pt;margin-top:0.0pt;width:9.0pt;height:10.359pt;z-index:88;mso-position-horizontal:center;mso-position-horizontal-relative:margin;mso-position-vertical:absolute;mso-wrap-distance-left:8.999863pt;mso-wrap-distance-right:8.999863pt;mso-wrap-style:none;">
              <v:stroke color="#000000"/>
              <v:textbox id="873"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1093347656"/>
      </w:sdtPr>
      <w:sdtContent/>
    </w:sdt>
  </w:p>
  <w:p>
    <w:pPr>
      <w:pStyle w:val="22"/>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56"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4" name="文本框 4"/>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5">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4 6" o:spid="_x0000_s6" filled="f" stroked="f" strokeweight="0.5pt" style="position:absolute;margin-left:0.0pt;margin-top:0.0pt;width:5.9999084pt;height:10.359pt;z-index:56;mso-position-horizontal:center;mso-position-horizontal-relative:margin;mso-position-vertical:absolute;mso-wrap-distance-left:8.999863pt;mso-wrap-distance-right:8.999863pt;mso-wrap-style:none;">
              <v:stroke color="#000000"/>
              <v:textbox id="856"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9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65" name="文本框 27"/>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66">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27 67" o:spid="_x0000_s67" filled="f" stroked="f" strokeweight="0.5pt" style="position:absolute;margin-left:0.0pt;margin-top:0.0pt;width:9.0pt;height:10.359pt;z-index:90;mso-position-horizontal:center;mso-position-horizontal-relative:margin;mso-position-vertical:absolute;mso-wrap-distance-left:8.999863pt;mso-wrap-distance-right:8.999863pt;mso-wrap-style:none;">
              <v:stroke color="#000000"/>
              <v:textbox id="874"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58"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7" name="文本框 7"/>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8">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7 9" o:spid="_x0000_s9" filled="f" stroked="f" strokeweight="0.5pt" style="position:absolute;margin-left:0.0pt;margin-top:0.0pt;width:9.0pt;height:10.359035pt;z-index:58;mso-position-horizontal:center;mso-position-horizontal-relative:margin;mso-position-vertical:absolute;mso-wrap-distance-left:8.999863pt;mso-wrap-distance-right:8.999863pt;mso-wrap-style:none;">
              <v:stroke color="#000000"/>
              <v:textbox id="857"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sdt>
      <w:sdtPr>
        <w:id w:val="-603938246"/>
      </w:sdtPr>
      <w:sdtContent/>
    </w:sdt>
  </w:p>
  <w:p>
    <w:pPr>
      <w:pStyle w:val="22"/>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52" behindDoc="0" locked="0" layoutInCell="1" hidden="0" allowOverlap="1">
              <wp:simplePos x="0" y="0"/>
              <wp:positionH relativeFrom="margin">
                <wp:align>center</wp:align>
              </wp:positionH>
              <wp:positionV relativeFrom="paragraph">
                <wp:posOffset>0</wp:posOffset>
              </wp:positionV>
              <wp:extent cx="76198" cy="131559"/>
              <wp:effectExtent l="0" t="0" r="0" b="0"/>
              <wp:wrapNone/>
              <wp:docPr id="10" name="文本框 15"/>
              <wp:cNvGraphicFramePr>
                <a:graphicFrameLocks noChangeAspect="0"/>
              </wp:cNvGraphicFramePr>
              <a:graphic>
                <a:graphicData uri="http://schemas.microsoft.com/office/word/2010/wordprocessingShape">
                  <wps:wsp>
                    <wps:cNvSpPr/>
                    <wps:spPr>
                      <a:xfrm rot="0">
                        <a:off x="0" y="0"/>
                        <a:ext cx="76198" cy="131559"/>
                      </a:xfrm>
                      <a:prstGeom prst="rect"/>
                      <a:noFill/>
                      <a:ln w="6350" cmpd="sng" cap="flat">
                        <a:noFill/>
                        <a:prstDash val="solid"/>
                        <a:round/>
                      </a:ln>
                    </wps:spPr>
                    <wps:txbx id="11">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5 12" o:spid="_x0000_s12" filled="f" stroked="f" strokeweight="0.5pt" style="position:absolute;margin-left:0.0pt;margin-top:0.0pt;width:5.9999084pt;height:10.359pt;z-index:52;mso-position-horizontal:center;mso-position-horizontal-relative:margin;mso-position-vertical:absolute;mso-wrap-distance-left:8.999863pt;mso-wrap-distance-right:8.999863pt;mso-wrap-style:none;">
              <v:stroke color="#000000"/>
              <v:textbox id="858"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60"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0" name="文本框 8"/>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1">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wps:txbx>
                    <wps:bodyPr vert="horz" wrap="none" lIns="0" tIns="0" rIns="0" bIns="0" anchor="t" anchorCtr="0" upright="0">
                      <a:spAutoFit/>
                    </wps:bodyPr>
                  </wps:wsp>
                </a:graphicData>
              </a:graphic>
            </wp:anchor>
          </w:drawing>
        </mc:Choice>
        <mc:Fallback>
          <w:pict>
            <v:shape type="#_x0000_t202" id="文本框 8 22" o:spid="_x0000_s22" filled="f" stroked="f" strokeweight="0.5pt" style="position:absolute;margin-left:0.0pt;margin-top:0.0pt;width:9.0pt;height:10.359pt;z-index:60;mso-position-horizontal:center;mso-position-horizontal-relative:margin;mso-position-vertical:absolute;mso-wrap-distance-left:8.999863pt;mso-wrap-distance-right:8.999863pt;mso-wrap-style:none;">
              <v:stroke color="#000000"/>
              <v:textbox id="859"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28</w:t>
                    </w:r>
                    <w:r>
                      <w:fldChar w:fldCharType="end"/>
                    </w:r>
                  </w:p>
                </w:txbxContent>
              </v:textbox>
            </v:shape>
          </w:pict>
        </mc:Fallback>
      </mc:AlternateContent>
    </w:r>
    <w:sdt>
      <w:sdtPr>
        <w:id w:val="1054133801"/>
      </w:sdtPr>
      <w:sdtContent/>
    </w:sdt>
  </w:p>
  <w:p>
    <w:pPr>
      <w:pStyle w:val="22"/>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62"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3" name="文本框 9"/>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4">
                      <w:txbxContent>
                        <w:p>
                          <w:pPr>
                            <w:pStyle w:val="22"/>
                            <w:tabs>
                              <w:tab w:val="center" w:pos="4153"/>
                              <w:tab w:val="right" w:pos="8306"/>
                            </w:tabs>
                          </w:pPr>
                          <w:r>
                            <w:fldChar w:fldCharType="begin"/>
                          </w:r>
                          <w:r>
                            <w:instrText xml:space="preserve"> PAGE  \* MERGEFORMAT </w:instrText>
                          </w:r>
                          <w:r>
                            <w:fldChar w:fldCharType="separate"/>
                          </w:r>
                          <w:r>
                            <w:t>27</w:t>
                          </w:r>
                          <w:r>
                            <w:fldChar w:fldCharType="end"/>
                          </w:r>
                        </w:p>
                      </w:txbxContent>
                    </wps:txbx>
                    <wps:bodyPr vert="horz" wrap="none" lIns="0" tIns="0" rIns="0" bIns="0" anchor="t" anchorCtr="0" upright="0">
                      <a:spAutoFit/>
                    </wps:bodyPr>
                  </wps:wsp>
                </a:graphicData>
              </a:graphic>
            </wp:anchor>
          </w:drawing>
        </mc:Choice>
        <mc:Fallback>
          <w:pict>
            <v:shape type="#_x0000_t202" id="文本框 9 25" o:spid="_x0000_s25" filled="f" stroked="f" strokeweight="0.5pt" style="position:absolute;margin-left:0.0pt;margin-top:0.0pt;width:9.0pt;height:10.359pt;z-index:62;mso-position-horizontal:center;mso-position-horizontal-relative:margin;mso-position-vertical:absolute;mso-wrap-distance-left:8.999863pt;mso-wrap-distance-right:8.999863pt;mso-wrap-style:none;">
              <v:stroke color="#000000"/>
              <v:textbox id="860"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64"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6" name="文本框 13"/>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27">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13 28" o:spid="_x0000_s28" filled="f" stroked="f" strokeweight="0.5pt" style="position:absolute;margin-left:0.0pt;margin-top:0.0pt;width:9.0pt;height:10.359pt;z-index:64;mso-position-horizontal:center;mso-position-horizontal-relative:margin;mso-position-vertical:absolute;mso-wrap-distance-left:8.999863pt;mso-wrap-distance-right:8.999863pt;mso-wrap-style:none;">
              <v:stroke color="#000000"/>
              <v:textbox id="861"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2094905334"/>
      </w:sdtPr>
      <w:sdtContent/>
    </w:sdt>
  </w:p>
  <w:p>
    <w:pPr>
      <w:pStyle w:val="22"/>
      <w:tabs>
        <w:tab w:val="center" w:pos="4153"/>
        <w:tab w:val="right" w:pos="8306"/>
      </w:tabs>
    </w:pP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pPr>
    <w:r>
      <w:rPr>
        <w:sz w:val="18"/>
      </w:rPr>
      <mc:AlternateContent>
        <mc:Choice Requires="wps">
          <w:drawing>
            <wp:anchor distT="0" distB="0" distL="114298" distR="114298" simplePos="0" relativeHeight="66"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29" name="文本框 14"/>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0">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wps:txbx>
                    <wps:bodyPr vert="horz" wrap="none" lIns="0" tIns="0" rIns="0" bIns="0" anchor="t" anchorCtr="0" upright="0">
                      <a:spAutoFit/>
                    </wps:bodyPr>
                  </wps:wsp>
                </a:graphicData>
              </a:graphic>
            </wp:anchor>
          </w:drawing>
        </mc:Choice>
        <mc:Fallback>
          <w:pict>
            <v:shape type="#_x0000_t202" id="文本框 14 31" o:spid="_x0000_s31" filled="f" stroked="f" strokeweight="0.5pt" style="position:absolute;margin-left:0.0pt;margin-top:0.0pt;width:9.0pt;height:10.359pt;z-index:66;mso-position-horizontal:center;mso-position-horizontal-relative:margin;mso-position-vertical:absolute;mso-wrap-distance-left:8.999863pt;mso-wrap-distance-right:8.999863pt;mso-wrap-style:none;">
              <v:stroke color="#000000"/>
              <v:textbox id="862"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tabs>
        <w:tab w:val="center" w:pos="4153"/>
        <w:tab w:val="right" w:pos="8306"/>
      </w:tabs>
      <w:jc w:val="center"/>
    </w:pPr>
    <w:r>
      <w:rPr>
        <w:sz w:val="18"/>
      </w:rPr>
      <mc:AlternateContent>
        <mc:Choice Requires="wps">
          <w:drawing>
            <wp:anchor distT="0" distB="0" distL="114298" distR="114298" simplePos="0" relativeHeight="68" behindDoc="0" locked="0" layoutInCell="1" hidden="0" allowOverlap="1">
              <wp:simplePos x="0" y="0"/>
              <wp:positionH relativeFrom="margin">
                <wp:align>center</wp:align>
              </wp:positionH>
              <wp:positionV relativeFrom="paragraph">
                <wp:posOffset>0</wp:posOffset>
              </wp:positionV>
              <wp:extent cx="114300" cy="131559"/>
              <wp:effectExtent l="0" t="0" r="0" b="0"/>
              <wp:wrapNone/>
              <wp:docPr id="32" name="文本框 16"/>
              <wp:cNvGraphicFramePr>
                <a:graphicFrameLocks noChangeAspect="0"/>
              </wp:cNvGraphicFramePr>
              <a:graphic>
                <a:graphicData uri="http://schemas.microsoft.com/office/word/2010/wordprocessingShape">
                  <wps:wsp>
                    <wps:cNvSpPr/>
                    <wps:spPr>
                      <a:xfrm rot="0">
                        <a:off x="0" y="0"/>
                        <a:ext cx="114300" cy="131559"/>
                      </a:xfrm>
                      <a:prstGeom prst="rect"/>
                      <a:noFill/>
                      <a:ln w="6350" cmpd="sng" cap="flat">
                        <a:noFill/>
                        <a:prstDash val="solid"/>
                        <a:round/>
                      </a:ln>
                    </wps:spPr>
                    <wps:txbx id="33">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wps:txbx>
                    <wps:bodyPr vert="horz" wrap="none" lIns="0" tIns="0" rIns="0" bIns="0" anchor="t" anchorCtr="0" upright="0">
                      <a:spAutoFit/>
                    </wps:bodyPr>
                  </wps:wsp>
                </a:graphicData>
              </a:graphic>
            </wp:anchor>
          </w:drawing>
        </mc:Choice>
        <mc:Fallback>
          <w:pict>
            <v:shape type="#_x0000_t202" id="文本框 16 34" o:spid="_x0000_s34" filled="f" stroked="f" strokeweight="0.5pt" style="position:absolute;margin-left:0.0pt;margin-top:0.0pt;width:9.0pt;height:10.359pt;z-index:68;mso-position-horizontal:center;mso-position-horizontal-relative:margin;mso-position-vertical:absolute;mso-wrap-distance-left:8.999863pt;mso-wrap-distance-right:8.999863pt;mso-wrap-style:none;">
              <v:stroke color="#000000"/>
              <v:textbox id="863" inset="0mm,0mm,0mm,0mm" o:insetmode="custom" style="layout-flow:horizontal;v-text-anchor:top;mso-fit-shape-to-text:t;">
                <w:txbxContent>
                  <w:p>
                    <w:pPr>
                      <w:pStyle w:val="22"/>
                      <w:tabs>
                        <w:tab w:val="center" w:pos="4153"/>
                        <w:tab w:val="right" w:pos="8306"/>
                      </w:tabs>
                    </w:pPr>
                    <w:r>
                      <w:fldChar w:fldCharType="begin"/>
                    </w:r>
                    <w:r>
                      <w:instrText xml:space="preserve"> PAGE  \* MERGEFORMAT </w:instrText>
                    </w:r>
                    <w:r>
                      <w:fldChar w:fldCharType="separate"/>
                    </w:r>
                    <w:r>
                      <w:t>33</w:t>
                    </w:r>
                    <w:r>
                      <w:fldChar w:fldCharType="end"/>
                    </w:r>
                  </w:p>
                </w:txbxContent>
              </v:textbox>
            </v:shape>
          </w:pict>
        </mc:Fallback>
      </mc:AlternateContent>
    </w:r>
    <w:sdt>
      <w:sdtPr>
        <w:id w:val="1584482589"/>
      </w:sdtPr>
      <w:sdtContent/>
    </w:sdt>
  </w:p>
  <w:p>
    <w:pPr>
      <w:pStyle w:val="22"/>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3"/>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EE32BB5B"/>
    <w:multiLevelType w:val="singleLevel"/>
    <w:tmpl w:val="EE32BB5B"/>
    <w:lvl w:ilvl="0">
      <w:start w:val="1"/>
      <w:numFmt w:val="decimal"/>
      <w:lvlRestart w:val="0"/>
      <w:lvlText w:val="%1."/>
      <w:lvlJc w:val="left"/>
      <w:pPr>
        <w:tabs>
          <w:tab w:val="num" w:pos="312"/>
        </w:tabs>
      </w:pPr>
    </w:lvl>
  </w:abstractNum>
  <w:abstractNum w:abstractNumId="2">
    <w:nsid w:val="D84386ED"/>
    <w:multiLevelType w:val="singleLevel"/>
    <w:tmpl w:val="D84386ED"/>
    <w:lvl w:ilvl="0">
      <w:start w:val="1"/>
      <w:numFmt w:val="decimal"/>
      <w:lvlRestart w:val="0"/>
      <w:lvlText w:val="%1."/>
      <w:lvlJc w:val="left"/>
      <w:pPr>
        <w:tabs>
          <w:tab w:val="num" w:pos="312"/>
        </w:tabs>
      </w:pPr>
    </w:lvl>
  </w:abstractNum>
  <w:abstractNum w:abstractNumId="3">
    <w:nsid w:val="CF652CEC"/>
    <w:multiLevelType w:val="singleLevel"/>
    <w:tmpl w:val="CF652CEC"/>
    <w:lvl w:ilvl="0">
      <w:start w:val="9"/>
      <w:numFmt w:val="chineseCounting"/>
      <w:lvlRestart w:val="0"/>
      <w:suff w:val="nothing"/>
      <w:lvlText w:val="%1、"/>
      <w:lvlJc w:val="left"/>
      <w:pPr/>
      <w:rPr>
        <w:rFonts w:hint="eastAsia"/>
      </w:rPr>
    </w:lvl>
  </w:abstractNum>
  <w:abstractNum w:abstractNumId="4">
    <w:nsid w:val="B7BB0F32"/>
    <w:multiLevelType w:val="singleLevel"/>
    <w:tmpl w:val="B7BB0F32"/>
    <w:lvl w:ilvl="0">
      <w:start w:val="2"/>
      <w:numFmt w:val="chineseCounting"/>
      <w:lvlRestart w:val="0"/>
      <w:suff w:val="nothing"/>
      <w:lvlText w:val="%1、"/>
      <w:lvlJc w:val="left"/>
      <w:pPr/>
      <w:rPr>
        <w:rFonts w:hint="eastAsia"/>
      </w:rPr>
    </w:lvl>
  </w:abstractNum>
  <w:abstractNum w:abstractNumId="5">
    <w:nsid w:val="DB6D4C4D"/>
    <w:multiLevelType w:val="singleLevel"/>
    <w:tmpl w:val="DB6D4C4D"/>
    <w:lvl w:ilvl="0">
      <w:start w:val="1"/>
      <w:numFmt w:val="chineseCounting"/>
      <w:lvlRestart w:val="0"/>
      <w:suff w:val="nothing"/>
      <w:lvlText w:val="（%1）"/>
      <w:lvlJc w:val="left"/>
      <w:pPr/>
      <w:rPr>
        <w:rFonts w:hint="eastAsia"/>
      </w:rPr>
    </w:lvl>
  </w:abstractNum>
  <w:abstractNum w:abstractNumId="6">
    <w:nsid w:val="A6DC480F"/>
    <w:multiLevelType w:val="singleLevel"/>
    <w:tmpl w:val="A6DC480F"/>
    <w:lvl w:ilvl="0">
      <w:start w:val="1"/>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9"/>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jdiYzQ4Nzc1YjBiY2Q3ODUxMTYyZWRkZmM0N2U1OD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6"/>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Indent"/>
    <w:basedOn w:val="0"/>
    <w:next w:val="16"/>
    <w:pPr>
      <w:spacing w:after="120"/>
      <w:ind w:leftChars="200" w:left="200"/>
    </w:pPr>
    <w:rPr>
      <w:rFonts w:ascii="仿宋_GB2312" w:hAnsi="仿宋_GB2312"/>
      <w:szCs w:val="32"/>
    </w:rPr>
  </w:style>
  <w:style w:type="paragraph" w:styleId="16">
    <w:name w:val="Body Text First Indent 2"/>
    <w:basedOn w:val="15"/>
    <w:next w:val="0"/>
    <w:pPr>
      <w:ind w:firstLineChars="200" w:firstLine="200"/>
    </w:pPr>
  </w:style>
  <w:style w:type="paragraph" w:styleId="17">
    <w:name w:val="Salutation"/>
    <w:basedOn w:val="0"/>
    <w:next w:val="0"/>
    <w:rPr>
      <w:rFonts w:ascii="Calibri" w:eastAsia="微软雅黑" w:hAnsi="Calibri"/>
    </w:r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Plain Text"/>
    <w:basedOn w:val="0"/>
    <w:rPr>
      <w:rFonts w:ascii="宋体" w:cs="Courier New"/>
    </w:rPr>
  </w:style>
  <w:style w:type="paragraph" w:styleId="21">
    <w:name w:val="Balloon Text"/>
    <w:basedOn w:val="0"/>
    <w:rPr>
      <w:sz w:val="18"/>
      <w:szCs w:val="18"/>
    </w:rPr>
  </w:style>
  <w:style w:type="paragraph" w:styleId="22">
    <w:name w:val="footer"/>
    <w:basedOn w:val="0"/>
    <w:pPr>
      <w:tabs>
        <w:tab w:val="center" w:pos="4153"/>
        <w:tab w:val="right" w:pos="8306"/>
      </w:tabs>
      <w:snapToGrid w:val="0"/>
      <w:jc w:val="left"/>
    </w:pPr>
    <w:rPr>
      <w:rFonts w:ascii="Calibri" w:hAnsi="Calibri"/>
      <w:kern w:val="0"/>
      <w:sz w:val="18"/>
      <w:szCs w:val="18"/>
    </w:rPr>
  </w:style>
  <w:style w:type="paragraph" w:styleId="23">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4">
    <w:name w:val="toc 1"/>
    <w:basedOn w:val="0"/>
    <w:next w:val="0"/>
    <w:pPr>
      <w:tabs>
        <w:tab w:val="right" w:leader="dot" w:pos="8296"/>
      </w:tabs>
      <w:spacing w:before="93"/>
      <w:jc w:val="center"/>
    </w:pPr>
    <w:rPr>
      <w:rFonts w:ascii="仿宋" w:eastAsia="仿宋" w:hAnsi="仿宋"/>
      <w:sz w:val="28"/>
      <w:szCs w:val="28"/>
    </w:rPr>
  </w:style>
  <w:style w:type="paragraph" w:styleId="25">
    <w:name w:val="toc 2"/>
    <w:basedOn w:val="0"/>
    <w:next w:val="0"/>
    <w:pPr>
      <w:tabs>
        <w:tab w:val="right" w:leader="dot" w:pos="8296"/>
      </w:tabs>
      <w:ind w:leftChars="200" w:left="200"/>
    </w:pPr>
  </w:style>
  <w:style w:type="paragraph" w:styleId="26">
    <w:name w:val="Normal (Web)"/>
    <w:basedOn w:val="0"/>
    <w:pPr>
      <w:widowControl/>
      <w:spacing w:before="100" w:beforeAutospacing="1" w:after="100" w:afterAutospacing="1"/>
      <w:jc w:val="left"/>
    </w:pPr>
    <w:rPr>
      <w:rFonts w:ascii="宋体" w:cs="宋体" w:hAnsi="宋体"/>
      <w:kern w:val="0"/>
      <w:sz w:val="24"/>
      <w:szCs w:val="24"/>
    </w:rPr>
  </w:style>
  <w:style w:type="character" w:styleId="27">
    <w:name w:val="Strong"/>
    <w:basedOn w:val="10"/>
    <w:rPr>
      <w:b/>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jc w:val="left"/>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34">
    <w:name w:val="List Paragraph"/>
    <w:basedOn w:val="0"/>
    <w:pPr>
      <w:ind w:firstLineChars="200" w:firstLine="200"/>
    </w:pPr>
  </w:style>
  <w:style w:type="paragraph" w:customStyle="1" w:styleId="35">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6">
    <w:name w:val="TOC Heading"/>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7">
    <w:name w:val="四号正文"/>
    <w:basedOn w:val="0"/>
    <w:pPr>
      <w:spacing w:line="360" w:lineRule="auto"/>
    </w:pPr>
    <w:rPr>
      <w:rFonts w:ascii="??" w:eastAsia="宋体" w:hAnsi="??"/>
      <w:color w:val="000000"/>
      <w:kern w:val="0"/>
      <w:sz w:val="28"/>
      <w:szCs w:val="21"/>
      <w:lang w:val="zh-CN" w:eastAsia="zh-CN"/>
    </w:rPr>
  </w:style>
  <w:style w:type="paragraph" w:customStyle="1" w:styleId="38">
    <w:name w:val="WPSOffice手动目录 1"/>
    <w:rPr>
      <w:rFonts w:ascii="Times New Roman" w:eastAsia="宋体" w:cs="Times New Roman" w:hAnsi="Times New Roman"/>
      <w:sz w:val="20"/>
      <w:szCs w:val="20"/>
    </w:rPr>
  </w:style>
  <w:style w:type="paragraph" w:customStyle="1" w:styleId="39">
    <w:name w:val="WPSOffice手动目录 2"/>
    <w:pPr>
      <w:ind w:leftChars="200" w:left="200"/>
    </w:pPr>
    <w:rPr>
      <w:rFonts w:ascii="Times New Roman" w:eastAsia="宋体" w:cs="Times New Roman" w:hAnsi="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chart" Target="charts/chart4.xml"/><Relationship Id="rId11" Type="http://schemas.openxmlformats.org/officeDocument/2006/relationships/chart" Target="charts/chart5.xml"/><Relationship Id="rId12" Type="http://schemas.openxmlformats.org/officeDocument/2006/relationships/chart" Target="charts/chart6.xml"/><Relationship Id="rId13" Type="http://schemas.openxmlformats.org/officeDocument/2006/relationships/chart" Target="charts/chart7.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footer" Target="footer12.xml"/><Relationship Id="rId22" Type="http://schemas.openxmlformats.org/officeDocument/2006/relationships/footer" Target="footer13.xml"/><Relationship Id="rId23" Type="http://schemas.openxmlformats.org/officeDocument/2006/relationships/footer" Target="footer14.xml"/><Relationship Id="rId24" Type="http://schemas.openxmlformats.org/officeDocument/2006/relationships/footer" Target="footer15.xml"/><Relationship Id="rId25" Type="http://schemas.openxmlformats.org/officeDocument/2006/relationships/footer" Target="footer16.xml"/><Relationship Id="rId26" Type="http://schemas.openxmlformats.org/officeDocument/2006/relationships/footer" Target="footer17.xml"/><Relationship Id="rId27" Type="http://schemas.openxmlformats.org/officeDocument/2006/relationships/footer" Target="footer18.xml"/><Relationship Id="rId28" Type="http://schemas.openxmlformats.org/officeDocument/2006/relationships/footer" Target="footer19.xml"/><Relationship Id="rId29" Type="http://schemas.openxmlformats.org/officeDocument/2006/relationships/footer" Target="footer20.xml"/><Relationship Id="rId30" Type="http://schemas.openxmlformats.org/officeDocument/2006/relationships/styles" Target="styles.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72222"/>
          <c:y val="0.12384259"/>
          <c:w val="0.882"/>
          <c:h val="0.7322685"/>
        </c:manualLayout>
      </c:layout>
      <c:barChart>
        <c:barDir val="col"/>
        <c:grouping val="clustered"/>
        <c:varyColors val="0"/>
        <c:ser>
          <c:idx val="0"/>
          <c:order val="0"/>
          <c:tx>
            <c:v>2022年</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1228.04</c:v>
                </c:pt>
                <c:pt idx="1">
                  <c:v>1228.04</c:v>
                </c:pt>
              </c:numCache>
            </c:numRef>
          </c:val>
        </c:ser>
        <c:ser>
          <c:idx val="1"/>
          <c:order val="1"/>
          <c:tx>
            <c:v>2021年</c:v>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1757.21</c:v>
                </c:pt>
                <c:pt idx="1">
                  <c:v>1757.21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strRef>
              <c:f>'Sheet1'!$B$1</c:f>
              <c:strCache>
                <c:ptCount val="1"/>
                <c:pt idx="0">
                  <c:v>本年收入</c:v>
                </c:pt>
              </c:strCache>
            </c:strRef>
          </c:tx>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Ref>
              <c:f>'Sheet1'!$A$2:$A$3</c:f>
              <c:strCache>
                <c:ptCount val="2"/>
                <c:pt idx="0">
                  <c:v>一般公共预算财政拨款</c:v>
                </c:pt>
                <c:pt idx="1">
                  <c:v>其他收入</c:v>
                </c:pt>
              </c:strCache>
            </c:strRef>
          </c:cat>
          <c:val>
            <c:numRef>
              <c:f>'Sheet1'!$B$2:$B$3</c:f>
              <c:numCache>
                <c:formatCode>General</c:formatCode>
                <c:ptCount val="2"/>
                <c:pt idx="0">
                  <c:v>2864.79</c:v>
                </c:pt>
                <c:pt idx="1">
                  <c:v>0.0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746.91</c:v>
                </c:pt>
                <c:pt idx="1">
                  <c:v>481.13</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772222"/>
          <c:y val="0.12384259"/>
          <c:w val="0.882"/>
          <c:h val="0.7322685"/>
        </c:manualLayout>
      </c:layout>
      <c:barChart>
        <c:barDir val="col"/>
        <c:grouping val="clustered"/>
        <c:varyColors val="0"/>
        <c:ser>
          <c:idx val="0"/>
          <c:order val="0"/>
          <c:tx>
            <c:v>2022年</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1228.04</c:v>
                </c:pt>
                <c:pt idx="1">
                  <c:v>1228.04</c:v>
                </c:pt>
              </c:numCache>
            </c:numRef>
          </c:val>
        </c:ser>
        <c:ser>
          <c:idx val="1"/>
          <c:order val="1"/>
          <c:tx>
            <c:v>2021年</c:v>
          </c:tx>
          <c:spPr>
            <a:solidFill>
              <a:srgbClr val="C0504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收入</c:v>
              </c:pt>
              <c:pt idx="1">
                <c:v>支出</c:v>
              </c:pt>
            </c:strLit>
          </c:cat>
          <c:val>
            <c:numRef>
              <c:f/>
              <c:numCache>
                <c:formatCode>General</c:formatCode>
                <c:ptCount val="2"/>
                <c:pt idx="0">
                  <c:v>1757.21</c:v>
                </c:pt>
                <c:pt idx="1">
                  <c:v>1757.21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支出</c:v>
          </c:tx>
          <c:spPr>
            <a:solidFill>
              <a:srgbClr val="4F81BD"/>
            </a:solidFill>
            <a:ln>
              <a:noFill/>
            </a:ln>
          </c:spPr>
          <c:invertIfNegative val="0"/>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2022年</c:v>
              </c:pt>
              <c:pt idx="1">
                <c:v>2021年</c:v>
              </c:pt>
            </c:strLit>
          </c:cat>
          <c:val>
            <c:numRef>
              <c:f/>
              <c:numCache>
                <c:formatCode>General</c:formatCode>
                <c:ptCount val="2"/>
                <c:pt idx="0">
                  <c:v>1228.01</c:v>
                </c:pt>
                <c:pt idx="1">
                  <c:v>1757.21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Times New Roman"/>
                <a:ea typeface="宋体"/>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a:ln w="6350">
                <a:solidFill>
                  <a:srgbClr val="FFFFFF"/>
                </a:solidFill>
                <a:prstDash val="solid"/>
              </a:ln>
            </c:spPr>
          </c:dPt>
          <c:dPt>
            <c:idx val="1"/>
            <c:bubble3D val="0"/>
            <c:spPr>
              <a:solidFill>
                <a:srgbClr val="C0504D"/>
              </a:solidFill>
              <a:ln w="6350">
                <a:solidFill>
                  <a:srgbClr val="FFFFFF"/>
                </a:solidFill>
                <a:prstDash val="solid"/>
              </a:ln>
            </c:spPr>
          </c:dPt>
          <c:dPt>
            <c:idx val="2"/>
            <c:bubble3D val="0"/>
            <c:spPr>
              <a:solidFill>
                <a:srgbClr val="9BBB59"/>
              </a:solidFill>
              <a:ln w="6350">
                <a:solidFill>
                  <a:srgbClr val="FFFFFF"/>
                </a:solidFill>
                <a:prstDash val="solid"/>
              </a:ln>
            </c:spPr>
          </c:dPt>
          <c:dPt>
            <c:idx val="3"/>
            <c:bubble3D val="0"/>
            <c:spPr>
              <a:solidFill>
                <a:srgbClr val="8064A2"/>
              </a:solidFill>
              <a:ln w="6350">
                <a:solidFill>
                  <a:srgbClr val="FFFFFF"/>
                </a:solidFill>
                <a:prstDash val="solid"/>
              </a:ln>
            </c:spPr>
          </c:dPt>
          <c:dLbls>
            <c:spPr>
              <a:noFill/>
              <a:ln>
                <a:noFill/>
              </a:ln>
            </c:spPr>
            <c:txPr>
              <a:bodyPr vert="horz"/>
              <a:lstStyle/>
              <a:p>
                <a:pPr>
                  <a:defRPr sz="1000" b="0" i="0" u="none" strike="noStrike" baseline="0">
                    <a:solidFill>
                      <a:srgbClr val="404040"/>
                    </a:solidFill>
                    <a:latin typeface="Times New Roman"/>
                    <a:ea typeface="宋体"/>
                    <a:cs typeface="Lucida Sans"/>
                  </a:defRPr>
                </a:pPr>
                <a:endParaRPr lang="zh-CN"/>
              </a:p>
            </c:txPr>
            <c:numFmt formatCode="General" sourceLinked="0"/>
            <c:showLegendKey val="0"/>
            <c:showVal val="1"/>
            <c:showCatName val="0"/>
            <c:showSerName val="0"/>
            <c:showPercent val="0"/>
            <c:showBubbleSize val="0"/>
            <c:showLeaderLines val="1"/>
          </c:dLbls>
          <c:cat>
            <c:strLit>
              <c:ptCount val="4"/>
              <c:pt idx="0">
                <c:v>一般公共服务支出</c:v>
              </c:pt>
              <c:pt idx="1">
                <c:v>社会保障和就业支出</c:v>
              </c:pt>
              <c:pt idx="2">
                <c:v>卫生健康支出</c:v>
              </c:pt>
              <c:pt idx="3">
                <c:v>住房保障支出</c:v>
              </c:pt>
            </c:strLit>
          </c:cat>
          <c:val>
            <c:numRef>
              <c:f/>
              <c:numCache>
                <c:formatCode>General</c:formatCode>
                <c:ptCount val="4"/>
                <c:pt idx="0">
                  <c:v>754.76</c:v>
                </c:pt>
                <c:pt idx="1">
                  <c:v>77.29</c:v>
                </c:pt>
                <c:pt idx="2">
                  <c:v>25.45</c:v>
                </c:pt>
                <c:pt idx="3">
                  <c:v>370.55</c:v>
                </c:pt>
              </c:numCache>
            </c:numRef>
          </c:val>
        </c:ser>
        <c:firstSliceAng val="0"/>
      </c:pieChart>
      <c:spPr>
        <a:noFill/>
        <a:ln>
          <a:noFill/>
        </a:ln>
      </c:spPr>
    </c:plotArea>
    <c:legend>
      <c:legendPos val="t"/>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Lbls>
            <c:spPr>
              <a:noFill/>
              <a:ln>
                <a:noFill/>
              </a:ln>
            </c:spPr>
            <c:txPr>
              <a:bodyPr vert="horz"/>
              <a:lstStyle/>
              <a:p>
                <a:pPr>
                  <a:defRPr sz="900" b="0" i="0" u="none" strike="noStrike" baseline="0">
                    <a:solidFill>
                      <a:srgbClr val="404040"/>
                    </a:solidFill>
                    <a:latin typeface="Times New Roman"/>
                    <a:ea typeface="宋体"/>
                    <a:cs typeface="Lucida Sans"/>
                  </a:defRPr>
                </a:pPr>
                <a:endParaRPr lang="zh-CN"/>
              </a:p>
            </c:txPr>
            <c:numFmt formatCode="0%" sourceLinked="0"/>
            <c:dLblPos val="inEnd"/>
            <c:showLegendKey val="0"/>
            <c:showVal val="0"/>
            <c:showCatName val="0"/>
            <c:showSerName val="0"/>
            <c:showPercent val="1"/>
            <c:showBubbleSize val="0"/>
            <c:showLeaderLines val="1"/>
          </c:dLbls>
          <c:cat>
            <c:strLit>
              <c:ptCount val="3"/>
              <c:pt idx="0">
                <c:v>因公出国（境）费支出</c:v>
              </c:pt>
              <c:pt idx="1">
                <c:v>公务用车购置及运行维护费支出</c:v>
              </c:pt>
              <c:pt idx="2">
                <c:v>公务接待费支出</c:v>
              </c:pt>
            </c:strLit>
          </c:cat>
          <c:val>
            <c:numRef>
              <c:f/>
              <c:numCache>
                <c:formatCode>General</c:formatCode>
                <c:ptCount val="3"/>
                <c:pt idx="0">
                  <c:v>0.0</c:v>
                </c:pt>
                <c:pt idx="1">
                  <c:v>6.0</c:v>
                </c:pt>
                <c:pt idx="2">
                  <c:v>5.0</c:v>
                </c:pt>
              </c:numCache>
            </c:numRef>
          </c:val>
        </c:ser>
        <c:firstSliceAng val="0"/>
      </c:pieChart>
      <c:spPr>
        <a:noFill/>
        <a:ln>
          <a:noFill/>
        </a:ln>
      </c:spPr>
    </c:plotArea>
    <c:legend>
      <c:legendPos val="r"/>
      <c:layout/>
      <c:overlay val="0"/>
      <c:spPr>
        <a:noFill/>
        <a:ln>
          <a:noFill/>
        </a:ln>
      </c:spPr>
      <c:txPr>
        <a:bodyPr/>
        <a:lstStyle/>
        <a:p>
          <a:pPr>
            <a:defRPr sz="900" b="0" i="0" u="none" strike="noStrike" baseline="0">
              <a:solidFill>
                <a:srgbClr val="595959"/>
              </a:solidFill>
              <a:latin typeface="Times New Roman"/>
              <a:ea typeface="宋体"/>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customProps>
</customData>
</file>

<file path=customXml/itemProps1.xml><?xml version="1.0" encoding="utf-8"?>
<ds:datastoreItem xmlns:ds="http://schemas.openxmlformats.org/officeDocument/2006/customXml" ds:itemID="{FD36DB0F-E906-4D75-A37B-50DAA19BEC9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353</TotalTime>
  <Application>Yozo_Office27021597764231179</Application>
  <Pages>55</Pages>
  <Words>0</Words>
  <Characters>19869</Characters>
  <Lines>0</Lines>
  <Paragraphs>336</Paragraphs>
  <CharactersWithSpaces>26492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32</cp:revision>
  <cp:lastPrinted>2023-09-13T02:49:00Z</cp:lastPrinted>
  <dcterms:created xsi:type="dcterms:W3CDTF">2020-08-05T01:49:00Z</dcterms:created>
  <dcterms:modified xsi:type="dcterms:W3CDTF">2023-10-31T09:43:23Z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2052-12.1.0.15712</vt:lpwstr>
  </property>
  <property fmtid="{D5CDD505-2E9C-101B-9397-08002B2CF9AE}" pid="3" name="ICV">
    <vt:lpwstr>3F1DF3329F3048FF82903FD7394B6D8A_13</vt:lpwstr>
  </property>
</Properties>
</file>