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ascii="方正小标宋简体" w:eastAsia="方正小标宋简体" w:hAnsi="宋体"/>
          <w:sz w:val="72"/>
          <w:szCs w:val="72"/>
        </w:rPr>
      </w:pPr>
      <w:bookmarkStart w:id="0" w:name="_Toc15306267"/>
    </w:p>
    <w:p>
      <w:pPr>
        <w:spacing w:line="600" w:lineRule="exact"/>
        <w:jc w:val="center"/>
        <w:rPr>
          <w:rFonts w:ascii="方正小标宋简体" w:eastAsia="方正小标宋简体" w:hAnsi="宋体"/>
          <w:sz w:val="72"/>
          <w:szCs w:val="72"/>
        </w:rPr>
      </w:pPr>
    </w:p>
    <w:p>
      <w:pPr>
        <w:spacing w:line="600" w:lineRule="exact"/>
        <w:jc w:val="center"/>
        <w:rPr>
          <w:rFonts w:ascii="方正小标宋简体" w:eastAsia="方正小标宋简体" w:hAnsi="宋体"/>
          <w:sz w:val="72"/>
          <w:szCs w:val="72"/>
        </w:rPr>
      </w:pPr>
    </w:p>
    <w:p>
      <w:pPr>
        <w:spacing w:line="600" w:lineRule="exact"/>
        <w:jc w:val="center"/>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1" w:name="_Toc15377425"/>
      <w:bookmarkStart w:id="2" w:name="_Toc15396597"/>
      <w:bookmarkStart w:id="3" w:name="_Toc15378441"/>
      <w:bookmarkStart w:id="4" w:name="_Toc29800"/>
      <w:bookmarkStart w:id="5" w:name="_Toc15377193"/>
      <w:bookmarkStart w:id="6" w:name="_Toc28892"/>
      <w:bookmarkStart w:id="7" w:name="_Toc15396475"/>
      <w:r>
        <w:rPr>
          <w:rFonts w:ascii="方正小标宋简体" w:eastAsia="方正小标宋简体" w:cs="方正小标宋简体" w:hAnsi="方正小标宋简体" w:hint="eastAsia"/>
          <w:sz w:val="72"/>
          <w:szCs w:val="72"/>
        </w:rPr>
        <w:t>2021年度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8" w:name="_Toc15378442"/>
      <w:bookmarkStart w:id="9" w:name="_Toc28020"/>
      <w:bookmarkStart w:id="10" w:name="_Toc28656"/>
      <w:bookmarkStart w:id="11" w:name="_Toc4259"/>
      <w:bookmarkStart w:id="12" w:name="_Toc15396598"/>
      <w:bookmarkStart w:id="13" w:name="_Toc15306268"/>
      <w:bookmarkStart w:id="14" w:name="_Toc15396476"/>
      <w:bookmarkStart w:id="15" w:name="_Toc15377426"/>
      <w:bookmarkStart w:id="16" w:name="_Toc15377194"/>
      <w:bookmarkEnd w:id="0"/>
      <w:r>
        <w:rPr>
          <w:rFonts w:ascii="方正小标宋简体" w:eastAsia="方正小标宋简体" w:cs="方正小标宋简体" w:hAnsi="方正小标宋简体" w:hint="eastAsia"/>
          <w:sz w:val="72"/>
          <w:szCs w:val="72"/>
        </w:rPr>
        <w:t>广元市利州区建平初级中学单位决算</w:t>
      </w:r>
      <w:bookmarkEnd w:id="8"/>
      <w:bookmarkEnd w:id="9"/>
      <w:bookmarkEnd w:id="10"/>
      <w:bookmarkEnd w:id="11"/>
      <w:bookmarkEnd w:id="12"/>
      <w:bookmarkEnd w:id="13"/>
      <w:bookmarkEnd w:id="14"/>
      <w:bookmarkEnd w:id="15"/>
      <w:bookmarkEnd w:id="16"/>
    </w:p>
    <w:p>
      <w:pPr>
        <w:adjustRightInd w:val="0"/>
        <w:snapToGrid w:val="0"/>
        <w:spacing w:line="360" w:lineRule="auto"/>
        <w:jc w:val="center"/>
        <w:rPr>
          <w:rFonts w:ascii="方正小标宋简体" w:eastAsia="方正小标宋简体" w:hAnsi="宋体"/>
          <w:sz w:val="52"/>
          <w:szCs w:val="52"/>
        </w:rPr>
      </w:pPr>
    </w:p>
    <w:p>
      <w:pPr>
        <w:widowControl/>
        <w:jc w:val="center"/>
        <w:rPr>
          <w:rFonts w:ascii="黑体" w:eastAsia="黑体" w:hAnsi="黑体"/>
          <w:sz w:val="48"/>
          <w:szCs w:val="48"/>
        </w:rPr>
        <w:sectPr>
          <w:footerReference w:type="default" r:id="rId2"/>
          <w:footerReference w:type="even" r:id="rId3"/>
          <w:pgSz w:w="11906" w:h="16838"/>
          <w:pgMar w:top="1701" w:right="1474" w:bottom="1701" w:left="1587" w:header="851" w:footer="1304" w:gutter="0"/>
          <w:pgNumType w:start="1"/>
          <w:cols w:num="1" w:space="0"/>
          <w:titlePg/>
          <w:docGrid w:type="lines" w:linePitch="312" w:charSpace="0"/>
        </w:sectPr>
      </w:pPr>
    </w:p>
    <w:p>
      <w:pPr>
        <w:pStyle w:val="1"/>
        <w:jc w:val="center"/>
      </w:pPr>
      <w:r>
        <w:rPr>
          <w:rFonts w:hint="eastAsia"/>
        </w:rPr>
        <w:t>目录</w:t>
      </w:r>
    </w:p>
    <w:sdt>
      <w:sdtPr>
        <w:rPr>
          <w:rFonts w:ascii="宋体" w:hAnsi="宋体"/>
        </w:rPr>
        <w:id w:val="-735374129"/>
        <w15:color w:val="DBDBDB"/>
        <w:docPartObj>
          <w:docPartGallery w:val="Table of Contents"/>
          <w:docPartUnique/>
        </w:docPartObj>
      </w:sdtPr>
      <w:sdtEndPr>
        <w:rPr>
          <w:rFonts w:ascii="Times New Roman" w:hAnsi="Times New Roman"/>
        </w:rPr>
      </w:sdtEndPr>
      <w:sdtContent>
        <w:p>
          <w:pPr>
            <w:jc w:val="center"/>
          </w:pPr>
        </w:p>
        <w:p>
          <w:pPr>
            <w:pStyle w:val="20"/>
            <w:tabs>
              <w:tab w:val="clear" w:pos="8296"/>
              <w:tab w:val="right" w:leader="dot" w:pos="8845"/>
            </w:tabs>
          </w:pPr>
          <w:r>
            <w:fldChar w:fldCharType="begin"/>
          </w:r>
          <w:r>
            <w:instrText xml:space="preserve">TOC \o "1-3" \h \u </w:instrText>
          </w:r>
          <w:r>
            <w:fldChar w:fldCharType="separate"/>
          </w:r>
        </w:p>
        <w:p>
          <w:pPr>
            <w:pStyle w:val="20"/>
            <w:tabs>
              <w:tab w:val="clear" w:pos="8296"/>
              <w:tab w:val="right" w:leader="dot" w:pos="8845"/>
            </w:tabs>
            <w:jc w:val="both"/>
          </w:pPr>
          <w:r>
            <w:fldChar w:fldCharType="begin"/>
          </w:r>
          <w:r>
            <w:instrText>Hyperlink \l "_Toc16240"</w:instrText>
          </w:r>
          <w:r>
            <w:fldChar w:fldCharType="separate"/>
          </w:r>
          <w:r>
            <w:rPr>
              <w:rFonts w:ascii="黑体" w:eastAsia="黑体" w:hAnsi="黑体" w:hint="eastAsia"/>
            </w:rPr>
            <w:t>第一部分 单位概况</w:t>
          </w:r>
          <w:r>
            <w:fldChar w:fldCharType="end"/>
          </w:r>
        </w:p>
        <w:p>
          <w:pPr>
            <w:pStyle w:val="21"/>
            <w:tabs>
              <w:tab w:val="clear" w:pos="8296"/>
              <w:tab w:val="right" w:leader="dot" w:pos="8845"/>
            </w:tabs>
          </w:pPr>
          <w:r>
            <w:fldChar w:fldCharType="begin"/>
          </w:r>
          <w:r>
            <w:instrText>Hyperlink \l "_Toc9019"</w:instrText>
          </w:r>
          <w:r>
            <w:fldChar w:fldCharType="separate"/>
          </w:r>
          <w:r>
            <w:rPr>
              <w:rFonts w:ascii="黑体" w:eastAsia="黑体" w:hAnsi="黑体"/>
            </w:rPr>
            <w:t xml:space="preserve">一、 </w:t>
          </w:r>
          <w:r>
            <w:rPr>
              <w:rFonts w:ascii="黑体" w:eastAsia="黑体" w:hAnsi="黑体" w:hint="eastAsia"/>
            </w:rPr>
            <w:t>职能简介</w:t>
          </w:r>
          <w:r>
            <w:fldChar w:fldCharType="end"/>
          </w:r>
        </w:p>
        <w:p>
          <w:pPr>
            <w:pStyle w:val="21"/>
            <w:tabs>
              <w:tab w:val="clear" w:pos="8296"/>
              <w:tab w:val="right" w:leader="dot" w:pos="8845"/>
            </w:tabs>
          </w:pPr>
          <w:r>
            <w:fldChar w:fldCharType="begin"/>
          </w:r>
          <w:r>
            <w:instrText>Hyperlink \l "_Toc19834"</w:instrText>
          </w:r>
          <w:r>
            <w:fldChar w:fldCharType="separate"/>
          </w:r>
          <w:r>
            <w:rPr>
              <w:rFonts w:ascii="黑体" w:eastAsia="黑体" w:hAnsi="黑体" w:hint="eastAsia"/>
            </w:rPr>
            <w:t>二、2021年重点工作完成情况</w:t>
          </w:r>
          <w:r>
            <w:fldChar w:fldCharType="end"/>
          </w:r>
        </w:p>
        <w:p>
          <w:pPr>
            <w:pStyle w:val="20"/>
            <w:tabs>
              <w:tab w:val="clear" w:pos="8296"/>
              <w:tab w:val="right" w:leader="dot" w:pos="8845"/>
            </w:tabs>
            <w:jc w:val="left"/>
          </w:pPr>
          <w:r>
            <w:fldChar w:fldCharType="begin"/>
          </w:r>
          <w:r>
            <w:instrText>Hyperlink \l "_Toc9099"</w:instrText>
          </w:r>
          <w:r>
            <w:fldChar w:fldCharType="separate"/>
          </w:r>
          <w:r>
            <w:rPr>
              <w:rFonts w:ascii="黑体" w:eastAsia="黑体" w:hAnsi="黑体" w:hint="eastAsia"/>
            </w:rPr>
            <w:t>第二部分 2021年度</w:t>
          </w:r>
          <w:r>
            <w:rPr>
              <w:rFonts w:ascii="黑体" w:eastAsia="黑体" w:hAnsi="黑体" w:hint="eastAsia"/>
              <w:bCs/>
            </w:rPr>
            <w:t>单位决算情况说明</w:t>
          </w:r>
          <w:r>
            <w:fldChar w:fldCharType="end"/>
          </w:r>
        </w:p>
        <w:p>
          <w:pPr>
            <w:pStyle w:val="21"/>
            <w:tabs>
              <w:tab w:val="clear" w:pos="8296"/>
              <w:tab w:val="right" w:leader="dot" w:pos="8845"/>
            </w:tabs>
          </w:pPr>
          <w:r>
            <w:fldChar w:fldCharType="begin"/>
          </w:r>
          <w:r>
            <w:instrText>Hyperlink \l "_Toc26702"</w:instrText>
          </w:r>
          <w:r>
            <w:fldChar w:fldCharType="separate"/>
          </w:r>
          <w:r>
            <w:rPr>
              <w:rFonts w:ascii="黑体" w:eastAsia="黑体" w:hAnsi="黑体"/>
            </w:rPr>
            <w:t xml:space="preserve">一、 </w:t>
          </w:r>
          <w:r>
            <w:rPr>
              <w:rFonts w:ascii="黑体" w:eastAsia="黑体" w:hAnsi="黑体" w:hint="eastAsia"/>
              <w:szCs w:val="32"/>
            </w:rPr>
            <w:t>收</w:t>
          </w:r>
          <w:r>
            <w:rPr>
              <w:rFonts w:ascii="黑体" w:eastAsia="黑体" w:hAnsi="黑体" w:hint="eastAsia"/>
            </w:rPr>
            <w:t>入支出决算总体情况说明</w:t>
          </w:r>
          <w:r>
            <w:fldChar w:fldCharType="end"/>
          </w:r>
        </w:p>
        <w:p>
          <w:pPr>
            <w:pStyle w:val="21"/>
            <w:tabs>
              <w:tab w:val="clear" w:pos="8296"/>
              <w:tab w:val="right" w:leader="dot" w:pos="8845"/>
            </w:tabs>
          </w:pPr>
          <w:r>
            <w:fldChar w:fldCharType="begin"/>
          </w:r>
          <w:r>
            <w:instrText>Hyperlink \l "_Toc4114"</w:instrText>
          </w:r>
          <w:r>
            <w:fldChar w:fldCharType="separate"/>
          </w:r>
          <w:r>
            <w:rPr>
              <w:rFonts w:ascii="黑体" w:eastAsia="黑体" w:hAnsi="黑体"/>
            </w:rPr>
            <w:t xml:space="preserve">二、 </w:t>
          </w:r>
          <w:r>
            <w:rPr>
              <w:rFonts w:ascii="黑体" w:eastAsia="黑体" w:hAnsi="黑体" w:hint="eastAsia"/>
              <w:szCs w:val="32"/>
            </w:rPr>
            <w:t>收</w:t>
          </w:r>
          <w:r>
            <w:rPr>
              <w:rFonts w:ascii="黑体" w:eastAsia="黑体" w:hAnsi="黑体" w:hint="eastAsia"/>
            </w:rPr>
            <w:t>入决算情况说明</w:t>
          </w:r>
          <w:r>
            <w:fldChar w:fldCharType="end"/>
          </w:r>
        </w:p>
        <w:p>
          <w:pPr>
            <w:pStyle w:val="21"/>
            <w:tabs>
              <w:tab w:val="clear" w:pos="8296"/>
              <w:tab w:val="right" w:leader="dot" w:pos="8845"/>
            </w:tabs>
          </w:pPr>
          <w:r>
            <w:fldChar w:fldCharType="begin"/>
          </w:r>
          <w:r>
            <w:instrText>Hyperlink \l "_Toc12288"</w:instrText>
          </w:r>
          <w:r>
            <w:fldChar w:fldCharType="separate"/>
          </w:r>
          <w:r>
            <w:rPr>
              <w:rFonts w:ascii="黑体" w:eastAsia="黑体" w:hAnsi="黑体"/>
            </w:rPr>
            <w:t xml:space="preserve">三、 </w:t>
          </w:r>
          <w:r>
            <w:rPr>
              <w:rFonts w:ascii="黑体" w:eastAsia="黑体" w:hAnsi="黑体" w:hint="eastAsia"/>
              <w:szCs w:val="32"/>
            </w:rPr>
            <w:t>支</w:t>
          </w:r>
          <w:r>
            <w:rPr>
              <w:rFonts w:ascii="黑体" w:eastAsia="黑体" w:hAnsi="黑体" w:hint="eastAsia"/>
            </w:rPr>
            <w:t>出决算情况说明</w:t>
          </w:r>
          <w:r>
            <w:fldChar w:fldCharType="end"/>
          </w:r>
        </w:p>
        <w:p>
          <w:pPr>
            <w:pStyle w:val="21"/>
            <w:tabs>
              <w:tab w:val="clear" w:pos="8296"/>
              <w:tab w:val="right" w:leader="dot" w:pos="8845"/>
            </w:tabs>
          </w:pPr>
          <w:r>
            <w:fldChar w:fldCharType="begin"/>
          </w:r>
          <w:r>
            <w:instrText>Hyperlink \l "_Toc21061"</w:instrText>
          </w:r>
          <w:r>
            <w:fldChar w:fldCharType="separate"/>
          </w:r>
          <w:r>
            <w:rPr>
              <w:rFonts w:ascii="黑体" w:eastAsia="黑体" w:hAnsi="黑体" w:hint="eastAsia"/>
              <w:szCs w:val="32"/>
            </w:rPr>
            <w:t>四、财</w:t>
          </w:r>
          <w:r>
            <w:rPr>
              <w:rFonts w:ascii="黑体" w:eastAsia="黑体" w:hAnsi="黑体" w:hint="eastAsia"/>
            </w:rPr>
            <w:t>政拨款收入支出决算总体情况说明</w:t>
          </w:r>
          <w:r>
            <w:fldChar w:fldCharType="end"/>
          </w:r>
        </w:p>
        <w:p>
          <w:pPr>
            <w:pStyle w:val="21"/>
            <w:tabs>
              <w:tab w:val="clear" w:pos="8296"/>
              <w:tab w:val="right" w:leader="dot" w:pos="8845"/>
            </w:tabs>
          </w:pPr>
          <w:r>
            <w:fldChar w:fldCharType="begin"/>
          </w:r>
          <w:r>
            <w:instrText>Hyperlink \l "_Toc2804"</w:instrText>
          </w:r>
          <w:r>
            <w:fldChar w:fldCharType="separate"/>
          </w:r>
          <w:r>
            <w:rPr>
              <w:rFonts w:ascii="黑体" w:eastAsia="黑体" w:hAnsi="黑体" w:hint="eastAsia"/>
              <w:szCs w:val="32"/>
            </w:rPr>
            <w:t>五、一</w:t>
          </w:r>
          <w:r>
            <w:rPr>
              <w:rFonts w:ascii="黑体" w:eastAsia="黑体" w:hAnsi="黑体" w:hint="eastAsia"/>
            </w:rPr>
            <w:t>般公共预算财政拨款支出决算情况说明</w:t>
          </w:r>
          <w:r>
            <w:fldChar w:fldCharType="end"/>
          </w:r>
        </w:p>
        <w:p>
          <w:pPr>
            <w:pStyle w:val="21"/>
            <w:tabs>
              <w:tab w:val="clear" w:pos="8296"/>
              <w:tab w:val="right" w:leader="dot" w:pos="8845"/>
            </w:tabs>
          </w:pPr>
          <w:r>
            <w:fldChar w:fldCharType="begin"/>
          </w:r>
          <w:r>
            <w:instrText>Hyperlink \l "_Toc1403"</w:instrText>
          </w:r>
          <w:r>
            <w:fldChar w:fldCharType="separate"/>
          </w:r>
          <w:r>
            <w:rPr>
              <w:rFonts w:ascii="黑体" w:eastAsia="黑体" w:hint="eastAsia"/>
              <w:szCs w:val="32"/>
            </w:rPr>
            <w:t>六、</w:t>
          </w:r>
          <w:r>
            <w:rPr>
              <w:rFonts w:ascii="黑体" w:eastAsia="黑体" w:hAnsi="黑体" w:hint="eastAsia"/>
              <w:szCs w:val="32"/>
            </w:rPr>
            <w:t>一</w:t>
          </w:r>
          <w:r>
            <w:rPr>
              <w:rFonts w:ascii="黑体" w:eastAsia="黑体" w:hAnsi="黑体" w:hint="eastAsia"/>
            </w:rPr>
            <w:t>般公共预算财政拨款基本支出决算情况说明</w:t>
          </w:r>
          <w:r>
            <w:fldChar w:fldCharType="end"/>
          </w:r>
        </w:p>
        <w:p>
          <w:pPr>
            <w:pStyle w:val="21"/>
            <w:tabs>
              <w:tab w:val="clear" w:pos="8296"/>
              <w:tab w:val="right" w:leader="dot" w:pos="8845"/>
            </w:tabs>
          </w:pPr>
          <w:r>
            <w:fldChar w:fldCharType="begin"/>
          </w:r>
          <w:r>
            <w:instrText>Hyperlink \l "_Toc6080"</w:instrText>
          </w:r>
          <w:r>
            <w:fldChar w:fldCharType="separate"/>
          </w:r>
          <w:r>
            <w:rPr>
              <w:rFonts w:ascii="黑体" w:eastAsia="黑体" w:hint="eastAsia"/>
              <w:szCs w:val="32"/>
            </w:rPr>
            <w:t>七、</w:t>
          </w:r>
          <w:r>
            <w:rPr>
              <w:rFonts w:ascii="黑体" w:eastAsia="黑体" w:hAnsi="黑体" w:hint="eastAsia"/>
            </w:rPr>
            <w:t>“三公”经费财政拨款支出决算情况说明</w:t>
          </w:r>
          <w:r>
            <w:fldChar w:fldCharType="end"/>
          </w:r>
        </w:p>
        <w:p>
          <w:pPr>
            <w:pStyle w:val="21"/>
            <w:tabs>
              <w:tab w:val="clear" w:pos="8296"/>
              <w:tab w:val="right" w:leader="dot" w:pos="8845"/>
            </w:tabs>
          </w:pPr>
          <w:r>
            <w:fldChar w:fldCharType="begin"/>
          </w:r>
          <w:r>
            <w:instrText>Hyperlink \l "_Toc9439"</w:instrText>
          </w:r>
          <w:r>
            <w:fldChar w:fldCharType="separate"/>
          </w:r>
          <w:r>
            <w:rPr>
              <w:rFonts w:ascii="黑体" w:eastAsia="黑体" w:hint="eastAsia"/>
              <w:szCs w:val="32"/>
            </w:rPr>
            <w:t>八、</w:t>
          </w:r>
          <w:r>
            <w:rPr>
              <w:rFonts w:ascii="黑体" w:eastAsia="黑体" w:hAnsi="黑体" w:hint="eastAsia"/>
            </w:rPr>
            <w:t>政府性基金预算支出决算情况说明</w:t>
          </w:r>
          <w:r>
            <w:fldChar w:fldCharType="end"/>
          </w:r>
        </w:p>
        <w:p>
          <w:pPr>
            <w:pStyle w:val="21"/>
            <w:tabs>
              <w:tab w:val="clear" w:pos="8296"/>
              <w:tab w:val="right" w:leader="dot" w:pos="8845"/>
            </w:tabs>
          </w:pPr>
          <w:r>
            <w:fldChar w:fldCharType="begin"/>
          </w:r>
          <w:r>
            <w:instrText>Hyperlink \l "_Toc29419"</w:instrText>
          </w:r>
          <w:r>
            <w:fldChar w:fldCharType="separate"/>
          </w:r>
          <w:r>
            <w:rPr>
              <w:rFonts w:ascii="黑体" w:eastAsia="黑体" w:hAnsi="黑体" w:hint="eastAsia"/>
            </w:rPr>
            <w:t>九、 国有资本经营预算支出决算情况说明</w:t>
          </w:r>
          <w:r>
            <w:fldChar w:fldCharType="end"/>
          </w:r>
        </w:p>
        <w:p>
          <w:pPr>
            <w:pStyle w:val="21"/>
            <w:tabs>
              <w:tab w:val="clear" w:pos="8296"/>
              <w:tab w:val="right" w:leader="dot" w:pos="8845"/>
            </w:tabs>
          </w:pPr>
          <w:r>
            <w:fldChar w:fldCharType="begin"/>
          </w:r>
          <w:r>
            <w:instrText>Hyperlink \l "_Toc32108"</w:instrText>
          </w:r>
          <w:r>
            <w:fldChar w:fldCharType="separate"/>
          </w:r>
          <w:r>
            <w:rPr>
              <w:rFonts w:ascii="黑体" w:eastAsia="黑体" w:hAnsi="黑体" w:hint="eastAsia"/>
            </w:rPr>
            <w:t>十、 其他重要事项的情况说明</w:t>
          </w:r>
          <w:r>
            <w:fldChar w:fldCharType="end"/>
          </w:r>
        </w:p>
        <w:p>
          <w:pPr>
            <w:pStyle w:val="20"/>
            <w:tabs>
              <w:tab w:val="clear" w:pos="8296"/>
              <w:tab w:val="right" w:leader="dot" w:pos="8845"/>
            </w:tabs>
            <w:jc w:val="left"/>
          </w:pPr>
          <w:r>
            <w:fldChar w:fldCharType="begin"/>
          </w:r>
          <w:r>
            <w:instrText>Hyperlink \l "_Toc30734"</w:instrText>
          </w:r>
          <w:r>
            <w:fldChar w:fldCharType="separate"/>
          </w:r>
          <w:r>
            <w:rPr>
              <w:rFonts w:ascii="黑体" w:eastAsia="黑体" w:cs="黑体" w:hAnsi="黑体" w:hint="eastAsia"/>
              <w:szCs w:val="44"/>
            </w:rPr>
            <w:t xml:space="preserve">第三部分 </w:t>
          </w:r>
          <w:r>
            <w:rPr>
              <w:rFonts w:ascii="黑体" w:eastAsia="黑体" w:hAnsi="黑体" w:hint="eastAsia"/>
              <w:szCs w:val="44"/>
            </w:rPr>
            <w:t>名</w:t>
          </w:r>
          <w:r>
            <w:rPr>
              <w:rFonts w:ascii="黑体" w:eastAsia="黑体" w:hAnsi="黑体" w:hint="eastAsia"/>
            </w:rPr>
            <w:t>词解释</w:t>
          </w:r>
          <w:r>
            <w:fldChar w:fldCharType="end"/>
          </w:r>
        </w:p>
        <w:p>
          <w:pPr>
            <w:pStyle w:val="20"/>
            <w:tabs>
              <w:tab w:val="clear" w:pos="8296"/>
              <w:tab w:val="right" w:leader="dot" w:pos="8845"/>
            </w:tabs>
            <w:jc w:val="left"/>
          </w:pPr>
          <w:r>
            <w:fldChar w:fldCharType="begin"/>
          </w:r>
          <w:r>
            <w:instrText>Hyperlink \l "_Toc26519"</w:instrText>
          </w:r>
          <w:r>
            <w:fldChar w:fldCharType="separate"/>
          </w:r>
          <w:r>
            <w:rPr>
              <w:rFonts w:ascii="黑体" w:eastAsia="黑体" w:cs="黑体" w:hAnsi="黑体" w:hint="eastAsia"/>
              <w:bCs/>
              <w:kern w:val="44"/>
              <w:szCs w:val="44"/>
            </w:rPr>
            <w:t xml:space="preserve">第四部分 </w:t>
          </w:r>
          <w:r>
            <w:rPr>
              <w:rFonts w:ascii="黑体" w:eastAsia="黑体" w:hAnsi="黑体" w:hint="eastAsia"/>
            </w:rPr>
            <w:t>附件</w:t>
          </w:r>
          <w:r>
            <w:fldChar w:fldCharType="end"/>
          </w:r>
        </w:p>
        <w:p>
          <w:pPr>
            <w:pStyle w:val="21"/>
            <w:tabs>
              <w:tab w:val="clear" w:pos="8296"/>
              <w:tab w:val="right" w:leader="dot" w:pos="8845"/>
            </w:tabs>
          </w:pPr>
          <w:r>
            <w:rPr>
              <w:rFonts w:hint="eastAsia"/>
            </w:rPr>
            <w:t>一、</w:t>
          </w:r>
          <w:r>
            <w:fldChar w:fldCharType="begin"/>
          </w:r>
          <w:r>
            <w:instrText>Hyperlink \l "_Toc1715"</w:instrText>
          </w:r>
          <w:r>
            <w:fldChar w:fldCharType="separate"/>
          </w:r>
          <w:r>
            <w:rPr>
              <w:rFonts w:ascii="黑体" w:eastAsia="黑体" w:hAnsi="黑体" w:hint="eastAsia"/>
            </w:rPr>
            <w:t>2021年建平初级中学整体支出绩效评价报告</w:t>
          </w:r>
          <w:r>
            <w:fldChar w:fldCharType="end"/>
          </w:r>
        </w:p>
        <w:p>
          <w:pPr>
            <w:pStyle w:val="21"/>
            <w:tabs>
              <w:tab w:val="clear" w:pos="8296"/>
              <w:tab w:val="right" w:leader="dot" w:pos="8845"/>
            </w:tabs>
          </w:pPr>
          <w:r>
            <w:rPr>
              <w:rFonts w:hint="eastAsia"/>
            </w:rPr>
            <w:t>二、</w:t>
          </w:r>
          <w:r>
            <w:fldChar w:fldCharType="begin"/>
          </w:r>
          <w:r>
            <w:instrText>Hyperlink \l "_Toc25484"</w:instrText>
          </w:r>
          <w:r>
            <w:fldChar w:fldCharType="separate"/>
          </w:r>
          <w:r>
            <w:rPr>
              <w:rFonts w:hint="eastAsia"/>
              <w:shd w:val="clear" w:color="auto" w:fill="FFFFFF"/>
            </w:rPr>
            <w:t>2021年</w:t>
          </w:r>
          <w:r>
            <w:rPr>
              <w:rFonts w:hint="eastAsia"/>
              <w:shd w:val="clear" w:color="auto" w:fill="FFFFFF"/>
              <w:lang w:val="zh-CN"/>
            </w:rPr>
            <w:t>专</w:t>
          </w:r>
          <w:r>
            <w:rPr>
              <w:rFonts w:hint="eastAsia"/>
              <w:lang w:val="zh-CN"/>
            </w:rPr>
            <w:t>项预算项目支出绩效自评报告</w:t>
          </w:r>
          <w:r>
            <w:fldChar w:fldCharType="end"/>
          </w:r>
        </w:p>
        <w:p>
          <w:pPr>
            <w:pStyle w:val="21"/>
            <w:tabs>
              <w:tab w:val="clear" w:pos="8296"/>
              <w:tab w:val="right" w:leader="dot" w:pos="8845"/>
            </w:tabs>
          </w:pPr>
          <w:r>
            <w:fldChar w:fldCharType="begin"/>
          </w:r>
          <w:r>
            <w:instrText>Hyperlink \l "_Toc779"</w:instrText>
          </w:r>
          <w:r>
            <w:fldChar w:fldCharType="separate"/>
          </w:r>
          <w:r>
            <w:rPr>
              <w:rFonts w:hint="eastAsia"/>
            </w:rPr>
            <w:t>1、</w:t>
          </w:r>
          <w:r>
            <w:t>202</w:t>
          </w:r>
          <w:r>
            <w:rPr>
              <w:rFonts w:hint="eastAsia"/>
            </w:rPr>
            <w:t>1年热水澡工程运行维护项目支出绩效自评报告</w:t>
          </w:r>
          <w:r>
            <w:fldChar w:fldCharType="end"/>
          </w:r>
        </w:p>
        <w:p>
          <w:pPr>
            <w:pStyle w:val="21"/>
            <w:tabs>
              <w:tab w:val="clear" w:pos="8296"/>
              <w:tab w:val="right" w:leader="dot" w:pos="8845"/>
            </w:tabs>
          </w:pPr>
          <w:r>
            <w:fldChar w:fldCharType="begin"/>
          </w:r>
          <w:r>
            <w:instrText>Hyperlink \l "_Toc25255"</w:instrText>
          </w:r>
          <w:r>
            <w:fldChar w:fldCharType="separate"/>
          </w:r>
          <w:r>
            <w:rPr>
              <w:rFonts w:hint="eastAsia"/>
            </w:rPr>
            <w:t>2、对家庭经济困难寄宿学生生活补助项目支出绩效自评报告</w:t>
          </w:r>
          <w:r>
            <w:fldChar w:fldCharType="end"/>
          </w:r>
        </w:p>
        <w:p>
          <w:pPr>
            <w:pStyle w:val="21"/>
            <w:tabs>
              <w:tab w:val="clear" w:pos="8296"/>
              <w:tab w:val="right" w:leader="dot" w:pos="8845"/>
            </w:tabs>
          </w:pPr>
          <w:r>
            <w:fldChar w:fldCharType="begin"/>
          </w:r>
          <w:r>
            <w:instrText>Hyperlink \l "_Toc4688"</w:instrText>
          </w:r>
          <w:r>
            <w:fldChar w:fldCharType="separate"/>
          </w:r>
          <w:r>
            <w:rPr>
              <w:rFonts w:hint="eastAsia"/>
            </w:rPr>
            <w:t>3、城乡义务教育补助作业本费配套事前绩效评估报告</w:t>
          </w:r>
          <w:r>
            <w:fldChar w:fldCharType="end"/>
          </w:r>
        </w:p>
        <w:p>
          <w:pPr>
            <w:pStyle w:val="20"/>
            <w:tabs>
              <w:tab w:val="clear" w:pos="8296"/>
              <w:tab w:val="right" w:leader="dot" w:pos="8845"/>
            </w:tabs>
            <w:jc w:val="both"/>
          </w:pPr>
          <w:r>
            <w:fldChar w:fldCharType="begin"/>
          </w:r>
          <w:r>
            <w:instrText>Hyperlink \l "_Toc6725"</w:instrText>
          </w:r>
          <w:r>
            <w:fldChar w:fldCharType="separate"/>
          </w:r>
          <w:r>
            <w:rPr>
              <w:rFonts w:ascii="黑体" w:eastAsia="黑体" w:hAnsi="黑体" w:hint="eastAsia"/>
              <w:szCs w:val="44"/>
            </w:rPr>
            <w:t>第</w:t>
          </w:r>
          <w:r>
            <w:rPr>
              <w:rFonts w:ascii="黑体" w:eastAsia="黑体" w:hAnsi="黑体" w:hint="eastAsia"/>
            </w:rPr>
            <w:t>五部分 附表</w:t>
          </w:r>
          <w:r>
            <w:fldChar w:fldCharType="end"/>
          </w:r>
        </w:p>
        <w:p>
          <w:pPr>
            <w:pStyle w:val="21"/>
            <w:tabs>
              <w:tab w:val="clear" w:pos="8296"/>
              <w:tab w:val="right" w:leader="dot" w:pos="8845"/>
            </w:tabs>
          </w:pPr>
          <w:r>
            <w:fldChar w:fldCharType="begin"/>
          </w:r>
          <w:r>
            <w:instrText>Hyperlink \l "_Toc16804"</w:instrText>
          </w:r>
          <w:r>
            <w:fldChar w:fldCharType="separate"/>
          </w:r>
          <w:r>
            <w:rPr>
              <w:rFonts w:hint="eastAsia"/>
            </w:rPr>
            <w:t>一、收</w:t>
          </w:r>
          <w:r>
            <w:rPr>
              <w:rFonts w:ascii="仿宋" w:eastAsia="仿宋" w:hAnsi="仿宋" w:hint="eastAsia"/>
              <w:bCs/>
            </w:rPr>
            <w:t>入支出决算总表</w:t>
          </w:r>
          <w:r>
            <w:fldChar w:fldCharType="end"/>
          </w:r>
        </w:p>
        <w:p>
          <w:pPr>
            <w:pStyle w:val="21"/>
            <w:tabs>
              <w:tab w:val="clear" w:pos="8296"/>
              <w:tab w:val="right" w:leader="dot" w:pos="8845"/>
            </w:tabs>
          </w:pPr>
          <w:r>
            <w:fldChar w:fldCharType="begin"/>
          </w:r>
          <w:r>
            <w:instrText>Hyperlink \l "_Toc22073"</w:instrText>
          </w:r>
          <w:r>
            <w:fldChar w:fldCharType="separate"/>
          </w:r>
          <w:r>
            <w:rPr>
              <w:rFonts w:hint="eastAsia"/>
            </w:rPr>
            <w:t>二、收</w:t>
          </w:r>
          <w:r>
            <w:rPr>
              <w:rFonts w:ascii="仿宋" w:eastAsia="仿宋" w:hAnsi="仿宋" w:hint="eastAsia"/>
              <w:bCs/>
            </w:rPr>
            <w:t>入决算表</w:t>
          </w:r>
          <w:r>
            <w:fldChar w:fldCharType="end"/>
          </w:r>
        </w:p>
        <w:p>
          <w:pPr>
            <w:pStyle w:val="21"/>
            <w:tabs>
              <w:tab w:val="clear" w:pos="8296"/>
              <w:tab w:val="right" w:leader="dot" w:pos="8845"/>
            </w:tabs>
          </w:pPr>
          <w:r>
            <w:fldChar w:fldCharType="begin"/>
          </w:r>
          <w:r>
            <w:instrText>Hyperlink \l "_Toc27857"</w:instrText>
          </w:r>
          <w:r>
            <w:fldChar w:fldCharType="separate"/>
          </w:r>
          <w:r>
            <w:rPr>
              <w:rFonts w:ascii="仿宋" w:eastAsia="仿宋" w:hAnsi="仿宋" w:hint="eastAsia"/>
              <w:bCs/>
            </w:rPr>
            <w:t>三、</w:t>
          </w:r>
          <w:r>
            <w:rPr>
              <w:rFonts w:hint="eastAsia"/>
            </w:rPr>
            <w:t>支</w:t>
          </w:r>
          <w:r>
            <w:rPr>
              <w:rFonts w:ascii="仿宋" w:eastAsia="仿宋" w:hAnsi="仿宋" w:hint="eastAsia"/>
              <w:bCs/>
            </w:rPr>
            <w:t>出决算表</w:t>
          </w:r>
          <w:r>
            <w:fldChar w:fldCharType="end"/>
          </w:r>
        </w:p>
        <w:p>
          <w:pPr>
            <w:pStyle w:val="21"/>
            <w:tabs>
              <w:tab w:val="clear" w:pos="8296"/>
              <w:tab w:val="right" w:leader="dot" w:pos="8845"/>
            </w:tabs>
          </w:pPr>
          <w:r>
            <w:fldChar w:fldCharType="begin"/>
          </w:r>
          <w:r>
            <w:instrText>Hyperlink \l "_Toc3758"</w:instrText>
          </w:r>
          <w:r>
            <w:fldChar w:fldCharType="separate"/>
          </w:r>
          <w:r>
            <w:rPr>
              <w:rFonts w:ascii="仿宋" w:eastAsia="仿宋" w:hAnsi="仿宋" w:hint="eastAsia"/>
              <w:bCs/>
            </w:rPr>
            <w:t>四、</w:t>
          </w:r>
          <w:r>
            <w:rPr>
              <w:rFonts w:hint="eastAsia"/>
            </w:rPr>
            <w:t>财</w:t>
          </w:r>
          <w:r>
            <w:rPr>
              <w:rFonts w:ascii="仿宋" w:eastAsia="仿宋" w:hAnsi="仿宋" w:hint="eastAsia"/>
              <w:bCs/>
            </w:rPr>
            <w:t>政拨款收入支出决算总表</w:t>
          </w:r>
          <w:r>
            <w:fldChar w:fldCharType="end"/>
          </w:r>
        </w:p>
        <w:p>
          <w:pPr>
            <w:pStyle w:val="21"/>
            <w:tabs>
              <w:tab w:val="clear" w:pos="8296"/>
              <w:tab w:val="right" w:leader="dot" w:pos="8845"/>
            </w:tabs>
          </w:pPr>
          <w:r>
            <w:fldChar w:fldCharType="begin"/>
          </w:r>
          <w:r>
            <w:instrText>Hyperlink \l "_Toc4121"</w:instrText>
          </w:r>
          <w:r>
            <w:fldChar w:fldCharType="separate"/>
          </w:r>
          <w:r>
            <w:rPr>
              <w:rFonts w:ascii="仿宋" w:eastAsia="仿宋" w:hAnsi="仿宋" w:hint="eastAsia"/>
              <w:bCs/>
            </w:rPr>
            <w:t>五、</w:t>
          </w:r>
          <w:r>
            <w:rPr>
              <w:rFonts w:hint="eastAsia"/>
            </w:rPr>
            <w:t>财</w:t>
          </w:r>
          <w:r>
            <w:rPr>
              <w:rFonts w:ascii="仿宋" w:eastAsia="仿宋" w:hAnsi="仿宋" w:hint="eastAsia"/>
              <w:bCs/>
            </w:rPr>
            <w:t>政拨款支出决算明细表</w:t>
          </w:r>
          <w:r>
            <w:fldChar w:fldCharType="end"/>
          </w:r>
        </w:p>
        <w:p>
          <w:pPr>
            <w:pStyle w:val="21"/>
            <w:tabs>
              <w:tab w:val="clear" w:pos="8296"/>
              <w:tab w:val="right" w:leader="dot" w:pos="8845"/>
            </w:tabs>
          </w:pPr>
          <w:r>
            <w:fldChar w:fldCharType="begin"/>
          </w:r>
          <w:r>
            <w:instrText>Hyperlink \l "_Toc20230"</w:instrText>
          </w:r>
          <w:r>
            <w:fldChar w:fldCharType="separate"/>
          </w:r>
          <w:r>
            <w:rPr>
              <w:rFonts w:ascii="仿宋" w:eastAsia="仿宋" w:hAnsi="仿宋" w:hint="eastAsia"/>
              <w:bCs/>
            </w:rPr>
            <w:t>六、</w:t>
          </w:r>
          <w:r>
            <w:rPr>
              <w:rFonts w:hint="eastAsia"/>
            </w:rPr>
            <w:t>一</w:t>
          </w:r>
          <w:r>
            <w:rPr>
              <w:rFonts w:ascii="仿宋" w:eastAsia="仿宋" w:hAnsi="仿宋" w:hint="eastAsia"/>
              <w:bCs/>
            </w:rPr>
            <w:t>般公共预算财政拨款支出决算表</w:t>
          </w:r>
          <w:r>
            <w:fldChar w:fldCharType="end"/>
          </w:r>
        </w:p>
        <w:p>
          <w:pPr>
            <w:pStyle w:val="21"/>
            <w:tabs>
              <w:tab w:val="clear" w:pos="8296"/>
              <w:tab w:val="right" w:leader="dot" w:pos="8845"/>
            </w:tabs>
          </w:pPr>
          <w:r>
            <w:fldChar w:fldCharType="begin"/>
          </w:r>
          <w:r>
            <w:instrText>Hyperlink \l "_Toc8226"</w:instrText>
          </w:r>
          <w:r>
            <w:fldChar w:fldCharType="separate"/>
          </w:r>
          <w:r>
            <w:rPr>
              <w:rFonts w:ascii="仿宋" w:eastAsia="仿宋" w:hAnsi="仿宋" w:hint="eastAsia"/>
              <w:bCs/>
            </w:rPr>
            <w:t>七、</w:t>
          </w:r>
          <w:r>
            <w:rPr>
              <w:rFonts w:hint="eastAsia"/>
            </w:rPr>
            <w:t>一</w:t>
          </w:r>
          <w:r>
            <w:rPr>
              <w:rFonts w:ascii="仿宋" w:eastAsia="仿宋" w:hAnsi="仿宋" w:hint="eastAsia"/>
              <w:bCs/>
            </w:rPr>
            <w:t>般公共预算财政拨款支出决算明细表</w:t>
          </w:r>
          <w:r>
            <w:fldChar w:fldCharType="end"/>
          </w:r>
        </w:p>
        <w:p>
          <w:pPr>
            <w:pStyle w:val="21"/>
            <w:tabs>
              <w:tab w:val="clear" w:pos="8296"/>
              <w:tab w:val="right" w:leader="dot" w:pos="8845"/>
            </w:tabs>
          </w:pPr>
          <w:r>
            <w:fldChar w:fldCharType="begin"/>
          </w:r>
          <w:r>
            <w:instrText>Hyperlink \l "_Toc15574"</w:instrText>
          </w:r>
          <w:r>
            <w:fldChar w:fldCharType="separate"/>
          </w:r>
          <w:r>
            <w:rPr>
              <w:rFonts w:ascii="仿宋" w:eastAsia="仿宋" w:hAnsi="仿宋" w:hint="eastAsia"/>
              <w:bCs/>
            </w:rPr>
            <w:t>八、</w:t>
          </w:r>
          <w:r>
            <w:rPr>
              <w:rFonts w:hint="eastAsia"/>
            </w:rPr>
            <w:t>一</w:t>
          </w:r>
          <w:r>
            <w:rPr>
              <w:rFonts w:ascii="仿宋" w:eastAsia="仿宋" w:hAnsi="仿宋" w:hint="eastAsia"/>
              <w:bCs/>
            </w:rPr>
            <w:t>般公共预算财政拨款基本支出决算表</w:t>
          </w:r>
          <w:r>
            <w:fldChar w:fldCharType="end"/>
          </w:r>
        </w:p>
        <w:p>
          <w:pPr>
            <w:pStyle w:val="21"/>
            <w:tabs>
              <w:tab w:val="clear" w:pos="8296"/>
              <w:tab w:val="right" w:leader="dot" w:pos="8845"/>
            </w:tabs>
          </w:pPr>
          <w:r>
            <w:fldChar w:fldCharType="begin"/>
          </w:r>
          <w:r>
            <w:instrText>Hyperlink \l "_Toc18834"</w:instrText>
          </w:r>
          <w:r>
            <w:fldChar w:fldCharType="separate"/>
          </w:r>
          <w:r>
            <w:rPr>
              <w:rFonts w:ascii="仿宋" w:eastAsia="仿宋" w:hAnsi="仿宋" w:hint="eastAsia"/>
              <w:bCs/>
            </w:rPr>
            <w:t>九、</w:t>
          </w:r>
          <w:r>
            <w:rPr>
              <w:rFonts w:hint="eastAsia"/>
            </w:rPr>
            <w:t>一</w:t>
          </w:r>
          <w:r>
            <w:rPr>
              <w:rFonts w:ascii="仿宋" w:eastAsia="仿宋" w:hAnsi="仿宋" w:hint="eastAsia"/>
              <w:bCs/>
            </w:rPr>
            <w:t>般公共预算财政拨款项目支出决算表</w:t>
          </w:r>
          <w:r>
            <w:fldChar w:fldCharType="end"/>
          </w:r>
        </w:p>
        <w:p>
          <w:pPr>
            <w:pStyle w:val="21"/>
            <w:tabs>
              <w:tab w:val="clear" w:pos="8296"/>
              <w:tab w:val="right" w:leader="dot" w:pos="8845"/>
            </w:tabs>
          </w:pPr>
          <w:r>
            <w:fldChar w:fldCharType="begin"/>
          </w:r>
          <w:r>
            <w:instrText>Hyperlink \l "_Toc517"</w:instrText>
          </w:r>
          <w:r>
            <w:fldChar w:fldCharType="separate"/>
          </w:r>
          <w:r>
            <w:rPr>
              <w:rFonts w:ascii="仿宋" w:eastAsia="仿宋" w:hAnsi="仿宋" w:hint="eastAsia"/>
              <w:bCs/>
            </w:rPr>
            <w:t>十、</w:t>
          </w:r>
          <w:r>
            <w:rPr>
              <w:rFonts w:hint="eastAsia"/>
            </w:rPr>
            <w:t>一</w:t>
          </w:r>
          <w:r>
            <w:rPr>
              <w:rFonts w:ascii="仿宋" w:eastAsia="仿宋" w:hAnsi="仿宋" w:hint="eastAsia"/>
              <w:bCs/>
            </w:rPr>
            <w:t>般公共预算财政拨款“三公”经费支出决算表</w:t>
          </w:r>
          <w:r>
            <w:fldChar w:fldCharType="end"/>
          </w:r>
        </w:p>
        <w:p>
          <w:pPr>
            <w:pStyle w:val="21"/>
            <w:tabs>
              <w:tab w:val="clear" w:pos="8296"/>
              <w:tab w:val="right" w:leader="dot" w:pos="8845"/>
            </w:tabs>
          </w:pPr>
          <w:r>
            <w:fldChar w:fldCharType="begin"/>
          </w:r>
          <w:r>
            <w:instrText>Hyperlink \l "_Toc26406"</w:instrText>
          </w:r>
          <w:r>
            <w:fldChar w:fldCharType="separate"/>
          </w:r>
          <w:r>
            <w:rPr>
              <w:rFonts w:ascii="仿宋" w:eastAsia="仿宋" w:hAnsi="仿宋" w:hint="eastAsia"/>
              <w:bCs/>
            </w:rPr>
            <w:t>十一、</w:t>
          </w:r>
          <w:r>
            <w:rPr>
              <w:rFonts w:hint="eastAsia"/>
            </w:rPr>
            <w:t>政</w:t>
          </w:r>
          <w:r>
            <w:rPr>
              <w:rFonts w:ascii="仿宋" w:eastAsia="仿宋" w:hAnsi="仿宋" w:hint="eastAsia"/>
              <w:bCs/>
            </w:rPr>
            <w:t>府性基金预算财政拨款收入支出决算表</w:t>
          </w:r>
          <w:r>
            <w:fldChar w:fldCharType="end"/>
          </w:r>
        </w:p>
        <w:p>
          <w:pPr>
            <w:pStyle w:val="21"/>
            <w:tabs>
              <w:tab w:val="clear" w:pos="8296"/>
              <w:tab w:val="right" w:leader="dot" w:pos="8845"/>
            </w:tabs>
          </w:pPr>
          <w:r>
            <w:fldChar w:fldCharType="begin"/>
          </w:r>
          <w:r>
            <w:instrText>Hyperlink \l "_Toc19722"</w:instrText>
          </w:r>
          <w:r>
            <w:fldChar w:fldCharType="separate"/>
          </w:r>
          <w:r>
            <w:rPr>
              <w:rFonts w:ascii="仿宋" w:eastAsia="仿宋" w:hAnsi="仿宋" w:hint="eastAsia"/>
              <w:bCs/>
            </w:rPr>
            <w:t>十二、</w:t>
          </w:r>
          <w:r>
            <w:rPr>
              <w:rFonts w:hint="eastAsia"/>
            </w:rPr>
            <w:t>政</w:t>
          </w:r>
          <w:r>
            <w:rPr>
              <w:rFonts w:ascii="仿宋" w:eastAsia="仿宋" w:hAnsi="仿宋" w:hint="eastAsia"/>
              <w:bCs/>
            </w:rPr>
            <w:t>府性基金预算财政拨款“三公”经费支出决算表</w:t>
          </w:r>
          <w:r>
            <w:fldChar w:fldCharType="end"/>
          </w:r>
        </w:p>
        <w:p>
          <w:pPr>
            <w:pStyle w:val="21"/>
            <w:tabs>
              <w:tab w:val="clear" w:pos="8296"/>
              <w:tab w:val="right" w:leader="dot" w:pos="8845"/>
            </w:tabs>
          </w:pPr>
          <w:r>
            <w:fldChar w:fldCharType="begin"/>
          </w:r>
          <w:r>
            <w:instrText>Hyperlink \l "_Toc22905"</w:instrText>
          </w:r>
          <w:r>
            <w:fldChar w:fldCharType="separate"/>
          </w:r>
          <w:r>
            <w:rPr>
              <w:rFonts w:ascii="仿宋" w:eastAsia="仿宋" w:hAnsi="仿宋" w:hint="eastAsia"/>
              <w:bCs/>
            </w:rPr>
            <w:t>十三、</w:t>
          </w:r>
          <w:r>
            <w:rPr>
              <w:rFonts w:hint="eastAsia"/>
            </w:rPr>
            <w:t>国</w:t>
          </w:r>
          <w:r>
            <w:rPr>
              <w:rFonts w:ascii="仿宋" w:eastAsia="仿宋" w:hAnsi="仿宋" w:hint="eastAsia"/>
              <w:bCs/>
            </w:rPr>
            <w:t>有资本经营预算财政拨款收入支出决算表</w:t>
          </w:r>
          <w:r>
            <w:fldChar w:fldCharType="end"/>
          </w:r>
        </w:p>
        <w:p>
          <w:pPr>
            <w:pStyle w:val="21"/>
            <w:tabs>
              <w:tab w:val="clear" w:pos="8296"/>
              <w:tab w:val="right" w:leader="dot" w:pos="8845"/>
            </w:tabs>
          </w:pPr>
          <w:r>
            <w:fldChar w:fldCharType="begin"/>
          </w:r>
          <w:r>
            <w:instrText>Hyperlink \l "_Toc16393"</w:instrText>
          </w:r>
          <w:r>
            <w:fldChar w:fldCharType="separate"/>
          </w:r>
          <w:r>
            <w:rPr>
              <w:rFonts w:ascii="仿宋" w:eastAsia="仿宋" w:hAnsi="仿宋" w:hint="eastAsia"/>
              <w:bCs/>
            </w:rPr>
            <w:t>十四、国有资本经营预算财政拨款支出决算表</w:t>
          </w:r>
          <w:r>
            <w:fldChar w:fldCharType="end"/>
          </w:r>
        </w:p>
        <w:p>
          <w:r>
            <w:fldChar w:fldCharType="end"/>
          </w:r>
        </w:p>
      </w:sdtContent>
    </w:sdt>
    <w:p>
      <w:pPr>
        <w:rPr>
          <w:rFonts w:ascii="黑体" w:eastAsia="黑体" w:hAnsi="黑体"/>
        </w:rPr>
      </w:pPr>
      <w:bookmarkStart w:id="17" w:name="_Toc16240"/>
      <w:r>
        <w:rPr>
          <w:rFonts w:ascii="黑体" w:eastAsia="黑体" w:hAnsi="黑体" w:hint="eastAsia"/>
        </w:rPr>
        <w:br w:type="page"/>
      </w:r>
    </w:p>
    <w:p>
      <w:pPr>
        <w:pStyle w:val="1"/>
        <w:jc w:val="center"/>
        <w:rPr>
          <w:rFonts w:ascii="黑体" w:eastAsia="黑体" w:hAnsi="黑体"/>
          <w:bCs w:val="0"/>
        </w:rPr>
      </w:pPr>
      <w:r>
        <w:rPr>
          <w:rFonts w:ascii="黑体" w:eastAsia="黑体" w:hAnsi="黑体" w:hint="eastAsia"/>
          <w:b w:val="0"/>
        </w:rPr>
        <w:t>第一部分 单位</w:t>
      </w:r>
      <w:r>
        <w:rPr>
          <w:rStyle w:val="1Char"/>
          <w:rFonts w:ascii="黑体" w:eastAsia="黑体" w:hAnsi="黑体" w:hint="eastAsia"/>
        </w:rPr>
        <w:t>概况</w:t>
      </w:r>
      <w:bookmarkEnd w:id="17"/>
    </w:p>
    <w:p>
      <w:pPr>
        <w:pStyle w:val="2"/>
        <w:ind w:left="640" w:hanging="640"/>
        <w:rPr>
          <w:rStyle w:val="2Char"/>
          <w:rFonts w:ascii="黑体" w:eastAsia="黑体" w:hAnsi="黑体"/>
        </w:rPr>
      </w:pPr>
      <w:bookmarkStart w:id="18" w:name="_Toc9019"/>
      <w:bookmarkStart w:id="19" w:name="_Toc15396600"/>
      <w:bookmarkStart w:id="20" w:name="_Toc15377197"/>
      <w:r>
        <w:rPr>
          <w:rFonts w:ascii="黑体" w:eastAsia="黑体" w:hAnsi="黑体"/>
          <w:b w:val="0"/>
          <w:bCs w:val="0"/>
        </w:rPr>
        <w:t>一、</w:t>
      </w:r>
      <w:r>
        <w:rPr>
          <w:rStyle w:val="2Char"/>
          <w:rFonts w:ascii="黑体" w:eastAsia="黑体" w:hAnsi="黑体" w:hint="eastAsia"/>
        </w:rPr>
        <w:t>职能简介</w:t>
      </w:r>
      <w:bookmarkEnd w:id="18"/>
    </w:p>
    <w:p>
      <w:pPr>
        <w:pStyle w:val="28"/>
        <w:snapToGrid w:val="0"/>
        <w:spacing w:line="520" w:lineRule="exact"/>
        <w:ind w:firstLineChars="0" w:firstLine="601"/>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.维护学生平等入学权利、建立控辍保学工作机制、满足需要特殊关注学生的需求等管理任务。</w:t>
      </w:r>
    </w:p>
    <w:p>
      <w:pPr>
        <w:pStyle w:val="28"/>
        <w:snapToGrid w:val="0"/>
        <w:spacing w:line="520" w:lineRule="exact"/>
        <w:ind w:firstLineChars="0" w:firstLine="601"/>
        <w:rPr>
          <w:rFonts w:ascii="仿宋" w:eastAsia="仿宋" w:hAnsi="仿宋"/>
          <w:sz w:val="28"/>
          <w:szCs w:val="28"/>
        </w:rPr>
      </w:pPr>
      <w:r>
        <w:rPr>
          <w:rFonts w:ascii="仿宋" w:eastAsia="仿宋" w:hAnsi="仿宋" w:hint="eastAsia"/>
          <w:sz w:val="28"/>
          <w:szCs w:val="28"/>
        </w:rPr>
        <w:t>2.提升学生道德品质、帮助学生学会学习、增进学生身心健康、提高学生艺术素养、培养学生生活本领等管理任务。</w:t>
      </w:r>
    </w:p>
    <w:p>
      <w:pPr>
        <w:pStyle w:val="28"/>
        <w:snapToGrid w:val="0"/>
        <w:spacing w:line="520" w:lineRule="exact"/>
        <w:ind w:firstLineChars="0" w:firstLine="601"/>
        <w:rPr>
          <w:rFonts w:ascii="仿宋" w:eastAsia="仿宋" w:hAnsi="仿宋"/>
          <w:sz w:val="28"/>
          <w:szCs w:val="28"/>
        </w:rPr>
      </w:pPr>
      <w:r>
        <w:rPr>
          <w:rFonts w:ascii="仿宋" w:eastAsia="仿宋" w:hAnsi="仿宋" w:hint="eastAsia"/>
          <w:sz w:val="28"/>
          <w:szCs w:val="28"/>
        </w:rPr>
        <w:t>3.加强教师管理和职业道德建设、提高教师教育教学能力、建立教师专业发展支持体系等管理任务。</w:t>
      </w:r>
    </w:p>
    <w:p>
      <w:pPr>
        <w:pStyle w:val="28"/>
        <w:snapToGrid w:val="0"/>
        <w:spacing w:line="520" w:lineRule="exact"/>
        <w:ind w:firstLineChars="0" w:firstLine="601"/>
        <w:rPr>
          <w:rFonts w:ascii="仿宋" w:eastAsia="仿宋" w:hAnsi="仿宋"/>
          <w:sz w:val="28"/>
          <w:szCs w:val="28"/>
        </w:rPr>
      </w:pPr>
      <w:r>
        <w:rPr>
          <w:rFonts w:ascii="仿宋" w:eastAsia="仿宋" w:hAnsi="仿宋" w:hint="eastAsia"/>
          <w:sz w:val="28"/>
          <w:szCs w:val="28"/>
        </w:rPr>
        <w:t>4.建设适合学生发展的课程体系，实施以学生发展为本的教学，建立促进学生发展的评价体系，提供便利实用的教学资源等管理任务。</w:t>
      </w:r>
    </w:p>
    <w:p>
      <w:pPr>
        <w:pStyle w:val="28"/>
        <w:snapToGrid w:val="0"/>
        <w:spacing w:line="520" w:lineRule="exact"/>
        <w:ind w:firstLineChars="0" w:firstLine="601"/>
        <w:rPr>
          <w:rFonts w:ascii="仿宋" w:eastAsia="仿宋" w:hAnsi="仿宋"/>
          <w:sz w:val="28"/>
          <w:szCs w:val="28"/>
        </w:rPr>
      </w:pPr>
      <w:r>
        <w:rPr>
          <w:rFonts w:ascii="仿宋" w:eastAsia="仿宋" w:hAnsi="仿宋" w:hint="eastAsia"/>
          <w:sz w:val="28"/>
          <w:szCs w:val="28"/>
        </w:rPr>
        <w:t>5.建立切实可行的安全与健康管理制度、建设安全卫生的学校基础设施、开展以生活技能为基础的安全健康教育、营造健康向上的学校文化等管理任务。</w:t>
      </w:r>
    </w:p>
    <w:p>
      <w:pPr>
        <w:pStyle w:val="28"/>
        <w:snapToGrid w:val="0"/>
        <w:spacing w:line="520" w:lineRule="exact"/>
        <w:ind w:firstLineChars="0" w:firstLine="601"/>
        <w:rPr>
          <w:rFonts w:ascii="仿宋" w:eastAsia="仿宋" w:hAnsi="仿宋"/>
          <w:sz w:val="28"/>
          <w:szCs w:val="28"/>
        </w:rPr>
      </w:pPr>
      <w:bookmarkStart w:id="21" w:name="_Toc30514"/>
      <w:r>
        <w:rPr>
          <w:rFonts w:ascii="仿宋" w:eastAsia="仿宋" w:hAnsi="仿宋" w:hint="eastAsia"/>
          <w:sz w:val="28"/>
          <w:szCs w:val="28"/>
        </w:rPr>
        <w:t>6.依法科学管理能力，建立健全民主管理制度，构建和谐的家庭、学校、社区合作关系等管理任务。</w:t>
      </w:r>
      <w:bookmarkEnd w:id="21"/>
    </w:p>
    <w:p>
      <w:pPr>
        <w:pStyle w:val="2"/>
        <w:rPr>
          <w:rFonts w:ascii="黑体" w:eastAsia="黑体" w:hAnsi="黑体"/>
          <w:b w:val="0"/>
        </w:rPr>
      </w:pPr>
      <w:bookmarkStart w:id="22" w:name="_Toc19834"/>
      <w:r>
        <w:rPr>
          <w:rFonts w:ascii="黑体" w:eastAsia="黑体" w:hAnsi="黑体" w:hint="eastAsia"/>
          <w:b w:val="0"/>
        </w:rPr>
        <w:t>二、2021年重点工作</w:t>
      </w:r>
      <w:bookmarkEnd w:id="19"/>
      <w:bookmarkEnd w:id="20"/>
      <w:r>
        <w:rPr>
          <w:rFonts w:ascii="黑体" w:eastAsia="黑体" w:hAnsi="黑体" w:hint="eastAsia"/>
          <w:b w:val="0"/>
        </w:rPr>
        <w:t>完成情况</w:t>
      </w:r>
      <w:bookmarkEnd w:id="22"/>
    </w:p>
    <w:p>
      <w:pPr>
        <w:ind w:firstLineChars="100" w:firstLine="300"/>
        <w:rPr>
          <w:rFonts w:ascii="仿宋" w:eastAsia="仿宋" w:hAnsi="仿宋"/>
          <w:bCs/>
          <w:sz w:val="30"/>
          <w:szCs w:val="30"/>
        </w:rPr>
      </w:pPr>
      <w:r>
        <w:rPr>
          <w:rFonts w:ascii="仿宋" w:eastAsia="仿宋" w:hAnsi="仿宋" w:hint="eastAsia"/>
          <w:bCs/>
          <w:sz w:val="30"/>
          <w:szCs w:val="30"/>
        </w:rPr>
        <w:t>（一）支部工作</w:t>
      </w:r>
    </w:p>
    <w:p>
      <w:pPr>
        <w:ind w:firstLineChars="200" w:firstLine="600"/>
        <w:rPr>
          <w:rFonts w:ascii="仿宋" w:eastAsia="仿宋" w:hAnsi="仿宋"/>
          <w:sz w:val="30"/>
          <w:szCs w:val="30"/>
        </w:rPr>
      </w:pPr>
      <w:r>
        <w:rPr>
          <w:rFonts w:ascii="仿宋" w:eastAsia="仿宋" w:hAnsi="仿宋" w:hint="eastAsia"/>
          <w:sz w:val="30"/>
          <w:szCs w:val="30"/>
        </w:rPr>
        <w:t>加强学习，加强对意识形态工作的领导，强化支部的战斗堡垒作用。</w:t>
      </w:r>
    </w:p>
    <w:p>
      <w:pPr>
        <w:ind w:firstLineChars="200" w:firstLine="600"/>
        <w:rPr>
          <w:rFonts w:ascii="仿宋" w:eastAsia="仿宋" w:hAnsi="仿宋"/>
          <w:sz w:val="30"/>
          <w:szCs w:val="30"/>
        </w:rPr>
      </w:pPr>
      <w:r>
        <w:rPr>
          <w:rFonts w:ascii="仿宋" w:eastAsia="仿宋" w:hAnsi="仿宋" w:hint="eastAsia"/>
          <w:sz w:val="30"/>
          <w:szCs w:val="30"/>
        </w:rPr>
        <w:t xml:space="preserve">1.积极开展党史学习教育。按照党中央的安排部署，学校党支部在广大党员干部和师生中积极开展党史学习教育。把党史学习教育与学校党建工作相结合，与铸牢中华民族共同体意识教育结合，与“三进”工作和社会主义核心价值观教育相结合，在全校广大师生中持续深入地开展以党史为重点的“四史”学习教育活动，激励师生从建党百年的光辉历程中汲取强大精神力量，引导全校师生学史明理、学史增信、学史崇德、学史力行，让红色基因、革命薪火代代传承。                 </w:t>
      </w:r>
    </w:p>
    <w:p>
      <w:pPr>
        <w:ind w:firstLineChars="200" w:firstLine="600"/>
        <w:rPr>
          <w:rFonts w:ascii="仿宋" w:eastAsia="仿宋" w:hAnsi="仿宋"/>
          <w:sz w:val="30"/>
          <w:szCs w:val="30"/>
        </w:rPr>
      </w:pPr>
      <w:r>
        <w:rPr>
          <w:rFonts w:ascii="仿宋" w:eastAsia="仿宋" w:hAnsi="仿宋" w:hint="eastAsia"/>
          <w:sz w:val="30"/>
          <w:szCs w:val="30"/>
        </w:rPr>
        <w:t xml:space="preserve">2.学校党支部充分发挥领导核心作用，团结带领全校党员干部，以党的建设引领教育事业的健康发展，确保了教育事业发展的正确方向。全体党员干部坚持正确的政治方向，坚决维护习近平总书记在党中央和全党核心地位，坚决维护党中央权威和集中统一领导，做到在思想上拥戴核心、政治上维护核心、行动上紧跟核心，始终同以习近平同志为核心的党中央保持高度一致。坚定贯彻落实中央、省委、市委、区委及区教育工委重要决策部署，在重大原则问题上立场坚定、态度鲜明，在大是大非面前时刻保持清醒头脑。严格执行重大事项请示报告制度。  </w:t>
      </w:r>
    </w:p>
    <w:p>
      <w:pPr>
        <w:ind w:firstLineChars="200" w:firstLine="600"/>
        <w:rPr>
          <w:rFonts w:ascii="仿宋" w:eastAsia="仿宋" w:hAnsi="仿宋"/>
          <w:sz w:val="30"/>
          <w:szCs w:val="30"/>
        </w:rPr>
      </w:pPr>
      <w:r>
        <w:rPr>
          <w:rFonts w:ascii="仿宋" w:eastAsia="仿宋" w:hAnsi="仿宋" w:hint="eastAsia"/>
          <w:sz w:val="30"/>
          <w:szCs w:val="30"/>
        </w:rPr>
        <w:t>3.学校领导班子坚持党的绝对领导，牢固树立“四个意识”，做到“两个维护”，坚定“四个自信”。坚决执行党的理论路线方针政策，坚决落实习近平总书记重要指示批示精神。落实新时代党的建设总要求，以政治建设为统领，推进党的建设各项工作。积极落实上级重大决策部署，执行上级文件要求，做到令行禁止，保持学校政令畅通。</w:t>
      </w:r>
    </w:p>
    <w:p>
      <w:pPr>
        <w:ind w:firstLineChars="200" w:firstLine="600"/>
        <w:rPr>
          <w:rFonts w:ascii="仿宋" w:eastAsia="仿宋" w:hAnsi="仿宋"/>
          <w:sz w:val="30"/>
          <w:szCs w:val="30"/>
        </w:rPr>
      </w:pPr>
      <w:r>
        <w:rPr>
          <w:rFonts w:ascii="仿宋" w:eastAsia="仿宋" w:hAnsi="仿宋" w:hint="eastAsia"/>
          <w:sz w:val="30"/>
          <w:szCs w:val="30"/>
        </w:rPr>
        <w:t>4.认真落实支部书记讲党课，支部书记带头践行社会主义核心价值观，以身作则，率先垂范。积极组织全校教职工特别是党员干部学校习近平新时代中国特色社会主义思想，学习《习近平谈治国理政》第三卷，学习党的十九大、十九届二中、三中、四中、五中、六中全会精神、学习强国学习，学习省委十一届八次会议精神，学习行业先进典型，不断用党的政策理论武装头脑、指导工作、推动实践。以培育和践行社会主义核心价值观为根本，以传播社会正能量、展示新时代新形象为重点，以人才培养为中心，以队伍建设为保证，开拓进取，团结协作。严守党的政治纪律和政治规矩。坚持党支部主体责任、书记第一责任人责任、班子成员“一岗双责”和廉勤委监督责任“四责协同”、一体推进。不断提高和强化正风肃纪的意识和能力。</w:t>
      </w:r>
    </w:p>
    <w:p>
      <w:pPr>
        <w:ind w:firstLineChars="200" w:firstLine="600"/>
        <w:rPr>
          <w:rFonts w:ascii="仿宋" w:eastAsia="仿宋" w:hAnsi="仿宋"/>
          <w:sz w:val="30"/>
          <w:szCs w:val="30"/>
        </w:rPr>
      </w:pPr>
      <w:r>
        <w:rPr>
          <w:rFonts w:ascii="仿宋" w:eastAsia="仿宋" w:hAnsi="仿宋" w:hint="eastAsia"/>
          <w:sz w:val="30"/>
          <w:szCs w:val="30"/>
        </w:rPr>
        <w:t>5.加强对意识形态工作的领导。充分认识意识形态工作的极端重要性，管好党的意识形态工作，是思想建党的重要内容。学校建立集体领导、分工明确、执行有力的意识形态工作责任体系。学校支部书记作为第一责任人，旗帜鲜明地站在意识形态工作第一线，带头抓意识形态工作，带头管阵地、把导向、强队伍，带头批评错误观点和错误倾向，带头维护网络意识形态安全，重要工作亲自部署、重要问题亲自过问、重大事件亲自处置。领导班子其他成员和各处室负责人根据工作分工，按照“一岗双责”要求，抓好分管部门的意识形态工作，对职责范围内的意识形态工作负领导责任。学校意识形态工作把服务群众同教育引导群众结合起来，讲述好中国故事、传播好中国声音</w:t>
      </w:r>
    </w:p>
    <w:p>
      <w:pPr>
        <w:ind w:firstLineChars="200" w:firstLine="600"/>
        <w:rPr>
          <w:rFonts w:ascii="仿宋" w:eastAsia="仿宋" w:hAnsi="仿宋"/>
          <w:sz w:val="30"/>
          <w:szCs w:val="30"/>
        </w:rPr>
      </w:pPr>
      <w:r>
        <w:rPr>
          <w:rFonts w:ascii="仿宋" w:eastAsia="仿宋" w:hAnsi="仿宋" w:hint="eastAsia"/>
          <w:sz w:val="30"/>
          <w:szCs w:val="30"/>
        </w:rPr>
        <w:t>6.按照市区两委的要求部署，积极开展纪律作风建设整顿活动，从思想、工作、生活上开展自查自纠，深刻领会其中的警示精神，以此为鉴，做到令行禁止，依法办事，认真履职，牢固树立全心全意为人民服务的宗旨。</w:t>
      </w:r>
    </w:p>
    <w:p>
      <w:pPr>
        <w:ind w:firstLineChars="200" w:firstLine="600"/>
        <w:rPr>
          <w:rFonts w:ascii="仿宋" w:eastAsia="仿宋" w:hAnsi="仿宋"/>
          <w:sz w:val="30"/>
          <w:szCs w:val="30"/>
        </w:rPr>
      </w:pPr>
      <w:r>
        <w:rPr>
          <w:rFonts w:ascii="仿宋" w:eastAsia="仿宋" w:hAnsi="仿宋" w:hint="eastAsia"/>
          <w:sz w:val="30"/>
          <w:szCs w:val="30"/>
        </w:rPr>
        <w:t>7开展开门问计，从群众急难愁盼的事情着手，为群众办实事。</w:t>
      </w:r>
    </w:p>
    <w:p>
      <w:pPr>
        <w:ind w:firstLineChars="200" w:firstLine="600"/>
        <w:rPr>
          <w:rFonts w:ascii="仿宋" w:eastAsia="仿宋" w:hAnsi="仿宋"/>
          <w:sz w:val="30"/>
          <w:szCs w:val="30"/>
        </w:rPr>
      </w:pPr>
      <w:r>
        <w:rPr>
          <w:rFonts w:ascii="仿宋" w:eastAsia="仿宋" w:hAnsi="仿宋" w:hint="eastAsia"/>
          <w:sz w:val="30"/>
          <w:szCs w:val="30"/>
        </w:rPr>
        <w:t>8.以构建和谐校园为载体，深入推进学校精神文明建设工作。</w:t>
      </w:r>
    </w:p>
    <w:p>
      <w:pPr>
        <w:ind w:firstLineChars="200" w:firstLine="600"/>
        <w:rPr>
          <w:rFonts w:ascii="仿宋" w:eastAsia="仿宋" w:hAnsi="仿宋"/>
          <w:sz w:val="30"/>
          <w:szCs w:val="30"/>
        </w:rPr>
      </w:pPr>
      <w:r>
        <w:rPr>
          <w:rFonts w:ascii="仿宋" w:eastAsia="仿宋" w:hAnsi="仿宋" w:hint="eastAsia"/>
          <w:sz w:val="30"/>
          <w:szCs w:val="30"/>
        </w:rPr>
        <w:t>9.加强支部对团、队工作的领导，积极做好团、队工作和其他工作。</w:t>
      </w:r>
    </w:p>
    <w:p>
      <w:pPr>
        <w:ind w:firstLineChars="200" w:firstLine="600"/>
        <w:rPr>
          <w:rFonts w:ascii="仿宋" w:eastAsia="仿宋" w:hAnsi="仿宋"/>
          <w:bCs/>
          <w:sz w:val="30"/>
          <w:szCs w:val="30"/>
        </w:rPr>
      </w:pPr>
      <w:r>
        <w:rPr>
          <w:rFonts w:ascii="仿宋" w:eastAsia="仿宋" w:hAnsi="仿宋" w:hint="eastAsia"/>
          <w:bCs/>
          <w:sz w:val="30"/>
          <w:szCs w:val="30"/>
        </w:rPr>
        <w:t>（二）教学工作</w:t>
      </w:r>
    </w:p>
    <w:p>
      <w:pPr>
        <w:spacing w:line="600" w:lineRule="atLeast"/>
        <w:ind w:firstLineChars="200" w:firstLine="600"/>
        <w:rPr>
          <w:rFonts w:ascii="仿宋" w:eastAsia="仿宋" w:hAnsi="仿宋"/>
          <w:sz w:val="30"/>
          <w:szCs w:val="30"/>
        </w:rPr>
      </w:pPr>
      <w:r>
        <w:rPr>
          <w:rFonts w:ascii="仿宋" w:eastAsia="仿宋" w:hAnsi="仿宋" w:hint="eastAsia"/>
          <w:bCs/>
          <w:sz w:val="30"/>
          <w:szCs w:val="30"/>
        </w:rPr>
        <w:t>学校是教学的主战场，课堂是教学的主阵地。学校教学工作以课堂为中心，以毕业班工作为重点，以特色活动为抓手，</w:t>
      </w:r>
      <w:r>
        <w:rPr>
          <w:rFonts w:ascii="仿宋" w:eastAsia="仿宋" w:hAnsi="仿宋" w:hint="eastAsia"/>
          <w:sz w:val="30"/>
          <w:szCs w:val="30"/>
        </w:rPr>
        <w:t>狠抓常规管理，严格过程管理，</w:t>
      </w:r>
      <w:r>
        <w:rPr>
          <w:rFonts w:ascii="仿宋" w:eastAsia="仿宋" w:hAnsi="仿宋" w:hint="eastAsia"/>
          <w:bCs/>
          <w:sz w:val="30"/>
          <w:szCs w:val="30"/>
        </w:rPr>
        <w:t>教学质量稳步提升。</w:t>
      </w:r>
    </w:p>
    <w:p>
      <w:pPr>
        <w:ind w:firstLineChars="200" w:firstLine="600"/>
        <w:rPr>
          <w:rFonts w:ascii="仿宋" w:eastAsia="仿宋" w:hAnsi="仿宋"/>
          <w:bCs/>
          <w:sz w:val="30"/>
          <w:szCs w:val="30"/>
        </w:rPr>
      </w:pPr>
      <w:r>
        <w:rPr>
          <w:rFonts w:ascii="仿宋" w:eastAsia="仿宋" w:hAnsi="仿宋" w:hint="eastAsia"/>
          <w:bCs/>
          <w:sz w:val="30"/>
          <w:szCs w:val="30"/>
        </w:rPr>
        <w:t>（三）教研工作</w:t>
      </w:r>
    </w:p>
    <w:p>
      <w:pPr>
        <w:spacing w:line="600" w:lineRule="atLeast"/>
        <w:ind w:firstLineChars="200" w:firstLine="600"/>
        <w:rPr>
          <w:rFonts w:ascii="仿宋" w:eastAsia="仿宋" w:hAnsi="仿宋"/>
          <w:sz w:val="30"/>
          <w:szCs w:val="30"/>
        </w:rPr>
      </w:pPr>
      <w:r>
        <w:rPr>
          <w:rFonts w:ascii="仿宋" w:eastAsia="仿宋" w:hAnsi="仿宋" w:hint="eastAsia"/>
          <w:sz w:val="30"/>
          <w:szCs w:val="30"/>
        </w:rPr>
        <w:t>学校教研工作以教育教学问题为导向，以提升教师专业水平和内涵发展为目标，以学生自主学习为主题，以课堂为中心，以转变观念为重点，以教研组为单元，开展形式多样的教研活动。</w:t>
      </w:r>
    </w:p>
    <w:p>
      <w:pPr>
        <w:ind w:firstLineChars="150" w:firstLine="450"/>
        <w:rPr>
          <w:rFonts w:ascii="仿宋" w:eastAsia="仿宋" w:hAnsi="仿宋"/>
          <w:bCs/>
          <w:sz w:val="30"/>
          <w:szCs w:val="30"/>
        </w:rPr>
      </w:pPr>
      <w:r>
        <w:rPr>
          <w:rFonts w:ascii="仿宋" w:eastAsia="仿宋" w:hAnsi="仿宋" w:hint="eastAsia"/>
          <w:bCs/>
          <w:sz w:val="30"/>
          <w:szCs w:val="30"/>
        </w:rPr>
        <w:t>（四）德育工作</w:t>
      </w:r>
    </w:p>
    <w:p>
      <w:pPr>
        <w:ind w:firstLineChars="200" w:firstLine="600"/>
        <w:rPr>
          <w:rFonts w:ascii="仿宋" w:eastAsia="仿宋" w:hAnsi="仿宋"/>
          <w:sz w:val="30"/>
          <w:szCs w:val="30"/>
        </w:rPr>
      </w:pPr>
      <w:r>
        <w:rPr>
          <w:rFonts w:ascii="仿宋" w:eastAsia="仿宋" w:hAnsi="仿宋" w:hint="eastAsia"/>
          <w:sz w:val="30"/>
          <w:szCs w:val="30"/>
        </w:rPr>
        <w:t>学校工作育人为本，德育为先。学校全面落实立德树人根本任务。针对新时期中小学生思想特点，以培养社会主义核心价值观为主题，以品格教育和行为习惯养成教育为抓手，以形式多样的活动为载体，以校园广播站、黑板报、宣传栏为阵地，以学生自主管理、自我教育、崇德向善为目标，拓宽德育渠道，强化规范养成，注重道德情感激励，突出校园文化特色，创设一系列富有成效，独具鲜明特色的德育新路子，引导学生“扣好人生第一粒扣子”，推动了学校各项工作全面持续健康发展。</w:t>
      </w:r>
    </w:p>
    <w:p>
      <w:pPr>
        <w:ind w:firstLineChars="200" w:firstLine="600"/>
        <w:rPr>
          <w:rFonts w:ascii="仿宋" w:eastAsia="仿宋" w:hAnsi="仿宋"/>
          <w:sz w:val="30"/>
          <w:szCs w:val="30"/>
        </w:rPr>
      </w:pPr>
      <w:r>
        <w:rPr>
          <w:rFonts w:ascii="仿宋" w:eastAsia="仿宋" w:hAnsi="仿宋" w:hint="eastAsia"/>
          <w:bCs/>
          <w:sz w:val="30"/>
          <w:szCs w:val="30"/>
        </w:rPr>
        <w:t>（五）安全工作</w:t>
      </w:r>
    </w:p>
    <w:p>
      <w:pPr>
        <w:ind w:firstLineChars="200" w:firstLine="600"/>
        <w:rPr>
          <w:rFonts w:ascii="仿宋" w:eastAsia="仿宋" w:hAnsi="仿宋"/>
          <w:sz w:val="30"/>
          <w:szCs w:val="30"/>
        </w:rPr>
      </w:pPr>
      <w:r>
        <w:rPr>
          <w:rFonts w:ascii="仿宋" w:eastAsia="仿宋" w:hAnsi="仿宋" w:hint="eastAsia"/>
          <w:sz w:val="30"/>
          <w:szCs w:val="30"/>
        </w:rPr>
        <w:t>安全重于泰山。学校安全工作按照“加强宣传，强化意识，健全制度，着眼细处，落在实处，防患于未然”的要求，以活动为抓手，以平安校园、和谐校园建设为目标,以常规管理和教育为主要内容，确保全年无责任事故发生。</w:t>
      </w:r>
    </w:p>
    <w:p>
      <w:pPr>
        <w:ind w:firstLineChars="200" w:firstLine="600"/>
        <w:rPr>
          <w:rFonts w:ascii="仿宋" w:eastAsia="仿宋" w:hAnsi="仿宋"/>
          <w:bCs/>
          <w:sz w:val="30"/>
          <w:szCs w:val="30"/>
        </w:rPr>
      </w:pPr>
      <w:r>
        <w:rPr>
          <w:rFonts w:ascii="仿宋" w:eastAsia="仿宋" w:hAnsi="仿宋" w:hint="eastAsia"/>
          <w:bCs/>
          <w:sz w:val="30"/>
          <w:szCs w:val="30"/>
        </w:rPr>
        <w:t>（六）总务后勤工作</w:t>
      </w:r>
    </w:p>
    <w:p>
      <w:pPr>
        <w:ind w:firstLineChars="200" w:firstLine="600"/>
        <w:rPr>
          <w:rFonts w:ascii="仿宋" w:eastAsia="仿宋" w:hAnsi="仿宋"/>
          <w:sz w:val="30"/>
          <w:szCs w:val="30"/>
        </w:rPr>
      </w:pPr>
      <w:r>
        <w:rPr>
          <w:rFonts w:ascii="仿宋" w:eastAsia="仿宋" w:hAnsi="仿宋" w:hint="eastAsia"/>
          <w:sz w:val="30"/>
          <w:szCs w:val="30"/>
        </w:rPr>
        <w:t>总务后勤工作是学校整体工作的重要组成部分，为学校教育教学工作的顺利开展提供有力保障。本着改善办学条件，服务教育教学，服务师生的宗旨，学校总务后勤工作要不断增强服务意识，不断提高服务质量。</w:t>
      </w:r>
    </w:p>
    <w:p>
      <w:pPr>
        <w:ind w:firstLineChars="200" w:firstLine="600"/>
        <w:rPr>
          <w:rFonts w:ascii="仿宋" w:eastAsia="仿宋" w:hAnsi="仿宋"/>
          <w:bCs/>
          <w:sz w:val="30"/>
          <w:szCs w:val="30"/>
        </w:rPr>
      </w:pPr>
      <w:r>
        <w:rPr>
          <w:rFonts w:ascii="仿宋" w:eastAsia="仿宋" w:hAnsi="仿宋" w:hint="eastAsia"/>
          <w:bCs/>
          <w:sz w:val="30"/>
          <w:szCs w:val="30"/>
        </w:rPr>
        <w:t>（七）工会工作</w:t>
      </w:r>
    </w:p>
    <w:p>
      <w:pPr>
        <w:ind w:firstLineChars="200" w:firstLine="600"/>
        <w:rPr>
          <w:rFonts w:ascii="仿宋" w:eastAsia="仿宋" w:hAnsi="仿宋"/>
          <w:sz w:val="30"/>
          <w:szCs w:val="30"/>
        </w:rPr>
      </w:pPr>
      <w:r>
        <w:rPr>
          <w:rFonts w:ascii="仿宋" w:eastAsia="仿宋" w:hAnsi="仿宋" w:hint="eastAsia"/>
          <w:sz w:val="30"/>
          <w:szCs w:val="30"/>
        </w:rPr>
        <w:t>学校工会，积极发挥“会员之家”和桥梁纽带作用，从丰富教职工业余文化生活、增强学校凝聚力、调动广大教职工的工作积极性、为广大教职工办实事、办好事等方面积极开展工作，取得了一定成绩;在美丽建平、幸福校园的建设中，积极配合学校党政开展各项工作，切实履行了各项职能，做出了应有的贡献。</w:t>
      </w:r>
    </w:p>
    <w:p>
      <w:pPr>
        <w:pStyle w:val="15"/>
        <w:spacing w:beforeLines="0" w:before="93"/>
      </w:pPr>
    </w:p>
    <w:p/>
    <w:p>
      <w:pPr>
        <w:widowControl/>
        <w:jc w:val="left"/>
        <w:rPr>
          <w:rFonts w:ascii="黑体" w:eastAsia="黑体" w:hAnsi="黑体"/>
        </w:rPr>
      </w:pPr>
      <w:bookmarkStart w:id="23" w:name="_Toc9099"/>
      <w:bookmarkStart w:id="24" w:name="_Toc15396602"/>
      <w:bookmarkStart w:id="25" w:name="_Toc15377204"/>
      <w:r>
        <w:rPr>
          <w:rStyle w:val="1Char"/>
          <w:rFonts w:ascii="黑体" w:eastAsia="黑体" w:cs="Arial" w:hAnsi="黑体" w:hint="eastAsia"/>
          <w:b w:val="0"/>
        </w:rPr>
        <w:t>第二部分 2021年度</w:t>
      </w:r>
      <w:r>
        <w:rPr>
          <w:rStyle w:val="1Char"/>
          <w:rFonts w:ascii="黑体" w:eastAsia="黑体" w:hAnsi="黑体" w:hint="eastAsia"/>
          <w:b w:val="0"/>
        </w:rPr>
        <w:t>单位决算情况说明</w:t>
      </w:r>
      <w:bookmarkEnd w:id="23"/>
      <w:bookmarkEnd w:id="24"/>
      <w:bookmarkEnd w:id="25"/>
    </w:p>
    <w:p>
      <w:pPr>
        <w:pStyle w:val="28"/>
        <w:numPr>
          <w:ilvl w:val="0"/>
          <w:numId w:val="1"/>
        </w:numPr>
        <w:spacing w:line="600" w:lineRule="exact"/>
        <w:ind w:left="1134" w:firstLineChars="0" w:hanging="708"/>
        <w:outlineLvl w:val="1"/>
        <w:rPr>
          <w:rStyle w:val="2Char"/>
          <w:rFonts w:ascii="黑体" w:eastAsia="黑体" w:hAnsi="黑体"/>
          <w:b w:val="0"/>
        </w:rPr>
      </w:pPr>
      <w:bookmarkStart w:id="26" w:name="_Toc15377205"/>
      <w:bookmarkStart w:id="27" w:name="_Toc15396603"/>
      <w:bookmarkStart w:id="28" w:name="_Toc26702"/>
      <w:r>
        <w:rPr>
          <w:rFonts w:ascii="黑体" w:eastAsia="黑体" w:hAnsi="黑体" w:hint="eastAsia"/>
          <w:sz w:val="32"/>
          <w:szCs w:val="32"/>
        </w:rPr>
        <w:t>收</w:t>
      </w:r>
      <w:r>
        <w:rPr>
          <w:rStyle w:val="2Char"/>
          <w:rFonts w:ascii="黑体" w:eastAsia="黑体" w:hAnsi="黑体" w:hint="eastAsia"/>
          <w:b w:val="0"/>
        </w:rPr>
        <w:t>入支出决算总体情况说明</w:t>
      </w:r>
      <w:bookmarkEnd w:id="26"/>
      <w:bookmarkEnd w:id="27"/>
      <w:bookmarkEnd w:id="28"/>
    </w:p>
    <w:p>
      <w:pPr>
        <w:spacing w:line="600" w:lineRule="exact"/>
        <w:ind w:firstLineChars="133" w:firstLine="426"/>
        <w:rPr>
          <w:rFonts w:ascii="仿宋" w:eastAsia="仿宋" w:hAnsi="仿宋"/>
          <w:sz w:val="32"/>
          <w:szCs w:val="32"/>
        </w:rPr>
      </w:pPr>
      <w:r>
        <w:rPr>
          <w:rFonts w:ascii="仿宋" w:eastAsia="仿宋" w:hAnsi="仿宋" w:hint="eastAsia"/>
          <w:sz w:val="32"/>
          <w:szCs w:val="32"/>
        </w:rPr>
        <w:t>2021年度收、支总计</w:t>
      </w:r>
      <w:r>
        <w:rPr>
          <w:rFonts w:ascii="仿宋" w:eastAsia="仿宋" w:hAnsi="仿宋"/>
          <w:sz w:val="32"/>
          <w:szCs w:val="32"/>
        </w:rPr>
        <w:t>1288.17</w:t>
      </w:r>
      <w:r>
        <w:rPr>
          <w:rFonts w:ascii="仿宋" w:eastAsia="仿宋" w:hAnsi="仿宋" w:hint="eastAsia"/>
          <w:sz w:val="32"/>
          <w:szCs w:val="32"/>
        </w:rPr>
        <w:t>万元。与2020年相比，收、支总计各增长91.54万元，增长7.65</w:t>
      </w:r>
      <w:r>
        <w:rPr>
          <w:rFonts w:ascii="仿宋" w:eastAsia="仿宋" w:hAnsi="仿宋"/>
          <w:sz w:val="32"/>
          <w:szCs w:val="32"/>
        </w:rPr>
        <w:t>%</w:t>
      </w:r>
      <w:r>
        <w:rPr>
          <w:rFonts w:ascii="仿宋" w:eastAsia="仿宋" w:hAnsi="仿宋" w:hint="eastAsia"/>
          <w:sz w:val="32"/>
          <w:szCs w:val="32"/>
        </w:rPr>
        <w:t>。主要变动原因是项目增加、人员变动。</w:t>
      </w:r>
    </w:p>
    <w:p>
      <w:pPr>
        <w:pStyle w:val="15"/>
        <w:spacing w:beforeLines="0" w:before="93"/>
        <w:jc w:val="center"/>
      </w:pPr>
      <w:r>
        <w:drawing>
          <wp:inline distT="0" distB="0" distL="0" distR="0">
            <wp:extent cx="4597400" cy="2768600"/>
            <wp:effectExtent l="0" t="0" r="39" b="11"/>
            <wp:docPr id="7" name="图片 1"/>
            <wp:cNvGraphicFramePr>
              <a:graphicFrameLocks noChangeAspect="1"/>
            </wp:cNvGraphicFramePr>
            <a:graphic>
              <a:graphicData uri="http://schemas.openxmlformats.org/drawingml/2006/picture">
                <pic:pic>
                  <pic:nvPicPr>
                    <pic:cNvPr id="9" name="图片 1 9"/>
                    <pic:cNvPicPr/>
                  </pic:nvPicPr>
                  <pic:blipFill>
                    <a:blip r:embed="rId6"/>
                    <a:stretch>
                      <a:fillRect/>
                    </a:stretch>
                  </pic:blipFill>
                  <pic:spPr>
                    <a:xfrm rot="0">
                      <a:off x="0" y="0"/>
                      <a:ext cx="4597400" cy="2768600"/>
                    </a:xfrm>
                    <a:prstGeom prst="rect"/>
                    <a:noFill/>
                    <a:ln w="9525" cmpd="sng" cap="flat">
                      <a:noFill/>
                      <a:prstDash val="solid"/>
                      <a:miter/>
                    </a:ln>
                  </pic:spPr>
                </pic:pic>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pPr>
        <w:spacing w:line="600" w:lineRule="exact"/>
        <w:ind w:firstLineChars="200" w:firstLine="640"/>
        <w:jc w:val="left"/>
        <w:rPr>
          <w:rFonts w:ascii="仿宋_GB2312" w:eastAsia="仿宋_GB2312"/>
          <w:sz w:val="32"/>
          <w:szCs w:val="32"/>
        </w:rPr>
      </w:pPr>
    </w:p>
    <w:p>
      <w:pPr>
        <w:pStyle w:val="28"/>
        <w:numPr>
          <w:ilvl w:val="0"/>
          <w:numId w:val="1"/>
        </w:numPr>
        <w:spacing w:line="600" w:lineRule="exact"/>
        <w:ind w:left="1276" w:firstLineChars="0" w:hanging="850"/>
        <w:outlineLvl w:val="1"/>
        <w:rPr>
          <w:rStyle w:val="2Char"/>
          <w:rFonts w:ascii="黑体" w:eastAsia="黑体" w:hAnsi="黑体"/>
          <w:b w:val="0"/>
        </w:rPr>
      </w:pPr>
      <w:bookmarkStart w:id="29" w:name="_Toc4114"/>
      <w:bookmarkStart w:id="30" w:name="_Toc15396604"/>
      <w:bookmarkStart w:id="3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9"/>
      <w:bookmarkEnd w:id="30"/>
      <w:bookmarkEnd w:id="31"/>
    </w:p>
    <w:p>
      <w:pPr>
        <w:spacing w:line="600" w:lineRule="exact"/>
        <w:ind w:firstLineChars="133" w:firstLine="426"/>
        <w:outlineLvl w:val="1"/>
        <w:rPr>
          <w:rFonts w:ascii="仿宋" w:eastAsia="仿宋" w:hAnsi="仿宋"/>
          <w:b/>
          <w:sz w:val="32"/>
          <w:szCs w:val="32"/>
        </w:rPr>
      </w:pPr>
      <w:bookmarkStart w:id="32" w:name="_Toc5579"/>
      <w:bookmarkStart w:id="33" w:name="_Toc3777"/>
      <w:r>
        <w:rPr>
          <w:rFonts w:ascii="仿宋" w:eastAsia="仿宋" w:hAnsi="仿宋"/>
          <w:sz w:val="32"/>
          <w:szCs w:val="32"/>
        </w:rPr>
        <w:t>20</w:t>
      </w:r>
      <w:r>
        <w:rPr>
          <w:rFonts w:ascii="仿宋" w:eastAsia="仿宋" w:hAnsi="仿宋" w:hint="eastAsia"/>
          <w:sz w:val="32"/>
          <w:szCs w:val="32"/>
        </w:rPr>
        <w:t>21年本年收入合计</w:t>
      </w:r>
      <w:r>
        <w:rPr>
          <w:rFonts w:ascii="仿宋" w:eastAsia="仿宋" w:hAnsi="仿宋"/>
          <w:sz w:val="32"/>
          <w:szCs w:val="32"/>
        </w:rPr>
        <w:t>1163.01</w:t>
      </w:r>
      <w:r>
        <w:rPr>
          <w:rFonts w:ascii="仿宋" w:eastAsia="仿宋" w:hAnsi="仿宋" w:hint="eastAsia"/>
          <w:sz w:val="32"/>
          <w:szCs w:val="32"/>
        </w:rPr>
        <w:t>万元，其中：一般公共预算财政拨款收入</w:t>
      </w:r>
      <w:r>
        <w:rPr>
          <w:rFonts w:ascii="仿宋" w:eastAsia="仿宋" w:hAnsi="仿宋"/>
          <w:sz w:val="32"/>
          <w:szCs w:val="32"/>
        </w:rPr>
        <w:t>1162.13</w:t>
      </w:r>
      <w:r>
        <w:rPr>
          <w:rFonts w:ascii="仿宋" w:eastAsia="仿宋" w:hAnsi="仿宋" w:hint="eastAsia"/>
          <w:sz w:val="32"/>
          <w:szCs w:val="32"/>
        </w:rPr>
        <w:t>万元，占99.92</w:t>
      </w:r>
      <w:r>
        <w:rPr>
          <w:rFonts w:ascii="仿宋" w:eastAsia="仿宋" w:hAnsi="仿宋"/>
          <w:sz w:val="32"/>
          <w:szCs w:val="32"/>
        </w:rPr>
        <w:t>%</w:t>
      </w:r>
      <w:r>
        <w:rPr>
          <w:rFonts w:ascii="仿宋" w:eastAsia="仿宋" w:hAnsi="仿宋" w:hint="eastAsia"/>
          <w:sz w:val="32"/>
          <w:szCs w:val="32"/>
        </w:rPr>
        <w:t>；政府性基金预算财政拨款收入0.00万元，占0.00</w:t>
      </w:r>
      <w:r>
        <w:rPr>
          <w:rFonts w:ascii="仿宋" w:eastAsia="仿宋" w:hAnsi="仿宋"/>
          <w:sz w:val="32"/>
          <w:szCs w:val="32"/>
        </w:rPr>
        <w:t>%</w:t>
      </w:r>
      <w:r>
        <w:rPr>
          <w:rFonts w:ascii="仿宋" w:eastAsia="仿宋" w:hAnsi="仿宋" w:hint="eastAsia"/>
          <w:sz w:val="32"/>
          <w:szCs w:val="32"/>
        </w:rPr>
        <w:t>；国有资本经营预算财政拨款收入0.00万元，占0.00</w:t>
      </w:r>
      <w:r>
        <w:rPr>
          <w:rFonts w:ascii="仿宋" w:eastAsia="仿宋" w:hAnsi="仿宋"/>
          <w:sz w:val="32"/>
          <w:szCs w:val="32"/>
        </w:rPr>
        <w:t>%</w:t>
      </w:r>
      <w:r>
        <w:rPr>
          <w:rFonts w:ascii="仿宋" w:eastAsia="仿宋" w:hAnsi="仿宋" w:hint="eastAsia"/>
          <w:sz w:val="32"/>
          <w:szCs w:val="32"/>
        </w:rPr>
        <w:t>；上级补助收入0.00万元，占0.00</w:t>
      </w:r>
      <w:r>
        <w:rPr>
          <w:rFonts w:ascii="仿宋" w:eastAsia="仿宋" w:hAnsi="仿宋"/>
          <w:sz w:val="32"/>
          <w:szCs w:val="32"/>
        </w:rPr>
        <w:t>%</w:t>
      </w:r>
      <w:r>
        <w:rPr>
          <w:rFonts w:ascii="仿宋" w:eastAsia="仿宋" w:hAnsi="仿宋" w:hint="eastAsia"/>
          <w:sz w:val="32"/>
          <w:szCs w:val="32"/>
        </w:rPr>
        <w:t>；事业收入0.00万元，占0.00</w:t>
      </w:r>
      <w:r>
        <w:rPr>
          <w:rFonts w:ascii="仿宋" w:eastAsia="仿宋" w:hAnsi="仿宋"/>
          <w:sz w:val="32"/>
          <w:szCs w:val="32"/>
        </w:rPr>
        <w:t>%</w:t>
      </w:r>
      <w:r>
        <w:rPr>
          <w:rFonts w:ascii="仿宋" w:eastAsia="仿宋" w:hAnsi="仿宋" w:hint="eastAsia"/>
          <w:sz w:val="32"/>
          <w:szCs w:val="32"/>
        </w:rPr>
        <w:t>；经营收入0.00万元，占0.00</w:t>
      </w:r>
      <w:r>
        <w:rPr>
          <w:rFonts w:ascii="仿宋" w:eastAsia="仿宋" w:hAnsi="仿宋"/>
          <w:sz w:val="32"/>
          <w:szCs w:val="32"/>
        </w:rPr>
        <w:t>%</w:t>
      </w:r>
      <w:r>
        <w:rPr>
          <w:rFonts w:ascii="仿宋" w:eastAsia="仿宋" w:hAnsi="仿宋" w:hint="eastAsia"/>
          <w:sz w:val="32"/>
          <w:szCs w:val="32"/>
        </w:rPr>
        <w:t>；附属单位上缴收入0.00万元，占0.00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sz w:val="32"/>
          <w:szCs w:val="32"/>
        </w:rPr>
        <w:t>0.88</w:t>
      </w:r>
      <w:r>
        <w:rPr>
          <w:rFonts w:ascii="仿宋" w:eastAsia="仿宋" w:hAnsi="仿宋" w:hint="eastAsia"/>
          <w:sz w:val="32"/>
          <w:szCs w:val="32"/>
        </w:rPr>
        <w:t>万元，占0.08</w:t>
      </w:r>
      <w:r>
        <w:rPr>
          <w:rFonts w:ascii="仿宋" w:eastAsia="仿宋" w:hAnsi="仿宋"/>
          <w:sz w:val="32"/>
          <w:szCs w:val="32"/>
        </w:rPr>
        <w:t>%</w:t>
      </w:r>
      <w:r>
        <w:rPr>
          <w:rFonts w:ascii="仿宋" w:eastAsia="仿宋" w:hAnsi="仿宋" w:hint="eastAsia"/>
          <w:sz w:val="32"/>
          <w:szCs w:val="32"/>
        </w:rPr>
        <w:t>。</w:t>
      </w:r>
      <w:bookmarkEnd w:id="32"/>
      <w:bookmarkEnd w:id="33"/>
    </w:p>
    <w:p>
      <w:pPr>
        <w:jc w:val="center"/>
        <w:rPr>
          <w:rFonts w:ascii="仿宋" w:eastAsia="仿宋" w:hAnsi="仿宋"/>
          <w:sz w:val="32"/>
          <w:szCs w:val="32"/>
        </w:rPr>
      </w:pPr>
      <w:r>
        <w:rPr>
          <w:szCs w:val="32"/>
        </w:rPr>
        <w:drawing>
          <wp:inline distT="0" distB="0" distL="0" distR="0">
            <wp:extent cx="4654550" cy="2768600"/>
            <wp:effectExtent l="0" t="0" r="39" b="10"/>
            <wp:docPr id="10" name="图片 7"/>
            <wp:cNvGraphicFramePr>
              <a:graphicFrameLocks noChangeAspect="1"/>
            </wp:cNvGraphicFramePr>
            <a:graphic>
              <a:graphicData uri="http://schemas.openxmlformats.org/drawingml/2006/picture">
                <pic:pic>
                  <pic:nvPicPr>
                    <pic:cNvPr id="12" name="图片 7 12"/>
                    <pic:cNvPicPr/>
                  </pic:nvPicPr>
                  <pic:blipFill>
                    <a:blip r:embed="rId7"/>
                    <a:stretch>
                      <a:fillRect/>
                    </a:stretch>
                  </pic:blipFill>
                  <pic:spPr>
                    <a:xfrm rot="0">
                      <a:off x="0" y="0"/>
                      <a:ext cx="4654550" cy="2768600"/>
                    </a:xfrm>
                    <a:prstGeom prst="rect"/>
                    <a:noFill/>
                    <a:ln w="9525" cmpd="sng" cap="flat">
                      <a:noFill/>
                      <a:prstDash val="solid"/>
                      <a:miter/>
                    </a:ln>
                  </pic:spPr>
                </pic:pic>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（图2：收入决算结构图）</w:t>
      </w:r>
    </w:p>
    <w:p>
      <w:pPr>
        <w:spacing w:line="600" w:lineRule="exact"/>
        <w:ind w:firstLineChars="200" w:firstLine="640"/>
        <w:rPr>
          <w:rFonts w:ascii="仿宋_GB2312" w:eastAsia="仿宋_GB2312"/>
          <w:sz w:val="32"/>
          <w:szCs w:val="32"/>
        </w:rPr>
      </w:pPr>
    </w:p>
    <w:p>
      <w:pPr>
        <w:pStyle w:val="28"/>
        <w:numPr>
          <w:ilvl w:val="0"/>
          <w:numId w:val="1"/>
        </w:numPr>
        <w:spacing w:line="600" w:lineRule="exact"/>
        <w:ind w:left="993" w:firstLineChars="0" w:hanging="567"/>
        <w:outlineLvl w:val="1"/>
        <w:rPr>
          <w:rStyle w:val="2Char"/>
          <w:rFonts w:ascii="黑体" w:eastAsia="黑体" w:hAnsi="黑体"/>
          <w:b w:val="0"/>
        </w:rPr>
      </w:pPr>
      <w:bookmarkStart w:id="34" w:name="_Toc12288"/>
      <w:bookmarkStart w:id="35" w:name="_Toc15396605"/>
      <w:bookmarkStart w:id="36"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34"/>
      <w:bookmarkEnd w:id="35"/>
      <w:bookmarkEnd w:id="36"/>
    </w:p>
    <w:p>
      <w:pPr>
        <w:spacing w:line="600" w:lineRule="exact"/>
        <w:ind w:firstLineChars="133" w:firstLine="426"/>
        <w:outlineLvl w:val="1"/>
        <w:rPr>
          <w:rFonts w:ascii="仿宋" w:eastAsia="仿宋" w:hAnsi="仿宋"/>
          <w:sz w:val="32"/>
          <w:szCs w:val="32"/>
        </w:rPr>
      </w:pPr>
      <w:bookmarkStart w:id="37" w:name="_Toc29978"/>
      <w:bookmarkStart w:id="38" w:name="_Toc14326"/>
      <w:r>
        <w:rPr>
          <w:rFonts w:ascii="仿宋" w:eastAsia="仿宋" w:hAnsi="仿宋"/>
          <w:sz w:val="32"/>
          <w:szCs w:val="32"/>
        </w:rPr>
        <w:t>20</w:t>
      </w:r>
      <w:r>
        <w:rPr>
          <w:rFonts w:ascii="仿宋" w:eastAsia="仿宋" w:hAnsi="仿宋" w:hint="eastAsia"/>
          <w:sz w:val="32"/>
          <w:szCs w:val="32"/>
        </w:rPr>
        <w:t>21年本年支出合计</w:t>
      </w:r>
      <w:r>
        <w:rPr>
          <w:rFonts w:ascii="仿宋" w:eastAsia="仿宋" w:hAnsi="仿宋"/>
          <w:sz w:val="32"/>
          <w:szCs w:val="32"/>
        </w:rPr>
        <w:t>1190.45</w:t>
      </w:r>
      <w:r>
        <w:rPr>
          <w:rFonts w:ascii="仿宋" w:eastAsia="仿宋" w:hAnsi="仿宋" w:hint="eastAsia"/>
          <w:sz w:val="32"/>
          <w:szCs w:val="32"/>
        </w:rPr>
        <w:t>万元，其中：基本支出</w:t>
      </w:r>
      <w:r>
        <w:rPr>
          <w:rFonts w:ascii="仿宋" w:eastAsia="仿宋" w:hAnsi="仿宋"/>
          <w:sz w:val="32"/>
          <w:szCs w:val="32"/>
        </w:rPr>
        <w:t>1101.96</w:t>
      </w:r>
      <w:r>
        <w:rPr>
          <w:rFonts w:ascii="仿宋" w:eastAsia="仿宋" w:hAnsi="仿宋" w:hint="eastAsia"/>
          <w:sz w:val="32"/>
          <w:szCs w:val="32"/>
        </w:rPr>
        <w:t>万元，占92.57</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sz w:val="32"/>
          <w:szCs w:val="32"/>
        </w:rPr>
        <w:t>88.49</w:t>
      </w:r>
      <w:r>
        <w:rPr>
          <w:rFonts w:ascii="仿宋" w:eastAsia="仿宋" w:hAnsi="仿宋" w:hint="eastAsia"/>
          <w:sz w:val="32"/>
          <w:szCs w:val="32"/>
        </w:rPr>
        <w:t>万元，占7.43</w:t>
      </w:r>
      <w:r>
        <w:rPr>
          <w:rFonts w:ascii="仿宋" w:eastAsia="仿宋" w:hAnsi="仿宋"/>
          <w:sz w:val="32"/>
          <w:szCs w:val="32"/>
        </w:rPr>
        <w:t>%</w:t>
      </w:r>
      <w:r>
        <w:rPr>
          <w:rFonts w:ascii="仿宋" w:eastAsia="仿宋" w:hAnsi="仿宋" w:hint="eastAsia"/>
          <w:sz w:val="32"/>
          <w:szCs w:val="32"/>
        </w:rPr>
        <w:t>；上缴上级支出0.00万元，占0.00</w:t>
      </w:r>
      <w:r>
        <w:rPr>
          <w:rFonts w:ascii="仿宋" w:eastAsia="仿宋" w:hAnsi="仿宋"/>
          <w:sz w:val="32"/>
          <w:szCs w:val="32"/>
        </w:rPr>
        <w:t>%</w:t>
      </w:r>
      <w:r>
        <w:rPr>
          <w:rFonts w:ascii="仿宋" w:eastAsia="仿宋" w:hAnsi="仿宋" w:hint="eastAsia"/>
          <w:sz w:val="32"/>
          <w:szCs w:val="32"/>
        </w:rPr>
        <w:t>；经营支出0.00万元，占0.00</w:t>
      </w:r>
      <w:r>
        <w:rPr>
          <w:rFonts w:ascii="仿宋" w:eastAsia="仿宋" w:hAnsi="仿宋"/>
          <w:sz w:val="32"/>
          <w:szCs w:val="32"/>
        </w:rPr>
        <w:t>%</w:t>
      </w:r>
      <w:r>
        <w:rPr>
          <w:rFonts w:ascii="仿宋" w:eastAsia="仿宋" w:hAnsi="仿宋" w:hint="eastAsia"/>
          <w:sz w:val="32"/>
          <w:szCs w:val="32"/>
        </w:rPr>
        <w:t>；对附属单位补助支出0.00万元，占0.00</w:t>
      </w:r>
      <w:r>
        <w:rPr>
          <w:rFonts w:ascii="仿宋" w:eastAsia="仿宋" w:hAnsi="仿宋"/>
          <w:sz w:val="32"/>
          <w:szCs w:val="32"/>
        </w:rPr>
        <w:t>%</w:t>
      </w:r>
      <w:r>
        <w:rPr>
          <w:rFonts w:ascii="仿宋" w:eastAsia="仿宋" w:hAnsi="仿宋" w:hint="eastAsia"/>
          <w:sz w:val="32"/>
          <w:szCs w:val="32"/>
        </w:rPr>
        <w:t>。</w:t>
      </w:r>
      <w:bookmarkEnd w:id="37"/>
      <w:bookmarkEnd w:id="38"/>
    </w:p>
    <w:p>
      <w:pPr>
        <w:jc w:val="center"/>
        <w:rPr>
          <w:rFonts w:ascii="仿宋" w:eastAsia="仿宋" w:hAnsi="仿宋"/>
          <w:sz w:val="32"/>
          <w:szCs w:val="32"/>
          <w:shd w:val="pct10" w:color="auto" w:fill="FFFFFF"/>
        </w:rPr>
      </w:pPr>
      <w:r>
        <w:rPr>
          <w:szCs w:val="32"/>
          <w:shd w:val="pct10" w:color="auto" w:fill="FFFFFF"/>
        </w:rPr>
        <w:drawing>
          <wp:inline distT="0" distB="0" distL="0" distR="0">
            <wp:extent cx="4635500" cy="2768600"/>
            <wp:effectExtent l="0" t="0" r="39" b="11"/>
            <wp:docPr id="13" name="图片 10"/>
            <wp:cNvGraphicFramePr>
              <a:graphicFrameLocks noChangeAspect="1"/>
            </wp:cNvGraphicFramePr>
            <a:graphic>
              <a:graphicData uri="http://schemas.openxmlformats.org/drawingml/2006/picture">
                <pic:pic>
                  <pic:nvPicPr>
                    <pic:cNvPr id="15" name="图片 10 15"/>
                    <pic:cNvPicPr/>
                  </pic:nvPicPr>
                  <pic:blipFill>
                    <a:blip r:embed="rId8"/>
                    <a:stretch>
                      <a:fillRect/>
                    </a:stretch>
                  </pic:blipFill>
                  <pic:spPr>
                    <a:xfrm rot="0">
                      <a:off x="0" y="0"/>
                      <a:ext cx="4635500" cy="2768600"/>
                    </a:xfrm>
                    <a:prstGeom prst="rect"/>
                    <a:noFill/>
                    <a:ln w="9525" cmpd="sng" cap="flat">
                      <a:noFill/>
                      <a:prstDash val="solid"/>
                      <a:miter/>
                    </a:ln>
                  </pic:spPr>
                </pic:pic>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（图3：支出决算结构图）</w:t>
      </w:r>
    </w:p>
    <w:p>
      <w:pPr>
        <w:spacing w:line="600" w:lineRule="exact"/>
        <w:ind w:firstLineChars="200" w:firstLine="640"/>
        <w:rPr>
          <w:rFonts w:ascii="仿宋_GB2312" w:eastAsia="仿宋_GB2312"/>
          <w:sz w:val="32"/>
          <w:szCs w:val="32"/>
        </w:rPr>
      </w:pPr>
    </w:p>
    <w:p>
      <w:pPr>
        <w:spacing w:line="600" w:lineRule="exact"/>
        <w:ind w:firstLineChars="133" w:firstLine="426"/>
        <w:outlineLvl w:val="1"/>
        <w:rPr>
          <w:rStyle w:val="2Char"/>
          <w:rFonts w:ascii="黑体" w:eastAsia="黑体" w:hAnsi="黑体"/>
          <w:b w:val="0"/>
        </w:rPr>
      </w:pPr>
      <w:bookmarkStart w:id="39" w:name="_Toc15396606"/>
      <w:bookmarkStart w:id="40" w:name="_Toc21061"/>
      <w:bookmarkStart w:id="41"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9"/>
      <w:bookmarkEnd w:id="40"/>
      <w:bookmarkEnd w:id="41"/>
    </w:p>
    <w:p>
      <w:pPr>
        <w:spacing w:line="600" w:lineRule="exact"/>
        <w:ind w:firstLineChars="133" w:firstLine="426"/>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Pr>
          <w:rFonts w:ascii="仿宋" w:eastAsia="仿宋" w:hAnsi="仿宋"/>
          <w:sz w:val="32"/>
          <w:szCs w:val="32"/>
        </w:rPr>
        <w:t>1287.29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20年相比，财政拨款收、支总计各增加90.77万元，增长7.59</w:t>
      </w:r>
      <w:r>
        <w:rPr>
          <w:rFonts w:ascii="仿宋" w:eastAsia="仿宋" w:hAnsi="仿宋"/>
          <w:sz w:val="32"/>
          <w:szCs w:val="32"/>
        </w:rPr>
        <w:t>%</w:t>
      </w:r>
      <w:r>
        <w:rPr>
          <w:rFonts w:ascii="仿宋" w:eastAsia="仿宋" w:hAnsi="仿宋" w:hint="eastAsia"/>
          <w:sz w:val="32"/>
          <w:szCs w:val="32"/>
        </w:rPr>
        <w:t>。主要变动原因是人员变动。</w:t>
      </w:r>
    </w:p>
    <w:p>
      <w:pPr>
        <w:jc w:val="center"/>
        <w:rPr>
          <w:rFonts w:ascii="仿宋" w:eastAsia="仿宋" w:hAnsi="仿宋"/>
          <w:b/>
          <w:sz w:val="32"/>
          <w:szCs w:val="32"/>
        </w:rPr>
      </w:pPr>
      <w:r>
        <w:rPr>
          <w:szCs w:val="32"/>
        </w:rPr>
        <w:drawing>
          <wp:inline distT="0" distB="0" distL="0" distR="0">
            <wp:extent cx="4597400" cy="2768600"/>
            <wp:effectExtent l="0" t="0" r="39" b="11"/>
            <wp:docPr id="16" name="图片 13"/>
            <wp:cNvGraphicFramePr>
              <a:graphicFrameLocks noChangeAspect="1"/>
            </wp:cNvGraphicFramePr>
            <a:graphic>
              <a:graphicData uri="http://schemas.openxmlformats.org/drawingml/2006/picture">
                <pic:pic>
                  <pic:nvPicPr>
                    <pic:cNvPr id="18" name="图片 13 18"/>
                    <pic:cNvPicPr/>
                  </pic:nvPicPr>
                  <pic:blipFill>
                    <a:blip r:embed="rId9"/>
                    <a:stretch>
                      <a:fillRect/>
                    </a:stretch>
                  </pic:blipFill>
                  <pic:spPr>
                    <a:xfrm rot="0">
                      <a:off x="0" y="0"/>
                      <a:ext cx="4597400" cy="2768600"/>
                    </a:xfrm>
                    <a:prstGeom prst="rect"/>
                    <a:noFill/>
                    <a:ln w="9525" cmpd="sng" cap="flat">
                      <a:noFill/>
                      <a:prstDash val="solid"/>
                      <a:miter/>
                    </a:ln>
                  </pic:spPr>
                </pic:pic>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（图4：财政拨款收、支决算总计变动情况）</w:t>
      </w:r>
    </w:p>
    <w:p>
      <w:pPr>
        <w:spacing w:line="600" w:lineRule="exact"/>
        <w:ind w:firstLine="640"/>
        <w:rPr>
          <w:rFonts w:ascii="仿宋" w:eastAsia="仿宋" w:hAnsi="仿宋"/>
          <w:b/>
          <w:sz w:val="32"/>
          <w:szCs w:val="32"/>
        </w:rPr>
      </w:pPr>
    </w:p>
    <w:p>
      <w:pPr>
        <w:spacing w:line="600" w:lineRule="exact"/>
        <w:ind w:firstLineChars="133" w:firstLine="426"/>
        <w:outlineLvl w:val="1"/>
        <w:rPr>
          <w:rStyle w:val="2Char"/>
          <w:rFonts w:ascii="黑体" w:eastAsia="黑体" w:hAnsi="黑体"/>
          <w:b w:val="0"/>
        </w:rPr>
      </w:pPr>
      <w:bookmarkStart w:id="42" w:name="_Toc15377209"/>
      <w:bookmarkStart w:id="43" w:name="_Toc15396607"/>
      <w:bookmarkStart w:id="44" w:name="_Toc2804"/>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2"/>
      <w:bookmarkEnd w:id="43"/>
      <w:bookmarkEnd w:id="44"/>
    </w:p>
    <w:p>
      <w:pPr>
        <w:spacing w:line="600" w:lineRule="exact"/>
        <w:ind w:firstLineChars="132" w:firstLine="422"/>
        <w:outlineLvl w:val="2"/>
        <w:rPr>
          <w:rFonts w:ascii="仿宋" w:eastAsia="仿宋" w:hAnsi="仿宋"/>
          <w:b/>
          <w:sz w:val="32"/>
          <w:szCs w:val="32"/>
        </w:rPr>
      </w:pPr>
      <w:bookmarkStart w:id="45" w:name="_Toc12167"/>
      <w:bookmarkStart w:id="46" w:name="_Toc15377210"/>
      <w:r>
        <w:rPr>
          <w:rFonts w:ascii="仿宋" w:eastAsia="仿宋" w:hAnsi="仿宋" w:hint="eastAsia"/>
          <w:b/>
          <w:sz w:val="32"/>
          <w:szCs w:val="32"/>
        </w:rPr>
        <w:t>（一）一般公共预算财政拨款支出决算总体情况</w:t>
      </w:r>
      <w:bookmarkEnd w:id="45"/>
      <w:bookmarkEnd w:id="46"/>
    </w:p>
    <w:p>
      <w:pPr>
        <w:spacing w:line="600" w:lineRule="exact"/>
        <w:ind w:firstLineChars="133" w:firstLine="426"/>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Pr>
          <w:rFonts w:ascii="仿宋" w:eastAsia="仿宋" w:hAnsi="仿宋"/>
          <w:sz w:val="32"/>
          <w:szCs w:val="32"/>
        </w:rPr>
        <w:t>1189.57</w:t>
      </w:r>
      <w:r>
        <w:rPr>
          <w:rFonts w:ascii="仿宋" w:eastAsia="仿宋" w:hAnsi="仿宋" w:hint="eastAsia"/>
          <w:sz w:val="32"/>
          <w:szCs w:val="32"/>
        </w:rPr>
        <w:t>万元，占本年支出合计的92.35</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20年相比，一般公共预算财政拨款支出增加118.21万元，增长11.03</w:t>
      </w:r>
      <w:r>
        <w:rPr>
          <w:rFonts w:ascii="仿宋" w:eastAsia="仿宋" w:hAnsi="仿宋"/>
          <w:sz w:val="32"/>
          <w:szCs w:val="32"/>
        </w:rPr>
        <w:t>%</w:t>
      </w:r>
      <w:r>
        <w:rPr>
          <w:rFonts w:ascii="仿宋" w:eastAsia="仿宋" w:hAnsi="仿宋" w:hint="eastAsia"/>
          <w:sz w:val="32"/>
          <w:szCs w:val="32"/>
        </w:rPr>
        <w:t>。主要变动原因是人员变动。</w:t>
      </w:r>
    </w:p>
    <w:p>
      <w:pPr>
        <w:jc w:val="center"/>
        <w:rPr>
          <w:rFonts w:ascii="仿宋" w:eastAsia="仿宋" w:hAnsi="仿宋"/>
          <w:sz w:val="32"/>
          <w:szCs w:val="32"/>
        </w:rPr>
      </w:pPr>
      <w:r>
        <w:rPr>
          <w:szCs w:val="32"/>
        </w:rPr>
        <w:drawing>
          <wp:inline distT="0" distB="0" distL="0" distR="0">
            <wp:extent cx="4597400" cy="2768600"/>
            <wp:effectExtent l="0" t="0" r="39" b="11"/>
            <wp:docPr id="19" name="图片 16"/>
            <wp:cNvGraphicFramePr>
              <a:graphicFrameLocks noChangeAspect="1"/>
            </wp:cNvGraphicFramePr>
            <a:graphic>
              <a:graphicData uri="http://schemas.openxmlformats.org/drawingml/2006/picture">
                <pic:pic>
                  <pic:nvPicPr>
                    <pic:cNvPr id="21" name="图片 16 21"/>
                    <pic:cNvPicPr/>
                  </pic:nvPicPr>
                  <pic:blipFill>
                    <a:blip r:embed="rId10"/>
                    <a:stretch>
                      <a:fillRect/>
                    </a:stretch>
                  </pic:blipFill>
                  <pic:spPr>
                    <a:xfrm rot="0">
                      <a:off x="0" y="0"/>
                      <a:ext cx="4597400" cy="2768600"/>
                    </a:xfrm>
                    <a:prstGeom prst="rect"/>
                    <a:noFill/>
                    <a:ln w="9525" cmpd="sng" cap="flat">
                      <a:noFill/>
                      <a:prstDash val="solid"/>
                      <a:miter/>
                    </a:ln>
                  </pic:spPr>
                </pic:pic>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（图5：一般公共预算财政拨款支出决算变动情况）</w:t>
      </w:r>
    </w:p>
    <w:p>
      <w:pPr>
        <w:spacing w:line="600" w:lineRule="exact"/>
        <w:ind w:firstLineChars="132" w:firstLine="422"/>
        <w:outlineLvl w:val="2"/>
        <w:rPr>
          <w:rFonts w:ascii="仿宋" w:eastAsia="仿宋" w:hAnsi="仿宋"/>
          <w:b/>
          <w:sz w:val="32"/>
          <w:szCs w:val="32"/>
        </w:rPr>
      </w:pPr>
      <w:bookmarkStart w:id="47" w:name="_Toc26012"/>
      <w:bookmarkStart w:id="48" w:name="_Toc15377211"/>
      <w:r>
        <w:rPr>
          <w:rFonts w:ascii="仿宋" w:eastAsia="仿宋" w:hAnsi="仿宋" w:hint="eastAsia"/>
          <w:b/>
          <w:sz w:val="32"/>
          <w:szCs w:val="32"/>
        </w:rPr>
        <w:t>（二）一般公共预算财政拨款支出决算结构情况</w:t>
      </w:r>
      <w:bookmarkEnd w:id="47"/>
      <w:bookmarkEnd w:id="48"/>
    </w:p>
    <w:p>
      <w:pPr>
        <w:spacing w:line="600" w:lineRule="exact"/>
        <w:ind w:firstLine="426"/>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Pr>
          <w:rFonts w:ascii="仿宋" w:eastAsia="仿宋" w:hAnsi="仿宋"/>
          <w:sz w:val="32"/>
          <w:szCs w:val="32"/>
        </w:rPr>
        <w:t>1189.57</w:t>
      </w:r>
      <w:r>
        <w:rPr>
          <w:rFonts w:ascii="仿宋" w:eastAsia="仿宋" w:hAnsi="仿宋" w:hint="eastAsia"/>
          <w:sz w:val="32"/>
          <w:szCs w:val="32"/>
        </w:rPr>
        <w:t>万元，主要用于以下方面</w:t>
      </w:r>
      <w:r>
        <w:rPr>
          <w:rFonts w:ascii="仿宋" w:eastAsia="仿宋" w:hAnsi="仿宋"/>
          <w:sz w:val="32"/>
          <w:szCs w:val="32"/>
        </w:rPr>
        <w:t>:</w:t>
      </w:r>
    </w:p>
    <w:p>
      <w:pPr>
        <w:spacing w:line="600" w:lineRule="exact"/>
        <w:ind w:firstLine="426"/>
        <w:rPr>
          <w:rFonts w:ascii="仿宋" w:eastAsia="仿宋" w:hAnsi="仿宋"/>
          <w:sz w:val="32"/>
          <w:szCs w:val="32"/>
        </w:rPr>
      </w:pPr>
      <w:r>
        <w:rPr>
          <w:rFonts w:ascii="仿宋" w:eastAsia="仿宋" w:hAnsi="仿宋" w:hint="eastAsia"/>
          <w:b/>
          <w:sz w:val="32"/>
          <w:szCs w:val="32"/>
        </w:rPr>
        <w:t>教育支出（类）</w:t>
      </w:r>
      <w:r>
        <w:rPr>
          <w:rFonts w:ascii="仿宋" w:eastAsia="仿宋" w:hAnsi="仿宋"/>
          <w:sz w:val="32"/>
          <w:szCs w:val="32"/>
        </w:rPr>
        <w:t>1087.83</w:t>
      </w:r>
      <w:r>
        <w:rPr>
          <w:rFonts w:ascii="仿宋" w:eastAsia="仿宋" w:hAnsi="仿宋" w:hint="eastAsia"/>
          <w:sz w:val="32"/>
          <w:szCs w:val="32"/>
        </w:rPr>
        <w:t>万元，占91.45</w:t>
      </w:r>
      <w:r>
        <w:rPr>
          <w:rFonts w:ascii="仿宋" w:eastAsia="仿宋" w:hAnsi="仿宋"/>
          <w:sz w:val="32"/>
          <w:szCs w:val="32"/>
        </w:rPr>
        <w:t>%</w:t>
      </w:r>
      <w:r>
        <w:rPr>
          <w:rFonts w:ascii="仿宋" w:eastAsia="仿宋" w:hAnsi="仿宋" w:hint="eastAsia"/>
          <w:sz w:val="32"/>
          <w:szCs w:val="32"/>
        </w:rPr>
        <w:t>；</w:t>
      </w:r>
    </w:p>
    <w:p>
      <w:pPr>
        <w:spacing w:line="600" w:lineRule="exact"/>
        <w:ind w:firstLine="426"/>
        <w:rPr>
          <w:rFonts w:ascii="仿宋" w:eastAsia="仿宋" w:hAnsi="仿宋"/>
          <w:sz w:val="32"/>
          <w:szCs w:val="32"/>
        </w:rPr>
      </w:pP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sz w:val="32"/>
          <w:szCs w:val="32"/>
        </w:rPr>
        <w:t>101.75</w:t>
      </w:r>
      <w:r>
        <w:rPr>
          <w:rFonts w:ascii="仿宋" w:eastAsia="仿宋" w:hAnsi="仿宋" w:hint="eastAsia"/>
          <w:sz w:val="32"/>
          <w:szCs w:val="32"/>
        </w:rPr>
        <w:t>万元，占8.55</w:t>
      </w:r>
      <w:r>
        <w:rPr>
          <w:rFonts w:ascii="仿宋" w:eastAsia="仿宋" w:hAnsi="仿宋"/>
          <w:sz w:val="32"/>
          <w:szCs w:val="32"/>
        </w:rPr>
        <w:t>%</w:t>
      </w:r>
      <w:r>
        <w:rPr>
          <w:rFonts w:ascii="仿宋" w:eastAsia="仿宋" w:hAnsi="仿宋" w:hint="eastAsia"/>
          <w:sz w:val="32"/>
          <w:szCs w:val="32"/>
        </w:rPr>
        <w:t>。</w:t>
      </w:r>
    </w:p>
    <w:p>
      <w:pPr>
        <w:jc w:val="center"/>
        <w:rPr>
          <w:rFonts w:ascii="仿宋" w:eastAsia="仿宋" w:hAnsi="仿宋"/>
          <w:sz w:val="32"/>
          <w:szCs w:val="32"/>
        </w:rPr>
      </w:pPr>
      <w:r>
        <w:rPr>
          <w:szCs w:val="32"/>
        </w:rPr>
        <w:drawing>
          <wp:inline distT="0" distB="0" distL="0" distR="0">
            <wp:extent cx="4597400" cy="2768600"/>
            <wp:effectExtent l="0" t="0" r="39" b="11"/>
            <wp:docPr id="22" name="图片 19"/>
            <wp:cNvGraphicFramePr>
              <a:graphicFrameLocks noChangeAspect="1"/>
            </wp:cNvGraphicFramePr>
            <a:graphic>
              <a:graphicData uri="http://schemas.openxmlformats.org/drawingml/2006/picture">
                <pic:pic>
                  <pic:nvPicPr>
                    <pic:cNvPr id="24" name="图片 19 24"/>
                    <pic:cNvPicPr/>
                  </pic:nvPicPr>
                  <pic:blipFill>
                    <a:blip r:embed="rId11"/>
                    <a:stretch>
                      <a:fillRect/>
                    </a:stretch>
                  </pic:blipFill>
                  <pic:spPr>
                    <a:xfrm rot="0">
                      <a:off x="0" y="0"/>
                      <a:ext cx="4597400" cy="2768600"/>
                    </a:xfrm>
                    <a:prstGeom prst="rect"/>
                    <a:noFill/>
                    <a:ln w="9525" cmpd="sng" cap="flat">
                      <a:noFill/>
                      <a:prstDash val="solid"/>
                      <a:miter/>
                    </a:ln>
                  </pic:spPr>
                </pic:pic>
              </a:graphicData>
            </a:graphic>
          </wp:inline>
        </w:drawing>
      </w:r>
    </w:p>
    <w:p>
      <w:pPr>
        <w:spacing w:line="600" w:lineRule="exact"/>
        <w:jc w:val="center"/>
        <w:rPr>
          <w:rFonts w:ascii="仿宋" w:eastAsia="仿宋" w:hAnsi="仿宋"/>
          <w:sz w:val="32"/>
          <w:szCs w:val="32"/>
        </w:rPr>
      </w:pPr>
      <w:r>
        <w:rPr>
          <w:rFonts w:ascii="仿宋" w:eastAsia="仿宋" w:hAnsi="仿宋" w:hint="eastAsia"/>
          <w:sz w:val="32"/>
          <w:szCs w:val="32"/>
        </w:rPr>
        <w:t>（图6：一般公共预算财政拨款支出决算结构）</w:t>
      </w:r>
    </w:p>
    <w:p>
      <w:pPr>
        <w:spacing w:line="600" w:lineRule="exact"/>
        <w:ind w:firstLineChars="132" w:firstLine="422"/>
        <w:outlineLvl w:val="2"/>
        <w:rPr>
          <w:rFonts w:ascii="仿宋" w:eastAsia="仿宋" w:hAnsi="仿宋"/>
          <w:b/>
          <w:sz w:val="32"/>
          <w:szCs w:val="32"/>
        </w:rPr>
      </w:pPr>
      <w:bookmarkStart w:id="49" w:name="_Toc26846"/>
      <w:bookmarkStart w:id="50" w:name="_Toc15377212"/>
      <w:r>
        <w:rPr>
          <w:rFonts w:ascii="仿宋" w:eastAsia="仿宋" w:hAnsi="仿宋" w:hint="eastAsia"/>
          <w:b/>
          <w:sz w:val="32"/>
          <w:szCs w:val="32"/>
        </w:rPr>
        <w:t>（三）一般公共预算财政拨款支出决算具体情况</w:t>
      </w:r>
      <w:bookmarkEnd w:id="49"/>
      <w:bookmarkEnd w:id="50"/>
    </w:p>
    <w:p>
      <w:pPr>
        <w:spacing w:line="600" w:lineRule="exact"/>
        <w:ind w:firstLineChars="132" w:firstLine="422"/>
        <w:outlineLvl w:val="1"/>
        <w:rPr>
          <w:rStyle w:val="22"/>
          <w:rFonts w:ascii="仿宋" w:eastAsia="仿宋" w:hAnsi="仿宋"/>
          <w:bCs/>
          <w:sz w:val="32"/>
          <w:szCs w:val="32"/>
        </w:rPr>
      </w:pPr>
      <w:bookmarkStart w:id="51" w:name="_Toc15377213"/>
      <w:bookmarkStart w:id="52" w:name="_Toc11324"/>
      <w:bookmarkStart w:id="53" w:name="_Toc31686"/>
      <w:bookmarkStart w:id="54" w:name="_Toc15378460"/>
      <w:bookmarkStart w:id="55" w:name="_Toc15377444"/>
      <w:r>
        <w:rPr>
          <w:rFonts w:ascii="仿宋" w:eastAsia="仿宋" w:hAnsi="仿宋" w:hint="eastAsia"/>
          <w:b/>
          <w:sz w:val="32"/>
          <w:szCs w:val="32"/>
        </w:rPr>
        <w:t>2021年一般公共预算支出决算数为</w:t>
      </w:r>
      <w:r>
        <w:rPr>
          <w:rFonts w:ascii="仿宋" w:eastAsia="仿宋" w:hAnsi="仿宋"/>
          <w:b/>
          <w:sz w:val="32"/>
          <w:szCs w:val="32"/>
        </w:rPr>
        <w:t>1189.57</w:t>
      </w:r>
      <w:r>
        <w:rPr>
          <w:rFonts w:ascii="仿宋" w:eastAsia="仿宋" w:hAnsi="仿宋" w:hint="eastAsia"/>
          <w:sz w:val="32"/>
          <w:szCs w:val="32"/>
        </w:rPr>
        <w:t>，</w:t>
      </w:r>
      <w:r>
        <w:rPr>
          <w:rStyle w:val="22"/>
          <w:rFonts w:ascii="仿宋" w:eastAsia="仿宋" w:hAnsi="仿宋" w:hint="eastAsia"/>
          <w:bCs/>
          <w:sz w:val="32"/>
          <w:szCs w:val="32"/>
        </w:rPr>
        <w:t>完成预算92.41</w:t>
      </w:r>
      <w:r>
        <w:rPr>
          <w:rStyle w:val="22"/>
          <w:rFonts w:ascii="仿宋" w:eastAsia="仿宋" w:hAnsi="仿宋"/>
          <w:bCs/>
          <w:sz w:val="32"/>
          <w:szCs w:val="32"/>
        </w:rPr>
        <w:t>%</w:t>
      </w:r>
      <w:r>
        <w:rPr>
          <w:rStyle w:val="22"/>
          <w:rFonts w:ascii="仿宋" w:eastAsia="仿宋" w:hAnsi="仿宋" w:hint="eastAsia"/>
          <w:bCs/>
          <w:sz w:val="32"/>
          <w:szCs w:val="32"/>
        </w:rPr>
        <w:t>。其中：</w:t>
      </w:r>
      <w:bookmarkEnd w:id="51"/>
      <w:bookmarkEnd w:id="52"/>
      <w:bookmarkEnd w:id="53"/>
      <w:bookmarkEnd w:id="54"/>
      <w:bookmarkEnd w:id="55"/>
    </w:p>
    <w:p>
      <w:pPr>
        <w:pStyle w:val="15"/>
        <w:spacing w:beforeLines="0" w:before="93"/>
        <w:ind w:firstLineChars="142" w:firstLine="426"/>
      </w:pPr>
      <w:r>
        <w:rPr>
          <w:rFonts w:hint="eastAsia"/>
        </w:rPr>
        <w:t>1.教育（类）普通教育（款）小学教育（项）:支出决算为</w:t>
      </w:r>
      <w:r>
        <w:t>335.38</w:t>
      </w:r>
      <w:r>
        <w:rPr>
          <w:rFonts w:hint="eastAsia"/>
        </w:rPr>
        <w:t>万元，完成预算100%。</w:t>
      </w:r>
    </w:p>
    <w:p>
      <w:pPr>
        <w:pStyle w:val="15"/>
        <w:spacing w:beforeLines="0" w:before="93"/>
        <w:ind w:firstLineChars="142" w:firstLine="426"/>
      </w:pPr>
      <w:r>
        <w:rPr>
          <w:rFonts w:hint="eastAsia"/>
        </w:rPr>
        <w:t>2.教育（类）普通教育（款）初中教育（项）:支出决算为</w:t>
      </w:r>
      <w:r>
        <w:t>748.45</w:t>
      </w:r>
      <w:r>
        <w:rPr>
          <w:rFonts w:hint="eastAsia"/>
        </w:rPr>
        <w:t>万元，完成预算92.41%。</w:t>
      </w:r>
    </w:p>
    <w:p>
      <w:pPr>
        <w:pStyle w:val="15"/>
        <w:spacing w:beforeLines="0" w:before="93"/>
        <w:ind w:firstLineChars="142" w:firstLine="426"/>
      </w:pPr>
      <w:r>
        <w:rPr>
          <w:rFonts w:hint="eastAsia"/>
        </w:rPr>
        <w:t>3.教育（类）普通教育（款）其他普通教育支出（项）:支出决算为4.00万元，完成预算100%。</w:t>
      </w:r>
    </w:p>
    <w:p>
      <w:pPr>
        <w:pStyle w:val="15"/>
        <w:spacing w:beforeLines="0" w:before="93"/>
        <w:ind w:firstLineChars="142" w:firstLine="426"/>
      </w:pPr>
      <w:r>
        <w:rPr>
          <w:rFonts w:hint="eastAsia"/>
        </w:rPr>
        <w:t>4.社会保障和就业（类）行政事业单位养老支出（款）机关事业单位基本养老保险缴费支出（项）:支出决算为</w:t>
      </w:r>
      <w:r>
        <w:t>85.82</w:t>
      </w:r>
      <w:r>
        <w:rPr>
          <w:rFonts w:hint="eastAsia"/>
        </w:rPr>
        <w:t>万元，完成预算100%。</w:t>
      </w:r>
    </w:p>
    <w:p>
      <w:pPr>
        <w:pStyle w:val="15"/>
        <w:spacing w:beforeLines="0" w:before="93"/>
        <w:ind w:firstLineChars="142" w:firstLine="426"/>
      </w:pPr>
      <w:r>
        <w:rPr>
          <w:rFonts w:hint="eastAsia"/>
        </w:rPr>
        <w:t>5.社会保障和就业（类）抚恤（款）死亡抚恤（项）:支出决算为</w:t>
      </w:r>
      <w:r>
        <w:t>15.93</w:t>
      </w:r>
      <w:r>
        <w:rPr>
          <w:rFonts w:hint="eastAsia"/>
        </w:rPr>
        <w:t>万元，完成预算100%。</w:t>
      </w:r>
    </w:p>
    <w:p>
      <w:pPr>
        <w:tabs>
          <w:tab w:val="right" w:pos="8306"/>
        </w:tabs>
        <w:spacing w:line="600" w:lineRule="exact"/>
        <w:ind w:firstLine="426"/>
        <w:outlineLvl w:val="1"/>
        <w:rPr>
          <w:rStyle w:val="2Char"/>
        </w:rPr>
      </w:pPr>
      <w:bookmarkStart w:id="56" w:name="_Toc15377214"/>
      <w:bookmarkStart w:id="57" w:name="_Toc1403"/>
      <w:bookmarkStart w:id="58"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6"/>
      <w:bookmarkEnd w:id="57"/>
      <w:bookmarkEnd w:id="58"/>
      <w:r>
        <w:rPr>
          <w:rStyle w:val="2Char"/>
          <w:rFonts w:ascii="黑体" w:eastAsia="黑体" w:hAnsi="黑体"/>
          <w:b w:val="0"/>
        </w:rPr>
        <w:tab/>
      </w:r>
    </w:p>
    <w:p>
      <w:pPr>
        <w:spacing w:line="600" w:lineRule="exact"/>
        <w:ind w:firstLine="426"/>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Pr>
          <w:rFonts w:ascii="仿宋" w:eastAsia="仿宋" w:hAnsi="仿宋"/>
          <w:sz w:val="32"/>
          <w:szCs w:val="32"/>
        </w:rPr>
        <w:t>1101.08</w:t>
      </w:r>
      <w:r>
        <w:rPr>
          <w:rFonts w:ascii="仿宋" w:eastAsia="仿宋" w:hAnsi="仿宋" w:hint="eastAsia"/>
          <w:sz w:val="32"/>
          <w:szCs w:val="32"/>
        </w:rPr>
        <w:t>万元，其中：</w:t>
      </w:r>
    </w:p>
    <w:p>
      <w:pPr>
        <w:spacing w:line="600" w:lineRule="exact"/>
        <w:ind w:firstLine="426"/>
        <w:rPr>
          <w:rFonts w:ascii="仿宋" w:eastAsia="仿宋" w:hAnsi="仿宋"/>
          <w:sz w:val="32"/>
          <w:szCs w:val="32"/>
        </w:rPr>
      </w:pPr>
      <w:r>
        <w:rPr>
          <w:rFonts w:ascii="仿宋" w:eastAsia="仿宋" w:hAnsi="仿宋" w:hint="eastAsia"/>
          <w:sz w:val="32"/>
          <w:szCs w:val="32"/>
        </w:rPr>
        <w:t>人员经费</w:t>
      </w:r>
      <w:r>
        <w:rPr>
          <w:rFonts w:ascii="仿宋" w:eastAsia="仿宋" w:hAnsi="仿宋"/>
          <w:sz w:val="32"/>
          <w:szCs w:val="32"/>
        </w:rPr>
        <w:t>1010.49</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住房公积金、其他对个人和家庭的补助支出等。</w:t>
      </w:r>
    </w:p>
    <w:p>
      <w:pPr>
        <w:spacing w:line="600" w:lineRule="exact"/>
        <w:ind w:firstLine="426"/>
        <w:rPr>
          <w:rFonts w:ascii="仿宋" w:eastAsia="仿宋" w:hAnsi="仿宋"/>
          <w:b/>
          <w:sz w:val="32"/>
          <w:szCs w:val="32"/>
        </w:rPr>
      </w:pPr>
      <w:r>
        <w:rPr>
          <w:rFonts w:ascii="仿宋" w:eastAsia="仿宋" w:hAnsi="仿宋" w:hint="eastAsia"/>
          <w:sz w:val="32"/>
          <w:szCs w:val="32"/>
        </w:rPr>
        <w:t>　　公用经费</w:t>
      </w:r>
      <w:r>
        <w:rPr>
          <w:rFonts w:ascii="仿宋" w:eastAsia="仿宋" w:hAnsi="仿宋"/>
          <w:sz w:val="32"/>
          <w:szCs w:val="32"/>
        </w:rPr>
        <w:t>90.59</w:t>
      </w:r>
      <w:r>
        <w:rPr>
          <w:rFonts w:ascii="仿宋" w:eastAsia="仿宋" w:hAnsi="仿宋" w:hint="eastAsia"/>
          <w:sz w:val="32"/>
          <w:szCs w:val="32"/>
        </w:rPr>
        <w:t>万元，主要包括：办公费、印刷费、咨询费、手续费、水费、电费、邮电费、取暖费、差旅费、维修（护）费、培训费、劳务费、工会经费、福利费、其他交通费、税金及附加费用、其他商品和服务支出、办公设备购置、专用设备购置、信息网络及软件购置更新、其他资本性支出等。</w:t>
      </w:r>
    </w:p>
    <w:p>
      <w:pPr>
        <w:spacing w:line="600" w:lineRule="exact"/>
        <w:ind w:firstLine="426"/>
        <w:outlineLvl w:val="1"/>
        <w:rPr>
          <w:rStyle w:val="2Char"/>
          <w:rFonts w:ascii="黑体" w:eastAsia="黑体" w:hAnsi="黑体"/>
          <w:b w:val="0"/>
        </w:rPr>
      </w:pPr>
      <w:bookmarkStart w:id="59" w:name="_Toc15396609"/>
      <w:bookmarkStart w:id="60" w:name="_Toc15377215"/>
      <w:bookmarkStart w:id="61" w:name="_Toc6080"/>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9"/>
      <w:bookmarkEnd w:id="60"/>
      <w:bookmarkEnd w:id="61"/>
    </w:p>
    <w:p>
      <w:pPr>
        <w:spacing w:line="600" w:lineRule="exact"/>
        <w:ind w:firstLine="426"/>
        <w:outlineLvl w:val="2"/>
        <w:rPr>
          <w:rFonts w:ascii="仿宋" w:eastAsia="仿宋" w:hAnsi="仿宋"/>
          <w:b/>
          <w:sz w:val="32"/>
          <w:szCs w:val="32"/>
        </w:rPr>
      </w:pPr>
      <w:bookmarkStart w:id="62" w:name="_Toc11951"/>
      <w:bookmarkStart w:id="63" w:name="_Toc15377216"/>
      <w:r>
        <w:rPr>
          <w:rFonts w:ascii="仿宋" w:eastAsia="仿宋" w:hAnsi="仿宋" w:hint="eastAsia"/>
          <w:b/>
          <w:sz w:val="32"/>
          <w:szCs w:val="32"/>
        </w:rPr>
        <w:t>（一）“三公”经费财政拨款支出决算总体情况说明</w:t>
      </w:r>
      <w:bookmarkEnd w:id="62"/>
      <w:bookmarkEnd w:id="63"/>
    </w:p>
    <w:p>
      <w:pPr>
        <w:spacing w:line="600" w:lineRule="exact"/>
        <w:ind w:firstLine="426"/>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21年“三公”经费财政拨款支出决算为0.00万元，完成预算100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20年相比，增加0万元，增长0</w:t>
      </w:r>
      <w:r>
        <w:rPr>
          <w:rFonts w:ascii="仿宋" w:eastAsia="仿宋" w:hAnsi="仿宋"/>
          <w:sz w:val="32"/>
          <w:szCs w:val="32"/>
        </w:rPr>
        <w:t>%</w:t>
      </w:r>
      <w:r>
        <w:rPr>
          <w:rFonts w:ascii="仿宋" w:eastAsia="仿宋" w:hAnsi="仿宋" w:hint="eastAsia"/>
          <w:sz w:val="32"/>
          <w:szCs w:val="32"/>
        </w:rPr>
        <w:t>。</w:t>
      </w:r>
    </w:p>
    <w:p>
      <w:pPr>
        <w:spacing w:line="600" w:lineRule="exact"/>
        <w:ind w:firstLine="426"/>
        <w:outlineLvl w:val="2"/>
        <w:rPr>
          <w:rFonts w:ascii="仿宋" w:eastAsia="仿宋" w:hAnsi="仿宋"/>
          <w:b/>
          <w:sz w:val="32"/>
          <w:szCs w:val="32"/>
        </w:rPr>
      </w:pPr>
      <w:bookmarkStart w:id="64" w:name="_Toc15377217"/>
      <w:bookmarkStart w:id="65" w:name="_Toc11483"/>
      <w:r>
        <w:rPr>
          <w:rFonts w:ascii="仿宋" w:eastAsia="仿宋" w:hAnsi="仿宋" w:hint="eastAsia"/>
          <w:b/>
          <w:sz w:val="32"/>
          <w:szCs w:val="32"/>
        </w:rPr>
        <w:t>（二）“三公”经费财政拨款支出决算具体情况说明</w:t>
      </w:r>
      <w:bookmarkEnd w:id="64"/>
      <w:bookmarkEnd w:id="65"/>
    </w:p>
    <w:p>
      <w:pPr>
        <w:spacing w:line="600" w:lineRule="exact"/>
        <w:ind w:firstLine="426"/>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21年“三公”经费财政拨款支出决算中，因公出国（境）费支出决算0.00万元，占0.00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20年相比，增加0万元，增长0</w:t>
      </w:r>
      <w:r>
        <w:rPr>
          <w:rFonts w:ascii="仿宋" w:eastAsia="仿宋" w:hAnsi="仿宋"/>
          <w:sz w:val="32"/>
          <w:szCs w:val="32"/>
        </w:rPr>
        <w:t>%</w:t>
      </w:r>
      <w:r>
        <w:rPr>
          <w:rFonts w:ascii="仿宋" w:eastAsia="仿宋" w:hAnsi="仿宋" w:hint="eastAsia"/>
          <w:sz w:val="32"/>
          <w:szCs w:val="32"/>
        </w:rPr>
        <w:t>。公务用车购置及运行维护费支出决算0.00万元，占0.00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20年相比，增加0万元，增长0</w:t>
      </w:r>
      <w:r>
        <w:rPr>
          <w:rFonts w:ascii="仿宋" w:eastAsia="仿宋" w:hAnsi="仿宋"/>
          <w:sz w:val="32"/>
          <w:szCs w:val="32"/>
        </w:rPr>
        <w:t>%</w:t>
      </w:r>
      <w:r>
        <w:rPr>
          <w:rFonts w:ascii="仿宋" w:eastAsia="仿宋" w:hAnsi="仿宋" w:hint="eastAsia"/>
          <w:sz w:val="32"/>
          <w:szCs w:val="32"/>
        </w:rPr>
        <w:t>。公务接待费支出决算0.00万元，占0.00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20年相比，增加0万元，增长0</w:t>
      </w:r>
      <w:r>
        <w:rPr>
          <w:rFonts w:ascii="仿宋" w:eastAsia="仿宋" w:hAnsi="仿宋"/>
          <w:sz w:val="32"/>
          <w:szCs w:val="32"/>
        </w:rPr>
        <w:t>%</w:t>
      </w:r>
      <w:r>
        <w:rPr>
          <w:rFonts w:ascii="仿宋" w:eastAsia="仿宋" w:hAnsi="仿宋" w:hint="eastAsia"/>
          <w:sz w:val="32"/>
          <w:szCs w:val="32"/>
        </w:rPr>
        <w:t>。</w:t>
      </w:r>
    </w:p>
    <w:p>
      <w:pPr>
        <w:spacing w:line="600" w:lineRule="exact"/>
        <w:ind w:firstLine="426"/>
        <w:rPr>
          <w:rFonts w:ascii="宋体" w:eastAsia="宋体"/>
          <w:bCs/>
          <w:sz w:val="32"/>
          <w:szCs w:val="32"/>
        </w:rPr>
      </w:pPr>
      <w:r>
        <w:rPr>
          <w:rFonts w:ascii="宋体" w:eastAsia="宋体"/>
          <w:bCs/>
          <w:sz w:val="32"/>
          <w:szCs w:val="32"/>
        </w:rPr>
        <w:t>1.</w:t>
      </w:r>
      <w:r>
        <w:rPr>
          <w:rFonts w:ascii="宋体" w:eastAsia="宋体" w:hint="eastAsia"/>
          <w:bCs/>
          <w:sz w:val="32"/>
          <w:szCs w:val="32"/>
        </w:rPr>
        <w:t>因公出国（境）经费支出0.00万元，</w:t>
      </w:r>
      <w:r>
        <w:rPr>
          <w:rStyle w:val="22"/>
          <w:rFonts w:ascii="宋体" w:eastAsia="宋体" w:hint="eastAsia"/>
          <w:b w:val="0"/>
          <w:sz w:val="32"/>
          <w:szCs w:val="32"/>
        </w:rPr>
        <w:t>完成预算，</w:t>
      </w:r>
      <w:r>
        <w:rPr>
          <w:rFonts w:ascii="宋体" w:eastAsia="宋体" w:hint="eastAsia"/>
          <w:bCs/>
          <w:sz w:val="32"/>
          <w:szCs w:val="32"/>
        </w:rPr>
        <w:t>与</w:t>
      </w:r>
      <w:r>
        <w:rPr>
          <w:rFonts w:ascii="宋体" w:eastAsia="宋体"/>
          <w:bCs/>
          <w:sz w:val="32"/>
          <w:szCs w:val="32"/>
        </w:rPr>
        <w:t>20</w:t>
      </w:r>
      <w:r>
        <w:rPr>
          <w:rFonts w:ascii="宋体" w:eastAsia="宋体" w:hint="eastAsia"/>
          <w:bCs/>
          <w:sz w:val="32"/>
          <w:szCs w:val="32"/>
        </w:rPr>
        <w:t>20年相比，增加0万元，增长0</w:t>
      </w:r>
      <w:r>
        <w:rPr>
          <w:rFonts w:ascii="宋体" w:eastAsia="宋体"/>
          <w:bCs/>
          <w:sz w:val="32"/>
          <w:szCs w:val="32"/>
        </w:rPr>
        <w:t>%</w:t>
      </w:r>
      <w:r>
        <w:rPr>
          <w:rFonts w:ascii="宋体" w:eastAsia="宋体" w:hint="eastAsia"/>
          <w:bCs/>
          <w:sz w:val="32"/>
          <w:szCs w:val="32"/>
        </w:rPr>
        <w:t>。</w:t>
      </w:r>
    </w:p>
    <w:p>
      <w:pPr>
        <w:spacing w:line="600" w:lineRule="exact"/>
        <w:ind w:firstLineChars="132" w:firstLine="422"/>
        <w:rPr>
          <w:rFonts w:ascii="宋体" w:eastAsia="宋体"/>
          <w:bCs/>
          <w:sz w:val="32"/>
          <w:szCs w:val="32"/>
        </w:rPr>
      </w:pPr>
      <w:r>
        <w:rPr>
          <w:rFonts w:ascii="宋体" w:eastAsia="宋体"/>
          <w:bCs/>
          <w:sz w:val="32"/>
          <w:szCs w:val="32"/>
        </w:rPr>
        <w:t>2.</w:t>
      </w:r>
      <w:r>
        <w:rPr>
          <w:rFonts w:ascii="宋体" w:eastAsia="宋体" w:hint="eastAsia"/>
          <w:bCs/>
          <w:sz w:val="32"/>
          <w:szCs w:val="32"/>
        </w:rPr>
        <w:t>公务用车购置及运行维护费支出0.00万元</w:t>
      </w:r>
      <w:r>
        <w:rPr>
          <w:rFonts w:ascii="宋体" w:eastAsia="宋体" w:hint="eastAsia"/>
          <w:b/>
          <w:sz w:val="32"/>
          <w:szCs w:val="32"/>
        </w:rPr>
        <w:t>,</w:t>
      </w:r>
      <w:r>
        <w:rPr>
          <w:rStyle w:val="22"/>
          <w:rFonts w:ascii="宋体" w:eastAsia="宋体" w:hint="eastAsia"/>
          <w:b w:val="0"/>
          <w:sz w:val="32"/>
          <w:szCs w:val="32"/>
        </w:rPr>
        <w:t>完成预算</w:t>
      </w:r>
      <w:r>
        <w:rPr>
          <w:rStyle w:val="22"/>
          <w:rFonts w:ascii="宋体" w:eastAsia="宋体"/>
          <w:b w:val="0"/>
          <w:sz w:val="32"/>
          <w:szCs w:val="32"/>
        </w:rPr>
        <w:t>0%</w:t>
      </w:r>
      <w:r>
        <w:rPr>
          <w:rStyle w:val="22"/>
          <w:rFonts w:ascii="宋体" w:eastAsia="宋体" w:hint="eastAsia"/>
          <w:b w:val="0"/>
          <w:sz w:val="32"/>
          <w:szCs w:val="32"/>
        </w:rPr>
        <w:t>。</w:t>
      </w:r>
      <w:r>
        <w:rPr>
          <w:rFonts w:ascii="宋体" w:eastAsia="宋体" w:hint="eastAsia"/>
          <w:bCs/>
          <w:sz w:val="32"/>
          <w:szCs w:val="32"/>
        </w:rPr>
        <w:t>其中：公务用车购置支出0.00万元。全年按规定更新购置公务用车0辆，其中：轿车0辆、金额0.00万元，越野车0辆、金额0.00万元，载客汽车0辆、金额0.00万元。截至</w:t>
      </w:r>
      <w:r>
        <w:rPr>
          <w:rFonts w:ascii="宋体" w:eastAsia="宋体"/>
          <w:bCs/>
          <w:sz w:val="32"/>
          <w:szCs w:val="32"/>
        </w:rPr>
        <w:t>20</w:t>
      </w:r>
      <w:r>
        <w:rPr>
          <w:rFonts w:ascii="宋体" w:eastAsia="宋体" w:hint="eastAsia"/>
          <w:bCs/>
          <w:sz w:val="32"/>
          <w:szCs w:val="32"/>
        </w:rPr>
        <w:t>21年</w:t>
      </w:r>
      <w:r>
        <w:rPr>
          <w:rFonts w:ascii="宋体" w:eastAsia="宋体"/>
          <w:bCs/>
          <w:sz w:val="32"/>
          <w:szCs w:val="32"/>
        </w:rPr>
        <w:t>12</w:t>
      </w:r>
      <w:r>
        <w:rPr>
          <w:rFonts w:ascii="宋体" w:eastAsia="宋体" w:hint="eastAsia"/>
          <w:bCs/>
          <w:sz w:val="32"/>
          <w:szCs w:val="32"/>
        </w:rPr>
        <w:t>月底，单位共有公务用车0辆，其中：轿车0辆、越野车0辆、载客汽车0辆。</w:t>
      </w:r>
    </w:p>
    <w:p>
      <w:pPr>
        <w:spacing w:line="600" w:lineRule="exact"/>
        <w:ind w:firstLine="426"/>
        <w:rPr>
          <w:rFonts w:ascii="宋体" w:eastAsia="宋体"/>
          <w:bCs/>
          <w:sz w:val="32"/>
          <w:szCs w:val="32"/>
        </w:rPr>
      </w:pPr>
      <w:r>
        <w:rPr>
          <w:rFonts w:ascii="宋体" w:eastAsia="宋体" w:hint="eastAsia"/>
          <w:bCs/>
          <w:sz w:val="32"/>
          <w:szCs w:val="32"/>
        </w:rPr>
        <w:t>公务用车运行维护费支出0万元。</w:t>
      </w:r>
    </w:p>
    <w:p>
      <w:pPr>
        <w:spacing w:line="600" w:lineRule="exact"/>
        <w:ind w:firstLine="426"/>
        <w:rPr>
          <w:rFonts w:ascii="宋体" w:eastAsia="宋体"/>
          <w:bCs/>
          <w:sz w:val="32"/>
          <w:szCs w:val="32"/>
        </w:rPr>
      </w:pPr>
      <w:r>
        <w:rPr>
          <w:rFonts w:ascii="宋体" w:eastAsia="宋体"/>
          <w:bCs/>
          <w:sz w:val="32"/>
          <w:szCs w:val="32"/>
        </w:rPr>
        <w:t>3.</w:t>
      </w:r>
      <w:r>
        <w:rPr>
          <w:rFonts w:ascii="宋体" w:eastAsia="宋体" w:hint="eastAsia"/>
          <w:bCs/>
          <w:sz w:val="32"/>
          <w:szCs w:val="32"/>
        </w:rPr>
        <w:t>公务接待费支出0.00万</w:t>
      </w:r>
      <w:r>
        <w:rPr>
          <w:rFonts w:ascii="宋体" w:eastAsia="宋体" w:hint="eastAsia"/>
          <w:b/>
          <w:sz w:val="32"/>
          <w:szCs w:val="32"/>
        </w:rPr>
        <w:t>元，</w:t>
      </w:r>
      <w:r>
        <w:rPr>
          <w:rStyle w:val="22"/>
          <w:rFonts w:ascii="宋体" w:eastAsia="宋体" w:hint="eastAsia"/>
          <w:b w:val="0"/>
          <w:sz w:val="32"/>
          <w:szCs w:val="32"/>
        </w:rPr>
        <w:t>完成预算</w:t>
      </w:r>
      <w:r>
        <w:rPr>
          <w:rStyle w:val="22"/>
          <w:rFonts w:ascii="宋体" w:eastAsia="宋体"/>
          <w:b w:val="0"/>
          <w:sz w:val="32"/>
          <w:szCs w:val="32"/>
        </w:rPr>
        <w:t>0%</w:t>
      </w:r>
      <w:r>
        <w:rPr>
          <w:rStyle w:val="22"/>
          <w:rFonts w:ascii="宋体" w:eastAsia="宋体" w:hint="eastAsia"/>
          <w:b w:val="0"/>
          <w:sz w:val="32"/>
          <w:szCs w:val="32"/>
        </w:rPr>
        <w:t>。</w:t>
      </w:r>
      <w:r>
        <w:rPr>
          <w:rFonts w:ascii="宋体" w:eastAsia="宋体" w:hint="eastAsia"/>
          <w:bCs/>
          <w:sz w:val="32"/>
          <w:szCs w:val="32"/>
        </w:rPr>
        <w:t>其中：</w:t>
      </w:r>
    </w:p>
    <w:p>
      <w:pPr>
        <w:spacing w:line="600" w:lineRule="exact"/>
        <w:ind w:firstLine="426"/>
        <w:rPr>
          <w:rFonts w:ascii="仿宋_GB2312" w:eastAsia="仿宋_GB2312"/>
          <w:sz w:val="32"/>
          <w:szCs w:val="32"/>
        </w:rPr>
      </w:pPr>
      <w:r>
        <w:rPr>
          <w:rFonts w:ascii="宋体" w:eastAsia="宋体" w:hint="eastAsia"/>
          <w:bCs/>
          <w:sz w:val="32"/>
          <w:szCs w:val="32"/>
        </w:rPr>
        <w:t>国内公务接待支</w:t>
      </w:r>
      <w:r>
        <w:rPr>
          <w:rFonts w:ascii="仿宋" w:eastAsia="仿宋" w:hAnsi="仿宋" w:hint="eastAsia"/>
          <w:b/>
          <w:sz w:val="32"/>
          <w:szCs w:val="32"/>
        </w:rPr>
        <w:t>出</w:t>
      </w:r>
      <w:r>
        <w:rPr>
          <w:rFonts w:ascii="仿宋" w:eastAsia="仿宋" w:hAnsi="仿宋" w:hint="eastAsia"/>
          <w:sz w:val="32"/>
          <w:szCs w:val="32"/>
        </w:rPr>
        <w:t>0.00</w:t>
      </w:r>
      <w:r>
        <w:rPr>
          <w:rFonts w:ascii="仿宋_GB2312" w:eastAsia="仿宋_GB2312" w:hint="eastAsia"/>
          <w:sz w:val="32"/>
          <w:szCs w:val="32"/>
        </w:rPr>
        <w:t>万元。</w:t>
      </w:r>
    </w:p>
    <w:p>
      <w:pPr>
        <w:spacing w:line="600" w:lineRule="exact"/>
        <w:ind w:firstLineChars="132" w:firstLine="422"/>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0.00</w:t>
      </w:r>
      <w:r>
        <w:rPr>
          <w:rFonts w:ascii="仿宋_GB2312" w:eastAsia="仿宋_GB2312" w:hint="eastAsia"/>
          <w:sz w:val="32"/>
          <w:szCs w:val="32"/>
        </w:rPr>
        <w:t>万元。</w:t>
      </w:r>
      <w:bookmarkStart w:id="66" w:name="_Toc15396610"/>
      <w:bookmarkStart w:id="67" w:name="_Toc15377218"/>
    </w:p>
    <w:p>
      <w:pPr>
        <w:spacing w:line="600" w:lineRule="exact"/>
        <w:ind w:firstLine="426"/>
        <w:outlineLvl w:val="1"/>
        <w:rPr>
          <w:rStyle w:val="2Char"/>
          <w:rFonts w:ascii="黑体" w:eastAsia="黑体" w:hAnsi="黑体"/>
        </w:rPr>
      </w:pPr>
      <w:bookmarkStart w:id="68" w:name="_Toc9439"/>
      <w:r>
        <w:rPr>
          <w:rFonts w:ascii="黑体" w:eastAsia="黑体" w:hint="eastAsia"/>
          <w:sz w:val="32"/>
          <w:szCs w:val="32"/>
        </w:rPr>
        <w:t>八、</w:t>
      </w:r>
      <w:r>
        <w:rPr>
          <w:rStyle w:val="2Char"/>
          <w:rFonts w:ascii="黑体" w:eastAsia="黑体" w:hAnsi="黑体" w:hint="eastAsia"/>
          <w:b w:val="0"/>
        </w:rPr>
        <w:t>政府性基金预算支出决算情况说明</w:t>
      </w:r>
      <w:bookmarkEnd w:id="66"/>
      <w:bookmarkEnd w:id="67"/>
      <w:bookmarkEnd w:id="68"/>
    </w:p>
    <w:p>
      <w:pPr>
        <w:spacing w:line="600" w:lineRule="exact"/>
        <w:ind w:firstLine="426"/>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21年政府性基金预算财政拨款支出0.00万元。</w:t>
      </w:r>
    </w:p>
    <w:p>
      <w:pPr>
        <w:numPr>
          <w:ilvl w:val="0"/>
          <w:numId w:val="2"/>
        </w:numPr>
        <w:spacing w:line="600" w:lineRule="exact"/>
        <w:ind w:left="0" w:firstLine="426"/>
        <w:outlineLvl w:val="1"/>
        <w:rPr>
          <w:rStyle w:val="2Char"/>
          <w:rFonts w:ascii="黑体" w:eastAsia="黑体" w:hAnsi="黑体"/>
          <w:b w:val="0"/>
        </w:rPr>
      </w:pPr>
      <w:bookmarkStart w:id="69" w:name="_Toc15377219"/>
      <w:bookmarkStart w:id="70" w:name="_Toc29419"/>
      <w:bookmarkStart w:id="71" w:name="_Toc15396611"/>
      <w:r>
        <w:rPr>
          <w:rStyle w:val="2Char"/>
          <w:rFonts w:ascii="黑体" w:eastAsia="黑体" w:hAnsi="黑体" w:hint="eastAsia"/>
          <w:b w:val="0"/>
        </w:rPr>
        <w:t>国有资本经营预算支出决算情况说明</w:t>
      </w:r>
      <w:bookmarkEnd w:id="69"/>
      <w:bookmarkEnd w:id="70"/>
      <w:bookmarkEnd w:id="71"/>
    </w:p>
    <w:p>
      <w:pPr>
        <w:spacing w:line="600" w:lineRule="exact"/>
        <w:ind w:firstLine="426"/>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21年国有资本经营预算财政拨款支出0.00万元。</w:t>
      </w:r>
    </w:p>
    <w:p>
      <w:pPr>
        <w:numPr>
          <w:ilvl w:val="0"/>
          <w:numId w:val="2"/>
        </w:numPr>
        <w:spacing w:line="600" w:lineRule="exact"/>
        <w:ind w:left="0" w:firstLine="426"/>
        <w:outlineLvl w:val="1"/>
        <w:rPr>
          <w:rStyle w:val="2Char"/>
          <w:rFonts w:ascii="黑体" w:eastAsia="黑体" w:hAnsi="黑体"/>
          <w:b w:val="0"/>
        </w:rPr>
      </w:pPr>
      <w:bookmarkStart w:id="72" w:name="_Toc15396612"/>
      <w:bookmarkStart w:id="73" w:name="_Toc32108"/>
      <w:bookmarkStart w:id="74" w:name="_Toc15377221"/>
      <w:r>
        <w:rPr>
          <w:rStyle w:val="2Char"/>
          <w:rFonts w:ascii="黑体" w:eastAsia="黑体" w:hAnsi="黑体" w:hint="eastAsia"/>
          <w:b w:val="0"/>
        </w:rPr>
        <w:t>其他重要事项的情况说明</w:t>
      </w:r>
      <w:bookmarkEnd w:id="72"/>
      <w:bookmarkEnd w:id="73"/>
      <w:bookmarkEnd w:id="74"/>
    </w:p>
    <w:p>
      <w:pPr>
        <w:pStyle w:val="28"/>
        <w:snapToGrid w:val="0"/>
        <w:spacing w:line="560" w:lineRule="exact"/>
        <w:ind w:left="420" w:firstLineChars="0" w:firstLine="0"/>
        <w:outlineLvl w:val="2"/>
        <w:rPr>
          <w:rFonts w:ascii="楷体" w:eastAsia="楷体" w:cs="楷体" w:hAnsi="楷体"/>
          <w:bCs/>
          <w:sz w:val="32"/>
          <w:szCs w:val="32"/>
        </w:rPr>
      </w:pPr>
      <w:bookmarkStart w:id="75" w:name="_Toc31529"/>
      <w:bookmarkStart w:id="76" w:name="_Toc15377222"/>
      <w:r>
        <w:rPr>
          <w:rFonts w:ascii="楷体" w:eastAsia="楷体" w:cs="楷体" w:hAnsi="楷体" w:hint="eastAsia"/>
          <w:bCs/>
          <w:sz w:val="32"/>
          <w:szCs w:val="32"/>
        </w:rPr>
        <w:t>（一）机关运行经费支出情况</w:t>
      </w:r>
      <w:bookmarkEnd w:id="75"/>
      <w:bookmarkEnd w:id="76"/>
    </w:p>
    <w:p>
      <w:pPr>
        <w:spacing w:line="560" w:lineRule="exact"/>
        <w:rPr>
          <w:rFonts w:ascii="仿宋_GB2312" w:eastAsia="仿宋_GB2312"/>
          <w:color w:val="000000"/>
          <w:sz w:val="32"/>
          <w:szCs w:val="32"/>
        </w:rPr>
      </w:pPr>
      <w:r>
        <w:rPr>
          <w:rFonts w:ascii="仿宋_GB2312" w:eastAsia="仿宋_GB2312"/>
          <w:sz w:val="32"/>
          <w:szCs w:val="32"/>
        </w:rPr>
        <w:t>20</w:t>
      </w:r>
      <w:r>
        <w:rPr>
          <w:rFonts w:ascii="仿宋_GB2312" w:eastAsia="仿宋_GB2312" w:hint="eastAsia"/>
          <w:sz w:val="32"/>
          <w:szCs w:val="32"/>
        </w:rPr>
        <w:t>21年，建平初级中学运行经费支出0万元，比</w:t>
      </w:r>
      <w:r>
        <w:rPr>
          <w:rFonts w:ascii="仿宋_GB2312" w:eastAsia="仿宋_GB2312"/>
          <w:sz w:val="32"/>
          <w:szCs w:val="32"/>
        </w:rPr>
        <w:t>20</w:t>
      </w:r>
      <w:r>
        <w:rPr>
          <w:rFonts w:ascii="仿宋_GB2312" w:eastAsia="仿宋_GB2312" w:hint="eastAsia"/>
          <w:sz w:val="32"/>
          <w:szCs w:val="32"/>
        </w:rPr>
        <w:t>20年持平</w:t>
      </w:r>
      <w:r>
        <w:rPr>
          <w:rFonts w:ascii="仿宋_GB2312" w:eastAsia="仿宋_GB2312" w:hint="eastAsia"/>
          <w:color w:val="000000"/>
          <w:sz w:val="32"/>
          <w:szCs w:val="32"/>
        </w:rPr>
        <w:t>。</w:t>
      </w:r>
    </w:p>
    <w:p>
      <w:pPr>
        <w:pStyle w:val="28"/>
        <w:snapToGrid w:val="0"/>
        <w:spacing w:line="560" w:lineRule="exact"/>
        <w:ind w:left="420" w:firstLineChars="0" w:firstLine="0"/>
        <w:outlineLvl w:val="2"/>
        <w:rPr>
          <w:rFonts w:ascii="楷体" w:eastAsia="楷体" w:cs="楷体" w:hAnsi="楷体"/>
          <w:bCs/>
          <w:sz w:val="32"/>
          <w:szCs w:val="32"/>
        </w:rPr>
      </w:pPr>
      <w:bookmarkStart w:id="77" w:name="_Toc30880"/>
      <w:r>
        <w:rPr>
          <w:rFonts w:ascii="楷体" w:eastAsia="楷体" w:cs="楷体" w:hAnsi="楷体" w:hint="eastAsia"/>
          <w:bCs/>
          <w:sz w:val="32"/>
          <w:szCs w:val="32"/>
        </w:rPr>
        <w:t>（二）政府采购支出情况</w:t>
      </w:r>
      <w:bookmarkEnd w:id="77"/>
    </w:p>
    <w:p>
      <w:pPr>
        <w:pStyle w:val="28"/>
        <w:spacing w:line="560" w:lineRule="exact"/>
        <w:ind w:left="420"/>
        <w:rPr>
          <w:rFonts w:ascii="宋体" w:eastAsia="宋体"/>
          <w:color w:val="000000"/>
          <w:sz w:val="32"/>
          <w:szCs w:val="32"/>
        </w:rPr>
      </w:pPr>
      <w:r>
        <w:rPr>
          <w:rFonts w:ascii="宋体" w:eastAsia="宋体"/>
          <w:color w:val="000000"/>
          <w:sz w:val="32"/>
          <w:szCs w:val="32"/>
        </w:rPr>
        <w:t>20</w:t>
      </w:r>
      <w:r>
        <w:rPr>
          <w:rFonts w:ascii="宋体" w:eastAsia="宋体" w:hint="eastAsia"/>
          <w:color w:val="000000"/>
          <w:sz w:val="32"/>
          <w:szCs w:val="32"/>
        </w:rPr>
        <w:t>21年，建平初级中学政府采购支出总额0.00万元，其中：政府采购货物支出0.00万元、政府采购工程支出0.00万元、政府采购服务支出0.00万元。</w:t>
      </w:r>
    </w:p>
    <w:p>
      <w:pPr>
        <w:pStyle w:val="28"/>
        <w:spacing w:line="560" w:lineRule="exact"/>
        <w:ind w:left="420" w:firstLineChars="0" w:firstLine="0"/>
        <w:rPr>
          <w:rFonts w:ascii="仿宋" w:eastAsia="仿宋" w:hAnsi="仿宋"/>
          <w:b/>
          <w:color w:val="000000"/>
          <w:sz w:val="32"/>
          <w:szCs w:val="32"/>
        </w:rPr>
      </w:pPr>
      <w:r>
        <w:rPr>
          <w:rFonts w:ascii="仿宋" w:eastAsia="仿宋" w:hAnsi="仿宋" w:hint="eastAsia"/>
          <w:b/>
          <w:color w:val="000000"/>
          <w:sz w:val="32"/>
          <w:szCs w:val="32"/>
        </w:rPr>
        <w:t>（注：数据来源于财决附</w:t>
      </w:r>
      <w:r>
        <w:rPr>
          <w:rFonts w:ascii="仿宋" w:eastAsia="仿宋" w:hAnsi="仿宋"/>
          <w:b/>
          <w:color w:val="000000"/>
          <w:sz w:val="32"/>
          <w:szCs w:val="32"/>
        </w:rPr>
        <w:t>03</w:t>
      </w:r>
      <w:r>
        <w:rPr>
          <w:rFonts w:ascii="仿宋" w:eastAsia="仿宋" w:hAnsi="仿宋" w:hint="eastAsia"/>
          <w:b/>
          <w:color w:val="000000"/>
          <w:sz w:val="32"/>
          <w:szCs w:val="32"/>
        </w:rPr>
        <w:t>表）</w:t>
      </w:r>
    </w:p>
    <w:p>
      <w:pPr>
        <w:pStyle w:val="28"/>
        <w:snapToGrid w:val="0"/>
        <w:spacing w:line="560" w:lineRule="exact"/>
        <w:ind w:left="420" w:firstLineChars="0" w:firstLine="0"/>
        <w:outlineLvl w:val="2"/>
        <w:rPr>
          <w:rFonts w:ascii="楷体" w:eastAsia="楷体" w:cs="楷体" w:hAnsi="楷体"/>
          <w:bCs/>
          <w:sz w:val="32"/>
          <w:szCs w:val="32"/>
        </w:rPr>
      </w:pPr>
      <w:bookmarkStart w:id="78" w:name="_Toc15377224"/>
      <w:r>
        <w:rPr>
          <w:rFonts w:hint="eastAsia"/>
        </w:rPr>
        <w:t xml:space="preserve"> </w:t>
      </w:r>
      <w:bookmarkStart w:id="79" w:name="_Toc28901"/>
      <w:r>
        <w:rPr>
          <w:rFonts w:ascii="楷体" w:eastAsia="楷体" w:cs="楷体" w:hAnsi="楷体" w:hint="eastAsia"/>
          <w:bCs/>
          <w:sz w:val="32"/>
          <w:szCs w:val="32"/>
        </w:rPr>
        <w:t>（三）国有资产占有使用情况</w:t>
      </w:r>
      <w:bookmarkEnd w:id="78"/>
      <w:bookmarkEnd w:id="79"/>
    </w:p>
    <w:p>
      <w:pPr>
        <w:pStyle w:val="28"/>
        <w:autoSpaceDE w:val="0"/>
        <w:autoSpaceDN w:val="0"/>
        <w:adjustRightInd w:val="0"/>
        <w:spacing w:line="560" w:lineRule="exact"/>
        <w:ind w:left="420"/>
        <w:jc w:val="left"/>
        <w:rPr>
          <w:rFonts w:ascii="宋体" w:eastAsia="宋体"/>
          <w:sz w:val="32"/>
          <w:szCs w:val="32"/>
        </w:rPr>
      </w:pPr>
      <w:r>
        <w:rPr>
          <w:rFonts w:ascii="宋体" w:eastAsia="宋体" w:hint="eastAsia"/>
          <w:sz w:val="32"/>
          <w:szCs w:val="32"/>
        </w:rPr>
        <w:t>截至</w:t>
      </w:r>
      <w:r>
        <w:rPr>
          <w:rFonts w:ascii="宋体" w:eastAsia="宋体"/>
          <w:sz w:val="32"/>
          <w:szCs w:val="32"/>
        </w:rPr>
        <w:t>20</w:t>
      </w:r>
      <w:r>
        <w:rPr>
          <w:rFonts w:ascii="宋体" w:eastAsia="宋体" w:hint="eastAsia"/>
          <w:sz w:val="32"/>
          <w:szCs w:val="32"/>
        </w:rPr>
        <w:t>21年</w:t>
      </w:r>
      <w:r>
        <w:rPr>
          <w:rFonts w:ascii="宋体" w:eastAsia="宋体"/>
          <w:sz w:val="32"/>
          <w:szCs w:val="32"/>
        </w:rPr>
        <w:t>12</w:t>
      </w:r>
      <w:r>
        <w:rPr>
          <w:rFonts w:ascii="宋体" w:eastAsia="宋体" w:hint="eastAsia"/>
          <w:sz w:val="32"/>
          <w:szCs w:val="32"/>
        </w:rPr>
        <w:t>月</w:t>
      </w:r>
      <w:r>
        <w:rPr>
          <w:rFonts w:ascii="宋体" w:eastAsia="宋体"/>
          <w:sz w:val="32"/>
          <w:szCs w:val="32"/>
        </w:rPr>
        <w:t>31</w:t>
      </w:r>
      <w:r>
        <w:rPr>
          <w:rFonts w:ascii="宋体" w:eastAsia="宋体" w:hint="eastAsia"/>
          <w:sz w:val="32"/>
          <w:szCs w:val="32"/>
        </w:rPr>
        <w:t>日，建平初级中学共有车辆0辆，其中：主要领导干部用车0辆、机要通信用车0辆、应急保障用车0辆、其他用车0辆，单价</w:t>
      </w:r>
      <w:r>
        <w:rPr>
          <w:rFonts w:ascii="宋体" w:eastAsia="宋体"/>
          <w:sz w:val="32"/>
          <w:szCs w:val="32"/>
        </w:rPr>
        <w:t>50</w:t>
      </w:r>
      <w:r>
        <w:rPr>
          <w:rFonts w:ascii="宋体" w:eastAsia="宋体" w:hint="eastAsia"/>
          <w:sz w:val="32"/>
          <w:szCs w:val="32"/>
        </w:rPr>
        <w:t>万元以上通用设备0台（套），单价</w:t>
      </w:r>
      <w:r>
        <w:rPr>
          <w:rFonts w:ascii="宋体" w:eastAsia="宋体"/>
          <w:sz w:val="32"/>
          <w:szCs w:val="32"/>
        </w:rPr>
        <w:t>100</w:t>
      </w:r>
      <w:r>
        <w:rPr>
          <w:rFonts w:ascii="宋体" w:eastAsia="宋体" w:hint="eastAsia"/>
          <w:sz w:val="32"/>
          <w:szCs w:val="32"/>
        </w:rPr>
        <w:t>万元以上专用设备0台（套）。</w:t>
      </w:r>
    </w:p>
    <w:p>
      <w:pPr>
        <w:spacing w:line="560" w:lineRule="exact"/>
        <w:ind w:firstLineChars="200" w:firstLine="640"/>
        <w:outlineLvl w:val="2"/>
        <w:rPr>
          <w:rFonts w:ascii="楷体" w:eastAsia="楷体" w:cs="楷体" w:hAnsi="楷体"/>
          <w:bCs/>
          <w:sz w:val="32"/>
          <w:szCs w:val="32"/>
        </w:rPr>
      </w:pPr>
      <w:r>
        <w:rPr>
          <w:rFonts w:ascii="楷体" w:eastAsia="楷体" w:cs="楷体" w:hAnsi="楷体" w:hint="eastAsia"/>
          <w:bCs/>
          <w:sz w:val="32"/>
          <w:szCs w:val="32"/>
        </w:rPr>
        <w:t>（四）预算绩效管理情况</w:t>
      </w:r>
    </w:p>
    <w:p>
      <w:pPr>
        <w:spacing w:line="560" w:lineRule="exact"/>
        <w:ind w:firstLineChars="200" w:firstLine="640"/>
        <w:outlineLvl w:val="2"/>
        <w:rPr>
          <w:rFonts w:ascii="宋体" w:eastAsia="宋体" w:cs="仿宋_GB2312"/>
          <w:sz w:val="32"/>
          <w:szCs w:val="32"/>
        </w:rPr>
      </w:pPr>
      <w:r>
        <w:rPr>
          <w:rFonts w:ascii="宋体" w:eastAsia="宋体" w:cs="仿宋_GB2312" w:hint="eastAsia"/>
          <w:sz w:val="32"/>
          <w:szCs w:val="32"/>
        </w:rPr>
        <w:t>根据预算绩效管理要求，本单位在2021年度预算编制阶段，组织对义务教育助学金项目等</w:t>
      </w:r>
      <w:r>
        <w:rPr>
          <w:rFonts w:ascii="宋体" w:eastAsia="宋体" w:cs="仿宋_GB2312"/>
          <w:sz w:val="32"/>
          <w:szCs w:val="32"/>
        </w:rPr>
        <w:t>4</w:t>
      </w:r>
      <w:r>
        <w:rPr>
          <w:rFonts w:ascii="宋体" w:eastAsia="宋体" w:cs="仿宋_GB2312" w:hint="eastAsia"/>
          <w:sz w:val="32"/>
          <w:szCs w:val="32"/>
        </w:rPr>
        <w:t>个项目开展了预算事前绩效评估，对</w:t>
      </w:r>
      <w:r>
        <w:rPr>
          <w:rFonts w:ascii="宋体" w:eastAsia="宋体" w:cs="仿宋_GB2312"/>
          <w:sz w:val="32"/>
          <w:szCs w:val="32"/>
        </w:rPr>
        <w:t>4</w:t>
      </w:r>
      <w:r>
        <w:rPr>
          <w:rFonts w:ascii="宋体" w:eastAsia="宋体" w:cs="仿宋_GB2312" w:hint="eastAsia"/>
          <w:sz w:val="32"/>
          <w:szCs w:val="32"/>
        </w:rPr>
        <w:t>个项目编制了绩效目标，预算执行过程中，选取</w:t>
      </w:r>
      <w:r>
        <w:rPr>
          <w:rFonts w:ascii="宋体" w:eastAsia="宋体" w:cs="仿宋_GB2312"/>
          <w:sz w:val="32"/>
          <w:szCs w:val="32"/>
        </w:rPr>
        <w:t>4</w:t>
      </w:r>
      <w:r>
        <w:rPr>
          <w:rFonts w:ascii="宋体" w:eastAsia="宋体" w:cs="仿宋_GB2312" w:hint="eastAsia"/>
          <w:sz w:val="32"/>
          <w:szCs w:val="32"/>
        </w:rPr>
        <w:t>个项目开展绩效监控，年终执行完毕后，对</w:t>
      </w:r>
      <w:r>
        <w:rPr>
          <w:rFonts w:ascii="宋体" w:eastAsia="宋体" w:cs="仿宋_GB2312"/>
          <w:sz w:val="32"/>
          <w:szCs w:val="32"/>
        </w:rPr>
        <w:t>4</w:t>
      </w:r>
      <w:r>
        <w:rPr>
          <w:rFonts w:ascii="宋体" w:eastAsia="宋体" w:cs="仿宋_GB2312" w:hint="eastAsia"/>
          <w:sz w:val="32"/>
          <w:szCs w:val="32"/>
        </w:rPr>
        <w:t>个项目开展了绩效自评，2021年特定目标类部门预算项目绩效目标自评表见附件（第四部分）。</w:t>
      </w:r>
    </w:p>
    <w:p>
      <w:pPr>
        <w:autoSpaceDE w:val="0"/>
        <w:autoSpaceDN w:val="0"/>
        <w:adjustRightInd w:val="0"/>
        <w:spacing w:line="560" w:lineRule="exact"/>
        <w:ind w:firstLineChars="200" w:firstLine="640"/>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0"/>
          <w:szCs w:val="30"/>
        </w:rPr>
        <w:t>注：单位</w:t>
      </w:r>
      <w:r>
        <w:rPr>
          <w:rFonts w:ascii="仿宋_GB2312" w:eastAsia="仿宋_GB2312" w:cs="仿宋_GB2312" w:hAnsi="仿宋_GB2312" w:hint="eastAsia"/>
          <w:bCs/>
          <w:sz w:val="30"/>
          <w:szCs w:val="30"/>
        </w:rPr>
        <w:t>2021年特定目标类部门预算项目绩效目标自评表为本部门2021年部门整体支出绩效评价报告中涉及本单位的附表</w:t>
      </w:r>
      <w:r>
        <w:rPr>
          <w:rFonts w:ascii="仿宋" w:eastAsia="仿宋" w:hAnsi="仿宋" w:hint="eastAsia"/>
          <w:bCs/>
          <w:sz w:val="30"/>
          <w:szCs w:val="30"/>
        </w:rPr>
        <w:t>）</w:t>
      </w:r>
    </w:p>
    <w:p>
      <w:pPr>
        <w:pStyle w:val="28"/>
        <w:autoSpaceDE w:val="0"/>
        <w:autoSpaceDN w:val="0"/>
        <w:adjustRightInd w:val="0"/>
        <w:spacing w:line="560" w:lineRule="exact"/>
        <w:ind w:left="420" w:firstLineChars="0" w:firstLine="0"/>
        <w:jc w:val="left"/>
        <w:rPr>
          <w:rFonts w:ascii="仿宋_GB2312" w:eastAsia="仿宋_GB2312" w:hint="eastAsia"/>
          <w:bCs/>
          <w:sz w:val="32"/>
          <w:szCs w:val="32"/>
        </w:rPr>
      </w:pPr>
    </w:p>
    <w:p>
      <w:pPr>
        <w:pStyle w:val="15"/>
        <w:spacing w:beforeLines="0" w:before="93"/>
      </w:pPr>
    </w:p>
    <w:p>
      <w:pPr>
        <w:numPr>
          <w:ilvl w:val="0"/>
          <w:numId w:val="3"/>
        </w:numPr>
        <w:spacing w:line="600" w:lineRule="exact"/>
        <w:ind w:left="0" w:firstLineChars="150" w:firstLine="660"/>
        <w:jc w:val="center"/>
        <w:outlineLvl w:val="0"/>
        <w:rPr>
          <w:rStyle w:val="1Char"/>
          <w:rFonts w:ascii="黑体" w:eastAsia="黑体" w:hAnsi="黑体"/>
          <w:b w:val="0"/>
        </w:rPr>
      </w:pPr>
      <w:bookmarkStart w:id="80" w:name="_Toc15396613"/>
      <w:bookmarkStart w:id="81" w:name="_Toc15377225"/>
      <w:bookmarkStart w:id="82" w:name="_Toc30734"/>
      <w:r>
        <w:rPr>
          <w:rFonts w:ascii="黑体" w:eastAsia="黑体" w:hAnsi="黑体" w:hint="eastAsia"/>
          <w:sz w:val="44"/>
          <w:szCs w:val="44"/>
        </w:rPr>
        <w:t>名</w:t>
      </w:r>
      <w:r>
        <w:rPr>
          <w:rStyle w:val="1Char"/>
          <w:rFonts w:ascii="黑体" w:eastAsia="黑体" w:hAnsi="黑体" w:hint="eastAsia"/>
          <w:b w:val="0"/>
        </w:rPr>
        <w:t>词解释</w:t>
      </w:r>
      <w:bookmarkEnd w:id="80"/>
      <w:bookmarkEnd w:id="81"/>
      <w:bookmarkEnd w:id="82"/>
    </w:p>
    <w:p>
      <w:pPr>
        <w:spacing w:line="600" w:lineRule="exact"/>
        <w:jc w:val="left"/>
        <w:rPr>
          <w:rFonts w:ascii="宋体"/>
          <w:b/>
          <w:sz w:val="44"/>
          <w:szCs w:val="44"/>
        </w:rPr>
      </w:pPr>
    </w:p>
    <w:p>
      <w:pPr>
        <w:pStyle w:val="27"/>
        <w:adjustRightInd w:val="0"/>
        <w:snapToGrid w:val="0"/>
        <w:spacing w:line="560" w:lineRule="exact"/>
        <w:ind w:firstLineChars="200" w:firstLine="640"/>
        <w:outlineLvl w:val="1"/>
        <w:rPr>
          <w:rFonts w:ascii="仿宋_GB2312" w:eastAsia="仿宋_GB2312"/>
          <w:color w:val="auto"/>
          <w:sz w:val="32"/>
          <w:szCs w:val="32"/>
        </w:rPr>
      </w:pPr>
      <w:bookmarkStart w:id="83" w:name="_Toc3288"/>
      <w:bookmarkStart w:id="84" w:name="_Toc5536"/>
      <w:bookmarkStart w:id="85" w:name="_Toc15680"/>
      <w:bookmarkStart w:id="86" w:name="_Toc15396614"/>
      <w:bookmarkStart w:id="87" w:name="_Toc15377226"/>
      <w:r>
        <w:rPr>
          <w:rFonts w:ascii="仿宋_GB2312" w:eastAsia="仿宋_GB2312" w:hint="eastAsia"/>
          <w:color w:val="auto"/>
          <w:sz w:val="32"/>
          <w:szCs w:val="32"/>
        </w:rPr>
        <w:t>1.财</w:t>
      </w:r>
      <w:r>
        <w:rPr>
          <w:rFonts w:ascii="仿宋_GB2312" w:eastAsia="仿宋_GB2312" w:hint="eastAsia"/>
          <w:color w:val="auto"/>
          <w:spacing w:val="-6"/>
          <w:sz w:val="32"/>
          <w:szCs w:val="32"/>
        </w:rPr>
        <w:t>政拨款收入：指单位从同级财政部门取得的财政预算资金</w:t>
      </w:r>
      <w:r>
        <w:rPr>
          <w:rFonts w:ascii="仿宋_GB2312" w:eastAsia="仿宋_GB2312" w:hint="eastAsia"/>
          <w:color w:val="auto"/>
          <w:sz w:val="32"/>
          <w:szCs w:val="32"/>
        </w:rPr>
        <w:t>。</w:t>
      </w:r>
      <w:bookmarkEnd w:id="83"/>
      <w:bookmarkEnd w:id="84"/>
      <w:bookmarkEnd w:id="85"/>
    </w:p>
    <w:p>
      <w:pPr>
        <w:pStyle w:val="27"/>
        <w:adjustRightInd w:val="0"/>
        <w:snapToGrid w:val="0"/>
        <w:spacing w:line="560" w:lineRule="exact"/>
        <w:ind w:firstLineChars="200" w:firstLine="640"/>
        <w:outlineLvl w:val="1"/>
        <w:rPr>
          <w:rFonts w:ascii="仿宋_GB2312" w:eastAsia="仿宋_GB2312"/>
          <w:color w:val="auto"/>
          <w:sz w:val="32"/>
          <w:szCs w:val="32"/>
        </w:rPr>
      </w:pPr>
      <w:bookmarkStart w:id="88" w:name="_Toc8473"/>
      <w:bookmarkStart w:id="89" w:name="_Toc18447"/>
      <w:bookmarkStart w:id="90" w:name="_Toc6452"/>
      <w:r>
        <w:rPr>
          <w:rFonts w:ascii="仿宋_GB2312" w:eastAsia="仿宋_GB2312" w:hint="eastAsia"/>
          <w:color w:val="auto"/>
          <w:sz w:val="32"/>
          <w:szCs w:val="32"/>
        </w:rPr>
        <w:t>2.事业收入：指事业单位开展专业业务活动及辅助活动取得的收入。</w:t>
      </w:r>
      <w:bookmarkEnd w:id="88"/>
      <w:bookmarkEnd w:id="89"/>
      <w:bookmarkEnd w:id="90"/>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91" w:name="_Toc14375"/>
      <w:r>
        <w:rPr>
          <w:rFonts w:ascii="仿宋_GB2312" w:eastAsia="仿宋_GB2312" w:hint="eastAsia"/>
          <w:color w:val="auto"/>
          <w:sz w:val="32"/>
          <w:szCs w:val="32"/>
        </w:rPr>
        <w:t>3.经营收入：指事业单位在专业业务活动及其辅助活动之外开展非独立核算经营活动取得的收入。。</w:t>
      </w:r>
      <w:bookmarkEnd w:id="91"/>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92" w:name="_Toc21622"/>
      <w:r>
        <w:rPr>
          <w:rFonts w:ascii="仿宋_GB2312" w:eastAsia="仿宋_GB2312" w:hint="eastAsia"/>
          <w:color w:val="auto"/>
          <w:sz w:val="32"/>
          <w:szCs w:val="32"/>
        </w:rPr>
        <w:t>4.其他收入：指单位取得的除上述收入以外的各项收入。主要是学前教育保育教育费收入、银行存款利息收入等。</w:t>
      </w:r>
      <w:bookmarkEnd w:id="92"/>
      <w:r>
        <w:rPr>
          <w:rFonts w:ascii="仿宋_GB2312" w:eastAsia="仿宋_GB2312" w:hint="eastAsia"/>
          <w:color w:val="auto"/>
          <w:sz w:val="32"/>
          <w:szCs w:val="32"/>
        </w:rPr>
        <w:t xml:space="preserve"> </w:t>
      </w:r>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93" w:name="_Toc1105"/>
      <w:r>
        <w:rPr>
          <w:rFonts w:ascii="仿宋_GB2312" w:eastAsia="仿宋_GB2312" w:hint="eastAsia"/>
          <w:color w:val="auto"/>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bookmarkEnd w:id="93"/>
      <w:r>
        <w:rPr>
          <w:rFonts w:ascii="仿宋_GB2312" w:eastAsia="仿宋_GB2312" w:hint="eastAsia"/>
          <w:color w:val="auto"/>
          <w:sz w:val="32"/>
          <w:szCs w:val="32"/>
        </w:rPr>
        <w:t xml:space="preserve"> </w:t>
      </w:r>
    </w:p>
    <w:p>
      <w:pPr>
        <w:pStyle w:val="27"/>
        <w:adjustRightInd w:val="0"/>
        <w:snapToGrid w:val="0"/>
        <w:spacing w:line="560" w:lineRule="exact"/>
        <w:ind w:firstLineChars="200" w:firstLine="640"/>
        <w:outlineLvl w:val="1"/>
        <w:rPr>
          <w:rFonts w:ascii="仿宋_GB2312" w:eastAsia="仿宋_GB2312"/>
          <w:color w:val="auto"/>
          <w:sz w:val="32"/>
          <w:szCs w:val="32"/>
        </w:rPr>
      </w:pPr>
      <w:bookmarkStart w:id="94" w:name="_Toc10972"/>
      <w:bookmarkStart w:id="95" w:name="_Toc20496"/>
      <w:bookmarkStart w:id="96" w:name="_Toc8656"/>
      <w:r>
        <w:rPr>
          <w:rFonts w:ascii="仿宋_GB2312" w:eastAsia="仿宋_GB2312" w:hint="eastAsia"/>
          <w:color w:val="auto"/>
          <w:sz w:val="32"/>
          <w:szCs w:val="32"/>
        </w:rPr>
        <w:t>6.年初结转和结余：指以前年度尚未完成、结转到本年按有关规定继续使用的资金。</w:t>
      </w:r>
      <w:bookmarkEnd w:id="94"/>
      <w:bookmarkEnd w:id="95"/>
      <w:bookmarkEnd w:id="96"/>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97" w:name="_Toc1939"/>
      <w:r>
        <w:rPr>
          <w:rFonts w:ascii="仿宋_GB2312" w:eastAsia="仿宋_GB2312" w:hint="eastAsia"/>
          <w:color w:val="auto"/>
          <w:sz w:val="32"/>
          <w:szCs w:val="32"/>
        </w:rPr>
        <w:t>7.结余分配：指事业单位按照事业单位会计制度的规定从非财政补助结余中分配的事业基金和职工福利基金等。</w:t>
      </w:r>
      <w:bookmarkEnd w:id="97"/>
    </w:p>
    <w:p>
      <w:pPr>
        <w:pStyle w:val="27"/>
        <w:adjustRightInd w:val="0"/>
        <w:snapToGrid w:val="0"/>
        <w:spacing w:line="560" w:lineRule="exact"/>
        <w:ind w:firstLineChars="200" w:firstLine="640"/>
        <w:outlineLvl w:val="1"/>
        <w:rPr>
          <w:rFonts w:ascii="仿宋_GB2312" w:eastAsia="仿宋_GB2312"/>
          <w:color w:val="auto"/>
          <w:sz w:val="32"/>
          <w:szCs w:val="32"/>
        </w:rPr>
      </w:pPr>
      <w:bookmarkStart w:id="98" w:name="_Toc17823"/>
      <w:bookmarkStart w:id="99" w:name="_Toc26707"/>
      <w:bookmarkStart w:id="100" w:name="_Toc1650"/>
      <w:r>
        <w:rPr>
          <w:rFonts w:ascii="仿宋_GB2312" w:eastAsia="仿宋_GB2312" w:hint="eastAsia"/>
          <w:color w:val="auto"/>
          <w:sz w:val="32"/>
          <w:szCs w:val="32"/>
        </w:rPr>
        <w:t>8、年末结转和结余：指单位按有关规定结转到下年或以后年度继续使用的资金。</w:t>
      </w:r>
      <w:bookmarkEnd w:id="98"/>
      <w:bookmarkEnd w:id="99"/>
      <w:bookmarkEnd w:id="100"/>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1" w:name="_Toc27032"/>
      <w:r>
        <w:rPr>
          <w:rFonts w:ascii="仿宋_GB2312" w:eastAsia="仿宋_GB2312" w:hint="eastAsia"/>
          <w:color w:val="auto"/>
          <w:sz w:val="32"/>
          <w:szCs w:val="32"/>
        </w:rPr>
        <w:t>9.教育支出（类）教育管理事务（款）行政运行（项）:反映教育行政单位（包括实行公务员管理的事业单位）的基本支出</w:t>
      </w:r>
      <w:bookmarkEnd w:id="101"/>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2" w:name="_Toc8880"/>
      <w:r>
        <w:rPr>
          <w:rFonts w:ascii="仿宋_GB2312" w:eastAsia="仿宋_GB2312" w:hint="eastAsia"/>
          <w:color w:val="auto"/>
          <w:sz w:val="32"/>
          <w:szCs w:val="32"/>
        </w:rPr>
        <w:t>10. 教育支出（类）教育管理事务（款）一般行政管理事务（项）:反映行政单位（包括实行公务员管理的事业单位）未单独设置项级科目的其它项目支出。</w:t>
      </w:r>
      <w:bookmarkEnd w:id="102"/>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3" w:name="_Toc2659"/>
      <w:r>
        <w:rPr>
          <w:rFonts w:ascii="仿宋_GB2312" w:eastAsia="仿宋_GB2312" w:hint="eastAsia"/>
          <w:color w:val="auto"/>
          <w:sz w:val="32"/>
          <w:szCs w:val="32"/>
        </w:rPr>
        <w:t>11. 教育支出（类）教育管理事务（款）其它教育管理事务支出（项）:反映除上述项目以外其它用户教育管理事务方面的支出。</w:t>
      </w:r>
      <w:bookmarkEnd w:id="103"/>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4" w:name="_Toc32069"/>
      <w:r>
        <w:rPr>
          <w:rFonts w:ascii="仿宋_GB2312" w:eastAsia="仿宋_GB2312" w:hint="eastAsia"/>
          <w:color w:val="auto"/>
          <w:sz w:val="32"/>
          <w:szCs w:val="32"/>
        </w:rPr>
        <w:t>12. 教育支出（类）普通教育（款）学前教育（项）:反映各部门举办的学前教育支出。</w:t>
      </w:r>
      <w:bookmarkEnd w:id="104"/>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5" w:name="_Toc15835"/>
      <w:r>
        <w:rPr>
          <w:rFonts w:ascii="仿宋_GB2312" w:eastAsia="仿宋_GB2312" w:hint="eastAsia"/>
          <w:color w:val="auto"/>
          <w:sz w:val="32"/>
          <w:szCs w:val="32"/>
        </w:rPr>
        <w:t>13. 教育支出（类）普通教育（款）小学教育（项）:反映各部门举办的小学教育支出。政府各部门对社会中介组织等举办的小学的资助，如各类捐赠、补贴等，也在本科目中反映。</w:t>
      </w:r>
      <w:bookmarkEnd w:id="105"/>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6" w:name="_Toc10966"/>
      <w:r>
        <w:rPr>
          <w:rFonts w:ascii="仿宋_GB2312" w:eastAsia="仿宋_GB2312" w:hint="eastAsia"/>
          <w:color w:val="auto"/>
          <w:sz w:val="32"/>
          <w:szCs w:val="32"/>
        </w:rPr>
        <w:t>14. 教育支出（类）普通教育（款）初中教育（项）: 反映各部门举办的初中教育支出。政府各部门对社会中介组织等举办的初中教育的资助，如捐赠、补贴等，也在本科目中反映。</w:t>
      </w:r>
      <w:bookmarkEnd w:id="106"/>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7" w:name="_Toc10336"/>
      <w:r>
        <w:rPr>
          <w:rFonts w:ascii="仿宋_GB2312" w:eastAsia="仿宋_GB2312" w:hint="eastAsia"/>
          <w:color w:val="auto"/>
          <w:sz w:val="32"/>
          <w:szCs w:val="32"/>
        </w:rPr>
        <w:t>15. 教育支出（类）普通教育（款）高中教育（项）: 反映各部门举办的高级中学教育支出。政府各部门对社会中介组织等举办的高级中学的资助，如捐赠、补贴等，也在本科目中反映。</w:t>
      </w:r>
      <w:bookmarkEnd w:id="107"/>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8" w:name="_Toc12355"/>
      <w:r>
        <w:rPr>
          <w:rFonts w:ascii="仿宋_GB2312" w:eastAsia="仿宋_GB2312" w:hint="eastAsia"/>
          <w:color w:val="auto"/>
          <w:sz w:val="32"/>
          <w:szCs w:val="32"/>
        </w:rPr>
        <w:t>16. 教育支出（类）普通教育（款）其它普通教育（项）: 反映除上述项目以外其他用于普通教育方面的支出。</w:t>
      </w:r>
      <w:bookmarkEnd w:id="108"/>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09" w:name="_Toc27979"/>
      <w:r>
        <w:rPr>
          <w:rFonts w:ascii="仿宋_GB2312" w:eastAsia="仿宋_GB2312" w:hint="eastAsia"/>
          <w:color w:val="auto"/>
          <w:sz w:val="32"/>
          <w:szCs w:val="32"/>
        </w:rPr>
        <w:t>17. 教育支出（类）职业教育（款）职业高中教育（项）: 反映各部门举办的职业中学、农业中学（含普通高中改制的）、半工（农）半读中学的支出或补助费</w:t>
      </w:r>
      <w:bookmarkEnd w:id="109"/>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0" w:name="_Toc30097"/>
      <w:r>
        <w:rPr>
          <w:rFonts w:ascii="仿宋_GB2312" w:eastAsia="仿宋_GB2312" w:hint="eastAsia"/>
          <w:color w:val="auto"/>
          <w:sz w:val="32"/>
          <w:szCs w:val="32"/>
        </w:rPr>
        <w:t>18. 教育</w:t>
      </w:r>
      <w:r>
        <w:rPr>
          <w:rFonts w:ascii="仿宋_GB2312" w:eastAsia="仿宋_GB2312" w:hint="eastAsia"/>
          <w:color w:val="auto"/>
          <w:spacing w:val="-6"/>
          <w:sz w:val="32"/>
          <w:szCs w:val="32"/>
        </w:rPr>
        <w:t>支出（类）职业教育（款）高等职业教育（项）:反映经国家批准设立的高等职业大学、专科职业教育等方面的</w:t>
      </w:r>
      <w:r>
        <w:rPr>
          <w:rFonts w:ascii="仿宋_GB2312" w:eastAsia="仿宋_GB2312" w:hint="eastAsia"/>
          <w:color w:val="auto"/>
          <w:sz w:val="32"/>
          <w:szCs w:val="32"/>
        </w:rPr>
        <w:t>支出。</w:t>
      </w:r>
      <w:bookmarkEnd w:id="110"/>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1" w:name="_Toc9812"/>
      <w:r>
        <w:rPr>
          <w:rFonts w:ascii="仿宋_GB2312" w:eastAsia="仿宋_GB2312" w:hint="eastAsia"/>
          <w:color w:val="auto"/>
          <w:sz w:val="32"/>
          <w:szCs w:val="32"/>
        </w:rPr>
        <w:t>19. 教育支出（类）特殊教育（款）特殊学校教育（项）: 指各部门举办的盲童学校、聋哑学校、智力落后儿童学校、其它生理缺陷儿童学校的支出。</w:t>
      </w:r>
      <w:bookmarkEnd w:id="111"/>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2" w:name="_Toc24634"/>
      <w:r>
        <w:rPr>
          <w:rFonts w:ascii="仿宋_GB2312" w:eastAsia="仿宋_GB2312" w:hint="eastAsia"/>
          <w:color w:val="auto"/>
          <w:sz w:val="32"/>
          <w:szCs w:val="32"/>
        </w:rPr>
        <w:t>20. 教育支出（类）特殊教育（款）工读学校教育（项）:指各部门举办的工读学校的支出。</w:t>
      </w:r>
      <w:bookmarkEnd w:id="112"/>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3" w:name="_Toc4906"/>
      <w:r>
        <w:rPr>
          <w:rFonts w:ascii="仿宋_GB2312" w:eastAsia="仿宋_GB2312" w:hint="eastAsia"/>
          <w:color w:val="auto"/>
          <w:sz w:val="32"/>
          <w:szCs w:val="32"/>
        </w:rPr>
        <w:t>21. 教育支出（类）教育附加费安排的支出（款）农村中小学校舍建设（项）:反映教育附加费安排用于农村中小学校舍新建、改建、修缮和维护的支出。</w:t>
      </w:r>
      <w:bookmarkEnd w:id="113"/>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4" w:name="_Toc18661"/>
      <w:r>
        <w:rPr>
          <w:rFonts w:ascii="仿宋_GB2312" w:eastAsia="仿宋_GB2312" w:hint="eastAsia"/>
          <w:color w:val="auto"/>
          <w:sz w:val="32"/>
          <w:szCs w:val="32"/>
        </w:rPr>
        <w:t>22. 教育支出（类）教育附加费安排的支出（款）城市中小学校舍建设（项）: 反映教育附加费安排用于城市中小学校舍新建、改建、修缮和维护的支出。</w:t>
      </w:r>
      <w:bookmarkEnd w:id="114"/>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5" w:name="_Toc10945"/>
      <w:r>
        <w:rPr>
          <w:rFonts w:ascii="仿宋_GB2312" w:eastAsia="仿宋_GB2312" w:hint="eastAsia"/>
          <w:color w:val="auto"/>
          <w:sz w:val="32"/>
          <w:szCs w:val="32"/>
        </w:rPr>
        <w:t>23. 教育支出（类）教育附加费安排的支出（款）其它教育附加费安排的支出（项）: 指除上述项目以外的教育附加费支出。</w:t>
      </w:r>
      <w:bookmarkEnd w:id="115"/>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6" w:name="_Toc28662"/>
      <w:r>
        <w:rPr>
          <w:rFonts w:ascii="仿宋_GB2312" w:eastAsia="仿宋_GB2312" w:hint="eastAsia"/>
          <w:color w:val="auto"/>
          <w:sz w:val="32"/>
          <w:szCs w:val="32"/>
        </w:rPr>
        <w:t>24. 教育支出（类）其它教育支出（款）其他教育支出（项）: 指上述项目以外其他用于教育方面的支出。</w:t>
      </w:r>
      <w:bookmarkEnd w:id="116"/>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7" w:name="_Toc17445"/>
      <w:r>
        <w:rPr>
          <w:rFonts w:ascii="仿宋_GB2312" w:eastAsia="仿宋_GB2312" w:hint="eastAsia"/>
          <w:color w:val="auto"/>
          <w:sz w:val="32"/>
          <w:szCs w:val="32"/>
        </w:rPr>
        <w:t>25. 社会保障和就业支出（类）行政事业单位离退休（款）机关事业单位基本养老保险缴费支出（项）: 指机关事业单位实施养老保险制度由单位缴纳的基本养老保险费支出。</w:t>
      </w:r>
      <w:bookmarkEnd w:id="117"/>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8" w:name="_Toc28574"/>
      <w:r>
        <w:rPr>
          <w:rFonts w:ascii="仿宋_GB2312" w:eastAsia="仿宋_GB2312" w:hint="eastAsia"/>
          <w:color w:val="auto"/>
          <w:sz w:val="32"/>
          <w:szCs w:val="32"/>
        </w:rPr>
        <w:t>26. 社会保障和就业支出（类）行政事业单位离退休（款）机关事业单位职业年金缴费支出（项）: 指机关事业单位实施养老保险制度由单位实际缴纳的职业年金支出。</w:t>
      </w:r>
      <w:bookmarkEnd w:id="118"/>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19" w:name="_Toc31443"/>
      <w:r>
        <w:rPr>
          <w:rFonts w:ascii="仿宋_GB2312" w:eastAsia="仿宋_GB2312" w:hint="eastAsia"/>
          <w:color w:val="auto"/>
          <w:sz w:val="32"/>
          <w:szCs w:val="32"/>
        </w:rPr>
        <w:t>27. 社会保障和就业支出（类）抚恤（款）死亡抚恤（项）: 指按规定用于烈士和牺牲、病故人员家属的一次性和定期抚恤金以及丧葬补助费。</w:t>
      </w:r>
      <w:bookmarkEnd w:id="119"/>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20" w:name="_Toc24390"/>
      <w:r>
        <w:rPr>
          <w:rFonts w:ascii="仿宋_GB2312" w:eastAsia="仿宋_GB2312" w:hint="eastAsia"/>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bookmarkEnd w:id="120"/>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21" w:name="_Toc21221"/>
      <w:r>
        <w:rPr>
          <w:rFonts w:ascii="仿宋_GB2312" w:eastAsia="仿宋_GB2312" w:hint="eastAsia"/>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bookmarkEnd w:id="121"/>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22" w:name="_Toc15252"/>
      <w:r>
        <w:rPr>
          <w:rFonts w:ascii="仿宋_GB2312" w:eastAsia="仿宋_GB2312" w:hint="eastAsia"/>
          <w:color w:val="auto"/>
          <w:sz w:val="32"/>
          <w:szCs w:val="32"/>
        </w:rPr>
        <w:t>30.</w:t>
      </w:r>
      <w:bookmarkStart w:id="123" w:name="_Toc916"/>
      <w:bookmarkEnd w:id="122"/>
      <w:r>
        <w:rPr>
          <w:rFonts w:ascii="仿宋_GB2312" w:eastAsia="仿宋_GB2312" w:hint="eastAsia"/>
          <w:color w:val="auto"/>
          <w:sz w:val="32"/>
          <w:szCs w:val="32"/>
        </w:rPr>
        <w:t>住房保障支出（类）住房改革支出（款）住房公积金（项）: 指行政事业单位按人力资源和社会保障部、财政部规定的基本工资和津贴补贴以及规定比例为职工缴纳的住房公积金。</w:t>
      </w:r>
      <w:bookmarkEnd w:id="123"/>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24" w:name="_Toc32603"/>
      <w:r>
        <w:rPr>
          <w:rFonts w:ascii="仿宋_GB2312" w:eastAsia="仿宋_GB2312" w:hint="eastAsia"/>
          <w:color w:val="auto"/>
          <w:sz w:val="32"/>
          <w:szCs w:val="32"/>
        </w:rPr>
        <w:t>31. 其他支出（类）其他支出（款）其他支出（项）: 指上述项目以外其他不能划分到具体功能科目中的支出项目。</w:t>
      </w:r>
      <w:bookmarkEnd w:id="124"/>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25" w:name="_Toc17121"/>
      <w:r>
        <w:rPr>
          <w:rFonts w:ascii="仿宋_GB2312" w:eastAsia="仿宋_GB2312" w:hint="eastAsia"/>
          <w:color w:val="auto"/>
          <w:sz w:val="32"/>
          <w:szCs w:val="32"/>
        </w:rPr>
        <w:t>32.基本支出：指为保障机构正常运转、完成日常工作任务而发生的人员支出和公用支出。</w:t>
      </w:r>
      <w:bookmarkEnd w:id="125"/>
    </w:p>
    <w:p>
      <w:pPr>
        <w:pStyle w:val="27"/>
        <w:adjustRightInd w:val="0"/>
        <w:snapToGrid w:val="0"/>
        <w:spacing w:line="560" w:lineRule="exact"/>
        <w:ind w:firstLineChars="200" w:firstLine="640"/>
        <w:outlineLvl w:val="1"/>
        <w:rPr>
          <w:rFonts w:ascii="仿宋_GB2312" w:eastAsia="仿宋_GB2312"/>
          <w:color w:val="auto"/>
          <w:sz w:val="32"/>
          <w:szCs w:val="32"/>
        </w:rPr>
      </w:pPr>
      <w:bookmarkStart w:id="126" w:name="_Toc31294"/>
      <w:bookmarkStart w:id="127" w:name="_Toc32046"/>
      <w:r>
        <w:rPr>
          <w:rFonts w:ascii="仿宋_GB2312" w:eastAsia="仿宋_GB2312" w:hint="eastAsia"/>
          <w:color w:val="auto"/>
          <w:sz w:val="32"/>
          <w:szCs w:val="32"/>
        </w:rPr>
        <w:t>33.项目支出：指在基本支出之外为完成特定行政任务和事业发展目标所发生的支出。</w:t>
      </w:r>
      <w:bookmarkEnd w:id="126"/>
      <w:bookmarkEnd w:id="127"/>
      <w:r>
        <w:rPr>
          <w:rFonts w:ascii="仿宋_GB2312" w:eastAsia="仿宋_GB2312" w:hint="eastAsia"/>
          <w:color w:val="auto"/>
          <w:sz w:val="32"/>
          <w:szCs w:val="32"/>
        </w:rPr>
        <w:t xml:space="preserve"> </w:t>
      </w:r>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28" w:name="_Toc863"/>
      <w:r>
        <w:rPr>
          <w:rFonts w:ascii="仿宋_GB2312" w:eastAsia="仿宋_GB2312" w:hint="eastAsia"/>
          <w:color w:val="auto"/>
          <w:sz w:val="32"/>
          <w:szCs w:val="32"/>
        </w:rPr>
        <w:t>34.经营支出：指事业单位在专业业务活动及其辅助活动之外开展非独立核算经营活动发生的支出。</w:t>
      </w:r>
      <w:bookmarkEnd w:id="128"/>
    </w:p>
    <w:p>
      <w:pPr>
        <w:pStyle w:val="27"/>
        <w:adjustRightInd w:val="0"/>
        <w:snapToGrid w:val="0"/>
        <w:spacing w:line="560" w:lineRule="exact"/>
        <w:ind w:firstLineChars="200" w:firstLine="640"/>
        <w:outlineLvl w:val="2"/>
        <w:rPr>
          <w:rFonts w:ascii="仿宋_GB2312" w:eastAsia="仿宋_GB2312"/>
          <w:color w:val="auto"/>
          <w:sz w:val="32"/>
          <w:szCs w:val="32"/>
        </w:rPr>
      </w:pPr>
      <w:bookmarkStart w:id="129" w:name="_Toc18034"/>
      <w:r>
        <w:rPr>
          <w:rFonts w:ascii="仿宋_GB2312" w:eastAsia="仿宋_GB2312" w:hint="eastAsia"/>
          <w:color w:val="auto"/>
          <w:sz w:val="32"/>
          <w:szCs w:val="32"/>
        </w:rPr>
        <w:t>35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129"/>
    </w:p>
    <w:p>
      <w:pPr>
        <w:widowControl/>
        <w:jc w:val="left"/>
        <w:rPr>
          <w:rFonts w:ascii="黑体" w:eastAsia="黑体" w:hAnsi="黑体"/>
          <w:sz w:val="44"/>
          <w:szCs w:val="44"/>
        </w:rPr>
      </w:pPr>
    </w:p>
    <w:p>
      <w:pPr>
        <w:numPr>
          <w:ilvl w:val="0"/>
          <w:numId w:val="3"/>
        </w:numPr>
        <w:spacing w:line="600" w:lineRule="exact"/>
        <w:jc w:val="center"/>
        <w:outlineLvl w:val="0"/>
        <w:rPr>
          <w:rFonts w:ascii="黑体" w:eastAsia="黑体" w:hAnsi="黑体"/>
          <w:bCs/>
          <w:kern w:val="44"/>
          <w:sz w:val="44"/>
          <w:szCs w:val="44"/>
        </w:rPr>
      </w:pPr>
      <w:bookmarkStart w:id="130" w:name="_Toc26519"/>
      <w:r>
        <w:rPr>
          <w:rStyle w:val="1Char"/>
          <w:rFonts w:ascii="黑体" w:eastAsia="黑体" w:hAnsi="黑体" w:hint="eastAsia"/>
        </w:rPr>
        <w:t>附件</w:t>
      </w:r>
      <w:bookmarkEnd w:id="130"/>
    </w:p>
    <w:p>
      <w:pPr>
        <w:pStyle w:val="2"/>
        <w:rPr>
          <w:rStyle w:val="2Char"/>
          <w:rFonts w:ascii="黑体" w:eastAsia="黑体" w:hAnsi="黑体"/>
        </w:rPr>
      </w:pPr>
      <w:bookmarkStart w:id="131" w:name="_Toc1715"/>
      <w:r>
        <w:rPr>
          <w:rStyle w:val="2Char"/>
          <w:rFonts w:ascii="黑体" w:eastAsia="黑体" w:hAnsi="黑体" w:hint="eastAsia"/>
        </w:rPr>
        <w:t>2021年建平初级中学整体支出绩效评价报告</w:t>
      </w:r>
      <w:bookmarkEnd w:id="131"/>
    </w:p>
    <w:p>
      <w:pPr>
        <w:snapToGrid w:val="0"/>
        <w:spacing w:line="520" w:lineRule="exact"/>
        <w:ind w:firstLineChars="200" w:firstLine="640"/>
        <w:contextualSpacing/>
        <w:rPr>
          <w:rFonts w:ascii="仿宋_GB2312" w:eastAsia="仿宋_GB2312" w:cs="仿宋" w:hAnsi="Calibri"/>
          <w:kern w:val="0"/>
          <w:sz w:val="32"/>
          <w:szCs w:val="32"/>
        </w:rPr>
      </w:pPr>
      <w:r>
        <w:rPr>
          <w:rFonts w:ascii="仿宋_GB2312" w:eastAsia="仿宋_GB2312" w:cs="仿宋" w:hAnsi="Calibri" w:hint="eastAsia"/>
          <w:kern w:val="0"/>
          <w:sz w:val="32"/>
          <w:szCs w:val="32"/>
        </w:rPr>
        <w:t>根据广元市利州区财政局《关于开展2022年部门、政策和项目支出绩效评价工作的通知》（广利财发〔2022〕7号）要求，我校高度重视，及时组织各处室（中心）对2021年度我校整体支出绩效评价进行了自评，现将有关情况报告如下：</w:t>
      </w:r>
    </w:p>
    <w:p>
      <w:pPr>
        <w:numPr>
          <w:ilvl w:val="0"/>
          <w:numId w:val="4"/>
        </w:numPr>
        <w:adjustRightInd w:val="0"/>
        <w:snapToGrid w:val="0"/>
        <w:spacing w:line="520" w:lineRule="exact"/>
        <w:ind w:left="0" w:firstLineChars="200" w:firstLine="640"/>
        <w:contextualSpacing/>
        <w:outlineLvl w:val="1"/>
        <w:rPr>
          <w:rFonts w:ascii="方正黑体简体" w:eastAsia="方正黑体简体" w:cs="宋体" w:hAnsi="宋体"/>
          <w:color w:val="000000"/>
          <w:kern w:val="0"/>
          <w:sz w:val="32"/>
          <w:szCs w:val="32"/>
          <w:shd w:val="clear" w:color="auto" w:fill="FFFFFF"/>
          <w:lang w:val="zh-CN"/>
        </w:rPr>
      </w:pPr>
      <w:bookmarkStart w:id="132" w:name="_Toc13513"/>
      <w:bookmarkStart w:id="133" w:name="_Toc7481"/>
      <w:r>
        <w:rPr>
          <w:rFonts w:ascii="方正黑体简体" w:eastAsia="方正黑体简体" w:cs="宋体" w:hAnsi="宋体" w:hint="eastAsia"/>
          <w:color w:val="000000"/>
          <w:kern w:val="0"/>
          <w:sz w:val="32"/>
          <w:szCs w:val="32"/>
          <w:shd w:val="clear" w:color="auto" w:fill="FFFFFF"/>
          <w:lang w:val="zh-CN"/>
        </w:rPr>
        <w:t>部门（单位）概况</w:t>
      </w:r>
      <w:bookmarkEnd w:id="132"/>
      <w:bookmarkEnd w:id="133"/>
    </w:p>
    <w:p>
      <w:pPr>
        <w:snapToGrid w:val="0"/>
        <w:spacing w:line="520" w:lineRule="exact"/>
        <w:ind w:firstLineChars="200" w:firstLine="640"/>
        <w:rPr>
          <w:rFonts w:ascii="楷体" w:eastAsia="楷体" w:cs="楷体" w:hAnsi="楷体"/>
          <w:sz w:val="32"/>
          <w:szCs w:val="32"/>
        </w:rPr>
      </w:pPr>
      <w:r>
        <w:rPr>
          <w:rFonts w:ascii="楷体" w:eastAsia="楷体" w:cs="楷体" w:hAnsi="楷体" w:hint="eastAsia"/>
          <w:sz w:val="32"/>
          <w:szCs w:val="32"/>
        </w:rPr>
        <w:t>（一）机构组成</w:t>
      </w:r>
    </w:p>
    <w:p>
      <w:pPr>
        <w:snapToGrid w:val="0"/>
        <w:spacing w:line="520" w:lineRule="exact"/>
        <w:ind w:firstLineChars="200" w:firstLine="560"/>
        <w:rPr>
          <w:rFonts w:ascii="仿宋" w:eastAsia="仿宋" w:cs="仿宋" w:hAnsi="仿宋"/>
          <w:color w:val="000000"/>
          <w:sz w:val="28"/>
          <w:szCs w:val="28"/>
        </w:rPr>
      </w:pPr>
      <w:r>
        <w:rPr>
          <w:rFonts w:ascii="仿宋" w:eastAsia="仿宋" w:cs="仿宋" w:hAnsi="仿宋" w:hint="eastAsia"/>
          <w:color w:val="000000"/>
          <w:sz w:val="28"/>
          <w:szCs w:val="28"/>
        </w:rPr>
        <w:t>广元市利州区建平初级中学是广元市利州区教育局下属二级预算单位，单位性质为全额财政拨款事业单位，</w:t>
      </w:r>
      <w:r>
        <w:rPr>
          <w:rFonts w:ascii="仿宋" w:eastAsia="仿宋" w:cs="仿宋" w:hAnsi="仿宋" w:hint="eastAsia"/>
          <w:color w:val="000000"/>
          <w:kern w:val="0"/>
          <w:sz w:val="28"/>
          <w:szCs w:val="28"/>
          <w:shd w:val="clear" w:color="auto" w:fill="FFFFFF"/>
          <w:lang w:val="zh-CN"/>
        </w:rPr>
        <w:t>是区编制委员会命名的独立法人机构。</w:t>
      </w:r>
    </w:p>
    <w:p>
      <w:pPr>
        <w:snapToGrid w:val="0"/>
        <w:spacing w:line="520" w:lineRule="exact"/>
        <w:ind w:firstLineChars="200" w:firstLine="640"/>
        <w:rPr>
          <w:rFonts w:ascii="仿宋_GB2312" w:eastAsia="仿宋_GB2312" w:cs="仿宋" w:hAnsi="Calibri"/>
          <w:kern w:val="0"/>
          <w:sz w:val="32"/>
          <w:szCs w:val="32"/>
        </w:rPr>
      </w:pPr>
      <w:r>
        <w:rPr>
          <w:rFonts w:ascii="楷体" w:eastAsia="楷体" w:cs="楷体" w:hAnsi="楷体" w:hint="eastAsia"/>
          <w:sz w:val="32"/>
          <w:szCs w:val="32"/>
        </w:rPr>
        <w:t>（二）机构职能</w:t>
      </w:r>
    </w:p>
    <w:p>
      <w:pPr>
        <w:snapToGrid w:val="0"/>
        <w:spacing w:line="520" w:lineRule="exact"/>
        <w:ind w:firstLineChars="200" w:firstLine="560"/>
        <w:rPr>
          <w:rFonts w:ascii="仿宋" w:eastAsia="仿宋" w:cs="仿宋" w:hAnsi="仿宋"/>
          <w:color w:val="000000"/>
          <w:sz w:val="28"/>
          <w:szCs w:val="28"/>
        </w:rPr>
      </w:pPr>
      <w:r>
        <w:rPr>
          <w:rFonts w:ascii="仿宋" w:eastAsia="仿宋" w:cs="仿宋" w:hAnsi="仿宋" w:hint="eastAsia"/>
          <w:color w:val="000000"/>
          <w:sz w:val="28"/>
          <w:szCs w:val="28"/>
        </w:rPr>
        <w:t>1.维护学生平等入学权利、建立控辍保学工作机制、满足需要特殊关注学生的需求等管理任务。</w:t>
      </w:r>
    </w:p>
    <w:p>
      <w:pPr>
        <w:snapToGrid w:val="0"/>
        <w:spacing w:line="520" w:lineRule="exact"/>
        <w:ind w:firstLineChars="200" w:firstLine="560"/>
        <w:rPr>
          <w:rFonts w:ascii="仿宋" w:eastAsia="仿宋" w:cs="仿宋" w:hAnsi="仿宋"/>
          <w:color w:val="000000"/>
          <w:sz w:val="28"/>
          <w:szCs w:val="28"/>
        </w:rPr>
      </w:pPr>
      <w:r>
        <w:rPr>
          <w:rFonts w:ascii="仿宋" w:eastAsia="仿宋" w:cs="仿宋" w:hAnsi="仿宋" w:hint="eastAsia"/>
          <w:color w:val="000000"/>
          <w:sz w:val="28"/>
          <w:szCs w:val="28"/>
        </w:rPr>
        <w:t>2.提升学生道德品质、帮助学生学会学习、增进学生身心健康、提高学生艺术素养、培养学生生活本领等管理任务。</w:t>
      </w:r>
    </w:p>
    <w:p>
      <w:pPr>
        <w:snapToGrid w:val="0"/>
        <w:spacing w:line="520" w:lineRule="exact"/>
        <w:ind w:firstLineChars="200" w:firstLine="560"/>
        <w:rPr>
          <w:rFonts w:ascii="仿宋" w:eastAsia="仿宋" w:cs="仿宋" w:hAnsi="仿宋"/>
          <w:color w:val="000000"/>
          <w:sz w:val="28"/>
          <w:szCs w:val="28"/>
        </w:rPr>
      </w:pPr>
      <w:r>
        <w:rPr>
          <w:rFonts w:ascii="仿宋" w:eastAsia="仿宋" w:cs="仿宋" w:hAnsi="仿宋" w:hint="eastAsia"/>
          <w:color w:val="000000"/>
          <w:sz w:val="28"/>
          <w:szCs w:val="28"/>
        </w:rPr>
        <w:t>3.加强教师管理和职业道德建设、提高教师教育教学能力、建立教师专业发展支持体系等管理任务。</w:t>
      </w:r>
    </w:p>
    <w:p>
      <w:pPr>
        <w:snapToGrid w:val="0"/>
        <w:spacing w:line="520" w:lineRule="exact"/>
        <w:ind w:firstLineChars="200" w:firstLine="560"/>
        <w:rPr>
          <w:rFonts w:ascii="仿宋" w:eastAsia="仿宋" w:cs="仿宋" w:hAnsi="仿宋"/>
          <w:color w:val="000000"/>
          <w:sz w:val="28"/>
          <w:szCs w:val="28"/>
        </w:rPr>
      </w:pPr>
      <w:r>
        <w:rPr>
          <w:rFonts w:ascii="仿宋" w:eastAsia="仿宋" w:cs="仿宋" w:hAnsi="仿宋" w:hint="eastAsia"/>
          <w:color w:val="000000"/>
          <w:sz w:val="28"/>
          <w:szCs w:val="28"/>
        </w:rPr>
        <w:t>4.建设适合学生发展的课程体系，实施以学生发展为本的教学，建立促进学生发展的评价体系，提供便利实用的教学资源等管理任务。</w:t>
      </w:r>
    </w:p>
    <w:p>
      <w:pPr>
        <w:snapToGrid w:val="0"/>
        <w:spacing w:line="520" w:lineRule="exact"/>
        <w:ind w:firstLineChars="200" w:firstLine="560"/>
        <w:rPr>
          <w:rFonts w:ascii="仿宋" w:eastAsia="仿宋" w:cs="仿宋" w:hAnsi="仿宋"/>
          <w:color w:val="000000"/>
          <w:sz w:val="28"/>
          <w:szCs w:val="28"/>
        </w:rPr>
      </w:pPr>
      <w:r>
        <w:rPr>
          <w:rFonts w:ascii="仿宋" w:eastAsia="仿宋" w:cs="仿宋" w:hAnsi="仿宋" w:hint="eastAsia"/>
          <w:color w:val="000000"/>
          <w:sz w:val="28"/>
          <w:szCs w:val="28"/>
        </w:rPr>
        <w:t>5.建立切实可行的安全与健康管理制度、建设安全卫生的学校基础设施、开展以生活技能为基础的安全健康教育、营造健康向上的学校文化等管理任务。</w:t>
      </w:r>
    </w:p>
    <w:p>
      <w:pPr>
        <w:snapToGrid w:val="0"/>
        <w:spacing w:line="520" w:lineRule="exact"/>
        <w:ind w:firstLineChars="200" w:firstLine="560"/>
        <w:rPr>
          <w:rFonts w:ascii="仿宋" w:eastAsia="仿宋" w:cs="仿宋" w:hAnsi="仿宋"/>
          <w:color w:val="000000"/>
          <w:sz w:val="28"/>
          <w:szCs w:val="28"/>
        </w:rPr>
      </w:pPr>
      <w:r>
        <w:rPr>
          <w:rFonts w:ascii="仿宋" w:eastAsia="仿宋" w:cs="仿宋" w:hAnsi="仿宋" w:hint="eastAsia"/>
          <w:color w:val="000000"/>
          <w:sz w:val="28"/>
          <w:szCs w:val="28"/>
        </w:rPr>
        <w:t>6.依法科学管理能力，建立健全民主管理制度，构建和谐的家庭、学校、社区合作关系等管理任务。</w:t>
      </w:r>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（三）</w:t>
      </w:r>
      <w:r>
        <w:rPr>
          <w:rFonts w:ascii="楷体" w:eastAsia="楷体" w:cs="楷体" w:hAnsi="楷体" w:hint="eastAsia"/>
          <w:sz w:val="32"/>
          <w:szCs w:val="32"/>
        </w:rPr>
        <w:t>人员概况</w:t>
      </w:r>
    </w:p>
    <w:p>
      <w:pPr>
        <w:widowControl/>
        <w:adjustRightInd w:val="0"/>
        <w:snapToGrid w:val="0"/>
        <w:spacing w:line="520" w:lineRule="exact"/>
        <w:ind w:firstLineChars="200" w:firstLine="536"/>
        <w:contextualSpacing/>
        <w:jc w:val="left"/>
        <w:rPr>
          <w:rFonts w:ascii="仿宋" w:eastAsia="仿宋" w:cs="仿宋" w:hAnsi="仿宋"/>
          <w:color w:val="000000"/>
          <w:kern w:val="0"/>
          <w:sz w:val="28"/>
          <w:szCs w:val="28"/>
          <w:shd w:val="clear" w:color="auto" w:fill="FFFFFF"/>
          <w:lang w:val="zh-CN"/>
        </w:rPr>
      </w:pPr>
      <w:r>
        <w:rPr>
          <w:rFonts w:ascii="仿宋" w:eastAsia="仿宋" w:cs="仿宋" w:hAnsi="仿宋" w:hint="eastAsia"/>
          <w:color w:val="000000"/>
          <w:spacing w:val="-6"/>
          <w:kern w:val="0"/>
          <w:sz w:val="28"/>
          <w:szCs w:val="28"/>
          <w:shd w:val="clear" w:color="auto" w:fill="FFFFFF"/>
          <w:lang w:val="zh-CN"/>
        </w:rPr>
        <w:t>广元市利州区建平初级中学2021年教师编制数为</w:t>
      </w:r>
      <w:r>
        <w:rPr>
          <w:rFonts w:ascii="仿宋" w:eastAsia="仿宋" w:cs="仿宋" w:hAnsi="仿宋" w:hint="eastAsia"/>
          <w:spacing w:val="-6"/>
          <w:kern w:val="0"/>
          <w:sz w:val="28"/>
          <w:szCs w:val="28"/>
          <w:shd w:val="clear" w:color="auto" w:fill="FFFFFF"/>
          <w:lang w:val="zh-CN"/>
        </w:rPr>
        <w:t>66</w:t>
      </w:r>
      <w:r>
        <w:rPr>
          <w:rFonts w:ascii="仿宋" w:eastAsia="仿宋" w:cs="仿宋" w:hAnsi="仿宋" w:hint="eastAsia"/>
          <w:color w:val="000000"/>
          <w:spacing w:val="-6"/>
          <w:kern w:val="0"/>
          <w:sz w:val="28"/>
          <w:szCs w:val="28"/>
          <w:shd w:val="clear" w:color="auto" w:fill="FFFFFF"/>
          <w:lang w:val="zh-CN"/>
        </w:rPr>
        <w:t>，年末在职教职工65人（含教师管理中心1人），学生人数834人。</w:t>
      </w:r>
    </w:p>
    <w:p>
      <w:pPr>
        <w:adjustRightInd w:val="0"/>
        <w:snapToGrid w:val="0"/>
        <w:spacing w:line="520" w:lineRule="exact"/>
        <w:ind w:firstLineChars="200" w:firstLine="640"/>
        <w:contextualSpacing/>
        <w:outlineLvl w:val="1"/>
        <w:rPr>
          <w:rFonts w:ascii="方正黑体简体" w:eastAsia="方正黑体简体" w:cs="宋体" w:hAnsi="宋体"/>
          <w:color w:val="000000"/>
          <w:kern w:val="0"/>
          <w:sz w:val="32"/>
          <w:szCs w:val="32"/>
          <w:shd w:val="clear" w:color="auto" w:fill="FFFFFF"/>
        </w:rPr>
      </w:pPr>
      <w:bookmarkStart w:id="134" w:name="_Toc32138"/>
      <w:bookmarkStart w:id="135" w:name="_Toc20821"/>
      <w:r>
        <w:rPr>
          <w:rFonts w:ascii="方正黑体简体" w:eastAsia="方正黑体简体" w:cs="宋体" w:hAnsi="宋体" w:hint="eastAsia"/>
          <w:color w:val="000000"/>
          <w:kern w:val="0"/>
          <w:sz w:val="32"/>
          <w:szCs w:val="32"/>
          <w:shd w:val="clear" w:color="auto" w:fill="FFFFFF"/>
        </w:rPr>
        <w:t>二、部门财政资金收支情况</w:t>
      </w:r>
      <w:bookmarkEnd w:id="134"/>
      <w:bookmarkEnd w:id="135"/>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（一）部门财政资金收入情况</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2021年度建平初级中学本年一般公共预算财政拨款收入</w:t>
      </w:r>
      <w:r>
        <w:rPr>
          <w:rFonts w:ascii="仿宋" w:eastAsia="仿宋" w:hAnsi="仿宋"/>
          <w:color w:val="000000"/>
          <w:sz w:val="32"/>
          <w:szCs w:val="32"/>
        </w:rPr>
        <w:t>1162.13</w:t>
      </w:r>
      <w:r>
        <w:rPr>
          <w:rFonts w:ascii="仿宋" w:eastAsia="仿宋" w:cs="仿宋_GB2312" w:hAnsi="仿宋" w:hint="eastAsia"/>
          <w:sz w:val="32"/>
          <w:szCs w:val="32"/>
        </w:rPr>
        <w:t>万元。</w:t>
      </w:r>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（二）部门财政资金支出情况</w:t>
      </w:r>
    </w:p>
    <w:p>
      <w:pPr>
        <w:snapToGrid w:val="0"/>
        <w:spacing w:line="520" w:lineRule="exact"/>
        <w:ind w:firstLineChars="200" w:firstLine="640"/>
        <w:rPr>
          <w:rFonts w:ascii="仿宋" w:eastAsia="仿宋" w:cs="仿宋_GB2312" w:hAnsi="仿宋"/>
          <w:color w:val="000000"/>
          <w:sz w:val="32"/>
          <w:szCs w:val="32"/>
        </w:rPr>
      </w:pPr>
      <w:r>
        <w:rPr>
          <w:rFonts w:ascii="仿宋" w:eastAsia="仿宋" w:cs="仿宋_GB2312" w:hAnsi="仿宋" w:hint="eastAsia"/>
          <w:color w:val="000000"/>
          <w:sz w:val="32"/>
          <w:szCs w:val="32"/>
          <w:lang w:val="zh-CN"/>
        </w:rPr>
        <w:t>20</w:t>
      </w:r>
      <w:r>
        <w:rPr>
          <w:rFonts w:ascii="仿宋" w:eastAsia="仿宋" w:cs="仿宋_GB2312" w:hAnsi="仿宋" w:hint="eastAsia"/>
          <w:color w:val="000000"/>
          <w:sz w:val="32"/>
          <w:szCs w:val="32"/>
        </w:rPr>
        <w:t>21</w:t>
      </w:r>
      <w:r>
        <w:rPr>
          <w:rFonts w:ascii="仿宋" w:eastAsia="仿宋" w:cs="仿宋_GB2312" w:hAnsi="仿宋" w:hint="eastAsia"/>
          <w:color w:val="000000"/>
          <w:sz w:val="32"/>
          <w:szCs w:val="32"/>
          <w:lang w:val="zh-CN"/>
        </w:rPr>
        <w:t>年度一般公共预算财政拨款支出</w:t>
      </w:r>
      <w:r>
        <w:rPr>
          <w:rFonts w:ascii="仿宋" w:eastAsia="仿宋" w:hAnsi="仿宋" w:hint="eastAsia"/>
          <w:color w:val="000000"/>
          <w:sz w:val="32"/>
          <w:szCs w:val="32"/>
        </w:rPr>
        <w:t>1101.08万元</w:t>
      </w:r>
      <w:r>
        <w:rPr>
          <w:rFonts w:ascii="仿宋" w:eastAsia="仿宋" w:cs="仿宋_GB2312" w:hAnsi="仿宋" w:hint="eastAsia"/>
          <w:color w:val="000000"/>
          <w:sz w:val="32"/>
          <w:szCs w:val="32"/>
        </w:rPr>
        <w:t>。其中人员经费支出1010.49万元；公用经费支出90.59万元；项目支出88.49万元。</w:t>
      </w:r>
    </w:p>
    <w:p>
      <w:pPr>
        <w:adjustRightInd w:val="0"/>
        <w:snapToGrid w:val="0"/>
        <w:spacing w:line="520" w:lineRule="exact"/>
        <w:ind w:firstLineChars="200" w:firstLine="640"/>
        <w:contextualSpacing/>
        <w:outlineLvl w:val="1"/>
        <w:rPr>
          <w:rFonts w:ascii="方正仿宋简体" w:eastAsia="方正仿宋简体" w:cs="宋体" w:hAnsi="宋体"/>
          <w:color w:val="000000"/>
          <w:kern w:val="0"/>
          <w:sz w:val="32"/>
          <w:szCs w:val="32"/>
          <w:shd w:val="clear" w:color="auto" w:fill="FFFFFF"/>
        </w:rPr>
      </w:pPr>
      <w:bookmarkStart w:id="136" w:name="_Toc13738"/>
      <w:bookmarkStart w:id="137" w:name="_Toc12952"/>
      <w:r>
        <w:rPr>
          <w:rFonts w:ascii="方正黑体简体" w:eastAsia="方正黑体简体" w:cs="宋体" w:hAnsi="宋体" w:hint="eastAsia"/>
          <w:color w:val="000000"/>
          <w:kern w:val="0"/>
          <w:sz w:val="32"/>
          <w:szCs w:val="32"/>
          <w:shd w:val="clear" w:color="auto" w:fill="FFFFFF"/>
        </w:rPr>
        <w:t>三、部门整体预算绩效管理情况</w:t>
      </w:r>
      <w:bookmarkEnd w:id="136"/>
      <w:bookmarkEnd w:id="137"/>
    </w:p>
    <w:p>
      <w:pPr>
        <w:snapToGrid w:val="0"/>
        <w:spacing w:line="520" w:lineRule="exact"/>
        <w:ind w:firstLineChars="200" w:firstLine="640"/>
        <w:rPr>
          <w:rFonts w:ascii="楷体" w:eastAsia="楷体" w:cs="楷体" w:hAnsi="楷体"/>
          <w:sz w:val="32"/>
          <w:szCs w:val="32"/>
        </w:rPr>
      </w:pPr>
      <w:r>
        <w:rPr>
          <w:rFonts w:ascii="楷体" w:eastAsia="楷体" w:cs="楷体" w:hAnsi="楷体" w:hint="eastAsia"/>
          <w:sz w:val="32"/>
          <w:szCs w:val="32"/>
        </w:rPr>
        <w:t>（一）部门预算管理</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w:t>
      </w:r>
      <w:r>
        <w:rPr>
          <w:rFonts w:ascii="仿宋" w:eastAsia="仿宋" w:cs="仿宋_GB2312" w:hAnsi="仿宋"/>
          <w:sz w:val="32"/>
          <w:szCs w:val="32"/>
        </w:rPr>
        <w:t>部门绩效目标制定</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（1）部门绩效目标充分考虑到各项资金的使用内容、范围、方向和预期效果，符合国民经济和社会发展规划，符合部门职能及事业发展规划。</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（2）部门绩效目标从数量、质量、成本、时效以及经济效益、社会效益、生态效益、可持续影响、满意度等方面进行了细化和定量表述，具有可衡量性。</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（3）绩效目标的设定经过了调查研究和科学论证，符合客观实际，能够在一定期限内如期实现。</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（4）绩效目标相关指标设定与预算安排金额相对应，未超预算安排资金。</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w:t>
      </w:r>
      <w:r>
        <w:rPr>
          <w:rFonts w:ascii="仿宋" w:eastAsia="仿宋" w:cs="仿宋_GB2312" w:hAnsi="仿宋"/>
          <w:sz w:val="32"/>
          <w:szCs w:val="32"/>
        </w:rPr>
        <w:t>预算编制</w:t>
      </w:r>
      <w:r>
        <w:rPr>
          <w:rFonts w:ascii="仿宋" w:eastAsia="仿宋" w:cs="仿宋_GB2312" w:hAnsi="仿宋" w:hint="eastAsia"/>
          <w:sz w:val="32"/>
          <w:szCs w:val="32"/>
        </w:rPr>
        <w:t>和执行</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（1）部门预算报送时间严格按照财政部门预算编制要求的时间及时报送部门预算。预算编制完整、准确，基础信息和科目使用准确。</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（2）严格执行预算，执行中一般不调整预算项目。年度预算收支平衡，人员支出按时间表进度执行，无挪用情况，完成部门经济和社会事业发展职能职责。</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（4）按时送部门决算，决算数据真实准确、帐表一致，部门决算编制人员与供养人员系统一致。</w:t>
      </w:r>
    </w:p>
    <w:p>
      <w:pPr>
        <w:snapToGrid w:val="0"/>
        <w:spacing w:line="520" w:lineRule="exact"/>
        <w:ind w:firstLineChars="200" w:firstLine="640"/>
        <w:rPr>
          <w:rFonts w:ascii="楷体" w:eastAsia="楷体" w:cs="楷体" w:hAnsi="楷体"/>
          <w:sz w:val="32"/>
          <w:szCs w:val="32"/>
        </w:rPr>
      </w:pPr>
      <w:r>
        <w:rPr>
          <w:rFonts w:ascii="楷体" w:eastAsia="楷体" w:cs="楷体" w:hAnsi="楷体" w:hint="eastAsia"/>
          <w:sz w:val="32"/>
          <w:szCs w:val="32"/>
        </w:rPr>
        <w:t>（二）专项预算管理。</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1.专项预算编制情况</w:t>
      </w:r>
    </w:p>
    <w:p>
      <w:pPr>
        <w:snapToGrid w:val="0"/>
        <w:spacing w:line="520" w:lineRule="exact"/>
        <w:ind w:firstLineChars="200" w:firstLine="640"/>
        <w:rPr>
          <w:rFonts w:ascii="仿宋" w:eastAsia="仿宋" w:cs="仿宋_GB2312" w:hAnsi="仿宋"/>
          <w:color w:val="000000"/>
          <w:sz w:val="32"/>
          <w:szCs w:val="32"/>
        </w:rPr>
      </w:pPr>
      <w:r>
        <w:rPr>
          <w:rFonts w:ascii="仿宋" w:eastAsia="仿宋" w:cs="仿宋_GB2312" w:hAnsi="仿宋" w:hint="eastAsia"/>
          <w:color w:val="000000"/>
          <w:sz w:val="32"/>
          <w:szCs w:val="32"/>
        </w:rPr>
        <w:t>各项专项预算的编制严格按照“二上二下”的程序，先由学校根据年度工作目标提出当年的专项预算项目建议方案，经领导审核后由财务室汇总编制并呈教育局批准上报区财政。根据区财政下达的年度各类专项资金年度预算指标，分解下达学校，进一步完善专项预算方案。方案完善后，财务室统一汇总再次上报区财政。</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2.专项预算执行</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adjustRightInd w:val="0"/>
        <w:snapToGrid w:val="0"/>
        <w:spacing w:line="520" w:lineRule="exact"/>
        <w:ind w:firstLineChars="200" w:firstLine="640"/>
        <w:contextualSpacing/>
        <w:outlineLvl w:val="1"/>
        <w:rPr>
          <w:rFonts w:ascii="方正黑体简体" w:eastAsia="方正黑体简体" w:cs="宋体" w:hAnsi="宋体"/>
          <w:color w:val="000000"/>
          <w:kern w:val="0"/>
          <w:sz w:val="32"/>
          <w:szCs w:val="32"/>
          <w:shd w:val="clear" w:color="auto" w:fill="FFFFFF"/>
        </w:rPr>
      </w:pPr>
      <w:bookmarkStart w:id="138" w:name="_Toc7726"/>
      <w:bookmarkStart w:id="139" w:name="_Toc3160"/>
      <w:r>
        <w:rPr>
          <w:rFonts w:ascii="方正黑体简体" w:eastAsia="方正黑体简体" w:cs="宋体" w:hAnsi="宋体" w:hint="eastAsia"/>
          <w:color w:val="000000"/>
          <w:kern w:val="0"/>
          <w:sz w:val="32"/>
          <w:szCs w:val="32"/>
          <w:shd w:val="clear" w:color="auto" w:fill="FFFFFF"/>
        </w:rPr>
        <w:t>四、评价结论及建议</w:t>
      </w:r>
      <w:bookmarkEnd w:id="138"/>
      <w:bookmarkEnd w:id="139"/>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（一）评价结论</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lang w:val="zh-CN"/>
        </w:rPr>
        <w:t>经过202</w:t>
      </w:r>
      <w:r>
        <w:rPr>
          <w:rFonts w:ascii="仿宋" w:eastAsia="仿宋" w:cs="仿宋_GB2312" w:hAnsi="仿宋" w:hint="eastAsia"/>
          <w:sz w:val="32"/>
          <w:szCs w:val="32"/>
        </w:rPr>
        <w:t>1</w:t>
      </w:r>
      <w:r>
        <w:rPr>
          <w:rFonts w:ascii="仿宋" w:eastAsia="仿宋" w:cs="仿宋_GB2312" w:hAnsi="仿宋" w:hint="eastAsia"/>
          <w:sz w:val="32"/>
          <w:szCs w:val="32"/>
          <w:lang w:val="zh-CN"/>
        </w:rPr>
        <w:t>年区级部门整体支出绩效自我评价，综合得分为</w:t>
      </w:r>
      <w:r>
        <w:rPr>
          <w:rFonts w:ascii="仿宋" w:eastAsia="仿宋" w:cs="仿宋_GB2312" w:hAnsi="仿宋" w:hint="eastAsia"/>
          <w:sz w:val="32"/>
          <w:szCs w:val="32"/>
        </w:rPr>
        <w:t>96分。</w:t>
      </w:r>
    </w:p>
    <w:p>
      <w:pPr>
        <w:pStyle w:val="15"/>
        <w:spacing w:beforeLines="0" w:before="93"/>
        <w:jc w:val="right"/>
        <w:rPr>
          <w:rFonts w:ascii="仿宋" w:eastAsia="仿宋" w:cs="仿宋" w:hAnsi="仿宋"/>
          <w:color w:val="000000"/>
          <w:sz w:val="32"/>
          <w:szCs w:val="32"/>
          <w:shd w:val="clear" w:color="auto" w:fill="FFFFFF"/>
        </w:rPr>
      </w:pPr>
      <w:r>
        <w:rPr>
          <w:rFonts w:ascii="宋体" w:cs="宋体" w:hAnsi="宋体" w:hint="eastAsia"/>
          <w:color w:val="000000"/>
          <w:sz w:val="28"/>
          <w:szCs w:val="28"/>
          <w:shd w:val="clear" w:color="auto" w:fill="FFFFFF"/>
        </w:rPr>
        <w:t xml:space="preserve">                                 </w:t>
      </w:r>
    </w:p>
    <w:p>
      <w:pPr>
        <w:spacing w:line="360" w:lineRule="exact"/>
        <w:jc w:val="center"/>
        <w:rPr>
          <w:rFonts w:ascii="宋体" w:cs="宋体" w:hAnsi="宋体"/>
          <w:b/>
          <w:sz w:val="32"/>
          <w:szCs w:val="32"/>
        </w:rPr>
        <w:sectPr>
          <w:footerReference w:type="default" r:id="rId4"/>
          <w:footerReference w:type="first" r:id="rId5"/>
          <w:pgSz w:w="11906" w:h="16838"/>
          <w:pgMar w:top="1701" w:right="1474" w:bottom="1701" w:left="1587" w:header="851" w:footer="1304" w:gutter="0"/>
          <w:pgNumType w:start="1"/>
          <w:cols w:num="1" w:space="0"/>
          <w:docGrid w:type="lines" w:linePitch="312" w:charSpace="0"/>
        </w:sectPr>
      </w:pPr>
    </w:p>
    <w:p>
      <w:pPr>
        <w:jc w:val="center"/>
        <w:rPr>
          <w:b/>
          <w:sz w:val="44"/>
          <w:szCs w:val="36"/>
        </w:rPr>
      </w:pPr>
      <w:r>
        <w:rPr>
          <w:rFonts w:hint="eastAsia"/>
          <w:b/>
          <w:sz w:val="44"/>
          <w:szCs w:val="36"/>
        </w:rPr>
        <w:t>2021年建平初级中学整体支出绩效评价自评得分</w:t>
      </w:r>
    </w:p>
    <w:tbl>
      <w:tblPr>
        <w:jc w:val="center"/>
        <w:tblW w:w="14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17"/>
        <w:gridCol w:w="1141"/>
        <w:gridCol w:w="991"/>
        <w:gridCol w:w="585"/>
        <w:gridCol w:w="1681"/>
        <w:gridCol w:w="2304"/>
        <w:gridCol w:w="3568"/>
        <w:gridCol w:w="585"/>
        <w:gridCol w:w="526"/>
        <w:gridCol w:w="561"/>
        <w:gridCol w:w="532"/>
        <w:gridCol w:w="547"/>
      </w:tblGrid>
      <w:tr>
        <w:trPr>
          <w:trHeight w:val="283"/>
          <w:tblHeader/>
        </w:trPr>
        <w:tc>
          <w:tcPr>
            <w:tcW w:w="3249" w:type="dxa"/>
            <w:gridSpan w:val="3"/>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绩效指标</w:t>
            </w:r>
          </w:p>
        </w:tc>
        <w:tc>
          <w:tcPr>
            <w:tcW w:w="585" w:type="dxa"/>
            <w:vMerge w:val="restart"/>
            <w:vAlign w:val="center"/>
          </w:tcPr>
          <w:p>
            <w:pPr>
              <w:snapToGrid w:val="0"/>
              <w:ind w:leftChars="-50" w:left="-105" w:rightChars="-50" w:right="-105"/>
              <w:jc w:val="center"/>
              <w:rPr>
                <w:rFonts w:ascii="宋体" w:cs="宋体" w:hAnsi="宋体"/>
                <w:b/>
                <w:bCs/>
                <w:kern w:val="0"/>
                <w:sz w:val="20"/>
                <w:szCs w:val="20"/>
              </w:rPr>
            </w:pPr>
            <w:r>
              <w:rPr>
                <w:rFonts w:ascii="宋体" w:cs="宋体" w:hAnsi="宋体" w:hint="eastAsia"/>
                <w:b/>
                <w:bCs/>
                <w:kern w:val="0"/>
                <w:sz w:val="20"/>
                <w:szCs w:val="20"/>
              </w:rPr>
              <w:t>指标分值</w:t>
            </w:r>
          </w:p>
        </w:tc>
        <w:tc>
          <w:tcPr>
            <w:tcW w:w="1681" w:type="dxa"/>
            <w:vMerge w:val="restart"/>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指标解释</w:t>
            </w:r>
          </w:p>
        </w:tc>
        <w:tc>
          <w:tcPr>
            <w:tcW w:w="5872" w:type="dxa"/>
            <w:gridSpan w:val="2"/>
            <w:vMerge w:val="restart"/>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计分标准</w:t>
            </w:r>
          </w:p>
        </w:tc>
        <w:tc>
          <w:tcPr>
            <w:tcW w:w="1111" w:type="dxa"/>
            <w:gridSpan w:val="2"/>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评价方式</w:t>
            </w:r>
          </w:p>
        </w:tc>
        <w:tc>
          <w:tcPr>
            <w:tcW w:w="1093" w:type="dxa"/>
            <w:gridSpan w:val="2"/>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评价属性</w:t>
            </w:r>
          </w:p>
        </w:tc>
        <w:tc>
          <w:tcPr>
            <w:tcW w:w="547" w:type="dxa"/>
            <w:vMerge w:val="restart"/>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自评得分</w:t>
            </w:r>
          </w:p>
        </w:tc>
      </w:tr>
      <w:tr>
        <w:trPr>
          <w:trHeight w:val="555"/>
          <w:tblHeader/>
        </w:trPr>
        <w:tc>
          <w:tcPr>
            <w:tcW w:w="1117" w:type="dxa"/>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一级指标</w:t>
            </w:r>
          </w:p>
        </w:tc>
        <w:tc>
          <w:tcPr>
            <w:tcW w:w="1141" w:type="dxa"/>
            <w:tcBorders>
              <w:top w:val="single" w:sz="4" w:space="0" w:color="auto"/>
              <w:left w:val="single" w:sz="4" w:space="0" w:color="auto"/>
              <w:right w:val="single" w:sz="4" w:space="0" w:color="auto"/>
            </w:tcBorders>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二级指标</w:t>
            </w:r>
          </w:p>
        </w:tc>
        <w:tc>
          <w:tcPr>
            <w:tcW w:w="991" w:type="dxa"/>
            <w:tcBorders>
              <w:top w:val="single" w:sz="4" w:space="0" w:color="auto"/>
              <w:left w:val="single" w:sz="4" w:space="0" w:color="auto"/>
              <w:right w:val="single" w:sz="4" w:space="0" w:color="auto"/>
            </w:tcBorders>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三级</w:t>
            </w:r>
          </w:p>
          <w:p>
            <w:pPr>
              <w:snapToGrid w:val="0"/>
              <w:jc w:val="center"/>
              <w:rPr>
                <w:rFonts w:ascii="宋体" w:cs="宋体" w:hAnsi="宋体"/>
                <w:b/>
                <w:bCs/>
                <w:kern w:val="0"/>
                <w:sz w:val="20"/>
                <w:szCs w:val="20"/>
              </w:rPr>
            </w:pPr>
            <w:r>
              <w:rPr>
                <w:rFonts w:ascii="宋体" w:cs="宋体" w:hAnsi="宋体" w:hint="eastAsia"/>
                <w:b/>
                <w:bCs/>
                <w:kern w:val="0"/>
                <w:sz w:val="20"/>
                <w:szCs w:val="20"/>
              </w:rPr>
              <w:t>指标</w:t>
            </w:r>
          </w:p>
        </w:tc>
        <w:tc>
          <w:tcPr>
            <w:tcW w:w="585" w:type="dxa"/>
            <w:vMerge/>
            <w:tcBorders>
              <w:top w:val="single" w:sz="4" w:space="0" w:color="auto"/>
              <w:left w:val="single" w:sz="4" w:space="0" w:color="auto"/>
              <w:right w:val="single" w:sz="4" w:space="0" w:color="auto"/>
            </w:tcBorders>
            <w:vAlign w:val="center"/>
          </w:tcPr>
          <w:p/>
        </w:tc>
        <w:tc>
          <w:tcPr>
            <w:tcW w:w="1681" w:type="dxa"/>
            <w:vMerge/>
            <w:tcBorders>
              <w:top w:val="single" w:sz="4" w:space="0" w:color="auto"/>
              <w:left w:val="single" w:sz="4" w:space="0" w:color="auto"/>
              <w:right w:val="single" w:sz="4" w:space="0" w:color="auto"/>
            </w:tcBorders>
            <w:vAlign w:val="center"/>
          </w:tcPr>
          <w:p/>
        </w:tc>
        <w:tc>
          <w:tcPr>
            <w:tcW w:w="5872" w:type="dxa"/>
            <w:gridSpan w:val="2"/>
            <w:vMerge/>
            <w:tcBorders>
              <w:top w:val="single" w:sz="4" w:space="0" w:color="auto"/>
              <w:left w:val="single" w:sz="4" w:space="0" w:color="auto"/>
              <w:right w:val="single" w:sz="4" w:space="0" w:color="auto"/>
            </w:tcBorders>
            <w:vAlign w:val="center"/>
          </w:tcPr>
          <w:p/>
        </w:tc>
        <w:tc>
          <w:tcPr>
            <w:tcW w:w="585" w:type="dxa"/>
            <w:tcBorders>
              <w:top w:val="single" w:sz="4" w:space="0" w:color="auto"/>
              <w:left w:val="single" w:sz="4" w:space="0" w:color="auto"/>
              <w:right w:val="single" w:sz="4" w:space="0" w:color="auto"/>
            </w:tcBorders>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整体评价</w:t>
            </w:r>
          </w:p>
        </w:tc>
        <w:tc>
          <w:tcPr>
            <w:tcW w:w="526" w:type="dxa"/>
            <w:tcBorders>
              <w:top w:val="single" w:sz="4" w:space="0" w:color="auto"/>
              <w:left w:val="single" w:sz="4" w:space="0" w:color="auto"/>
              <w:right w:val="single" w:sz="4" w:space="0" w:color="auto"/>
            </w:tcBorders>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样本评价</w:t>
            </w:r>
          </w:p>
        </w:tc>
        <w:tc>
          <w:tcPr>
            <w:tcW w:w="561" w:type="dxa"/>
            <w:tcBorders>
              <w:top w:val="single" w:sz="4" w:space="0" w:color="auto"/>
              <w:left w:val="single" w:sz="4" w:space="0" w:color="auto"/>
              <w:right w:val="single" w:sz="4" w:space="0" w:color="auto"/>
            </w:tcBorders>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定性评价</w:t>
            </w:r>
          </w:p>
        </w:tc>
        <w:tc>
          <w:tcPr>
            <w:tcW w:w="532" w:type="dxa"/>
            <w:tcBorders>
              <w:top w:val="single" w:sz="4" w:space="0" w:color="auto"/>
              <w:left w:val="single" w:sz="4" w:space="0" w:color="auto"/>
              <w:right w:val="single" w:sz="4" w:space="0" w:color="auto"/>
            </w:tcBorders>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定量评价</w:t>
            </w:r>
          </w:p>
        </w:tc>
        <w:tc>
          <w:tcPr>
            <w:tcW w:w="547" w:type="dxa"/>
            <w:vMerge/>
            <w:vAlign w:val="center"/>
          </w:tcPr>
          <w:p/>
        </w:tc>
      </w:tr>
      <w:tr>
        <w:trPr>
          <w:trHeight w:val="1525"/>
        </w:trPr>
        <w:tc>
          <w:tcPr>
            <w:tcW w:w="1117" w:type="dxa"/>
            <w:vMerge w:val="restart"/>
            <w:vAlign w:val="center"/>
          </w:tcPr>
          <w:p>
            <w:pPr>
              <w:snapToGrid w:val="0"/>
              <w:jc w:val="center"/>
              <w:rPr>
                <w:rFonts w:ascii="宋体" w:cs="宋体" w:hAnsi="宋体"/>
                <w:kern w:val="0"/>
                <w:sz w:val="20"/>
                <w:szCs w:val="20"/>
              </w:rPr>
            </w:pPr>
            <w:r>
              <w:rPr>
                <w:rFonts w:ascii="宋体" w:cs="宋体" w:hAnsi="宋体" w:hint="eastAsia"/>
                <w:kern w:val="0"/>
                <w:sz w:val="20"/>
                <w:szCs w:val="20"/>
              </w:rPr>
              <w:t>部门预算项目绩效管理（40分）</w:t>
            </w:r>
          </w:p>
        </w:tc>
        <w:tc>
          <w:tcPr>
            <w:tcW w:w="1141" w:type="dxa"/>
            <w:vMerge w:val="restart"/>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目标管理（15分）</w:t>
            </w: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目标制定</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5</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评价部门绩效目标是否要素完整、细化量化并集体决策。</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1.绩效目标编制要素完整的，得2分，否则酌情扣分。</w:t>
            </w:r>
          </w:p>
          <w:p>
            <w:pPr>
              <w:snapToGrid w:val="0"/>
              <w:spacing w:line="240" w:lineRule="exact"/>
              <w:rPr>
                <w:rFonts w:ascii="宋体" w:cs="宋体" w:hAnsi="宋体"/>
                <w:kern w:val="0"/>
                <w:sz w:val="20"/>
                <w:szCs w:val="20"/>
              </w:rPr>
            </w:pPr>
            <w:r>
              <w:rPr>
                <w:rFonts w:ascii="宋体" w:cs="宋体" w:hAnsi="宋体" w:hint="eastAsia"/>
                <w:kern w:val="0"/>
                <w:sz w:val="20"/>
                <w:szCs w:val="20"/>
              </w:rPr>
              <w:t>2.绩效指标细化量化的，得2分，否则酌情扣分。</w:t>
            </w:r>
          </w:p>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3.评价部门绩效目标纳入部门党组（委）会（办公会）集体决策范围的得1分，否则不得分。有项目绩效目标的部门（单位），根据项目绩效目标编制质量打分，无项目绩效目标的部门，根据部门整体支出绩效目标打分。                                                                    </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61"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　5</w:t>
            </w:r>
          </w:p>
        </w:tc>
      </w:tr>
      <w:tr>
        <w:trPr>
          <w:trHeight w:val="1273"/>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目标实现</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10</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评价部门绩效目标实际实现程度与预期目标的偏离度。</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color w:val="000000"/>
                <w:kern w:val="0"/>
                <w:sz w:val="20"/>
                <w:szCs w:val="20"/>
              </w:rPr>
            </w:pPr>
            <w:r>
              <w:rPr>
                <w:rFonts w:ascii="宋体" w:cs="宋体" w:hAnsi="宋体" w:hint="eastAsia"/>
                <w:color w:val="000000"/>
                <w:kern w:val="0"/>
                <w:sz w:val="20"/>
                <w:szCs w:val="20"/>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26"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61"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　10</w:t>
            </w:r>
          </w:p>
        </w:tc>
      </w:tr>
      <w:tr>
        <w:trPr>
          <w:trHeight w:val="1020"/>
        </w:trPr>
        <w:tc>
          <w:tcPr>
            <w:tcW w:w="1117" w:type="dxa"/>
            <w:vMerge/>
            <w:vAlign w:val="center"/>
          </w:tcPr>
          <w:p/>
        </w:tc>
        <w:tc>
          <w:tcPr>
            <w:tcW w:w="1141" w:type="dxa"/>
            <w:vMerge w:val="restart"/>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 xml:space="preserve">                                                                   动态调整（10分）</w:t>
            </w: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支出控制</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2</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部门公用经费及非定额公用支出控制情况。</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　2</w:t>
            </w:r>
          </w:p>
        </w:tc>
      </w:tr>
      <w:tr>
        <w:trPr>
          <w:trHeight w:val="1778"/>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及时处置</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4</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评价部门开展绩效运行监控后，将绩效监控结果应用到预算调整的情况。</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1.当部门绩效监控调整取消额和结余注销额均不为零时，指标得分=部门项目支出绩效监控调整取消额÷(部门绩效监控调整取消额+预算结余注销额）*4。</w:t>
            </w:r>
          </w:p>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2.当部门绩效监控调整取消额为零，结余注销额不为零时，指标得分=（1-10*结余注销额/年度预算总额）*4，结余注销额超过部门年度预算总额10%的，指标不得分。                  </w:t>
            </w:r>
          </w:p>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3.当部门绩效监控调整取消额与结余注销额均为零时，得4分。                                                             </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3　</w:t>
            </w:r>
          </w:p>
        </w:tc>
      </w:tr>
      <w:tr>
        <w:trPr>
          <w:trHeight w:val="1020"/>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执行进度</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4</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评价部门在6、9、11月的预算执行情况。</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部门预算执行进度在6、9、11月应达到序时进度的80%、90%、90%，即实际支出进度分别达到40%、67.5%、82.5%。6、9、11月部门预算执行进度达到量化指标的分别得1分、1分、2分，未达到目标进度的按其实际进度占目标进度的比重计算得分。                                             </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　3</w:t>
            </w:r>
          </w:p>
        </w:tc>
      </w:tr>
      <w:tr>
        <w:trPr>
          <w:trHeight w:val="768"/>
        </w:trPr>
        <w:tc>
          <w:tcPr>
            <w:tcW w:w="1117" w:type="dxa"/>
            <w:vMerge/>
            <w:vAlign w:val="center"/>
          </w:tcPr>
          <w:p/>
        </w:tc>
        <w:tc>
          <w:tcPr>
            <w:tcW w:w="1141" w:type="dxa"/>
            <w:vMerge w:val="restart"/>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完成效率（15分）</w:t>
            </w:r>
          </w:p>
        </w:tc>
        <w:tc>
          <w:tcPr>
            <w:tcW w:w="99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预算完成</w:t>
            </w:r>
          </w:p>
        </w:tc>
        <w:tc>
          <w:tcPr>
            <w:tcW w:w="585" w:type="dxa"/>
            <w:tcBorders>
              <w:top w:val="single" w:sz="4" w:space="0" w:color="auto"/>
              <w:left w:val="single" w:sz="4" w:space="0" w:color="auto"/>
              <w:right w:val="single" w:sz="4" w:space="0" w:color="auto"/>
            </w:tcBorders>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5</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评价部门预算项目年终预算执行情况。</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部门预算项目12月预算执行进度达到100%的，得5分，未达100%的，按照实际进度量化计算得分。</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　5</w:t>
            </w:r>
          </w:p>
        </w:tc>
      </w:tr>
      <w:tr>
        <w:trPr>
          <w:trHeight w:val="768"/>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资金结余率（低效无效率）</w:t>
            </w:r>
          </w:p>
        </w:tc>
        <w:tc>
          <w:tcPr>
            <w:tcW w:w="585" w:type="dxa"/>
            <w:tcBorders>
              <w:top w:val="single" w:sz="4" w:space="0" w:color="auto"/>
              <w:left w:val="single" w:sz="4" w:space="0" w:color="auto"/>
              <w:right w:val="single" w:sz="4" w:space="0" w:color="auto"/>
            </w:tcBorders>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8</w:t>
            </w:r>
          </w:p>
        </w:tc>
        <w:tc>
          <w:tcPr>
            <w:tcW w:w="1681" w:type="dxa"/>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评价部门预算项目年终资金结余情况。                 </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部门预算项目资金结余率小于0.1的项目数/部门预算项目总数*8。</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　8</w:t>
            </w:r>
          </w:p>
        </w:tc>
      </w:tr>
      <w:tr>
        <w:trPr>
          <w:trHeight w:val="1273"/>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违规记录</w:t>
            </w:r>
          </w:p>
        </w:tc>
        <w:tc>
          <w:tcPr>
            <w:tcW w:w="585" w:type="dxa"/>
            <w:tcBorders>
              <w:top w:val="single" w:sz="4" w:space="0" w:color="auto"/>
              <w:left w:val="single" w:sz="4" w:space="0" w:color="auto"/>
              <w:right w:val="single" w:sz="4" w:space="0" w:color="auto"/>
            </w:tcBorders>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2</w:t>
            </w:r>
          </w:p>
        </w:tc>
        <w:tc>
          <w:tcPr>
            <w:tcW w:w="1681" w:type="dxa"/>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根据审计监督、财政检查结果反映部门上一年度部门预算管理是否合规。</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依据评价年度审计监督、财政检查结果，出现部门预算管理方面违纪违规问题的，每个问题扣0.2分，直至扣完。</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　2</w:t>
            </w:r>
          </w:p>
        </w:tc>
      </w:tr>
      <w:tr>
        <w:trPr>
          <w:trHeight w:val="641"/>
        </w:trPr>
        <w:tc>
          <w:tcPr>
            <w:tcW w:w="1117" w:type="dxa"/>
            <w:vAlign w:val="center"/>
          </w:tcPr>
          <w:p>
            <w:pPr>
              <w:snapToGrid w:val="0"/>
              <w:spacing w:line="200" w:lineRule="exact"/>
              <w:ind w:leftChars="-40" w:left="-84" w:rightChars="-40" w:right="-84"/>
              <w:jc w:val="center"/>
              <w:rPr>
                <w:rFonts w:ascii="宋体" w:cs="宋体" w:hAnsi="宋体"/>
                <w:kern w:val="0"/>
                <w:sz w:val="20"/>
                <w:szCs w:val="20"/>
              </w:rPr>
            </w:pPr>
            <w:r>
              <w:rPr>
                <w:rFonts w:ascii="宋体" w:cs="宋体" w:hAnsi="宋体" w:hint="eastAsia"/>
                <w:kern w:val="0"/>
                <w:sz w:val="20"/>
                <w:szCs w:val="20"/>
              </w:rPr>
              <w:t>专项预算项目绩效管理（40分）</w:t>
            </w:r>
          </w:p>
        </w:tc>
        <w:tc>
          <w:tcPr>
            <w:tcW w:w="12474" w:type="dxa"/>
            <w:gridSpan w:val="10"/>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部门按照专项预算项目自评工作要求对本部门管理的专项预算项目进行自评并打分，形成自评报告；有两个及以上专项预算项目的，以平均分作为自评得分                                              </w:t>
            </w:r>
          </w:p>
        </w:tc>
        <w:tc>
          <w:tcPr>
            <w:tcW w:w="547" w:type="dxa"/>
            <w:vAlign w:val="center"/>
          </w:tcPr>
          <w:p>
            <w:pPr>
              <w:snapToGrid w:val="0"/>
              <w:jc w:val="left"/>
              <w:rPr>
                <w:rFonts w:ascii="宋体" w:cs="宋体" w:hAnsi="宋体"/>
                <w:kern w:val="0"/>
                <w:sz w:val="20"/>
                <w:szCs w:val="20"/>
              </w:rPr>
            </w:pPr>
            <w:r>
              <w:rPr>
                <w:rFonts w:ascii="宋体" w:cs="宋体" w:hAnsi="宋体" w:hint="eastAsia"/>
                <w:kern w:val="0"/>
                <w:sz w:val="20"/>
                <w:szCs w:val="20"/>
              </w:rPr>
              <w:t>37</w:t>
            </w:r>
          </w:p>
        </w:tc>
      </w:tr>
      <w:tr>
        <w:trPr>
          <w:trHeight w:val="1020"/>
        </w:trPr>
        <w:tc>
          <w:tcPr>
            <w:tcW w:w="1117" w:type="dxa"/>
            <w:vMerge w:val="restart"/>
            <w:tcBorders>
              <w:top w:val="single" w:sz="4" w:space="0" w:color="auto"/>
              <w:left w:val="single" w:sz="4" w:space="0" w:color="auto"/>
              <w:bottom w:val="single" w:sz="4" w:space="0" w:color="000000"/>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绩效结果应用（10分）</w:t>
            </w:r>
          </w:p>
        </w:tc>
        <w:tc>
          <w:tcPr>
            <w:tcW w:w="114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内部应用（4分）</w:t>
            </w: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预算挂钩</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4</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部门内部绩效结果与预算挂钩情况。</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 xml:space="preserve">将内设机构和下属单位绩效自评纳入考核体系，建立对内设机构和下属单位预算与绩效挂钩机制的，得4分，否则酌情扣分。    </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47" w:type="dxa"/>
            <w:tcBorders>
              <w:top w:val="nil"/>
              <w:left w:val="nil"/>
              <w:bottom w:val="single" w:sz="4" w:space="0" w:color="auto"/>
              <w:right w:val="single" w:sz="4" w:space="0" w:color="auto"/>
            </w:tcBorders>
            <w:noWrap/>
            <w:vAlign w:val="center"/>
          </w:tcPr>
          <w:p>
            <w:pPr>
              <w:snapToGrid w:val="0"/>
              <w:ind w:firstLineChars="100" w:firstLine="200"/>
              <w:jc w:val="left"/>
              <w:rPr>
                <w:rFonts w:ascii="宋体" w:cs="宋体" w:hAnsi="宋体"/>
                <w:kern w:val="0"/>
                <w:sz w:val="20"/>
                <w:szCs w:val="20"/>
              </w:rPr>
            </w:pPr>
            <w:r>
              <w:rPr>
                <w:rFonts w:ascii="宋体" w:cs="宋体" w:hAnsi="宋体" w:hint="eastAsia"/>
                <w:kern w:val="0"/>
                <w:sz w:val="20"/>
                <w:szCs w:val="20"/>
              </w:rPr>
              <w:t>4　</w:t>
            </w:r>
          </w:p>
        </w:tc>
      </w:tr>
      <w:tr>
        <w:trPr>
          <w:trHeight w:val="555"/>
        </w:trPr>
        <w:tc>
          <w:tcPr>
            <w:tcW w:w="1117" w:type="dxa"/>
            <w:vMerge/>
            <w:tcBorders>
              <w:top w:val="single" w:sz="4" w:space="0" w:color="auto"/>
              <w:left w:val="single" w:sz="4" w:space="0" w:color="auto"/>
              <w:bottom w:val="single" w:sz="4" w:space="0" w:color="000000"/>
              <w:right w:val="single" w:sz="4" w:space="0" w:color="auto"/>
            </w:tcBorders>
            <w:noWrap/>
            <w:vAlign w:val="center"/>
          </w:tcPr>
          <w:p/>
        </w:tc>
        <w:tc>
          <w:tcPr>
            <w:tcW w:w="114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信息公开（2分）</w:t>
            </w: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自评公开</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2</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评价部门是否按要求将部门整体绩效自评情况和自行组织的评价情况向社会公开。</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按要求将相关绩效信息随同决算公开的，得2分，否则不得分。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47"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2</w:t>
            </w:r>
          </w:p>
        </w:tc>
      </w:tr>
      <w:tr>
        <w:trPr>
          <w:trHeight w:val="1020"/>
        </w:trPr>
        <w:tc>
          <w:tcPr>
            <w:tcW w:w="1117" w:type="dxa"/>
            <w:vMerge/>
            <w:tcBorders>
              <w:top w:val="single" w:sz="4" w:space="0" w:color="auto"/>
              <w:left w:val="single" w:sz="4" w:space="0" w:color="auto"/>
              <w:bottom w:val="single" w:sz="4" w:space="0" w:color="000000"/>
              <w:right w:val="single" w:sz="4" w:space="0" w:color="auto"/>
            </w:tcBorders>
            <w:noWrap/>
            <w:vAlign w:val="center"/>
          </w:tcPr>
          <w:p/>
        </w:tc>
        <w:tc>
          <w:tcPr>
            <w:tcW w:w="1141" w:type="dxa"/>
            <w:tcBorders>
              <w:top w:val="nil"/>
              <w:left w:val="single" w:sz="4" w:space="0" w:color="auto"/>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整改反馈（4分）</w:t>
            </w: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问题整改</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2</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评价部门根据绩效管理结果整改问题、完善政策、改进管理的情况。</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针对绩效管理过程中（包括绩效目标核查、绩效监控核查和重点绩效评价）提出的问题进行整改，得2分，否则酌情扣分。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2</w:t>
            </w:r>
          </w:p>
        </w:tc>
      </w:tr>
      <w:tr>
        <w:trPr>
          <w:trHeight w:val="768"/>
        </w:trPr>
        <w:tc>
          <w:tcPr>
            <w:tcW w:w="1117" w:type="dxa"/>
            <w:vMerge/>
            <w:tcBorders>
              <w:top w:val="single" w:sz="4" w:space="0" w:color="auto"/>
              <w:left w:val="single" w:sz="4" w:space="0" w:color="auto"/>
              <w:bottom w:val="single" w:sz="4" w:space="0" w:color="000000"/>
              <w:right w:val="single" w:sz="4" w:space="0" w:color="auto"/>
            </w:tcBorders>
            <w:noWrap/>
            <w:vAlign w:val="center"/>
          </w:tcPr>
          <w:p/>
        </w:tc>
        <w:tc>
          <w:tcPr>
            <w:tcW w:w="1141" w:type="dxa"/>
            <w:tcBorders>
              <w:top w:val="nil"/>
              <w:left w:val="single" w:sz="4" w:space="0" w:color="auto"/>
              <w:right w:val="single" w:sz="4" w:space="0" w:color="auto"/>
            </w:tcBorders>
            <w:noWrap/>
            <w:vAlign w:val="center"/>
          </w:tcPr>
          <w:p>
            <w:pPr>
              <w:snapToGrid w:val="0"/>
              <w:jc w:val="left"/>
              <w:rPr>
                <w:rFonts w:ascii="宋体" w:cs="宋体" w:hAnsi="宋体"/>
                <w:kern w:val="0"/>
                <w:sz w:val="20"/>
                <w:szCs w:val="20"/>
              </w:rPr>
            </w:pP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应用反馈</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2</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评价部门按要求及时向财政部门反馈结果应用情况。</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部门在规定时间内向财政部门反馈应用绩效结果报告的，得2分，否则不得分。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2</w:t>
            </w:r>
          </w:p>
        </w:tc>
      </w:tr>
      <w:tr>
        <w:trPr>
          <w:trHeight w:val="1530"/>
        </w:trPr>
        <w:tc>
          <w:tcPr>
            <w:tcW w:w="1117" w:type="dxa"/>
            <w:tcBorders>
              <w:top w:val="nil"/>
              <w:left w:val="single" w:sz="4" w:space="0" w:color="auto"/>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自评质量（10分）</w:t>
            </w:r>
          </w:p>
        </w:tc>
        <w:tc>
          <w:tcPr>
            <w:tcW w:w="114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自评质量</w:t>
            </w: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自评质量</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10</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评价部门整体支出自评准确率。</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10</w:t>
            </w:r>
          </w:p>
        </w:tc>
      </w:tr>
      <w:tr>
        <w:trPr>
          <w:trHeight w:val="407"/>
        </w:trPr>
        <w:tc>
          <w:tcPr>
            <w:tcW w:w="3249" w:type="dxa"/>
            <w:gridSpan w:val="3"/>
            <w:tcBorders>
              <w:top w:val="single" w:sz="4" w:space="0" w:color="auto"/>
              <w:left w:val="single" w:sz="4" w:space="0" w:color="auto"/>
              <w:bottom w:val="single" w:sz="4" w:space="0" w:color="auto"/>
              <w:right w:val="single" w:sz="4" w:space="0" w:color="000000"/>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总分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3985" w:type="dxa"/>
            <w:gridSpan w:val="2"/>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p>
        </w:tc>
        <w:tc>
          <w:tcPr>
            <w:tcW w:w="3568"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526"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547"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96</w:t>
            </w:r>
          </w:p>
        </w:tc>
      </w:tr>
    </w:tbl>
    <w:p>
      <w:pPr>
        <w:pStyle w:val="31"/>
        <w:snapToGrid w:val="0"/>
        <w:spacing w:line="20" w:lineRule="exact"/>
        <w:jc w:val="center"/>
        <w:rPr>
          <w:rFonts w:ascii="方正小标宋简体" w:eastAsia="方正小标宋简体" w:cs="方正小标宋简体" w:hAnsi="方正小标宋简体"/>
          <w:bCs/>
          <w:sz w:val="21"/>
        </w:rPr>
      </w:pPr>
    </w:p>
    <w:p>
      <w:pPr>
        <w:pStyle w:val="21"/>
        <w:tabs>
          <w:tab w:val="right" w:leader="dot" w:pos="8296"/>
        </w:tabs>
        <w:adjustRightInd w:val="0"/>
        <w:snapToGrid w:val="0"/>
        <w:spacing w:line="20" w:lineRule="exact"/>
        <w:jc w:val="center"/>
        <w:rPr>
          <w:rFonts w:ascii="方正小标宋简体" w:eastAsia="方正小标宋简体" w:cs="方正小标宋简体" w:hAnsi="方正小标宋简体"/>
          <w:bCs/>
          <w:color w:val="000000"/>
          <w:kern w:val="0"/>
          <w:sz w:val="44"/>
          <w:szCs w:val="44"/>
        </w:rPr>
      </w:pPr>
    </w:p>
    <w:p>
      <w:pPr>
        <w:pStyle w:val="21"/>
        <w:tabs>
          <w:tab w:val="right" w:leader="dot" w:pos="8296"/>
        </w:tabs>
        <w:adjustRightInd w:val="0"/>
        <w:snapToGrid w:val="0"/>
        <w:spacing w:line="20" w:lineRule="exact"/>
        <w:jc w:val="center"/>
        <w:rPr>
          <w:rFonts w:ascii="方正小标宋简体" w:eastAsia="方正小标宋简体" w:hAnsi="宋体"/>
          <w:sz w:val="20"/>
          <w:szCs w:val="20"/>
          <w:shd w:val="clear" w:color="auto" w:fill="FFFFFF"/>
        </w:rPr>
      </w:pPr>
    </w:p>
    <w:p>
      <w:pPr>
        <w:pStyle w:val="21"/>
        <w:tabs>
          <w:tab w:val="right" w:leader="dot" w:pos="8296"/>
        </w:tabs>
        <w:adjustRightInd w:val="0"/>
        <w:jc w:val="center"/>
        <w:rPr>
          <w:rFonts w:ascii="方正小标宋简体" w:eastAsia="方正小标宋简体" w:hAnsi="宋体"/>
          <w:sz w:val="48"/>
          <w:szCs w:val="48"/>
          <w:shd w:val="clear" w:color="auto" w:fill="FFFFFF"/>
        </w:rPr>
        <w:sectPr>
          <w:footerReference w:type="default" r:id="rId12"/>
          <w:pgSz w:w="16839" w:h="11906" w:orient="landscape"/>
          <w:pgMar w:top="1304" w:right="1417" w:bottom="1304" w:left="1417" w:header="0" w:footer="1134" w:gutter="0"/>
          <w:cols w:num="1" w:space="0"/>
          <w:docGrid w:linePitch="286" w:charSpace="0"/>
        </w:sectPr>
      </w:pPr>
    </w:p>
    <w:p>
      <w:pPr>
        <w:pStyle w:val="2"/>
        <w:jc w:val="center"/>
        <w:rPr>
          <w:sz w:val="44"/>
          <w:lang w:val="zh-CN"/>
        </w:rPr>
      </w:pPr>
      <w:bookmarkStart w:id="140" w:name="_Toc25484"/>
      <w:r>
        <w:rPr>
          <w:rFonts w:hint="eastAsia"/>
          <w:sz w:val="44"/>
          <w:shd w:val="clear" w:color="auto" w:fill="FFFFFF"/>
        </w:rPr>
        <w:t>2021年</w:t>
      </w:r>
      <w:r>
        <w:rPr>
          <w:rFonts w:hint="eastAsia"/>
          <w:sz w:val="44"/>
          <w:shd w:val="clear" w:color="auto" w:fill="FFFFFF"/>
          <w:lang w:val="zh-CN"/>
        </w:rPr>
        <w:t>专</w:t>
      </w:r>
      <w:r>
        <w:rPr>
          <w:rFonts w:hint="eastAsia"/>
          <w:sz w:val="44"/>
          <w:lang w:val="zh-CN"/>
        </w:rPr>
        <w:t>项预算项目支出绩效自评报告</w:t>
      </w:r>
      <w:bookmarkEnd w:id="140"/>
    </w:p>
    <w:p>
      <w:pPr>
        <w:pStyle w:val="2"/>
      </w:pPr>
      <w:bookmarkStart w:id="141" w:name="_Toc779"/>
      <w:r>
        <w:rPr>
          <w:rFonts w:hint="eastAsia"/>
        </w:rPr>
        <w:t>1、</w:t>
      </w:r>
      <w:r>
        <w:t>202</w:t>
      </w:r>
      <w:r>
        <w:rPr>
          <w:rFonts w:hint="eastAsia"/>
        </w:rPr>
        <w:t>1年热水澡工程运行维护项目支出绩效自评报告</w:t>
      </w:r>
      <w:bookmarkEnd w:id="141"/>
    </w:p>
    <w:p>
      <w:pPr>
        <w:adjustRightInd w:val="0"/>
        <w:snapToGrid w:val="0"/>
        <w:spacing w:line="560" w:lineRule="exact"/>
        <w:ind w:firstLineChars="200" w:firstLine="640"/>
        <w:outlineLvl w:val="1"/>
        <w:rPr>
          <w:rFonts w:ascii="方正黑体简体" w:eastAsia="方正黑体简体" w:hAnsi="宋体"/>
          <w:sz w:val="32"/>
          <w:szCs w:val="32"/>
          <w:lang w:val="zh-CN"/>
        </w:rPr>
      </w:pPr>
      <w:bookmarkStart w:id="142" w:name="_Toc32238"/>
      <w:bookmarkStart w:id="143" w:name="_Toc25976"/>
      <w:r>
        <w:rPr>
          <w:rFonts w:ascii="方正黑体简体" w:eastAsia="方正黑体简体" w:hAnsi="宋体" w:hint="eastAsia"/>
          <w:sz w:val="32"/>
          <w:szCs w:val="32"/>
          <w:lang w:val="zh-CN"/>
        </w:rPr>
        <w:t>一、项目概况</w:t>
      </w:r>
      <w:bookmarkEnd w:id="142"/>
      <w:bookmarkEnd w:id="143"/>
    </w:p>
    <w:p>
      <w:pPr>
        <w:adjustRightInd w:val="0"/>
        <w:snapToGrid w:val="0"/>
        <w:spacing w:line="576" w:lineRule="exact"/>
        <w:ind w:left="410"/>
        <w:rPr>
          <w:rFonts w:ascii="楷体" w:eastAsia="楷体" w:cs="楷体" w:hAnsi="楷体"/>
          <w:bCs/>
          <w:sz w:val="32"/>
          <w:szCs w:val="32"/>
          <w:lang w:val="zh-CN"/>
        </w:rPr>
      </w:pPr>
      <w:r>
        <w:rPr>
          <w:rFonts w:ascii="方正楷体简体" w:eastAsia="方正楷体简体" w:hAnsi="宋体" w:hint="eastAsia"/>
          <w:b/>
          <w:sz w:val="32"/>
          <w:szCs w:val="32"/>
          <w:lang w:val="zh-CN"/>
        </w:rPr>
        <w:t>（一）</w:t>
      </w:r>
      <w:r>
        <w:rPr>
          <w:rFonts w:ascii="楷体" w:eastAsia="楷体" w:cs="楷体" w:hAnsi="楷体" w:hint="eastAsia"/>
          <w:bCs/>
          <w:sz w:val="32"/>
          <w:szCs w:val="32"/>
          <w:lang w:val="zh-CN"/>
        </w:rPr>
        <w:t>项目资金申报及批复情况</w:t>
      </w:r>
    </w:p>
    <w:p>
      <w:pPr>
        <w:adjustRightInd w:val="0"/>
        <w:snapToGrid w:val="0"/>
        <w:spacing w:line="576"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确保热水澡工程项目年度正常运转，为学生提供优质免费的服务，区财政年初下达农村中小学热水澡运行维护资金2万元，主要用于农村中小学热水澡工程运行维护。</w:t>
      </w:r>
    </w:p>
    <w:p>
      <w:pPr>
        <w:numPr>
          <w:ilvl w:val="0"/>
          <w:numId w:val="5"/>
        </w:numPr>
        <w:adjustRightInd w:val="0"/>
        <w:snapToGrid w:val="0"/>
        <w:spacing w:line="576" w:lineRule="exact"/>
        <w:ind w:left="0" w:firstLineChars="200" w:firstLine="640"/>
        <w:rPr>
          <w:rFonts w:ascii="楷体" w:eastAsia="楷体" w:cs="楷体" w:hAnsi="楷体"/>
          <w:bCs/>
          <w:sz w:val="32"/>
          <w:szCs w:val="32"/>
          <w:lang w:val="zh-CN"/>
        </w:rPr>
      </w:pPr>
      <w:r>
        <w:rPr>
          <w:rFonts w:ascii="楷体" w:eastAsia="楷体" w:cs="楷体" w:hAnsi="楷体" w:hint="eastAsia"/>
          <w:bCs/>
          <w:sz w:val="32"/>
          <w:szCs w:val="32"/>
          <w:lang w:val="zh-CN"/>
        </w:rPr>
        <w:t>项目绩效目标</w:t>
      </w:r>
    </w:p>
    <w:p>
      <w:pPr>
        <w:adjustRightInd w:val="0"/>
        <w:snapToGrid w:val="0"/>
        <w:spacing w:line="576" w:lineRule="exact"/>
        <w:ind w:firstLineChars="200" w:firstLine="640"/>
        <w:rPr>
          <w:rFonts w:ascii="仿宋_GB2312" w:eastAsia="仿宋_GB2312" w:cs="仿宋_GB2312" w:hAnsi="仿宋_GB2312"/>
          <w:bCs/>
          <w:sz w:val="32"/>
          <w:szCs w:val="32"/>
          <w:lang w:val="zh-CN"/>
        </w:rPr>
      </w:pPr>
      <w:r>
        <w:rPr>
          <w:rFonts w:ascii="仿宋_GB2312" w:eastAsia="仿宋_GB2312" w:cs="仿宋_GB2312" w:hAnsi="仿宋_GB2312" w:hint="eastAsia"/>
          <w:bCs/>
          <w:sz w:val="32"/>
          <w:szCs w:val="32"/>
        </w:rPr>
        <w:t>1.</w:t>
      </w:r>
      <w:r>
        <w:rPr>
          <w:rFonts w:ascii="仿宋_GB2312" w:eastAsia="仿宋_GB2312" w:cs="仿宋_GB2312" w:hAnsi="仿宋_GB2312" w:hint="eastAsia"/>
          <w:bCs/>
          <w:sz w:val="32"/>
          <w:szCs w:val="32"/>
          <w:lang w:val="zh-CN"/>
        </w:rPr>
        <w:t>有效改善农村中小学寄宿学校卫生条件。</w:t>
      </w:r>
      <w:r>
        <w:rPr>
          <w:rFonts w:ascii="仿宋_GB2312" w:eastAsia="仿宋_GB2312" w:cs="仿宋_GB2312" w:hAnsi="仿宋_GB2312" w:hint="eastAsia"/>
          <w:bCs/>
          <w:sz w:val="32"/>
          <w:szCs w:val="32"/>
        </w:rPr>
        <w:t>2.有效改变农村中小学学生卫生习惯。3.对社会、经济发展可持续影响100%。4.热水澡项目学校满意度90%。5.热水澡项目学校学生家长满意度100%。6、热水澡项目学校家长满意度90%。</w:t>
      </w:r>
    </w:p>
    <w:p>
      <w:pPr>
        <w:adjustRightInd w:val="0"/>
        <w:snapToGrid w:val="0"/>
        <w:spacing w:line="576"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2021年年初制订了热水澡工程运行维护工程专项工作计划</w:t>
      </w:r>
      <w:r>
        <w:rPr>
          <w:rFonts w:ascii="仿宋_GB2312" w:eastAsia="仿宋_GB2312" w:cs="仿宋_GB2312" w:hAnsi="仿宋_GB2312" w:hint="eastAsia"/>
          <w:sz w:val="32"/>
          <w:szCs w:val="32"/>
        </w:rPr>
        <w:t>。</w:t>
      </w:r>
    </w:p>
    <w:p>
      <w:pPr>
        <w:numPr>
          <w:ilvl w:val="0"/>
          <w:numId w:val="5"/>
        </w:numPr>
        <w:adjustRightInd w:val="0"/>
        <w:snapToGrid w:val="0"/>
        <w:spacing w:line="576" w:lineRule="exact"/>
        <w:ind w:left="0" w:firstLineChars="200" w:firstLine="640"/>
        <w:rPr>
          <w:rFonts w:ascii="楷体" w:eastAsia="楷体" w:cs="楷体" w:hAnsi="楷体"/>
          <w:bCs/>
          <w:sz w:val="32"/>
          <w:szCs w:val="32"/>
          <w:lang w:val="zh-CN"/>
        </w:rPr>
      </w:pPr>
      <w:r>
        <w:rPr>
          <w:rFonts w:ascii="楷体" w:eastAsia="楷体" w:cs="楷体" w:hAnsi="楷体" w:hint="eastAsia"/>
          <w:bCs/>
          <w:sz w:val="32"/>
          <w:szCs w:val="32"/>
          <w:lang w:val="zh-CN"/>
        </w:rPr>
        <w:t>项目资金申报相符性</w:t>
      </w:r>
    </w:p>
    <w:p>
      <w:pPr>
        <w:adjustRightInd w:val="0"/>
        <w:snapToGrid w:val="0"/>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该项目</w:t>
      </w:r>
      <w:r>
        <w:rPr>
          <w:rFonts w:ascii="仿宋_GB2312" w:eastAsia="仿宋_GB2312" w:cs="仿宋_GB2312" w:hAnsi="仿宋_GB2312" w:hint="eastAsia"/>
          <w:sz w:val="32"/>
          <w:szCs w:val="32"/>
          <w:lang w:val="zh-CN"/>
        </w:rPr>
        <w:t>申报内容</w:t>
      </w:r>
      <w:r>
        <w:rPr>
          <w:rFonts w:ascii="仿宋_GB2312" w:eastAsia="仿宋_GB2312" w:cs="仿宋_GB2312" w:hAnsi="仿宋_GB2312" w:hint="eastAsia"/>
          <w:sz w:val="32"/>
          <w:szCs w:val="32"/>
        </w:rPr>
        <w:t>与</w:t>
      </w:r>
      <w:r>
        <w:rPr>
          <w:rFonts w:ascii="仿宋_GB2312" w:eastAsia="仿宋_GB2312" w:cs="仿宋_GB2312" w:hAnsi="仿宋_GB2312" w:hint="eastAsia"/>
          <w:sz w:val="32"/>
          <w:szCs w:val="32"/>
          <w:lang w:val="zh-CN"/>
        </w:rPr>
        <w:t>具体实施内容相符，</w:t>
      </w:r>
      <w:r>
        <w:rPr>
          <w:rFonts w:ascii="仿宋_GB2312" w:eastAsia="仿宋_GB2312" w:cs="仿宋_GB2312" w:hAnsi="仿宋_GB2312" w:hint="eastAsia"/>
          <w:sz w:val="32"/>
          <w:szCs w:val="32"/>
        </w:rPr>
        <w:t>不存在改变项目资金用途的现象，</w:t>
      </w:r>
      <w:r>
        <w:rPr>
          <w:rFonts w:ascii="仿宋_GB2312" w:eastAsia="仿宋_GB2312" w:cs="仿宋_GB2312" w:hAnsi="仿宋_GB2312" w:hint="eastAsia"/>
          <w:sz w:val="32"/>
          <w:szCs w:val="32"/>
          <w:lang w:val="zh-CN"/>
        </w:rPr>
        <w:t>申报目标合理可行。</w:t>
      </w:r>
    </w:p>
    <w:p>
      <w:pPr>
        <w:adjustRightInd w:val="0"/>
        <w:snapToGrid w:val="0"/>
        <w:spacing w:line="576" w:lineRule="exact"/>
        <w:ind w:firstLineChars="200" w:firstLine="640"/>
        <w:outlineLvl w:val="1"/>
        <w:rPr>
          <w:rFonts w:ascii="黑体" w:eastAsia="黑体" w:cs="黑体" w:hAnsi="黑体"/>
          <w:bCs/>
          <w:sz w:val="32"/>
          <w:szCs w:val="32"/>
        </w:rPr>
      </w:pPr>
      <w:bookmarkStart w:id="144" w:name="_Toc26385"/>
      <w:bookmarkStart w:id="145" w:name="_Toc4104"/>
      <w:r>
        <w:rPr>
          <w:rFonts w:ascii="黑体" w:eastAsia="黑体" w:cs="黑体" w:hAnsi="黑体" w:hint="eastAsia"/>
          <w:bCs/>
          <w:sz w:val="32"/>
          <w:szCs w:val="32"/>
        </w:rPr>
        <w:t>二、项目实施及管理情况</w:t>
      </w:r>
      <w:bookmarkEnd w:id="144"/>
      <w:bookmarkEnd w:id="145"/>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（一）资金计划、到位及使用情况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w:t>
      </w:r>
    </w:p>
    <w:p>
      <w:pPr>
        <w:adjustRightInd w:val="0"/>
        <w:snapToGrid w:val="0"/>
        <w:spacing w:line="59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2021年年初将该项目资金纳入区级财政资金预算，并及时下达该项目资金，资金到位及时，</w:t>
      </w:r>
      <w:r>
        <w:rPr>
          <w:rFonts w:ascii="仿宋_GB2312" w:eastAsia="仿宋_GB2312" w:cs="仿宋_GB2312" w:hAnsi="仿宋_GB2312" w:hint="eastAsia"/>
          <w:sz w:val="32"/>
          <w:szCs w:val="32"/>
          <w:lang w:val="zh-CN"/>
        </w:rPr>
        <w:t>资金到位率</w:t>
      </w:r>
      <w:r>
        <w:rPr>
          <w:rFonts w:ascii="仿宋_GB2312" w:eastAsia="仿宋_GB2312" w:cs="仿宋_GB2312" w:hAnsi="仿宋_GB2312" w:hint="eastAsia"/>
          <w:sz w:val="32"/>
          <w:szCs w:val="32"/>
        </w:rPr>
        <w:t>100%。</w:t>
      </w:r>
    </w:p>
    <w:p>
      <w:pPr>
        <w:adjustRightInd w:val="0"/>
        <w:snapToGrid w:val="0"/>
        <w:spacing w:line="59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资金使用。</w:t>
      </w:r>
      <w:r>
        <w:rPr>
          <w:rFonts w:ascii="仿宋_GB2312" w:eastAsia="仿宋_GB2312" w:cs="仿宋_GB2312" w:hAnsi="仿宋_GB2312" w:hint="eastAsia"/>
          <w:bCs/>
          <w:sz w:val="32"/>
          <w:szCs w:val="32"/>
        </w:rPr>
        <w:t>热水澡专项补助项目资金主要用于农村中小学热水澡工程运行维护。经检查资金使用符合项目资金用途，</w:t>
      </w:r>
      <w:r>
        <w:rPr>
          <w:rFonts w:ascii="仿宋_GB2312" w:eastAsia="仿宋_GB2312" w:cs="仿宋_GB2312" w:hAnsi="仿宋_GB2312" w:hint="eastAsia"/>
          <w:sz w:val="32"/>
          <w:szCs w:val="32"/>
          <w:lang w:val="zh-CN"/>
        </w:rPr>
        <w:t>费用支付严格按照</w:t>
      </w:r>
      <w:r>
        <w:rPr>
          <w:rFonts w:ascii="仿宋_GB2312" w:eastAsia="仿宋_GB2312" w:cs="仿宋_GB2312" w:hAnsi="仿宋_GB2312" w:hint="eastAsia"/>
          <w:sz w:val="32"/>
          <w:szCs w:val="32"/>
        </w:rPr>
        <w:t>专项资金使用</w:t>
      </w:r>
      <w:r>
        <w:rPr>
          <w:rFonts w:ascii="仿宋_GB2312" w:eastAsia="仿宋_GB2312" w:cs="仿宋_GB2312" w:hAnsi="仿宋_GB2312" w:hint="eastAsia"/>
          <w:sz w:val="32"/>
          <w:szCs w:val="32"/>
          <w:lang w:val="zh-CN"/>
        </w:rPr>
        <w:t>管理办法执行，严控各类支出，确保</w:t>
      </w:r>
      <w:r>
        <w:rPr>
          <w:rFonts w:ascii="仿宋_GB2312" w:eastAsia="仿宋_GB2312" w:cs="仿宋_GB2312" w:hAnsi="仿宋_GB2312" w:hint="eastAsia"/>
          <w:sz w:val="32"/>
          <w:szCs w:val="32"/>
        </w:rPr>
        <w:t>专项</w:t>
      </w:r>
      <w:r>
        <w:rPr>
          <w:rFonts w:ascii="仿宋_GB2312" w:eastAsia="仿宋_GB2312" w:cs="仿宋_GB2312" w:hAnsi="仿宋_GB2312" w:hint="eastAsia"/>
          <w:sz w:val="32"/>
          <w:szCs w:val="32"/>
          <w:lang w:val="zh-CN"/>
        </w:rPr>
        <w:t>支出合规合法，资金支付与预算相符。</w:t>
      </w:r>
    </w:p>
    <w:p>
      <w:pPr>
        <w:adjustRightInd w:val="0"/>
        <w:snapToGrid w:val="0"/>
        <w:spacing w:line="59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（二）项目财务管理情况</w:t>
      </w:r>
    </w:p>
    <w:p>
      <w:pPr>
        <w:adjustRightInd w:val="0"/>
        <w:snapToGrid w:val="0"/>
        <w:spacing w:line="59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rPr>
        <w:t>项目财务管理制度建设健全、机构设置合理合规、会计核算及账务处理合理。该项目严格执行财务管理制度、财务处理及时、会计核算规范。</w:t>
      </w:r>
    </w:p>
    <w:p>
      <w:pPr>
        <w:adjustRightInd w:val="0"/>
        <w:snapToGrid w:val="0"/>
        <w:spacing w:line="59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（三）项目组织实施情况</w:t>
      </w:r>
    </w:p>
    <w:p>
      <w:pPr>
        <w:adjustRightInd w:val="0"/>
        <w:snapToGrid w:val="0"/>
        <w:spacing w:line="596"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建平初级中学成立了热水澡项目工作领导小组，指导和检查资金的使用情况，经检查，该专项资金使用合法合规，严格执行相关资金管理制度。</w:t>
      </w:r>
    </w:p>
    <w:p>
      <w:pPr>
        <w:adjustRightInd w:val="0"/>
        <w:snapToGrid w:val="0"/>
        <w:spacing w:line="596" w:lineRule="exact"/>
        <w:ind w:firstLineChars="200" w:firstLine="640"/>
        <w:outlineLvl w:val="1"/>
        <w:rPr>
          <w:rFonts w:ascii="黑体" w:eastAsia="黑体" w:cs="黑体" w:hAnsi="黑体"/>
          <w:bCs/>
          <w:sz w:val="32"/>
          <w:szCs w:val="32"/>
        </w:rPr>
      </w:pPr>
      <w:bookmarkStart w:id="146" w:name="_Toc11375"/>
      <w:bookmarkStart w:id="147" w:name="_Toc21938"/>
      <w:r>
        <w:rPr>
          <w:rFonts w:ascii="黑体" w:eastAsia="黑体" w:cs="黑体" w:hAnsi="黑体" w:hint="eastAsia"/>
          <w:bCs/>
          <w:sz w:val="32"/>
          <w:szCs w:val="32"/>
        </w:rPr>
        <w:t>三、项目绩效情况</w:t>
      </w:r>
      <w:bookmarkEnd w:id="146"/>
      <w:bookmarkEnd w:id="147"/>
      <w:r>
        <w:rPr>
          <w:rFonts w:ascii="黑体" w:eastAsia="黑体" w:cs="黑体" w:hAnsi="黑体" w:hint="eastAsia"/>
          <w:bCs/>
          <w:sz w:val="32"/>
          <w:szCs w:val="32"/>
        </w:rPr>
        <w:tab/>
      </w:r>
    </w:p>
    <w:p>
      <w:pPr>
        <w:adjustRightInd w:val="0"/>
        <w:snapToGrid w:val="0"/>
        <w:spacing w:line="59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（一）项目完成情况</w:t>
      </w:r>
    </w:p>
    <w:p>
      <w:pPr>
        <w:adjustRightInd w:val="0"/>
        <w:snapToGrid w:val="0"/>
        <w:spacing w:line="596"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补助资金按年及时拨付，根据热水澡工程项目学校运行情况优劣情况补助。</w:t>
      </w:r>
    </w:p>
    <w:p>
      <w:pPr>
        <w:adjustRightInd w:val="0"/>
        <w:snapToGrid w:val="0"/>
        <w:spacing w:line="596"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2</w:t>
      </w:r>
      <w:r>
        <w:rPr>
          <w:rFonts w:ascii="仿宋_GB2312" w:eastAsia="仿宋_GB2312" w:cs="仿宋_GB2312" w:hAnsi="仿宋_GB2312" w:hint="eastAsia"/>
          <w:bCs/>
          <w:spacing w:val="-6"/>
          <w:sz w:val="32"/>
          <w:szCs w:val="32"/>
        </w:rPr>
        <w:t>021年12月底已按年初制订的</w:t>
      </w:r>
      <w:r>
        <w:rPr>
          <w:rFonts w:ascii="仿宋_GB2312" w:eastAsia="仿宋_GB2312" w:cs="仿宋_GB2312" w:hAnsi="仿宋_GB2312" w:hint="eastAsia"/>
          <w:spacing w:val="-6"/>
          <w:sz w:val="32"/>
          <w:szCs w:val="32"/>
          <w:lang w:val="zh-CN"/>
        </w:rPr>
        <w:t>实施进度计划</w:t>
      </w:r>
      <w:r>
        <w:rPr>
          <w:rFonts w:ascii="仿宋_GB2312" w:eastAsia="仿宋_GB2312" w:cs="仿宋_GB2312" w:hAnsi="仿宋_GB2312" w:hint="eastAsia"/>
          <w:spacing w:val="-6"/>
          <w:sz w:val="32"/>
          <w:szCs w:val="32"/>
        </w:rPr>
        <w:t>分步顺利完成。</w:t>
      </w:r>
    </w:p>
    <w:p>
      <w:pPr>
        <w:adjustRightInd w:val="0"/>
        <w:snapToGrid w:val="0"/>
        <w:spacing w:line="59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（二）项目效益情况</w:t>
      </w:r>
    </w:p>
    <w:p>
      <w:pPr>
        <w:adjustRightInd w:val="0"/>
        <w:snapToGrid w:val="0"/>
        <w:spacing w:line="596"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有效改善农村中小学寄宿学校卫生条件，有效改变农村中小学学生卫生习惯，对社会、经济发展可持续影响100%，热水澡项目学校满意度90%，热水澡项目学校学生家长满意度100%，热水澡项目学校家长满意度90%。</w:t>
      </w:r>
    </w:p>
    <w:p>
      <w:pPr>
        <w:adjustRightInd w:val="0"/>
        <w:snapToGrid w:val="0"/>
        <w:spacing w:line="596" w:lineRule="exact"/>
        <w:ind w:firstLineChars="200" w:firstLine="640"/>
        <w:outlineLvl w:val="1"/>
        <w:rPr>
          <w:rFonts w:ascii="黑体" w:eastAsia="黑体" w:cs="黑体" w:hAnsi="黑体"/>
          <w:bCs/>
          <w:sz w:val="32"/>
          <w:szCs w:val="32"/>
        </w:rPr>
      </w:pPr>
      <w:bookmarkStart w:id="148" w:name="_Toc28530"/>
      <w:bookmarkStart w:id="149" w:name="_Toc16021"/>
      <w:r>
        <w:rPr>
          <w:rFonts w:ascii="黑体" w:eastAsia="黑体" w:cs="黑体" w:hAnsi="黑体" w:hint="eastAsia"/>
          <w:bCs/>
          <w:sz w:val="32"/>
          <w:szCs w:val="32"/>
        </w:rPr>
        <w:t>四、问题及建议</w:t>
      </w:r>
      <w:bookmarkEnd w:id="148"/>
      <w:bookmarkEnd w:id="149"/>
    </w:p>
    <w:p>
      <w:pPr>
        <w:adjustRightInd w:val="0"/>
        <w:snapToGrid w:val="0"/>
        <w:spacing w:line="596"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要充分发挥资金使用效益，建立各项目学校的目标责任，加强热水澡工程项目日常维护工作，有效改变农村中小学学生卫生习惯，提高学生、家长的满意度。</w:t>
      </w:r>
    </w:p>
    <w:p>
      <w:pPr>
        <w:snapToGrid w:val="0"/>
        <w:spacing w:line="560" w:lineRule="exact"/>
        <w:ind w:firstLineChars="200" w:firstLine="640"/>
        <w:outlineLvl w:val="1"/>
        <w:rPr>
          <w:rFonts w:ascii="黑体" w:eastAsia="黑体" w:hAnsi="黑体"/>
          <w:sz w:val="32"/>
          <w:szCs w:val="32"/>
        </w:rPr>
      </w:pPr>
      <w:bookmarkStart w:id="150" w:name="_Toc27846"/>
      <w:bookmarkStart w:id="151" w:name="_Toc30836"/>
      <w:r>
        <w:rPr>
          <w:rFonts w:ascii="黑体" w:eastAsia="黑体" w:hAnsi="黑体" w:hint="eastAsia"/>
          <w:sz w:val="32"/>
          <w:szCs w:val="32"/>
        </w:rPr>
        <w:t>五、其他需要说明的内容 无</w:t>
      </w:r>
      <w:bookmarkEnd w:id="150"/>
      <w:bookmarkEnd w:id="151"/>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六、综合评估结论</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 xml:space="preserve">体评价得分为 </w:t>
      </w:r>
      <w:r>
        <w:rPr>
          <w:rFonts w:ascii="仿宋" w:eastAsia="仿宋" w:cs="仿宋" w:hAnsi="仿宋" w:hint="eastAsia"/>
          <w:sz w:val="32"/>
          <w:szCs w:val="32"/>
        </w:rPr>
        <w:t>95.1</w:t>
      </w:r>
      <w:r>
        <w:rPr>
          <w:rFonts w:ascii="仿宋" w:eastAsia="仿宋" w:cs="仿宋" w:hAnsi="仿宋"/>
          <w:sz w:val="32"/>
          <w:szCs w:val="32"/>
        </w:rPr>
        <w:t xml:space="preserve"> 分，评估等级为“优”。预期产出和效果充分满足利州区教育改革各相关需求。</w:t>
      </w:r>
    </w:p>
    <w:p>
      <w:pPr>
        <w:pStyle w:val="2"/>
      </w:pPr>
      <w:bookmarkStart w:id="152" w:name="_Toc25255"/>
      <w:r>
        <w:rPr>
          <w:rFonts w:hint="eastAsia"/>
        </w:rPr>
        <w:t>2、对家庭经济困难寄宿学生生活补助项目支出绩效自评报告</w:t>
      </w:r>
      <w:bookmarkEnd w:id="152"/>
    </w:p>
    <w:p>
      <w:pPr>
        <w:adjustRightInd w:val="0"/>
        <w:snapToGrid w:val="0"/>
        <w:spacing w:line="560" w:lineRule="exact"/>
        <w:ind w:firstLineChars="200" w:firstLine="640"/>
        <w:outlineLvl w:val="1"/>
        <w:rPr>
          <w:rFonts w:ascii="黑体" w:eastAsia="黑体" w:cs="黑体" w:hAnsi="黑体"/>
          <w:bCs/>
          <w:sz w:val="32"/>
          <w:szCs w:val="32"/>
        </w:rPr>
      </w:pPr>
      <w:bookmarkStart w:id="153" w:name="_Toc13465"/>
      <w:bookmarkStart w:id="154" w:name="_Toc7200"/>
      <w:r>
        <w:rPr>
          <w:rFonts w:ascii="黑体" w:eastAsia="黑体" w:cs="黑体" w:hAnsi="黑体" w:hint="eastAsia"/>
          <w:bCs/>
          <w:sz w:val="32"/>
          <w:szCs w:val="32"/>
        </w:rPr>
        <w:t>一、重大政策或项目基本情况</w:t>
      </w:r>
      <w:bookmarkEnd w:id="153"/>
      <w:bookmarkEnd w:id="154"/>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根据广元市人民政府关于进一步完善城乡义务教育经费保障机制的实施意见广府办发（2017） 36 号的要求，利州区全面推行“三免一补政策”， 更好地</w:t>
      </w:r>
      <w:bookmarkStart w:id="155" w:name="_GoBack"/>
      <w:bookmarkEnd w:id="155"/>
      <w:r>
        <w:rPr>
          <w:rFonts w:ascii="仿宋" w:eastAsia="仿宋" w:cs="仿宋" w:hAnsi="仿宋"/>
          <w:sz w:val="32"/>
          <w:szCs w:val="32"/>
        </w:rPr>
        <w:t>满足社会需求，减轻家庭经济负担，保障家庭经济困难学生能够顺利完成义务教育。</w:t>
      </w:r>
    </w:p>
    <w:p>
      <w:pPr>
        <w:adjustRightInd w:val="0"/>
        <w:snapToGrid w:val="0"/>
        <w:spacing w:line="560" w:lineRule="exact"/>
        <w:ind w:firstLineChars="200" w:firstLine="640"/>
        <w:outlineLvl w:val="1"/>
        <w:rPr>
          <w:rFonts w:ascii="黑体" w:eastAsia="黑体" w:cs="黑体" w:hAnsi="黑体"/>
          <w:bCs/>
          <w:sz w:val="32"/>
          <w:szCs w:val="32"/>
        </w:rPr>
      </w:pPr>
      <w:bookmarkStart w:id="156" w:name="_Toc27758"/>
      <w:bookmarkStart w:id="157" w:name="_Toc84"/>
      <w:r>
        <w:rPr>
          <w:rFonts w:ascii="黑体" w:eastAsia="黑体" w:cs="黑体" w:hAnsi="黑体" w:hint="eastAsia"/>
          <w:bCs/>
          <w:sz w:val="32"/>
          <w:szCs w:val="32"/>
        </w:rPr>
        <w:t>二、立项必要性</w:t>
      </w:r>
      <w:bookmarkEnd w:id="156"/>
      <w:bookmarkEnd w:id="157"/>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利州区学前教育以“乡镇公办为主，城区公民办并举， 分类规划，分层建设，同步推进”的发展思路，切实规范办 学行为，提高教育质量，逐步形成了覆盖城乡、群众满意的 教育公共服务体系。按照中央、省、市的相关政策,义务教 育家庭经济困难学生享受寄宿生活补助。区教育局和县财政 局密切配合,对补助人数进行育经费开支的范围和标准，经费支出规范、合理，无虚列、 虚报冒领和挤占挪用现象，票据规范、合法有效。财务信息公开透明，对预算批复，主动公示并接受师生和群众监督。 在区财政和教育主管部门定期组织对学校经费使用情况的 检查、审计中未发现重大违规、违纪现象。</w:t>
      </w:r>
    </w:p>
    <w:p>
      <w:pPr>
        <w:adjustRightInd w:val="0"/>
        <w:snapToGrid w:val="0"/>
        <w:spacing w:line="560" w:lineRule="exact"/>
        <w:ind w:firstLineChars="200" w:firstLine="640"/>
        <w:outlineLvl w:val="1"/>
        <w:rPr>
          <w:rFonts w:ascii="黑体" w:eastAsia="黑体" w:cs="黑体" w:hAnsi="黑体"/>
          <w:bCs/>
          <w:sz w:val="32"/>
          <w:szCs w:val="32"/>
        </w:rPr>
      </w:pPr>
      <w:bookmarkStart w:id="158" w:name="_Toc30559"/>
      <w:bookmarkStart w:id="159" w:name="_Toc8865"/>
      <w:r>
        <w:rPr>
          <w:rFonts w:ascii="黑体" w:eastAsia="黑体" w:cs="黑体" w:hAnsi="黑体" w:hint="eastAsia"/>
          <w:bCs/>
          <w:sz w:val="32"/>
          <w:szCs w:val="32"/>
        </w:rPr>
        <w:t>三、绩效目标合理性</w:t>
      </w:r>
      <w:bookmarkEnd w:id="158"/>
      <w:bookmarkEnd w:id="159"/>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（一）绩效目标设置情况</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绩效评价指标是指衡量绩效目标实现程度的考核工具。 绩效评价指标的确定应当遵循以下原则： 相关性原则、重要 性原则、可比性原则、系统性原则、经济性原则。绩效评价 指标分为共性指标和个性指标，共性指标由财政部门统一制 定，个性指标由财政部门会同预算部门制定。</w:t>
      </w:r>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（二）绩效指标合理性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该项目绩效评价指标设置完整、科学、合理，各项绩效 指标可量化可考核，契合政策或项目实质，符合部门的长期 规划目标和年度工作目标要求。</w:t>
      </w:r>
    </w:p>
    <w:p>
      <w:pPr>
        <w:adjustRightInd w:val="0"/>
        <w:snapToGrid w:val="0"/>
        <w:spacing w:line="560" w:lineRule="exact"/>
        <w:ind w:firstLineChars="200" w:firstLine="640"/>
        <w:outlineLvl w:val="1"/>
        <w:rPr>
          <w:rFonts w:ascii="黑体" w:eastAsia="黑体" w:cs="黑体" w:hAnsi="黑体"/>
          <w:bCs/>
          <w:sz w:val="32"/>
          <w:szCs w:val="32"/>
        </w:rPr>
      </w:pPr>
      <w:bookmarkStart w:id="160" w:name="_Toc29408"/>
      <w:bookmarkStart w:id="161" w:name="_Toc29623"/>
      <w:r>
        <w:rPr>
          <w:rFonts w:ascii="黑体" w:eastAsia="黑体" w:cs="黑体" w:hAnsi="黑体" w:hint="eastAsia"/>
          <w:bCs/>
          <w:sz w:val="32"/>
          <w:szCs w:val="32"/>
        </w:rPr>
        <w:t>四、实施方案可行性</w:t>
      </w:r>
      <w:bookmarkEnd w:id="160"/>
      <w:bookmarkEnd w:id="161"/>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为保障该项目顺利实施，我</w:t>
      </w:r>
      <w:r>
        <w:rPr>
          <w:rFonts w:ascii="仿宋" w:eastAsia="仿宋" w:cs="仿宋" w:hAnsi="仿宋" w:hint="eastAsia"/>
          <w:sz w:val="32"/>
          <w:szCs w:val="32"/>
        </w:rPr>
        <w:t>校</w:t>
      </w:r>
      <w:r>
        <w:rPr>
          <w:rFonts w:ascii="仿宋" w:eastAsia="仿宋" w:cs="仿宋" w:hAnsi="仿宋"/>
          <w:sz w:val="32"/>
          <w:szCs w:val="32"/>
        </w:rPr>
        <w:t>成立了以</w:t>
      </w:r>
      <w:r>
        <w:rPr>
          <w:rFonts w:ascii="仿宋" w:eastAsia="仿宋" w:cs="仿宋" w:hAnsi="仿宋" w:hint="eastAsia"/>
          <w:sz w:val="32"/>
          <w:szCs w:val="32"/>
        </w:rPr>
        <w:t>党支部书记、校长</w:t>
      </w:r>
      <w:r>
        <w:rPr>
          <w:rFonts w:ascii="仿宋" w:eastAsia="仿宋" w:cs="仿宋" w:hAnsi="仿宋"/>
          <w:sz w:val="32"/>
          <w:szCs w:val="32"/>
        </w:rPr>
        <w:t>任组长，</w:t>
      </w:r>
      <w:r>
        <w:rPr>
          <w:rFonts w:ascii="仿宋" w:eastAsia="仿宋" w:cs="仿宋" w:hAnsi="仿宋" w:hint="eastAsia"/>
          <w:sz w:val="32"/>
          <w:szCs w:val="32"/>
        </w:rPr>
        <w:t>副校长</w:t>
      </w:r>
      <w:r>
        <w:rPr>
          <w:rFonts w:ascii="仿宋" w:eastAsia="仿宋" w:cs="仿宋" w:hAnsi="仿宋"/>
          <w:sz w:val="32"/>
          <w:szCs w:val="32"/>
        </w:rPr>
        <w:t>任副组长，各</w:t>
      </w:r>
      <w:r>
        <w:rPr>
          <w:rFonts w:ascii="仿宋" w:eastAsia="仿宋" w:cs="仿宋" w:hAnsi="仿宋" w:hint="eastAsia"/>
          <w:sz w:val="32"/>
          <w:szCs w:val="32"/>
        </w:rPr>
        <w:t>科室</w:t>
      </w:r>
      <w:r>
        <w:rPr>
          <w:rFonts w:ascii="仿宋" w:eastAsia="仿宋" w:cs="仿宋" w:hAnsi="仿宋"/>
          <w:sz w:val="32"/>
          <w:szCs w:val="32"/>
        </w:rPr>
        <w:t>负责人为成员的工作领导小组，将项目实施的各项绩效目标纳入部门年度工作计划，并要求严格执行国家、省和市、区教育经费开支的 范围和标准，资金总量严格控制在预算标准内，经费支出规 范、合理。</w:t>
      </w:r>
    </w:p>
    <w:p>
      <w:pPr>
        <w:adjustRightInd w:val="0"/>
        <w:snapToGrid w:val="0"/>
        <w:spacing w:line="560" w:lineRule="exact"/>
        <w:ind w:firstLineChars="200" w:firstLine="640"/>
        <w:outlineLvl w:val="1"/>
        <w:rPr>
          <w:rFonts w:ascii="黑体" w:eastAsia="黑体" w:cs="黑体" w:hAnsi="黑体"/>
          <w:bCs/>
          <w:sz w:val="32"/>
          <w:szCs w:val="32"/>
        </w:rPr>
      </w:pPr>
      <w:bookmarkStart w:id="162" w:name="_Toc13561"/>
      <w:bookmarkStart w:id="163" w:name="_Toc17864"/>
      <w:r>
        <w:rPr>
          <w:rFonts w:ascii="黑体" w:eastAsia="黑体" w:cs="黑体" w:hAnsi="黑体" w:hint="eastAsia"/>
          <w:bCs/>
          <w:sz w:val="32"/>
          <w:szCs w:val="32"/>
        </w:rPr>
        <w:t>五、筹资合规性</w:t>
      </w:r>
      <w:bookmarkEnd w:id="162"/>
      <w:bookmarkEnd w:id="163"/>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该项目为公益性项目，属于公共财政支持范围，所需资金有财政预算全额保障。</w:t>
      </w:r>
    </w:p>
    <w:p>
      <w:pPr>
        <w:adjustRightInd w:val="0"/>
        <w:snapToGrid w:val="0"/>
        <w:spacing w:line="560" w:lineRule="exact"/>
        <w:ind w:firstLineChars="200" w:firstLine="640"/>
        <w:outlineLvl w:val="1"/>
        <w:rPr>
          <w:rFonts w:ascii="黑体" w:eastAsia="黑体" w:cs="黑体" w:hAnsi="黑体"/>
          <w:bCs/>
          <w:sz w:val="32"/>
          <w:szCs w:val="32"/>
        </w:rPr>
      </w:pPr>
      <w:bookmarkStart w:id="164" w:name="_Toc32320"/>
      <w:bookmarkStart w:id="165" w:name="_Toc28054"/>
      <w:r>
        <w:rPr>
          <w:rFonts w:ascii="黑体" w:eastAsia="黑体" w:cs="黑体" w:hAnsi="黑体" w:hint="eastAsia"/>
          <w:bCs/>
          <w:sz w:val="32"/>
          <w:szCs w:val="32"/>
        </w:rPr>
        <w:t>六、可持续性分析</w:t>
      </w:r>
      <w:bookmarkEnd w:id="164"/>
      <w:bookmarkEnd w:id="165"/>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相关资金纳入部门预算，经费的来源能够得到有效保障。区教育局为合理、有效、规范使用专项资金，根据国家统 一的财务制度，制订了《学校财务管理制度》 等规范性文件。 规范了财务管理，确保经费使用合规合法。</w:t>
      </w: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七、其他需要说明的内容</w:t>
      </w: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八、综合评估结论</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 xml:space="preserve">该项目总体评价得分为 </w:t>
      </w:r>
      <w:r>
        <w:rPr>
          <w:rFonts w:ascii="仿宋" w:eastAsia="仿宋" w:cs="仿宋" w:hAnsi="仿宋" w:hint="eastAsia"/>
          <w:sz w:val="32"/>
          <w:szCs w:val="32"/>
        </w:rPr>
        <w:t>95.1</w:t>
      </w:r>
      <w:r>
        <w:rPr>
          <w:rFonts w:ascii="仿宋" w:eastAsia="仿宋" w:cs="仿宋" w:hAnsi="仿宋"/>
          <w:sz w:val="32"/>
          <w:szCs w:val="32"/>
        </w:rPr>
        <w:t xml:space="preserve"> 分，评估等级为“优”。预期产出和效果充分满足利州区学前教育发展的相关需求。</w:t>
      </w:r>
    </w:p>
    <w:p>
      <w:pPr>
        <w:pStyle w:val="2"/>
      </w:pPr>
      <w:bookmarkStart w:id="166" w:name="_Toc4688"/>
      <w:r>
        <w:rPr>
          <w:rFonts w:hint="eastAsia"/>
        </w:rPr>
        <w:t>3、城乡义务教育补助作业本费配套事前绩效评估报告</w:t>
      </w:r>
      <w:bookmarkEnd w:id="166"/>
    </w:p>
    <w:p>
      <w:pPr>
        <w:snapToGrid w:val="0"/>
        <w:spacing w:line="560" w:lineRule="exact"/>
        <w:ind w:firstLineChars="200" w:firstLine="640"/>
        <w:outlineLvl w:val="1"/>
        <w:rPr>
          <w:rFonts w:ascii="仿宋" w:eastAsia="仿宋" w:cs="仿宋" w:hAnsi="仿宋"/>
          <w:sz w:val="32"/>
          <w:szCs w:val="32"/>
        </w:rPr>
      </w:pPr>
      <w:bookmarkStart w:id="167" w:name="_Toc14400"/>
      <w:bookmarkStart w:id="168" w:name="_Toc5796"/>
      <w:r>
        <w:rPr>
          <w:rFonts w:ascii="黑体" w:eastAsia="黑体" w:hAnsi="黑体" w:hint="eastAsia"/>
          <w:sz w:val="32"/>
          <w:szCs w:val="32"/>
        </w:rPr>
        <w:t>一、重大政策或项目基本情况</w:t>
      </w:r>
      <w:bookmarkEnd w:id="167"/>
      <w:bookmarkEnd w:id="168"/>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义务教育是教育工作的重中之重，在全面建成小康社会 进程中具有基础性、先导性和全局性的重要作用。 自 2006 年实施农村义务教育经费保障机制改革以来，义务教育逐步纳入公共财政保障范围，城乡免费义务教育全面实现，稳定增长的经费保障机制基本建立，九年义务教育全面普及，县域内义务教育均衡发展水平不断提高。但随着我国新型城镇 化建设和户籍制度改革不断推进，学生流动性加大，现行义务教育经费保障机制已不能很好适应新形势要求。城乡义务 教育经费保障机制有关政策不统一、经费可携带性不强、资源配置不够均衡、综合</w:t>
      </w:r>
      <w:r>
        <w:rPr>
          <w:rFonts w:ascii="仿宋" w:eastAsia="仿宋" w:cs="仿宋" w:hAnsi="仿宋"/>
          <w:spacing w:val="-11"/>
          <w:sz w:val="32"/>
          <w:szCs w:val="32"/>
        </w:rPr>
        <w:t>改革有待深化等问题，都需要进一步 采取措施，切实加以解决</w:t>
      </w:r>
      <w:r>
        <w:rPr>
          <w:rFonts w:ascii="仿宋" w:eastAsia="仿宋" w:cs="仿宋" w:hAnsi="仿宋"/>
          <w:sz w:val="32"/>
          <w:szCs w:val="32"/>
        </w:rPr>
        <w:t>。</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在整合农村义务教育经费保障机制和城市义务教育奖补政策的基础上，建立城乡统一、重在农村的义务教育经费保障机制，是教育领域健全城乡发展一体化体制机制的重大举措。这有利于推动省级政府统筹教育改革，优化教育布局， 实现城乡义务教育在更高层次的均衡发展，促进教育公平、 提高教育质量； 有利于深化财税体制改革，推动实现财政转 移支付同农业转移人 口市民化挂钩，促进劳动力合理流动， 推动经济结构调整和产业转型升级； 有利于促进基本公共服务均等化，构建社会主义和谐社会，建设人力资源强国。</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利州区高度重视义务教育，将义务教育阶段学校免除学生作业本费作为一项重要的民生实施工程，该项目主要是对义务教育阶段学生按“三免一补”政策标准进行资助的惠民政策，减轻家庭经济负担，保障义务教育阶段学生能够顺利 完成学业。项目内容及范围包括：义务教育阶段小学生人均补助标准：30元/年/生，义务教育阶段初中学生人均补助标准：40 元/年/生。</w:t>
      </w:r>
    </w:p>
    <w:p>
      <w:pPr>
        <w:snapToGrid w:val="0"/>
        <w:spacing w:line="560" w:lineRule="exact"/>
        <w:ind w:firstLineChars="200" w:firstLine="640"/>
        <w:outlineLvl w:val="1"/>
        <w:rPr>
          <w:rFonts w:ascii="黑体" w:eastAsia="黑体" w:hAnsi="黑体"/>
          <w:sz w:val="32"/>
          <w:szCs w:val="32"/>
        </w:rPr>
      </w:pPr>
      <w:bookmarkStart w:id="169" w:name="_Toc7509"/>
      <w:bookmarkStart w:id="170" w:name="_Toc1632"/>
      <w:r>
        <w:rPr>
          <w:rFonts w:ascii="黑体" w:eastAsia="黑体" w:hAnsi="黑体" w:hint="eastAsia"/>
          <w:sz w:val="32"/>
          <w:szCs w:val="32"/>
        </w:rPr>
        <w:t>二、立项必要性</w:t>
      </w:r>
      <w:bookmarkEnd w:id="169"/>
      <w:bookmarkEnd w:id="170"/>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该项目已实施多年，有效贯彻了中央、省、市有关教师对于建设的决策部署，有效促进区内教学水平和人才培养质量稳步提升，促进各类教育事业有序、健康、协调发展。具有明显的经济效益和社会效益。</w:t>
      </w:r>
    </w:p>
    <w:p>
      <w:pPr>
        <w:snapToGrid w:val="0"/>
        <w:spacing w:line="560" w:lineRule="exact"/>
        <w:ind w:firstLineChars="200" w:firstLine="640"/>
        <w:outlineLvl w:val="1"/>
        <w:rPr>
          <w:rFonts w:ascii="黑体" w:eastAsia="黑体" w:hAnsi="黑体"/>
          <w:sz w:val="32"/>
          <w:szCs w:val="32"/>
        </w:rPr>
      </w:pPr>
      <w:bookmarkStart w:id="171" w:name="_Toc19627"/>
      <w:bookmarkStart w:id="172" w:name="_Toc26951"/>
      <w:r>
        <w:rPr>
          <w:rFonts w:ascii="黑体" w:eastAsia="黑体" w:hAnsi="黑体" w:hint="eastAsia"/>
          <w:sz w:val="32"/>
          <w:szCs w:val="32"/>
        </w:rPr>
        <w:t>三、投入经济性</w:t>
      </w:r>
      <w:bookmarkEnd w:id="171"/>
      <w:bookmarkEnd w:id="172"/>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在区财政和教育主管部门定期组织对学校经费使用情 况的检查、审计中未发现重大违规、违纪现象。</w:t>
      </w:r>
    </w:p>
    <w:p>
      <w:pPr>
        <w:snapToGrid w:val="0"/>
        <w:spacing w:line="560" w:lineRule="exact"/>
        <w:ind w:firstLineChars="200" w:firstLine="640"/>
        <w:outlineLvl w:val="1"/>
        <w:rPr>
          <w:rFonts w:ascii="黑体" w:eastAsia="黑体" w:hAnsi="黑体"/>
          <w:sz w:val="32"/>
          <w:szCs w:val="32"/>
        </w:rPr>
      </w:pPr>
      <w:bookmarkStart w:id="173" w:name="_Toc14620"/>
      <w:bookmarkStart w:id="174" w:name="_Toc6127"/>
      <w:r>
        <w:rPr>
          <w:rFonts w:ascii="黑体" w:eastAsia="黑体" w:hAnsi="黑体" w:hint="eastAsia"/>
          <w:sz w:val="32"/>
          <w:szCs w:val="32"/>
        </w:rPr>
        <w:t>四、绩效目标合理性</w:t>
      </w:r>
      <w:bookmarkEnd w:id="173"/>
      <w:bookmarkEnd w:id="174"/>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（一）绩效目标设置情况</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绩效评价指标是指衡量绩效目标实现程度的考核工具。绩效评价指标的确定应当遵循以下原则： 相关性原则、重要性原则、可比性原则、系统性原则、经济性原则。绩效评价指标分为共性指标和个性指标，共性指标由财政部门统一制定，个性指标由财政部门会同预算部门制定。</w:t>
      </w:r>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（二）绩效指标合理性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该项目绩效评价指标设置完整、科学、合理，各项绩效 指标可量化可考核，契合政策或项目实质，符合部门的长期 规划目标和年度工作目标要求。</w:t>
      </w:r>
    </w:p>
    <w:p>
      <w:pPr>
        <w:snapToGrid w:val="0"/>
        <w:spacing w:line="560" w:lineRule="exact"/>
        <w:ind w:firstLineChars="200" w:firstLine="640"/>
        <w:outlineLvl w:val="1"/>
        <w:rPr>
          <w:rFonts w:ascii="黑体" w:eastAsia="黑体" w:hAnsi="黑体"/>
          <w:sz w:val="32"/>
          <w:szCs w:val="32"/>
        </w:rPr>
      </w:pPr>
      <w:bookmarkStart w:id="175" w:name="_Toc2125"/>
      <w:bookmarkStart w:id="176" w:name="_Toc30301"/>
      <w:r>
        <w:rPr>
          <w:rFonts w:ascii="黑体" w:eastAsia="黑体" w:hAnsi="黑体" w:hint="eastAsia"/>
          <w:sz w:val="32"/>
          <w:szCs w:val="32"/>
        </w:rPr>
        <w:t>五、实施方案可行性</w:t>
      </w:r>
      <w:bookmarkEnd w:id="175"/>
      <w:bookmarkEnd w:id="176"/>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我区现有公办义务教育学校均执行农村义务教育经费保障政策。编制部门预算时，严格按照“二上二下”</w:t>
      </w:r>
      <w:r>
        <w:rPr>
          <w:rFonts w:ascii="仿宋" w:eastAsia="仿宋" w:cs="仿宋" w:hAnsi="仿宋" w:hint="eastAsia"/>
          <w:sz w:val="32"/>
          <w:szCs w:val="32"/>
        </w:rPr>
        <w:t>的</w:t>
      </w:r>
      <w:r>
        <w:rPr>
          <w:rFonts w:ascii="仿宋" w:eastAsia="仿宋" w:cs="仿宋" w:hAnsi="仿宋"/>
          <w:sz w:val="32"/>
          <w:szCs w:val="32"/>
        </w:rPr>
        <w:t>编制流程进行，预算方案经区人大会议审议通过后及时下达到各单位。为加强对公用经费使用得管理，区教育局出台了《广 元市利州区公用经费管理办法》 等一系列教育管理制度，转发了《差旅费管理办法》、《培训费管理办法》 等一系列规范公用经费管理方面的文件，并将相关文件下发到各学校，要求各学校认真贯彻执行文件精神，全面规范财务管理，确保公用经费按规定用途使用。</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在公用经费收支预算执行过程中，严格按照预算批复数 分月按进度拨付到校，学校严格执行国家与省市区有关公用经费开支得范围与标准，经费支出规范、合理，无虚列、虚报冒领与挤占挪用得现象，票据规范、合法有效。教师培训经费每年按不低于公用经费支出总额得 5%计入年初支出预 算，专项用于教师培训。严格按照预算批复数分期拨付到校， 学校严格执行国家与省市区有关公用经费开支得范围与标 准，经费支出规范、合理，无虚列、虚报冒领与挤占挪用得 现象，票据规范、合法有效。建立了公务招待用餐管理制度， 严格控制招待费支出。财务信息公开透明，对公用经费预算 批复情况、预算执行、“三公”经费等基本支出以及设备采 购与校舍维修等项目支出情况，在每年的教职工大会上予以 公布并在学校公示栏进行公示，主动接受师生与群众监督。 区教育局、财政局定期组织对学校公用经费使用情况进行审 计，对学校财务管理进行检查指导。</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该项目为公益性项目，属于公共财政支持范围，所需资 金有财政预算全额保障。</w:t>
      </w:r>
    </w:p>
    <w:p>
      <w:pPr>
        <w:snapToGrid w:val="0"/>
        <w:spacing w:line="560" w:lineRule="exact"/>
        <w:ind w:firstLineChars="200" w:firstLine="640"/>
        <w:outlineLvl w:val="1"/>
        <w:rPr>
          <w:rFonts w:ascii="黑体" w:eastAsia="黑体" w:hAnsi="黑体"/>
          <w:sz w:val="32"/>
          <w:szCs w:val="32"/>
        </w:rPr>
      </w:pPr>
      <w:bookmarkStart w:id="177" w:name="_Toc8459"/>
      <w:bookmarkStart w:id="178" w:name="_Toc31458"/>
      <w:r>
        <w:rPr>
          <w:rFonts w:ascii="黑体" w:eastAsia="黑体" w:hAnsi="黑体" w:hint="eastAsia"/>
          <w:sz w:val="32"/>
          <w:szCs w:val="32"/>
        </w:rPr>
        <w:t>六、可持续性分析</w:t>
      </w:r>
      <w:bookmarkEnd w:id="177"/>
      <w:bookmarkEnd w:id="178"/>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根据国务院《于进一步完善城乡义务教育经费保障机制的通知》 等文件从制度层面保证教师培训项目的可持续性。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此外，相关资金纳入部门预算，经费的来源能够得到有效保 障。区教育局为合理、有效、规范使用专项资金，根据国家统 一的财务制度，制订了《学校财务管理制度》 等规范性文件。</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规范了财务管理，确保经费使用合规合法。</w:t>
      </w:r>
    </w:p>
    <w:p>
      <w:pPr>
        <w:snapToGrid w:val="0"/>
        <w:spacing w:line="560" w:lineRule="exact"/>
        <w:outlineLvl w:val="1"/>
        <w:rPr>
          <w:rFonts w:ascii="黑体" w:eastAsia="黑体" w:hAnsi="黑体"/>
          <w:sz w:val="32"/>
          <w:szCs w:val="32"/>
        </w:rPr>
      </w:pPr>
      <w:bookmarkStart w:id="179" w:name="_Toc28172"/>
      <w:bookmarkStart w:id="180" w:name="_Toc31517"/>
      <w:r>
        <w:rPr>
          <w:rFonts w:ascii="黑体" w:eastAsia="黑体" w:hAnsi="黑体" w:hint="eastAsia"/>
          <w:sz w:val="32"/>
          <w:szCs w:val="32"/>
        </w:rPr>
        <w:t xml:space="preserve">七、其他需要说明的内容 </w:t>
      </w:r>
    </w:p>
    <w:p>
      <w:pPr>
        <w:snapToGrid w:val="0"/>
        <w:spacing w:line="560" w:lineRule="exact"/>
        <w:ind w:firstLineChars="300" w:firstLine="960"/>
        <w:outlineLvl w:val="1"/>
        <w:rPr>
          <w:rFonts w:ascii="黑体" w:eastAsia="黑体" w:hAnsi="黑体"/>
          <w:sz w:val="32"/>
          <w:szCs w:val="32"/>
        </w:rPr>
      </w:pPr>
      <w:r>
        <w:rPr>
          <w:rFonts w:ascii="黑体" w:eastAsia="黑体" w:hAnsi="黑体" w:hint="eastAsia"/>
          <w:sz w:val="32"/>
          <w:szCs w:val="32"/>
        </w:rPr>
        <w:t>无</w:t>
      </w:r>
      <w:bookmarkEnd w:id="179"/>
      <w:bookmarkEnd w:id="180"/>
    </w:p>
    <w:p>
      <w:pPr>
        <w:snapToGrid w:val="0"/>
        <w:spacing w:line="560" w:lineRule="exact"/>
        <w:rPr>
          <w:rFonts w:ascii="仿宋" w:eastAsia="仿宋" w:cs="仿宋" w:hAnsi="仿宋"/>
          <w:sz w:val="32"/>
          <w:szCs w:val="32"/>
        </w:rPr>
      </w:pPr>
      <w:r>
        <w:rPr>
          <w:rFonts w:ascii="黑体" w:eastAsia="黑体" w:hAnsi="黑体" w:hint="eastAsia"/>
          <w:sz w:val="32"/>
          <w:szCs w:val="32"/>
        </w:rPr>
        <w:t>八、综合评估结论</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 xml:space="preserve">该项目总体评价得分为 </w:t>
      </w:r>
      <w:r>
        <w:rPr>
          <w:rFonts w:ascii="仿宋" w:eastAsia="仿宋" w:cs="仿宋" w:hAnsi="仿宋" w:hint="eastAsia"/>
          <w:sz w:val="32"/>
          <w:szCs w:val="32"/>
        </w:rPr>
        <w:t>95.1</w:t>
      </w:r>
      <w:r>
        <w:rPr>
          <w:rFonts w:ascii="仿宋" w:eastAsia="仿宋" w:cs="仿宋" w:hAnsi="仿宋"/>
          <w:sz w:val="32"/>
          <w:szCs w:val="32"/>
        </w:rPr>
        <w:t>分，评估等级为“优”。预期产出和效果充分满足利州区教育改革各相关需求。</w:t>
      </w:r>
    </w:p>
    <w:p>
      <w:pPr>
        <w:widowControl/>
        <w:jc w:val="left"/>
        <w:rPr>
          <w:rFonts w:ascii="仿宋_GB2312" w:eastAsia="仿宋_GB2312"/>
          <w:kern w:val="0"/>
          <w:sz w:val="30"/>
        </w:rPr>
      </w:pPr>
      <w:r>
        <w:br w:type="page"/>
      </w:r>
      <w:bookmarkStart w:id="181" w:name="_Toc15396618"/>
    </w:p>
    <w:p>
      <w:pPr>
        <w:spacing w:line="600" w:lineRule="exact"/>
        <w:jc w:val="center"/>
        <w:outlineLvl w:val="0"/>
        <w:rPr>
          <w:rStyle w:val="1Char"/>
          <w:rFonts w:ascii="黑体" w:eastAsia="黑体" w:hAnsi="黑体"/>
        </w:rPr>
      </w:pPr>
      <w:bookmarkStart w:id="182" w:name="_Toc6725"/>
      <w:r>
        <w:rPr>
          <w:rFonts w:ascii="黑体" w:eastAsia="黑体" w:hAnsi="黑体" w:hint="eastAsia"/>
          <w:sz w:val="44"/>
          <w:szCs w:val="44"/>
        </w:rPr>
        <w:t>第</w:t>
      </w:r>
      <w:r>
        <w:rPr>
          <w:rStyle w:val="1Char"/>
          <w:rFonts w:ascii="黑体" w:eastAsia="黑体" w:hAnsi="黑体" w:hint="eastAsia"/>
        </w:rPr>
        <w:t>五部分 附表</w:t>
      </w:r>
      <w:bookmarkStart w:id="183" w:name="_Toc15396619"/>
      <w:bookmarkEnd w:id="181"/>
      <w:bookmarkEnd w:id="182"/>
    </w:p>
    <w:p>
      <w:pPr>
        <w:pStyle w:val="2"/>
        <w:rPr>
          <w:rFonts w:ascii="仿宋" w:eastAsia="仿宋" w:hAnsi="仿宋"/>
        </w:rPr>
      </w:pPr>
      <w:bookmarkStart w:id="184" w:name="_Toc16804"/>
      <w:r>
        <w:rPr>
          <w:rFonts w:hint="eastAsia"/>
        </w:rPr>
        <w:t>一、收</w:t>
      </w:r>
      <w:r>
        <w:rPr>
          <w:rStyle w:val="2Char"/>
          <w:rFonts w:ascii="仿宋" w:eastAsia="仿宋" w:hAnsi="仿宋" w:hint="eastAsia"/>
          <w:b/>
          <w:bCs/>
        </w:rPr>
        <w:t>入支出决算总表</w:t>
      </w:r>
      <w:bookmarkEnd w:id="183"/>
      <w:bookmarkEnd w:id="184"/>
    </w:p>
    <w:p>
      <w:pPr>
        <w:pStyle w:val="2"/>
      </w:pPr>
      <w:bookmarkStart w:id="185" w:name="_Toc15396620"/>
      <w:bookmarkStart w:id="186" w:name="_Toc22073"/>
      <w:r>
        <w:rPr>
          <w:rFonts w:hint="eastAsia"/>
        </w:rPr>
        <w:t>二、收</w:t>
      </w:r>
      <w:r>
        <w:rPr>
          <w:rStyle w:val="2Char"/>
          <w:rFonts w:ascii="仿宋" w:eastAsia="仿宋" w:hAnsi="仿宋" w:hint="eastAsia"/>
          <w:b/>
          <w:bCs/>
        </w:rPr>
        <w:t>入决算表</w:t>
      </w:r>
      <w:bookmarkEnd w:id="185"/>
      <w:bookmarkEnd w:id="186"/>
    </w:p>
    <w:p>
      <w:pPr>
        <w:pStyle w:val="2"/>
      </w:pPr>
      <w:bookmarkStart w:id="187" w:name="_Toc27857"/>
      <w:bookmarkStart w:id="188" w:name="_Toc15396621"/>
      <w:r>
        <w:rPr>
          <w:rStyle w:val="2Char"/>
          <w:rFonts w:ascii="仿宋" w:eastAsia="仿宋" w:hAnsi="仿宋" w:hint="eastAsia"/>
          <w:b/>
          <w:bCs/>
        </w:rPr>
        <w:t>三、</w:t>
      </w:r>
      <w:r>
        <w:rPr>
          <w:rFonts w:hint="eastAsia"/>
        </w:rPr>
        <w:t>支</w:t>
      </w:r>
      <w:r>
        <w:rPr>
          <w:rStyle w:val="2Char"/>
          <w:rFonts w:ascii="仿宋" w:eastAsia="仿宋" w:hAnsi="仿宋" w:hint="eastAsia"/>
          <w:b/>
          <w:bCs/>
        </w:rPr>
        <w:t>出决算表</w:t>
      </w:r>
      <w:bookmarkEnd w:id="187"/>
      <w:bookmarkEnd w:id="188"/>
    </w:p>
    <w:p>
      <w:pPr>
        <w:pStyle w:val="2"/>
      </w:pPr>
      <w:bookmarkStart w:id="189" w:name="_Toc3758"/>
      <w:bookmarkStart w:id="190" w:name="_Toc15396622"/>
      <w:r>
        <w:rPr>
          <w:rStyle w:val="2Char"/>
          <w:rFonts w:ascii="仿宋" w:eastAsia="仿宋" w:hAnsi="仿宋" w:hint="eastAsia"/>
          <w:b/>
          <w:bCs/>
        </w:rPr>
        <w:t>四、</w:t>
      </w:r>
      <w:r>
        <w:rPr>
          <w:rFonts w:hint="eastAsia"/>
        </w:rPr>
        <w:t>财</w:t>
      </w:r>
      <w:r>
        <w:rPr>
          <w:rStyle w:val="2Char"/>
          <w:rFonts w:ascii="仿宋" w:eastAsia="仿宋" w:hAnsi="仿宋" w:hint="eastAsia"/>
          <w:b/>
          <w:bCs/>
        </w:rPr>
        <w:t>政拨款收入支出决算总表</w:t>
      </w:r>
      <w:bookmarkEnd w:id="189"/>
      <w:bookmarkEnd w:id="190"/>
    </w:p>
    <w:p>
      <w:pPr>
        <w:pStyle w:val="2"/>
        <w:rPr>
          <w:rStyle w:val="2Char"/>
          <w:rFonts w:ascii="仿宋" w:eastAsia="仿宋" w:hAnsi="仿宋"/>
        </w:rPr>
      </w:pPr>
      <w:bookmarkStart w:id="191" w:name="_Toc15396623"/>
      <w:bookmarkStart w:id="192" w:name="_Toc4121"/>
      <w:r>
        <w:rPr>
          <w:rStyle w:val="2Char"/>
          <w:rFonts w:ascii="仿宋" w:eastAsia="仿宋" w:hAnsi="仿宋" w:hint="eastAsia"/>
          <w:b/>
          <w:bCs/>
        </w:rPr>
        <w:t>五、</w:t>
      </w:r>
      <w:r>
        <w:rPr>
          <w:rFonts w:hint="eastAsia"/>
        </w:rPr>
        <w:t>财</w:t>
      </w:r>
      <w:r>
        <w:rPr>
          <w:rStyle w:val="2Char"/>
          <w:rFonts w:ascii="仿宋" w:eastAsia="仿宋" w:hAnsi="仿宋" w:hint="eastAsia"/>
          <w:b/>
          <w:bCs/>
        </w:rPr>
        <w:t>政拨款支出决算明细表</w:t>
      </w:r>
      <w:bookmarkStart w:id="193" w:name="_Toc15396624"/>
      <w:bookmarkEnd w:id="191"/>
      <w:bookmarkEnd w:id="192"/>
    </w:p>
    <w:p>
      <w:pPr>
        <w:pStyle w:val="2"/>
      </w:pPr>
      <w:bookmarkStart w:id="194" w:name="_Toc20230"/>
      <w:r>
        <w:rPr>
          <w:rStyle w:val="2Char"/>
          <w:rFonts w:ascii="仿宋" w:eastAsia="仿宋" w:hAnsi="仿宋" w:hint="eastAsia"/>
          <w:b/>
          <w:bCs/>
        </w:rPr>
        <w:t>六、</w:t>
      </w:r>
      <w:r>
        <w:rPr>
          <w:rFonts w:hint="eastAsia"/>
        </w:rPr>
        <w:t>一</w:t>
      </w:r>
      <w:r>
        <w:rPr>
          <w:rStyle w:val="2Char"/>
          <w:rFonts w:ascii="仿宋" w:eastAsia="仿宋" w:hAnsi="仿宋" w:hint="eastAsia"/>
          <w:b/>
          <w:bCs/>
        </w:rPr>
        <w:t>般公共预算财政拨款支出决算表</w:t>
      </w:r>
      <w:bookmarkEnd w:id="193"/>
      <w:bookmarkEnd w:id="194"/>
    </w:p>
    <w:p>
      <w:pPr>
        <w:pStyle w:val="2"/>
      </w:pPr>
      <w:bookmarkStart w:id="195" w:name="_Toc8226"/>
      <w:bookmarkStart w:id="196" w:name="_Toc15396625"/>
      <w:r>
        <w:rPr>
          <w:rStyle w:val="2Char"/>
          <w:rFonts w:ascii="仿宋" w:eastAsia="仿宋" w:hAnsi="仿宋" w:hint="eastAsia"/>
          <w:b/>
          <w:bCs/>
        </w:rPr>
        <w:t>七、</w:t>
      </w:r>
      <w:r>
        <w:rPr>
          <w:rFonts w:hint="eastAsia"/>
        </w:rPr>
        <w:t>一</w:t>
      </w:r>
      <w:r>
        <w:rPr>
          <w:rStyle w:val="2Char"/>
          <w:rFonts w:ascii="仿宋" w:eastAsia="仿宋" w:hAnsi="仿宋" w:hint="eastAsia"/>
          <w:b/>
          <w:bCs/>
        </w:rPr>
        <w:t>般公共预算财政拨款支出决算明细表</w:t>
      </w:r>
      <w:bookmarkEnd w:id="195"/>
      <w:bookmarkEnd w:id="196"/>
    </w:p>
    <w:p>
      <w:pPr>
        <w:pStyle w:val="2"/>
      </w:pPr>
      <w:bookmarkStart w:id="197" w:name="_Toc15574"/>
      <w:bookmarkStart w:id="198" w:name="_Toc15396626"/>
      <w:r>
        <w:rPr>
          <w:rStyle w:val="2Char"/>
          <w:rFonts w:ascii="仿宋" w:eastAsia="仿宋" w:hAnsi="仿宋" w:hint="eastAsia"/>
          <w:b/>
          <w:bCs/>
        </w:rPr>
        <w:t>八、</w:t>
      </w:r>
      <w:r>
        <w:rPr>
          <w:rFonts w:hint="eastAsia"/>
        </w:rPr>
        <w:t>一</w:t>
      </w:r>
      <w:r>
        <w:rPr>
          <w:rStyle w:val="2Char"/>
          <w:rFonts w:ascii="仿宋" w:eastAsia="仿宋" w:hAnsi="仿宋" w:hint="eastAsia"/>
          <w:b/>
          <w:bCs/>
        </w:rPr>
        <w:t>般公共预算财政拨款基本支出决算表</w:t>
      </w:r>
      <w:bookmarkEnd w:id="197"/>
      <w:bookmarkEnd w:id="198"/>
    </w:p>
    <w:p>
      <w:pPr>
        <w:pStyle w:val="2"/>
      </w:pPr>
      <w:bookmarkStart w:id="199" w:name="_Toc18834"/>
      <w:bookmarkStart w:id="200" w:name="_Toc15396627"/>
      <w:r>
        <w:rPr>
          <w:rStyle w:val="2Char"/>
          <w:rFonts w:ascii="仿宋" w:eastAsia="仿宋" w:hAnsi="仿宋" w:hint="eastAsia"/>
          <w:b/>
          <w:bCs/>
        </w:rPr>
        <w:t>九、</w:t>
      </w:r>
      <w:r>
        <w:rPr>
          <w:rFonts w:hint="eastAsia"/>
        </w:rPr>
        <w:t>一</w:t>
      </w:r>
      <w:r>
        <w:rPr>
          <w:rStyle w:val="2Char"/>
          <w:rFonts w:ascii="仿宋" w:eastAsia="仿宋" w:hAnsi="仿宋" w:hint="eastAsia"/>
          <w:b/>
          <w:bCs/>
        </w:rPr>
        <w:t>般公共预算财政拨款项目支出决算表</w:t>
      </w:r>
      <w:bookmarkEnd w:id="199"/>
      <w:bookmarkEnd w:id="200"/>
    </w:p>
    <w:p>
      <w:pPr>
        <w:pStyle w:val="2"/>
      </w:pPr>
      <w:bookmarkStart w:id="201" w:name="_Toc15396628"/>
      <w:bookmarkStart w:id="202" w:name="_Toc517"/>
      <w:r>
        <w:rPr>
          <w:rStyle w:val="2Char"/>
          <w:rFonts w:ascii="仿宋" w:eastAsia="仿宋" w:hAnsi="仿宋" w:hint="eastAsia"/>
          <w:b/>
          <w:bCs/>
        </w:rPr>
        <w:t>十、</w:t>
      </w:r>
      <w:r>
        <w:rPr>
          <w:rFonts w:hint="eastAsia"/>
        </w:rPr>
        <w:t>一</w:t>
      </w:r>
      <w:r>
        <w:rPr>
          <w:rStyle w:val="2Char"/>
          <w:rFonts w:ascii="仿宋" w:eastAsia="仿宋" w:hAnsi="仿宋" w:hint="eastAsia"/>
          <w:b/>
          <w:bCs/>
        </w:rPr>
        <w:t>般公共预算财政拨款“三公”经费支出决算表</w:t>
      </w:r>
      <w:bookmarkEnd w:id="201"/>
      <w:bookmarkEnd w:id="202"/>
    </w:p>
    <w:p>
      <w:pPr>
        <w:pStyle w:val="2"/>
      </w:pPr>
      <w:bookmarkStart w:id="203" w:name="_Toc15396629"/>
      <w:bookmarkStart w:id="204" w:name="_Toc26406"/>
      <w:r>
        <w:rPr>
          <w:rStyle w:val="2Char"/>
          <w:rFonts w:ascii="仿宋" w:eastAsia="仿宋" w:hAnsi="仿宋" w:hint="eastAsia"/>
          <w:b/>
          <w:bCs/>
        </w:rPr>
        <w:t>十一、</w:t>
      </w:r>
      <w:r>
        <w:rPr>
          <w:rFonts w:hint="eastAsia"/>
        </w:rPr>
        <w:t>政</w:t>
      </w:r>
      <w:r>
        <w:rPr>
          <w:rStyle w:val="2Char"/>
          <w:rFonts w:ascii="仿宋" w:eastAsia="仿宋" w:hAnsi="仿宋" w:hint="eastAsia"/>
          <w:b/>
          <w:bCs/>
        </w:rPr>
        <w:t>府性基金预算财政拨款收入支出决算表</w:t>
      </w:r>
      <w:bookmarkEnd w:id="203"/>
      <w:bookmarkEnd w:id="204"/>
    </w:p>
    <w:p>
      <w:pPr>
        <w:pStyle w:val="2"/>
      </w:pPr>
      <w:bookmarkStart w:id="205" w:name="_Toc15396630"/>
      <w:bookmarkStart w:id="206" w:name="_Toc19722"/>
      <w:r>
        <w:rPr>
          <w:rStyle w:val="2Char"/>
          <w:rFonts w:ascii="仿宋" w:eastAsia="仿宋" w:hAnsi="仿宋" w:hint="eastAsia"/>
          <w:b/>
          <w:bCs/>
        </w:rPr>
        <w:t>十二、</w:t>
      </w:r>
      <w:r>
        <w:rPr>
          <w:rFonts w:hint="eastAsia"/>
        </w:rPr>
        <w:t>政</w:t>
      </w:r>
      <w:r>
        <w:rPr>
          <w:rStyle w:val="2Char"/>
          <w:rFonts w:ascii="仿宋" w:eastAsia="仿宋" w:hAnsi="仿宋" w:hint="eastAsia"/>
          <w:b/>
          <w:bCs/>
        </w:rPr>
        <w:t>府性基金预算财政拨款“三公”经费支出决算表</w:t>
      </w:r>
      <w:bookmarkEnd w:id="205"/>
      <w:bookmarkEnd w:id="206"/>
    </w:p>
    <w:p>
      <w:pPr>
        <w:pStyle w:val="2"/>
        <w:rPr>
          <w:rStyle w:val="2Char"/>
          <w:rFonts w:ascii="仿宋" w:eastAsia="仿宋" w:hAnsi="仿宋"/>
        </w:rPr>
      </w:pPr>
      <w:bookmarkStart w:id="207" w:name="_Toc22905"/>
      <w:bookmarkStart w:id="208" w:name="_Toc15396631"/>
      <w:r>
        <w:rPr>
          <w:rStyle w:val="2Char"/>
          <w:rFonts w:ascii="仿宋" w:eastAsia="仿宋" w:hAnsi="仿宋" w:hint="eastAsia"/>
          <w:b/>
          <w:bCs/>
        </w:rPr>
        <w:t>十三、</w:t>
      </w:r>
      <w:r>
        <w:rPr>
          <w:rFonts w:hint="eastAsia"/>
        </w:rPr>
        <w:t>国</w:t>
      </w:r>
      <w:r>
        <w:rPr>
          <w:rStyle w:val="2Char"/>
          <w:rFonts w:ascii="仿宋" w:eastAsia="仿宋" w:hAnsi="仿宋" w:hint="eastAsia"/>
          <w:b/>
          <w:bCs/>
        </w:rPr>
        <w:t>有资本经营预算财政拨款收入支出决算表</w:t>
      </w:r>
      <w:bookmarkEnd w:id="207"/>
      <w:bookmarkEnd w:id="208"/>
    </w:p>
    <w:p>
      <w:pPr>
        <w:pStyle w:val="2"/>
        <w:rPr>
          <w:rFonts w:eastAsia="宋体"/>
        </w:rPr>
      </w:pPr>
      <w:bookmarkStart w:id="209" w:name="_Toc16393"/>
      <w:r>
        <w:rPr>
          <w:rStyle w:val="2Char"/>
          <w:rFonts w:ascii="仿宋" w:eastAsia="仿宋" w:hAnsi="仿宋" w:hint="eastAsia"/>
          <w:b/>
          <w:bCs/>
        </w:rPr>
        <w:t>十四、国有资本经营预算财政拨款支出决算</w:t>
      </w:r>
      <w:bookmarkEnd w:id="86"/>
      <w:bookmarkEnd w:id="87"/>
      <w:bookmarkEnd w:id="209"/>
      <w:r>
        <w:rPr>
          <w:rStyle w:val="2Char"/>
          <w:rFonts w:ascii="仿宋" w:eastAsia="仿宋" w:hAnsi="仿宋" w:hint="eastAsia"/>
          <w:b/>
          <w:bCs/>
        </w:rPr>
        <w:t>表</w:t>
      </w:r>
    </w:p>
    <w:sectPr>
      <w:headerReference w:type="default" r:id="rId13"/>
      <w:footerReference w:type="default" r:id="rId14"/>
      <w:footerReference w:type="first" r:id="rId15"/>
      <w:pgSz w:w="11906" w:h="16838"/>
      <w:pgMar w:top="1440" w:right="1800" w:bottom="1440" w:left="1800" w:header="851" w:footer="992" w:gutter="0"/>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0000000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7A87" w:usb1="80000000" w:usb2="00000008" w:usb3="00000000" w:csb0="400001FF" w:csb1="FFFF0000"/>
  </w:font>
  <w:font w:name="仿宋_GB2312">
    <w:altName w:val="微软雅黑"/>
    <w:panose1 w:val="00000000000000000000"/>
    <w:charset w:val="86"/>
    <w:family w:val="modern"/>
    <w:pitch w:val="variable"/>
    <w:sig w:usb0="00000001" w:usb1="080E0000" w:usb2="0000000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200247B" w:usb2="00000009" w:usb3="00000000" w:csb0="000001FF" w:csb1="00000000"/>
  </w:font>
  <w:font w:name="方正黑体简体">
    <w:altName w:val="微软雅黑"/>
    <w:panose1 w:val="00000000000000000000"/>
    <w:charset w:val="86"/>
    <w:family w:val="auto"/>
    <w:pitch w:val="variable"/>
    <w:sig w:usb0="00000001" w:usb1="080E0000" w:usb2="00000000" w:usb3="00000000" w:csb0="00040000" w:csb1="00000000"/>
  </w:font>
  <w:font w:name="方正仿宋简体">
    <w:altName w:val="微软雅黑"/>
    <w:panose1 w:val="00000000000000000000"/>
    <w:charset w:val="86"/>
    <w:family w:val="auto"/>
    <w:pitch w:val="variable"/>
    <w:sig w:usb0="00000001" w:usb1="080E0000" w:usb2="00000000" w:usb3="00000000" w:csb0="00040000" w:csb1="00000000"/>
  </w:font>
  <w:font w:name="方正楷体简体">
    <w:altName w:val="宋体"/>
    <w:panose1 w:val="00000000000000000000"/>
    <w:charset w:val="86"/>
    <w:family w:val="auto"/>
    <w:pitch w:val="variable"/>
    <w:sig w:usb0="00000000" w:usb1="0000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36276235"/>
    </w:sdtPr>
    <w:sdtContent>
      <w:p>
        <w:pPr>
          <w:pStyle w:val="18"/>
          <w:tabs>
            <w:tab w:val="center" w:pos="4153"/>
            <w:tab w:val="right" w:pos="8306"/>
          </w:tabs>
          <w:jc w:val="center"/>
        </w:pPr>
        <w:r>
          <w:rPr>
            <w:rFonts w:hint="eastAsia"/>
          </w:rPr>
          <w:t>2</w:t>
        </w:r>
      </w:p>
    </w:sdtContent>
  </w:sdt>
  <w:p>
    <w:pPr>
      <w:pStyle w:val="18"/>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138670217"/>
    </w:sdtPr>
    <w:sdtContent>
      <w:p>
        <w:pPr>
          <w:pStyle w:val="18"/>
          <w:tabs>
            <w:tab w:val="center" w:pos="4153"/>
            <w:tab w:val="right" w:pos="8306"/>
          </w:tabs>
          <w:jc w:val="center"/>
        </w:pPr>
        <w:r>
          <w:rPr>
            <w:rFonts w:hint="eastAsia"/>
          </w:rPr>
          <w:t>3</w:t>
        </w:r>
      </w:p>
    </w:sdtContent>
  </w:sdt>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mc:AlternateContent>
        <mc:Choice Requires="wps">
          <w:drawing>
            <wp:anchor distT="0" distB="0" distL="114300" distR="114300" simplePos="0" relativeHeight="34"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1" name="文本框 9"/>
              <wp:cNvGraphicFramePr>
                <a:graphicFrameLocks noChangeAspect="0"/>
              </wp:cNvGraphicFramePr>
              <a:graphic>
                <a:graphicData uri="http://schemas.microsoft.com/office/word/2010/wordprocessingShape">
                  <wps:wsp>
                    <wps:cNvSpPr/>
                    <wps:spPr>
                      <a:xfrm rot="0">
                        <a:off x="0" y="0"/>
                        <a:ext cx="76198" cy="131559"/>
                      </a:xfrm>
                      <a:prstGeom prst="rect"/>
                      <a:noFill/>
                      <a:ln w="9525" cmpd="sng" cap="flat">
                        <a:noFill/>
                        <a:prstDash val="solid"/>
                        <a:round/>
                      </a:ln>
                    </wps:spPr>
                    <wps:txbx id="2">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9 3" o:spid="_x0000_s3" filled="f" stroked="f" style="position:absolute;margin-left:0.0pt;margin-top:0.0pt;width:5.9999084pt;height:10.358989pt;z-index:34;mso-position-horizontal:center;mso-position-horizontal-relative:margin;mso-position-vertical:absolute;mso-wrap-style:none;">
              <v:stroke color="#000000"/>
              <v:textbox id="85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sdt>
      <w:sdtPr>
        <w:id w:val="905843481"/>
      </w:sdtPr>
      <w:sdtContent/>
    </w:sdt>
  </w:p>
  <w:p>
    <w:pPr>
      <w:pStyle w:val="18"/>
      <w:tabs>
        <w:tab w:val="center" w:pos="4153"/>
        <w:tab w:val="right" w:pos="8306"/>
      </w:tabs>
      <w:ind w:right="360" w:firstLine="360"/>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32" behindDoc="0" locked="0" layoutInCell="1" hidden="0" allowOverlap="1">
              <wp:simplePos x="0" y="0"/>
              <wp:positionH relativeFrom="margin">
                <wp:align>center</wp:align>
              </wp:positionH>
              <wp:positionV relativeFrom="paragraph">
                <wp:posOffset>0</wp:posOffset>
              </wp:positionV>
              <wp:extent cx="76198" cy="129616"/>
              <wp:effectExtent l="0" t="0" r="0" b="0"/>
              <wp:wrapNone/>
              <wp:docPr id="4" name="文本框 6"/>
              <wp:cNvGraphicFramePr>
                <a:graphicFrameLocks noChangeAspect="0"/>
              </wp:cNvGraphicFramePr>
              <a:graphic>
                <a:graphicData uri="http://schemas.microsoft.com/office/word/2010/wordprocessingShape">
                  <wps:wsp>
                    <wps:cNvSpPr/>
                    <wps:spPr>
                      <a:xfrm rot="0">
                        <a:off x="0" y="0"/>
                        <a:ext cx="76198" cy="129616"/>
                      </a:xfrm>
                      <a:prstGeom prst="rect"/>
                      <a:noFill/>
                      <a:ln w="9525" cmpd="sng" cap="flat">
                        <a:noFill/>
                        <a:prstDash val="solid"/>
                        <a:round/>
                      </a:ln>
                    </wps:spPr>
                    <wps:txbx id="5">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6 6" o:spid="_x0000_s6" filled="f" stroked="f" style="position:absolute;margin-left:0.0pt;margin-top:0.0pt;width:5.9999084pt;height:10.206006pt;z-index:32;mso-position-horizontal:center;mso-position-horizontal-relative:margin;mso-position-vertical:absolute;mso-wrap-style:none;">
              <v:stroke color="#000000"/>
              <v:textbox id="85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ind w:right="360" w:firstLine="360"/>
    </w:pPr>
    <w:r>
      <mc:AlternateContent>
        <mc:Choice Requires="wps">
          <w:drawing>
            <wp:anchor distT="0" distB="0" distL="114300" distR="114300" simplePos="0" relativeHeight="36"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5" name="文本框 10"/>
              <wp:cNvGraphicFramePr>
                <a:graphicFrameLocks noChangeAspect="0"/>
              </wp:cNvGraphicFramePr>
              <a:graphic>
                <a:graphicData uri="http://schemas.microsoft.com/office/word/2010/wordprocessingShape">
                  <wps:wsp>
                    <wps:cNvSpPr/>
                    <wps:spPr>
                      <a:xfrm rot="0">
                        <a:off x="0" y="0"/>
                        <a:ext cx="114300" cy="131559"/>
                      </a:xfrm>
                      <a:prstGeom prst="rect"/>
                      <a:noFill/>
                      <a:ln w="9525" cmpd="sng" cap="flat">
                        <a:noFill/>
                        <a:prstDash val="solid"/>
                        <a:round/>
                      </a:ln>
                    </wps:spPr>
                    <wps:txbx id="26">
                      <w:txbxContent>
                        <w:p>
                          <w:pPr>
                            <w:pStyle w:val="18"/>
                            <w:tabs>
                              <w:tab w:val="center" w:pos="4153"/>
                              <w:tab w:val="right" w:pos="8306"/>
                            </w:tabs>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0">
                      <a:spAutoFit/>
                    </wps:bodyPr>
                  </wps:wsp>
                </a:graphicData>
              </a:graphic>
            </wp:anchor>
          </w:drawing>
        </mc:Choice>
        <mc:Fallback>
          <w:pict>
            <v:shape type="#_x0000_t202" id="文本框 10 27" o:spid="_x0000_s27" filled="f" stroked="f" style="position:absolute;margin-left:0.0pt;margin-top:0.0pt;width:9.0pt;height:10.358989pt;z-index:36;mso-position-horizontal:center;mso-position-horizontal-relative:margin;mso-position-vertical:absolute;mso-wrap-style:none;">
              <v:stroke color="#000000"/>
              <v:textbox id="856"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rPr>
      <w:t>1</w: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p>
  <w:p>
    <w:pPr>
      <w:pStyle w:val="18"/>
      <w:tabs>
        <w:tab w:val="center" w:pos="4153"/>
        <w:tab w:val="right" w:pos="8306"/>
      </w:tabs>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abstractNum w:abstractNumId="3">
    <w:nsid w:val="68EF85FF"/>
    <w:multiLevelType w:val="singleLevel"/>
    <w:tmpl w:val="68EF85FF"/>
    <w:lvl w:ilvl="0">
      <w:start w:val="1"/>
      <w:numFmt w:val="chineseCounting"/>
      <w:lvlRestart w:val="0"/>
      <w:suff w:val="nothing"/>
      <w:lvlText w:val="%1、"/>
      <w:lvlJc w:val="left"/>
      <w:pPr/>
      <w:rPr>
        <w:rFonts w:hint="eastAsia"/>
      </w:rPr>
    </w:lvl>
  </w:abstractNum>
  <w:abstractNum w:abstractNumId="4">
    <w:nsid w:val="7D27116D"/>
    <w:multiLevelType w:val="singleLevel"/>
    <w:tmpl w:val="7D27116D"/>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TY0MjdiNDRkZmJkNDM1YjY0ZDk1ZmNkY2NhMDk5Y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1">
    <w:name w:val="四号正文"/>
    <w:basedOn w:val="0"/>
    <w:pPr>
      <w:spacing w:line="360" w:lineRule="auto"/>
    </w:pPr>
    <w:rPr>
      <w:rFonts w:ascii="??" w:eastAsia="Times New Roman" w:hAnsi="??"/>
      <w:color w:val="000000"/>
      <w:kern w:val="0"/>
      <w:sz w:val="28"/>
      <w:szCs w:val="21"/>
    </w:rPr>
  </w:style>
  <w:style w:type="paragraph" w:customStyle="1" w:styleId="32">
    <w:name w:val="WPSOffice手动目录 1"/>
    <w:rPr>
      <w:rFonts w:ascii="Calibri" w:eastAsia="宋体" w:cs="Arial" w:hAnsi="Calibri"/>
      <w:sz w:val="20"/>
      <w:szCs w:val="20"/>
      <w:lang w:val="en-US" w:eastAsia="zh-CN" w:bidi="ar-SA"/>
    </w:rPr>
  </w:style>
  <w:style w:type="paragraph" w:customStyle="1" w:styleId="33">
    <w:name w:val="WPSOffice手动目录 2"/>
    <w:pPr>
      <w:ind w:leftChars="200" w:left="200"/>
    </w:pPr>
    <w:rPr>
      <w:rFonts w:ascii="Calibri" w:eastAsia="宋体" w:cs="Arial" w:hAnsi="Calibri"/>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image" Target="media/8.png"/><Relationship Id="rId7" Type="http://schemas.openxmlformats.org/officeDocument/2006/relationships/image" Target="media/11.png"/><Relationship Id="rId8" Type="http://schemas.openxmlformats.org/officeDocument/2006/relationships/image" Target="media/14.png"/><Relationship Id="rId9" Type="http://schemas.openxmlformats.org/officeDocument/2006/relationships/image" Target="media/17.png"/><Relationship Id="rId10" Type="http://schemas.openxmlformats.org/officeDocument/2006/relationships/image" Target="media/20.png"/><Relationship Id="rId11" Type="http://schemas.openxmlformats.org/officeDocument/2006/relationships/image" Target="media/23.png"/><Relationship Id="rId12" Type="http://schemas.openxmlformats.org/officeDocument/2006/relationships/footer" Target="footer5.xml"/><Relationship Id="rId13" Type="http://schemas.openxmlformats.org/officeDocument/2006/relationships/header" Target="header1.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E5F03887-98A5-4DAE-8982-589F56DFB6E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36</TotalTime>
  <Application>Yozo_Office27021597764231179</Application>
  <Pages>36</Pages>
  <Words>0</Words>
  <Characters>13421</Characters>
  <Lines>0</Lines>
  <Paragraphs>331</Paragraphs>
  <CharactersWithSpaces>17895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50</cp:revision>
  <cp:lastPrinted>2022-08-06T18:23:00Z</cp:lastPrinted>
  <dcterms:created xsi:type="dcterms:W3CDTF">2020-08-05T17:49:00Z</dcterms:created>
  <dcterms:modified xsi:type="dcterms:W3CDTF">2023-10-30T07:30:23Z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2052-12.1.0.15404</vt:lpwstr>
  </property>
  <property fmtid="{D5CDD505-2E9C-101B-9397-08002B2CF9AE}" pid="3" name="ICV">
    <vt:lpwstr>B01F010A932549548CB114F7B6839FDA_13</vt:lpwstr>
  </property>
</Properties>
</file>