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hAnsi="宋体"/>
          <w:szCs w:val="21"/>
        </w:rPr>
      </w:pPr>
      <w:bookmarkStart w:id="0" w:name="_Toc15306267"/>
      <w:bookmarkStart w:id="1" w:name="_GoBack"/>
      <w:bookmarkEnd w:id="1"/>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2" w:name="_Toc15396597"/>
      <w:bookmarkStart w:id="3" w:name="_Toc15377425"/>
      <w:bookmarkStart w:id="4" w:name="_Toc15378441"/>
      <w:bookmarkStart w:id="5" w:name="_Toc15396475"/>
      <w:bookmarkStart w:id="6" w:name="_Toc15377193"/>
      <w:r>
        <w:rPr>
          <w:rFonts w:ascii="方正小标宋简体" w:eastAsia="方正小标宋简体" w:cs="方正小标宋简体" w:hAnsi="方正小标宋简体" w:hint="eastAsia"/>
          <w:sz w:val="72"/>
          <w:szCs w:val="72"/>
        </w:rPr>
        <w:t>2022年度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cs="方正小标宋简体" w:hAnsi="方正小标宋简体"/>
          <w:sz w:val="70"/>
          <w:szCs w:val="70"/>
        </w:rPr>
      </w:pPr>
      <w:bookmarkEnd w:id="0"/>
      <w:r>
        <w:rPr>
          <w:rFonts w:ascii="方正小标宋简体" w:eastAsia="方正小标宋简体" w:cs="方正小标宋简体" w:hAnsi="方正小标宋简体" w:hint="eastAsia"/>
          <w:sz w:val="70"/>
          <w:szCs w:val="70"/>
        </w:rPr>
        <w:t>广元市利州区</w:t>
      </w:r>
    </w:p>
    <w:p>
      <w:pPr>
        <w:widowControl/>
        <w:jc w:val="center"/>
        <w:rPr>
          <w:rFonts w:ascii="方正小标宋简体" w:eastAsia="方正小标宋简体" w:cs="方正小标宋简体" w:hAnsi="方正小标宋简体" w:hint="eastAsia"/>
          <w:sz w:val="70"/>
          <w:szCs w:val="70"/>
        </w:rPr>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pPr>
      <w:r>
        <w:rPr>
          <w:rFonts w:ascii="方正小标宋简体" w:eastAsia="方正小标宋简体" w:cs="方正小标宋简体" w:hAnsi="方正小标宋简体" w:hint="eastAsia"/>
          <w:sz w:val="70"/>
          <w:szCs w:val="70"/>
        </w:rPr>
        <w:t>东城实验小学单位决算</w:t>
      </w:r>
    </w:p>
    <w:p>
      <w:pPr>
        <w:widowControl/>
        <w:jc w:val="center"/>
        <w:rPr>
          <w:rFonts w:ascii="黑体" w:eastAsia="黑体" w:hAnsi="黑体"/>
          <w:sz w:val="48"/>
          <w:szCs w:val="48"/>
        </w:rPr>
      </w:pPr>
      <w:r>
        <w:rPr>
          <w:rFonts w:ascii="黑体" w:eastAsia="黑体" w:hAnsi="黑体" w:hint="eastAsia"/>
          <w:sz w:val="48"/>
          <w:szCs w:val="48"/>
        </w:rPr>
        <w:t>目录</w:t>
      </w:r>
    </w:p>
    <w:p>
      <w:pPr>
        <w:widowControl/>
        <w:jc w:val="center"/>
        <w:rPr>
          <w:rFonts w:ascii="黑体" w:eastAsia="黑体" w:cs="Arial" w:hAnsi="黑体"/>
          <w:sz w:val="28"/>
          <w:szCs w:val="28"/>
        </w:rPr>
      </w:pPr>
    </w:p>
    <w:p>
      <w:pPr>
        <w:pStyle w:val="20"/>
        <w:tabs>
          <w:tab w:val="right" w:leader="dot" w:pos="8296"/>
        </w:tabs>
      </w:pPr>
      <w:r>
        <w:rPr>
          <w:rFonts w:hint="eastAsia"/>
        </w:rPr>
        <w:t xml:space="preserve">公开时间：2023年 </w:t>
      </w:r>
      <w:r>
        <w:rPr>
          <w:rFonts w:hint="eastAsia"/>
          <w:lang w:val="en-US" w:eastAsia="zh-CN"/>
        </w:rPr>
        <w:t xml:space="preserve">10 </w:t>
      </w:r>
      <w:r>
        <w:rPr>
          <w:rFonts w:hint="eastAsia"/>
        </w:rPr>
        <w:t>月</w:t>
      </w:r>
      <w:r>
        <w:rPr>
          <w:rFonts w:hint="eastAsia"/>
          <w:lang w:val="en-US" w:eastAsia="zh-CN"/>
        </w:rPr>
        <w:t xml:space="preserve"> 15</w:t>
      </w:r>
      <w:r>
        <w:rPr>
          <w:rFonts w:hint="eastAsia"/>
        </w:rPr>
        <w:t xml:space="preserve"> 日</w:t>
      </w:r>
    </w:p>
    <w:p/>
    <w:p>
      <w:pPr>
        <w:pStyle w:val="20"/>
        <w:tabs>
          <w:tab w:val="right" w:leader="dot" w:pos="8296"/>
        </w:tabs>
        <w:adjustRightInd w:val="0"/>
        <w:snapToGrid w:val="0"/>
        <w:spacing w:before="0" w:line="440" w:lineRule="exact"/>
        <w:jc w:val="left"/>
        <w:rPr>
          <w:rFonts w:cs="Arial"/>
          <w:sz w:val="24"/>
          <w:szCs w:val="24"/>
        </w:rPr>
      </w:pPr>
      <w:r>
        <w:rPr>
          <w:rFonts w:hint="eastAsia"/>
          <w:b/>
          <w:bCs/>
          <w:sz w:val="24"/>
        </w:rPr>
        <w:t>第一部分</w:t>
      </w:r>
      <w:r>
        <w:rPr>
          <w:b/>
          <w:bCs/>
          <w:sz w:val="24"/>
        </w:rPr>
        <w:t xml:space="preserve"> </w:t>
      </w:r>
      <w:r>
        <w:rPr>
          <w:rFonts w:hint="eastAsia"/>
          <w:b/>
          <w:bCs/>
          <w:sz w:val="24"/>
        </w:rPr>
        <w:t>单位概况</w:t>
      </w:r>
      <w:r>
        <w:rPr>
          <w:rFonts w:hint="eastAsia"/>
          <w:sz w:val="24"/>
        </w:rPr>
        <w:t xml:space="preserve"> </w:t>
      </w:r>
    </w:p>
    <w:p>
      <w:pPr>
        <w:pStyle w:val="21"/>
        <w:tabs>
          <w:tab w:val="right" w:leader="dot" w:pos="8296"/>
        </w:tabs>
        <w:adjustRightInd w:val="0"/>
        <w:snapToGrid w:val="0"/>
        <w:spacing w:line="440" w:lineRule="exact"/>
        <w:jc w:val="left"/>
        <w:rPr>
          <w:sz w:val="24"/>
        </w:rPr>
      </w:pPr>
      <w:r>
        <w:rPr>
          <w:rFonts w:hint="eastAsia"/>
          <w:sz w:val="24"/>
        </w:rPr>
        <w:t>一、主要职责</w:t>
      </w:r>
    </w:p>
    <w:p>
      <w:pPr>
        <w:pStyle w:val="21"/>
        <w:tabs>
          <w:tab w:val="right" w:leader="dot" w:pos="8296"/>
        </w:tabs>
        <w:adjustRightInd w:val="0"/>
        <w:snapToGrid w:val="0"/>
        <w:spacing w:line="440" w:lineRule="exact"/>
        <w:jc w:val="left"/>
      </w:pPr>
      <w:r>
        <w:rPr>
          <w:rFonts w:hint="eastAsia"/>
          <w:sz w:val="24"/>
        </w:rPr>
        <w:t xml:space="preserve">二、机构设置 </w:t>
      </w:r>
    </w:p>
    <w:p>
      <w:pPr>
        <w:pStyle w:val="20"/>
        <w:tabs>
          <w:tab w:val="right" w:leader="dot" w:pos="8296"/>
        </w:tabs>
        <w:adjustRightInd w:val="0"/>
        <w:snapToGrid w:val="0"/>
        <w:spacing w:before="0" w:line="440" w:lineRule="exact"/>
        <w:jc w:val="left"/>
        <w:rPr>
          <w:b/>
          <w:bCs/>
          <w:sz w:val="24"/>
        </w:rPr>
      </w:pPr>
      <w:r>
        <w:rPr>
          <w:rFonts w:hint="eastAsia"/>
          <w:b/>
          <w:bCs/>
          <w:sz w:val="24"/>
        </w:rPr>
        <w:t>第二部分  2022年度单位决算情况说明</w:t>
      </w:r>
    </w:p>
    <w:p>
      <w:pPr>
        <w:pStyle w:val="21"/>
        <w:tabs>
          <w:tab w:val="right" w:leader="dot" w:pos="8296"/>
        </w:tabs>
        <w:adjustRightInd w:val="0"/>
        <w:snapToGrid w:val="0"/>
        <w:spacing w:line="440" w:lineRule="exact"/>
        <w:jc w:val="left"/>
        <w:rPr>
          <w:sz w:val="24"/>
        </w:rPr>
      </w:pPr>
      <w:r>
        <w:rPr>
          <w:rFonts w:hint="eastAsia"/>
          <w:sz w:val="24"/>
        </w:rPr>
        <w:t xml:space="preserve">一、收入支出决算总体情况说明 </w:t>
      </w:r>
    </w:p>
    <w:p>
      <w:pPr>
        <w:pStyle w:val="21"/>
        <w:tabs>
          <w:tab w:val="right" w:leader="dot" w:pos="8296"/>
        </w:tabs>
        <w:adjustRightInd w:val="0"/>
        <w:snapToGrid w:val="0"/>
        <w:spacing w:line="440" w:lineRule="exact"/>
        <w:jc w:val="left"/>
        <w:rPr>
          <w:sz w:val="24"/>
        </w:rPr>
      </w:pPr>
      <w:r>
        <w:rPr>
          <w:rFonts w:hint="eastAsia"/>
          <w:sz w:val="24"/>
        </w:rPr>
        <w:t xml:space="preserve">二、收入决算情况说明 </w:t>
      </w:r>
    </w:p>
    <w:p>
      <w:pPr>
        <w:pStyle w:val="21"/>
        <w:tabs>
          <w:tab w:val="right" w:leader="dot" w:pos="8296"/>
        </w:tabs>
        <w:adjustRightInd w:val="0"/>
        <w:snapToGrid w:val="0"/>
        <w:spacing w:line="440" w:lineRule="exact"/>
        <w:jc w:val="left"/>
        <w:rPr>
          <w:sz w:val="24"/>
        </w:rPr>
      </w:pPr>
      <w:r>
        <w:rPr>
          <w:rFonts w:hint="eastAsia"/>
          <w:sz w:val="24"/>
        </w:rPr>
        <w:t xml:space="preserve">三、支出决算情况说明 </w:t>
      </w:r>
    </w:p>
    <w:p>
      <w:pPr>
        <w:pStyle w:val="21"/>
        <w:tabs>
          <w:tab w:val="right" w:leader="dot" w:pos="8296"/>
        </w:tabs>
        <w:adjustRightInd w:val="0"/>
        <w:snapToGrid w:val="0"/>
        <w:spacing w:line="440" w:lineRule="exact"/>
        <w:jc w:val="left"/>
        <w:rPr>
          <w:rFonts w:ascii="仿宋" w:cs="Arial" w:hAnsi="仿宋"/>
          <w:sz w:val="24"/>
        </w:rPr>
      </w:pPr>
      <w:r>
        <w:rPr>
          <w:rFonts w:hint="eastAsia"/>
          <w:sz w:val="24"/>
        </w:rPr>
        <w:t xml:space="preserve">四、财政拨款收入支出决算总体情况说明 </w:t>
      </w:r>
    </w:p>
    <w:p>
      <w:pPr>
        <w:pStyle w:val="21"/>
        <w:tabs>
          <w:tab w:val="right" w:leader="dot" w:pos="8296"/>
        </w:tabs>
        <w:adjustRightInd w:val="0"/>
        <w:snapToGrid w:val="0"/>
        <w:spacing w:line="440" w:lineRule="exact"/>
        <w:jc w:val="left"/>
        <w:rPr>
          <w:sz w:val="24"/>
        </w:rPr>
      </w:pPr>
      <w:r>
        <w:rPr>
          <w:rFonts w:hint="eastAsia"/>
          <w:sz w:val="24"/>
        </w:rPr>
        <w:t xml:space="preserve">五、一般公共预算财政拨款支出决算情况说明 </w:t>
      </w:r>
    </w:p>
    <w:p>
      <w:pPr>
        <w:pStyle w:val="21"/>
        <w:tabs>
          <w:tab w:val="right" w:leader="dot" w:pos="8296"/>
        </w:tabs>
        <w:adjustRightInd w:val="0"/>
        <w:snapToGrid w:val="0"/>
        <w:spacing w:line="440" w:lineRule="exact"/>
        <w:jc w:val="left"/>
        <w:rPr>
          <w:sz w:val="24"/>
        </w:rPr>
      </w:pPr>
      <w:r>
        <w:rPr>
          <w:rFonts w:hint="eastAsia"/>
          <w:sz w:val="24"/>
        </w:rPr>
        <w:t>六、一般公共预算财政拨款基本支出决算情况说明</w:t>
      </w:r>
    </w:p>
    <w:p>
      <w:pPr>
        <w:pStyle w:val="21"/>
        <w:tabs>
          <w:tab w:val="right" w:leader="dot" w:pos="8296"/>
        </w:tabs>
        <w:adjustRightInd w:val="0"/>
        <w:snapToGrid w:val="0"/>
        <w:spacing w:line="440" w:lineRule="exact"/>
        <w:jc w:val="left"/>
        <w:rPr>
          <w:rFonts w:ascii="仿宋" w:cs="Arial" w:hAnsi="仿宋"/>
          <w:sz w:val="24"/>
        </w:rPr>
      </w:pPr>
      <w:r>
        <w:rPr>
          <w:rFonts w:hint="eastAsia"/>
          <w:sz w:val="24"/>
        </w:rPr>
        <w:t>七、财政拨款“三公”经费支出决算情况说明</w:t>
      </w:r>
    </w:p>
    <w:p>
      <w:pPr>
        <w:pStyle w:val="21"/>
        <w:tabs>
          <w:tab w:val="right" w:leader="dot" w:pos="8296"/>
        </w:tabs>
        <w:adjustRightInd w:val="0"/>
        <w:snapToGrid w:val="0"/>
        <w:spacing w:line="440" w:lineRule="exact"/>
        <w:jc w:val="left"/>
      </w:pPr>
      <w:r>
        <w:rPr>
          <w:rFonts w:hint="eastAsia"/>
          <w:sz w:val="24"/>
        </w:rPr>
        <w:t>八、政府性基金预算支出决算情况说明</w:t>
      </w:r>
    </w:p>
    <w:p>
      <w:pPr>
        <w:pStyle w:val="21"/>
        <w:tabs>
          <w:tab w:val="right" w:leader="dot" w:pos="8296"/>
        </w:tabs>
        <w:adjustRightInd w:val="0"/>
        <w:snapToGrid w:val="0"/>
        <w:spacing w:line="440" w:lineRule="exact"/>
        <w:jc w:val="left"/>
        <w:rPr>
          <w:sz w:val="24"/>
        </w:rPr>
      </w:pPr>
      <w:r>
        <w:rPr>
          <w:rFonts w:hint="eastAsia"/>
          <w:sz w:val="24"/>
        </w:rPr>
        <w:t>九、国有资本经营预算支出决算情况说明</w:t>
      </w:r>
    </w:p>
    <w:p>
      <w:pPr>
        <w:pStyle w:val="21"/>
        <w:tabs>
          <w:tab w:val="right" w:leader="dot" w:pos="8296"/>
        </w:tabs>
        <w:adjustRightInd w:val="0"/>
        <w:snapToGrid w:val="0"/>
        <w:spacing w:line="440" w:lineRule="exact"/>
        <w:jc w:val="left"/>
        <w:rPr>
          <w:sz w:val="24"/>
        </w:rPr>
      </w:pPr>
      <w:r>
        <w:rPr>
          <w:rFonts w:hint="eastAsia"/>
          <w:sz w:val="24"/>
        </w:rPr>
        <w:t>十、其他重要事项的情况说明</w:t>
      </w:r>
    </w:p>
    <w:p>
      <w:pPr>
        <w:pStyle w:val="21"/>
        <w:tabs>
          <w:tab w:val="right" w:leader="dot" w:pos="8296"/>
        </w:tabs>
        <w:adjustRightInd w:val="0"/>
        <w:snapToGrid w:val="0"/>
        <w:spacing w:line="440" w:lineRule="exact"/>
        <w:ind w:leftChars="0" w:left="0"/>
        <w:jc w:val="left"/>
        <w:rPr>
          <w:rFonts w:ascii="仿宋" w:eastAsia="仿宋" w:hAnsi="仿宋"/>
          <w:b/>
          <w:bCs/>
          <w:sz w:val="24"/>
          <w:szCs w:val="28"/>
        </w:rPr>
      </w:pPr>
      <w:r>
        <w:rPr>
          <w:rFonts w:ascii="仿宋" w:eastAsia="仿宋" w:hAnsi="仿宋" w:hint="eastAsia"/>
          <w:b/>
          <w:bCs/>
          <w:sz w:val="24"/>
          <w:szCs w:val="28"/>
        </w:rPr>
        <w:t>第三部分 名词解释</w:t>
      </w:r>
    </w:p>
    <w:p>
      <w:pPr>
        <w:pStyle w:val="20"/>
        <w:tabs>
          <w:tab w:val="right" w:leader="dot" w:pos="8296"/>
        </w:tabs>
        <w:adjustRightInd w:val="0"/>
        <w:snapToGrid w:val="0"/>
        <w:spacing w:before="0" w:line="440" w:lineRule="exact"/>
        <w:jc w:val="left"/>
        <w:rPr>
          <w:rFonts w:hint="eastAsia"/>
          <w:b/>
          <w:bCs/>
          <w:sz w:val="24"/>
        </w:rPr>
      </w:pPr>
      <w:r>
        <w:rPr>
          <w:rFonts w:hint="eastAsia"/>
          <w:b/>
          <w:bCs/>
          <w:sz w:val="24"/>
        </w:rPr>
        <w:t>第四部分 附件</w:t>
      </w:r>
    </w:p>
    <w:p>
      <w:pPr>
        <w:ind w:firstLineChars="200" w:firstLine="480"/>
        <w:rPr>
          <w:rFonts w:ascii="Times New Roman" w:eastAsia="宋体" w:cs="Times New Roman" w:hAnsi="Times New Roman" w:hint="eastAsia"/>
          <w:kern w:val="2"/>
          <w:sz w:val="24"/>
          <w:szCs w:val="24"/>
          <w:lang w:val="en-US" w:eastAsia="zh-CN" w:bidi="ar-SA"/>
        </w:rPr>
      </w:pPr>
      <w:r>
        <w:rPr>
          <w:rFonts w:ascii="Times New Roman" w:eastAsia="宋体" w:cs="Times New Roman" w:hAnsi="Times New Roman" w:hint="eastAsia"/>
          <w:kern w:val="2"/>
          <w:sz w:val="24"/>
          <w:szCs w:val="24"/>
          <w:lang w:val="en-US" w:eastAsia="zh-CN" w:bidi="ar-SA"/>
        </w:rPr>
        <w:t>部门预算项目支出绩效自评表（2022年度）</w:t>
      </w:r>
    </w:p>
    <w:p>
      <w:pPr>
        <w:pStyle w:val="20"/>
        <w:tabs>
          <w:tab w:val="right" w:leader="dot" w:pos="8296"/>
        </w:tabs>
        <w:adjustRightInd w:val="0"/>
        <w:snapToGrid w:val="0"/>
        <w:spacing w:before="0" w:line="440" w:lineRule="exact"/>
        <w:jc w:val="left"/>
        <w:rPr>
          <w:b/>
          <w:bCs/>
          <w:sz w:val="24"/>
        </w:rPr>
      </w:pPr>
      <w:r>
        <w:rPr>
          <w:rFonts w:hint="eastAsia"/>
          <w:b/>
          <w:bCs/>
          <w:sz w:val="24"/>
        </w:rPr>
        <w:t>第五部分 附表</w:t>
      </w:r>
    </w:p>
    <w:p>
      <w:pPr>
        <w:pStyle w:val="20"/>
        <w:tabs>
          <w:tab w:val="right" w:leader="dot" w:pos="8296"/>
        </w:tabs>
        <w:adjustRightInd w:val="0"/>
        <w:snapToGrid w:val="0"/>
        <w:spacing w:before="0" w:line="440" w:lineRule="exact"/>
        <w:jc w:val="left"/>
        <w:rPr>
          <w:sz w:val="24"/>
        </w:rPr>
      </w:pPr>
      <w:r>
        <w:rPr>
          <w:rFonts w:hint="eastAsia"/>
          <w:sz w:val="24"/>
        </w:rPr>
        <w:t>一、收入支出决算总表</w:t>
      </w:r>
    </w:p>
    <w:p>
      <w:pPr>
        <w:pStyle w:val="21"/>
        <w:tabs>
          <w:tab w:val="right" w:leader="dot" w:pos="8296"/>
        </w:tabs>
        <w:adjustRightInd w:val="0"/>
        <w:snapToGrid w:val="0"/>
        <w:spacing w:line="440" w:lineRule="exact"/>
        <w:jc w:val="left"/>
        <w:rPr>
          <w:sz w:val="24"/>
        </w:rPr>
      </w:pPr>
      <w:r>
        <w:rPr>
          <w:rFonts w:hint="eastAsia"/>
          <w:sz w:val="24"/>
        </w:rPr>
        <w:t>二、收入决算表</w:t>
      </w:r>
    </w:p>
    <w:p>
      <w:pPr>
        <w:pStyle w:val="21"/>
        <w:tabs>
          <w:tab w:val="right" w:leader="dot" w:pos="8296"/>
        </w:tabs>
        <w:adjustRightInd w:val="0"/>
        <w:snapToGrid w:val="0"/>
        <w:spacing w:line="440" w:lineRule="exact"/>
        <w:jc w:val="left"/>
        <w:rPr>
          <w:sz w:val="24"/>
        </w:rPr>
      </w:pPr>
      <w:r>
        <w:rPr>
          <w:rFonts w:hint="eastAsia"/>
          <w:sz w:val="24"/>
        </w:rPr>
        <w:t>三、支出决算表</w:t>
      </w:r>
    </w:p>
    <w:p>
      <w:pPr>
        <w:pStyle w:val="21"/>
        <w:tabs>
          <w:tab w:val="right" w:leader="dot" w:pos="8296"/>
        </w:tabs>
        <w:adjustRightInd w:val="0"/>
        <w:snapToGrid w:val="0"/>
        <w:spacing w:line="440" w:lineRule="exact"/>
        <w:jc w:val="left"/>
        <w:rPr>
          <w:sz w:val="24"/>
        </w:rPr>
      </w:pPr>
      <w:r>
        <w:rPr>
          <w:rFonts w:hint="eastAsia"/>
          <w:sz w:val="24"/>
        </w:rPr>
        <w:t>四、财政拨款收入支出决算总表</w:t>
      </w:r>
    </w:p>
    <w:p>
      <w:pPr>
        <w:pStyle w:val="21"/>
        <w:tabs>
          <w:tab w:val="right" w:leader="dot" w:pos="8296"/>
        </w:tabs>
        <w:adjustRightInd w:val="0"/>
        <w:snapToGrid w:val="0"/>
        <w:spacing w:line="440" w:lineRule="exact"/>
        <w:jc w:val="left"/>
        <w:rPr>
          <w:sz w:val="24"/>
        </w:rPr>
      </w:pPr>
      <w:r>
        <w:rPr>
          <w:rFonts w:hint="eastAsia"/>
          <w:sz w:val="24"/>
        </w:rPr>
        <w:t>五、财政拨款支出决算明细表</w:t>
      </w:r>
    </w:p>
    <w:p>
      <w:pPr>
        <w:pStyle w:val="21"/>
        <w:tabs>
          <w:tab w:val="right" w:leader="dot" w:pos="8296"/>
        </w:tabs>
        <w:adjustRightInd w:val="0"/>
        <w:snapToGrid w:val="0"/>
        <w:spacing w:line="440" w:lineRule="exact"/>
        <w:jc w:val="left"/>
        <w:rPr>
          <w:sz w:val="24"/>
        </w:rPr>
      </w:pPr>
      <w:r>
        <w:rPr>
          <w:rFonts w:hint="eastAsia"/>
          <w:sz w:val="24"/>
        </w:rPr>
        <w:t>六、一般公共预算财政拨款支出决算表</w:t>
      </w:r>
    </w:p>
    <w:p>
      <w:pPr>
        <w:pStyle w:val="21"/>
        <w:tabs>
          <w:tab w:val="right" w:leader="dot" w:pos="8296"/>
        </w:tabs>
        <w:adjustRightInd w:val="0"/>
        <w:snapToGrid w:val="0"/>
        <w:spacing w:line="440" w:lineRule="exact"/>
        <w:jc w:val="left"/>
        <w:rPr>
          <w:sz w:val="24"/>
        </w:rPr>
      </w:pPr>
      <w:r>
        <w:rPr>
          <w:rFonts w:hint="eastAsia"/>
          <w:sz w:val="24"/>
        </w:rPr>
        <w:t>七、一般公共预算财政拨款支出决算明细表</w:t>
      </w:r>
    </w:p>
    <w:p>
      <w:pPr>
        <w:pStyle w:val="21"/>
        <w:tabs>
          <w:tab w:val="right" w:leader="dot" w:pos="8296"/>
        </w:tabs>
        <w:adjustRightInd w:val="0"/>
        <w:snapToGrid w:val="0"/>
        <w:spacing w:line="440" w:lineRule="exact"/>
        <w:jc w:val="left"/>
        <w:rPr>
          <w:sz w:val="24"/>
        </w:rPr>
      </w:pPr>
      <w:r>
        <w:rPr>
          <w:rFonts w:hint="eastAsia"/>
          <w:sz w:val="24"/>
        </w:rPr>
        <w:t>八、一般公共预算财政拨款基本支出决算明细表</w:t>
      </w:r>
    </w:p>
    <w:p>
      <w:pPr>
        <w:pStyle w:val="21"/>
        <w:tabs>
          <w:tab w:val="right" w:leader="dot" w:pos="8296"/>
        </w:tabs>
        <w:adjustRightInd w:val="0"/>
        <w:snapToGrid w:val="0"/>
        <w:spacing w:line="440" w:lineRule="exact"/>
        <w:jc w:val="left"/>
        <w:rPr>
          <w:sz w:val="24"/>
        </w:rPr>
      </w:pPr>
      <w:r>
        <w:rPr>
          <w:rFonts w:hint="eastAsia"/>
          <w:sz w:val="24"/>
        </w:rPr>
        <w:t>九、一般公共预算财政拨款项目支出决算表</w:t>
      </w:r>
    </w:p>
    <w:p>
      <w:pPr>
        <w:pStyle w:val="21"/>
        <w:tabs>
          <w:tab w:val="right" w:leader="dot" w:pos="8296"/>
        </w:tabs>
        <w:adjustRightInd w:val="0"/>
        <w:snapToGrid w:val="0"/>
        <w:spacing w:line="440" w:lineRule="exact"/>
        <w:jc w:val="left"/>
        <w:rPr>
          <w:sz w:val="24"/>
        </w:rPr>
      </w:pPr>
      <w:r>
        <w:rPr>
          <w:rFonts w:hint="eastAsia"/>
          <w:sz w:val="24"/>
        </w:rPr>
        <w:t>十、政府性基金预算财政拨款收入支出决算表</w:t>
      </w:r>
    </w:p>
    <w:p>
      <w:pPr>
        <w:pStyle w:val="21"/>
        <w:tabs>
          <w:tab w:val="right" w:leader="dot" w:pos="8296"/>
        </w:tabs>
        <w:adjustRightInd w:val="0"/>
        <w:snapToGrid w:val="0"/>
        <w:spacing w:line="440" w:lineRule="exact"/>
        <w:jc w:val="left"/>
        <w:rPr>
          <w:sz w:val="24"/>
        </w:rPr>
      </w:pPr>
      <w:r>
        <w:rPr>
          <w:rFonts w:hint="eastAsia"/>
          <w:sz w:val="24"/>
        </w:rPr>
        <w:t>十一、国有资本经营预算财政拨款收入支出决算表</w:t>
      </w:r>
    </w:p>
    <w:p>
      <w:pPr>
        <w:pStyle w:val="21"/>
        <w:tabs>
          <w:tab w:val="right" w:leader="dot" w:pos="8296"/>
        </w:tabs>
        <w:adjustRightInd w:val="0"/>
        <w:snapToGrid w:val="0"/>
        <w:spacing w:line="440" w:lineRule="exact"/>
        <w:jc w:val="left"/>
        <w:rPr>
          <w:sz w:val="24"/>
        </w:rPr>
      </w:pPr>
      <w:r>
        <w:rPr>
          <w:rFonts w:hint="eastAsia"/>
          <w:sz w:val="24"/>
        </w:rPr>
        <w:t>十二、国有资本经营预算财政拨款支出决算表</w:t>
      </w:r>
    </w:p>
    <w:p>
      <w:pPr>
        <w:pStyle w:val="21"/>
        <w:tabs>
          <w:tab w:val="right" w:leader="dot" w:pos="8296"/>
        </w:tabs>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eastAsia="仿宋" w:hAnsi="仿宋"/>
          <w:bCs/>
          <w:kern w:val="44"/>
          <w:sz w:val="24"/>
        </w:rPr>
      </w:pPr>
      <w:bookmarkStart w:id="7" w:name="_Toc15377196"/>
      <w:bookmarkStart w:id="8" w:name="_Toc15396599"/>
      <w:r>
        <w:rPr>
          <w:rFonts w:ascii="仿宋" w:eastAsia="仿宋" w:hAnsi="仿宋"/>
          <w:b/>
          <w:sz w:val="24"/>
        </w:rPr>
        <w:br w:type="page"/>
      </w:r>
    </w:p>
    <w:p>
      <w:pPr>
        <w:pStyle w:val="1"/>
        <w:jc w:val="center"/>
        <w:rPr>
          <w:rStyle w:val="1Char"/>
          <w:rFonts w:ascii="黑体" w:eastAsia="黑体" w:hAnsi="黑体"/>
          <w:b/>
          <w:bCs w:val="0"/>
        </w:rPr>
      </w:pPr>
      <w:r>
        <w:rPr>
          <w:rFonts w:ascii="黑体" w:eastAsia="黑体" w:hAnsi="黑体" w:hint="eastAsia"/>
          <w:b w:val="0"/>
        </w:rPr>
        <w:t>第一部分 单位</w:t>
      </w:r>
      <w:r>
        <w:rPr>
          <w:rStyle w:val="1Char"/>
          <w:rFonts w:ascii="黑体" w:eastAsia="黑体" w:hAnsi="黑体" w:hint="eastAsia"/>
          <w:b w:val="0"/>
          <w:bCs w:val="0"/>
        </w:rPr>
        <w:t>概况</w:t>
      </w:r>
      <w:bookmarkEnd w:id="7"/>
      <w:bookmarkEnd w:id="8"/>
    </w:p>
    <w:p>
      <w:pPr>
        <w:pStyle w:val="15"/>
        <w:spacing w:beforeLines="0" w:before="93"/>
        <w:rPr>
          <w:rFonts w:eastAsia="黑体"/>
        </w:rPr>
      </w:pPr>
      <w:r>
        <w:rPr>
          <w:rFonts w:ascii="黑体" w:eastAsia="黑体" w:hint="eastAsia"/>
          <w:sz w:val="32"/>
          <w:szCs w:val="32"/>
        </w:rPr>
        <w:t>一、主要职责</w:t>
      </w:r>
    </w:p>
    <w:p>
      <w:pPr>
        <w:snapToGrid w:val="0"/>
        <w:spacing w:line="560" w:lineRule="exact"/>
        <w:ind w:firstLineChars="200" w:firstLine="560"/>
        <w:rPr>
          <w:rFonts w:ascii="仿宋" w:eastAsia="仿宋" w:hAnsi="仿宋"/>
          <w:sz w:val="28"/>
          <w:szCs w:val="28"/>
        </w:rPr>
      </w:pPr>
      <w:bookmarkStart w:id="9" w:name="_Toc15396600"/>
      <w:bookmarkStart w:id="10" w:name="_Toc15377197"/>
      <w:r>
        <w:rPr>
          <w:rFonts w:ascii="仿宋" w:eastAsia="仿宋" w:hAnsi="仿宋" w:hint="eastAsia"/>
          <w:sz w:val="28"/>
          <w:szCs w:val="28"/>
        </w:rPr>
        <w:t xml:space="preserve">1. </w:t>
      </w:r>
      <w:r>
        <w:rPr>
          <w:rFonts w:ascii="仿宋" w:eastAsia="仿宋" w:hAnsi="仿宋"/>
          <w:sz w:val="28"/>
          <w:szCs w:val="28"/>
        </w:rPr>
        <w:t>贯彻执行党和国家关于教育改革和发展的各项方针、政策。</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2. 实施小学义务教育，促进基础教育发展小学学历教育。</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3. 以习近平新时代中国特色社会主义思想为指导，大力推动学校党建工作。</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4. </w:t>
      </w:r>
      <w:r>
        <w:rPr>
          <w:rFonts w:ascii="仿宋" w:eastAsia="仿宋" w:hAnsi="仿宋"/>
          <w:sz w:val="28"/>
          <w:szCs w:val="28"/>
        </w:rPr>
        <w:t>负责</w:t>
      </w:r>
      <w:r>
        <w:rPr>
          <w:rFonts w:ascii="仿宋" w:eastAsia="仿宋" w:hAnsi="仿宋" w:hint="eastAsia"/>
          <w:sz w:val="28"/>
          <w:szCs w:val="28"/>
        </w:rPr>
        <w:t>单位</w:t>
      </w:r>
      <w:r>
        <w:rPr>
          <w:rFonts w:ascii="仿宋" w:eastAsia="仿宋" w:hAnsi="仿宋"/>
          <w:sz w:val="28"/>
          <w:szCs w:val="28"/>
        </w:rPr>
        <w:t>教育经费的</w:t>
      </w:r>
      <w:r>
        <w:rPr>
          <w:rFonts w:ascii="仿宋" w:eastAsia="仿宋" w:hAnsi="仿宋" w:hint="eastAsia"/>
          <w:sz w:val="28"/>
          <w:szCs w:val="28"/>
        </w:rPr>
        <w:t>管理</w:t>
      </w:r>
      <w:r>
        <w:rPr>
          <w:rFonts w:ascii="仿宋" w:eastAsia="仿宋" w:hAnsi="仿宋"/>
          <w:sz w:val="28"/>
          <w:szCs w:val="28"/>
        </w:rPr>
        <w:t>，</w:t>
      </w:r>
      <w:r>
        <w:rPr>
          <w:rFonts w:ascii="仿宋" w:eastAsia="仿宋" w:hAnsi="仿宋" w:hint="eastAsia"/>
          <w:sz w:val="28"/>
          <w:szCs w:val="28"/>
        </w:rPr>
        <w:t>保证小学正常运转，用于教学活动和后勤服务等方面开支</w:t>
      </w:r>
      <w:r>
        <w:rPr>
          <w:rFonts w:ascii="仿宋" w:eastAsia="仿宋" w:hAnsi="仿宋"/>
          <w:sz w:val="28"/>
          <w:szCs w:val="28"/>
        </w:rPr>
        <w:t>。</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5. 加强队伍建设，转变工作作风。</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6. 构建发展平台，引领教师专业发展。</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7. 深化常规管理，提高教育教学质量。</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lang w:val="en-US" w:eastAsia="zh-CN"/>
        </w:rPr>
        <w:t>8</w:t>
      </w:r>
      <w:r>
        <w:rPr>
          <w:rFonts w:ascii="仿宋" w:eastAsia="仿宋" w:hAnsi="仿宋" w:hint="eastAsia"/>
          <w:sz w:val="28"/>
          <w:szCs w:val="28"/>
        </w:rPr>
        <w:t>. 强化安全意识，打造平安和谐校园。</w:t>
      </w:r>
    </w:p>
    <w:p>
      <w:pPr>
        <w:snapToGrid w:val="0"/>
        <w:spacing w:line="560" w:lineRule="exact"/>
        <w:ind w:firstLineChars="200" w:firstLine="560"/>
        <w:rPr>
          <w:rFonts w:ascii="楷体_GB2312" w:eastAsia="楷体_GB2312" w:hAnsi="仿宋"/>
          <w:color w:val="000000"/>
          <w:spacing w:val="-6"/>
          <w:kern w:val="2"/>
          <w:sz w:val="28"/>
          <w:szCs w:val="28"/>
        </w:rPr>
      </w:pPr>
      <w:r>
        <w:rPr>
          <w:rFonts w:ascii="仿宋" w:eastAsia="仿宋" w:hAnsi="仿宋" w:hint="eastAsia"/>
          <w:sz w:val="28"/>
          <w:szCs w:val="28"/>
          <w:lang w:val="en-US" w:eastAsia="zh-CN"/>
        </w:rPr>
        <w:t>9</w:t>
      </w:r>
      <w:r>
        <w:rPr>
          <w:rFonts w:ascii="仿宋" w:eastAsia="仿宋" w:hAnsi="仿宋" w:hint="eastAsia"/>
          <w:sz w:val="28"/>
          <w:szCs w:val="28"/>
        </w:rPr>
        <w:t>. 紧跟时代步伐，发挥工会职能，增进民生福祉。</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lang w:val="en-US" w:eastAsia="zh-CN"/>
        </w:rPr>
        <w:t>0</w:t>
      </w:r>
      <w:r>
        <w:rPr>
          <w:rFonts w:ascii="仿宋" w:eastAsia="仿宋" w:hAnsi="仿宋" w:hint="eastAsia"/>
          <w:sz w:val="28"/>
          <w:szCs w:val="28"/>
        </w:rPr>
        <w:t>. 精准帮扶尽锐出战，关爱惠民传递温暖。</w:t>
      </w:r>
    </w:p>
    <w:p>
      <w:pPr>
        <w:snapToGrid w:val="0"/>
        <w:spacing w:line="560" w:lineRule="exact"/>
        <w:ind w:firstLineChars="200" w:firstLine="640"/>
        <w:rPr>
          <w:rFonts w:ascii="黑体" w:eastAsia="黑体"/>
          <w:sz w:val="32"/>
          <w:szCs w:val="32"/>
        </w:rPr>
      </w:pPr>
      <w:r>
        <w:rPr>
          <w:rFonts w:ascii="黑体" w:eastAsia="黑体" w:hint="eastAsia"/>
          <w:sz w:val="32"/>
          <w:szCs w:val="32"/>
        </w:rPr>
        <w:t>二、机构设置</w:t>
      </w:r>
    </w:p>
    <w:p>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（一）机构情况</w:t>
      </w:r>
    </w:p>
    <w:p>
      <w:pPr>
        <w:snapToGrid w:val="0"/>
        <w:spacing w:line="560" w:lineRule="exact"/>
        <w:ind w:firstLineChars="200" w:firstLine="560"/>
        <w:rPr>
          <w:rFonts w:ascii="仿宋_GB2312" w:eastAsia="仿宋_GB2312" w:hAnsi="仿宋"/>
          <w:sz w:val="28"/>
          <w:szCs w:val="28"/>
        </w:rPr>
      </w:pPr>
      <w:r>
        <w:rPr>
          <w:rFonts w:ascii="仿宋" w:eastAsia="仿宋" w:hAnsi="仿宋" w:hint="eastAsia"/>
          <w:color w:val="000000"/>
          <w:sz w:val="28"/>
          <w:szCs w:val="28"/>
        </w:rPr>
        <w:t>广元市利州区东城实验小学隶属于广元市利州区教育局下属二级预算单位，</w:t>
      </w:r>
      <w:r>
        <w:rPr>
          <w:rFonts w:ascii="仿宋_GB2312" w:eastAsia="仿宋_GB2312" w:hAnsi="仿宋" w:hint="eastAsia"/>
          <w:sz w:val="28"/>
          <w:szCs w:val="28"/>
        </w:rPr>
        <w:t>是区编制委员会2021年9月新设立的独立法人机构，为经费独立核算单位。</w:t>
      </w:r>
    </w:p>
    <w:p>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广元市利州区东城实验小学设各处室 </w:t>
      </w:r>
      <w:r>
        <w:rPr>
          <w:rFonts w:ascii="仿宋_GB2312" w:eastAsia="仿宋_GB2312" w:hAnsi="仿宋" w:hint="eastAsia"/>
          <w:sz w:val="28"/>
          <w:szCs w:val="28"/>
          <w:lang w:val="en-US" w:eastAsia="zh-CN"/>
        </w:rPr>
        <w:t>9</w:t>
      </w:r>
      <w:r>
        <w:rPr>
          <w:rFonts w:ascii="仿宋_GB2312" w:eastAsia="仿宋_GB2312" w:hAnsi="仿宋" w:hint="eastAsia"/>
          <w:sz w:val="28"/>
          <w:szCs w:val="28"/>
        </w:rPr>
        <w:t>个，分别是校长室、</w:t>
      </w:r>
      <w:r>
        <w:rPr>
          <w:rFonts w:ascii="仿宋_GB2312" w:eastAsia="仿宋_GB2312" w:hAnsi="仿宋" w:hint="eastAsia"/>
          <w:sz w:val="28"/>
          <w:szCs w:val="28"/>
          <w:lang w:eastAsia="zh-CN"/>
        </w:rPr>
        <w:t>办公室、</w:t>
      </w:r>
      <w:r>
        <w:rPr>
          <w:rFonts w:ascii="仿宋_GB2312" w:eastAsia="仿宋_GB2312" w:hAnsi="仿宋" w:hint="eastAsia"/>
          <w:sz w:val="28"/>
          <w:szCs w:val="28"/>
        </w:rPr>
        <w:t>德育处、总务处、财务室、安全计装室、教务处、教科室、医务室。</w:t>
      </w:r>
    </w:p>
    <w:p>
      <w:pPr>
        <w:pStyle w:val="15"/>
        <w:spacing w:beforeLines="0" w:before="93"/>
      </w:pPr>
    </w:p>
    <w:p>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（二）人员情况</w:t>
      </w:r>
    </w:p>
    <w:p>
      <w:pPr>
        <w:snapToGrid w:val="0"/>
        <w:spacing w:line="560" w:lineRule="exact"/>
        <w:ind w:firstLineChars="200" w:firstLine="560"/>
        <w:rPr>
          <w:rFonts w:ascii="仿宋" w:eastAsia="仿宋" w:cs="仿宋_GB2312" w:hAnsi="仿宋"/>
          <w:sz w:val="28"/>
          <w:szCs w:val="28"/>
        </w:rPr>
      </w:pPr>
      <w:r>
        <w:rPr>
          <w:rFonts w:ascii="仿宋_GB2312" w:eastAsia="仿宋_GB2312" w:hAnsi="仿宋" w:hint="eastAsia"/>
          <w:sz w:val="28"/>
          <w:szCs w:val="28"/>
          <w:lang w:val="en-US" w:eastAsia="zh-CN"/>
        </w:rPr>
        <w:t>广元市利州区</w:t>
      </w:r>
      <w:r>
        <w:rPr>
          <w:rFonts w:ascii="仿宋" w:eastAsia="仿宋" w:hAnsi="仿宋" w:hint="eastAsia"/>
          <w:color w:val="000000"/>
          <w:sz w:val="28"/>
          <w:szCs w:val="28"/>
        </w:rPr>
        <w:t>东城实验小学</w:t>
      </w:r>
      <w:r>
        <w:rPr>
          <w:rFonts w:ascii="仿宋" w:eastAsia="仿宋" w:cs="仿宋_GB2312" w:hAnsi="仿宋" w:hint="eastAsia"/>
          <w:sz w:val="28"/>
          <w:szCs w:val="28"/>
        </w:rPr>
        <w:t>共有编制160名，其中全额财政补助事业编制</w:t>
      </w:r>
      <w:r>
        <w:rPr>
          <w:rFonts w:ascii="仿宋" w:eastAsia="仿宋" w:cs="仿宋_GB2312" w:hAnsi="仿宋" w:hint="eastAsia"/>
          <w:sz w:val="28"/>
          <w:szCs w:val="28"/>
          <w:lang w:val="en-US" w:eastAsia="zh-CN"/>
        </w:rPr>
        <w:t>160</w:t>
      </w:r>
      <w:r>
        <w:rPr>
          <w:rFonts w:ascii="仿宋" w:eastAsia="仿宋" w:cs="仿宋_GB2312" w:hAnsi="仿宋" w:hint="eastAsia"/>
          <w:sz w:val="28"/>
          <w:szCs w:val="28"/>
        </w:rPr>
        <w:t>人。截至2022年末，</w:t>
      </w:r>
      <w:r>
        <w:rPr>
          <w:rFonts w:ascii="仿宋" w:eastAsia="仿宋" w:cs="仿宋_GB2312" w:hAnsi="仿宋" w:hint="eastAsia"/>
          <w:color w:val="auto"/>
          <w:sz w:val="28"/>
          <w:szCs w:val="28"/>
        </w:rPr>
        <w:t>实有在职人员114人</w:t>
      </w:r>
      <w:r>
        <w:rPr>
          <w:rFonts w:ascii="仿宋" w:eastAsia="仿宋" w:cs="仿宋_GB2312" w:hAnsi="仿宋" w:hint="eastAsia"/>
          <w:sz w:val="28"/>
          <w:szCs w:val="28"/>
        </w:rPr>
        <w:t>。</w:t>
      </w:r>
    </w:p>
    <w:p>
      <w:pPr>
        <w:snapToGrid w:val="0"/>
        <w:spacing w:line="576" w:lineRule="exact"/>
        <w:ind w:firstLineChars="200" w:firstLine="640"/>
        <w:rPr>
          <w:rFonts w:ascii="仿宋" w:eastAsia="仿宋" w:hAnsi="仿宋"/>
          <w:sz w:val="32"/>
          <w:szCs w:val="32"/>
        </w:rPr>
      </w:pPr>
      <w:bookmarkEnd w:id="9"/>
      <w:bookmarkEnd w:id="10"/>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snapToGrid w:val="0"/>
        <w:spacing w:line="576" w:lineRule="exact"/>
        <w:ind w:firstLineChars="200" w:firstLine="640"/>
        <w:rPr>
          <w:rFonts w:ascii="仿宋" w:eastAsia="仿宋" w:hAnsi="仿宋"/>
          <w:sz w:val="32"/>
          <w:szCs w:val="32"/>
        </w:rPr>
      </w:pPr>
    </w:p>
    <w:p>
      <w:pPr>
        <w:widowControl/>
        <w:jc w:val="left"/>
        <w:rPr>
          <w:rFonts w:ascii="仿宋" w:eastAsia="仿宋" w:hAnsi="仿宋"/>
          <w:kern w:val="0"/>
          <w:sz w:val="32"/>
          <w:szCs w:val="32"/>
        </w:rPr>
      </w:pPr>
    </w:p>
    <w:p>
      <w:pPr>
        <w:pStyle w:val="1"/>
        <w:ind w:right="440"/>
        <w:jc w:val="center"/>
        <w:rPr>
          <w:rStyle w:val="1Char"/>
          <w:rFonts w:ascii="黑体" w:eastAsia="黑体" w:hAnsi="黑体"/>
          <w:b w:val="0"/>
          <w:bCs/>
        </w:rPr>
      </w:pPr>
      <w:bookmarkStart w:id="11" w:name="_Toc15377204"/>
      <w:bookmarkStart w:id="12" w:name="_Toc15396602"/>
      <w:r>
        <w:rPr>
          <w:rFonts w:ascii="黑体" w:eastAsia="黑体" w:hAnsi="黑体" w:hint="eastAsia"/>
          <w:b w:val="0"/>
        </w:rPr>
        <w:t>第二部分 2022年度</w:t>
      </w:r>
      <w:r>
        <w:rPr>
          <w:rStyle w:val="1Char"/>
          <w:rFonts w:ascii="黑体" w:eastAsia="黑体" w:hAnsi="黑体" w:hint="eastAsia"/>
          <w:b w:val="0"/>
          <w:bCs/>
        </w:rPr>
        <w:t>单位决算情况说明</w:t>
      </w:r>
      <w:bookmarkEnd w:id="11"/>
      <w:bookmarkEnd w:id="12"/>
    </w:p>
    <w:p>
      <w:pPr>
        <w:pStyle w:val="28"/>
        <w:numPr>
          <w:ilvl w:val="0"/>
          <w:numId w:val="1"/>
        </w:numPr>
        <w:spacing w:line="600" w:lineRule="exact"/>
        <w:ind w:firstLineChars="0"/>
        <w:outlineLvl w:val="1"/>
        <w:rPr>
          <w:rStyle w:val="2Char"/>
          <w:rFonts w:ascii="黑体" w:eastAsia="黑体" w:hAnsi="黑体"/>
          <w:b w:val="0"/>
        </w:rPr>
      </w:pPr>
      <w:bookmarkStart w:id="13" w:name="_Toc15396603"/>
      <w:bookmarkStart w:id="14"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3"/>
      <w:bookmarkEnd w:id="14"/>
    </w:p>
    <w:p>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2022年度收、支总计2343.32万元。与2021年相比，收、支总计各增加1407.39万元，增长150.37</w:t>
      </w:r>
      <w:r>
        <w:rPr>
          <w:rFonts w:ascii="仿宋" w:eastAsia="仿宋" w:hAnsi="仿宋"/>
          <w:sz w:val="32"/>
          <w:szCs w:val="32"/>
        </w:rPr>
        <w:t>%</w:t>
      </w:r>
      <w:r>
        <w:rPr>
          <w:rFonts w:ascii="仿宋" w:eastAsia="仿宋" w:hAnsi="仿宋" w:hint="eastAsia"/>
          <w:sz w:val="32"/>
          <w:szCs w:val="32"/>
        </w:rPr>
        <w:t>。主要变动原因是</w:t>
      </w:r>
      <w:r>
        <w:rPr>
          <w:rStyle w:val="22"/>
          <w:rFonts w:ascii="仿宋" w:eastAsia="仿宋" w:cs="Arial" w:hAnsi="仿宋" w:hint="eastAsia"/>
          <w:b w:val="0"/>
          <w:bCs/>
          <w:color w:val="000000"/>
          <w:sz w:val="32"/>
          <w:szCs w:val="32"/>
          <w14:textFill>
            <w14:solidFill>
              <w14:srgbClr w14:val="000000"/>
            </w14:solidFill>
          </w14:textFill>
        </w:rPr>
        <w:t>单位是2021年9月新成立的。2021年收入支出只有4个月，2022年全年12个月。</w:t>
      </w:r>
    </w:p>
    <w:p>
      <w:pPr>
        <w:pStyle w:val="15"/>
        <w:spacing w:beforeLines="0" w:before="93"/>
        <w:rPr>
          <w:rFonts w:ascii="仿宋" w:eastAsia="仿宋" w:hAnsi="仿宋"/>
          <w:sz w:val="32"/>
          <w:szCs w:val="32"/>
        </w:rPr>
      </w:pPr>
      <w:r>
        <w:rPr>
          <w:sz w:val="32"/>
          <w:szCs w:val="32"/>
        </w:rPr>
        <w:drawing>
          <wp:anchor distT="0" distB="0" distL="114300" distR="114300" simplePos="0" relativeHeight="18" behindDoc="0" locked="0" layoutInCell="1" hidden="0" allowOverlap="1">
            <wp:simplePos x="0" y="0"/>
            <wp:positionH relativeFrom="column">
              <wp:posOffset>194945</wp:posOffset>
            </wp:positionH>
            <wp:positionV relativeFrom="paragraph">
              <wp:posOffset>187325</wp:posOffset>
            </wp:positionV>
            <wp:extent cx="5118100" cy="2514600"/>
            <wp:effectExtent l="0" t="0" r="0" b="0"/>
            <wp:wrapTight wrapText="bothSides">
              <wp:wrapPolygon>
                <wp:start x="-18" y="-65"/>
                <wp:lineTo x="-18" y="21534"/>
                <wp:lineTo x="21567" y="21534"/>
                <wp:lineTo x="21567" y="-65"/>
                <wp:lineTo x="-18" y="-65"/>
              </wp:wrapPolygon>
            </wp:wrapTight>
            <wp:docPr id="1" name="图表 1"/>
            <wp:cNvGraphicFramePr>
              <a:graphicFrameLocks noChangeAspect="0"/>
            </wp:cNvGraphicFramePr>
            <a:graphic>
              <a:graphicData uri="http://schemas.openxmlformats.org/drawingml/2006/chart">
                <c:chart xmlns:c="http://schemas.openxmlformats.org/drawingml/2006/chart" r:id="rId6"/>
              </a:graphicData>
            </a:graphic>
          </wp:anchor>
        </w:drawing>
      </w:r>
      <w:r>
        <w:rPr>
          <w:rFonts w:hint="eastAsia"/>
          <w:sz w:val="32"/>
          <w:szCs w:val="32"/>
        </w:rPr>
        <w:t xml:space="preserve">   </w:t>
      </w: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pPr>
        <w:pStyle w:val="28"/>
        <w:numPr>
          <w:ilvl w:val="0"/>
          <w:numId w:val="1"/>
        </w:numPr>
        <w:spacing w:line="600" w:lineRule="exact"/>
        <w:ind w:firstLineChars="0"/>
        <w:outlineLvl w:val="1"/>
        <w:rPr>
          <w:rStyle w:val="2Char"/>
          <w:rFonts w:ascii="黑体" w:eastAsia="黑体" w:hAnsi="黑体"/>
          <w:b w:val="0"/>
        </w:rPr>
      </w:pPr>
      <w:bookmarkStart w:id="15" w:name="_Toc15377206"/>
      <w:bookmarkStart w:id="16"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15"/>
      <w:bookmarkEnd w:id="16"/>
    </w:p>
    <w:p>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22年本年收入合计1904.51万元，其中：一般公共预算财政拨款收入1899.36万元，占99.73</w:t>
      </w:r>
      <w:r>
        <w:rPr>
          <w:rFonts w:ascii="仿宋" w:eastAsia="仿宋" w:hAnsi="仿宋"/>
          <w:sz w:val="32"/>
          <w:szCs w:val="32"/>
        </w:rPr>
        <w:t>%</w:t>
      </w:r>
      <w:r>
        <w:rPr>
          <w:rFonts w:ascii="仿宋" w:eastAsia="仿宋" w:hAnsi="仿宋" w:hint="eastAsia"/>
          <w:sz w:val="32"/>
          <w:szCs w:val="32"/>
        </w:rPr>
        <w:t>；其他收入5.16万元，占0.27</w:t>
      </w:r>
      <w:r>
        <w:rPr>
          <w:rFonts w:ascii="仿宋" w:eastAsia="仿宋" w:hAnsi="仿宋"/>
          <w:sz w:val="32"/>
          <w:szCs w:val="32"/>
        </w:rPr>
        <w:t>%</w:t>
      </w:r>
      <w:r>
        <w:rPr>
          <w:rFonts w:ascii="仿宋" w:eastAsia="仿宋" w:hAnsi="仿宋" w:hint="eastAsia"/>
          <w:sz w:val="32"/>
          <w:szCs w:val="32"/>
        </w:rPr>
        <w:t>。</w:t>
      </w:r>
    </w:p>
    <w:p>
      <w:pPr>
        <w:pStyle w:val="15"/>
        <w:spacing w:beforeLines="0" w:before="93"/>
        <w:rPr>
          <w:rFonts w:ascii="仿宋" w:eastAsia="仿宋" w:hAnsi="仿宋"/>
          <w:sz w:val="32"/>
          <w:szCs w:val="32"/>
        </w:rPr>
      </w:pPr>
      <w:r>
        <w:rPr>
          <w:sz w:val="32"/>
          <w:szCs w:val="32"/>
        </w:rPr>
        <w:drawing>
          <wp:anchor distT="0" distB="0" distL="114300" distR="114300" simplePos="0" relativeHeight="20" behindDoc="0" locked="0" layoutInCell="1" hidden="0" allowOverlap="1">
            <wp:simplePos x="0" y="0"/>
            <wp:positionH relativeFrom="column">
              <wp:posOffset>221615</wp:posOffset>
            </wp:positionH>
            <wp:positionV relativeFrom="paragraph">
              <wp:posOffset>75565</wp:posOffset>
            </wp:positionV>
            <wp:extent cx="5274310" cy="3076575"/>
            <wp:effectExtent l="0" t="0" r="17" b="47"/>
            <wp:wrapSquare wrapText="bothSides"/>
            <wp:docPr id="2" name="图表 2"/>
            <wp:cNvGraphicFramePr>
              <a:graphicFrameLocks noChangeAspect="0"/>
            </wp:cNvGraphicFramePr>
            <a:graphic>
              <a:graphicData uri="http://schemas.openxmlformats.org/drawingml/2006/chart">
                <c:chart xmlns:c="http://schemas.openxmlformats.org/drawingml/2006/chart" r:id="rId7"/>
              </a:graphicData>
            </a:graphic>
          </wp:anchor>
        </w:drawing>
      </w:r>
      <w:r>
        <w:rPr>
          <w:rFonts w:ascii="仿宋" w:eastAsia="仿宋" w:hAnsi="仿宋" w:hint="eastAsia"/>
          <w:sz w:val="32"/>
          <w:szCs w:val="32"/>
        </w:rPr>
        <w:t>（图2：收入决算结构图）（饼状图）</w:t>
      </w:r>
    </w:p>
    <w:p>
      <w:pPr>
        <w:pStyle w:val="28"/>
        <w:numPr>
          <w:ilvl w:val="0"/>
          <w:numId w:val="1"/>
        </w:numPr>
        <w:spacing w:line="600" w:lineRule="exact"/>
        <w:ind w:firstLineChars="0"/>
        <w:outlineLvl w:val="1"/>
        <w:rPr>
          <w:rStyle w:val="2Char"/>
          <w:rFonts w:ascii="黑体" w:eastAsia="黑体" w:hAnsi="黑体"/>
          <w:b w:val="0"/>
        </w:rPr>
      </w:pPr>
      <w:bookmarkStart w:id="17" w:name="_Toc15377207"/>
      <w:bookmarkStart w:id="18"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17"/>
      <w:bookmarkEnd w:id="18"/>
    </w:p>
    <w:p>
      <w:pPr>
        <w:spacing w:line="600" w:lineRule="exact"/>
        <w:ind w:firstLineChars="200" w:firstLine="640"/>
        <w:outlineLvl w:val="1"/>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22年本年支出合计2343.32万元，其中：基本支出1850.42万元，占78.9</w:t>
      </w:r>
      <w:r>
        <w:rPr>
          <w:rFonts w:ascii="仿宋" w:eastAsia="仿宋" w:hAnsi="仿宋" w:hint="eastAsia"/>
          <w:sz w:val="32"/>
          <w:szCs w:val="32"/>
          <w:lang w:val="en-US" w:eastAsia="zh-CN"/>
        </w:rPr>
        <w:t>7</w:t>
      </w:r>
      <w:r>
        <w:rPr>
          <w:rFonts w:ascii="仿宋" w:eastAsia="仿宋" w:hAnsi="仿宋"/>
          <w:sz w:val="32"/>
          <w:szCs w:val="32"/>
        </w:rPr>
        <w:t>%</w:t>
      </w:r>
      <w:r>
        <w:rPr>
          <w:rFonts w:ascii="仿宋" w:eastAsia="仿宋" w:hAnsi="仿宋" w:hint="eastAsia"/>
          <w:sz w:val="32"/>
          <w:szCs w:val="32"/>
        </w:rPr>
        <w:t>；项目支出492.89万元，占21.0</w:t>
      </w:r>
      <w:r>
        <w:rPr>
          <w:rFonts w:ascii="仿宋" w:eastAsia="仿宋" w:hAnsi="仿宋" w:hint="eastAsia"/>
          <w:sz w:val="32"/>
          <w:szCs w:val="32"/>
          <w:lang w:val="en-US" w:eastAsia="zh-CN"/>
        </w:rPr>
        <w:t>3</w:t>
      </w:r>
      <w:r>
        <w:rPr>
          <w:rFonts w:ascii="仿宋" w:eastAsia="仿宋" w:hAnsi="仿宋"/>
          <w:sz w:val="32"/>
          <w:szCs w:val="32"/>
        </w:rPr>
        <w:t>%</w:t>
      </w:r>
      <w:r>
        <w:rPr>
          <w:rFonts w:ascii="仿宋" w:eastAsia="仿宋" w:hAnsi="仿宋" w:hint="eastAsia"/>
          <w:sz w:val="32"/>
          <w:szCs w:val="32"/>
        </w:rPr>
        <w:t>。</w:t>
      </w:r>
    </w:p>
    <w:p>
      <w:pPr>
        <w:pStyle w:val="15"/>
        <w:spacing w:beforeLines="0" w:before="93"/>
        <w:rPr>
          <w:rFonts w:ascii="仿宋" w:eastAsia="仿宋" w:hAnsi="仿宋"/>
          <w:sz w:val="32"/>
          <w:szCs w:val="32"/>
        </w:rPr>
      </w:pPr>
      <w:r>
        <w:rPr>
          <w:sz w:val="32"/>
          <w:szCs w:val="32"/>
        </w:rPr>
        <w:drawing>
          <wp:anchor distT="0" distB="0" distL="114300" distR="114300" simplePos="0" relativeHeight="22" behindDoc="0" locked="0" layoutInCell="1" hidden="0" allowOverlap="1">
            <wp:simplePos x="0" y="0"/>
            <wp:positionH relativeFrom="column">
              <wp:posOffset>59055</wp:posOffset>
            </wp:positionH>
            <wp:positionV relativeFrom="paragraph">
              <wp:posOffset>27305</wp:posOffset>
            </wp:positionV>
            <wp:extent cx="5298440" cy="2101215"/>
            <wp:effectExtent l="0" t="0" r="46" b="32"/>
            <wp:wrapSquare wrapText="bothSides"/>
            <wp:docPr id="3" name="图表 4"/>
            <wp:cNvGraphicFramePr>
              <a:graphicFrameLocks noChangeAspect="0"/>
            </wp:cNvGraphicFramePr>
            <a:graphic>
              <a:graphicData uri="http://schemas.openxmlformats.org/drawingml/2006/chart">
                <c:chart xmlns:c="http://schemas.openxmlformats.org/drawingml/2006/chart" r:id="rId8"/>
              </a:graphicData>
            </a:graphic>
          </wp:anchor>
        </w:drawing>
      </w:r>
      <w:r>
        <w:rPr>
          <w:rFonts w:hint="eastAsia"/>
          <w:sz w:val="32"/>
          <w:szCs w:val="32"/>
        </w:rPr>
        <w:t xml:space="preserve">   </w:t>
      </w:r>
      <w:r>
        <w:rPr>
          <w:rFonts w:ascii="仿宋" w:eastAsia="仿宋" w:hAnsi="仿宋" w:hint="eastAsia"/>
          <w:sz w:val="32"/>
          <w:szCs w:val="32"/>
        </w:rPr>
        <w:t>（图3：支出决算结构图）（饼状图）</w:t>
      </w:r>
    </w:p>
    <w:p>
      <w:pPr>
        <w:spacing w:line="600" w:lineRule="exact"/>
        <w:ind w:firstLineChars="200" w:firstLine="640"/>
        <w:outlineLvl w:val="1"/>
        <w:rPr>
          <w:rStyle w:val="2Char"/>
          <w:rFonts w:ascii="黑体" w:eastAsia="黑体" w:hAnsi="黑体"/>
          <w:b w:val="0"/>
        </w:rPr>
      </w:pPr>
      <w:bookmarkStart w:id="19" w:name="_Toc15377208"/>
      <w:bookmarkStart w:id="20"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19"/>
      <w:bookmarkEnd w:id="20"/>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22年财政拨款收、支总计2338.16万元。与</w:t>
      </w:r>
      <w:r>
        <w:rPr>
          <w:rFonts w:ascii="仿宋" w:eastAsia="仿宋" w:hAnsi="仿宋"/>
          <w:sz w:val="32"/>
          <w:szCs w:val="32"/>
        </w:rPr>
        <w:t>20</w:t>
      </w:r>
      <w:r>
        <w:rPr>
          <w:rFonts w:ascii="仿宋" w:eastAsia="仿宋" w:hAnsi="仿宋" w:hint="eastAsia"/>
          <w:sz w:val="32"/>
          <w:szCs w:val="32"/>
        </w:rPr>
        <w:t>21年相比，财政拨款收、支总计各增加1402.34万元，增长149.85</w:t>
      </w:r>
      <w:r>
        <w:rPr>
          <w:rFonts w:ascii="仿宋" w:eastAsia="仿宋" w:hAnsi="仿宋"/>
          <w:sz w:val="32"/>
          <w:szCs w:val="32"/>
        </w:rPr>
        <w:t>%</w:t>
      </w:r>
      <w:r>
        <w:rPr>
          <w:rFonts w:ascii="仿宋" w:eastAsia="仿宋" w:hAnsi="仿宋" w:hint="eastAsia"/>
          <w:sz w:val="32"/>
          <w:szCs w:val="32"/>
        </w:rPr>
        <w:t>。主要变动原因是</w:t>
      </w:r>
      <w:r>
        <w:rPr>
          <w:rStyle w:val="22"/>
          <w:rFonts w:ascii="仿宋" w:eastAsia="仿宋" w:cs="Arial" w:hAnsi="仿宋" w:hint="eastAsia"/>
          <w:b w:val="0"/>
          <w:bCs/>
          <w:color w:val="000000"/>
          <w:sz w:val="32"/>
          <w:szCs w:val="32"/>
          <w14:textFill>
            <w14:solidFill>
              <w14:srgbClr w14:val="000000"/>
            </w14:solidFill>
          </w14:textFill>
        </w:rPr>
        <w:t>单位是2021年9月新成立的。2021年收入支出只有4个月，2022年全年12个月。</w:t>
      </w:r>
    </w:p>
    <w:p>
      <w:pPr>
        <w:spacing w:line="600" w:lineRule="exact"/>
        <w:ind w:firstLine="640"/>
        <w:rPr>
          <w:rFonts w:ascii="仿宋" w:eastAsia="仿宋" w:hAnsi="仿宋"/>
          <w:b/>
          <w:sz w:val="32"/>
          <w:szCs w:val="32"/>
        </w:rPr>
      </w:pPr>
    </w:p>
    <w:p>
      <w:pPr>
        <w:pStyle w:val="15"/>
        <w:spacing w:beforeLines="0" w:before="93"/>
        <w:rPr>
          <w:rFonts w:ascii="仿宋" w:eastAsia="仿宋" w:hAnsi="仿宋"/>
          <w:sz w:val="32"/>
          <w:szCs w:val="32"/>
        </w:rPr>
      </w:pPr>
      <w:r>
        <w:rPr>
          <w:sz w:val="32"/>
          <w:szCs w:val="32"/>
        </w:rPr>
        <w:drawing>
          <wp:anchor distT="0" distB="0" distL="114300" distR="114300" simplePos="0" relativeHeight="24" behindDoc="0" locked="0" layoutInCell="1" hidden="0" allowOverlap="1">
            <wp:simplePos x="0" y="0"/>
            <wp:positionH relativeFrom="column">
              <wp:posOffset>107315</wp:posOffset>
            </wp:positionH>
            <wp:positionV relativeFrom="paragraph">
              <wp:posOffset>118110</wp:posOffset>
            </wp:positionV>
            <wp:extent cx="5309235" cy="1728470"/>
            <wp:effectExtent l="0" t="0" r="0" b="0"/>
            <wp:wrapTight wrapText="bothSides">
              <wp:wrapPolygon>
                <wp:start x="-10" y="-47"/>
                <wp:lineTo x="-10" y="21496"/>
                <wp:lineTo x="21573" y="21496"/>
                <wp:lineTo x="21573" y="-47"/>
                <wp:lineTo x="-10" y="-47"/>
              </wp:wrapPolygon>
            </wp:wrapTight>
            <wp:docPr id="4" name="图表 5"/>
            <wp:cNvGraphicFramePr>
              <a:graphicFrameLocks noChangeAspect="0"/>
            </wp:cNvGraphicFramePr>
            <a:graphic>
              <a:graphicData uri="http://schemas.openxmlformats.org/drawingml/2006/chart">
                <c:chart xmlns:c="http://schemas.openxmlformats.org/drawingml/2006/chart" r:id="rId9"/>
              </a:graphicData>
            </a:graphic>
          </wp:anchor>
        </w:drawing>
      </w:r>
      <w:r>
        <w:rPr>
          <w:rFonts w:hint="eastAsia"/>
          <w:sz w:val="32"/>
          <w:szCs w:val="32"/>
        </w:rPr>
        <w:t xml:space="preserve">   </w:t>
      </w:r>
      <w:r>
        <w:rPr>
          <w:rFonts w:ascii="仿宋" w:eastAsia="仿宋" w:hAnsi="仿宋" w:hint="eastAsia"/>
          <w:sz w:val="32"/>
          <w:szCs w:val="32"/>
        </w:rPr>
        <w:t>（图4：财政拨款收、支决算总计变动情况）（柱状图）</w:t>
      </w:r>
    </w:p>
    <w:p>
      <w:pPr>
        <w:spacing w:line="600" w:lineRule="exact"/>
        <w:ind w:firstLineChars="200" w:firstLine="640"/>
        <w:outlineLvl w:val="1"/>
        <w:rPr>
          <w:rStyle w:val="2Char"/>
          <w:rFonts w:ascii="黑体" w:eastAsia="黑体" w:hAnsi="黑体"/>
          <w:b w:val="0"/>
        </w:rPr>
      </w:pPr>
      <w:bookmarkStart w:id="21" w:name="_Toc15377209"/>
      <w:bookmarkStart w:id="22"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1"/>
      <w:bookmarkEnd w:id="22"/>
    </w:p>
    <w:p>
      <w:pPr>
        <w:spacing w:line="600" w:lineRule="exact"/>
        <w:ind w:firstLineChars="200" w:firstLine="640"/>
        <w:outlineLvl w:val="2"/>
        <w:rPr>
          <w:rFonts w:ascii="仿宋" w:eastAsia="仿宋" w:hAnsi="仿宋"/>
          <w:b/>
          <w:sz w:val="32"/>
          <w:szCs w:val="32"/>
        </w:rPr>
      </w:pPr>
      <w:bookmarkStart w:id="23" w:name="_Toc15377210"/>
      <w:r>
        <w:rPr>
          <w:rFonts w:ascii="仿宋" w:eastAsia="仿宋" w:hAnsi="仿宋" w:hint="eastAsia"/>
          <w:b/>
          <w:sz w:val="32"/>
          <w:szCs w:val="32"/>
        </w:rPr>
        <w:t>（一）一般公共预算财政拨款支出决算总体情况</w:t>
      </w:r>
      <w:bookmarkEnd w:id="23"/>
    </w:p>
    <w:p>
      <w:pPr>
        <w:spacing w:line="600" w:lineRule="exact"/>
        <w:ind w:firstLineChars="200" w:firstLine="640"/>
        <w:rPr>
          <w:rStyle w:val="22"/>
          <w:rFonts w:ascii="仿宋" w:eastAsia="仿宋" w:cs="Arial" w:hAnsi="仿宋"/>
          <w:b w:val="0"/>
          <w:bCs/>
          <w:color w:val="000000"/>
          <w:sz w:val="32"/>
          <w:szCs w:val="32"/>
          <w14:textFill>
            <w14:solidFill>
              <w14:srgbClr w14:val="000000"/>
            </w14:solidFill>
          </w14:textFill>
        </w:rPr>
      </w:pPr>
      <w:r>
        <w:rPr>
          <w:rFonts w:ascii="仿宋" w:eastAsia="仿宋" w:hAnsi="仿宋"/>
          <w:sz w:val="32"/>
          <w:szCs w:val="32"/>
        </w:rPr>
        <w:t>20</w:t>
      </w:r>
      <w:r>
        <w:rPr>
          <w:rFonts w:ascii="仿宋" w:eastAsia="仿宋" w:hAnsi="仿宋" w:hint="eastAsia"/>
          <w:sz w:val="32"/>
          <w:szCs w:val="32"/>
        </w:rPr>
        <w:t>22年一般公共预算财政拨款支出2338.16万元，占本年支出合计的</w:t>
      </w:r>
      <w:r>
        <w:rPr>
          <w:rFonts w:ascii="仿宋" w:eastAsia="仿宋" w:hAnsi="仿宋" w:hint="eastAsia"/>
          <w:sz w:val="32"/>
          <w:szCs w:val="32"/>
          <w:lang w:val="en-US" w:eastAsia="zh-CN"/>
        </w:rPr>
        <w:t>99.78</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21年相比，一般公共预算财政拨款支出增加1844.15万元，增长373.30</w:t>
      </w:r>
      <w:r>
        <w:rPr>
          <w:rFonts w:ascii="仿宋" w:eastAsia="仿宋" w:hAnsi="仿宋"/>
          <w:sz w:val="32"/>
          <w:szCs w:val="32"/>
        </w:rPr>
        <w:t>%</w:t>
      </w:r>
      <w:r>
        <w:rPr>
          <w:rFonts w:ascii="仿宋" w:eastAsia="仿宋" w:hAnsi="仿宋" w:hint="eastAsia"/>
          <w:sz w:val="32"/>
          <w:szCs w:val="32"/>
        </w:rPr>
        <w:t>。主要变动原因是</w:t>
      </w:r>
      <w:r>
        <w:rPr>
          <w:rStyle w:val="22"/>
          <w:rFonts w:ascii="仿宋" w:eastAsia="仿宋" w:cs="Arial" w:hAnsi="仿宋" w:hint="eastAsia"/>
          <w:b w:val="0"/>
          <w:bCs/>
          <w:color w:val="000000"/>
          <w:sz w:val="32"/>
          <w:szCs w:val="32"/>
          <w14:textFill>
            <w14:solidFill>
              <w14:srgbClr w14:val="000000"/>
            </w14:solidFill>
          </w14:textFill>
        </w:rPr>
        <w:t>单位是2021年9月新成立的。2021年收入支出只有4个月，2022年全年12个月。</w:t>
      </w:r>
    </w:p>
    <w:p>
      <w:pPr>
        <w:pStyle w:val="15"/>
        <w:spacing w:beforeLines="0" w:before="93"/>
        <w:rPr>
          <w:rFonts w:ascii="仿宋" w:eastAsia="仿宋" w:hAnsi="仿宋"/>
          <w:sz w:val="28"/>
          <w:szCs w:val="28"/>
        </w:rPr>
      </w:pPr>
      <w:r>
        <w:rPr>
          <w:rFonts w:ascii="仿宋_GB2312" w:eastAsia="仿宋_GB2312"/>
          <w:sz w:val="28"/>
          <w:szCs w:val="28"/>
        </w:rPr>
        <w:drawing>
          <wp:anchor distT="0" distB="0" distL="114300" distR="114300" simplePos="0" relativeHeight="26" behindDoc="0" locked="0" layoutInCell="1" hidden="0" allowOverlap="1">
            <wp:simplePos x="0" y="0"/>
            <wp:positionH relativeFrom="column">
              <wp:posOffset>131445</wp:posOffset>
            </wp:positionH>
            <wp:positionV relativeFrom="paragraph">
              <wp:posOffset>183515</wp:posOffset>
            </wp:positionV>
            <wp:extent cx="5214620" cy="1656079"/>
            <wp:effectExtent l="0" t="0" r="0" b="0"/>
            <wp:wrapTight wrapText="bothSides">
              <wp:wrapPolygon>
                <wp:start x="-31" y="-17"/>
                <wp:lineTo x="-31" y="21598"/>
                <wp:lineTo x="21589" y="21598"/>
                <wp:lineTo x="21589" y="-17"/>
                <wp:lineTo x="-31" y="-17"/>
              </wp:wrapPolygon>
            </wp:wrapTight>
            <wp:docPr id="5" name="图表 6"/>
            <wp:cNvGraphicFramePr>
              <a:graphicFrameLocks noChangeAspect="0"/>
            </wp:cNvGraphicFramePr>
            <a:graphic>
              <a:graphicData uri="http://schemas.openxmlformats.org/drawingml/2006/chart">
                <c:chart xmlns:c="http://schemas.openxmlformats.org/drawingml/2006/chart" r:id="rId10"/>
              </a:graphicData>
            </a:graphic>
          </wp:anchor>
        </w:drawing>
      </w:r>
      <w:r>
        <w:rPr>
          <w:rFonts w:ascii="仿宋" w:eastAsia="仿宋" w:hAnsi="仿宋" w:hint="eastAsia"/>
          <w:sz w:val="28"/>
          <w:szCs w:val="28"/>
        </w:rPr>
        <w:t>（图5：一般公共预算财政拨款支出决算变动情况）（柱状图）</w:t>
      </w:r>
    </w:p>
    <w:p>
      <w:pPr>
        <w:spacing w:line="600" w:lineRule="exact"/>
        <w:ind w:firstLineChars="200" w:firstLine="640"/>
        <w:outlineLvl w:val="2"/>
        <w:rPr>
          <w:rFonts w:ascii="仿宋" w:eastAsia="仿宋" w:hAnsi="仿宋"/>
          <w:b/>
          <w:sz w:val="32"/>
          <w:szCs w:val="32"/>
        </w:rPr>
      </w:pPr>
      <w:bookmarkStart w:id="24" w:name="_Toc15377211"/>
      <w:r>
        <w:rPr>
          <w:rFonts w:ascii="仿宋" w:eastAsia="仿宋" w:hAnsi="仿宋" w:hint="eastAsia"/>
          <w:b/>
          <w:sz w:val="32"/>
          <w:szCs w:val="32"/>
        </w:rPr>
        <w:t>（二）一般公共预算财政拨款支出决算结构情况</w:t>
      </w:r>
      <w:bookmarkEnd w:id="24"/>
    </w:p>
    <w:p>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22年一般公共预算财政拨款支出2338.16万元，主要用于以下方面</w:t>
      </w:r>
      <w:r>
        <w:rPr>
          <w:rFonts w:ascii="仿宋" w:eastAsia="仿宋" w:hAnsi="仿宋"/>
          <w:sz w:val="32"/>
          <w:szCs w:val="32"/>
        </w:rPr>
        <w:t>:</w:t>
      </w:r>
      <w:r>
        <w:rPr>
          <w:rFonts w:ascii="仿宋" w:eastAsia="仿宋" w:hAnsi="仿宋" w:hint="eastAsia"/>
          <w:b/>
          <w:sz w:val="32"/>
          <w:szCs w:val="32"/>
        </w:rPr>
        <w:t>教育支出2144.36</w:t>
      </w:r>
      <w:r>
        <w:rPr>
          <w:rFonts w:ascii="仿宋" w:eastAsia="仿宋" w:hAnsi="仿宋" w:hint="eastAsia"/>
          <w:sz w:val="32"/>
          <w:szCs w:val="32"/>
        </w:rPr>
        <w:t>万元，占91.71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支出18.78</w:t>
      </w:r>
      <w:r>
        <w:rPr>
          <w:rFonts w:ascii="仿宋" w:eastAsia="仿宋" w:hAnsi="仿宋" w:hint="eastAsia"/>
          <w:sz w:val="32"/>
          <w:szCs w:val="32"/>
        </w:rPr>
        <w:t>万元，占0.80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卫生健康支出68.28</w:t>
      </w:r>
      <w:r>
        <w:rPr>
          <w:rFonts w:ascii="仿宋" w:eastAsia="仿宋" w:hAnsi="仿宋" w:hint="eastAsia"/>
          <w:sz w:val="32"/>
          <w:szCs w:val="32"/>
        </w:rPr>
        <w:t>万元，占2.92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住房保障支出106.75</w:t>
      </w:r>
      <w:r>
        <w:rPr>
          <w:rFonts w:ascii="仿宋" w:eastAsia="仿宋" w:hAnsi="仿宋" w:hint="eastAsia"/>
          <w:sz w:val="32"/>
          <w:szCs w:val="32"/>
        </w:rPr>
        <w:t>万元，占4.56</w:t>
      </w:r>
      <w:r>
        <w:rPr>
          <w:rFonts w:ascii="仿宋" w:eastAsia="仿宋" w:hAnsi="仿宋"/>
          <w:sz w:val="32"/>
          <w:szCs w:val="32"/>
        </w:rPr>
        <w:t>%</w:t>
      </w:r>
      <w:r>
        <w:rPr>
          <w:rFonts w:ascii="仿宋" w:eastAsia="仿宋" w:hAnsi="仿宋" w:hint="eastAsia"/>
          <w:sz w:val="32"/>
          <w:szCs w:val="32"/>
        </w:rPr>
        <w:t>。</w:t>
      </w:r>
    </w:p>
    <w:p>
      <w:pPr>
        <w:pStyle w:val="15"/>
        <w:spacing w:beforeLines="0" w:before="93"/>
        <w:rPr>
          <w:rFonts w:ascii="仿宋" w:eastAsia="仿宋" w:hAnsi="仿宋"/>
          <w:b/>
          <w:sz w:val="32"/>
          <w:szCs w:val="32"/>
        </w:rPr>
      </w:pPr>
      <w:r>
        <w:rPr>
          <w:sz w:val="32"/>
          <w:szCs w:val="32"/>
        </w:rPr>
        <w:drawing>
          <wp:anchor distT="0" distB="0" distL="114300" distR="114300" simplePos="0" relativeHeight="28" behindDoc="0" locked="0" layoutInCell="1" hidden="0" allowOverlap="1">
            <wp:simplePos x="0" y="0"/>
            <wp:positionH relativeFrom="column">
              <wp:posOffset>426720</wp:posOffset>
            </wp:positionH>
            <wp:positionV relativeFrom="paragraph">
              <wp:posOffset>267335</wp:posOffset>
            </wp:positionV>
            <wp:extent cx="5298440" cy="2101215"/>
            <wp:effectExtent l="0" t="0" r="46" b="32"/>
            <wp:wrapSquare wrapText="bothSides"/>
            <wp:docPr id="6" name="图表 7"/>
            <wp:cNvGraphicFramePr>
              <a:graphicFrameLocks noChangeAspect="0"/>
            </wp:cNvGraphicFramePr>
            <a:graphic>
              <a:graphicData uri="http://schemas.openxmlformats.org/drawingml/2006/chart">
                <c:chart xmlns:c="http://schemas.openxmlformats.org/drawingml/2006/chart" r:id="rId11"/>
              </a:graphicData>
            </a:graphic>
          </wp:anchor>
        </w:drawing>
      </w:r>
    </w:p>
    <w:p>
      <w:pPr>
        <w:pStyle w:val="15"/>
        <w:spacing w:beforeLines="0" w:before="93"/>
        <w:rPr>
          <w:rFonts w:ascii="仿宋" w:eastAsia="仿宋" w:hAnsi="仿宋"/>
          <w:b/>
          <w:sz w:val="32"/>
          <w:szCs w:val="32"/>
        </w:rPr>
      </w:pPr>
    </w:p>
    <w:p>
      <w:pPr>
        <w:pStyle w:val="15"/>
        <w:spacing w:beforeLines="0" w:before="93"/>
        <w:rPr>
          <w:rFonts w:ascii="仿宋" w:eastAsia="仿宋" w:hAnsi="仿宋"/>
          <w:b/>
          <w:sz w:val="32"/>
          <w:szCs w:val="32"/>
        </w:rPr>
      </w:pPr>
    </w:p>
    <w:p>
      <w:pPr>
        <w:pStyle w:val="15"/>
        <w:spacing w:beforeLines="0" w:before="93"/>
        <w:rPr>
          <w:rFonts w:ascii="仿宋" w:eastAsia="仿宋" w:hAnsi="仿宋"/>
          <w:b/>
          <w:sz w:val="32"/>
          <w:szCs w:val="32"/>
        </w:rPr>
      </w:pPr>
    </w:p>
    <w:p>
      <w:pPr>
        <w:pStyle w:val="15"/>
        <w:spacing w:beforeLines="0" w:before="93"/>
        <w:rPr>
          <w:rFonts w:ascii="仿宋" w:eastAsia="仿宋" w:hAnsi="仿宋"/>
          <w:b/>
          <w:sz w:val="32"/>
          <w:szCs w:val="32"/>
        </w:rPr>
      </w:pPr>
    </w:p>
    <w:p>
      <w:pPr>
        <w:spacing w:line="600" w:lineRule="exact"/>
        <w:ind w:firstLine="640"/>
        <w:rPr>
          <w:rFonts w:ascii="仿宋" w:eastAsia="仿宋" w:hAnsi="仿宋"/>
          <w:sz w:val="32"/>
          <w:szCs w:val="32"/>
        </w:rPr>
      </w:pPr>
    </w:p>
    <w:p>
      <w:pPr>
        <w:spacing w:line="600" w:lineRule="exact"/>
        <w:ind w:firstLineChars="200" w:firstLine="560"/>
        <w:rPr>
          <w:rFonts w:ascii="仿宋" w:eastAsia="仿宋" w:hAnsi="仿宋"/>
          <w:sz w:val="28"/>
          <w:szCs w:val="28"/>
        </w:rPr>
      </w:pPr>
      <w:r>
        <w:rPr>
          <w:rFonts w:ascii="仿宋" w:eastAsia="仿宋" w:hAnsi="仿宋" w:hint="eastAsia"/>
          <w:sz w:val="28"/>
          <w:szCs w:val="28"/>
        </w:rPr>
        <w:t>（图6：一般公共预算财政拨款支出决算结构）（饼状图）</w:t>
      </w:r>
    </w:p>
    <w:p>
      <w:pPr>
        <w:spacing w:line="600" w:lineRule="exact"/>
        <w:ind w:firstLineChars="200" w:firstLine="640"/>
        <w:outlineLvl w:val="2"/>
        <w:rPr>
          <w:rFonts w:ascii="仿宋" w:eastAsia="仿宋" w:hAnsi="仿宋"/>
          <w:b/>
          <w:sz w:val="32"/>
          <w:szCs w:val="32"/>
        </w:rPr>
      </w:pPr>
      <w:bookmarkStart w:id="25" w:name="_Toc15377212"/>
      <w:r>
        <w:rPr>
          <w:rFonts w:ascii="仿宋" w:eastAsia="仿宋" w:hAnsi="仿宋" w:hint="eastAsia"/>
          <w:b/>
          <w:sz w:val="32"/>
          <w:szCs w:val="32"/>
        </w:rPr>
        <w:t>（三）一般公共预算财政拨款支出决算具体情况</w:t>
      </w:r>
      <w:bookmarkEnd w:id="25"/>
    </w:p>
    <w:p>
      <w:pPr>
        <w:spacing w:line="600" w:lineRule="exact"/>
        <w:ind w:firstLineChars="200" w:firstLine="640"/>
        <w:outlineLvl w:val="2"/>
        <w:rPr>
          <w:rFonts w:ascii="仿宋" w:eastAsia="仿宋" w:hAnsi="仿宋"/>
          <w:sz w:val="32"/>
          <w:szCs w:val="32"/>
        </w:rPr>
      </w:pPr>
      <w:bookmarkStart w:id="26" w:name="_Toc15377213"/>
      <w:bookmarkStart w:id="27" w:name="_Toc15378460"/>
      <w:bookmarkStart w:id="28" w:name="_Toc15377444"/>
      <w:r>
        <w:rPr>
          <w:rFonts w:ascii="仿宋" w:eastAsia="仿宋" w:hAnsi="仿宋" w:hint="eastAsia"/>
          <w:b/>
          <w:sz w:val="32"/>
          <w:szCs w:val="32"/>
        </w:rPr>
        <w:t>2022年一般公共预算支出决算数为2338.16</w:t>
      </w:r>
      <w:r>
        <w:rPr>
          <w:rFonts w:ascii="仿宋" w:eastAsia="仿宋" w:hAnsi="仿宋" w:hint="eastAsia"/>
          <w:sz w:val="32"/>
          <w:szCs w:val="32"/>
        </w:rPr>
        <w:t>，</w:t>
      </w:r>
      <w:r>
        <w:rPr>
          <w:rStyle w:val="22"/>
          <w:rFonts w:ascii="仿宋" w:eastAsia="仿宋" w:hAnsi="仿宋" w:hint="eastAsia"/>
          <w:bCs/>
          <w:sz w:val="32"/>
          <w:szCs w:val="32"/>
        </w:rPr>
        <w:t>完成预算99.10</w:t>
      </w:r>
      <w:r>
        <w:rPr>
          <w:rStyle w:val="22"/>
          <w:rFonts w:ascii="仿宋" w:eastAsia="仿宋" w:hAnsi="仿宋"/>
          <w:bCs/>
          <w:sz w:val="32"/>
          <w:szCs w:val="32"/>
        </w:rPr>
        <w:t>%</w:t>
      </w:r>
      <w:r>
        <w:rPr>
          <w:rStyle w:val="22"/>
          <w:rFonts w:ascii="仿宋" w:eastAsia="仿宋" w:hAnsi="仿宋" w:hint="eastAsia"/>
          <w:bCs/>
          <w:sz w:val="32"/>
          <w:szCs w:val="32"/>
        </w:rPr>
        <w:t>。其中：</w:t>
      </w:r>
      <w:bookmarkEnd w:id="26"/>
      <w:bookmarkEnd w:id="27"/>
      <w:bookmarkEnd w:id="28"/>
    </w:p>
    <w:p>
      <w:pPr>
        <w:spacing w:line="600" w:lineRule="exact"/>
        <w:ind w:firstLineChars="200" w:firstLine="640"/>
        <w:rPr>
          <w:rFonts w:ascii="仿宋" w:eastAsia="仿宋" w:hAnsi="仿宋"/>
          <w:b/>
          <w:color w:val="FF0000"/>
          <w:sz w:val="32"/>
          <w:szCs w:val="32"/>
        </w:rPr>
      </w:pPr>
      <w:r>
        <w:rPr>
          <w:rStyle w:val="22"/>
          <w:rFonts w:ascii="仿宋" w:eastAsia="仿宋" w:hAnsi="仿宋" w:hint="eastAsia"/>
          <w:bCs/>
          <w:sz w:val="32"/>
          <w:szCs w:val="32"/>
        </w:rPr>
        <w:t>1</w:t>
      </w:r>
      <w:r>
        <w:rPr>
          <w:rStyle w:val="22"/>
          <w:rFonts w:ascii="仿宋" w:eastAsia="仿宋" w:hAnsi="仿宋"/>
          <w:bCs/>
          <w:sz w:val="32"/>
          <w:szCs w:val="32"/>
        </w:rPr>
        <w:t>.</w:t>
      </w:r>
      <w:r>
        <w:rPr>
          <w:rStyle w:val="22"/>
          <w:rFonts w:ascii="仿宋" w:eastAsia="仿宋" w:hAnsi="仿宋" w:hint="eastAsia"/>
          <w:bCs/>
          <w:sz w:val="32"/>
          <w:szCs w:val="32"/>
        </w:rPr>
        <w:t>教育（类）普通教育（款）小学教育（项）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支出决算为2144.36万元，完成预算</w:t>
      </w:r>
      <w:r>
        <w:rPr>
          <w:rStyle w:val="22"/>
          <w:rFonts w:ascii="仿宋" w:eastAsia="仿宋" w:hAnsi="仿宋" w:hint="eastAsia"/>
          <w:b w:val="0"/>
          <w:bCs/>
          <w:sz w:val="32"/>
          <w:szCs w:val="32"/>
          <w:lang w:val="en-US" w:eastAsia="zh-CN"/>
        </w:rPr>
        <w:t>100</w:t>
      </w:r>
      <w:r>
        <w:rPr>
          <w:rStyle w:val="22"/>
          <w:rFonts w:ascii="仿宋" w:eastAsia="仿宋" w:hAnsi="仿宋"/>
          <w:b w:val="0"/>
          <w:bCs/>
          <w:sz w:val="32"/>
          <w:szCs w:val="32"/>
        </w:rPr>
        <w:t>%</w:t>
      </w:r>
      <w:r>
        <w:rPr>
          <w:rStyle w:val="22"/>
          <w:rFonts w:ascii="仿宋" w:eastAsia="仿宋" w:hAnsi="仿宋" w:hint="eastAsia"/>
          <w:b w:val="0"/>
          <w:bCs/>
          <w:sz w:val="32"/>
          <w:szCs w:val="32"/>
        </w:rPr>
        <w:t>，决算数等于预算数</w:t>
      </w:r>
      <w:r>
        <w:rPr>
          <w:rStyle w:val="22"/>
          <w:rFonts w:ascii="仿宋" w:eastAsia="仿宋" w:hAnsi="仿宋" w:hint="eastAsia"/>
          <w:b w:val="0"/>
          <w:bCs/>
          <w:color w:val="auto"/>
          <w:sz w:val="32"/>
          <w:szCs w:val="32"/>
        </w:rPr>
        <w:t>。</w:t>
      </w:r>
    </w:p>
    <w:p>
      <w:pPr>
        <w:spacing w:line="600" w:lineRule="exact"/>
        <w:ind w:firstLineChars="200" w:firstLine="640"/>
        <w:rPr>
          <w:rFonts w:ascii="仿宋" w:eastAsia="仿宋" w:hAnsi="仿宋"/>
          <w:b/>
          <w:sz w:val="32"/>
          <w:szCs w:val="32"/>
        </w:rPr>
      </w:pPr>
      <w:r>
        <w:rPr>
          <w:rStyle w:val="22"/>
          <w:rFonts w:ascii="仿宋" w:eastAsia="仿宋" w:hAnsi="仿宋" w:hint="eastAsia"/>
          <w:bCs/>
          <w:sz w:val="32"/>
          <w:szCs w:val="32"/>
        </w:rPr>
        <w:t>2</w:t>
      </w:r>
      <w:r>
        <w:rPr>
          <w:rStyle w:val="22"/>
          <w:rFonts w:ascii="仿宋" w:eastAsia="仿宋" w:hAnsi="仿宋"/>
          <w:bCs/>
          <w:sz w:val="32"/>
          <w:szCs w:val="32"/>
        </w:rPr>
        <w:t>.</w:t>
      </w:r>
      <w:r>
        <w:rPr>
          <w:rStyle w:val="22"/>
          <w:rFonts w:ascii="仿宋" w:eastAsia="仿宋" w:hAnsi="仿宋" w:hint="eastAsia"/>
          <w:bCs/>
          <w:sz w:val="32"/>
          <w:szCs w:val="32"/>
        </w:rPr>
        <w:t>社会保障和就业（类）行政事业单位社会保障支出（款）社会保险费支出（项）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支出决算为18.78万元，完成预算100</w:t>
      </w:r>
      <w:r>
        <w:rPr>
          <w:rStyle w:val="22"/>
          <w:rFonts w:ascii="仿宋" w:eastAsia="仿宋" w:hAnsi="仿宋"/>
          <w:b w:val="0"/>
          <w:bCs/>
          <w:sz w:val="32"/>
          <w:szCs w:val="32"/>
        </w:rPr>
        <w:t>%</w:t>
      </w:r>
      <w:r>
        <w:rPr>
          <w:rStyle w:val="22"/>
          <w:rFonts w:ascii="仿宋" w:eastAsia="仿宋" w:hAnsi="仿宋" w:hint="eastAsia"/>
          <w:b w:val="0"/>
          <w:bCs/>
          <w:sz w:val="32"/>
          <w:szCs w:val="32"/>
        </w:rPr>
        <w:t>，决算数等于预算数。</w:t>
      </w:r>
    </w:p>
    <w:p>
      <w:pPr>
        <w:spacing w:line="600" w:lineRule="exact"/>
        <w:ind w:firstLineChars="200" w:firstLine="640"/>
        <w:rPr>
          <w:rStyle w:val="22"/>
          <w:rFonts w:ascii="仿宋" w:eastAsia="仿宋" w:hAnsi="仿宋"/>
          <w:b w:val="0"/>
          <w:bCs/>
          <w:sz w:val="32"/>
          <w:szCs w:val="32"/>
        </w:rPr>
      </w:pPr>
      <w:r>
        <w:rPr>
          <w:rStyle w:val="22"/>
          <w:rFonts w:ascii="仿宋" w:eastAsia="仿宋" w:hAnsi="仿宋" w:hint="eastAsia"/>
          <w:bCs/>
          <w:sz w:val="32"/>
          <w:szCs w:val="32"/>
        </w:rPr>
        <w:t>3</w:t>
      </w:r>
      <w:r>
        <w:rPr>
          <w:rStyle w:val="22"/>
          <w:rFonts w:ascii="仿宋" w:eastAsia="仿宋" w:hAnsi="仿宋"/>
          <w:bCs/>
          <w:sz w:val="32"/>
          <w:szCs w:val="32"/>
        </w:rPr>
        <w:t>.</w:t>
      </w:r>
      <w:r>
        <w:rPr>
          <w:rFonts w:ascii="仿宋" w:eastAsia="仿宋" w:hAnsi="仿宋" w:hint="eastAsia"/>
          <w:b/>
          <w:bCs/>
          <w:sz w:val="32"/>
          <w:szCs w:val="32"/>
        </w:rPr>
        <w:t>卫生健康</w:t>
      </w:r>
      <w:r>
        <w:rPr>
          <w:rStyle w:val="22"/>
          <w:rFonts w:ascii="仿宋" w:eastAsia="仿宋" w:hAnsi="仿宋" w:hint="eastAsia"/>
          <w:bCs/>
          <w:sz w:val="32"/>
          <w:szCs w:val="32"/>
        </w:rPr>
        <w:t>（类）事业单位医疗（款）事业单位医疗（项）</w:t>
      </w:r>
      <w:r>
        <w:rPr>
          <w:rStyle w:val="22"/>
          <w:rFonts w:ascii="仿宋" w:eastAsia="仿宋" w:hAnsi="仿宋"/>
          <w:bCs/>
          <w:sz w:val="32"/>
          <w:szCs w:val="32"/>
        </w:rPr>
        <w:t>:</w:t>
      </w:r>
      <w:r>
        <w:rPr>
          <w:rStyle w:val="22"/>
          <w:rFonts w:ascii="仿宋" w:eastAsia="仿宋" w:hAnsi="仿宋" w:hint="eastAsia"/>
          <w:b w:val="0"/>
          <w:bCs/>
          <w:sz w:val="32"/>
          <w:szCs w:val="32"/>
        </w:rPr>
        <w:t>支出决算为68.28万元，完成预算100</w:t>
      </w:r>
      <w:r>
        <w:rPr>
          <w:rStyle w:val="22"/>
          <w:rFonts w:ascii="仿宋" w:eastAsia="仿宋" w:hAnsi="仿宋"/>
          <w:b w:val="0"/>
          <w:bCs/>
          <w:sz w:val="32"/>
          <w:szCs w:val="32"/>
        </w:rPr>
        <w:t>%</w:t>
      </w:r>
      <w:r>
        <w:rPr>
          <w:rStyle w:val="22"/>
          <w:rFonts w:ascii="仿宋" w:eastAsia="仿宋" w:hAnsi="仿宋" w:hint="eastAsia"/>
          <w:b w:val="0"/>
          <w:bCs/>
          <w:sz w:val="32"/>
          <w:szCs w:val="32"/>
        </w:rPr>
        <w:t>，决算数等于预算数。</w:t>
      </w:r>
    </w:p>
    <w:p>
      <w:pPr>
        <w:adjustRightInd w:val="0"/>
        <w:snapToGrid w:val="0"/>
        <w:spacing w:line="560" w:lineRule="exact"/>
        <w:ind w:firstLineChars="200" w:firstLine="640"/>
        <w:rPr>
          <w:rFonts w:ascii="黑体" w:eastAsia="黑体"/>
          <w:sz w:val="32"/>
          <w:szCs w:val="32"/>
        </w:rPr>
      </w:pPr>
      <w:r>
        <w:rPr>
          <w:rFonts w:ascii="仿宋" w:eastAsia="仿宋" w:cs="仿宋" w:hAnsi="仿宋" w:hint="eastAsia"/>
          <w:b/>
          <w:bCs/>
          <w:sz w:val="32"/>
          <w:szCs w:val="32"/>
        </w:rPr>
        <w:t>4.住房保障（类）住房改革支出（款）住房公积金（项）:</w:t>
      </w:r>
      <w:r>
        <w:rPr>
          <w:rFonts w:ascii="仿宋" w:eastAsia="仿宋" w:cs="仿宋" w:hAnsi="仿宋" w:hint="eastAsia"/>
          <w:sz w:val="32"/>
          <w:szCs w:val="32"/>
        </w:rPr>
        <w:t>支出决算数为106.75万元，</w:t>
      </w:r>
      <w:r>
        <w:rPr>
          <w:rStyle w:val="22"/>
          <w:rFonts w:ascii="仿宋" w:eastAsia="仿宋" w:hAnsi="仿宋" w:hint="eastAsia"/>
          <w:b w:val="0"/>
          <w:bCs/>
          <w:sz w:val="32"/>
          <w:szCs w:val="32"/>
        </w:rPr>
        <w:t>完成预算100</w:t>
      </w:r>
      <w:r>
        <w:rPr>
          <w:rStyle w:val="22"/>
          <w:rFonts w:ascii="仿宋" w:eastAsia="仿宋" w:hAnsi="仿宋"/>
          <w:b w:val="0"/>
          <w:bCs/>
          <w:sz w:val="32"/>
          <w:szCs w:val="32"/>
        </w:rPr>
        <w:t>%</w:t>
      </w:r>
      <w:r>
        <w:rPr>
          <w:rStyle w:val="22"/>
          <w:rFonts w:ascii="仿宋" w:eastAsia="仿宋" w:hAnsi="仿宋" w:hint="eastAsia"/>
          <w:b w:val="0"/>
          <w:bCs/>
          <w:sz w:val="32"/>
          <w:szCs w:val="32"/>
        </w:rPr>
        <w:t>，决算数等于预算数。</w:t>
      </w:r>
      <w:bookmarkStart w:id="29" w:name="_Toc15377214"/>
      <w:bookmarkStart w:id="30" w:name="_Toc15396608"/>
    </w:p>
    <w:p>
      <w:pPr>
        <w:tabs>
          <w:tab w:val="right" w:pos="8306"/>
        </w:tabs>
        <w:spacing w:line="600" w:lineRule="exact"/>
        <w:ind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29"/>
      <w:bookmarkEnd w:id="30"/>
      <w:r>
        <w:rPr>
          <w:rStyle w:val="2Char"/>
          <w:rFonts w:ascii="黑体" w:eastAsia="黑体" w:hAnsi="黑体"/>
          <w:b w:val="0"/>
        </w:rPr>
        <w:tab/>
      </w:r>
    </w:p>
    <w:p>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22年一般公共预算财政拨款基本支出1845.27万元，其中：</w:t>
      </w:r>
    </w:p>
    <w:p>
      <w:pPr>
        <w:spacing w:line="600" w:lineRule="exact"/>
        <w:ind w:firstLine="645"/>
        <w:rPr>
          <w:rFonts w:ascii="仿宋" w:eastAsia="仿宋" w:hAnsi="仿宋" w:hint="eastAsia"/>
          <w:sz w:val="32"/>
          <w:szCs w:val="32"/>
          <w:lang w:eastAsia="zh-CN"/>
        </w:rPr>
      </w:pPr>
      <w:r>
        <w:rPr>
          <w:rFonts w:ascii="仿宋" w:eastAsia="仿宋" w:hAnsi="仿宋" w:hint="eastAsia"/>
          <w:sz w:val="32"/>
          <w:szCs w:val="32"/>
        </w:rPr>
        <w:t>人员经费1604.82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黑体" w:eastAsia="黑体"/>
          <w:sz w:val="32"/>
          <w:szCs w:val="32"/>
        </w:rPr>
      </w:pPr>
      <w:r>
        <w:rPr>
          <w:rFonts w:ascii="仿宋" w:eastAsia="仿宋" w:hAnsi="仿宋" w:hint="eastAsia"/>
          <w:sz w:val="32"/>
          <w:szCs w:val="32"/>
        </w:rPr>
        <w:t>公用经费240.45万元，主要包括：</w:t>
      </w:r>
      <w:bookmarkStart w:id="31" w:name="_Toc15396609"/>
      <w:bookmarkStart w:id="32" w:name="_Toc15377215"/>
      <w:r>
        <w:rPr>
          <w:rFonts w:ascii="仿宋" w:eastAsia="仿宋" w:hAnsi="仿宋" w:hint="eastAsia"/>
          <w:color w:val="auto"/>
          <w:sz w:val="32"/>
          <w:szCs w:val="32"/>
          <w:highlight w:val="auto"/>
        </w:rPr>
        <w:t>办公费、印刷费、咨询费、手续费、水费、电费、邮电费、取暖费、差旅费、维修（护）费、租赁费、会议费、培训费、劳务费、工会经费、福利费、其他交通费、其他商品和服务支出、办公设备购置、专用设备购置、信息网络及软件购置更新、其他资本性支出等。</w:t>
      </w:r>
    </w:p>
    <w:p>
      <w:pPr>
        <w:spacing w:line="600" w:lineRule="exact"/>
        <w:ind w:firstLine="640"/>
        <w:outlineLvl w:val="1"/>
        <w:rPr>
          <w:rStyle w:val="2Char"/>
          <w:rFonts w:ascii="黑体" w:eastAsia="黑体" w:hAnsi="黑体"/>
          <w:b w:val="0"/>
        </w:rPr>
      </w:pPr>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1"/>
      <w:bookmarkEnd w:id="32"/>
    </w:p>
    <w:p>
      <w:pPr>
        <w:spacing w:line="600" w:lineRule="exact"/>
        <w:ind w:firstLine="640"/>
        <w:outlineLvl w:val="2"/>
        <w:rPr>
          <w:rFonts w:ascii="仿宋" w:eastAsia="仿宋" w:hAnsi="仿宋"/>
          <w:b/>
          <w:sz w:val="32"/>
          <w:szCs w:val="32"/>
        </w:rPr>
      </w:pPr>
      <w:bookmarkStart w:id="33" w:name="_Toc15377216"/>
      <w:r>
        <w:rPr>
          <w:rFonts w:ascii="仿宋" w:eastAsia="仿宋" w:hAnsi="仿宋" w:hint="eastAsia"/>
          <w:b/>
          <w:sz w:val="32"/>
          <w:szCs w:val="32"/>
        </w:rPr>
        <w:t>（一）“三公”经费财政拨款支出决算总体情况说明</w:t>
      </w:r>
      <w:bookmarkEnd w:id="33"/>
    </w:p>
    <w:p>
      <w:pPr>
        <w:snapToGrid w:val="0"/>
        <w:spacing w:line="550" w:lineRule="exact"/>
        <w:ind w:firstLineChars="200" w:firstLine="640"/>
        <w:outlineLvl w:val="2"/>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22年“三公”经费财政拨款支出决算为0.00万元，完成预算100</w:t>
      </w:r>
      <w:r>
        <w:rPr>
          <w:rFonts w:ascii="仿宋" w:eastAsia="仿宋" w:hAnsi="仿宋"/>
          <w:sz w:val="32"/>
          <w:szCs w:val="32"/>
        </w:rPr>
        <w:t>%</w:t>
      </w:r>
      <w:r>
        <w:rPr>
          <w:rFonts w:ascii="仿宋" w:eastAsia="仿宋" w:hAnsi="仿宋" w:hint="eastAsia"/>
          <w:sz w:val="32"/>
          <w:szCs w:val="32"/>
        </w:rPr>
        <w:t>，与2021年持平。决算数与预算数持平，主要原因是</w:t>
      </w:r>
      <w:r>
        <w:rPr>
          <w:rStyle w:val="22"/>
          <w:rFonts w:ascii="仿宋" w:eastAsia="仿宋" w:hAnsi="仿宋" w:hint="eastAsia"/>
          <w:b w:val="0"/>
          <w:bCs/>
          <w:color w:val="000000"/>
          <w:sz w:val="32"/>
          <w:szCs w:val="32"/>
          <w14:textFill>
            <w14:solidFill>
              <w14:srgbClr w14:val="000000"/>
            </w14:solidFill>
          </w14:textFill>
        </w:rPr>
        <w:t>未预算此项资金，2022</w:t>
      </w:r>
      <w:r>
        <w:rPr>
          <w:rFonts w:ascii="仿宋" w:eastAsia="仿宋" w:hAnsi="仿宋" w:hint="eastAsia"/>
          <w:color w:val="000000"/>
          <w:sz w:val="32"/>
          <w:szCs w:val="32"/>
          <w14:textFill>
            <w14:solidFill>
              <w14:srgbClr w14:val="000000"/>
            </w14:solidFill>
          </w14:textFill>
        </w:rPr>
        <w:t>年度也未发生公务接待活动。</w:t>
      </w:r>
    </w:p>
    <w:p>
      <w:pPr>
        <w:spacing w:line="600" w:lineRule="exact"/>
        <w:ind w:firstLine="640"/>
        <w:outlineLvl w:val="2"/>
        <w:rPr>
          <w:rFonts w:ascii="仿宋" w:eastAsia="仿宋" w:hAnsi="仿宋"/>
          <w:b/>
          <w:sz w:val="32"/>
          <w:szCs w:val="32"/>
        </w:rPr>
      </w:pPr>
      <w:bookmarkStart w:id="34" w:name="_Toc15377217"/>
      <w:r>
        <w:rPr>
          <w:rFonts w:ascii="仿宋" w:eastAsia="仿宋" w:hAnsi="仿宋" w:hint="eastAsia"/>
          <w:b/>
          <w:sz w:val="32"/>
          <w:szCs w:val="32"/>
        </w:rPr>
        <w:t>（二）“三公”经费财政拨款支出决算具体情况说明</w:t>
      </w:r>
      <w:bookmarkEnd w:id="34"/>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22年“三公”经费财政拨款支出决算中，因公出国（境）费支出决算0.00万元，占0.00</w:t>
      </w:r>
      <w:r>
        <w:rPr>
          <w:rFonts w:ascii="仿宋" w:eastAsia="仿宋" w:hAnsi="仿宋"/>
          <w:sz w:val="32"/>
          <w:szCs w:val="32"/>
        </w:rPr>
        <w:t>%</w:t>
      </w:r>
      <w:r>
        <w:rPr>
          <w:rFonts w:ascii="仿宋" w:eastAsia="仿宋" w:hAnsi="仿宋" w:hint="eastAsia"/>
          <w:sz w:val="32"/>
          <w:szCs w:val="32"/>
        </w:rPr>
        <w:t>；公务用车购置及运行维护费支出决算0.00万元，占0.00</w:t>
      </w:r>
      <w:r>
        <w:rPr>
          <w:rFonts w:ascii="仿宋" w:eastAsia="仿宋" w:hAnsi="仿宋"/>
          <w:sz w:val="32"/>
          <w:szCs w:val="32"/>
        </w:rPr>
        <w:t>%</w:t>
      </w:r>
      <w:r>
        <w:rPr>
          <w:rFonts w:ascii="仿宋" w:eastAsia="仿宋" w:hAnsi="仿宋" w:hint="eastAsia"/>
          <w:sz w:val="32"/>
          <w:szCs w:val="32"/>
        </w:rPr>
        <w:t>；公务接待费支出决算0.00万元，占0.00</w:t>
      </w:r>
      <w:r>
        <w:rPr>
          <w:rFonts w:ascii="仿宋" w:eastAsia="仿宋" w:hAnsi="仿宋"/>
          <w:sz w:val="32"/>
          <w:szCs w:val="32"/>
        </w:rPr>
        <w:t>%</w:t>
      </w:r>
      <w:r>
        <w:rPr>
          <w:rFonts w:ascii="仿宋" w:eastAsia="仿宋" w:hAnsi="仿宋" w:hint="eastAsia"/>
          <w:sz w:val="32"/>
          <w:szCs w:val="32"/>
        </w:rPr>
        <w:t>。具体情况如下：</w:t>
      </w:r>
    </w:p>
    <w:p>
      <w:pPr>
        <w:pStyle w:val="15"/>
        <w:spacing w:beforeLines="0" w:before="93"/>
        <w:rPr>
          <w:rFonts w:ascii="仿宋" w:eastAsia="仿宋" w:hAnsi="仿宋"/>
          <w:sz w:val="32"/>
          <w:szCs w:val="32"/>
        </w:rPr>
      </w:pPr>
      <w:r>
        <w:rPr>
          <w:rFonts w:ascii="仿宋" w:eastAsia="仿宋" w:hAnsi="仿宋"/>
          <w:sz w:val="32"/>
          <w:szCs w:val="32"/>
        </w:rPr>
        <w:drawing>
          <wp:anchor distT="0" distB="0" distL="114300" distR="114300" simplePos="0" relativeHeight="30" behindDoc="0" locked="0" layoutInCell="1" hidden="0" allowOverlap="1">
            <wp:simplePos x="0" y="0"/>
            <wp:positionH relativeFrom="column">
              <wp:posOffset>250825</wp:posOffset>
            </wp:positionH>
            <wp:positionV relativeFrom="paragraph">
              <wp:posOffset>90805</wp:posOffset>
            </wp:positionV>
            <wp:extent cx="5073650" cy="2672715"/>
            <wp:effectExtent l="0" t="0" r="46" b="41"/>
            <wp:wrapSquare wrapText="bothSides"/>
            <wp:docPr id="7" name="图表 8"/>
            <wp:cNvGraphicFramePr>
              <a:graphicFrameLocks noChangeAspect="0"/>
            </wp:cNvGraphicFramePr>
            <a:graphic>
              <a:graphicData uri="http://schemas.openxmlformats.org/drawingml/2006/chart">
                <c:chart xmlns:c="http://schemas.openxmlformats.org/drawingml/2006/chart" r:id="rId12"/>
              </a:graphicData>
            </a:graphic>
          </wp:anchor>
        </w:drawing>
      </w:r>
      <w:r>
        <w:rPr>
          <w:rFonts w:ascii="仿宋" w:eastAsia="仿宋" w:hAnsi="仿宋" w:hint="eastAsia"/>
          <w:sz w:val="32"/>
          <w:szCs w:val="32"/>
        </w:rPr>
        <w:t xml:space="preserve">  （图7：“三公”经费财政拨款支出结构）</w:t>
      </w:r>
    </w:p>
    <w:p>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因公出国（境）经费支出0.00</w:t>
      </w:r>
      <w:r>
        <w:rPr>
          <w:rFonts w:ascii="仿宋_GB2312" w:eastAsia="仿宋_GB2312" w:hint="eastAsia"/>
          <w:sz w:val="32"/>
          <w:szCs w:val="32"/>
        </w:rPr>
        <w:t>万元，</w:t>
      </w:r>
      <w:r>
        <w:rPr>
          <w:rStyle w:val="22"/>
          <w:rFonts w:ascii="仿宋" w:eastAsia="仿宋" w:hAnsi="仿宋" w:hint="eastAsia"/>
          <w:b w:val="0"/>
          <w:bCs/>
          <w:sz w:val="32"/>
          <w:szCs w:val="32"/>
        </w:rPr>
        <w:t>完成预算100</w:t>
      </w:r>
      <w:r>
        <w:rPr>
          <w:rStyle w:val="22"/>
          <w:rFonts w:ascii="仿宋" w:eastAsia="仿宋" w:hAnsi="仿宋"/>
          <w:b w:val="0"/>
          <w:bCs/>
          <w:sz w:val="32"/>
          <w:szCs w:val="32"/>
        </w:rPr>
        <w:t>%</w:t>
      </w:r>
      <w:r>
        <w:rPr>
          <w:rStyle w:val="22"/>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全年安排因公出国（境）团组0次，出国（境）0人。因公出国（境）支出决算与</w:t>
      </w:r>
      <w:r>
        <w:rPr>
          <w:rFonts w:ascii="仿宋_GB2312" w:eastAsia="仿宋_GB2312"/>
          <w:sz w:val="32"/>
          <w:szCs w:val="32"/>
        </w:rPr>
        <w:t>20</w:t>
      </w:r>
      <w:r>
        <w:rPr>
          <w:rFonts w:ascii="仿宋_GB2312" w:eastAsia="仿宋_GB2312" w:hint="eastAsia"/>
          <w:sz w:val="32"/>
          <w:szCs w:val="32"/>
        </w:rPr>
        <w:t>21年持平。</w:t>
      </w:r>
    </w:p>
    <w:p>
      <w:pPr>
        <w:spacing w:line="600" w:lineRule="exact"/>
        <w:ind w:firstLine="640"/>
        <w:rPr>
          <w:rFonts w:ascii="仿宋_GB2312" w:eastAsia="仿宋_GB2312"/>
          <w:sz w:val="32"/>
          <w:szCs w:val="32"/>
        </w:rPr>
      </w:pPr>
      <w:r>
        <w:rPr>
          <w:rFonts w:ascii="仿宋_GB2312" w:eastAsia="仿宋_GB2312" w:hint="eastAsia"/>
          <w:sz w:val="32"/>
          <w:szCs w:val="32"/>
        </w:rPr>
        <w:t>开支内容：无此项费用。</w:t>
      </w:r>
    </w:p>
    <w:p>
      <w:pPr>
        <w:spacing w:line="560" w:lineRule="exact"/>
        <w:ind w:firstLine="640"/>
        <w:outlineLvl w:val="2"/>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公务用车购置及运行维护费支出0.00</w:t>
      </w:r>
      <w:r>
        <w:rPr>
          <w:rFonts w:ascii="仿宋_GB2312" w:eastAsia="仿宋_GB2312" w:hint="eastAsia"/>
          <w:sz w:val="32"/>
          <w:szCs w:val="32"/>
        </w:rPr>
        <w:t>万元,</w:t>
      </w:r>
      <w:r>
        <w:rPr>
          <w:rStyle w:val="22"/>
          <w:rFonts w:ascii="仿宋" w:eastAsia="仿宋" w:hAnsi="仿宋" w:hint="eastAsia"/>
          <w:b w:val="0"/>
          <w:bCs/>
          <w:sz w:val="32"/>
          <w:szCs w:val="32"/>
        </w:rPr>
        <w:t>完成预算100</w:t>
      </w:r>
      <w:r>
        <w:rPr>
          <w:rStyle w:val="22"/>
          <w:rFonts w:ascii="仿宋" w:eastAsia="仿宋" w:hAnsi="仿宋"/>
          <w:b w:val="0"/>
          <w:bCs/>
          <w:sz w:val="32"/>
          <w:szCs w:val="32"/>
        </w:rPr>
        <w:t>%</w:t>
      </w:r>
      <w:r>
        <w:rPr>
          <w:rStyle w:val="22"/>
          <w:rFonts w:ascii="仿宋" w:eastAsia="仿宋" w:hAnsi="仿宋" w:hint="eastAsia"/>
          <w:b w:val="0"/>
          <w:bCs/>
          <w:sz w:val="32"/>
          <w:szCs w:val="32"/>
        </w:rPr>
        <w:t>。</w:t>
      </w:r>
      <w:r>
        <w:rPr>
          <w:rFonts w:ascii="仿宋_GB2312" w:eastAsia="仿宋_GB2312" w:hint="eastAsia"/>
          <w:sz w:val="32"/>
          <w:szCs w:val="32"/>
        </w:rPr>
        <w:t>公务用车购置及运行维护费支出决算与</w:t>
      </w:r>
      <w:r>
        <w:rPr>
          <w:rFonts w:ascii="仿宋_GB2312" w:eastAsia="仿宋_GB2312"/>
          <w:sz w:val="32"/>
          <w:szCs w:val="32"/>
        </w:rPr>
        <w:t>20</w:t>
      </w:r>
      <w:r>
        <w:rPr>
          <w:rFonts w:ascii="仿宋_GB2312" w:eastAsia="仿宋_GB2312" w:hint="eastAsia"/>
          <w:sz w:val="32"/>
          <w:szCs w:val="32"/>
        </w:rPr>
        <w:t>21年持平。</w:t>
      </w:r>
    </w:p>
    <w:p>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公务用车购置支出0.00</w:t>
      </w:r>
      <w:r>
        <w:rPr>
          <w:rFonts w:ascii="仿宋_GB2312" w:eastAsia="仿宋_GB2312" w:hint="eastAsia"/>
          <w:sz w:val="32"/>
          <w:szCs w:val="32"/>
        </w:rPr>
        <w:t>万元。全年按规定更新购置公务用车0辆。截至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月底，单位共有公务用车0辆。</w:t>
      </w:r>
    </w:p>
    <w:p>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公务用车运行维护费支出0.00</w:t>
      </w:r>
      <w:r>
        <w:rPr>
          <w:rFonts w:ascii="仿宋_GB2312" w:eastAsia="仿宋_GB2312" w:hint="eastAsia"/>
          <w:sz w:val="32"/>
          <w:szCs w:val="32"/>
        </w:rPr>
        <w:t>万元。</w:t>
      </w:r>
    </w:p>
    <w:p>
      <w:pPr>
        <w:snapToGrid w:val="0"/>
        <w:spacing w:line="550" w:lineRule="exact"/>
        <w:ind w:firstLineChars="200" w:firstLine="640"/>
        <w:outlineLvl w:val="2"/>
        <w:rPr>
          <w:rFonts w:ascii="仿宋" w:eastAsia="仿宋" w:hAnsi="仿宋"/>
          <w:color w:val="000000"/>
          <w:sz w:val="32"/>
          <w:szCs w:val="32"/>
          <w14:textFill>
            <w14:solidFill>
              <w14:srgbClr w14:val="000000"/>
            </w14:solidFill>
          </w14:textFill>
        </w:rPr>
      </w:pPr>
      <w:r>
        <w:rPr>
          <w:rFonts w:ascii="仿宋_GB2312" w:eastAsia="仿宋_GB2312"/>
          <w:b/>
          <w:sz w:val="32"/>
          <w:szCs w:val="32"/>
        </w:rPr>
        <w:t>3.</w:t>
      </w:r>
      <w:r>
        <w:rPr>
          <w:rFonts w:ascii="仿宋_GB2312" w:eastAsia="仿宋_GB2312" w:hint="eastAsia"/>
          <w:b/>
          <w:sz w:val="32"/>
          <w:szCs w:val="32"/>
        </w:rPr>
        <w:t>公务接待费支出0.00</w:t>
      </w:r>
      <w:r>
        <w:rPr>
          <w:rFonts w:ascii="仿宋_GB2312" w:eastAsia="仿宋_GB2312" w:hint="eastAsia"/>
          <w:sz w:val="32"/>
          <w:szCs w:val="32"/>
        </w:rPr>
        <w:t>万元，</w:t>
      </w:r>
      <w:r>
        <w:rPr>
          <w:rStyle w:val="22"/>
          <w:rFonts w:ascii="仿宋" w:eastAsia="仿宋" w:hAnsi="仿宋" w:hint="eastAsia"/>
          <w:b w:val="0"/>
          <w:bCs/>
          <w:sz w:val="32"/>
          <w:szCs w:val="32"/>
        </w:rPr>
        <w:t>完成预算100</w:t>
      </w:r>
      <w:r>
        <w:rPr>
          <w:rStyle w:val="22"/>
          <w:rFonts w:ascii="仿宋" w:eastAsia="仿宋" w:hAnsi="仿宋"/>
          <w:b w:val="0"/>
          <w:bCs/>
          <w:sz w:val="32"/>
          <w:szCs w:val="32"/>
        </w:rPr>
        <w:t>%</w:t>
      </w:r>
      <w:r>
        <w:rPr>
          <w:rStyle w:val="22"/>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21年持平。</w:t>
      </w:r>
    </w:p>
    <w:p>
      <w:pPr>
        <w:spacing w:line="600" w:lineRule="exact"/>
        <w:ind w:firstLine="640"/>
        <w:rPr>
          <w:rFonts w:ascii="仿宋_GB2312" w:eastAsia="仿宋_GB2312"/>
          <w:sz w:val="32"/>
          <w:szCs w:val="32"/>
        </w:rPr>
      </w:pPr>
      <w:r>
        <w:rPr>
          <w:rFonts w:ascii="仿宋" w:eastAsia="仿宋" w:hAnsi="仿宋" w:hint="eastAsia"/>
          <w:b/>
          <w:sz w:val="32"/>
          <w:szCs w:val="32"/>
        </w:rPr>
        <w:t>国内公务接待支出0.00</w:t>
      </w:r>
      <w:r>
        <w:rPr>
          <w:rFonts w:ascii="仿宋_GB2312" w:eastAsia="仿宋_GB2312" w:hint="eastAsia"/>
          <w:sz w:val="32"/>
          <w:szCs w:val="32"/>
        </w:rPr>
        <w:t>万元。国内公务接待0批次，0人次（不包括陪同人员），共计支出0.00万元。</w:t>
      </w:r>
    </w:p>
    <w:p>
      <w:pPr>
        <w:spacing w:line="600" w:lineRule="exact"/>
        <w:ind w:firstLineChars="200" w:firstLine="640"/>
        <w:rPr>
          <w:rFonts w:ascii="黑体" w:eastAsia="黑体"/>
          <w:sz w:val="32"/>
          <w:szCs w:val="32"/>
        </w:rPr>
      </w:pPr>
      <w:r>
        <w:rPr>
          <w:rFonts w:ascii="仿宋" w:eastAsia="仿宋" w:hAnsi="仿宋" w:hint="eastAsia"/>
          <w:b/>
          <w:sz w:val="32"/>
          <w:szCs w:val="32"/>
        </w:rPr>
        <w:t>外事接待支出0.00</w:t>
      </w:r>
      <w:r>
        <w:rPr>
          <w:rFonts w:ascii="仿宋_GB2312" w:eastAsia="仿宋_GB2312" w:hint="eastAsia"/>
          <w:sz w:val="32"/>
          <w:szCs w:val="32"/>
        </w:rPr>
        <w:t>万元。外事接待0批次，0人次（不包括陪同人员），共计支出0.00万元。</w:t>
      </w:r>
      <w:bookmarkStart w:id="35" w:name="_Toc15377218"/>
      <w:bookmarkStart w:id="36" w:name="_Toc15396610"/>
    </w:p>
    <w:p>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35"/>
      <w:bookmarkEnd w:id="36"/>
    </w:p>
    <w:p>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22年政府性基金预算财政拨款支出0.00万元。</w:t>
      </w:r>
    </w:p>
    <w:p>
      <w:pPr>
        <w:numPr>
          <w:ilvl w:val="0"/>
          <w:numId w:val="2"/>
        </w:numPr>
        <w:spacing w:line="600" w:lineRule="exact"/>
        <w:ind w:left="0" w:firstLine="640"/>
        <w:outlineLvl w:val="1"/>
        <w:rPr>
          <w:rStyle w:val="2Char"/>
          <w:rFonts w:ascii="黑体" w:eastAsia="黑体" w:hAnsi="黑体"/>
          <w:b w:val="0"/>
        </w:rPr>
      </w:pPr>
      <w:bookmarkStart w:id="37" w:name="_Toc15396611"/>
      <w:bookmarkStart w:id="38" w:name="_Toc15377219"/>
      <w:r>
        <w:rPr>
          <w:rStyle w:val="2Char"/>
          <w:rFonts w:ascii="黑体" w:eastAsia="黑体" w:hAnsi="黑体" w:hint="eastAsia"/>
          <w:b w:val="0"/>
        </w:rPr>
        <w:t>国有资本经营预算支出决算情况说明</w:t>
      </w:r>
      <w:bookmarkEnd w:id="37"/>
      <w:bookmarkEnd w:id="38"/>
    </w:p>
    <w:p>
      <w:pPr>
        <w:spacing w:line="600" w:lineRule="exact"/>
        <w:ind w:firstLine="640"/>
        <w:rPr>
          <w:rFonts w:ascii="方正小标宋简体" w:eastAsia="方正小标宋简体" w:cs="方正小标宋简体" w:hAnsi="方正小标宋简体"/>
          <w:sz w:val="44"/>
          <w:szCs w:val="44"/>
        </w:rPr>
      </w:pPr>
      <w:r>
        <w:rPr>
          <w:rFonts w:ascii="仿宋_GB2312" w:eastAsia="仿宋_GB2312"/>
          <w:sz w:val="32"/>
          <w:szCs w:val="32"/>
        </w:rPr>
        <w:t>20</w:t>
      </w:r>
      <w:r>
        <w:rPr>
          <w:rFonts w:ascii="仿宋_GB2312" w:eastAsia="仿宋_GB2312" w:hint="eastAsia"/>
          <w:sz w:val="32"/>
          <w:szCs w:val="32"/>
        </w:rPr>
        <w:t>22年国有资本经营预算财政拨款支出0.00万元。</w:t>
      </w:r>
    </w:p>
    <w:p>
      <w:pPr>
        <w:numPr>
          <w:ilvl w:val="0"/>
          <w:numId w:val="2"/>
        </w:numPr>
        <w:spacing w:line="600" w:lineRule="exact"/>
        <w:ind w:left="0" w:firstLine="640"/>
        <w:outlineLvl w:val="1"/>
        <w:rPr>
          <w:rStyle w:val="2Char"/>
          <w:rFonts w:ascii="黑体" w:eastAsia="黑体" w:hAnsi="黑体"/>
          <w:b w:val="0"/>
        </w:rPr>
      </w:pPr>
      <w:bookmarkStart w:id="39" w:name="_Toc15377221"/>
      <w:bookmarkStart w:id="40" w:name="_Toc15396612"/>
      <w:r>
        <w:rPr>
          <w:rStyle w:val="2Char"/>
          <w:rFonts w:ascii="黑体" w:eastAsia="黑体" w:hAnsi="黑体" w:hint="eastAsia"/>
          <w:b w:val="0"/>
        </w:rPr>
        <w:t>其他重要事项的情况说明</w:t>
      </w:r>
      <w:bookmarkEnd w:id="39"/>
      <w:bookmarkEnd w:id="40"/>
    </w:p>
    <w:p>
      <w:pPr>
        <w:spacing w:line="600" w:lineRule="exact"/>
        <w:ind w:firstLineChars="200" w:firstLine="640"/>
        <w:outlineLvl w:val="2"/>
        <w:rPr>
          <w:rFonts w:ascii="仿宋" w:eastAsia="仿宋" w:hAnsi="仿宋"/>
          <w:sz w:val="32"/>
          <w:szCs w:val="32"/>
        </w:rPr>
      </w:pPr>
      <w:bookmarkStart w:id="41" w:name="_Toc15377222"/>
      <w:r>
        <w:rPr>
          <w:rFonts w:ascii="仿宋" w:eastAsia="仿宋" w:hAnsi="仿宋" w:hint="eastAsia"/>
          <w:b/>
          <w:sz w:val="32"/>
          <w:szCs w:val="32"/>
        </w:rPr>
        <w:t>（一）机关运行经费支出情况</w:t>
      </w:r>
      <w:bookmarkEnd w:id="41"/>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22年，机关运行经费支出0.00万元，与</w:t>
      </w:r>
      <w:r>
        <w:rPr>
          <w:rFonts w:ascii="仿宋_GB2312" w:eastAsia="仿宋_GB2312"/>
          <w:sz w:val="32"/>
          <w:szCs w:val="32"/>
        </w:rPr>
        <w:t>20</w:t>
      </w:r>
      <w:r>
        <w:rPr>
          <w:rFonts w:ascii="仿宋_GB2312" w:eastAsia="仿宋_GB2312" w:hint="eastAsia"/>
          <w:sz w:val="32"/>
          <w:szCs w:val="32"/>
        </w:rPr>
        <w:t>21年决算数持平。主要原因是我单位是事业单位，无机关运行费支出。</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42" w:name="_Toc15377223"/>
      <w:r>
        <w:rPr>
          <w:rFonts w:ascii="仿宋" w:eastAsia="仿宋" w:hAnsi="仿宋" w:hint="eastAsia"/>
          <w:b/>
          <w:sz w:val="32"/>
          <w:szCs w:val="32"/>
        </w:rPr>
        <w:t>（二）政府采购支出情况</w:t>
      </w:r>
      <w:bookmarkEnd w:id="42"/>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22年，利州区东城实验小学政府采购支出总额144.46万元，其中：政府采购工程支出144.46万元。主要用于学校运动场草坪改造项目。授予中小企业合同金额0.00万元，占政府采购支出总额的0.00</w:t>
      </w:r>
      <w:r>
        <w:rPr>
          <w:rFonts w:ascii="仿宋_GB2312" w:eastAsia="仿宋_GB2312"/>
          <w:sz w:val="32"/>
          <w:szCs w:val="32"/>
        </w:rPr>
        <w:t>%</w:t>
      </w:r>
      <w:r>
        <w:rPr>
          <w:rFonts w:ascii="仿宋_GB2312" w:eastAsia="仿宋_GB2312" w:hint="eastAsia"/>
          <w:sz w:val="32"/>
          <w:szCs w:val="32"/>
        </w:rPr>
        <w:t>。</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43" w:name="_Toc15377224"/>
      <w:r>
        <w:rPr>
          <w:rFonts w:ascii="仿宋" w:eastAsia="仿宋" w:hAnsi="仿宋" w:hint="eastAsia"/>
          <w:b/>
          <w:sz w:val="32"/>
          <w:szCs w:val="32"/>
        </w:rPr>
        <w:t>（三）国有资产占有使用情况</w:t>
      </w:r>
      <w:bookmarkEnd w:id="43"/>
    </w:p>
    <w:p>
      <w:pPr>
        <w:autoSpaceDE w:val="0"/>
        <w:autoSpaceDN w:val="0"/>
        <w:adjustRightInd w:val="0"/>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日，利州区东城实验小学共有车辆0辆。单价</w:t>
      </w:r>
      <w:r>
        <w:rPr>
          <w:rFonts w:ascii="仿宋_GB2312" w:eastAsia="仿宋_GB2312"/>
          <w:sz w:val="32"/>
          <w:szCs w:val="32"/>
        </w:rPr>
        <w:t>100</w:t>
      </w:r>
      <w:r>
        <w:rPr>
          <w:rFonts w:ascii="仿宋_GB2312" w:eastAsia="仿宋_GB2312" w:hint="eastAsia"/>
          <w:sz w:val="32"/>
          <w:szCs w:val="32"/>
        </w:rPr>
        <w:t>万元以上专用设备0台（套）。</w:t>
      </w:r>
    </w:p>
    <w:p>
      <w:pPr>
        <w:autoSpaceDE w:val="0"/>
        <w:autoSpaceDN w:val="0"/>
        <w:adjustRightInd w:val="0"/>
        <w:spacing w:line="600" w:lineRule="exact"/>
        <w:ind w:firstLineChars="200" w:firstLine="640"/>
        <w:jc w:val="left"/>
        <w:rPr>
          <w:rFonts w:ascii="仿宋_GB2312" w:eastAsia="仿宋_GB2312" w:hint="eastAsia"/>
          <w:sz w:val="32"/>
          <w:szCs w:val="32"/>
        </w:rPr>
      </w:pPr>
    </w:p>
    <w:p>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（四）预算绩效管理情况</w:t>
      </w:r>
    </w:p>
    <w:p>
      <w:pPr>
        <w:pStyle w:val="15"/>
        <w:spacing w:beforeLines="0" w:before="93"/>
        <w:ind w:firstLineChars="200" w:firstLine="640"/>
        <w:rPr>
          <w:highlight w:val="yellow"/>
        </w:rPr>
      </w:pPr>
      <w:r>
        <w:rPr>
          <w:rFonts w:cs="仿宋_GB2312" w:hAnsi="仿宋_GB2312" w:hint="eastAsia"/>
          <w:sz w:val="32"/>
          <w:szCs w:val="32"/>
        </w:rPr>
        <w:t>根据预算绩效管理要求，本单位在2022年度预算编制阶段，组织对三区人才建设、足球发展专项资金、学前发展专项、城乡义务教育补助作业本费配套、义教家庭经济经济困难学生生活补助等五个项目开展了预算事前绩效评估，对五个项目编制了绩效目标，预算执行过程中，选取</w:t>
      </w:r>
      <w:r>
        <w:rPr>
          <w:rFonts w:cs="仿宋_GB2312" w:hAnsi="仿宋_GB2312" w:hint="eastAsia"/>
          <w:sz w:val="32"/>
          <w:szCs w:val="32"/>
          <w:lang w:val="en-US" w:eastAsia="zh-CN"/>
        </w:rPr>
        <w:t>五</w:t>
      </w:r>
      <w:r>
        <w:rPr>
          <w:rFonts w:cs="仿宋_GB2312" w:hAnsi="仿宋_GB2312" w:hint="eastAsia"/>
          <w:sz w:val="32"/>
          <w:szCs w:val="32"/>
        </w:rPr>
        <w:t>个项目开展绩效监控，组织对五个项目开展绩效自评，绩效自评表详见第四部分附件。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left="0" w:firstLineChars="150" w:firstLine="660"/>
        <w:jc w:val="center"/>
        <w:outlineLvl w:val="0"/>
        <w:rPr>
          <w:rStyle w:val="1Char"/>
          <w:rFonts w:ascii="黑体" w:eastAsia="黑体" w:hAnsi="黑体"/>
          <w:b w:val="0"/>
        </w:rPr>
      </w:pPr>
      <w:bookmarkStart w:id="44" w:name="_Toc15396613"/>
      <w:bookmarkStart w:id="45" w:name="_Toc15377225"/>
      <w:r>
        <w:rPr>
          <w:rFonts w:ascii="黑体" w:eastAsia="黑体" w:hAnsi="黑体" w:hint="eastAsia"/>
          <w:sz w:val="44"/>
          <w:szCs w:val="44"/>
        </w:rPr>
        <w:t>名</w:t>
      </w:r>
      <w:r>
        <w:rPr>
          <w:rStyle w:val="1Char"/>
          <w:rFonts w:ascii="黑体" w:eastAsia="黑体" w:hAnsi="黑体" w:hint="eastAsia"/>
          <w:b w:val="0"/>
        </w:rPr>
        <w:t>词解释</w:t>
      </w:r>
      <w:bookmarkEnd w:id="44"/>
      <w:bookmarkEnd w:id="45"/>
    </w:p>
    <w:p>
      <w:pPr>
        <w:spacing w:line="600" w:lineRule="exact"/>
        <w:jc w:val="left"/>
        <w:rPr>
          <w:rFonts w:ascii="宋体"/>
          <w:b/>
          <w:sz w:val="44"/>
          <w:szCs w:val="44"/>
        </w:rPr>
      </w:pP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pPr>
        <w:pStyle w:val="27"/>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pPr>
        <w:ind w:firstLineChars="200" w:firstLine="640"/>
        <w:rPr>
          <w:rFonts w:ascii="仿宋_GB2312" w:eastAsia="仿宋_GB2312" w:hint="eastAsia"/>
          <w:sz w:val="32"/>
          <w:szCs w:val="32"/>
        </w:rPr>
      </w:pPr>
      <w:r>
        <w:rPr>
          <w:rFonts w:ascii="仿宋_GB2312" w:eastAsia="仿宋_GB2312" w:hint="eastAsia"/>
          <w:sz w:val="32"/>
          <w:szCs w:val="32"/>
          <w:lang w:val="en-US" w:eastAsia="zh-CN"/>
        </w:rPr>
        <w:t>9</w:t>
      </w:r>
      <w:r>
        <w:rPr>
          <w:rFonts w:ascii="仿宋_GB2312" w:eastAsia="仿宋_GB2312" w:hint="eastAsia"/>
          <w:sz w:val="32"/>
          <w:szCs w:val="32"/>
        </w:rPr>
        <w:t>.教育（类）普通教育（款）小学教育（项）</w:t>
      </w:r>
    </w:p>
    <w:p>
      <w:pPr>
        <w:ind w:firstLineChars="200" w:firstLine="640"/>
        <w:rPr>
          <w:rFonts w:ascii="仿宋_GB2312" w:eastAsia="仿宋_GB2312" w:hint="eastAsia"/>
          <w:sz w:val="32"/>
          <w:szCs w:val="32"/>
        </w:rPr>
      </w:pPr>
      <w:r>
        <w:rPr>
          <w:rFonts w:ascii="仿宋_GB2312" w:eastAsia="仿宋_GB2312" w:hint="eastAsia"/>
          <w:sz w:val="32"/>
          <w:szCs w:val="32"/>
          <w:lang w:val="en-US" w:eastAsia="zh-CN"/>
        </w:rPr>
        <w:t>10.</w:t>
      </w:r>
      <w:r>
        <w:rPr>
          <w:rFonts w:ascii="仿宋_GB2312" w:eastAsia="仿宋_GB2312" w:hint="eastAsia"/>
          <w:sz w:val="32"/>
          <w:szCs w:val="32"/>
        </w:rPr>
        <w:t>社会保障和就业（类）行政事业单位社会保障支出（款）社会保险费支出（项）</w:t>
      </w:r>
    </w:p>
    <w:p>
      <w:pPr>
        <w:ind w:firstLineChars="200" w:firstLine="640"/>
        <w:rPr>
          <w:rFonts w:ascii="仿宋_GB2312" w:eastAsia="仿宋_GB2312" w:hint="eastAsia"/>
          <w:sz w:val="32"/>
          <w:szCs w:val="32"/>
        </w:rPr>
      </w:pPr>
      <w:r>
        <w:rPr>
          <w:rFonts w:ascii="仿宋_GB2312" w:eastAsia="仿宋_GB2312" w:hint="eastAsia"/>
          <w:sz w:val="32"/>
          <w:szCs w:val="32"/>
          <w:lang w:val="en-US" w:eastAsia="zh-CN"/>
        </w:rPr>
        <w:t>11</w:t>
      </w:r>
      <w:r>
        <w:rPr>
          <w:rFonts w:ascii="仿宋_GB2312" w:eastAsia="仿宋_GB2312" w:hint="eastAsia"/>
          <w:sz w:val="32"/>
          <w:szCs w:val="32"/>
        </w:rPr>
        <w:t>.卫生健康（类）事业单位医疗（款）事业单位医疗（项）</w:t>
      </w:r>
    </w:p>
    <w:p>
      <w:pPr>
        <w:ind w:firstLineChars="200" w:firstLine="640"/>
        <w:rPr>
          <w:rFonts w:ascii="仿宋_GB2312" w:eastAsia="仿宋_GB2312" w:hint="eastAsia"/>
          <w:sz w:val="32"/>
          <w:szCs w:val="32"/>
        </w:rPr>
      </w:pPr>
      <w:r>
        <w:rPr>
          <w:rFonts w:ascii="仿宋_GB2312" w:eastAsia="仿宋_GB2312" w:hint="eastAsia"/>
          <w:sz w:val="32"/>
          <w:szCs w:val="32"/>
          <w:lang w:val="en-US" w:eastAsia="zh-CN"/>
        </w:rPr>
        <w:t>12</w:t>
      </w:r>
      <w:r>
        <w:rPr>
          <w:rFonts w:ascii="仿宋_GB2312" w:eastAsia="仿宋_GB2312" w:hint="eastAsia"/>
          <w:sz w:val="32"/>
          <w:szCs w:val="32"/>
        </w:rPr>
        <w:t>.住房保障（类）住房改革支出（款）住房公积金（项）</w:t>
      </w:r>
    </w:p>
    <w:p>
      <w:pPr>
        <w:ind w:firstLineChars="200" w:firstLine="640"/>
        <w:rPr>
          <w:rFonts w:ascii="仿宋_GB2312" w:eastAsia="仿宋_GB2312"/>
          <w:sz w:val="32"/>
          <w:szCs w:val="32"/>
        </w:rPr>
      </w:pPr>
      <w:r>
        <w:rPr>
          <w:rFonts w:ascii="仿宋_GB2312" w:eastAsia="仿宋_GB2312" w:hint="eastAsia"/>
          <w:sz w:val="32"/>
          <w:szCs w:val="32"/>
          <w:lang w:val="en-US" w:eastAsia="zh-CN"/>
        </w:rPr>
        <w:t>13</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pPr>
        <w:ind w:firstLineChars="200" w:firstLine="640"/>
        <w:rPr>
          <w:rFonts w:ascii="仿宋_GB2312" w:eastAsia="仿宋_GB2312"/>
          <w:sz w:val="32"/>
          <w:szCs w:val="32"/>
        </w:rPr>
      </w:pPr>
      <w:r>
        <w:rPr>
          <w:rFonts w:ascii="仿宋_GB2312" w:eastAsia="仿宋_GB2312" w:hint="eastAsia"/>
          <w:sz w:val="32"/>
          <w:szCs w:val="32"/>
          <w:lang w:val="en-US" w:eastAsia="zh-CN"/>
        </w:rPr>
        <w:t>14</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Chars="200" w:firstLine="640"/>
        <w:rPr>
          <w:rFonts w:ascii="仿宋_GB2312" w:eastAsia="仿宋_GB2312"/>
          <w:sz w:val="32"/>
          <w:szCs w:val="32"/>
        </w:rPr>
      </w:pPr>
      <w:r>
        <w:rPr>
          <w:rFonts w:ascii="仿宋_GB2312" w:eastAsia="仿宋_GB2312" w:hint="eastAsia"/>
          <w:sz w:val="32"/>
          <w:szCs w:val="32"/>
          <w:lang w:val="en-US" w:eastAsia="zh-CN"/>
        </w:rPr>
        <w:t>15</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pPr>
        <w:pStyle w:val="27"/>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16</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17</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rFonts w:ascii="仿宋" w:eastAsia="仿宋" w:hAnsi="仿宋"/>
          <w:b/>
          <w:sz w:val="32"/>
          <w:szCs w:val="32"/>
        </w:rPr>
      </w:pPr>
    </w:p>
    <w:p>
      <w:pPr>
        <w:spacing w:line="600" w:lineRule="exact"/>
        <w:jc w:val="center"/>
        <w:outlineLvl w:val="0"/>
        <w:rPr>
          <w:rStyle w:val="1Char"/>
          <w:rFonts w:ascii="黑体" w:eastAsia="黑体" w:hAnsi="黑体"/>
          <w:b w:val="0"/>
        </w:rPr>
      </w:pPr>
      <w:bookmarkStart w:id="46" w:name="_Toc15377226"/>
      <w:r>
        <w:rPr>
          <w:rFonts w:ascii="宋体"/>
          <w:b/>
          <w:sz w:val="44"/>
          <w:szCs w:val="44"/>
        </w:rPr>
        <w:br w:type="page"/>
      </w:r>
      <w:bookmarkStart w:id="47" w:name="_Toc15396614"/>
      <w:r>
        <w:rPr>
          <w:rFonts w:ascii="黑体" w:eastAsia="黑体" w:hAnsi="黑体" w:hint="eastAsia"/>
          <w:sz w:val="44"/>
          <w:szCs w:val="44"/>
        </w:rPr>
        <w:t>第</w:t>
      </w:r>
      <w:r>
        <w:rPr>
          <w:rStyle w:val="1Char"/>
          <w:rFonts w:ascii="黑体" w:eastAsia="黑体" w:hAnsi="黑体" w:hint="eastAsia"/>
          <w:b w:val="0"/>
        </w:rPr>
        <w:t>四部分 附件</w:t>
      </w:r>
      <w:bookmarkEnd w:id="47"/>
    </w:p>
    <w:p>
      <w:pPr>
        <w:spacing w:line="600" w:lineRule="exact"/>
        <w:jc w:val="center"/>
        <w:outlineLvl w:val="0"/>
        <w:rPr>
          <w:rFonts w:ascii="宋体" w:cs="宋体" w:hAnsi="宋体"/>
          <w:kern w:val="0"/>
          <w:sz w:val="32"/>
          <w:szCs w:val="32"/>
        </w:rPr>
      </w:pPr>
      <w:bookmarkStart w:id="48" w:name="_Toc15396618"/>
      <w:r>
        <w:rPr>
          <w:rFonts w:ascii="宋体" w:cs="宋体" w:hAnsi="宋体" w:hint="eastAsia"/>
          <w:kern w:val="0"/>
          <w:sz w:val="32"/>
          <w:szCs w:val="32"/>
        </w:rPr>
        <w:t>部门预算项目支出绩效自评表（2022年度）</w:t>
      </w: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pStyle w:val="15"/>
        <w:spacing w:beforeLines="0" w:before="93"/>
        <w:rPr>
          <w:rFonts w:ascii="宋体" w:eastAsia="宋体" w:cs="宋体" w:hAnsi="宋体"/>
          <w:sz w:val="32"/>
          <w:szCs w:val="32"/>
        </w:rPr>
      </w:pPr>
    </w:p>
    <w:p>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49" w:name="_Toc15396619"/>
      <w:bookmarkEnd w:id="46"/>
      <w:bookmarkEnd w:id="48"/>
    </w:p>
    <w:p>
      <w:pPr>
        <w:pStyle w:val="2"/>
        <w:rPr>
          <w:rFonts w:ascii="仿宋" w:eastAsia="仿宋" w:hAnsi="仿宋"/>
        </w:rPr>
      </w:pPr>
      <w:r>
        <w:rPr>
          <w:rFonts w:ascii="仿宋" w:eastAsia="仿宋" w:hAnsi="仿宋" w:hint="eastAsia"/>
          <w:b w:val="0"/>
        </w:rPr>
        <w:t>一、收</w:t>
      </w:r>
      <w:r>
        <w:rPr>
          <w:rStyle w:val="2Char"/>
          <w:rFonts w:ascii="仿宋" w:eastAsia="仿宋" w:hAnsi="仿宋" w:hint="eastAsia"/>
          <w:b w:val="0"/>
          <w:bCs w:val="0"/>
        </w:rPr>
        <w:t>入支出决算总表</w:t>
      </w:r>
      <w:bookmarkEnd w:id="49"/>
    </w:p>
    <w:p>
      <w:pPr>
        <w:pStyle w:val="2"/>
        <w:rPr>
          <w:rFonts w:ascii="仿宋" w:eastAsia="仿宋" w:hAnsi="仿宋"/>
        </w:rPr>
      </w:pPr>
      <w:bookmarkStart w:id="50" w:name="_Toc15396620"/>
      <w:r>
        <w:rPr>
          <w:rFonts w:ascii="仿宋" w:eastAsia="仿宋" w:hAnsi="仿宋" w:hint="eastAsia"/>
          <w:b w:val="0"/>
        </w:rPr>
        <w:t>二、收</w:t>
      </w:r>
      <w:r>
        <w:rPr>
          <w:rStyle w:val="2Char"/>
          <w:rFonts w:ascii="仿宋" w:eastAsia="仿宋" w:hAnsi="仿宋" w:hint="eastAsia"/>
          <w:b w:val="0"/>
          <w:bCs w:val="0"/>
        </w:rPr>
        <w:t>入决算表</w:t>
      </w:r>
      <w:bookmarkEnd w:id="50"/>
    </w:p>
    <w:p>
      <w:pPr>
        <w:pStyle w:val="2"/>
        <w:rPr>
          <w:rFonts w:ascii="仿宋" w:eastAsia="仿宋" w:hAnsi="仿宋"/>
        </w:rPr>
      </w:pPr>
      <w:bookmarkStart w:id="51" w:name="_Toc15396621"/>
      <w:r>
        <w:rPr>
          <w:rStyle w:val="2Char"/>
          <w:rFonts w:ascii="仿宋" w:eastAsia="仿宋" w:hAnsi="仿宋" w:hint="eastAsia"/>
          <w:b w:val="0"/>
          <w:bCs w:val="0"/>
        </w:rPr>
        <w:t>三、</w:t>
      </w:r>
      <w:r>
        <w:rPr>
          <w:rFonts w:ascii="仿宋" w:eastAsia="仿宋" w:hAnsi="仿宋" w:hint="eastAsia"/>
          <w:b w:val="0"/>
        </w:rPr>
        <w:t>支</w:t>
      </w:r>
      <w:r>
        <w:rPr>
          <w:rStyle w:val="2Char"/>
          <w:rFonts w:ascii="仿宋" w:eastAsia="仿宋" w:hAnsi="仿宋" w:hint="eastAsia"/>
          <w:b w:val="0"/>
          <w:bCs w:val="0"/>
        </w:rPr>
        <w:t>出决算表</w:t>
      </w:r>
      <w:bookmarkEnd w:id="51"/>
    </w:p>
    <w:p>
      <w:pPr>
        <w:pStyle w:val="2"/>
        <w:rPr>
          <w:rFonts w:ascii="仿宋" w:eastAsia="仿宋" w:hAnsi="仿宋"/>
          <w:b w:val="0"/>
        </w:rPr>
      </w:pPr>
      <w:bookmarkStart w:id="52" w:name="_Toc15396622"/>
      <w:r>
        <w:rPr>
          <w:rStyle w:val="2Char"/>
          <w:rFonts w:ascii="仿宋" w:eastAsia="仿宋" w:hAnsi="仿宋" w:hint="eastAsia"/>
          <w:b w:val="0"/>
          <w:bCs w:val="0"/>
        </w:rPr>
        <w:t>四、</w:t>
      </w:r>
      <w:r>
        <w:rPr>
          <w:rFonts w:ascii="仿宋" w:eastAsia="仿宋" w:hAnsi="仿宋" w:hint="eastAsia"/>
          <w:b w:val="0"/>
        </w:rPr>
        <w:t>财</w:t>
      </w:r>
      <w:r>
        <w:rPr>
          <w:rStyle w:val="2Char"/>
          <w:rFonts w:ascii="仿宋" w:eastAsia="仿宋" w:hAnsi="仿宋" w:hint="eastAsia"/>
          <w:b w:val="0"/>
          <w:bCs w:val="0"/>
        </w:rPr>
        <w:t>政拨款收入支出决算总表</w:t>
      </w:r>
      <w:bookmarkEnd w:id="52"/>
    </w:p>
    <w:p>
      <w:pPr>
        <w:pStyle w:val="2"/>
        <w:rPr>
          <w:rStyle w:val="2Char"/>
          <w:rFonts w:ascii="仿宋" w:eastAsia="仿宋" w:hAnsi="仿宋"/>
          <w:b w:val="0"/>
          <w:bCs w:val="0"/>
        </w:rPr>
      </w:pPr>
      <w:bookmarkStart w:id="53" w:name="_Toc15396623"/>
      <w:r>
        <w:rPr>
          <w:rStyle w:val="2Char"/>
          <w:rFonts w:ascii="仿宋" w:eastAsia="仿宋" w:hAnsi="仿宋" w:hint="eastAsia"/>
          <w:b w:val="0"/>
          <w:bCs w:val="0"/>
        </w:rPr>
        <w:t>五、</w:t>
      </w:r>
      <w:r>
        <w:rPr>
          <w:rFonts w:ascii="仿宋" w:eastAsia="仿宋" w:hAnsi="仿宋" w:hint="eastAsia"/>
          <w:b w:val="0"/>
        </w:rPr>
        <w:t>财</w:t>
      </w:r>
      <w:r>
        <w:rPr>
          <w:rStyle w:val="2Char"/>
          <w:rFonts w:ascii="仿宋" w:eastAsia="仿宋" w:hAnsi="仿宋" w:hint="eastAsia"/>
          <w:b w:val="0"/>
          <w:bCs w:val="0"/>
        </w:rPr>
        <w:t>政拨款支出决算明细表</w:t>
      </w:r>
      <w:bookmarkStart w:id="54" w:name="_Toc15396624"/>
      <w:bookmarkEnd w:id="53"/>
    </w:p>
    <w:p>
      <w:pPr>
        <w:pStyle w:val="2"/>
        <w:rPr>
          <w:rFonts w:ascii="仿宋" w:eastAsia="仿宋" w:hAnsi="仿宋"/>
        </w:rPr>
      </w:pPr>
      <w:r>
        <w:rPr>
          <w:rStyle w:val="2Char"/>
          <w:rFonts w:ascii="仿宋" w:eastAsia="仿宋" w:hAnsi="仿宋" w:hint="eastAsia"/>
          <w:b w:val="0"/>
          <w:bCs w:val="0"/>
        </w:rPr>
        <w:t>六、</w:t>
      </w:r>
      <w:r>
        <w:rPr>
          <w:rFonts w:ascii="仿宋" w:eastAsia="仿宋" w:hAnsi="仿宋" w:hint="eastAsia"/>
          <w:b w:val="0"/>
        </w:rPr>
        <w:t>一</w:t>
      </w:r>
      <w:r>
        <w:rPr>
          <w:rStyle w:val="2Char"/>
          <w:rFonts w:ascii="仿宋" w:eastAsia="仿宋" w:hAnsi="仿宋" w:hint="eastAsia"/>
          <w:b w:val="0"/>
          <w:bCs w:val="0"/>
        </w:rPr>
        <w:t>般公共预算财政拨款支出决算表</w:t>
      </w:r>
      <w:bookmarkEnd w:id="54"/>
    </w:p>
    <w:p>
      <w:pPr>
        <w:pStyle w:val="2"/>
        <w:rPr>
          <w:rFonts w:ascii="仿宋" w:eastAsia="仿宋" w:hAnsi="仿宋"/>
        </w:rPr>
      </w:pPr>
      <w:bookmarkStart w:id="55" w:name="_Toc15396625"/>
      <w:r>
        <w:rPr>
          <w:rStyle w:val="2Char"/>
          <w:rFonts w:ascii="仿宋" w:eastAsia="仿宋" w:hAnsi="仿宋" w:hint="eastAsia"/>
          <w:b w:val="0"/>
          <w:bCs w:val="0"/>
        </w:rPr>
        <w:t>七、</w:t>
      </w:r>
      <w:r>
        <w:rPr>
          <w:rFonts w:ascii="仿宋" w:eastAsia="仿宋" w:hAnsi="仿宋" w:hint="eastAsia"/>
          <w:b w:val="0"/>
        </w:rPr>
        <w:t>一</w:t>
      </w:r>
      <w:r>
        <w:rPr>
          <w:rStyle w:val="2Char"/>
          <w:rFonts w:ascii="仿宋" w:eastAsia="仿宋" w:hAnsi="仿宋" w:hint="eastAsia"/>
          <w:b w:val="0"/>
          <w:bCs w:val="0"/>
        </w:rPr>
        <w:t>般公共预算财政拨款支出决算明细表</w:t>
      </w:r>
      <w:bookmarkEnd w:id="55"/>
    </w:p>
    <w:p>
      <w:pPr>
        <w:pStyle w:val="2"/>
        <w:rPr>
          <w:rFonts w:ascii="仿宋" w:eastAsia="仿宋" w:hAnsi="仿宋"/>
        </w:rPr>
      </w:pPr>
      <w:bookmarkStart w:id="56" w:name="_Toc15396626"/>
      <w:r>
        <w:rPr>
          <w:rStyle w:val="2Char"/>
          <w:rFonts w:ascii="仿宋" w:eastAsia="仿宋" w:hAnsi="仿宋" w:hint="eastAsia"/>
          <w:b w:val="0"/>
          <w:bCs w:val="0"/>
        </w:rPr>
        <w:t>八、</w:t>
      </w:r>
      <w:r>
        <w:rPr>
          <w:rFonts w:ascii="仿宋" w:eastAsia="仿宋" w:hAnsi="仿宋" w:hint="eastAsia"/>
          <w:b w:val="0"/>
        </w:rPr>
        <w:t>一</w:t>
      </w:r>
      <w:r>
        <w:rPr>
          <w:rStyle w:val="2Char"/>
          <w:rFonts w:ascii="仿宋" w:eastAsia="仿宋" w:hAnsi="仿宋" w:hint="eastAsia"/>
          <w:b w:val="0"/>
          <w:bCs w:val="0"/>
        </w:rPr>
        <w:t>般公共预算财政拨款基本支出决算表</w:t>
      </w:r>
      <w:bookmarkEnd w:id="56"/>
    </w:p>
    <w:p>
      <w:pPr>
        <w:pStyle w:val="2"/>
        <w:rPr>
          <w:rFonts w:ascii="仿宋" w:eastAsia="仿宋" w:hAnsi="仿宋"/>
        </w:rPr>
      </w:pPr>
      <w:bookmarkStart w:id="57" w:name="_Toc15396627"/>
      <w:r>
        <w:rPr>
          <w:rStyle w:val="2Char"/>
          <w:rFonts w:ascii="仿宋" w:eastAsia="仿宋" w:hAnsi="仿宋" w:hint="eastAsia"/>
          <w:b w:val="0"/>
          <w:bCs w:val="0"/>
        </w:rPr>
        <w:t>九、</w:t>
      </w:r>
      <w:r>
        <w:rPr>
          <w:rFonts w:ascii="仿宋" w:eastAsia="仿宋" w:hAnsi="仿宋" w:hint="eastAsia"/>
          <w:b w:val="0"/>
        </w:rPr>
        <w:t>一</w:t>
      </w:r>
      <w:r>
        <w:rPr>
          <w:rStyle w:val="2Char"/>
          <w:rFonts w:ascii="仿宋" w:eastAsia="仿宋" w:hAnsi="仿宋" w:hint="eastAsia"/>
          <w:b w:val="0"/>
          <w:bCs w:val="0"/>
        </w:rPr>
        <w:t>般公共预算财政拨款项目支出决算表</w:t>
      </w:r>
      <w:bookmarkEnd w:id="57"/>
    </w:p>
    <w:p>
      <w:pPr>
        <w:pStyle w:val="2"/>
        <w:rPr>
          <w:rFonts w:ascii="仿宋" w:eastAsia="仿宋" w:hAnsi="仿宋"/>
        </w:rPr>
      </w:pPr>
      <w:bookmarkStart w:id="58" w:name="_Toc15396628"/>
      <w:r>
        <w:rPr>
          <w:rStyle w:val="2Char"/>
          <w:rFonts w:ascii="仿宋" w:eastAsia="仿宋" w:hAnsi="仿宋" w:hint="eastAsia"/>
          <w:b w:val="0"/>
          <w:bCs w:val="0"/>
        </w:rPr>
        <w:t>十、</w:t>
      </w:r>
      <w:bookmarkEnd w:id="58"/>
      <w:r>
        <w:rPr>
          <w:rFonts w:ascii="仿宋" w:eastAsia="仿宋" w:hAnsi="仿宋" w:hint="eastAsia"/>
          <w:b w:val="0"/>
        </w:rPr>
        <w:t>政</w:t>
      </w:r>
      <w:r>
        <w:rPr>
          <w:rStyle w:val="2Char"/>
          <w:rFonts w:ascii="仿宋" w:eastAsia="仿宋" w:hAnsi="仿宋" w:hint="eastAsia"/>
          <w:b w:val="0"/>
          <w:bCs w:val="0"/>
        </w:rPr>
        <w:t>府性基金预算财政拨款收入支出决算表</w:t>
      </w:r>
    </w:p>
    <w:p>
      <w:pPr>
        <w:pStyle w:val="2"/>
        <w:rPr>
          <w:rFonts w:ascii="仿宋" w:eastAsia="仿宋" w:hAnsi="仿宋"/>
        </w:rPr>
      </w:pPr>
      <w:bookmarkStart w:id="59" w:name="_Toc15396629"/>
      <w:r>
        <w:rPr>
          <w:rStyle w:val="2Char"/>
          <w:rFonts w:ascii="仿宋" w:eastAsia="仿宋" w:hAnsi="仿宋" w:hint="eastAsia"/>
          <w:b w:val="0"/>
          <w:bCs w:val="0"/>
        </w:rPr>
        <w:t>十一、</w:t>
      </w:r>
      <w:bookmarkEnd w:id="59"/>
      <w:r>
        <w:rPr>
          <w:rFonts w:ascii="仿宋" w:eastAsia="仿宋" w:hAnsi="仿宋" w:hint="eastAsia"/>
          <w:b w:val="0"/>
        </w:rPr>
        <w:t>国</w:t>
      </w:r>
      <w:r>
        <w:rPr>
          <w:rStyle w:val="2Char"/>
          <w:rFonts w:ascii="仿宋" w:eastAsia="仿宋" w:hAnsi="仿宋" w:hint="eastAsia"/>
          <w:b w:val="0"/>
          <w:bCs w:val="0"/>
        </w:rPr>
        <w:t>有资本经营预算财政拨款收入支出决算表</w:t>
      </w:r>
    </w:p>
    <w:p>
      <w:pPr>
        <w:pStyle w:val="2"/>
        <w:rPr>
          <w:rFonts w:ascii="仿宋" w:eastAsia="仿宋" w:hAnsi="仿宋"/>
        </w:rPr>
      </w:pPr>
      <w:bookmarkStart w:id="60" w:name="_Toc15396630"/>
      <w:r>
        <w:rPr>
          <w:rStyle w:val="2Char"/>
          <w:rFonts w:ascii="仿宋" w:eastAsia="仿宋" w:hAnsi="仿宋" w:hint="eastAsia"/>
          <w:b w:val="0"/>
          <w:bCs w:val="0"/>
        </w:rPr>
        <w:t>十二、</w:t>
      </w:r>
      <w:bookmarkEnd w:id="60"/>
      <w:r>
        <w:rPr>
          <w:rStyle w:val="2Char"/>
          <w:rFonts w:ascii="仿宋" w:eastAsia="仿宋" w:hAnsi="仿宋" w:hint="eastAsia"/>
          <w:b w:val="0"/>
          <w:bCs w:val="0"/>
        </w:rPr>
        <w:t>国有资本经营预算财政拨款支出决算表</w:t>
      </w:r>
    </w:p>
    <w:p>
      <w:pPr>
        <w:pStyle w:val="2"/>
        <w:rPr>
          <w:rFonts w:eastAsia="仿宋"/>
        </w:rPr>
      </w:pPr>
      <w:bookmarkStart w:id="61" w:name="_Toc15396631"/>
      <w:r>
        <w:rPr>
          <w:rStyle w:val="2Char"/>
          <w:rFonts w:ascii="仿宋" w:eastAsia="仿宋" w:hAnsi="仿宋" w:hint="eastAsia"/>
          <w:b w:val="0"/>
          <w:bCs w:val="0"/>
        </w:rPr>
        <w:t>十三、</w:t>
      </w:r>
      <w:bookmarkEnd w:id="61"/>
      <w:r>
        <w:rPr>
          <w:rStyle w:val="2Char"/>
          <w:rFonts w:ascii="仿宋" w:eastAsia="仿宋" w:hAnsi="仿宋" w:hint="eastAsia"/>
          <w:b w:val="0"/>
          <w:bCs w:val="0"/>
        </w:rPr>
        <w:t>财政拨款“三公”经费支出决算表</w:t>
      </w:r>
    </w:p>
    <w:sectPr>
      <w:footerReference w:type="default" r:id="rId4"/>
      <w:footerReference w:type="first" r:id="rId5"/>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宋体">
    <w:panose1 w:val="02010600030101010101"/>
    <w:charset w:val="7A"/>
    <w:family w:val="auto"/>
    <w:pitch w:val="variable"/>
    <w:sig w:usb0="000002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Times New Roman">
    <w:panose1 w:val="02020603050405020304"/>
    <w:charset w:val="86"/>
    <w:family w:val="auto"/>
    <w:pitch w:val="variable"/>
    <w:sig w:usb0="E0002EFF" w:usb1="C000785B" w:usb2="00000009" w:usb3="00000000" w:csb0="400001FF" w:csb1="FFFF0000"/>
  </w:font>
  <w:font w:name="楷体_GB2312">
    <w:altName w:val="楷体"/>
    <w:panose1 w:val="00000000000000000000"/>
    <w:charset w:val="86"/>
    <w:family w:val="modern"/>
    <w:pitch w:val="variable"/>
    <w:sig w:usb0="00000000" w:usb1="00000000" w:usb2="00000010" w:usb3="00000000" w:csb0="00040000" w:csb1="00000000"/>
  </w:font>
  <w:font w:name="仿宋_GB2312">
    <w:altName w:val="仿宋"/>
    <w:panose1 w:val="00000000000000000000"/>
    <w:charset w:val="86"/>
    <w:family w:val="modern"/>
    <w:pitch w:val="variable"/>
    <w:sig w:usb0="00000000" w:usb1="0000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6FF" w:usb1="420024FF" w:usb2="02000000" w:usb3="00000000" w:csb0="2000019F" w:csb1="00000000"/>
  </w:font>
  <w:font w:name="Calibri">
    <w:altName w:val="Times New Roman"/>
    <w:panose1 w:val="020F0502020204030204"/>
    <w:charset w:val="00"/>
    <w:family w:val="swiss"/>
    <w:pitch w:val="variable"/>
    <w:sig w:usb0="E4002EFF" w:usb1="C2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131171331"/>
    </w:sdtPr>
    <w:sdtContent>
      <w:p>
        <w:pPr>
          <w:pStyle w:val="18"/>
          <w:tabs>
            <w:tab w:val="center" w:pos="4153"/>
            <w:tab w:val="right" w:pos="8306"/>
          </w:tabs>
          <w:jc w:val="center"/>
        </w:pPr>
        <w:r>
          <w:fldChar w:fldCharType="begin"/>
        </w:r>
        <w:r>
          <w:instrText>PAGE   \* MERGEFORMAT</w:instrText>
        </w:r>
        <w:r>
          <w:fldChar w:fldCharType="separate"/>
        </w:r>
        <w:r>
          <w:rPr>
            <w:lang w:val="zh-CN"/>
          </w:rPr>
          <w:t>19</w:t>
        </w:r>
        <w:r>
          <w:fldChar w:fldCharType="end"/>
        </w:r>
      </w:p>
    </w:sdtContent>
  </w:sdt>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ascii="黑体" w:hAnsi="黑体" w:eastAsia="黑体" w:cs="黑体" w:hint="eastAsia"/>
        <w:sz w:val="44"/>
        <w:szCs w:val="44"/>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MmVjZTBmYmZhMjYwMTI1OWZhNWY2NjQ0YTYyMDNmYT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0">
    <w:name w:val="TOC 标题2"/>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chart" Target="charts/chart7.xml"/><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11157"/>
          <c:y val="0.03813131"/>
          <c:w val="0.80216634"/>
          <c:h val="0.8474752"/>
        </c:manualLayout>
      </c:layout>
      <c:barChart>
        <c:barDir val="col"/>
        <c:grouping val="clustered"/>
        <c:varyColors val="0"/>
        <c:ser>
          <c:idx val="2"/>
          <c:order val="0"/>
          <c:tx>
            <c:strRef>
              <c:f>'Sheet1'!$B$1</c:f>
              <c:strCache>
                <c:ptCount val="1"/>
                <c:pt idx="0">
                  <c:v>收、支决算总计（万元）</c:v>
                </c:pt>
              </c:strCache>
            </c:strRef>
          </c:tx>
          <c:spPr>
            <a:solidFill>
              <a:srgbClr val="9BBB59"/>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2021年</c:v>
                </c:pt>
                <c:pt idx="1">
                  <c:v>2022年</c:v>
                </c:pt>
              </c:strCache>
            </c:strRef>
          </c:cat>
          <c:val>
            <c:numRef>
              <c:f>'Sheet1'!$B$2:$B$3</c:f>
              <c:numCache>
                <c:formatCode>General</c:formatCode>
                <c:ptCount val="2"/>
                <c:pt idx="0">
                  <c:v>935.93</c:v>
                </c:pt>
                <c:pt idx="1">
                  <c:v>2343.32</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manualLayout>
          <c:xMode val="edge"/>
          <c:yMode val="edge"/>
          <c:x val="0.5614144"/>
          <c:y val="0.0625"/>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a:noFill/>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(2)'!$B$1</c:f>
              <c:strCache>
                <c:ptCount val="1"/>
                <c:pt idx="0">
                  <c:v>收入额（万元）</c:v>
                </c:pt>
              </c:strCache>
            </c:strRef>
          </c:tx>
          <c:spPr>
            <a:solidFill>
              <a:srgbClr val="4F81BD"/>
            </a:solidFill>
          </c:spPr>
          <c:dPt>
            <c:idx val="0"/>
            <c:bubble3D val="0"/>
            <c:spPr>
              <a:solidFill>
                <a:srgbClr val="4572A7"/>
              </a:solidFill>
            </c:spPr>
          </c:dPt>
          <c:dPt>
            <c:idx val="1"/>
            <c:bubble3D val="0"/>
            <c:spPr>
              <a:solidFill>
                <a:srgbClr val="AA4643"/>
              </a:solidFill>
            </c:spPr>
          </c:dPt>
          <c:dPt>
            <c:idx val="2"/>
            <c:bubble3D val="0"/>
            <c:spPr>
              <a:solidFill>
                <a:srgbClr val="89A54E"/>
              </a:solidFill>
            </c:spPr>
          </c:dPt>
          <c:dPt>
            <c:idx val="3"/>
            <c:bubble3D val="0"/>
            <c:spPr>
              <a:solidFill>
                <a:srgbClr val="71588F"/>
              </a:solidFill>
            </c:spPr>
          </c:dPt>
          <c:dPt>
            <c:idx val="4"/>
            <c:bubble3D val="0"/>
            <c:spPr>
              <a:solidFill>
                <a:srgbClr val="4198AF"/>
              </a:solidFill>
            </c:spPr>
          </c:dPt>
          <c:dPt>
            <c:idx val="5"/>
            <c:bubble3D val="0"/>
            <c:spPr>
              <a:solidFill>
                <a:srgbClr val="DB843D"/>
              </a:solidFill>
            </c:spPr>
          </c:dPt>
          <c:dPt>
            <c:idx val="6"/>
            <c:bubble3D val="0"/>
            <c:spPr>
              <a:solidFill>
                <a:srgbClr val="93A9CF"/>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00%" sourceLinked="0"/>
            <c:dLbl>
              <c:idx val="0"/>
              <c:layout>
                <c:manualLayout>
                  <c:x val="-0.04414592"/>
                  <c:y val="-0.13312693"/>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1"/>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2"/>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3"/>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4"/>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5"/>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6"/>
              <c:layout>
                <c:manualLayout>
                  <c:x val="-0.15080297"/>
                  <c:y val="0.0056057763"/>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showLegendKey val="0"/>
            <c:showVal val="1"/>
            <c:showCatName val="1"/>
            <c:showSerName val="0"/>
            <c:showPercent val="1"/>
            <c:showBubbleSize val="0"/>
            <c:showLeaderLines val="1"/>
          </c:dLbls>
          <c:cat>
            <c:strRef>
              <c:f>'Sheet1 (2)'!$A$2:$A$8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 (2)'!$B$2:$B$8</c:f>
              <c:numCache>
                <c:formatCode>General</c:formatCode>
                <c:ptCount val="7"/>
                <c:pt idx="0">
                  <c:v>1899.36</c:v>
                </c:pt>
                <c:pt idx="1">
                  <c:v>0.0</c:v>
                </c:pt>
                <c:pt idx="2">
                  <c:v>0.0</c:v>
                </c:pt>
                <c:pt idx="3">
                  <c:v>0.0</c:v>
                </c:pt>
                <c:pt idx="4">
                  <c:v>0.0</c:v>
                </c:pt>
                <c:pt idx="5">
                  <c:v>0.0</c:v>
                </c:pt>
                <c:pt idx="6">
                  <c:v>5.16</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(3)'!$B$1</c:f>
              <c:strCache>
                <c:ptCount val="1"/>
                <c:pt idx="0">
                  <c:v>支出数（万元）</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00%" sourceLinked="0"/>
            <c:dLbl>
              <c:idx val="0"/>
              <c:layout>
                <c:manualLayout>
                  <c:x val="-0.08505331"/>
                  <c:y val="0.187865"/>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1"/>
              <c:layout>
                <c:manualLayout>
                  <c:x val="0.1239139"/>
                  <c:y val="-0.22066776"/>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2"/>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3"/>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4"/>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showLegendKey val="0"/>
            <c:showVal val="1"/>
            <c:showCatName val="1"/>
            <c:showSerName val="0"/>
            <c:showPercent val="1"/>
            <c:showBubbleSize val="0"/>
            <c:showLeaderLines val="1"/>
          </c:dLbls>
          <c:cat>
            <c:strRef>
              <c:f>'Sheet1 (3)'!$A$2:$A$6</c:f>
              <c:strCache>
                <c:ptCount val="5"/>
                <c:pt idx="0">
                  <c:v>基本支出</c:v>
                </c:pt>
                <c:pt idx="1">
                  <c:v>项目支出</c:v>
                </c:pt>
                <c:pt idx="2">
                  <c:v>上缴上级支出</c:v>
                </c:pt>
                <c:pt idx="3">
                  <c:v>经营支出</c:v>
                </c:pt>
                <c:pt idx="4">
                  <c:v>对附属单位补助支出</c:v>
                </c:pt>
              </c:strCache>
            </c:strRef>
          </c:cat>
          <c:val>
            <c:numRef>
              <c:f>'Sheet1 (3)'!$B$2:$B$6</c:f>
              <c:numCache>
                <c:formatCode>General</c:formatCode>
                <c:ptCount val="5"/>
                <c:pt idx="0">
                  <c:v>1850.42</c:v>
                </c:pt>
                <c:pt idx="1">
                  <c:v>492.89</c:v>
                </c:pt>
                <c:pt idx="2">
                  <c:v>0.0</c:v>
                </c:pt>
                <c:pt idx="3">
                  <c:v>0.0</c:v>
                </c:pt>
                <c:pt idx="4">
                  <c:v>0.0</c:v>
                </c:pt>
              </c:numCache>
            </c:numRef>
          </c:val>
        </c:ser>
        <c:firstSliceAng val="0"/>
      </c:pieChart>
      <c:spPr>
        <a:noFill/>
      </c:spPr>
    </c:plotArea>
    <c:legend>
      <c:legendPos val="r"/>
      <c:layout>
        <c:manualLayout>
          <c:xMode val="edge"/>
          <c:yMode val="edge"/>
          <c:x val="0.7311582"/>
          <c:y val="0.3384933"/>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24556"/>
          <c:y val="0.055473916"/>
          <c:w val="0.80216634"/>
          <c:h val="0.8474752"/>
        </c:manualLayout>
      </c:layout>
      <c:barChart>
        <c:barDir val="col"/>
        <c:grouping val="clustered"/>
        <c:varyColors val="0"/>
        <c:ser>
          <c:idx val="2"/>
          <c:order val="0"/>
          <c:tx>
            <c:strRef>
              <c:f>'Sheet1 (4)'!$B$1</c:f>
              <c:strCache>
                <c:ptCount val="1"/>
                <c:pt idx="0">
                  <c:v>财政拨款收、支决算总计（万元）</c:v>
                </c:pt>
              </c:strCache>
            </c:strRef>
          </c:tx>
          <c:spPr>
            <a:solidFill>
              <a:srgbClr val="E6B9B8"/>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2021年</c:v>
                </c:pt>
                <c:pt idx="1">
                  <c:v>2022年</c:v>
                </c:pt>
              </c:strCache>
            </c:strRef>
          </c:cat>
          <c:val>
            <c:numRef>
              <c:f>'Sheet1 (4)'!$B$2:$B$3</c:f>
              <c:numCache>
                <c:formatCode>General</c:formatCode>
                <c:ptCount val="2"/>
                <c:pt idx="0">
                  <c:v>935.82</c:v>
                </c:pt>
                <c:pt idx="1">
                  <c:v>2338.16</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manualLayout>
          <c:xMode val="edge"/>
          <c:yMode val="edge"/>
          <c:x val="0.57959574"/>
          <c:y val="0.057678178"/>
          <c:w val="0.39110154"/>
          <c:h val="0.2244673"/>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24556"/>
          <c:y val="0.055473916"/>
          <c:w val="0.80216634"/>
          <c:h val="0.8474752"/>
        </c:manualLayout>
      </c:layout>
      <c:barChart>
        <c:barDir val="col"/>
        <c:grouping val="clustered"/>
        <c:varyColors val="0"/>
        <c:ser>
          <c:idx val="2"/>
          <c:order val="0"/>
          <c:tx>
            <c:strRef>
              <c:f>'Sheet1 (5)'!$B$1</c:f>
              <c:strCache>
                <c:ptCount val="1"/>
                <c:pt idx="0">
                  <c:v>一般公共预算财政拨款支出（万元）</c:v>
                </c:pt>
              </c:strCache>
            </c:strRef>
          </c:tx>
          <c:spPr>
            <a:solidFill>
              <a:srgbClr val="9BBB59"/>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(5)'!$A$2:$A$3</c:f>
              <c:strCache>
                <c:ptCount val="2"/>
                <c:pt idx="0">
                  <c:v>2021年</c:v>
                </c:pt>
                <c:pt idx="1">
                  <c:v>2022年</c:v>
                </c:pt>
              </c:strCache>
            </c:strRef>
          </c:cat>
          <c:val>
            <c:numRef>
              <c:f>'Sheet1 (5)'!$B$2:$B$3</c:f>
              <c:numCache>
                <c:formatCode>General</c:formatCode>
                <c:ptCount val="2"/>
                <c:pt idx="0">
                  <c:v>494.01</c:v>
                </c:pt>
                <c:pt idx="1">
                  <c:v>2338.16</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manualLayout>
          <c:xMode val="edge"/>
          <c:yMode val="edge"/>
          <c:x val="0.55962205"/>
          <c:y val="0.016531961"/>
          <c:w val="0.4143045"/>
          <c:h val="0.2244673"/>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(6)'!$B$1</c:f>
              <c:strCache>
                <c:ptCount val="1"/>
                <c:pt idx="0">
                  <c:v>支出数（万元）</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00%" sourceLinked="0"/>
            <c:dLbl>
              <c:idx val="0"/>
              <c:layout>
                <c:manualLayout>
                  <c:x val="-0.0041568563"/>
                  <c:y val="-0.26080388"/>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1"/>
              <c:layout>
                <c:manualLayout>
                  <c:x val="-0.1897764"/>
                  <c:y val="0.0"/>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2"/>
              <c:layout>
                <c:manualLayout>
                  <c:x val="0.22283044"/>
                  <c:y val="0.0"/>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卫生健康支出</a:t>
                    </a:r>
                    <a:r>
                      <a:rPr lang="zh-CN" sz="1000" b="0" i="0" u="none" strike="noStrike" baseline="0">
                        <a:solidFill>
                          <a:srgbClr val="000000"/>
                        </a:solidFill>
                        <a:latin typeface="Times New Roman"/>
                        <a:ea typeface="宋体"/>
                        <a:cs typeface="Lucida Sans"/>
                      </a:rPr>
                      <a:t>, 39.15,0.60%</a:t>
                    </a:r>
                  </a:p>
                </c:rich>
              </c:tx>
              <c:showLegendKey val="0"/>
              <c:showVal val="1"/>
              <c:showCatName val="1"/>
              <c:showSerName val="0"/>
              <c:showPercent val="0"/>
              <c:showBubbleSize val="0"/>
            </c:dLbl>
            <c:showLegendKey val="0"/>
            <c:showVal val="1"/>
            <c:showCatName val="1"/>
            <c:showSerName val="0"/>
            <c:showPercent val="1"/>
            <c:showBubbleSize val="0"/>
            <c:showLeaderLines val="1"/>
          </c:dLbls>
          <c:cat>
            <c:strRef>
              <c:f>'Sheet1 (6)'!$A$2:$A$4</c:f>
              <c:strCache>
                <c:ptCount val="3"/>
                <c:pt idx="0">
                  <c:v>教育支出</c:v>
                </c:pt>
                <c:pt idx="1">
                  <c:v>社会保障和就业支出</c:v>
                </c:pt>
                <c:pt idx="2">
                  <c:v>卫生健康支出</c:v>
                </c:pt>
              </c:strCache>
            </c:strRef>
          </c:cat>
          <c:val>
            <c:numRef>
              <c:f>'Sheet1 (6)'!$B$2:$B$4</c:f>
              <c:numCache>
                <c:formatCode>General</c:formatCode>
                <c:ptCount val="3"/>
                <c:pt idx="0">
                  <c:v>2144.36</c:v>
                </c:pt>
                <c:pt idx="1">
                  <c:v>18.78</c:v>
                </c:pt>
                <c:pt idx="2">
                  <c:v>68.28</c:v>
                </c:pt>
              </c:numCache>
            </c:numRef>
          </c:val>
        </c:ser>
        <c:firstSliceAng val="0"/>
      </c:pieChart>
      <c:spPr>
        <a:noFill/>
      </c:spPr>
    </c:plotArea>
    <c:legend>
      <c:legendPos val="r"/>
      <c:layout>
        <c:manualLayout>
          <c:xMode val="edge"/>
          <c:yMode val="edge"/>
          <c:x val="0.73118407"/>
          <c:y val="0.33847085"/>
          <c:w val="0.25683126"/>
          <c:h val="0.41311574"/>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07885"/>
          <c:y val="0.05226895"/>
          <c:w val="0.47171465"/>
          <c:h val="0.8954621"/>
        </c:manualLayout>
      </c:layout>
      <c:pieChart>
        <c:varyColors val="1"/>
        <c:ser>
          <c:idx val="0"/>
          <c:order val="0"/>
          <c:tx>
            <c:strRef>
              <c:f>'Sheet1 (7)'!$B$1</c:f>
              <c:strCache>
                <c:ptCount val="1"/>
                <c:pt idx="0">
                  <c:v>“三公”经费财政拨款支出（万元）</c:v>
                </c:pt>
              </c:strCache>
            </c:strRef>
          </c:tx>
          <c:spPr>
            <a:solidFill>
              <a:srgbClr val="4F81BD"/>
            </a:solidFill>
          </c:spPr>
          <c:dPt>
            <c:idx val="0"/>
            <c:bubble3D val="0"/>
            <c:spPr>
              <a:solidFill>
                <a:srgbClr val="4F81BD"/>
              </a:solidFill>
              <a:ln>
                <a:noFill/>
              </a:ln>
              <a:effectLst>
                <a:outerShdw dist="35921" dir="2700000" algn="br">
                  <a:srgbClr val="000000"/>
                </a:outerShdw>
              </a:effectLst>
            </c:spPr>
          </c:dPt>
          <c:dPt>
            <c:idx val="1"/>
            <c:bubble3D val="0"/>
            <c:spPr>
              <a:solidFill>
                <a:srgbClr val="C0504D"/>
              </a:solidFill>
              <a:ln>
                <a:noFill/>
              </a:ln>
              <a:effectLst>
                <a:outerShdw dist="35921" dir="2700000" algn="br">
                  <a:srgbClr val="000000"/>
                </a:outerShdw>
              </a:effectLst>
            </c:spPr>
          </c:dPt>
          <c:dPt>
            <c:idx val="2"/>
            <c:bubble3D val="0"/>
            <c:spPr>
              <a:solidFill>
                <a:srgbClr val="9BBB59"/>
              </a:solidFill>
              <a:ln>
                <a:noFill/>
              </a:ln>
              <a:effectLst>
                <a:outerShdw dist="35921" dir="2700000" algn="br">
                  <a:srgbClr val="000000"/>
                </a:outerShdw>
              </a:effectLst>
            </c:spPr>
          </c:dPt>
          <c:dLbls>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numFmt formatCode="0.00%" sourceLinked="0"/>
            <c:dLbl>
              <c:idx val="0"/>
              <c:layout>
                <c:manualLayout>
                  <c:x val="-0.024405608"/>
                  <c:y val="0.28682584"/>
                </c:manualLayout>
              </c:layout>
              <c:numFmt formatCode="0.00%" sourceLinked="0"/>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dLblPos val="bestFit"/>
              <c:showLegendKey val="0"/>
              <c:showVal val="1"/>
              <c:showCatName val="1"/>
              <c:showSerName val="0"/>
              <c:showPercent val="1"/>
              <c:showBubbleSize val="0"/>
            </c:dLbl>
            <c:dLbl>
              <c:idx val="1"/>
              <c:layout>
                <c:manualLayout>
                  <c:x val="0.013141325"/>
                  <c:y val="0.49352577"/>
                </c:manualLayout>
              </c:layout>
              <c:numFmt formatCode="0.00%" sourceLinked="0"/>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dLblPos val="bestFit"/>
              <c:showLegendKey val="0"/>
              <c:showVal val="1"/>
              <c:showCatName val="1"/>
              <c:showSerName val="0"/>
              <c:showPercent val="1"/>
              <c:showBubbleSize val="0"/>
            </c:dLbl>
            <c:dLbl>
              <c:idx val="2"/>
              <c:layout>
                <c:manualLayout>
                  <c:x val="-0.04505642"/>
                  <c:y val="0.08345213"/>
                </c:manualLayout>
              </c:layout>
              <c:numFmt formatCode="0.00%" sourceLinked="0"/>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dLblPos val="bestFit"/>
              <c:showLegendKey val="0"/>
              <c:showVal val="1"/>
              <c:showCatName val="1"/>
              <c:showSerName val="0"/>
              <c:showPercent val="1"/>
              <c:showBubbleSize val="0"/>
            </c:dLbl>
            <c:dLblPos val="ctr"/>
            <c:showLegendKey val="0"/>
            <c:showVal val="1"/>
            <c:showCatName val="1"/>
            <c:showSerName val="0"/>
            <c:showPercent val="1"/>
            <c:showBubbleSize val="0"/>
            <c:showLeaderLines val="1"/>
          </c:dLbls>
          <c:cat>
            <c:strRef>
              <c:f>'Sheet1 (7)'!$A$2:$A$4</c:f>
              <c:strCache>
                <c:ptCount val="3"/>
                <c:pt idx="0">
                  <c:v>因公出国（境）费支出</c:v>
                </c:pt>
                <c:pt idx="1">
                  <c:v>公务用车购置及运行维护费支出</c:v>
                </c:pt>
                <c:pt idx="2">
                  <c:v>公务接待费支出</c:v>
                </c:pt>
              </c:strCache>
            </c:strRef>
          </c:cat>
          <c:val>
            <c:numRef>
              <c:f>'Sheet1 (7)'!$B$2:$B$4</c:f>
              <c:numCache>
                <c:formatCode>General</c:formatCode>
                <c:ptCount val="3"/>
                <c:pt idx="0">
                  <c:v>0.0</c:v>
                </c:pt>
                <c:pt idx="1">
                  <c:v>0.0</c:v>
                </c:pt>
                <c:pt idx="2">
                  <c:v>0.0</c:v>
                </c:pt>
              </c:numCache>
            </c:numRef>
          </c:val>
        </c:ser>
        <c:firstSliceAng val="0"/>
      </c:pieChart>
      <c:spPr>
        <a:noFill/>
        <a:ln>
          <a:noFill/>
        </a:ln>
      </c:spPr>
    </c:plotArea>
    <c:legend>
      <c:legendPos val="r"/>
      <c:layout/>
      <c:overlay val="0"/>
      <c:spPr>
        <a:solidFill>
          <a:srgbClr val="F2F2F2">
            <a:alpha val="39000"/>
          </a:srgbClr>
        </a:solidFill>
        <a:ln>
          <a:noFill/>
        </a:ln>
      </c:spPr>
      <c:txPr>
        <a:bodyPr/>
        <a:lstStyle/>
        <a:p>
          <a:pPr>
            <a:defRPr sz="900" b="0" i="0" u="none" strike="noStrike" baseline="0">
              <a:solidFill>
                <a:srgbClr val="404040"/>
              </a:solidFill>
              <a:latin typeface="Times New Roman"/>
              <a:ea typeface="宋体"/>
              <a:cs typeface="Lucida Sans"/>
            </a:defRPr>
          </a:pPr>
          <a:endParaRPr lang="zh-CN"/>
        </a:p>
      </c:txPr>
    </c:legend>
    <c:plotVisOnly val="1"/>
    <c:dispBlanksAs val="gap"/>
    <c:showDLblsOverMax val="0"/>
  </c:chart>
  <c:spPr>
    <a:gradFill rotWithShape="1">
      <a:gsLst>
        <a:gs pos="0">
          <a:srgbClr val="FFFFFF">
            <a:alpha val="100000"/>
          </a:srgbClr>
        </a:gs>
        <a:gs pos="39000">
          <a:srgbClr val="FFFFFF">
            <a:alpha val="100000"/>
          </a:srgbClr>
        </a:gs>
        <a:gs pos="100000">
          <a:srgbClr val="BFBFBF">
            <a:alpha val="100000"/>
          </a:srgbClr>
        </a:gs>
      </a:gsLst>
      <a:path path="circle">
        <a:fillToRect l="100000" t="100000"/>
      </a:path>
      <a:tileRect r="-100000" b="-100000"/>
    </a:gradFill>
    <a:ln w="6350">
      <a:solidFill>
        <a:srgbClr val="BFBFBF"/>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7AEBEA3E-E0D0-458E-B8C5-02AEADF5ED2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17</Pages>
  <Words>0</Words>
  <Characters>3723</Characters>
  <Lines>0</Lines>
  <Paragraphs>201</Paragraphs>
  <CharactersWithSpaces>4964</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2</cp:revision>
  <cp:lastPrinted>2023-10-11T10:31:00Z</cp:lastPrinted>
  <dcterms:created xsi:type="dcterms:W3CDTF">2023-10-11T06:15:00Z</dcterms:created>
  <dcterms:modified xsi:type="dcterms:W3CDTF">2023-10-19T09:23:52Z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1459C8D5858C4A14B3479EB1DA9D7892_13</vt:lpwstr>
  </property>
</Properties>
</file>