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hAnsi="宋体"/>
          <w:szCs w:val="21"/>
        </w:rPr>
      </w:pPr>
      <w:bookmarkStart w:id="0" w:name="_Toc15306267"/>
      <w:bookmarkStart w:id="1" w:name="_GoBack"/>
      <w:bookmarkEnd w:id="1"/>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2" w:name="_Toc15377425"/>
      <w:bookmarkStart w:id="3" w:name="_Toc15377193"/>
      <w:bookmarkStart w:id="4" w:name="_Toc15378441"/>
      <w:bookmarkStart w:id="5" w:name="_Toc15396597"/>
      <w:bookmarkStart w:id="6" w:name="_Toc15396475"/>
      <w:r>
        <w:rPr>
          <w:rFonts w:ascii="方正小标宋简体" w:eastAsia="方正小标宋简体" w:cs="方正小标宋简体" w:hAnsi="方正小标宋简体" w:hint="eastAsia"/>
          <w:sz w:val="72"/>
          <w:szCs w:val="72"/>
        </w:rPr>
        <w:t>2022年度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cs="方正小标宋简体" w:hAnsi="方正小标宋简体"/>
          <w:sz w:val="70"/>
          <w:szCs w:val="70"/>
        </w:rPr>
      </w:pPr>
      <w:bookmarkEnd w:id="0"/>
      <w:r>
        <w:rPr>
          <w:rFonts w:ascii="方正小标宋简体" w:eastAsia="方正小标宋简体" w:cs="方正小标宋简体" w:hAnsi="方正小标宋简体" w:hint="eastAsia"/>
          <w:sz w:val="70"/>
          <w:szCs w:val="70"/>
        </w:rPr>
        <w:t>四川省广元市利州区</w:t>
      </w:r>
    </w:p>
    <w:p>
      <w:pPr>
        <w:widowControl/>
        <w:jc w:val="center"/>
        <w:rPr>
          <w:rFonts w:ascii="黑体" w:eastAsia="黑体" w:hAnsi="黑体"/>
          <w:sz w:val="48"/>
          <w:szCs w:val="48"/>
        </w:rPr>
      </w:pPr>
      <w:r>
        <w:rPr>
          <w:rFonts w:ascii="方正小标宋简体" w:eastAsia="方正小标宋简体" w:cs="方正小标宋简体" w:hAnsi="方正小标宋简体" w:hint="eastAsia"/>
          <w:sz w:val="70"/>
          <w:szCs w:val="70"/>
        </w:rPr>
        <w:t>回龙小学单位决算</w:t>
      </w:r>
      <w:r>
        <w:rPr>
          <w:rFonts w:ascii="方正小标宋简体" w:eastAsia="方正小标宋简体" w:hAnsi="宋体"/>
          <w:sz w:val="36"/>
          <w:szCs w:val="36"/>
        </w:rPr>
        <w:br w:type="page"/>
      </w:r>
      <w:r>
        <w:rPr>
          <w:rFonts w:ascii="黑体" w:eastAsia="黑体" w:hAnsi="黑体" w:hint="eastAsia"/>
          <w:sz w:val="48"/>
          <w:szCs w:val="48"/>
        </w:rPr>
        <w:t>目录</w:t>
      </w:r>
    </w:p>
    <w:p>
      <w:pPr>
        <w:widowControl/>
        <w:jc w:val="center"/>
        <w:rPr>
          <w:rFonts w:ascii="黑体" w:eastAsia="黑体" w:cs="Arial" w:hAnsi="黑体"/>
          <w:sz w:val="28"/>
          <w:szCs w:val="28"/>
        </w:rPr>
      </w:pPr>
    </w:p>
    <w:p>
      <w:pPr>
        <w:pStyle w:val="20"/>
        <w:tabs>
          <w:tab w:val="right" w:leader="dot" w:pos="8296"/>
        </w:tabs>
      </w:pPr>
      <w:r>
        <w:rPr>
          <w:rFonts w:hint="eastAsia"/>
        </w:rPr>
        <w:t>公开时间：2023年</w:t>
      </w:r>
      <w:r>
        <w:rPr>
          <w:rFonts w:hint="eastAsia"/>
          <w:lang w:val="en-US" w:eastAsia="zh-CN"/>
        </w:rPr>
        <w:t>10</w:t>
      </w:r>
      <w:r>
        <w:rPr>
          <w:rFonts w:hint="eastAsia"/>
        </w:rPr>
        <w:t>月</w:t>
      </w:r>
      <w:r>
        <w:rPr>
          <w:rFonts w:hint="eastAsia"/>
          <w:lang w:val="en-US" w:eastAsia="zh-CN"/>
        </w:rPr>
        <w:t>15</w:t>
      </w:r>
      <w:r>
        <w:rPr>
          <w:rFonts w:hint="eastAsia"/>
        </w:rPr>
        <w:t>日</w:t>
      </w:r>
    </w:p>
    <w:p/>
    <w:p>
      <w:pPr>
        <w:pStyle w:val="20"/>
        <w:tabs>
          <w:tab w:val="right" w:leader="dot" w:pos="8296"/>
        </w:tabs>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 xml:space="preserve">单位概况  </w:t>
      </w:r>
    </w:p>
    <w:p>
      <w:pPr>
        <w:pStyle w:val="21"/>
        <w:tabs>
          <w:tab w:val="right" w:leader="dot" w:pos="8296"/>
        </w:tabs>
        <w:adjustRightInd w:val="0"/>
        <w:snapToGrid w:val="0"/>
        <w:spacing w:line="440" w:lineRule="exact"/>
        <w:jc w:val="left"/>
        <w:rPr>
          <w:sz w:val="24"/>
        </w:rPr>
      </w:pPr>
      <w:r>
        <w:rPr>
          <w:rFonts w:hint="eastAsia"/>
          <w:sz w:val="24"/>
        </w:rPr>
        <w:t xml:space="preserve">一、主要职责  </w:t>
      </w:r>
      <w:r>
        <w:rPr>
          <w:sz w:val="24"/>
        </w:rPr>
        <w:t xml:space="preserve">   </w:t>
      </w:r>
    </w:p>
    <w:p>
      <w:pPr>
        <w:pStyle w:val="21"/>
        <w:tabs>
          <w:tab w:val="right" w:leader="dot" w:pos="8296"/>
        </w:tabs>
        <w:adjustRightInd w:val="0"/>
        <w:snapToGrid w:val="0"/>
        <w:spacing w:line="440" w:lineRule="exact"/>
        <w:jc w:val="left"/>
      </w:pPr>
      <w:r>
        <w:rPr>
          <w:rFonts w:hint="eastAsia"/>
          <w:sz w:val="24"/>
        </w:rPr>
        <w:t xml:space="preserve">二、机构设置 </w:t>
      </w:r>
      <w:r>
        <w:rPr>
          <w:sz w:val="24"/>
        </w:rPr>
        <w:t xml:space="preserve">   </w:t>
      </w:r>
    </w:p>
    <w:p>
      <w:pPr>
        <w:pStyle w:val="20"/>
        <w:tabs>
          <w:tab w:val="right" w:leader="dot" w:pos="8296"/>
        </w:tabs>
        <w:adjustRightInd w:val="0"/>
        <w:snapToGrid w:val="0"/>
        <w:spacing w:before="0" w:line="440" w:lineRule="exact"/>
        <w:jc w:val="left"/>
        <w:rPr>
          <w:sz w:val="24"/>
          <w:szCs w:val="24"/>
        </w:rPr>
      </w:pPr>
      <w:r>
        <w:rPr>
          <w:rFonts w:hint="eastAsia"/>
          <w:sz w:val="24"/>
        </w:rPr>
        <w:t xml:space="preserve">第二部分 2022年度单位决算情况说明  </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一、收入支出决算总体情况说明</w:t>
      </w:r>
      <w:r>
        <w:rPr>
          <w:rFonts w:ascii="仿宋" w:eastAsia="仿宋" w:hAnsi="仿宋" w:hint="eastAsia"/>
          <w:sz w:val="28"/>
          <w:szCs w:val="28"/>
        </w:rPr>
        <w:t xml:space="preserve"> </w:t>
      </w:r>
    </w:p>
    <w:p>
      <w:pPr>
        <w:pStyle w:val="21"/>
        <w:tabs>
          <w:tab w:val="right" w:leader="dot" w:pos="8296"/>
        </w:tabs>
        <w:adjustRightInd w:val="0"/>
        <w:snapToGrid w:val="0"/>
        <w:spacing w:line="440" w:lineRule="exact"/>
        <w:jc w:val="left"/>
        <w:rPr>
          <w:rFonts w:hint="eastAsia"/>
          <w:sz w:val="24"/>
        </w:rPr>
      </w:pPr>
      <w:r>
        <w:rPr>
          <w:rFonts w:hint="eastAsia"/>
          <w:sz w:val="24"/>
        </w:rPr>
        <w:t xml:space="preserve">二、收入决算情况说明 </w:t>
      </w:r>
    </w:p>
    <w:p>
      <w:pPr>
        <w:pStyle w:val="21"/>
        <w:tabs>
          <w:tab w:val="right" w:leader="dot" w:pos="8296"/>
        </w:tabs>
        <w:adjustRightInd w:val="0"/>
        <w:snapToGrid w:val="0"/>
        <w:spacing w:line="440" w:lineRule="exact"/>
        <w:jc w:val="left"/>
        <w:rPr>
          <w:rFonts w:hint="eastAsia"/>
          <w:sz w:val="24"/>
        </w:rPr>
      </w:pPr>
      <w:r>
        <w:rPr>
          <w:rFonts w:hint="eastAsia"/>
          <w:sz w:val="24"/>
        </w:rPr>
        <w:t xml:space="preserve">三、支出决算情况说明  </w:t>
      </w:r>
    </w:p>
    <w:p>
      <w:pPr>
        <w:pStyle w:val="21"/>
        <w:tabs>
          <w:tab w:val="right" w:leader="dot" w:pos="8296"/>
        </w:tabs>
        <w:adjustRightInd w:val="0"/>
        <w:snapToGrid w:val="0"/>
        <w:spacing w:line="440" w:lineRule="exact"/>
        <w:jc w:val="left"/>
        <w:rPr>
          <w:rFonts w:hint="eastAsia"/>
          <w:sz w:val="24"/>
        </w:rPr>
      </w:pPr>
      <w:r>
        <w:rPr>
          <w:rFonts w:hint="eastAsia"/>
          <w:sz w:val="24"/>
        </w:rPr>
        <w:t xml:space="preserve">四、财政拨款收入支出决算总体情况说明 </w:t>
      </w:r>
      <w:r>
        <w:rPr>
          <w:sz w:val="24"/>
        </w:rPr>
        <w:t xml:space="preserve">  </w:t>
      </w:r>
      <w:r>
        <w:rPr>
          <w:rFonts w:hint="eastAsia"/>
          <w:sz w:val="24"/>
        </w:rPr>
        <w:t xml:space="preserve"> </w:t>
      </w:r>
    </w:p>
    <w:p>
      <w:pPr>
        <w:pStyle w:val="21"/>
        <w:tabs>
          <w:tab w:val="right" w:leader="dot" w:pos="8296"/>
        </w:tabs>
        <w:adjustRightInd w:val="0"/>
        <w:snapToGrid w:val="0"/>
        <w:spacing w:line="440" w:lineRule="exact"/>
        <w:jc w:val="left"/>
        <w:rPr>
          <w:rFonts w:hint="eastAsia"/>
          <w:sz w:val="24"/>
        </w:rPr>
      </w:pPr>
      <w:r>
        <w:rPr>
          <w:rFonts w:hint="eastAsia"/>
          <w:sz w:val="24"/>
        </w:rPr>
        <w:t>五、一般公共预算财政拨款支出决算情况说明</w:t>
      </w:r>
    </w:p>
    <w:p>
      <w:pPr>
        <w:pStyle w:val="21"/>
        <w:tabs>
          <w:tab w:val="right" w:leader="dot" w:pos="8296"/>
        </w:tabs>
        <w:adjustRightInd w:val="0"/>
        <w:snapToGrid w:val="0"/>
        <w:spacing w:line="440" w:lineRule="exact"/>
        <w:jc w:val="left"/>
        <w:rPr>
          <w:sz w:val="24"/>
        </w:rPr>
      </w:pPr>
      <w:r>
        <w:rPr>
          <w:rFonts w:hint="eastAsia"/>
          <w:sz w:val="24"/>
        </w:rPr>
        <w:t xml:space="preserve">六、一般公共预算财政拨款基本支出决算情况说明 </w:t>
      </w:r>
      <w:r>
        <w:rPr>
          <w:sz w:val="24"/>
        </w:rPr>
        <w:t xml:space="preserve"> </w:t>
      </w:r>
    </w:p>
    <w:p>
      <w:pPr>
        <w:pStyle w:val="21"/>
        <w:tabs>
          <w:tab w:val="right" w:leader="dot" w:pos="8296"/>
        </w:tabs>
        <w:adjustRightInd w:val="0"/>
        <w:snapToGrid w:val="0"/>
        <w:spacing w:line="440" w:lineRule="exact"/>
        <w:jc w:val="left"/>
        <w:rPr>
          <w:rFonts w:hint="eastAsia"/>
          <w:sz w:val="24"/>
        </w:rPr>
      </w:pPr>
      <w:r>
        <w:rPr>
          <w:rFonts w:hint="eastAsia"/>
          <w:sz w:val="24"/>
        </w:rPr>
        <w:t>七、财政拨款“三公”经费支出决算情况说明</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 xml:space="preserve">八、政府性基金预算支出决算情况说明 </w:t>
      </w:r>
    </w:p>
    <w:p>
      <w:pPr>
        <w:pStyle w:val="21"/>
        <w:tabs>
          <w:tab w:val="right" w:leader="dot" w:pos="8296"/>
        </w:tabs>
        <w:adjustRightInd w:val="0"/>
        <w:snapToGrid w:val="0"/>
        <w:spacing w:line="440" w:lineRule="exact"/>
        <w:jc w:val="left"/>
        <w:rPr>
          <w:rFonts w:hint="eastAsia"/>
          <w:sz w:val="24"/>
        </w:rPr>
      </w:pPr>
      <w:r>
        <w:rPr>
          <w:rFonts w:hint="eastAsia"/>
          <w:sz w:val="24"/>
        </w:rPr>
        <w:t xml:space="preserve">九、国有资本经营预算支出决算情况说明 </w:t>
      </w:r>
    </w:p>
    <w:p>
      <w:pPr>
        <w:pStyle w:val="21"/>
        <w:tabs>
          <w:tab w:val="right" w:leader="dot" w:pos="8296"/>
        </w:tabs>
        <w:adjustRightInd w:val="0"/>
        <w:snapToGrid w:val="0"/>
        <w:spacing w:line="440" w:lineRule="exact"/>
        <w:jc w:val="left"/>
        <w:rPr>
          <w:sz w:val="28"/>
          <w:szCs w:val="28"/>
        </w:rPr>
      </w:pPr>
      <w:r>
        <w:rPr>
          <w:rFonts w:hint="eastAsia"/>
          <w:sz w:val="24"/>
        </w:rPr>
        <w:t xml:space="preserve">十、其他重要事项的情况说明 </w:t>
      </w:r>
      <w:r>
        <w:rPr>
          <w:sz w:val="24"/>
        </w:rPr>
        <w:t xml:space="preserve">  </w:t>
      </w:r>
    </w:p>
    <w:p>
      <w:pPr>
        <w:pStyle w:val="20"/>
        <w:tabs>
          <w:tab w:val="right" w:leader="dot" w:pos="8296"/>
        </w:tabs>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r>
        <w:rPr>
          <w:rFonts w:hint="eastAsia"/>
        </w:rPr>
        <w:t xml:space="preserve"> </w:t>
      </w:r>
      <w:r>
        <w:t xml:space="preserve"> </w:t>
      </w:r>
    </w:p>
    <w:p>
      <w:pPr>
        <w:pStyle w:val="20"/>
        <w:tabs>
          <w:tab w:val="right" w:leader="dot" w:pos="8296"/>
        </w:tabs>
        <w:adjustRightInd w:val="0"/>
        <w:snapToGrid w:val="0"/>
        <w:spacing w:before="0" w:line="440" w:lineRule="exact"/>
        <w:jc w:val="left"/>
        <w:rPr>
          <w:rFonts w:hint="eastAsia"/>
          <w:sz w:val="24"/>
        </w:rPr>
      </w:pPr>
      <w:r>
        <w:rPr>
          <w:rFonts w:hint="eastAsia"/>
          <w:sz w:val="24"/>
        </w:rPr>
        <w:t>第四部分</w:t>
      </w:r>
      <w:r>
        <w:rPr>
          <w:sz w:val="24"/>
        </w:rPr>
        <w:t xml:space="preserve"> </w:t>
      </w:r>
      <w:r>
        <w:rPr>
          <w:rFonts w:hint="eastAsia"/>
          <w:sz w:val="24"/>
        </w:rPr>
        <w:t xml:space="preserve">附件   </w:t>
      </w:r>
    </w:p>
    <w:p>
      <w:pPr>
        <w:pStyle w:val="20"/>
        <w:tabs>
          <w:tab w:val="right" w:leader="dot" w:pos="8296"/>
        </w:tabs>
        <w:adjustRightInd w:val="0"/>
        <w:snapToGrid w:val="0"/>
        <w:spacing w:before="0" w:line="440" w:lineRule="exact"/>
        <w:ind w:firstLineChars="200" w:firstLine="480"/>
        <w:jc w:val="left"/>
        <w:rPr>
          <w:rFonts w:ascii="Times New Roman" w:eastAsia="宋体" w:cs="Times New Roman" w:hAnsi="Times New Roman" w:hint="eastAsia"/>
          <w:kern w:val="2"/>
          <w:sz w:val="24"/>
          <w:szCs w:val="24"/>
          <w:lang w:val="en-US" w:eastAsia="zh-CN" w:bidi="ar-SA"/>
        </w:rPr>
      </w:pPr>
      <w:r>
        <w:rPr>
          <w:rFonts w:ascii="Times New Roman" w:eastAsia="宋体" w:cs="Times New Roman" w:hAnsi="Times New Roman" w:hint="eastAsia"/>
          <w:kern w:val="2"/>
          <w:sz w:val="24"/>
          <w:szCs w:val="24"/>
          <w:lang w:val="en-US" w:eastAsia="zh-CN" w:bidi="ar-SA"/>
        </w:rPr>
        <w:t>部门预算项目支出绩效自评表（2022年度）</w:t>
      </w:r>
    </w:p>
    <w:p>
      <w:pPr>
        <w:pStyle w:val="20"/>
        <w:tabs>
          <w:tab w:val="right" w:leader="dot" w:pos="8296"/>
        </w:tabs>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 xml:space="preserve">附表      </w:t>
      </w:r>
    </w:p>
    <w:p>
      <w:pPr>
        <w:pStyle w:val="21"/>
        <w:tabs>
          <w:tab w:val="right" w:leader="dot" w:pos="8296"/>
        </w:tabs>
        <w:adjustRightInd w:val="0"/>
        <w:snapToGrid w:val="0"/>
        <w:spacing w:line="440" w:lineRule="exact"/>
        <w:jc w:val="left"/>
        <w:rPr>
          <w:rFonts w:hint="eastAsia"/>
          <w:sz w:val="24"/>
        </w:rPr>
      </w:pPr>
      <w:r>
        <w:rPr>
          <w:rFonts w:hint="eastAsia"/>
          <w:sz w:val="24"/>
        </w:rPr>
        <w:t xml:space="preserve">一、收入支出决算总表        </w:t>
      </w:r>
    </w:p>
    <w:p>
      <w:pPr>
        <w:pStyle w:val="21"/>
        <w:tabs>
          <w:tab w:val="right" w:leader="dot" w:pos="8296"/>
        </w:tabs>
        <w:adjustRightInd w:val="0"/>
        <w:snapToGrid w:val="0"/>
        <w:spacing w:line="440" w:lineRule="exact"/>
        <w:jc w:val="left"/>
        <w:rPr>
          <w:rFonts w:hint="eastAsia"/>
          <w:sz w:val="24"/>
        </w:rPr>
      </w:pPr>
      <w:r>
        <w:rPr>
          <w:rFonts w:hint="eastAsia"/>
          <w:sz w:val="24"/>
        </w:rPr>
        <w:t>二、收入决算表</w:t>
      </w:r>
    </w:p>
    <w:p>
      <w:pPr>
        <w:pStyle w:val="21"/>
        <w:tabs>
          <w:tab w:val="right" w:leader="dot" w:pos="8296"/>
        </w:tabs>
        <w:adjustRightInd w:val="0"/>
        <w:snapToGrid w:val="0"/>
        <w:spacing w:line="440" w:lineRule="exact"/>
        <w:jc w:val="left"/>
        <w:rPr>
          <w:rFonts w:hint="eastAsia"/>
          <w:sz w:val="24"/>
        </w:rPr>
      </w:pPr>
      <w:r>
        <w:rPr>
          <w:rFonts w:hint="eastAsia"/>
          <w:sz w:val="24"/>
        </w:rPr>
        <w:t xml:space="preserve">三、支出决算表 </w:t>
      </w:r>
    </w:p>
    <w:p>
      <w:pPr>
        <w:pStyle w:val="21"/>
        <w:tabs>
          <w:tab w:val="right" w:leader="dot" w:pos="8296"/>
        </w:tabs>
        <w:adjustRightInd w:val="0"/>
        <w:snapToGrid w:val="0"/>
        <w:spacing w:line="440" w:lineRule="exact"/>
        <w:jc w:val="left"/>
        <w:rPr>
          <w:rFonts w:hint="eastAsia"/>
          <w:sz w:val="24"/>
        </w:rPr>
      </w:pPr>
      <w:r>
        <w:rPr>
          <w:rFonts w:hint="eastAsia"/>
          <w:sz w:val="24"/>
        </w:rPr>
        <w:t xml:space="preserve">四、财政拨款收入支出决算总表       </w:t>
      </w:r>
    </w:p>
    <w:p>
      <w:pPr>
        <w:pStyle w:val="21"/>
        <w:tabs>
          <w:tab w:val="right" w:leader="dot" w:pos="8296"/>
        </w:tabs>
        <w:adjustRightInd w:val="0"/>
        <w:snapToGrid w:val="0"/>
        <w:spacing w:line="440" w:lineRule="exact"/>
        <w:jc w:val="left"/>
        <w:rPr>
          <w:rFonts w:hint="eastAsia"/>
          <w:sz w:val="24"/>
        </w:rPr>
      </w:pPr>
      <w:r>
        <w:rPr>
          <w:rFonts w:hint="eastAsia"/>
          <w:sz w:val="24"/>
        </w:rPr>
        <w:t xml:space="preserve">五、财政拨款支出决算明细表      </w:t>
      </w:r>
    </w:p>
    <w:p>
      <w:pPr>
        <w:pStyle w:val="21"/>
        <w:tabs>
          <w:tab w:val="right" w:leader="dot" w:pos="8296"/>
        </w:tabs>
        <w:adjustRightInd w:val="0"/>
        <w:snapToGrid w:val="0"/>
        <w:spacing w:line="440" w:lineRule="exact"/>
        <w:jc w:val="left"/>
        <w:rPr>
          <w:rFonts w:hint="eastAsia"/>
          <w:sz w:val="24"/>
        </w:rPr>
      </w:pPr>
      <w:r>
        <w:rPr>
          <w:rFonts w:hint="eastAsia"/>
          <w:sz w:val="24"/>
        </w:rPr>
        <w:t xml:space="preserve">六、一般公共预算财政拨款支出决算表  </w:t>
      </w:r>
    </w:p>
    <w:p>
      <w:pPr>
        <w:pStyle w:val="21"/>
        <w:tabs>
          <w:tab w:val="right" w:leader="dot" w:pos="8296"/>
        </w:tabs>
        <w:adjustRightInd w:val="0"/>
        <w:snapToGrid w:val="0"/>
        <w:spacing w:line="440" w:lineRule="exact"/>
        <w:jc w:val="left"/>
        <w:rPr>
          <w:rFonts w:hint="eastAsia"/>
          <w:sz w:val="24"/>
        </w:rPr>
      </w:pPr>
      <w:r>
        <w:rPr>
          <w:rFonts w:hint="eastAsia"/>
          <w:sz w:val="24"/>
        </w:rPr>
        <w:t xml:space="preserve">七、一般公共预算财政拨款支出决算明细表 </w:t>
      </w:r>
    </w:p>
    <w:p>
      <w:pPr>
        <w:pStyle w:val="21"/>
        <w:tabs>
          <w:tab w:val="right" w:leader="dot" w:pos="8296"/>
        </w:tabs>
        <w:adjustRightInd w:val="0"/>
        <w:snapToGrid w:val="0"/>
        <w:spacing w:line="440" w:lineRule="exact"/>
        <w:jc w:val="left"/>
        <w:rPr>
          <w:rFonts w:hint="eastAsia"/>
          <w:sz w:val="24"/>
        </w:rPr>
      </w:pPr>
      <w:r>
        <w:rPr>
          <w:rFonts w:hint="eastAsia"/>
          <w:sz w:val="24"/>
        </w:rPr>
        <w:t>八、一般公共预算财政拨款基本支出决算明细表</w:t>
      </w:r>
    </w:p>
    <w:p>
      <w:pPr>
        <w:pStyle w:val="21"/>
        <w:tabs>
          <w:tab w:val="right" w:leader="dot" w:pos="8296"/>
        </w:tabs>
        <w:adjustRightInd w:val="0"/>
        <w:snapToGrid w:val="0"/>
        <w:spacing w:line="440" w:lineRule="exact"/>
        <w:jc w:val="left"/>
        <w:rPr>
          <w:rFonts w:hint="eastAsia"/>
          <w:sz w:val="24"/>
        </w:rPr>
      </w:pPr>
      <w:r>
        <w:rPr>
          <w:rFonts w:hint="eastAsia"/>
          <w:sz w:val="24"/>
        </w:rPr>
        <w:t>九、一般公共预算财政拨款项目支出决算表</w:t>
      </w:r>
    </w:p>
    <w:p>
      <w:pPr>
        <w:pStyle w:val="21"/>
        <w:tabs>
          <w:tab w:val="right" w:leader="dot" w:pos="8296"/>
        </w:tabs>
        <w:adjustRightInd w:val="0"/>
        <w:snapToGrid w:val="0"/>
        <w:spacing w:line="440" w:lineRule="exact"/>
        <w:jc w:val="left"/>
        <w:rPr>
          <w:rFonts w:hint="eastAsia"/>
          <w:sz w:val="24"/>
        </w:rPr>
      </w:pPr>
      <w:r>
        <w:rPr>
          <w:rFonts w:hint="eastAsia"/>
          <w:sz w:val="24"/>
        </w:rPr>
        <w:t>十、政府性基金预算财政拨款收入支出决算表</w:t>
      </w:r>
    </w:p>
    <w:p>
      <w:pPr>
        <w:pStyle w:val="21"/>
        <w:tabs>
          <w:tab w:val="right" w:leader="dot" w:pos="8296"/>
        </w:tabs>
        <w:adjustRightInd w:val="0"/>
        <w:snapToGrid w:val="0"/>
        <w:spacing w:line="440" w:lineRule="exact"/>
        <w:jc w:val="left"/>
        <w:rPr>
          <w:rFonts w:hint="eastAsia"/>
          <w:sz w:val="24"/>
        </w:rPr>
      </w:pPr>
      <w:r>
        <w:rPr>
          <w:rFonts w:hint="eastAsia"/>
          <w:sz w:val="24"/>
        </w:rPr>
        <w:t>十一、国有资本经营预算财政拨款收入支出决算表</w:t>
      </w:r>
    </w:p>
    <w:p>
      <w:pPr>
        <w:pStyle w:val="21"/>
        <w:tabs>
          <w:tab w:val="right" w:leader="dot" w:pos="8296"/>
        </w:tabs>
        <w:adjustRightInd w:val="0"/>
        <w:snapToGrid w:val="0"/>
        <w:spacing w:line="440" w:lineRule="exact"/>
        <w:jc w:val="left"/>
        <w:rPr>
          <w:rFonts w:hint="eastAsia"/>
        </w:rPr>
      </w:pPr>
      <w:r>
        <w:rPr>
          <w:rFonts w:hint="eastAsia"/>
          <w:sz w:val="24"/>
        </w:rPr>
        <w:t>十二、国有资本经营预算财政拨款支出决算表</w:t>
      </w:r>
      <w:r>
        <w:rPr>
          <w:rFonts w:hint="eastAsia"/>
        </w:rPr>
        <w:t xml:space="preserve"> </w:t>
      </w:r>
    </w:p>
    <w:p>
      <w:pPr>
        <w:pStyle w:val="21"/>
        <w:tabs>
          <w:tab w:val="right" w:leader="dot" w:pos="8296"/>
        </w:tabs>
        <w:adjustRightInd w:val="0"/>
        <w:snapToGrid w:val="0"/>
        <w:spacing w:line="440" w:lineRule="exact"/>
        <w:jc w:val="left"/>
        <w:rPr>
          <w:sz w:val="28"/>
          <w:szCs w:val="28"/>
        </w:rPr>
      </w:pPr>
      <w:r>
        <w:rPr>
          <w:rFonts w:hint="eastAsia"/>
          <w:sz w:val="24"/>
        </w:rPr>
        <w:t xml:space="preserve">十三、财政拨款“三公”经费支出决算表    </w:t>
      </w:r>
    </w:p>
    <w:p>
      <w:pPr>
        <w:pStyle w:val="1"/>
        <w:jc w:val="center"/>
        <w:rPr>
          <w:rFonts w:ascii="黑体" w:eastAsia="黑体" w:hAnsi="黑体" w:hint="eastAsia"/>
          <w:b w:val="0"/>
        </w:rPr>
      </w:pPr>
      <w:bookmarkStart w:id="7" w:name="_Toc15396599"/>
      <w:bookmarkStart w:id="8" w:name="_Toc15377196"/>
    </w:p>
    <w:p>
      <w:pPr>
        <w:pStyle w:val="1"/>
        <w:jc w:val="center"/>
        <w:rPr>
          <w:rFonts w:ascii="黑体" w:eastAsia="黑体" w:hAnsi="黑体" w:hint="eastAsia"/>
          <w:b w:val="0"/>
        </w:rPr>
      </w:pPr>
    </w:p>
    <w:p>
      <w:pPr>
        <w:pStyle w:val="1"/>
        <w:jc w:val="center"/>
        <w:rPr>
          <w:rFonts w:ascii="黑体" w:eastAsia="黑体" w:hAnsi="黑体" w:hint="eastAsia"/>
          <w:b w:val="0"/>
        </w:rPr>
      </w:pPr>
    </w:p>
    <w:p>
      <w:pPr>
        <w:pStyle w:val="1"/>
        <w:jc w:val="center"/>
        <w:rPr>
          <w:rFonts w:ascii="黑体" w:eastAsia="黑体" w:hAnsi="黑体" w:hint="eastAsia"/>
          <w:b w:val="0"/>
        </w:rPr>
      </w:pPr>
    </w:p>
    <w:p>
      <w:pPr>
        <w:pStyle w:val="1"/>
        <w:jc w:val="center"/>
        <w:rPr>
          <w:rFonts w:ascii="黑体" w:eastAsia="黑体" w:hAnsi="黑体" w:hint="eastAsia"/>
          <w:b w:val="0"/>
        </w:rPr>
      </w:pPr>
    </w:p>
    <w:p>
      <w:pPr>
        <w:pStyle w:val="1"/>
        <w:jc w:val="both"/>
        <w:rPr>
          <w:rFonts w:ascii="黑体" w:eastAsia="黑体" w:hAnsi="黑体" w:hint="eastAsia"/>
          <w:b w:val="0"/>
        </w:rPr>
      </w:pPr>
    </w:p>
    <w:p>
      <w:pPr>
        <w:rPr>
          <w:rFonts w:ascii="黑体" w:eastAsia="黑体" w:hAnsi="黑体" w:hint="eastAsia"/>
          <w:b w:val="0"/>
        </w:rPr>
      </w:pPr>
    </w:p>
    <w:p>
      <w:pPr>
        <w:pStyle w:val="15"/>
        <w:rPr>
          <w:rFonts w:ascii="黑体" w:eastAsia="黑体" w:hAnsi="黑体" w:hint="eastAsia"/>
          <w:b w:val="0"/>
        </w:rPr>
      </w:pPr>
    </w:p>
    <w:p>
      <w:pPr>
        <w:pStyle w:val="15"/>
        <w:rPr>
          <w:rFonts w:ascii="黑体" w:eastAsia="黑体" w:hAnsi="黑体" w:hint="eastAsia"/>
          <w:b w:val="0"/>
        </w:rPr>
      </w:pPr>
    </w:p>
    <w:p>
      <w:pPr>
        <w:pStyle w:val="15"/>
        <w:rPr>
          <w:rFonts w:ascii="黑体" w:eastAsia="黑体" w:hAnsi="黑体" w:hint="eastAsia"/>
          <w:b w:val="0"/>
        </w:rPr>
      </w:pPr>
    </w:p>
    <w:p>
      <w:pPr>
        <w:pStyle w:val="1"/>
        <w:jc w:val="both"/>
        <w:rPr>
          <w:rFonts w:ascii="黑体" w:eastAsia="黑体" w:hAnsi="黑体" w:hint="eastAsia"/>
          <w:b w:val="0"/>
        </w:rPr>
      </w:pPr>
    </w:p>
    <w:p>
      <w:pPr>
        <w:pStyle w:val="1"/>
        <w:jc w:val="center"/>
        <w:rPr>
          <w:rStyle w:val="1Char"/>
          <w:rFonts w:ascii="黑体" w:eastAsia="黑体" w:hAnsi="黑体"/>
          <w:b/>
          <w:bCs w:val="0"/>
        </w:rPr>
      </w:pPr>
      <w:r>
        <w:rPr>
          <w:rFonts w:ascii="黑体" w:eastAsia="黑体" w:hAnsi="黑体" w:hint="eastAsia"/>
          <w:b w:val="0"/>
        </w:rPr>
        <w:t>第一部分 单位</w:t>
      </w:r>
      <w:r>
        <w:rPr>
          <w:rStyle w:val="1Char"/>
          <w:rFonts w:ascii="黑体" w:eastAsia="黑体" w:hAnsi="黑体" w:hint="eastAsia"/>
          <w:b w:val="0"/>
          <w:bCs w:val="0"/>
        </w:rPr>
        <w:t>概况</w:t>
      </w:r>
      <w:bookmarkEnd w:id="7"/>
      <w:bookmarkEnd w:id="8"/>
    </w:p>
    <w:p>
      <w:pPr>
        <w:pStyle w:val="15"/>
        <w:spacing w:beforeLines="0" w:before="93"/>
        <w:rPr>
          <w:rFonts w:eastAsia="黑体"/>
        </w:rPr>
      </w:pPr>
      <w:r>
        <w:rPr>
          <w:rFonts w:ascii="黑体" w:eastAsia="黑体" w:hint="eastAsia"/>
          <w:sz w:val="32"/>
          <w:szCs w:val="32"/>
        </w:rPr>
        <w:t>一、主要职责</w:t>
      </w:r>
    </w:p>
    <w:p>
      <w:pPr>
        <w:snapToGrid w:val="0"/>
        <w:spacing w:line="560" w:lineRule="exact"/>
        <w:ind w:firstLineChars="200" w:firstLine="560"/>
        <w:rPr>
          <w:rFonts w:ascii="仿宋" w:eastAsia="仿宋" w:hAnsi="仿宋"/>
          <w:sz w:val="28"/>
          <w:szCs w:val="28"/>
        </w:rPr>
      </w:pPr>
      <w:bookmarkStart w:id="9" w:name="_Toc15377197"/>
      <w:bookmarkStart w:id="10" w:name="_Toc15396600"/>
      <w:r>
        <w:rPr>
          <w:rFonts w:ascii="仿宋" w:eastAsia="仿宋" w:hAnsi="仿宋" w:hint="eastAsia"/>
          <w:sz w:val="28"/>
          <w:szCs w:val="28"/>
        </w:rPr>
        <w:t xml:space="preserve">1. </w:t>
      </w:r>
      <w:r>
        <w:rPr>
          <w:rFonts w:ascii="仿宋" w:eastAsia="仿宋" w:hAnsi="仿宋"/>
          <w:sz w:val="28"/>
          <w:szCs w:val="28"/>
        </w:rPr>
        <w:t>贯彻执行党和国家关于教育改革和发展的各项方针、政策。</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2. 实施小学义务教育，促进基础教育发展小学学历教育。</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3. 以习近平新时代中国特色社会主义思想为指导，大力推动学校党建工作。</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4. </w:t>
      </w:r>
      <w:r>
        <w:rPr>
          <w:rFonts w:ascii="仿宋" w:eastAsia="仿宋" w:hAnsi="仿宋"/>
          <w:sz w:val="28"/>
          <w:szCs w:val="28"/>
        </w:rPr>
        <w:t>负责</w:t>
      </w:r>
      <w:r>
        <w:rPr>
          <w:rFonts w:ascii="仿宋" w:eastAsia="仿宋" w:hAnsi="仿宋" w:hint="eastAsia"/>
          <w:sz w:val="28"/>
          <w:szCs w:val="28"/>
        </w:rPr>
        <w:t>单位</w:t>
      </w:r>
      <w:r>
        <w:rPr>
          <w:rFonts w:ascii="仿宋" w:eastAsia="仿宋" w:hAnsi="仿宋"/>
          <w:sz w:val="28"/>
          <w:szCs w:val="28"/>
        </w:rPr>
        <w:t>教育经费的</w:t>
      </w:r>
      <w:r>
        <w:rPr>
          <w:rFonts w:ascii="仿宋" w:eastAsia="仿宋" w:hAnsi="仿宋" w:hint="eastAsia"/>
          <w:sz w:val="28"/>
          <w:szCs w:val="28"/>
        </w:rPr>
        <w:t>管理</w:t>
      </w:r>
      <w:r>
        <w:rPr>
          <w:rFonts w:ascii="仿宋" w:eastAsia="仿宋" w:hAnsi="仿宋"/>
          <w:sz w:val="28"/>
          <w:szCs w:val="28"/>
        </w:rPr>
        <w:t>，</w:t>
      </w:r>
      <w:r>
        <w:rPr>
          <w:rFonts w:ascii="仿宋" w:eastAsia="仿宋" w:hAnsi="仿宋" w:hint="eastAsia"/>
          <w:sz w:val="28"/>
          <w:szCs w:val="28"/>
        </w:rPr>
        <w:t>保证小学正常运转，用于教学活动和后勤服务等方面开支</w:t>
      </w:r>
      <w:r>
        <w:rPr>
          <w:rFonts w:ascii="仿宋" w:eastAsia="仿宋" w:hAnsi="仿宋"/>
          <w:sz w:val="28"/>
          <w:szCs w:val="28"/>
        </w:rPr>
        <w:t>。</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5. 加强队伍建设，转变工作作风。</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6. 构建发展平台，引领教师专业发展。</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7. 深化常规管理，提高教育教学质量。</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8. 深化常规管理，提高教育教学质量。</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9. 强化安全意识，打造平安和谐校园。</w:t>
      </w:r>
    </w:p>
    <w:p>
      <w:pPr>
        <w:snapToGrid w:val="0"/>
        <w:spacing w:line="560" w:lineRule="exact"/>
        <w:ind w:firstLineChars="200" w:firstLine="560"/>
        <w:rPr>
          <w:rFonts w:ascii="楷体_GB2312" w:eastAsia="楷体_GB2312" w:hAnsi="仿宋"/>
          <w:color w:val="000000"/>
          <w:spacing w:val="-6"/>
          <w:kern w:val="2"/>
          <w:sz w:val="28"/>
          <w:szCs w:val="28"/>
        </w:rPr>
      </w:pPr>
      <w:r>
        <w:rPr>
          <w:rFonts w:ascii="仿宋" w:eastAsia="仿宋" w:hAnsi="仿宋" w:hint="eastAsia"/>
          <w:sz w:val="28"/>
          <w:szCs w:val="28"/>
        </w:rPr>
        <w:t>10. 紧跟时代步伐，发挥工会职能，增进民生福祉。</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11. 精准帮扶尽锐出战，关爱惠民传递温暖。</w:t>
      </w:r>
    </w:p>
    <w:p>
      <w:pPr>
        <w:snapToGrid w:val="0"/>
        <w:spacing w:line="560" w:lineRule="exact"/>
        <w:ind w:firstLineChars="200" w:firstLine="640"/>
        <w:rPr>
          <w:rFonts w:ascii="黑体" w:eastAsia="黑体"/>
          <w:sz w:val="32"/>
          <w:szCs w:val="32"/>
        </w:rPr>
      </w:pPr>
      <w:r>
        <w:rPr>
          <w:rFonts w:ascii="黑体" w:eastAsia="黑体" w:hint="eastAsia"/>
          <w:sz w:val="32"/>
          <w:szCs w:val="32"/>
        </w:rPr>
        <w:t>二、机构设置</w:t>
      </w:r>
    </w:p>
    <w:p>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（一）机构情况</w:t>
      </w:r>
    </w:p>
    <w:p>
      <w:pPr>
        <w:snapToGrid w:val="0"/>
        <w:spacing w:line="560" w:lineRule="exact"/>
        <w:ind w:firstLineChars="200" w:firstLine="560"/>
        <w:rPr>
          <w:rFonts w:ascii="仿宋_GB2312" w:eastAsia="仿宋_GB2312" w:hAnsi="仿宋"/>
          <w:sz w:val="28"/>
          <w:szCs w:val="28"/>
        </w:rPr>
      </w:pPr>
      <w:r>
        <w:rPr>
          <w:rFonts w:ascii="仿宋" w:eastAsia="仿宋" w:hAnsi="仿宋" w:hint="eastAsia"/>
          <w:color w:val="000000"/>
          <w:sz w:val="28"/>
          <w:szCs w:val="28"/>
        </w:rPr>
        <w:t>广元市利州区回龙小学隶属于广元市利州区教育局下属二级预算单位，</w:t>
      </w:r>
      <w:r>
        <w:rPr>
          <w:rFonts w:ascii="仿宋_GB2312" w:eastAsia="仿宋_GB2312" w:hAnsi="仿宋" w:hint="eastAsia"/>
          <w:sz w:val="28"/>
          <w:szCs w:val="28"/>
        </w:rPr>
        <w:t>是区编制委员会设立的独立法人机构，为经费独立核算单位。</w:t>
      </w:r>
    </w:p>
    <w:p>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（二）人员情况</w:t>
      </w:r>
    </w:p>
    <w:p>
      <w:pPr>
        <w:snapToGrid w:val="0"/>
        <w:spacing w:line="560" w:lineRule="exact"/>
        <w:ind w:firstLineChars="200" w:firstLine="560"/>
        <w:outlineLvl w:val="2"/>
        <w:rPr>
          <w:rFonts w:ascii="仿宋" w:eastAsia="仿宋" w:cs="仿宋_GB2312" w:hAnsi="仿宋"/>
          <w:sz w:val="28"/>
          <w:szCs w:val="28"/>
        </w:rPr>
      </w:pPr>
      <w:r>
        <w:rPr>
          <w:rFonts w:ascii="仿宋" w:eastAsia="仿宋" w:hAnsi="仿宋" w:hint="eastAsia"/>
          <w:color w:val="000000"/>
          <w:sz w:val="28"/>
          <w:szCs w:val="28"/>
        </w:rPr>
        <w:t>回龙小学</w:t>
      </w:r>
      <w:r>
        <w:rPr>
          <w:rFonts w:ascii="仿宋" w:eastAsia="仿宋" w:cs="仿宋_GB2312" w:hAnsi="仿宋" w:hint="eastAsia"/>
          <w:sz w:val="28"/>
          <w:szCs w:val="28"/>
        </w:rPr>
        <w:t>共有编制45名，其中全额财政补助事业编制</w:t>
      </w:r>
      <w:r>
        <w:rPr>
          <w:rFonts w:ascii="仿宋" w:eastAsia="仿宋" w:cs="仿宋_GB2312" w:hAnsi="仿宋"/>
          <w:sz w:val="28"/>
          <w:szCs w:val="28"/>
        </w:rPr>
        <w:t>45</w:t>
      </w:r>
      <w:r>
        <w:rPr>
          <w:rFonts w:ascii="仿宋" w:eastAsia="仿宋" w:cs="仿宋_GB2312" w:hAnsi="仿宋" w:hint="eastAsia"/>
          <w:sz w:val="28"/>
          <w:szCs w:val="28"/>
        </w:rPr>
        <w:t>人。截至2022年末，实有在职人员</w:t>
      </w:r>
      <w:r>
        <w:rPr>
          <w:rFonts w:ascii="仿宋" w:eastAsia="仿宋" w:cs="仿宋_GB2312" w:hAnsi="仿宋"/>
          <w:sz w:val="28"/>
          <w:szCs w:val="28"/>
        </w:rPr>
        <w:t>47</w:t>
      </w:r>
      <w:r>
        <w:rPr>
          <w:rFonts w:ascii="仿宋" w:eastAsia="仿宋" w:cs="仿宋_GB2312" w:hAnsi="仿宋" w:hint="eastAsia"/>
          <w:sz w:val="28"/>
          <w:szCs w:val="28"/>
        </w:rPr>
        <w:t>人。</w:t>
      </w:r>
    </w:p>
    <w:p>
      <w:pPr>
        <w:widowControl/>
        <w:jc w:val="left"/>
        <w:rPr>
          <w:rFonts w:ascii="仿宋" w:eastAsia="仿宋" w:hAnsi="仿宋"/>
          <w:kern w:val="0"/>
          <w:sz w:val="32"/>
          <w:szCs w:val="32"/>
        </w:rPr>
      </w:pPr>
      <w:bookmarkEnd w:id="9"/>
      <w:bookmarkEnd w:id="10"/>
      <w:r>
        <w:rPr>
          <w:rFonts w:ascii="仿宋" w:eastAsia="仿宋" w:hAnsi="仿宋"/>
          <w:sz w:val="32"/>
          <w:szCs w:val="32"/>
        </w:rPr>
        <w:br w:type="page"/>
      </w:r>
    </w:p>
    <w:p>
      <w:pPr>
        <w:pStyle w:val="1"/>
        <w:ind w:right="440"/>
        <w:jc w:val="center"/>
        <w:rPr>
          <w:rStyle w:val="1Char"/>
          <w:rFonts w:ascii="黑体" w:eastAsia="黑体" w:hAnsi="黑体"/>
          <w:b w:val="0"/>
          <w:bCs/>
        </w:rPr>
      </w:pPr>
      <w:bookmarkStart w:id="11" w:name="_Toc15377204"/>
      <w:bookmarkStart w:id="12" w:name="_Toc15396602"/>
      <w:r>
        <w:rPr>
          <w:rFonts w:ascii="黑体" w:eastAsia="黑体" w:hAnsi="黑体" w:hint="eastAsia"/>
          <w:b w:val="0"/>
          <w:lang w:val="en-US" w:eastAsia="zh-CN"/>
        </w:rPr>
        <w:t xml:space="preserve"> </w:t>
      </w:r>
      <w:r>
        <w:rPr>
          <w:rFonts w:ascii="黑体" w:eastAsia="黑体" w:hAnsi="黑体" w:hint="eastAsia"/>
          <w:b w:val="0"/>
        </w:rPr>
        <w:t>第二部分 2022年度</w:t>
      </w:r>
      <w:r>
        <w:rPr>
          <w:rStyle w:val="1Char"/>
          <w:rFonts w:ascii="黑体" w:eastAsia="黑体" w:hAnsi="黑体" w:hint="eastAsia"/>
          <w:b w:val="0"/>
          <w:bCs/>
        </w:rPr>
        <w:t>单位决算情况说明</w:t>
      </w:r>
      <w:bookmarkEnd w:id="11"/>
      <w:bookmarkEnd w:id="12"/>
    </w:p>
    <w:p>
      <w:pPr>
        <w:pStyle w:val="28"/>
        <w:numPr>
          <w:ilvl w:val="0"/>
          <w:numId w:val="1"/>
        </w:numPr>
        <w:spacing w:line="600" w:lineRule="exact"/>
        <w:ind w:firstLineChars="0"/>
        <w:outlineLvl w:val="1"/>
        <w:rPr>
          <w:rStyle w:val="2Char"/>
          <w:rFonts w:ascii="黑体" w:eastAsia="黑体" w:hAnsi="黑体"/>
          <w:b w:val="0"/>
        </w:rPr>
      </w:pPr>
      <w:bookmarkStart w:id="13" w:name="_Toc15377205"/>
      <w:bookmarkStart w:id="14"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3"/>
      <w:bookmarkEnd w:id="14"/>
    </w:p>
    <w:p>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2022年度收、支总计920.67万元。与2021年相比，收</w:t>
      </w:r>
      <w:r>
        <w:rPr>
          <w:rFonts w:ascii="仿宋" w:eastAsia="仿宋" w:hAnsi="仿宋" w:hint="eastAsia"/>
          <w:sz w:val="32"/>
          <w:szCs w:val="32"/>
          <w:lang w:eastAsia="zh-CN"/>
        </w:rPr>
        <w:t>、</w:t>
      </w:r>
      <w:r>
        <w:rPr>
          <w:rFonts w:ascii="仿宋" w:eastAsia="仿宋" w:hAnsi="仿宋" w:hint="eastAsia"/>
          <w:sz w:val="32"/>
          <w:szCs w:val="32"/>
        </w:rPr>
        <w:t>支出总计增加18.47万元，支出增长2.05</w:t>
      </w:r>
      <w:r>
        <w:rPr>
          <w:rFonts w:ascii="仿宋" w:eastAsia="仿宋" w:hAnsi="仿宋"/>
          <w:sz w:val="32"/>
          <w:szCs w:val="32"/>
        </w:rPr>
        <w:t>%</w:t>
      </w:r>
      <w:r>
        <w:rPr>
          <w:rFonts w:ascii="仿宋" w:eastAsia="仿宋" w:hAnsi="仿宋" w:hint="eastAsia"/>
          <w:sz w:val="32"/>
          <w:szCs w:val="32"/>
        </w:rPr>
        <w:t>。主要变动原因是人员工资增加。</w:t>
      </w:r>
    </w:p>
    <w:p>
      <w:pPr>
        <w:spacing w:line="600" w:lineRule="exact"/>
        <w:ind w:firstLineChars="200" w:firstLine="640"/>
        <w:rPr>
          <w:rFonts w:ascii="仿宋" w:eastAsia="仿宋" w:hAnsi="仿宋"/>
          <w:sz w:val="32"/>
          <w:szCs w:val="32"/>
        </w:rPr>
      </w:pPr>
      <w:r>
        <w:rPr>
          <w:sz w:val="32"/>
          <w:szCs w:val="32"/>
        </w:rPr>
        <w:drawing>
          <wp:anchor distT="0" distB="0" distL="114300" distR="114300" simplePos="0" relativeHeight="18" behindDoc="0" locked="0" layoutInCell="1" hidden="0" allowOverlap="1">
            <wp:simplePos x="0" y="0"/>
            <wp:positionH relativeFrom="column">
              <wp:posOffset>194945</wp:posOffset>
            </wp:positionH>
            <wp:positionV relativeFrom="paragraph">
              <wp:posOffset>187325</wp:posOffset>
            </wp:positionV>
            <wp:extent cx="5118100" cy="2514600"/>
            <wp:effectExtent l="0" t="0" r="0" b="0"/>
            <wp:wrapTight wrapText="bothSides">
              <wp:wrapPolygon>
                <wp:start x="-18" y="-65"/>
                <wp:lineTo x="-18" y="21534"/>
                <wp:lineTo x="21567" y="21534"/>
                <wp:lineTo x="21567" y="-65"/>
                <wp:lineTo x="-18" y="-65"/>
              </wp:wrapPolygon>
            </wp:wrapTight>
            <wp:docPr id="1" name="图表 1"/>
            <wp:cNvGraphicFramePr>
              <a:graphicFrameLocks noChangeAspect="0"/>
            </wp:cNvGraphicFramePr>
            <a:graphic>
              <a:graphicData uri="http://schemas.openxmlformats.org/drawingml/2006/chart">
                <c:chart xmlns:c="http://schemas.openxmlformats.org/drawingml/2006/chart" r:id="rId3"/>
              </a:graphicData>
            </a:graphic>
          </wp:anchor>
        </w:drawing>
      </w:r>
      <w:r>
        <w:rPr>
          <w:rFonts w:hint="eastAsia"/>
          <w:sz w:val="32"/>
          <w:szCs w:val="32"/>
        </w:rPr>
        <w:t xml:space="preserve">   </w:t>
      </w: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pPr>
        <w:pStyle w:val="28"/>
        <w:numPr>
          <w:ilvl w:val="0"/>
          <w:numId w:val="1"/>
        </w:numPr>
        <w:spacing w:line="600" w:lineRule="exact"/>
        <w:ind w:firstLineChars="0"/>
        <w:outlineLvl w:val="1"/>
        <w:rPr>
          <w:rStyle w:val="2Char"/>
          <w:rFonts w:ascii="黑体" w:eastAsia="黑体" w:hAnsi="黑体"/>
          <w:b w:val="0"/>
        </w:rPr>
      </w:pPr>
      <w:bookmarkStart w:id="15" w:name="_Toc15396604"/>
      <w:bookmarkStart w:id="16"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15"/>
      <w:bookmarkEnd w:id="16"/>
    </w:p>
    <w:p>
      <w:pPr>
        <w:spacing w:line="600" w:lineRule="exact"/>
        <w:ind w:firstLineChars="200" w:firstLine="640"/>
        <w:outlineLvl w:val="1"/>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22年本年收入合计874.92万元，其中：一般公共预算财政拨款收入862.94万元，占98.63</w:t>
      </w:r>
      <w:r>
        <w:rPr>
          <w:rFonts w:ascii="仿宋" w:eastAsia="仿宋" w:hAnsi="仿宋"/>
          <w:sz w:val="32"/>
          <w:szCs w:val="32"/>
        </w:rPr>
        <w:t>%</w:t>
      </w:r>
      <w:r>
        <w:rPr>
          <w:rFonts w:ascii="仿宋" w:eastAsia="仿宋" w:hAnsi="仿宋" w:hint="eastAsia"/>
          <w:sz w:val="32"/>
          <w:szCs w:val="32"/>
        </w:rPr>
        <w:t>；事业收入11.6万元，占1.33</w:t>
      </w:r>
      <w:r>
        <w:rPr>
          <w:rFonts w:ascii="仿宋" w:eastAsia="仿宋" w:hAnsi="仿宋"/>
          <w:sz w:val="32"/>
          <w:szCs w:val="32"/>
        </w:rPr>
        <w:t>%</w:t>
      </w:r>
      <w:r>
        <w:rPr>
          <w:rFonts w:ascii="仿宋" w:eastAsia="仿宋" w:hAnsi="仿宋" w:hint="eastAsia"/>
          <w:sz w:val="32"/>
          <w:szCs w:val="32"/>
        </w:rPr>
        <w:t>；其他收入0.38万元，占0.04</w:t>
      </w:r>
      <w:r>
        <w:rPr>
          <w:rFonts w:ascii="仿宋" w:eastAsia="仿宋" w:hAnsi="仿宋"/>
          <w:sz w:val="32"/>
          <w:szCs w:val="32"/>
        </w:rPr>
        <w:t>%</w:t>
      </w:r>
      <w:r>
        <w:rPr>
          <w:rFonts w:ascii="仿宋" w:eastAsia="仿宋" w:hAnsi="仿宋" w:hint="eastAsia"/>
          <w:sz w:val="32"/>
          <w:szCs w:val="32"/>
        </w:rPr>
        <w:t>。</w:t>
      </w:r>
    </w:p>
    <w:p>
      <w:pPr>
        <w:pStyle w:val="15"/>
        <w:spacing w:beforeLines="0" w:before="93"/>
        <w:rPr>
          <w:rFonts w:ascii="仿宋" w:eastAsia="仿宋" w:hAnsi="仿宋"/>
          <w:sz w:val="32"/>
          <w:szCs w:val="32"/>
        </w:rPr>
      </w:pPr>
      <w:r>
        <w:rPr>
          <w:sz w:val="32"/>
          <w:szCs w:val="32"/>
        </w:rPr>
        <w:drawing>
          <wp:anchor distT="0" distB="0" distL="114300" distR="114300" simplePos="0" relativeHeight="20" behindDoc="0" locked="0" layoutInCell="1" hidden="0" allowOverlap="1">
            <wp:simplePos x="0" y="0"/>
            <wp:positionH relativeFrom="column">
              <wp:posOffset>-242570</wp:posOffset>
            </wp:positionH>
            <wp:positionV relativeFrom="paragraph">
              <wp:posOffset>-7691755</wp:posOffset>
            </wp:positionV>
            <wp:extent cx="5267325" cy="3062604"/>
            <wp:effectExtent l="0" t="0" r="15" b="17"/>
            <wp:wrapSquare wrapText="bothSides"/>
            <wp:docPr id="2" name="图表 2"/>
            <wp:cNvGraphicFramePr>
              <a:graphicFrameLocks noChangeAspect="0"/>
            </wp:cNvGraphicFramePr>
            <a:graphic>
              <a:graphicData uri="http://schemas.openxmlformats.org/drawingml/2006/chart">
                <c:chart xmlns:c="http://schemas.openxmlformats.org/drawingml/2006/chart" r:id="rId4"/>
              </a:graphicData>
            </a:graphic>
          </wp:anchor>
        </w:drawing>
      </w:r>
      <w:r>
        <w:rPr>
          <w:rFonts w:ascii="仿宋" w:eastAsia="仿宋" w:hAnsi="仿宋" w:hint="eastAsia"/>
          <w:sz w:val="32"/>
          <w:szCs w:val="32"/>
        </w:rPr>
        <w:t>（图2：收入决算结构图）（饼状图）</w:t>
      </w:r>
    </w:p>
    <w:p>
      <w:pPr>
        <w:pStyle w:val="28"/>
        <w:numPr>
          <w:ilvl w:val="0"/>
          <w:numId w:val="1"/>
        </w:numPr>
        <w:spacing w:line="600" w:lineRule="exact"/>
        <w:ind w:firstLineChars="0"/>
        <w:outlineLvl w:val="1"/>
        <w:rPr>
          <w:rStyle w:val="2Char"/>
          <w:rFonts w:ascii="黑体" w:eastAsia="黑体" w:hAnsi="黑体"/>
          <w:b w:val="0"/>
        </w:rPr>
      </w:pPr>
      <w:bookmarkStart w:id="17" w:name="_Toc15377207"/>
      <w:bookmarkStart w:id="18"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17"/>
      <w:bookmarkEnd w:id="18"/>
    </w:p>
    <w:p>
      <w:pPr>
        <w:spacing w:line="600" w:lineRule="exact"/>
        <w:ind w:firstLineChars="200" w:firstLine="640"/>
        <w:outlineLvl w:val="1"/>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22年本年支出合计920.67万元，其中：基本支出825.3万元，占89.64</w:t>
      </w:r>
      <w:r>
        <w:rPr>
          <w:rFonts w:ascii="仿宋" w:eastAsia="仿宋" w:hAnsi="仿宋"/>
          <w:sz w:val="32"/>
          <w:szCs w:val="32"/>
        </w:rPr>
        <w:t>%</w:t>
      </w:r>
      <w:r>
        <w:rPr>
          <w:rFonts w:ascii="仿宋" w:eastAsia="仿宋" w:hAnsi="仿宋" w:hint="eastAsia"/>
          <w:sz w:val="32"/>
          <w:szCs w:val="32"/>
        </w:rPr>
        <w:t>；项目支出95.38万元，占10.36</w:t>
      </w:r>
      <w:r>
        <w:rPr>
          <w:rFonts w:ascii="仿宋" w:eastAsia="仿宋" w:hAnsi="仿宋"/>
          <w:sz w:val="32"/>
          <w:szCs w:val="32"/>
        </w:rPr>
        <w:t>%</w:t>
      </w:r>
      <w:r>
        <w:rPr>
          <w:rFonts w:ascii="仿宋" w:eastAsia="仿宋" w:hAnsi="仿宋" w:hint="eastAsia"/>
          <w:sz w:val="32"/>
          <w:szCs w:val="32"/>
        </w:rPr>
        <w:t>。</w:t>
      </w:r>
    </w:p>
    <w:p>
      <w:pPr>
        <w:pStyle w:val="15"/>
        <w:spacing w:beforeLines="0" w:before="93"/>
        <w:rPr>
          <w:rFonts w:ascii="仿宋" w:eastAsia="仿宋" w:hAnsi="仿宋"/>
          <w:sz w:val="32"/>
          <w:szCs w:val="32"/>
        </w:rPr>
      </w:pPr>
      <w:r>
        <w:rPr>
          <w:sz w:val="32"/>
          <w:szCs w:val="32"/>
        </w:rPr>
        <w:drawing>
          <wp:anchor distT="0" distB="0" distL="114300" distR="114300" simplePos="0" relativeHeight="22" behindDoc="0" locked="0" layoutInCell="1" hidden="0" allowOverlap="1">
            <wp:simplePos x="0" y="0"/>
            <wp:positionH relativeFrom="column">
              <wp:posOffset>59055</wp:posOffset>
            </wp:positionH>
            <wp:positionV relativeFrom="paragraph">
              <wp:posOffset>27305</wp:posOffset>
            </wp:positionV>
            <wp:extent cx="5298440" cy="2101215"/>
            <wp:effectExtent l="0" t="0" r="46" b="32"/>
            <wp:wrapSquare wrapText="bothSides"/>
            <wp:docPr id="3" name="图表 4"/>
            <wp:cNvGraphicFramePr>
              <a:graphicFrameLocks noChangeAspect="0"/>
            </wp:cNvGraphicFramePr>
            <a:graphic>
              <a:graphicData uri="http://schemas.openxmlformats.org/drawingml/2006/chart">
                <c:chart xmlns:c="http://schemas.openxmlformats.org/drawingml/2006/chart" r:id="rId5"/>
              </a:graphicData>
            </a:graphic>
          </wp:anchor>
        </w:drawing>
      </w:r>
      <w:r>
        <w:rPr>
          <w:rFonts w:hint="eastAsia"/>
          <w:sz w:val="32"/>
          <w:szCs w:val="32"/>
        </w:rPr>
        <w:t xml:space="preserve">   </w:t>
      </w:r>
      <w:r>
        <w:rPr>
          <w:rFonts w:ascii="仿宋" w:eastAsia="仿宋" w:hAnsi="仿宋" w:hint="eastAsia"/>
          <w:sz w:val="32"/>
          <w:szCs w:val="32"/>
        </w:rPr>
        <w:t>（图3：支出决算结构图）（饼状图）</w:t>
      </w:r>
    </w:p>
    <w:p>
      <w:pPr>
        <w:spacing w:line="600" w:lineRule="exact"/>
        <w:ind w:firstLineChars="200" w:firstLine="640"/>
        <w:outlineLvl w:val="1"/>
        <w:rPr>
          <w:rStyle w:val="2Char"/>
          <w:rFonts w:ascii="黑体" w:eastAsia="黑体" w:hAnsi="黑体"/>
          <w:b w:val="0"/>
        </w:rPr>
      </w:pPr>
      <w:bookmarkStart w:id="19" w:name="_Toc15377208"/>
      <w:bookmarkStart w:id="20"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19"/>
      <w:bookmarkEnd w:id="20"/>
    </w:p>
    <w:p>
      <w:pPr>
        <w:spacing w:line="600" w:lineRule="exact"/>
        <w:ind w:firstLineChars="200" w:firstLine="640"/>
        <w:rPr>
          <w:rFonts w:ascii="仿宋" w:eastAsia="仿宋" w:hAnsi="仿宋"/>
          <w:b/>
          <w:sz w:val="32"/>
          <w:szCs w:val="32"/>
        </w:rPr>
      </w:pPr>
      <w:r>
        <w:rPr>
          <w:rFonts w:ascii="仿宋" w:eastAsia="仿宋" w:hAnsi="仿宋" w:hint="eastAsia"/>
          <w:sz w:val="32"/>
          <w:szCs w:val="32"/>
        </w:rPr>
        <w:t>2022年度收、支总计920.67万元。与2021年相比，收</w:t>
      </w:r>
      <w:r>
        <w:rPr>
          <w:rFonts w:ascii="仿宋" w:eastAsia="仿宋" w:hAnsi="仿宋" w:hint="eastAsia"/>
          <w:sz w:val="32"/>
          <w:szCs w:val="32"/>
          <w:lang w:eastAsia="zh-CN"/>
        </w:rPr>
        <w:t>、</w:t>
      </w:r>
      <w:r>
        <w:rPr>
          <w:rFonts w:ascii="仿宋" w:eastAsia="仿宋" w:hAnsi="仿宋" w:hint="eastAsia"/>
          <w:sz w:val="32"/>
          <w:szCs w:val="32"/>
        </w:rPr>
        <w:t>支出总计增加18.47万元，支出增长2.05</w:t>
      </w:r>
      <w:r>
        <w:rPr>
          <w:rFonts w:ascii="仿宋" w:eastAsia="仿宋" w:hAnsi="仿宋"/>
          <w:sz w:val="32"/>
          <w:szCs w:val="32"/>
        </w:rPr>
        <w:t>%</w:t>
      </w:r>
      <w:r>
        <w:rPr>
          <w:rFonts w:ascii="仿宋" w:eastAsia="仿宋" w:hAnsi="仿宋" w:hint="eastAsia"/>
          <w:sz w:val="32"/>
          <w:szCs w:val="32"/>
        </w:rPr>
        <w:t>。主要变动原因是人员工资增加</w:t>
      </w:r>
      <w:r>
        <w:rPr>
          <w:rStyle w:val="22"/>
          <w:rFonts w:ascii="仿宋" w:eastAsia="仿宋" w:cs="Arial" w:hAnsi="仿宋" w:hint="eastAsia"/>
          <w:b w:val="0"/>
          <w:bCs/>
          <w:color w:val="000000"/>
          <w:sz w:val="32"/>
          <w:szCs w:val="32"/>
          <w14:textFill>
            <w14:solidFill>
              <w14:srgbClr w14:val="000000"/>
            </w14:solidFill>
          </w14:textFill>
        </w:rPr>
        <w:t>。</w:t>
      </w:r>
    </w:p>
    <w:p>
      <w:pPr>
        <w:pStyle w:val="15"/>
        <w:spacing w:beforeLines="0" w:before="93"/>
        <w:rPr>
          <w:rFonts w:ascii="仿宋" w:eastAsia="仿宋" w:hAnsi="仿宋"/>
          <w:sz w:val="32"/>
          <w:szCs w:val="32"/>
        </w:rPr>
      </w:pPr>
      <w:r>
        <w:rPr>
          <w:sz w:val="32"/>
          <w:szCs w:val="32"/>
        </w:rPr>
        <w:drawing>
          <wp:anchor distT="0" distB="0" distL="114300" distR="114300" simplePos="0" relativeHeight="24" behindDoc="0" locked="0" layoutInCell="1" hidden="0" allowOverlap="1">
            <wp:simplePos x="0" y="0"/>
            <wp:positionH relativeFrom="column">
              <wp:posOffset>135890</wp:posOffset>
            </wp:positionH>
            <wp:positionV relativeFrom="paragraph">
              <wp:posOffset>99060</wp:posOffset>
            </wp:positionV>
            <wp:extent cx="4643120" cy="1576069"/>
            <wp:effectExtent l="0" t="0" r="0" b="0"/>
            <wp:wrapTight wrapText="bothSides">
              <wp:wrapPolygon>
                <wp:start x="-11" y="-106"/>
                <wp:lineTo x="-11" y="21562"/>
                <wp:lineTo x="21567" y="21562"/>
                <wp:lineTo x="21567" y="-106"/>
                <wp:lineTo x="-11" y="-106"/>
              </wp:wrapPolygon>
            </wp:wrapTight>
            <wp:docPr id="4" name="图表 5"/>
            <wp:cNvGraphicFramePr>
              <a:graphicFrameLocks noChangeAspect="0"/>
            </wp:cNvGraphicFramePr>
            <a:graphic>
              <a:graphicData uri="http://schemas.openxmlformats.org/drawingml/2006/chart">
                <c:chart xmlns:c="http://schemas.openxmlformats.org/drawingml/2006/chart" r:id="rId6"/>
              </a:graphicData>
            </a:graphic>
          </wp:anchor>
        </w:drawing>
      </w:r>
      <w:r>
        <w:rPr>
          <w:rFonts w:hint="eastAsia"/>
          <w:sz w:val="32"/>
          <w:szCs w:val="32"/>
        </w:rPr>
        <w:t xml:space="preserve">   </w:t>
      </w:r>
      <w:r>
        <w:rPr>
          <w:rFonts w:ascii="仿宋" w:eastAsia="仿宋" w:hAnsi="仿宋" w:hint="eastAsia"/>
          <w:sz w:val="32"/>
          <w:szCs w:val="32"/>
        </w:rPr>
        <w:t>（图4：财政拨款收、支决算总计变动情况）（柱状图）</w:t>
      </w:r>
    </w:p>
    <w:p>
      <w:pPr>
        <w:spacing w:line="600" w:lineRule="exact"/>
        <w:ind w:firstLineChars="200" w:firstLine="640"/>
        <w:outlineLvl w:val="1"/>
        <w:rPr>
          <w:rStyle w:val="2Char"/>
          <w:rFonts w:ascii="黑体" w:eastAsia="黑体" w:hAnsi="黑体"/>
          <w:b w:val="0"/>
        </w:rPr>
      </w:pPr>
      <w:bookmarkStart w:id="21" w:name="_Toc15396607"/>
      <w:bookmarkStart w:id="22"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1"/>
      <w:bookmarkEnd w:id="22"/>
    </w:p>
    <w:p>
      <w:pPr>
        <w:spacing w:line="600" w:lineRule="exact"/>
        <w:ind w:firstLineChars="200" w:firstLine="640"/>
        <w:outlineLvl w:val="2"/>
        <w:rPr>
          <w:rFonts w:ascii="仿宋" w:eastAsia="仿宋" w:hAnsi="仿宋"/>
          <w:b/>
          <w:sz w:val="32"/>
          <w:szCs w:val="32"/>
        </w:rPr>
      </w:pPr>
      <w:bookmarkStart w:id="23" w:name="_Toc15377210"/>
      <w:r>
        <w:rPr>
          <w:rFonts w:ascii="仿宋" w:eastAsia="仿宋" w:hAnsi="仿宋" w:hint="eastAsia"/>
          <w:b/>
          <w:sz w:val="32"/>
          <w:szCs w:val="32"/>
        </w:rPr>
        <w:t>（一）一般公共预算财政拨款支出决算总体情况</w:t>
      </w:r>
      <w:bookmarkEnd w:id="23"/>
    </w:p>
    <w:p>
      <w:pPr>
        <w:spacing w:line="600" w:lineRule="exact"/>
        <w:ind w:firstLineChars="200" w:firstLine="640"/>
        <w:rPr>
          <w:rStyle w:val="22"/>
          <w:rFonts w:ascii="仿宋" w:eastAsia="仿宋" w:cs="Arial" w:hAnsi="仿宋"/>
          <w:b w:val="0"/>
          <w:bCs/>
          <w:color w:val="000000"/>
          <w:sz w:val="32"/>
          <w:szCs w:val="32"/>
          <w14:textFill>
            <w14:solidFill>
              <w14:srgbClr w14:val="000000"/>
            </w14:solidFill>
          </w14:textFill>
        </w:rPr>
      </w:pPr>
      <w:r>
        <w:rPr>
          <w:rFonts w:ascii="仿宋" w:eastAsia="仿宋" w:hAnsi="仿宋"/>
          <w:sz w:val="32"/>
          <w:szCs w:val="32"/>
        </w:rPr>
        <w:t>20</w:t>
      </w:r>
      <w:r>
        <w:rPr>
          <w:rFonts w:ascii="仿宋" w:eastAsia="仿宋" w:hAnsi="仿宋" w:hint="eastAsia"/>
          <w:sz w:val="32"/>
          <w:szCs w:val="32"/>
        </w:rPr>
        <w:t>22年一般公共预算财政拨款支出908.7万元，占本年支出合计的98.70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w:t>
      </w:r>
      <w:r>
        <w:rPr>
          <w:rFonts w:ascii="仿宋" w:eastAsia="仿宋" w:hAnsi="仿宋" w:hint="eastAsia"/>
          <w:sz w:val="32"/>
          <w:szCs w:val="32"/>
          <w:lang w:val="en-US" w:eastAsia="zh-CN"/>
        </w:rPr>
        <w:t>32.94</w:t>
      </w:r>
      <w:r>
        <w:rPr>
          <w:rFonts w:ascii="仿宋" w:eastAsia="仿宋" w:hAnsi="仿宋" w:hint="eastAsia"/>
          <w:sz w:val="32"/>
          <w:szCs w:val="32"/>
        </w:rPr>
        <w:t>万元，增长</w:t>
      </w:r>
      <w:r>
        <w:rPr>
          <w:rFonts w:ascii="仿宋" w:eastAsia="仿宋" w:hAnsi="仿宋" w:hint="eastAsia"/>
          <w:sz w:val="32"/>
          <w:szCs w:val="32"/>
          <w:lang w:val="en-US" w:eastAsia="zh-CN"/>
        </w:rPr>
        <w:t>3.76</w:t>
      </w:r>
      <w:r>
        <w:rPr>
          <w:rFonts w:ascii="仿宋" w:eastAsia="仿宋" w:hAnsi="仿宋"/>
          <w:sz w:val="32"/>
          <w:szCs w:val="32"/>
        </w:rPr>
        <w:t>%</w:t>
      </w:r>
      <w:r>
        <w:rPr>
          <w:rFonts w:ascii="仿宋" w:eastAsia="仿宋" w:hAnsi="仿宋" w:hint="eastAsia"/>
          <w:sz w:val="32"/>
          <w:szCs w:val="32"/>
        </w:rPr>
        <w:t>。主要变动原因是人员工资增加。</w:t>
      </w:r>
    </w:p>
    <w:p>
      <w:pPr>
        <w:spacing w:line="600" w:lineRule="exact"/>
        <w:rPr>
          <w:rFonts w:ascii="仿宋" w:eastAsia="仿宋" w:hAnsi="仿宋"/>
          <w:sz w:val="32"/>
          <w:szCs w:val="32"/>
        </w:rPr>
      </w:pPr>
      <w:r>
        <w:rPr>
          <w:rFonts w:ascii="仿宋_GB2312" w:eastAsia="仿宋_GB2312"/>
          <w:sz w:val="32"/>
          <w:szCs w:val="32"/>
        </w:rPr>
        <w:drawing>
          <wp:anchor distT="0" distB="0" distL="114300" distR="114300" simplePos="0" relativeHeight="26" behindDoc="0" locked="0" layoutInCell="1" hidden="0" allowOverlap="1">
            <wp:simplePos x="0" y="0"/>
            <wp:positionH relativeFrom="column">
              <wp:posOffset>40640</wp:posOffset>
            </wp:positionH>
            <wp:positionV relativeFrom="paragraph">
              <wp:posOffset>196850</wp:posOffset>
            </wp:positionV>
            <wp:extent cx="4787265" cy="1816100"/>
            <wp:effectExtent l="0" t="0" r="0" b="0"/>
            <wp:wrapTight wrapText="bothSides">
              <wp:wrapPolygon>
                <wp:start x="-11" y="-30"/>
                <wp:lineTo x="-11" y="21493"/>
                <wp:lineTo x="21562" y="21493"/>
                <wp:lineTo x="21562" y="-30"/>
                <wp:lineTo x="-11" y="-30"/>
              </wp:wrapPolygon>
            </wp:wrapTight>
            <wp:docPr id="5" name="图表 6"/>
            <wp:cNvGraphicFramePr>
              <a:graphicFrameLocks noChangeAspect="0"/>
            </wp:cNvGraphicFramePr>
            <a:graphic>
              <a:graphicData uri="http://schemas.openxmlformats.org/drawingml/2006/chart">
                <c:chart xmlns:c="http://schemas.openxmlformats.org/drawingml/2006/chart" r:id="rId7"/>
              </a:graphicData>
            </a:graphic>
          </wp:anchor>
        </w:drawing>
      </w:r>
      <w:r>
        <w:rPr>
          <w:rFonts w:ascii="仿宋" w:eastAsia="仿宋" w:hAnsi="仿宋" w:hint="eastAsia"/>
          <w:sz w:val="32"/>
          <w:szCs w:val="32"/>
        </w:rPr>
        <w:t>（图5：一般公共预算财政拨款支出决算变动情况）（柱状图）</w:t>
      </w:r>
    </w:p>
    <w:p>
      <w:pPr>
        <w:spacing w:line="600" w:lineRule="exact"/>
        <w:ind w:firstLineChars="200" w:firstLine="640"/>
        <w:outlineLvl w:val="2"/>
        <w:rPr>
          <w:rFonts w:ascii="仿宋" w:eastAsia="仿宋" w:hAnsi="仿宋"/>
          <w:b/>
          <w:sz w:val="32"/>
          <w:szCs w:val="32"/>
        </w:rPr>
      </w:pPr>
      <w:bookmarkStart w:id="24" w:name="_Toc15377211"/>
      <w:r>
        <w:rPr>
          <w:rFonts w:ascii="仿宋" w:eastAsia="仿宋" w:hAnsi="仿宋" w:hint="eastAsia"/>
          <w:b/>
          <w:sz w:val="32"/>
          <w:szCs w:val="32"/>
        </w:rPr>
        <w:t>（二）一般公共预算财政拨款支出决算结构情况</w:t>
      </w:r>
      <w:bookmarkEnd w:id="24"/>
    </w:p>
    <w:p>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22年一般公共预算财政拨款支出908.7万元，主要用于以下方面</w:t>
      </w:r>
      <w:r>
        <w:rPr>
          <w:rFonts w:ascii="仿宋" w:eastAsia="仿宋" w:hAnsi="仿宋"/>
          <w:sz w:val="32"/>
          <w:szCs w:val="32"/>
        </w:rPr>
        <w:t>:</w:t>
      </w:r>
      <w:r>
        <w:rPr>
          <w:rFonts w:ascii="仿宋" w:eastAsia="仿宋" w:hAnsi="仿宋" w:hint="eastAsia"/>
          <w:b/>
          <w:sz w:val="32"/>
          <w:szCs w:val="32"/>
        </w:rPr>
        <w:t>教育支出780.31</w:t>
      </w:r>
      <w:r>
        <w:rPr>
          <w:rFonts w:ascii="仿宋" w:eastAsia="仿宋" w:hAnsi="仿宋" w:hint="eastAsia"/>
          <w:sz w:val="32"/>
          <w:szCs w:val="32"/>
        </w:rPr>
        <w:t>万元，占85.87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支出97.87</w:t>
      </w:r>
      <w:r>
        <w:rPr>
          <w:rFonts w:ascii="仿宋" w:eastAsia="仿宋" w:hAnsi="仿宋" w:hint="eastAsia"/>
          <w:sz w:val="32"/>
          <w:szCs w:val="32"/>
        </w:rPr>
        <w:t>万元，占10.77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卫生健康支出30.53</w:t>
      </w:r>
      <w:r>
        <w:rPr>
          <w:rFonts w:ascii="仿宋" w:eastAsia="仿宋" w:hAnsi="仿宋" w:hint="eastAsia"/>
          <w:sz w:val="32"/>
          <w:szCs w:val="32"/>
        </w:rPr>
        <w:t>万元，占3.36</w:t>
      </w:r>
      <w:r>
        <w:rPr>
          <w:rFonts w:ascii="仿宋" w:eastAsia="仿宋" w:hAnsi="仿宋"/>
          <w:sz w:val="32"/>
          <w:szCs w:val="32"/>
        </w:rPr>
        <w:t>%</w:t>
      </w:r>
      <w:r>
        <w:rPr>
          <w:rFonts w:ascii="仿宋" w:eastAsia="仿宋" w:hAnsi="仿宋" w:hint="eastAsia"/>
          <w:sz w:val="32"/>
          <w:szCs w:val="32"/>
        </w:rPr>
        <w:t>。</w:t>
      </w:r>
    </w:p>
    <w:p>
      <w:pPr>
        <w:pStyle w:val="15"/>
        <w:spacing w:beforeLines="0" w:before="93"/>
        <w:rPr>
          <w:rFonts w:ascii="仿宋" w:eastAsia="仿宋" w:hAnsi="仿宋"/>
          <w:b/>
          <w:sz w:val="32"/>
          <w:szCs w:val="32"/>
        </w:rPr>
      </w:pPr>
      <w:r>
        <w:rPr>
          <w:sz w:val="32"/>
          <w:szCs w:val="32"/>
        </w:rPr>
        <w:drawing>
          <wp:anchor distT="0" distB="0" distL="114300" distR="114300" simplePos="0" relativeHeight="28" behindDoc="0" locked="0" layoutInCell="1" hidden="0" allowOverlap="1">
            <wp:simplePos x="0" y="0"/>
            <wp:positionH relativeFrom="column">
              <wp:posOffset>426720</wp:posOffset>
            </wp:positionH>
            <wp:positionV relativeFrom="paragraph">
              <wp:posOffset>267335</wp:posOffset>
            </wp:positionV>
            <wp:extent cx="5298440" cy="2101215"/>
            <wp:effectExtent l="0" t="0" r="46" b="33"/>
            <wp:wrapSquare wrapText="bothSides"/>
            <wp:docPr id="6" name="图表 7"/>
            <wp:cNvGraphicFramePr>
              <a:graphicFrameLocks noChangeAspect="0"/>
            </wp:cNvGraphicFramePr>
            <a:graphic>
              <a:graphicData uri="http://schemas.openxmlformats.org/drawingml/2006/chart">
                <c:chart xmlns:c="http://schemas.openxmlformats.org/drawingml/2006/chart" r:id="rId8"/>
              </a:graphicData>
            </a:graphic>
          </wp:anchor>
        </w:drawing>
      </w:r>
    </w:p>
    <w:p>
      <w:pPr>
        <w:pStyle w:val="15"/>
        <w:spacing w:beforeLines="0" w:before="93"/>
        <w:rPr>
          <w:rFonts w:ascii="仿宋" w:eastAsia="仿宋" w:hAnsi="仿宋"/>
          <w:b/>
          <w:sz w:val="32"/>
          <w:szCs w:val="32"/>
        </w:rPr>
      </w:pPr>
    </w:p>
    <w:p>
      <w:pPr>
        <w:pStyle w:val="15"/>
        <w:spacing w:beforeLines="0" w:before="93"/>
        <w:rPr>
          <w:rFonts w:ascii="仿宋" w:eastAsia="仿宋" w:hAnsi="仿宋"/>
          <w:b/>
          <w:sz w:val="32"/>
          <w:szCs w:val="32"/>
        </w:rPr>
      </w:pPr>
    </w:p>
    <w:p>
      <w:pPr>
        <w:pStyle w:val="15"/>
        <w:spacing w:beforeLines="0" w:before="93"/>
        <w:rPr>
          <w:rFonts w:ascii="仿宋" w:eastAsia="仿宋" w:hAnsi="仿宋"/>
          <w:b/>
          <w:sz w:val="32"/>
          <w:szCs w:val="32"/>
        </w:rPr>
      </w:pPr>
    </w:p>
    <w:p>
      <w:pPr>
        <w:pStyle w:val="15"/>
        <w:spacing w:beforeLines="0" w:before="93"/>
        <w:rPr>
          <w:rFonts w:ascii="仿宋" w:eastAsia="仿宋" w:hAnsi="仿宋"/>
          <w:b/>
          <w:sz w:val="32"/>
          <w:szCs w:val="32"/>
        </w:rPr>
      </w:pPr>
    </w:p>
    <w:p>
      <w:pPr>
        <w:spacing w:line="600" w:lineRule="exact"/>
        <w:ind w:firstLine="640"/>
        <w:rPr>
          <w:rFonts w:ascii="仿宋" w:eastAsia="仿宋" w:hAnsi="仿宋"/>
          <w:sz w:val="32"/>
          <w:szCs w:val="32"/>
        </w:rPr>
      </w:pPr>
    </w:p>
    <w:p>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pPr>
        <w:spacing w:line="600" w:lineRule="exact"/>
        <w:ind w:firstLineChars="200" w:firstLine="640"/>
        <w:outlineLvl w:val="2"/>
        <w:rPr>
          <w:rFonts w:ascii="仿宋" w:eastAsia="仿宋" w:hAnsi="仿宋"/>
          <w:b/>
          <w:sz w:val="32"/>
          <w:szCs w:val="32"/>
        </w:rPr>
      </w:pPr>
      <w:bookmarkStart w:id="25" w:name="_Toc15377212"/>
      <w:r>
        <w:rPr>
          <w:rFonts w:ascii="仿宋" w:eastAsia="仿宋" w:hAnsi="仿宋" w:hint="eastAsia"/>
          <w:b/>
          <w:sz w:val="32"/>
          <w:szCs w:val="32"/>
        </w:rPr>
        <w:t>（三）一般公共预算财政拨款支出决算具体情况</w:t>
      </w:r>
      <w:bookmarkEnd w:id="25"/>
    </w:p>
    <w:p>
      <w:pPr>
        <w:spacing w:line="600" w:lineRule="exact"/>
        <w:ind w:firstLineChars="200" w:firstLine="640"/>
        <w:outlineLvl w:val="2"/>
        <w:rPr>
          <w:rStyle w:val="22"/>
          <w:rFonts w:ascii="仿宋" w:eastAsia="仿宋" w:hAnsi="仿宋" w:hint="eastAsia"/>
          <w:bCs/>
          <w:sz w:val="32"/>
          <w:szCs w:val="32"/>
        </w:rPr>
      </w:pPr>
      <w:bookmarkStart w:id="26" w:name="_Toc15377213"/>
      <w:bookmarkStart w:id="27" w:name="_Toc15377444"/>
      <w:bookmarkStart w:id="28" w:name="_Toc15378460"/>
      <w:r>
        <w:rPr>
          <w:rFonts w:ascii="仿宋" w:eastAsia="仿宋" w:hAnsi="仿宋" w:hint="eastAsia"/>
          <w:b/>
          <w:sz w:val="32"/>
          <w:szCs w:val="32"/>
        </w:rPr>
        <w:t>2022年一般公共预算支出决算数为908.7</w:t>
      </w:r>
      <w:r>
        <w:rPr>
          <w:rFonts w:ascii="仿宋" w:eastAsia="仿宋" w:hAnsi="仿宋" w:hint="eastAsia"/>
          <w:b/>
          <w:sz w:val="32"/>
          <w:szCs w:val="32"/>
          <w:lang w:val="en-US" w:eastAsia="zh-CN"/>
        </w:rPr>
        <w:t>万元</w:t>
      </w:r>
      <w:r>
        <w:rPr>
          <w:rFonts w:ascii="仿宋" w:eastAsia="仿宋" w:hAnsi="仿宋" w:hint="eastAsia"/>
          <w:sz w:val="32"/>
          <w:szCs w:val="32"/>
        </w:rPr>
        <w:t>，</w:t>
      </w:r>
      <w:r>
        <w:rPr>
          <w:rStyle w:val="22"/>
          <w:rFonts w:ascii="仿宋" w:eastAsia="仿宋" w:hAnsi="仿宋" w:hint="eastAsia"/>
          <w:bCs/>
          <w:sz w:val="32"/>
          <w:szCs w:val="32"/>
        </w:rPr>
        <w:t>完成预算</w:t>
      </w:r>
      <w:r>
        <w:rPr>
          <w:rStyle w:val="22"/>
          <w:rFonts w:ascii="仿宋" w:eastAsia="仿宋" w:hAnsi="仿宋" w:hint="eastAsia"/>
          <w:bCs/>
          <w:sz w:val="32"/>
          <w:szCs w:val="32"/>
          <w:lang w:val="en-US" w:eastAsia="zh-CN"/>
        </w:rPr>
        <w:t>100</w:t>
      </w:r>
      <w:r>
        <w:rPr>
          <w:rStyle w:val="22"/>
          <w:rFonts w:ascii="仿宋" w:eastAsia="仿宋" w:hAnsi="仿宋"/>
          <w:bCs/>
          <w:sz w:val="32"/>
          <w:szCs w:val="32"/>
        </w:rPr>
        <w:t>%</w:t>
      </w:r>
      <w:r>
        <w:rPr>
          <w:rStyle w:val="22"/>
          <w:rFonts w:ascii="仿宋" w:eastAsia="仿宋" w:hAnsi="仿宋" w:hint="eastAsia"/>
          <w:bCs/>
          <w:sz w:val="32"/>
          <w:szCs w:val="32"/>
        </w:rPr>
        <w:t>。其中：</w:t>
      </w:r>
      <w:bookmarkEnd w:id="26"/>
      <w:bookmarkEnd w:id="27"/>
      <w:bookmarkEnd w:id="28"/>
    </w:p>
    <w:p>
      <w:pPr>
        <w:pStyle w:val="15"/>
        <w:snapToGrid w:val="0"/>
        <w:spacing w:beforeLines="0" w:before="30" w:line="550" w:lineRule="exact"/>
        <w:ind w:firstLineChars="200" w:firstLine="640"/>
        <w:outlineLvl w:val="2"/>
      </w:pPr>
      <w:r>
        <w:rPr>
          <w:rStyle w:val="22"/>
          <w:rFonts w:ascii="仿宋" w:eastAsia="仿宋" w:cs="Arial" w:hAnsi="仿宋" w:hint="eastAsia"/>
          <w:bCs/>
          <w:kern w:val="2"/>
          <w:sz w:val="32"/>
          <w:szCs w:val="32"/>
        </w:rPr>
        <w:t>1</w:t>
      </w:r>
      <w:r>
        <w:rPr>
          <w:rStyle w:val="22"/>
          <w:rFonts w:ascii="仿宋" w:eastAsia="仿宋" w:cs="Arial" w:hAnsi="仿宋"/>
          <w:bCs/>
          <w:kern w:val="2"/>
          <w:sz w:val="32"/>
          <w:szCs w:val="32"/>
        </w:rPr>
        <w:t>.</w:t>
      </w:r>
      <w:r>
        <w:rPr>
          <w:rStyle w:val="22"/>
          <w:rFonts w:ascii="仿宋" w:eastAsia="仿宋" w:cs="Arial" w:hAnsi="仿宋" w:hint="eastAsia"/>
          <w:bCs/>
          <w:kern w:val="2"/>
          <w:sz w:val="32"/>
          <w:szCs w:val="32"/>
        </w:rPr>
        <w:t>教育支出（类）普通教育（款）学前教育（项）</w:t>
      </w:r>
      <w:r>
        <w:rPr>
          <w:rStyle w:val="22"/>
          <w:rFonts w:ascii="仿宋" w:eastAsia="仿宋" w:cs="Arial" w:hAnsi="仿宋"/>
          <w:bCs/>
          <w:kern w:val="2"/>
          <w:sz w:val="32"/>
          <w:szCs w:val="32"/>
        </w:rPr>
        <w:t>:</w:t>
      </w:r>
      <w:r>
        <w:rPr>
          <w:rStyle w:val="22"/>
          <w:rFonts w:ascii="仿宋" w:eastAsia="仿宋" w:hAnsi="仿宋" w:hint="eastAsia"/>
          <w:b w:val="0"/>
          <w:bCs/>
          <w:sz w:val="32"/>
          <w:szCs w:val="32"/>
        </w:rPr>
        <w:t>支出决算为</w:t>
      </w:r>
      <w:r>
        <w:rPr>
          <w:rStyle w:val="22"/>
          <w:rFonts w:ascii="仿宋" w:eastAsia="仿宋" w:hAnsi="仿宋" w:hint="eastAsia"/>
          <w:b w:val="0"/>
          <w:bCs/>
          <w:sz w:val="32"/>
          <w:szCs w:val="32"/>
          <w:lang w:val="en-US" w:eastAsia="zh-CN"/>
        </w:rPr>
        <w:t>33.28</w:t>
      </w:r>
      <w:r>
        <w:rPr>
          <w:rStyle w:val="22"/>
          <w:rFonts w:ascii="仿宋" w:eastAsia="仿宋" w:hAnsi="仿宋" w:hint="eastAsia"/>
          <w:b w:val="0"/>
          <w:bCs/>
          <w:sz w:val="32"/>
          <w:szCs w:val="32"/>
        </w:rPr>
        <w:t>万元，完成预算100</w:t>
      </w:r>
      <w:r>
        <w:rPr>
          <w:rStyle w:val="22"/>
          <w:rFonts w:ascii="仿宋" w:eastAsia="仿宋" w:hAnsi="仿宋"/>
          <w:b w:val="0"/>
          <w:bCs/>
          <w:sz w:val="32"/>
          <w:szCs w:val="32"/>
        </w:rPr>
        <w:t>%</w:t>
      </w:r>
      <w:r>
        <w:rPr>
          <w:rStyle w:val="22"/>
          <w:rFonts w:ascii="仿宋" w:eastAsia="仿宋" w:hAnsi="仿宋" w:hint="eastAsia"/>
          <w:b w:val="0"/>
          <w:bCs/>
          <w:color w:val="000000"/>
          <w:sz w:val="32"/>
          <w:szCs w:val="32"/>
          <w14:textFill>
            <w14:solidFill>
              <w14:srgbClr w14:val="000000"/>
            </w14:solidFill>
          </w14:textFill>
        </w:rPr>
        <w:t>。</w:t>
      </w:r>
    </w:p>
    <w:p>
      <w:pPr>
        <w:spacing w:line="600" w:lineRule="exact"/>
        <w:ind w:firstLineChars="200" w:firstLine="640"/>
        <w:rPr>
          <w:rStyle w:val="22"/>
          <w:rFonts w:ascii="仿宋" w:eastAsia="仿宋" w:hAnsi="仿宋" w:hint="eastAsia"/>
          <w:b w:val="0"/>
          <w:bCs/>
          <w:sz w:val="32"/>
          <w:szCs w:val="32"/>
        </w:rPr>
      </w:pPr>
      <w:r>
        <w:rPr>
          <w:rStyle w:val="22"/>
          <w:rFonts w:ascii="仿宋" w:eastAsia="仿宋" w:hAnsi="仿宋" w:hint="eastAsia"/>
          <w:bCs/>
          <w:sz w:val="32"/>
          <w:szCs w:val="32"/>
          <w:lang w:val="en-US" w:eastAsia="zh-CN"/>
        </w:rPr>
        <w:t>2</w:t>
      </w:r>
      <w:r>
        <w:rPr>
          <w:rStyle w:val="22"/>
          <w:rFonts w:ascii="仿宋" w:eastAsia="仿宋" w:hAnsi="仿宋"/>
          <w:bCs/>
          <w:sz w:val="32"/>
          <w:szCs w:val="32"/>
        </w:rPr>
        <w:t>.</w:t>
      </w:r>
      <w:r>
        <w:rPr>
          <w:rStyle w:val="22"/>
          <w:rFonts w:ascii="仿宋" w:eastAsia="仿宋" w:hAnsi="仿宋" w:hint="eastAsia"/>
          <w:bCs/>
          <w:sz w:val="32"/>
          <w:szCs w:val="32"/>
        </w:rPr>
        <w:t>教育（类）普通教育（款）小学教育（项）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w:t>
      </w:r>
      <w:r>
        <w:rPr>
          <w:rStyle w:val="22"/>
          <w:rFonts w:ascii="仿宋" w:eastAsia="仿宋" w:hAnsi="仿宋"/>
          <w:b w:val="0"/>
          <w:bCs/>
          <w:sz w:val="32"/>
          <w:szCs w:val="32"/>
        </w:rPr>
        <w:t>7</w:t>
      </w:r>
      <w:r>
        <w:rPr>
          <w:rStyle w:val="22"/>
          <w:rFonts w:ascii="仿宋" w:eastAsia="仿宋" w:hAnsi="仿宋" w:hint="eastAsia"/>
          <w:b w:val="0"/>
          <w:bCs/>
          <w:sz w:val="32"/>
          <w:szCs w:val="32"/>
          <w:lang w:val="en-US" w:eastAsia="zh-CN"/>
        </w:rPr>
        <w:t>47.03</w:t>
      </w:r>
      <w:r>
        <w:rPr>
          <w:rStyle w:val="22"/>
          <w:rFonts w:ascii="仿宋" w:eastAsia="仿宋" w:hAnsi="仿宋" w:hint="eastAsia"/>
          <w:b w:val="0"/>
          <w:bCs/>
          <w:sz w:val="32"/>
          <w:szCs w:val="32"/>
        </w:rPr>
        <w:t>万元，完成预算</w:t>
      </w:r>
      <w:r>
        <w:rPr>
          <w:rStyle w:val="22"/>
          <w:rFonts w:ascii="仿宋" w:eastAsia="仿宋" w:hAnsi="仿宋"/>
          <w:b w:val="0"/>
          <w:bCs/>
          <w:sz w:val="32"/>
          <w:szCs w:val="32"/>
        </w:rPr>
        <w:t>100%</w:t>
      </w:r>
      <w:r>
        <w:rPr>
          <w:rStyle w:val="22"/>
          <w:rFonts w:ascii="仿宋" w:eastAsia="仿宋" w:hAnsi="仿宋" w:hint="eastAsia"/>
          <w:b w:val="0"/>
          <w:bCs/>
          <w:sz w:val="32"/>
          <w:szCs w:val="32"/>
        </w:rPr>
        <w:t>。</w:t>
      </w:r>
    </w:p>
    <w:p>
      <w:pPr>
        <w:snapToGrid w:val="0"/>
        <w:spacing w:line="560" w:lineRule="exact"/>
        <w:ind w:firstLineChars="200" w:firstLine="560"/>
        <w:rPr>
          <w:rStyle w:val="22"/>
          <w:rFonts w:ascii="仿宋_GB2312" w:eastAsia="仿宋_GB2312" w:hAnsi="仿宋"/>
          <w:bCs/>
          <w:color w:val="000000"/>
          <w:sz w:val="28"/>
          <w:szCs w:val="28"/>
          <w14:textFill>
            <w14:solidFill>
              <w14:srgbClr w14:val="000000"/>
            </w14:solidFill>
          </w14:textFill>
        </w:rPr>
      </w:pPr>
      <w:r>
        <w:rPr>
          <w:rStyle w:val="22"/>
          <w:rFonts w:ascii="仿宋_GB2312" w:eastAsia="仿宋_GB2312" w:hAnsi="仿宋" w:hint="eastAsia"/>
          <w:bCs/>
          <w:sz w:val="28"/>
          <w:szCs w:val="28"/>
          <w:lang w:val="en-US" w:eastAsia="zh-CN"/>
        </w:rPr>
        <w:t>3</w:t>
      </w:r>
      <w:r>
        <w:rPr>
          <w:rStyle w:val="22"/>
          <w:rFonts w:ascii="仿宋_GB2312" w:eastAsia="仿宋_GB2312" w:hAnsi="仿宋" w:hint="eastAsia"/>
          <w:bCs/>
          <w:sz w:val="28"/>
          <w:szCs w:val="28"/>
        </w:rPr>
        <w:t>.社会保障和就业（类）行政事业单位养老支出（款）机关事业单位基本养老保险缴费支出（项）:</w:t>
      </w:r>
      <w:r>
        <w:rPr>
          <w:rStyle w:val="22"/>
          <w:rFonts w:ascii="仿宋_GB2312" w:eastAsia="仿宋_GB2312" w:hAnsi="仿宋" w:hint="eastAsia"/>
          <w:b w:val="0"/>
          <w:bCs/>
          <w:sz w:val="28"/>
          <w:szCs w:val="28"/>
        </w:rPr>
        <w:t xml:space="preserve"> 支出决算为</w:t>
      </w:r>
      <w:r>
        <w:rPr>
          <w:rStyle w:val="22"/>
          <w:rFonts w:ascii="仿宋_GB2312" w:eastAsia="仿宋_GB2312" w:hAnsi="仿宋" w:hint="eastAsia"/>
          <w:b w:val="0"/>
          <w:bCs/>
          <w:sz w:val="28"/>
          <w:szCs w:val="28"/>
          <w:lang w:val="en-US" w:eastAsia="zh-CN"/>
        </w:rPr>
        <w:t>95.82</w:t>
      </w:r>
      <w:r>
        <w:rPr>
          <w:rStyle w:val="22"/>
          <w:rFonts w:ascii="仿宋_GB2312" w:eastAsia="仿宋_GB2312" w:hAnsi="仿宋" w:hint="eastAsia"/>
          <w:b w:val="0"/>
          <w:bCs/>
          <w:sz w:val="28"/>
          <w:szCs w:val="28"/>
        </w:rPr>
        <w:t>万元，完成预算100.00%</w:t>
      </w:r>
      <w:r>
        <w:rPr>
          <w:rStyle w:val="22"/>
          <w:rFonts w:ascii="仿宋_GB2312" w:eastAsia="仿宋_GB2312" w:hAnsi="仿宋" w:hint="eastAsia"/>
          <w:b w:val="0"/>
          <w:bCs/>
          <w:color w:val="000000"/>
          <w:sz w:val="28"/>
          <w:szCs w:val="28"/>
          <w14:textFill>
            <w14:solidFill>
              <w14:srgbClr w14:val="000000"/>
            </w14:solidFill>
          </w14:textFill>
        </w:rPr>
        <w:t>。</w:t>
      </w:r>
    </w:p>
    <w:p>
      <w:pPr>
        <w:spacing w:line="600" w:lineRule="exact"/>
        <w:ind w:firstLineChars="200" w:firstLine="640"/>
        <w:rPr>
          <w:rFonts w:ascii="仿宋" w:eastAsia="仿宋" w:hAnsi="仿宋"/>
          <w:b/>
          <w:sz w:val="32"/>
          <w:szCs w:val="32"/>
        </w:rPr>
      </w:pPr>
      <w:r>
        <w:rPr>
          <w:rStyle w:val="22"/>
          <w:rFonts w:ascii="仿宋" w:eastAsia="仿宋" w:hAnsi="仿宋" w:hint="eastAsia"/>
          <w:bCs/>
          <w:sz w:val="32"/>
          <w:szCs w:val="32"/>
          <w:lang w:val="en-US" w:eastAsia="zh-CN"/>
        </w:rPr>
        <w:t>4</w:t>
      </w:r>
      <w:r>
        <w:rPr>
          <w:rStyle w:val="22"/>
          <w:rFonts w:ascii="仿宋" w:eastAsia="仿宋" w:hAnsi="仿宋"/>
          <w:bCs/>
          <w:sz w:val="32"/>
          <w:szCs w:val="32"/>
        </w:rPr>
        <w:t>.</w:t>
      </w:r>
      <w:r>
        <w:rPr>
          <w:rStyle w:val="22"/>
          <w:rFonts w:ascii="仿宋" w:eastAsia="仿宋" w:hAnsi="仿宋" w:hint="eastAsia"/>
          <w:bCs/>
          <w:sz w:val="32"/>
          <w:szCs w:val="32"/>
        </w:rPr>
        <w:t>社会保障和就业（类）行政事业单位社会保障支出（款） 机关事业单位职业年金缴费支出（项）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w:t>
      </w:r>
      <w:r>
        <w:rPr>
          <w:rStyle w:val="22"/>
          <w:rFonts w:ascii="仿宋" w:eastAsia="仿宋" w:hAnsi="仿宋" w:hint="eastAsia"/>
          <w:b w:val="0"/>
          <w:bCs/>
          <w:sz w:val="32"/>
          <w:szCs w:val="32"/>
          <w:lang w:val="en-US" w:eastAsia="zh-CN"/>
        </w:rPr>
        <w:t>2.05</w:t>
      </w:r>
      <w:r>
        <w:rPr>
          <w:rStyle w:val="22"/>
          <w:rFonts w:ascii="仿宋" w:eastAsia="仿宋" w:hAnsi="仿宋" w:hint="eastAsia"/>
          <w:b w:val="0"/>
          <w:bCs/>
          <w:sz w:val="32"/>
          <w:szCs w:val="32"/>
        </w:rPr>
        <w:t>万元，完成预算100</w:t>
      </w:r>
      <w:r>
        <w:rPr>
          <w:rStyle w:val="22"/>
          <w:rFonts w:ascii="仿宋" w:eastAsia="仿宋" w:hAnsi="仿宋"/>
          <w:b w:val="0"/>
          <w:bCs/>
          <w:sz w:val="32"/>
          <w:szCs w:val="32"/>
        </w:rPr>
        <w:t>%</w:t>
      </w:r>
      <w:r>
        <w:rPr>
          <w:rStyle w:val="22"/>
          <w:rFonts w:ascii="仿宋" w:eastAsia="仿宋" w:hAnsi="仿宋" w:hint="eastAsia"/>
          <w:b w:val="0"/>
          <w:bCs/>
          <w:sz w:val="32"/>
          <w:szCs w:val="32"/>
        </w:rPr>
        <w:t>。</w:t>
      </w:r>
    </w:p>
    <w:p>
      <w:pPr>
        <w:spacing w:line="600" w:lineRule="exact"/>
        <w:ind w:firstLineChars="200" w:firstLine="640"/>
        <w:rPr>
          <w:rFonts w:ascii="仿宋" w:eastAsia="仿宋" w:hAnsi="仿宋"/>
          <w:b/>
          <w:sz w:val="32"/>
          <w:szCs w:val="32"/>
        </w:rPr>
      </w:pPr>
      <w:r>
        <w:rPr>
          <w:rStyle w:val="22"/>
          <w:rFonts w:ascii="仿宋" w:eastAsia="仿宋" w:hAnsi="仿宋" w:hint="eastAsia"/>
          <w:bCs/>
          <w:sz w:val="32"/>
          <w:szCs w:val="32"/>
          <w:lang w:val="en-US" w:eastAsia="zh-CN"/>
        </w:rPr>
        <w:t>5</w:t>
      </w:r>
      <w:r>
        <w:rPr>
          <w:rStyle w:val="22"/>
          <w:rFonts w:ascii="仿宋" w:eastAsia="仿宋" w:hAnsi="仿宋"/>
          <w:bCs/>
          <w:sz w:val="32"/>
          <w:szCs w:val="32"/>
        </w:rPr>
        <w:t>.</w:t>
      </w:r>
      <w:r>
        <w:rPr>
          <w:rFonts w:ascii="仿宋" w:eastAsia="仿宋" w:hAnsi="仿宋" w:hint="eastAsia"/>
          <w:b/>
          <w:bCs/>
          <w:sz w:val="32"/>
          <w:szCs w:val="32"/>
        </w:rPr>
        <w:t>卫生健康</w:t>
      </w:r>
      <w:r>
        <w:rPr>
          <w:rStyle w:val="22"/>
          <w:rFonts w:ascii="仿宋" w:eastAsia="仿宋" w:hAnsi="仿宋" w:hint="eastAsia"/>
          <w:bCs/>
          <w:sz w:val="32"/>
          <w:szCs w:val="32"/>
        </w:rPr>
        <w:t>（类）事业单位医疗（款）事业单位医疗（项）</w:t>
      </w:r>
      <w:r>
        <w:rPr>
          <w:rStyle w:val="22"/>
          <w:rFonts w:ascii="仿宋" w:eastAsia="仿宋" w:hAnsi="仿宋"/>
          <w:bCs/>
          <w:sz w:val="32"/>
          <w:szCs w:val="32"/>
        </w:rPr>
        <w:t>:</w:t>
      </w:r>
      <w:r>
        <w:rPr>
          <w:rStyle w:val="22"/>
          <w:rFonts w:ascii="仿宋" w:eastAsia="仿宋" w:hAnsi="仿宋" w:hint="eastAsia"/>
          <w:b w:val="0"/>
          <w:bCs/>
          <w:sz w:val="32"/>
          <w:szCs w:val="32"/>
        </w:rPr>
        <w:t>支出决算为</w:t>
      </w:r>
      <w:r>
        <w:rPr>
          <w:rStyle w:val="22"/>
          <w:rFonts w:ascii="仿宋" w:eastAsia="仿宋" w:hAnsi="仿宋"/>
          <w:b w:val="0"/>
          <w:bCs/>
          <w:sz w:val="32"/>
          <w:szCs w:val="32"/>
        </w:rPr>
        <w:t>30.53</w:t>
      </w:r>
      <w:r>
        <w:rPr>
          <w:rStyle w:val="22"/>
          <w:rFonts w:ascii="仿宋" w:eastAsia="仿宋" w:hAnsi="仿宋" w:hint="eastAsia"/>
          <w:b w:val="0"/>
          <w:bCs/>
          <w:sz w:val="32"/>
          <w:szCs w:val="32"/>
        </w:rPr>
        <w:t>万元，完成预算100</w:t>
      </w:r>
      <w:r>
        <w:rPr>
          <w:rStyle w:val="22"/>
          <w:rFonts w:ascii="仿宋" w:eastAsia="仿宋" w:hAnsi="仿宋"/>
          <w:b w:val="0"/>
          <w:bCs/>
          <w:sz w:val="32"/>
          <w:szCs w:val="32"/>
        </w:rPr>
        <w:t>%</w:t>
      </w:r>
      <w:r>
        <w:rPr>
          <w:rStyle w:val="22"/>
          <w:rFonts w:ascii="仿宋" w:eastAsia="仿宋" w:hAnsi="仿宋" w:hint="eastAsia"/>
          <w:b w:val="0"/>
          <w:bCs/>
          <w:sz w:val="32"/>
          <w:szCs w:val="32"/>
        </w:rPr>
        <w:t>。</w:t>
      </w:r>
    </w:p>
    <w:p>
      <w:pPr>
        <w:tabs>
          <w:tab w:val="right" w:pos="8306"/>
        </w:tabs>
        <w:spacing w:line="600" w:lineRule="exact"/>
        <w:ind w:firstLine="640"/>
        <w:outlineLvl w:val="1"/>
        <w:rPr>
          <w:rFonts w:ascii="黑体" w:eastAsia="黑体"/>
          <w:sz w:val="32"/>
          <w:szCs w:val="32"/>
        </w:rPr>
      </w:pPr>
      <w:bookmarkStart w:id="29" w:name="_Toc15396608"/>
      <w:bookmarkStart w:id="30" w:name="_Toc15377214"/>
    </w:p>
    <w:p>
      <w:pPr>
        <w:tabs>
          <w:tab w:val="right" w:pos="8306"/>
        </w:tabs>
        <w:spacing w:line="600" w:lineRule="exact"/>
        <w:ind w:firstLine="640"/>
        <w:outlineLvl w:val="1"/>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29"/>
      <w:bookmarkEnd w:id="30"/>
      <w:r>
        <w:rPr>
          <w:rStyle w:val="2Char"/>
          <w:rFonts w:ascii="黑体" w:eastAsia="黑体" w:hAnsi="黑体"/>
          <w:b w:val="0"/>
        </w:rPr>
        <w:tab/>
      </w:r>
    </w:p>
    <w:p>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Pr>
          <w:rFonts w:ascii="仿宋" w:eastAsia="仿宋" w:hAnsi="仿宋"/>
          <w:sz w:val="32"/>
          <w:szCs w:val="32"/>
        </w:rPr>
        <w:t>813.32</w:t>
      </w:r>
      <w:r>
        <w:rPr>
          <w:rFonts w:ascii="仿宋" w:eastAsia="仿宋" w:hAnsi="仿宋" w:hint="eastAsia"/>
          <w:sz w:val="32"/>
          <w:szCs w:val="32"/>
        </w:rPr>
        <w:t>万元，其中：</w:t>
      </w:r>
    </w:p>
    <w:p>
      <w:pPr>
        <w:spacing w:line="600" w:lineRule="exact"/>
        <w:ind w:firstLine="645"/>
        <w:rPr>
          <w:rFonts w:ascii="仿宋" w:eastAsia="仿宋" w:hAnsi="仿宋" w:hint="eastAsia"/>
          <w:sz w:val="32"/>
          <w:szCs w:val="32"/>
          <w:lang w:eastAsia="zh-CN"/>
        </w:rPr>
      </w:pPr>
      <w:r>
        <w:rPr>
          <w:rFonts w:ascii="仿宋" w:eastAsia="仿宋" w:hAnsi="仿宋" w:hint="eastAsia"/>
          <w:sz w:val="32"/>
          <w:szCs w:val="32"/>
        </w:rPr>
        <w:t>人员经费</w:t>
      </w:r>
      <w:r>
        <w:rPr>
          <w:rFonts w:ascii="仿宋" w:eastAsia="仿宋" w:hAnsi="仿宋"/>
          <w:sz w:val="32"/>
          <w:szCs w:val="32"/>
        </w:rPr>
        <w:t>768.08</w:t>
      </w:r>
      <w:r>
        <w:rPr>
          <w:rFonts w:ascii="仿宋" w:eastAsia="仿宋" w:hAnsi="仿宋" w:hint="eastAsia"/>
          <w:sz w:val="32"/>
          <w:szCs w:val="32"/>
        </w:rPr>
        <w:t>万元，主要包括： 基本工资、津贴补贴、 绩效工资、 机关事业单位基本养老保险缴费、职业年金缴费、职工基本医疗保险缴费、其他社会保障缴费、住房公积金、 其他工资福利支出、对个人和家庭的补助、 抚恤金、 生活补助、奖励金等。</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sz w:val="32"/>
          <w:szCs w:val="32"/>
        </w:rPr>
        <w:t>45.24</w:t>
      </w:r>
      <w:r>
        <w:rPr>
          <w:rFonts w:ascii="仿宋" w:eastAsia="仿宋" w:hAnsi="仿宋" w:hint="eastAsia"/>
          <w:sz w:val="32"/>
          <w:szCs w:val="32"/>
        </w:rPr>
        <w:t>万元，主要包括：办公费、 印刷费、 手续费、 水费、电费、邮电费、物业管理费、差旅费、培训费、劳务费、工会经费、福利费等。</w:t>
      </w:r>
    </w:p>
    <w:p>
      <w:pPr>
        <w:spacing w:line="600" w:lineRule="exact"/>
        <w:ind w:firstLine="640"/>
        <w:outlineLvl w:val="1"/>
        <w:rPr>
          <w:rStyle w:val="2Char"/>
          <w:rFonts w:ascii="黑体" w:eastAsia="黑体" w:hAnsi="黑体"/>
          <w:b w:val="0"/>
        </w:rPr>
      </w:pPr>
      <w:bookmarkStart w:id="31" w:name="_Toc15377215"/>
      <w:bookmarkStart w:id="32"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1"/>
      <w:bookmarkEnd w:id="32"/>
    </w:p>
    <w:p>
      <w:pPr>
        <w:spacing w:line="600" w:lineRule="exact"/>
        <w:ind w:firstLine="640"/>
        <w:outlineLvl w:val="2"/>
        <w:rPr>
          <w:rFonts w:ascii="仿宋" w:eastAsia="仿宋" w:hAnsi="仿宋"/>
          <w:b/>
          <w:sz w:val="32"/>
          <w:szCs w:val="32"/>
        </w:rPr>
      </w:pPr>
      <w:bookmarkStart w:id="33" w:name="_Toc15377216"/>
      <w:r>
        <w:rPr>
          <w:rFonts w:ascii="仿宋" w:eastAsia="仿宋" w:hAnsi="仿宋" w:hint="eastAsia"/>
          <w:b/>
          <w:sz w:val="32"/>
          <w:szCs w:val="32"/>
        </w:rPr>
        <w:t>（一）“三公”经费财政拨款支出决算总体情况说明</w:t>
      </w:r>
      <w:bookmarkEnd w:id="33"/>
    </w:p>
    <w:p>
      <w:pPr>
        <w:snapToGrid w:val="0"/>
        <w:spacing w:line="550" w:lineRule="exact"/>
        <w:ind w:firstLineChars="200" w:firstLine="640"/>
        <w:outlineLvl w:val="2"/>
        <w:rPr>
          <w:rFonts w:ascii="仿宋" w:eastAsia="仿宋" w:hAnsi="仿宋" w:hint="eastAsia"/>
          <w:color w:val="000000"/>
          <w:sz w:val="32"/>
          <w:szCs w:val="32"/>
          <w14:textFill>
            <w14:solidFill>
              <w14:srgbClr w14:val="000000"/>
            </w14:solidFill>
          </w14:textFill>
        </w:rPr>
      </w:pPr>
      <w:r>
        <w:rPr>
          <w:rFonts w:ascii="仿宋" w:eastAsia="仿宋" w:hAnsi="仿宋"/>
          <w:sz w:val="32"/>
          <w:szCs w:val="32"/>
        </w:rPr>
        <w:t>20</w:t>
      </w:r>
      <w:r>
        <w:rPr>
          <w:rFonts w:ascii="仿宋" w:eastAsia="仿宋" w:hAnsi="仿宋" w:hint="eastAsia"/>
          <w:sz w:val="32"/>
          <w:szCs w:val="32"/>
        </w:rPr>
        <w:t>22年“三公”经费财政拨款支出决算为0.00万元，完成预算0.00</w:t>
      </w:r>
      <w:r>
        <w:rPr>
          <w:rFonts w:ascii="仿宋" w:eastAsia="仿宋" w:hAnsi="仿宋"/>
          <w:sz w:val="32"/>
          <w:szCs w:val="32"/>
        </w:rPr>
        <w:t>%</w:t>
      </w:r>
      <w:r>
        <w:rPr>
          <w:rFonts w:ascii="仿宋" w:eastAsia="仿宋" w:hAnsi="仿宋" w:hint="eastAsia"/>
          <w:sz w:val="32"/>
          <w:szCs w:val="32"/>
        </w:rPr>
        <w:t>，较上年持平，主要原因是</w:t>
      </w:r>
      <w:r>
        <w:rPr>
          <w:rStyle w:val="22"/>
          <w:rFonts w:ascii="仿宋" w:eastAsia="仿宋" w:hAnsi="仿宋" w:hint="eastAsia"/>
          <w:b w:val="0"/>
          <w:bCs/>
          <w:color w:val="000000"/>
          <w:sz w:val="32"/>
          <w:szCs w:val="32"/>
          <w14:textFill>
            <w14:solidFill>
              <w14:srgbClr w14:val="000000"/>
            </w14:solidFill>
          </w14:textFill>
        </w:rPr>
        <w:t>未预算此项资金，</w:t>
      </w:r>
      <w:r>
        <w:rPr>
          <w:rFonts w:ascii="仿宋" w:eastAsia="仿宋" w:hAnsi="仿宋" w:hint="eastAsia"/>
          <w:color w:val="000000"/>
          <w:sz w:val="32"/>
          <w:szCs w:val="32"/>
          <w14:textFill>
            <w14:solidFill>
              <w14:srgbClr w14:val="000000"/>
            </w14:solidFill>
          </w14:textFill>
        </w:rPr>
        <w:t>年度也未发生公务接待活动。</w:t>
      </w:r>
      <w:bookmarkStart w:id="34" w:name="_Toc15377217"/>
    </w:p>
    <w:p>
      <w:pPr>
        <w:snapToGrid w:val="0"/>
        <w:spacing w:line="550" w:lineRule="exact"/>
        <w:ind w:firstLineChars="200" w:firstLine="640"/>
        <w:outlineLvl w:val="2"/>
        <w:rPr>
          <w:rFonts w:ascii="仿宋" w:eastAsia="仿宋" w:hAnsi="仿宋"/>
          <w:b/>
          <w:sz w:val="32"/>
          <w:szCs w:val="32"/>
        </w:rPr>
      </w:pPr>
      <w:r>
        <w:rPr>
          <w:rFonts w:ascii="仿宋" w:eastAsia="仿宋" w:hAnsi="仿宋" w:hint="eastAsia"/>
          <w:b/>
          <w:sz w:val="32"/>
          <w:szCs w:val="32"/>
        </w:rPr>
        <w:t>（二）“三公”经费财政拨款支出决算具体情况说明</w:t>
      </w:r>
      <w:bookmarkEnd w:id="34"/>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22年“三公”经费财政拨款支出决算中，因公出国（境）费支出决算0.00万元，占0.00</w:t>
      </w:r>
      <w:r>
        <w:rPr>
          <w:rFonts w:ascii="仿宋" w:eastAsia="仿宋" w:hAnsi="仿宋"/>
          <w:sz w:val="32"/>
          <w:szCs w:val="32"/>
        </w:rPr>
        <w:t>%</w:t>
      </w:r>
      <w:r>
        <w:rPr>
          <w:rFonts w:ascii="仿宋" w:eastAsia="仿宋" w:hAnsi="仿宋" w:hint="eastAsia"/>
          <w:sz w:val="32"/>
          <w:szCs w:val="32"/>
        </w:rPr>
        <w:t>；公务用车购置及运行维护费支出决算0.00万元，占0.00</w:t>
      </w:r>
      <w:r>
        <w:rPr>
          <w:rFonts w:ascii="仿宋" w:eastAsia="仿宋" w:hAnsi="仿宋"/>
          <w:sz w:val="32"/>
          <w:szCs w:val="32"/>
        </w:rPr>
        <w:t>%</w:t>
      </w:r>
      <w:r>
        <w:rPr>
          <w:rFonts w:ascii="仿宋" w:eastAsia="仿宋" w:hAnsi="仿宋" w:hint="eastAsia"/>
          <w:sz w:val="32"/>
          <w:szCs w:val="32"/>
        </w:rPr>
        <w:t>；公务接待费支出决算0.00万元，占0.00</w:t>
      </w:r>
      <w:r>
        <w:rPr>
          <w:rFonts w:ascii="仿宋" w:eastAsia="仿宋" w:hAnsi="仿宋"/>
          <w:sz w:val="32"/>
          <w:szCs w:val="32"/>
        </w:rPr>
        <w:t>%</w:t>
      </w:r>
      <w:r>
        <w:rPr>
          <w:rFonts w:ascii="仿宋" w:eastAsia="仿宋" w:hAnsi="仿宋" w:hint="eastAsia"/>
          <w:sz w:val="32"/>
          <w:szCs w:val="32"/>
        </w:rPr>
        <w:t>。具体情况如下：</w:t>
      </w:r>
    </w:p>
    <w:p>
      <w:pPr>
        <w:pStyle w:val="15"/>
        <w:spacing w:beforeLines="0" w:before="93"/>
        <w:rPr>
          <w:rFonts w:ascii="仿宋" w:eastAsia="仿宋" w:hAnsi="仿宋"/>
          <w:sz w:val="32"/>
          <w:szCs w:val="32"/>
        </w:rPr>
      </w:pPr>
      <w:r>
        <w:rPr>
          <w:rFonts w:ascii="仿宋" w:eastAsia="仿宋" w:hAnsi="仿宋"/>
          <w:sz w:val="32"/>
          <w:szCs w:val="32"/>
        </w:rPr>
        <w:drawing>
          <wp:anchor distT="0" distB="0" distL="114300" distR="114300" simplePos="0" relativeHeight="30" behindDoc="0" locked="0" layoutInCell="1" hidden="0" allowOverlap="1">
            <wp:simplePos x="0" y="0"/>
            <wp:positionH relativeFrom="column">
              <wp:posOffset>250825</wp:posOffset>
            </wp:positionH>
            <wp:positionV relativeFrom="paragraph">
              <wp:posOffset>90805</wp:posOffset>
            </wp:positionV>
            <wp:extent cx="5073650" cy="2672715"/>
            <wp:effectExtent l="0" t="0" r="46" b="41"/>
            <wp:wrapSquare wrapText="bothSides"/>
            <wp:docPr id="7" name="图表 8"/>
            <wp:cNvGraphicFramePr>
              <a:graphicFrameLocks noChangeAspect="0"/>
            </wp:cNvGraphicFramePr>
            <a:graphic>
              <a:graphicData uri="http://schemas.openxmlformats.org/drawingml/2006/chart">
                <c:chart xmlns:c="http://schemas.openxmlformats.org/drawingml/2006/chart" r:id="rId9"/>
              </a:graphicData>
            </a:graphic>
          </wp:anchor>
        </w:drawing>
      </w:r>
      <w:r>
        <w:rPr>
          <w:rFonts w:ascii="仿宋" w:eastAsia="仿宋" w:hAnsi="仿宋" w:hint="eastAsia"/>
          <w:sz w:val="32"/>
          <w:szCs w:val="32"/>
        </w:rPr>
        <w:t xml:space="preserve">  （图7：“三公”经费财政拨款支出结构）（饼状图）</w:t>
      </w:r>
    </w:p>
    <w:p>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因公出国（境）经费支出0.00</w:t>
      </w:r>
      <w:r>
        <w:rPr>
          <w:rFonts w:ascii="仿宋_GB2312" w:eastAsia="仿宋_GB2312" w:hint="eastAsia"/>
          <w:sz w:val="32"/>
          <w:szCs w:val="32"/>
        </w:rPr>
        <w:t>万元，</w:t>
      </w:r>
      <w:r>
        <w:rPr>
          <w:rStyle w:val="22"/>
          <w:rFonts w:ascii="仿宋" w:eastAsia="仿宋" w:hAnsi="仿宋" w:hint="eastAsia"/>
          <w:b w:val="0"/>
          <w:bCs/>
          <w:sz w:val="32"/>
          <w:szCs w:val="32"/>
        </w:rPr>
        <w:t>完成预算0.00</w:t>
      </w:r>
      <w:r>
        <w:rPr>
          <w:rStyle w:val="22"/>
          <w:rFonts w:ascii="仿宋" w:eastAsia="仿宋" w:hAnsi="仿宋"/>
          <w:b w:val="0"/>
          <w:bCs/>
          <w:sz w:val="32"/>
          <w:szCs w:val="32"/>
        </w:rPr>
        <w:t>%</w:t>
      </w:r>
      <w:r>
        <w:rPr>
          <w:rStyle w:val="22"/>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全年安排因公出国（境）团组0次，出国（境）0人。因公出国（境）支出决算与</w:t>
      </w:r>
      <w:r>
        <w:rPr>
          <w:rFonts w:ascii="仿宋_GB2312" w:eastAsia="仿宋_GB2312"/>
          <w:sz w:val="32"/>
          <w:szCs w:val="32"/>
        </w:rPr>
        <w:t>20</w:t>
      </w:r>
      <w:r>
        <w:rPr>
          <w:rFonts w:ascii="仿宋_GB2312" w:eastAsia="仿宋_GB2312" w:hint="eastAsia"/>
          <w:sz w:val="32"/>
          <w:szCs w:val="32"/>
        </w:rPr>
        <w:t>21年持平。主要原因是当年未安排因公出国（境）支出预算，无因公出国（境）支出。</w:t>
      </w:r>
    </w:p>
    <w:p>
      <w:pPr>
        <w:spacing w:line="600" w:lineRule="exact"/>
        <w:ind w:firstLine="640"/>
        <w:rPr>
          <w:rFonts w:ascii="仿宋_GB2312" w:eastAsia="仿宋_GB2312"/>
          <w:sz w:val="32"/>
          <w:szCs w:val="32"/>
        </w:rPr>
      </w:pPr>
      <w:r>
        <w:rPr>
          <w:rFonts w:ascii="仿宋_GB2312" w:eastAsia="仿宋_GB2312" w:hint="eastAsia"/>
          <w:sz w:val="32"/>
          <w:szCs w:val="32"/>
        </w:rPr>
        <w:t>开支内容：无此项费用。</w:t>
      </w:r>
    </w:p>
    <w:p>
      <w:pPr>
        <w:spacing w:line="560" w:lineRule="exact"/>
        <w:ind w:firstLine="640"/>
        <w:outlineLvl w:val="2"/>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公务用车购置及运行维护费支出0.00</w:t>
      </w:r>
      <w:r>
        <w:rPr>
          <w:rFonts w:ascii="仿宋_GB2312" w:eastAsia="仿宋_GB2312" w:hint="eastAsia"/>
          <w:sz w:val="32"/>
          <w:szCs w:val="32"/>
        </w:rPr>
        <w:t>万元,</w:t>
      </w:r>
      <w:r>
        <w:rPr>
          <w:rStyle w:val="22"/>
          <w:rFonts w:ascii="仿宋" w:eastAsia="仿宋" w:hAnsi="仿宋" w:hint="eastAsia"/>
          <w:b w:val="0"/>
          <w:bCs/>
          <w:sz w:val="32"/>
          <w:szCs w:val="32"/>
        </w:rPr>
        <w:t>完成预算0.00</w:t>
      </w:r>
      <w:r>
        <w:rPr>
          <w:rStyle w:val="22"/>
          <w:rFonts w:ascii="仿宋" w:eastAsia="仿宋" w:hAnsi="仿宋"/>
          <w:b w:val="0"/>
          <w:bCs/>
          <w:sz w:val="32"/>
          <w:szCs w:val="32"/>
        </w:rPr>
        <w:t>%</w:t>
      </w:r>
      <w:r>
        <w:rPr>
          <w:rStyle w:val="22"/>
          <w:rFonts w:ascii="仿宋" w:eastAsia="仿宋" w:hAnsi="仿宋" w:hint="eastAsia"/>
          <w:b w:val="0"/>
          <w:bCs/>
          <w:sz w:val="32"/>
          <w:szCs w:val="32"/>
        </w:rPr>
        <w:t>。</w:t>
      </w:r>
      <w:r>
        <w:rPr>
          <w:rFonts w:ascii="仿宋_GB2312" w:eastAsia="仿宋_GB2312" w:hint="eastAsia"/>
          <w:sz w:val="32"/>
          <w:szCs w:val="32"/>
        </w:rPr>
        <w:t>公务用车购置及运行维护费支出决算与</w:t>
      </w:r>
      <w:r>
        <w:rPr>
          <w:rFonts w:ascii="仿宋_GB2312" w:eastAsia="仿宋_GB2312"/>
          <w:sz w:val="32"/>
          <w:szCs w:val="32"/>
        </w:rPr>
        <w:t>20</w:t>
      </w:r>
      <w:r>
        <w:rPr>
          <w:rFonts w:ascii="仿宋_GB2312" w:eastAsia="仿宋_GB2312" w:hint="eastAsia"/>
          <w:sz w:val="32"/>
          <w:szCs w:val="32"/>
        </w:rPr>
        <w:t>21年持平。主要原因是无公务用车购置及运行维护费支出。</w:t>
      </w:r>
    </w:p>
    <w:p>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公务用车购置支出0.00</w:t>
      </w:r>
      <w:r>
        <w:rPr>
          <w:rFonts w:ascii="仿宋_GB2312" w:eastAsia="仿宋_GB2312" w:hint="eastAsia"/>
          <w:sz w:val="32"/>
          <w:szCs w:val="32"/>
        </w:rPr>
        <w:t>万元。全年按规定更新购置公务用车0辆。截至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月底，单位共有公务用车0辆。</w:t>
      </w:r>
    </w:p>
    <w:p>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公务用车运行维护费支出0.00</w:t>
      </w:r>
      <w:r>
        <w:rPr>
          <w:rFonts w:ascii="仿宋_GB2312" w:eastAsia="仿宋_GB2312" w:hint="eastAsia"/>
          <w:sz w:val="32"/>
          <w:szCs w:val="32"/>
        </w:rPr>
        <w:t>万元。</w:t>
      </w:r>
    </w:p>
    <w:p>
      <w:pPr>
        <w:snapToGrid w:val="0"/>
        <w:spacing w:line="550" w:lineRule="exact"/>
        <w:ind w:firstLineChars="200" w:firstLine="640"/>
        <w:outlineLvl w:val="2"/>
        <w:rPr>
          <w:rFonts w:ascii="仿宋" w:eastAsia="仿宋" w:hAnsi="仿宋"/>
          <w:color w:val="000000"/>
          <w:sz w:val="32"/>
          <w:szCs w:val="32"/>
          <w14:textFill>
            <w14:solidFill>
              <w14:srgbClr w14:val="000000"/>
            </w14:solidFill>
          </w14:textFill>
        </w:rPr>
      </w:pPr>
      <w:r>
        <w:rPr>
          <w:rFonts w:ascii="仿宋_GB2312" w:eastAsia="仿宋_GB2312"/>
          <w:b/>
          <w:sz w:val="32"/>
          <w:szCs w:val="32"/>
        </w:rPr>
        <w:t>3.</w:t>
      </w:r>
      <w:r>
        <w:rPr>
          <w:rFonts w:ascii="仿宋_GB2312" w:eastAsia="仿宋_GB2312" w:hint="eastAsia"/>
          <w:b/>
          <w:sz w:val="32"/>
          <w:szCs w:val="32"/>
        </w:rPr>
        <w:t>公务接待费支出0.00</w:t>
      </w:r>
      <w:r>
        <w:rPr>
          <w:rFonts w:ascii="仿宋_GB2312" w:eastAsia="仿宋_GB2312" w:hint="eastAsia"/>
          <w:sz w:val="32"/>
          <w:szCs w:val="32"/>
        </w:rPr>
        <w:t>万元，</w:t>
      </w:r>
      <w:r>
        <w:rPr>
          <w:rStyle w:val="22"/>
          <w:rFonts w:ascii="仿宋" w:eastAsia="仿宋" w:hAnsi="仿宋" w:hint="eastAsia"/>
          <w:b w:val="0"/>
          <w:bCs/>
          <w:sz w:val="32"/>
          <w:szCs w:val="32"/>
        </w:rPr>
        <w:t>完成预算0.00</w:t>
      </w:r>
      <w:r>
        <w:rPr>
          <w:rStyle w:val="22"/>
          <w:rFonts w:ascii="仿宋" w:eastAsia="仿宋" w:hAnsi="仿宋"/>
          <w:b w:val="0"/>
          <w:bCs/>
          <w:sz w:val="32"/>
          <w:szCs w:val="32"/>
        </w:rPr>
        <w:t>%</w:t>
      </w:r>
      <w:r>
        <w:rPr>
          <w:rStyle w:val="22"/>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21年持平。主要原因是</w:t>
      </w:r>
      <w:r>
        <w:rPr>
          <w:rStyle w:val="22"/>
          <w:rFonts w:ascii="仿宋" w:eastAsia="仿宋" w:hAnsi="仿宋" w:hint="eastAsia"/>
          <w:b w:val="0"/>
          <w:bCs/>
          <w:color w:val="000000"/>
          <w:sz w:val="32"/>
          <w:szCs w:val="32"/>
          <w14:textFill>
            <w14:solidFill>
              <w14:srgbClr w14:val="000000"/>
            </w14:solidFill>
          </w14:textFill>
        </w:rPr>
        <w:t>未预算此项资金，</w:t>
      </w:r>
      <w:r>
        <w:rPr>
          <w:rFonts w:ascii="仿宋" w:eastAsia="仿宋" w:hAnsi="仿宋" w:hint="eastAsia"/>
          <w:color w:val="000000"/>
          <w:sz w:val="32"/>
          <w:szCs w:val="32"/>
          <w14:textFill>
            <w14:solidFill>
              <w14:srgbClr w14:val="000000"/>
            </w14:solidFill>
          </w14:textFill>
        </w:rPr>
        <w:t>年度也未发生公务接待活动。</w:t>
      </w:r>
    </w:p>
    <w:p>
      <w:pPr>
        <w:spacing w:line="600" w:lineRule="exact"/>
        <w:ind w:firstLine="640"/>
        <w:rPr>
          <w:rFonts w:ascii="仿宋_GB2312" w:eastAsia="仿宋_GB2312"/>
          <w:sz w:val="32"/>
          <w:szCs w:val="32"/>
        </w:rPr>
      </w:pPr>
      <w:r>
        <w:rPr>
          <w:rFonts w:ascii="仿宋" w:eastAsia="仿宋" w:hAnsi="仿宋" w:hint="eastAsia"/>
          <w:b/>
          <w:sz w:val="32"/>
          <w:szCs w:val="32"/>
        </w:rPr>
        <w:t>国内公务接待支出0.00</w:t>
      </w:r>
      <w:r>
        <w:rPr>
          <w:rFonts w:ascii="仿宋_GB2312" w:eastAsia="仿宋_GB2312" w:hint="eastAsia"/>
          <w:sz w:val="32"/>
          <w:szCs w:val="32"/>
        </w:rPr>
        <w:t>万元</w:t>
      </w:r>
      <w:r>
        <w:rPr>
          <w:rFonts w:ascii="仿宋_GB2312" w:eastAsia="仿宋_GB2312" w:hint="eastAsia"/>
          <w:sz w:val="32"/>
          <w:szCs w:val="32"/>
          <w:lang w:eastAsia="zh-CN"/>
        </w:rPr>
        <w:t>。</w:t>
      </w:r>
      <w:r>
        <w:rPr>
          <w:rFonts w:ascii="仿宋_GB2312" w:eastAsia="仿宋_GB2312" w:hint="eastAsia"/>
          <w:sz w:val="32"/>
          <w:szCs w:val="32"/>
        </w:rPr>
        <w:t>国内公务接待0批次，0人次（不包括陪同人员），共计支出0.00万元。</w:t>
      </w:r>
    </w:p>
    <w:p>
      <w:pPr>
        <w:spacing w:line="600" w:lineRule="exact"/>
        <w:ind w:firstLineChars="200" w:firstLine="640"/>
        <w:rPr>
          <w:rFonts w:ascii="黑体" w:eastAsia="黑体"/>
          <w:sz w:val="32"/>
          <w:szCs w:val="32"/>
        </w:rPr>
      </w:pPr>
      <w:r>
        <w:rPr>
          <w:rFonts w:ascii="仿宋" w:eastAsia="仿宋" w:hAnsi="仿宋" w:hint="eastAsia"/>
          <w:b/>
          <w:sz w:val="32"/>
          <w:szCs w:val="32"/>
        </w:rPr>
        <w:t>外事接待支出0.00</w:t>
      </w:r>
      <w:r>
        <w:rPr>
          <w:rFonts w:ascii="仿宋_GB2312" w:eastAsia="仿宋_GB2312" w:hint="eastAsia"/>
          <w:sz w:val="32"/>
          <w:szCs w:val="32"/>
        </w:rPr>
        <w:t>万元。外事接待0批次，0人次（不包括陪同人员），共计支出0.00万元。</w:t>
      </w:r>
      <w:bookmarkStart w:id="35" w:name="_Toc15396610"/>
      <w:bookmarkStart w:id="36" w:name="_Toc15377218"/>
    </w:p>
    <w:p>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35"/>
      <w:bookmarkEnd w:id="36"/>
    </w:p>
    <w:p>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22年政府性基金预算财政拨款支出0.00万元。</w:t>
      </w:r>
    </w:p>
    <w:p>
      <w:pPr>
        <w:numPr>
          <w:ilvl w:val="0"/>
          <w:numId w:val="2"/>
        </w:numPr>
        <w:spacing w:line="600" w:lineRule="exact"/>
        <w:ind w:left="0" w:firstLine="640"/>
        <w:outlineLvl w:val="1"/>
        <w:rPr>
          <w:rStyle w:val="2Char"/>
          <w:rFonts w:ascii="黑体" w:eastAsia="黑体" w:hAnsi="黑体"/>
          <w:b w:val="0"/>
        </w:rPr>
      </w:pPr>
      <w:bookmarkStart w:id="37" w:name="_Toc15396611"/>
      <w:bookmarkStart w:id="38" w:name="_Toc15377219"/>
      <w:r>
        <w:rPr>
          <w:rStyle w:val="2Char"/>
          <w:rFonts w:ascii="黑体" w:eastAsia="黑体" w:hAnsi="黑体" w:hint="eastAsia"/>
          <w:b w:val="0"/>
        </w:rPr>
        <w:t>国有资本经营预算支出决算情况说明</w:t>
      </w:r>
      <w:bookmarkEnd w:id="37"/>
      <w:bookmarkEnd w:id="38"/>
    </w:p>
    <w:p>
      <w:pPr>
        <w:spacing w:line="600" w:lineRule="exact"/>
        <w:ind w:firstLine="640"/>
        <w:rPr>
          <w:rFonts w:ascii="方正小标宋简体" w:eastAsia="方正小标宋简体" w:cs="方正小标宋简体" w:hAnsi="方正小标宋简体"/>
          <w:sz w:val="44"/>
          <w:szCs w:val="44"/>
        </w:rPr>
      </w:pPr>
      <w:r>
        <w:rPr>
          <w:rFonts w:ascii="仿宋_GB2312" w:eastAsia="仿宋_GB2312"/>
          <w:sz w:val="32"/>
          <w:szCs w:val="32"/>
        </w:rPr>
        <w:t>20</w:t>
      </w:r>
      <w:r>
        <w:rPr>
          <w:rFonts w:ascii="仿宋_GB2312" w:eastAsia="仿宋_GB2312" w:hint="eastAsia"/>
          <w:sz w:val="32"/>
          <w:szCs w:val="32"/>
        </w:rPr>
        <w:t>22年国有资本经营预算财政拨款支出0.00万元。</w:t>
      </w:r>
    </w:p>
    <w:p>
      <w:pPr>
        <w:numPr>
          <w:ilvl w:val="0"/>
          <w:numId w:val="2"/>
        </w:numPr>
        <w:spacing w:line="600" w:lineRule="exact"/>
        <w:ind w:left="0" w:firstLine="640"/>
        <w:outlineLvl w:val="1"/>
        <w:rPr>
          <w:rStyle w:val="2Char"/>
          <w:rFonts w:ascii="黑体" w:eastAsia="黑体" w:hAnsi="黑体"/>
          <w:b w:val="0"/>
        </w:rPr>
      </w:pPr>
      <w:bookmarkStart w:id="39" w:name="_Toc15396612"/>
      <w:bookmarkStart w:id="40" w:name="_Toc15377221"/>
      <w:r>
        <w:rPr>
          <w:rStyle w:val="2Char"/>
          <w:rFonts w:ascii="黑体" w:eastAsia="黑体" w:hAnsi="黑体" w:hint="eastAsia"/>
          <w:b w:val="0"/>
        </w:rPr>
        <w:t>其他重要事项的情况说明</w:t>
      </w:r>
      <w:bookmarkEnd w:id="39"/>
      <w:bookmarkEnd w:id="40"/>
    </w:p>
    <w:p>
      <w:pPr>
        <w:spacing w:line="600" w:lineRule="exact"/>
        <w:ind w:firstLineChars="200" w:firstLine="640"/>
        <w:outlineLvl w:val="2"/>
        <w:rPr>
          <w:rFonts w:ascii="仿宋" w:eastAsia="仿宋" w:hAnsi="仿宋"/>
          <w:sz w:val="32"/>
          <w:szCs w:val="32"/>
        </w:rPr>
      </w:pPr>
      <w:bookmarkStart w:id="41" w:name="_Toc15377222"/>
      <w:r>
        <w:rPr>
          <w:rFonts w:ascii="仿宋" w:eastAsia="仿宋" w:hAnsi="仿宋" w:hint="eastAsia"/>
          <w:b/>
          <w:sz w:val="32"/>
          <w:szCs w:val="32"/>
        </w:rPr>
        <w:t>（一）机关运行经费支出情况</w:t>
      </w:r>
      <w:bookmarkEnd w:id="41"/>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22年，机关运行经费支出0.00万元，与</w:t>
      </w:r>
      <w:r>
        <w:rPr>
          <w:rFonts w:ascii="仿宋_GB2312" w:eastAsia="仿宋_GB2312"/>
          <w:sz w:val="32"/>
          <w:szCs w:val="32"/>
        </w:rPr>
        <w:t>20</w:t>
      </w:r>
      <w:r>
        <w:rPr>
          <w:rFonts w:ascii="仿宋_GB2312" w:eastAsia="仿宋_GB2312" w:hint="eastAsia"/>
          <w:sz w:val="32"/>
          <w:szCs w:val="32"/>
        </w:rPr>
        <w:t>21年决算数持平。主要原因是我单位是事业单位。</w:t>
      </w:r>
    </w:p>
    <w:p>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42" w:name="_Toc15377223"/>
      <w:r>
        <w:rPr>
          <w:rFonts w:ascii="仿宋" w:eastAsia="仿宋" w:hAnsi="仿宋" w:hint="eastAsia"/>
          <w:b/>
          <w:sz w:val="32"/>
          <w:szCs w:val="32"/>
        </w:rPr>
        <w:t>（二）政府采购支出情况</w:t>
      </w:r>
      <w:bookmarkEnd w:id="42"/>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22年，利州区回龙小学政府采购支出总额</w:t>
      </w:r>
      <w:r>
        <w:rPr>
          <w:rFonts w:ascii="仿宋_GB2312" w:eastAsia="仿宋_GB2312"/>
          <w:sz w:val="32"/>
          <w:szCs w:val="32"/>
        </w:rPr>
        <w:t>0.00</w:t>
      </w:r>
      <w:r>
        <w:rPr>
          <w:rFonts w:ascii="仿宋_GB2312" w:eastAsia="仿宋_GB2312" w:hint="eastAsia"/>
          <w:sz w:val="32"/>
          <w:szCs w:val="32"/>
        </w:rPr>
        <w:t>万元。</w:t>
      </w:r>
    </w:p>
    <w:p>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43" w:name="_Toc15377224"/>
      <w:r>
        <w:rPr>
          <w:rFonts w:ascii="仿宋" w:eastAsia="仿宋" w:hAnsi="仿宋" w:hint="eastAsia"/>
          <w:b/>
          <w:sz w:val="32"/>
          <w:szCs w:val="32"/>
        </w:rPr>
        <w:t>（三）国有资产占有使用情况</w:t>
      </w:r>
      <w:bookmarkEnd w:id="43"/>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日，利州区回龙小学共有车辆0辆。单价</w:t>
      </w:r>
      <w:r>
        <w:rPr>
          <w:rFonts w:ascii="仿宋_GB2312" w:eastAsia="仿宋_GB2312"/>
          <w:sz w:val="32"/>
          <w:szCs w:val="32"/>
        </w:rPr>
        <w:t>100</w:t>
      </w:r>
      <w:r>
        <w:rPr>
          <w:rFonts w:ascii="仿宋_GB2312" w:eastAsia="仿宋_GB2312" w:hint="eastAsia"/>
          <w:sz w:val="32"/>
          <w:szCs w:val="32"/>
        </w:rPr>
        <w:t>万元以上专用设备0台（套）。</w:t>
      </w:r>
    </w:p>
    <w:p>
      <w:pPr>
        <w:autoSpaceDE w:val="0"/>
        <w:autoSpaceDN w:val="0"/>
        <w:adjustRightInd w:val="0"/>
        <w:spacing w:line="600" w:lineRule="exact"/>
        <w:ind w:firstLineChars="200" w:firstLine="640"/>
        <w:jc w:val="left"/>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表，按单位决算报表填报数据罗列车辆情况。）</w:t>
      </w:r>
    </w:p>
    <w:p>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 w:eastAsia="仿宋" w:hAnsi="仿宋" w:hint="eastAsia"/>
          <w:b/>
          <w:sz w:val="32"/>
          <w:szCs w:val="32"/>
        </w:rPr>
        <w:t>（四）预算绩效管理情况</w:t>
      </w:r>
    </w:p>
    <w:p>
      <w:pPr>
        <w:pStyle w:val="15"/>
        <w:spacing w:beforeLines="0" w:before="93"/>
        <w:ind w:firstLineChars="200" w:firstLine="640"/>
        <w:rPr>
          <w:highlight w:val="yellow"/>
        </w:rPr>
      </w:pPr>
      <w:r>
        <w:rPr>
          <w:rFonts w:cs="仿宋_GB2312" w:hAnsi="仿宋_GB2312" w:hint="eastAsia"/>
          <w:sz w:val="32"/>
          <w:szCs w:val="32"/>
        </w:rPr>
        <w:t>根据预算绩效管理要求，本单位在2022年度预算编制阶段，组织对</w:t>
      </w:r>
      <w:r>
        <w:rPr>
          <w:rFonts w:cs="仿宋_GB2312" w:hAnsi="仿宋_GB2312"/>
          <w:sz w:val="32"/>
          <w:szCs w:val="32"/>
        </w:rPr>
        <w:t>6</w:t>
      </w:r>
      <w:r>
        <w:rPr>
          <w:rFonts w:cs="仿宋_GB2312" w:hAnsi="仿宋_GB2312" w:hint="eastAsia"/>
          <w:sz w:val="32"/>
          <w:szCs w:val="32"/>
        </w:rPr>
        <w:t>项目（项目名称）开展了预算事前绩效评估，对</w:t>
      </w:r>
      <w:r>
        <w:rPr>
          <w:rFonts w:cs="仿宋_GB2312" w:hAnsi="仿宋_GB2312"/>
          <w:sz w:val="32"/>
          <w:szCs w:val="32"/>
        </w:rPr>
        <w:t>6</w:t>
      </w:r>
      <w:r>
        <w:rPr>
          <w:rFonts w:cs="仿宋_GB2312" w:hAnsi="仿宋_GB2312" w:hint="eastAsia"/>
          <w:sz w:val="32"/>
          <w:szCs w:val="32"/>
        </w:rPr>
        <w:t>个项目编制了绩效目标，预算执行过程中，选取</w:t>
      </w:r>
      <w:r>
        <w:rPr>
          <w:rFonts w:cs="仿宋_GB2312" w:hAnsi="仿宋_GB2312"/>
          <w:sz w:val="32"/>
          <w:szCs w:val="32"/>
        </w:rPr>
        <w:t>6</w:t>
      </w:r>
      <w:r>
        <w:rPr>
          <w:rFonts w:cs="仿宋_GB2312" w:hAnsi="仿宋_GB2312" w:hint="eastAsia"/>
          <w:sz w:val="32"/>
          <w:szCs w:val="32"/>
        </w:rPr>
        <w:t>个项目开展绩效监控，组织对</w:t>
      </w:r>
      <w:r>
        <w:rPr>
          <w:rFonts w:cs="仿宋_GB2312" w:hAnsi="仿宋_GB2312"/>
          <w:sz w:val="32"/>
          <w:szCs w:val="32"/>
        </w:rPr>
        <w:t>6</w:t>
      </w:r>
      <w:r>
        <w:rPr>
          <w:rFonts w:cs="仿宋_GB2312" w:hAnsi="仿宋_GB2312" w:hint="eastAsia"/>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left="0" w:firstLineChars="150" w:firstLine="660"/>
        <w:jc w:val="center"/>
        <w:outlineLvl w:val="0"/>
        <w:rPr>
          <w:rStyle w:val="1Char"/>
          <w:rFonts w:ascii="黑体" w:eastAsia="黑体" w:hAnsi="黑体"/>
          <w:b w:val="0"/>
        </w:rPr>
      </w:pPr>
      <w:bookmarkStart w:id="44" w:name="_Toc15396613"/>
      <w:bookmarkStart w:id="45" w:name="_Toc15377225"/>
      <w:r>
        <w:rPr>
          <w:rFonts w:ascii="黑体" w:eastAsia="黑体" w:hAnsi="黑体" w:hint="eastAsia"/>
          <w:sz w:val="44"/>
          <w:szCs w:val="44"/>
        </w:rPr>
        <w:t>名</w:t>
      </w:r>
      <w:r>
        <w:rPr>
          <w:rStyle w:val="1Char"/>
          <w:rFonts w:ascii="黑体" w:eastAsia="黑体" w:hAnsi="黑体" w:hint="eastAsia"/>
          <w:b w:val="0"/>
        </w:rPr>
        <w:t>词解释</w:t>
      </w:r>
      <w:bookmarkEnd w:id="44"/>
      <w:bookmarkEnd w:id="45"/>
    </w:p>
    <w:p>
      <w:pPr>
        <w:spacing w:line="600" w:lineRule="exact"/>
        <w:jc w:val="left"/>
        <w:rPr>
          <w:rFonts w:ascii="宋体"/>
          <w:b/>
          <w:sz w:val="44"/>
          <w:szCs w:val="44"/>
        </w:rPr>
      </w:pP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pPr>
        <w:pStyle w:val="27"/>
        <w:spacing w:line="560" w:lineRule="exact"/>
        <w:ind w:firstLineChars="200" w:firstLine="640"/>
        <w:rPr>
          <w:rFonts w:ascii="仿宋_GB2312" w:eastAsia="仿宋_GB2312" w:hint="eastAsia"/>
          <w:color w:val="auto"/>
          <w:sz w:val="32"/>
          <w:szCs w:val="32"/>
        </w:rPr>
      </w:pPr>
      <w:r>
        <w:rPr>
          <w:rFonts w:ascii="仿宋_GB2312" w:eastAsia="仿宋_GB2312"/>
          <w:color w:val="auto"/>
          <w:sz w:val="32"/>
          <w:szCs w:val="32"/>
        </w:rPr>
        <w:t>8</w:t>
      </w:r>
      <w:r>
        <w:rPr>
          <w:rFonts w:ascii="仿宋_GB2312" w:eastAsia="仿宋_GB2312" w:hint="eastAsia"/>
          <w:color w:val="auto"/>
          <w:sz w:val="32"/>
          <w:szCs w:val="32"/>
          <w:lang w:val="en-US" w:eastAsia="zh-CN"/>
        </w:rPr>
        <w:t>.</w:t>
      </w:r>
      <w:r>
        <w:rPr>
          <w:rFonts w:ascii="仿宋_GB2312" w:eastAsia="仿宋_GB2312" w:hint="eastAsia"/>
          <w:color w:val="auto"/>
          <w:sz w:val="32"/>
          <w:szCs w:val="32"/>
        </w:rPr>
        <w:t>年末结转和结余：指单位按有关规定结转到下年或以后年度继续使用的资金。</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9</w:t>
      </w:r>
      <w:r>
        <w:rPr>
          <w:rFonts w:ascii="仿宋_GB2312" w:eastAsia="仿宋_GB2312" w:hint="eastAsia"/>
          <w:color w:val="auto"/>
          <w:sz w:val="28"/>
          <w:szCs w:val="28"/>
        </w:rPr>
        <w:t>.教育支出（类）普通教育（款）学前教育（项）:反映各部门举办的学前教育支出。</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w:t>
      </w:r>
      <w:r>
        <w:rPr>
          <w:rFonts w:ascii="仿宋_GB2312" w:eastAsia="仿宋_GB2312" w:hint="eastAsia"/>
          <w:color w:val="auto"/>
          <w:sz w:val="28"/>
          <w:szCs w:val="28"/>
          <w:lang w:val="en-US" w:eastAsia="zh-CN"/>
        </w:rPr>
        <w:t>0</w:t>
      </w:r>
      <w:r>
        <w:rPr>
          <w:rFonts w:ascii="仿宋_GB2312" w:eastAsia="仿宋_GB2312" w:hint="eastAsia"/>
          <w:color w:val="auto"/>
          <w:sz w:val="28"/>
          <w:szCs w:val="28"/>
        </w:rPr>
        <w:t>.教育支出（类）普通教育（款）小学教育（项）:反映各部门举办的小学教育支出。政府各部门对社会中介组织等举办的小学的资助，如各类捐赠、补贴等，也在本科目中反映。</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11</w:t>
      </w:r>
      <w:r>
        <w:rPr>
          <w:rFonts w:ascii="仿宋_GB2312" w:eastAsia="仿宋_GB2312" w:hint="eastAsia"/>
          <w:color w:val="auto"/>
          <w:sz w:val="28"/>
          <w:szCs w:val="28"/>
        </w:rPr>
        <w:t>.社会保障和就业支出（类）行政事业单位离退休（款）机关事业单位基本养老保险缴费支出（项）: 指机关事业单位实施养老保险制度由单位缴纳的基本养老保险费支出。</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12</w:t>
      </w:r>
      <w:r>
        <w:rPr>
          <w:rFonts w:ascii="仿宋_GB2312" w:eastAsia="仿宋_GB2312" w:hint="eastAsia"/>
          <w:color w:val="auto"/>
          <w:sz w:val="28"/>
          <w:szCs w:val="28"/>
        </w:rPr>
        <w:t>.医疗卫生与计划生育（类）行政事业单位医疗（款）事业单位医疗（项）: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7"/>
        <w:adjustRightInd w:val="0"/>
        <w:snapToGrid w:val="0"/>
        <w:spacing w:line="520" w:lineRule="exact"/>
        <w:ind w:firstLineChars="200" w:firstLine="560"/>
        <w:rPr>
          <w:rFonts w:ascii="仿宋_GB2312" w:eastAsia="仿宋_GB2312" w:hint="eastAsia"/>
          <w:color w:val="auto"/>
          <w:sz w:val="28"/>
          <w:szCs w:val="28"/>
        </w:rPr>
      </w:pPr>
      <w:r>
        <w:rPr>
          <w:rFonts w:ascii="仿宋_GB2312" w:eastAsia="仿宋_GB2312" w:hint="eastAsia"/>
          <w:color w:val="auto"/>
          <w:sz w:val="28"/>
          <w:szCs w:val="28"/>
        </w:rPr>
        <w:t>1</w:t>
      </w:r>
      <w:r>
        <w:rPr>
          <w:rFonts w:ascii="仿宋_GB2312" w:eastAsia="仿宋_GB2312" w:hint="eastAsia"/>
          <w:color w:val="auto"/>
          <w:sz w:val="28"/>
          <w:szCs w:val="28"/>
          <w:lang w:val="en-US" w:eastAsia="zh-CN"/>
        </w:rPr>
        <w:t>3</w:t>
      </w:r>
      <w:r>
        <w:rPr>
          <w:rFonts w:ascii="仿宋_GB2312" w:eastAsia="仿宋_GB2312" w:hint="eastAsia"/>
          <w:color w:val="auto"/>
          <w:sz w:val="28"/>
          <w:szCs w:val="28"/>
        </w:rPr>
        <w:t>.住房保障支出（类）住房改革支出（款）住房公积金（项）: 指行政事业单位按人力资源和社会保障部、财政部规定的基本工资和津贴补贴以及规定比例为职工缴纳的住房公积金。</w:t>
      </w:r>
    </w:p>
    <w:p>
      <w:pPr>
        <w:pStyle w:val="27"/>
        <w:adjustRightInd w:val="0"/>
        <w:snapToGrid w:val="0"/>
        <w:spacing w:line="520" w:lineRule="exact"/>
        <w:ind w:firstLineChars="200" w:firstLine="560"/>
        <w:rPr>
          <w:rFonts w:ascii="仿宋_GB2312" w:eastAsia="仿宋_GB2312" w:hint="eastAsia"/>
          <w:color w:val="auto"/>
          <w:sz w:val="28"/>
          <w:szCs w:val="28"/>
          <w:lang w:val="en-US" w:eastAsia="zh-CN"/>
        </w:rPr>
      </w:pPr>
      <w:r>
        <w:rPr>
          <w:rFonts w:ascii="仿宋_GB2312" w:eastAsia="仿宋_GB2312" w:hint="eastAsia"/>
          <w:color w:val="auto"/>
          <w:sz w:val="28"/>
          <w:szCs w:val="28"/>
          <w:lang w:val="en-US" w:eastAsia="zh-CN"/>
        </w:rPr>
        <w:t>14.基本支出：指为保障机构正常运转、完成日常工作任务而发生的人员支出和公用支出。</w:t>
      </w:r>
    </w:p>
    <w:p>
      <w:pPr>
        <w:pStyle w:val="27"/>
        <w:adjustRightInd w:val="0"/>
        <w:snapToGrid w:val="0"/>
        <w:spacing w:line="520" w:lineRule="exact"/>
        <w:ind w:firstLineChars="200" w:firstLine="560"/>
        <w:rPr>
          <w:rFonts w:ascii="仿宋_GB2312" w:eastAsia="仿宋_GB2312" w:hint="eastAsia"/>
          <w:color w:val="auto"/>
          <w:sz w:val="28"/>
          <w:szCs w:val="28"/>
          <w:lang w:val="en-US" w:eastAsia="zh-CN"/>
        </w:rPr>
      </w:pPr>
      <w:r>
        <w:rPr>
          <w:rFonts w:ascii="仿宋_GB2312" w:eastAsia="仿宋_GB2312" w:hint="eastAsia"/>
          <w:color w:val="auto"/>
          <w:sz w:val="28"/>
          <w:szCs w:val="28"/>
          <w:lang w:val="en-US" w:eastAsia="zh-CN"/>
        </w:rPr>
        <w:t xml:space="preserve">15.项目支出：指在基本支出之外为完成特定行政任务和事业发展目标所发生的支出。 </w:t>
      </w:r>
    </w:p>
    <w:p>
      <w:pPr>
        <w:pStyle w:val="27"/>
        <w:adjustRightInd w:val="0"/>
        <w:snapToGrid w:val="0"/>
        <w:spacing w:line="520" w:lineRule="exact"/>
        <w:ind w:firstLineChars="200" w:firstLine="560"/>
        <w:rPr>
          <w:rFonts w:ascii="仿宋_GB2312" w:eastAsia="仿宋_GB2312" w:hint="eastAsia"/>
          <w:color w:val="auto"/>
          <w:sz w:val="28"/>
          <w:szCs w:val="28"/>
          <w:lang w:val="en-US" w:eastAsia="zh-CN"/>
        </w:rPr>
      </w:pPr>
      <w:r>
        <w:rPr>
          <w:rFonts w:ascii="仿宋_GB2312" w:eastAsia="仿宋_GB2312" w:hint="eastAsia"/>
          <w:color w:val="auto"/>
          <w:sz w:val="28"/>
          <w:szCs w:val="28"/>
          <w:lang w:val="en-US" w:eastAsia="zh-CN"/>
        </w:rPr>
        <w:t>16.经营支出：指事业单位在专业业务活动及其辅助活动之外开展非独立核算经营活动发生的支出。</w:t>
      </w:r>
    </w:p>
    <w:p>
      <w:pPr>
        <w:pStyle w:val="27"/>
        <w:adjustRightInd w:val="0"/>
        <w:snapToGrid w:val="0"/>
        <w:spacing w:line="520" w:lineRule="exact"/>
        <w:ind w:firstLineChars="200" w:firstLine="560"/>
        <w:rPr>
          <w:rFonts w:ascii="仿宋_GB2312" w:eastAsia="仿宋_GB2312" w:hint="eastAsia"/>
          <w:color w:val="auto"/>
          <w:sz w:val="28"/>
          <w:szCs w:val="28"/>
          <w:lang w:val="en-US" w:eastAsia="zh-CN"/>
        </w:rPr>
      </w:pPr>
      <w:r>
        <w:rPr>
          <w:rFonts w:ascii="仿宋_GB2312" w:eastAsia="仿宋_GB2312" w:hint="eastAsia"/>
          <w:color w:val="auto"/>
          <w:sz w:val="28"/>
          <w:szCs w:val="28"/>
          <w:lang w:val="en-US" w:eastAsia="zh-CN"/>
        </w:rPr>
        <w:t>17.“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ascii="黑体" w:eastAsia="黑体" w:hAnsi="黑体" w:hint="eastAsia"/>
          <w:sz w:val="44"/>
          <w:szCs w:val="44"/>
        </w:rPr>
      </w:pPr>
      <w:bookmarkStart w:id="46" w:name="_Toc15396614"/>
      <w:bookmarkStart w:id="47" w:name="_Toc15377226"/>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Style w:val="1Char"/>
          <w:rFonts w:ascii="黑体" w:eastAsia="黑体" w:hAnsi="黑体"/>
          <w:b w:val="0"/>
        </w:rPr>
      </w:pPr>
      <w:r>
        <w:rPr>
          <w:rFonts w:ascii="黑体" w:eastAsia="黑体" w:hAnsi="黑体" w:hint="eastAsia"/>
          <w:sz w:val="44"/>
          <w:szCs w:val="44"/>
        </w:rPr>
        <w:t>第</w:t>
      </w:r>
      <w:r>
        <w:rPr>
          <w:rStyle w:val="1Char"/>
          <w:rFonts w:ascii="黑体" w:eastAsia="黑体" w:hAnsi="黑体" w:hint="eastAsia"/>
          <w:b w:val="0"/>
        </w:rPr>
        <w:t>四部分 附件</w:t>
      </w:r>
      <w:bookmarkEnd w:id="46"/>
    </w:p>
    <w:p>
      <w:pPr>
        <w:spacing w:line="600" w:lineRule="exact"/>
        <w:jc w:val="center"/>
        <w:outlineLvl w:val="0"/>
        <w:rPr>
          <w:rFonts w:ascii="宋体" w:cs="宋体" w:hAnsi="宋体"/>
          <w:kern w:val="0"/>
          <w:sz w:val="32"/>
          <w:szCs w:val="32"/>
        </w:rPr>
      </w:pPr>
      <w:bookmarkStart w:id="48" w:name="_Toc15396618"/>
      <w:r>
        <w:rPr>
          <w:rFonts w:ascii="宋体" w:cs="宋体" w:hAnsi="宋体" w:hint="eastAsia"/>
          <w:kern w:val="0"/>
          <w:sz w:val="32"/>
          <w:szCs w:val="32"/>
        </w:rPr>
        <w:t>部门预算项目支出绩效自评表（2022年度）</w:t>
      </w: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pStyle w:val="15"/>
        <w:spacing w:beforeLines="0" w:before="93"/>
        <w:rPr>
          <w:rFonts w:cs="仿宋" w:hAnsi="Calibri"/>
          <w:sz w:val="32"/>
          <w:szCs w:val="32"/>
        </w:rPr>
      </w:pPr>
    </w:p>
    <w:p>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49" w:name="_Toc15396619"/>
      <w:bookmarkEnd w:id="47"/>
      <w:bookmarkEnd w:id="48"/>
    </w:p>
    <w:p>
      <w:pPr>
        <w:pStyle w:val="2"/>
        <w:rPr>
          <w:rFonts w:ascii="仿宋" w:eastAsia="仿宋" w:hAnsi="仿宋"/>
        </w:rPr>
      </w:pPr>
      <w:r>
        <w:rPr>
          <w:rFonts w:ascii="仿宋" w:eastAsia="仿宋" w:hAnsi="仿宋" w:hint="eastAsia"/>
          <w:b w:val="0"/>
        </w:rPr>
        <w:t>一、收</w:t>
      </w:r>
      <w:r>
        <w:rPr>
          <w:rStyle w:val="2Char"/>
          <w:rFonts w:ascii="仿宋" w:eastAsia="仿宋" w:hAnsi="仿宋" w:hint="eastAsia"/>
          <w:b w:val="0"/>
          <w:bCs w:val="0"/>
        </w:rPr>
        <w:t>入支出决算总表</w:t>
      </w:r>
      <w:bookmarkEnd w:id="49"/>
    </w:p>
    <w:p>
      <w:pPr>
        <w:pStyle w:val="2"/>
        <w:rPr>
          <w:rFonts w:ascii="仿宋" w:eastAsia="仿宋" w:hAnsi="仿宋"/>
        </w:rPr>
      </w:pPr>
      <w:bookmarkStart w:id="50" w:name="_Toc15396620"/>
      <w:r>
        <w:rPr>
          <w:rFonts w:ascii="仿宋" w:eastAsia="仿宋" w:hAnsi="仿宋" w:hint="eastAsia"/>
          <w:b w:val="0"/>
        </w:rPr>
        <w:t>二、收</w:t>
      </w:r>
      <w:r>
        <w:rPr>
          <w:rStyle w:val="2Char"/>
          <w:rFonts w:ascii="仿宋" w:eastAsia="仿宋" w:hAnsi="仿宋" w:hint="eastAsia"/>
          <w:b w:val="0"/>
          <w:bCs w:val="0"/>
        </w:rPr>
        <w:t>入决算表</w:t>
      </w:r>
      <w:bookmarkEnd w:id="50"/>
    </w:p>
    <w:p>
      <w:pPr>
        <w:pStyle w:val="2"/>
        <w:rPr>
          <w:rFonts w:ascii="仿宋" w:eastAsia="仿宋" w:hAnsi="仿宋"/>
        </w:rPr>
      </w:pPr>
      <w:bookmarkStart w:id="51" w:name="_Toc15396621"/>
      <w:r>
        <w:rPr>
          <w:rStyle w:val="2Char"/>
          <w:rFonts w:ascii="仿宋" w:eastAsia="仿宋" w:hAnsi="仿宋" w:hint="eastAsia"/>
          <w:b w:val="0"/>
          <w:bCs w:val="0"/>
        </w:rPr>
        <w:t>三、</w:t>
      </w:r>
      <w:r>
        <w:rPr>
          <w:rFonts w:ascii="仿宋" w:eastAsia="仿宋" w:hAnsi="仿宋" w:hint="eastAsia"/>
          <w:b w:val="0"/>
        </w:rPr>
        <w:t>支</w:t>
      </w:r>
      <w:r>
        <w:rPr>
          <w:rStyle w:val="2Char"/>
          <w:rFonts w:ascii="仿宋" w:eastAsia="仿宋" w:hAnsi="仿宋" w:hint="eastAsia"/>
          <w:b w:val="0"/>
          <w:bCs w:val="0"/>
        </w:rPr>
        <w:t>出决算表</w:t>
      </w:r>
      <w:bookmarkEnd w:id="51"/>
    </w:p>
    <w:p>
      <w:pPr>
        <w:pStyle w:val="2"/>
        <w:rPr>
          <w:rFonts w:ascii="仿宋" w:eastAsia="仿宋" w:hAnsi="仿宋"/>
          <w:b w:val="0"/>
        </w:rPr>
      </w:pPr>
      <w:bookmarkStart w:id="52" w:name="_Toc15396622"/>
      <w:r>
        <w:rPr>
          <w:rStyle w:val="2Char"/>
          <w:rFonts w:ascii="仿宋" w:eastAsia="仿宋" w:hAnsi="仿宋" w:hint="eastAsia"/>
          <w:b w:val="0"/>
          <w:bCs w:val="0"/>
        </w:rPr>
        <w:t>四、</w:t>
      </w:r>
      <w:r>
        <w:rPr>
          <w:rFonts w:ascii="仿宋" w:eastAsia="仿宋" w:hAnsi="仿宋" w:hint="eastAsia"/>
          <w:b w:val="0"/>
        </w:rPr>
        <w:t>财</w:t>
      </w:r>
      <w:r>
        <w:rPr>
          <w:rStyle w:val="2Char"/>
          <w:rFonts w:ascii="仿宋" w:eastAsia="仿宋" w:hAnsi="仿宋" w:hint="eastAsia"/>
          <w:b w:val="0"/>
          <w:bCs w:val="0"/>
        </w:rPr>
        <w:t>政拨款收入支出决算总表</w:t>
      </w:r>
      <w:bookmarkEnd w:id="52"/>
    </w:p>
    <w:p>
      <w:pPr>
        <w:pStyle w:val="2"/>
        <w:rPr>
          <w:rStyle w:val="2Char"/>
          <w:rFonts w:ascii="仿宋" w:eastAsia="仿宋" w:hAnsi="仿宋"/>
          <w:b w:val="0"/>
          <w:bCs w:val="0"/>
        </w:rPr>
      </w:pPr>
      <w:bookmarkStart w:id="53" w:name="_Toc15396623"/>
      <w:r>
        <w:rPr>
          <w:rStyle w:val="2Char"/>
          <w:rFonts w:ascii="仿宋" w:eastAsia="仿宋" w:hAnsi="仿宋" w:hint="eastAsia"/>
          <w:b w:val="0"/>
          <w:bCs w:val="0"/>
        </w:rPr>
        <w:t>五、</w:t>
      </w:r>
      <w:r>
        <w:rPr>
          <w:rFonts w:ascii="仿宋" w:eastAsia="仿宋" w:hAnsi="仿宋" w:hint="eastAsia"/>
          <w:b w:val="0"/>
        </w:rPr>
        <w:t>财</w:t>
      </w:r>
      <w:r>
        <w:rPr>
          <w:rStyle w:val="2Char"/>
          <w:rFonts w:ascii="仿宋" w:eastAsia="仿宋" w:hAnsi="仿宋" w:hint="eastAsia"/>
          <w:b w:val="0"/>
          <w:bCs w:val="0"/>
        </w:rPr>
        <w:t>政拨款支出决算明细表</w:t>
      </w:r>
      <w:bookmarkStart w:id="54" w:name="_Toc15396624"/>
      <w:bookmarkEnd w:id="53"/>
    </w:p>
    <w:p>
      <w:pPr>
        <w:pStyle w:val="2"/>
        <w:rPr>
          <w:rFonts w:ascii="仿宋" w:eastAsia="仿宋" w:hAnsi="仿宋"/>
        </w:rPr>
      </w:pPr>
      <w:r>
        <w:rPr>
          <w:rStyle w:val="2Char"/>
          <w:rFonts w:ascii="仿宋" w:eastAsia="仿宋" w:hAnsi="仿宋" w:hint="eastAsia"/>
          <w:b w:val="0"/>
          <w:bCs w:val="0"/>
        </w:rPr>
        <w:t>六、</w:t>
      </w:r>
      <w:r>
        <w:rPr>
          <w:rFonts w:ascii="仿宋" w:eastAsia="仿宋" w:hAnsi="仿宋" w:hint="eastAsia"/>
          <w:b w:val="0"/>
        </w:rPr>
        <w:t>一</w:t>
      </w:r>
      <w:r>
        <w:rPr>
          <w:rStyle w:val="2Char"/>
          <w:rFonts w:ascii="仿宋" w:eastAsia="仿宋" w:hAnsi="仿宋" w:hint="eastAsia"/>
          <w:b w:val="0"/>
          <w:bCs w:val="0"/>
        </w:rPr>
        <w:t>般公共预算财政拨款支出决算表</w:t>
      </w:r>
      <w:bookmarkEnd w:id="54"/>
    </w:p>
    <w:p>
      <w:pPr>
        <w:pStyle w:val="2"/>
        <w:rPr>
          <w:rFonts w:ascii="仿宋" w:eastAsia="仿宋" w:hAnsi="仿宋"/>
        </w:rPr>
      </w:pPr>
      <w:bookmarkStart w:id="55" w:name="_Toc15396625"/>
      <w:r>
        <w:rPr>
          <w:rStyle w:val="2Char"/>
          <w:rFonts w:ascii="仿宋" w:eastAsia="仿宋" w:hAnsi="仿宋" w:hint="eastAsia"/>
          <w:b w:val="0"/>
          <w:bCs w:val="0"/>
        </w:rPr>
        <w:t>七、</w:t>
      </w:r>
      <w:r>
        <w:rPr>
          <w:rFonts w:ascii="仿宋" w:eastAsia="仿宋" w:hAnsi="仿宋" w:hint="eastAsia"/>
          <w:b w:val="0"/>
        </w:rPr>
        <w:t>一</w:t>
      </w:r>
      <w:r>
        <w:rPr>
          <w:rStyle w:val="2Char"/>
          <w:rFonts w:ascii="仿宋" w:eastAsia="仿宋" w:hAnsi="仿宋" w:hint="eastAsia"/>
          <w:b w:val="0"/>
          <w:bCs w:val="0"/>
        </w:rPr>
        <w:t>般公共预算财政拨款支出决算明细表</w:t>
      </w:r>
      <w:bookmarkEnd w:id="55"/>
    </w:p>
    <w:p>
      <w:pPr>
        <w:pStyle w:val="2"/>
        <w:rPr>
          <w:rFonts w:ascii="仿宋" w:eastAsia="仿宋" w:hAnsi="仿宋"/>
        </w:rPr>
      </w:pPr>
      <w:bookmarkStart w:id="56" w:name="_Toc15396626"/>
      <w:r>
        <w:rPr>
          <w:rStyle w:val="2Char"/>
          <w:rFonts w:ascii="仿宋" w:eastAsia="仿宋" w:hAnsi="仿宋" w:hint="eastAsia"/>
          <w:b w:val="0"/>
          <w:bCs w:val="0"/>
        </w:rPr>
        <w:t>八、</w:t>
      </w:r>
      <w:r>
        <w:rPr>
          <w:rFonts w:ascii="仿宋" w:eastAsia="仿宋" w:hAnsi="仿宋" w:hint="eastAsia"/>
          <w:b w:val="0"/>
        </w:rPr>
        <w:t>一</w:t>
      </w:r>
      <w:r>
        <w:rPr>
          <w:rStyle w:val="2Char"/>
          <w:rFonts w:ascii="仿宋" w:eastAsia="仿宋" w:hAnsi="仿宋" w:hint="eastAsia"/>
          <w:b w:val="0"/>
          <w:bCs w:val="0"/>
        </w:rPr>
        <w:t>般公共预算财政拨款基本支出决算表</w:t>
      </w:r>
      <w:bookmarkEnd w:id="56"/>
    </w:p>
    <w:p>
      <w:pPr>
        <w:pStyle w:val="2"/>
        <w:rPr>
          <w:rFonts w:ascii="仿宋" w:eastAsia="仿宋" w:hAnsi="仿宋"/>
        </w:rPr>
      </w:pPr>
      <w:bookmarkStart w:id="57" w:name="_Toc15396627"/>
      <w:r>
        <w:rPr>
          <w:rStyle w:val="2Char"/>
          <w:rFonts w:ascii="仿宋" w:eastAsia="仿宋" w:hAnsi="仿宋" w:hint="eastAsia"/>
          <w:b w:val="0"/>
          <w:bCs w:val="0"/>
        </w:rPr>
        <w:t>九、</w:t>
      </w:r>
      <w:r>
        <w:rPr>
          <w:rFonts w:ascii="仿宋" w:eastAsia="仿宋" w:hAnsi="仿宋" w:hint="eastAsia"/>
          <w:b w:val="0"/>
        </w:rPr>
        <w:t>一</w:t>
      </w:r>
      <w:r>
        <w:rPr>
          <w:rStyle w:val="2Char"/>
          <w:rFonts w:ascii="仿宋" w:eastAsia="仿宋" w:hAnsi="仿宋" w:hint="eastAsia"/>
          <w:b w:val="0"/>
          <w:bCs w:val="0"/>
        </w:rPr>
        <w:t>般公共预算财政拨款项目支出决算表</w:t>
      </w:r>
      <w:bookmarkEnd w:id="57"/>
    </w:p>
    <w:p>
      <w:pPr>
        <w:pStyle w:val="2"/>
        <w:rPr>
          <w:rFonts w:ascii="仿宋" w:eastAsia="仿宋" w:hAnsi="仿宋"/>
        </w:rPr>
      </w:pPr>
      <w:bookmarkStart w:id="58" w:name="_Toc15396628"/>
      <w:r>
        <w:rPr>
          <w:rStyle w:val="2Char"/>
          <w:rFonts w:ascii="仿宋" w:eastAsia="仿宋" w:hAnsi="仿宋" w:hint="eastAsia"/>
          <w:b w:val="0"/>
          <w:bCs w:val="0"/>
        </w:rPr>
        <w:t>十、</w:t>
      </w:r>
      <w:bookmarkEnd w:id="58"/>
      <w:r>
        <w:rPr>
          <w:rFonts w:ascii="仿宋" w:eastAsia="仿宋" w:hAnsi="仿宋" w:hint="eastAsia"/>
          <w:b w:val="0"/>
        </w:rPr>
        <w:t>政</w:t>
      </w:r>
      <w:r>
        <w:rPr>
          <w:rStyle w:val="2Char"/>
          <w:rFonts w:ascii="仿宋" w:eastAsia="仿宋" w:hAnsi="仿宋" w:hint="eastAsia"/>
          <w:b w:val="0"/>
          <w:bCs w:val="0"/>
        </w:rPr>
        <w:t>府性基金预算财政拨款收入支出决算表</w:t>
      </w:r>
    </w:p>
    <w:p>
      <w:pPr>
        <w:pStyle w:val="2"/>
        <w:rPr>
          <w:rFonts w:ascii="仿宋" w:eastAsia="仿宋" w:hAnsi="仿宋"/>
        </w:rPr>
      </w:pPr>
      <w:bookmarkStart w:id="59" w:name="_Toc15396629"/>
      <w:r>
        <w:rPr>
          <w:rStyle w:val="2Char"/>
          <w:rFonts w:ascii="仿宋" w:eastAsia="仿宋" w:hAnsi="仿宋" w:hint="eastAsia"/>
          <w:b w:val="0"/>
          <w:bCs w:val="0"/>
        </w:rPr>
        <w:t>十一、</w:t>
      </w:r>
      <w:bookmarkEnd w:id="59"/>
      <w:r>
        <w:rPr>
          <w:rFonts w:ascii="仿宋" w:eastAsia="仿宋" w:hAnsi="仿宋" w:hint="eastAsia"/>
          <w:b w:val="0"/>
        </w:rPr>
        <w:t>国</w:t>
      </w:r>
      <w:r>
        <w:rPr>
          <w:rStyle w:val="2Char"/>
          <w:rFonts w:ascii="仿宋" w:eastAsia="仿宋" w:hAnsi="仿宋" w:hint="eastAsia"/>
          <w:b w:val="0"/>
          <w:bCs w:val="0"/>
        </w:rPr>
        <w:t>有资本经营预算财政拨款收入支出决算表</w:t>
      </w:r>
    </w:p>
    <w:p>
      <w:pPr>
        <w:pStyle w:val="2"/>
        <w:rPr>
          <w:rFonts w:ascii="仿宋" w:eastAsia="仿宋" w:hAnsi="仿宋"/>
        </w:rPr>
      </w:pPr>
      <w:bookmarkStart w:id="60" w:name="_Toc15396630"/>
      <w:r>
        <w:rPr>
          <w:rStyle w:val="2Char"/>
          <w:rFonts w:ascii="仿宋" w:eastAsia="仿宋" w:hAnsi="仿宋" w:hint="eastAsia"/>
          <w:b w:val="0"/>
          <w:bCs w:val="0"/>
        </w:rPr>
        <w:t>十二、</w:t>
      </w:r>
      <w:bookmarkEnd w:id="60"/>
      <w:r>
        <w:rPr>
          <w:rStyle w:val="2Char"/>
          <w:rFonts w:ascii="仿宋" w:eastAsia="仿宋" w:hAnsi="仿宋" w:hint="eastAsia"/>
          <w:b w:val="0"/>
          <w:bCs w:val="0"/>
        </w:rPr>
        <w:t>国有资本经营预算财政拨款支出决算表</w:t>
      </w:r>
    </w:p>
    <w:p>
      <w:pPr>
        <w:pStyle w:val="2"/>
        <w:rPr>
          <w:rFonts w:eastAsia="仿宋"/>
        </w:rPr>
      </w:pPr>
      <w:bookmarkStart w:id="61" w:name="_Toc15396631"/>
      <w:r>
        <w:rPr>
          <w:rStyle w:val="2Char"/>
          <w:rFonts w:ascii="仿宋" w:eastAsia="仿宋" w:hAnsi="仿宋" w:hint="eastAsia"/>
          <w:b w:val="0"/>
          <w:bCs w:val="0"/>
        </w:rPr>
        <w:t>十三、</w:t>
      </w:r>
      <w:bookmarkEnd w:id="61"/>
      <w:r>
        <w:rPr>
          <w:rStyle w:val="2Char"/>
          <w:rFonts w:ascii="仿宋" w:eastAsia="仿宋" w:hAnsi="仿宋" w:hint="eastAsia"/>
          <w:b w:val="0"/>
          <w:bCs w:val="0"/>
        </w:rPr>
        <w:t>财政拨款“三公”经费支出决算表</w:t>
      </w:r>
    </w:p>
    <w:sectPr>
      <w:headerReference w:type="default" r:id="rId2"/>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宋体">
    <w:panose1 w:val="02010600030101010101"/>
    <w:charset w:val="7A"/>
    <w:family w:val="auto"/>
    <w:pitch w:val="variable"/>
    <w:sig w:usb0="000002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仿宋">
    <w:altName w:val="仿宋_GB2312"/>
    <w:panose1 w:val="02010609060101010101"/>
    <w:charset w:val="86"/>
    <w:family w:val="modern"/>
    <w:pitch w:val="variable"/>
    <w:sig w:usb0="800002BF" w:usb1="38CF7CFA" w:usb2="00000016" w:usb3="00000000" w:csb0="00040001" w:csb1="00000000"/>
  </w:font>
  <w:font w:name="Times New Roman">
    <w:panose1 w:val="02020603050405020304"/>
    <w:charset w:val="86"/>
    <w:family w:val="auto"/>
    <w:pitch w:val="variable"/>
    <w:sig w:usb0="E0002EFF" w:usb1="C000785B" w:usb2="00000009" w:usb3="00000000" w:csb0="400001FF" w:csb1="FFFF0000"/>
  </w:font>
  <w:font w:name="楷体_GB2312">
    <w:altName w:val="楷体"/>
    <w:panose1 w:val="02010609030101010101"/>
    <w:charset w:val="86"/>
    <w:family w:val="modern"/>
    <w:pitch w:val="variable"/>
    <w:sig w:usb0="00000000" w:usb1="00000000" w:usb2="00000010" w:usb3="00000000" w:csb0="00040000" w:csb1="00000000"/>
  </w:font>
  <w:font w:name="仿宋_GB2312">
    <w:altName w:val="仿宋"/>
    <w:panose1 w:val="02010609030101010101"/>
    <w:charset w:val="86"/>
    <w:family w:val="modern"/>
    <w:pitch w:val="variable"/>
    <w:sig w:usb0="00000000" w:usb1="00000000" w:usb2="00000010" w:usb3="00000000" w:csb0="00040000" w:csb1="00000000"/>
  </w:font>
  <w:font w:name="Calibri">
    <w:altName w:val="Times New Roman"/>
    <w:panose1 w:val="020F0502020204030204"/>
    <w:charset w:val="00"/>
    <w:family w:val="swiss"/>
    <w:pitch w:val="variable"/>
    <w:sig w:usb0="E4002EFF" w:usb1="C200247B" w:usb2="00000009" w:usb3="00000000" w:csb0="200001F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6FF" w:usb1="420024FF" w:usb2="02000000" w:usb3="00000000" w:csb0="2000019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rPr>
        <w:rFonts w:ascii="黑体" w:hAnsi="黑体" w:eastAsia="黑体" w:cs="黑体" w:hint="eastAsia"/>
        <w:sz w:val="44"/>
        <w:szCs w:val="44"/>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9"/>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mVjZTBmYmZhMjYwMTI1OWZhNWY2NjQ0YTYyMDNmYT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0">
    <w:name w:val="TOC 标题2"/>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chart" Target="charts/chart6.xml"/><Relationship Id="rId9" Type="http://schemas.openxmlformats.org/officeDocument/2006/relationships/chart" Target="charts/chart7.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11157"/>
          <c:y val="0.03813131"/>
          <c:w val="0.80216634"/>
          <c:h val="0.8474752"/>
        </c:manualLayout>
      </c:layout>
      <c:barChart>
        <c:barDir val="col"/>
        <c:grouping val="clustered"/>
        <c:varyColors val="0"/>
        <c:ser>
          <c:idx val="2"/>
          <c:order val="0"/>
          <c:tx>
            <c:strRef>
              <c:f>'Sheet1'!$B$1</c:f>
              <c:strCache>
                <c:ptCount val="1"/>
                <c:pt idx="0">
                  <c:v>收、支决算总计（万元）</c:v>
                </c:pt>
              </c:strCache>
            </c:strRef>
          </c:tx>
          <c:spPr>
            <a:solidFill>
              <a:srgbClr val="9BBB59"/>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2021年</c:v>
                </c:pt>
                <c:pt idx="1">
                  <c:v>2022年</c:v>
                </c:pt>
              </c:strCache>
            </c:strRef>
          </c:cat>
          <c:val>
            <c:numRef>
              <c:f>'Sheet1'!$B$2:$B$3</c:f>
              <c:numCache>
                <c:formatCode>General</c:formatCode>
                <c:ptCount val="2"/>
                <c:pt idx="0">
                  <c:v>902.2</c:v>
                </c:pt>
                <c:pt idx="1">
                  <c:v>920.67</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manualLayout>
          <c:xMode val="edge"/>
          <c:yMode val="edge"/>
          <c:x val="0.3101737"/>
          <c:y val="0.047474746"/>
          <c:w val="0.38101736"/>
          <c:h val="0.09368687"/>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a:noFill/>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99759"/>
          <c:y val="0.1937255"/>
          <c:w val="0.46731767"/>
          <c:h val="0.80008256"/>
        </c:manualLayout>
      </c:layout>
      <c:pieChart>
        <c:varyColors val="1"/>
        <c:ser>
          <c:idx val="0"/>
          <c:order val="0"/>
          <c:tx>
            <c:strRef>
              <c:f>'Sheet1 (2)'!$B$1</c:f>
              <c:strCache>
                <c:ptCount val="1"/>
                <c:pt idx="0">
                  <c:v>收入额（万元）</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00%" sourceLinked="0"/>
            <c:dLbl>
              <c:idx val="0"/>
              <c:layout>
                <c:manualLayout>
                  <c:x val="-0.04414592"/>
                  <c:y val="-0.13312693"/>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1"/>
              <c:layout>
                <c:manualLayout>
                  <c:x val="-0.08360347"/>
                  <c:y val="-0.0508913"/>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sz="1000" b="0" i="0" u="none" strike="noStrike" baseline="0">
                        <a:solidFill>
                          <a:srgbClr val="000000"/>
                        </a:solidFill>
                        <a:latin typeface="Times New Roman"/>
                        <a:ea typeface="宋体"/>
                        <a:cs typeface="Lucida Sans"/>
                      </a:rPr>
                      <a:t>事业收入</a:t>
                    </a:r>
                    <a:r>
                      <a:rPr lang="zh-CN" sz="1000" b="0" i="0" u="none" strike="noStrike" baseline="0">
                        <a:solidFill>
                          <a:srgbClr val="000000"/>
                        </a:solidFill>
                        <a:latin typeface="Times New Roman"/>
                        <a:ea typeface="宋体"/>
                        <a:cs typeface="Lucida Sans"/>
                      </a:rPr>
                      <a:t>11.6.1.33</a:t>
                    </a:r>
                    <a:r>
                      <a:rPr lang="zh-CN" sz="1000" b="0" i="0" u="none" strike="noStrike" baseline="0">
                        <a:solidFill>
                          <a:srgbClr val="000000"/>
                        </a:solidFill>
                        <a:latin typeface="Times New Roman"/>
                        <a:ea typeface="宋体"/>
                        <a:cs typeface="Lucida Sans"/>
                      </a:rPr>
                      <a:t>%</a:t>
                    </a:r>
                  </a:p>
                </c:rich>
              </c:tx>
              <c:showLegendKey val="0"/>
              <c:showVal val="1"/>
              <c:showCatName val="0"/>
              <c:showSerName val="0"/>
              <c:showPercent val="0"/>
              <c:showBubbleSize val="0"/>
            </c:dLbl>
            <c:dLbl>
              <c:idx val="2"/>
              <c:layout>
                <c:manualLayout>
                  <c:x val="0.08739313"/>
                  <c:y val="0.0070943893"/>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sz="1000" b="0" i="0" u="none" strike="noStrike" baseline="0">
                        <a:solidFill>
                          <a:srgbClr val="000000"/>
                        </a:solidFill>
                        <a:latin typeface="Times New Roman"/>
                        <a:ea typeface="宋体"/>
                        <a:cs typeface="Lucida Sans"/>
                      </a:rPr>
                      <a:t>其他收入</a:t>
                    </a:r>
                    <a:r>
                      <a:rPr lang="zh-CN" sz="1000" b="0" i="0" u="none" strike="noStrike" baseline="0">
                        <a:solidFill>
                          <a:srgbClr val="000000"/>
                        </a:solidFill>
                        <a:latin typeface="Times New Roman"/>
                        <a:ea typeface="宋体"/>
                        <a:cs typeface="Lucida Sans"/>
                      </a:rPr>
                      <a:t>0.38,0.04</a:t>
                    </a:r>
                    <a:r>
                      <a:rPr lang="zh-CN" sz="1000" b="0" i="0" u="none" strike="noStrike" baseline="0">
                        <a:solidFill>
                          <a:srgbClr val="000000"/>
                        </a:solidFill>
                        <a:latin typeface="Times New Roman"/>
                        <a:ea typeface="宋体"/>
                        <a:cs typeface="Lucida Sans"/>
                      </a:rPr>
                      <a:t>%</a:t>
                    </a:r>
                  </a:p>
                </c:rich>
              </c:tx>
              <c:showLegendKey val="0"/>
              <c:showVal val="1"/>
              <c:showCatName val="0"/>
              <c:showSerName val="0"/>
              <c:showPercent val="0"/>
              <c:showBubbleSize val="0"/>
            </c:dLbl>
            <c:showLegendKey val="0"/>
            <c:showVal val="1"/>
            <c:showCatName val="1"/>
            <c:showSerName val="0"/>
            <c:showPercent val="1"/>
            <c:showBubbleSize val="0"/>
            <c:showLeaderLines val="1"/>
          </c:dLbls>
          <c:cat>
            <c:strRef>
              <c:f>'Sheet1 (2)'!$A$2:$A$4</c:f>
              <c:strCache>
                <c:ptCount val="3"/>
                <c:pt idx="0">
                  <c:v>一般公共预算财政拨款收入</c:v>
                </c:pt>
                <c:pt idx="1">
                  <c:v>事业收入</c:v>
                </c:pt>
                <c:pt idx="2">
                  <c:v>其它收入</c:v>
                </c:pt>
              </c:strCache>
            </c:strRef>
          </c:cat>
          <c:val>
            <c:numRef>
              <c:f>'Sheet1 (2)'!$B$2:$B$4</c:f>
              <c:numCache>
                <c:formatCode>General</c:formatCode>
                <c:ptCount val="3"/>
                <c:pt idx="0">
                  <c:v>862.94</c:v>
                </c:pt>
                <c:pt idx="1">
                  <c:v>11.6</c:v>
                </c:pt>
                <c:pt idx="2">
                  <c:v>0.38</c:v>
                </c:pt>
              </c:numCache>
            </c:numRef>
          </c:val>
        </c:ser>
        <c:ser>
          <c:idx val="1"/>
          <c:order val="1"/>
          <c:tx>
            <c:strRef>
              <c:f>'Sheet1 (2)'!$C$1</c:f>
              <c:strCache>
                <c:ptCount val="1"/>
                <c:pt idx="0">
                  <c:v/>
                </c:pt>
              </c:strCache>
            </c:strRef>
          </c:tx>
          <c:spPr>
            <a:solidFill>
              <a:srgbClr val="C0504D"/>
            </a:solidFill>
          </c:spPr>
          <c:dPt>
            <c:idx val="0"/>
            <c:invertIfNegative val="0"/>
            <c:bubble3D val="0"/>
          </c:dPt>
          <c:dPt>
            <c:idx val="1"/>
            <c:invertIfNegative val="0"/>
            <c:bubble3D val="0"/>
          </c:dPt>
          <c:dPt>
            <c:idx val="2"/>
            <c:invertIfNegative val="0"/>
            <c:bubble3D val="0"/>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1"/>
          </c:dLbls>
          <c:cat>
            <c:strRef>
              <c:f>'Sheet1 (2)'!$A$2:$A$4</c:f>
              <c:strCache>
                <c:ptCount val="3"/>
                <c:pt idx="0">
                  <c:v>一般公共预算财政拨款收入</c:v>
                </c:pt>
                <c:pt idx="1">
                  <c:v>事业收入</c:v>
                </c:pt>
                <c:pt idx="2">
                  <c:v>其它收入</c:v>
                </c:pt>
              </c:strCache>
            </c:strRef>
          </c:cat>
          <c:val>
            <c:numRef>
              <c:f>'Sheet1 (2)'!$C$2:$C$4</c:f>
              <c:numCache>
                <c:formatCode>General</c:formatCode>
                <c:ptCount val="3"/>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(3)'!$B$1</c:f>
              <c:strCache>
                <c:ptCount val="1"/>
                <c:pt idx="0">
                  <c:v>支出数（万元）</c:v>
                </c:pt>
              </c:strCache>
            </c:strRef>
          </c:tx>
          <c:spPr>
            <a:solidFill>
              <a:srgbClr val="4F81BD"/>
            </a:solidFill>
          </c:spPr>
          <c:dPt>
            <c:idx val="0"/>
            <c:bubble3D val="0"/>
            <c:spPr>
              <a:solidFill>
                <a:srgbClr val="4F81BD"/>
              </a:solidFill>
            </c:spPr>
          </c:dPt>
          <c:dPt>
            <c:idx val="1"/>
            <c:bubble3D val="0"/>
            <c:spPr>
              <a:solidFill>
                <a:srgbClr val="C0504D"/>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00%" sourceLinked="0"/>
            <c:dLbl>
              <c:idx val="0"/>
              <c:layout>
                <c:manualLayout>
                  <c:x val="-0.08505331"/>
                  <c:y val="0.187865"/>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1"/>
              <c:layout>
                <c:manualLayout>
                  <c:x val="0.04661284"/>
                  <c:y val="0.0"/>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showLegendKey val="0"/>
            <c:showVal val="1"/>
            <c:showCatName val="1"/>
            <c:showSerName val="0"/>
            <c:showPercent val="1"/>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825.3</c:v>
                </c:pt>
                <c:pt idx="1">
                  <c:v>95.38</c:v>
                </c:pt>
              </c:numCache>
            </c:numRef>
          </c:val>
        </c:ser>
        <c:firstSliceAng val="0"/>
      </c:pieChart>
      <c:spPr>
        <a:noFill/>
      </c:spPr>
    </c:plotArea>
    <c:legend>
      <c:legendPos val="r"/>
      <c:layout>
        <c:manualLayout>
          <c:xMode val="edge"/>
          <c:yMode val="edge"/>
          <c:x val="0.7311582"/>
          <c:y val="0.3384933"/>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24556"/>
          <c:y val="0.055473916"/>
          <c:w val="0.80216634"/>
          <c:h val="0.8474752"/>
        </c:manualLayout>
      </c:layout>
      <c:barChart>
        <c:barDir val="col"/>
        <c:grouping val="clustered"/>
        <c:varyColors val="0"/>
        <c:ser>
          <c:idx val="2"/>
          <c:order val="0"/>
          <c:tx>
            <c:strRef>
              <c:f>'Sheet1 (4)'!$B$1</c:f>
              <c:strCache>
                <c:ptCount val="1"/>
                <c:pt idx="0">
                  <c:v>财政拨款收、支决算总计（万元）</c:v>
                </c:pt>
              </c:strCache>
            </c:strRef>
          </c:tx>
          <c:spPr>
            <a:solidFill>
              <a:srgbClr val="E6B9B8"/>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2021年</c:v>
                </c:pt>
                <c:pt idx="1">
                  <c:v>2022年</c:v>
                </c:pt>
              </c:strCache>
            </c:strRef>
          </c:cat>
          <c:val>
            <c:numRef>
              <c:f>'Sheet1 (4)'!$B$2:$B$3</c:f>
              <c:numCache>
                <c:formatCode>General</c:formatCode>
                <c:ptCount val="2"/>
                <c:pt idx="0">
                  <c:v>902.2</c:v>
                </c:pt>
                <c:pt idx="1">
                  <c:v>920.67</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manualLayout>
          <c:xMode val="edge"/>
          <c:yMode val="edge"/>
          <c:x val="0.2638129"/>
          <c:y val="0.012087027"/>
          <c:w val="0.43408096"/>
          <c:h val="0.2244158"/>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68303"/>
          <c:y val="0.055473916"/>
          <c:w val="0.80216634"/>
          <c:h val="0.8474752"/>
        </c:manualLayout>
      </c:layout>
      <c:barChart>
        <c:barDir val="col"/>
        <c:grouping val="clustered"/>
        <c:varyColors val="0"/>
        <c:ser>
          <c:idx val="2"/>
          <c:order val="0"/>
          <c:tx>
            <c:strRef>
              <c:f>'Sheet1 (5)'!$B$1</c:f>
              <c:strCache>
                <c:ptCount val="1"/>
                <c:pt idx="0">
                  <c:v>一般公共预算财政拨款支出（万元）</c:v>
                </c:pt>
              </c:strCache>
            </c:strRef>
          </c:tx>
          <c:spPr>
            <a:solidFill>
              <a:srgbClr val="9BBB59"/>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(5)'!$A$2:$A$3</c:f>
              <c:strCache>
                <c:ptCount val="2"/>
                <c:pt idx="0">
                  <c:v>2021年</c:v>
                </c:pt>
                <c:pt idx="1">
                  <c:v>2022年</c:v>
                </c:pt>
              </c:strCache>
            </c:strRef>
          </c:cat>
          <c:val>
            <c:numRef>
              <c:f>'Sheet1 (5)'!$B$2:$B$3</c:f>
              <c:numCache>
                <c:formatCode>General</c:formatCode>
                <c:ptCount val="2"/>
                <c:pt idx="0">
                  <c:v>875.76</c:v>
                </c:pt>
                <c:pt idx="1">
                  <c:v>908.7</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manualLayout>
          <c:xMode val="edge"/>
          <c:yMode val="edge"/>
          <c:x val="0.20612814"/>
          <c:y val="0.016433567"/>
          <c:w val="0.5528585"/>
          <c:h val="0.22447552"/>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(6)'!$B$1</c:f>
              <c:strCache>
                <c:ptCount val="1"/>
                <c:pt idx="0">
                  <c:v>支出数（万元）</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00%" sourceLinked="0"/>
            <c:dLbl>
              <c:idx val="0"/>
              <c:layout>
                <c:manualLayout>
                  <c:x val="-0.0041568563"/>
                  <c:y val="-0.26080388"/>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1"/>
              <c:layout>
                <c:manualLayout>
                  <c:x val="-0.1897764"/>
                  <c:y val="0.0"/>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2"/>
              <c:layout>
                <c:manualLayout>
                  <c:x val="0.22283044"/>
                  <c:y val="0.0"/>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sz="1000" b="0" i="0" u="none" strike="noStrike" baseline="0">
                        <a:solidFill>
                          <a:srgbClr val="000000"/>
                        </a:solidFill>
                        <a:latin typeface="Times New Roman"/>
                        <a:ea typeface="宋体"/>
                        <a:cs typeface="Lucida Sans"/>
                      </a:rPr>
                      <a:t>卫生健康支出</a:t>
                    </a:r>
                    <a:r>
                      <a:rPr lang="zh-CN" sz="1000" b="0" i="0" u="none" strike="noStrike" baseline="0">
                        <a:solidFill>
                          <a:srgbClr val="000000"/>
                        </a:solidFill>
                        <a:latin typeface="Times New Roman"/>
                        <a:ea typeface="宋体"/>
                        <a:cs typeface="Lucida Sans"/>
                      </a:rPr>
                      <a:t>, 39.15,0.60%</a:t>
                    </a:r>
                  </a:p>
                </c:rich>
              </c:tx>
              <c:showLegendKey val="0"/>
              <c:showVal val="1"/>
              <c:showCatName val="1"/>
              <c:showSerName val="0"/>
              <c:showPercent val="0"/>
              <c:showBubbleSize val="0"/>
            </c:dLbl>
            <c:showLegendKey val="0"/>
            <c:showVal val="1"/>
            <c:showCatName val="1"/>
            <c:showSerName val="0"/>
            <c:showPercent val="1"/>
            <c:showBubbleSize val="0"/>
            <c:showLeaderLines val="1"/>
          </c:dLbls>
          <c:cat>
            <c:strRef>
              <c:f>'Sheet1 (6)'!$A$2:$A$4</c:f>
              <c:strCache>
                <c:ptCount val="3"/>
                <c:pt idx="0">
                  <c:v>教育支出</c:v>
                </c:pt>
                <c:pt idx="1">
                  <c:v>社会保障和就业支出</c:v>
                </c:pt>
                <c:pt idx="2">
                  <c:v>卫生健康支出</c:v>
                </c:pt>
              </c:strCache>
            </c:strRef>
          </c:cat>
          <c:val>
            <c:numRef>
              <c:f>'Sheet1 (6)'!$B$2:$B$4</c:f>
              <c:numCache>
                <c:formatCode>General</c:formatCode>
                <c:ptCount val="3"/>
                <c:pt idx="0">
                  <c:v>780.31</c:v>
                </c:pt>
                <c:pt idx="1">
                  <c:v>97.87</c:v>
                </c:pt>
                <c:pt idx="2">
                  <c:v>30.53</c:v>
                </c:pt>
              </c:numCache>
            </c:numRef>
          </c:val>
        </c:ser>
        <c:firstSliceAng val="0"/>
      </c:pieChart>
      <c:spPr>
        <a:noFill/>
      </c:spPr>
    </c:plotArea>
    <c:legend>
      <c:legendPos val="r"/>
      <c:layout>
        <c:manualLayout>
          <c:xMode val="edge"/>
          <c:yMode val="edge"/>
          <c:x val="0.7311582"/>
          <c:y val="0.3384933"/>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07885"/>
          <c:y val="0.05226895"/>
          <c:w val="0.47171465"/>
          <c:h val="0.8954621"/>
        </c:manualLayout>
      </c:layout>
      <c:pieChart>
        <c:varyColors val="1"/>
        <c:ser>
          <c:idx val="0"/>
          <c:order val="0"/>
          <c:tx>
            <c:strRef>
              <c:f>'Sheet1 (7)'!$B$1</c:f>
              <c:strCache>
                <c:ptCount val="1"/>
                <c:pt idx="0">
                  <c:v>“三公”经费财政拨款支出（万元）</c:v>
                </c:pt>
              </c:strCache>
            </c:strRef>
          </c:tx>
          <c:spPr>
            <a:solidFill>
              <a:srgbClr val="4F81BD"/>
            </a:solidFill>
          </c:spPr>
          <c:dPt>
            <c:idx val="0"/>
            <c:bubble3D val="0"/>
            <c:spPr>
              <a:solidFill>
                <a:srgbClr val="4F81BD"/>
              </a:solidFill>
              <a:ln>
                <a:noFill/>
              </a:ln>
              <a:effectLst>
                <a:outerShdw dist="35921" dir="2700000" algn="br">
                  <a:srgbClr val="000000"/>
                </a:outerShdw>
              </a:effectLst>
            </c:spPr>
          </c:dPt>
          <c:dPt>
            <c:idx val="1"/>
            <c:bubble3D val="0"/>
            <c:spPr>
              <a:solidFill>
                <a:srgbClr val="C0504D"/>
              </a:solidFill>
              <a:ln>
                <a:noFill/>
              </a:ln>
              <a:effectLst>
                <a:outerShdw dist="35921" dir="2700000" algn="br">
                  <a:srgbClr val="000000"/>
                </a:outerShdw>
              </a:effectLst>
            </c:spPr>
          </c:dPt>
          <c:dPt>
            <c:idx val="2"/>
            <c:bubble3D val="0"/>
            <c:spPr>
              <a:solidFill>
                <a:srgbClr val="9BBB59"/>
              </a:solidFill>
              <a:ln>
                <a:noFill/>
              </a:ln>
              <a:effectLst>
                <a:outerShdw dist="35921" dir="2700000" algn="br">
                  <a:srgbClr val="000000"/>
                </a:outerShdw>
              </a:effectLst>
            </c:spPr>
          </c:dPt>
          <c:dLbls>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numFmt formatCode="0.00%" sourceLinked="0"/>
            <c:dLbl>
              <c:idx val="0"/>
              <c:layout>
                <c:manualLayout>
                  <c:x val="-0.024405608"/>
                  <c:y val="0.28682584"/>
                </c:manualLayout>
              </c:layout>
              <c:numFmt formatCode="0.00%" sourceLinked="0"/>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dLblPos val="bestFit"/>
              <c:showLegendKey val="0"/>
              <c:showVal val="1"/>
              <c:showCatName val="1"/>
              <c:showSerName val="0"/>
              <c:showPercent val="1"/>
              <c:showBubbleSize val="0"/>
            </c:dLbl>
            <c:dLbl>
              <c:idx val="1"/>
              <c:layout>
                <c:manualLayout>
                  <c:x val="0.013141325"/>
                  <c:y val="0.49352577"/>
                </c:manualLayout>
              </c:layout>
              <c:numFmt formatCode="0.00%" sourceLinked="0"/>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dLblPos val="bestFit"/>
              <c:showLegendKey val="0"/>
              <c:showVal val="1"/>
              <c:showCatName val="1"/>
              <c:showSerName val="0"/>
              <c:showPercent val="1"/>
              <c:showBubbleSize val="0"/>
            </c:dLbl>
            <c:dLbl>
              <c:idx val="2"/>
              <c:layout>
                <c:manualLayout>
                  <c:x val="-0.04505642"/>
                  <c:y val="0.08345213"/>
                </c:manualLayout>
              </c:layout>
              <c:numFmt formatCode="0.00%" sourceLinked="0"/>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dLblPos val="bestFit"/>
              <c:showLegendKey val="0"/>
              <c:showVal val="1"/>
              <c:showCatName val="1"/>
              <c:showSerName val="0"/>
              <c:showPercent val="1"/>
              <c:showBubbleSize val="0"/>
            </c:dLbl>
            <c:dLblPos val="ctr"/>
            <c:showLegendKey val="0"/>
            <c:showVal val="1"/>
            <c:showCatName val="1"/>
            <c:showSerName val="0"/>
            <c:showPercent val="1"/>
            <c:showBubbleSize val="0"/>
            <c:showLeaderLines val="1"/>
          </c:dLbls>
          <c:cat>
            <c:strRef>
              <c:f>'Sheet1 (7)'!$A$2:$A$4</c:f>
              <c:strCache>
                <c:ptCount val="3"/>
                <c:pt idx="0">
                  <c:v>因公出国（境）费支出</c:v>
                </c:pt>
                <c:pt idx="1">
                  <c:v>公务用车购置及运行维护费支出</c:v>
                </c:pt>
                <c:pt idx="2">
                  <c:v>公务接待费支出</c:v>
                </c:pt>
              </c:strCache>
            </c:strRef>
          </c:cat>
          <c:val>
            <c:numRef>
              <c:f>'Sheet1 (7)'!$B$2:$B$4</c:f>
              <c:numCache>
                <c:formatCode>General</c:formatCode>
                <c:ptCount val="3"/>
                <c:pt idx="0">
                  <c:v>0.0</c:v>
                </c:pt>
                <c:pt idx="1">
                  <c:v>0.0</c:v>
                </c:pt>
                <c:pt idx="2">
                  <c:v>0.0</c:v>
                </c:pt>
              </c:numCache>
            </c:numRef>
          </c:val>
        </c:ser>
        <c:firstSliceAng val="0"/>
      </c:pieChart>
      <c:spPr>
        <a:noFill/>
        <a:ln>
          <a:noFill/>
        </a:ln>
      </c:spPr>
    </c:plotArea>
    <c:legend>
      <c:legendPos val="r"/>
      <c:layout/>
      <c:overlay val="0"/>
      <c:spPr>
        <a:solidFill>
          <a:srgbClr val="F2F2F2">
            <a:alpha val="39000"/>
          </a:srgbClr>
        </a:solidFill>
        <a:ln>
          <a:noFill/>
        </a:ln>
      </c:spPr>
      <c:txPr>
        <a:bodyPr/>
        <a:lstStyle/>
        <a:p>
          <a:pPr>
            <a:defRPr sz="900" b="0" i="0" u="none" strike="noStrike" baseline="0">
              <a:solidFill>
                <a:srgbClr val="404040"/>
              </a:solidFill>
              <a:latin typeface="Times New Roman"/>
              <a:ea typeface="宋体"/>
              <a:cs typeface="Lucida Sans"/>
            </a:defRPr>
          </a:pPr>
          <a:endParaRPr lang="zh-CN"/>
        </a:p>
      </c:txPr>
    </c:legend>
    <c:plotVisOnly val="1"/>
    <c:dispBlanksAs val="gap"/>
    <c:showDLblsOverMax val="0"/>
  </c:chart>
  <c:spPr>
    <a:gradFill rotWithShape="1">
      <a:gsLst>
        <a:gs pos="0">
          <a:srgbClr val="FFFFFF">
            <a:alpha val="100000"/>
          </a:srgbClr>
        </a:gs>
        <a:gs pos="39000">
          <a:srgbClr val="FFFFFF">
            <a:alpha val="100000"/>
          </a:srgbClr>
        </a:gs>
        <a:gs pos="100000">
          <a:srgbClr val="BFBFBF">
            <a:alpha val="100000"/>
          </a:srgbClr>
        </a:gs>
      </a:gsLst>
      <a:path path="circle">
        <a:fillToRect l="100000" t="100000"/>
      </a:path>
      <a:tileRect r="-100000" b="-100000"/>
    </a:gradFill>
    <a:ln w="6350">
      <a:solidFill>
        <a:srgbClr val="BFBFBF"/>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46B50AA-77FB-48FE-83C7-0C5CAE5F1B5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17</Pages>
  <Words>0</Words>
  <Characters>3682</Characters>
  <Lines>0</Lines>
  <Paragraphs>196</Paragraphs>
  <CharactersWithSpaces>4910</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14</cp:revision>
  <cp:lastPrinted>2023-07-31T02:35:00Z</cp:lastPrinted>
  <dcterms:created xsi:type="dcterms:W3CDTF">2020-08-05T01:49:00Z</dcterms:created>
  <dcterms:modified xsi:type="dcterms:W3CDTF">2023-10-18T10:03:24Z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335DF823B2B94DF88D00A424E76A9D5B_12</vt:lpwstr>
  </property>
</Properties>
</file>