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bookmarkStart w:id="1" w:name="_GoBack"/>
      <w:bookmarkEnd w:id="1"/>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2" w:name="_Toc15396475"/>
      <w:bookmarkStart w:id="3" w:name="_Toc15377193"/>
      <w:bookmarkStart w:id="4" w:name="_Toc15378441"/>
      <w:bookmarkStart w:id="5" w:name="_Toc15377425"/>
      <w:bookmarkStart w:id="6" w:name="_Toc15396597"/>
      <w:r>
        <w:rPr>
          <w:rFonts w:ascii="方正小标宋简体" w:eastAsia="方正小标宋简体" w:cs="方正小标宋简体" w:hAnsi="方正小标宋简体" w:hint="eastAsia"/>
          <w:sz w:val="72"/>
          <w:szCs w:val="72"/>
        </w:rPr>
        <w:t>2022年度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7" w:name="_Toc15396598"/>
      <w:bookmarkStart w:id="8" w:name="_Toc15396476"/>
      <w:bookmarkStart w:id="9" w:name="_Toc15378442"/>
      <w:bookmarkStart w:id="10" w:name="_Toc15377426"/>
      <w:bookmarkStart w:id="11" w:name="_Toc15377194"/>
      <w:r>
        <w:rPr>
          <w:rFonts w:ascii="方正小标宋简体" w:eastAsia="方正小标宋简体" w:cs="方正小标宋简体" w:hAnsi="方正小标宋简体" w:hint="eastAsia"/>
          <w:sz w:val="72"/>
          <w:szCs w:val="72"/>
        </w:rPr>
        <w:t>四川省</w:t>
      </w:r>
      <w:bookmarkStart w:id="12" w:name="_Toc15306268"/>
      <w:bookmarkEnd w:id="0"/>
      <w:r>
        <w:rPr>
          <w:rFonts w:ascii="方正小标宋简体" w:eastAsia="方正小标宋简体" w:cs="方正小标宋简体" w:hAnsi="方正小标宋简体" w:hint="eastAsia"/>
          <w:sz w:val="72"/>
          <w:szCs w:val="72"/>
        </w:rPr>
        <w:t>广元市利州区栖凤小学单位决算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eastAsia="方正小标宋简体" w:hAnsi="宋体"/>
          <w:sz w:val="52"/>
          <w:szCs w:val="52"/>
        </w:rPr>
      </w:pPr>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公开时间：2023年</w:t>
      </w:r>
      <w:r>
        <w:rPr>
          <w:rFonts w:hint="eastAsia"/>
          <w:lang w:val="en-US" w:eastAsia="zh-CN"/>
        </w:rPr>
        <w:t>10</w:t>
      </w:r>
      <w:r>
        <w:rPr>
          <w:rFonts w:hint="eastAsia"/>
        </w:rPr>
        <w:t>月</w:t>
      </w:r>
      <w:r>
        <w:rPr>
          <w:rFonts w:hint="eastAsia"/>
          <w:lang w:val="en-US" w:eastAsia="zh-CN"/>
        </w:rPr>
        <w:t>15</w:t>
      </w:r>
      <w:r>
        <w:rPr>
          <w:rFonts w:hint="eastAsia"/>
        </w:rPr>
        <w:t>日</w:t>
      </w:r>
    </w:p>
    <w:p/>
    <w:p>
      <w:pPr>
        <w:pStyle w:val="20"/>
        <w:tabs>
          <w:tab w:val="right" w:leader="dot" w:pos="8296"/>
        </w:tabs>
        <w:adjustRightInd w:val="0"/>
        <w:snapToGrid w:val="0"/>
        <w:spacing w:before="0" w:line="440" w:lineRule="exact"/>
        <w:jc w:val="left"/>
        <w:rPr>
          <w:rFonts w:cs="Arial"/>
          <w:sz w:val="24"/>
          <w:szCs w:val="24"/>
        </w:rPr>
      </w:pPr>
      <w:r>
        <w:rPr>
          <w:rFonts w:hint="eastAsia"/>
          <w:sz w:val="24"/>
        </w:rPr>
        <w:t>第一部分单位概况</w:t>
      </w:r>
    </w:p>
    <w:p>
      <w:pPr>
        <w:pStyle w:val="21"/>
        <w:tabs>
          <w:tab w:val="right" w:leader="dot" w:pos="8296"/>
        </w:tabs>
        <w:adjustRightInd w:val="0"/>
        <w:snapToGrid w:val="0"/>
        <w:spacing w:line="440" w:lineRule="exact"/>
        <w:jc w:val="left"/>
        <w:rPr>
          <w:sz w:val="24"/>
        </w:rPr>
      </w:pPr>
      <w:r>
        <w:rPr>
          <w:rFonts w:hint="eastAsia"/>
          <w:sz w:val="24"/>
        </w:rPr>
        <w:t>一、主要职责</w:t>
      </w:r>
    </w:p>
    <w:p>
      <w:pPr>
        <w:pStyle w:val="21"/>
        <w:tabs>
          <w:tab w:val="right" w:leader="dot" w:pos="8296"/>
        </w:tabs>
        <w:adjustRightInd w:val="0"/>
        <w:snapToGrid w:val="0"/>
        <w:spacing w:line="440" w:lineRule="exact"/>
        <w:jc w:val="left"/>
      </w:pPr>
      <w:r>
        <w:rPr>
          <w:rFonts w:hint="eastAsia"/>
          <w:sz w:val="24"/>
        </w:rPr>
        <w:t>二、机构设置</w:t>
      </w:r>
    </w:p>
    <w:p>
      <w:pPr>
        <w:pStyle w:val="20"/>
        <w:tabs>
          <w:tab w:val="right" w:leader="dot" w:pos="8296"/>
        </w:tabs>
        <w:adjustRightInd w:val="0"/>
        <w:snapToGrid w:val="0"/>
        <w:spacing w:before="0" w:line="440" w:lineRule="exact"/>
        <w:jc w:val="left"/>
        <w:rPr>
          <w:sz w:val="24"/>
          <w:szCs w:val="24"/>
        </w:rPr>
      </w:pPr>
      <w:r>
        <w:rPr>
          <w:rFonts w:hint="eastAsia"/>
          <w:sz w:val="24"/>
        </w:rPr>
        <w:t>第二部分 2022年度单位决算情况说明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三、支出决算情况说明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七、财政拨款“三公”经费支出决算情况说明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p>
    <w:p>
      <w:pPr>
        <w:pStyle w:val="21"/>
        <w:tabs>
          <w:tab w:val="right" w:leader="dot" w:pos="8296"/>
        </w:tabs>
        <w:adjustRightInd w:val="0"/>
        <w:snapToGrid w:val="0"/>
        <w:spacing w:line="440" w:lineRule="exact"/>
        <w:jc w:val="left"/>
        <w:rPr>
          <w:sz w:val="24"/>
        </w:rPr>
      </w:pPr>
      <w:r>
        <w:rPr>
          <w:rFonts w:hint="eastAsia"/>
          <w:sz w:val="24"/>
        </w:rPr>
        <w:t>九、国有资本经营预算支出决算情况说明</w:t>
      </w:r>
    </w:p>
    <w:p>
      <w:pPr>
        <w:pStyle w:val="21"/>
        <w:tabs>
          <w:tab w:val="right" w:leader="dot" w:pos="8296"/>
        </w:tabs>
        <w:adjustRightInd w:val="0"/>
        <w:snapToGrid w:val="0"/>
        <w:spacing w:line="440" w:lineRule="exact"/>
        <w:jc w:val="left"/>
        <w:rPr>
          <w:sz w:val="24"/>
        </w:rPr>
      </w:pPr>
      <w:r>
        <w:rPr>
          <w:rFonts w:hint="eastAsia"/>
          <w:sz w:val="24"/>
        </w:rPr>
        <w:t>十、其他重要事项的情况说明</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第三部分名词解释</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第四部分附件</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第五部分附表</w:t>
      </w:r>
    </w:p>
    <w:p>
      <w:pPr>
        <w:pStyle w:val="21"/>
        <w:tabs>
          <w:tab w:val="right" w:leader="dot" w:pos="8296"/>
        </w:tabs>
        <w:adjustRightInd w:val="0"/>
        <w:snapToGrid w:val="0"/>
        <w:spacing w:line="440" w:lineRule="exact"/>
        <w:jc w:val="left"/>
        <w:rPr>
          <w:sz w:val="24"/>
        </w:rPr>
      </w:pPr>
      <w:r>
        <w:rPr>
          <w:rFonts w:hint="eastAsia"/>
          <w:sz w:val="24"/>
        </w:rPr>
        <w:t>一、收入支出决算总表</w:t>
      </w:r>
    </w:p>
    <w:p>
      <w:pPr>
        <w:pStyle w:val="21"/>
        <w:tabs>
          <w:tab w:val="right" w:leader="dot" w:pos="8296"/>
        </w:tabs>
        <w:adjustRightInd w:val="0"/>
        <w:snapToGrid w:val="0"/>
        <w:spacing w:line="440" w:lineRule="exact"/>
        <w:jc w:val="left"/>
        <w:rPr>
          <w:sz w:val="24"/>
        </w:rPr>
      </w:pPr>
      <w:r>
        <w:rPr>
          <w:rFonts w:hint="eastAsia"/>
          <w:sz w:val="24"/>
        </w:rPr>
        <w:t>二、收入决算表</w:t>
      </w:r>
    </w:p>
    <w:p>
      <w:pPr>
        <w:pStyle w:val="21"/>
        <w:tabs>
          <w:tab w:val="right" w:leader="dot" w:pos="8296"/>
        </w:tabs>
        <w:adjustRightInd w:val="0"/>
        <w:snapToGrid w:val="0"/>
        <w:spacing w:line="440" w:lineRule="exact"/>
        <w:jc w:val="left"/>
        <w:rPr>
          <w:sz w:val="24"/>
        </w:rPr>
      </w:pPr>
      <w:r>
        <w:rPr>
          <w:rFonts w:hint="eastAsia"/>
          <w:sz w:val="24"/>
        </w:rPr>
        <w:t>三、支出决算表</w:t>
      </w:r>
    </w:p>
    <w:p>
      <w:pPr>
        <w:pStyle w:val="21"/>
        <w:tabs>
          <w:tab w:val="right" w:leader="dot" w:pos="8296"/>
        </w:tabs>
        <w:adjustRightInd w:val="0"/>
        <w:snapToGrid w:val="0"/>
        <w:spacing w:line="440" w:lineRule="exact"/>
        <w:jc w:val="left"/>
        <w:rPr>
          <w:sz w:val="24"/>
        </w:rPr>
      </w:pPr>
      <w:r>
        <w:rPr>
          <w:rFonts w:hint="eastAsia"/>
          <w:sz w:val="24"/>
        </w:rPr>
        <w:t>四、财政拨款收入支出决算总表</w:t>
      </w:r>
    </w:p>
    <w:p>
      <w:pPr>
        <w:pStyle w:val="21"/>
        <w:tabs>
          <w:tab w:val="right" w:leader="dot" w:pos="8296"/>
        </w:tabs>
        <w:adjustRightInd w:val="0"/>
        <w:snapToGrid w:val="0"/>
        <w:spacing w:line="440" w:lineRule="exact"/>
        <w:jc w:val="left"/>
        <w:rPr>
          <w:sz w:val="24"/>
        </w:rPr>
      </w:pPr>
      <w:r>
        <w:rPr>
          <w:rFonts w:hint="eastAsia"/>
          <w:sz w:val="24"/>
        </w:rPr>
        <w:t>五、财政拨款支出决算明细表</w:t>
      </w:r>
    </w:p>
    <w:p>
      <w:pPr>
        <w:pStyle w:val="21"/>
        <w:tabs>
          <w:tab w:val="right" w:leader="dot" w:pos="8296"/>
        </w:tabs>
        <w:adjustRightInd w:val="0"/>
        <w:snapToGrid w:val="0"/>
        <w:spacing w:line="440" w:lineRule="exact"/>
        <w:jc w:val="left"/>
        <w:rPr>
          <w:sz w:val="24"/>
        </w:rPr>
      </w:pPr>
      <w:r>
        <w:rPr>
          <w:rFonts w:hint="eastAsia"/>
          <w:sz w:val="24"/>
        </w:rPr>
        <w:t>六、一般公共预算财政拨款支出决算表</w:t>
      </w:r>
    </w:p>
    <w:p>
      <w:pPr>
        <w:pStyle w:val="21"/>
        <w:tabs>
          <w:tab w:val="right" w:leader="dot" w:pos="8296"/>
        </w:tabs>
        <w:adjustRightInd w:val="0"/>
        <w:snapToGrid w:val="0"/>
        <w:spacing w:line="440" w:lineRule="exact"/>
        <w:jc w:val="left"/>
        <w:rPr>
          <w:sz w:val="24"/>
        </w:rPr>
      </w:pPr>
      <w:r>
        <w:rPr>
          <w:rFonts w:hint="eastAsia"/>
          <w:sz w:val="24"/>
        </w:rPr>
        <w:t>七、一般公共预算财政拨款支出决算明细表</w:t>
      </w:r>
    </w:p>
    <w:p>
      <w:pPr>
        <w:pStyle w:val="21"/>
        <w:tabs>
          <w:tab w:val="right" w:leader="dot" w:pos="8296"/>
        </w:tabs>
        <w:adjustRightInd w:val="0"/>
        <w:snapToGrid w:val="0"/>
        <w:spacing w:line="440" w:lineRule="exact"/>
        <w:jc w:val="left"/>
        <w:rPr>
          <w:sz w:val="24"/>
        </w:rPr>
      </w:pPr>
      <w:r>
        <w:rPr>
          <w:rFonts w:hint="eastAsia"/>
          <w:sz w:val="24"/>
        </w:rPr>
        <w:t>八、一般公共预算财政拨款基本支出决算明细表</w:t>
      </w:r>
    </w:p>
    <w:p>
      <w:pPr>
        <w:pStyle w:val="21"/>
        <w:tabs>
          <w:tab w:val="right" w:leader="dot" w:pos="8296"/>
        </w:tabs>
        <w:adjustRightInd w:val="0"/>
        <w:snapToGrid w:val="0"/>
        <w:spacing w:line="440" w:lineRule="exact"/>
        <w:jc w:val="left"/>
        <w:rPr>
          <w:sz w:val="24"/>
        </w:rPr>
      </w:pPr>
      <w:r>
        <w:rPr>
          <w:rFonts w:hint="eastAsia"/>
          <w:sz w:val="24"/>
        </w:rPr>
        <w:t>九、一般公共预算财政拨款项目支出决算表</w:t>
      </w:r>
    </w:p>
    <w:p>
      <w:pPr>
        <w:pStyle w:val="21"/>
        <w:tabs>
          <w:tab w:val="right" w:leader="dot" w:pos="8296"/>
        </w:tabs>
        <w:adjustRightInd w:val="0"/>
        <w:snapToGrid w:val="0"/>
        <w:spacing w:line="440" w:lineRule="exact"/>
        <w:jc w:val="left"/>
        <w:rPr>
          <w:sz w:val="24"/>
        </w:rPr>
      </w:pPr>
      <w:r>
        <w:rPr>
          <w:rFonts w:hint="eastAsia"/>
          <w:sz w:val="24"/>
        </w:rPr>
        <w:t>十、政府性基金预算财政拨款收入支出决算表</w:t>
      </w:r>
    </w:p>
    <w:p>
      <w:pPr>
        <w:pStyle w:val="21"/>
        <w:tabs>
          <w:tab w:val="right" w:leader="dot" w:pos="8296"/>
        </w:tabs>
        <w:adjustRightInd w:val="0"/>
        <w:snapToGrid w:val="0"/>
        <w:spacing w:line="440" w:lineRule="exact"/>
        <w:jc w:val="left"/>
        <w:rPr>
          <w:sz w:val="24"/>
        </w:rPr>
      </w:pPr>
      <w:r>
        <w:rPr>
          <w:rFonts w:hint="eastAsia"/>
          <w:sz w:val="24"/>
        </w:rPr>
        <w:t>十一、国有资本经营预算财政拨款收入支出决算表</w:t>
      </w:r>
    </w:p>
    <w:p>
      <w:pPr>
        <w:pStyle w:val="21"/>
        <w:tabs>
          <w:tab w:val="right" w:leader="dot" w:pos="8296"/>
        </w:tabs>
        <w:adjustRightInd w:val="0"/>
        <w:snapToGrid w:val="0"/>
        <w:spacing w:line="440" w:lineRule="exact"/>
        <w:jc w:val="left"/>
        <w:rPr>
          <w:sz w:val="24"/>
        </w:rPr>
      </w:pPr>
      <w:r>
        <w:rPr>
          <w:rFonts w:hint="eastAsia"/>
          <w:sz w:val="24"/>
        </w:rPr>
        <w:t>十二、国有资本经营预算财政拨款支出决算表</w:t>
      </w:r>
    </w:p>
    <w:p>
      <w:pPr>
        <w:pStyle w:val="21"/>
        <w:tabs>
          <w:tab w:val="right" w:leader="dot" w:pos="8296"/>
        </w:tabs>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pPr>
        <w:pStyle w:val="1"/>
        <w:jc w:val="center"/>
        <w:rPr>
          <w:rStyle w:val="1Char"/>
          <w:rFonts w:ascii="黑体" w:eastAsia="黑体" w:hAnsi="黑体"/>
          <w:b/>
          <w:bCs w:val="0"/>
        </w:rPr>
      </w:pPr>
      <w:r>
        <w:rPr>
          <w:rFonts w:ascii="黑体" w:eastAsia="黑体" w:hAnsi="黑体" w:hint="eastAsia"/>
          <w:b w:val="0"/>
        </w:rPr>
        <w:t>第一部分 单位</w:t>
      </w:r>
      <w:r>
        <w:rPr>
          <w:rStyle w:val="1Char"/>
          <w:rFonts w:ascii="黑体" w:eastAsia="黑体" w:hAnsi="黑体" w:hint="eastAsia"/>
          <w:b w:val="0"/>
          <w:bCs w:val="0"/>
        </w:rPr>
        <w:t>概况</w:t>
      </w:r>
      <w:bookmarkEnd w:id="13"/>
      <w:bookmarkEnd w:id="14"/>
    </w:p>
    <w:p>
      <w:pPr>
        <w:pStyle w:val="2"/>
        <w:numPr>
          <w:ilvl w:val="0"/>
          <w:numId w:val="1"/>
        </w:numPr>
        <w:rPr>
          <w:rStyle w:val="2Char"/>
          <w:rFonts w:ascii="黑体" w:eastAsia="黑体" w:hAnsi="黑体"/>
          <w:b w:val="0"/>
          <w:bCs w:val="0"/>
        </w:rPr>
      </w:pPr>
      <w:bookmarkStart w:id="15" w:name="_Toc15396600"/>
      <w:bookmarkStart w:id="16" w:name="_Toc15377197"/>
      <w:r>
        <w:rPr>
          <w:rStyle w:val="2Char"/>
          <w:rFonts w:ascii="黑体" w:eastAsia="黑体" w:hAnsi="黑体" w:hint="eastAsia"/>
          <w:b w:val="0"/>
          <w:bCs w:val="0"/>
        </w:rPr>
        <w:t>主要职责</w:t>
      </w:r>
    </w:p>
    <w:p>
      <w:pPr>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cs="仿宋" w:hAnsi="仿宋" w:hint="eastAsia"/>
          <w:sz w:val="32"/>
          <w:szCs w:val="32"/>
        </w:rPr>
      </w:pPr>
      <w:r>
        <w:rPr>
          <w:rFonts w:ascii="仿宋_GB2312" w:eastAsia="仿宋_GB2312" w:hint="eastAsia"/>
          <w:sz w:val="32"/>
          <w:szCs w:val="32"/>
        </w:rPr>
        <w:t>广元市</w:t>
      </w:r>
      <w:r>
        <w:rPr>
          <w:rFonts w:ascii="仿宋_GB2312" w:eastAsia="仿宋_GB2312" w:hint="eastAsia"/>
          <w:sz w:val="32"/>
          <w:szCs w:val="32"/>
          <w:lang w:val="en-US" w:eastAsia="zh-CN"/>
        </w:rPr>
        <w:t>利州区栖凤小学</w:t>
      </w:r>
      <w:r>
        <w:rPr>
          <w:rFonts w:ascii="仿宋_GB2312" w:eastAsia="仿宋_GB2312" w:hint="eastAsia"/>
          <w:sz w:val="32"/>
          <w:szCs w:val="32"/>
        </w:rPr>
        <w:t>编制</w:t>
      </w:r>
      <w:r>
        <w:rPr>
          <w:rFonts w:ascii="仿宋_GB2312" w:eastAsia="仿宋_GB2312" w:hint="eastAsia"/>
          <w:sz w:val="32"/>
          <w:szCs w:val="32"/>
          <w:lang w:val="en-US" w:eastAsia="zh-CN"/>
        </w:rPr>
        <w:t>40</w:t>
      </w:r>
      <w:r>
        <w:rPr>
          <w:rFonts w:ascii="仿宋_GB2312" w:eastAsia="仿宋_GB2312" w:hint="eastAsia"/>
          <w:sz w:val="32"/>
          <w:szCs w:val="32"/>
        </w:rPr>
        <w:t>名，其中事业编制</w:t>
      </w:r>
      <w:r>
        <w:rPr>
          <w:rFonts w:ascii="仿宋_GB2312" w:eastAsia="仿宋_GB2312" w:hint="eastAsia"/>
          <w:sz w:val="32"/>
          <w:szCs w:val="32"/>
          <w:lang w:val="en-US" w:eastAsia="zh-CN"/>
        </w:rPr>
        <w:t>40</w:t>
      </w:r>
      <w:r>
        <w:rPr>
          <w:rFonts w:ascii="仿宋_GB2312" w:eastAsia="仿宋_GB2312" w:hint="eastAsia"/>
          <w:sz w:val="32"/>
          <w:szCs w:val="32"/>
        </w:rPr>
        <w:t>名，在职人员总数</w:t>
      </w:r>
      <w:r>
        <w:rPr>
          <w:rFonts w:ascii="仿宋_GB2312" w:eastAsia="仿宋_GB2312" w:hint="eastAsia"/>
          <w:sz w:val="32"/>
          <w:szCs w:val="32"/>
          <w:lang w:val="en-US" w:eastAsia="zh-CN"/>
        </w:rPr>
        <w:t>41</w:t>
      </w:r>
      <w:r>
        <w:rPr>
          <w:rFonts w:ascii="仿宋_GB2312" w:eastAsia="仿宋_GB2312" w:hint="eastAsia"/>
          <w:sz w:val="32"/>
          <w:szCs w:val="32"/>
        </w:rPr>
        <w:t>人，其中事业人员</w:t>
      </w:r>
      <w:r>
        <w:rPr>
          <w:rFonts w:ascii="仿宋_GB2312" w:eastAsia="仿宋_GB2312" w:hint="eastAsia"/>
          <w:sz w:val="32"/>
          <w:szCs w:val="32"/>
          <w:lang w:val="en-US" w:eastAsia="zh-CN"/>
        </w:rPr>
        <w:t>41</w:t>
      </w:r>
      <w:r>
        <w:rPr>
          <w:rFonts w:ascii="仿宋_GB2312" w:eastAsia="仿宋_GB2312" w:hint="eastAsia"/>
          <w:sz w:val="32"/>
          <w:szCs w:val="32"/>
        </w:rPr>
        <w:t>人；离退休人员</w:t>
      </w:r>
      <w:r>
        <w:rPr>
          <w:rFonts w:ascii="仿宋_GB2312" w:eastAsia="仿宋_GB2312" w:hint="eastAsia"/>
          <w:sz w:val="32"/>
          <w:szCs w:val="32"/>
          <w:lang w:val="en-US" w:eastAsia="zh-CN"/>
        </w:rPr>
        <w:t>20</w:t>
      </w:r>
      <w:r>
        <w:rPr>
          <w:rFonts w:ascii="仿宋_GB2312" w:eastAsia="仿宋_GB2312" w:hint="eastAsia"/>
          <w:sz w:val="32"/>
          <w:szCs w:val="32"/>
        </w:rPr>
        <w:t>人。</w:t>
      </w:r>
      <w:r>
        <w:rPr>
          <w:rFonts w:ascii="仿宋_GB2312" w:eastAsia="仿宋_GB2312" w:hint="eastAsia"/>
          <w:sz w:val="32"/>
          <w:szCs w:val="32"/>
          <w:lang w:val="en-US" w:eastAsia="zh-CN"/>
        </w:rPr>
        <w:t>我园主要</w:t>
      </w:r>
      <w:r>
        <w:rPr>
          <w:rFonts w:ascii="仿宋" w:eastAsia="仿宋" w:cs="仿宋" w:hAnsi="仿宋" w:hint="eastAsia"/>
          <w:sz w:val="32"/>
          <w:szCs w:val="32"/>
        </w:rPr>
        <w:t>实施</w:t>
      </w:r>
      <w:r>
        <w:rPr>
          <w:rFonts w:ascii="仿宋" w:eastAsia="仿宋" w:cs="仿宋" w:hAnsi="仿宋" w:hint="eastAsia"/>
          <w:sz w:val="32"/>
          <w:szCs w:val="32"/>
          <w:lang w:val="en-US" w:eastAsia="zh-CN"/>
        </w:rPr>
        <w:t>小学</w:t>
      </w:r>
      <w:r>
        <w:rPr>
          <w:rFonts w:ascii="仿宋" w:eastAsia="仿宋" w:cs="仿宋" w:hAnsi="仿宋" w:hint="eastAsia"/>
          <w:sz w:val="32"/>
          <w:szCs w:val="32"/>
        </w:rPr>
        <w:t>教育，促进</w:t>
      </w:r>
      <w:r>
        <w:rPr>
          <w:rFonts w:ascii="仿宋" w:eastAsia="仿宋" w:cs="仿宋" w:hAnsi="仿宋" w:hint="eastAsia"/>
          <w:sz w:val="32"/>
          <w:szCs w:val="32"/>
          <w:lang w:eastAsia="zh-CN"/>
        </w:rPr>
        <w:t>小学</w:t>
      </w:r>
      <w:r>
        <w:rPr>
          <w:rFonts w:ascii="仿宋" w:eastAsia="仿宋" w:cs="仿宋" w:hAnsi="仿宋" w:hint="eastAsia"/>
          <w:sz w:val="32"/>
          <w:szCs w:val="32"/>
        </w:rPr>
        <w:t>教育发展。</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sz w:val="30"/>
          <w:szCs w:val="30"/>
        </w:rPr>
      </w:pPr>
      <w:r>
        <w:rPr>
          <w:rFonts w:ascii="仿宋" w:eastAsia="仿宋" w:cs="仿宋" w:hAnsi="仿宋" w:hint="eastAsia"/>
          <w:bCs/>
          <w:sz w:val="30"/>
          <w:szCs w:val="30"/>
        </w:rPr>
        <w:t>202</w:t>
      </w:r>
      <w:r>
        <w:rPr>
          <w:rFonts w:ascii="仿宋" w:eastAsia="仿宋" w:cs="仿宋" w:hAnsi="仿宋" w:hint="eastAsia"/>
          <w:bCs/>
          <w:sz w:val="30"/>
          <w:szCs w:val="30"/>
          <w:lang w:val="en-US" w:eastAsia="zh-CN"/>
        </w:rPr>
        <w:t>2</w:t>
      </w:r>
      <w:r>
        <w:rPr>
          <w:rFonts w:ascii="仿宋" w:eastAsia="仿宋" w:cs="仿宋" w:hAnsi="仿宋" w:hint="eastAsia"/>
          <w:bCs/>
          <w:sz w:val="30"/>
          <w:szCs w:val="30"/>
        </w:rPr>
        <w:t>年，</w:t>
      </w:r>
      <w:r>
        <w:rPr>
          <w:rFonts w:ascii="仿宋" w:eastAsia="仿宋" w:cs="仿宋" w:hAnsi="仿宋" w:hint="eastAsia"/>
          <w:bCs/>
          <w:sz w:val="30"/>
          <w:szCs w:val="30"/>
          <w:lang w:val="en-US" w:eastAsia="zh-CN"/>
        </w:rPr>
        <w:t>我校</w:t>
      </w:r>
      <w:r>
        <w:rPr>
          <w:rFonts w:ascii="仿宋" w:eastAsia="仿宋" w:cs="仿宋" w:hAnsi="仿宋" w:hint="eastAsia"/>
          <w:sz w:val="30"/>
          <w:szCs w:val="30"/>
        </w:rPr>
        <w:t>克服了新冠疫情对工作带来的困难，</w:t>
      </w:r>
      <w:r>
        <w:rPr>
          <w:rFonts w:ascii="仿宋" w:eastAsia="仿宋" w:cs="仿宋" w:hAnsi="仿宋" w:hint="eastAsia"/>
          <w:bCs/>
          <w:sz w:val="30"/>
          <w:szCs w:val="30"/>
        </w:rPr>
        <w:t>在各级党委、政府</w:t>
      </w:r>
      <w:r>
        <w:rPr>
          <w:rFonts w:ascii="仿宋" w:eastAsia="仿宋" w:cs="仿宋" w:hAnsi="仿宋" w:hint="eastAsia"/>
          <w:bCs/>
          <w:sz w:val="30"/>
          <w:szCs w:val="30"/>
          <w:lang w:val="en-US" w:eastAsia="zh-CN"/>
        </w:rPr>
        <w:t>及</w:t>
      </w:r>
      <w:r>
        <w:rPr>
          <w:rFonts w:ascii="仿宋" w:eastAsia="仿宋" w:cs="仿宋" w:hAnsi="仿宋" w:hint="eastAsia"/>
          <w:bCs/>
          <w:sz w:val="30"/>
          <w:szCs w:val="30"/>
        </w:rPr>
        <w:t>教育主管部门的指导下，秉承“践行行知思想·发展生活教育”的办学理念，以质量效率为主线，以改革创新为动力，以增强学生创新精神和实践能力为核心，在实现“做人民满意教师，建师生喜欢学校，办人民满意教育”目标上又迈出了坚实的步伐，圆满完成了上级下达的各项工作任务。</w:t>
      </w:r>
      <w:r>
        <w:rPr>
          <w:rFonts w:ascii="仿宋" w:eastAsia="仿宋" w:cs="仿宋" w:hAnsi="仿宋" w:hint="eastAsia"/>
          <w:sz w:val="30"/>
          <w:szCs w:val="30"/>
        </w:rPr>
        <w:t>现从六个方面对全年的工作进行总结。</w:t>
      </w:r>
    </w:p>
    <w:p>
      <w:pPr>
        <w:keepNext w:val="0"/>
        <w:keepLines w:val="0"/>
        <w:pageBreakBefore w:val="0"/>
        <w:widowControl w:val="0"/>
        <w:kinsoku/>
        <w:wordWrap/>
        <w:overflowPunct/>
        <w:topLinePunct w:val="0"/>
        <w:autoSpaceDE w:val="0"/>
        <w:autoSpaceDN/>
        <w:bidi w:val="0"/>
        <w:spacing w:line="500" w:lineRule="exact"/>
        <w:ind w:left="0" w:firstLineChars="200" w:firstLine="600"/>
        <w:textAlignment w:val="auto"/>
        <w:rPr>
          <w:rFonts w:ascii="仿宋" w:eastAsia="仿宋" w:cs="仿宋" w:hAnsi="仿宋" w:hint="eastAsia"/>
          <w:sz w:val="30"/>
          <w:szCs w:val="30"/>
          <w:lang w:val="en-US" w:eastAsia="zh-CN"/>
        </w:rPr>
      </w:pPr>
      <w:r>
        <w:rPr>
          <w:rFonts w:ascii="仿宋" w:eastAsia="仿宋" w:cs="仿宋" w:hAnsi="仿宋" w:hint="eastAsia"/>
          <w:sz w:val="30"/>
          <w:szCs w:val="30"/>
          <w:lang w:val="en-US" w:eastAsia="zh-CN"/>
        </w:rPr>
        <w:t>（一）党建工作</w:t>
      </w:r>
    </w:p>
    <w:p>
      <w:pPr>
        <w:keepNext w:val="0"/>
        <w:keepLines w:val="0"/>
        <w:pageBreakBefore w:val="0"/>
        <w:widowControl w:val="0"/>
        <w:kinsoku/>
        <w:wordWrap/>
        <w:overflowPunct/>
        <w:topLinePunct w:val="0"/>
        <w:autoSpaceDE w:val="0"/>
        <w:autoSpaceDN/>
        <w:bidi w:val="0"/>
        <w:spacing w:line="500" w:lineRule="exact"/>
        <w:ind w:left="0" w:firstLineChars="200" w:firstLine="600"/>
        <w:textAlignment w:val="auto"/>
        <w:rPr>
          <w:rFonts w:ascii="仿宋" w:eastAsia="仿宋" w:cs="仿宋" w:hAnsi="仿宋" w:hint="eastAsia"/>
          <w:sz w:val="30"/>
          <w:szCs w:val="30"/>
        </w:rPr>
      </w:pPr>
      <w:r>
        <w:rPr>
          <w:rFonts w:ascii="仿宋" w:eastAsia="仿宋" w:cs="仿宋" w:hAnsi="仿宋" w:hint="eastAsia"/>
          <w:sz w:val="30"/>
          <w:szCs w:val="30"/>
          <w:lang w:eastAsia="zh-CN"/>
        </w:rPr>
        <w:t>我校</w:t>
      </w:r>
      <w:r>
        <w:rPr>
          <w:rFonts w:ascii="仿宋" w:eastAsia="仿宋" w:cs="仿宋" w:hAnsi="仿宋" w:hint="eastAsia"/>
          <w:sz w:val="30"/>
          <w:szCs w:val="30"/>
        </w:rPr>
        <w:t>把讲政治作为第一要求，把党的政治建设作为基层党建的根和魂。及时传达学习习近平总书记重要讲话精神，以及省、市、</w:t>
      </w:r>
      <w:r>
        <w:rPr>
          <w:rFonts w:ascii="仿宋" w:eastAsia="仿宋" w:cs="仿宋" w:hAnsi="仿宋" w:hint="eastAsia"/>
          <w:color w:val="000000"/>
          <w:sz w:val="30"/>
          <w:szCs w:val="30"/>
        </w:rPr>
        <w:t>区重要会议、文件精神；二是持续深化</w:t>
      </w:r>
      <w:r>
        <w:rPr>
          <w:rFonts w:ascii="仿宋" w:eastAsia="仿宋" w:cs="仿宋" w:hAnsi="仿宋" w:hint="eastAsia"/>
          <w:sz w:val="30"/>
          <w:szCs w:val="30"/>
        </w:rPr>
        <w:t>理论武装</w:t>
      </w:r>
      <w:r>
        <w:rPr>
          <w:rFonts w:ascii="仿宋" w:eastAsia="仿宋" w:cs="仿宋" w:hAnsi="仿宋" w:hint="eastAsia"/>
          <w:sz w:val="30"/>
          <w:szCs w:val="30"/>
          <w:lang w:eastAsia="zh-CN"/>
        </w:rPr>
        <w:t>；</w:t>
      </w:r>
      <w:r>
        <w:rPr>
          <w:rFonts w:ascii="仿宋" w:eastAsia="仿宋" w:cs="仿宋" w:hAnsi="仿宋" w:hint="eastAsia"/>
          <w:sz w:val="30"/>
          <w:szCs w:val="30"/>
        </w:rPr>
        <w:t>用活用好“学习强国</w:t>
      </w:r>
      <w:r>
        <w:rPr>
          <w:rFonts w:ascii="仿宋" w:eastAsia="仿宋" w:cs="仿宋" w:hAnsi="仿宋" w:hint="eastAsia"/>
          <w:sz w:val="30"/>
          <w:szCs w:val="30"/>
          <w:lang w:eastAsia="zh-CN"/>
        </w:rPr>
        <w:t>”</w:t>
      </w:r>
      <w:r>
        <w:rPr>
          <w:rFonts w:ascii="仿宋" w:eastAsia="仿宋" w:cs="仿宋" w:hAnsi="仿宋" w:hint="eastAsia"/>
          <w:sz w:val="30"/>
          <w:szCs w:val="30"/>
        </w:rPr>
        <w:t>APP，</w:t>
      </w:r>
      <w:r>
        <w:rPr>
          <w:rFonts w:ascii="仿宋" w:eastAsia="仿宋" w:cs="仿宋" w:hAnsi="仿宋" w:hint="eastAsia"/>
          <w:sz w:val="30"/>
          <w:szCs w:val="30"/>
          <w:lang w:val="en-US" w:eastAsia="zh-CN"/>
        </w:rPr>
        <w:t>本年度，</w:t>
      </w:r>
      <w:r>
        <w:rPr>
          <w:rFonts w:ascii="仿宋" w:eastAsia="仿宋" w:cs="仿宋" w:hAnsi="仿宋" w:hint="eastAsia"/>
          <w:sz w:val="30"/>
          <w:szCs w:val="30"/>
          <w:lang w:eastAsia="zh-CN"/>
        </w:rPr>
        <w:t>我校学习强国荣获区排名第四位；</w:t>
      </w:r>
      <w:r>
        <w:rPr>
          <w:rFonts w:ascii="仿宋" w:eastAsia="仿宋" w:cs="仿宋" w:hAnsi="仿宋" w:hint="eastAsia"/>
          <w:color w:val="000000"/>
          <w:sz w:val="30"/>
          <w:szCs w:val="30"/>
        </w:rPr>
        <w:t>三是深入开展建党101周年庆祝活动</w:t>
      </w:r>
      <w:r>
        <w:rPr>
          <w:rFonts w:ascii="仿宋" w:eastAsia="仿宋" w:cs="仿宋" w:hAnsi="仿宋" w:hint="eastAsia"/>
          <w:color w:val="000000"/>
          <w:sz w:val="30"/>
          <w:szCs w:val="30"/>
          <w:lang w:eastAsia="zh-CN"/>
        </w:rPr>
        <w:t>；四是</w:t>
      </w:r>
      <w:r>
        <w:rPr>
          <w:rFonts w:ascii="仿宋" w:eastAsia="仿宋" w:cs="仿宋" w:hAnsi="仿宋" w:hint="eastAsia"/>
          <w:sz w:val="30"/>
          <w:szCs w:val="30"/>
        </w:rPr>
        <w:t>围绕学习党的二十大开展了一系列活动：组织观看二十大开幕会，各学科教研组围绕“喜庆二十大、奋进新时代”进行交流讨论；写心得体会；学校行政班子参加了区教育局组织的线上学习党的二十大精神</w:t>
      </w:r>
      <w:r>
        <w:rPr>
          <w:rFonts w:ascii="仿宋" w:eastAsia="仿宋" w:cs="仿宋" w:hAnsi="仿宋" w:hint="eastAsia"/>
          <w:sz w:val="30"/>
          <w:szCs w:val="30"/>
          <w:lang w:eastAsia="zh-CN"/>
        </w:rPr>
        <w:t>大会</w:t>
      </w:r>
      <w:r>
        <w:rPr>
          <w:rFonts w:ascii="仿宋" w:eastAsia="仿宋" w:cs="仿宋" w:hAnsi="仿宋" w:hint="eastAsia"/>
          <w:sz w:val="30"/>
          <w:szCs w:val="30"/>
        </w:rPr>
        <w:t>；复课后，向全体教师传达了学习了党的二十大精神；在全体教师中开展了学习党的二十大知识竞赛。</w:t>
      </w:r>
    </w:p>
    <w:p>
      <w:pPr>
        <w:keepNext w:val="0"/>
        <w:keepLines w:val="0"/>
        <w:pageBreakBefore w:val="0"/>
        <w:widowControl w:val="0"/>
        <w:kinsoku/>
        <w:wordWrap/>
        <w:overflowPunct/>
        <w:topLinePunct w:val="0"/>
        <w:autoSpaceDE w:val="0"/>
        <w:autoSpaceDN/>
        <w:bidi w:val="0"/>
        <w:adjustRightInd w:val="0"/>
        <w:snapToGrid w:val="0"/>
        <w:spacing w:line="500" w:lineRule="exact"/>
        <w:ind w:firstLineChars="200" w:firstLine="600"/>
        <w:textAlignment w:val="auto"/>
        <w:rPr>
          <w:rFonts w:ascii="仿宋" w:eastAsia="仿宋" w:cs="仿宋" w:hAnsi="仿宋" w:hint="eastAsia"/>
          <w:sz w:val="30"/>
          <w:szCs w:val="30"/>
          <w:lang w:eastAsia="zh-CN"/>
        </w:rPr>
      </w:pPr>
      <w:r>
        <w:rPr>
          <w:rFonts w:ascii="仿宋" w:eastAsia="仿宋" w:cs="仿宋" w:hAnsi="仿宋" w:hint="eastAsia"/>
          <w:sz w:val="30"/>
          <w:szCs w:val="30"/>
          <w:lang w:eastAsia="zh-CN"/>
        </w:rPr>
        <w:t>突出抓好党建引领。</w:t>
      </w:r>
      <w:r>
        <w:rPr>
          <w:rFonts w:ascii="仿宋" w:eastAsia="仿宋" w:cs="仿宋" w:hAnsi="仿宋" w:hint="eastAsia"/>
          <w:sz w:val="30"/>
          <w:szCs w:val="30"/>
        </w:rPr>
        <w:t>始终抓好疫情防控。始终坚持把疫情防控作为学校重要的政治任务来抓，严格落实分段错峰上下学</w:t>
      </w:r>
      <w:r>
        <w:rPr>
          <w:rFonts w:ascii="仿宋" w:eastAsia="仿宋" w:cs="仿宋" w:hAnsi="仿宋" w:hint="eastAsia"/>
          <w:sz w:val="30"/>
          <w:szCs w:val="30"/>
          <w:lang w:eastAsia="zh-CN"/>
        </w:rPr>
        <w:t>等措施</w:t>
      </w:r>
      <w:r>
        <w:rPr>
          <w:rFonts w:ascii="仿宋" w:eastAsia="仿宋" w:cs="仿宋" w:hAnsi="仿宋" w:hint="eastAsia"/>
          <w:sz w:val="30"/>
          <w:szCs w:val="30"/>
        </w:rPr>
        <w:t>，2022年全国的疫情形势非常严峻，我支部所有党员积极响应市、区组织部的召开，下沉到自己所居住的小区，</w:t>
      </w:r>
      <w:r>
        <w:rPr>
          <w:rFonts w:ascii="仿宋" w:eastAsia="仿宋" w:cs="仿宋" w:hAnsi="仿宋" w:hint="eastAsia"/>
          <w:sz w:val="30"/>
          <w:szCs w:val="30"/>
          <w:lang w:eastAsia="zh-CN"/>
        </w:rPr>
        <w:t>积极</w:t>
      </w:r>
      <w:r>
        <w:rPr>
          <w:rFonts w:ascii="仿宋" w:eastAsia="仿宋" w:cs="仿宋" w:hAnsi="仿宋" w:hint="eastAsia"/>
          <w:sz w:val="30"/>
          <w:szCs w:val="30"/>
        </w:rPr>
        <w:t>参加防疫工作。二是扎实开展“我为群众办实事”活动。三是加强未成年人思想道德建设</w:t>
      </w:r>
      <w:r>
        <w:rPr>
          <w:rFonts w:ascii="仿宋" w:eastAsia="仿宋" w:cs="仿宋" w:hAnsi="仿宋" w:hint="eastAsia"/>
          <w:sz w:val="30"/>
          <w:szCs w:val="30"/>
          <w:lang w:eastAsia="zh-CN"/>
        </w:rPr>
        <w:t>。</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（二）教学工作</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1、狠抓常规管理工作</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学校领导一贯高度重视教学工作，亲自参与学校教学管理并制定各种管理考核实施方案。狠抓听推门课、指导年轻教师、召开毕业班工作会议等。我们抓备课、抓教研、抓作业、抓养成。强化集体备课的管理指导力度。在备学生、备教法和学法上下功夫，教学设计要充分体现分层教学，在授课内容、习题设计、作业布置有层次性。线上教学稳推进，居家学习期间，学校认真落实区教育局的线上教学要求，精心谋划、周密部署，认真制定课程计划及备课要求，保障教育教学有序、高效的实施。</w:t>
      </w:r>
    </w:p>
    <w:p>
      <w:pPr>
        <w:keepNext w:val="0"/>
        <w:keepLines w:val="0"/>
        <w:pageBreakBefore w:val="0"/>
        <w:widowControl w:val="0"/>
        <w:kinsoku/>
        <w:wordWrap/>
        <w:overflowPunct/>
        <w:topLinePunct w:val="0"/>
        <w:autoSpaceDE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2、落实双减工作</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本学年在落实双减工作方面继续下功夫，对作业质量和作业数量方面继续狠抓落实。继续强调分层作业和创新性作业的布置，突出特色作业的地位和要求，同时在书写上下功夫。为了全面落实课程目标，促进学生综合素养的稳步发展，学校一、二年级开展期末无纸化学业测评活动。测评项目融合语文、数学、美术、道德与法治、体育与健康等学科知识，以游戏闯关的形式对学生进行考查测评，所设计的闯关内容既紧扣学情，又活泼有趣，充分考察学生的整体素养。</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3、积极开展教研活动</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本学年组织安排教师参加不同级别的各种线上线下业务培训、教学教改研究、普通话培训、学历进修等培训活动。全体教师线上线下参与听课和研讨交流。三人一组开展“说、讲、评”活动，发挥团队的作用，相互促进，共同提高。特别是疫情期间的线上教学，我校开展了线上骨干示范课、青年教师优质课活动、参加了北小集团教研活动等多种线上教研活动，中青年教师参加了省级精品课录制活动，多种活动给了教师们很大的帮助，极大地提高了教师们的专业素养，促进和推动了学校教师队伍的成长和发展。</w:t>
      </w:r>
    </w:p>
    <w:p>
      <w:pPr>
        <w:keepNext w:val="0"/>
        <w:keepLines w:val="0"/>
        <w:pageBreakBefore w:val="0"/>
        <w:widowControl w:val="0"/>
        <w:kinsoku/>
        <w:wordWrap/>
        <w:overflowPunct/>
        <w:topLinePunct w:val="0"/>
        <w:autoSpaceDN/>
        <w:bidi w:val="0"/>
        <w:spacing w:line="500" w:lineRule="exact"/>
        <w:ind w:firstLineChars="200" w:firstLine="600"/>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（三）德育工作</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N/>
        <w:bidi w:val="0"/>
        <w:spacing w:before="0" w:beforeAutospacing="0" w:after="0" w:afterAutospacing="0" w:line="500" w:lineRule="exact"/>
        <w:ind w:right="0" w:firstLineChars="200" w:firstLine="600"/>
        <w:jc w:val="both"/>
        <w:textAlignment w:val="auto"/>
        <w:rPr>
          <w:rFonts w:ascii="仿宋" w:eastAsia="仿宋" w:cs="仿宋" w:hAnsi="仿宋" w:hint="eastAsia"/>
          <w:bCs/>
          <w:sz w:val="30"/>
          <w:szCs w:val="30"/>
          <w:lang w:val="en-US" w:eastAsia="zh-CN"/>
        </w:rPr>
      </w:pPr>
      <w:r>
        <w:rPr>
          <w:rFonts w:ascii="仿宋" w:eastAsia="仿宋" w:cs="仿宋" w:hAnsi="仿宋" w:hint="eastAsia"/>
          <w:bCs/>
          <w:sz w:val="30"/>
          <w:szCs w:val="30"/>
          <w:lang w:val="en-US" w:eastAsia="zh-CN"/>
        </w:rPr>
        <w:t>强管理、提素质、打造优秀的德育管理队伍。在充分发挥德育领导小组的核心作用下，实行由分管副校长负总责，德育处、少先队具体抓，实行德育处、少先队——班主任（中队辅导员）二级管理体系；形成了学校、家庭、社区、政府职能部门四方联动，各部门密切配合，班主任和任课教师共同承担的纵横交错的德育工作网络。增强了“教书育人”、“服务育人”、“管理育人”、“环境育人”的时效。</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N/>
        <w:bidi w:val="0"/>
        <w:spacing w:before="0" w:beforeAutospacing="0" w:after="0" w:afterAutospacing="0" w:line="500" w:lineRule="exact"/>
        <w:ind w:right="0" w:firstLineChars="200" w:firstLine="600"/>
        <w:jc w:val="both"/>
        <w:textAlignment w:val="auto"/>
        <w:rPr>
          <w:rFonts w:ascii="仿宋" w:eastAsia="仿宋" w:cs="仿宋" w:hAnsi="仿宋" w:hint="eastAsia"/>
          <w:bCs/>
          <w:color w:val="000000"/>
          <w:kern w:val="0"/>
          <w:sz w:val="30"/>
          <w:szCs w:val="30"/>
          <w:lang w:val="en-US" w:eastAsia="zh-CN" w:bidi="ar-SA"/>
        </w:rPr>
      </w:pPr>
      <w:r>
        <w:rPr>
          <w:rFonts w:ascii="仿宋" w:eastAsia="仿宋" w:cs="仿宋" w:hAnsi="仿宋" w:hint="eastAsia"/>
          <w:bCs/>
          <w:color w:val="000000"/>
          <w:kern w:val="0"/>
          <w:sz w:val="30"/>
          <w:szCs w:val="30"/>
          <w:lang w:val="en-US" w:eastAsia="zh-CN" w:bidi="ar-SA"/>
        </w:rPr>
        <w:t>关注师生心理健康 、摸排谈心、疏导教育效果好。5月中旬开展了全校学生心理健康状况调查活动。9月开展了 “六类学生”的心理健康情况摸排，建立了“六类学生”档案。疫情期间德育处开展了“云端心理调适 守护心灵‘绿码’”、“线上教育不掉队 爱心助力共前行”心理健康线上关爱活动。寒假期间学校对留守学生、特困学生进行了慰问。全校班主任教师参加了智慧中小学线上心理健康专题培训。</w:t>
      </w:r>
    </w:p>
    <w:p>
      <w:pPr>
        <w:pStyle w:val="2"/>
        <w:rPr>
          <w:rFonts w:ascii="黑体" w:eastAsia="黑体" w:hAnsi="黑体" w:hint="eastAsia"/>
          <w:b w:val="0"/>
        </w:rPr>
      </w:pPr>
      <w:r>
        <w:rPr>
          <w:rFonts w:ascii="黑体" w:eastAsia="黑体" w:hAnsi="黑体" w:hint="eastAsia"/>
          <w:b w:val="0"/>
          <w:lang w:eastAsia="zh-CN"/>
        </w:rPr>
        <w:t>二、</w:t>
      </w:r>
      <w:r>
        <w:rPr>
          <w:rFonts w:ascii="黑体" w:eastAsia="黑体" w:hAnsi="黑体" w:hint="eastAsia"/>
          <w:b w:val="0"/>
        </w:rPr>
        <w:t>机构设置</w:t>
      </w:r>
    </w:p>
    <w:p>
      <w:pPr>
        <w:ind w:left="0" w:firstLineChars="200" w:firstLine="640"/>
      </w:pPr>
      <w:r>
        <w:rPr>
          <w:rFonts w:ascii="仿宋" w:eastAsia="仿宋" w:hAnsi="仿宋" w:hint="eastAsia"/>
          <w:sz w:val="32"/>
          <w:szCs w:val="32"/>
          <w:lang w:eastAsia="zh-CN"/>
        </w:rPr>
        <w:t>栖凤小学</w:t>
      </w:r>
      <w:r>
        <w:rPr>
          <w:rFonts w:ascii="仿宋" w:eastAsia="仿宋" w:hAnsi="仿宋" w:hint="eastAsia"/>
          <w:sz w:val="32"/>
          <w:szCs w:val="32"/>
        </w:rPr>
        <w:t>是利州区教育局下属二级预算单位1个，参照公务员法管理的事业单位1个，主要包括</w:t>
      </w:r>
      <w:r>
        <w:rPr>
          <w:rFonts w:ascii="仿宋" w:eastAsia="仿宋" w:hAnsi="仿宋" w:hint="eastAsia"/>
          <w:sz w:val="32"/>
          <w:szCs w:val="32"/>
          <w:lang w:eastAsia="zh-CN"/>
        </w:rPr>
        <w:t>校长</w:t>
      </w:r>
      <w:r>
        <w:rPr>
          <w:rFonts w:ascii="仿宋" w:eastAsia="仿宋" w:hAnsi="仿宋" w:hint="eastAsia"/>
          <w:sz w:val="32"/>
          <w:szCs w:val="32"/>
        </w:rPr>
        <w:t>办公室、</w:t>
      </w:r>
      <w:r>
        <w:rPr>
          <w:rFonts w:ascii="仿宋" w:eastAsia="仿宋" w:hAnsi="仿宋" w:hint="eastAsia"/>
          <w:sz w:val="32"/>
          <w:szCs w:val="32"/>
          <w:lang w:eastAsia="zh-CN"/>
        </w:rPr>
        <w:t>党建办公室、</w:t>
      </w:r>
      <w:r>
        <w:rPr>
          <w:rFonts w:ascii="仿宋" w:eastAsia="仿宋" w:hAnsi="仿宋" w:hint="eastAsia"/>
          <w:sz w:val="32"/>
          <w:szCs w:val="32"/>
        </w:rPr>
        <w:t>工会办公室、</w:t>
      </w:r>
      <w:r>
        <w:rPr>
          <w:rFonts w:ascii="仿宋" w:eastAsia="仿宋" w:hAnsi="仿宋" w:hint="eastAsia"/>
          <w:sz w:val="32"/>
          <w:szCs w:val="32"/>
          <w:lang w:eastAsia="zh-CN"/>
        </w:rPr>
        <w:t>教</w:t>
      </w:r>
      <w:r>
        <w:rPr>
          <w:rFonts w:ascii="仿宋" w:eastAsia="仿宋" w:hAnsi="仿宋" w:hint="eastAsia"/>
          <w:sz w:val="32"/>
          <w:szCs w:val="32"/>
        </w:rPr>
        <w:t>务办公室、财务室、技装安办室6个办公室。</w:t>
      </w:r>
    </w:p>
    <w:p>
      <w:pPr>
        <w:pStyle w:val="1"/>
        <w:ind w:right="440"/>
        <w:jc w:val="center"/>
        <w:rPr>
          <w:rStyle w:val="1Char"/>
          <w:rFonts w:ascii="黑体" w:eastAsia="黑体" w:hAnsi="黑体"/>
          <w:b w:val="0"/>
          <w:bCs/>
        </w:rPr>
      </w:pPr>
      <w:bookmarkStart w:id="17" w:name="_Toc15396602"/>
      <w:bookmarkStart w:id="18" w:name="_Toc15377204"/>
      <w:bookmarkEnd w:id="15"/>
      <w:bookmarkEnd w:id="16"/>
      <w:r>
        <w:rPr>
          <w:rFonts w:ascii="黑体" w:eastAsia="黑体" w:hAnsi="黑体" w:hint="eastAsia"/>
          <w:b w:val="0"/>
        </w:rPr>
        <w:t>第二部分 2022年度</w:t>
      </w:r>
      <w:r>
        <w:rPr>
          <w:rStyle w:val="1Char"/>
          <w:rFonts w:ascii="黑体" w:eastAsia="黑体" w:hAnsi="黑体" w:hint="eastAsia"/>
          <w:b w:val="0"/>
          <w:bCs/>
        </w:rPr>
        <w:t>单位决算情况说明</w:t>
      </w:r>
      <w:bookmarkEnd w:id="17"/>
      <w:bookmarkEnd w:id="18"/>
    </w:p>
    <w:p/>
    <w:p>
      <w:pPr>
        <w:pStyle w:val="29"/>
        <w:numPr>
          <w:ilvl w:val="0"/>
          <w:numId w:val="2"/>
        </w:numPr>
        <w:spacing w:line="600" w:lineRule="exact"/>
        <w:ind w:firstLineChars="0"/>
        <w:outlineLvl w:val="1"/>
        <w:rPr>
          <w:rStyle w:val="2Char"/>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2022年度收、支总计</w:t>
      </w:r>
      <w:r>
        <w:rPr>
          <w:rFonts w:ascii="仿宋" w:eastAsia="仿宋" w:hAnsi="仿宋"/>
          <w:sz w:val="32"/>
          <w:szCs w:val="32"/>
        </w:rPr>
        <w:t>767.58</w:t>
      </w:r>
      <w:r>
        <w:rPr>
          <w:rFonts w:ascii="仿宋" w:eastAsia="仿宋" w:hAnsi="仿宋" w:hint="eastAsia"/>
          <w:sz w:val="32"/>
          <w:szCs w:val="32"/>
        </w:rPr>
        <w:t>万元。与2021年相比，收、支总计各减少116.36万元，下降13.16</w:t>
      </w:r>
      <w:r>
        <w:rPr>
          <w:rFonts w:ascii="仿宋" w:eastAsia="仿宋" w:hAnsi="仿宋"/>
          <w:sz w:val="32"/>
          <w:szCs w:val="32"/>
        </w:rPr>
        <w:t>%</w:t>
      </w:r>
      <w:r>
        <w:rPr>
          <w:rFonts w:ascii="仿宋" w:eastAsia="仿宋" w:hAnsi="仿宋" w:hint="eastAsia"/>
          <w:sz w:val="32"/>
          <w:szCs w:val="32"/>
        </w:rPr>
        <w:t>。主要变动原因是基本支出、项目支出减少。</w:t>
      </w:r>
    </w:p>
    <w:p>
      <w:pPr>
        <w:pStyle w:val="15"/>
        <w:spacing w:beforeLines="0" w:before="93"/>
        <w:jc w:val="center"/>
      </w:pPr>
      <w:r>
        <w:drawing>
          <wp:inline distT="0" distB="0" distL="0" distR="0">
            <wp:extent cx="5274310" cy="3076575"/>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jc w:val="center"/>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pStyle w:val="29"/>
        <w:numPr>
          <w:ilvl w:val="0"/>
          <w:numId w:val="2"/>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Pr>
          <w:rFonts w:ascii="仿宋" w:eastAsia="仿宋" w:hAnsi="仿宋"/>
          <w:sz w:val="32"/>
          <w:szCs w:val="32"/>
        </w:rPr>
        <w:t>709.98</w:t>
      </w:r>
      <w:r>
        <w:rPr>
          <w:rFonts w:ascii="仿宋" w:eastAsia="仿宋" w:hAnsi="仿宋" w:hint="eastAsia"/>
          <w:sz w:val="32"/>
          <w:szCs w:val="32"/>
        </w:rPr>
        <w:t>万元，其中：一般公共预算财政拨款收入</w:t>
      </w:r>
      <w:r>
        <w:rPr>
          <w:rFonts w:ascii="仿宋" w:eastAsia="仿宋" w:hAnsi="仿宋"/>
          <w:sz w:val="32"/>
          <w:szCs w:val="32"/>
        </w:rPr>
        <w:t>702.57</w:t>
      </w:r>
      <w:r>
        <w:rPr>
          <w:rFonts w:ascii="仿宋" w:eastAsia="仿宋" w:hAnsi="仿宋" w:hint="eastAsia"/>
          <w:sz w:val="32"/>
          <w:szCs w:val="32"/>
        </w:rPr>
        <w:t>万元，占98.96</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sz w:val="32"/>
          <w:szCs w:val="32"/>
        </w:rPr>
        <w:t>7.15</w:t>
      </w:r>
      <w:r>
        <w:rPr>
          <w:rFonts w:ascii="仿宋" w:eastAsia="仿宋" w:hAnsi="仿宋" w:hint="eastAsia"/>
          <w:sz w:val="32"/>
          <w:szCs w:val="32"/>
        </w:rPr>
        <w:t>万元，占1.00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sz w:val="32"/>
          <w:szCs w:val="32"/>
        </w:rPr>
        <w:t>0.26</w:t>
      </w:r>
      <w:r>
        <w:rPr>
          <w:rFonts w:ascii="仿宋" w:eastAsia="仿宋" w:hAnsi="仿宋" w:hint="eastAsia"/>
          <w:sz w:val="32"/>
          <w:szCs w:val="32"/>
        </w:rPr>
        <w:t>万元，占0.04</w:t>
      </w:r>
      <w:r>
        <w:rPr>
          <w:rFonts w:ascii="仿宋" w:eastAsia="仿宋" w:hAnsi="仿宋"/>
          <w:sz w:val="32"/>
          <w:szCs w:val="32"/>
        </w:rPr>
        <w:t>%</w:t>
      </w:r>
      <w:r>
        <w:rPr>
          <w:rFonts w:ascii="仿宋" w:eastAsia="仿宋" w:hAnsi="仿宋" w:hint="eastAsia"/>
          <w:sz w:val="32"/>
          <w:szCs w:val="32"/>
        </w:rPr>
        <w:t>。</w:t>
      </w:r>
    </w:p>
    <w:p>
      <w:pPr>
        <w:jc w:val="center"/>
        <w:rPr>
          <w:rFonts w:ascii="仿宋" w:eastAsia="仿宋" w:hAnsi="仿宋" w:hint="eastAsia"/>
          <w:sz w:val="32"/>
          <w:szCs w:val="32"/>
        </w:rPr>
      </w:pPr>
      <w:r>
        <w:rPr>
          <w:rFonts w:ascii="仿宋" w:eastAsia="仿宋" w:hAnsi="仿宋" w:hint="eastAsia"/>
          <w:sz w:val="32"/>
          <w:szCs w:val="32"/>
        </w:rPr>
        <w:drawing>
          <wp:inline distT="0" distB="0" distL="0" distR="0">
            <wp:extent cx="5274310" cy="3076575"/>
            <wp:effectExtent l="0" t="0" r="0" b="0"/>
            <wp:docPr id="2"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（图2：收入决算结构图）</w:t>
      </w:r>
    </w:p>
    <w:p>
      <w:pPr>
        <w:pStyle w:val="29"/>
        <w:numPr>
          <w:ilvl w:val="0"/>
          <w:numId w:val="2"/>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Pr>
          <w:rFonts w:ascii="仿宋" w:eastAsia="仿宋" w:hAnsi="仿宋"/>
          <w:sz w:val="32"/>
          <w:szCs w:val="32"/>
        </w:rPr>
        <w:t>767.58</w:t>
      </w:r>
      <w:r>
        <w:rPr>
          <w:rFonts w:ascii="仿宋" w:eastAsia="仿宋" w:hAnsi="仿宋" w:hint="eastAsia"/>
          <w:sz w:val="32"/>
          <w:szCs w:val="32"/>
        </w:rPr>
        <w:t>万元，其中：基本支出</w:t>
      </w:r>
      <w:r>
        <w:rPr>
          <w:rFonts w:ascii="仿宋" w:eastAsia="仿宋" w:hAnsi="仿宋"/>
          <w:sz w:val="32"/>
          <w:szCs w:val="32"/>
        </w:rPr>
        <w:t>709.49</w:t>
      </w:r>
      <w:r>
        <w:rPr>
          <w:rFonts w:ascii="仿宋" w:eastAsia="仿宋" w:hAnsi="仿宋" w:hint="eastAsia"/>
          <w:sz w:val="32"/>
          <w:szCs w:val="32"/>
        </w:rPr>
        <w:t>万元，占92.43</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sz w:val="32"/>
          <w:szCs w:val="32"/>
        </w:rPr>
        <w:t>58.09</w:t>
      </w:r>
      <w:r>
        <w:rPr>
          <w:rFonts w:ascii="仿宋" w:eastAsia="仿宋" w:hAnsi="仿宋" w:hint="eastAsia"/>
          <w:sz w:val="32"/>
          <w:szCs w:val="32"/>
        </w:rPr>
        <w:t>万元，占7.57</w:t>
      </w:r>
      <w:r>
        <w:rPr>
          <w:rFonts w:ascii="仿宋" w:eastAsia="仿宋" w:hAnsi="仿宋"/>
          <w:sz w:val="32"/>
          <w:szCs w:val="32"/>
        </w:rPr>
        <w:t>%</w:t>
      </w:r>
      <w:r>
        <w:rPr>
          <w:rFonts w:ascii="仿宋" w:eastAsia="仿宋" w:hAnsi="仿宋" w:hint="eastAsia"/>
          <w:sz w:val="32"/>
          <w:szCs w:val="32"/>
        </w:rPr>
        <w:t>。</w:t>
      </w:r>
    </w:p>
    <w:p>
      <w:pPr>
        <w:jc w:val="center"/>
        <w:rPr>
          <w:rFonts w:ascii="仿宋" w:eastAsia="仿宋" w:hAnsi="仿宋"/>
          <w:sz w:val="32"/>
          <w:szCs w:val="32"/>
          <w:shd w:val="pct10" w:color="auto" w:fill="FFFFFF"/>
        </w:rPr>
      </w:pPr>
      <w:r>
        <w:rPr>
          <w:rFonts w:ascii="仿宋" w:eastAsia="仿宋" w:hAnsi="仿宋"/>
          <w:sz w:val="32"/>
          <w:szCs w:val="32"/>
          <w:shd w:val="pct10" w:color="auto" w:fill="FFFFFF"/>
        </w:rPr>
        <w:drawing>
          <wp:inline distT="0" distB="0" distL="0" distR="0">
            <wp:extent cx="5274310" cy="3076575"/>
            <wp:effectExtent l="0" t="0" r="0" b="0"/>
            <wp:docPr id="3" name="图表 3"/>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（图3：支出决算结构图）</w:t>
      </w:r>
    </w:p>
    <w:p>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pPr>
        <w:spacing w:line="600" w:lineRule="exact"/>
        <w:ind w:firstLine="640"/>
        <w:rPr>
          <w:rFonts w:ascii="仿宋" w:eastAsia="仿宋" w:hAnsi="仿宋" w:hint="eastAsia"/>
          <w:sz w:val="32"/>
          <w:szCs w:val="32"/>
        </w:rPr>
      </w:pPr>
      <w:r>
        <w:rPr>
          <w:rFonts w:ascii="仿宋" w:eastAsia="仿宋" w:hAnsi="仿宋"/>
          <w:sz w:val="32"/>
          <w:szCs w:val="32"/>
        </w:rPr>
        <w:t>20</w:t>
      </w:r>
      <w:r>
        <w:rPr>
          <w:rFonts w:ascii="仿宋" w:eastAsia="仿宋" w:hAnsi="仿宋" w:hint="eastAsia"/>
          <w:sz w:val="32"/>
          <w:szCs w:val="32"/>
        </w:rPr>
        <w:t>22年财政拨款收、支总计</w:t>
      </w:r>
      <w:r>
        <w:rPr>
          <w:rFonts w:ascii="仿宋" w:eastAsia="仿宋" w:hAnsi="仿宋"/>
          <w:sz w:val="32"/>
          <w:szCs w:val="32"/>
        </w:rPr>
        <w:t>760.17</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21年相比，财政拨款收、支总计各减少123.60万元，下降13.99</w:t>
      </w:r>
      <w:r>
        <w:rPr>
          <w:rFonts w:ascii="仿宋" w:eastAsia="仿宋" w:hAnsi="仿宋"/>
          <w:sz w:val="32"/>
          <w:szCs w:val="32"/>
        </w:rPr>
        <w:t>%</w:t>
      </w:r>
      <w:r>
        <w:rPr>
          <w:rFonts w:ascii="仿宋" w:eastAsia="仿宋" w:hAnsi="仿宋" w:hint="eastAsia"/>
          <w:sz w:val="32"/>
          <w:szCs w:val="32"/>
        </w:rPr>
        <w:t>。主要变动原因是基本支出、项目支出减少。</w:t>
      </w:r>
    </w:p>
    <w:p>
      <w:pPr>
        <w:pStyle w:val="15"/>
        <w:spacing w:beforeLines="0" w:before="93"/>
        <w:jc w:val="center"/>
      </w:pPr>
      <w:r>
        <w:drawing>
          <wp:inline distT="0" distB="0" distL="0" distR="0">
            <wp:extent cx="5274310" cy="3076575"/>
            <wp:effectExtent l="0" t="0" r="0" b="0"/>
            <wp:docPr id="4" name="图表 4"/>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jc w:val="center"/>
        <w:rPr>
          <w:rFonts w:ascii="仿宋" w:eastAsia="仿宋" w:hAnsi="仿宋"/>
          <w:b/>
          <w:sz w:val="32"/>
          <w:szCs w:val="32"/>
        </w:rPr>
      </w:pPr>
      <w:r>
        <w:rPr>
          <w:rFonts w:ascii="仿宋" w:eastAsia="仿宋" w:hAnsi="仿宋" w:hint="eastAsia"/>
          <w:sz w:val="32"/>
          <w:szCs w:val="32"/>
        </w:rPr>
        <w:t>（图4：财政拨款收、支决算总计变动情况）</w:t>
      </w:r>
    </w:p>
    <w:p>
      <w:pPr>
        <w:spacing w:line="60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pPr>
        <w:spacing w:line="600" w:lineRule="exact"/>
        <w:ind w:firstLineChars="200" w:firstLine="640"/>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760.17</w:t>
      </w:r>
      <w:r>
        <w:rPr>
          <w:rFonts w:ascii="仿宋" w:eastAsia="仿宋" w:hAnsi="仿宋" w:hint="eastAsia"/>
          <w:sz w:val="32"/>
          <w:szCs w:val="32"/>
        </w:rPr>
        <w:t>万元，占本年支出合计的99.03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21年相比，一般公共预算财政拨款支出减少65.99万元，下降7.99</w:t>
      </w:r>
      <w:r>
        <w:rPr>
          <w:rFonts w:ascii="仿宋" w:eastAsia="仿宋" w:hAnsi="仿宋"/>
          <w:sz w:val="32"/>
          <w:szCs w:val="32"/>
        </w:rPr>
        <w:t>%</w:t>
      </w:r>
      <w:r>
        <w:rPr>
          <w:rFonts w:ascii="仿宋" w:eastAsia="仿宋" w:hAnsi="仿宋" w:hint="eastAsia"/>
          <w:sz w:val="32"/>
          <w:szCs w:val="32"/>
        </w:rPr>
        <w:t>。主要变动原因是基本支出、项目支出减少。</w:t>
      </w:r>
    </w:p>
    <w:p>
      <w:pPr>
        <w:jc w:val="center"/>
        <w:rPr>
          <w:rFonts w:ascii="仿宋" w:eastAsia="仿宋" w:hAnsi="仿宋"/>
          <w:sz w:val="32"/>
          <w:szCs w:val="32"/>
        </w:rPr>
      </w:pPr>
      <w:r>
        <w:rPr>
          <w:rFonts w:ascii="仿宋" w:eastAsia="仿宋" w:hAnsi="仿宋"/>
          <w:sz w:val="32"/>
          <w:szCs w:val="32"/>
        </w:rPr>
        <w:drawing>
          <wp:inline distT="0" distB="0" distL="0" distR="0">
            <wp:extent cx="5274310" cy="3076575"/>
            <wp:effectExtent l="0" t="0" r="0" b="0"/>
            <wp:docPr id="5" name="图表 5"/>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（图5：一般公共预算财政拨款支出决算变动情况）</w:t>
      </w:r>
    </w:p>
    <w:p>
      <w:pPr>
        <w:spacing w:line="600" w:lineRule="exact"/>
        <w:ind w:firstLineChars="200" w:firstLine="640"/>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760.17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w:t>
      </w:r>
      <w:r>
        <w:rPr>
          <w:rFonts w:ascii="仿宋" w:eastAsia="仿宋" w:hAnsi="仿宋"/>
          <w:sz w:val="32"/>
          <w:szCs w:val="32"/>
        </w:rPr>
        <w:t>688.1</w:t>
      </w:r>
      <w:r>
        <w:rPr>
          <w:rFonts w:ascii="仿宋" w:eastAsia="仿宋" w:hAnsi="仿宋" w:hint="eastAsia"/>
          <w:sz w:val="32"/>
          <w:szCs w:val="32"/>
        </w:rPr>
        <w:t>0万元，占90.52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sz w:val="32"/>
          <w:szCs w:val="32"/>
        </w:rPr>
        <w:t>55.97</w:t>
      </w:r>
      <w:r>
        <w:rPr>
          <w:rFonts w:ascii="仿宋" w:eastAsia="仿宋" w:hAnsi="仿宋" w:hint="eastAsia"/>
          <w:sz w:val="32"/>
          <w:szCs w:val="32"/>
        </w:rPr>
        <w:t>万元，占7.36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16.11</w:t>
      </w:r>
      <w:r>
        <w:rPr>
          <w:rFonts w:ascii="仿宋" w:eastAsia="仿宋" w:hAnsi="仿宋" w:hint="eastAsia"/>
          <w:sz w:val="32"/>
          <w:szCs w:val="32"/>
        </w:rPr>
        <w:t>万元，占2.12</w:t>
      </w:r>
      <w:r>
        <w:rPr>
          <w:rFonts w:ascii="仿宋" w:eastAsia="仿宋" w:hAnsi="仿宋"/>
          <w:sz w:val="32"/>
          <w:szCs w:val="32"/>
        </w:rPr>
        <w:t>%</w:t>
      </w:r>
      <w:r>
        <w:rPr>
          <w:rFonts w:ascii="仿宋" w:eastAsia="仿宋" w:hAnsi="仿宋" w:hint="eastAsia"/>
          <w:sz w:val="32"/>
          <w:szCs w:val="32"/>
        </w:rPr>
        <w:t>。</w:t>
      </w:r>
    </w:p>
    <w:p>
      <w:pPr>
        <w:jc w:val="center"/>
        <w:rPr>
          <w:rFonts w:ascii="仿宋" w:eastAsia="仿宋" w:hAnsi="仿宋"/>
          <w:sz w:val="32"/>
          <w:szCs w:val="32"/>
        </w:rPr>
      </w:pPr>
      <w:r>
        <w:rPr>
          <w:rFonts w:ascii="仿宋" w:eastAsia="仿宋" w:hAnsi="仿宋"/>
          <w:sz w:val="32"/>
          <w:szCs w:val="32"/>
        </w:rPr>
        <w:drawing>
          <wp:inline distT="0" distB="0" distL="0" distR="0">
            <wp:extent cx="5274310" cy="3076575"/>
            <wp:effectExtent l="0" t="0" r="0" b="0"/>
            <wp:docPr id="6" name="图表 6"/>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（图6：一般公共预算财政拨款支出决算结构）</w:t>
      </w:r>
    </w:p>
    <w:p>
      <w:pPr>
        <w:spacing w:line="600" w:lineRule="exact"/>
        <w:ind w:firstLineChars="200" w:firstLine="640"/>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pPr>
        <w:spacing w:line="600" w:lineRule="exact"/>
        <w:ind w:firstLineChars="200" w:firstLine="640"/>
        <w:outlineLvl w:val="2"/>
        <w:rPr>
          <w:rFonts w:ascii="仿宋" w:eastAsia="仿宋" w:hAnsi="仿宋"/>
          <w:sz w:val="32"/>
          <w:szCs w:val="32"/>
        </w:rPr>
      </w:pPr>
      <w:bookmarkStart w:id="32" w:name="_Toc15377213"/>
      <w:bookmarkStart w:id="33" w:name="_Toc15377444"/>
      <w:bookmarkStart w:id="34" w:name="_Toc15378460"/>
      <w:r>
        <w:rPr>
          <w:rFonts w:ascii="仿宋" w:eastAsia="仿宋" w:hAnsi="仿宋" w:hint="eastAsia"/>
          <w:b/>
          <w:sz w:val="32"/>
          <w:szCs w:val="32"/>
        </w:rPr>
        <w:t>2022年一般公共预算支出决算数为</w:t>
      </w:r>
      <w:r>
        <w:rPr>
          <w:rFonts w:ascii="仿宋" w:eastAsia="仿宋" w:hAnsi="仿宋"/>
          <w:b/>
          <w:sz w:val="32"/>
          <w:szCs w:val="32"/>
        </w:rPr>
        <w:t>760.17万元</w:t>
      </w:r>
      <w:r>
        <w:rPr>
          <w:rFonts w:ascii="仿宋" w:eastAsia="仿宋" w:hAnsi="仿宋" w:hint="eastAsia"/>
          <w:sz w:val="32"/>
          <w:szCs w:val="32"/>
        </w:rPr>
        <w:t>，</w:t>
      </w:r>
      <w:r>
        <w:rPr>
          <w:rStyle w:val="23"/>
          <w:rFonts w:ascii="仿宋" w:eastAsia="仿宋" w:hAnsi="仿宋" w:hint="eastAsia"/>
          <w:bCs/>
          <w:sz w:val="32"/>
          <w:szCs w:val="32"/>
        </w:rPr>
        <w:t>完成预算100</w:t>
      </w:r>
      <w:r>
        <w:rPr>
          <w:rStyle w:val="23"/>
          <w:rFonts w:ascii="仿宋" w:eastAsia="仿宋" w:hAnsi="仿宋"/>
          <w:bCs/>
          <w:sz w:val="32"/>
          <w:szCs w:val="32"/>
        </w:rPr>
        <w:t>%</w:t>
      </w:r>
      <w:r>
        <w:rPr>
          <w:rStyle w:val="23"/>
          <w:rFonts w:ascii="仿宋" w:eastAsia="仿宋" w:hAnsi="仿宋" w:hint="eastAsia"/>
          <w:bCs/>
          <w:sz w:val="32"/>
          <w:szCs w:val="32"/>
        </w:rPr>
        <w:t>。其中：</w:t>
      </w:r>
      <w:bookmarkEnd w:id="32"/>
      <w:bookmarkEnd w:id="33"/>
      <w:bookmarkEnd w:id="34"/>
    </w:p>
    <w:p>
      <w:pPr>
        <w:spacing w:line="600" w:lineRule="exact"/>
        <w:ind w:firstLineChars="200" w:firstLine="640"/>
        <w:rPr>
          <w:rFonts w:ascii="仿宋" w:eastAsia="仿宋" w:hAnsi="仿宋"/>
          <w:b/>
          <w:sz w:val="32"/>
          <w:szCs w:val="32"/>
        </w:rPr>
      </w:pPr>
      <w:r>
        <w:rPr>
          <w:rStyle w:val="23"/>
          <w:rFonts w:ascii="仿宋" w:eastAsia="仿宋" w:hAnsi="仿宋"/>
          <w:bCs/>
          <w:sz w:val="32"/>
          <w:szCs w:val="32"/>
        </w:rPr>
        <w:t>1.</w:t>
      </w:r>
      <w:r>
        <w:rPr>
          <w:rFonts w:hint="eastAsia"/>
        </w:rPr>
        <w:t xml:space="preserve"> </w:t>
      </w:r>
      <w:r>
        <w:rPr>
          <w:rStyle w:val="23"/>
          <w:rFonts w:ascii="仿宋" w:eastAsia="仿宋" w:hAnsi="仿宋" w:hint="eastAsia"/>
          <w:bCs/>
          <w:sz w:val="32"/>
          <w:szCs w:val="32"/>
        </w:rPr>
        <w:t>教育支出（类）普通教育（款）学前教育（项）</w:t>
      </w:r>
      <w:r>
        <w:rPr>
          <w:rStyle w:val="23"/>
          <w:rFonts w:ascii="仿宋" w:eastAsia="仿宋" w:hAnsi="仿宋"/>
          <w:bCs/>
          <w:sz w:val="32"/>
          <w:szCs w:val="32"/>
        </w:rPr>
        <w:t>:</w:t>
      </w:r>
      <w:r>
        <w:rPr>
          <w:rStyle w:val="23"/>
          <w:rFonts w:ascii="仿宋" w:eastAsia="仿宋" w:hAnsi="仿宋" w:hint="eastAsia"/>
          <w:b w:val="0"/>
          <w:bCs/>
          <w:sz w:val="32"/>
          <w:szCs w:val="32"/>
        </w:rPr>
        <w:t>支出决算为</w:t>
      </w:r>
      <w:r>
        <w:rPr>
          <w:rStyle w:val="23"/>
          <w:rFonts w:ascii="仿宋" w:eastAsia="仿宋" w:hAnsi="仿宋"/>
          <w:b w:val="0"/>
          <w:bCs/>
          <w:sz w:val="32"/>
          <w:szCs w:val="32"/>
        </w:rPr>
        <w:t>16.26</w:t>
      </w:r>
      <w:r>
        <w:rPr>
          <w:rStyle w:val="23"/>
          <w:rFonts w:ascii="仿宋" w:eastAsia="仿宋" w:hAnsi="仿宋" w:hint="eastAsia"/>
          <w:b w:val="0"/>
          <w:bCs/>
          <w:sz w:val="32"/>
          <w:szCs w:val="32"/>
        </w:rPr>
        <w:t>万元，完成预算100</w:t>
      </w:r>
      <w:r>
        <w:rPr>
          <w:rStyle w:val="23"/>
          <w:rFonts w:ascii="仿宋" w:eastAsia="仿宋" w:hAnsi="仿宋"/>
          <w:b w:val="0"/>
          <w:bCs/>
          <w:sz w:val="32"/>
          <w:szCs w:val="32"/>
        </w:rPr>
        <w:t>%</w:t>
      </w:r>
      <w:r>
        <w:rPr>
          <w:rStyle w:val="23"/>
          <w:rFonts w:ascii="仿宋" w:eastAsia="仿宋" w:hAnsi="仿宋" w:hint="eastAsia"/>
          <w:b w:val="0"/>
          <w:bCs/>
          <w:sz w:val="32"/>
          <w:szCs w:val="32"/>
        </w:rPr>
        <w:t>。</w:t>
      </w:r>
    </w:p>
    <w:p>
      <w:pPr>
        <w:spacing w:line="600" w:lineRule="exact"/>
        <w:ind w:firstLineChars="200" w:firstLine="640"/>
        <w:rPr>
          <w:rFonts w:ascii="仿宋" w:eastAsia="仿宋" w:hAnsi="仿宋"/>
          <w:b/>
          <w:sz w:val="32"/>
          <w:szCs w:val="32"/>
        </w:rPr>
      </w:pPr>
      <w:r>
        <w:rPr>
          <w:rStyle w:val="23"/>
          <w:rFonts w:ascii="仿宋" w:eastAsia="仿宋" w:hAnsi="仿宋"/>
          <w:bCs/>
          <w:sz w:val="32"/>
          <w:szCs w:val="32"/>
        </w:rPr>
        <w:t>2.</w:t>
      </w:r>
      <w:r>
        <w:rPr>
          <w:rStyle w:val="23"/>
          <w:rFonts w:ascii="仿宋" w:eastAsia="仿宋" w:hAnsi="仿宋" w:hint="eastAsia"/>
          <w:bCs/>
          <w:sz w:val="32"/>
          <w:szCs w:val="32"/>
        </w:rPr>
        <w:t xml:space="preserve"> 教育支出（类）普通教育（款）小学教育（项）</w:t>
      </w:r>
      <w:r>
        <w:rPr>
          <w:rStyle w:val="23"/>
          <w:rFonts w:ascii="仿宋" w:eastAsia="仿宋" w:hAnsi="仿宋"/>
          <w:bCs/>
          <w:sz w:val="32"/>
          <w:szCs w:val="32"/>
        </w:rPr>
        <w:t>:</w:t>
      </w:r>
      <w:r>
        <w:rPr>
          <w:rStyle w:val="23"/>
          <w:rFonts w:ascii="仿宋" w:eastAsia="仿宋" w:hAnsi="仿宋" w:hint="eastAsia"/>
          <w:b w:val="0"/>
          <w:bCs/>
          <w:sz w:val="32"/>
          <w:szCs w:val="32"/>
        </w:rPr>
        <w:t>支出决算为</w:t>
      </w:r>
      <w:r>
        <w:rPr>
          <w:rStyle w:val="23"/>
          <w:rFonts w:ascii="仿宋" w:eastAsia="仿宋" w:hAnsi="仿宋"/>
          <w:b w:val="0"/>
          <w:bCs/>
          <w:sz w:val="32"/>
          <w:szCs w:val="32"/>
        </w:rPr>
        <w:t>671.84</w:t>
      </w:r>
      <w:r>
        <w:rPr>
          <w:rStyle w:val="23"/>
          <w:rFonts w:ascii="仿宋" w:eastAsia="仿宋" w:hAnsi="仿宋" w:hint="eastAsia"/>
          <w:b w:val="0"/>
          <w:bCs/>
          <w:sz w:val="32"/>
          <w:szCs w:val="32"/>
        </w:rPr>
        <w:t>万元，完成预算100</w:t>
      </w:r>
      <w:r>
        <w:rPr>
          <w:rStyle w:val="23"/>
          <w:rFonts w:ascii="仿宋" w:eastAsia="仿宋" w:hAnsi="仿宋"/>
          <w:b w:val="0"/>
          <w:bCs/>
          <w:sz w:val="32"/>
          <w:szCs w:val="32"/>
        </w:rPr>
        <w:t>%</w:t>
      </w:r>
      <w:r>
        <w:rPr>
          <w:rStyle w:val="23"/>
          <w:rFonts w:ascii="仿宋" w:eastAsia="仿宋" w:hAnsi="仿宋" w:hint="eastAsia"/>
          <w:b w:val="0"/>
          <w:bCs/>
          <w:sz w:val="32"/>
          <w:szCs w:val="32"/>
        </w:rPr>
        <w:t>。</w:t>
      </w:r>
    </w:p>
    <w:p>
      <w:pPr>
        <w:spacing w:line="600" w:lineRule="exact"/>
        <w:ind w:firstLineChars="200" w:firstLine="640"/>
        <w:rPr>
          <w:rStyle w:val="23"/>
          <w:rFonts w:ascii="仿宋" w:eastAsia="仿宋" w:hAnsi="仿宋" w:hint="eastAsia"/>
          <w:b w:val="0"/>
          <w:bCs/>
          <w:sz w:val="32"/>
          <w:szCs w:val="32"/>
        </w:rPr>
      </w:pPr>
      <w:r>
        <w:rPr>
          <w:rStyle w:val="23"/>
          <w:rFonts w:ascii="仿宋" w:eastAsia="仿宋" w:hAnsi="仿宋" w:hint="eastAsia"/>
          <w:bCs/>
          <w:sz w:val="32"/>
          <w:szCs w:val="32"/>
        </w:rPr>
        <w:t>3</w:t>
      </w:r>
      <w:r>
        <w:rPr>
          <w:rStyle w:val="23"/>
          <w:rFonts w:ascii="仿宋" w:eastAsia="仿宋" w:hAnsi="仿宋"/>
          <w:bCs/>
          <w:sz w:val="32"/>
          <w:szCs w:val="32"/>
        </w:rPr>
        <w:t>.</w:t>
      </w:r>
      <w:r>
        <w:rPr>
          <w:rStyle w:val="23"/>
          <w:rFonts w:ascii="仿宋" w:eastAsia="仿宋" w:hAnsi="仿宋" w:hint="eastAsia"/>
          <w:bCs/>
          <w:sz w:val="32"/>
          <w:szCs w:val="32"/>
        </w:rPr>
        <w:t>社会保障和就业（类）行政事业单位养老支出（款）机关事业单位基本养老保险缴费支出（项）</w:t>
      </w:r>
      <w:r>
        <w:rPr>
          <w:rStyle w:val="23"/>
          <w:rFonts w:ascii="仿宋" w:eastAsia="仿宋" w:hAnsi="仿宋"/>
          <w:bCs/>
          <w:sz w:val="32"/>
          <w:szCs w:val="32"/>
        </w:rPr>
        <w:t>:</w:t>
      </w:r>
      <w:r>
        <w:rPr>
          <w:rStyle w:val="23"/>
          <w:rFonts w:ascii="仿宋" w:eastAsia="仿宋" w:hAnsi="仿宋" w:hint="eastAsia"/>
          <w:b w:val="0"/>
          <w:bCs/>
          <w:sz w:val="32"/>
          <w:szCs w:val="32"/>
        </w:rPr>
        <w:t>支出决算为</w:t>
      </w:r>
      <w:r>
        <w:rPr>
          <w:rStyle w:val="23"/>
          <w:rFonts w:ascii="仿宋" w:eastAsia="仿宋" w:hAnsi="仿宋"/>
          <w:b w:val="0"/>
          <w:bCs/>
          <w:sz w:val="32"/>
          <w:szCs w:val="32"/>
        </w:rPr>
        <w:t>49.63</w:t>
      </w:r>
      <w:r>
        <w:rPr>
          <w:rStyle w:val="23"/>
          <w:rFonts w:ascii="仿宋" w:eastAsia="仿宋" w:hAnsi="仿宋" w:hint="eastAsia"/>
          <w:b w:val="0"/>
          <w:bCs/>
          <w:sz w:val="32"/>
          <w:szCs w:val="32"/>
        </w:rPr>
        <w:t>万元，完成预算100</w:t>
      </w:r>
      <w:r>
        <w:rPr>
          <w:rStyle w:val="23"/>
          <w:rFonts w:ascii="仿宋" w:eastAsia="仿宋" w:hAnsi="仿宋"/>
          <w:b w:val="0"/>
          <w:bCs/>
          <w:sz w:val="32"/>
          <w:szCs w:val="32"/>
        </w:rPr>
        <w:t>%</w:t>
      </w:r>
      <w:r>
        <w:rPr>
          <w:rStyle w:val="23"/>
          <w:rFonts w:ascii="仿宋" w:eastAsia="仿宋" w:hAnsi="仿宋" w:hint="eastAsia"/>
          <w:b w:val="0"/>
          <w:bCs/>
          <w:sz w:val="32"/>
          <w:szCs w:val="32"/>
        </w:rPr>
        <w:t>。</w:t>
      </w:r>
    </w:p>
    <w:p>
      <w:pPr>
        <w:spacing w:line="600" w:lineRule="exact"/>
        <w:ind w:firstLineChars="200" w:firstLine="640"/>
        <w:rPr>
          <w:rStyle w:val="23"/>
          <w:rFonts w:ascii="仿宋" w:eastAsia="仿宋" w:hAnsi="仿宋" w:hint="eastAsia"/>
          <w:b w:val="0"/>
          <w:bCs/>
          <w:sz w:val="32"/>
          <w:szCs w:val="32"/>
        </w:rPr>
      </w:pPr>
      <w:r>
        <w:rPr>
          <w:rStyle w:val="23"/>
          <w:rFonts w:ascii="仿宋" w:eastAsia="仿宋" w:hAnsi="仿宋" w:hint="eastAsia"/>
          <w:bCs/>
          <w:sz w:val="32"/>
          <w:szCs w:val="32"/>
        </w:rPr>
        <w:t>4</w:t>
      </w:r>
      <w:r>
        <w:rPr>
          <w:rStyle w:val="23"/>
          <w:rFonts w:ascii="仿宋" w:eastAsia="仿宋" w:hAnsi="仿宋"/>
          <w:bCs/>
          <w:sz w:val="32"/>
          <w:szCs w:val="32"/>
        </w:rPr>
        <w:t>.</w:t>
      </w:r>
      <w:r>
        <w:rPr>
          <w:rStyle w:val="23"/>
          <w:rFonts w:ascii="仿宋" w:eastAsia="仿宋" w:hAnsi="仿宋" w:hint="eastAsia"/>
          <w:bCs/>
          <w:sz w:val="32"/>
          <w:szCs w:val="32"/>
        </w:rPr>
        <w:t>社会保障和就业（类）行政事业单位养老支出（款）机关事业单位职业年金缴费支出（项）</w:t>
      </w:r>
      <w:r>
        <w:rPr>
          <w:rStyle w:val="23"/>
          <w:rFonts w:ascii="仿宋" w:eastAsia="仿宋" w:hAnsi="仿宋"/>
          <w:bCs/>
          <w:sz w:val="32"/>
          <w:szCs w:val="32"/>
        </w:rPr>
        <w:t>:</w:t>
      </w:r>
      <w:r>
        <w:rPr>
          <w:rStyle w:val="23"/>
          <w:rFonts w:ascii="仿宋" w:eastAsia="仿宋" w:hAnsi="仿宋" w:hint="eastAsia"/>
          <w:b w:val="0"/>
          <w:bCs/>
          <w:sz w:val="32"/>
          <w:szCs w:val="32"/>
        </w:rPr>
        <w:t>支出决算为</w:t>
      </w:r>
      <w:r>
        <w:rPr>
          <w:rStyle w:val="23"/>
          <w:rFonts w:ascii="仿宋" w:eastAsia="仿宋" w:hAnsi="仿宋"/>
          <w:b w:val="0"/>
          <w:bCs/>
          <w:sz w:val="32"/>
          <w:szCs w:val="32"/>
        </w:rPr>
        <w:t>6.35</w:t>
      </w:r>
      <w:r>
        <w:rPr>
          <w:rStyle w:val="23"/>
          <w:rFonts w:ascii="仿宋" w:eastAsia="仿宋" w:hAnsi="仿宋" w:hint="eastAsia"/>
          <w:b w:val="0"/>
          <w:bCs/>
          <w:sz w:val="32"/>
          <w:szCs w:val="32"/>
        </w:rPr>
        <w:t>万元，完成预算100</w:t>
      </w:r>
      <w:r>
        <w:rPr>
          <w:rStyle w:val="23"/>
          <w:rFonts w:ascii="仿宋" w:eastAsia="仿宋" w:hAnsi="仿宋"/>
          <w:b w:val="0"/>
          <w:bCs/>
          <w:sz w:val="32"/>
          <w:szCs w:val="32"/>
        </w:rPr>
        <w:t>%</w:t>
      </w:r>
      <w:r>
        <w:rPr>
          <w:rStyle w:val="23"/>
          <w:rFonts w:ascii="仿宋" w:eastAsia="仿宋" w:hAnsi="仿宋" w:hint="eastAsia"/>
          <w:b w:val="0"/>
          <w:bCs/>
          <w:sz w:val="32"/>
          <w:szCs w:val="32"/>
        </w:rPr>
        <w:t>。</w:t>
      </w:r>
    </w:p>
    <w:p>
      <w:pPr>
        <w:spacing w:line="600" w:lineRule="exact"/>
        <w:ind w:firstLineChars="200" w:firstLine="640"/>
        <w:rPr>
          <w:rFonts w:ascii="仿宋" w:eastAsia="仿宋" w:hAnsi="仿宋"/>
          <w:b/>
          <w:sz w:val="32"/>
          <w:szCs w:val="32"/>
        </w:rPr>
      </w:pPr>
      <w:r>
        <w:rPr>
          <w:rStyle w:val="23"/>
          <w:rFonts w:ascii="仿宋" w:eastAsia="仿宋" w:hAnsi="仿宋" w:hint="eastAsia"/>
          <w:bCs/>
          <w:sz w:val="32"/>
          <w:szCs w:val="32"/>
        </w:rPr>
        <w:t>5</w:t>
      </w:r>
      <w:r>
        <w:rPr>
          <w:rStyle w:val="23"/>
          <w:rFonts w:ascii="仿宋" w:eastAsia="仿宋" w:hAnsi="仿宋"/>
          <w:bCs/>
          <w:sz w:val="32"/>
          <w:szCs w:val="32"/>
        </w:rPr>
        <w:t>.</w:t>
      </w:r>
      <w:r>
        <w:rPr>
          <w:rFonts w:ascii="仿宋" w:eastAsia="仿宋" w:hAnsi="仿宋" w:hint="eastAsia"/>
          <w:b/>
          <w:bCs/>
          <w:sz w:val="32"/>
          <w:szCs w:val="32"/>
        </w:rPr>
        <w:t>卫生健康</w:t>
      </w:r>
      <w:r>
        <w:rPr>
          <w:rStyle w:val="23"/>
          <w:rFonts w:ascii="仿宋" w:eastAsia="仿宋" w:hAnsi="仿宋" w:hint="eastAsia"/>
          <w:bCs/>
          <w:sz w:val="32"/>
          <w:szCs w:val="32"/>
        </w:rPr>
        <w:t>（类）行政事业单位医疗（款）事业单位医疗（项）</w:t>
      </w:r>
      <w:r>
        <w:rPr>
          <w:rStyle w:val="23"/>
          <w:rFonts w:ascii="仿宋" w:eastAsia="仿宋" w:hAnsi="仿宋"/>
          <w:bCs/>
          <w:sz w:val="32"/>
          <w:szCs w:val="32"/>
        </w:rPr>
        <w:t>:</w:t>
      </w:r>
      <w:r>
        <w:rPr>
          <w:rStyle w:val="23"/>
          <w:rFonts w:ascii="仿宋" w:eastAsia="仿宋" w:hAnsi="仿宋" w:hint="eastAsia"/>
          <w:b w:val="0"/>
          <w:bCs/>
          <w:sz w:val="32"/>
          <w:szCs w:val="32"/>
        </w:rPr>
        <w:t>支出决算为</w:t>
      </w:r>
      <w:r>
        <w:rPr>
          <w:rStyle w:val="23"/>
          <w:rFonts w:ascii="仿宋" w:eastAsia="仿宋" w:hAnsi="仿宋"/>
          <w:b w:val="0"/>
          <w:bCs/>
          <w:sz w:val="32"/>
          <w:szCs w:val="32"/>
        </w:rPr>
        <w:t>16.11</w:t>
      </w:r>
      <w:r>
        <w:rPr>
          <w:rStyle w:val="23"/>
          <w:rFonts w:ascii="仿宋" w:eastAsia="仿宋" w:hAnsi="仿宋" w:hint="eastAsia"/>
          <w:b w:val="0"/>
          <w:bCs/>
          <w:sz w:val="32"/>
          <w:szCs w:val="32"/>
        </w:rPr>
        <w:t>万元，完成预算100</w:t>
      </w:r>
      <w:r>
        <w:rPr>
          <w:rStyle w:val="23"/>
          <w:rFonts w:ascii="仿宋" w:eastAsia="仿宋" w:hAnsi="仿宋"/>
          <w:b w:val="0"/>
          <w:bCs/>
          <w:sz w:val="32"/>
          <w:szCs w:val="32"/>
        </w:rPr>
        <w:t>%</w:t>
      </w:r>
      <w:r>
        <w:rPr>
          <w:rStyle w:val="23"/>
          <w:rFonts w:ascii="仿宋" w:eastAsia="仿宋" w:hAnsi="仿宋" w:hint="eastAsia"/>
          <w:b w:val="0"/>
          <w:bCs/>
          <w:sz w:val="32"/>
          <w:szCs w:val="32"/>
        </w:rPr>
        <w:t>。</w:t>
      </w:r>
    </w:p>
    <w:p>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sz w:val="32"/>
          <w:szCs w:val="32"/>
        </w:rPr>
        <w:t>702.08</w:t>
      </w:r>
      <w:r>
        <w:rPr>
          <w:rFonts w:ascii="仿宋" w:eastAsia="仿宋" w:hAnsi="仿宋" w:hint="eastAsia"/>
          <w:sz w:val="32"/>
          <w:szCs w:val="32"/>
        </w:rPr>
        <w:t>万元，其中：</w:t>
      </w:r>
    </w:p>
    <w:p>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642.17</w:t>
      </w:r>
      <w:r>
        <w:rPr>
          <w:rFonts w:ascii="仿宋" w:eastAsia="仿宋" w:hAnsi="仿宋" w:hint="eastAsia"/>
          <w:sz w:val="32"/>
          <w:szCs w:val="32"/>
        </w:rPr>
        <w:t>万元，主要包括：基本工资、津贴补贴、绩效工资、机关事业单位基本养老保险缴费、职业年金缴费、职工基本医疗保险缴费、其他社会保障缴费、住房公积金、其他工资福利支出、生活补助。</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sz w:val="32"/>
          <w:szCs w:val="32"/>
        </w:rPr>
        <w:t>59.91</w:t>
      </w:r>
      <w:r>
        <w:rPr>
          <w:rFonts w:ascii="仿宋" w:eastAsia="仿宋" w:hAnsi="仿宋" w:hint="eastAsia"/>
          <w:sz w:val="32"/>
          <w:szCs w:val="32"/>
        </w:rPr>
        <w:t>万元，主要包括：办公费、印刷费、咨询费、手续费、水费、电费、邮电费、差旅费、维修（护）费、培训费、劳务费、工会经费、福利费。</w:t>
      </w:r>
    </w:p>
    <w:p>
      <w:pPr>
        <w:spacing w:line="600" w:lineRule="exact"/>
        <w:ind w:firstLine="640"/>
        <w:outlineLvl w:val="1"/>
        <w:rPr>
          <w:rStyle w:val="2Char"/>
          <w:rFonts w:ascii="黑体" w:eastAsia="黑体" w:hAnsi="黑体"/>
          <w:b w:val="0"/>
        </w:rPr>
      </w:pPr>
      <w:bookmarkStart w:id="37" w:name="_Toc15377215"/>
      <w:bookmarkStart w:id="38"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22年“三公”经费财政拨款支出决算为0.00万元，完成预算0.00</w:t>
      </w:r>
      <w:r>
        <w:rPr>
          <w:rFonts w:ascii="仿宋" w:eastAsia="仿宋" w:hAnsi="仿宋"/>
          <w:sz w:val="32"/>
          <w:szCs w:val="32"/>
        </w:rPr>
        <w:t>%</w:t>
      </w:r>
      <w:r>
        <w:rPr>
          <w:rFonts w:ascii="仿宋" w:eastAsia="仿宋" w:hAnsi="仿宋" w:hint="eastAsia"/>
          <w:sz w:val="32"/>
          <w:szCs w:val="32"/>
        </w:rPr>
        <w:t>，与预算数持平。较上年增加0.00万元，增长0.00%，</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21年决算数持平</w:t>
      </w:r>
      <w:r>
        <w:rPr>
          <w:rFonts w:ascii="仿宋" w:eastAsia="仿宋" w:hAnsi="仿宋" w:hint="eastAsia"/>
          <w:sz w:val="32"/>
          <w:szCs w:val="32"/>
        </w:rPr>
        <w:t>。</w:t>
      </w:r>
    </w:p>
    <w:p>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0.00万元，</w:t>
      </w:r>
      <w:r>
        <w:rPr>
          <w:rStyle w:val="23"/>
          <w:rFonts w:ascii="仿宋" w:eastAsia="仿宋" w:hAnsi="仿宋" w:hint="eastAsia"/>
          <w:b w:val="0"/>
          <w:bCs/>
          <w:sz w:val="32"/>
          <w:szCs w:val="32"/>
        </w:rPr>
        <w:t>完成预算0.00</w:t>
      </w:r>
      <w:r>
        <w:rPr>
          <w:rStyle w:val="23"/>
          <w:rFonts w:ascii="仿宋" w:eastAsia="仿宋" w:hAnsi="仿宋"/>
          <w:b w:val="0"/>
          <w:bCs/>
          <w:sz w:val="32"/>
          <w:szCs w:val="32"/>
        </w:rPr>
        <w:t>%</w:t>
      </w:r>
      <w:r>
        <w:rPr>
          <w:rFonts w:ascii="仿宋" w:eastAsia="仿宋" w:hAnsi="仿宋" w:hint="eastAsia"/>
          <w:sz w:val="32"/>
          <w:szCs w:val="32"/>
        </w:rPr>
        <w:t>，与预算数持平</w:t>
      </w:r>
      <w:r>
        <w:rPr>
          <w:rStyle w:val="23"/>
          <w:rFonts w:ascii="仿宋" w:eastAsia="仿宋" w:hAnsi="仿宋" w:hint="eastAsia"/>
          <w:b w:val="0"/>
          <w:bCs/>
          <w:sz w:val="32"/>
          <w:szCs w:val="32"/>
        </w:rPr>
        <w:t>。</w:t>
      </w:r>
      <w:r>
        <w:rPr>
          <w:rFonts w:ascii="仿宋_GB2312" w:eastAsia="仿宋_GB2312" w:hint="eastAsia"/>
          <w:sz w:val="32"/>
          <w:szCs w:val="32"/>
        </w:rPr>
        <w:t>比</w:t>
      </w:r>
      <w:r>
        <w:rPr>
          <w:rFonts w:ascii="仿宋_GB2312" w:eastAsia="仿宋_GB2312"/>
          <w:sz w:val="32"/>
          <w:szCs w:val="32"/>
        </w:rPr>
        <w:t>20</w:t>
      </w:r>
      <w:r>
        <w:rPr>
          <w:rFonts w:ascii="仿宋_GB2312" w:eastAsia="仿宋_GB2312" w:hint="eastAsia"/>
          <w:sz w:val="32"/>
          <w:szCs w:val="32"/>
        </w:rPr>
        <w:t>21年增加0.00万元，增长0.00</w:t>
      </w:r>
      <w:r>
        <w:rPr>
          <w:rFonts w:ascii="仿宋_GB2312" w:eastAsia="仿宋_GB2312"/>
          <w:sz w:val="32"/>
          <w:szCs w:val="32"/>
        </w:rPr>
        <w:t>%</w:t>
      </w:r>
      <w:r>
        <w:rPr>
          <w:rFonts w:ascii="仿宋" w:eastAsia="仿宋" w:hAnsi="仿宋" w:hint="eastAsia"/>
          <w:sz w:val="32"/>
          <w:szCs w:val="32"/>
        </w:rPr>
        <w:t>，</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21年决算数持平</w:t>
      </w:r>
      <w:r>
        <w:rPr>
          <w:rFonts w:ascii="仿宋" w:eastAsia="仿宋" w:hAnsi="仿宋" w:hint="eastAsia"/>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0.00万元,</w:t>
      </w:r>
      <w:r>
        <w:rPr>
          <w:rStyle w:val="23"/>
          <w:rFonts w:ascii="仿宋" w:eastAsia="仿宋" w:hAnsi="仿宋" w:hint="eastAsia"/>
          <w:b w:val="0"/>
          <w:bCs/>
          <w:sz w:val="32"/>
          <w:szCs w:val="32"/>
        </w:rPr>
        <w:t>完成预算0.00</w:t>
      </w:r>
      <w:r>
        <w:rPr>
          <w:rStyle w:val="23"/>
          <w:rFonts w:ascii="仿宋" w:eastAsia="仿宋" w:hAnsi="仿宋"/>
          <w:b w:val="0"/>
          <w:bCs/>
          <w:sz w:val="32"/>
          <w:szCs w:val="32"/>
        </w:rPr>
        <w:t>%，</w:t>
      </w:r>
      <w:r>
        <w:rPr>
          <w:rFonts w:ascii="仿宋" w:eastAsia="仿宋" w:hAnsi="仿宋" w:hint="eastAsia"/>
          <w:sz w:val="32"/>
          <w:szCs w:val="32"/>
        </w:rPr>
        <w:t>与预算数持平</w:t>
      </w:r>
      <w:r>
        <w:rPr>
          <w:rStyle w:val="23"/>
          <w:rFonts w:ascii="仿宋" w:eastAsia="仿宋" w:hAnsi="仿宋" w:hint="eastAsia"/>
          <w:b w:val="0"/>
          <w:bCs/>
          <w:sz w:val="32"/>
          <w:szCs w:val="32"/>
        </w:rPr>
        <w:t>。</w:t>
      </w:r>
      <w:r>
        <w:rPr>
          <w:rFonts w:ascii="仿宋_GB2312" w:eastAsia="仿宋_GB2312" w:hint="eastAsia"/>
          <w:sz w:val="32"/>
          <w:szCs w:val="32"/>
        </w:rPr>
        <w:t>比</w:t>
      </w:r>
      <w:r>
        <w:rPr>
          <w:rFonts w:ascii="仿宋_GB2312" w:eastAsia="仿宋_GB2312"/>
          <w:sz w:val="32"/>
          <w:szCs w:val="32"/>
        </w:rPr>
        <w:t>20</w:t>
      </w:r>
      <w:r>
        <w:rPr>
          <w:rFonts w:ascii="仿宋_GB2312" w:eastAsia="仿宋_GB2312" w:hint="eastAsia"/>
          <w:sz w:val="32"/>
          <w:szCs w:val="32"/>
        </w:rPr>
        <w:t>21年增加0.00万元，增长0.00</w:t>
      </w:r>
      <w:r>
        <w:rPr>
          <w:rFonts w:ascii="仿宋_GB2312" w:eastAsia="仿宋_GB2312"/>
          <w:sz w:val="32"/>
          <w:szCs w:val="32"/>
        </w:rPr>
        <w:t>%，</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21年决算数持平</w:t>
      </w:r>
      <w:r>
        <w:rPr>
          <w:rFonts w:ascii="仿宋" w:eastAsia="仿宋" w:hAnsi="仿宋" w:hint="eastAsia"/>
          <w:sz w:val="32"/>
          <w:szCs w:val="32"/>
        </w:rPr>
        <w:t>。</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0.00万元。截至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0.00万元。</w:t>
      </w:r>
    </w:p>
    <w:p>
      <w:pPr>
        <w:spacing w:line="600" w:lineRule="exact"/>
        <w:ind w:firstLine="640"/>
        <w:rPr>
          <w:rFonts w:ascii="黑体" w:eastAsia="黑体"/>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0.00万元，</w:t>
      </w:r>
      <w:r>
        <w:rPr>
          <w:rStyle w:val="23"/>
          <w:rFonts w:ascii="仿宋" w:eastAsia="仿宋" w:hAnsi="仿宋" w:hint="eastAsia"/>
          <w:b w:val="0"/>
          <w:bCs/>
          <w:sz w:val="32"/>
          <w:szCs w:val="32"/>
        </w:rPr>
        <w:t>完成预算0.00</w:t>
      </w:r>
      <w:r>
        <w:rPr>
          <w:rStyle w:val="23"/>
          <w:rFonts w:ascii="仿宋" w:eastAsia="仿宋" w:hAnsi="仿宋"/>
          <w:b w:val="0"/>
          <w:bCs/>
          <w:sz w:val="32"/>
          <w:szCs w:val="32"/>
        </w:rPr>
        <w:t>%，</w:t>
      </w:r>
      <w:r>
        <w:rPr>
          <w:rFonts w:ascii="仿宋" w:eastAsia="仿宋" w:hAnsi="仿宋" w:hint="eastAsia"/>
          <w:sz w:val="32"/>
          <w:szCs w:val="32"/>
        </w:rPr>
        <w:t>与预算数持平</w:t>
      </w:r>
      <w:r>
        <w:rPr>
          <w:rStyle w:val="23"/>
          <w:rFonts w:ascii="仿宋" w:eastAsia="仿宋" w:hAnsi="仿宋" w:hint="eastAsia"/>
          <w:b w:val="0"/>
          <w:bCs/>
          <w:sz w:val="32"/>
          <w:szCs w:val="32"/>
        </w:rPr>
        <w:t>。</w:t>
      </w:r>
      <w:r>
        <w:rPr>
          <w:rFonts w:ascii="仿宋_GB2312" w:eastAsia="仿宋_GB2312" w:hint="eastAsia"/>
          <w:sz w:val="32"/>
          <w:szCs w:val="32"/>
        </w:rPr>
        <w:t>比</w:t>
      </w:r>
      <w:r>
        <w:rPr>
          <w:rFonts w:ascii="仿宋_GB2312" w:eastAsia="仿宋_GB2312"/>
          <w:sz w:val="32"/>
          <w:szCs w:val="32"/>
        </w:rPr>
        <w:t>20</w:t>
      </w:r>
      <w:r>
        <w:rPr>
          <w:rFonts w:ascii="仿宋_GB2312" w:eastAsia="仿宋_GB2312" w:hint="eastAsia"/>
          <w:sz w:val="32"/>
          <w:szCs w:val="32"/>
        </w:rPr>
        <w:t>21年增加0.00万元，增长0.00</w:t>
      </w:r>
      <w:r>
        <w:rPr>
          <w:rFonts w:ascii="仿宋_GB2312" w:eastAsia="仿宋_GB2312"/>
          <w:sz w:val="32"/>
          <w:szCs w:val="32"/>
        </w:rPr>
        <w:t>%，</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21年决算数持平</w:t>
      </w:r>
      <w:r>
        <w:rPr>
          <w:rFonts w:ascii="仿宋" w:eastAsia="仿宋" w:hAnsi="仿宋" w:hint="eastAsia"/>
          <w:sz w:val="32"/>
          <w:szCs w:val="32"/>
        </w:rPr>
        <w:t>。</w:t>
      </w:r>
      <w:bookmarkStart w:id="41" w:name="_Toc15377218"/>
      <w:bookmarkStart w:id="42" w:name="_Toc15396610"/>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22年政府性基金预算财政拨款支出0.00万元。</w:t>
      </w:r>
    </w:p>
    <w:p>
      <w:pPr>
        <w:numPr>
          <w:ilvl w:val="0"/>
          <w:numId w:val="3"/>
        </w:numPr>
        <w:spacing w:line="600" w:lineRule="exact"/>
        <w:ind w:left="0"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pPr>
        <w:spacing w:line="600" w:lineRule="exact"/>
        <w:ind w:firstLine="640"/>
        <w:rPr>
          <w:rFonts w:ascii="方正小标宋简体" w:eastAsia="方正小标宋简体" w:cs="方正小标宋简体" w:hAnsi="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22年国有资本经营预算财政拨款支出0.00万元。</w:t>
      </w:r>
    </w:p>
    <w:p>
      <w:pPr>
        <w:numPr>
          <w:ilvl w:val="0"/>
          <w:numId w:val="3"/>
        </w:numPr>
        <w:spacing w:line="600" w:lineRule="exact"/>
        <w:ind w:left="0"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pPr>
        <w:spacing w:line="600" w:lineRule="exact"/>
        <w:ind w:firstLineChars="200" w:firstLine="640"/>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22年，机关运行经费支出0.00万元，比</w:t>
      </w:r>
      <w:r>
        <w:rPr>
          <w:rFonts w:ascii="仿宋_GB2312" w:eastAsia="仿宋_GB2312"/>
          <w:sz w:val="32"/>
          <w:szCs w:val="32"/>
        </w:rPr>
        <w:t>20</w:t>
      </w:r>
      <w:r>
        <w:rPr>
          <w:rFonts w:ascii="仿宋_GB2312" w:eastAsia="仿宋_GB2312" w:hint="eastAsia"/>
          <w:sz w:val="32"/>
          <w:szCs w:val="32"/>
        </w:rPr>
        <w:t>21年增加0.00万元，增长0.00</w:t>
      </w:r>
      <w:r>
        <w:rPr>
          <w:rFonts w:ascii="仿宋_GB2312" w:eastAsia="仿宋_GB2312"/>
          <w:sz w:val="32"/>
          <w:szCs w:val="32"/>
        </w:rPr>
        <w:t>%，20</w:t>
      </w:r>
      <w:r>
        <w:rPr>
          <w:rFonts w:ascii="仿宋_GB2312" w:eastAsia="仿宋_GB2312" w:hint="eastAsia"/>
          <w:sz w:val="32"/>
          <w:szCs w:val="32"/>
        </w:rPr>
        <w:t>21年决算数持平。</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22年，政府采购支出总额0.00万元。授予中小企业合同金额0.00万元，占政府采购支出总额的0.00</w:t>
      </w:r>
      <w:r>
        <w:rPr>
          <w:rFonts w:ascii="仿宋_GB2312" w:eastAsia="仿宋_GB2312"/>
          <w:sz w:val="32"/>
          <w:szCs w:val="32"/>
        </w:rPr>
        <w:t>%</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日，共有车辆0辆。单价</w:t>
      </w:r>
      <w:r>
        <w:rPr>
          <w:rFonts w:ascii="仿宋_GB2312" w:eastAsia="仿宋_GB2312"/>
          <w:sz w:val="32"/>
          <w:szCs w:val="32"/>
        </w:rPr>
        <w:t>100</w:t>
      </w:r>
      <w:r>
        <w:rPr>
          <w:rFonts w:ascii="仿宋_GB2312" w:eastAsia="仿宋_GB2312" w:hint="eastAsia"/>
          <w:sz w:val="32"/>
          <w:szCs w:val="32"/>
        </w:rPr>
        <w:t>万元以上专用设备0台（套）。</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pStyle w:val="15"/>
        <w:spacing w:beforeLines="0" w:before="93"/>
        <w:ind w:firstLineChars="200" w:firstLine="640"/>
        <w:rPr>
          <w:highlight w:val="yellow"/>
        </w:rPr>
      </w:pPr>
      <w:r>
        <w:rPr>
          <w:rFonts w:cs="仿宋_GB2312" w:hAnsi="仿宋_GB2312" w:hint="eastAsia"/>
          <w:sz w:val="32"/>
          <w:szCs w:val="32"/>
        </w:rPr>
        <w:t>根据预算绩效管理要求，本单位在2022年度预算编制阶段，组织对</w:t>
      </w:r>
      <w:r>
        <w:rPr>
          <w:rFonts w:cs="仿宋_GB2312" w:hAnsi="仿宋_GB2312" w:hint="eastAsia"/>
          <w:sz w:val="32"/>
          <w:szCs w:val="32"/>
          <w:lang w:eastAsia="zh-CN"/>
        </w:rPr>
        <w:t>学前教育免保教费</w:t>
      </w:r>
      <w:r>
        <w:rPr>
          <w:rFonts w:cs="仿宋_GB2312" w:hAnsi="仿宋_GB2312" w:hint="eastAsia"/>
          <w:sz w:val="32"/>
          <w:szCs w:val="32"/>
        </w:rPr>
        <w:t>项目等</w:t>
      </w:r>
      <w:r>
        <w:rPr>
          <w:rFonts w:cs="仿宋_GB2312" w:hAnsi="仿宋_GB2312" w:hint="eastAsia"/>
          <w:sz w:val="32"/>
          <w:szCs w:val="32"/>
          <w:lang w:val="en-US" w:eastAsia="zh-CN"/>
        </w:rPr>
        <w:t>3</w:t>
      </w:r>
      <w:r>
        <w:rPr>
          <w:rFonts w:cs="仿宋_GB2312" w:hAnsi="仿宋_GB2312" w:hint="eastAsia"/>
          <w:sz w:val="32"/>
          <w:szCs w:val="32"/>
        </w:rPr>
        <w:t>个项目开展了预算事前绩效评估，对</w:t>
      </w:r>
      <w:r>
        <w:rPr>
          <w:rFonts w:cs="仿宋_GB2312" w:hAnsi="仿宋_GB2312" w:hint="eastAsia"/>
          <w:sz w:val="32"/>
          <w:szCs w:val="32"/>
          <w:lang w:val="en-US" w:eastAsia="zh-CN"/>
        </w:rPr>
        <w:t>3</w:t>
      </w:r>
      <w:r>
        <w:rPr>
          <w:rFonts w:cs="仿宋_GB2312" w:hAnsi="仿宋_GB2312" w:hint="eastAsia"/>
          <w:sz w:val="32"/>
          <w:szCs w:val="32"/>
        </w:rPr>
        <w:t>个项目编制了绩效目标，预算执行过程中，选取</w:t>
      </w:r>
      <w:r>
        <w:rPr>
          <w:rFonts w:cs="仿宋_GB2312" w:hAnsi="仿宋_GB2312" w:hint="eastAsia"/>
          <w:sz w:val="32"/>
          <w:szCs w:val="32"/>
          <w:lang w:val="en-US" w:eastAsia="zh-CN"/>
        </w:rPr>
        <w:t>3</w:t>
      </w:r>
      <w:r>
        <w:rPr>
          <w:rFonts w:cs="仿宋_GB2312" w:hAnsi="仿宋_GB2312" w:hint="eastAsia"/>
          <w:sz w:val="32"/>
          <w:szCs w:val="32"/>
        </w:rPr>
        <w:t>个项目开展绩效监控，组织对</w:t>
      </w:r>
      <w:r>
        <w:rPr>
          <w:rFonts w:cs="仿宋_GB2312" w:hAnsi="仿宋_GB2312" w:hint="eastAsia"/>
          <w:sz w:val="32"/>
          <w:szCs w:val="32"/>
          <w:lang w:val="en-US" w:eastAsia="zh-CN"/>
        </w:rPr>
        <w:t>3</w:t>
      </w:r>
      <w:r>
        <w:rPr>
          <w:rFonts w:cs="仿宋_GB2312" w:hAnsi="仿宋_GB2312" w:hint="eastAsia"/>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left="0"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t>名</w:t>
      </w:r>
      <w:r>
        <w:rPr>
          <w:rStyle w:val="1Char"/>
          <w:rFonts w:ascii="黑体" w:eastAsia="黑体" w:hAnsi="黑体" w:hint="eastAsia"/>
          <w:b w:val="0"/>
        </w:rPr>
        <w:t>词解释</w:t>
      </w:r>
      <w:bookmarkEnd w:id="50"/>
      <w:bookmarkEnd w:id="51"/>
    </w:p>
    <w:p>
      <w:pPr>
        <w:spacing w:line="600" w:lineRule="exact"/>
        <w:jc w:val="left"/>
        <w:rPr>
          <w:rFonts w:ascii="宋体"/>
          <w:b/>
          <w:sz w:val="44"/>
          <w:szCs w:val="44"/>
        </w:rPr>
      </w:pP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9.教育支出（类）教育管理事务（款）行政运行（项）:反映教育行政单位（包括实行公务员管理的事业单位）的基本支出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10. 教育支出（类）教育管理事务（款）一般行政管理事务（项）:反映行政单位（包括实行公务员管理的事业单位）未单独设置项级科目的其它项目支出。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11. 教育支出（类）教育管理事务（款）其它教育管理事务支出（项）:反映除上述项目以外其它用户教育管理事务方面的支出。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12. 教育支出（类）普通教育（款）学前教育（项）:反映各部门举办的学前教育支出。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13. 教育支出（类）普通教育（款）小学教育（项）:反映各部门举办的小学教育支出。政府各部门对社会中介组织等举办的小学的资助，如各类捐赠、补贴等，也在本科目中反映。</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16. 教育支出（类）普通教育（款）其它普通教育（项）: 反映除上述项目以外其他用于普通教育方面的支出。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17. 教育支出（类）职业教育（款）职业高中教育（项）: 反映各部门举办的职业中学、农业中学（含普通高中改制的）、半工（农）半读中学的支出或补助费</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18. 教育</w:t>
      </w:r>
      <w:r>
        <w:rPr>
          <w:rFonts w:ascii="仿宋_GB2312" w:eastAsia="仿宋_GB2312" w:hint="eastAsia"/>
          <w:color w:val="auto"/>
          <w:spacing w:val="-6"/>
          <w:sz w:val="32"/>
          <w:szCs w:val="32"/>
        </w:rPr>
        <w:t>支出（类）职业教育（款）高等职业教育（项）:反映经国家批准设立的高等职业大学、专科职业教育等方面的</w:t>
      </w:r>
      <w:r>
        <w:rPr>
          <w:rFonts w:ascii="仿宋_GB2312" w:eastAsia="仿宋_GB2312" w:hint="eastAsia"/>
          <w:color w:val="auto"/>
          <w:sz w:val="32"/>
          <w:szCs w:val="32"/>
        </w:rPr>
        <w:t>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19. 教育支出（类）特殊教育（款）特殊学校教育（项）: 指各部门举办的盲童学校、聋哑学校、智力落后儿童学校、其它生理缺陷儿童学校的支出。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20. 教育支出（类）特殊教育（款）工读学校教育（项）:指各部门举办的工读学校的支出。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21. 教育支出（类）教育附加费安排的支出（款）农村中小学校舍建设（项）:反映教育附加费安排用于农村中小学校舍新建、改建、修缮和维护的支出。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22. 教育支出（类）教育附加费安排的支出（款）城市中小学校舍建设（项）: 反映教育附加费安排用于城市中小学校舍新建、改建、修缮和维护的支出。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23. 教育支出（类）教育附加费安排的支出（款）其它教育附加费安排的支出（项）: 指除上述项目以外的教育附加费支出。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24. 教育支出（类）其它教育支出（款）其他教育支出（项）: 指上述项目以外其他用于教育方面的支出。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26. 社会保障和就业支出（类）行政事业单位离退休（款）机关事业单位职业年金缴费支出（项）: 指机关事业单位实施养老保险制度由单位实际缴纳的职业年金支出。</w:t>
      </w:r>
    </w:p>
    <w:p>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p>
    <w:p>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adjustRightInd w:val="0"/>
        <w:snapToGrid w:val="0"/>
        <w:spacing w:line="560" w:lineRule="exact"/>
        <w:ind w:firstLineChars="200" w:firstLine="640"/>
        <w:outlineLvl w:val="2"/>
        <w:rPr>
          <w:rFonts w:ascii="仿宋_GB2312" w:eastAsia="仿宋_GB2312"/>
          <w:color w:val="auto"/>
          <w:sz w:val="32"/>
          <w:szCs w:val="32"/>
        </w:rPr>
      </w:pPr>
      <w:bookmarkStart w:id="52" w:name="_Toc15377226"/>
      <w:r>
        <w:rPr>
          <w:rFonts w:ascii="仿宋_GB2312" w:eastAsia="仿宋_GB2312" w:hint="eastAsia"/>
          <w:color w:val="auto"/>
          <w:sz w:val="32"/>
          <w:szCs w:val="32"/>
        </w:rPr>
        <w:t>32. 其他支出（类）其他支出（款）其他支出（项）: 指上述项目以外其他不能划分到具体功能科目中的支出项目。</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33.基本支出：指为保障机构正常运转、完成日常工作任务而发生的人员支出和公用支出。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 xml:space="preserve">34.项目支出：指在基本支出之外为完成特定行政任务和事业发展目标所发生的支出。 </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35.经营支出：指事业单位在专业业务活动及其辅助活动之外开展非独立核算经营活动发生的支出。</w:t>
      </w:r>
    </w:p>
    <w:p>
      <w:pPr>
        <w:pStyle w:val="28"/>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left"/>
        <w:outlineLvl w:val="0"/>
        <w:rPr>
          <w:rFonts w:ascii="仿宋_GB2312" w:eastAsia="仿宋_GB2312" w:hint="eastAsia"/>
          <w:sz w:val="32"/>
          <w:szCs w:val="32"/>
        </w:rPr>
      </w:pPr>
      <w:r>
        <w:rPr>
          <w:rFonts w:ascii="仿宋_GB2312" w:eastAsia="仿宋_GB2312" w:hint="eastAsia"/>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rPr>
      </w:pPr>
      <w:r>
        <w:rPr>
          <w:rFonts w:ascii="宋体"/>
          <w:b/>
          <w:sz w:val="44"/>
          <w:szCs w:val="44"/>
        </w:rPr>
        <w:br w:type="page"/>
      </w:r>
      <w:bookmarkStart w:id="53" w:name="_Toc15396614"/>
      <w:r>
        <w:rPr>
          <w:rFonts w:ascii="黑体" w:eastAsia="黑体" w:hAnsi="黑体" w:hint="eastAsia"/>
          <w:sz w:val="44"/>
          <w:szCs w:val="44"/>
        </w:rPr>
        <w:t>第</w:t>
      </w:r>
      <w:r>
        <w:rPr>
          <w:rStyle w:val="1Char"/>
          <w:rFonts w:ascii="黑体" w:eastAsia="黑体" w:hAnsi="黑体" w:hint="eastAsia"/>
          <w:b w:val="0"/>
        </w:rPr>
        <w:t>四部分 附件</w:t>
      </w:r>
      <w:bookmarkEnd w:id="53"/>
    </w:p>
    <w:p>
      <w:pPr>
        <w:spacing w:line="572" w:lineRule="exact"/>
        <w:jc w:val="left"/>
        <w:outlineLvl w:val="0"/>
        <w:rPr>
          <w:rFonts w:ascii="仿宋_GB2312" w:eastAsia="仿宋_GB2312" w:cs="仿宋_GB2312" w:hAnsi="仿宋_GB2312"/>
          <w:sz w:val="32"/>
          <w:szCs w:val="32"/>
        </w:rPr>
      </w:pPr>
    </w:p>
    <w:p>
      <w:pPr>
        <w:spacing w:line="600" w:lineRule="exact"/>
        <w:jc w:val="center"/>
        <w:outlineLvl w:val="0"/>
        <w:rPr>
          <w:rFonts w:ascii="宋体" w:cs="宋体" w:hAnsi="宋体" w:hint="eastAsia"/>
          <w:kern w:val="0"/>
          <w:sz w:val="32"/>
          <w:szCs w:val="32"/>
        </w:rPr>
      </w:pPr>
      <w:bookmarkStart w:id="54" w:name="_Toc15396618"/>
      <w:r>
        <w:rPr>
          <w:rFonts w:ascii="宋体" w:cs="宋体" w:hAnsi="宋体" w:hint="eastAsia"/>
          <w:kern w:val="0"/>
          <w:sz w:val="32"/>
          <w:szCs w:val="32"/>
        </w:rPr>
        <w:t>部门预算项目支出绩效自评表（2022年度）</w:t>
      </w:r>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4"/>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55"/>
    </w:p>
    <w:p>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b w:val="0"/>
          <w:bCs w:val="0"/>
        </w:rPr>
        <w:t>入决算表</w:t>
      </w:r>
      <w:bookmarkEnd w:id="56"/>
    </w:p>
    <w:p>
      <w:pPr>
        <w:pStyle w:val="2"/>
        <w:rPr>
          <w:rFonts w:ascii="仿宋" w:eastAsia="仿宋" w:hAnsi="仿宋"/>
        </w:rPr>
      </w:pPr>
      <w:bookmarkStart w:id="57"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57"/>
    </w:p>
    <w:p>
      <w:pPr>
        <w:pStyle w:val="2"/>
        <w:rPr>
          <w:rFonts w:ascii="仿宋" w:eastAsia="仿宋" w:hAnsi="仿宋"/>
          <w:b w:val="0"/>
        </w:rPr>
      </w:pPr>
      <w:bookmarkStart w:id="58"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58"/>
    </w:p>
    <w:p>
      <w:pPr>
        <w:pStyle w:val="2"/>
        <w:rPr>
          <w:rStyle w:val="2Char"/>
          <w:rFonts w:ascii="仿宋" w:eastAsia="仿宋" w:hAnsi="仿宋"/>
          <w:b w:val="0"/>
          <w:bCs w:val="0"/>
        </w:rPr>
      </w:pPr>
      <w:bookmarkStart w:id="59"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60" w:name="_Toc15396624"/>
      <w:bookmarkEnd w:id="59"/>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60"/>
    </w:p>
    <w:p>
      <w:pPr>
        <w:pStyle w:val="2"/>
        <w:rPr>
          <w:rFonts w:ascii="仿宋" w:eastAsia="仿宋" w:hAnsi="仿宋"/>
        </w:rPr>
      </w:pPr>
      <w:bookmarkStart w:id="61"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61"/>
    </w:p>
    <w:p>
      <w:pPr>
        <w:pStyle w:val="2"/>
        <w:rPr>
          <w:rFonts w:ascii="仿宋" w:eastAsia="仿宋" w:hAnsi="仿宋"/>
        </w:rPr>
      </w:pPr>
      <w:bookmarkStart w:id="62"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62"/>
    </w:p>
    <w:p>
      <w:pPr>
        <w:pStyle w:val="2"/>
        <w:rPr>
          <w:rFonts w:ascii="仿宋" w:eastAsia="仿宋" w:hAnsi="仿宋"/>
        </w:rPr>
      </w:pPr>
      <w:bookmarkStart w:id="63"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63"/>
    </w:p>
    <w:p>
      <w:pPr>
        <w:pStyle w:val="2"/>
        <w:rPr>
          <w:rFonts w:ascii="仿宋" w:eastAsia="仿宋" w:hAnsi="仿宋"/>
        </w:rPr>
      </w:pPr>
      <w:bookmarkStart w:id="64" w:name="_Toc15396628"/>
      <w:r>
        <w:rPr>
          <w:rStyle w:val="2Char"/>
          <w:rFonts w:ascii="仿宋" w:eastAsia="仿宋" w:hAnsi="仿宋" w:hint="eastAsia"/>
          <w:b w:val="0"/>
          <w:bCs w:val="0"/>
        </w:rPr>
        <w:t>十、</w:t>
      </w:r>
      <w:bookmarkEnd w:id="64"/>
      <w:r>
        <w:rPr>
          <w:rFonts w:ascii="仿宋" w:eastAsia="仿宋" w:hAnsi="仿宋" w:hint="eastAsia"/>
          <w:b w:val="0"/>
        </w:rPr>
        <w:t>政</w:t>
      </w:r>
      <w:r>
        <w:rPr>
          <w:rStyle w:val="2Char"/>
          <w:rFonts w:ascii="仿宋" w:eastAsia="仿宋" w:hAnsi="仿宋" w:hint="eastAsia"/>
          <w:b w:val="0"/>
          <w:bCs w:val="0"/>
        </w:rPr>
        <w:t>府性基金预算财政拨款收入支出决算表</w:t>
      </w:r>
    </w:p>
    <w:p>
      <w:pPr>
        <w:pStyle w:val="2"/>
        <w:rPr>
          <w:rFonts w:ascii="仿宋" w:eastAsia="仿宋" w:hAnsi="仿宋"/>
        </w:rPr>
      </w:pPr>
      <w:bookmarkStart w:id="65" w:name="_Toc15396629"/>
      <w:r>
        <w:rPr>
          <w:rStyle w:val="2Char"/>
          <w:rFonts w:ascii="仿宋" w:eastAsia="仿宋" w:hAnsi="仿宋" w:hint="eastAsia"/>
          <w:b w:val="0"/>
          <w:bCs w:val="0"/>
        </w:rPr>
        <w:t>十一、</w:t>
      </w:r>
      <w:bookmarkEnd w:id="65"/>
      <w:r>
        <w:rPr>
          <w:rFonts w:ascii="仿宋" w:eastAsia="仿宋" w:hAnsi="仿宋" w:hint="eastAsia"/>
          <w:b w:val="0"/>
        </w:rPr>
        <w:t>国</w:t>
      </w:r>
      <w:r>
        <w:rPr>
          <w:rStyle w:val="2Char"/>
          <w:rFonts w:ascii="仿宋" w:eastAsia="仿宋" w:hAnsi="仿宋" w:hint="eastAsia"/>
          <w:b w:val="0"/>
          <w:bCs w:val="0"/>
        </w:rPr>
        <w:t>有资本经营预算财政拨款收入支出决算表</w:t>
      </w:r>
    </w:p>
    <w:p>
      <w:pPr>
        <w:pStyle w:val="2"/>
        <w:rPr>
          <w:rFonts w:ascii="仿宋" w:eastAsia="仿宋" w:hAnsi="仿宋"/>
        </w:rPr>
      </w:pPr>
      <w:bookmarkStart w:id="66" w:name="_Toc15396630"/>
      <w:r>
        <w:rPr>
          <w:rStyle w:val="2Char"/>
          <w:rFonts w:ascii="仿宋" w:eastAsia="仿宋" w:hAnsi="仿宋" w:hint="eastAsia"/>
          <w:b w:val="0"/>
          <w:bCs w:val="0"/>
        </w:rPr>
        <w:t>十二、</w:t>
      </w:r>
      <w:bookmarkEnd w:id="66"/>
      <w:r>
        <w:rPr>
          <w:rStyle w:val="2Char"/>
          <w:rFonts w:ascii="仿宋" w:eastAsia="仿宋" w:hAnsi="仿宋" w:hint="eastAsia"/>
          <w:b w:val="0"/>
          <w:bCs w:val="0"/>
        </w:rPr>
        <w:t>国有资本经营预算财政拨款支出决算表</w:t>
      </w:r>
    </w:p>
    <w:p>
      <w:pPr>
        <w:pStyle w:val="2"/>
        <w:rPr>
          <w:rFonts w:eastAsia="仿宋"/>
        </w:rPr>
      </w:pPr>
      <w:bookmarkStart w:id="67" w:name="_Toc15396631"/>
      <w:r>
        <w:rPr>
          <w:rStyle w:val="2Char"/>
          <w:rFonts w:ascii="仿宋" w:eastAsia="仿宋" w:hAnsi="仿宋" w:hint="eastAsia"/>
          <w:b w:val="0"/>
          <w:bCs w:val="0"/>
        </w:rPr>
        <w:t>十三、</w:t>
      </w:r>
      <w:bookmarkEnd w:id="67"/>
      <w:r>
        <w:rPr>
          <w:rStyle w:val="2Char"/>
          <w:rFonts w:ascii="仿宋" w:eastAsia="仿宋" w:hAnsi="仿宋" w:hint="eastAsia"/>
          <w:b w:val="0"/>
          <w:bCs w:val="0"/>
        </w:rPr>
        <w:t>财政拨款“三公”经费支出决算表</w:t>
      </w: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0000000000000000000"/>
    <w:charset w:val="86"/>
    <w:family w:val="script"/>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53784331"/>
    </w:sdtPr>
    <w:sdtContent>
      <w:p>
        <w:pPr>
          <w:pStyle w:val="18"/>
          <w:tabs>
            <w:tab w:val="center" w:pos="4153"/>
            <w:tab w:val="right" w:pos="8306"/>
          </w:tabs>
          <w:jc w:val="center"/>
        </w:pPr>
        <w:r>
          <w:fldChar w:fldCharType="begin"/>
        </w:r>
        <w:r>
          <w:instrText>PAGE   \* MERGEFORMAT</w:instrText>
        </w:r>
        <w:r>
          <w:fldChar w:fldCharType="separate"/>
        </w:r>
        <w:r>
          <w:rPr>
            <w:lang w:val="zh-CN"/>
          </w:rPr>
          <w:t>11</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WM0NGU5OTNkZmVkNzQwYjBmM2FmMWI3MDg4ZmVhNT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Autospacing="1" w:afterAutospacing="1"/>
      <w:jc w:val="left"/>
    </w:pPr>
    <w:rPr>
      <w:rFonts w:cs="Times New Roman"/>
      <w:kern w:val="0"/>
      <w:sz w:val="24"/>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1">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rgbClr val="4F81BD"/>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'Sheet1'!$A$2:$A$3</c:f>
              <c:strCache>
                <c:ptCount val="2"/>
                <c:pt idx="0">
                  <c:v>2021年度收支总计</c:v>
                </c:pt>
                <c:pt idx="1">
                  <c:v>2022年度收支总计</c:v>
                </c:pt>
              </c:strCache>
            </c:strRef>
          </c:cat>
          <c:val>
            <c:numRef>
              <c:f>'Sheet1'!$B$2:$B$3</c:f>
              <c:numCache>
                <c:formatCode>General</c:formatCode>
                <c:ptCount val="2"/>
                <c:pt idx="0">
                  <c:v>883.94</c:v>
                </c:pt>
                <c:pt idx="1">
                  <c:v>767.58</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'Sheet1 (2)'!$B$1</c:f>
              <c:strCache>
                <c:ptCount val="1"/>
                <c:pt idx="0">
                  <c:v>销售额</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
              <c:idx val="1"/>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
              <c:idx val="3"/>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 (2)'!$A$2:$A$4</c:f>
              <c:strCache>
                <c:ptCount val="3"/>
                <c:pt idx="0">
                  <c:v>一般公共预算财政拨款收入</c:v>
                </c:pt>
                <c:pt idx="1">
                  <c:v>事业收入</c:v>
                </c:pt>
                <c:pt idx="2">
                  <c:v>其他收入</c:v>
                </c:pt>
              </c:strCache>
            </c:strRef>
          </c:cat>
          <c:val>
            <c:numRef>
              <c:f>'Sheet1 (2)'!$B$2:$B$4</c:f>
              <c:numCache>
                <c:formatCode>General</c:formatCode>
                <c:ptCount val="3"/>
                <c:pt idx="0">
                  <c:v>702.57</c:v>
                </c:pt>
                <c:pt idx="1">
                  <c:v>7.15</c:v>
                </c:pt>
                <c:pt idx="2">
                  <c:v>0.26</c:v>
                </c:pt>
              </c:numCache>
            </c:numRef>
          </c:val>
        </c:ser>
        <c:gapWidth val="100"/>
        <c:secondPieSize val="75"/>
        <c:serLines/>
      </c:of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(3)'!$B$1</c:f>
              <c:strCache>
                <c:ptCount val="1"/>
                <c:pt idx="0">
                  <c:v>销售额</c:v>
                </c:pt>
              </c:strCache>
            </c:strRef>
          </c:tx>
          <c:spPr>
            <a:solidFill>
              <a:srgbClr val="4F81BD"/>
            </a:solidFill>
          </c:spPr>
          <c:explosion val="25"/>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709.49</c:v>
                </c:pt>
                <c:pt idx="1">
                  <c:v>58.09</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系列 1</c:v>
                </c:pt>
              </c:strCache>
            </c:strRef>
          </c:tx>
          <c:spPr>
            <a:solidFill>
              <a:srgbClr val="4F81BD"/>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2021年度收支总计</c:v>
                </c:pt>
                <c:pt idx="1">
                  <c:v>2022年度收支总计</c:v>
                </c:pt>
              </c:strCache>
            </c:strRef>
          </c:cat>
          <c:val>
            <c:numRef>
              <c:f>'Sheet1 (4)'!$B$2:$B$3</c:f>
              <c:numCache>
                <c:formatCode>General</c:formatCode>
                <c:ptCount val="2"/>
                <c:pt idx="0">
                  <c:v>883.77</c:v>
                </c:pt>
                <c:pt idx="1">
                  <c:v>760.17</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系列 1</c:v>
                </c:pt>
              </c:strCache>
            </c:strRef>
          </c:tx>
          <c:spPr>
            <a:solidFill>
              <a:srgbClr val="4F81BD"/>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(5)'!$A$2:$A$3</c:f>
              <c:strCache>
                <c:ptCount val="2"/>
                <c:pt idx="0">
                  <c:v>2021年度</c:v>
                </c:pt>
                <c:pt idx="1">
                  <c:v>2022年度</c:v>
                </c:pt>
              </c:strCache>
            </c:strRef>
          </c:cat>
          <c:val>
            <c:numRef>
              <c:f>'Sheet1 (5)'!$B$2:$B$3</c:f>
              <c:numCache>
                <c:formatCode>General</c:formatCode>
                <c:ptCount val="2"/>
                <c:pt idx="0">
                  <c:v>826.16</c:v>
                </c:pt>
                <c:pt idx="1">
                  <c:v>760.17</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销售额</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2"/>
              <c:layout>
                <c:manualLayout>
                  <c:x val="0.04682006"/>
                  <c:y val="-0.01178518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(6)'!$A$2:$A$4</c:f>
              <c:strCache>
                <c:ptCount val="3"/>
                <c:pt idx="0">
                  <c:v>教育支出</c:v>
                </c:pt>
                <c:pt idx="1">
                  <c:v>社会保障和就业支出</c:v>
                </c:pt>
                <c:pt idx="2">
                  <c:v>卫生健康支出</c:v>
                </c:pt>
              </c:strCache>
            </c:strRef>
          </c:cat>
          <c:val>
            <c:numRef>
              <c:f>'Sheet1 (6)'!$B$2:$B$4</c:f>
              <c:numCache>
                <c:formatCode>General</c:formatCode>
                <c:ptCount val="3"/>
                <c:pt idx="0">
                  <c:v>688.1</c:v>
                </c:pt>
                <c:pt idx="1">
                  <c:v>55.97</c:v>
                </c:pt>
                <c:pt idx="2">
                  <c:v>16.11</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9C3DE2B-1055-47F7-9C8D-4CED2EAB726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40</TotalTime>
  <Application>Yozo_Office27021597764231179</Application>
  <Pages>19</Pages>
  <Words>0</Words>
  <Characters>5584</Characters>
  <Lines>0</Lines>
  <Paragraphs>178</Paragraphs>
  <CharactersWithSpaces>7446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38</cp:revision>
  <cp:lastPrinted>2023-10-12T10:15:00Z</cp:lastPrinted>
  <dcterms:created xsi:type="dcterms:W3CDTF">2020-08-05T01:49:00Z</dcterms:created>
  <dcterms:modified xsi:type="dcterms:W3CDTF">2023-10-18T10:01:41Z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72E0AD9787FC44DB8417D99CBD71898D_13</vt:lpwstr>
  </property>
</Properties>
</file>